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A3E60" w14:textId="12744075"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C076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919BA" w:rsidRPr="003C0766">
        <w:rPr>
          <w:rFonts w:ascii="Palatino Linotype" w:eastAsia="Times New Roman" w:hAnsi="Palatino Linotype" w:cs="Arial"/>
          <w:color w:val="000000"/>
          <w:sz w:val="24"/>
          <w:szCs w:val="24"/>
          <w:lang w:eastAsia="es-MX"/>
        </w:rPr>
        <w:t>tres de julio</w:t>
      </w:r>
      <w:r w:rsidR="00DC73EC" w:rsidRPr="003C0766">
        <w:rPr>
          <w:rFonts w:ascii="Palatino Linotype" w:eastAsia="Times New Roman" w:hAnsi="Palatino Linotype" w:cs="Arial"/>
          <w:color w:val="000000"/>
          <w:sz w:val="24"/>
          <w:szCs w:val="24"/>
          <w:lang w:eastAsia="es-MX"/>
        </w:rPr>
        <w:t xml:space="preserve"> de dos mil diecinueve.</w:t>
      </w:r>
      <w:r w:rsidR="00DC73EC">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0D9F0184" w14:textId="4E9B27F3" w:rsidR="00DC73EC" w:rsidRPr="00DC73EC"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A12F8D">
        <w:rPr>
          <w:rFonts w:ascii="Palatino Linotype" w:hAnsi="Palatino Linotype" w:cs="Arial"/>
          <w:b/>
          <w:sz w:val="24"/>
        </w:rPr>
        <w:t>0</w:t>
      </w:r>
      <w:r w:rsidR="00DC73EC">
        <w:rPr>
          <w:rFonts w:ascii="Palatino Linotype" w:hAnsi="Palatino Linotype" w:cs="Arial"/>
          <w:b/>
          <w:sz w:val="24"/>
        </w:rPr>
        <w:t>3215</w:t>
      </w:r>
      <w:r w:rsidR="00A12F8D">
        <w:rPr>
          <w:rFonts w:ascii="Palatino Linotype" w:hAnsi="Palatino Linotype" w:cs="Arial"/>
          <w:b/>
          <w:sz w:val="24"/>
        </w:rPr>
        <w:t xml:space="preserve">/INFOEM/IP/RR/2019, </w:t>
      </w:r>
      <w:r w:rsidR="00A12F8D">
        <w:rPr>
          <w:rFonts w:ascii="Palatino Linotype" w:hAnsi="Palatino Linotype" w:cs="Arial"/>
          <w:sz w:val="24"/>
        </w:rPr>
        <w:t xml:space="preserve">interpuesto por </w:t>
      </w:r>
      <w:r w:rsidR="00DC73EC">
        <w:rPr>
          <w:rFonts w:ascii="Palatino Linotype" w:hAnsi="Palatino Linotype" w:cs="Arial"/>
          <w:sz w:val="24"/>
        </w:rPr>
        <w:t xml:space="preserve">el </w:t>
      </w:r>
      <w:r w:rsidR="00DC73EC">
        <w:rPr>
          <w:rFonts w:ascii="Palatino Linotype" w:hAnsi="Palatino Linotype" w:cs="Arial"/>
          <w:b/>
          <w:bCs/>
          <w:sz w:val="24"/>
        </w:rPr>
        <w:t xml:space="preserve">C. </w:t>
      </w:r>
      <w:r w:rsidR="006241FA">
        <w:rPr>
          <w:rFonts w:ascii="Palatino Linotype" w:hAnsi="Palatino Linotype" w:cs="Arial"/>
          <w:b/>
          <w:bCs/>
          <w:sz w:val="24"/>
        </w:rPr>
        <w:t>XXXXXXXXXXXXXXXXXXXXXXX</w:t>
      </w:r>
      <w:r w:rsidR="00DC73EC">
        <w:rPr>
          <w:rFonts w:ascii="Palatino Linotype" w:hAnsi="Palatino Linotype" w:cs="Arial"/>
          <w:b/>
          <w:bCs/>
          <w:sz w:val="24"/>
        </w:rPr>
        <w:t xml:space="preserve">, </w:t>
      </w:r>
      <w:r w:rsidR="00DC73EC">
        <w:rPr>
          <w:rFonts w:ascii="Palatino Linotype" w:hAnsi="Palatino Linotype" w:cs="Arial"/>
          <w:sz w:val="24"/>
        </w:rPr>
        <w:t xml:space="preserve">en lo sucesivo </w:t>
      </w:r>
      <w:r w:rsidR="00DC73EC">
        <w:rPr>
          <w:rFonts w:ascii="Palatino Linotype" w:hAnsi="Palatino Linotype" w:cs="Arial"/>
          <w:b/>
          <w:bCs/>
          <w:sz w:val="24"/>
        </w:rPr>
        <w:t xml:space="preserve">El Recurrente, </w:t>
      </w:r>
      <w:r w:rsidR="00DC73EC">
        <w:rPr>
          <w:rFonts w:ascii="Palatino Linotype" w:hAnsi="Palatino Linotype" w:cs="Arial"/>
          <w:sz w:val="24"/>
        </w:rPr>
        <w:t xml:space="preserve">en contra de la respuesta del </w:t>
      </w:r>
      <w:r w:rsidR="00DC73EC">
        <w:rPr>
          <w:rFonts w:ascii="Palatino Linotype" w:hAnsi="Palatino Linotype" w:cs="Arial"/>
          <w:b/>
          <w:bCs/>
          <w:sz w:val="24"/>
        </w:rPr>
        <w:t xml:space="preserve">Ayuntamiento de Toluca, </w:t>
      </w:r>
      <w:r w:rsidR="00DC73EC">
        <w:rPr>
          <w:rFonts w:ascii="Palatino Linotype" w:hAnsi="Palatino Linotype" w:cs="Arial"/>
          <w:sz w:val="24"/>
        </w:rPr>
        <w:t xml:space="preserve">se procede a dictar la presente resolución. </w:t>
      </w:r>
    </w:p>
    <w:p w14:paraId="5CBAE48C" w14:textId="77777777" w:rsidR="00A12F8D" w:rsidRDefault="00A12F8D"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60DAFAC" w14:textId="6F06C08E" w:rsidR="005D2B04" w:rsidRPr="005D2B04"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DC73EC">
        <w:rPr>
          <w:rFonts w:ascii="Palatino Linotype" w:hAnsi="Palatino Linotype" w:cs="Arial"/>
          <w:sz w:val="24"/>
        </w:rPr>
        <w:t>doce de marzo</w:t>
      </w:r>
      <w:r>
        <w:rPr>
          <w:rFonts w:ascii="Palatino Linotype" w:hAnsi="Palatino Linotype" w:cs="Arial"/>
          <w:sz w:val="24"/>
        </w:rPr>
        <w:t xml:space="preserve"> de dos mil diecinueve, </w:t>
      </w:r>
      <w:r w:rsidR="00DC73EC">
        <w:rPr>
          <w:rFonts w:ascii="Palatino Linotype" w:hAnsi="Palatino Linotype" w:cs="Arial"/>
          <w:b/>
          <w:sz w:val="24"/>
        </w:rPr>
        <w:t>El</w:t>
      </w:r>
      <w:r>
        <w:rPr>
          <w:rFonts w:ascii="Palatino Linotype" w:hAnsi="Palatino Linotype" w:cs="Arial"/>
          <w:b/>
          <w:sz w:val="24"/>
        </w:rPr>
        <w:t xml:space="preserve"> Recurrente, </w:t>
      </w:r>
      <w:r w:rsidRPr="00523CF0">
        <w:rPr>
          <w:rFonts w:ascii="Palatino Linotype" w:hAnsi="Palatino Linotype" w:cs="Arial"/>
          <w:sz w:val="24"/>
        </w:rPr>
        <w:t>presentó a través del Sistema de Acceso a la Información Mexiquense (</w:t>
      </w:r>
      <w:r w:rsidRPr="00523CF0">
        <w:rPr>
          <w:rFonts w:ascii="Palatino Linotype" w:hAnsi="Palatino Linotype" w:cs="Arial"/>
          <w:b/>
          <w:sz w:val="24"/>
        </w:rPr>
        <w:t>SAIMEX)</w:t>
      </w:r>
      <w:r w:rsidRPr="00523CF0">
        <w:rPr>
          <w:rFonts w:ascii="Palatino Linotype" w:hAnsi="Palatino Linotype" w:cs="Arial"/>
          <w:sz w:val="24"/>
        </w:rPr>
        <w:t xml:space="preserve"> ante </w:t>
      </w:r>
      <w:r>
        <w:rPr>
          <w:rFonts w:ascii="Palatino Linotype" w:hAnsi="Palatino Linotype" w:cs="Arial"/>
          <w:b/>
          <w:sz w:val="24"/>
        </w:rPr>
        <w:t>El Sujeto Obligado</w:t>
      </w:r>
      <w:r w:rsidRPr="00523CF0">
        <w:rPr>
          <w:rFonts w:ascii="Palatino Linotype" w:hAnsi="Palatino Linotype" w:cs="Arial"/>
          <w:sz w:val="24"/>
        </w:rPr>
        <w:t xml:space="preserve">, </w:t>
      </w:r>
      <w:r>
        <w:rPr>
          <w:rFonts w:ascii="Palatino Linotype" w:hAnsi="Palatino Linotype" w:cs="Arial"/>
          <w:sz w:val="24"/>
        </w:rPr>
        <w:t xml:space="preserve">la </w:t>
      </w:r>
      <w:r w:rsidRPr="00523CF0">
        <w:rPr>
          <w:rFonts w:ascii="Palatino Linotype" w:hAnsi="Palatino Linotype" w:cs="Arial"/>
          <w:sz w:val="24"/>
        </w:rPr>
        <w:t>solicitud de acceso a la información pública, registrada</w:t>
      </w:r>
      <w:r>
        <w:rPr>
          <w:rFonts w:ascii="Palatino Linotype" w:hAnsi="Palatino Linotype" w:cs="Arial"/>
          <w:sz w:val="24"/>
        </w:rPr>
        <w:t xml:space="preserve"> bajo el</w:t>
      </w:r>
      <w:r w:rsidRPr="00523CF0">
        <w:rPr>
          <w:rFonts w:ascii="Palatino Linotype" w:hAnsi="Palatino Linotype" w:cs="Arial"/>
          <w:sz w:val="24"/>
        </w:rPr>
        <w:t xml:space="preserve"> número de expediente</w:t>
      </w:r>
      <w:r>
        <w:rPr>
          <w:rFonts w:ascii="Palatino Linotype" w:hAnsi="Palatino Linotype" w:cs="Arial"/>
          <w:sz w:val="24"/>
        </w:rPr>
        <w:t xml:space="preserve"> </w:t>
      </w:r>
      <w:r w:rsidR="00DC73EC">
        <w:rPr>
          <w:rFonts w:ascii="Palatino Linotype" w:hAnsi="Palatino Linotype" w:cs="Arial"/>
          <w:b/>
          <w:sz w:val="24"/>
        </w:rPr>
        <w:t>00152/TOLUCA/IP/2019</w:t>
      </w:r>
      <w:r>
        <w:rPr>
          <w:rFonts w:ascii="Palatino Linotype" w:hAnsi="Palatino Linotype" w:cs="Arial"/>
          <w:b/>
          <w:sz w:val="24"/>
        </w:rPr>
        <w:t xml:space="preserve">, </w:t>
      </w:r>
      <w:r>
        <w:rPr>
          <w:rFonts w:ascii="Palatino Linotype" w:hAnsi="Palatino Linotype" w:cs="Arial"/>
          <w:sz w:val="24"/>
        </w:rPr>
        <w:t xml:space="preserve">mediante la cual solicitó información en el tenor siguiente: </w:t>
      </w:r>
    </w:p>
    <w:p w14:paraId="0619495B" w14:textId="68A1DA89" w:rsidR="005D2B04" w:rsidRPr="00DC73EC" w:rsidRDefault="005D2B04" w:rsidP="005D2B04">
      <w:pPr>
        <w:spacing w:before="240" w:line="360" w:lineRule="auto"/>
        <w:ind w:left="851" w:right="851"/>
        <w:jc w:val="both"/>
        <w:rPr>
          <w:rFonts w:ascii="Palatino Linotype" w:hAnsi="Palatino Linotype" w:cs="Arial"/>
          <w:i/>
        </w:rPr>
      </w:pPr>
      <w:r w:rsidRPr="00DC73EC">
        <w:rPr>
          <w:rFonts w:ascii="Palatino Linotype" w:hAnsi="Palatino Linotype"/>
          <w:i/>
          <w:color w:val="000000"/>
        </w:rPr>
        <w:t>“</w:t>
      </w:r>
      <w:r w:rsidR="00DC73EC" w:rsidRPr="00DC73EC">
        <w:rPr>
          <w:rFonts w:ascii="Palatino Linotype" w:hAnsi="Palatino Linotype"/>
          <w:i/>
        </w:rPr>
        <w:t>Solicito el inventario de equipo de cómputo que la administración municipal 2019-2021 recibió de la administración municipal 2016-2019. El o los expedientes conformados con motivo de la o las licitaciones públicas, invitaciones restringidas o adjudicación directa para la adquisición de equipo de cómputo nuevo o arrendamiento de equipo de cómputo a partir del 1 de enero de 2019 a la fecha.</w:t>
      </w:r>
      <w:r w:rsidRPr="00DC73EC">
        <w:rPr>
          <w:rFonts w:ascii="Palatino Linotype" w:hAnsi="Palatino Linotype"/>
          <w:i/>
          <w:color w:val="000000"/>
        </w:rPr>
        <w:t>”</w:t>
      </w:r>
      <w:r w:rsidRPr="00DC73EC">
        <w:rPr>
          <w:rFonts w:ascii="Palatino Linotype" w:eastAsia="Times New Roman" w:hAnsi="Palatino Linotype" w:cs="Times New Roman"/>
          <w:i/>
          <w:lang w:val="es-ES_tradnl" w:eastAsia="es-ES"/>
        </w:rPr>
        <w:t xml:space="preserve"> </w:t>
      </w:r>
      <w:r w:rsidRPr="00DC73EC">
        <w:rPr>
          <w:rFonts w:ascii="Palatino Linotype" w:eastAsia="Times New Roman" w:hAnsi="Palatino Linotype" w:cs="Times New Roman"/>
          <w:b/>
          <w:i/>
          <w:lang w:val="es-ES_tradnl" w:eastAsia="es-ES"/>
        </w:rPr>
        <w:t>[Sic]</w:t>
      </w:r>
    </w:p>
    <w:p w14:paraId="131FE2E1" w14:textId="77777777" w:rsidR="005D2B04" w:rsidRPr="00523CF0"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Pr="004926AC">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lastRenderedPageBreak/>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6F575F78" w14:textId="5BABC98E" w:rsidR="00DC73EC" w:rsidRPr="00DC73EC"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DC73EC">
        <w:rPr>
          <w:rFonts w:ascii="Palatino Linotype" w:hAnsi="Palatino Linotype" w:cs="Arial"/>
          <w:sz w:val="24"/>
          <w:szCs w:val="24"/>
        </w:rPr>
        <w:t xml:space="preserve">dos de abril del año en curso, </w:t>
      </w:r>
      <w:r w:rsidR="00DC73EC">
        <w:rPr>
          <w:rFonts w:ascii="Palatino Linotype" w:hAnsi="Palatino Linotype" w:cs="Arial"/>
          <w:b/>
          <w:bCs/>
          <w:sz w:val="24"/>
          <w:szCs w:val="24"/>
        </w:rPr>
        <w:t xml:space="preserve">El Sujeto Obligado </w:t>
      </w:r>
      <w:r w:rsidR="00DC73EC">
        <w:rPr>
          <w:rFonts w:ascii="Palatino Linotype" w:hAnsi="Palatino Linotype" w:cs="Arial"/>
          <w:sz w:val="24"/>
          <w:szCs w:val="24"/>
        </w:rPr>
        <w:t xml:space="preserve">dio respuesta a la solicitud de información en los siguientes términos: </w:t>
      </w:r>
    </w:p>
    <w:p w14:paraId="1957F2EA" w14:textId="77777777" w:rsidR="00DC73EC" w:rsidRDefault="00DC73EC" w:rsidP="00A12F8D">
      <w:pPr>
        <w:spacing w:before="240" w:line="360" w:lineRule="auto"/>
        <w:ind w:left="851" w:right="851"/>
        <w:jc w:val="both"/>
        <w:rPr>
          <w:rFonts w:ascii="Palatino Linotype" w:hAnsi="Palatino Linotype"/>
          <w:i/>
          <w:color w:val="000000"/>
        </w:rPr>
      </w:pPr>
      <w:r w:rsidRPr="00A12F8D">
        <w:rPr>
          <w:rFonts w:ascii="Palatino Linotype" w:hAnsi="Palatino Linotype"/>
          <w:i/>
          <w:color w:val="000000"/>
        </w:rPr>
        <w:t xml:space="preserve"> </w:t>
      </w:r>
      <w:r w:rsidR="00A12F8D" w:rsidRPr="00A12F8D">
        <w:rPr>
          <w:rFonts w:ascii="Palatino Linotype" w:hAnsi="Palatino Linotype"/>
          <w:i/>
          <w:color w:val="000000"/>
        </w:rPr>
        <w:t>“</w:t>
      </w:r>
      <w:r>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9F7193" w14:textId="70BCE099" w:rsidR="00A12F8D" w:rsidRPr="00DC73EC" w:rsidRDefault="00DC73EC" w:rsidP="00A12F8D">
      <w:pPr>
        <w:spacing w:before="240" w:line="360" w:lineRule="auto"/>
        <w:ind w:left="851" w:right="851"/>
        <w:jc w:val="both"/>
        <w:rPr>
          <w:rFonts w:ascii="Palatino Linotype" w:hAnsi="Palatino Linotype" w:cs="Arial"/>
          <w:b/>
          <w:i/>
        </w:rPr>
      </w:pPr>
      <w:r w:rsidRPr="00DC73EC">
        <w:rPr>
          <w:rFonts w:ascii="Palatino Linotype" w:hAnsi="Palatino Linotype"/>
          <w:i/>
          <w:color w:val="000000"/>
        </w:rPr>
        <w:t xml:space="preserve">Con </w:t>
      </w:r>
      <w:r w:rsidRPr="00DC73EC">
        <w:rPr>
          <w:rFonts w:ascii="Palatino Linotype" w:hAnsi="Palatino Linotype"/>
          <w:i/>
        </w:rPr>
        <w:t xml:space="preserve">fundamento en los artículos 4, 7, 23 fracción </w:t>
      </w:r>
      <w:proofErr w:type="spellStart"/>
      <w:r w:rsidRPr="00DC73EC">
        <w:rPr>
          <w:rFonts w:ascii="Palatino Linotype" w:hAnsi="Palatino Linotype"/>
          <w:i/>
        </w:rPr>
        <w:t>lV</w:t>
      </w:r>
      <w:proofErr w:type="spellEnd"/>
      <w:r w:rsidRPr="00DC73EC">
        <w:rPr>
          <w:rFonts w:ascii="Palatino Linotype" w:hAnsi="Palatino Linotype"/>
          <w:i/>
        </w:rPr>
        <w:t xml:space="preserve">, 53 fracciones ll, </w:t>
      </w:r>
      <w:proofErr w:type="spellStart"/>
      <w:r w:rsidRPr="00DC73EC">
        <w:rPr>
          <w:rFonts w:ascii="Palatino Linotype" w:hAnsi="Palatino Linotype"/>
          <w:i/>
        </w:rPr>
        <w:t>lV</w:t>
      </w:r>
      <w:proofErr w:type="spellEnd"/>
      <w:r w:rsidRPr="00DC73EC">
        <w:rPr>
          <w:rFonts w:ascii="Palatino Linotype" w:hAnsi="Palatino Linotype"/>
          <w:i/>
        </w:rPr>
        <w:t xml:space="preserve"> y V de la Ley de Transparencia y Acceso a la Información Pública del Estado de México y Municipios, y en atención a su solicitud 00152/TOLUCA/IP/2019 mediante la cual requiere: “Solicito el inventario de equipo de cómputo que la administración municipal 2019-2021 recibió de la administración municipal 2016-2019. El o los expedientes conformados con motivo de la o las licitaciones públicas, invitaciones restringidas o adjudicación directa para la adquisición de equipo de cómputo nuevo o arrendamiento de equipo de cómputo a partir del 1 de enero de 2019 a la fecha.” Sic </w:t>
      </w:r>
      <w:r w:rsidRPr="00DC73EC">
        <w:rPr>
          <w:rFonts w:ascii="Palatino Linotype" w:hAnsi="Palatino Linotype"/>
          <w:b/>
          <w:bCs/>
          <w:i/>
          <w:u w:val="single"/>
        </w:rPr>
        <w:t>Al respecto, se adjunta información emitida por la Dirección General de Administración y el Instituto Municipal de Cultura Física y Deporte.</w:t>
      </w:r>
      <w:r w:rsidRPr="00DC73EC">
        <w:rPr>
          <w:rFonts w:ascii="Palatino Linotype" w:hAnsi="Palatino Linotype"/>
          <w:i/>
        </w:rPr>
        <w:t xml:space="preserve"> Sin más por el momento reciba un cordial saludo</w:t>
      </w:r>
      <w:r w:rsidR="00A12F8D" w:rsidRPr="00DC73EC">
        <w:rPr>
          <w:rFonts w:ascii="Palatino Linotype" w:hAnsi="Palatino Linotype"/>
          <w:i/>
          <w:color w:val="000000"/>
        </w:rPr>
        <w:t xml:space="preserve">” </w:t>
      </w:r>
      <w:r w:rsidR="00A12F8D" w:rsidRPr="00DC73EC">
        <w:rPr>
          <w:rFonts w:ascii="Palatino Linotype" w:hAnsi="Palatino Linotype"/>
          <w:b/>
          <w:i/>
          <w:color w:val="000000"/>
        </w:rPr>
        <w:t>[Sic]</w:t>
      </w:r>
    </w:p>
    <w:p w14:paraId="02D2BC86" w14:textId="2565F869" w:rsidR="00A12F8D" w:rsidRDefault="00A12F8D" w:rsidP="005D2B04">
      <w:pPr>
        <w:spacing w:before="240" w:line="360" w:lineRule="auto"/>
        <w:jc w:val="both"/>
        <w:rPr>
          <w:rFonts w:ascii="Palatino Linotype" w:hAnsi="Palatino Linotype" w:cs="Arial"/>
          <w:sz w:val="24"/>
          <w:szCs w:val="24"/>
        </w:rPr>
      </w:pPr>
    </w:p>
    <w:p w14:paraId="53F787B2" w14:textId="2BCA3353" w:rsidR="00DC73EC" w:rsidRPr="00DC73EC" w:rsidRDefault="00DC73EC"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Asimismo, es óbice mencionar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bCs/>
          <w:sz w:val="24"/>
          <w:szCs w:val="24"/>
        </w:rPr>
        <w:t>“OFICIO 0152.pdf”, “</w:t>
      </w:r>
      <w:proofErr w:type="spellStart"/>
      <w:r>
        <w:rPr>
          <w:rFonts w:ascii="Palatino Linotype" w:hAnsi="Palatino Linotype" w:cs="Arial"/>
          <w:b/>
          <w:bCs/>
          <w:sz w:val="24"/>
          <w:szCs w:val="24"/>
        </w:rPr>
        <w:t>saimex</w:t>
      </w:r>
      <w:proofErr w:type="spellEnd"/>
      <w:r>
        <w:rPr>
          <w:rFonts w:ascii="Palatino Linotype" w:hAnsi="Palatino Linotype" w:cs="Arial"/>
          <w:b/>
          <w:bCs/>
          <w:sz w:val="24"/>
          <w:szCs w:val="24"/>
        </w:rPr>
        <w:t xml:space="preserve"> 152.pdf” </w:t>
      </w:r>
      <w:r>
        <w:rPr>
          <w:rFonts w:ascii="Palatino Linotype" w:hAnsi="Palatino Linotype" w:cs="Arial"/>
          <w:sz w:val="24"/>
          <w:szCs w:val="24"/>
        </w:rPr>
        <w:t xml:space="preserve">y </w:t>
      </w:r>
      <w:r>
        <w:rPr>
          <w:rFonts w:ascii="Palatino Linotype" w:hAnsi="Palatino Linotype" w:cs="Arial"/>
          <w:b/>
          <w:bCs/>
          <w:sz w:val="24"/>
          <w:szCs w:val="24"/>
        </w:rPr>
        <w:t xml:space="preserve">“EQUIPO </w:t>
      </w:r>
      <w:proofErr w:type="gramStart"/>
      <w:r>
        <w:rPr>
          <w:rFonts w:ascii="Palatino Linotype" w:hAnsi="Palatino Linotype" w:cs="Arial"/>
          <w:b/>
          <w:bCs/>
          <w:sz w:val="24"/>
          <w:szCs w:val="24"/>
        </w:rPr>
        <w:t>COMPUTO</w:t>
      </w:r>
      <w:proofErr w:type="gramEnd"/>
      <w:r>
        <w:rPr>
          <w:rFonts w:ascii="Palatino Linotype" w:hAnsi="Palatino Linotype" w:cs="Arial"/>
          <w:b/>
          <w:bCs/>
          <w:sz w:val="24"/>
          <w:szCs w:val="24"/>
        </w:rPr>
        <w:t xml:space="preserve"> 2016-</w:t>
      </w:r>
      <w:r>
        <w:rPr>
          <w:rFonts w:ascii="Palatino Linotype" w:hAnsi="Palatino Linotype" w:cs="Arial"/>
          <w:b/>
          <w:bCs/>
          <w:sz w:val="24"/>
          <w:szCs w:val="24"/>
        </w:rPr>
        <w:lastRenderedPageBreak/>
        <w:t xml:space="preserve">2018.pdf”, </w:t>
      </w:r>
      <w:r>
        <w:rPr>
          <w:rFonts w:ascii="Palatino Linotype" w:hAnsi="Palatino Linotype" w:cs="Arial"/>
          <w:sz w:val="24"/>
          <w:szCs w:val="24"/>
        </w:rPr>
        <w:t xml:space="preserve">mismos que se tienen por reproducidos en virtud de que serán materia de análisis en el considerando respectivo.  </w:t>
      </w:r>
    </w:p>
    <w:p w14:paraId="3B35D59B" w14:textId="77777777" w:rsidR="00DC73EC" w:rsidRDefault="00DC73EC" w:rsidP="005D2B04">
      <w:pPr>
        <w:spacing w:before="240" w:line="360" w:lineRule="auto"/>
        <w:jc w:val="both"/>
        <w:rPr>
          <w:rFonts w:ascii="Palatino Linotype" w:hAnsi="Palatino Linotype" w:cs="Arial"/>
          <w:sz w:val="24"/>
          <w:szCs w:val="24"/>
        </w:rPr>
      </w:pPr>
    </w:p>
    <w:p w14:paraId="3FCD2529" w14:textId="77777777" w:rsidR="005D2B04" w:rsidRPr="00B94D83" w:rsidRDefault="005D2B04" w:rsidP="005D2B04">
      <w:pPr>
        <w:spacing w:before="240" w:line="360" w:lineRule="auto"/>
        <w:jc w:val="both"/>
        <w:rPr>
          <w:rFonts w:ascii="Palatino Linotype" w:hAnsi="Palatino Linotype" w:cs="Arial"/>
          <w:b/>
          <w:sz w:val="28"/>
        </w:rPr>
      </w:pPr>
      <w:r w:rsidRPr="00B94D83">
        <w:rPr>
          <w:rFonts w:ascii="Palatino Linotype" w:hAnsi="Palatino Linotype" w:cs="Arial"/>
          <w:b/>
          <w:sz w:val="28"/>
        </w:rPr>
        <w:t xml:space="preserve">TERCERO. </w:t>
      </w:r>
      <w:r w:rsidRPr="00B94D83">
        <w:rPr>
          <w:rFonts w:ascii="Palatino Linotype" w:hAnsi="Palatino Linotype"/>
          <w:b/>
          <w:sz w:val="28"/>
        </w:rPr>
        <w:t>Del recurso de revisión.</w:t>
      </w:r>
    </w:p>
    <w:p w14:paraId="41F52577" w14:textId="248BAD0E" w:rsidR="00DC73EC" w:rsidRPr="00DC73EC"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t xml:space="preserve">Inconforme con la respuesta notificada por </w:t>
      </w:r>
      <w:r w:rsidR="00A12F8D">
        <w:rPr>
          <w:rFonts w:ascii="Palatino Linotype" w:hAnsi="Palatino Linotype" w:cs="Arial"/>
          <w:b/>
          <w:sz w:val="24"/>
          <w:szCs w:val="24"/>
        </w:rPr>
        <w:t xml:space="preserve">El Sujeto Obligado, </w:t>
      </w:r>
      <w:r w:rsidR="00DC73EC">
        <w:rPr>
          <w:rFonts w:ascii="Palatino Linotype" w:hAnsi="Palatino Linotype" w:cs="Arial"/>
          <w:b/>
          <w:sz w:val="24"/>
          <w:szCs w:val="24"/>
        </w:rPr>
        <w:t>El</w:t>
      </w:r>
      <w:r w:rsidRPr="00B94D83">
        <w:rPr>
          <w:rFonts w:ascii="Palatino Linotype" w:hAnsi="Palatino Linotype" w:cs="Arial"/>
          <w:b/>
          <w:sz w:val="24"/>
          <w:szCs w:val="24"/>
        </w:rPr>
        <w:t xml:space="preserve"> Recurrente </w:t>
      </w:r>
      <w:r w:rsidRPr="00B94D83">
        <w:rPr>
          <w:rFonts w:ascii="Palatino Linotype" w:hAnsi="Palatino Linotype" w:cs="Arial"/>
          <w:sz w:val="24"/>
          <w:szCs w:val="24"/>
        </w:rPr>
        <w:t xml:space="preserve">interpuso el recurso de revisión, en fecha </w:t>
      </w:r>
      <w:r w:rsidR="00DC73EC">
        <w:rPr>
          <w:rFonts w:ascii="Palatino Linotype" w:hAnsi="Palatino Linotype" w:cs="Arial"/>
          <w:sz w:val="24"/>
          <w:szCs w:val="24"/>
        </w:rPr>
        <w:t xml:space="preserve">veintinueve de abril del presente, el cual fue registrado en el expediente número </w:t>
      </w:r>
      <w:r w:rsidR="00DC73EC">
        <w:rPr>
          <w:rFonts w:ascii="Palatino Linotype" w:hAnsi="Palatino Linotype" w:cs="Arial"/>
          <w:b/>
          <w:bCs/>
          <w:sz w:val="24"/>
          <w:szCs w:val="24"/>
        </w:rPr>
        <w:t xml:space="preserve">03215/INFOEM/IP/RR/2019, </w:t>
      </w:r>
      <w:r w:rsidR="00DC73EC">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124A2A95" w:rsidR="005D2B04" w:rsidRPr="00DC73EC" w:rsidRDefault="005D2B04" w:rsidP="005D2B04">
      <w:pPr>
        <w:spacing w:before="240" w:line="360" w:lineRule="auto"/>
        <w:ind w:left="851" w:right="851"/>
        <w:jc w:val="both"/>
        <w:rPr>
          <w:rFonts w:ascii="Palatino Linotype" w:hAnsi="Palatino Linotype"/>
          <w:b/>
          <w:i/>
          <w:color w:val="000000"/>
        </w:rPr>
      </w:pPr>
      <w:r w:rsidRPr="00DC73EC">
        <w:rPr>
          <w:rFonts w:ascii="Palatino Linotype" w:hAnsi="Palatino Linotype"/>
          <w:i/>
          <w:color w:val="000000"/>
        </w:rPr>
        <w:t>“</w:t>
      </w:r>
      <w:r w:rsidR="00DC73EC" w:rsidRPr="00DC73EC">
        <w:rPr>
          <w:rFonts w:ascii="Palatino Linotype" w:hAnsi="Palatino Linotype"/>
          <w:i/>
        </w:rPr>
        <w:t>La obscura, imprecisa y errónea respuesta dada por el sujeto obligado.</w:t>
      </w:r>
      <w:r w:rsidRPr="00DC73EC">
        <w:rPr>
          <w:rFonts w:ascii="Palatino Linotype" w:hAnsi="Palatino Linotype"/>
          <w:i/>
          <w:color w:val="000000"/>
        </w:rPr>
        <w:t>”</w:t>
      </w:r>
      <w:r w:rsidRPr="00DC73EC">
        <w:rPr>
          <w:rFonts w:ascii="Palatino Linotype" w:eastAsia="Times New Roman" w:hAnsi="Palatino Linotype" w:cs="Times New Roman"/>
          <w:i/>
          <w:lang w:val="es-ES_tradnl" w:eastAsia="es-ES"/>
        </w:rPr>
        <w:t xml:space="preserve"> </w:t>
      </w:r>
      <w:r w:rsidRPr="00DC73EC">
        <w:rPr>
          <w:rFonts w:ascii="Palatino Linotype" w:eastAsia="Times New Roman" w:hAnsi="Palatino Linotype" w:cs="Times New Roman"/>
          <w:b/>
          <w:bCs/>
          <w:i/>
          <w:lang w:val="es-ES_tradnl" w:eastAsia="es-ES"/>
        </w:rPr>
        <w:t>[Sic]</w:t>
      </w:r>
    </w:p>
    <w:p w14:paraId="656194D0" w14:textId="77777777" w:rsidR="005D2B04" w:rsidRDefault="005D2B04" w:rsidP="005D2B04">
      <w:pPr>
        <w:spacing w:before="240" w:line="360" w:lineRule="auto"/>
        <w:ind w:right="851"/>
        <w:jc w:val="both"/>
        <w:rPr>
          <w:rFonts w:ascii="Palatino Linotype" w:hAnsi="Palatino Linotype"/>
          <w:b/>
          <w:color w:val="000000"/>
        </w:rPr>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50664F4B" w:rsidR="005D2B04" w:rsidRPr="00DC73EC" w:rsidRDefault="00A12F8D" w:rsidP="005C404A">
      <w:pPr>
        <w:spacing w:before="240" w:line="360" w:lineRule="auto"/>
        <w:ind w:left="851" w:right="851"/>
        <w:jc w:val="both"/>
        <w:rPr>
          <w:rFonts w:ascii="Palatino Linotype" w:hAnsi="Palatino Linotype"/>
          <w:b/>
          <w:i/>
          <w:color w:val="000000"/>
          <w:u w:val="single"/>
        </w:rPr>
      </w:pPr>
      <w:r w:rsidRPr="00DC73EC">
        <w:rPr>
          <w:rFonts w:ascii="Palatino Linotype" w:hAnsi="Palatino Linotype"/>
          <w:i/>
          <w:color w:val="000000"/>
        </w:rPr>
        <w:t>“</w:t>
      </w:r>
      <w:r w:rsidR="00DC73EC" w:rsidRPr="00DC73EC">
        <w:rPr>
          <w:rFonts w:ascii="Palatino Linotype" w:hAnsi="Palatino Linotype"/>
          <w:i/>
        </w:rPr>
        <w:t>Se hacen valer en el documento anexo al presente</w:t>
      </w:r>
      <w:r w:rsidR="005D2B04" w:rsidRPr="00DC73EC">
        <w:rPr>
          <w:rFonts w:ascii="Palatino Linotype" w:hAnsi="Palatino Linotype"/>
          <w:b/>
          <w:i/>
          <w:color w:val="000000"/>
          <w:u w:val="single"/>
        </w:rPr>
        <w:t xml:space="preserve"> </w:t>
      </w:r>
      <w:r w:rsidR="005D2B04" w:rsidRPr="00DC73EC">
        <w:rPr>
          <w:rFonts w:ascii="Palatino Linotype" w:eastAsia="Times New Roman" w:hAnsi="Palatino Linotype" w:cs="Times New Roman"/>
          <w:b/>
          <w:i/>
          <w:lang w:val="es-ES_tradnl" w:eastAsia="es-ES"/>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C8C3B92" w14:textId="020730D0" w:rsidR="005C404A" w:rsidRPr="005C404A" w:rsidRDefault="005D2B04" w:rsidP="005D2B04">
      <w:pPr>
        <w:spacing w:before="240" w:line="360" w:lineRule="auto"/>
        <w:jc w:val="both"/>
        <w:rPr>
          <w:rFonts w:ascii="Palatino Linotype" w:hAnsi="Palatino Linotype"/>
          <w:color w:val="000000"/>
          <w:sz w:val="24"/>
          <w:szCs w:val="24"/>
        </w:rPr>
      </w:pPr>
      <w:r w:rsidRPr="00DA4AC6">
        <w:rPr>
          <w:rFonts w:ascii="Palatino Linotype" w:hAnsi="Palatino Linotype"/>
          <w:color w:val="000000"/>
          <w:sz w:val="24"/>
          <w:szCs w:val="24"/>
        </w:rPr>
        <w:t xml:space="preserve">Asimismo, resulta preciso señalar que </w:t>
      </w:r>
      <w:r w:rsidR="00DC73EC">
        <w:rPr>
          <w:rFonts w:ascii="Palatino Linotype" w:hAnsi="Palatino Linotype"/>
          <w:b/>
          <w:color w:val="000000"/>
          <w:sz w:val="24"/>
          <w:szCs w:val="24"/>
        </w:rPr>
        <w:t>El</w:t>
      </w:r>
      <w:r w:rsidRPr="00DA4AC6">
        <w:rPr>
          <w:rFonts w:ascii="Palatino Linotype" w:hAnsi="Palatino Linotype"/>
          <w:b/>
          <w:color w:val="000000"/>
          <w:sz w:val="24"/>
          <w:szCs w:val="24"/>
        </w:rPr>
        <w:t xml:space="preserve"> Recurrente </w:t>
      </w:r>
      <w:r w:rsidRPr="00DA4AC6">
        <w:rPr>
          <w:rFonts w:ascii="Palatino Linotype" w:hAnsi="Palatino Linotype"/>
          <w:color w:val="000000"/>
          <w:sz w:val="24"/>
          <w:szCs w:val="24"/>
        </w:rPr>
        <w:t>adjuntó el documento electrónico</w:t>
      </w:r>
      <w:r w:rsidR="005C404A">
        <w:rPr>
          <w:rFonts w:ascii="Palatino Linotype" w:hAnsi="Palatino Linotype"/>
          <w:color w:val="000000"/>
          <w:sz w:val="24"/>
          <w:szCs w:val="24"/>
        </w:rPr>
        <w:t xml:space="preserve"> </w:t>
      </w:r>
      <w:r w:rsidR="005C404A">
        <w:rPr>
          <w:rFonts w:ascii="Palatino Linotype" w:hAnsi="Palatino Linotype"/>
          <w:b/>
          <w:color w:val="000000"/>
          <w:sz w:val="24"/>
          <w:szCs w:val="24"/>
        </w:rPr>
        <w:t>“</w:t>
      </w:r>
      <w:r w:rsidR="00DC73EC">
        <w:rPr>
          <w:rFonts w:ascii="Palatino Linotype" w:hAnsi="Palatino Linotype"/>
          <w:b/>
          <w:color w:val="000000"/>
          <w:sz w:val="24"/>
          <w:szCs w:val="24"/>
        </w:rPr>
        <w:t>152 Inconformidad.pdf</w:t>
      </w:r>
      <w:r w:rsidR="005C404A">
        <w:rPr>
          <w:rFonts w:ascii="Palatino Linotype" w:hAnsi="Palatino Linotype"/>
          <w:b/>
          <w:color w:val="000000"/>
          <w:sz w:val="24"/>
          <w:szCs w:val="24"/>
        </w:rPr>
        <w:t xml:space="preserve">”, </w:t>
      </w:r>
      <w:r w:rsidR="005C404A">
        <w:rPr>
          <w:rFonts w:ascii="Palatino Linotype" w:hAnsi="Palatino Linotype"/>
          <w:color w:val="000000"/>
          <w:sz w:val="24"/>
          <w:szCs w:val="24"/>
        </w:rPr>
        <w:t xml:space="preserve">mismo que se tiene por reproducido como si a la letra se insertase, en virtud de que será materia de análisis </w:t>
      </w:r>
      <w:r w:rsidR="0072432C">
        <w:rPr>
          <w:rFonts w:ascii="Palatino Linotype" w:hAnsi="Palatino Linotype"/>
          <w:color w:val="000000"/>
          <w:sz w:val="24"/>
          <w:szCs w:val="24"/>
        </w:rPr>
        <w:t xml:space="preserve">más adelante. </w:t>
      </w:r>
    </w:p>
    <w:p w14:paraId="6AD62B13" w14:textId="31E2732E" w:rsidR="005C404A" w:rsidRDefault="0072432C" w:rsidP="005D2B04">
      <w:pPr>
        <w:spacing w:before="240" w:line="360" w:lineRule="auto"/>
        <w:jc w:val="both"/>
        <w:rPr>
          <w:rFonts w:ascii="Palatino Linotype" w:hAnsi="Palatino Linotype"/>
          <w:color w:val="000000"/>
          <w:sz w:val="24"/>
          <w:szCs w:val="24"/>
        </w:rPr>
      </w:pPr>
      <w:r>
        <w:rPr>
          <w:rFonts w:ascii="Palatino Linotype" w:hAnsi="Palatino Linotype"/>
          <w:noProof/>
          <w:color w:val="000000"/>
          <w:sz w:val="24"/>
          <w:szCs w:val="24"/>
          <w:lang w:eastAsia="es-MX"/>
        </w:rPr>
        <mc:AlternateContent>
          <mc:Choice Requires="wps">
            <w:drawing>
              <wp:anchor distT="0" distB="0" distL="114300" distR="114300" simplePos="0" relativeHeight="251732992" behindDoc="0" locked="0" layoutInCell="1" allowOverlap="1" wp14:anchorId="5769834D" wp14:editId="5B7CD4BD">
                <wp:simplePos x="0" y="0"/>
                <wp:positionH relativeFrom="column">
                  <wp:posOffset>-270510</wp:posOffset>
                </wp:positionH>
                <wp:positionV relativeFrom="paragraph">
                  <wp:posOffset>70485</wp:posOffset>
                </wp:positionV>
                <wp:extent cx="6629400" cy="7334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6629400" cy="733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95A928" id="Conector recto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1.3pt,5.55pt" to="500.7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iuQEAAMQDAAAOAAAAZHJzL2Uyb0RvYy54bWysU8tu2zAQvBfoPxC815Kd1G0Eyzk4SC5F&#10;a/TxAQy1tAjwhSVryX/fJWUrRRqgaNALKZI7szuzq83taA07AkbtXcuXi5ozcNJ32h1a/uP7/buP&#10;nMUkXCeMd9DyE0R+u337ZjOEBla+96YDZETiYjOElvcphaaqouzBirjwARw9Ko9WJDrioepQDMRu&#10;TbWq63U1eOwCegkx0u3d9Mi3hV8pkOmLUhESMy2n2lJZsayPea22G9EcUIRey3MZ4hVVWKEdJZ2p&#10;7kQS7CfqP6isluijV2khva28UlpC0UBqlvUzNd96EaBoIXNimG2K/49Wfj7ukemOeseZE5ZatKNG&#10;yeSRYd7YMns0hNhQ6M7t8XyKYY9Z8KjQ5p2ksLH4epp9hTExSZfr9ermuib7Jb19uLq6Xr3PpNUT&#10;OmBMD+Atyx8tN9pl3aIRx08xTaGXEMLlaqb85SudDORg476CIi2UcVnQZYpgZ5AdBfVfSAkuFT2U&#10;ukRnmNLGzMD678BzfIZCmbB/Ac+Iktm7NIOtdh5fyp7GS8lqir84MOnOFjz67lQ6U6yhUSnmnsc6&#10;z+Lv5wJ/+vm2vwAAAP//AwBQSwMEFAAGAAgAAAAhACGJSrzhAAAACwEAAA8AAABkcnMvZG93bnJl&#10;di54bWxMj8FKw0AQhu+C77CM4K3dJJQgMZtSCmItSLEK9bjNjkk0Oxt2t0369k5Pepvh//jnm3I5&#10;2V6c0YfOkYJ0noBAqp3pqFHw8f40ewARoiaje0eo4IIBltXtTakL40Z6w/M+NoJLKBRaQRvjUEgZ&#10;6hatDnM3IHH25bzVkVffSOP1yOW2l1mS5NLqjvhCqwdct1j/7E9WwavfbNar7eWbdp92PGTbw+5l&#10;elbq/m5aPYKIOMU/GK76rA4VOx3diUwQvYLZIssZ5SBNQVyBJEkXII48ZXkOsirl/x+qXwAAAP//&#10;AwBQSwECLQAUAAYACAAAACEAtoM4kv4AAADhAQAAEwAAAAAAAAAAAAAAAAAAAAAAW0NvbnRlbnRf&#10;VHlwZXNdLnhtbFBLAQItABQABgAIAAAAIQA4/SH/1gAAAJQBAAALAAAAAAAAAAAAAAAAAC8BAABf&#10;cmVscy8ucmVsc1BLAQItABQABgAIAAAAIQC+jWhiuQEAAMQDAAAOAAAAAAAAAAAAAAAAAC4CAABk&#10;cnMvZTJvRG9jLnhtbFBLAQItABQABgAIAAAAIQAhiUq84QAAAAsBAAAPAAAAAAAAAAAAAAAAABME&#10;AABkcnMvZG93bnJldi54bWxQSwUGAAAAAAQABADzAAAAIQUAAAAA&#10;" strokecolor="#5b9bd5 [3204]" strokeweight=".5pt">
                <v:stroke joinstyle="miter"/>
              </v:line>
            </w:pict>
          </mc:Fallback>
        </mc:AlternateContent>
      </w: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lastRenderedPageBreak/>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5D2C29EF" w14:textId="22BBCC81" w:rsidR="005D2B04"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2432C">
        <w:rPr>
          <w:rFonts w:ascii="Palatino Linotype" w:hAnsi="Palatino Linotype" w:cs="Arial"/>
          <w:b/>
          <w:sz w:val="24"/>
          <w:szCs w:val="24"/>
        </w:rPr>
        <w:t>siete de mayo</w:t>
      </w:r>
      <w:r w:rsidRPr="00DA4AC6">
        <w:rPr>
          <w:rFonts w:ascii="Palatino Linotype" w:hAnsi="Palatino Linotype" w:cs="Arial"/>
          <w:b/>
          <w:sz w:val="24"/>
          <w:szCs w:val="24"/>
        </w:rPr>
        <w:t xml:space="preserve"> de los corrientes</w:t>
      </w:r>
      <w:r>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25197FC" w14:textId="77777777" w:rsidR="005D2B04" w:rsidRDefault="005D2B04"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665E45B3" w14:textId="51ED096D" w:rsidR="0072432C" w:rsidRPr="0072432C" w:rsidRDefault="00A12F8D" w:rsidP="00A12F8D">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remitiendo diversos documentos electrónicos en fecha </w:t>
      </w:r>
      <w:r w:rsidR="0072432C">
        <w:rPr>
          <w:rFonts w:ascii="Palatino Linotype" w:hAnsi="Palatino Linotype" w:cs="Arial"/>
          <w:sz w:val="24"/>
          <w:szCs w:val="24"/>
        </w:rPr>
        <w:t xml:space="preserve">dieciséis de mayo del presente, mismos que se pusieron a la vista del </w:t>
      </w:r>
      <w:r w:rsidR="0072432C">
        <w:rPr>
          <w:rFonts w:ascii="Palatino Linotype" w:hAnsi="Palatino Linotype" w:cs="Arial"/>
          <w:b/>
          <w:bCs/>
          <w:sz w:val="24"/>
          <w:szCs w:val="24"/>
        </w:rPr>
        <w:t>Recurrente</w:t>
      </w:r>
      <w:r w:rsidR="0072432C">
        <w:rPr>
          <w:rFonts w:ascii="Palatino Linotype" w:hAnsi="Palatino Linotype" w:cs="Arial"/>
          <w:sz w:val="24"/>
          <w:szCs w:val="24"/>
        </w:rPr>
        <w:t xml:space="preserve"> el veintisiete de mayo del año en curso. </w:t>
      </w:r>
    </w:p>
    <w:p w14:paraId="17F6D244" w14:textId="77777777" w:rsidR="0072432C" w:rsidRDefault="00A12F8D" w:rsidP="00A12F8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7F63B3">
        <w:rPr>
          <w:rFonts w:ascii="Palatino Linotype" w:hAnsi="Palatino Linotype" w:cs="Arial"/>
          <w:sz w:val="24"/>
          <w:szCs w:val="24"/>
        </w:rPr>
        <w:t xml:space="preserve">fecha </w:t>
      </w:r>
      <w:r w:rsidR="0072432C">
        <w:rPr>
          <w:rFonts w:ascii="Palatino Linotype" w:hAnsi="Palatino Linotype" w:cs="Arial"/>
          <w:sz w:val="24"/>
          <w:szCs w:val="24"/>
        </w:rPr>
        <w:t>treinta y uno de mayo del dos mil diecinueve</w:t>
      </w:r>
      <w:r w:rsidRPr="007F63B3">
        <w:rPr>
          <w:rFonts w:ascii="Palatino Linotype" w:hAnsi="Palatino Linotype" w:cs="Arial"/>
          <w:sz w:val="24"/>
          <w:szCs w:val="24"/>
        </w:rPr>
        <w:t xml:space="preserve"> se</w:t>
      </w:r>
      <w:r>
        <w:rPr>
          <w:rFonts w:ascii="Palatino Linotype" w:hAnsi="Palatino Linotype" w:cs="Arial"/>
          <w:sz w:val="24"/>
          <w:szCs w:val="24"/>
        </w:rPr>
        <w:t xml:space="preserve"> decretó el cierre de instrucción en términos del artículo 185 fracción VI de la Ley de Transparencia y Acceso a la Información Pública del Estado de México y Municipios, iniciando el término legal para dictar resolución definitiva del asunto. </w:t>
      </w:r>
    </w:p>
    <w:p w14:paraId="5AB2CC6F" w14:textId="3629CDEF" w:rsidR="005149BE" w:rsidRDefault="00A12F8D" w:rsidP="00A12F8D">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w:t>
      </w:r>
      <w:r w:rsidRPr="00043101">
        <w:rPr>
          <w:rFonts w:ascii="Palatino Linotype" w:hAnsi="Palatino Linotype" w:cs="Arial"/>
          <w:sz w:val="24"/>
          <w:szCs w:val="24"/>
        </w:rPr>
        <w:t xml:space="preserve">fecha </w:t>
      </w:r>
      <w:r w:rsidR="0072432C" w:rsidRPr="00043101">
        <w:rPr>
          <w:rFonts w:ascii="Palatino Linotype" w:hAnsi="Palatino Linotype" w:cs="Arial"/>
          <w:sz w:val="24"/>
          <w:szCs w:val="24"/>
        </w:rPr>
        <w:t xml:space="preserve">dieciocho </w:t>
      </w:r>
      <w:r w:rsidR="00AA58A2" w:rsidRPr="00043101">
        <w:rPr>
          <w:rFonts w:ascii="Palatino Linotype" w:hAnsi="Palatino Linotype" w:cs="Arial"/>
          <w:sz w:val="24"/>
          <w:szCs w:val="24"/>
        </w:rPr>
        <w:t>de junio</w:t>
      </w:r>
      <w:r w:rsidRPr="00043101">
        <w:rPr>
          <w:rFonts w:ascii="Palatino Linotype" w:hAnsi="Palatino Linotype" w:cs="Arial"/>
          <w:sz w:val="24"/>
          <w:szCs w:val="24"/>
        </w:rPr>
        <w:t xml:space="preserve"> de los corrientes, se amplió plazo para dictar resolución, en términos del artículo 181 de</w:t>
      </w:r>
      <w:r>
        <w:rPr>
          <w:rFonts w:ascii="Palatino Linotype" w:hAnsi="Palatino Linotype" w:cs="Arial"/>
          <w:sz w:val="24"/>
          <w:szCs w:val="24"/>
        </w:rPr>
        <w:t xml:space="preserve"> la Ley de Transparencia y Acceso a la Información del Estado de México y Municipios.</w:t>
      </w:r>
    </w:p>
    <w:p w14:paraId="08BD21FB" w14:textId="77777777" w:rsidR="00AA58A2" w:rsidRDefault="00AA58A2" w:rsidP="00844569">
      <w:pPr>
        <w:spacing w:before="240" w:line="360" w:lineRule="auto"/>
        <w:jc w:val="center"/>
        <w:rPr>
          <w:rFonts w:ascii="Palatino Linotype" w:hAnsi="Palatino Linotype" w:cs="Arial"/>
          <w:b/>
          <w:sz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1F916E2D" w14:textId="6B5AB203"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xml:space="preserve">, es competente para conocer y resolver </w:t>
      </w:r>
      <w:r w:rsidR="004176C6">
        <w:rPr>
          <w:rFonts w:ascii="Palatino Linotype" w:hAnsi="Palatino Linotype" w:cs="Arial"/>
          <w:sz w:val="24"/>
        </w:rPr>
        <w:t>el</w:t>
      </w:r>
      <w:r w:rsidRPr="00FA55A4">
        <w:rPr>
          <w:rFonts w:ascii="Palatino Linotype" w:hAnsi="Palatino Linotype" w:cs="Arial"/>
          <w:sz w:val="24"/>
        </w:rPr>
        <w:t xml:space="preserve"> presente recurso de revisión interpuesto por</w:t>
      </w:r>
      <w:r>
        <w:rPr>
          <w:rFonts w:ascii="Palatino Linotype" w:hAnsi="Palatino Linotype" w:cs="Arial"/>
          <w:sz w:val="24"/>
        </w:rPr>
        <w:t xml:space="preserve"> </w:t>
      </w:r>
      <w:r w:rsidR="0072432C">
        <w:rPr>
          <w:rFonts w:ascii="Palatino Linotype" w:hAnsi="Palatino Linotype" w:cs="Arial"/>
          <w:b/>
          <w:sz w:val="24"/>
        </w:rPr>
        <w:t>El</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293C82E0" w14:textId="77777777" w:rsidR="00335D14" w:rsidRDefault="00335D14" w:rsidP="00844569">
      <w:pPr>
        <w:spacing w:before="240" w:line="360" w:lineRule="auto"/>
        <w:jc w:val="both"/>
        <w:rPr>
          <w:rFonts w:ascii="Palatino Linotype" w:hAnsi="Palatino Linotype" w:cs="Arial"/>
          <w:sz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2FE33EB"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11FBCFD" w14:textId="77777777" w:rsidR="00460A79" w:rsidRDefault="00460A79" w:rsidP="00460A79">
      <w:pPr>
        <w:pStyle w:val="Prrafodelista"/>
        <w:autoSpaceDE w:val="0"/>
        <w:autoSpaceDN w:val="0"/>
        <w:adjustRightInd w:val="0"/>
        <w:spacing w:before="240" w:after="160" w:line="360" w:lineRule="auto"/>
        <w:ind w:left="0"/>
        <w:jc w:val="both"/>
        <w:rPr>
          <w:rFonts w:ascii="Palatino Linotype" w:hAnsi="Palatino Linotype" w:cs="Arial"/>
          <w:b/>
        </w:rPr>
      </w:pPr>
      <w:r w:rsidRPr="009510B5">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09A20078"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6F8A4CE"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p>
    <w:p w14:paraId="2BD748EE" w14:textId="77777777" w:rsidR="00460A79" w:rsidRDefault="00460A79" w:rsidP="00460A7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xml:space="preserve">; presupuestos procesales de inicio o trámite de un proceso que dotan de seguridad jurídica la resolución emitida por este organismo colegiado, máxime que se trata de una figura procesal adoptada </w:t>
      </w:r>
      <w:r>
        <w:rPr>
          <w:rFonts w:ascii="Palatino Linotype" w:hAnsi="Palatino Linotype" w:cs="Arial"/>
        </w:rPr>
        <w:lastRenderedPageBreak/>
        <w:t xml:space="preserve">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7D15A0FB" w14:textId="77777777" w:rsidR="00460A79" w:rsidRDefault="00460A79" w:rsidP="00460A79">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 xml:space="preserve">de notoria importancia el trabajo de interpretación que </w:t>
      </w:r>
      <w:r w:rsidRPr="00552846">
        <w:rPr>
          <w:rFonts w:ascii="Palatino Linotype" w:hAnsi="Palatino Linotype" w:cs="Arial"/>
          <w:sz w:val="24"/>
          <w:szCs w:val="24"/>
        </w:rPr>
        <w:lastRenderedPageBreak/>
        <w:t>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41CDCB2C" w14:textId="4E23B2D5" w:rsidR="00460A79" w:rsidRDefault="00460A79" w:rsidP="00460A79">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sidR="0072432C">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5A3DD055" w14:textId="2FAE5EDA" w:rsidR="0072432C" w:rsidRDefault="0072432C" w:rsidP="0072432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Pr>
          <w:rFonts w:ascii="Palatino Linotype" w:hAnsi="Palatino Linotype"/>
          <w:sz w:val="24"/>
          <w:szCs w:val="24"/>
        </w:rPr>
        <w:t>los cuales de manera objetiva versan específicamente en conocer la siguiente información:</w:t>
      </w:r>
    </w:p>
    <w:p w14:paraId="4F79AEB5" w14:textId="213F1981" w:rsidR="0072432C" w:rsidRDefault="0072432C" w:rsidP="0072432C">
      <w:pPr>
        <w:pStyle w:val="Prrafodelista"/>
        <w:numPr>
          <w:ilvl w:val="0"/>
          <w:numId w:val="41"/>
        </w:numPr>
        <w:tabs>
          <w:tab w:val="left" w:pos="709"/>
        </w:tabs>
        <w:spacing w:before="240" w:line="360" w:lineRule="auto"/>
        <w:ind w:right="51"/>
        <w:jc w:val="both"/>
        <w:rPr>
          <w:rFonts w:ascii="Palatino Linotype" w:hAnsi="Palatino Linotype"/>
        </w:rPr>
      </w:pPr>
      <w:r>
        <w:rPr>
          <w:rFonts w:ascii="Palatino Linotype" w:hAnsi="Palatino Linotype"/>
        </w:rPr>
        <w:t>Inventario de equipo de cómputo que la administración municipal 2019-2021 recibió de la administración municipal 2016-2018.</w:t>
      </w:r>
    </w:p>
    <w:p w14:paraId="0CC22177" w14:textId="79116373" w:rsidR="0072432C" w:rsidRPr="0072432C" w:rsidRDefault="0072432C" w:rsidP="0072432C">
      <w:pPr>
        <w:pStyle w:val="Prrafodelista"/>
        <w:numPr>
          <w:ilvl w:val="0"/>
          <w:numId w:val="41"/>
        </w:numPr>
        <w:tabs>
          <w:tab w:val="left" w:pos="709"/>
        </w:tabs>
        <w:spacing w:before="240" w:line="360" w:lineRule="auto"/>
        <w:ind w:right="51"/>
        <w:jc w:val="both"/>
        <w:rPr>
          <w:rFonts w:ascii="Palatino Linotype" w:hAnsi="Palatino Linotype"/>
        </w:rPr>
      </w:pPr>
      <w:r>
        <w:rPr>
          <w:rFonts w:ascii="Palatino Linotype" w:hAnsi="Palatino Linotype"/>
        </w:rPr>
        <w:t xml:space="preserve">El o los expedientes formados con motivo de licitaciones públicas, invitaciones restringidas o adjudicaciones directas para la adquisición o arrendamiento de equipo de cómputo, durante el periodo comprendido del uno de enero al doce de marzo de dos mil diecinueve </w:t>
      </w:r>
      <w:r w:rsidR="009E32A3">
        <w:rPr>
          <w:rFonts w:ascii="Palatino Linotype" w:hAnsi="Palatino Linotype"/>
        </w:rPr>
        <w:t xml:space="preserve">(ésta última al corresponder a la fecha en que se ejerció el derecho de acceso a la información pública). </w:t>
      </w:r>
    </w:p>
    <w:p w14:paraId="73D2C094" w14:textId="7732F4B5" w:rsidR="0072432C" w:rsidRDefault="0072432C" w:rsidP="0072432C">
      <w:pPr>
        <w:tabs>
          <w:tab w:val="left" w:pos="709"/>
        </w:tabs>
        <w:spacing w:before="240" w:line="360" w:lineRule="auto"/>
        <w:ind w:right="51"/>
        <w:jc w:val="both"/>
        <w:rPr>
          <w:rFonts w:ascii="Palatino Linotype" w:hAnsi="Palatino Linotype"/>
          <w:sz w:val="24"/>
          <w:szCs w:val="24"/>
        </w:rPr>
      </w:pPr>
    </w:p>
    <w:p w14:paraId="22790DE4" w14:textId="2F12A0D6" w:rsidR="0072432C" w:rsidRDefault="004261E4" w:rsidP="007216DB">
      <w:pPr>
        <w:pStyle w:val="Sinespaciado"/>
        <w:spacing w:line="360" w:lineRule="auto"/>
        <w:jc w:val="both"/>
        <w:rPr>
          <w:rFonts w:ascii="Palatino Linotype" w:hAnsi="Palatino Linotype"/>
        </w:rPr>
      </w:pPr>
      <w:r>
        <w:rPr>
          <w:rFonts w:ascii="Palatino Linotype" w:hAnsi="Palatino Linotype"/>
        </w:rPr>
        <w:t xml:space="preserve">Bajo estas líneas argumentativas, como se mencionó en el antecedente segundo, en fecha </w:t>
      </w:r>
      <w:r w:rsidR="0072432C">
        <w:rPr>
          <w:rFonts w:ascii="Palatino Linotype" w:hAnsi="Palatino Linotype"/>
        </w:rPr>
        <w:t xml:space="preserve">dos de abril de los corrientes, </w:t>
      </w:r>
      <w:r w:rsidR="0072432C">
        <w:rPr>
          <w:rFonts w:ascii="Palatino Linotype" w:hAnsi="Palatino Linotype"/>
          <w:b/>
          <w:bCs/>
        </w:rPr>
        <w:t xml:space="preserve">El Sujeto Obligado </w:t>
      </w:r>
      <w:r w:rsidR="00D20916">
        <w:rPr>
          <w:rFonts w:ascii="Palatino Linotype" w:hAnsi="Palatino Linotype"/>
        </w:rPr>
        <w:t xml:space="preserve">rindió su respuesta a la solicitud de información formulada por </w:t>
      </w:r>
      <w:r w:rsidR="00D20916">
        <w:rPr>
          <w:rFonts w:ascii="Palatino Linotype" w:hAnsi="Palatino Linotype"/>
          <w:b/>
          <w:bCs/>
        </w:rPr>
        <w:t xml:space="preserve">El Recurrente, </w:t>
      </w:r>
      <w:r w:rsidR="00D20916">
        <w:rPr>
          <w:rFonts w:ascii="Palatino Linotype" w:hAnsi="Palatino Linotype"/>
        </w:rPr>
        <w:t>adjuntando lo siguiente:</w:t>
      </w:r>
    </w:p>
    <w:p w14:paraId="78B106EF" w14:textId="40C8B01B" w:rsidR="00D20916" w:rsidRDefault="00D20916" w:rsidP="00D20916">
      <w:pPr>
        <w:pStyle w:val="Sinespaciado"/>
        <w:numPr>
          <w:ilvl w:val="0"/>
          <w:numId w:val="42"/>
        </w:numPr>
        <w:spacing w:line="360" w:lineRule="auto"/>
        <w:jc w:val="both"/>
        <w:rPr>
          <w:rFonts w:ascii="Palatino Linotype" w:hAnsi="Palatino Linotype"/>
        </w:rPr>
      </w:pPr>
      <w:r>
        <w:rPr>
          <w:rFonts w:ascii="Palatino Linotype" w:hAnsi="Palatino Linotype"/>
          <w:b/>
          <w:bCs/>
        </w:rPr>
        <w:lastRenderedPageBreak/>
        <w:t xml:space="preserve">“OFICIO 0152.pdf”: </w:t>
      </w:r>
      <w:r>
        <w:rPr>
          <w:rFonts w:ascii="Palatino Linotype" w:hAnsi="Palatino Linotype"/>
        </w:rPr>
        <w:t xml:space="preserve">Oficio sin número, signado por el Coordinador de Administración y Finanzas del Instituto Municipal de Cultura Física y Deporte de Toluca, manifiesta que el inventario de equipo de cómputo recibido por la actual administración municipal es susceptible de ser consultado en su portal IPOMEX; específicamente en la </w:t>
      </w:r>
      <w:r w:rsidRPr="009E32A3">
        <w:rPr>
          <w:rFonts w:ascii="Palatino Linotype" w:hAnsi="Palatino Linotype"/>
          <w:b/>
          <w:bCs/>
        </w:rPr>
        <w:t xml:space="preserve">fracción XXXVIII </w:t>
      </w:r>
      <w:r w:rsidRPr="009E32A3">
        <w:rPr>
          <w:rFonts w:ascii="Palatino Linotype" w:hAnsi="Palatino Linotype"/>
          <w:b/>
          <w:bCs/>
          <w:i/>
          <w:iCs/>
        </w:rPr>
        <w:t>“Inventario de bienes muebles”.</w:t>
      </w:r>
      <w:r>
        <w:rPr>
          <w:rFonts w:ascii="Palatino Linotype" w:hAnsi="Palatino Linotype"/>
          <w:i/>
          <w:iCs/>
        </w:rPr>
        <w:t xml:space="preserve"> </w:t>
      </w:r>
      <w:r>
        <w:rPr>
          <w:rFonts w:ascii="Palatino Linotype" w:hAnsi="Palatino Linotype"/>
        </w:rPr>
        <w:t xml:space="preserve">Asimismo, precisa </w:t>
      </w:r>
      <w:r w:rsidR="0089612B">
        <w:rPr>
          <w:rFonts w:ascii="Palatino Linotype" w:hAnsi="Palatino Linotype"/>
        </w:rPr>
        <w:t>que,</w:t>
      </w:r>
      <w:r>
        <w:rPr>
          <w:rFonts w:ascii="Palatino Linotype" w:hAnsi="Palatino Linotype"/>
        </w:rPr>
        <w:t xml:space="preserve"> al quince de marzo del presente, no se han celebrado contratos para comprar o arrendar equipos de cómputo.</w:t>
      </w:r>
    </w:p>
    <w:p w14:paraId="07B359D3" w14:textId="280AAAD0" w:rsidR="00D20916" w:rsidRDefault="00D20916" w:rsidP="00D20916">
      <w:pPr>
        <w:pStyle w:val="Sinespaciado"/>
        <w:numPr>
          <w:ilvl w:val="0"/>
          <w:numId w:val="42"/>
        </w:numPr>
        <w:spacing w:line="360" w:lineRule="auto"/>
        <w:jc w:val="both"/>
        <w:rPr>
          <w:rFonts w:ascii="Palatino Linotype" w:hAnsi="Palatino Linotype"/>
        </w:rPr>
      </w:pPr>
      <w:r>
        <w:rPr>
          <w:rFonts w:ascii="Palatino Linotype" w:hAnsi="Palatino Linotype"/>
          <w:b/>
          <w:bCs/>
        </w:rPr>
        <w:t>“</w:t>
      </w:r>
      <w:proofErr w:type="spellStart"/>
      <w:r>
        <w:rPr>
          <w:rFonts w:ascii="Palatino Linotype" w:hAnsi="Palatino Linotype"/>
          <w:b/>
          <w:bCs/>
        </w:rPr>
        <w:t>saimex</w:t>
      </w:r>
      <w:proofErr w:type="spellEnd"/>
      <w:r>
        <w:rPr>
          <w:rFonts w:ascii="Palatino Linotype" w:hAnsi="Palatino Linotype"/>
          <w:b/>
          <w:bCs/>
        </w:rPr>
        <w:t xml:space="preserve"> 152.</w:t>
      </w:r>
      <w:r w:rsidRPr="0089612B">
        <w:rPr>
          <w:rFonts w:ascii="Palatino Linotype" w:hAnsi="Palatino Linotype"/>
          <w:b/>
          <w:bCs/>
        </w:rPr>
        <w:t xml:space="preserve">pdf”: </w:t>
      </w:r>
      <w:r w:rsidR="0089612B">
        <w:rPr>
          <w:rFonts w:ascii="Palatino Linotype" w:hAnsi="Palatino Linotype"/>
        </w:rPr>
        <w:t xml:space="preserve">Oficio </w:t>
      </w:r>
      <w:r w:rsidR="0089612B">
        <w:rPr>
          <w:rFonts w:ascii="Palatino Linotype" w:hAnsi="Palatino Linotype"/>
          <w:b/>
          <w:bCs/>
        </w:rPr>
        <w:t xml:space="preserve">DGS/0509/2019 </w:t>
      </w:r>
      <w:r w:rsidR="0089612B">
        <w:rPr>
          <w:rFonts w:ascii="Palatino Linotype" w:hAnsi="Palatino Linotype"/>
        </w:rPr>
        <w:t xml:space="preserve">signado por el Director de Servicios Generales y dirigido al Servidor Público Habilitado de la Dirección General de Administración, manifiesta remitir el inventario de equipo de </w:t>
      </w:r>
      <w:r w:rsidR="006241FA">
        <w:rPr>
          <w:rFonts w:ascii="Palatino Linotype" w:hAnsi="Palatino Linotype"/>
        </w:rPr>
        <w:t>cómputo</w:t>
      </w:r>
      <w:r w:rsidR="0089612B">
        <w:rPr>
          <w:rFonts w:ascii="Palatino Linotype" w:hAnsi="Palatino Linotype"/>
        </w:rPr>
        <w:t xml:space="preserve"> recibido por la administración 2019-2021; de fecha veinte de marzo de dos mil diecinueve. </w:t>
      </w:r>
    </w:p>
    <w:p w14:paraId="2207A1D6" w14:textId="73FDEB10" w:rsidR="0089612B" w:rsidRPr="00D20916" w:rsidRDefault="0089612B" w:rsidP="00D20916">
      <w:pPr>
        <w:pStyle w:val="Sinespaciado"/>
        <w:numPr>
          <w:ilvl w:val="0"/>
          <w:numId w:val="42"/>
        </w:numPr>
        <w:spacing w:line="360" w:lineRule="auto"/>
        <w:jc w:val="both"/>
        <w:rPr>
          <w:rFonts w:ascii="Palatino Linotype" w:hAnsi="Palatino Linotype"/>
        </w:rPr>
      </w:pPr>
      <w:r>
        <w:rPr>
          <w:rFonts w:ascii="Palatino Linotype" w:hAnsi="Palatino Linotype"/>
          <w:b/>
          <w:bCs/>
        </w:rPr>
        <w:t xml:space="preserve">“EQUIPO COMPUTO 2016-2018.pdf”: </w:t>
      </w:r>
      <w:r>
        <w:rPr>
          <w:rFonts w:ascii="Palatino Linotype" w:hAnsi="Palatino Linotype"/>
        </w:rPr>
        <w:t xml:space="preserve">Inventario de equipo de cómputo correspondiente a la administración 2016-2018, refleja diversos datos tales como número de inventario, descripción del bien, número de empleado, resguardatario, dirección y área; consistente en cincuenta fojas. </w:t>
      </w:r>
    </w:p>
    <w:p w14:paraId="155DBE7D" w14:textId="77777777" w:rsidR="0072432C" w:rsidRDefault="0072432C" w:rsidP="007216DB">
      <w:pPr>
        <w:pStyle w:val="Sinespaciado"/>
        <w:spacing w:line="360" w:lineRule="auto"/>
        <w:jc w:val="both"/>
        <w:rPr>
          <w:rFonts w:ascii="Palatino Linotype" w:hAnsi="Palatino Linotype"/>
        </w:rPr>
      </w:pPr>
    </w:p>
    <w:p w14:paraId="61770FFA" w14:textId="77777777" w:rsidR="0072432C" w:rsidRDefault="0072432C" w:rsidP="007216DB">
      <w:pPr>
        <w:pStyle w:val="Sinespaciado"/>
        <w:spacing w:line="360" w:lineRule="auto"/>
        <w:jc w:val="both"/>
        <w:rPr>
          <w:rFonts w:ascii="Palatino Linotype" w:hAnsi="Palatino Linotype"/>
        </w:rPr>
      </w:pPr>
    </w:p>
    <w:p w14:paraId="411BA639" w14:textId="30E1D935" w:rsidR="00ED1113" w:rsidRDefault="0089612B" w:rsidP="007216DB">
      <w:pPr>
        <w:pStyle w:val="Sinespaciado"/>
        <w:spacing w:line="360" w:lineRule="auto"/>
        <w:jc w:val="both"/>
        <w:rPr>
          <w:rFonts w:ascii="Palatino Linotype" w:hAnsi="Palatino Linotype"/>
        </w:rPr>
      </w:pPr>
      <w:r>
        <w:rPr>
          <w:rFonts w:ascii="Palatino Linotype" w:hAnsi="Palatino Linotype"/>
        </w:rPr>
        <w:t xml:space="preserve">En este tenor, en alusión al </w:t>
      </w:r>
      <w:r w:rsidR="002E754A">
        <w:rPr>
          <w:rFonts w:ascii="Palatino Linotype" w:hAnsi="Palatino Linotype"/>
        </w:rPr>
        <w:t xml:space="preserve">soporte documental identificado con el inciso </w:t>
      </w:r>
      <w:r w:rsidR="002E754A">
        <w:rPr>
          <w:rFonts w:ascii="Palatino Linotype" w:hAnsi="Palatino Linotype"/>
          <w:b/>
          <w:bCs/>
        </w:rPr>
        <w:t xml:space="preserve">c), </w:t>
      </w:r>
      <w:r w:rsidR="002E754A">
        <w:rPr>
          <w:rFonts w:ascii="Palatino Linotype" w:hAnsi="Palatino Linotype"/>
        </w:rPr>
        <w:t xml:space="preserve">vale la pena mencionar que contiene los elementos necesarios para colmar el requerimiento identificado con el numeral </w:t>
      </w:r>
      <w:r w:rsidR="00211D36">
        <w:rPr>
          <w:rFonts w:ascii="Palatino Linotype" w:hAnsi="Palatino Linotype"/>
          <w:b/>
          <w:bCs/>
        </w:rPr>
        <w:t>1</w:t>
      </w:r>
      <w:r w:rsidR="002E754A">
        <w:rPr>
          <w:rFonts w:ascii="Palatino Linotype" w:hAnsi="Palatino Linotype"/>
          <w:b/>
          <w:bCs/>
        </w:rPr>
        <w:t xml:space="preserve">). </w:t>
      </w:r>
      <w:r w:rsidR="009E32A3">
        <w:rPr>
          <w:rFonts w:ascii="Palatino Linotype" w:hAnsi="Palatino Linotype"/>
        </w:rPr>
        <w:t>No obstante</w:t>
      </w:r>
      <w:r w:rsidR="002E754A">
        <w:rPr>
          <w:rFonts w:ascii="Palatino Linotype" w:hAnsi="Palatino Linotype"/>
        </w:rPr>
        <w:t xml:space="preserve"> lo anterior, no resulta desapercibido para este Órgano </w:t>
      </w:r>
      <w:proofErr w:type="spellStart"/>
      <w:r w:rsidR="002E754A">
        <w:rPr>
          <w:rFonts w:ascii="Palatino Linotype" w:hAnsi="Palatino Linotype"/>
        </w:rPr>
        <w:t>Resolutor</w:t>
      </w:r>
      <w:proofErr w:type="spellEnd"/>
      <w:r w:rsidR="002E754A">
        <w:rPr>
          <w:rFonts w:ascii="Palatino Linotype" w:hAnsi="Palatino Linotype"/>
        </w:rPr>
        <w:t xml:space="preserve"> </w:t>
      </w:r>
      <w:r w:rsidR="00ED1113">
        <w:rPr>
          <w:rFonts w:ascii="Palatino Linotype" w:hAnsi="Palatino Linotype"/>
        </w:rPr>
        <w:t xml:space="preserve">que </w:t>
      </w:r>
      <w:r w:rsidR="00ED1113">
        <w:rPr>
          <w:rFonts w:ascii="Palatino Linotype" w:hAnsi="Palatino Linotype"/>
          <w:b/>
          <w:bCs/>
        </w:rPr>
        <w:t xml:space="preserve">El Sujeto Obligado </w:t>
      </w:r>
      <w:r w:rsidR="00ED1113">
        <w:rPr>
          <w:rFonts w:ascii="Palatino Linotype" w:hAnsi="Palatino Linotype"/>
        </w:rPr>
        <w:t xml:space="preserve">fue omiso en </w:t>
      </w:r>
      <w:r w:rsidR="002E754A">
        <w:rPr>
          <w:rFonts w:ascii="Palatino Linotype" w:hAnsi="Palatino Linotype"/>
        </w:rPr>
        <w:t xml:space="preserve">proteger </w:t>
      </w:r>
      <w:r w:rsidR="00ED1113">
        <w:rPr>
          <w:rFonts w:ascii="Palatino Linotype" w:hAnsi="Palatino Linotype"/>
        </w:rPr>
        <w:t xml:space="preserve"> el nombre de los servidores públicos cuyas funciones se encuentran encauzadas a la prevención </w:t>
      </w:r>
      <w:r w:rsidR="002E754A">
        <w:rPr>
          <w:rFonts w:ascii="Palatino Linotype" w:hAnsi="Palatino Linotype"/>
        </w:rPr>
        <w:t>y persecución de delitos</w:t>
      </w:r>
      <w:r w:rsidR="00ED1113">
        <w:rPr>
          <w:rFonts w:ascii="Palatino Linotype" w:hAnsi="Palatino Linotype"/>
        </w:rPr>
        <w:t xml:space="preserve">, es decir, </w:t>
      </w:r>
      <w:r w:rsidR="002E754A">
        <w:rPr>
          <w:rFonts w:ascii="Palatino Linotype" w:hAnsi="Palatino Linotype"/>
        </w:rPr>
        <w:t xml:space="preserve">de </w:t>
      </w:r>
      <w:r w:rsidR="00ED1113">
        <w:rPr>
          <w:rFonts w:ascii="Palatino Linotype" w:hAnsi="Palatino Linotype"/>
        </w:rPr>
        <w:t xml:space="preserve">aquellos servidores públicos adscritos a la </w:t>
      </w:r>
      <w:r w:rsidR="00ED1113">
        <w:rPr>
          <w:rFonts w:ascii="Palatino Linotype" w:hAnsi="Palatino Linotype"/>
        </w:rPr>
        <w:lastRenderedPageBreak/>
        <w:t xml:space="preserve">Dirección de Seguridad Ciudadana. En este sentido, al colocarlos en una situación de vulnerabilidad se ordena dar vista al Titular de la Contraloría Interna y Órgano de Control y Vigilancia de este Instituto, de conformidad con los artículos 190 de la Ley de Transparencia y Acceso a la Información Pública del Estado de México y Municipios. </w:t>
      </w:r>
    </w:p>
    <w:p w14:paraId="1E5CC282" w14:textId="679EBA15" w:rsidR="00ED1113" w:rsidRDefault="00ED1113" w:rsidP="007216DB">
      <w:pPr>
        <w:pStyle w:val="Sinespaciado"/>
        <w:spacing w:line="360" w:lineRule="auto"/>
        <w:jc w:val="both"/>
        <w:rPr>
          <w:rFonts w:ascii="Palatino Linotype" w:hAnsi="Palatino Linotype"/>
        </w:rPr>
      </w:pPr>
    </w:p>
    <w:p w14:paraId="38A4192D" w14:textId="5836C592" w:rsidR="002E754A" w:rsidRDefault="00CA3D18" w:rsidP="00D1498A">
      <w:pPr>
        <w:pStyle w:val="Sinespaciado"/>
        <w:spacing w:line="360" w:lineRule="auto"/>
        <w:jc w:val="both"/>
        <w:rPr>
          <w:rFonts w:ascii="Palatino Linotype" w:hAnsi="Palatino Linotype"/>
        </w:rPr>
      </w:pPr>
      <w:r w:rsidRPr="00CA3D18">
        <w:rPr>
          <w:rFonts w:ascii="Palatino Linotype" w:hAnsi="Palatino Linotype"/>
        </w:rPr>
        <w:t xml:space="preserve">Inconforme con la respuesta del </w:t>
      </w:r>
      <w:r w:rsidR="00541165">
        <w:rPr>
          <w:rFonts w:ascii="Palatino Linotype" w:hAnsi="Palatino Linotype"/>
          <w:b/>
        </w:rPr>
        <w:t xml:space="preserve">Sujeto Obligado, </w:t>
      </w:r>
      <w:r w:rsidR="002E754A">
        <w:rPr>
          <w:rFonts w:ascii="Palatino Linotype" w:hAnsi="Palatino Linotype"/>
          <w:b/>
        </w:rPr>
        <w:t>El</w:t>
      </w:r>
      <w:r w:rsidRPr="00CA3D18">
        <w:rPr>
          <w:rFonts w:ascii="Palatino Linotype" w:hAnsi="Palatino Linotype"/>
          <w:b/>
        </w:rPr>
        <w:t xml:space="preserve"> Recurrente </w:t>
      </w:r>
      <w:r w:rsidRPr="00CA3D18">
        <w:rPr>
          <w:rFonts w:ascii="Palatino Linotype" w:hAnsi="Palatino Linotype"/>
        </w:rPr>
        <w:t xml:space="preserve">interpuso recurso de revisión en fecha </w:t>
      </w:r>
      <w:r w:rsidR="002E754A">
        <w:rPr>
          <w:rFonts w:ascii="Palatino Linotype" w:hAnsi="Palatino Linotype"/>
        </w:rPr>
        <w:t xml:space="preserve">veintinueve de abril, admitiéndose el siete de mayo, ambos del año en curso. Señalando como razones o motivos de inconformidad: </w:t>
      </w:r>
    </w:p>
    <w:p w14:paraId="517E29BD" w14:textId="77777777" w:rsidR="002E754A" w:rsidRPr="00DC73EC" w:rsidRDefault="002E754A" w:rsidP="002E754A">
      <w:pPr>
        <w:spacing w:before="240" w:line="360" w:lineRule="auto"/>
        <w:ind w:left="851" w:right="851"/>
        <w:jc w:val="both"/>
        <w:rPr>
          <w:rFonts w:ascii="Palatino Linotype" w:hAnsi="Palatino Linotype"/>
          <w:b/>
          <w:i/>
          <w:color w:val="000000"/>
          <w:u w:val="single"/>
        </w:rPr>
      </w:pPr>
      <w:r w:rsidRPr="00DC73EC">
        <w:rPr>
          <w:rFonts w:ascii="Palatino Linotype" w:hAnsi="Palatino Linotype"/>
          <w:i/>
          <w:color w:val="000000"/>
        </w:rPr>
        <w:t>“</w:t>
      </w:r>
      <w:r w:rsidRPr="00DC73EC">
        <w:rPr>
          <w:rFonts w:ascii="Palatino Linotype" w:hAnsi="Palatino Linotype"/>
          <w:i/>
        </w:rPr>
        <w:t>Se hacen valer en el documento anexo al presente</w:t>
      </w:r>
      <w:r w:rsidRPr="00DC73EC">
        <w:rPr>
          <w:rFonts w:ascii="Palatino Linotype" w:hAnsi="Palatino Linotype"/>
          <w:b/>
          <w:i/>
          <w:color w:val="000000"/>
          <w:u w:val="single"/>
        </w:rPr>
        <w:t xml:space="preserve"> </w:t>
      </w:r>
      <w:r w:rsidRPr="00DC73EC">
        <w:rPr>
          <w:rFonts w:ascii="Palatino Linotype" w:eastAsia="Times New Roman" w:hAnsi="Palatino Linotype" w:cs="Times New Roman"/>
          <w:b/>
          <w:i/>
          <w:lang w:val="es-ES_tradnl" w:eastAsia="es-ES"/>
        </w:rPr>
        <w:t>[Sic]</w:t>
      </w:r>
    </w:p>
    <w:p w14:paraId="21147058" w14:textId="701419BD" w:rsidR="002E754A" w:rsidRDefault="002E754A" w:rsidP="00D1498A">
      <w:pPr>
        <w:pStyle w:val="Sinespaciado"/>
        <w:spacing w:line="360" w:lineRule="auto"/>
        <w:jc w:val="both"/>
        <w:rPr>
          <w:rFonts w:ascii="Palatino Linotype" w:hAnsi="Palatino Linotype"/>
        </w:rPr>
      </w:pPr>
    </w:p>
    <w:p w14:paraId="4E2C5EF2" w14:textId="3F252F33" w:rsidR="002E754A" w:rsidRDefault="002E754A" w:rsidP="00D1498A">
      <w:pPr>
        <w:pStyle w:val="Sinespaciado"/>
        <w:spacing w:line="360" w:lineRule="auto"/>
        <w:jc w:val="both"/>
        <w:rPr>
          <w:rFonts w:ascii="Palatino Linotype" w:hAnsi="Palatino Linotype"/>
        </w:rPr>
      </w:pPr>
      <w:r>
        <w:rPr>
          <w:rFonts w:ascii="Palatino Linotype" w:hAnsi="Palatino Linotype"/>
        </w:rPr>
        <w:t xml:space="preserve">Al respecto, sirve de sustento la siguiente imagen ilustrativa: </w:t>
      </w:r>
    </w:p>
    <w:p w14:paraId="10909019" w14:textId="577ABF42" w:rsidR="002E754A" w:rsidRDefault="002E754A" w:rsidP="00D1498A">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34016" behindDoc="0" locked="0" layoutInCell="1" allowOverlap="1" wp14:anchorId="1B083B91" wp14:editId="5017870F">
                <wp:simplePos x="0" y="0"/>
                <wp:positionH relativeFrom="column">
                  <wp:posOffset>-441961</wp:posOffset>
                </wp:positionH>
                <wp:positionV relativeFrom="paragraph">
                  <wp:posOffset>110489</wp:posOffset>
                </wp:positionV>
                <wp:extent cx="6886575" cy="36099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6886575" cy="3609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1E691A" id="Conector recto 5"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4.8pt,8.7pt" to="507.45pt,29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rouAEAAMUDAAAOAAAAZHJzL2Uyb0RvYy54bWysU9uO0zAQfUfiHyy/06SLWrpR033oCl4Q&#10;VFw+wOuMG0u+aWya9O8ZO2kWARIC8WJn7Dln5hxP9g+jNewCGLV3LV+vas7ASd9pd2751y9vX+04&#10;i0m4ThjvoOVXiPzh8PLFfggN3Pnemw6QEYmLzRBa3qcUmqqKsgcr4soHcHSpPFqRKMRz1aEYiN2a&#10;6q6ut9XgsQvoJcRIp4/TJT8UfqVApo9KRUjMtJx6S2XFsj7ltTrsRXNGEXot5zbEP3RhhXZUdKF6&#10;FEmwb6h/obJaoo9epZX0tvJKaQlFA6lZ1z+p+dyLAEULmRPDYlP8f7Tyw+WETHct33DmhKUnOtJD&#10;yeSRYd7YJns0hNhQ6tGdcI5iOGEWPCq0eScpbCy+XhdfYUxM0uF2t9tu3lABSXevt/X9PQXEUz3D&#10;A8b0Drxl+aPlRrssXDTi8j6mKfWWQrjcztRA+UpXAznZuE+gSAyVXBd0GSM4GmQXQQMgpASX1nPp&#10;kp1hShuzAOs/A+f8DIUyYn8DXhClsndpAVvtPP6uehpvLasp/+bApDtb8OS7a3maYg3NSjF3nus8&#10;jD/GBf789x2+AwAA//8DAFBLAwQUAAYACAAAACEA8dySWOIAAAALAQAADwAAAGRycy9kb3ducmV2&#10;LnhtbEyPUWvCMBSF3wf+h3AHe9NU0Wq7piLCmBOGzA3cY2zu2rrmpiTR1n+/+DQfL+fjnO9my143&#10;7ILW1YYEjEcRMKTCqJpKAV+fL8MFMOclKdkYQgFXdLDMBw+ZTJXp6AMve1+yUEIulQIq79uUc1dU&#10;qKUbmRYpZD/GaunDaUuurOxCuW74JIpirmVNYaGSLa4rLH73Zy3g3W4269X2eqLdt+4Ok+1h99a/&#10;CvH02K+egXns/T8MN/2gDnlwOpozKccaAcM4iQMagvkU2A2IxtME2FHAbDFLgOcZv/8h/wMAAP//&#10;AwBQSwECLQAUAAYACAAAACEAtoM4kv4AAADhAQAAEwAAAAAAAAAAAAAAAAAAAAAAW0NvbnRlbnRf&#10;VHlwZXNdLnhtbFBLAQItABQABgAIAAAAIQA4/SH/1gAAAJQBAAALAAAAAAAAAAAAAAAAAC8BAABf&#10;cmVscy8ucmVsc1BLAQItABQABgAIAAAAIQDkxYrouAEAAMUDAAAOAAAAAAAAAAAAAAAAAC4CAABk&#10;cnMvZTJvRG9jLnhtbFBLAQItABQABgAIAAAAIQDx3JJY4gAAAAsBAAAPAAAAAAAAAAAAAAAAABIE&#10;AABkcnMvZG93bnJldi54bWxQSwUGAAAAAAQABADzAAAAIQUAAAAA&#10;" strokecolor="#5b9bd5 [3204]" strokeweight=".5pt">
                <v:stroke joinstyle="miter"/>
              </v:line>
            </w:pict>
          </mc:Fallback>
        </mc:AlternateContent>
      </w:r>
    </w:p>
    <w:p w14:paraId="0B1E0D8A" w14:textId="1AFA2EFE" w:rsidR="002E754A" w:rsidRDefault="002E754A" w:rsidP="00D1498A">
      <w:pPr>
        <w:pStyle w:val="Sinespaciado"/>
        <w:spacing w:line="360" w:lineRule="auto"/>
        <w:jc w:val="both"/>
        <w:rPr>
          <w:rFonts w:ascii="Palatino Linotype" w:hAnsi="Palatino Linotype"/>
        </w:rPr>
      </w:pPr>
    </w:p>
    <w:p w14:paraId="0AE9812C" w14:textId="3B0D1F9F" w:rsidR="002E754A" w:rsidRDefault="002E754A" w:rsidP="00D1498A">
      <w:pPr>
        <w:pStyle w:val="Sinespaciado"/>
        <w:spacing w:line="360" w:lineRule="auto"/>
        <w:jc w:val="both"/>
        <w:rPr>
          <w:rFonts w:ascii="Palatino Linotype" w:hAnsi="Palatino Linotype"/>
        </w:rPr>
      </w:pPr>
    </w:p>
    <w:p w14:paraId="0182D7CE" w14:textId="139DA06D" w:rsidR="002E754A" w:rsidRDefault="002E754A" w:rsidP="00D1498A">
      <w:pPr>
        <w:pStyle w:val="Sinespaciado"/>
        <w:spacing w:line="360" w:lineRule="auto"/>
        <w:jc w:val="both"/>
        <w:rPr>
          <w:rFonts w:ascii="Palatino Linotype" w:hAnsi="Palatino Linotype"/>
        </w:rPr>
      </w:pPr>
    </w:p>
    <w:p w14:paraId="21203DFB" w14:textId="6CF696FE" w:rsidR="002E754A" w:rsidRDefault="002E754A" w:rsidP="00D1498A">
      <w:pPr>
        <w:pStyle w:val="Sinespaciado"/>
        <w:spacing w:line="360" w:lineRule="auto"/>
        <w:jc w:val="both"/>
        <w:rPr>
          <w:rFonts w:ascii="Palatino Linotype" w:hAnsi="Palatino Linotype"/>
        </w:rPr>
      </w:pPr>
    </w:p>
    <w:p w14:paraId="4B0B776F" w14:textId="11F1C7CD" w:rsidR="002E754A" w:rsidRDefault="002E754A" w:rsidP="00D1498A">
      <w:pPr>
        <w:pStyle w:val="Sinespaciado"/>
        <w:spacing w:line="360" w:lineRule="auto"/>
        <w:jc w:val="both"/>
        <w:rPr>
          <w:rFonts w:ascii="Palatino Linotype" w:hAnsi="Palatino Linotype"/>
        </w:rPr>
      </w:pPr>
    </w:p>
    <w:p w14:paraId="038ABB39" w14:textId="7C3D3293" w:rsidR="002E754A" w:rsidRDefault="002E754A" w:rsidP="00D1498A">
      <w:pPr>
        <w:pStyle w:val="Sinespaciado"/>
        <w:spacing w:line="360" w:lineRule="auto"/>
        <w:jc w:val="both"/>
        <w:rPr>
          <w:rFonts w:ascii="Palatino Linotype" w:hAnsi="Palatino Linotype"/>
        </w:rPr>
      </w:pPr>
    </w:p>
    <w:p w14:paraId="52CA2C6F" w14:textId="3117820E" w:rsidR="002E754A" w:rsidRDefault="002E754A" w:rsidP="00D1498A">
      <w:pPr>
        <w:pStyle w:val="Sinespaciado"/>
        <w:spacing w:line="360" w:lineRule="auto"/>
        <w:jc w:val="both"/>
        <w:rPr>
          <w:rFonts w:ascii="Palatino Linotype" w:hAnsi="Palatino Linotype"/>
        </w:rPr>
      </w:pPr>
    </w:p>
    <w:p w14:paraId="6DE523DB" w14:textId="77777777" w:rsidR="002E754A" w:rsidRDefault="002E754A" w:rsidP="00D1498A">
      <w:pPr>
        <w:pStyle w:val="Sinespaciado"/>
        <w:spacing w:line="360" w:lineRule="auto"/>
        <w:jc w:val="both"/>
        <w:rPr>
          <w:rFonts w:ascii="Palatino Linotype" w:hAnsi="Palatino Linotype"/>
        </w:rPr>
      </w:pPr>
    </w:p>
    <w:p w14:paraId="6C2C9FFD" w14:textId="77777777" w:rsidR="002E754A" w:rsidRDefault="002E754A" w:rsidP="00D1498A">
      <w:pPr>
        <w:pStyle w:val="Sinespaciado"/>
        <w:spacing w:line="360" w:lineRule="auto"/>
        <w:jc w:val="both"/>
        <w:rPr>
          <w:rFonts w:ascii="Palatino Linotype" w:hAnsi="Palatino Linotype"/>
        </w:rPr>
      </w:pPr>
    </w:p>
    <w:p w14:paraId="26CD03CC" w14:textId="77777777" w:rsidR="002E754A" w:rsidRDefault="002E754A" w:rsidP="00D1498A">
      <w:pPr>
        <w:pStyle w:val="Sinespaciado"/>
        <w:spacing w:line="360" w:lineRule="auto"/>
        <w:jc w:val="both"/>
        <w:rPr>
          <w:rFonts w:ascii="Palatino Linotype" w:hAnsi="Palatino Linotype"/>
        </w:rPr>
      </w:pPr>
    </w:p>
    <w:p w14:paraId="7B0D35B0" w14:textId="38CC41AB" w:rsidR="002E754A" w:rsidRDefault="002E754A" w:rsidP="00D1498A">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35040" behindDoc="0" locked="0" layoutInCell="1" allowOverlap="1" wp14:anchorId="48CCDFED" wp14:editId="0F001BAF">
            <wp:simplePos x="0" y="0"/>
            <wp:positionH relativeFrom="margin">
              <wp:align>center</wp:align>
            </wp:positionH>
            <wp:positionV relativeFrom="paragraph">
              <wp:posOffset>50165</wp:posOffset>
            </wp:positionV>
            <wp:extent cx="6047922" cy="7411720"/>
            <wp:effectExtent l="19050" t="19050" r="10160" b="17780"/>
            <wp:wrapThrough wrapText="bothSides">
              <wp:wrapPolygon edited="0">
                <wp:start x="-68" y="-56"/>
                <wp:lineTo x="-68" y="21596"/>
                <wp:lineTo x="21568" y="21596"/>
                <wp:lineTo x="21568" y="-56"/>
                <wp:lineTo x="-68" y="-56"/>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922" cy="74117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7D242D4" w14:textId="4D5194FE" w:rsidR="002E754A" w:rsidRDefault="00211D36" w:rsidP="00D1498A">
      <w:pPr>
        <w:pStyle w:val="Sinespaciado"/>
        <w:spacing w:line="360" w:lineRule="auto"/>
        <w:jc w:val="both"/>
        <w:rPr>
          <w:rFonts w:ascii="Palatino Linotype" w:hAnsi="Palatino Linotype"/>
        </w:rPr>
      </w:pPr>
      <w:r>
        <w:rPr>
          <w:rFonts w:ascii="Palatino Linotype" w:hAnsi="Palatino Linotype"/>
        </w:rPr>
        <w:lastRenderedPageBreak/>
        <w:t xml:space="preserve">En razón de lo anterior, este Órgano </w:t>
      </w:r>
      <w:proofErr w:type="spellStart"/>
      <w:r>
        <w:rPr>
          <w:rFonts w:ascii="Palatino Linotype" w:hAnsi="Palatino Linotype"/>
        </w:rPr>
        <w:t>Resolutor</w:t>
      </w:r>
      <w:proofErr w:type="spellEnd"/>
      <w:r>
        <w:rPr>
          <w:rFonts w:ascii="Palatino Linotype" w:hAnsi="Palatino Linotype"/>
        </w:rPr>
        <w:t xml:space="preserve"> advierte que </w:t>
      </w:r>
      <w:r>
        <w:rPr>
          <w:rFonts w:ascii="Palatino Linotype" w:hAnsi="Palatino Linotype"/>
          <w:b/>
          <w:bCs/>
        </w:rPr>
        <w:t xml:space="preserve">El Recurrente </w:t>
      </w:r>
      <w:r>
        <w:rPr>
          <w:rFonts w:ascii="Palatino Linotype" w:hAnsi="Palatino Linotype"/>
        </w:rPr>
        <w:t>no manifestó inconformidad en relación</w:t>
      </w:r>
      <w:r w:rsidR="005439D7">
        <w:rPr>
          <w:rFonts w:ascii="Palatino Linotype" w:hAnsi="Palatino Linotype"/>
        </w:rPr>
        <w:t xml:space="preserve"> con la respuesta del </w:t>
      </w:r>
      <w:r w:rsidR="005439D7">
        <w:rPr>
          <w:rFonts w:ascii="Palatino Linotype" w:hAnsi="Palatino Linotype"/>
          <w:b/>
          <w:bCs/>
        </w:rPr>
        <w:t>Sujeto Obligado,</w:t>
      </w:r>
      <w:r>
        <w:rPr>
          <w:rFonts w:ascii="Palatino Linotype" w:hAnsi="Palatino Linotype"/>
        </w:rPr>
        <w:t xml:space="preserve"> en lo que respecta al requerimiento identificado con el numeral </w:t>
      </w:r>
      <w:r>
        <w:rPr>
          <w:rFonts w:ascii="Palatino Linotype" w:hAnsi="Palatino Linotype"/>
          <w:b/>
          <w:bCs/>
        </w:rPr>
        <w:t xml:space="preserve">1). </w:t>
      </w:r>
      <w:r>
        <w:rPr>
          <w:rFonts w:ascii="Palatino Linotype" w:hAnsi="Palatino Linotype"/>
        </w:rPr>
        <w:t>Por lo tanto, dicho aspecto se tiene por consentido tácitamente, sirven de sustento los siguientes criterios emitidos por el Poder Judicial de la Federación</w:t>
      </w:r>
    </w:p>
    <w:p w14:paraId="72B0B639" w14:textId="2A9E04AE" w:rsidR="00211D36"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w:t>
      </w:r>
      <w:r w:rsidR="00211D36" w:rsidRPr="007D4E69">
        <w:rPr>
          <w:rFonts w:ascii="Palatino Linotype" w:hAnsi="Palatino Linotype"/>
          <w:i/>
          <w:iCs/>
          <w:sz w:val="22"/>
          <w:szCs w:val="22"/>
        </w:rPr>
        <w:t>Registro No. 204707</w:t>
      </w:r>
    </w:p>
    <w:p w14:paraId="7A35AA58" w14:textId="094AEBE3"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Localización: Novena Época</w:t>
      </w:r>
    </w:p>
    <w:p w14:paraId="1A482687" w14:textId="36488493"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Instancia: Tribunales Colegiados de Circuito</w:t>
      </w:r>
    </w:p>
    <w:p w14:paraId="1712BA7F" w14:textId="177A8969"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Fuente: Semanario Judicial de la Federación y su Gaceta</w:t>
      </w:r>
    </w:p>
    <w:p w14:paraId="52F65237" w14:textId="4CC3AC99"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II, Agosto de 1995</w:t>
      </w:r>
    </w:p>
    <w:p w14:paraId="09C13F3B" w14:textId="1A6153F0"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Página: 291</w:t>
      </w:r>
    </w:p>
    <w:p w14:paraId="22DDE3CC" w14:textId="177057A2"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Tesis: VI.2o. J/21</w:t>
      </w:r>
    </w:p>
    <w:p w14:paraId="4BDE98A0" w14:textId="5188F8A5" w:rsidR="007D4E69" w:rsidRPr="007D4E69" w:rsidRDefault="007D4E69" w:rsidP="007D4E69">
      <w:pPr>
        <w:pStyle w:val="Sinespaciado"/>
        <w:spacing w:before="240" w:after="160" w:line="360" w:lineRule="auto"/>
        <w:ind w:left="851" w:right="851"/>
        <w:jc w:val="both"/>
        <w:rPr>
          <w:rFonts w:ascii="Palatino Linotype" w:hAnsi="Palatino Linotype"/>
          <w:i/>
          <w:iCs/>
          <w:sz w:val="22"/>
          <w:szCs w:val="22"/>
        </w:rPr>
      </w:pPr>
      <w:r w:rsidRPr="007D4E69">
        <w:rPr>
          <w:rFonts w:ascii="Palatino Linotype" w:hAnsi="Palatino Linotype"/>
          <w:i/>
          <w:iCs/>
          <w:sz w:val="22"/>
          <w:szCs w:val="22"/>
        </w:rPr>
        <w:t>Jurisprudencia: Materia (s): Común</w:t>
      </w:r>
    </w:p>
    <w:p w14:paraId="7C04C161" w14:textId="77777777" w:rsidR="007D4E69" w:rsidRPr="007D4E69" w:rsidRDefault="007D4E69" w:rsidP="007D4E69">
      <w:pPr>
        <w:spacing w:before="240" w:line="360" w:lineRule="auto"/>
        <w:ind w:left="851" w:right="851"/>
        <w:rPr>
          <w:rFonts w:ascii="Palatino Linotype" w:eastAsia="Times New Roman" w:hAnsi="Palatino Linotype" w:cs="Times New Roman"/>
          <w:b/>
          <w:bCs/>
          <w:i/>
          <w:iCs/>
          <w:lang w:eastAsia="es-MX"/>
        </w:rPr>
      </w:pPr>
      <w:r w:rsidRPr="007D4E69">
        <w:rPr>
          <w:rFonts w:ascii="Palatino Linotype" w:eastAsia="Times New Roman" w:hAnsi="Palatino Linotype" w:cs="Times New Roman"/>
          <w:b/>
          <w:bCs/>
          <w:i/>
          <w:iCs/>
          <w:lang w:eastAsia="es-MX"/>
        </w:rPr>
        <w:t>ACTOS CONSENTIDOS TACITAMENTE.</w:t>
      </w:r>
    </w:p>
    <w:p w14:paraId="460CCF7E" w14:textId="31167CC3"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r w:rsidRPr="007D4E69">
        <w:rPr>
          <w:rFonts w:ascii="Palatino Linotype" w:eastAsia="Times New Roman" w:hAnsi="Palatino Linotype" w:cs="Times New Roman"/>
          <w:i/>
          <w:iCs/>
          <w:lang w:eastAsia="es-MX"/>
        </w:rPr>
        <w:t>Se presumen así, para los efectos del amparo, los actos del orden civil y administrativo, que no hubieren sido reclamados en esa vía dentro de los plazos que la ley señala.</w:t>
      </w:r>
    </w:p>
    <w:p w14:paraId="46BD06C7" w14:textId="28731D5C"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SEGUNDO TRIBUNAL COLEGIADO DEL SEXTO CIRCUITO</w:t>
      </w:r>
    </w:p>
    <w:p w14:paraId="633A2930" w14:textId="494AFD50"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p>
    <w:p w14:paraId="5CE4CEF6" w14:textId="6A422043"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lastRenderedPageBreak/>
        <w:t>Registro No. 219095</w:t>
      </w:r>
    </w:p>
    <w:p w14:paraId="05DC8A7A" w14:textId="347B8370"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Tesis aislada</w:t>
      </w:r>
    </w:p>
    <w:p w14:paraId="016E3509" w14:textId="52E9E2AF"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 xml:space="preserve">Materia (s): </w:t>
      </w:r>
      <w:r w:rsidR="00941238">
        <w:rPr>
          <w:rFonts w:ascii="Palatino Linotype" w:eastAsia="Times New Roman" w:hAnsi="Palatino Linotype" w:cs="Times New Roman"/>
          <w:i/>
          <w:iCs/>
          <w:lang w:eastAsia="es-MX"/>
        </w:rPr>
        <w:t>Común</w:t>
      </w:r>
    </w:p>
    <w:p w14:paraId="71AA270B" w14:textId="6D741518" w:rsidR="00941238" w:rsidRDefault="00941238"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Octava Época</w:t>
      </w:r>
    </w:p>
    <w:p w14:paraId="195A31D5" w14:textId="230DDE68" w:rsidR="00941238" w:rsidRDefault="00941238"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Instancia: Tribunales Colegiados de Circuito</w:t>
      </w:r>
    </w:p>
    <w:p w14:paraId="661A0595" w14:textId="03D97815" w:rsidR="00941238" w:rsidRDefault="00941238"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Fuente: Semanario Judicial de la Federación</w:t>
      </w:r>
    </w:p>
    <w:p w14:paraId="48E07035" w14:textId="7D3786FD" w:rsidR="00941238" w:rsidRDefault="00941238" w:rsidP="007D4E69">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IX, Junio de 2012</w:t>
      </w:r>
    </w:p>
    <w:p w14:paraId="1385D220" w14:textId="738EEE67" w:rsidR="00941238" w:rsidRDefault="00941238" w:rsidP="00941238">
      <w:pPr>
        <w:spacing w:before="240" w:line="360" w:lineRule="auto"/>
        <w:ind w:left="851" w:right="851"/>
        <w:jc w:val="both"/>
        <w:rPr>
          <w:rFonts w:ascii="Palatino Linotype" w:eastAsia="Times New Roman" w:hAnsi="Palatino Linotype" w:cs="Times New Roman"/>
          <w:i/>
          <w:iCs/>
          <w:lang w:eastAsia="es-MX"/>
        </w:rPr>
      </w:pPr>
      <w:r>
        <w:rPr>
          <w:rFonts w:ascii="Palatino Linotype" w:eastAsia="Times New Roman" w:hAnsi="Palatino Linotype" w:cs="Times New Roman"/>
          <w:i/>
          <w:iCs/>
          <w:lang w:eastAsia="es-MX"/>
        </w:rPr>
        <w:t xml:space="preserve">Tesis: </w:t>
      </w:r>
    </w:p>
    <w:p w14:paraId="12A9AD64" w14:textId="77777777" w:rsidR="00941238" w:rsidRPr="00941238" w:rsidRDefault="00941238" w:rsidP="00941238">
      <w:pPr>
        <w:spacing w:before="240" w:line="360" w:lineRule="auto"/>
        <w:ind w:left="851" w:right="851"/>
        <w:jc w:val="both"/>
        <w:rPr>
          <w:rFonts w:ascii="Palatino Linotype" w:eastAsia="Times New Roman" w:hAnsi="Palatino Linotype" w:cs="Times New Roman"/>
          <w:b/>
          <w:bCs/>
          <w:i/>
          <w:iCs/>
          <w:lang w:eastAsia="es-MX"/>
        </w:rPr>
      </w:pPr>
      <w:r w:rsidRPr="00941238">
        <w:rPr>
          <w:rFonts w:ascii="Palatino Linotype" w:eastAsia="Times New Roman" w:hAnsi="Palatino Linotype" w:cs="Times New Roman"/>
          <w:b/>
          <w:bCs/>
          <w:i/>
          <w:iCs/>
          <w:lang w:eastAsia="es-MX"/>
        </w:rPr>
        <w:t>CONSENTIMIENTO TACITO DEL ACTO RECLAMADO EN AMPARO. ELEMENTOS PARA PRESUMIRLO.</w:t>
      </w:r>
    </w:p>
    <w:p w14:paraId="31D19D18" w14:textId="77777777" w:rsidR="00941238" w:rsidRDefault="00941238" w:rsidP="00941238">
      <w:pPr>
        <w:spacing w:before="240" w:line="360" w:lineRule="auto"/>
        <w:ind w:left="851" w:right="851"/>
        <w:jc w:val="both"/>
        <w:rPr>
          <w:rFonts w:ascii="Palatino Linotype" w:eastAsia="Times New Roman" w:hAnsi="Palatino Linotype" w:cs="Times New Roman"/>
          <w:i/>
          <w:iCs/>
          <w:lang w:eastAsia="es-MX"/>
        </w:rPr>
      </w:pPr>
      <w:r w:rsidRPr="00941238">
        <w:rPr>
          <w:rFonts w:ascii="Palatino Linotype" w:eastAsia="Times New Roman" w:hAnsi="Palatino Linotype" w:cs="Times New Roman"/>
          <w:i/>
          <w:iCs/>
          <w:lang w:eastAsia="es-MX"/>
        </w:rPr>
        <w:t xml:space="preserve">Atento a lo dispuesto en el artículo 73, fracción XII, de la Ley de Amparo, el juicio constitucional es improcedente contra actos consentidos tácitamente, reputando como tales los no reclamados dentro de los plazos establecidos en los artículos 21, 22 y 218 de ese ordenamiento, excepto en los casos consignados expresamente en materia de amparo contra leyes. Esta norma jurídica tiene su explicación y su fundamento racional en esta presunción humana: cuando una persona sufre una afectación con un acto de autoridad y tiene la posibilidad legal de impugnar ese acto en el juicio de amparo dentro de un plazo perentorio determinado, y no obstante deja pasar el término sin presentar la demanda, esta conducta en tales circunstancias revela conformidad con el acto. En el ámbito y para los efectos del amparo, el razonamiento contiene los hechos conocidos siguientes: a) Un acto de autoridad; b) Una persona </w:t>
      </w:r>
      <w:r w:rsidRPr="00941238">
        <w:rPr>
          <w:rFonts w:ascii="Palatino Linotype" w:eastAsia="Times New Roman" w:hAnsi="Palatino Linotype" w:cs="Times New Roman"/>
          <w:i/>
          <w:iCs/>
          <w:lang w:eastAsia="es-MX"/>
        </w:rPr>
        <w:lastRenderedPageBreak/>
        <w:t>afectada por tal acto; c) La posibilidad legal para dicha persona de promover el juicio de amparo contra el acto en mención; d) El establecimiento en la ley de un plazo perentorio para el ejercicio de la acción; y e) El transcurso de ese lapso sin haberse presentado la demanda. Todos estos elementos deben concurrir necesariamente para la validez de la presunción, pues la falta de alguno impide la reunión de lo indispensable para estimar el hecho desconocido como una consecuencia lógica y natural de los hechos conocidos. Así, ante la inexistencia del acto de autoridad faltaría el objeto sobre el cual pudiera recaer la acción de consentimiento; si no hubiera una persona afectada faltaría el sujeto de la acción; si la ley no confiere la posibilidad de ocurrir en demanda de la justicia federal, la omisión de tal demanda no puede servir de base para estimar la conformidad del afectado con el acto de autoridad, en tanto no pueda encausar su inconformidad por ese medio; y si la ley no fija un plazo perentorio para deducir la acción de amparo o habiéndolo fijado éste no ha transcurrido, la no presentación de la demanda no puede revelar con certeza y claridad la aquiescencia del acto de autoridad en su contenido y consecuencias, al subsistir la posibilidad de entablar la contienda.</w:t>
      </w:r>
    </w:p>
    <w:p w14:paraId="10680A07" w14:textId="14289577" w:rsidR="00941238" w:rsidRPr="00941238" w:rsidRDefault="00941238" w:rsidP="00941238">
      <w:pPr>
        <w:spacing w:before="240" w:line="360" w:lineRule="auto"/>
        <w:ind w:left="851" w:right="851"/>
        <w:jc w:val="both"/>
        <w:rPr>
          <w:rFonts w:ascii="Palatino Linotype" w:eastAsia="Times New Roman" w:hAnsi="Palatino Linotype" w:cs="Times New Roman"/>
          <w:b/>
          <w:bCs/>
          <w:i/>
          <w:iCs/>
          <w:lang w:eastAsia="es-MX"/>
        </w:rPr>
      </w:pPr>
      <w:r w:rsidRPr="00941238">
        <w:rPr>
          <w:rFonts w:ascii="Palatino Linotype" w:eastAsia="Times New Roman" w:hAnsi="Palatino Linotype" w:cs="Times New Roman"/>
          <w:i/>
          <w:iCs/>
          <w:lang w:eastAsia="es-MX"/>
        </w:rPr>
        <w:t>CUARTO TRIBUNAL COLEGIADO EN MATERIA CIVIL DEL PRIMER CIRCUITO.</w:t>
      </w:r>
      <w:r>
        <w:rPr>
          <w:rFonts w:ascii="Palatino Linotype" w:eastAsia="Times New Roman" w:hAnsi="Palatino Linotype" w:cs="Times New Roman"/>
          <w:i/>
          <w:iCs/>
          <w:lang w:eastAsia="es-MX"/>
        </w:rPr>
        <w:t xml:space="preserve">” </w:t>
      </w:r>
      <w:r>
        <w:rPr>
          <w:rFonts w:ascii="Palatino Linotype" w:eastAsia="Times New Roman" w:hAnsi="Palatino Linotype" w:cs="Times New Roman"/>
          <w:b/>
          <w:bCs/>
          <w:i/>
          <w:iCs/>
          <w:lang w:eastAsia="es-MX"/>
        </w:rPr>
        <w:t>[Sic]</w:t>
      </w:r>
    </w:p>
    <w:p w14:paraId="600C265E" w14:textId="77777777" w:rsidR="007D4E69" w:rsidRDefault="007D4E69" w:rsidP="007D4E69">
      <w:pPr>
        <w:spacing w:before="240" w:line="360" w:lineRule="auto"/>
        <w:ind w:left="851" w:right="851"/>
        <w:jc w:val="both"/>
        <w:rPr>
          <w:rFonts w:ascii="Palatino Linotype" w:eastAsia="Times New Roman" w:hAnsi="Palatino Linotype" w:cs="Times New Roman"/>
          <w:i/>
          <w:iCs/>
          <w:lang w:eastAsia="es-MX"/>
        </w:rPr>
      </w:pPr>
    </w:p>
    <w:p w14:paraId="6887198D" w14:textId="6B4E66D3" w:rsidR="002E754A" w:rsidRPr="00695176" w:rsidRDefault="00695176" w:rsidP="00D1498A">
      <w:pPr>
        <w:pStyle w:val="Sinespaciado"/>
        <w:spacing w:line="360" w:lineRule="auto"/>
        <w:jc w:val="both"/>
        <w:rPr>
          <w:rFonts w:ascii="Palatino Linotype" w:hAnsi="Palatino Linotype"/>
        </w:rPr>
      </w:pPr>
      <w:r>
        <w:rPr>
          <w:rFonts w:ascii="Palatino Linotype" w:hAnsi="Palatino Linotype"/>
        </w:rPr>
        <w:t xml:space="preserve">Una vez sentado lo anterior, en relación el requerimiento identificado con el numeral </w:t>
      </w:r>
      <w:r>
        <w:rPr>
          <w:rFonts w:ascii="Palatino Linotype" w:hAnsi="Palatino Linotype"/>
          <w:b/>
          <w:bCs/>
        </w:rPr>
        <w:t xml:space="preserve">2), </w:t>
      </w:r>
      <w:r>
        <w:rPr>
          <w:rFonts w:ascii="Palatino Linotype" w:hAnsi="Palatino Linotype"/>
        </w:rPr>
        <w:t xml:space="preserve">resulta oportuno precisar que </w:t>
      </w:r>
      <w:r>
        <w:rPr>
          <w:rFonts w:ascii="Palatino Linotype" w:hAnsi="Palatino Linotype"/>
          <w:b/>
          <w:bCs/>
        </w:rPr>
        <w:t xml:space="preserve">El Recurrente </w:t>
      </w:r>
      <w:r>
        <w:rPr>
          <w:rFonts w:ascii="Palatino Linotype" w:hAnsi="Palatino Linotype"/>
        </w:rPr>
        <w:t xml:space="preserve">peticionó la siguiente información: </w:t>
      </w:r>
    </w:p>
    <w:p w14:paraId="516910B5" w14:textId="77777777" w:rsidR="00695176" w:rsidRPr="0072432C" w:rsidRDefault="00695176" w:rsidP="00695176">
      <w:pPr>
        <w:pStyle w:val="Prrafodelista"/>
        <w:numPr>
          <w:ilvl w:val="0"/>
          <w:numId w:val="44"/>
        </w:numPr>
        <w:tabs>
          <w:tab w:val="left" w:pos="709"/>
        </w:tabs>
        <w:spacing w:before="240" w:line="360" w:lineRule="auto"/>
        <w:ind w:right="51"/>
        <w:jc w:val="both"/>
        <w:rPr>
          <w:rFonts w:ascii="Palatino Linotype" w:hAnsi="Palatino Linotype"/>
        </w:rPr>
      </w:pPr>
      <w:r>
        <w:rPr>
          <w:rFonts w:ascii="Palatino Linotype" w:hAnsi="Palatino Linotype"/>
        </w:rPr>
        <w:t xml:space="preserve">El o los expedientes formados con motivo de licitaciones públicas, invitaciones restringidas o adjudicaciones directas para la adquisición o arrendamiento de </w:t>
      </w:r>
      <w:r>
        <w:rPr>
          <w:rFonts w:ascii="Palatino Linotype" w:hAnsi="Palatino Linotype"/>
        </w:rPr>
        <w:lastRenderedPageBreak/>
        <w:t xml:space="preserve">equipo de cómputo, durante el periodo comprendido del uno de enero al doce de marzo de dos mil diecinueve. </w:t>
      </w:r>
    </w:p>
    <w:p w14:paraId="6477A1E7" w14:textId="77777777" w:rsidR="002E754A" w:rsidRDefault="002E754A" w:rsidP="00D1498A">
      <w:pPr>
        <w:pStyle w:val="Sinespaciado"/>
        <w:spacing w:line="360" w:lineRule="auto"/>
        <w:jc w:val="both"/>
        <w:rPr>
          <w:rFonts w:ascii="Palatino Linotype" w:hAnsi="Palatino Linotype"/>
        </w:rPr>
      </w:pPr>
    </w:p>
    <w:p w14:paraId="5C8009C1" w14:textId="4E54E08E" w:rsidR="002E754A" w:rsidRPr="00695176" w:rsidRDefault="00695176" w:rsidP="00D1498A">
      <w:pPr>
        <w:pStyle w:val="Sinespaciado"/>
        <w:spacing w:line="360" w:lineRule="auto"/>
        <w:jc w:val="both"/>
        <w:rPr>
          <w:rFonts w:ascii="Palatino Linotype" w:hAnsi="Palatino Linotype"/>
        </w:rPr>
      </w:pPr>
      <w:r>
        <w:rPr>
          <w:rFonts w:ascii="Palatino Linotype" w:hAnsi="Palatino Linotype"/>
        </w:rPr>
        <w:t xml:space="preserve">Bajo estas líneas argumentativas, resulta oportuno traer a colación los artículos 22 y 23 del Bando Municipal del </w:t>
      </w:r>
      <w:r>
        <w:rPr>
          <w:rFonts w:ascii="Palatino Linotype" w:hAnsi="Palatino Linotype"/>
          <w:b/>
          <w:bCs/>
        </w:rPr>
        <w:t xml:space="preserve">Sujeto Obligado, </w:t>
      </w:r>
      <w:r>
        <w:rPr>
          <w:rFonts w:ascii="Palatino Linotype" w:hAnsi="Palatino Linotype"/>
        </w:rPr>
        <w:t>normatividad invocada que dispone a la literalidad:</w:t>
      </w:r>
    </w:p>
    <w:p w14:paraId="074C2222" w14:textId="7A0455E0" w:rsidR="00695176" w:rsidRPr="0069561C" w:rsidRDefault="008D6B14" w:rsidP="0069561C">
      <w:pPr>
        <w:spacing w:before="240" w:line="360" w:lineRule="auto"/>
        <w:ind w:left="851" w:right="851"/>
        <w:jc w:val="both"/>
        <w:rPr>
          <w:rFonts w:ascii="Palatino Linotype" w:hAnsi="Palatino Linotype"/>
          <w:i/>
          <w:iCs/>
        </w:rPr>
      </w:pPr>
      <w:r w:rsidRPr="009E32A3">
        <w:rPr>
          <w:rFonts w:ascii="Palatino Linotype" w:hAnsi="Palatino Linotype"/>
          <w:b/>
          <w:bCs/>
          <w:i/>
          <w:iCs/>
          <w:u w:val="single"/>
        </w:rPr>
        <w:t>“</w:t>
      </w:r>
      <w:r w:rsidR="00695176" w:rsidRPr="009E32A3">
        <w:rPr>
          <w:rFonts w:ascii="Palatino Linotype" w:hAnsi="Palatino Linotype"/>
          <w:b/>
          <w:bCs/>
          <w:i/>
          <w:iCs/>
          <w:u w:val="single"/>
        </w:rPr>
        <w:t xml:space="preserve">Artículo 22. La administración pública municipal será centralizada, desconcentrada, descentralizada y autónoma. </w:t>
      </w:r>
      <w:r w:rsidR="00695176" w:rsidRPr="0069561C">
        <w:rPr>
          <w:rFonts w:ascii="Palatino Linotype" w:hAnsi="Palatino Linotype"/>
          <w:i/>
          <w:iCs/>
        </w:rPr>
        <w:t xml:space="preserve">Su organización y funcionamiento se regirá por la Ley Orgánica Municipal del Estado de México, este Bando Municipal, el Código Reglamentario Municipal y otras normas jurídicas aplicables. </w:t>
      </w:r>
    </w:p>
    <w:p w14:paraId="6AC79303"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Artículo 23. Para la consulta, estudio, planeación y despacho de los asuntos en los diversos ramos de la administración pública municipal, la o el Presidente Municipal se auxiliará de la Secretaría del Ayuntamiento y de las siguientes:</w:t>
      </w:r>
    </w:p>
    <w:p w14:paraId="0EC61F9D" w14:textId="381A7A03" w:rsidR="00695176" w:rsidRPr="0069561C" w:rsidRDefault="00695176" w:rsidP="0069561C">
      <w:pPr>
        <w:spacing w:before="240" w:line="360" w:lineRule="auto"/>
        <w:ind w:left="851" w:right="851"/>
        <w:jc w:val="both"/>
        <w:rPr>
          <w:rFonts w:ascii="Palatino Linotype" w:hAnsi="Palatino Linotype"/>
          <w:b/>
          <w:bCs/>
          <w:i/>
          <w:iCs/>
          <w:u w:val="single"/>
        </w:rPr>
      </w:pPr>
      <w:r w:rsidRPr="0069561C">
        <w:rPr>
          <w:rFonts w:ascii="Palatino Linotype" w:hAnsi="Palatino Linotype"/>
          <w:b/>
          <w:bCs/>
          <w:i/>
          <w:iCs/>
          <w:u w:val="single"/>
        </w:rPr>
        <w:t xml:space="preserve"> I. DEPENDENCIAS:</w:t>
      </w:r>
    </w:p>
    <w:p w14:paraId="6A8D423D"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1. Tesorería Municipal; </w:t>
      </w:r>
    </w:p>
    <w:p w14:paraId="69EA6C65"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2. Contraloría; </w:t>
      </w:r>
    </w:p>
    <w:p w14:paraId="6FE80CBE"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3. Dirección General de Gobierno;</w:t>
      </w:r>
    </w:p>
    <w:p w14:paraId="3EA09811"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 4. Dirección General de Seguridad Pública;</w:t>
      </w:r>
    </w:p>
    <w:p w14:paraId="5A9D8DB4" w14:textId="77777777" w:rsidR="008D6B14" w:rsidRPr="0069561C" w:rsidRDefault="00695176" w:rsidP="0069561C">
      <w:pPr>
        <w:spacing w:before="240" w:line="360" w:lineRule="auto"/>
        <w:ind w:left="851" w:right="851"/>
        <w:jc w:val="both"/>
        <w:rPr>
          <w:rFonts w:ascii="Palatino Linotype" w:hAnsi="Palatino Linotype"/>
          <w:b/>
          <w:bCs/>
          <w:i/>
          <w:iCs/>
          <w:u w:val="single"/>
        </w:rPr>
      </w:pPr>
      <w:r w:rsidRPr="0069561C">
        <w:rPr>
          <w:rFonts w:ascii="Palatino Linotype" w:hAnsi="Palatino Linotype"/>
          <w:b/>
          <w:bCs/>
          <w:i/>
          <w:iCs/>
        </w:rPr>
        <w:t xml:space="preserve"> </w:t>
      </w:r>
      <w:r w:rsidRPr="0069561C">
        <w:rPr>
          <w:rFonts w:ascii="Palatino Linotype" w:hAnsi="Palatino Linotype"/>
          <w:b/>
          <w:bCs/>
          <w:i/>
          <w:iCs/>
          <w:u w:val="single"/>
        </w:rPr>
        <w:t xml:space="preserve">5. Dirección General de Administración; </w:t>
      </w:r>
    </w:p>
    <w:p w14:paraId="0FDC34DF"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6. Dirección General de Medio Ambiente;</w:t>
      </w:r>
    </w:p>
    <w:p w14:paraId="61B7726B" w14:textId="6952282D"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lastRenderedPageBreak/>
        <w:t xml:space="preserve"> 7. Dirección General de Servicios Públicos;</w:t>
      </w:r>
    </w:p>
    <w:p w14:paraId="25276C63"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8. Dirección General de Desarrollo Urbano y Obra Pública; </w:t>
      </w:r>
    </w:p>
    <w:p w14:paraId="676617BA"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9. Dirección General de Desarrollo Económico y </w:t>
      </w:r>
    </w:p>
    <w:p w14:paraId="3DCB376F"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10. Dirección General de Bienestar Social. </w:t>
      </w:r>
    </w:p>
    <w:p w14:paraId="47ABA926" w14:textId="52A923B2"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II. ÓRGANO AUTÓNOMO:</w:t>
      </w:r>
    </w:p>
    <w:p w14:paraId="506DA17E"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1. Defensoría Municipal de los Derechos Humanos de Toluca. </w:t>
      </w:r>
    </w:p>
    <w:p w14:paraId="1F84F90A" w14:textId="135F773A"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III. ÓRGANO DESCONCENTRADO:</w:t>
      </w:r>
    </w:p>
    <w:p w14:paraId="3D8E7BFD"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1. Unidad de Asuntos Internos. </w:t>
      </w:r>
    </w:p>
    <w:p w14:paraId="4B52AD21" w14:textId="45E35707"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IV. ÓRGANOS DESCENTRALIZADOS:</w:t>
      </w:r>
    </w:p>
    <w:p w14:paraId="5834E408"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1. El Sistema Municipal para el Desarrollo Integral de la Familia de Toluca; </w:t>
      </w:r>
    </w:p>
    <w:p w14:paraId="73591DD8" w14:textId="77777777" w:rsidR="008D6B14"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2. El Organismo Agua y Saneamiento de Toluca; y </w:t>
      </w:r>
    </w:p>
    <w:p w14:paraId="3DC8A32E" w14:textId="001CFE6C"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3. El Instituto Municipal de Cultura Física y Deporte de Toluca. </w:t>
      </w:r>
    </w:p>
    <w:p w14:paraId="5528ED88" w14:textId="77777777"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La Secretaría del Ayuntamiento tendrá las atribuciones que le </w:t>
      </w:r>
      <w:proofErr w:type="gramStart"/>
      <w:r w:rsidRPr="0069561C">
        <w:rPr>
          <w:rFonts w:ascii="Palatino Linotype" w:hAnsi="Palatino Linotype"/>
          <w:i/>
          <w:iCs/>
        </w:rPr>
        <w:t>otorgue</w:t>
      </w:r>
      <w:proofErr w:type="gramEnd"/>
      <w:r w:rsidRPr="0069561C">
        <w:rPr>
          <w:rFonts w:ascii="Palatino Linotype" w:hAnsi="Palatino Linotype"/>
          <w:i/>
          <w:iCs/>
        </w:rPr>
        <w:t xml:space="preserve"> la Ley Orgánica Municipal del Estado de México y las que le asigne el Ayuntamiento. </w:t>
      </w:r>
    </w:p>
    <w:p w14:paraId="4E0B2F48" w14:textId="3E321EA1"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 xml:space="preserve">Al frente de la Secretaría del Ayuntamiento, de la Tesorería Municipal, de la Contraloría, de las Direcciones, de las Unidades y de las Coordinaciones, habrá una o un titular a quien se denominará Secretaria o Secretario del Ayuntamiento, Tesorera o Tesorero Municipal, Contralora o Contralor Municipal, Directora o Director General, Directora o Director, Jefa o Jefe de la Unidad, Coordinadora o </w:t>
      </w:r>
      <w:r w:rsidRPr="0069561C">
        <w:rPr>
          <w:rFonts w:ascii="Palatino Linotype" w:hAnsi="Palatino Linotype"/>
          <w:i/>
          <w:iCs/>
        </w:rPr>
        <w:lastRenderedPageBreak/>
        <w:t xml:space="preserve">Coordinador, respectivamente, y en el caso de los órganos desconcentrados, Directora, Director o Titular, quienes se auxiliarán de las o los Jefas o Jefes de Departamento y demás personal que establezcan las leyes, reglamentos, manuales  administrativos y otras disposiciones legales. Tendrán las atribuciones que se señalan en esos ordenamientos y las que les asignen la o el Presidente Municipal y la o el titular de quien dependan. </w:t>
      </w:r>
    </w:p>
    <w:p w14:paraId="1E21A9A9" w14:textId="5DFE1A60" w:rsidR="00695176" w:rsidRPr="0069561C" w:rsidRDefault="00695176" w:rsidP="0069561C">
      <w:pPr>
        <w:spacing w:before="240" w:line="360" w:lineRule="auto"/>
        <w:ind w:left="851" w:right="851"/>
        <w:jc w:val="both"/>
        <w:rPr>
          <w:rFonts w:ascii="Palatino Linotype" w:hAnsi="Palatino Linotype"/>
          <w:i/>
          <w:iCs/>
        </w:rPr>
      </w:pPr>
      <w:r w:rsidRPr="0069561C">
        <w:rPr>
          <w:rFonts w:ascii="Palatino Linotype" w:hAnsi="Palatino Linotype"/>
          <w:i/>
          <w:iCs/>
        </w:rPr>
        <w:t>Los nombramientos de la Secretaria o Secretario del Ayuntamiento, de la Tesorera o Tesorero Municipal, Contralora o Contralor, Directoras o Directores Generales, personal que señale la Ley Orgánica Municipal y otros ordenamientos legales aplicables, serán aprobados por el Ayuntamiento a propuesta de la o el Presidente Municipal, quien podrá removerlos libremente por causa justificada cuando la remoción no esté determinada en algún otro ordenamiento legal.</w:t>
      </w:r>
      <w:r w:rsidR="0069561C" w:rsidRPr="0069561C">
        <w:rPr>
          <w:rFonts w:ascii="Palatino Linotype" w:hAnsi="Palatino Linotype"/>
          <w:i/>
          <w:iCs/>
        </w:rPr>
        <w:t>”</w:t>
      </w:r>
    </w:p>
    <w:p w14:paraId="0F0F330B" w14:textId="77777777" w:rsidR="002E754A" w:rsidRDefault="002E754A" w:rsidP="00D1498A">
      <w:pPr>
        <w:pStyle w:val="Sinespaciado"/>
        <w:spacing w:line="360" w:lineRule="auto"/>
        <w:jc w:val="both"/>
        <w:rPr>
          <w:rFonts w:ascii="Palatino Linotype" w:hAnsi="Palatino Linotype"/>
        </w:rPr>
      </w:pPr>
    </w:p>
    <w:p w14:paraId="57BEE9A2" w14:textId="11831DED" w:rsidR="0069561C" w:rsidRDefault="00695176" w:rsidP="00D1498A">
      <w:pPr>
        <w:pStyle w:val="Sinespaciado"/>
        <w:spacing w:line="360" w:lineRule="auto"/>
        <w:jc w:val="both"/>
        <w:rPr>
          <w:rFonts w:ascii="Palatino Linotype" w:hAnsi="Palatino Linotype"/>
        </w:rPr>
      </w:pPr>
      <w:r>
        <w:rPr>
          <w:rFonts w:ascii="Palatino Linotype" w:hAnsi="Palatino Linotype"/>
        </w:rPr>
        <w:t xml:space="preserve">Del análisis </w:t>
      </w:r>
      <w:r w:rsidR="007C5134">
        <w:rPr>
          <w:rFonts w:ascii="Palatino Linotype" w:hAnsi="Palatino Linotype"/>
        </w:rPr>
        <w:t xml:space="preserve">sistemático de la normatividad previamente expuesta, se desprende que </w:t>
      </w:r>
      <w:r w:rsidR="007C5134">
        <w:rPr>
          <w:rFonts w:ascii="Palatino Linotype" w:hAnsi="Palatino Linotype"/>
          <w:b/>
          <w:bCs/>
        </w:rPr>
        <w:t xml:space="preserve">El Sujeto Obligado </w:t>
      </w:r>
      <w:r w:rsidR="007C5134">
        <w:rPr>
          <w:rFonts w:ascii="Palatino Linotype" w:hAnsi="Palatino Linotype"/>
        </w:rPr>
        <w:t>se auxilia de diversas direcciones</w:t>
      </w:r>
      <w:r w:rsidR="008D6B14">
        <w:rPr>
          <w:rFonts w:ascii="Palatino Linotype" w:hAnsi="Palatino Linotype"/>
        </w:rPr>
        <w:t xml:space="preserve"> y unidades</w:t>
      </w:r>
      <w:r w:rsidR="007C5134">
        <w:rPr>
          <w:rFonts w:ascii="Palatino Linotype" w:hAnsi="Palatino Linotype"/>
        </w:rPr>
        <w:t xml:space="preserve"> administrativas, asimismo, </w:t>
      </w:r>
      <w:r w:rsidR="008D6B14">
        <w:rPr>
          <w:rFonts w:ascii="Palatino Linotype" w:hAnsi="Palatino Linotype"/>
        </w:rPr>
        <w:t xml:space="preserve">cuenta con </w:t>
      </w:r>
      <w:r w:rsidR="0069561C">
        <w:rPr>
          <w:rFonts w:ascii="Palatino Linotype" w:hAnsi="Palatino Linotype"/>
        </w:rPr>
        <w:t xml:space="preserve">distintos órganos de naturaleza autónoma, descentralizada y desconcentrada. </w:t>
      </w:r>
      <w:r w:rsidR="0069561C" w:rsidRPr="00043101">
        <w:rPr>
          <w:rFonts w:ascii="Palatino Linotype" w:hAnsi="Palatino Linotype"/>
          <w:b/>
          <w:bCs/>
          <w:u w:val="single"/>
        </w:rPr>
        <w:t>Resultando de nuestro interés la Dirección de Administración,</w:t>
      </w:r>
      <w:r w:rsidR="00E14884">
        <w:rPr>
          <w:rFonts w:ascii="Palatino Linotype" w:hAnsi="Palatino Linotype"/>
        </w:rPr>
        <w:t xml:space="preserve"> al fungir como el área competente de adquirir, administrar, supervisar y optimizar el uso de bienes muebles e inmuebles, a mayor abundamiento, durante el mes de agosto del ejercicio fiscal dos mil dieciocho fue publicado el Manual de Organización de la Dirección de Administración, resultando de nuestro interés lo siguiente: </w:t>
      </w:r>
    </w:p>
    <w:p w14:paraId="2C2ABC7C" w14:textId="097A9F8E" w:rsidR="0069561C" w:rsidRDefault="00043101" w:rsidP="00D1498A">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736064" behindDoc="0" locked="0" layoutInCell="1" allowOverlap="1" wp14:anchorId="4047C927" wp14:editId="175B6C60">
                <wp:simplePos x="0" y="0"/>
                <wp:positionH relativeFrom="column">
                  <wp:posOffset>-266220</wp:posOffset>
                </wp:positionH>
                <wp:positionV relativeFrom="paragraph">
                  <wp:posOffset>242612</wp:posOffset>
                </wp:positionV>
                <wp:extent cx="6631913" cy="984738"/>
                <wp:effectExtent l="0" t="0" r="36195" b="25400"/>
                <wp:wrapNone/>
                <wp:docPr id="18" name="Conector recto 18"/>
                <wp:cNvGraphicFramePr/>
                <a:graphic xmlns:a="http://schemas.openxmlformats.org/drawingml/2006/main">
                  <a:graphicData uri="http://schemas.microsoft.com/office/word/2010/wordprocessingShape">
                    <wps:wsp>
                      <wps:cNvCnPr/>
                      <wps:spPr>
                        <a:xfrm>
                          <a:off x="0" y="0"/>
                          <a:ext cx="6631913" cy="9847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9BA97" id="Conector recto 18"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20.95pt,19.1pt" to="501.25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6uwEAAMYDAAAOAAAAZHJzL2Uyb0RvYy54bWysU9tu2zAMfR+wfxD03thuhqw14vQhxfZS&#10;tMEuH6DKVCxAN1Ba7Px9KSVxh23AsKEvkinyHPKQ9PpusoYdAKP2ruPNouYMnPS9dvuOf//26eqG&#10;s5iE64XxDjp+hMjvNu/frcfQwrUfvOkBGZG42I6h40NKoa2qKAewIi58AEdO5dGKRCbuqx7FSOzW&#10;VNd1vapGj31ALyFGer0/Ofmm8CsFMj0pFSEx03GqLZUTy/mcz2qzFu0eRRi0PJch/qMKK7SjpDPV&#10;vUiC/UD9G5XVEn30Ki2kt5VXSksoGkhNU/+i5usgAhQt1JwY5jbFt6OVj4cdMt3T7GhSTlia0ZYm&#10;JZNHhvli5KAujSG2FLx1OzxbMewwS54U2nyTGDaVzh7nzsKUmKTH1WrZ3DZLziT5bm8+fFwW0uoV&#10;HTCmz+Atyx8dN9pl5aIVh4eYKCOFXkLIyNWc8pevdDSQg437AorUUMamoMsewdYgOwjaACEluNRk&#10;PcRXojNMaWNmYP134Dk+Q6Hs2L+AZ0TJ7F2awVY7j3/KnqZLyeoUf+nASXduwbPvj2UypTW0LEXh&#10;ebHzNv5sF/jr77d5AQAA//8DAFBLAwQUAAYACAAAACEA575xm+MAAAALAQAADwAAAGRycy9kb3du&#10;cmV2LnhtbEyPUU/CMBDH3038Ds2Z+AYtmxqY6wghMSKJIYAJPpb13KbrdWkLG9/e8qRvd7lf/vf7&#10;5/PBtOyMzjeWJEzGAhhSaXVDlYSP/ctoCswHRVq1llDCBT3Mi9ubXGXa9rTF8y5ULIaQz5SEOoQu&#10;49yXNRrlx7ZDircv64wKcXUV1071Mdy0PBHiiRvVUPxQqw6XNZY/u5OR8O5Wq+ViffmmzafpD8n6&#10;sHkbXqW8vxsWz8ACDuEPhqt+VIciOh3tibRnrYTRw2QWUQnpNAF2BYRIHoEd4zRLU+BFzv93KH4B&#10;AAD//wMAUEsBAi0AFAAGAAgAAAAhALaDOJL+AAAA4QEAABMAAAAAAAAAAAAAAAAAAAAAAFtDb250&#10;ZW50X1R5cGVzXS54bWxQSwECLQAUAAYACAAAACEAOP0h/9YAAACUAQAACwAAAAAAAAAAAAAAAAAv&#10;AQAAX3JlbHMvLnJlbHNQSwECLQAUAAYACAAAACEAevq5ursBAADGAwAADgAAAAAAAAAAAAAAAAAu&#10;AgAAZHJzL2Uyb0RvYy54bWxQSwECLQAUAAYACAAAACEA575xm+MAAAALAQAADwAAAAAAAAAAAAAA&#10;AAAVBAAAZHJzL2Rvd25yZXYueG1sUEsFBgAAAAAEAAQA8wAAACUFAAAAAA==&#10;" strokecolor="#5b9bd5 [3204]" strokeweight=".5pt">
                <v:stroke joinstyle="miter"/>
              </v:line>
            </w:pict>
          </mc:Fallback>
        </mc:AlternateContent>
      </w:r>
    </w:p>
    <w:p w14:paraId="2302831A" w14:textId="6E1FDA59" w:rsidR="004261E4" w:rsidRDefault="004261E4" w:rsidP="00CA3D18">
      <w:pPr>
        <w:pStyle w:val="Sinespaciado"/>
        <w:spacing w:line="360" w:lineRule="auto"/>
        <w:jc w:val="both"/>
        <w:rPr>
          <w:rFonts w:ascii="Palatino Linotype" w:hAnsi="Palatino Linotype"/>
        </w:rPr>
      </w:pPr>
    </w:p>
    <w:p w14:paraId="57086C96" w14:textId="793A91D4" w:rsidR="00E14884" w:rsidRDefault="00E14884" w:rsidP="00CA3D18">
      <w:pPr>
        <w:pStyle w:val="Sinespaciado"/>
        <w:spacing w:line="360" w:lineRule="auto"/>
        <w:jc w:val="both"/>
        <w:rPr>
          <w:rFonts w:ascii="Palatino Linotype" w:hAnsi="Palatino Linotype"/>
        </w:rPr>
      </w:pPr>
    </w:p>
    <w:p w14:paraId="56F95BF7" w14:textId="71860E87" w:rsidR="00E14884" w:rsidRDefault="00043101" w:rsidP="00CA3D18">
      <w:pPr>
        <w:pStyle w:val="Sinespaciado"/>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699196" behindDoc="0" locked="0" layoutInCell="1" allowOverlap="1" wp14:anchorId="507A7707" wp14:editId="476ADB72">
            <wp:simplePos x="0" y="0"/>
            <wp:positionH relativeFrom="margin">
              <wp:align>center</wp:align>
            </wp:positionH>
            <wp:positionV relativeFrom="paragraph">
              <wp:posOffset>50165</wp:posOffset>
            </wp:positionV>
            <wp:extent cx="6014720" cy="7405370"/>
            <wp:effectExtent l="19050" t="19050" r="24130" b="24130"/>
            <wp:wrapThrough wrapText="bothSides">
              <wp:wrapPolygon edited="0">
                <wp:start x="-68" y="-56"/>
                <wp:lineTo x="-68" y="21615"/>
                <wp:lineTo x="21618" y="21615"/>
                <wp:lineTo x="21618" y="-56"/>
                <wp:lineTo x="-68" y="-56"/>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4720" cy="74053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C80B3A8" w14:textId="59453C99" w:rsidR="00043101" w:rsidRPr="007F3E1D" w:rsidRDefault="000F265D" w:rsidP="007F3E1D">
      <w:pPr>
        <w:pStyle w:val="Sinespaciado"/>
        <w:spacing w:before="240" w:after="160" w:line="360" w:lineRule="auto"/>
        <w:ind w:left="851" w:right="851"/>
        <w:jc w:val="both"/>
        <w:rPr>
          <w:rFonts w:ascii="Palatino Linotype" w:hAnsi="Palatino Linotype"/>
          <w:b/>
          <w:bCs/>
          <w:i/>
          <w:iCs/>
          <w:sz w:val="22"/>
          <w:szCs w:val="22"/>
        </w:rPr>
      </w:pPr>
      <w:r w:rsidRPr="007F3E1D">
        <w:rPr>
          <w:rFonts w:ascii="Palatino Linotype" w:hAnsi="Palatino Linotype"/>
          <w:b/>
          <w:bCs/>
          <w:i/>
          <w:iCs/>
          <w:sz w:val="22"/>
          <w:szCs w:val="22"/>
        </w:rPr>
        <w:lastRenderedPageBreak/>
        <w:t xml:space="preserve">“VII. OBJETIVO Y FUNCIONES DE LAS UNIDADES ADMINISTRATIVAS </w:t>
      </w:r>
    </w:p>
    <w:p w14:paraId="1FFE4287" w14:textId="632ABF70" w:rsidR="00043101" w:rsidRPr="007F3E1D" w:rsidRDefault="000F265D" w:rsidP="007F3E1D">
      <w:pPr>
        <w:pStyle w:val="Sinespaciado"/>
        <w:spacing w:before="240" w:after="160" w:line="360" w:lineRule="auto"/>
        <w:ind w:left="851" w:right="851"/>
        <w:jc w:val="both"/>
        <w:rPr>
          <w:rFonts w:ascii="Palatino Linotype" w:hAnsi="Palatino Linotype"/>
          <w:b/>
          <w:bCs/>
          <w:i/>
          <w:iCs/>
          <w:sz w:val="22"/>
          <w:szCs w:val="22"/>
        </w:rPr>
      </w:pPr>
      <w:r w:rsidRPr="007F3E1D">
        <w:rPr>
          <w:rFonts w:ascii="Palatino Linotype" w:hAnsi="Palatino Linotype"/>
          <w:b/>
          <w:bCs/>
          <w:i/>
          <w:iCs/>
          <w:sz w:val="22"/>
          <w:szCs w:val="22"/>
        </w:rPr>
        <w:t xml:space="preserve"> 202001000 </w:t>
      </w:r>
      <w:r>
        <w:rPr>
          <w:rFonts w:ascii="Palatino Linotype" w:hAnsi="Palatino Linotype"/>
          <w:b/>
          <w:bCs/>
          <w:i/>
          <w:iCs/>
          <w:sz w:val="22"/>
          <w:szCs w:val="22"/>
        </w:rPr>
        <w:t>D</w:t>
      </w:r>
      <w:r w:rsidRPr="007F3E1D">
        <w:rPr>
          <w:rFonts w:ascii="Palatino Linotype" w:hAnsi="Palatino Linotype"/>
          <w:b/>
          <w:bCs/>
          <w:i/>
          <w:iCs/>
          <w:sz w:val="22"/>
          <w:szCs w:val="22"/>
        </w:rPr>
        <w:t xml:space="preserve">IRECCIÓN DE ADMINISTRACIÓN </w:t>
      </w:r>
    </w:p>
    <w:p w14:paraId="2715728C" w14:textId="77777777" w:rsidR="007F3E1D" w:rsidRPr="000F265D" w:rsidRDefault="00043101" w:rsidP="007F3E1D">
      <w:pPr>
        <w:pStyle w:val="Sinespaciado"/>
        <w:spacing w:before="240" w:after="160" w:line="360" w:lineRule="auto"/>
        <w:ind w:left="851" w:right="851"/>
        <w:jc w:val="both"/>
        <w:rPr>
          <w:rFonts w:ascii="Palatino Linotype" w:hAnsi="Palatino Linotype"/>
          <w:b/>
          <w:bCs/>
          <w:i/>
          <w:iCs/>
          <w:sz w:val="22"/>
          <w:szCs w:val="22"/>
        </w:rPr>
      </w:pPr>
      <w:r w:rsidRPr="000F265D">
        <w:rPr>
          <w:rFonts w:ascii="Palatino Linotype" w:hAnsi="Palatino Linotype"/>
          <w:b/>
          <w:bCs/>
          <w:i/>
          <w:iCs/>
          <w:sz w:val="22"/>
          <w:szCs w:val="22"/>
        </w:rPr>
        <w:t xml:space="preserve"> OBJETIVO: </w:t>
      </w:r>
    </w:p>
    <w:p w14:paraId="291F790F" w14:textId="7EE80BB1" w:rsidR="00E14884" w:rsidRPr="007F3E1D" w:rsidRDefault="00043101" w:rsidP="007F3E1D">
      <w:pPr>
        <w:pStyle w:val="Sinespaciado"/>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Diseñar, establecer, aplicar, actualizar y difundir las políticas y lineamientos para la adquisición de bienes y contratación de servicios, asignación y uso de los bienes, así como la adecuada aplicación y administración de las tecnologías de la información y las comunicaciones y la prestación de los servicios generales al gobierno municipal de Toluca, a fin de lograr la optimización de los recursos materiales, buscando siempre las mejores condiciones de oportunidad, precio, calidad y financiamiento, bajo un esquema de transparencia.</w:t>
      </w:r>
    </w:p>
    <w:p w14:paraId="52EB69B3" w14:textId="0FD71492" w:rsidR="00043101" w:rsidRPr="006E6FCA" w:rsidRDefault="00043101" w:rsidP="007F3E1D">
      <w:pPr>
        <w:pStyle w:val="Sinespaciado"/>
        <w:spacing w:before="240" w:after="160" w:line="360" w:lineRule="auto"/>
        <w:ind w:left="851" w:right="851"/>
        <w:jc w:val="both"/>
        <w:rPr>
          <w:rFonts w:ascii="Palatino Linotype" w:hAnsi="Palatino Linotype"/>
          <w:b/>
          <w:bCs/>
          <w:i/>
          <w:iCs/>
          <w:sz w:val="22"/>
          <w:szCs w:val="22"/>
        </w:rPr>
      </w:pPr>
      <w:r w:rsidRPr="006E6FCA">
        <w:rPr>
          <w:rFonts w:ascii="Palatino Linotype" w:hAnsi="Palatino Linotype"/>
          <w:b/>
          <w:bCs/>
          <w:i/>
          <w:iCs/>
          <w:sz w:val="22"/>
          <w:szCs w:val="22"/>
        </w:rPr>
        <w:t>FUNCIONES:</w:t>
      </w:r>
    </w:p>
    <w:p w14:paraId="3A8ACB3C" w14:textId="5C3DB15F"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 xml:space="preserve">Elaborar, integrar, implementar y coordinar el Programa Anual de Adquisiciones del Ayuntamiento de uso generalizado y verificar que se organicen los procesos adquisitivos correspondientes para su compra y entrega oportuna a las unidades administrativas;  </w:t>
      </w:r>
    </w:p>
    <w:p w14:paraId="493CE21B" w14:textId="70AFC9DE"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 xml:space="preserve">Elaborar, administrar, supervisar y </w:t>
      </w:r>
      <w:r w:rsidR="007F3E1D" w:rsidRPr="007F3E1D">
        <w:rPr>
          <w:rFonts w:ascii="Palatino Linotype" w:hAnsi="Palatino Linotype"/>
          <w:i/>
          <w:iCs/>
          <w:sz w:val="22"/>
          <w:szCs w:val="22"/>
        </w:rPr>
        <w:t>optimizar el</w:t>
      </w:r>
      <w:r w:rsidRPr="007F3E1D">
        <w:rPr>
          <w:rFonts w:ascii="Palatino Linotype" w:hAnsi="Palatino Linotype"/>
          <w:i/>
          <w:iCs/>
          <w:sz w:val="22"/>
          <w:szCs w:val="22"/>
        </w:rPr>
        <w:t xml:space="preserve"> Sistema Anual de Adquisiciones de bienes y Servicios del municipio de Toluca;</w:t>
      </w:r>
    </w:p>
    <w:p w14:paraId="44553590" w14:textId="1655F8EA" w:rsidR="00043101" w:rsidRPr="007F3E1D" w:rsidRDefault="00043101" w:rsidP="007F3E1D">
      <w:pPr>
        <w:pStyle w:val="Sinespaciado"/>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w:t>
      </w:r>
    </w:p>
    <w:p w14:paraId="5611E75A" w14:textId="0F6B5E06"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b/>
          <w:bCs/>
          <w:i/>
          <w:iCs/>
          <w:sz w:val="22"/>
          <w:szCs w:val="22"/>
          <w:u w:val="single"/>
        </w:rPr>
      </w:pPr>
      <w:r w:rsidRPr="007F3E1D">
        <w:rPr>
          <w:rFonts w:ascii="Palatino Linotype" w:hAnsi="Palatino Linotype"/>
          <w:b/>
          <w:bCs/>
          <w:i/>
          <w:iCs/>
          <w:sz w:val="22"/>
          <w:szCs w:val="22"/>
          <w:u w:val="single"/>
        </w:rPr>
        <w:t xml:space="preserve">Adquirir y contratar los bienes y servicios necesarios para los fines del municipio, mediante los procedimientos adquisitivos de licitación pública, invitación restringida o adjudicación directa, de conformidad con la normatividad aplicable; </w:t>
      </w:r>
    </w:p>
    <w:p w14:paraId="7B3AE3E6" w14:textId="466433BC"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lastRenderedPageBreak/>
        <w:t xml:space="preserve"> Identificar, proponer, gestionar, elaborar y formalizar los contratos y/o convenios que sean necesarios para la adquisición de bienes y servicios del municipio de Toluca;</w:t>
      </w:r>
    </w:p>
    <w:p w14:paraId="0944A9E0" w14:textId="44F5B385" w:rsidR="00043101" w:rsidRPr="007F3E1D" w:rsidRDefault="00043101" w:rsidP="007F3E1D">
      <w:pPr>
        <w:pStyle w:val="Sinespaciado"/>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w:t>
      </w:r>
    </w:p>
    <w:p w14:paraId="0C684214" w14:textId="43665F75"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 xml:space="preserve">Contratar, supervisar y evaluar la prestación de servicios especializados que requiera la administración pública municipal;  </w:t>
      </w:r>
    </w:p>
    <w:p w14:paraId="20F4D740" w14:textId="5B49F40C"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Definir y vigilar el cumplimiento de las normas y procedimientos técnicos para la adquisición,</w:t>
      </w:r>
      <w:r w:rsidRPr="007F3E1D">
        <w:rPr>
          <w:i/>
          <w:iCs/>
          <w:sz w:val="22"/>
          <w:szCs w:val="22"/>
        </w:rPr>
        <w:t xml:space="preserve"> </w:t>
      </w:r>
      <w:r w:rsidRPr="007F3E1D">
        <w:rPr>
          <w:rFonts w:ascii="Palatino Linotype" w:hAnsi="Palatino Linotype"/>
          <w:i/>
          <w:iCs/>
          <w:sz w:val="22"/>
          <w:szCs w:val="22"/>
        </w:rPr>
        <w:t>arrendamiento y contratación de los bienes y servicios informáticos que las unidades administrativas requieran para el desarrollo de sus funciones;</w:t>
      </w:r>
    </w:p>
    <w:p w14:paraId="60F07031" w14:textId="3E44C19D" w:rsidR="00043101" w:rsidRPr="007F3E1D" w:rsidRDefault="00043101" w:rsidP="007F3E1D">
      <w:pPr>
        <w:pStyle w:val="Sinespaciado"/>
        <w:spacing w:before="240" w:after="160" w:line="360" w:lineRule="auto"/>
        <w:ind w:left="851" w:right="851"/>
        <w:jc w:val="both"/>
        <w:rPr>
          <w:rFonts w:ascii="Palatino Linotype" w:hAnsi="Palatino Linotype"/>
          <w:i/>
          <w:iCs/>
          <w:sz w:val="22"/>
          <w:szCs w:val="22"/>
        </w:rPr>
      </w:pPr>
      <w:r w:rsidRPr="007F3E1D">
        <w:rPr>
          <w:rFonts w:ascii="Palatino Linotype" w:hAnsi="Palatino Linotype"/>
          <w:i/>
          <w:iCs/>
          <w:sz w:val="22"/>
          <w:szCs w:val="22"/>
        </w:rPr>
        <w:t>(…)</w:t>
      </w:r>
    </w:p>
    <w:p w14:paraId="6EC46E5D" w14:textId="110E59FC" w:rsidR="00043101" w:rsidRPr="007F3E1D" w:rsidRDefault="00043101" w:rsidP="007F3E1D">
      <w:pPr>
        <w:pStyle w:val="Sinespaciado"/>
        <w:numPr>
          <w:ilvl w:val="0"/>
          <w:numId w:val="45"/>
        </w:numPr>
        <w:spacing w:before="240" w:after="160" w:line="360" w:lineRule="auto"/>
        <w:ind w:left="851" w:right="851"/>
        <w:jc w:val="both"/>
        <w:rPr>
          <w:rFonts w:ascii="Palatino Linotype" w:hAnsi="Palatino Linotype"/>
          <w:b/>
          <w:bCs/>
          <w:i/>
          <w:iCs/>
          <w:sz w:val="22"/>
          <w:szCs w:val="22"/>
          <w:u w:val="single"/>
        </w:rPr>
      </w:pPr>
      <w:r w:rsidRPr="007F3E1D">
        <w:rPr>
          <w:rFonts w:ascii="Palatino Linotype" w:hAnsi="Palatino Linotype"/>
          <w:b/>
          <w:bCs/>
          <w:i/>
          <w:iCs/>
          <w:sz w:val="22"/>
          <w:szCs w:val="22"/>
          <w:u w:val="single"/>
        </w:rPr>
        <w:t xml:space="preserve">Supervisar la adquisición y mantenimiento del equipo de cómputo que requieren las áreas de la administración municipal para realizar sus actividades;  </w:t>
      </w:r>
    </w:p>
    <w:p w14:paraId="5D1293E7" w14:textId="5BBCBE4B" w:rsidR="007F3E1D" w:rsidRPr="007F3E1D" w:rsidRDefault="007F3E1D" w:rsidP="007F3E1D">
      <w:pPr>
        <w:pStyle w:val="Sinespaciado"/>
        <w:spacing w:before="240" w:after="160" w:line="360" w:lineRule="auto"/>
        <w:ind w:left="851" w:right="851"/>
        <w:jc w:val="both"/>
        <w:rPr>
          <w:rFonts w:ascii="Palatino Linotype" w:hAnsi="Palatino Linotype"/>
          <w:b/>
          <w:bCs/>
          <w:i/>
          <w:iCs/>
          <w:sz w:val="22"/>
          <w:szCs w:val="22"/>
        </w:rPr>
      </w:pPr>
      <w:r w:rsidRPr="007F3E1D">
        <w:rPr>
          <w:rFonts w:ascii="Palatino Linotype" w:hAnsi="Palatino Linotype"/>
          <w:i/>
          <w:iCs/>
          <w:sz w:val="22"/>
          <w:szCs w:val="22"/>
        </w:rPr>
        <w:t>(…)</w:t>
      </w:r>
      <w:r>
        <w:rPr>
          <w:rFonts w:ascii="Palatino Linotype" w:hAnsi="Palatino Linotype"/>
          <w:i/>
          <w:iCs/>
          <w:sz w:val="22"/>
          <w:szCs w:val="22"/>
        </w:rPr>
        <w:t xml:space="preserve">” </w:t>
      </w:r>
      <w:r>
        <w:rPr>
          <w:rFonts w:ascii="Palatino Linotype" w:hAnsi="Palatino Linotype"/>
          <w:b/>
          <w:bCs/>
          <w:i/>
          <w:iCs/>
          <w:sz w:val="22"/>
          <w:szCs w:val="22"/>
        </w:rPr>
        <w:t>[Sic]</w:t>
      </w:r>
    </w:p>
    <w:p w14:paraId="3CEE6B06" w14:textId="218CA9BC" w:rsidR="007F3E1D" w:rsidRDefault="007F3E1D" w:rsidP="00043101">
      <w:pPr>
        <w:pStyle w:val="Sinespaciado"/>
        <w:spacing w:line="360" w:lineRule="auto"/>
        <w:jc w:val="both"/>
        <w:rPr>
          <w:rFonts w:ascii="Palatino Linotype" w:hAnsi="Palatino Linotype"/>
        </w:rPr>
      </w:pPr>
    </w:p>
    <w:p w14:paraId="730A91F4" w14:textId="29DF2BFD" w:rsidR="002037DE" w:rsidRPr="000F265D" w:rsidRDefault="000F265D" w:rsidP="000F265D">
      <w:pPr>
        <w:pStyle w:val="Sinespaciado"/>
        <w:spacing w:before="240" w:after="160" w:line="360" w:lineRule="auto"/>
        <w:ind w:left="851" w:right="851"/>
        <w:jc w:val="both"/>
        <w:rPr>
          <w:rFonts w:ascii="Palatino Linotype" w:hAnsi="Palatino Linotype"/>
          <w:b/>
          <w:bCs/>
          <w:i/>
          <w:iCs/>
          <w:sz w:val="22"/>
          <w:szCs w:val="22"/>
        </w:rPr>
      </w:pPr>
      <w:r w:rsidRPr="000F265D">
        <w:rPr>
          <w:rFonts w:ascii="Palatino Linotype" w:hAnsi="Palatino Linotype"/>
          <w:b/>
          <w:bCs/>
          <w:i/>
          <w:iCs/>
          <w:sz w:val="22"/>
          <w:szCs w:val="22"/>
        </w:rPr>
        <w:t xml:space="preserve">202001300 SUBDIRECCIÓN DE RECURSOS MATERIALES </w:t>
      </w:r>
    </w:p>
    <w:p w14:paraId="25634A9A" w14:textId="320DD963" w:rsidR="002037DE" w:rsidRPr="000F265D" w:rsidRDefault="000F265D" w:rsidP="000F265D">
      <w:pPr>
        <w:pStyle w:val="Sinespaciado"/>
        <w:spacing w:before="240" w:after="160" w:line="360" w:lineRule="auto"/>
        <w:ind w:left="851" w:right="851"/>
        <w:jc w:val="both"/>
        <w:rPr>
          <w:rFonts w:ascii="Palatino Linotype" w:hAnsi="Palatino Linotype"/>
          <w:b/>
          <w:bCs/>
          <w:i/>
          <w:iCs/>
          <w:sz w:val="22"/>
          <w:szCs w:val="22"/>
        </w:rPr>
      </w:pPr>
      <w:r w:rsidRPr="000F265D">
        <w:rPr>
          <w:rFonts w:ascii="Palatino Linotype" w:hAnsi="Palatino Linotype"/>
          <w:b/>
          <w:bCs/>
          <w:i/>
          <w:iCs/>
          <w:sz w:val="22"/>
          <w:szCs w:val="22"/>
        </w:rPr>
        <w:t xml:space="preserve"> OBJETIVO: </w:t>
      </w:r>
    </w:p>
    <w:p w14:paraId="6D31BC4D" w14:textId="3A0B2B59" w:rsidR="002037DE" w:rsidRPr="000F265D" w:rsidRDefault="002037DE" w:rsidP="000F265D">
      <w:pPr>
        <w:pStyle w:val="Sinespaciado"/>
        <w:numPr>
          <w:ilvl w:val="0"/>
          <w:numId w:val="45"/>
        </w:numPr>
        <w:spacing w:before="240" w:after="160" w:line="360" w:lineRule="auto"/>
        <w:ind w:left="851" w:right="851"/>
        <w:jc w:val="both"/>
        <w:rPr>
          <w:rFonts w:ascii="Palatino Linotype" w:hAnsi="Palatino Linotype"/>
          <w:i/>
          <w:iCs/>
          <w:sz w:val="22"/>
          <w:szCs w:val="22"/>
        </w:rPr>
      </w:pPr>
      <w:r w:rsidRPr="000F265D">
        <w:rPr>
          <w:rFonts w:ascii="Palatino Linotype" w:hAnsi="Palatino Linotype"/>
          <w:i/>
          <w:iCs/>
          <w:sz w:val="22"/>
          <w:szCs w:val="22"/>
        </w:rPr>
        <w:t xml:space="preserve">Planear, coordinar, supervisar, controlar y cumplir con los procedimientos normativos, tendientes a satisfacer de manera oportuna la adquisición, suministro, contratación, mantenimiento y servicios requeridos por las dependencias y órganos desconcentrados de la administración pública municipal. </w:t>
      </w:r>
    </w:p>
    <w:p w14:paraId="7CFFC7AC" w14:textId="79FF07EC" w:rsidR="006A1E31" w:rsidRPr="000F265D" w:rsidRDefault="002037DE" w:rsidP="000F265D">
      <w:pPr>
        <w:pStyle w:val="Sinespaciado"/>
        <w:spacing w:before="240" w:after="160" w:line="360" w:lineRule="auto"/>
        <w:ind w:left="851" w:right="851"/>
        <w:jc w:val="both"/>
        <w:rPr>
          <w:rFonts w:ascii="Palatino Linotype" w:hAnsi="Palatino Linotype"/>
          <w:b/>
          <w:bCs/>
          <w:i/>
          <w:iCs/>
          <w:sz w:val="22"/>
          <w:szCs w:val="22"/>
        </w:rPr>
      </w:pPr>
      <w:r w:rsidRPr="000F265D">
        <w:rPr>
          <w:rFonts w:ascii="Palatino Linotype" w:hAnsi="Palatino Linotype"/>
          <w:b/>
          <w:bCs/>
          <w:i/>
          <w:iCs/>
          <w:sz w:val="22"/>
          <w:szCs w:val="22"/>
        </w:rPr>
        <w:lastRenderedPageBreak/>
        <w:t xml:space="preserve"> FUNCIONES:</w:t>
      </w:r>
    </w:p>
    <w:p w14:paraId="276AE8A4" w14:textId="3E35E6D6" w:rsidR="002037DE" w:rsidRPr="000F265D" w:rsidRDefault="002037DE" w:rsidP="000F265D">
      <w:pPr>
        <w:pStyle w:val="Sinespaciado"/>
        <w:numPr>
          <w:ilvl w:val="0"/>
          <w:numId w:val="45"/>
        </w:numPr>
        <w:spacing w:before="240" w:after="160" w:line="360" w:lineRule="auto"/>
        <w:ind w:left="851" w:right="851"/>
        <w:jc w:val="both"/>
        <w:rPr>
          <w:rFonts w:ascii="Palatino Linotype" w:hAnsi="Palatino Linotype"/>
          <w:i/>
          <w:iCs/>
          <w:sz w:val="22"/>
          <w:szCs w:val="22"/>
        </w:rPr>
      </w:pPr>
      <w:r w:rsidRPr="000F265D">
        <w:rPr>
          <w:rFonts w:ascii="Palatino Linotype" w:hAnsi="Palatino Linotype"/>
          <w:i/>
          <w:iCs/>
          <w:sz w:val="22"/>
          <w:szCs w:val="22"/>
        </w:rPr>
        <w:t>Verificar y vigilar que los procedimientos adquisitivos sobre bienes y servicios estén apegados a los lineamientos legales establecidos en la Ley de Contratación Pública del Estado de México y Municipios, Ley de Adquisiciones, Arrendamientos y Servicios del Sector Público y sus Reglamentos, así como lo estipulado en los contratos respectivos;</w:t>
      </w:r>
    </w:p>
    <w:p w14:paraId="6761ABB4" w14:textId="514DCD11" w:rsidR="002037DE" w:rsidRPr="000F265D" w:rsidRDefault="002037DE" w:rsidP="000F265D">
      <w:pPr>
        <w:pStyle w:val="Sinespaciado"/>
        <w:spacing w:before="240" w:after="160" w:line="360" w:lineRule="auto"/>
        <w:ind w:left="851" w:right="851"/>
        <w:jc w:val="both"/>
        <w:rPr>
          <w:rFonts w:ascii="Palatino Linotype" w:hAnsi="Palatino Linotype"/>
          <w:i/>
          <w:iCs/>
          <w:sz w:val="22"/>
          <w:szCs w:val="22"/>
        </w:rPr>
      </w:pPr>
      <w:r w:rsidRPr="000F265D">
        <w:rPr>
          <w:rFonts w:ascii="Palatino Linotype" w:hAnsi="Palatino Linotype"/>
          <w:i/>
          <w:iCs/>
          <w:sz w:val="22"/>
          <w:szCs w:val="22"/>
        </w:rPr>
        <w:t>(…)</w:t>
      </w:r>
    </w:p>
    <w:p w14:paraId="1C0052EF" w14:textId="35067CEB" w:rsidR="002037DE" w:rsidRPr="000F265D" w:rsidRDefault="002037DE" w:rsidP="000F265D">
      <w:pPr>
        <w:pStyle w:val="Sinespaciado"/>
        <w:numPr>
          <w:ilvl w:val="0"/>
          <w:numId w:val="45"/>
        </w:numPr>
        <w:spacing w:before="240" w:after="160" w:line="360" w:lineRule="auto"/>
        <w:ind w:left="851" w:right="851"/>
        <w:jc w:val="both"/>
        <w:rPr>
          <w:rFonts w:ascii="Palatino Linotype" w:hAnsi="Palatino Linotype"/>
          <w:b/>
          <w:bCs/>
          <w:i/>
          <w:iCs/>
          <w:sz w:val="22"/>
          <w:szCs w:val="22"/>
          <w:u w:val="single"/>
        </w:rPr>
      </w:pPr>
      <w:r w:rsidRPr="000F265D">
        <w:rPr>
          <w:rFonts w:ascii="Palatino Linotype" w:hAnsi="Palatino Linotype"/>
          <w:b/>
          <w:bCs/>
          <w:i/>
          <w:iCs/>
          <w:sz w:val="22"/>
          <w:szCs w:val="22"/>
          <w:u w:val="single"/>
        </w:rPr>
        <w:t xml:space="preserve">Planear, organizar y dirigir los procedimientos adquisitivos para garantizar que se lleven a cabo con eficiencia, imparcialidad, transparencia y honradez, a favor del abastecimiento oportuno de los bienes y la prestación de servicios, que cubran las necesidades y los requerimientos de las dependencias y órganos desconcentrados; </w:t>
      </w:r>
    </w:p>
    <w:p w14:paraId="30C0E071" w14:textId="47DFD994" w:rsidR="002037DE" w:rsidRDefault="002037DE" w:rsidP="000F265D">
      <w:pPr>
        <w:pStyle w:val="Sinespaciado"/>
        <w:numPr>
          <w:ilvl w:val="0"/>
          <w:numId w:val="45"/>
        </w:numPr>
        <w:spacing w:before="240" w:after="160" w:line="360" w:lineRule="auto"/>
        <w:ind w:left="851" w:right="851"/>
        <w:jc w:val="both"/>
        <w:rPr>
          <w:rFonts w:ascii="Palatino Linotype" w:hAnsi="Palatino Linotype"/>
          <w:i/>
          <w:iCs/>
          <w:sz w:val="22"/>
          <w:szCs w:val="22"/>
        </w:rPr>
      </w:pPr>
      <w:r w:rsidRPr="000F265D">
        <w:rPr>
          <w:rFonts w:ascii="Palatino Linotype" w:hAnsi="Palatino Linotype"/>
          <w:i/>
          <w:iCs/>
          <w:sz w:val="22"/>
          <w:szCs w:val="22"/>
        </w:rPr>
        <w:t xml:space="preserve"> Recibir, revisar y aprobar las solicitudes de adquisición y la contratación de servicios que sean requeridas por las áreas;</w:t>
      </w:r>
    </w:p>
    <w:p w14:paraId="71AACB85" w14:textId="1DC1DA92" w:rsidR="000F265D" w:rsidRPr="000F265D" w:rsidRDefault="000F265D" w:rsidP="000F265D">
      <w:pPr>
        <w:pStyle w:val="Sinespaciado"/>
        <w:spacing w:before="240" w:after="160" w:line="360" w:lineRule="auto"/>
        <w:ind w:left="851" w:right="851"/>
        <w:jc w:val="both"/>
        <w:rPr>
          <w:rFonts w:ascii="Palatino Linotype" w:hAnsi="Palatino Linotype"/>
          <w:b/>
          <w:bCs/>
          <w:i/>
          <w:iCs/>
          <w:sz w:val="22"/>
          <w:szCs w:val="22"/>
        </w:rPr>
      </w:pPr>
      <w:r>
        <w:rPr>
          <w:rFonts w:ascii="Palatino Linotype" w:hAnsi="Palatino Linotype"/>
          <w:i/>
          <w:iCs/>
          <w:sz w:val="22"/>
          <w:szCs w:val="22"/>
        </w:rPr>
        <w:t xml:space="preserve">(…)” </w:t>
      </w:r>
      <w:r>
        <w:rPr>
          <w:rFonts w:ascii="Palatino Linotype" w:hAnsi="Palatino Linotype"/>
          <w:b/>
          <w:bCs/>
          <w:i/>
          <w:iCs/>
          <w:sz w:val="22"/>
          <w:szCs w:val="22"/>
        </w:rPr>
        <w:t>[Sic]</w:t>
      </w:r>
    </w:p>
    <w:p w14:paraId="7A1F2973" w14:textId="188625B4" w:rsidR="002037DE" w:rsidRDefault="002037DE" w:rsidP="002037DE">
      <w:pPr>
        <w:pStyle w:val="Sinespaciado"/>
        <w:spacing w:line="360" w:lineRule="auto"/>
        <w:jc w:val="both"/>
        <w:rPr>
          <w:rFonts w:ascii="Palatino Linotype" w:hAnsi="Palatino Linotype"/>
        </w:rPr>
      </w:pPr>
    </w:p>
    <w:p w14:paraId="6DE51432" w14:textId="77777777" w:rsidR="002037DE" w:rsidRDefault="002037DE" w:rsidP="002037DE">
      <w:pPr>
        <w:pStyle w:val="Sinespaciado"/>
        <w:spacing w:line="360" w:lineRule="auto"/>
        <w:jc w:val="both"/>
        <w:rPr>
          <w:rFonts w:ascii="Palatino Linotype" w:hAnsi="Palatino Linotype"/>
        </w:rPr>
      </w:pPr>
    </w:p>
    <w:p w14:paraId="250E87C8" w14:textId="10F87E21" w:rsidR="00290FD4" w:rsidRDefault="00CA3D18" w:rsidP="00CA3D18">
      <w:pPr>
        <w:pStyle w:val="Sinespaciado"/>
        <w:spacing w:line="360" w:lineRule="auto"/>
        <w:jc w:val="both"/>
        <w:rPr>
          <w:rFonts w:ascii="Palatino Linotype" w:hAnsi="Palatino Linotype"/>
        </w:rPr>
      </w:pPr>
      <w:r w:rsidRPr="007E69B4">
        <w:rPr>
          <w:rFonts w:ascii="Palatino Linotype" w:hAnsi="Palatino Linotype"/>
        </w:rPr>
        <w:t>Por otra parte, como fue</w:t>
      </w:r>
      <w:r w:rsidR="00043101" w:rsidRPr="00043101">
        <w:rPr>
          <w:rFonts w:ascii="Palatino Linotype" w:hAnsi="Palatino Linotype"/>
          <w:noProof/>
        </w:rPr>
        <w:t xml:space="preserve"> </w:t>
      </w:r>
      <w:r w:rsidRPr="007E69B4">
        <w:rPr>
          <w:rFonts w:ascii="Palatino Linotype" w:hAnsi="Palatino Linotype"/>
        </w:rPr>
        <w:t xml:space="preserve"> mencionado en el antecedente quinto, una vez abierta la etapa de instrucción se puntualiza que </w:t>
      </w:r>
      <w:r w:rsidR="00F05716" w:rsidRPr="007E69B4">
        <w:rPr>
          <w:rFonts w:ascii="Palatino Linotype" w:hAnsi="Palatino Linotype"/>
          <w:b/>
        </w:rPr>
        <w:t xml:space="preserve">El Sujeto Obligado </w:t>
      </w:r>
      <w:r w:rsidR="00290FD4">
        <w:rPr>
          <w:rFonts w:ascii="Palatino Linotype" w:hAnsi="Palatino Linotype"/>
        </w:rPr>
        <w:t>rindió su informe justificado</w:t>
      </w:r>
      <w:r w:rsidR="00D1498A">
        <w:rPr>
          <w:rFonts w:ascii="Palatino Linotype" w:hAnsi="Palatino Linotype"/>
        </w:rPr>
        <w:t>, mismo que fue puesto a la vista de</w:t>
      </w:r>
      <w:r w:rsidR="000F265D">
        <w:rPr>
          <w:rFonts w:ascii="Palatino Linotype" w:hAnsi="Palatino Linotype"/>
        </w:rPr>
        <w:t>l</w:t>
      </w:r>
      <w:r w:rsidR="00D1498A">
        <w:rPr>
          <w:rFonts w:ascii="Palatino Linotype" w:hAnsi="Palatino Linotype"/>
        </w:rPr>
        <w:t xml:space="preserve"> particular al modificar </w:t>
      </w:r>
      <w:r w:rsidR="00392BFB">
        <w:rPr>
          <w:rFonts w:ascii="Palatino Linotype" w:hAnsi="Palatino Linotype"/>
        </w:rPr>
        <w:t xml:space="preserve">sustancialmente </w:t>
      </w:r>
      <w:r w:rsidR="00D1498A">
        <w:rPr>
          <w:rFonts w:ascii="Palatino Linotype" w:hAnsi="Palatino Linotype"/>
        </w:rPr>
        <w:t>la respuesta primigenia, lo anterior con fundamento en el artículo 185, fracción III d</w:t>
      </w:r>
      <w:r w:rsidR="00392BFB">
        <w:rPr>
          <w:rFonts w:ascii="Palatino Linotype" w:hAnsi="Palatino Linotype"/>
        </w:rPr>
        <w:t>e la Ley de transparencia local.</w:t>
      </w:r>
      <w:r w:rsidR="00D1498A">
        <w:rPr>
          <w:rFonts w:ascii="Palatino Linotype" w:hAnsi="Palatino Linotype"/>
        </w:rPr>
        <w:t xml:space="preserve"> Dicho informe se nutre de los siguientes documentos electrónicos: </w:t>
      </w:r>
    </w:p>
    <w:p w14:paraId="4A25EE68" w14:textId="59FE4190" w:rsidR="0005428D" w:rsidRPr="0005428D" w:rsidRDefault="0005428D" w:rsidP="0005428D">
      <w:pPr>
        <w:pStyle w:val="Prrafodelista"/>
        <w:numPr>
          <w:ilvl w:val="0"/>
          <w:numId w:val="46"/>
        </w:numPr>
        <w:autoSpaceDE w:val="0"/>
        <w:autoSpaceDN w:val="0"/>
        <w:adjustRightInd w:val="0"/>
        <w:spacing w:before="240" w:line="360" w:lineRule="auto"/>
        <w:jc w:val="both"/>
        <w:rPr>
          <w:rFonts w:ascii="Palatino Linotype" w:hAnsi="Palatino Linotype"/>
          <w:i/>
        </w:rPr>
      </w:pPr>
      <w:r>
        <w:rPr>
          <w:rFonts w:ascii="Palatino Linotype" w:hAnsi="Palatino Linotype"/>
          <w:b/>
          <w:bCs/>
          <w:iCs/>
        </w:rPr>
        <w:lastRenderedPageBreak/>
        <w:t xml:space="preserve">“ANEXOS DEL RR 03215.pdf”: </w:t>
      </w:r>
      <w:r>
        <w:rPr>
          <w:rFonts w:ascii="Palatino Linotype" w:hAnsi="Palatino Linotype"/>
          <w:iCs/>
        </w:rPr>
        <w:t>Compila lo siguiente:</w:t>
      </w:r>
    </w:p>
    <w:p w14:paraId="0A261113" w14:textId="3969D73F" w:rsidR="0005428D" w:rsidRPr="0005428D" w:rsidRDefault="0005428D" w:rsidP="0005428D">
      <w:pPr>
        <w:pStyle w:val="Prrafodelista"/>
        <w:numPr>
          <w:ilvl w:val="0"/>
          <w:numId w:val="45"/>
        </w:numPr>
        <w:autoSpaceDE w:val="0"/>
        <w:autoSpaceDN w:val="0"/>
        <w:adjustRightInd w:val="0"/>
        <w:spacing w:before="240" w:line="360" w:lineRule="auto"/>
        <w:jc w:val="both"/>
        <w:rPr>
          <w:rFonts w:ascii="Palatino Linotype" w:hAnsi="Palatino Linotype"/>
          <w:b/>
          <w:bCs/>
          <w:iCs/>
        </w:rPr>
      </w:pPr>
      <w:r>
        <w:rPr>
          <w:rFonts w:ascii="Palatino Linotype" w:hAnsi="Palatino Linotype"/>
          <w:b/>
          <w:bCs/>
          <w:iCs/>
        </w:rPr>
        <w:t xml:space="preserve">Oficio UT/709/2019 </w:t>
      </w:r>
      <w:r>
        <w:rPr>
          <w:rFonts w:ascii="Palatino Linotype" w:hAnsi="Palatino Linotype"/>
          <w:iCs/>
        </w:rPr>
        <w:t>signado por la Titular de la Unidad de Transparencia y dirigido al Director General de Administración y Servidor Público Habilitado, solicita le sea remitida la información requerida con el objetivo de rendir el informe justificado; de fecha ocho de mayo de los corrientes.</w:t>
      </w:r>
    </w:p>
    <w:p w14:paraId="2C7350F9" w14:textId="6356A3EA" w:rsidR="0005428D" w:rsidRPr="00AD32E0" w:rsidRDefault="0005428D" w:rsidP="0005428D">
      <w:pPr>
        <w:pStyle w:val="Prrafodelista"/>
        <w:numPr>
          <w:ilvl w:val="0"/>
          <w:numId w:val="45"/>
        </w:numPr>
        <w:autoSpaceDE w:val="0"/>
        <w:autoSpaceDN w:val="0"/>
        <w:adjustRightInd w:val="0"/>
        <w:spacing w:before="240" w:line="360" w:lineRule="auto"/>
        <w:jc w:val="both"/>
        <w:rPr>
          <w:rFonts w:ascii="Palatino Linotype" w:hAnsi="Palatino Linotype"/>
          <w:b/>
          <w:bCs/>
          <w:iCs/>
        </w:rPr>
      </w:pPr>
      <w:r>
        <w:rPr>
          <w:rFonts w:ascii="Palatino Linotype" w:hAnsi="Palatino Linotype"/>
          <w:b/>
          <w:bCs/>
          <w:iCs/>
        </w:rPr>
        <w:t xml:space="preserve">Oficio UT/710/2019 </w:t>
      </w:r>
      <w:r>
        <w:rPr>
          <w:rFonts w:ascii="Palatino Linotype" w:hAnsi="Palatino Linotype"/>
          <w:iCs/>
        </w:rPr>
        <w:t xml:space="preserve">signado por el Titular de la Unidad de Transparencia y dirigido al Director General del Instituto Municipal de Cultura Física y Deporte de Toluca, </w:t>
      </w:r>
      <w:r w:rsidR="00AD32E0">
        <w:rPr>
          <w:rFonts w:ascii="Palatino Linotype" w:hAnsi="Palatino Linotype"/>
          <w:iCs/>
        </w:rPr>
        <w:t>solicita le sea remitida la información requerida con el objetivo de rendir el informe justificado; de fecha ocho de mayo de los corrientes.</w:t>
      </w:r>
    </w:p>
    <w:p w14:paraId="47A7C515" w14:textId="48934A16" w:rsidR="00AD32E0" w:rsidRPr="00C134D9" w:rsidRDefault="00AD32E0" w:rsidP="0005428D">
      <w:pPr>
        <w:pStyle w:val="Prrafodelista"/>
        <w:numPr>
          <w:ilvl w:val="0"/>
          <w:numId w:val="45"/>
        </w:numPr>
        <w:autoSpaceDE w:val="0"/>
        <w:autoSpaceDN w:val="0"/>
        <w:adjustRightInd w:val="0"/>
        <w:spacing w:before="240" w:line="360" w:lineRule="auto"/>
        <w:jc w:val="both"/>
        <w:rPr>
          <w:rFonts w:ascii="Palatino Linotype" w:hAnsi="Palatino Linotype"/>
          <w:b/>
          <w:bCs/>
          <w:iCs/>
        </w:rPr>
      </w:pPr>
      <w:r>
        <w:rPr>
          <w:rFonts w:ascii="Palatino Linotype" w:hAnsi="Palatino Linotype"/>
          <w:b/>
          <w:bCs/>
          <w:iCs/>
        </w:rPr>
        <w:t>Oficio DGA/1953/2019</w:t>
      </w:r>
      <w:r w:rsidR="005D4D4D">
        <w:rPr>
          <w:rFonts w:ascii="Palatino Linotype" w:hAnsi="Palatino Linotype"/>
          <w:b/>
          <w:bCs/>
          <w:iCs/>
        </w:rPr>
        <w:t xml:space="preserve"> </w:t>
      </w:r>
      <w:r w:rsidR="005D4D4D">
        <w:rPr>
          <w:rFonts w:ascii="Palatino Linotype" w:hAnsi="Palatino Linotype"/>
          <w:iCs/>
        </w:rPr>
        <w:t xml:space="preserve">signado por el Director General de Administración y dirigido a la Titular de la Unidad de Transparencia, mediante el cual en lo medular </w:t>
      </w:r>
      <w:r w:rsidR="00C134D9">
        <w:rPr>
          <w:rFonts w:ascii="Palatino Linotype" w:hAnsi="Palatino Linotype"/>
          <w:iCs/>
        </w:rPr>
        <w:t>confirma la respuesta primigenia; de fecha trece de mayo de los corrientes.</w:t>
      </w:r>
    </w:p>
    <w:p w14:paraId="12DF7A09" w14:textId="2FE18AC4" w:rsidR="00C134D9" w:rsidRPr="00C134D9" w:rsidRDefault="00C134D9" w:rsidP="0005428D">
      <w:pPr>
        <w:pStyle w:val="Prrafodelista"/>
        <w:numPr>
          <w:ilvl w:val="0"/>
          <w:numId w:val="45"/>
        </w:numPr>
        <w:autoSpaceDE w:val="0"/>
        <w:autoSpaceDN w:val="0"/>
        <w:adjustRightInd w:val="0"/>
        <w:spacing w:before="240" w:line="360" w:lineRule="auto"/>
        <w:jc w:val="both"/>
        <w:rPr>
          <w:rFonts w:ascii="Palatino Linotype" w:hAnsi="Palatino Linotype"/>
          <w:b/>
          <w:bCs/>
          <w:iCs/>
        </w:rPr>
      </w:pPr>
      <w:r>
        <w:rPr>
          <w:rFonts w:ascii="Palatino Linotype" w:hAnsi="Palatino Linotype"/>
          <w:b/>
          <w:bCs/>
          <w:iCs/>
        </w:rPr>
        <w:t xml:space="preserve">Oficio DRM/676/2019 </w:t>
      </w:r>
      <w:r>
        <w:rPr>
          <w:rFonts w:ascii="Palatino Linotype" w:hAnsi="Palatino Linotype"/>
          <w:iCs/>
        </w:rPr>
        <w:t>signado por el Director de Recursos Materiales y dirigido al Servidor Público Habilitado de la Dirección General de Administración, manifiesta que durante el periodo comprendido del uno de enero al nueve de mayo de dos mil diecinueve no se han adquirido o arrendado equipos de cómputo.</w:t>
      </w:r>
    </w:p>
    <w:p w14:paraId="558E1CBD" w14:textId="382B1DF7" w:rsidR="00C134D9" w:rsidRPr="00C134D9" w:rsidRDefault="00C134D9" w:rsidP="0005428D">
      <w:pPr>
        <w:pStyle w:val="Prrafodelista"/>
        <w:numPr>
          <w:ilvl w:val="0"/>
          <w:numId w:val="45"/>
        </w:numPr>
        <w:autoSpaceDE w:val="0"/>
        <w:autoSpaceDN w:val="0"/>
        <w:adjustRightInd w:val="0"/>
        <w:spacing w:before="240" w:line="360" w:lineRule="auto"/>
        <w:jc w:val="both"/>
        <w:rPr>
          <w:rFonts w:ascii="Palatino Linotype" w:hAnsi="Palatino Linotype"/>
          <w:b/>
          <w:bCs/>
          <w:iCs/>
        </w:rPr>
      </w:pPr>
      <w:r>
        <w:rPr>
          <w:rFonts w:ascii="Palatino Linotype" w:hAnsi="Palatino Linotype"/>
          <w:b/>
          <w:bCs/>
          <w:iCs/>
        </w:rPr>
        <w:t xml:space="preserve">Oficio DRM/247/2019 </w:t>
      </w:r>
      <w:r>
        <w:rPr>
          <w:rFonts w:ascii="Palatino Linotype" w:hAnsi="Palatino Linotype"/>
          <w:iCs/>
        </w:rPr>
        <w:t xml:space="preserve">signado por el Director de Recursos Materiales y dirigido al Servidor Público Habilitado de la Dirección General de Administración, manifiesta </w:t>
      </w:r>
      <w:r w:rsidR="00DF53D6">
        <w:rPr>
          <w:rFonts w:ascii="Palatino Linotype" w:hAnsi="Palatino Linotype"/>
          <w:iCs/>
        </w:rPr>
        <w:t>que durante</w:t>
      </w:r>
      <w:r>
        <w:rPr>
          <w:rFonts w:ascii="Palatino Linotype" w:hAnsi="Palatino Linotype"/>
          <w:iCs/>
        </w:rPr>
        <w:t xml:space="preserve"> el periodo comprendido del uno </w:t>
      </w:r>
      <w:r>
        <w:rPr>
          <w:rFonts w:ascii="Palatino Linotype" w:hAnsi="Palatino Linotype"/>
          <w:iCs/>
        </w:rPr>
        <w:lastRenderedPageBreak/>
        <w:t>de enero al quince de marzo de dos mil diecinueve no se han adquirido o arrendado equipos de cómputo.</w:t>
      </w:r>
    </w:p>
    <w:p w14:paraId="399466DF" w14:textId="72BE52D0" w:rsidR="00C134D9" w:rsidRPr="0005428D" w:rsidRDefault="00C134D9" w:rsidP="0005428D">
      <w:pPr>
        <w:pStyle w:val="Prrafodelista"/>
        <w:numPr>
          <w:ilvl w:val="0"/>
          <w:numId w:val="45"/>
        </w:numPr>
        <w:autoSpaceDE w:val="0"/>
        <w:autoSpaceDN w:val="0"/>
        <w:adjustRightInd w:val="0"/>
        <w:spacing w:before="240" w:line="360" w:lineRule="auto"/>
        <w:jc w:val="both"/>
        <w:rPr>
          <w:rFonts w:ascii="Palatino Linotype" w:hAnsi="Palatino Linotype"/>
          <w:b/>
          <w:bCs/>
          <w:iCs/>
        </w:rPr>
      </w:pPr>
      <w:r>
        <w:rPr>
          <w:rFonts w:ascii="Palatino Linotype" w:hAnsi="Palatino Linotype"/>
          <w:iCs/>
        </w:rPr>
        <w:t xml:space="preserve">Oficio </w:t>
      </w:r>
      <w:r>
        <w:rPr>
          <w:rFonts w:ascii="Palatino Linotype" w:hAnsi="Palatino Linotype"/>
          <w:b/>
          <w:bCs/>
          <w:iCs/>
        </w:rPr>
        <w:t xml:space="preserve">IMCUFIDET/347/2019 </w:t>
      </w:r>
      <w:r>
        <w:rPr>
          <w:rFonts w:ascii="Palatino Linotype" w:hAnsi="Palatino Linotype"/>
          <w:iCs/>
        </w:rPr>
        <w:t xml:space="preserve">signado por el Director General del </w:t>
      </w:r>
      <w:r w:rsidRPr="00DF53D6">
        <w:rPr>
          <w:rFonts w:ascii="Palatino Linotype" w:hAnsi="Palatino Linotype"/>
          <w:b/>
          <w:bCs/>
          <w:iCs/>
        </w:rPr>
        <w:t>IMCUFIDET</w:t>
      </w:r>
      <w:r>
        <w:rPr>
          <w:rFonts w:ascii="Palatino Linotype" w:hAnsi="Palatino Linotype"/>
          <w:iCs/>
        </w:rPr>
        <w:t xml:space="preserve"> y dirigido a la Titular de la Unidad de Transparencia, manifiesta que no resulta ámbito de su esfera competencial </w:t>
      </w:r>
      <w:r w:rsidR="00B96DD3">
        <w:rPr>
          <w:rFonts w:ascii="Palatino Linotype" w:hAnsi="Palatino Linotype"/>
          <w:iCs/>
        </w:rPr>
        <w:t xml:space="preserve">la celebración de licitaciones, restringidas o adjudicaciones; de fecha trece de mayo de dos mil diecinueve. </w:t>
      </w:r>
    </w:p>
    <w:p w14:paraId="2B0C8BD9" w14:textId="4D0371E3" w:rsidR="00C018A3" w:rsidRPr="0005428D" w:rsidRDefault="0005428D" w:rsidP="0005428D">
      <w:pPr>
        <w:pStyle w:val="Prrafodelista"/>
        <w:numPr>
          <w:ilvl w:val="0"/>
          <w:numId w:val="46"/>
        </w:numPr>
        <w:autoSpaceDE w:val="0"/>
        <w:autoSpaceDN w:val="0"/>
        <w:adjustRightInd w:val="0"/>
        <w:spacing w:before="240" w:line="360" w:lineRule="auto"/>
        <w:jc w:val="both"/>
        <w:rPr>
          <w:rFonts w:ascii="Palatino Linotype" w:hAnsi="Palatino Linotype"/>
          <w:i/>
        </w:rPr>
      </w:pPr>
      <w:r>
        <w:rPr>
          <w:rFonts w:ascii="Palatino Linotype" w:hAnsi="Palatino Linotype"/>
          <w:b/>
          <w:bCs/>
          <w:iCs/>
        </w:rPr>
        <w:t xml:space="preserve">“INF JUSTIF DEL RR 03215.pdf”: </w:t>
      </w:r>
      <w:r w:rsidR="00B96DD3">
        <w:rPr>
          <w:rFonts w:ascii="Palatino Linotype" w:hAnsi="Palatino Linotype"/>
          <w:iCs/>
        </w:rPr>
        <w:t xml:space="preserve">Informe justificado signado por la Titular de la Unidad de Transparencia y dirigido a la Comisionada Ponente, en lo medular </w:t>
      </w:r>
      <w:r w:rsidR="00DF53D6">
        <w:rPr>
          <w:rFonts w:ascii="Palatino Linotype" w:hAnsi="Palatino Linotype"/>
          <w:iCs/>
        </w:rPr>
        <w:t>describe</w:t>
      </w:r>
      <w:r w:rsidR="00B96DD3">
        <w:rPr>
          <w:rFonts w:ascii="Palatino Linotype" w:hAnsi="Palatino Linotype"/>
          <w:iCs/>
        </w:rPr>
        <w:t xml:space="preserve"> el contenido de los soportes documentales previamente </w:t>
      </w:r>
      <w:r w:rsidR="00DF53D6">
        <w:rPr>
          <w:rFonts w:ascii="Palatino Linotype" w:hAnsi="Palatino Linotype"/>
          <w:iCs/>
        </w:rPr>
        <w:t>aludidos</w:t>
      </w:r>
      <w:r w:rsidR="00B96DD3">
        <w:rPr>
          <w:rFonts w:ascii="Palatino Linotype" w:hAnsi="Palatino Linotype"/>
          <w:iCs/>
        </w:rPr>
        <w:t xml:space="preserve">, consistente en tres fojas; </w:t>
      </w:r>
      <w:r w:rsidR="00DF53D6">
        <w:rPr>
          <w:rFonts w:ascii="Palatino Linotype" w:hAnsi="Palatino Linotype"/>
          <w:iCs/>
        </w:rPr>
        <w:t xml:space="preserve">de fecha </w:t>
      </w:r>
      <w:r w:rsidR="00B96DD3">
        <w:rPr>
          <w:rFonts w:ascii="Palatino Linotype" w:hAnsi="Palatino Linotype"/>
          <w:iCs/>
        </w:rPr>
        <w:t xml:space="preserve">dieciséis de mayo de dos mil diecinueve. </w:t>
      </w:r>
      <w:r w:rsidR="00B96DD3">
        <w:rPr>
          <w:rFonts w:ascii="Palatino Linotype" w:hAnsi="Palatino Linotype"/>
          <w:iCs/>
        </w:rPr>
        <w:tab/>
      </w:r>
    </w:p>
    <w:p w14:paraId="0122D35F" w14:textId="598C4D85" w:rsidR="00B96DD3" w:rsidRPr="00B96DD3" w:rsidRDefault="00C018A3" w:rsidP="00C018A3">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Hasta aquí lo expuesto, se desprende que mediante el </w:t>
      </w:r>
      <w:r w:rsidR="00B96DD3">
        <w:rPr>
          <w:rFonts w:ascii="Palatino Linotype" w:hAnsi="Palatino Linotype"/>
          <w:sz w:val="24"/>
          <w:szCs w:val="24"/>
        </w:rPr>
        <w:t xml:space="preserve">informe justificado </w:t>
      </w:r>
      <w:r w:rsidR="00B96DD3">
        <w:rPr>
          <w:rFonts w:ascii="Palatino Linotype" w:hAnsi="Palatino Linotype"/>
          <w:b/>
          <w:bCs/>
          <w:sz w:val="24"/>
          <w:szCs w:val="24"/>
        </w:rPr>
        <w:t xml:space="preserve">El Sujeto Obligado </w:t>
      </w:r>
      <w:r w:rsidR="00B96DD3">
        <w:rPr>
          <w:rFonts w:ascii="Palatino Linotype" w:hAnsi="Palatino Linotype"/>
          <w:sz w:val="24"/>
          <w:szCs w:val="24"/>
        </w:rPr>
        <w:t xml:space="preserve">remitió los soportes documentales que acreditan la </w:t>
      </w:r>
      <w:r w:rsidR="005F709F">
        <w:rPr>
          <w:rFonts w:ascii="Palatino Linotype" w:hAnsi="Palatino Linotype"/>
          <w:sz w:val="24"/>
          <w:szCs w:val="24"/>
        </w:rPr>
        <w:t xml:space="preserve">búsqueda exhaustiva y razonable en los archivos de los servidores públicos habilitados competentes, </w:t>
      </w:r>
      <w:r w:rsidR="00DF53D6">
        <w:rPr>
          <w:rFonts w:ascii="Palatino Linotype" w:hAnsi="Palatino Linotype"/>
          <w:sz w:val="24"/>
          <w:szCs w:val="24"/>
        </w:rPr>
        <w:t>en los cuales</w:t>
      </w:r>
      <w:r w:rsidR="005F709F">
        <w:rPr>
          <w:rFonts w:ascii="Palatino Linotype" w:hAnsi="Palatino Linotype"/>
          <w:b/>
          <w:bCs/>
          <w:sz w:val="24"/>
          <w:szCs w:val="24"/>
        </w:rPr>
        <w:t xml:space="preserve"> </w:t>
      </w:r>
      <w:r w:rsidR="005F709F">
        <w:rPr>
          <w:rFonts w:ascii="Palatino Linotype" w:hAnsi="Palatino Linotype"/>
          <w:sz w:val="24"/>
          <w:szCs w:val="24"/>
        </w:rPr>
        <w:t xml:space="preserve">no obran documentos que reflejen licitaciones públicas, invitaciones restringidas o adjudicaciones directas relativas a la adquisición o arrendamiento de equipo de </w:t>
      </w:r>
      <w:proofErr w:type="spellStart"/>
      <w:r w:rsidR="005F709F">
        <w:rPr>
          <w:rFonts w:ascii="Palatino Linotype" w:hAnsi="Palatino Linotype"/>
          <w:sz w:val="24"/>
          <w:szCs w:val="24"/>
        </w:rPr>
        <w:t>computo</w:t>
      </w:r>
      <w:proofErr w:type="spellEnd"/>
      <w:r w:rsidR="005F709F">
        <w:rPr>
          <w:rFonts w:ascii="Palatino Linotype" w:hAnsi="Palatino Linotype"/>
          <w:sz w:val="24"/>
          <w:szCs w:val="24"/>
        </w:rPr>
        <w:t xml:space="preserve"> </w:t>
      </w:r>
      <w:r w:rsidR="00DF53D6">
        <w:rPr>
          <w:rFonts w:ascii="Palatino Linotype" w:hAnsi="Palatino Linotype"/>
          <w:sz w:val="24"/>
          <w:szCs w:val="24"/>
        </w:rPr>
        <w:t>durante</w:t>
      </w:r>
      <w:r w:rsidR="005F709F">
        <w:rPr>
          <w:rFonts w:ascii="Palatino Linotype" w:hAnsi="Palatino Linotype"/>
          <w:sz w:val="24"/>
          <w:szCs w:val="24"/>
        </w:rPr>
        <w:t xml:space="preserve"> el periodo comprendido del uno de enero al doce de marzo de los corrientes, en este sentido, se tiene por colmado el requerimiento identificado con el numeral </w:t>
      </w:r>
      <w:r w:rsidR="005F709F">
        <w:rPr>
          <w:rFonts w:ascii="Palatino Linotype" w:hAnsi="Palatino Linotype"/>
          <w:b/>
          <w:bCs/>
          <w:sz w:val="24"/>
          <w:szCs w:val="24"/>
        </w:rPr>
        <w:t xml:space="preserve">2). </w:t>
      </w:r>
      <w:r w:rsidR="005F709F">
        <w:rPr>
          <w:rFonts w:ascii="Palatino Linotype" w:hAnsi="Palatino Linotype"/>
          <w:sz w:val="24"/>
          <w:szCs w:val="24"/>
        </w:rPr>
        <w:t xml:space="preserve"> </w:t>
      </w:r>
    </w:p>
    <w:p w14:paraId="2A63713C" w14:textId="56E301CC" w:rsidR="00C018A3" w:rsidRPr="00E5738E" w:rsidRDefault="00C018A3" w:rsidP="00C018A3">
      <w:pPr>
        <w:spacing w:line="360" w:lineRule="auto"/>
        <w:jc w:val="both"/>
        <w:rPr>
          <w:rFonts w:ascii="Palatino Linotype" w:hAnsi="Palatino Linotype" w:cs="Arial"/>
          <w:sz w:val="24"/>
          <w:szCs w:val="24"/>
        </w:rPr>
      </w:pPr>
      <w:r w:rsidRPr="00E5738E">
        <w:rPr>
          <w:rFonts w:ascii="Palatino Linotype" w:hAnsi="Palatino Linotype" w:cs="Arial"/>
          <w:sz w:val="24"/>
          <w:szCs w:val="24"/>
        </w:rPr>
        <w:t xml:space="preserve">Por lo que hace a las causas de sobreseimiento contenidas en el artículo 192 de la Ley de Transparencia y Acceso a la Información Pública del Estado de México y </w:t>
      </w:r>
      <w:r w:rsidRPr="00E5738E">
        <w:rPr>
          <w:rFonts w:ascii="Palatino Linotype" w:hAnsi="Palatino Linotype" w:cs="Arial"/>
          <w:sz w:val="24"/>
          <w:szCs w:val="24"/>
        </w:rPr>
        <w:lastRenderedPageBreak/>
        <w:t>Municipios, es oportuno señalar que estos requisitos privilegian la existencia de elementos de fondo, tales como el d</w:t>
      </w:r>
      <w:r>
        <w:rPr>
          <w:rFonts w:ascii="Palatino Linotype" w:hAnsi="Palatino Linotype" w:cs="Arial"/>
          <w:sz w:val="24"/>
          <w:szCs w:val="24"/>
        </w:rPr>
        <w:t>esistimiento o fallecimiento de</w:t>
      </w:r>
      <w:r w:rsidR="00C76DC5">
        <w:rPr>
          <w:rFonts w:ascii="Palatino Linotype" w:hAnsi="Palatino Linotype" w:cs="Arial"/>
          <w:sz w:val="24"/>
          <w:szCs w:val="24"/>
        </w:rPr>
        <w:t>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sidRPr="00E5738E">
        <w:rPr>
          <w:rFonts w:ascii="Palatino Linotype" w:hAnsi="Palatino Linotype" w:cs="Arial"/>
          <w:b/>
          <w:sz w:val="24"/>
          <w:szCs w:val="24"/>
          <w:u w:val="single"/>
        </w:rPr>
        <w:t xml:space="preserve">modifique el acto; </w:t>
      </w:r>
      <w:r w:rsidRPr="00E5738E">
        <w:rPr>
          <w:rFonts w:ascii="Palatino Linotype" w:hAnsi="Palatino Linotype" w:cs="Arial"/>
          <w:sz w:val="24"/>
          <w:szCs w:val="24"/>
        </w:rPr>
        <w:t>de ahí que la actualización de alguno de éstos trae como consecuencia que el medio de impugnación se concluya sin que se analice el objet</w:t>
      </w:r>
      <w:bookmarkStart w:id="0" w:name="_GoBack"/>
      <w:bookmarkEnd w:id="0"/>
      <w:r w:rsidRPr="00E5738E">
        <w:rPr>
          <w:rFonts w:ascii="Palatino Linotype" w:hAnsi="Palatino Linotype" w:cs="Arial"/>
          <w:sz w:val="24"/>
          <w:szCs w:val="24"/>
        </w:rPr>
        <w:t xml:space="preserve">o de estudio planteado, es decir se sobresea. </w:t>
      </w:r>
    </w:p>
    <w:p w14:paraId="43FBDEB7" w14:textId="77777777" w:rsidR="00C018A3" w:rsidRPr="00E5738E" w:rsidRDefault="00C018A3" w:rsidP="00C018A3">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09BFD1B" w14:textId="77777777" w:rsidR="00C018A3" w:rsidRPr="0004467E" w:rsidRDefault="00C018A3" w:rsidP="00C018A3">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6B49BA7D" w14:textId="77777777" w:rsidR="00C018A3" w:rsidRPr="0004467E" w:rsidRDefault="00C018A3" w:rsidP="00C018A3">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06844AC5" w14:textId="77777777" w:rsidR="00C018A3" w:rsidRPr="0004467E" w:rsidRDefault="00C018A3" w:rsidP="00C018A3">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1C3516B3" w14:textId="77777777" w:rsidR="00C018A3" w:rsidRPr="0004467E" w:rsidRDefault="00C018A3" w:rsidP="00C018A3">
      <w:pPr>
        <w:spacing w:line="360" w:lineRule="auto"/>
        <w:ind w:left="851" w:right="851"/>
        <w:jc w:val="both"/>
        <w:rPr>
          <w:rFonts w:ascii="Palatino Linotype" w:hAnsi="Palatino Linotype" w:cs="Arial"/>
          <w:i/>
        </w:rPr>
      </w:pPr>
      <w:r w:rsidRPr="0004467E">
        <w:rPr>
          <w:rFonts w:ascii="Palatino Linotype" w:hAnsi="Palatino Linotype" w:cs="Arial"/>
          <w:i/>
        </w:rPr>
        <w:lastRenderedPageBreak/>
        <w:t xml:space="preserve">Amparo directo 699/2008. Mariana Leticia González </w:t>
      </w:r>
      <w:proofErr w:type="spellStart"/>
      <w:r w:rsidRPr="0004467E">
        <w:rPr>
          <w:rFonts w:ascii="Palatino Linotype" w:hAnsi="Palatino Linotype" w:cs="Arial"/>
          <w:i/>
        </w:rPr>
        <w:t>Steele</w:t>
      </w:r>
      <w:proofErr w:type="spellEnd"/>
      <w:r w:rsidRPr="0004467E">
        <w:rPr>
          <w:rFonts w:ascii="Palatino Linotype" w:hAnsi="Palatino Linotype" w:cs="Arial"/>
          <w:i/>
        </w:rPr>
        <w:t>.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3BB48E2B" w14:textId="77777777" w:rsidR="00C018A3" w:rsidRPr="0004467E" w:rsidRDefault="00C018A3" w:rsidP="00C018A3">
      <w:pPr>
        <w:ind w:right="141"/>
        <w:jc w:val="both"/>
        <w:rPr>
          <w:rFonts w:ascii="Palatino Linotype" w:hAnsi="Palatino Linotype" w:cs="Arial"/>
        </w:rPr>
      </w:pPr>
    </w:p>
    <w:p w14:paraId="18BEE9DB" w14:textId="77777777" w:rsidR="00C018A3" w:rsidRPr="0004467E" w:rsidRDefault="00C018A3" w:rsidP="00C018A3">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6F1E2F0D" w14:textId="77777777" w:rsidR="00C018A3" w:rsidRPr="0004467E" w:rsidRDefault="00C018A3" w:rsidP="00C018A3">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74000446" w14:textId="77777777" w:rsidR="00C018A3" w:rsidRPr="009D68FF" w:rsidRDefault="00C018A3" w:rsidP="00C018A3">
      <w:pPr>
        <w:pStyle w:val="Prrafodelista"/>
        <w:numPr>
          <w:ilvl w:val="0"/>
          <w:numId w:val="40"/>
        </w:numPr>
        <w:spacing w:line="360" w:lineRule="auto"/>
        <w:ind w:right="851"/>
        <w:jc w:val="both"/>
        <w:rPr>
          <w:rFonts w:ascii="Palatino Linotype" w:hAnsi="Palatino Linotype" w:cs="Arial"/>
          <w:b/>
        </w:rPr>
      </w:pPr>
      <w:r w:rsidRPr="0004467E">
        <w:rPr>
          <w:rFonts w:ascii="Palatino Linotype" w:hAnsi="Palatino Linotype" w:cs="Arial"/>
          <w:b/>
        </w:rPr>
        <w:t xml:space="preserve">Modifique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3FB0E9B1" w14:textId="77777777" w:rsidR="00C018A3" w:rsidRPr="00E5738E" w:rsidRDefault="00C018A3" w:rsidP="00C018A3">
      <w:pPr>
        <w:pStyle w:val="Prrafodelista"/>
        <w:spacing w:line="360" w:lineRule="auto"/>
        <w:ind w:left="720" w:right="851"/>
        <w:jc w:val="both"/>
        <w:rPr>
          <w:rFonts w:ascii="Palatino Linotype" w:hAnsi="Palatino Linotype" w:cs="Arial"/>
          <w:b/>
        </w:rPr>
      </w:pPr>
    </w:p>
    <w:p w14:paraId="0101F350" w14:textId="7877C572" w:rsidR="00C018A3" w:rsidRPr="0004467E" w:rsidRDefault="00C018A3" w:rsidP="00C018A3">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lastRenderedPageBreak/>
        <w:t xml:space="preserve">cuando ha sido satisfecha la pretensión del particular, </w:t>
      </w:r>
      <w:r w:rsidRPr="0004467E">
        <w:rPr>
          <w:rFonts w:ascii="Palatino Linotype" w:hAnsi="Palatino Linotype" w:cs="Arial"/>
          <w:sz w:val="24"/>
          <w:szCs w:val="24"/>
        </w:rPr>
        <w:t xml:space="preserve">ya sea porque se hizo la </w:t>
      </w:r>
      <w:r w:rsidR="00651E02" w:rsidRPr="0004467E">
        <w:rPr>
          <w:rFonts w:ascii="Palatino Linotype" w:hAnsi="Palatino Linotype" w:cs="Arial"/>
          <w:sz w:val="24"/>
          <w:szCs w:val="24"/>
        </w:rPr>
        <w:t>entrega de</w:t>
      </w:r>
      <w:r w:rsidRPr="0004467E">
        <w:rPr>
          <w:rFonts w:ascii="Palatino Linotype" w:hAnsi="Palatino Linotype" w:cs="Arial"/>
          <w:sz w:val="24"/>
          <w:szCs w:val="24"/>
        </w:rPr>
        <w:t xml:space="preserve"> la información solicitada o porque se completó la misma.</w:t>
      </w:r>
      <w:r w:rsidRPr="0004467E">
        <w:rPr>
          <w:rFonts w:ascii="Palatino Linotype" w:hAnsi="Palatino Linotype" w:cs="Arial"/>
          <w:sz w:val="24"/>
          <w:szCs w:val="24"/>
          <w:u w:val="single"/>
        </w:rPr>
        <w:t xml:space="preserve"> </w:t>
      </w:r>
    </w:p>
    <w:p w14:paraId="42DFE688" w14:textId="77777777" w:rsidR="00C018A3" w:rsidRPr="0004467E" w:rsidRDefault="00C018A3" w:rsidP="00C018A3">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04467E">
        <w:rPr>
          <w:rFonts w:ascii="Palatino Linotype" w:hAnsi="Palatino Linotype" w:cs="Arial"/>
          <w:b/>
          <w:sz w:val="24"/>
          <w:szCs w:val="24"/>
        </w:rPr>
        <w:t xml:space="preserve">modifica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229BB82A" w14:textId="77777777" w:rsidR="00C018A3" w:rsidRPr="0004467E" w:rsidRDefault="00C018A3" w:rsidP="00C018A3">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sidRPr="0004467E">
        <w:rPr>
          <w:rFonts w:ascii="Palatino Linotype" w:hAnsi="Palatino Linotype" w:cs="Arial"/>
          <w:b/>
          <w:i/>
          <w:sz w:val="24"/>
          <w:szCs w:val="24"/>
        </w:rPr>
        <w:t>litis</w:t>
      </w:r>
      <w:proofErr w:type="spellEnd"/>
      <w:r w:rsidRPr="0004467E">
        <w:rPr>
          <w:rFonts w:ascii="Palatino Linotype" w:hAnsi="Palatino Linotype" w:cs="Arial"/>
          <w:b/>
          <w:i/>
          <w:sz w:val="24"/>
          <w:szCs w:val="24"/>
        </w:rPr>
        <w:t xml:space="preserve">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4AF4F082" w14:textId="77777777" w:rsidR="00C018A3" w:rsidRDefault="00C018A3" w:rsidP="00C018A3">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31BB8F7B" w14:textId="5B83B480" w:rsidR="00C018A3" w:rsidRPr="00717553" w:rsidRDefault="00C018A3" w:rsidP="00C018A3">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La</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sidR="00C76DC5">
        <w:rPr>
          <w:rFonts w:ascii="Palatino Linotype" w:hAnsi="Palatino Linotype" w:cs="Arial"/>
          <w:b/>
          <w:sz w:val="24"/>
          <w:szCs w:val="24"/>
          <w:lang w:val="es-ES_tradnl"/>
        </w:rPr>
        <w:t>3215</w:t>
      </w:r>
      <w:r w:rsidRPr="002E3488">
        <w:rPr>
          <w:rFonts w:ascii="Palatino Linotype" w:hAnsi="Palatino Linotype" w:cs="Arial"/>
          <w:b/>
          <w:sz w:val="24"/>
          <w:szCs w:val="24"/>
          <w:lang w:val="es-ES_tradnl"/>
        </w:rPr>
        <w:t>/INFOEM/IP/RR/201</w:t>
      </w:r>
      <w:r>
        <w:rPr>
          <w:rFonts w:ascii="Palatino Linotype" w:hAnsi="Palatino Linotype" w:cs="Arial"/>
          <w:b/>
          <w:sz w:val="24"/>
          <w:szCs w:val="24"/>
          <w:lang w:val="es-ES_tradnl"/>
        </w:rPr>
        <w:t>9</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50381306" w14:textId="77777777" w:rsidR="00C018A3" w:rsidRPr="00523CF0" w:rsidRDefault="00C018A3" w:rsidP="00C018A3">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lastRenderedPageBreak/>
        <w:t>Por lo antes expuesto y fundado es de resolverse y;</w:t>
      </w:r>
    </w:p>
    <w:p w14:paraId="123EA91F" w14:textId="77777777" w:rsidR="00C018A3" w:rsidRDefault="00C018A3" w:rsidP="00C018A3">
      <w:pPr>
        <w:autoSpaceDE w:val="0"/>
        <w:autoSpaceDN w:val="0"/>
        <w:adjustRightInd w:val="0"/>
        <w:spacing w:line="360" w:lineRule="auto"/>
        <w:jc w:val="both"/>
        <w:rPr>
          <w:rFonts w:ascii="Palatino Linotype" w:hAnsi="Palatino Linotype" w:cs="Arial"/>
          <w:sz w:val="24"/>
          <w:szCs w:val="24"/>
        </w:rPr>
      </w:pPr>
    </w:p>
    <w:p w14:paraId="08EAB8DF" w14:textId="77777777" w:rsidR="00C018A3" w:rsidRPr="00523CF0" w:rsidRDefault="00C018A3" w:rsidP="00C018A3">
      <w:pPr>
        <w:spacing w:before="240" w:line="360" w:lineRule="auto"/>
        <w:jc w:val="center"/>
        <w:rPr>
          <w:rFonts w:ascii="Palatino Linotype" w:eastAsia="Times New Roman" w:hAnsi="Palatino Linotype"/>
          <w:b/>
          <w:bCs/>
          <w:spacing w:val="60"/>
          <w:sz w:val="28"/>
          <w:lang w:val="es-ES_tradnl"/>
        </w:rPr>
      </w:pPr>
      <w:r w:rsidRPr="00523CF0">
        <w:rPr>
          <w:rFonts w:ascii="Palatino Linotype" w:eastAsia="Times New Roman" w:hAnsi="Palatino Linotype"/>
          <w:b/>
          <w:bCs/>
          <w:spacing w:val="60"/>
          <w:sz w:val="28"/>
          <w:lang w:val="es-ES_tradnl"/>
        </w:rPr>
        <w:t>SE    RESUELVE</w:t>
      </w:r>
    </w:p>
    <w:p w14:paraId="2FC2F5BD" w14:textId="76026083" w:rsidR="00C018A3" w:rsidRPr="00717553" w:rsidRDefault="00C018A3" w:rsidP="00C018A3">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w:t>
      </w:r>
      <w:r w:rsidR="00C76DC5">
        <w:rPr>
          <w:rFonts w:ascii="Palatino Linotype" w:hAnsi="Palatino Linotype" w:cs="Arial"/>
          <w:b/>
          <w:sz w:val="24"/>
          <w:szCs w:val="24"/>
          <w:lang w:val="es-ES_tradnl"/>
        </w:rPr>
        <w:t>3215</w:t>
      </w:r>
      <w:r w:rsidRPr="00AF55AC">
        <w:rPr>
          <w:rFonts w:ascii="Palatino Linotype" w:hAnsi="Palatino Linotype" w:cs="Arial"/>
          <w:b/>
          <w:sz w:val="24"/>
          <w:szCs w:val="24"/>
          <w:lang w:val="es-ES_tradnl"/>
        </w:rPr>
        <w:t>/INFOEM/IP/RR/201</w:t>
      </w:r>
      <w:r>
        <w:rPr>
          <w:rFonts w:ascii="Palatino Linotype" w:hAnsi="Palatino Linotype" w:cs="Arial"/>
          <w:b/>
          <w:sz w:val="24"/>
          <w:szCs w:val="24"/>
          <w:lang w:val="es-ES_tradnl"/>
        </w:rPr>
        <w:t>9</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modificar la respuesta el recurso de revisión quedó sin materia en términos del Considerando </w:t>
      </w:r>
      <w:r w:rsidRPr="00AF55AC">
        <w:rPr>
          <w:rFonts w:ascii="Palatino Linotype" w:hAnsi="Palatino Linotype" w:cs="Arial"/>
          <w:b/>
          <w:sz w:val="24"/>
          <w:szCs w:val="24"/>
          <w:lang w:val="es-ES_tradnl"/>
        </w:rPr>
        <w:t xml:space="preserve">TERCERO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655A2C60" w14:textId="77777777" w:rsidR="00C018A3" w:rsidRDefault="00C018A3" w:rsidP="00C018A3">
      <w:pPr>
        <w:spacing w:before="240" w:line="360" w:lineRule="auto"/>
        <w:jc w:val="both"/>
        <w:rPr>
          <w:rFonts w:ascii="Palatino Linotype" w:hAnsi="Palatino Linotype" w:cs="Arial"/>
          <w:sz w:val="24"/>
          <w:szCs w:val="24"/>
          <w:lang w:val="es-ES_tradnl"/>
        </w:rPr>
      </w:pPr>
    </w:p>
    <w:p w14:paraId="4F653B1C" w14:textId="77777777" w:rsidR="00C018A3" w:rsidRDefault="00C018A3" w:rsidP="00C018A3">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Pr>
          <w:rFonts w:ascii="Palatino Linotype" w:hAnsi="Palatino Linotype"/>
          <w:b/>
          <w:sz w:val="24"/>
          <w:szCs w:val="24"/>
          <w:shd w:val="clear" w:color="auto" w:fill="FFFFFF"/>
        </w:rPr>
        <w:t xml:space="preserve">vía SAIMEX </w:t>
      </w:r>
      <w:r w:rsidRPr="0004467E">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Pr>
          <w:rFonts w:ascii="Palatino Linotype" w:hAnsi="Palatino Linotype"/>
          <w:sz w:val="24"/>
          <w:szCs w:val="24"/>
          <w:shd w:val="clear" w:color="auto" w:fill="FFFFFF"/>
        </w:rPr>
        <w:t>al</w:t>
      </w:r>
      <w:r w:rsidRPr="00F55762">
        <w:rPr>
          <w:rFonts w:ascii="Palatino Linotype" w:hAnsi="Palatino Linotype"/>
          <w:sz w:val="24"/>
          <w:szCs w:val="24"/>
          <w:shd w:val="clear" w:color="auto" w:fill="FFFFFF"/>
        </w:rPr>
        <w:t xml:space="preserve"> Titular de la Unidad de Transparencia del</w:t>
      </w:r>
      <w:r w:rsidRPr="00F55762">
        <w:rPr>
          <w:rStyle w:val="apple-converted-space"/>
          <w:rFonts w:ascii="Palatino Linotype" w:hAnsi="Palatino Linotype"/>
          <w:sz w:val="24"/>
          <w:szCs w:val="24"/>
          <w:shd w:val="clear" w:color="auto" w:fill="FFFFFF"/>
        </w:rPr>
        <w:t> </w:t>
      </w:r>
      <w:r w:rsidRPr="00F55762">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79999203" w14:textId="77777777" w:rsidR="00C018A3" w:rsidRDefault="00C018A3" w:rsidP="00C018A3">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13836C10" w14:textId="13ADD031" w:rsidR="00C018A3" w:rsidRDefault="00C018A3" w:rsidP="00C018A3">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TERCERO</w:t>
      </w:r>
      <w:r w:rsidRPr="003508B1">
        <w:rPr>
          <w:rFonts w:ascii="Palatino Linotype" w:hAnsi="Palatino Linotype" w:cs="Arial"/>
          <w:b/>
          <w:sz w:val="28"/>
          <w:szCs w:val="28"/>
        </w:rPr>
        <w:t>.</w:t>
      </w:r>
      <w:r w:rsidRPr="003508B1">
        <w:rPr>
          <w:rFonts w:ascii="Palatino Linotype" w:hAnsi="Palatino Linotype"/>
          <w:b/>
          <w:lang w:eastAsia="es-ES_tradnl"/>
        </w:rPr>
        <w:t xml:space="preserve"> </w:t>
      </w:r>
      <w:r w:rsidRPr="00F55762">
        <w:rPr>
          <w:rFonts w:ascii="Palatino Linotype" w:hAnsi="Palatino Linotype"/>
          <w:b/>
          <w:sz w:val="24"/>
          <w:szCs w:val="24"/>
          <w:shd w:val="clear" w:color="auto" w:fill="FFFFFF"/>
        </w:rPr>
        <w:t xml:space="preserve">Notifíquese </w:t>
      </w:r>
      <w:r w:rsidRPr="0004467E">
        <w:rPr>
          <w:rFonts w:ascii="Palatino Linotype" w:hAnsi="Palatino Linotype"/>
          <w:sz w:val="24"/>
          <w:szCs w:val="24"/>
          <w:shd w:val="clear" w:color="auto" w:fill="FFFFFF"/>
        </w:rPr>
        <w:t xml:space="preserve">la presente resolución </w:t>
      </w:r>
      <w:r>
        <w:rPr>
          <w:rFonts w:ascii="Palatino Linotype" w:hAnsi="Palatino Linotype"/>
          <w:sz w:val="24"/>
          <w:szCs w:val="24"/>
          <w:shd w:val="clear" w:color="auto" w:fill="FFFFFF"/>
        </w:rPr>
        <w:t>a</w:t>
      </w:r>
      <w:r w:rsidR="00C76DC5">
        <w:rPr>
          <w:rFonts w:ascii="Palatino Linotype" w:hAnsi="Palatino Linotype"/>
          <w:sz w:val="24"/>
          <w:szCs w:val="24"/>
          <w:shd w:val="clear" w:color="auto" w:fill="FFFFFF"/>
        </w:rPr>
        <w:t>l</w:t>
      </w:r>
      <w:r>
        <w:rPr>
          <w:rFonts w:ascii="Palatino Linotype" w:hAnsi="Palatino Linotype"/>
          <w:b/>
          <w:sz w:val="24"/>
          <w:szCs w:val="24"/>
          <w:shd w:val="clear" w:color="auto" w:fill="FFFFFF"/>
        </w:rPr>
        <w:t xml:space="preserve"> RECURRENTE.</w:t>
      </w:r>
      <w:r>
        <w:rPr>
          <w:rFonts w:ascii="Palatino Linotype" w:hAnsi="Palatino Linotype"/>
          <w:sz w:val="24"/>
          <w:szCs w:val="24"/>
          <w:shd w:val="clear" w:color="auto" w:fill="FFFFFF"/>
        </w:rPr>
        <w:t xml:space="preserve"> </w:t>
      </w:r>
    </w:p>
    <w:p w14:paraId="393631FF" w14:textId="77777777" w:rsidR="00C018A3" w:rsidRDefault="00C018A3" w:rsidP="00C018A3">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33D555BD" w14:textId="348EA486" w:rsidR="00C018A3" w:rsidRPr="003508B1" w:rsidRDefault="00C018A3" w:rsidP="00C018A3">
      <w:pPr>
        <w:spacing w:before="240" w:after="240" w:line="360" w:lineRule="auto"/>
        <w:ind w:right="49"/>
        <w:jc w:val="both"/>
        <w:rPr>
          <w:rFonts w:ascii="Palatino Linotype" w:hAnsi="Palatino Linotype"/>
          <w:szCs w:val="17"/>
          <w:lang w:eastAsia="es-ES_tradnl"/>
        </w:rPr>
      </w:pPr>
      <w:r>
        <w:rPr>
          <w:rFonts w:ascii="Palatino Linotype" w:hAnsi="Palatino Linotype" w:cs="Arial"/>
          <w:b/>
          <w:bCs/>
          <w:sz w:val="28"/>
          <w:lang w:eastAsia="es-MX"/>
        </w:rPr>
        <w:t>CUARTO</w:t>
      </w:r>
      <w:r w:rsidRPr="00F55762">
        <w:rPr>
          <w:rFonts w:ascii="Palatino Linotype" w:hAnsi="Palatino Linotype" w:cs="Arial"/>
          <w:b/>
          <w:bCs/>
          <w:sz w:val="28"/>
          <w:lang w:eastAsia="es-MX"/>
        </w:rPr>
        <w:t>.</w:t>
      </w:r>
      <w:r w:rsidRPr="00F55762">
        <w:rPr>
          <w:rFonts w:ascii="Palatino Linotype" w:hAnsi="Palatino Linotype"/>
          <w:b/>
          <w:szCs w:val="17"/>
          <w:lang w:eastAsia="es-ES_tradnl"/>
        </w:rPr>
        <w:t xml:space="preserve"> </w:t>
      </w:r>
      <w:r w:rsidRPr="00F55762">
        <w:rPr>
          <w:rFonts w:ascii="Palatino Linotype" w:hAnsi="Palatino Linotype"/>
          <w:b/>
          <w:sz w:val="24"/>
          <w:szCs w:val="24"/>
          <w:lang w:eastAsia="es-ES_tradnl"/>
        </w:rPr>
        <w:t xml:space="preserve">Hágase del conocimiento </w:t>
      </w:r>
      <w:r>
        <w:rPr>
          <w:rFonts w:ascii="Palatino Linotype" w:hAnsi="Palatino Linotype"/>
          <w:sz w:val="24"/>
          <w:szCs w:val="24"/>
          <w:lang w:eastAsia="es-ES_tradnl"/>
        </w:rPr>
        <w:t>de</w:t>
      </w:r>
      <w:r w:rsidR="00C76DC5">
        <w:rPr>
          <w:rFonts w:ascii="Palatino Linotype" w:hAnsi="Palatino Linotype"/>
          <w:sz w:val="24"/>
          <w:szCs w:val="24"/>
          <w:lang w:eastAsia="es-ES_tradnl"/>
        </w:rPr>
        <w:t>l</w:t>
      </w:r>
      <w:r w:rsidRPr="00F55762">
        <w:rPr>
          <w:rFonts w:ascii="Palatino Linotype" w:eastAsia="Calibri" w:hAnsi="Palatino Linotype" w:cs="Arial"/>
          <w:b/>
          <w:sz w:val="24"/>
          <w:szCs w:val="24"/>
          <w:lang w:eastAsia="es-MX"/>
        </w:rPr>
        <w:t xml:space="preserve"> RECURRENTE </w:t>
      </w:r>
      <w:r w:rsidRPr="00F55762">
        <w:rPr>
          <w:rFonts w:ascii="Palatino Linotype" w:hAnsi="Palatino Linotype"/>
          <w:sz w:val="24"/>
          <w:szCs w:val="24"/>
          <w:lang w:eastAsia="es-ES_tradnl"/>
        </w:rPr>
        <w:t>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A4708C8" w14:textId="5F4A7062" w:rsidR="00C018A3" w:rsidRDefault="00C018A3" w:rsidP="00C018A3">
      <w:pPr>
        <w:autoSpaceDE w:val="0"/>
        <w:autoSpaceDN w:val="0"/>
        <w:adjustRightInd w:val="0"/>
        <w:spacing w:line="360" w:lineRule="auto"/>
        <w:jc w:val="both"/>
        <w:rPr>
          <w:rFonts w:ascii="Palatino Linotype" w:hAnsi="Palatino Linotype" w:cs="Arial"/>
        </w:rPr>
      </w:pPr>
    </w:p>
    <w:p w14:paraId="3D224F34" w14:textId="245AF63D" w:rsidR="00C76DC5" w:rsidRDefault="00C76DC5" w:rsidP="00C76DC5">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lastRenderedPageBreak/>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sidR="003809EA">
        <w:rPr>
          <w:rFonts w:ascii="Palatino Linotype" w:hAnsi="Palatino Linotype" w:cs="Arial"/>
          <w:b/>
          <w:sz w:val="24"/>
          <w:szCs w:val="24"/>
        </w:rPr>
        <w:t>TERCERO</w:t>
      </w:r>
      <w:r>
        <w:rPr>
          <w:rFonts w:ascii="Palatino Linotype" w:hAnsi="Palatino Linotype" w:cs="Arial"/>
          <w:sz w:val="24"/>
          <w:szCs w:val="24"/>
        </w:rPr>
        <w:t xml:space="preserve"> de la presente resolución.</w:t>
      </w:r>
    </w:p>
    <w:p w14:paraId="0C65493E" w14:textId="77777777" w:rsidR="00BD21C6" w:rsidRDefault="00BD21C6" w:rsidP="00C76DC5">
      <w:pPr>
        <w:autoSpaceDE w:val="0"/>
        <w:autoSpaceDN w:val="0"/>
        <w:adjustRightInd w:val="0"/>
        <w:spacing w:before="240" w:line="360" w:lineRule="auto"/>
        <w:jc w:val="both"/>
        <w:rPr>
          <w:rFonts w:ascii="Palatino Linotype" w:hAnsi="Palatino Linotype" w:cs="Arial"/>
          <w:sz w:val="24"/>
          <w:szCs w:val="24"/>
        </w:rPr>
      </w:pPr>
    </w:p>
    <w:p w14:paraId="3228A152" w14:textId="29165B92" w:rsidR="00C018A3" w:rsidRDefault="00BD21C6" w:rsidP="00C018A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37088" behindDoc="0" locked="0" layoutInCell="1" allowOverlap="1" wp14:anchorId="47C9BE12" wp14:editId="122E8C0D">
                <wp:simplePos x="0" y="0"/>
                <wp:positionH relativeFrom="column">
                  <wp:posOffset>-135591</wp:posOffset>
                </wp:positionH>
                <wp:positionV relativeFrom="paragraph">
                  <wp:posOffset>3046946</wp:posOffset>
                </wp:positionV>
                <wp:extent cx="6541477" cy="3185328"/>
                <wp:effectExtent l="0" t="0" r="31115" b="34290"/>
                <wp:wrapNone/>
                <wp:docPr id="2" name="Conector recto 2"/>
                <wp:cNvGraphicFramePr/>
                <a:graphic xmlns:a="http://schemas.openxmlformats.org/drawingml/2006/main">
                  <a:graphicData uri="http://schemas.microsoft.com/office/word/2010/wordprocessingShape">
                    <wps:wsp>
                      <wps:cNvCnPr/>
                      <wps:spPr>
                        <a:xfrm>
                          <a:off x="0" y="0"/>
                          <a:ext cx="6541477" cy="31853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520810" id="Conector recto 2"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0.7pt,239.9pt" to="504.4pt,4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gsuAEAAMUDAAAOAAAAZHJzL2Uyb0RvYy54bWysU8uu0zAQ3SPxD5b3NE3uq4qa3kWvYIOg&#10;4vEBvs64seSXxqZJ/56x0+YiQEIgNn7OOTPneLx9nKxhJ8Covet4vVpzBk76Xrtjx79+eftmw1lM&#10;wvXCeAcdP0Pkj7vXr7ZjaKHxgzc9ICMSF9sxdHxIKbRVFeUAVsSVD+DoUnm0ItEWj1WPYiR2a6pm&#10;vb6vRo99QC8hRjp9mi/5rvArBTJ9VCpCYqbjVFsqI5bxOY/VbivaI4owaHkpQ/xDFVZoR0kXqieR&#10;BPuG+hcqqyX66FVaSW8rr5SWUDSQmnr9k5rPgwhQtJA5MSw2xf9HKz+cDsh03/GGMycsPdGeHkom&#10;jwzzxJrs0RhiS6F7d8DLLoYDZsGTQptnksKm4ut58RWmxCQd3t/d1rcPD5xJurupN3c3zSazVi/w&#10;gDG9A29ZXnTcaJeFi1ac3sc0h15DCJfLmQsoq3Q2kION+wSKxFDKuqBLG8HeIDsJagAhJbhUX1KX&#10;6AxT2pgFuP4z8BKfoVBa7G/AC6Jk9i4tYKudx99lT9O1ZDXHXx2YdWcLnn1/Lk9TrKFeKeZe+jo3&#10;44/7An/5fbvvAAAA//8DAFBLAwQUAAYACAAAACEA3v3cyuIAAAAMAQAADwAAAGRycy9kb3ducmV2&#10;LnhtbEyPUWvCMBSF34X9h3AHe9PEIrN2TUWEMScMmRu4x9hkbbfmpiTR1n+/69N8u4fzce45+XKw&#10;LTsbHxqHEqYTAcxg6XSDlYTPj+dxCixEhVq1Do2EiwmwLO5Gucq06/HdnPexYhSCIVMS6hi7jPNQ&#10;1saqMHGdQfK+nbcqkvQV1171FG5bngjxyK1qkD7UqjPr2pS/+5OV8OY3m/Vqe/nB3ZftD8n2sHsd&#10;XqR8uB9WT8CiGeI/DNf6VB0K6nR0J9SBtRLGyXRGqITZfEEbroQQKV1HCYuUPF7k/HZE8QcAAP//&#10;AwBQSwECLQAUAAYACAAAACEAtoM4kv4AAADhAQAAEwAAAAAAAAAAAAAAAAAAAAAAW0NvbnRlbnRf&#10;VHlwZXNdLnhtbFBLAQItABQABgAIAAAAIQA4/SH/1gAAAJQBAAALAAAAAAAAAAAAAAAAAC8BAABf&#10;cmVscy8ucmVsc1BLAQItABQABgAIAAAAIQBSiCgsuAEAAMUDAAAOAAAAAAAAAAAAAAAAAC4CAABk&#10;cnMvZTJvRG9jLnhtbFBLAQItABQABgAIAAAAIQDe/dzK4gAAAAwBAAAPAAAAAAAAAAAAAAAAABIE&#10;AABkcnMvZG93bnJldi54bWxQSwUGAAAAAAQABADzAAAAIQUAAAAA&#10;" strokecolor="#5b9bd5 [3204]" strokeweight=".5pt">
                <v:stroke joinstyle="miter"/>
              </v:line>
            </w:pict>
          </mc:Fallback>
        </mc:AlternateContent>
      </w:r>
      <w:r w:rsidR="00C018A3" w:rsidRPr="00D05C83">
        <w:rPr>
          <w:rFonts w:ascii="Palatino Linotype" w:hAnsi="Palatino Linotype" w:cs="Arial"/>
          <w:sz w:val="24"/>
          <w:szCs w:val="24"/>
        </w:rPr>
        <w:t>ASÍ LO RESUELVE, POR UNANIMIDAD DE VOTOS EL PLENO DEL</w:t>
      </w:r>
      <w:r w:rsidR="00C018A3" w:rsidRPr="00D05C83">
        <w:rPr>
          <w:rFonts w:ascii="Palatino Linotype" w:eastAsia="Arial Unicode MS" w:hAnsi="Palatino Linotype" w:cs="Arial"/>
          <w:sz w:val="24"/>
          <w:szCs w:val="24"/>
        </w:rPr>
        <w:t xml:space="preserve"> INSTITUTO </w:t>
      </w:r>
      <w:r w:rsidR="00C018A3" w:rsidRPr="006C6A05">
        <w:rPr>
          <w:rFonts w:ascii="Palatino Linotype" w:eastAsia="Arial Unicode MS" w:hAnsi="Palatino Linotype" w:cs="Arial"/>
          <w:sz w:val="24"/>
          <w:szCs w:val="24"/>
        </w:rPr>
        <w:t>DE TRANSPARENCIA, ACCESO A LA INFORMACIÓN PÚBLICA Y PROTECCIÓN DE DATOS PERSONALES DEL ESTADO DE MÉXICO Y MUNICIPIOS</w:t>
      </w:r>
      <w:r w:rsidR="00C018A3" w:rsidRPr="006C6A05">
        <w:rPr>
          <w:rFonts w:ascii="Palatino Linotype" w:hAnsi="Palatino Linotype" w:cs="Arial"/>
          <w:sz w:val="24"/>
          <w:szCs w:val="24"/>
        </w:rPr>
        <w:t>, CONFORMADO POR LOS COMISIONADOS ZULEMA MARTÍNEZ SÁNCHEZ, EVA ABAID YAPUR</w:t>
      </w:r>
      <w:r w:rsidR="00C018A3">
        <w:rPr>
          <w:rFonts w:ascii="Palatino Linotype" w:hAnsi="Palatino Linotype" w:cs="Arial"/>
          <w:sz w:val="24"/>
          <w:szCs w:val="24"/>
        </w:rPr>
        <w:t>, JOSÉ GUADALUPE LUNA HERNÁNDEZ</w:t>
      </w:r>
      <w:r w:rsidR="00F81BC9">
        <w:rPr>
          <w:rFonts w:ascii="Palatino Linotype" w:hAnsi="Palatino Linotype" w:cs="Arial"/>
          <w:sz w:val="24"/>
          <w:szCs w:val="24"/>
        </w:rPr>
        <w:t xml:space="preserve"> (VOTO PARTICULAR)</w:t>
      </w:r>
      <w:r w:rsidR="00C018A3">
        <w:rPr>
          <w:rFonts w:ascii="Palatino Linotype" w:hAnsi="Palatino Linotype" w:cs="Arial"/>
          <w:sz w:val="24"/>
          <w:szCs w:val="24"/>
        </w:rPr>
        <w:t xml:space="preserve">, </w:t>
      </w:r>
      <w:r w:rsidR="00C018A3" w:rsidRPr="006C6A05">
        <w:rPr>
          <w:rFonts w:ascii="Palatino Linotype" w:hAnsi="Palatino Linotype" w:cs="Arial"/>
          <w:sz w:val="24"/>
          <w:szCs w:val="24"/>
        </w:rPr>
        <w:t xml:space="preserve">JAVIER </w:t>
      </w:r>
      <w:r w:rsidR="00C018A3">
        <w:rPr>
          <w:rFonts w:ascii="Palatino Linotype" w:hAnsi="Palatino Linotype" w:cs="Arial"/>
          <w:sz w:val="24"/>
          <w:szCs w:val="24"/>
        </w:rPr>
        <w:t xml:space="preserve">MARTÍNEZ CRUZ Y LUIS GUSTAVO PARRA NORIEGA </w:t>
      </w:r>
      <w:r w:rsidR="00F81BC9">
        <w:rPr>
          <w:rFonts w:ascii="Palatino Linotype" w:hAnsi="Palatino Linotype" w:cs="Arial"/>
          <w:sz w:val="24"/>
          <w:szCs w:val="24"/>
        </w:rPr>
        <w:t xml:space="preserve">(VOTO PARTICULAR) </w:t>
      </w:r>
      <w:r w:rsidR="00C018A3" w:rsidRPr="006C6A05">
        <w:rPr>
          <w:rFonts w:ascii="Palatino Linotype" w:hAnsi="Palatino Linotype" w:cs="Arial"/>
          <w:sz w:val="24"/>
          <w:szCs w:val="24"/>
        </w:rPr>
        <w:t xml:space="preserve">EN LA </w:t>
      </w:r>
      <w:r w:rsidR="00C018A3">
        <w:rPr>
          <w:rFonts w:ascii="Palatino Linotype" w:hAnsi="Palatino Linotype" w:cs="Arial"/>
          <w:sz w:val="24"/>
          <w:szCs w:val="24"/>
        </w:rPr>
        <w:t xml:space="preserve">VIGÉSIMA </w:t>
      </w:r>
      <w:r w:rsidR="001919BA">
        <w:rPr>
          <w:rFonts w:ascii="Palatino Linotype" w:hAnsi="Palatino Linotype" w:cs="Arial"/>
          <w:sz w:val="24"/>
          <w:szCs w:val="24"/>
        </w:rPr>
        <w:t>QUINTA</w:t>
      </w:r>
      <w:r w:rsidR="00C018A3" w:rsidRPr="009D68FF">
        <w:rPr>
          <w:rFonts w:ascii="Palatino Linotype" w:hAnsi="Palatino Linotype" w:cs="Arial"/>
          <w:szCs w:val="24"/>
        </w:rPr>
        <w:t xml:space="preserve"> </w:t>
      </w:r>
      <w:r w:rsidR="00C018A3" w:rsidRPr="006C6A05">
        <w:rPr>
          <w:rFonts w:ascii="Palatino Linotype" w:hAnsi="Palatino Linotype" w:cs="Arial"/>
          <w:sz w:val="24"/>
          <w:szCs w:val="24"/>
        </w:rPr>
        <w:t xml:space="preserve">SESIÓN ORDINARIA CELEBRADA EL </w:t>
      </w:r>
      <w:r w:rsidR="001919BA">
        <w:rPr>
          <w:rFonts w:ascii="Palatino Linotype" w:hAnsi="Palatino Linotype" w:cs="Arial"/>
          <w:sz w:val="24"/>
          <w:szCs w:val="24"/>
        </w:rPr>
        <w:t>TRES DE JULIO</w:t>
      </w:r>
      <w:r w:rsidR="00486209">
        <w:rPr>
          <w:rFonts w:ascii="Palatino Linotype" w:hAnsi="Palatino Linotype" w:cs="Arial"/>
          <w:sz w:val="24"/>
          <w:szCs w:val="24"/>
        </w:rPr>
        <w:t xml:space="preserve"> </w:t>
      </w:r>
      <w:r w:rsidR="00C018A3">
        <w:rPr>
          <w:rFonts w:ascii="Palatino Linotype" w:hAnsi="Palatino Linotype" w:cs="Arial"/>
          <w:sz w:val="24"/>
          <w:szCs w:val="24"/>
        </w:rPr>
        <w:t>DE DOS MIL DIECINUEVE</w:t>
      </w:r>
      <w:r w:rsidR="00C018A3" w:rsidRPr="006C6A05">
        <w:rPr>
          <w:rFonts w:ascii="Palatino Linotype" w:hAnsi="Palatino Linotype" w:cs="Arial"/>
          <w:sz w:val="24"/>
          <w:szCs w:val="24"/>
        </w:rPr>
        <w:t>, ANTE EL SECRETARIO TÉCNICO DEL PLENO, ALEXIS TAPIA RAMÍREZ.</w:t>
      </w:r>
      <w:r w:rsidR="00C018A3">
        <w:rPr>
          <w:rFonts w:ascii="Palatino Linotype" w:hAnsi="Palatino Linotype" w:cs="Arial"/>
          <w:sz w:val="24"/>
          <w:szCs w:val="24"/>
        </w:rPr>
        <w:t xml:space="preserve">  </w:t>
      </w:r>
      <w:r w:rsidR="00C018A3">
        <w:rPr>
          <w:rFonts w:ascii="Palatino Linotype" w:hAnsi="Palatino Linotype" w:cs="Arial"/>
          <w:sz w:val="24"/>
          <w:szCs w:val="24"/>
        </w:rPr>
        <w:br w:type="page"/>
      </w:r>
    </w:p>
    <w:p w14:paraId="5BC19743" w14:textId="77777777" w:rsidR="00C018A3" w:rsidRDefault="00C018A3" w:rsidP="00C018A3">
      <w:pPr>
        <w:spacing w:before="240" w:line="360" w:lineRule="auto"/>
        <w:jc w:val="both"/>
        <w:rPr>
          <w:rFonts w:ascii="Palatino Linotype" w:hAnsi="Palatino Linotype" w:cs="Arial"/>
          <w:sz w:val="24"/>
          <w:szCs w:val="24"/>
        </w:rPr>
      </w:pPr>
    </w:p>
    <w:p w14:paraId="2CD4C254" w14:textId="77777777" w:rsidR="00C018A3" w:rsidRPr="00D05C83" w:rsidRDefault="00C018A3" w:rsidP="00C018A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6848" behindDoc="0" locked="0" layoutInCell="1" allowOverlap="1" wp14:anchorId="286EBE06" wp14:editId="3B7CAA5F">
                <wp:simplePos x="0" y="0"/>
                <wp:positionH relativeFrom="page">
                  <wp:align>center</wp:align>
                </wp:positionH>
                <wp:positionV relativeFrom="paragraph">
                  <wp:posOffset>455295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617CC1" w14:textId="77777777" w:rsidR="000F265D" w:rsidRPr="00EF2FC0" w:rsidRDefault="000F265D" w:rsidP="00C018A3">
                            <w:pPr>
                              <w:jc w:val="center"/>
                              <w:rPr>
                                <w:rFonts w:ascii="Palatino Linotype" w:hAnsi="Palatino Linotype"/>
                              </w:rPr>
                            </w:pPr>
                            <w:r w:rsidRPr="00EF2FC0">
                              <w:rPr>
                                <w:rFonts w:ascii="Palatino Linotype" w:hAnsi="Palatino Linotype"/>
                                <w:b/>
                              </w:rPr>
                              <w:t>Zulema Martínez Sánchez</w:t>
                            </w:r>
                          </w:p>
                          <w:p w14:paraId="58FBB747" w14:textId="77777777" w:rsidR="000F265D" w:rsidRDefault="000F265D" w:rsidP="00C018A3">
                            <w:pPr>
                              <w:jc w:val="center"/>
                              <w:rPr>
                                <w:rFonts w:ascii="Palatino Linotype" w:hAnsi="Palatino Linotype"/>
                              </w:rPr>
                            </w:pPr>
                            <w:r>
                              <w:rPr>
                                <w:rFonts w:ascii="Palatino Linotype" w:hAnsi="Palatino Linotype"/>
                              </w:rPr>
                              <w:t>Comisionada Presidenta</w:t>
                            </w:r>
                          </w:p>
                          <w:p w14:paraId="4BB2FD5A" w14:textId="77777777" w:rsidR="000F265D" w:rsidRDefault="000F265D" w:rsidP="00C018A3">
                            <w:pPr>
                              <w:jc w:val="center"/>
                              <w:rPr>
                                <w:rFonts w:ascii="Palatino Linotype" w:hAnsi="Palatino Linotype"/>
                                <w:b/>
                              </w:rPr>
                            </w:pPr>
                            <w:r>
                              <w:rPr>
                                <w:rFonts w:ascii="Palatino Linotype" w:hAnsi="Palatino Linotype"/>
                                <w:b/>
                              </w:rPr>
                              <w:t>(Rúbrica).</w:t>
                            </w:r>
                          </w:p>
                          <w:p w14:paraId="2CAE4861" w14:textId="77777777" w:rsidR="000F265D" w:rsidRPr="00016AF3" w:rsidRDefault="000F265D" w:rsidP="00C018A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6EBE06" id="_x0000_t202" coordsize="21600,21600" o:spt="202" path="m,l,21600r21600,l21600,xe">
                <v:stroke joinstyle="miter"/>
                <v:path gradientshapeok="t" o:connecttype="rect"/>
              </v:shapetype>
              <v:shape id="Cuadro de texto 21" o:spid="_x0000_s1026" type="#_x0000_t202" style="position:absolute;left:0;text-align:left;margin-left:0;margin-top:35.85pt;width:200.9pt;height:76.5pt;z-index:2517268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DsXfqK3AAAAAcBAAAPAAAAZHJzL2Rvd25yZXYueG1sTI9BS8NA&#10;FITvgv9heYI3u0kMpsS8lKCIoIJYvXjbZp9JMPs2ZF/b9N+7nvQ4zDDzTbVZ3KgONIfBM0K6SkAR&#10;t94O3CF8vD9crUEFMWzN6JkQThRgU5+fVaa0/shvdNhKp2IJh9Ig9CJTqXVoe3ImrPxEHL0vPzsj&#10;Uc6dtrM5xnI36ixJbrQzA8eF3kx011P7vd07hKf809xfyzOdhJfXpnlcT3l4Qby8WJpbUEKL/IXh&#10;Fz+iQx2Zdn7PNqgRIR4RhCItQEU3T9J4ZIeQZXkBuq70f/76BwAA//8DAFBLAQItABQABgAIAAAA&#10;IQC2gziS/gAAAOEBAAATAAAAAAAAAAAAAAAAAAAAAABbQ29udGVudF9UeXBlc10ueG1sUEsBAi0A&#10;FAAGAAgAAAAhADj9If/WAAAAlAEAAAsAAAAAAAAAAAAAAAAALwEAAF9yZWxzLy5yZWxzUEsBAi0A&#10;FAAGAAgAAAAhAGTsT26SAgAAuwUAAA4AAAAAAAAAAAAAAAAALgIAAGRycy9lMm9Eb2MueG1sUEsB&#10;Ai0AFAAGAAgAAAAhAOxd+orcAAAABwEAAA8AAAAAAAAAAAAAAAAA7AQAAGRycy9kb3ducmV2Lnht&#10;bFBLBQYAAAAABAAEAPMAAAD1BQAAAAA=&#10;" fillcolor="white [3201]" strokecolor="white [3212]" strokeweight=".5pt">
                <v:textbox>
                  <w:txbxContent>
                    <w:p w14:paraId="0A617CC1" w14:textId="77777777" w:rsidR="000F265D" w:rsidRPr="00EF2FC0" w:rsidRDefault="000F265D" w:rsidP="00C018A3">
                      <w:pPr>
                        <w:jc w:val="center"/>
                        <w:rPr>
                          <w:rFonts w:ascii="Palatino Linotype" w:hAnsi="Palatino Linotype"/>
                        </w:rPr>
                      </w:pPr>
                      <w:r w:rsidRPr="00EF2FC0">
                        <w:rPr>
                          <w:rFonts w:ascii="Palatino Linotype" w:hAnsi="Palatino Linotype"/>
                          <w:b/>
                        </w:rPr>
                        <w:t>Zulema Martínez Sánchez</w:t>
                      </w:r>
                    </w:p>
                    <w:p w14:paraId="58FBB747" w14:textId="77777777" w:rsidR="000F265D" w:rsidRDefault="000F265D" w:rsidP="00C018A3">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BB2FD5A" w14:textId="77777777" w:rsidR="000F265D" w:rsidRDefault="000F265D" w:rsidP="00C018A3">
                      <w:pPr>
                        <w:jc w:val="center"/>
                        <w:rPr>
                          <w:rFonts w:ascii="Palatino Linotype" w:hAnsi="Palatino Linotype"/>
                          <w:b/>
                        </w:rPr>
                      </w:pPr>
                      <w:r>
                        <w:rPr>
                          <w:rFonts w:ascii="Palatino Linotype" w:hAnsi="Palatino Linotype"/>
                          <w:b/>
                        </w:rPr>
                        <w:t>(Rúbrica).</w:t>
                      </w:r>
                    </w:p>
                    <w:p w14:paraId="2CAE4861" w14:textId="77777777" w:rsidR="000F265D" w:rsidRPr="00016AF3" w:rsidRDefault="000F265D" w:rsidP="00C018A3">
                      <w:pPr>
                        <w:jc w:val="center"/>
                        <w:rPr>
                          <w:rFonts w:ascii="Palatino Linotype" w:hAnsi="Palatino Linotype"/>
                          <w:b/>
                        </w:rPr>
                      </w:pPr>
                    </w:p>
                  </w:txbxContent>
                </v:textbox>
                <w10:wrap anchorx="page"/>
              </v:shape>
            </w:pict>
          </mc:Fallback>
        </mc:AlternateContent>
      </w:r>
      <w:r w:rsidRPr="00D05C83">
        <w:rPr>
          <w:rFonts w:ascii="Palatino Linotype" w:hAnsi="Palatino Linotype" w:cs="Arial"/>
          <w:sz w:val="24"/>
          <w:szCs w:val="24"/>
        </w:rPr>
        <w:t xml:space="preserve"> </w:t>
      </w:r>
    </w:p>
    <w:p w14:paraId="792FD3F3" w14:textId="77777777" w:rsidR="00C018A3" w:rsidRDefault="00C018A3" w:rsidP="00C018A3">
      <w:pPr>
        <w:autoSpaceDE w:val="0"/>
        <w:autoSpaceDN w:val="0"/>
        <w:adjustRightInd w:val="0"/>
        <w:spacing w:before="240" w:line="480" w:lineRule="auto"/>
        <w:jc w:val="both"/>
        <w:rPr>
          <w:rFonts w:ascii="Palatino Linotype" w:hAnsi="Palatino Linotype" w:cs="Arial"/>
          <w:sz w:val="24"/>
          <w:szCs w:val="24"/>
        </w:rPr>
      </w:pPr>
    </w:p>
    <w:p w14:paraId="3AE2FD66" w14:textId="77777777" w:rsidR="00C018A3" w:rsidRDefault="00C018A3" w:rsidP="00C018A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7872" behindDoc="0" locked="0" layoutInCell="1" allowOverlap="1" wp14:anchorId="38A0CF36" wp14:editId="0C3A1626">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1B6D2F" w14:textId="77777777" w:rsidR="000F265D" w:rsidRPr="00EF2FC0" w:rsidRDefault="000F265D" w:rsidP="00C018A3">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78386389" w14:textId="77777777" w:rsidR="000F265D" w:rsidRPr="00EF2FC0" w:rsidRDefault="000F265D" w:rsidP="00C018A3">
                            <w:pPr>
                              <w:jc w:val="center"/>
                              <w:rPr>
                                <w:rFonts w:ascii="Palatino Linotype" w:hAnsi="Palatino Linotype"/>
                              </w:rPr>
                            </w:pPr>
                            <w:r w:rsidRPr="00EF2FC0">
                              <w:rPr>
                                <w:rFonts w:ascii="Palatino Linotype" w:hAnsi="Palatino Linotype"/>
                              </w:rPr>
                              <w:t>Comisionada</w:t>
                            </w:r>
                          </w:p>
                          <w:p w14:paraId="264F7934" w14:textId="77777777" w:rsidR="000F265D" w:rsidRDefault="000F265D" w:rsidP="00C018A3">
                            <w:pPr>
                              <w:jc w:val="center"/>
                              <w:rPr>
                                <w:rFonts w:ascii="Palatino Linotype" w:hAnsi="Palatino Linotype"/>
                                <w:b/>
                              </w:rPr>
                            </w:pPr>
                            <w:r>
                              <w:rPr>
                                <w:rFonts w:ascii="Palatino Linotype" w:hAnsi="Palatino Linotype"/>
                                <w:b/>
                              </w:rPr>
                              <w:t>(Rúbrica).</w:t>
                            </w:r>
                          </w:p>
                          <w:p w14:paraId="51E9923C" w14:textId="77777777" w:rsidR="000F265D" w:rsidRDefault="000F265D" w:rsidP="00C018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A0CF36" id="Cuadro de texto 22" o:spid="_x0000_s1027" type="#_x0000_t202" style="position:absolute;left:0;text-align:left;margin-left:-26.25pt;margin-top:48.8pt;width:195.75pt;height:7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351B6D2F" w14:textId="77777777" w:rsidR="000F265D" w:rsidRPr="00EF2FC0" w:rsidRDefault="000F265D" w:rsidP="00C018A3">
                      <w:pPr>
                        <w:jc w:val="center"/>
                        <w:rPr>
                          <w:rFonts w:ascii="Palatino Linotype" w:hAnsi="Palatino Linotype"/>
                          <w:b/>
                        </w:rPr>
                      </w:pPr>
                      <w:r w:rsidRPr="00EF2FC0">
                        <w:rPr>
                          <w:rFonts w:ascii="Palatino Linotype" w:hAnsi="Palatino Linotype"/>
                          <w:b/>
                        </w:rPr>
                        <w:t>Eva Abaid Yapur</w:t>
                      </w:r>
                    </w:p>
                    <w:p w14:paraId="78386389" w14:textId="77777777" w:rsidR="000F265D" w:rsidRPr="00EF2FC0" w:rsidRDefault="000F265D" w:rsidP="00C018A3">
                      <w:pPr>
                        <w:jc w:val="center"/>
                        <w:rPr>
                          <w:rFonts w:ascii="Palatino Linotype" w:hAnsi="Palatino Linotype"/>
                        </w:rPr>
                      </w:pPr>
                      <w:r w:rsidRPr="00EF2FC0">
                        <w:rPr>
                          <w:rFonts w:ascii="Palatino Linotype" w:hAnsi="Palatino Linotype"/>
                        </w:rPr>
                        <w:t>Comisionada</w:t>
                      </w:r>
                    </w:p>
                    <w:p w14:paraId="264F7934" w14:textId="77777777" w:rsidR="000F265D" w:rsidRDefault="000F265D" w:rsidP="00C018A3">
                      <w:pPr>
                        <w:jc w:val="center"/>
                        <w:rPr>
                          <w:rFonts w:ascii="Palatino Linotype" w:hAnsi="Palatino Linotype"/>
                          <w:b/>
                        </w:rPr>
                      </w:pPr>
                      <w:r>
                        <w:rPr>
                          <w:rFonts w:ascii="Palatino Linotype" w:hAnsi="Palatino Linotype"/>
                          <w:b/>
                        </w:rPr>
                        <w:t>(Rúbrica).</w:t>
                      </w:r>
                    </w:p>
                    <w:p w14:paraId="51E9923C" w14:textId="77777777" w:rsidR="000F265D" w:rsidRDefault="000F265D" w:rsidP="00C018A3">
                      <w:pPr>
                        <w:jc w:val="center"/>
                      </w:pPr>
                    </w:p>
                  </w:txbxContent>
                </v:textbox>
                <w10:wrap anchorx="margin"/>
              </v:shape>
            </w:pict>
          </mc:Fallback>
        </mc:AlternateContent>
      </w:r>
    </w:p>
    <w:p w14:paraId="31201017" w14:textId="77777777" w:rsidR="00C018A3" w:rsidRDefault="00C018A3" w:rsidP="00C018A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8896" behindDoc="0" locked="0" layoutInCell="1" allowOverlap="1" wp14:anchorId="2B7066E1" wp14:editId="12278CA0">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89BF98B" w14:textId="77777777" w:rsidR="000F265D" w:rsidRPr="00EF2FC0" w:rsidRDefault="000F265D" w:rsidP="00C018A3">
                            <w:pPr>
                              <w:jc w:val="center"/>
                              <w:rPr>
                                <w:rFonts w:ascii="Palatino Linotype" w:hAnsi="Palatino Linotype"/>
                              </w:rPr>
                            </w:pPr>
                            <w:r>
                              <w:rPr>
                                <w:rFonts w:ascii="Palatino Linotype" w:hAnsi="Palatino Linotype"/>
                                <w:b/>
                              </w:rPr>
                              <w:t>José Guadalupe Luna Hernández</w:t>
                            </w:r>
                          </w:p>
                          <w:p w14:paraId="62C0F2A1" w14:textId="77777777" w:rsidR="000F265D" w:rsidRDefault="000F265D" w:rsidP="00C018A3">
                            <w:pPr>
                              <w:jc w:val="center"/>
                              <w:rPr>
                                <w:rFonts w:ascii="Palatino Linotype" w:hAnsi="Palatino Linotype"/>
                              </w:rPr>
                            </w:pPr>
                            <w:r w:rsidRPr="00EF2FC0">
                              <w:rPr>
                                <w:rFonts w:ascii="Palatino Linotype" w:hAnsi="Palatino Linotype"/>
                              </w:rPr>
                              <w:t>Comisionado</w:t>
                            </w:r>
                          </w:p>
                          <w:p w14:paraId="1F28FFFA" w14:textId="5B4E8303" w:rsidR="000F265D" w:rsidRPr="009234AD" w:rsidRDefault="000F265D" w:rsidP="00C018A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066E1" id="Cuadro de texto 23" o:spid="_x0000_s1028" type="#_x0000_t202" style="position:absolute;left:0;text-align:left;margin-left:280.2pt;margin-top:6.7pt;width:200.25pt;height:74.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089BF98B" w14:textId="77777777" w:rsidR="000F265D" w:rsidRPr="00EF2FC0" w:rsidRDefault="000F265D" w:rsidP="00C018A3">
                      <w:pPr>
                        <w:jc w:val="center"/>
                        <w:rPr>
                          <w:rFonts w:ascii="Palatino Linotype" w:hAnsi="Palatino Linotype"/>
                        </w:rPr>
                      </w:pPr>
                      <w:r>
                        <w:rPr>
                          <w:rFonts w:ascii="Palatino Linotype" w:hAnsi="Palatino Linotype"/>
                          <w:b/>
                        </w:rPr>
                        <w:t>José Guadalupe Luna Hernández</w:t>
                      </w:r>
                    </w:p>
                    <w:p w14:paraId="62C0F2A1" w14:textId="77777777" w:rsidR="000F265D" w:rsidRDefault="000F265D" w:rsidP="00C018A3">
                      <w:pPr>
                        <w:jc w:val="center"/>
                        <w:rPr>
                          <w:rFonts w:ascii="Palatino Linotype" w:hAnsi="Palatino Linotype"/>
                        </w:rPr>
                      </w:pPr>
                      <w:r w:rsidRPr="00EF2FC0">
                        <w:rPr>
                          <w:rFonts w:ascii="Palatino Linotype" w:hAnsi="Palatino Linotype"/>
                        </w:rPr>
                        <w:t>Comisionado</w:t>
                      </w:r>
                    </w:p>
                    <w:p w14:paraId="1F28FFFA" w14:textId="5B4E8303" w:rsidR="000F265D" w:rsidRPr="009234AD" w:rsidRDefault="000F265D" w:rsidP="00C018A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6161A9F" w14:textId="77777777" w:rsidR="00C018A3" w:rsidRPr="00D54B7D" w:rsidRDefault="00C018A3" w:rsidP="00C018A3">
      <w:pPr>
        <w:spacing w:before="240" w:line="480" w:lineRule="auto"/>
        <w:jc w:val="both"/>
        <w:rPr>
          <w:rFonts w:ascii="Palatino Linotype" w:hAnsi="Palatino Linotype"/>
        </w:rPr>
      </w:pPr>
    </w:p>
    <w:p w14:paraId="09081E8E" w14:textId="77777777" w:rsidR="00C018A3" w:rsidRPr="00D54B7D" w:rsidRDefault="00C018A3" w:rsidP="00C018A3">
      <w:pPr>
        <w:spacing w:before="240" w:line="480" w:lineRule="auto"/>
        <w:jc w:val="center"/>
        <w:rPr>
          <w:rFonts w:ascii="Palatino Linotype" w:hAnsi="Palatino Linotype"/>
        </w:rPr>
      </w:pPr>
    </w:p>
    <w:p w14:paraId="1788EA6E" w14:textId="77777777" w:rsidR="00C018A3" w:rsidRDefault="00C018A3" w:rsidP="00C018A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1968" behindDoc="0" locked="0" layoutInCell="1" allowOverlap="1" wp14:anchorId="124A8329" wp14:editId="4F9675BD">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F0EC78" w14:textId="77777777" w:rsidR="000F265D" w:rsidRPr="00EF2FC0" w:rsidRDefault="000F265D" w:rsidP="00C018A3">
                            <w:pPr>
                              <w:jc w:val="center"/>
                              <w:rPr>
                                <w:rFonts w:ascii="Palatino Linotype" w:hAnsi="Palatino Linotype"/>
                              </w:rPr>
                            </w:pPr>
                            <w:r w:rsidRPr="00EF2FC0">
                              <w:rPr>
                                <w:rFonts w:ascii="Palatino Linotype" w:hAnsi="Palatino Linotype"/>
                                <w:b/>
                              </w:rPr>
                              <w:t>Javier Martínez Cruz</w:t>
                            </w:r>
                          </w:p>
                          <w:p w14:paraId="6FAC787B" w14:textId="77777777" w:rsidR="000F265D" w:rsidRDefault="000F265D" w:rsidP="00C018A3">
                            <w:pPr>
                              <w:jc w:val="center"/>
                              <w:rPr>
                                <w:rFonts w:ascii="Palatino Linotype" w:hAnsi="Palatino Linotype"/>
                              </w:rPr>
                            </w:pPr>
                            <w:r w:rsidRPr="00EF2FC0">
                              <w:rPr>
                                <w:rFonts w:ascii="Palatino Linotype" w:hAnsi="Palatino Linotype"/>
                              </w:rPr>
                              <w:t>Comisionado</w:t>
                            </w:r>
                          </w:p>
                          <w:p w14:paraId="4696EC10" w14:textId="77777777" w:rsidR="000F265D" w:rsidRPr="00F55D03" w:rsidRDefault="000F265D" w:rsidP="00C018A3">
                            <w:pPr>
                              <w:jc w:val="center"/>
                              <w:rPr>
                                <w:rFonts w:ascii="Palatino Linotype" w:hAnsi="Palatino Linotype"/>
                                <w:b/>
                              </w:rPr>
                            </w:pPr>
                            <w:r>
                              <w:rPr>
                                <w:rFonts w:ascii="Palatino Linotype" w:hAnsi="Palatino Linotype"/>
                                <w:b/>
                              </w:rPr>
                              <w:t>(Rúbrica).</w:t>
                            </w:r>
                          </w:p>
                          <w:p w14:paraId="26EB0971" w14:textId="77777777" w:rsidR="000F265D" w:rsidRDefault="000F265D" w:rsidP="00C018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A8329" id="Cuadro de texto 24" o:spid="_x0000_s1029" type="#_x0000_t202" style="position:absolute;margin-left:-23.55pt;margin-top:45.9pt;width:195.75pt;height:73.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02F0EC78" w14:textId="77777777" w:rsidR="000F265D" w:rsidRPr="00EF2FC0" w:rsidRDefault="000F265D" w:rsidP="00C018A3">
                      <w:pPr>
                        <w:jc w:val="center"/>
                        <w:rPr>
                          <w:rFonts w:ascii="Palatino Linotype" w:hAnsi="Palatino Linotype"/>
                        </w:rPr>
                      </w:pPr>
                      <w:r w:rsidRPr="00EF2FC0">
                        <w:rPr>
                          <w:rFonts w:ascii="Palatino Linotype" w:hAnsi="Palatino Linotype"/>
                          <w:b/>
                        </w:rPr>
                        <w:t>Javier Martínez Cruz</w:t>
                      </w:r>
                    </w:p>
                    <w:p w14:paraId="6FAC787B" w14:textId="77777777" w:rsidR="000F265D" w:rsidRDefault="000F265D" w:rsidP="00C018A3">
                      <w:pPr>
                        <w:jc w:val="center"/>
                        <w:rPr>
                          <w:rFonts w:ascii="Palatino Linotype" w:hAnsi="Palatino Linotype"/>
                        </w:rPr>
                      </w:pPr>
                      <w:r w:rsidRPr="00EF2FC0">
                        <w:rPr>
                          <w:rFonts w:ascii="Palatino Linotype" w:hAnsi="Palatino Linotype"/>
                        </w:rPr>
                        <w:t>Comisionado</w:t>
                      </w:r>
                    </w:p>
                    <w:p w14:paraId="4696EC10" w14:textId="77777777" w:rsidR="000F265D" w:rsidRPr="00F55D03" w:rsidRDefault="000F265D" w:rsidP="00C018A3">
                      <w:pPr>
                        <w:jc w:val="center"/>
                        <w:rPr>
                          <w:rFonts w:ascii="Palatino Linotype" w:hAnsi="Palatino Linotype"/>
                          <w:b/>
                        </w:rPr>
                      </w:pPr>
                      <w:r>
                        <w:rPr>
                          <w:rFonts w:ascii="Palatino Linotype" w:hAnsi="Palatino Linotype"/>
                          <w:b/>
                        </w:rPr>
                        <w:t>(Rúbrica).</w:t>
                      </w:r>
                    </w:p>
                    <w:p w14:paraId="26EB0971" w14:textId="77777777" w:rsidR="000F265D" w:rsidRDefault="000F265D" w:rsidP="00C018A3"/>
                  </w:txbxContent>
                </v:textbox>
                <w10:wrap anchorx="margin"/>
              </v:shape>
            </w:pict>
          </mc:Fallback>
        </mc:AlternateContent>
      </w:r>
    </w:p>
    <w:p w14:paraId="7A964451" w14:textId="77777777" w:rsidR="00C018A3" w:rsidRDefault="00C018A3" w:rsidP="00C018A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30944" behindDoc="0" locked="0" layoutInCell="1" allowOverlap="1" wp14:anchorId="5A2FB631" wp14:editId="736D4A2B">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D5EF8C" w14:textId="77777777" w:rsidR="000F265D" w:rsidRPr="00EF2FC0" w:rsidRDefault="000F265D" w:rsidP="00C018A3">
                            <w:pPr>
                              <w:jc w:val="center"/>
                              <w:rPr>
                                <w:rFonts w:ascii="Palatino Linotype" w:hAnsi="Palatino Linotype"/>
                              </w:rPr>
                            </w:pPr>
                            <w:r>
                              <w:rPr>
                                <w:rFonts w:ascii="Palatino Linotype" w:hAnsi="Palatino Linotype"/>
                                <w:b/>
                              </w:rPr>
                              <w:t>Luis Gustavo Parra Noriega</w:t>
                            </w:r>
                          </w:p>
                          <w:p w14:paraId="275389E1" w14:textId="77777777" w:rsidR="000F265D" w:rsidRDefault="000F265D" w:rsidP="00C018A3">
                            <w:pPr>
                              <w:jc w:val="center"/>
                              <w:rPr>
                                <w:rFonts w:ascii="Palatino Linotype" w:hAnsi="Palatino Linotype"/>
                              </w:rPr>
                            </w:pPr>
                            <w:r w:rsidRPr="00EF2FC0">
                              <w:rPr>
                                <w:rFonts w:ascii="Palatino Linotype" w:hAnsi="Palatino Linotype"/>
                              </w:rPr>
                              <w:t>Comisionado</w:t>
                            </w:r>
                          </w:p>
                          <w:p w14:paraId="4ADD432C" w14:textId="77777777" w:rsidR="000F265D" w:rsidRPr="00F55D03" w:rsidRDefault="000F265D" w:rsidP="00C018A3">
                            <w:pPr>
                              <w:jc w:val="center"/>
                              <w:rPr>
                                <w:rFonts w:ascii="Palatino Linotype" w:hAnsi="Palatino Linotype"/>
                                <w:b/>
                              </w:rPr>
                            </w:pPr>
                            <w:r>
                              <w:rPr>
                                <w:rFonts w:ascii="Palatino Linotype" w:hAnsi="Palatino Linotype"/>
                                <w:b/>
                              </w:rPr>
                              <w:t>(Rúbrica).</w:t>
                            </w:r>
                          </w:p>
                          <w:p w14:paraId="2566BEEF" w14:textId="77777777" w:rsidR="000F265D" w:rsidRDefault="000F265D" w:rsidP="00C018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2FB631" id="Cuadro de texto 26" o:spid="_x0000_s1030" type="#_x0000_t202" style="position:absolute;margin-left:281.7pt;margin-top:4.2pt;width:200.25pt;height:73.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21D5EF8C" w14:textId="77777777" w:rsidR="000F265D" w:rsidRPr="00EF2FC0" w:rsidRDefault="000F265D" w:rsidP="00C018A3">
                      <w:pPr>
                        <w:jc w:val="center"/>
                        <w:rPr>
                          <w:rFonts w:ascii="Palatino Linotype" w:hAnsi="Palatino Linotype"/>
                        </w:rPr>
                      </w:pPr>
                      <w:r>
                        <w:rPr>
                          <w:rFonts w:ascii="Palatino Linotype" w:hAnsi="Palatino Linotype"/>
                          <w:b/>
                        </w:rPr>
                        <w:t>Luis Gustavo Parra Noriega</w:t>
                      </w:r>
                    </w:p>
                    <w:p w14:paraId="275389E1" w14:textId="77777777" w:rsidR="000F265D" w:rsidRDefault="000F265D" w:rsidP="00C018A3">
                      <w:pPr>
                        <w:jc w:val="center"/>
                        <w:rPr>
                          <w:rFonts w:ascii="Palatino Linotype" w:hAnsi="Palatino Linotype"/>
                        </w:rPr>
                      </w:pPr>
                      <w:r w:rsidRPr="00EF2FC0">
                        <w:rPr>
                          <w:rFonts w:ascii="Palatino Linotype" w:hAnsi="Palatino Linotype"/>
                        </w:rPr>
                        <w:t>Comisionado</w:t>
                      </w:r>
                    </w:p>
                    <w:p w14:paraId="4ADD432C" w14:textId="77777777" w:rsidR="000F265D" w:rsidRPr="00F55D03" w:rsidRDefault="000F265D" w:rsidP="00C018A3">
                      <w:pPr>
                        <w:jc w:val="center"/>
                        <w:rPr>
                          <w:rFonts w:ascii="Palatino Linotype" w:hAnsi="Palatino Linotype"/>
                          <w:b/>
                        </w:rPr>
                      </w:pPr>
                      <w:r>
                        <w:rPr>
                          <w:rFonts w:ascii="Palatino Linotype" w:hAnsi="Palatino Linotype"/>
                          <w:b/>
                        </w:rPr>
                        <w:t>(Rúbrica).</w:t>
                      </w:r>
                    </w:p>
                    <w:p w14:paraId="2566BEEF" w14:textId="77777777" w:rsidR="000F265D" w:rsidRDefault="000F265D" w:rsidP="00C018A3"/>
                  </w:txbxContent>
                </v:textbox>
                <w10:wrap anchorx="margin"/>
              </v:shape>
            </w:pict>
          </mc:Fallback>
        </mc:AlternateContent>
      </w:r>
    </w:p>
    <w:p w14:paraId="71C7C6C4" w14:textId="77777777" w:rsidR="00C018A3" w:rsidRDefault="00C018A3" w:rsidP="00C018A3">
      <w:pPr>
        <w:spacing w:before="240" w:line="480" w:lineRule="auto"/>
        <w:rPr>
          <w:rFonts w:ascii="Palatino Linotype" w:hAnsi="Palatino Linotype"/>
          <w:b/>
        </w:rPr>
      </w:pPr>
    </w:p>
    <w:p w14:paraId="18214A69" w14:textId="77777777" w:rsidR="00C018A3" w:rsidRDefault="00C018A3" w:rsidP="00C018A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29920" behindDoc="0" locked="0" layoutInCell="1" allowOverlap="1" wp14:anchorId="42C341B1" wp14:editId="57BBF6B2">
                <wp:simplePos x="0" y="0"/>
                <wp:positionH relativeFrom="margin">
                  <wp:align>center</wp:align>
                </wp:positionH>
                <wp:positionV relativeFrom="paragraph">
                  <wp:posOffset>149623</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B7A964" w14:textId="77777777" w:rsidR="000F265D" w:rsidRPr="007F6133" w:rsidRDefault="000F265D" w:rsidP="00C018A3">
                            <w:pPr>
                              <w:jc w:val="center"/>
                              <w:rPr>
                                <w:rFonts w:ascii="Palatino Linotype" w:hAnsi="Palatino Linotype"/>
                                <w:b/>
                              </w:rPr>
                            </w:pPr>
                            <w:r>
                              <w:rPr>
                                <w:rFonts w:ascii="Palatino Linotype" w:hAnsi="Palatino Linotype"/>
                                <w:b/>
                              </w:rPr>
                              <w:t xml:space="preserve">Alexis Tapia Ramírez </w:t>
                            </w:r>
                          </w:p>
                          <w:p w14:paraId="2DEA67FA" w14:textId="77777777" w:rsidR="000F265D" w:rsidRDefault="000F265D" w:rsidP="00C018A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4A3A509" w14:textId="77777777" w:rsidR="000F265D" w:rsidRDefault="000F265D" w:rsidP="00C018A3">
                            <w:pPr>
                              <w:jc w:val="center"/>
                              <w:rPr>
                                <w:rFonts w:ascii="Palatino Linotype" w:hAnsi="Palatino Linotype"/>
                                <w:b/>
                              </w:rPr>
                            </w:pPr>
                            <w:r>
                              <w:rPr>
                                <w:rFonts w:ascii="Palatino Linotype" w:hAnsi="Palatino Linotype"/>
                                <w:b/>
                              </w:rPr>
                              <w:t>(Rúbrica).</w:t>
                            </w:r>
                          </w:p>
                          <w:p w14:paraId="64FEFB1F" w14:textId="77777777" w:rsidR="000F265D" w:rsidRDefault="000F265D" w:rsidP="00C018A3">
                            <w:pPr>
                              <w:jc w:val="center"/>
                              <w:rPr>
                                <w:rFonts w:ascii="Palatino Linotype" w:hAnsi="Palatino Linotype"/>
                              </w:rPr>
                            </w:pPr>
                          </w:p>
                          <w:p w14:paraId="24F4BE96" w14:textId="77777777" w:rsidR="000F265D" w:rsidRPr="00EF2FC0" w:rsidRDefault="000F265D" w:rsidP="00C018A3">
                            <w:pPr>
                              <w:jc w:val="center"/>
                              <w:rPr>
                                <w:rFonts w:ascii="Palatino Linotype" w:hAnsi="Palatino Linotype"/>
                              </w:rPr>
                            </w:pPr>
                          </w:p>
                          <w:p w14:paraId="5C4050AA" w14:textId="77777777" w:rsidR="000F265D" w:rsidRDefault="000F265D" w:rsidP="00C018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341B1" id="Cuadro de texto 14" o:spid="_x0000_s1031" type="#_x0000_t202" style="position:absolute;margin-left:0;margin-top:11.8pt;width:248.25pt;height:1in;z-index:251729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L9TPN5kCAADCBQAADgAAAAAAAAAAAAAAAAAuAgAAZHJzL2Uyb0Rv&#10;Yy54bWxQSwECLQAUAAYACAAAACEAZuXByt0AAAAHAQAADwAAAAAAAAAAAAAAAADzBAAAZHJzL2Rv&#10;d25yZXYueG1sUEsFBgAAAAAEAAQA8wAAAP0FAAAAAA==&#10;" fillcolor="white [3201]" strokecolor="white [3212]" strokeweight=".5pt">
                <v:textbox>
                  <w:txbxContent>
                    <w:p w14:paraId="71B7A964" w14:textId="77777777" w:rsidR="000F265D" w:rsidRPr="007F6133" w:rsidRDefault="000F265D" w:rsidP="00C018A3">
                      <w:pPr>
                        <w:jc w:val="center"/>
                        <w:rPr>
                          <w:rFonts w:ascii="Palatino Linotype" w:hAnsi="Palatino Linotype"/>
                          <w:b/>
                        </w:rPr>
                      </w:pPr>
                      <w:r>
                        <w:rPr>
                          <w:rFonts w:ascii="Palatino Linotype" w:hAnsi="Palatino Linotype"/>
                          <w:b/>
                        </w:rPr>
                        <w:t xml:space="preserve">Alexis Tapia Ramírez </w:t>
                      </w:r>
                    </w:p>
                    <w:p w14:paraId="2DEA67FA" w14:textId="77777777" w:rsidR="000F265D" w:rsidRDefault="000F265D" w:rsidP="00C018A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4A3A509" w14:textId="77777777" w:rsidR="000F265D" w:rsidRDefault="000F265D" w:rsidP="00C018A3">
                      <w:pPr>
                        <w:jc w:val="center"/>
                        <w:rPr>
                          <w:rFonts w:ascii="Palatino Linotype" w:hAnsi="Palatino Linotype"/>
                          <w:b/>
                        </w:rPr>
                      </w:pPr>
                      <w:r>
                        <w:rPr>
                          <w:rFonts w:ascii="Palatino Linotype" w:hAnsi="Palatino Linotype"/>
                          <w:b/>
                        </w:rPr>
                        <w:t>(Rúbrica).</w:t>
                      </w:r>
                    </w:p>
                    <w:p w14:paraId="64FEFB1F" w14:textId="77777777" w:rsidR="000F265D" w:rsidRDefault="000F265D" w:rsidP="00C018A3">
                      <w:pPr>
                        <w:jc w:val="center"/>
                        <w:rPr>
                          <w:rFonts w:ascii="Palatino Linotype" w:hAnsi="Palatino Linotype"/>
                        </w:rPr>
                      </w:pPr>
                    </w:p>
                    <w:p w14:paraId="24F4BE96" w14:textId="77777777" w:rsidR="000F265D" w:rsidRPr="00EF2FC0" w:rsidRDefault="000F265D" w:rsidP="00C018A3">
                      <w:pPr>
                        <w:jc w:val="center"/>
                        <w:rPr>
                          <w:rFonts w:ascii="Palatino Linotype" w:hAnsi="Palatino Linotype"/>
                        </w:rPr>
                      </w:pPr>
                    </w:p>
                    <w:p w14:paraId="5C4050AA" w14:textId="77777777" w:rsidR="000F265D" w:rsidRDefault="000F265D" w:rsidP="00C018A3"/>
                  </w:txbxContent>
                </v:textbox>
                <w10:wrap anchorx="margin"/>
              </v:shape>
            </w:pict>
          </mc:Fallback>
        </mc:AlternateContent>
      </w:r>
    </w:p>
    <w:p w14:paraId="503065B3" w14:textId="77777777" w:rsidR="00C018A3" w:rsidRPr="00D54B7D" w:rsidRDefault="00C018A3" w:rsidP="00C018A3">
      <w:pPr>
        <w:spacing w:before="240" w:line="480" w:lineRule="auto"/>
        <w:rPr>
          <w:rFonts w:ascii="Palatino Linotype" w:hAnsi="Palatino Linotype"/>
          <w:b/>
        </w:rPr>
      </w:pPr>
    </w:p>
    <w:p w14:paraId="59C3ABD5" w14:textId="77777777" w:rsidR="00F81BC9" w:rsidRDefault="00F81BC9" w:rsidP="00C018A3">
      <w:pPr>
        <w:tabs>
          <w:tab w:val="left" w:pos="5415"/>
        </w:tabs>
        <w:spacing w:before="240" w:line="360" w:lineRule="auto"/>
        <w:ind w:right="51"/>
        <w:jc w:val="both"/>
        <w:rPr>
          <w:rFonts w:ascii="Palatino Linotype" w:hAnsi="Palatino Linotype" w:cs="Arial"/>
          <w:sz w:val="16"/>
          <w:szCs w:val="16"/>
        </w:rPr>
      </w:pPr>
    </w:p>
    <w:p w14:paraId="6BBA6FC6" w14:textId="200002DD" w:rsidR="00C018A3" w:rsidRDefault="00C018A3" w:rsidP="00C018A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1919BA">
        <w:rPr>
          <w:rFonts w:ascii="Palatino Linotype" w:hAnsi="Palatino Linotype" w:cs="Arial"/>
          <w:sz w:val="16"/>
          <w:szCs w:val="16"/>
        </w:rPr>
        <w:t>tres de julio</w:t>
      </w:r>
      <w:r>
        <w:rPr>
          <w:rFonts w:ascii="Palatino Linotype" w:hAnsi="Palatino Linotype" w:cs="Arial"/>
          <w:sz w:val="16"/>
          <w:szCs w:val="16"/>
        </w:rPr>
        <w:t xml:space="preserve"> </w:t>
      </w:r>
      <w:r w:rsidRPr="00DF4D67">
        <w:rPr>
          <w:rFonts w:ascii="Palatino Linotype" w:hAnsi="Palatino Linotype" w:cs="Arial"/>
          <w:sz w:val="16"/>
          <w:szCs w:val="16"/>
        </w:rPr>
        <w:t xml:space="preserve">de dos mil </w:t>
      </w:r>
      <w:r>
        <w:rPr>
          <w:rFonts w:ascii="Palatino Linotype" w:hAnsi="Palatino Linotype" w:cs="Arial"/>
          <w:sz w:val="16"/>
          <w:szCs w:val="16"/>
        </w:rPr>
        <w:t>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BD21C6">
        <w:rPr>
          <w:rFonts w:ascii="Palatino Linotype" w:hAnsi="Palatino Linotype" w:cs="Arial"/>
          <w:bCs/>
          <w:sz w:val="16"/>
          <w:szCs w:val="16"/>
          <w:lang w:eastAsia="es-MX"/>
        </w:rPr>
        <w:t>3215</w:t>
      </w:r>
      <w:r>
        <w:rPr>
          <w:rFonts w:ascii="Palatino Linotype" w:hAnsi="Palatino Linotype" w:cs="Arial"/>
          <w:bCs/>
          <w:sz w:val="16"/>
          <w:szCs w:val="16"/>
          <w:lang w:eastAsia="es-MX"/>
        </w:rPr>
        <w:t xml:space="preserve">/INFOEM/IP/RR/2019.   </w:t>
      </w:r>
    </w:p>
    <w:p w14:paraId="57FF1D38" w14:textId="7110DA83" w:rsidR="00F81BC9" w:rsidRDefault="00F81BC9" w:rsidP="00C018A3">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F81BC9"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DF3AF" w14:textId="77777777" w:rsidR="000F1939" w:rsidRDefault="000F1939" w:rsidP="006168E4">
      <w:pPr>
        <w:spacing w:after="0" w:line="240" w:lineRule="auto"/>
      </w:pPr>
      <w:r>
        <w:separator/>
      </w:r>
    </w:p>
  </w:endnote>
  <w:endnote w:type="continuationSeparator" w:id="0">
    <w:p w14:paraId="522E313F" w14:textId="77777777" w:rsidR="000F1939" w:rsidRDefault="000F193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8625" w14:textId="77777777" w:rsidR="000F265D" w:rsidRPr="000B69FA" w:rsidRDefault="000F26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41FA">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41F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5C75" w14:textId="77777777" w:rsidR="000F265D" w:rsidRPr="000B69FA" w:rsidRDefault="000F265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41F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41FA">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55AC3" w14:textId="77777777" w:rsidR="000F1939" w:rsidRDefault="000F1939" w:rsidP="006168E4">
      <w:pPr>
        <w:spacing w:after="0" w:line="240" w:lineRule="auto"/>
      </w:pPr>
      <w:r>
        <w:separator/>
      </w:r>
    </w:p>
  </w:footnote>
  <w:footnote w:type="continuationSeparator" w:id="0">
    <w:p w14:paraId="76260FA0" w14:textId="77777777" w:rsidR="000F1939" w:rsidRDefault="000F1939" w:rsidP="006168E4">
      <w:pPr>
        <w:spacing w:after="0" w:line="240" w:lineRule="auto"/>
      </w:pPr>
      <w:r>
        <w:continuationSeparator/>
      </w:r>
    </w:p>
  </w:footnote>
  <w:footnote w:id="1">
    <w:p w14:paraId="0EF838EB" w14:textId="77777777" w:rsidR="000F265D" w:rsidRPr="00911081" w:rsidRDefault="000F265D" w:rsidP="00460A79">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AC525B" w14:textId="77777777" w:rsidR="000F265D" w:rsidRPr="00911081" w:rsidRDefault="000F265D" w:rsidP="00460A79">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3EEC" w14:textId="77777777" w:rsidR="000F265D" w:rsidRDefault="000F265D">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F265D" w14:paraId="49E2D54C" w14:textId="77777777" w:rsidTr="00964F9E">
      <w:trPr>
        <w:trHeight w:val="227"/>
      </w:trPr>
      <w:tc>
        <w:tcPr>
          <w:tcW w:w="5529" w:type="dxa"/>
          <w:hideMark/>
        </w:tcPr>
        <w:p w14:paraId="76EE969C" w14:textId="77777777" w:rsidR="000F265D" w:rsidRDefault="000F26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4342B117" w:rsidR="000F265D" w:rsidRPr="00B4142F" w:rsidRDefault="000F265D"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03215/INFOEM/IP/RR/2019 </w:t>
          </w:r>
        </w:p>
      </w:tc>
    </w:tr>
    <w:tr w:rsidR="000F265D" w14:paraId="6F642326" w14:textId="77777777" w:rsidTr="00964F9E">
      <w:trPr>
        <w:trHeight w:val="242"/>
      </w:trPr>
      <w:tc>
        <w:tcPr>
          <w:tcW w:w="5529" w:type="dxa"/>
          <w:hideMark/>
        </w:tcPr>
        <w:p w14:paraId="1E1D9DC7" w14:textId="77777777" w:rsidR="000F265D" w:rsidRDefault="000F265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6FE55133" w:rsidR="000F265D" w:rsidRPr="00F06FED" w:rsidRDefault="000F265D" w:rsidP="00C25084">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Toluca </w:t>
          </w:r>
        </w:p>
      </w:tc>
    </w:tr>
    <w:tr w:rsidR="000F265D" w14:paraId="58B89F42" w14:textId="77777777" w:rsidTr="00964F9E">
      <w:trPr>
        <w:trHeight w:val="342"/>
      </w:trPr>
      <w:tc>
        <w:tcPr>
          <w:tcW w:w="5529" w:type="dxa"/>
          <w:hideMark/>
        </w:tcPr>
        <w:p w14:paraId="6FA55A05" w14:textId="77777777" w:rsidR="000F265D" w:rsidRDefault="000F265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0F265D" w:rsidRDefault="000F265D"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0F265D" w:rsidRDefault="000F265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F265D" w14:paraId="7E869E4A" w14:textId="77777777" w:rsidTr="00964F9E">
      <w:trPr>
        <w:trHeight w:val="227"/>
      </w:trPr>
      <w:tc>
        <w:tcPr>
          <w:tcW w:w="5529" w:type="dxa"/>
          <w:hideMark/>
        </w:tcPr>
        <w:p w14:paraId="00255304" w14:textId="77777777" w:rsidR="000F265D" w:rsidRDefault="000F26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05159927" w:rsidR="000F265D" w:rsidRPr="00B4142F" w:rsidRDefault="000F265D"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03215/INFOEM/IP/RR/2019 </w:t>
          </w:r>
        </w:p>
      </w:tc>
    </w:tr>
    <w:tr w:rsidR="000F265D" w14:paraId="2F475565" w14:textId="77777777" w:rsidTr="00964F9E">
      <w:trPr>
        <w:trHeight w:val="196"/>
      </w:trPr>
      <w:tc>
        <w:tcPr>
          <w:tcW w:w="5529" w:type="dxa"/>
          <w:hideMark/>
        </w:tcPr>
        <w:p w14:paraId="0D737A17" w14:textId="77777777" w:rsidR="000F265D" w:rsidRDefault="000F26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065C5C03" w:rsidR="000F265D" w:rsidRPr="00F06FED" w:rsidRDefault="006241FA"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w:t>
          </w:r>
        </w:p>
      </w:tc>
    </w:tr>
    <w:tr w:rsidR="000F265D" w14:paraId="72BD4D7B" w14:textId="77777777" w:rsidTr="00964F9E">
      <w:trPr>
        <w:trHeight w:val="242"/>
      </w:trPr>
      <w:tc>
        <w:tcPr>
          <w:tcW w:w="5529" w:type="dxa"/>
          <w:hideMark/>
        </w:tcPr>
        <w:p w14:paraId="5EA3BECF" w14:textId="77777777" w:rsidR="000F265D" w:rsidRDefault="000F265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48CBB2CC" w:rsidR="000F265D" w:rsidRDefault="000F265D"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0F265D" w14:paraId="786E8402" w14:textId="77777777" w:rsidTr="00964F9E">
      <w:trPr>
        <w:trHeight w:val="342"/>
      </w:trPr>
      <w:tc>
        <w:tcPr>
          <w:tcW w:w="5529" w:type="dxa"/>
          <w:hideMark/>
        </w:tcPr>
        <w:p w14:paraId="63525C1F" w14:textId="77777777" w:rsidR="000F265D" w:rsidRDefault="000F265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0F265D" w:rsidRDefault="000F265D"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0F265D" w:rsidRDefault="000F26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004"/>
    <w:multiLevelType w:val="hybridMultilevel"/>
    <w:tmpl w:val="8F10EA18"/>
    <w:lvl w:ilvl="0" w:tplc="DE5AA1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A06D33"/>
    <w:multiLevelType w:val="hybridMultilevel"/>
    <w:tmpl w:val="1CFE80C8"/>
    <w:lvl w:ilvl="0" w:tplc="0E52CDB6">
      <w:start w:val="1"/>
      <w:numFmt w:val="low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CB5B02"/>
    <w:multiLevelType w:val="hybridMultilevel"/>
    <w:tmpl w:val="398AEE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461A05"/>
    <w:multiLevelType w:val="hybridMultilevel"/>
    <w:tmpl w:val="374829EE"/>
    <w:lvl w:ilvl="0" w:tplc="18C0032E">
      <w:start w:val="1"/>
      <w:numFmt w:val="decimal"/>
      <w:lvlText w:val="%1."/>
      <w:lvlJc w:val="left"/>
      <w:pPr>
        <w:ind w:left="1068" w:hanging="360"/>
      </w:pPr>
      <w:rPr>
        <w:rFonts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FB53FEE"/>
    <w:multiLevelType w:val="hybridMultilevel"/>
    <w:tmpl w:val="49A221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9A0A51"/>
    <w:multiLevelType w:val="hybridMultilevel"/>
    <w:tmpl w:val="E71CC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167CD6"/>
    <w:multiLevelType w:val="hybridMultilevel"/>
    <w:tmpl w:val="BE66DF9E"/>
    <w:lvl w:ilvl="0" w:tplc="4BB4B1F6">
      <w:start w:val="1"/>
      <w:numFmt w:val="upperRoman"/>
      <w:lvlText w:val="%1."/>
      <w:lvlJc w:val="left"/>
      <w:pPr>
        <w:ind w:left="6107"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C174F9D"/>
    <w:multiLevelType w:val="hybridMultilevel"/>
    <w:tmpl w:val="FD788A5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336490"/>
    <w:multiLevelType w:val="hybridMultilevel"/>
    <w:tmpl w:val="8E3E5C5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9B40FC"/>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A54953"/>
    <w:multiLevelType w:val="hybridMultilevel"/>
    <w:tmpl w:val="72D260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15219E"/>
    <w:multiLevelType w:val="hybridMultilevel"/>
    <w:tmpl w:val="EFEA65B6"/>
    <w:lvl w:ilvl="0" w:tplc="BFAE321E">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7C48BB"/>
    <w:multiLevelType w:val="hybridMultilevel"/>
    <w:tmpl w:val="EC38E11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3ECB3A5A"/>
    <w:multiLevelType w:val="hybridMultilevel"/>
    <w:tmpl w:val="6ADAB1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C2C14"/>
    <w:multiLevelType w:val="hybridMultilevel"/>
    <w:tmpl w:val="91F87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8B028A"/>
    <w:multiLevelType w:val="hybridMultilevel"/>
    <w:tmpl w:val="319C98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FB40BAC"/>
    <w:multiLevelType w:val="hybridMultilevel"/>
    <w:tmpl w:val="E124A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C97FAD"/>
    <w:multiLevelType w:val="hybridMultilevel"/>
    <w:tmpl w:val="B6E4D168"/>
    <w:lvl w:ilvl="0" w:tplc="2DF0BA2C">
      <w:start w:val="7"/>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0" w15:restartNumberingAfterBreak="0">
    <w:nsid w:val="46B25519"/>
    <w:multiLevelType w:val="hybridMultilevel"/>
    <w:tmpl w:val="E124A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463FE8"/>
    <w:multiLevelType w:val="hybridMultilevel"/>
    <w:tmpl w:val="D0B8A0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D16BDB"/>
    <w:multiLevelType w:val="hybridMultilevel"/>
    <w:tmpl w:val="CA9EC38A"/>
    <w:lvl w:ilvl="0" w:tplc="74A67F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3551BC"/>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904EBC"/>
    <w:multiLevelType w:val="hybridMultilevel"/>
    <w:tmpl w:val="85742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162060"/>
    <w:multiLevelType w:val="hybridMultilevel"/>
    <w:tmpl w:val="4D087E6C"/>
    <w:lvl w:ilvl="0" w:tplc="D75C84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9B49DE"/>
    <w:multiLevelType w:val="hybridMultilevel"/>
    <w:tmpl w:val="5D5CF77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4B27BD"/>
    <w:multiLevelType w:val="hybridMultilevel"/>
    <w:tmpl w:val="66BA61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080445"/>
    <w:multiLevelType w:val="hybridMultilevel"/>
    <w:tmpl w:val="FD9E3BE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50393C"/>
    <w:multiLevelType w:val="hybridMultilevel"/>
    <w:tmpl w:val="F9A82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8624BC"/>
    <w:multiLevelType w:val="hybridMultilevel"/>
    <w:tmpl w:val="63286418"/>
    <w:lvl w:ilvl="0" w:tplc="7DCEE180">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6D0FBB"/>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E95395"/>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E067E7"/>
    <w:multiLevelType w:val="hybridMultilevel"/>
    <w:tmpl w:val="61AA0B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13218"/>
    <w:multiLevelType w:val="hybridMultilevel"/>
    <w:tmpl w:val="DDE2A07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E877F4"/>
    <w:multiLevelType w:val="hybridMultilevel"/>
    <w:tmpl w:val="BBB21C4E"/>
    <w:lvl w:ilvl="0" w:tplc="12D0F19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216A87"/>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494C9B"/>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A62226"/>
    <w:multiLevelType w:val="hybridMultilevel"/>
    <w:tmpl w:val="D81AF106"/>
    <w:lvl w:ilvl="0" w:tplc="2BA6CA50">
      <w:start w:val="1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3A2B65"/>
    <w:multiLevelType w:val="hybridMultilevel"/>
    <w:tmpl w:val="A4945192"/>
    <w:lvl w:ilvl="0" w:tplc="5FDE4A9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15:restartNumberingAfterBreak="0">
    <w:nsid w:val="77722757"/>
    <w:multiLevelType w:val="hybridMultilevel"/>
    <w:tmpl w:val="229C476C"/>
    <w:lvl w:ilvl="0" w:tplc="C2B895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4" w15:restartNumberingAfterBreak="0">
    <w:nsid w:val="77D463ED"/>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460422"/>
    <w:multiLevelType w:val="hybridMultilevel"/>
    <w:tmpl w:val="7F0A4A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6"/>
  </w:num>
  <w:num w:numId="5">
    <w:abstractNumId w:val="31"/>
  </w:num>
  <w:num w:numId="6">
    <w:abstractNumId w:val="11"/>
  </w:num>
  <w:num w:numId="7">
    <w:abstractNumId w:val="16"/>
  </w:num>
  <w:num w:numId="8">
    <w:abstractNumId w:val="0"/>
  </w:num>
  <w:num w:numId="9">
    <w:abstractNumId w:val="13"/>
  </w:num>
  <w:num w:numId="10">
    <w:abstractNumId w:val="32"/>
  </w:num>
  <w:num w:numId="11">
    <w:abstractNumId w:val="42"/>
  </w:num>
  <w:num w:numId="12">
    <w:abstractNumId w:val="37"/>
  </w:num>
  <w:num w:numId="13">
    <w:abstractNumId w:val="44"/>
  </w:num>
  <w:num w:numId="14">
    <w:abstractNumId w:val="15"/>
  </w:num>
  <w:num w:numId="15">
    <w:abstractNumId w:val="17"/>
  </w:num>
  <w:num w:numId="16">
    <w:abstractNumId w:val="23"/>
  </w:num>
  <w:num w:numId="17">
    <w:abstractNumId w:val="39"/>
  </w:num>
  <w:num w:numId="18">
    <w:abstractNumId w:val="33"/>
  </w:num>
  <w:num w:numId="19">
    <w:abstractNumId w:val="26"/>
  </w:num>
  <w:num w:numId="20">
    <w:abstractNumId w:val="27"/>
  </w:num>
  <w:num w:numId="21">
    <w:abstractNumId w:val="22"/>
  </w:num>
  <w:num w:numId="22">
    <w:abstractNumId w:val="34"/>
  </w:num>
  <w:num w:numId="23">
    <w:abstractNumId w:val="28"/>
  </w:num>
  <w:num w:numId="24">
    <w:abstractNumId w:val="40"/>
  </w:num>
  <w:num w:numId="25">
    <w:abstractNumId w:val="30"/>
  </w:num>
  <w:num w:numId="26">
    <w:abstractNumId w:val="41"/>
  </w:num>
  <w:num w:numId="27">
    <w:abstractNumId w:val="12"/>
  </w:num>
  <w:num w:numId="28">
    <w:abstractNumId w:val="3"/>
  </w:num>
  <w:num w:numId="29">
    <w:abstractNumId w:val="38"/>
  </w:num>
  <w:num w:numId="30">
    <w:abstractNumId w:val="24"/>
  </w:num>
  <w:num w:numId="31">
    <w:abstractNumId w:val="8"/>
  </w:num>
  <w:num w:numId="32">
    <w:abstractNumId w:val="4"/>
  </w:num>
  <w:num w:numId="33">
    <w:abstractNumId w:val="29"/>
  </w:num>
  <w:num w:numId="34">
    <w:abstractNumId w:val="45"/>
  </w:num>
  <w:num w:numId="35">
    <w:abstractNumId w:val="36"/>
  </w:num>
  <w:num w:numId="36">
    <w:abstractNumId w:val="43"/>
  </w:num>
  <w:num w:numId="37">
    <w:abstractNumId w:val="10"/>
  </w:num>
  <w:num w:numId="38">
    <w:abstractNumId w:val="14"/>
  </w:num>
  <w:num w:numId="39">
    <w:abstractNumId w:val="35"/>
  </w:num>
  <w:num w:numId="40">
    <w:abstractNumId w:val="25"/>
  </w:num>
  <w:num w:numId="41">
    <w:abstractNumId w:val="18"/>
  </w:num>
  <w:num w:numId="42">
    <w:abstractNumId w:val="21"/>
  </w:num>
  <w:num w:numId="43">
    <w:abstractNumId w:val="20"/>
  </w:num>
  <w:num w:numId="44">
    <w:abstractNumId w:val="9"/>
  </w:num>
  <w:num w:numId="45">
    <w:abstractNumId w:val="19"/>
  </w:num>
  <w:num w:numId="4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3101"/>
    <w:rsid w:val="00045379"/>
    <w:rsid w:val="000461DF"/>
    <w:rsid w:val="0005428D"/>
    <w:rsid w:val="00055224"/>
    <w:rsid w:val="0005543E"/>
    <w:rsid w:val="00061821"/>
    <w:rsid w:val="000623F9"/>
    <w:rsid w:val="00062482"/>
    <w:rsid w:val="00063A10"/>
    <w:rsid w:val="000662F8"/>
    <w:rsid w:val="00073E78"/>
    <w:rsid w:val="00091552"/>
    <w:rsid w:val="00091C3A"/>
    <w:rsid w:val="000A2D37"/>
    <w:rsid w:val="000A3486"/>
    <w:rsid w:val="000A70F8"/>
    <w:rsid w:val="000A79DA"/>
    <w:rsid w:val="000B2F09"/>
    <w:rsid w:val="000B4B51"/>
    <w:rsid w:val="000B7158"/>
    <w:rsid w:val="000C0572"/>
    <w:rsid w:val="000C5B8B"/>
    <w:rsid w:val="000D1B55"/>
    <w:rsid w:val="000D3C75"/>
    <w:rsid w:val="000E0411"/>
    <w:rsid w:val="000E686B"/>
    <w:rsid w:val="000F1939"/>
    <w:rsid w:val="000F265D"/>
    <w:rsid w:val="000F6F19"/>
    <w:rsid w:val="001013A6"/>
    <w:rsid w:val="00102D69"/>
    <w:rsid w:val="001033BA"/>
    <w:rsid w:val="0010344C"/>
    <w:rsid w:val="00111D2D"/>
    <w:rsid w:val="00111DCD"/>
    <w:rsid w:val="0011210C"/>
    <w:rsid w:val="00114CF9"/>
    <w:rsid w:val="001167AA"/>
    <w:rsid w:val="00117157"/>
    <w:rsid w:val="00124855"/>
    <w:rsid w:val="001254F5"/>
    <w:rsid w:val="00136FAD"/>
    <w:rsid w:val="00141330"/>
    <w:rsid w:val="00146F0A"/>
    <w:rsid w:val="00152C2B"/>
    <w:rsid w:val="00152E0B"/>
    <w:rsid w:val="0016227F"/>
    <w:rsid w:val="00163786"/>
    <w:rsid w:val="00172661"/>
    <w:rsid w:val="00174EE4"/>
    <w:rsid w:val="00175897"/>
    <w:rsid w:val="00177D2C"/>
    <w:rsid w:val="001804C3"/>
    <w:rsid w:val="00180B9F"/>
    <w:rsid w:val="00181CC5"/>
    <w:rsid w:val="0018567C"/>
    <w:rsid w:val="001919BA"/>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5F16"/>
    <w:rsid w:val="001D6FAB"/>
    <w:rsid w:val="001E7FDC"/>
    <w:rsid w:val="002037DE"/>
    <w:rsid w:val="00203D3A"/>
    <w:rsid w:val="00203FF3"/>
    <w:rsid w:val="002044B4"/>
    <w:rsid w:val="00207086"/>
    <w:rsid w:val="00211D36"/>
    <w:rsid w:val="0021501E"/>
    <w:rsid w:val="002205C0"/>
    <w:rsid w:val="0023373D"/>
    <w:rsid w:val="0023423C"/>
    <w:rsid w:val="00236F5B"/>
    <w:rsid w:val="00245912"/>
    <w:rsid w:val="00254477"/>
    <w:rsid w:val="002563E2"/>
    <w:rsid w:val="002577FE"/>
    <w:rsid w:val="00273D0E"/>
    <w:rsid w:val="00286235"/>
    <w:rsid w:val="00290FD4"/>
    <w:rsid w:val="00297EF9"/>
    <w:rsid w:val="002A2034"/>
    <w:rsid w:val="002A24F4"/>
    <w:rsid w:val="002A38BF"/>
    <w:rsid w:val="002A597E"/>
    <w:rsid w:val="002B037C"/>
    <w:rsid w:val="002B0FB9"/>
    <w:rsid w:val="002B4382"/>
    <w:rsid w:val="002B5DBD"/>
    <w:rsid w:val="002C498D"/>
    <w:rsid w:val="002C72D2"/>
    <w:rsid w:val="002D2AAF"/>
    <w:rsid w:val="002D314A"/>
    <w:rsid w:val="002D79E2"/>
    <w:rsid w:val="002D7A5D"/>
    <w:rsid w:val="002E0A4A"/>
    <w:rsid w:val="002E0BC4"/>
    <w:rsid w:val="002E21B4"/>
    <w:rsid w:val="002E2D7B"/>
    <w:rsid w:val="002E5E6A"/>
    <w:rsid w:val="002E754A"/>
    <w:rsid w:val="002F37BE"/>
    <w:rsid w:val="002F41CA"/>
    <w:rsid w:val="002F4C6A"/>
    <w:rsid w:val="002F70F6"/>
    <w:rsid w:val="00300D0B"/>
    <w:rsid w:val="003043BE"/>
    <w:rsid w:val="00305083"/>
    <w:rsid w:val="00306096"/>
    <w:rsid w:val="00307014"/>
    <w:rsid w:val="0031645D"/>
    <w:rsid w:val="00320A67"/>
    <w:rsid w:val="003272FB"/>
    <w:rsid w:val="00331499"/>
    <w:rsid w:val="00335D14"/>
    <w:rsid w:val="00343D1E"/>
    <w:rsid w:val="00350DD0"/>
    <w:rsid w:val="00354258"/>
    <w:rsid w:val="00361B9C"/>
    <w:rsid w:val="003672FB"/>
    <w:rsid w:val="00372764"/>
    <w:rsid w:val="00376AC6"/>
    <w:rsid w:val="00376CEC"/>
    <w:rsid w:val="00380495"/>
    <w:rsid w:val="00380758"/>
    <w:rsid w:val="003809EA"/>
    <w:rsid w:val="00381E2B"/>
    <w:rsid w:val="0038429B"/>
    <w:rsid w:val="00392BFB"/>
    <w:rsid w:val="00393B8E"/>
    <w:rsid w:val="00394A1E"/>
    <w:rsid w:val="003968C7"/>
    <w:rsid w:val="003A61F9"/>
    <w:rsid w:val="003B1E88"/>
    <w:rsid w:val="003B2086"/>
    <w:rsid w:val="003C0766"/>
    <w:rsid w:val="003C25CA"/>
    <w:rsid w:val="003C3C5B"/>
    <w:rsid w:val="003C7464"/>
    <w:rsid w:val="003D0B7E"/>
    <w:rsid w:val="003D4E0F"/>
    <w:rsid w:val="003E16E1"/>
    <w:rsid w:val="004012CF"/>
    <w:rsid w:val="00402FF3"/>
    <w:rsid w:val="00405FC5"/>
    <w:rsid w:val="004069EB"/>
    <w:rsid w:val="00407BC8"/>
    <w:rsid w:val="004176C6"/>
    <w:rsid w:val="00422ED2"/>
    <w:rsid w:val="00423213"/>
    <w:rsid w:val="0042327A"/>
    <w:rsid w:val="004233F2"/>
    <w:rsid w:val="0042416D"/>
    <w:rsid w:val="004261E4"/>
    <w:rsid w:val="00436802"/>
    <w:rsid w:val="00442E45"/>
    <w:rsid w:val="00443AD4"/>
    <w:rsid w:val="00445C0F"/>
    <w:rsid w:val="00451448"/>
    <w:rsid w:val="004516EB"/>
    <w:rsid w:val="00451CCF"/>
    <w:rsid w:val="004529B6"/>
    <w:rsid w:val="00453DBD"/>
    <w:rsid w:val="00454CE6"/>
    <w:rsid w:val="00457305"/>
    <w:rsid w:val="00457955"/>
    <w:rsid w:val="00460A79"/>
    <w:rsid w:val="00461824"/>
    <w:rsid w:val="00462881"/>
    <w:rsid w:val="004636E2"/>
    <w:rsid w:val="00467337"/>
    <w:rsid w:val="00470D7D"/>
    <w:rsid w:val="004744A9"/>
    <w:rsid w:val="00475F48"/>
    <w:rsid w:val="00477CC2"/>
    <w:rsid w:val="00477D47"/>
    <w:rsid w:val="00481297"/>
    <w:rsid w:val="0048180A"/>
    <w:rsid w:val="00481C7A"/>
    <w:rsid w:val="00486209"/>
    <w:rsid w:val="004906C8"/>
    <w:rsid w:val="00492BC7"/>
    <w:rsid w:val="00493C88"/>
    <w:rsid w:val="004967E2"/>
    <w:rsid w:val="00496D7B"/>
    <w:rsid w:val="004A290F"/>
    <w:rsid w:val="004A55D8"/>
    <w:rsid w:val="004A5FFD"/>
    <w:rsid w:val="004A7CE2"/>
    <w:rsid w:val="004B031A"/>
    <w:rsid w:val="004B234F"/>
    <w:rsid w:val="004B59BB"/>
    <w:rsid w:val="004C7961"/>
    <w:rsid w:val="004D08EB"/>
    <w:rsid w:val="004E2371"/>
    <w:rsid w:val="004E6BE9"/>
    <w:rsid w:val="004E7FC9"/>
    <w:rsid w:val="005002C5"/>
    <w:rsid w:val="00502086"/>
    <w:rsid w:val="005020E9"/>
    <w:rsid w:val="00503655"/>
    <w:rsid w:val="00505191"/>
    <w:rsid w:val="00514207"/>
    <w:rsid w:val="005149BE"/>
    <w:rsid w:val="00515090"/>
    <w:rsid w:val="00521010"/>
    <w:rsid w:val="00521E57"/>
    <w:rsid w:val="005305EA"/>
    <w:rsid w:val="0053652A"/>
    <w:rsid w:val="0053679B"/>
    <w:rsid w:val="005371E7"/>
    <w:rsid w:val="00540538"/>
    <w:rsid w:val="00541165"/>
    <w:rsid w:val="00542664"/>
    <w:rsid w:val="005439D7"/>
    <w:rsid w:val="005471A6"/>
    <w:rsid w:val="00547695"/>
    <w:rsid w:val="00547DD4"/>
    <w:rsid w:val="005520FE"/>
    <w:rsid w:val="0055263C"/>
    <w:rsid w:val="0055472B"/>
    <w:rsid w:val="00555D9A"/>
    <w:rsid w:val="00556513"/>
    <w:rsid w:val="00557A61"/>
    <w:rsid w:val="00562653"/>
    <w:rsid w:val="00563BC3"/>
    <w:rsid w:val="005662E2"/>
    <w:rsid w:val="005733EB"/>
    <w:rsid w:val="00580802"/>
    <w:rsid w:val="00581A22"/>
    <w:rsid w:val="00593E91"/>
    <w:rsid w:val="005A0AC6"/>
    <w:rsid w:val="005A0B49"/>
    <w:rsid w:val="005A353A"/>
    <w:rsid w:val="005A6D57"/>
    <w:rsid w:val="005A71FD"/>
    <w:rsid w:val="005B5B70"/>
    <w:rsid w:val="005B5F05"/>
    <w:rsid w:val="005C17BF"/>
    <w:rsid w:val="005C404A"/>
    <w:rsid w:val="005C5210"/>
    <w:rsid w:val="005C6982"/>
    <w:rsid w:val="005C6B74"/>
    <w:rsid w:val="005C7AEA"/>
    <w:rsid w:val="005D2B04"/>
    <w:rsid w:val="005D2B59"/>
    <w:rsid w:val="005D362F"/>
    <w:rsid w:val="005D370F"/>
    <w:rsid w:val="005D4D4D"/>
    <w:rsid w:val="005D58F2"/>
    <w:rsid w:val="005E4D7C"/>
    <w:rsid w:val="005F048E"/>
    <w:rsid w:val="005F3BB2"/>
    <w:rsid w:val="005F4499"/>
    <w:rsid w:val="005F480F"/>
    <w:rsid w:val="005F57F0"/>
    <w:rsid w:val="005F709F"/>
    <w:rsid w:val="005F78E9"/>
    <w:rsid w:val="00600339"/>
    <w:rsid w:val="006028C9"/>
    <w:rsid w:val="0061042F"/>
    <w:rsid w:val="006168E4"/>
    <w:rsid w:val="00620999"/>
    <w:rsid w:val="0062237B"/>
    <w:rsid w:val="006241FA"/>
    <w:rsid w:val="00625200"/>
    <w:rsid w:val="00627CD7"/>
    <w:rsid w:val="00637512"/>
    <w:rsid w:val="00640EE4"/>
    <w:rsid w:val="006423C6"/>
    <w:rsid w:val="006466F5"/>
    <w:rsid w:val="00651E02"/>
    <w:rsid w:val="00661753"/>
    <w:rsid w:val="006654F6"/>
    <w:rsid w:val="00666E57"/>
    <w:rsid w:val="00676CAA"/>
    <w:rsid w:val="006807D4"/>
    <w:rsid w:val="006848B7"/>
    <w:rsid w:val="006868A7"/>
    <w:rsid w:val="00693C8B"/>
    <w:rsid w:val="006944B4"/>
    <w:rsid w:val="00695176"/>
    <w:rsid w:val="0069561C"/>
    <w:rsid w:val="006A1E31"/>
    <w:rsid w:val="006A3810"/>
    <w:rsid w:val="006A68B8"/>
    <w:rsid w:val="006A6970"/>
    <w:rsid w:val="006B1953"/>
    <w:rsid w:val="006B1BF1"/>
    <w:rsid w:val="006B20F0"/>
    <w:rsid w:val="006B26E3"/>
    <w:rsid w:val="006B3085"/>
    <w:rsid w:val="006B7444"/>
    <w:rsid w:val="006C28CA"/>
    <w:rsid w:val="006C350D"/>
    <w:rsid w:val="006D23FC"/>
    <w:rsid w:val="006E063C"/>
    <w:rsid w:val="006E6FCA"/>
    <w:rsid w:val="006F4044"/>
    <w:rsid w:val="006F6886"/>
    <w:rsid w:val="00701033"/>
    <w:rsid w:val="00703F15"/>
    <w:rsid w:val="007101FE"/>
    <w:rsid w:val="00721506"/>
    <w:rsid w:val="007216DB"/>
    <w:rsid w:val="0072432C"/>
    <w:rsid w:val="007246D3"/>
    <w:rsid w:val="00725681"/>
    <w:rsid w:val="00725F5A"/>
    <w:rsid w:val="007404D5"/>
    <w:rsid w:val="00742AAA"/>
    <w:rsid w:val="00744EEF"/>
    <w:rsid w:val="00745D76"/>
    <w:rsid w:val="00754CAE"/>
    <w:rsid w:val="00755D9B"/>
    <w:rsid w:val="00763EE7"/>
    <w:rsid w:val="0076623B"/>
    <w:rsid w:val="00767E4B"/>
    <w:rsid w:val="007718AD"/>
    <w:rsid w:val="00772D5B"/>
    <w:rsid w:val="007851D5"/>
    <w:rsid w:val="00790558"/>
    <w:rsid w:val="0079486A"/>
    <w:rsid w:val="00794F80"/>
    <w:rsid w:val="007A1C9E"/>
    <w:rsid w:val="007A4CA1"/>
    <w:rsid w:val="007B0398"/>
    <w:rsid w:val="007B2C77"/>
    <w:rsid w:val="007C5134"/>
    <w:rsid w:val="007D1A27"/>
    <w:rsid w:val="007D1B24"/>
    <w:rsid w:val="007D1F15"/>
    <w:rsid w:val="007D25B1"/>
    <w:rsid w:val="007D2878"/>
    <w:rsid w:val="007D4E69"/>
    <w:rsid w:val="007D6EB8"/>
    <w:rsid w:val="007D7BC6"/>
    <w:rsid w:val="007E69B4"/>
    <w:rsid w:val="007E7B07"/>
    <w:rsid w:val="007E7BAB"/>
    <w:rsid w:val="007E7DCE"/>
    <w:rsid w:val="007E7FA9"/>
    <w:rsid w:val="007F20AC"/>
    <w:rsid w:val="007F3E1D"/>
    <w:rsid w:val="007F49C6"/>
    <w:rsid w:val="00802C56"/>
    <w:rsid w:val="00807E35"/>
    <w:rsid w:val="00811205"/>
    <w:rsid w:val="00812C48"/>
    <w:rsid w:val="008146F9"/>
    <w:rsid w:val="0082054C"/>
    <w:rsid w:val="008212C7"/>
    <w:rsid w:val="00824DCD"/>
    <w:rsid w:val="00826F04"/>
    <w:rsid w:val="00833E8A"/>
    <w:rsid w:val="008439F7"/>
    <w:rsid w:val="00844009"/>
    <w:rsid w:val="00844569"/>
    <w:rsid w:val="00847D23"/>
    <w:rsid w:val="008556FF"/>
    <w:rsid w:val="00857106"/>
    <w:rsid w:val="00857765"/>
    <w:rsid w:val="00863327"/>
    <w:rsid w:val="00867F7E"/>
    <w:rsid w:val="00870F44"/>
    <w:rsid w:val="0087456A"/>
    <w:rsid w:val="00881C5D"/>
    <w:rsid w:val="00884054"/>
    <w:rsid w:val="00890C62"/>
    <w:rsid w:val="00894C6D"/>
    <w:rsid w:val="00895089"/>
    <w:rsid w:val="008951ED"/>
    <w:rsid w:val="0089612B"/>
    <w:rsid w:val="0089761E"/>
    <w:rsid w:val="008A28BC"/>
    <w:rsid w:val="008A2C0F"/>
    <w:rsid w:val="008A5928"/>
    <w:rsid w:val="008A75BE"/>
    <w:rsid w:val="008B060F"/>
    <w:rsid w:val="008B1D2E"/>
    <w:rsid w:val="008B5C49"/>
    <w:rsid w:val="008B779D"/>
    <w:rsid w:val="008C07AB"/>
    <w:rsid w:val="008C08BE"/>
    <w:rsid w:val="008C229F"/>
    <w:rsid w:val="008C2A5D"/>
    <w:rsid w:val="008C32A8"/>
    <w:rsid w:val="008C3445"/>
    <w:rsid w:val="008C4E94"/>
    <w:rsid w:val="008C55A3"/>
    <w:rsid w:val="008D6B14"/>
    <w:rsid w:val="008E11C6"/>
    <w:rsid w:val="008E6375"/>
    <w:rsid w:val="008F17A1"/>
    <w:rsid w:val="008F24F3"/>
    <w:rsid w:val="008F4C65"/>
    <w:rsid w:val="008F7579"/>
    <w:rsid w:val="00901EDE"/>
    <w:rsid w:val="00905422"/>
    <w:rsid w:val="00906BD5"/>
    <w:rsid w:val="009104D1"/>
    <w:rsid w:val="00913133"/>
    <w:rsid w:val="00913ED4"/>
    <w:rsid w:val="00917273"/>
    <w:rsid w:val="00921DB9"/>
    <w:rsid w:val="0092403D"/>
    <w:rsid w:val="009313A9"/>
    <w:rsid w:val="00932E3C"/>
    <w:rsid w:val="009402DB"/>
    <w:rsid w:val="00941238"/>
    <w:rsid w:val="00942E41"/>
    <w:rsid w:val="009440D8"/>
    <w:rsid w:val="009449B8"/>
    <w:rsid w:val="00944DC9"/>
    <w:rsid w:val="0094603F"/>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686F"/>
    <w:rsid w:val="009B33A8"/>
    <w:rsid w:val="009B3487"/>
    <w:rsid w:val="009B5680"/>
    <w:rsid w:val="009B7C61"/>
    <w:rsid w:val="009C3793"/>
    <w:rsid w:val="009C492F"/>
    <w:rsid w:val="009D341C"/>
    <w:rsid w:val="009D4B61"/>
    <w:rsid w:val="009D665B"/>
    <w:rsid w:val="009E1411"/>
    <w:rsid w:val="009E19FC"/>
    <w:rsid w:val="009E32A3"/>
    <w:rsid w:val="009E52F2"/>
    <w:rsid w:val="009F3C1F"/>
    <w:rsid w:val="009F614E"/>
    <w:rsid w:val="009F762B"/>
    <w:rsid w:val="00A02047"/>
    <w:rsid w:val="00A036BE"/>
    <w:rsid w:val="00A0575E"/>
    <w:rsid w:val="00A07F07"/>
    <w:rsid w:val="00A12205"/>
    <w:rsid w:val="00A12E63"/>
    <w:rsid w:val="00A12F8D"/>
    <w:rsid w:val="00A139AF"/>
    <w:rsid w:val="00A3050E"/>
    <w:rsid w:val="00A3248C"/>
    <w:rsid w:val="00A358E6"/>
    <w:rsid w:val="00A37C0F"/>
    <w:rsid w:val="00A453DC"/>
    <w:rsid w:val="00A47E33"/>
    <w:rsid w:val="00A50182"/>
    <w:rsid w:val="00A55818"/>
    <w:rsid w:val="00A625E2"/>
    <w:rsid w:val="00A63DC7"/>
    <w:rsid w:val="00A70289"/>
    <w:rsid w:val="00A72465"/>
    <w:rsid w:val="00A72FC4"/>
    <w:rsid w:val="00A76C31"/>
    <w:rsid w:val="00A80C92"/>
    <w:rsid w:val="00A81E45"/>
    <w:rsid w:val="00A82461"/>
    <w:rsid w:val="00A851D8"/>
    <w:rsid w:val="00A85E38"/>
    <w:rsid w:val="00A870C4"/>
    <w:rsid w:val="00A87326"/>
    <w:rsid w:val="00A953BA"/>
    <w:rsid w:val="00A9556B"/>
    <w:rsid w:val="00AA0848"/>
    <w:rsid w:val="00AA0AAF"/>
    <w:rsid w:val="00AA58A2"/>
    <w:rsid w:val="00AA5D62"/>
    <w:rsid w:val="00AB2CB6"/>
    <w:rsid w:val="00AB3710"/>
    <w:rsid w:val="00AB4B0F"/>
    <w:rsid w:val="00AB6C3B"/>
    <w:rsid w:val="00AC226E"/>
    <w:rsid w:val="00AC7906"/>
    <w:rsid w:val="00AD134F"/>
    <w:rsid w:val="00AD32E0"/>
    <w:rsid w:val="00AD3428"/>
    <w:rsid w:val="00AD3AA2"/>
    <w:rsid w:val="00AE008F"/>
    <w:rsid w:val="00AE61BC"/>
    <w:rsid w:val="00AF0161"/>
    <w:rsid w:val="00AF2A1F"/>
    <w:rsid w:val="00AF2D9B"/>
    <w:rsid w:val="00B0749B"/>
    <w:rsid w:val="00B10A1E"/>
    <w:rsid w:val="00B11E08"/>
    <w:rsid w:val="00B149FA"/>
    <w:rsid w:val="00B20A68"/>
    <w:rsid w:val="00B227A0"/>
    <w:rsid w:val="00B2330D"/>
    <w:rsid w:val="00B26445"/>
    <w:rsid w:val="00B32CD3"/>
    <w:rsid w:val="00B35A93"/>
    <w:rsid w:val="00B3672D"/>
    <w:rsid w:val="00B431CC"/>
    <w:rsid w:val="00B4745C"/>
    <w:rsid w:val="00B52D3E"/>
    <w:rsid w:val="00B53305"/>
    <w:rsid w:val="00B57980"/>
    <w:rsid w:val="00B60048"/>
    <w:rsid w:val="00B601D4"/>
    <w:rsid w:val="00B62165"/>
    <w:rsid w:val="00B63BC9"/>
    <w:rsid w:val="00B653BB"/>
    <w:rsid w:val="00B65862"/>
    <w:rsid w:val="00B66E86"/>
    <w:rsid w:val="00B67A20"/>
    <w:rsid w:val="00B87D50"/>
    <w:rsid w:val="00B87E3E"/>
    <w:rsid w:val="00B9223B"/>
    <w:rsid w:val="00B94D83"/>
    <w:rsid w:val="00B96DD3"/>
    <w:rsid w:val="00BA4D1F"/>
    <w:rsid w:val="00BA6A47"/>
    <w:rsid w:val="00BA7AD1"/>
    <w:rsid w:val="00BB2250"/>
    <w:rsid w:val="00BC0FDD"/>
    <w:rsid w:val="00BC22E0"/>
    <w:rsid w:val="00BD004A"/>
    <w:rsid w:val="00BD21C6"/>
    <w:rsid w:val="00BD352C"/>
    <w:rsid w:val="00BE28ED"/>
    <w:rsid w:val="00BE2BE7"/>
    <w:rsid w:val="00BE3111"/>
    <w:rsid w:val="00BE3A3C"/>
    <w:rsid w:val="00BF5D0B"/>
    <w:rsid w:val="00C008B2"/>
    <w:rsid w:val="00C00A8C"/>
    <w:rsid w:val="00C018A3"/>
    <w:rsid w:val="00C134D9"/>
    <w:rsid w:val="00C23439"/>
    <w:rsid w:val="00C25084"/>
    <w:rsid w:val="00C3056F"/>
    <w:rsid w:val="00C357BE"/>
    <w:rsid w:val="00C513B2"/>
    <w:rsid w:val="00C56C44"/>
    <w:rsid w:val="00C6332C"/>
    <w:rsid w:val="00C65017"/>
    <w:rsid w:val="00C65FDB"/>
    <w:rsid w:val="00C71CD1"/>
    <w:rsid w:val="00C73143"/>
    <w:rsid w:val="00C76DC5"/>
    <w:rsid w:val="00C77685"/>
    <w:rsid w:val="00C77815"/>
    <w:rsid w:val="00C814A1"/>
    <w:rsid w:val="00C85378"/>
    <w:rsid w:val="00C9297C"/>
    <w:rsid w:val="00C9480A"/>
    <w:rsid w:val="00CA3D18"/>
    <w:rsid w:val="00CA6FDA"/>
    <w:rsid w:val="00CB2771"/>
    <w:rsid w:val="00CB3B6F"/>
    <w:rsid w:val="00CC0C5F"/>
    <w:rsid w:val="00CC2F3D"/>
    <w:rsid w:val="00CC5FF3"/>
    <w:rsid w:val="00CD365B"/>
    <w:rsid w:val="00CD4BFA"/>
    <w:rsid w:val="00CD5452"/>
    <w:rsid w:val="00CE2ADF"/>
    <w:rsid w:val="00CE5C62"/>
    <w:rsid w:val="00CF1D7D"/>
    <w:rsid w:val="00CF45D3"/>
    <w:rsid w:val="00CF51F9"/>
    <w:rsid w:val="00CF6B6C"/>
    <w:rsid w:val="00CF7EA2"/>
    <w:rsid w:val="00D042BB"/>
    <w:rsid w:val="00D06CA0"/>
    <w:rsid w:val="00D115BB"/>
    <w:rsid w:val="00D11797"/>
    <w:rsid w:val="00D12C68"/>
    <w:rsid w:val="00D134FB"/>
    <w:rsid w:val="00D1498A"/>
    <w:rsid w:val="00D17789"/>
    <w:rsid w:val="00D20916"/>
    <w:rsid w:val="00D21565"/>
    <w:rsid w:val="00D22F7D"/>
    <w:rsid w:val="00D2737E"/>
    <w:rsid w:val="00D274A9"/>
    <w:rsid w:val="00D32644"/>
    <w:rsid w:val="00D32D91"/>
    <w:rsid w:val="00D33619"/>
    <w:rsid w:val="00D336C5"/>
    <w:rsid w:val="00D36987"/>
    <w:rsid w:val="00D449AE"/>
    <w:rsid w:val="00D477C3"/>
    <w:rsid w:val="00D50F42"/>
    <w:rsid w:val="00D52AC7"/>
    <w:rsid w:val="00D54CA9"/>
    <w:rsid w:val="00D54D64"/>
    <w:rsid w:val="00D6340F"/>
    <w:rsid w:val="00D654EC"/>
    <w:rsid w:val="00D72D16"/>
    <w:rsid w:val="00D8195B"/>
    <w:rsid w:val="00D821F8"/>
    <w:rsid w:val="00D85695"/>
    <w:rsid w:val="00D8619F"/>
    <w:rsid w:val="00D86764"/>
    <w:rsid w:val="00DA41D7"/>
    <w:rsid w:val="00DA6830"/>
    <w:rsid w:val="00DB5C0A"/>
    <w:rsid w:val="00DC4C3E"/>
    <w:rsid w:val="00DC73EC"/>
    <w:rsid w:val="00DD13E2"/>
    <w:rsid w:val="00DE5679"/>
    <w:rsid w:val="00DF003C"/>
    <w:rsid w:val="00DF4501"/>
    <w:rsid w:val="00DF53D6"/>
    <w:rsid w:val="00DF78AE"/>
    <w:rsid w:val="00E00E78"/>
    <w:rsid w:val="00E076C1"/>
    <w:rsid w:val="00E11E2E"/>
    <w:rsid w:val="00E13C83"/>
    <w:rsid w:val="00E14884"/>
    <w:rsid w:val="00E15555"/>
    <w:rsid w:val="00E15B7D"/>
    <w:rsid w:val="00E24053"/>
    <w:rsid w:val="00E2408E"/>
    <w:rsid w:val="00E327A8"/>
    <w:rsid w:val="00E371EC"/>
    <w:rsid w:val="00E43116"/>
    <w:rsid w:val="00E571F8"/>
    <w:rsid w:val="00E606CB"/>
    <w:rsid w:val="00E63CC4"/>
    <w:rsid w:val="00E66C30"/>
    <w:rsid w:val="00E70AEE"/>
    <w:rsid w:val="00E7107E"/>
    <w:rsid w:val="00E72AE3"/>
    <w:rsid w:val="00E73B51"/>
    <w:rsid w:val="00E8151C"/>
    <w:rsid w:val="00E81E9C"/>
    <w:rsid w:val="00E9108A"/>
    <w:rsid w:val="00E936FF"/>
    <w:rsid w:val="00EA1F89"/>
    <w:rsid w:val="00EA2CCF"/>
    <w:rsid w:val="00EA4A9D"/>
    <w:rsid w:val="00EB117B"/>
    <w:rsid w:val="00EB2BEB"/>
    <w:rsid w:val="00EB40D6"/>
    <w:rsid w:val="00EB5B24"/>
    <w:rsid w:val="00EB5F75"/>
    <w:rsid w:val="00EB79CD"/>
    <w:rsid w:val="00EC26CF"/>
    <w:rsid w:val="00ED1113"/>
    <w:rsid w:val="00ED176C"/>
    <w:rsid w:val="00ED5F40"/>
    <w:rsid w:val="00EE0F2E"/>
    <w:rsid w:val="00EE2A41"/>
    <w:rsid w:val="00EE6EC2"/>
    <w:rsid w:val="00EF09FB"/>
    <w:rsid w:val="00EF102E"/>
    <w:rsid w:val="00F02923"/>
    <w:rsid w:val="00F0351B"/>
    <w:rsid w:val="00F05716"/>
    <w:rsid w:val="00F06196"/>
    <w:rsid w:val="00F06472"/>
    <w:rsid w:val="00F12AE7"/>
    <w:rsid w:val="00F2087F"/>
    <w:rsid w:val="00F20EEC"/>
    <w:rsid w:val="00F21A13"/>
    <w:rsid w:val="00F22566"/>
    <w:rsid w:val="00F226DB"/>
    <w:rsid w:val="00F22963"/>
    <w:rsid w:val="00F24599"/>
    <w:rsid w:val="00F30F82"/>
    <w:rsid w:val="00F340C4"/>
    <w:rsid w:val="00F367F2"/>
    <w:rsid w:val="00F370A2"/>
    <w:rsid w:val="00F403EA"/>
    <w:rsid w:val="00F40F76"/>
    <w:rsid w:val="00F42753"/>
    <w:rsid w:val="00F44A7B"/>
    <w:rsid w:val="00F44FFA"/>
    <w:rsid w:val="00F45B6F"/>
    <w:rsid w:val="00F510DB"/>
    <w:rsid w:val="00F54361"/>
    <w:rsid w:val="00F573AA"/>
    <w:rsid w:val="00F62329"/>
    <w:rsid w:val="00F727B0"/>
    <w:rsid w:val="00F74783"/>
    <w:rsid w:val="00F81BC9"/>
    <w:rsid w:val="00F8441F"/>
    <w:rsid w:val="00F85E87"/>
    <w:rsid w:val="00F91AEE"/>
    <w:rsid w:val="00F97986"/>
    <w:rsid w:val="00FA047C"/>
    <w:rsid w:val="00FA2545"/>
    <w:rsid w:val="00FA5F10"/>
    <w:rsid w:val="00FB231E"/>
    <w:rsid w:val="00FB3A81"/>
    <w:rsid w:val="00FB4AAD"/>
    <w:rsid w:val="00FB4E3D"/>
    <w:rsid w:val="00FB5F2A"/>
    <w:rsid w:val="00FC0822"/>
    <w:rsid w:val="00FC279C"/>
    <w:rsid w:val="00FC45DE"/>
    <w:rsid w:val="00FC4F9B"/>
    <w:rsid w:val="00FC59F0"/>
    <w:rsid w:val="00FD4599"/>
    <w:rsid w:val="00FD4784"/>
    <w:rsid w:val="00FD65FE"/>
    <w:rsid w:val="00FD74EB"/>
    <w:rsid w:val="00FE0BD9"/>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3387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6117201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1822990">
      <w:bodyDiv w:val="1"/>
      <w:marLeft w:val="0"/>
      <w:marRight w:val="0"/>
      <w:marTop w:val="0"/>
      <w:marBottom w:val="0"/>
      <w:divBdr>
        <w:top w:val="none" w:sz="0" w:space="0" w:color="auto"/>
        <w:left w:val="none" w:sz="0" w:space="0" w:color="auto"/>
        <w:bottom w:val="none" w:sz="0" w:space="0" w:color="auto"/>
        <w:right w:val="none" w:sz="0" w:space="0" w:color="auto"/>
      </w:divBdr>
      <w:divsChild>
        <w:div w:id="464009640">
          <w:marLeft w:val="0"/>
          <w:marRight w:val="0"/>
          <w:marTop w:val="0"/>
          <w:marBottom w:val="0"/>
          <w:divBdr>
            <w:top w:val="none" w:sz="0" w:space="0" w:color="auto"/>
            <w:left w:val="none" w:sz="0" w:space="0" w:color="auto"/>
            <w:bottom w:val="none" w:sz="0" w:space="0" w:color="auto"/>
            <w:right w:val="none" w:sz="0" w:space="0" w:color="auto"/>
          </w:divBdr>
        </w:div>
        <w:div w:id="158428345">
          <w:marLeft w:val="0"/>
          <w:marRight w:val="0"/>
          <w:marTop w:val="0"/>
          <w:marBottom w:val="0"/>
          <w:divBdr>
            <w:top w:val="none" w:sz="0" w:space="0" w:color="auto"/>
            <w:left w:val="none" w:sz="0" w:space="0" w:color="auto"/>
            <w:bottom w:val="none" w:sz="0" w:space="0" w:color="auto"/>
            <w:right w:val="none" w:sz="0" w:space="0" w:color="auto"/>
          </w:divBdr>
        </w:div>
      </w:divsChild>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0940404">
      <w:bodyDiv w:val="1"/>
      <w:marLeft w:val="0"/>
      <w:marRight w:val="0"/>
      <w:marTop w:val="0"/>
      <w:marBottom w:val="0"/>
      <w:divBdr>
        <w:top w:val="none" w:sz="0" w:space="0" w:color="auto"/>
        <w:left w:val="none" w:sz="0" w:space="0" w:color="auto"/>
        <w:bottom w:val="none" w:sz="0" w:space="0" w:color="auto"/>
        <w:right w:val="none" w:sz="0" w:space="0" w:color="auto"/>
      </w:divBdr>
      <w:divsChild>
        <w:div w:id="405804553">
          <w:marLeft w:val="0"/>
          <w:marRight w:val="0"/>
          <w:marTop w:val="0"/>
          <w:marBottom w:val="0"/>
          <w:divBdr>
            <w:top w:val="none" w:sz="0" w:space="0" w:color="auto"/>
            <w:left w:val="none" w:sz="0" w:space="0" w:color="auto"/>
            <w:bottom w:val="none" w:sz="0" w:space="0" w:color="auto"/>
            <w:right w:val="none" w:sz="0" w:space="0" w:color="auto"/>
          </w:divBdr>
        </w:div>
        <w:div w:id="1997343513">
          <w:marLeft w:val="0"/>
          <w:marRight w:val="0"/>
          <w:marTop w:val="0"/>
          <w:marBottom w:val="0"/>
          <w:divBdr>
            <w:top w:val="none" w:sz="0" w:space="0" w:color="auto"/>
            <w:left w:val="none" w:sz="0" w:space="0" w:color="auto"/>
            <w:bottom w:val="none" w:sz="0" w:space="0" w:color="auto"/>
            <w:right w:val="none" w:sz="0" w:space="0" w:color="auto"/>
          </w:divBdr>
        </w:div>
      </w:divsChild>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5118F-7513-4349-986E-7F17EEAF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5124</Words>
  <Characters>28182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7</cp:revision>
  <cp:lastPrinted>2019-05-30T16:38:00Z</cp:lastPrinted>
  <dcterms:created xsi:type="dcterms:W3CDTF">2019-06-27T16:57:00Z</dcterms:created>
  <dcterms:modified xsi:type="dcterms:W3CDTF">2019-08-21T22:14:00Z</dcterms:modified>
</cp:coreProperties>
</file>