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0A" w:rsidRDefault="00A517EA" w:rsidP="00707F8E">
      <w:pPr>
        <w:widowControl w:val="0"/>
        <w:spacing w:before="100" w:beforeAutospacing="1" w:after="100" w:afterAutospacing="1" w:line="360" w:lineRule="auto"/>
        <w:ind w:right="-164"/>
        <w:jc w:val="both"/>
        <w:rPr>
          <w:rFonts w:ascii="Palatino Linotype" w:hAnsi="Palatino Linotype" w:cs="Arial"/>
          <w:b/>
        </w:rPr>
      </w:pPr>
      <w:r w:rsidRPr="006D731E">
        <w:rPr>
          <w:rFonts w:ascii="Palatino Linotype" w:hAnsi="Palatino Linotype" w:cs="Arial"/>
          <w:b/>
        </w:rPr>
        <w:t>VOTO PARTICULAR</w:t>
      </w:r>
      <w:r w:rsidR="00AE03F1">
        <w:rPr>
          <w:rFonts w:ascii="Palatino Linotype" w:hAnsi="Palatino Linotype" w:cs="Arial"/>
          <w:b/>
        </w:rPr>
        <w:t xml:space="preserve"> </w:t>
      </w:r>
      <w:r w:rsidRPr="006D731E">
        <w:rPr>
          <w:rFonts w:ascii="Palatino Linotype" w:hAnsi="Palatino Linotype" w:cs="Arial"/>
          <w:b/>
        </w:rPr>
        <w:t>QUE FORMULA LA COMISIONADA EVA ABAID YAPUR</w:t>
      </w:r>
      <w:r w:rsidR="00F44407">
        <w:rPr>
          <w:rFonts w:ascii="Palatino Linotype" w:hAnsi="Palatino Linotype" w:cs="Arial"/>
          <w:b/>
        </w:rPr>
        <w:t xml:space="preserve">, </w:t>
      </w:r>
      <w:r w:rsidRPr="006D731E">
        <w:rPr>
          <w:rFonts w:ascii="Palatino Linotype" w:hAnsi="Palatino Linotype" w:cs="Arial"/>
          <w:b/>
        </w:rPr>
        <w:t xml:space="preserve">EN RELACIÓN CON LA RESOLUCIÓN DICTADA POR EL PLENO DEL INSTITUTO DE TRANSPARENCIA, ACCESO A LA INFORMACIÓN PÚBLICA Y PROTECCIÓN DE DATOS PERSONALES DEL ESTADO DE MÉXICO Y MUNICIPIOS, EN LA </w:t>
      </w:r>
      <w:r w:rsidR="00F05923">
        <w:rPr>
          <w:rFonts w:ascii="Palatino Linotype" w:hAnsi="Palatino Linotype" w:cs="Arial"/>
          <w:b/>
        </w:rPr>
        <w:t>C</w:t>
      </w:r>
      <w:r w:rsidR="00882915">
        <w:rPr>
          <w:rFonts w:ascii="Palatino Linotype" w:hAnsi="Palatino Linotype" w:cs="Arial"/>
          <w:b/>
        </w:rPr>
        <w:t>UADRAGÉSIMA</w:t>
      </w:r>
      <w:r w:rsidR="00AE03F1">
        <w:rPr>
          <w:rFonts w:ascii="Palatino Linotype" w:hAnsi="Palatino Linotype" w:cs="Arial"/>
          <w:b/>
        </w:rPr>
        <w:t xml:space="preserve"> </w:t>
      </w:r>
      <w:r w:rsidR="00A256DC">
        <w:rPr>
          <w:rFonts w:ascii="Palatino Linotype" w:hAnsi="Palatino Linotype" w:cs="Arial"/>
          <w:b/>
        </w:rPr>
        <w:t>SÉPTIMA</w:t>
      </w:r>
      <w:r w:rsidR="00CA70D5">
        <w:rPr>
          <w:rFonts w:ascii="Palatino Linotype" w:hAnsi="Palatino Linotype" w:cs="Arial"/>
          <w:b/>
        </w:rPr>
        <w:t xml:space="preserve"> </w:t>
      </w:r>
      <w:r w:rsidRPr="006D731E">
        <w:rPr>
          <w:rFonts w:ascii="Palatino Linotype" w:hAnsi="Palatino Linotype" w:cs="Arial"/>
          <w:b/>
        </w:rPr>
        <w:t xml:space="preserve">SESIÓN ORDINARIA DE </w:t>
      </w:r>
      <w:r w:rsidR="001E7588">
        <w:rPr>
          <w:rFonts w:ascii="Palatino Linotype" w:hAnsi="Palatino Linotype" w:cs="Arial"/>
          <w:b/>
        </w:rPr>
        <w:t>DIECIOCH</w:t>
      </w:r>
      <w:r w:rsidR="00A256DC">
        <w:rPr>
          <w:rFonts w:ascii="Palatino Linotype" w:hAnsi="Palatino Linotype" w:cs="Arial"/>
          <w:b/>
        </w:rPr>
        <w:t>O</w:t>
      </w:r>
      <w:r w:rsidR="00CA70D5">
        <w:rPr>
          <w:rFonts w:ascii="Palatino Linotype" w:hAnsi="Palatino Linotype" w:cs="Arial"/>
          <w:b/>
        </w:rPr>
        <w:t xml:space="preserve"> DE </w:t>
      </w:r>
      <w:r w:rsidR="001E7588">
        <w:rPr>
          <w:rFonts w:ascii="Palatino Linotype" w:hAnsi="Palatino Linotype" w:cs="Arial"/>
          <w:b/>
        </w:rPr>
        <w:t>DICIEMBRE</w:t>
      </w:r>
      <w:r w:rsidR="00251C7D">
        <w:rPr>
          <w:rFonts w:ascii="Palatino Linotype" w:hAnsi="Palatino Linotype" w:cs="Arial"/>
          <w:b/>
        </w:rPr>
        <w:t xml:space="preserve"> </w:t>
      </w:r>
      <w:r w:rsidRPr="006D731E">
        <w:rPr>
          <w:rFonts w:ascii="Palatino Linotype" w:hAnsi="Palatino Linotype" w:cs="Arial"/>
          <w:b/>
        </w:rPr>
        <w:t xml:space="preserve">DE DOS MIL </w:t>
      </w:r>
      <w:r w:rsidR="00F700E5">
        <w:rPr>
          <w:rFonts w:ascii="Palatino Linotype" w:hAnsi="Palatino Linotype" w:cs="Arial"/>
          <w:b/>
        </w:rPr>
        <w:t>DIECINUEVE</w:t>
      </w:r>
      <w:r w:rsidRPr="006D731E">
        <w:rPr>
          <w:rFonts w:ascii="Palatino Linotype" w:hAnsi="Palatino Linotype" w:cs="Arial"/>
          <w:b/>
        </w:rPr>
        <w:t xml:space="preserve">, EN </w:t>
      </w:r>
      <w:r w:rsidR="00F52359">
        <w:rPr>
          <w:rFonts w:ascii="Palatino Linotype" w:hAnsi="Palatino Linotype" w:cs="Arial"/>
          <w:b/>
        </w:rPr>
        <w:t>EL</w:t>
      </w:r>
      <w:r w:rsidRPr="006D731E">
        <w:rPr>
          <w:rFonts w:ascii="Palatino Linotype" w:hAnsi="Palatino Linotype" w:cs="Arial"/>
          <w:b/>
        </w:rPr>
        <w:t xml:space="preserve"> RECURSO</w:t>
      </w:r>
      <w:r w:rsidR="009C290A">
        <w:rPr>
          <w:rFonts w:ascii="Palatino Linotype" w:hAnsi="Palatino Linotype" w:cs="Arial"/>
          <w:b/>
        </w:rPr>
        <w:t xml:space="preserve"> DE REVISIÓN </w:t>
      </w:r>
      <w:r w:rsidR="00A256DC">
        <w:rPr>
          <w:rFonts w:ascii="Palatino Linotype" w:hAnsi="Palatino Linotype" w:cs="Arial"/>
          <w:b/>
        </w:rPr>
        <w:t>08000</w:t>
      </w:r>
      <w:r w:rsidR="002D3B30">
        <w:rPr>
          <w:rFonts w:ascii="Palatino Linotype" w:hAnsi="Palatino Linotype" w:cs="Arial"/>
          <w:b/>
        </w:rPr>
        <w:t>/INFOEM/IP/RR/2019</w:t>
      </w:r>
      <w:r w:rsidR="00823404">
        <w:rPr>
          <w:rFonts w:ascii="Palatino Linotype" w:hAnsi="Palatino Linotype" w:cs="Arial"/>
          <w:b/>
        </w:rPr>
        <w:t>.</w:t>
      </w:r>
    </w:p>
    <w:p w:rsidR="000F0C55" w:rsidRDefault="00A517EA" w:rsidP="00707F8E">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EVA ABAID YAPUR</w:t>
      </w:r>
      <w:r w:rsidR="00F44407">
        <w:rPr>
          <w:rFonts w:ascii="Palatino Linotype" w:hAnsi="Palatino Linotype" w:cs="Arial"/>
          <w:b/>
        </w:rPr>
        <w:t xml:space="preserve">, </w:t>
      </w:r>
      <w:r w:rsidRPr="006D731E">
        <w:rPr>
          <w:rFonts w:ascii="Palatino Linotype" w:hAnsi="Palatino Linotype" w:cs="Arial"/>
        </w:rPr>
        <w:t>emite</w:t>
      </w:r>
      <w:r w:rsidR="009C290A">
        <w:rPr>
          <w:rFonts w:ascii="Palatino Linotype" w:hAnsi="Palatino Linotype" w:cs="Arial"/>
        </w:rPr>
        <w:t>n</w:t>
      </w:r>
      <w:r w:rsidRPr="006D731E">
        <w:rPr>
          <w:rFonts w:ascii="Palatino Linotype" w:hAnsi="Palatino Linotype" w:cs="Arial"/>
        </w:rPr>
        <w:t xml:space="preserve"> </w:t>
      </w:r>
      <w:r w:rsidRPr="006D731E">
        <w:rPr>
          <w:rFonts w:ascii="Palatino Linotype" w:hAnsi="Palatino Linotype" w:cs="Arial"/>
          <w:b/>
        </w:rPr>
        <w:t>VOTO PARTICULAR</w:t>
      </w:r>
      <w:r w:rsidR="009C290A">
        <w:rPr>
          <w:rFonts w:ascii="Palatino Linotype" w:hAnsi="Palatino Linotype" w:cs="Arial"/>
          <w:b/>
        </w:rPr>
        <w:t xml:space="preserve"> </w:t>
      </w:r>
      <w:r w:rsidRPr="006D731E">
        <w:rPr>
          <w:rFonts w:ascii="Palatino Linotype" w:hAnsi="Palatino Linotype" w:cs="Arial"/>
        </w:rPr>
        <w:t xml:space="preserve">respecto de la resolución dictada en </w:t>
      </w:r>
      <w:r w:rsidR="00F52359">
        <w:rPr>
          <w:rFonts w:ascii="Palatino Linotype" w:hAnsi="Palatino Linotype" w:cs="Arial"/>
        </w:rPr>
        <w:t>el</w:t>
      </w:r>
      <w:r w:rsidRPr="006D731E">
        <w:rPr>
          <w:rFonts w:ascii="Palatino Linotype" w:hAnsi="Palatino Linotype" w:cs="Arial"/>
        </w:rPr>
        <w:t xml:space="preserve"> recurso de revisión</w:t>
      </w:r>
      <w:r w:rsidR="00697836">
        <w:rPr>
          <w:rFonts w:ascii="Palatino Linotype" w:hAnsi="Palatino Linotype" w:cs="Arial"/>
        </w:rPr>
        <w:t xml:space="preserve"> </w:t>
      </w:r>
      <w:r w:rsidR="00A256DC">
        <w:rPr>
          <w:rFonts w:ascii="Palatino Linotype" w:hAnsi="Palatino Linotype" w:cs="Arial"/>
          <w:b/>
        </w:rPr>
        <w:t>08000</w:t>
      </w:r>
      <w:r w:rsidR="002D3B30">
        <w:rPr>
          <w:rFonts w:ascii="Palatino Linotype" w:hAnsi="Palatino Linotype" w:cs="Arial"/>
          <w:b/>
        </w:rPr>
        <w:t>/INFOEM/IP/RR/2019</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B6237C">
        <w:rPr>
          <w:rFonts w:ascii="Palatino Linotype" w:hAnsi="Palatino Linotype" w:cs="Arial"/>
        </w:rPr>
        <w:t>la</w:t>
      </w:r>
      <w:r w:rsidR="00F700E5">
        <w:rPr>
          <w:rFonts w:ascii="Palatino Linotype" w:hAnsi="Palatino Linotype" w:cs="Arial"/>
        </w:rPr>
        <w:t xml:space="preserve"> Comisionada Presidenta </w:t>
      </w:r>
      <w:r w:rsidR="00F700E5">
        <w:rPr>
          <w:rFonts w:ascii="Palatino Linotype" w:hAnsi="Palatino Linotype" w:cs="Arial"/>
          <w:b/>
        </w:rPr>
        <w:t>ZULEMA MARTÍNEZ SÁNCHEZ</w:t>
      </w:r>
      <w:r w:rsidRPr="006D731E">
        <w:rPr>
          <w:rFonts w:ascii="Palatino Linotype" w:hAnsi="Palatino Linotype" w:cs="Arial"/>
        </w:rPr>
        <w:t xml:space="preserve">, </w:t>
      </w:r>
      <w:r w:rsidR="00F579EE">
        <w:rPr>
          <w:rFonts w:ascii="Palatino Linotype" w:hAnsi="Palatino Linotype" w:cs="Arial"/>
        </w:rPr>
        <w:t>que es del tenor siguiente.</w:t>
      </w:r>
    </w:p>
    <w:p w:rsidR="00F44407" w:rsidRDefault="00A517EA" w:rsidP="00A30614">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w:t>
      </w:r>
      <w:r w:rsidR="00251C7D">
        <w:rPr>
          <w:rFonts w:ascii="Palatino Linotype" w:hAnsi="Palatino Linotype"/>
        </w:rPr>
        <w:t>, que la</w:t>
      </w:r>
      <w:r w:rsidR="009C290A">
        <w:rPr>
          <w:rFonts w:ascii="Palatino Linotype" w:hAnsi="Palatino Linotype"/>
        </w:rPr>
        <w:t xml:space="preserve"> </w:t>
      </w:r>
      <w:r w:rsidR="00251C7D">
        <w:rPr>
          <w:rFonts w:ascii="Palatino Linotype" w:hAnsi="Palatino Linotype"/>
        </w:rPr>
        <w:t>suscrita</w:t>
      </w:r>
      <w:r w:rsidRPr="006D731E">
        <w:rPr>
          <w:rFonts w:ascii="Palatino Linotype" w:hAnsi="Palatino Linotype"/>
        </w:rPr>
        <w:t xml:space="preserve"> compart</w:t>
      </w:r>
      <w:r w:rsidR="00251C7D">
        <w:rPr>
          <w:rFonts w:ascii="Palatino Linotype" w:hAnsi="Palatino Linotype"/>
        </w:rPr>
        <w:t>e</w:t>
      </w:r>
      <w:r w:rsidRPr="006D731E">
        <w:rPr>
          <w:rFonts w:ascii="Palatino Linotype" w:hAnsi="Palatino Linotype"/>
        </w:rPr>
        <w:t xml:space="preserve"> esencialmente el estudio y sentido de la </w:t>
      </w:r>
      <w:proofErr w:type="gramStart"/>
      <w:r w:rsidRPr="006D731E">
        <w:rPr>
          <w:rFonts w:ascii="Palatino Linotype" w:hAnsi="Palatino Linotype"/>
        </w:rPr>
        <w:t>resolución</w:t>
      </w:r>
      <w:proofErr w:type="gramEnd"/>
      <w:r w:rsidRPr="006D731E">
        <w:rPr>
          <w:rFonts w:ascii="Palatino Linotype" w:hAnsi="Palatino Linotype"/>
        </w:rPr>
        <w:t xml:space="preserve"> del recurso de revisión; empero, </w:t>
      </w:r>
      <w:r w:rsidR="00B6237C">
        <w:rPr>
          <w:rFonts w:ascii="Palatino Linotype" w:hAnsi="Palatino Linotype"/>
        </w:rPr>
        <w:t>estimo</w:t>
      </w:r>
      <w:r w:rsidRPr="006D731E">
        <w:rPr>
          <w:rFonts w:ascii="Palatino Linotype" w:hAnsi="Palatino Linotype"/>
        </w:rPr>
        <w:t xml:space="preserve"> necesario precisar algunas consid</w:t>
      </w:r>
      <w:r w:rsidR="00E27678">
        <w:rPr>
          <w:rFonts w:ascii="Palatino Linotype" w:hAnsi="Palatino Linotype"/>
        </w:rPr>
        <w:t>eraciones de hecho y de derecho.</w:t>
      </w:r>
    </w:p>
    <w:p w:rsidR="00F44407" w:rsidRDefault="00F44407" w:rsidP="00F700E5">
      <w:pPr>
        <w:spacing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sidR="00A256DC">
        <w:rPr>
          <w:rFonts w:ascii="Palatino Linotype" w:hAnsi="Palatino Linotype"/>
        </w:rPr>
        <w:t>el particular requiero del</w:t>
      </w:r>
      <w:r w:rsidRPr="00D93A88">
        <w:rPr>
          <w:rFonts w:ascii="Palatino Linotype" w:hAnsi="Palatino Linotype"/>
        </w:rPr>
        <w:t xml:space="preserve"> </w:t>
      </w:r>
      <w:r w:rsidR="00A256DC" w:rsidRPr="005C464B">
        <w:rPr>
          <w:rFonts w:ascii="Palatino Linotype" w:hAnsi="Palatino Linotype" w:cs="Arial"/>
          <w:b/>
        </w:rPr>
        <w:t xml:space="preserve">Organismo Público Descentralizado para la Prestación de los Servicios de Agua Potable, Alcantarillado y Saneamiento de </w:t>
      </w:r>
      <w:r w:rsidR="00A256DC" w:rsidRPr="005C464B">
        <w:rPr>
          <w:rFonts w:ascii="Palatino Linotype" w:hAnsi="Palatino Linotype" w:cs="Arial"/>
          <w:b/>
        </w:rPr>
        <w:lastRenderedPageBreak/>
        <w:t>Atizapán de Zaragoza, por sus siglas S.A.PA.S.A</w:t>
      </w:r>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w:t>
      </w:r>
      <w:r>
        <w:t xml:space="preserve"> </w:t>
      </w:r>
      <w:r w:rsidR="00882915">
        <w:rPr>
          <w:rFonts w:ascii="Palatino Linotype" w:hAnsi="Palatino Linotype"/>
        </w:rPr>
        <w:t>lo siguiente</w:t>
      </w:r>
      <w:r w:rsidR="00C25E1F">
        <w:rPr>
          <w:rFonts w:ascii="Palatino Linotype" w:hAnsi="Palatino Linotype"/>
        </w:rPr>
        <w:t>.</w:t>
      </w:r>
    </w:p>
    <w:p w:rsidR="00CA70D5" w:rsidRPr="00CA70D5" w:rsidRDefault="00A256DC" w:rsidP="00CA70D5">
      <w:pPr>
        <w:pStyle w:val="Prrafodelista"/>
        <w:numPr>
          <w:ilvl w:val="0"/>
          <w:numId w:val="9"/>
        </w:numPr>
        <w:spacing w:line="360" w:lineRule="auto"/>
        <w:ind w:right="757"/>
        <w:jc w:val="both"/>
        <w:rPr>
          <w:rFonts w:ascii="Palatino Linotype" w:hAnsi="Palatino Linotype"/>
          <w:i/>
          <w:color w:val="000000"/>
        </w:rPr>
      </w:pPr>
      <w:r>
        <w:rPr>
          <w:rFonts w:ascii="Palatino Linotype" w:hAnsi="Palatino Linotype"/>
          <w:i/>
          <w:color w:val="000000"/>
        </w:rPr>
        <w:t>Copia digitalizada de la certificación del Titular del Área de Transparencia.</w:t>
      </w:r>
    </w:p>
    <w:p w:rsidR="00F05923" w:rsidRDefault="00F44407" w:rsidP="00A211B5">
      <w:pPr>
        <w:spacing w:before="240" w:after="240" w:line="360" w:lineRule="auto"/>
        <w:jc w:val="both"/>
        <w:rPr>
          <w:rFonts w:ascii="Palatino Linotype" w:hAnsi="Palatino Linotype" w:cs="Arial"/>
        </w:rPr>
      </w:pPr>
      <w:r>
        <w:rPr>
          <w:rFonts w:ascii="Palatino Linotype" w:hAnsi="Palatino Linotype" w:cs="Arial"/>
        </w:rPr>
        <w:t xml:space="preserve">De las constancias que obran en el </w:t>
      </w:r>
      <w:r w:rsidRPr="00FD67FE">
        <w:rPr>
          <w:rFonts w:ascii="Palatino Linotype" w:hAnsi="Palatino Linotype" w:cs="Arial"/>
        </w:rPr>
        <w:t>Sistema de Acceso a la Información Mexiquens</w:t>
      </w:r>
      <w:r>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Pr>
          <w:rFonts w:ascii="Palatino Linotype" w:hAnsi="Palatino Linotype" w:cs="Arial"/>
        </w:rPr>
        <w:t xml:space="preserve"> a través de su respuesta</w:t>
      </w:r>
      <w:r w:rsidR="00A211B5">
        <w:rPr>
          <w:rFonts w:ascii="Palatino Linotype" w:hAnsi="Palatino Linotype" w:cs="Arial"/>
        </w:rPr>
        <w:t xml:space="preserve"> </w:t>
      </w:r>
      <w:r w:rsidR="009C373B">
        <w:rPr>
          <w:rFonts w:ascii="Palatino Linotype" w:hAnsi="Palatino Linotype"/>
        </w:rPr>
        <w:t>informó que la Titular ha realizado los trámites necesarios para obtener la certificación por parte de este Instituto conforme a las fechas establecidas en la convocatoria de fecha doce de junio de dos mil diecinueve, por lo que no cuenta con la documentación solicitada, asimismo remitió un Acuerdo de Inexistencia de la información.</w:t>
      </w:r>
    </w:p>
    <w:p w:rsidR="00F44407" w:rsidRDefault="00F44407" w:rsidP="001B0821">
      <w:pPr>
        <w:spacing w:before="240" w:after="240" w:line="360" w:lineRule="auto"/>
        <w:jc w:val="both"/>
        <w:rPr>
          <w:rFonts w:ascii="Palatino Linotype" w:hAnsi="Palatino Linotype" w:cs="Arial"/>
          <w:lang w:val="es-ES_tradnl" w:eastAsia="es-MX"/>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xml:space="preserve"> interpuso el recurso de revisión de mérito, manifestando como razones o motivos de inconformidad </w:t>
      </w:r>
      <w:r w:rsidR="001B0821">
        <w:rPr>
          <w:rFonts w:ascii="Palatino Linotype" w:hAnsi="Palatino Linotype" w:cs="Arial"/>
        </w:rPr>
        <w:t xml:space="preserve">que </w:t>
      </w:r>
      <w:r w:rsidR="001B0821" w:rsidRPr="001B0821">
        <w:rPr>
          <w:rFonts w:ascii="Palatino Linotype" w:hAnsi="Palatino Linotype" w:cs="Arial"/>
          <w:b/>
        </w:rPr>
        <w:t xml:space="preserve">EL SUJETO OBLIGADO </w:t>
      </w:r>
      <w:r w:rsidR="009C373B">
        <w:rPr>
          <w:rFonts w:ascii="Palatino Linotype" w:hAnsi="Palatino Linotype" w:cs="Arial"/>
          <w:lang w:val="es-ES_tradnl" w:eastAsia="es-MX"/>
        </w:rPr>
        <w:t xml:space="preserve">realiza un Acuerdo de Inexistencia sin la debida fundamentación, toda vez que no es competencia del </w:t>
      </w:r>
      <w:r w:rsidR="009C373B" w:rsidRPr="009C373B">
        <w:rPr>
          <w:rFonts w:ascii="Palatino Linotype" w:hAnsi="Palatino Linotype" w:cs="Arial"/>
          <w:b/>
          <w:lang w:val="es-ES_tradnl" w:eastAsia="es-MX"/>
        </w:rPr>
        <w:t>SUJETO OBLIGADO</w:t>
      </w:r>
      <w:r w:rsidR="009C373B">
        <w:rPr>
          <w:rFonts w:ascii="Palatino Linotype" w:hAnsi="Palatino Linotype" w:cs="Arial"/>
          <w:lang w:val="es-ES_tradnl" w:eastAsia="es-MX"/>
        </w:rPr>
        <w:t>, el generarlo</w:t>
      </w:r>
      <w:r w:rsidR="001B0821">
        <w:rPr>
          <w:rFonts w:ascii="Palatino Linotype" w:hAnsi="Palatino Linotype" w:cs="Arial"/>
          <w:lang w:val="es-ES_tradnl" w:eastAsia="es-MX"/>
        </w:rPr>
        <w:t>.</w:t>
      </w:r>
    </w:p>
    <w:p w:rsidR="001B0821" w:rsidRPr="002D3B30" w:rsidRDefault="00F44407" w:rsidP="009E0C3D">
      <w:pPr>
        <w:spacing w:line="360" w:lineRule="auto"/>
        <w:ind w:right="49"/>
        <w:jc w:val="both"/>
        <w:rPr>
          <w:rFonts w:ascii="Palatino Linotype" w:eastAsia="Calibri" w:hAnsi="Palatino Linotype" w:cs="Arial"/>
          <w:lang w:val="es-ES_tradn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CA70D5">
        <w:rPr>
          <w:rFonts w:ascii="Palatino Linotype" w:hAnsi="Palatino Linotype" w:cs="Arial"/>
          <w:b/>
        </w:rPr>
        <w:t>CONFIRMAR</w:t>
      </w:r>
      <w:r w:rsidRPr="006078FA">
        <w:rPr>
          <w:rFonts w:ascii="Palatino Linotype" w:hAnsi="Palatino Linotype" w:cs="Arial"/>
        </w:rPr>
        <w:t xml:space="preserve"> </w:t>
      </w:r>
      <w:r w:rsidR="009C373B" w:rsidRPr="00106160">
        <w:rPr>
          <w:rFonts w:ascii="Palatino Linotype" w:hAnsi="Palatino Linotype"/>
        </w:rPr>
        <w:t>la respuesta del Sujeto Obligado</w:t>
      </w:r>
      <w:r w:rsidR="009C373B" w:rsidRPr="00106160">
        <w:rPr>
          <w:rFonts w:ascii="Palatino Linotype" w:hAnsi="Palatino Linotype"/>
          <w:b/>
        </w:rPr>
        <w:t xml:space="preserve"> </w:t>
      </w:r>
      <w:r w:rsidR="009C373B" w:rsidRPr="00106160">
        <w:rPr>
          <w:rFonts w:ascii="Palatino Linotype" w:hAnsi="Palatino Linotype"/>
          <w:bCs/>
        </w:rPr>
        <w:t xml:space="preserve">a la solicitud de información </w:t>
      </w:r>
      <w:r w:rsidR="009C373B" w:rsidRPr="003F6BC5">
        <w:rPr>
          <w:rFonts w:ascii="Palatino Linotype" w:hAnsi="Palatino Linotype"/>
          <w:b/>
        </w:rPr>
        <w:t>00186/OASATIZARA</w:t>
      </w:r>
      <w:r w:rsidR="009C373B">
        <w:rPr>
          <w:rFonts w:ascii="Palatino Linotype" w:hAnsi="Palatino Linotype"/>
          <w:b/>
        </w:rPr>
        <w:t>/IP/2019</w:t>
      </w:r>
      <w:r w:rsidR="009C373B" w:rsidRPr="00285899">
        <w:rPr>
          <w:rFonts w:ascii="Palatino Linotype" w:hAnsi="Palatino Linotype"/>
          <w:b/>
          <w:bCs/>
        </w:rPr>
        <w:t xml:space="preserve"> </w:t>
      </w:r>
      <w:r w:rsidR="009C373B" w:rsidRPr="00106160">
        <w:rPr>
          <w:rFonts w:ascii="Palatino Linotype" w:hAnsi="Palatino Linotype"/>
        </w:rPr>
        <w:t>por resultar infundadas las razones o motivos de i</w:t>
      </w:r>
      <w:r w:rsidR="009C373B">
        <w:rPr>
          <w:rFonts w:ascii="Palatino Linotype" w:hAnsi="Palatino Linotype"/>
        </w:rPr>
        <w:t>nconformidad hechos valer por el</w:t>
      </w:r>
      <w:r w:rsidR="009C373B" w:rsidRPr="00106160">
        <w:rPr>
          <w:rFonts w:ascii="Palatino Linotype" w:hAnsi="Palatino Linotype"/>
        </w:rPr>
        <w:t xml:space="preserve"> Recurrente, en términos del Considerando </w:t>
      </w:r>
      <w:r w:rsidR="009C373B">
        <w:rPr>
          <w:rFonts w:ascii="Palatino Linotype" w:hAnsi="Palatino Linotype"/>
          <w:b/>
        </w:rPr>
        <w:t>CUAR</w:t>
      </w:r>
      <w:r w:rsidR="009C373B" w:rsidRPr="00106160">
        <w:rPr>
          <w:rFonts w:ascii="Palatino Linotype" w:hAnsi="Palatino Linotype"/>
          <w:b/>
        </w:rPr>
        <w:t xml:space="preserve">TO </w:t>
      </w:r>
      <w:r w:rsidR="009C373B" w:rsidRPr="00106160">
        <w:rPr>
          <w:rFonts w:ascii="Palatino Linotype" w:hAnsi="Palatino Linotype"/>
        </w:rPr>
        <w:t>de esta resolución.</w:t>
      </w:r>
      <w:r w:rsidR="0037781B" w:rsidRPr="00F030D8">
        <w:rPr>
          <w:rFonts w:ascii="Palatino Linotype" w:eastAsia="Calibri" w:hAnsi="Palatino Linotype" w:cs="Arial"/>
        </w:rPr>
        <w:t>.</w:t>
      </w:r>
    </w:p>
    <w:p w:rsidR="00F44407" w:rsidRDefault="00F44407"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se encuadra la hipótesis contenida en los artículos 159 y 160 de la Ley General de Transparencia y Acceso a la </w:t>
      </w:r>
      <w:r>
        <w:rPr>
          <w:rFonts w:ascii="Palatino Linotype" w:hAnsi="Palatino Linotype" w:cs="Arial"/>
        </w:rPr>
        <w:lastRenderedPageBreak/>
        <w:t xml:space="preserve">Información Pública,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F44407" w:rsidRDefault="00F44407"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lang w:val="es-ES_tradnl"/>
        </w:rPr>
      </w:pPr>
      <w:r>
        <w:rPr>
          <w:rFonts w:ascii="Palatino Linotype" w:hAnsi="Palatino Linotype" w:cs="Arial"/>
        </w:rPr>
        <w:t xml:space="preserve">Lo anterior, obedece a que </w:t>
      </w:r>
      <w:r w:rsidR="009C373B">
        <w:rPr>
          <w:rFonts w:ascii="Palatino Linotype" w:hAnsi="Palatino Linotype" w:cs="Arial"/>
        </w:rPr>
        <w:t xml:space="preserve">la Ponencia </w:t>
      </w:r>
      <w:proofErr w:type="spellStart"/>
      <w:r w:rsidR="009C373B">
        <w:rPr>
          <w:rFonts w:ascii="Palatino Linotype" w:hAnsi="Palatino Linotype" w:cs="Arial"/>
        </w:rPr>
        <w:t>Resolutora</w:t>
      </w:r>
      <w:proofErr w:type="spellEnd"/>
      <w:r w:rsidR="009C373B">
        <w:rPr>
          <w:rFonts w:ascii="Palatino Linotype" w:hAnsi="Palatino Linotype" w:cs="Arial"/>
        </w:rPr>
        <w:t xml:space="preserve"> al confirmar la respuesta brindada por el </w:t>
      </w:r>
      <w:r w:rsidR="009C373B" w:rsidRPr="009C373B">
        <w:rPr>
          <w:rFonts w:ascii="Palatino Linotype" w:hAnsi="Palatino Linotype" w:cs="Arial"/>
          <w:b/>
        </w:rPr>
        <w:t>SUJETO OBLIGADO</w:t>
      </w:r>
      <w:r w:rsidR="009C373B">
        <w:rPr>
          <w:rFonts w:ascii="Palatino Linotype" w:hAnsi="Palatino Linotype" w:cs="Arial"/>
        </w:rPr>
        <w:t xml:space="preserve">, está convalidando el  </w:t>
      </w:r>
      <w:r w:rsidR="0037781B">
        <w:rPr>
          <w:rFonts w:ascii="Palatino Linotype" w:hAnsi="Palatino Linotype" w:cs="Arial"/>
        </w:rPr>
        <w:t xml:space="preserve"> Acuerdo </w:t>
      </w:r>
      <w:r w:rsidR="009C373B">
        <w:rPr>
          <w:rFonts w:ascii="Palatino Linotype" w:hAnsi="Palatino Linotype" w:cs="Arial"/>
        </w:rPr>
        <w:t xml:space="preserve">que se encuentra inmerso dentro del </w:t>
      </w:r>
      <w:r w:rsidR="009C373B" w:rsidRPr="00341639">
        <w:rPr>
          <w:rFonts w:ascii="Palatino Linotype" w:hAnsi="Palatino Linotype"/>
        </w:rPr>
        <w:t>Acta de la Octava Sesión Extraordinaria del Comité de Transparencia</w:t>
      </w:r>
      <w:r w:rsidR="0037781B" w:rsidRPr="008B5BD2">
        <w:rPr>
          <w:rFonts w:ascii="Palatino Linotype" w:hAnsi="Palatino Linotype" w:cs="Arial"/>
        </w:rPr>
        <w:t xml:space="preserve"> </w:t>
      </w:r>
      <w:r w:rsidR="0037781B">
        <w:rPr>
          <w:rFonts w:ascii="Palatino Linotype" w:hAnsi="Palatino Linotype" w:cs="Arial"/>
        </w:rPr>
        <w:t>mediante el cual se</w:t>
      </w:r>
      <w:r w:rsidR="002D3B30">
        <w:rPr>
          <w:rFonts w:ascii="Palatino Linotype" w:hAnsi="Palatino Linotype" w:cs="Arial"/>
        </w:rPr>
        <w:t xml:space="preserve"> aprueba la </w:t>
      </w:r>
      <w:r w:rsidR="009C373B">
        <w:rPr>
          <w:rFonts w:ascii="Palatino Linotype" w:hAnsi="Palatino Linotype" w:cs="Arial"/>
        </w:rPr>
        <w:t>Inexistencia de la información requerida</w:t>
      </w:r>
      <w:r w:rsidR="00852E5B">
        <w:rPr>
          <w:rFonts w:ascii="Palatino Linotype" w:hAnsi="Palatino Linotype"/>
          <w:lang w:val="es-ES_tradnl"/>
        </w:rPr>
        <w:t>.</w:t>
      </w:r>
    </w:p>
    <w:p w:rsidR="004B6C09" w:rsidRDefault="004B6C09"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denominado “Del Recurso de Inconformidad ante el Instituto”, el cual, nos hace menci</w:t>
      </w:r>
      <w:r w:rsidR="00B6237C">
        <w:rPr>
          <w:rFonts w:ascii="Palatino Linotype" w:hAnsi="Palatino Linotype" w:cs="Arial"/>
        </w:rPr>
        <w:t>ón de las instancias ante las cuáles</w:t>
      </w:r>
      <w:r>
        <w:rPr>
          <w:rFonts w:ascii="Palatino Linotype" w:hAnsi="Palatino Linotype" w:cs="Arial"/>
        </w:rPr>
        <w:t xml:space="preserve"> se podrá interponer el recurso de inconformidad y los supuestos legales en los que procede, tal y como se aprecia a continuación:</w:t>
      </w: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p>
    <w:p w:rsidR="00F44407"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F44407" w:rsidRDefault="00F44407" w:rsidP="00F44407">
      <w:pPr>
        <w:ind w:left="709" w:right="757"/>
        <w:jc w:val="both"/>
        <w:rPr>
          <w:rFonts w:ascii="Palatino Linotype" w:hAnsi="Palatino Linotype"/>
          <w:i/>
          <w:sz w:val="22"/>
          <w:szCs w:val="22"/>
        </w:rPr>
      </w:pPr>
    </w:p>
    <w:p w:rsidR="00F44407" w:rsidRDefault="00F44407" w:rsidP="00F44407">
      <w:pPr>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F44407" w:rsidRPr="00D642EC" w:rsidRDefault="00F44407" w:rsidP="00F44407">
      <w:pPr>
        <w:ind w:left="709" w:right="757"/>
        <w:jc w:val="both"/>
        <w:rPr>
          <w:rFonts w:ascii="Palatino Linotype" w:hAnsi="Palatino Linotype"/>
          <w:i/>
          <w:sz w:val="22"/>
          <w:szCs w:val="22"/>
        </w:rPr>
      </w:pPr>
    </w:p>
    <w:p w:rsidR="00F44407" w:rsidRPr="000D1731"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F44407" w:rsidRPr="00F629E6" w:rsidRDefault="00F44407" w:rsidP="00F44407">
      <w:pPr>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44407" w:rsidRDefault="00F44407" w:rsidP="00F44407">
      <w:pPr>
        <w:ind w:left="709" w:right="757"/>
        <w:jc w:val="both"/>
        <w:rPr>
          <w:rFonts w:ascii="Palatino Linotype" w:hAnsi="Palatino Linotype"/>
          <w:i/>
          <w:sz w:val="22"/>
          <w:szCs w:val="22"/>
        </w:rPr>
      </w:pPr>
    </w:p>
    <w:p w:rsidR="00F44407"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lastRenderedPageBreak/>
        <w:t>Se entenderá como negativa de acceso a la información la falta de resolución de los Organismos garantes de las Entidades Federativas dentro del plazo previsto para ello.”</w:t>
      </w:r>
    </w:p>
    <w:p w:rsidR="00F44407" w:rsidRDefault="00F44407" w:rsidP="00F44407">
      <w:pPr>
        <w:spacing w:line="276" w:lineRule="auto"/>
        <w:ind w:left="851" w:right="49"/>
        <w:jc w:val="both"/>
        <w:rPr>
          <w:rFonts w:ascii="Palatino Linotype" w:hAnsi="Palatino Linotype"/>
          <w:i/>
          <w:sz w:val="22"/>
          <w:szCs w:val="22"/>
        </w:rPr>
      </w:pPr>
    </w:p>
    <w:p w:rsidR="00F44407" w:rsidRPr="00D642EC" w:rsidRDefault="00F44407" w:rsidP="00F44407">
      <w:pPr>
        <w:spacing w:line="276" w:lineRule="auto"/>
        <w:ind w:left="851" w:right="49"/>
        <w:jc w:val="both"/>
        <w:rPr>
          <w:rFonts w:ascii="Palatino Linotype" w:hAnsi="Palatino Linotype"/>
          <w:i/>
          <w:sz w:val="22"/>
          <w:szCs w:val="22"/>
        </w:rPr>
      </w:pPr>
    </w:p>
    <w:p w:rsidR="009C373B"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De lo anterior, se advierte que</w:t>
      </w:r>
      <w:r w:rsidR="0084457B">
        <w:rPr>
          <w:rFonts w:ascii="Palatino Linotype" w:hAnsi="Palatino Linotype" w:cs="Arial"/>
        </w:rPr>
        <w:t xml:space="preserve"> los</w:t>
      </w:r>
      <w:r w:rsidR="009E0C3D">
        <w:rPr>
          <w:rFonts w:ascii="Palatino Linotype" w:hAnsi="Palatino Linotype" w:cs="Arial"/>
        </w:rPr>
        <w:t xml:space="preserve"> artículo</w:t>
      </w:r>
      <w:r w:rsidR="0084457B">
        <w:rPr>
          <w:rFonts w:ascii="Palatino Linotype" w:hAnsi="Palatino Linotype" w:cs="Arial"/>
        </w:rPr>
        <w:t>s</w:t>
      </w:r>
      <w:r w:rsidR="009E0C3D">
        <w:rPr>
          <w:rFonts w:ascii="Palatino Linotype" w:hAnsi="Palatino Linotype" w:cs="Arial"/>
        </w:rPr>
        <w:t xml:space="preserve"> en cita </w:t>
      </w:r>
      <w:r>
        <w:rPr>
          <w:rFonts w:ascii="Palatino Linotype" w:hAnsi="Palatino Linotype" w:cs="Arial"/>
        </w:rPr>
        <w:t xml:space="preserve"> resulta</w:t>
      </w:r>
      <w:r w:rsidR="0084457B">
        <w:rPr>
          <w:rFonts w:ascii="Palatino Linotype" w:hAnsi="Palatino Linotype" w:cs="Arial"/>
        </w:rPr>
        <w:t>n</w:t>
      </w:r>
      <w:r>
        <w:rPr>
          <w:rFonts w:ascii="Palatino Linotype" w:hAnsi="Palatino Linotype" w:cs="Arial"/>
        </w:rPr>
        <w:t xml:space="preserve"> aplicable</w:t>
      </w:r>
      <w:r w:rsidR="0084457B">
        <w:rPr>
          <w:rFonts w:ascii="Palatino Linotype" w:hAnsi="Palatino Linotype" w:cs="Arial"/>
        </w:rPr>
        <w:t>s</w:t>
      </w:r>
      <w:r>
        <w:rPr>
          <w:rFonts w:ascii="Palatino Linotype" w:hAnsi="Palatino Linotype" w:cs="Arial"/>
        </w:rPr>
        <w:t xml:space="preserve"> al asunto en concreto, toda vez que </w:t>
      </w:r>
      <w:r w:rsidR="0037781B">
        <w:rPr>
          <w:rFonts w:ascii="Palatino Linotype" w:hAnsi="Palatino Linotype" w:cs="Arial"/>
        </w:rPr>
        <w:t xml:space="preserve">la </w:t>
      </w:r>
      <w:r w:rsidR="0084457B">
        <w:rPr>
          <w:rFonts w:ascii="Palatino Linotype" w:hAnsi="Palatino Linotype" w:cs="Arial"/>
        </w:rPr>
        <w:t xml:space="preserve">Ponencia </w:t>
      </w:r>
      <w:proofErr w:type="spellStart"/>
      <w:r w:rsidR="0084457B">
        <w:rPr>
          <w:rFonts w:ascii="Palatino Linotype" w:hAnsi="Palatino Linotype" w:cs="Arial"/>
        </w:rPr>
        <w:t>Resolutora</w:t>
      </w:r>
      <w:proofErr w:type="spellEnd"/>
      <w:r>
        <w:rPr>
          <w:rFonts w:ascii="Palatino Linotype" w:hAnsi="Palatino Linotype" w:cs="Arial"/>
        </w:rPr>
        <w:t xml:space="preserve"> confirmó </w:t>
      </w:r>
      <w:r w:rsidR="0084457B">
        <w:rPr>
          <w:rFonts w:ascii="Palatino Linotype" w:hAnsi="Palatino Linotype" w:cs="Arial"/>
        </w:rPr>
        <w:t>el Acuerdo de</w:t>
      </w:r>
      <w:r w:rsidR="0037781B">
        <w:rPr>
          <w:rFonts w:ascii="Palatino Linotype" w:hAnsi="Palatino Linotype" w:cs="Arial"/>
        </w:rPr>
        <w:t xml:space="preserve"> </w:t>
      </w:r>
      <w:r w:rsidR="009C373B">
        <w:rPr>
          <w:rFonts w:ascii="Palatino Linotype" w:hAnsi="Palatino Linotype" w:cs="Arial"/>
        </w:rPr>
        <w:t>Inexistencia</w:t>
      </w:r>
      <w:r w:rsidR="0037781B">
        <w:rPr>
          <w:rFonts w:ascii="Palatino Linotype" w:hAnsi="Palatino Linotype" w:cs="Arial"/>
        </w:rPr>
        <w:t xml:space="preserve"> de la información</w:t>
      </w:r>
      <w:r>
        <w:rPr>
          <w:rFonts w:ascii="Palatino Linotype" w:hAnsi="Palatino Linotype" w:cs="Arial"/>
        </w:rPr>
        <w:t xml:space="preserve">; </w:t>
      </w:r>
      <w:r w:rsidR="0084457B">
        <w:rPr>
          <w:rFonts w:ascii="Palatino Linotype" w:hAnsi="Palatino Linotype" w:cs="Arial"/>
        </w:rPr>
        <w:t xml:space="preserve">aprobado por </w:t>
      </w:r>
      <w:r w:rsidR="0084457B" w:rsidRPr="0084457B">
        <w:rPr>
          <w:rFonts w:ascii="Palatino Linotype" w:hAnsi="Palatino Linotype" w:cs="Arial"/>
          <w:b/>
        </w:rPr>
        <w:t xml:space="preserve">EL SUJETO OBLIGADO </w:t>
      </w:r>
      <w:r w:rsidR="0084457B">
        <w:rPr>
          <w:rFonts w:ascii="Palatino Linotype" w:hAnsi="Palatino Linotype" w:cs="Arial"/>
        </w:rPr>
        <w:t>a través del Comité de Transparencia.</w:t>
      </w:r>
    </w:p>
    <w:p w:rsidR="009C373B" w:rsidRDefault="009C373B" w:rsidP="00F44407">
      <w:pPr>
        <w:widowControl w:val="0"/>
        <w:autoSpaceDE w:val="0"/>
        <w:autoSpaceDN w:val="0"/>
        <w:adjustRightInd w:val="0"/>
        <w:spacing w:line="360" w:lineRule="auto"/>
        <w:ind w:right="49"/>
        <w:jc w:val="both"/>
        <w:rPr>
          <w:rFonts w:ascii="Palatino Linotype" w:hAnsi="Palatino Linotype" w:cs="Arial"/>
        </w:rPr>
      </w:pPr>
    </w:p>
    <w:p w:rsidR="00F44407" w:rsidRDefault="00F44407" w:rsidP="00F44407">
      <w:pPr>
        <w:widowControl w:val="0"/>
        <w:autoSpaceDE w:val="0"/>
        <w:autoSpaceDN w:val="0"/>
        <w:adjustRightInd w:val="0"/>
        <w:spacing w:line="360" w:lineRule="auto"/>
        <w:ind w:right="49"/>
        <w:jc w:val="both"/>
        <w:rPr>
          <w:rFonts w:ascii="Palatino Linotype" w:hAnsi="Palatino Linotype"/>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9E0C3D">
        <w:rPr>
          <w:rFonts w:ascii="Palatino Linotype" w:hAnsi="Palatino Linotype" w:cs="Arial"/>
        </w:rPr>
        <w:t xml:space="preserve"> debe</w:t>
      </w:r>
      <w:r>
        <w:rPr>
          <w:rFonts w:ascii="Palatino Linotype" w:hAnsi="Palatino Linotype" w:cs="Arial"/>
        </w:rPr>
        <w:t xml:space="preserve"> haber remitido el Acuerdo del Comité de Transparencia en virtud del cual se </w:t>
      </w:r>
      <w:r w:rsidR="008D53CF">
        <w:rPr>
          <w:rFonts w:ascii="Palatino Linotype" w:hAnsi="Palatino Linotype" w:cs="Arial"/>
        </w:rPr>
        <w:t xml:space="preserve">determine la </w:t>
      </w:r>
      <w:r w:rsidR="00852E5B">
        <w:rPr>
          <w:rFonts w:ascii="Palatino Linotype" w:hAnsi="Palatino Linotype" w:cs="Arial"/>
        </w:rPr>
        <w:t>misma</w:t>
      </w:r>
      <w:r w:rsidR="006B0B04">
        <w:rPr>
          <w:rFonts w:ascii="Palatino Linotype" w:hAnsi="Palatino Linotype" w:cs="Arial"/>
        </w:rPr>
        <w:t xml:space="preserve">, situación que se advierte dentro del expediente electrónico del SAIMEX, toda vez que efectivamente </w:t>
      </w:r>
      <w:r w:rsidR="006B0B04" w:rsidRPr="006B0B04">
        <w:rPr>
          <w:rFonts w:ascii="Palatino Linotype" w:hAnsi="Palatino Linotype" w:cs="Arial"/>
          <w:b/>
        </w:rPr>
        <w:t>EL SUJETO OBLIGADO</w:t>
      </w:r>
      <w:r w:rsidR="006B0B04">
        <w:rPr>
          <w:rFonts w:ascii="Palatino Linotype" w:hAnsi="Palatino Linotype" w:cs="Arial"/>
        </w:rPr>
        <w:t xml:space="preserve"> remitió </w:t>
      </w:r>
      <w:r w:rsidR="003C7F08">
        <w:rPr>
          <w:rFonts w:ascii="Palatino Linotype" w:hAnsi="Palatino Linotype"/>
        </w:rPr>
        <w:t>el Acuer</w:t>
      </w:r>
      <w:r w:rsidR="00785E66">
        <w:rPr>
          <w:rFonts w:ascii="Palatino Linotype" w:hAnsi="Palatino Linotype"/>
        </w:rPr>
        <w:t xml:space="preserve">do de </w:t>
      </w:r>
      <w:r w:rsidR="009C373B">
        <w:rPr>
          <w:rFonts w:ascii="Palatino Linotype" w:hAnsi="Palatino Linotype"/>
        </w:rPr>
        <w:t>Inexistencia</w:t>
      </w:r>
      <w:r w:rsidR="002D3B30">
        <w:rPr>
          <w:rFonts w:ascii="Palatino Linotype" w:hAnsi="Palatino Linotype"/>
        </w:rPr>
        <w:t xml:space="preserve"> de la información</w:t>
      </w:r>
      <w:r w:rsidR="003C7F08">
        <w:rPr>
          <w:rFonts w:ascii="Palatino Linotype" w:hAnsi="Palatino Linotype"/>
        </w:rPr>
        <w:t xml:space="preserve">, documento que </w:t>
      </w:r>
      <w:r w:rsidR="009C373B">
        <w:rPr>
          <w:rFonts w:ascii="Palatino Linotype" w:hAnsi="Palatino Linotype"/>
        </w:rPr>
        <w:t xml:space="preserve">la Ponencia </w:t>
      </w:r>
      <w:proofErr w:type="spellStart"/>
      <w:r w:rsidR="009C373B">
        <w:rPr>
          <w:rFonts w:ascii="Palatino Linotype" w:hAnsi="Palatino Linotype"/>
        </w:rPr>
        <w:t>Resolutora</w:t>
      </w:r>
      <w:proofErr w:type="spellEnd"/>
      <w:r w:rsidR="009C373B">
        <w:rPr>
          <w:rFonts w:ascii="Palatino Linotype" w:hAnsi="Palatino Linotype"/>
        </w:rPr>
        <w:t xml:space="preserve"> considera que </w:t>
      </w:r>
      <w:r w:rsidR="003C7F08">
        <w:rPr>
          <w:rFonts w:ascii="Palatino Linotype" w:hAnsi="Palatino Linotype"/>
        </w:rPr>
        <w:t>contiene la motivación y fundamentación pertinente</w:t>
      </w:r>
      <w:r w:rsidR="002A6074">
        <w:rPr>
          <w:rFonts w:ascii="Palatino Linotype" w:hAnsi="Palatino Linotype"/>
        </w:rPr>
        <w:t xml:space="preserve"> ya</w:t>
      </w:r>
      <w:r w:rsidR="003C7F08">
        <w:rPr>
          <w:rFonts w:ascii="Palatino Linotype" w:hAnsi="Palatino Linotype"/>
        </w:rPr>
        <w:t xml:space="preserve"> que sustenta </w:t>
      </w:r>
      <w:r w:rsidR="002A6074">
        <w:rPr>
          <w:rFonts w:ascii="Palatino Linotype" w:hAnsi="Palatino Linotype"/>
        </w:rPr>
        <w:t xml:space="preserve">el por qué </w:t>
      </w:r>
      <w:r w:rsidR="009C373B">
        <w:rPr>
          <w:rFonts w:ascii="Palatino Linotype" w:hAnsi="Palatino Linotype"/>
        </w:rPr>
        <w:t>no se posee la certificación de la servidor pública referida</w:t>
      </w:r>
      <w:r w:rsidR="003C7F08">
        <w:rPr>
          <w:rFonts w:ascii="Palatino Linotype" w:hAnsi="Palatino Linotype"/>
        </w:rPr>
        <w:t>.</w:t>
      </w:r>
    </w:p>
    <w:p w:rsidR="009C373B" w:rsidRDefault="009C373B" w:rsidP="00F44407">
      <w:pPr>
        <w:widowControl w:val="0"/>
        <w:autoSpaceDE w:val="0"/>
        <w:autoSpaceDN w:val="0"/>
        <w:adjustRightInd w:val="0"/>
        <w:spacing w:line="360" w:lineRule="auto"/>
        <w:ind w:right="49"/>
        <w:jc w:val="both"/>
        <w:rPr>
          <w:rFonts w:ascii="Palatino Linotype" w:hAnsi="Palatino Linotype" w:cs="Arial"/>
        </w:rPr>
      </w:pP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En conclusión</w:t>
      </w:r>
      <w:r w:rsidR="00251C7D">
        <w:rPr>
          <w:rFonts w:ascii="Palatino Linotype" w:hAnsi="Palatino Linotype" w:cs="Arial"/>
        </w:rPr>
        <w:t>, la que suscribe</w:t>
      </w:r>
      <w:r>
        <w:rPr>
          <w:rFonts w:ascii="Palatino Linotype" w:hAnsi="Palatino Linotype" w:cs="Arial"/>
        </w:rPr>
        <w:t xml:space="preserve"> emite </w:t>
      </w:r>
      <w:r w:rsidRPr="00BB18A2">
        <w:rPr>
          <w:rFonts w:ascii="Palatino Linotype" w:hAnsi="Palatino Linotype" w:cs="Arial"/>
          <w:b/>
        </w:rPr>
        <w:t>VOTO PARTICULAR</w:t>
      </w:r>
      <w:r>
        <w:rPr>
          <w:rFonts w:ascii="Palatino Linotype" w:hAnsi="Palatino Linotype" w:cs="Arial"/>
        </w:rPr>
        <w:t xml:space="preserve"> </w:t>
      </w:r>
      <w:r w:rsidR="00251C7D">
        <w:rPr>
          <w:rFonts w:ascii="Palatino Linotype" w:hAnsi="Palatino Linotype" w:cs="Arial"/>
        </w:rPr>
        <w:t>ya que considero</w:t>
      </w:r>
      <w:r>
        <w:rPr>
          <w:rFonts w:ascii="Palatino Linotype" w:hAnsi="Palatino Linotype" w:cs="Arial"/>
        </w:rPr>
        <w:t xml:space="preserve"> que se debieron invocar dichos artículos en </w:t>
      </w:r>
      <w:r w:rsidR="006B0B04">
        <w:rPr>
          <w:rFonts w:ascii="Palatino Linotype" w:hAnsi="Palatino Linotype" w:cs="Arial"/>
        </w:rPr>
        <w:t>los resolutivos</w:t>
      </w:r>
      <w:r>
        <w:rPr>
          <w:rFonts w:ascii="Palatino Linotype" w:hAnsi="Palatino Linotype" w:cs="Arial"/>
        </w:rPr>
        <w:t xml:space="preserve"> de la resolución de mérito</w:t>
      </w:r>
      <w:r w:rsidR="008D53CF">
        <w:rPr>
          <w:rFonts w:ascii="Palatino Linotype" w:hAnsi="Palatino Linotype" w:cs="Arial"/>
        </w:rPr>
        <w:t xml:space="preserve"> al ser procedentes</w:t>
      </w:r>
      <w:r>
        <w:rPr>
          <w:rFonts w:ascii="Palatino Linotype" w:hAnsi="Palatino Linotype" w:cs="Arial"/>
        </w:rPr>
        <w:t>;</w:t>
      </w:r>
      <w:r>
        <w:rPr>
          <w:rFonts w:ascii="Palatino Linotype" w:hAnsi="Palatino Linotype"/>
        </w:rPr>
        <w:t xml:space="preserve"> por lo que, </w:t>
      </w:r>
      <w:r>
        <w:rPr>
          <w:rFonts w:ascii="Palatino Linotype" w:hAnsi="Palatino Linotype" w:cs="Arial"/>
        </w:rPr>
        <w:t xml:space="preserve">se insiste, que de las constancias del expediente </w:t>
      </w:r>
      <w:r w:rsidR="006B0B04">
        <w:rPr>
          <w:rFonts w:ascii="Palatino Linotype" w:hAnsi="Palatino Linotype" w:cs="Arial"/>
        </w:rPr>
        <w:t>se advierten actos que encuadra</w:t>
      </w:r>
      <w:r>
        <w:rPr>
          <w:rFonts w:ascii="Palatino Linotype" w:hAnsi="Palatino Linotype" w:cs="Arial"/>
        </w:rPr>
        <w:t>n en los supuestos legales</w:t>
      </w:r>
      <w:r w:rsidR="00ED5C61">
        <w:rPr>
          <w:rFonts w:ascii="Palatino Linotype" w:hAnsi="Palatino Linotype" w:cs="Arial"/>
        </w:rPr>
        <w:t xml:space="preserve"> de procedencia</w:t>
      </w:r>
      <w:r>
        <w:rPr>
          <w:rFonts w:ascii="Palatino Linotype" w:hAnsi="Palatino Linotype" w:cs="Arial"/>
        </w:rPr>
        <w:t xml:space="preserve"> señalados en los numerales </w:t>
      </w:r>
      <w:r w:rsidRPr="00DF304A">
        <w:rPr>
          <w:rFonts w:ascii="Palatino Linotype" w:hAnsi="Palatino Linotype" w:cs="Arial"/>
        </w:rPr>
        <w:t>159 y 160 de la Ley General de Transparencia y Acceso a la Información Pública</w:t>
      </w:r>
      <w:r w:rsidR="008D53CF">
        <w:rPr>
          <w:rFonts w:ascii="Palatino Linotype" w:hAnsi="Palatino Linotype" w:cs="Arial"/>
        </w:rPr>
        <w:t xml:space="preserve">, </w:t>
      </w:r>
      <w:r w:rsidR="001E7588">
        <w:rPr>
          <w:rFonts w:ascii="Palatino Linotype" w:hAnsi="Palatino Linotype" w:cs="Arial"/>
        </w:rPr>
        <w:t xml:space="preserve">puesto que </w:t>
      </w:r>
      <w:proofErr w:type="spellStart"/>
      <w:r w:rsidR="001E7588">
        <w:rPr>
          <w:rFonts w:ascii="Palatino Linotype" w:hAnsi="Palatino Linotype" w:cs="Arial"/>
        </w:rPr>
        <w:t>de</w:t>
      </w:r>
      <w:proofErr w:type="spellEnd"/>
      <w:r w:rsidR="001E7588">
        <w:rPr>
          <w:rFonts w:ascii="Palatino Linotype" w:hAnsi="Palatino Linotype" w:cs="Arial"/>
        </w:rPr>
        <w:t xml:space="preserve"> así considerarlo el particular pudiese inconformarse de la </w:t>
      </w:r>
      <w:r w:rsidR="001E7588">
        <w:rPr>
          <w:rFonts w:ascii="Palatino Linotype" w:hAnsi="Palatino Linotype" w:cs="Arial"/>
        </w:rPr>
        <w:lastRenderedPageBreak/>
        <w:t xml:space="preserve">resolución de que se trata en juicio de amparo o ante el Instituto Nacional de Transparencia, Acceso a la Información y Protección de Datos Personales. </w:t>
      </w:r>
    </w:p>
    <w:p w:rsidR="00A551DB" w:rsidRPr="00B8397C" w:rsidRDefault="00A551DB" w:rsidP="00F44407">
      <w:pPr>
        <w:widowControl w:val="0"/>
        <w:autoSpaceDE w:val="0"/>
        <w:autoSpaceDN w:val="0"/>
        <w:adjustRightInd w:val="0"/>
        <w:spacing w:line="360" w:lineRule="auto"/>
        <w:ind w:right="49"/>
        <w:jc w:val="both"/>
        <w:rPr>
          <w:rFonts w:ascii="Palatino Linotype" w:hAnsi="Palatino Linotype" w:cs="Arial"/>
        </w:rPr>
      </w:pPr>
    </w:p>
    <w:p w:rsidR="00A551DB" w:rsidRDefault="00A551DB" w:rsidP="00707F8E">
      <w:pPr>
        <w:spacing w:before="100" w:beforeAutospacing="1" w:after="100" w:afterAutospacing="1"/>
        <w:jc w:val="both"/>
        <w:rPr>
          <w:rFonts w:ascii="Palatino Linotype" w:eastAsia="Calibri" w:hAnsi="Palatino Linotype" w:cs="Arial"/>
          <w:color w:val="000000" w:themeColor="text1"/>
          <w:sz w:val="20"/>
          <w:szCs w:val="20"/>
        </w:rPr>
      </w:pPr>
    </w:p>
    <w:p w:rsidR="00A551DB" w:rsidRDefault="00A551DB" w:rsidP="00707F8E">
      <w:pPr>
        <w:spacing w:before="100" w:beforeAutospacing="1" w:after="100" w:afterAutospacing="1"/>
        <w:jc w:val="both"/>
        <w:rPr>
          <w:rFonts w:ascii="Palatino Linotype" w:eastAsia="Calibri" w:hAnsi="Palatino Linotype" w:cs="Arial"/>
          <w:color w:val="000000" w:themeColor="text1"/>
          <w:sz w:val="20"/>
          <w:szCs w:val="20"/>
        </w:rPr>
      </w:pPr>
    </w:p>
    <w:tbl>
      <w:tblPr>
        <w:tblStyle w:val="Tablaconcuadrcula"/>
        <w:tblpPr w:leftFromText="141" w:rightFromText="141" w:vertAnchor="page" w:horzAnchor="page" w:tblpX="4485" w:tblpY="52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tblGrid>
      <w:tr w:rsidR="0037781B" w:rsidTr="0037781B">
        <w:tc>
          <w:tcPr>
            <w:tcW w:w="4555" w:type="dxa"/>
          </w:tcPr>
          <w:p w:rsidR="0037781B" w:rsidRPr="00457590" w:rsidRDefault="0037781B" w:rsidP="0037781B">
            <w:pPr>
              <w:spacing w:before="100" w:beforeAutospacing="1" w:after="100" w:afterAutospacing="1"/>
              <w:rPr>
                <w:rFonts w:ascii="Palatino Linotype" w:hAnsi="Palatino Linotype" w:cs="Arial"/>
                <w:b/>
              </w:rPr>
            </w:pPr>
            <w:r>
              <w:rPr>
                <w:rFonts w:ascii="Palatino Linotype" w:hAnsi="Palatino Linotype" w:cs="Arial"/>
                <w:b/>
              </w:rPr>
              <w:t xml:space="preserve">      </w:t>
            </w:r>
            <w:r w:rsidRPr="0061470D">
              <w:rPr>
                <w:rFonts w:ascii="Palatino Linotype" w:hAnsi="Palatino Linotype" w:cs="Arial"/>
                <w:b/>
              </w:rPr>
              <w:t>EVA ABAID YAPUR</w:t>
            </w:r>
          </w:p>
        </w:tc>
      </w:tr>
      <w:tr w:rsidR="0037781B" w:rsidTr="0037781B">
        <w:tc>
          <w:tcPr>
            <w:tcW w:w="4555" w:type="dxa"/>
          </w:tcPr>
          <w:p w:rsidR="0037781B" w:rsidRPr="00457590" w:rsidRDefault="0037781B" w:rsidP="0037781B">
            <w:pPr>
              <w:spacing w:before="100" w:beforeAutospacing="1" w:after="100" w:afterAutospacing="1"/>
              <w:rPr>
                <w:rFonts w:ascii="Palatino Linotype" w:hAnsi="Palatino Linotype" w:cs="Arial"/>
                <w:b/>
              </w:rPr>
            </w:pPr>
            <w:r>
              <w:rPr>
                <w:rFonts w:ascii="Palatino Linotype" w:hAnsi="Palatino Linotype" w:cs="Arial"/>
                <w:b/>
              </w:rPr>
              <w:t xml:space="preserve">         </w:t>
            </w:r>
            <w:r w:rsidRPr="0061470D">
              <w:rPr>
                <w:rFonts w:ascii="Palatino Linotype" w:hAnsi="Palatino Linotype" w:cs="Arial"/>
                <w:b/>
              </w:rPr>
              <w:t>COMISIONADA</w:t>
            </w:r>
          </w:p>
        </w:tc>
      </w:tr>
      <w:tr w:rsidR="0037781B" w:rsidTr="0037781B">
        <w:tc>
          <w:tcPr>
            <w:tcW w:w="4555" w:type="dxa"/>
          </w:tcPr>
          <w:p w:rsidR="0037781B" w:rsidRDefault="0037781B" w:rsidP="0037781B">
            <w:pPr>
              <w:spacing w:before="100" w:beforeAutospacing="1" w:after="100" w:afterAutospacing="1"/>
              <w:rPr>
                <w:rFonts w:ascii="Palatino Linotype" w:hAnsi="Palatino Linotype" w:cs="Arial"/>
              </w:rPr>
            </w:pPr>
            <w:r>
              <w:rPr>
                <w:rFonts w:ascii="Palatino Linotype" w:hAnsi="Palatino Linotype" w:cs="Arial"/>
                <w:b/>
              </w:rPr>
              <w:t xml:space="preserve">              (</w:t>
            </w:r>
            <w:r w:rsidRPr="00684A8A">
              <w:rPr>
                <w:rFonts w:ascii="Palatino Linotype" w:hAnsi="Palatino Linotype" w:cs="Arial"/>
                <w:b/>
              </w:rPr>
              <w:t>RÚBRICA</w:t>
            </w:r>
            <w:r>
              <w:rPr>
                <w:rFonts w:ascii="Palatino Linotype" w:hAnsi="Palatino Linotype" w:cs="Arial"/>
                <w:b/>
              </w:rPr>
              <w:t>)</w:t>
            </w:r>
          </w:p>
        </w:tc>
      </w:tr>
    </w:tbl>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B95DD2" w:rsidRPr="008D53CF" w:rsidRDefault="00EA0E3A" w:rsidP="00707F8E">
      <w:pPr>
        <w:spacing w:before="100" w:beforeAutospacing="1" w:after="100" w:afterAutospacing="1"/>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7617DE" w:rsidRPr="002E787A">
        <w:rPr>
          <w:rFonts w:ascii="Palatino Linotype" w:eastAsia="Calibri" w:hAnsi="Palatino Linotype" w:cs="Arial"/>
          <w:color w:val="000000" w:themeColor="text1"/>
          <w:sz w:val="20"/>
          <w:szCs w:val="20"/>
        </w:rPr>
        <w:t>sta hoja corresponde al</w:t>
      </w:r>
      <w:r w:rsidR="007617DE">
        <w:rPr>
          <w:rFonts w:ascii="Palatino Linotype" w:eastAsia="Calibri" w:hAnsi="Palatino Linotype" w:cs="Arial"/>
          <w:color w:val="000000" w:themeColor="text1"/>
          <w:sz w:val="20"/>
          <w:szCs w:val="20"/>
        </w:rPr>
        <w:t xml:space="preserve"> voto</w:t>
      </w:r>
      <w:r w:rsidR="007617DE" w:rsidRPr="002E787A">
        <w:rPr>
          <w:rFonts w:ascii="Palatino Linotype" w:eastAsia="Calibri" w:hAnsi="Palatino Linotype" w:cs="Arial"/>
          <w:color w:val="000000" w:themeColor="text1"/>
          <w:sz w:val="20"/>
          <w:szCs w:val="20"/>
        </w:rPr>
        <w:t xml:space="preserve"> particular emitid</w:t>
      </w:r>
      <w:r w:rsidR="007617DE">
        <w:rPr>
          <w:rFonts w:ascii="Palatino Linotype" w:eastAsia="Calibri" w:hAnsi="Palatino Linotype" w:cs="Arial"/>
          <w:color w:val="000000" w:themeColor="text1"/>
          <w:sz w:val="20"/>
          <w:szCs w:val="20"/>
        </w:rPr>
        <w:t>o</w:t>
      </w:r>
      <w:r w:rsidR="007617DE" w:rsidRPr="002E787A">
        <w:rPr>
          <w:rFonts w:ascii="Palatino Linotype" w:eastAsia="Calibri" w:hAnsi="Palatino Linotype" w:cs="Arial"/>
          <w:color w:val="000000" w:themeColor="text1"/>
          <w:sz w:val="20"/>
          <w:szCs w:val="20"/>
        </w:rPr>
        <w:t xml:space="preserve"> en </w:t>
      </w:r>
      <w:r w:rsidR="007617DE">
        <w:rPr>
          <w:rFonts w:ascii="Palatino Linotype" w:eastAsia="Calibri" w:hAnsi="Palatino Linotype" w:cs="Arial"/>
          <w:color w:val="000000" w:themeColor="text1"/>
          <w:sz w:val="20"/>
          <w:szCs w:val="20"/>
        </w:rPr>
        <w:t>la resolución de</w:t>
      </w:r>
      <w:r w:rsidR="00B95DD2">
        <w:rPr>
          <w:rFonts w:ascii="Palatino Linotype" w:eastAsia="Calibri" w:hAnsi="Palatino Linotype" w:cs="Arial"/>
          <w:color w:val="000000" w:themeColor="text1"/>
          <w:sz w:val="20"/>
          <w:szCs w:val="20"/>
        </w:rPr>
        <w:t>l</w:t>
      </w:r>
      <w:r w:rsidR="007617DE">
        <w:rPr>
          <w:rFonts w:ascii="Palatino Linotype" w:eastAsia="Calibri" w:hAnsi="Palatino Linotype" w:cs="Arial"/>
          <w:color w:val="000000" w:themeColor="text1"/>
          <w:sz w:val="20"/>
          <w:szCs w:val="20"/>
        </w:rPr>
        <w:t xml:space="preserve"> </w:t>
      </w:r>
      <w:r w:rsidR="007617DE" w:rsidRPr="002E787A">
        <w:rPr>
          <w:rFonts w:ascii="Palatino Linotype" w:eastAsia="Calibri" w:hAnsi="Palatino Linotype" w:cs="Arial"/>
          <w:color w:val="000000" w:themeColor="text1"/>
          <w:sz w:val="20"/>
          <w:szCs w:val="20"/>
        </w:rPr>
        <w:t xml:space="preserve">recurso de revisión </w:t>
      </w:r>
      <w:r w:rsidR="009C373B">
        <w:rPr>
          <w:rFonts w:ascii="Palatino Linotype" w:eastAsia="Calibri" w:hAnsi="Palatino Linotype" w:cs="Arial"/>
          <w:color w:val="000000" w:themeColor="text1"/>
          <w:sz w:val="20"/>
          <w:szCs w:val="20"/>
        </w:rPr>
        <w:t>08000</w:t>
      </w:r>
      <w:r w:rsidR="002D3B30">
        <w:rPr>
          <w:rFonts w:ascii="Palatino Linotype" w:eastAsia="Calibri" w:hAnsi="Palatino Linotype" w:cs="Arial"/>
          <w:color w:val="000000" w:themeColor="text1"/>
          <w:sz w:val="20"/>
          <w:szCs w:val="20"/>
        </w:rPr>
        <w:t>/INFOEM/IP/RR/2019</w:t>
      </w:r>
      <w:r w:rsidR="007617DE" w:rsidRPr="002E787A">
        <w:rPr>
          <w:rFonts w:ascii="Palatino Linotype" w:eastAsia="Calibri" w:hAnsi="Palatino Linotype" w:cs="Arial"/>
          <w:color w:val="000000" w:themeColor="text1"/>
          <w:sz w:val="20"/>
          <w:szCs w:val="20"/>
        </w:rPr>
        <w:t xml:space="preserve"> aprobad</w:t>
      </w:r>
      <w:r w:rsidR="003A78C6">
        <w:rPr>
          <w:rFonts w:ascii="Palatino Linotype" w:eastAsia="Calibri" w:hAnsi="Palatino Linotype" w:cs="Arial"/>
          <w:color w:val="000000" w:themeColor="text1"/>
          <w:sz w:val="20"/>
          <w:szCs w:val="20"/>
        </w:rPr>
        <w:t xml:space="preserve">a el </w:t>
      </w:r>
      <w:r w:rsidR="009C373B">
        <w:rPr>
          <w:rFonts w:ascii="Palatino Linotype" w:eastAsia="Calibri" w:hAnsi="Palatino Linotype" w:cs="Arial"/>
          <w:color w:val="000000" w:themeColor="text1"/>
          <w:sz w:val="20"/>
          <w:szCs w:val="20"/>
        </w:rPr>
        <w:t>dieciocho</w:t>
      </w:r>
      <w:r w:rsidR="001E7588">
        <w:rPr>
          <w:rFonts w:ascii="Palatino Linotype" w:eastAsia="Calibri" w:hAnsi="Palatino Linotype" w:cs="Arial"/>
          <w:color w:val="000000" w:themeColor="text1"/>
          <w:sz w:val="20"/>
          <w:szCs w:val="20"/>
        </w:rPr>
        <w:t xml:space="preserve"> de diciembre</w:t>
      </w:r>
      <w:bookmarkStart w:id="0" w:name="_GoBack"/>
      <w:bookmarkEnd w:id="0"/>
      <w:r w:rsidR="00A551DB">
        <w:rPr>
          <w:rFonts w:ascii="Palatino Linotype" w:eastAsia="Calibri" w:hAnsi="Palatino Linotype" w:cs="Arial"/>
          <w:color w:val="000000" w:themeColor="text1"/>
          <w:sz w:val="20"/>
          <w:szCs w:val="20"/>
        </w:rPr>
        <w:t xml:space="preserve"> de dos mil diecinueve</w:t>
      </w:r>
      <w:r w:rsidR="007617DE" w:rsidRPr="002E787A">
        <w:rPr>
          <w:rFonts w:ascii="Palatino Linotype" w:eastAsia="Calibri" w:hAnsi="Palatino Linotype" w:cs="Arial"/>
          <w:color w:val="000000" w:themeColor="text1"/>
          <w:sz w:val="20"/>
          <w:szCs w:val="20"/>
        </w:rPr>
        <w:t xml:space="preserve">. </w:t>
      </w:r>
    </w:p>
    <w:p w:rsidR="00A517EA" w:rsidRPr="006D731E" w:rsidRDefault="003C7F08" w:rsidP="00707F8E">
      <w:pPr>
        <w:spacing w:before="100" w:beforeAutospacing="1" w:after="100" w:afterAutospacing="1"/>
        <w:jc w:val="both"/>
      </w:pPr>
      <w:r>
        <w:rPr>
          <w:rFonts w:ascii="Palatino Linotype" w:eastAsia="Calibri" w:hAnsi="Palatino Linotype" w:cs="Arial"/>
          <w:color w:val="000000" w:themeColor="text1"/>
          <w:sz w:val="20"/>
          <w:szCs w:val="20"/>
        </w:rPr>
        <w:t>YSM</w:t>
      </w:r>
      <w:r w:rsidR="0037781B">
        <w:rPr>
          <w:rFonts w:ascii="Palatino Linotype" w:eastAsia="Calibri" w:hAnsi="Palatino Linotype" w:cs="Arial"/>
          <w:color w:val="000000" w:themeColor="text1"/>
          <w:sz w:val="20"/>
          <w:szCs w:val="20"/>
        </w:rPr>
        <w:t>/</w:t>
      </w:r>
      <w:r w:rsidR="008D53CF">
        <w:rPr>
          <w:rFonts w:ascii="Palatino Linotype" w:eastAsia="Calibri" w:hAnsi="Palatino Linotype" w:cs="Arial"/>
          <w:color w:val="000000" w:themeColor="text1"/>
          <w:sz w:val="20"/>
          <w:szCs w:val="20"/>
        </w:rPr>
        <w:t>EJCA</w:t>
      </w:r>
    </w:p>
    <w:sectPr w:rsidR="00A517EA" w:rsidRPr="006D731E"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64" w:rsidRDefault="00213464" w:rsidP="00DB3A83">
      <w:r>
        <w:separator/>
      </w:r>
    </w:p>
  </w:endnote>
  <w:endnote w:type="continuationSeparator" w:id="0">
    <w:p w:rsidR="00213464" w:rsidRDefault="00213464"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213464" w:rsidP="003056D9">
    <w:pPr>
      <w:pStyle w:val="Piedepgina"/>
      <w:tabs>
        <w:tab w:val="clear" w:pos="4252"/>
        <w:tab w:val="left" w:pos="4228"/>
      </w:tabs>
      <w:rPr>
        <w:rFonts w:ascii="Palatino Linotype" w:hAnsi="Palatino Linotype" w:cs="Arial"/>
        <w:b/>
        <w:bCs/>
        <w:sz w:val="20"/>
        <w:szCs w:val="20"/>
      </w:rPr>
    </w:pPr>
  </w:p>
  <w:p w:rsidR="003056D9" w:rsidRDefault="00213464" w:rsidP="003056D9">
    <w:pPr>
      <w:pStyle w:val="Piedepgina"/>
      <w:tabs>
        <w:tab w:val="clear" w:pos="4252"/>
        <w:tab w:val="left" w:pos="4228"/>
      </w:tabs>
      <w:rPr>
        <w:rFonts w:ascii="Palatino Linotype" w:hAnsi="Palatino Linotype" w:cs="Arial"/>
        <w:b/>
        <w:bCs/>
        <w:sz w:val="20"/>
        <w:szCs w:val="20"/>
      </w:rPr>
    </w:pPr>
  </w:p>
  <w:p w:rsidR="003056D9" w:rsidRDefault="00213464" w:rsidP="003056D9">
    <w:pPr>
      <w:pStyle w:val="Piedepgina"/>
      <w:tabs>
        <w:tab w:val="clear" w:pos="4252"/>
        <w:tab w:val="left" w:pos="4228"/>
      </w:tabs>
      <w:rPr>
        <w:rFonts w:ascii="Palatino Linotype" w:hAnsi="Palatino Linotype" w:cs="Arial"/>
        <w:b/>
        <w:bCs/>
        <w:sz w:val="20"/>
        <w:szCs w:val="20"/>
      </w:rPr>
    </w:pPr>
  </w:p>
  <w:p w:rsidR="00455CB3" w:rsidRDefault="00213464"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758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758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21346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64" w:rsidRDefault="00213464" w:rsidP="00DB3A83">
      <w:r>
        <w:separator/>
      </w:r>
    </w:p>
  </w:footnote>
  <w:footnote w:type="continuationSeparator" w:id="0">
    <w:p w:rsidR="00213464" w:rsidRDefault="00213464"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213464"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213464"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AE03F1">
      <w:rPr>
        <w:rFonts w:ascii="Palatino Linotype" w:hAnsi="Palatino Linotype" w:cs="Arial"/>
        <w:sz w:val="20"/>
        <w:szCs w:val="20"/>
      </w:rPr>
      <w:t xml:space="preserve"> </w:t>
    </w:r>
  </w:p>
  <w:p w:rsidR="00823404" w:rsidRDefault="00B756D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823404" w:rsidRPr="00823404">
      <w:rPr>
        <w:rFonts w:ascii="Palatino Linotype" w:hAnsi="Palatino Linotype" w:cs="Arial"/>
        <w:sz w:val="20"/>
        <w:szCs w:val="20"/>
      </w:rPr>
      <w:t>0</w:t>
    </w:r>
    <w:r w:rsidR="00A256DC">
      <w:rPr>
        <w:rFonts w:ascii="Palatino Linotype" w:hAnsi="Palatino Linotype" w:cs="Arial"/>
        <w:sz w:val="20"/>
        <w:szCs w:val="20"/>
      </w:rPr>
      <w:t>8000</w:t>
    </w:r>
    <w:r w:rsidR="002D3B30">
      <w:rPr>
        <w:rFonts w:ascii="Palatino Linotype" w:hAnsi="Palatino Linotype" w:cs="Arial"/>
        <w:sz w:val="20"/>
        <w:szCs w:val="20"/>
      </w:rPr>
      <w:t>/INFOEM/IP/RR/2019</w:t>
    </w:r>
    <w:r w:rsidR="00823404" w:rsidRPr="00823404">
      <w:rPr>
        <w:rFonts w:ascii="Palatino Linotype" w:hAnsi="Palatino Linotype" w:cs="Arial"/>
        <w:sz w:val="20"/>
        <w:szCs w:val="20"/>
      </w:rPr>
      <w:t xml:space="preserve"> </w:t>
    </w:r>
  </w:p>
  <w:p w:rsidR="00125D2F" w:rsidRDefault="00213464"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830" o:spid="_x0000_s2049" type="#_x0000_t136" style="position:absolute;left:0;text-align:left;margin-left:0;margin-top:0;width:703.5pt;height:53.25pt;rotation:315;z-index:-251658240;mso-position-horizontal:center;mso-position-horizontal-relative:margin;mso-position-vertical:center;mso-position-vertical-relative:margin" o:allowincell="f" fillcolor="#bfbfbf [2412]" stroked="f">
          <v:fill opacity=".5"/>
          <v:textpath style="font-family:&quot;Palatino Linotype&quot;;font-size:40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0F0B38"/>
    <w:multiLevelType w:val="hybridMultilevel"/>
    <w:tmpl w:val="3328DE60"/>
    <w:lvl w:ilvl="0" w:tplc="582C17C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8291533"/>
    <w:multiLevelType w:val="hybridMultilevel"/>
    <w:tmpl w:val="E9C49A98"/>
    <w:lvl w:ilvl="0" w:tplc="080A0017">
      <w:start w:val="1"/>
      <w:numFmt w:val="lowerLetter"/>
      <w:lvlText w:val="%1)"/>
      <w:lvlJc w:val="left"/>
      <w:pPr>
        <w:ind w:left="5606" w:hanging="360"/>
      </w:p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abstractNum w:abstractNumId="4">
    <w:nsid w:val="49936055"/>
    <w:multiLevelType w:val="hybridMultilevel"/>
    <w:tmpl w:val="BDB66E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5A1437"/>
    <w:multiLevelType w:val="hybridMultilevel"/>
    <w:tmpl w:val="8D0446CE"/>
    <w:lvl w:ilvl="0" w:tplc="1C3695C6">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589D43F3"/>
    <w:multiLevelType w:val="hybridMultilevel"/>
    <w:tmpl w:val="FACC0DE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6A405BB6"/>
    <w:multiLevelType w:val="hybridMultilevel"/>
    <w:tmpl w:val="01767F06"/>
    <w:lvl w:ilvl="0" w:tplc="76ECB1B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B0006"/>
    <w:rsid w:val="000D3DBA"/>
    <w:rsid w:val="000E2158"/>
    <w:rsid w:val="000F0C55"/>
    <w:rsid w:val="0012063C"/>
    <w:rsid w:val="001464A6"/>
    <w:rsid w:val="00155AA2"/>
    <w:rsid w:val="00191CF3"/>
    <w:rsid w:val="001976FE"/>
    <w:rsid w:val="001A4EE8"/>
    <w:rsid w:val="001B0821"/>
    <w:rsid w:val="001E56B6"/>
    <w:rsid w:val="001E7588"/>
    <w:rsid w:val="00206149"/>
    <w:rsid w:val="00213464"/>
    <w:rsid w:val="00216380"/>
    <w:rsid w:val="0023503A"/>
    <w:rsid w:val="00242456"/>
    <w:rsid w:val="00243FBB"/>
    <w:rsid w:val="00251C7D"/>
    <w:rsid w:val="00254372"/>
    <w:rsid w:val="00260EA1"/>
    <w:rsid w:val="002670A2"/>
    <w:rsid w:val="00296C85"/>
    <w:rsid w:val="002A6074"/>
    <w:rsid w:val="002D3B30"/>
    <w:rsid w:val="002F6694"/>
    <w:rsid w:val="00303EAE"/>
    <w:rsid w:val="00324EBE"/>
    <w:rsid w:val="0037781B"/>
    <w:rsid w:val="00387A27"/>
    <w:rsid w:val="003A78C6"/>
    <w:rsid w:val="003A7A87"/>
    <w:rsid w:val="003C2F6A"/>
    <w:rsid w:val="003C7F08"/>
    <w:rsid w:val="00404F4A"/>
    <w:rsid w:val="00411EDA"/>
    <w:rsid w:val="00432C7E"/>
    <w:rsid w:val="00437359"/>
    <w:rsid w:val="004A2D32"/>
    <w:rsid w:val="004B5C25"/>
    <w:rsid w:val="004B6C09"/>
    <w:rsid w:val="00527EC7"/>
    <w:rsid w:val="0053148C"/>
    <w:rsid w:val="0056545A"/>
    <w:rsid w:val="00590A83"/>
    <w:rsid w:val="005A4D7F"/>
    <w:rsid w:val="005B3099"/>
    <w:rsid w:val="00654FE9"/>
    <w:rsid w:val="00666BD2"/>
    <w:rsid w:val="006801D4"/>
    <w:rsid w:val="00697836"/>
    <w:rsid w:val="006B0B04"/>
    <w:rsid w:val="006B0D54"/>
    <w:rsid w:val="006B30CD"/>
    <w:rsid w:val="006C7D0A"/>
    <w:rsid w:val="006D731E"/>
    <w:rsid w:val="00707F8E"/>
    <w:rsid w:val="00726EF2"/>
    <w:rsid w:val="007617DE"/>
    <w:rsid w:val="0076312A"/>
    <w:rsid w:val="00785E66"/>
    <w:rsid w:val="007C7A0C"/>
    <w:rsid w:val="00811B0B"/>
    <w:rsid w:val="00823404"/>
    <w:rsid w:val="0084457B"/>
    <w:rsid w:val="00846499"/>
    <w:rsid w:val="00852E5B"/>
    <w:rsid w:val="00862D5F"/>
    <w:rsid w:val="00862F43"/>
    <w:rsid w:val="00864D3F"/>
    <w:rsid w:val="00882915"/>
    <w:rsid w:val="008A35FA"/>
    <w:rsid w:val="008B0732"/>
    <w:rsid w:val="008B738A"/>
    <w:rsid w:val="008D53CF"/>
    <w:rsid w:val="00913E69"/>
    <w:rsid w:val="00925B88"/>
    <w:rsid w:val="00940BFE"/>
    <w:rsid w:val="00990B93"/>
    <w:rsid w:val="009B582A"/>
    <w:rsid w:val="009C290A"/>
    <w:rsid w:val="009C373B"/>
    <w:rsid w:val="009E0C3D"/>
    <w:rsid w:val="009F0C59"/>
    <w:rsid w:val="00A12991"/>
    <w:rsid w:val="00A15DD9"/>
    <w:rsid w:val="00A211B5"/>
    <w:rsid w:val="00A256DC"/>
    <w:rsid w:val="00A2795F"/>
    <w:rsid w:val="00A30614"/>
    <w:rsid w:val="00A517EA"/>
    <w:rsid w:val="00A551DB"/>
    <w:rsid w:val="00A72EE1"/>
    <w:rsid w:val="00A96975"/>
    <w:rsid w:val="00AD74A1"/>
    <w:rsid w:val="00AE03F1"/>
    <w:rsid w:val="00AF73F1"/>
    <w:rsid w:val="00B30650"/>
    <w:rsid w:val="00B543F3"/>
    <w:rsid w:val="00B6237C"/>
    <w:rsid w:val="00B756DB"/>
    <w:rsid w:val="00B77DE5"/>
    <w:rsid w:val="00B860BF"/>
    <w:rsid w:val="00B95DD2"/>
    <w:rsid w:val="00BA11D3"/>
    <w:rsid w:val="00BE3972"/>
    <w:rsid w:val="00BF317A"/>
    <w:rsid w:val="00C25E1F"/>
    <w:rsid w:val="00C6574B"/>
    <w:rsid w:val="00CA70D5"/>
    <w:rsid w:val="00CE0603"/>
    <w:rsid w:val="00CE0CD5"/>
    <w:rsid w:val="00CE0D21"/>
    <w:rsid w:val="00CE620F"/>
    <w:rsid w:val="00CF70C6"/>
    <w:rsid w:val="00D00F1A"/>
    <w:rsid w:val="00D05D82"/>
    <w:rsid w:val="00D064C2"/>
    <w:rsid w:val="00D45A7D"/>
    <w:rsid w:val="00D5572E"/>
    <w:rsid w:val="00D55E6A"/>
    <w:rsid w:val="00D724F4"/>
    <w:rsid w:val="00D75277"/>
    <w:rsid w:val="00D872C4"/>
    <w:rsid w:val="00DB36F6"/>
    <w:rsid w:val="00DB3A83"/>
    <w:rsid w:val="00DD5275"/>
    <w:rsid w:val="00DE5F8D"/>
    <w:rsid w:val="00E13735"/>
    <w:rsid w:val="00E27678"/>
    <w:rsid w:val="00E46292"/>
    <w:rsid w:val="00E8735B"/>
    <w:rsid w:val="00EA0E3A"/>
    <w:rsid w:val="00ED5C61"/>
    <w:rsid w:val="00F054F8"/>
    <w:rsid w:val="00F05923"/>
    <w:rsid w:val="00F10238"/>
    <w:rsid w:val="00F44407"/>
    <w:rsid w:val="00F52359"/>
    <w:rsid w:val="00F579EE"/>
    <w:rsid w:val="00F64CC1"/>
    <w:rsid w:val="00F700E5"/>
    <w:rsid w:val="00F91A7F"/>
    <w:rsid w:val="00FA0BF5"/>
    <w:rsid w:val="00FA5F51"/>
    <w:rsid w:val="00FC0B6D"/>
    <w:rsid w:val="00FD5809"/>
    <w:rsid w:val="00FE3590"/>
    <w:rsid w:val="00FE67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C0B6D"/>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617D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574B"/>
    <w:rPr>
      <w:color w:val="0563C1" w:themeColor="hyperlink"/>
      <w:u w:val="single"/>
    </w:rPr>
  </w:style>
  <w:style w:type="character" w:styleId="Textoennegrita">
    <w:name w:val="Strong"/>
    <w:basedOn w:val="Fuentedeprrafopredeter"/>
    <w:uiPriority w:val="22"/>
    <w:qFormat/>
    <w:rsid w:val="00F05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978</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3</cp:revision>
  <cp:lastPrinted>2020-01-08T19:53:00Z</cp:lastPrinted>
  <dcterms:created xsi:type="dcterms:W3CDTF">2020-01-08T20:03:00Z</dcterms:created>
  <dcterms:modified xsi:type="dcterms:W3CDTF">2020-01-08T23:19:00Z</dcterms:modified>
</cp:coreProperties>
</file>