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44" w:rsidRDefault="00851944" w:rsidP="00010A9D">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076C00">
        <w:rPr>
          <w:rFonts w:ascii="Palatino Linotype" w:hAnsi="Palatino Linotype" w:cs="Arial"/>
          <w:b/>
        </w:rPr>
        <w:t>PRIMERA</w:t>
      </w:r>
      <w:r w:rsidR="00D0063A">
        <w:rPr>
          <w:rFonts w:ascii="Palatino Linotype" w:hAnsi="Palatino Linotype" w:cs="Arial"/>
          <w:b/>
        </w:rPr>
        <w:t xml:space="preserve"> </w:t>
      </w:r>
      <w:r w:rsidRPr="0073286C">
        <w:rPr>
          <w:rFonts w:ascii="Palatino Linotype" w:hAnsi="Palatino Linotype" w:cs="Arial"/>
          <w:b/>
        </w:rPr>
        <w:t xml:space="preserve">SESIÓN ORDINARIA DE </w:t>
      </w:r>
      <w:r w:rsidR="00076C00">
        <w:rPr>
          <w:rFonts w:ascii="Palatino Linotype" w:hAnsi="Palatino Linotype" w:cs="Arial"/>
          <w:b/>
        </w:rPr>
        <w:t>QUINCE</w:t>
      </w:r>
      <w:r w:rsidR="005B1ABE">
        <w:rPr>
          <w:rFonts w:ascii="Palatino Linotype" w:hAnsi="Palatino Linotype" w:cs="Arial"/>
          <w:b/>
        </w:rPr>
        <w:t xml:space="preserve"> DE </w:t>
      </w:r>
      <w:r w:rsidR="00076C00">
        <w:rPr>
          <w:rFonts w:ascii="Palatino Linotype" w:hAnsi="Palatino Linotype" w:cs="Arial"/>
          <w:b/>
        </w:rPr>
        <w:t>ENERO</w:t>
      </w:r>
      <w:r>
        <w:rPr>
          <w:rFonts w:ascii="Palatino Linotype" w:hAnsi="Palatino Linotype" w:cs="Arial"/>
          <w:b/>
        </w:rPr>
        <w:t xml:space="preserve"> DE DOS MIL </w:t>
      </w:r>
      <w:r w:rsidR="00076C00">
        <w:rPr>
          <w:rFonts w:ascii="Palatino Linotype" w:hAnsi="Palatino Linotype" w:cs="Arial"/>
          <w:b/>
        </w:rPr>
        <w:t>VEINTE</w:t>
      </w:r>
      <w:r w:rsidRPr="0073286C">
        <w:rPr>
          <w:rFonts w:ascii="Palatino Linotype" w:hAnsi="Palatino Linotype" w:cs="Arial"/>
          <w:b/>
        </w:rPr>
        <w:t xml:space="preserve">, EN </w:t>
      </w:r>
      <w:r w:rsidR="001D2FEF">
        <w:rPr>
          <w:rFonts w:ascii="Palatino Linotype" w:hAnsi="Palatino Linotype" w:cs="Arial"/>
          <w:b/>
        </w:rPr>
        <w:t>EL</w:t>
      </w:r>
      <w:r w:rsidR="001D2FEF" w:rsidRPr="0073286C">
        <w:rPr>
          <w:rFonts w:ascii="Palatino Linotype" w:hAnsi="Palatino Linotype" w:cs="Arial"/>
          <w:b/>
        </w:rPr>
        <w:t xml:space="preserve"> </w:t>
      </w:r>
      <w:r w:rsidRPr="0073286C">
        <w:rPr>
          <w:rFonts w:ascii="Palatino Linotype" w:hAnsi="Palatino Linotype" w:cs="Arial"/>
          <w:b/>
        </w:rPr>
        <w:t>RECURSO DE REVISIÓN</w:t>
      </w:r>
      <w:r>
        <w:rPr>
          <w:rFonts w:ascii="Palatino Linotype" w:hAnsi="Palatino Linotype" w:cs="Arial"/>
          <w:b/>
        </w:rPr>
        <w:t xml:space="preserve"> </w:t>
      </w:r>
      <w:r w:rsidR="00076C00">
        <w:rPr>
          <w:rFonts w:ascii="Palatino Linotype" w:hAnsi="Palatino Linotype" w:cs="Arial"/>
          <w:b/>
        </w:rPr>
        <w:t>08190</w:t>
      </w:r>
      <w:r w:rsidR="005B1ABE">
        <w:rPr>
          <w:rFonts w:ascii="Palatino Linotype" w:hAnsi="Palatino Linotype" w:cs="Arial"/>
          <w:b/>
        </w:rPr>
        <w:t>/INFOEM/IP/</w:t>
      </w:r>
      <w:proofErr w:type="spellStart"/>
      <w:r w:rsidR="005B1ABE">
        <w:rPr>
          <w:rFonts w:ascii="Palatino Linotype" w:hAnsi="Palatino Linotype" w:cs="Arial"/>
          <w:b/>
        </w:rPr>
        <w:t>RR</w:t>
      </w:r>
      <w:proofErr w:type="spellEnd"/>
      <w:r w:rsidR="005B1ABE">
        <w:rPr>
          <w:rFonts w:ascii="Palatino Linotype" w:hAnsi="Palatino Linotype" w:cs="Arial"/>
          <w:b/>
        </w:rPr>
        <w:t>/2019</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rsidR="00851944" w:rsidRDefault="00851944" w:rsidP="00010A9D">
      <w:pPr>
        <w:widowControl w:val="0"/>
        <w:spacing w:before="100" w:beforeAutospacing="1" w:after="100" w:afterAutospacing="1" w:line="360" w:lineRule="auto"/>
        <w:contextualSpacing/>
        <w:jc w:val="both"/>
        <w:rPr>
          <w:rFonts w:ascii="Palatino Linotype" w:eastAsia="Calibri" w:hAnsi="Palatino Linotype" w:cs="Arial"/>
          <w:b/>
          <w:color w:val="000000"/>
        </w:rPr>
      </w:pPr>
    </w:p>
    <w:p w:rsidR="00851944" w:rsidRDefault="00851944" w:rsidP="00010A9D">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w:t>
      </w:r>
      <w:r w:rsidR="00D0063A">
        <w:rPr>
          <w:rFonts w:ascii="Palatino Linotype" w:hAnsi="Palatino Linotype" w:cs="Arial"/>
        </w:rPr>
        <w:t>a</w:t>
      </w:r>
      <w:r w:rsidRPr="0073286C">
        <w:rPr>
          <w:rFonts w:ascii="Palatino Linotype" w:hAnsi="Palatino Linotype" w:cs="Arial"/>
        </w:rPr>
        <w:t xml:space="preserve"> </w:t>
      </w:r>
      <w:r w:rsidR="00D0063A">
        <w:rPr>
          <w:rFonts w:ascii="Palatino Linotype" w:hAnsi="Palatino Linotype" w:cs="Arial"/>
        </w:rPr>
        <w:t>suscrita</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 xml:space="preserve">respecto de la resolución dictada en </w:t>
      </w:r>
      <w:r w:rsidR="00AE3F10">
        <w:rPr>
          <w:rFonts w:ascii="Palatino Linotype" w:hAnsi="Palatino Linotype" w:cs="Arial"/>
        </w:rPr>
        <w:t>los</w:t>
      </w:r>
      <w:r>
        <w:rPr>
          <w:rFonts w:ascii="Palatino Linotype" w:hAnsi="Palatino Linotype" w:cs="Arial"/>
        </w:rPr>
        <w:t xml:space="preserve"> recurso</w:t>
      </w:r>
      <w:r w:rsidR="00AE3F10">
        <w:rPr>
          <w:rFonts w:ascii="Palatino Linotype" w:hAnsi="Palatino Linotype" w:cs="Arial"/>
        </w:rPr>
        <w:t>s</w:t>
      </w:r>
      <w:r>
        <w:rPr>
          <w:rFonts w:ascii="Palatino Linotype" w:hAnsi="Palatino Linotype" w:cs="Arial"/>
        </w:rPr>
        <w:t xml:space="preserve"> de revisión </w:t>
      </w:r>
      <w:r w:rsidR="00076C00">
        <w:rPr>
          <w:rFonts w:ascii="Palatino Linotype" w:hAnsi="Palatino Linotype" w:cs="Arial"/>
          <w:b/>
        </w:rPr>
        <w:t>08190</w:t>
      </w:r>
      <w:r w:rsidR="00AE3F10" w:rsidRPr="00AE3F10">
        <w:rPr>
          <w:rFonts w:ascii="Palatino Linotype" w:hAnsi="Palatino Linotype" w:cs="Arial"/>
          <w:b/>
        </w:rPr>
        <w:t>/INFOEM/IP/</w:t>
      </w:r>
      <w:proofErr w:type="spellStart"/>
      <w:r w:rsidR="00AE3F10" w:rsidRPr="00AE3F10">
        <w:rPr>
          <w:rFonts w:ascii="Palatino Linotype" w:hAnsi="Palatino Linotype" w:cs="Arial"/>
          <w:b/>
        </w:rPr>
        <w:t>RR</w:t>
      </w:r>
      <w:proofErr w:type="spellEnd"/>
      <w:r w:rsidR="00AE3F10" w:rsidRPr="00AE3F10">
        <w:rPr>
          <w:rFonts w:ascii="Palatino Linotype" w:hAnsi="Palatino Linotype" w:cs="Arial"/>
          <w:b/>
        </w:rPr>
        <w:t>/201</w:t>
      </w:r>
      <w:r w:rsidR="005B1ABE">
        <w:rPr>
          <w:rFonts w:ascii="Palatino Linotype" w:hAnsi="Palatino Linotype" w:cs="Arial"/>
          <w:b/>
        </w:rPr>
        <w:t>9</w:t>
      </w:r>
      <w:r w:rsidRPr="0073286C">
        <w:rPr>
          <w:rFonts w:ascii="Palatino Linotype" w:hAnsi="Palatino Linotype" w:cs="Arial"/>
        </w:rPr>
        <w:t xml:space="preserve">, pronunciada por el Pleno de este Instituto </w:t>
      </w:r>
      <w:r w:rsidR="00837EBE">
        <w:rPr>
          <w:rFonts w:ascii="Palatino Linotype" w:hAnsi="Palatino Linotype" w:cs="Arial"/>
        </w:rPr>
        <w:t>en</w:t>
      </w:r>
      <w:r w:rsidRPr="0073286C">
        <w:rPr>
          <w:rFonts w:ascii="Palatino Linotype" w:hAnsi="Palatino Linotype" w:cs="Arial"/>
        </w:rPr>
        <w:t xml:space="preserve"> el proyecto presentado por </w:t>
      </w:r>
      <w:r w:rsidR="00AE3F10">
        <w:rPr>
          <w:rFonts w:ascii="Palatino Linotype" w:hAnsi="Palatino Linotype" w:cs="Arial"/>
        </w:rPr>
        <w:t>la</w:t>
      </w:r>
      <w:r w:rsidRPr="0073286C">
        <w:rPr>
          <w:rFonts w:ascii="Palatino Linotype" w:hAnsi="Palatino Linotype" w:cs="Arial"/>
        </w:rPr>
        <w:t xml:space="preserve"> Comisionad</w:t>
      </w:r>
      <w:r w:rsidR="00076C00">
        <w:rPr>
          <w:rFonts w:ascii="Palatino Linotype" w:hAnsi="Palatino Linotype" w:cs="Arial"/>
        </w:rPr>
        <w:t>a Presidenta</w:t>
      </w:r>
      <w:r w:rsidR="005B1ABE">
        <w:rPr>
          <w:rFonts w:ascii="Palatino Linotype" w:hAnsi="Palatino Linotype" w:cs="Arial"/>
        </w:rPr>
        <w:t xml:space="preserve"> </w:t>
      </w:r>
      <w:r w:rsidR="00076C00">
        <w:rPr>
          <w:rFonts w:ascii="Palatino Linotype" w:hAnsi="Palatino Linotype" w:cs="Arial"/>
          <w:b/>
        </w:rPr>
        <w:t>ZULEMA MARTÍNEZ SÁNCHEZ</w:t>
      </w:r>
      <w:r w:rsidRPr="0073286C">
        <w:rPr>
          <w:rFonts w:ascii="Palatino Linotype" w:hAnsi="Palatino Linotype" w:cs="Arial"/>
        </w:rPr>
        <w:t>, que es del tenor siguiente</w:t>
      </w:r>
      <w:r>
        <w:rPr>
          <w:rFonts w:ascii="Palatino Linotype" w:hAnsi="Palatino Linotype" w:cs="Arial"/>
        </w:rPr>
        <w:t>.</w:t>
      </w:r>
    </w:p>
    <w:p w:rsidR="006468C8" w:rsidRDefault="006468C8" w:rsidP="00010A9D">
      <w:pPr>
        <w:spacing w:before="100" w:beforeAutospacing="1" w:after="100" w:afterAutospacing="1" w:line="360" w:lineRule="auto"/>
        <w:contextualSpacing/>
        <w:jc w:val="both"/>
        <w:rPr>
          <w:rFonts w:ascii="Palatino Linotype" w:hAnsi="Palatino Linotype" w:cs="Arial"/>
        </w:rPr>
      </w:pPr>
    </w:p>
    <w:p w:rsidR="006468C8" w:rsidRDefault="00851944" w:rsidP="00010A9D">
      <w:pPr>
        <w:spacing w:before="100" w:beforeAutospacing="1" w:after="100" w:afterAutospacing="1" w:line="360" w:lineRule="auto"/>
        <w:contextualSpacing/>
        <w:jc w:val="both"/>
        <w:rPr>
          <w:rFonts w:ascii="Palatino Linotype" w:hAnsi="Palatino Linotype"/>
        </w:rPr>
      </w:pP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suscrit</w:t>
      </w:r>
      <w:r w:rsidR="00D0063A">
        <w:rPr>
          <w:rFonts w:ascii="Palatino Linotype" w:hAnsi="Palatino Linotype"/>
        </w:rPr>
        <w:t>a</w:t>
      </w:r>
      <w:r w:rsidRPr="00851944">
        <w:rPr>
          <w:rFonts w:ascii="Palatino Linotype" w:hAnsi="Palatino Linotype"/>
        </w:rPr>
        <w:t xml:space="preserve"> compart</w:t>
      </w:r>
      <w:r w:rsidR="00D0063A">
        <w:rPr>
          <w:rFonts w:ascii="Palatino Linotype" w:hAnsi="Palatino Linotype"/>
        </w:rPr>
        <w:t>e</w:t>
      </w:r>
      <w:r w:rsidRPr="00851944">
        <w:rPr>
          <w:rFonts w:ascii="Palatino Linotype" w:hAnsi="Palatino Linotype"/>
        </w:rPr>
        <w:t xml:space="preserve"> esencialmente el sentido de la resolución del recurso de revisión; </w:t>
      </w:r>
      <w:proofErr w:type="gramStart"/>
      <w:r w:rsidRPr="00851944">
        <w:rPr>
          <w:rFonts w:ascii="Palatino Linotype" w:hAnsi="Palatino Linotype"/>
        </w:rPr>
        <w:t>empero</w:t>
      </w:r>
      <w:proofErr w:type="gramEnd"/>
      <w:r w:rsidRPr="00851944">
        <w:rPr>
          <w:rFonts w:ascii="Palatino Linotype" w:hAnsi="Palatino Linotype"/>
        </w:rPr>
        <w:t>, estimo necesario precisar algunas consideraciones de hecho y de derecho, tocante a parte de</w:t>
      </w:r>
      <w:r w:rsidR="00D0063A">
        <w:rPr>
          <w:rFonts w:ascii="Palatino Linotype" w:hAnsi="Palatino Linotype"/>
        </w:rPr>
        <w:t xml:space="preserve"> </w:t>
      </w: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w:t>
      </w:r>
      <w:r w:rsidR="00D0063A">
        <w:rPr>
          <w:rFonts w:ascii="Palatino Linotype" w:hAnsi="Palatino Linotype"/>
        </w:rPr>
        <w:t>información que se ordena</w:t>
      </w:r>
      <w:r w:rsidRPr="00851944">
        <w:rPr>
          <w:rFonts w:ascii="Palatino Linotype" w:hAnsi="Palatino Linotype"/>
        </w:rPr>
        <w:t>.</w:t>
      </w:r>
    </w:p>
    <w:p w:rsidR="00D0063A" w:rsidRDefault="00D0063A" w:rsidP="00010A9D">
      <w:pPr>
        <w:spacing w:before="100" w:beforeAutospacing="1" w:after="100" w:afterAutospacing="1" w:line="360" w:lineRule="auto"/>
        <w:contextualSpacing/>
        <w:jc w:val="both"/>
        <w:rPr>
          <w:rFonts w:ascii="Palatino Linotype" w:hAnsi="Palatino Linotype"/>
        </w:rPr>
      </w:pPr>
    </w:p>
    <w:p w:rsidR="00E677DD" w:rsidRDefault="00202921" w:rsidP="00010A9D">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 xml:space="preserve">Al respecto, tal y como quedó debidamente asentado en la resolución materia del presente voto, </w:t>
      </w:r>
      <w:r w:rsidR="006E34F7">
        <w:rPr>
          <w:rFonts w:ascii="Palatino Linotype" w:hAnsi="Palatino Linotype"/>
        </w:rPr>
        <w:t>el</w:t>
      </w:r>
      <w:r w:rsidRPr="0073286C">
        <w:rPr>
          <w:rFonts w:ascii="Palatino Linotype" w:hAnsi="Palatino Linotype"/>
        </w:rPr>
        <w:t xml:space="preserve"> particular requirió del</w:t>
      </w:r>
      <w:r>
        <w:rPr>
          <w:rFonts w:ascii="Palatino Linotype" w:hAnsi="Palatino Linotype"/>
        </w:rPr>
        <w:t xml:space="preserve"> </w:t>
      </w:r>
      <w:r w:rsidR="00076C00">
        <w:rPr>
          <w:rFonts w:ascii="Palatino Linotype" w:hAnsi="Palatino Linotype"/>
          <w:b/>
        </w:rPr>
        <w:t>Ayuntamiento de Tecámac</w:t>
      </w:r>
      <w:r>
        <w:rPr>
          <w:rFonts w:ascii="Palatino Linotype" w:hAnsi="Palatino Linotype"/>
        </w:rPr>
        <w:t xml:space="preserve">, en lo 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E677DD">
        <w:rPr>
          <w:rFonts w:ascii="Palatino Linotype" w:hAnsi="Palatino Linotype"/>
        </w:rPr>
        <w:t>le proporcionara la</w:t>
      </w:r>
      <w:r w:rsidR="00076C00">
        <w:rPr>
          <w:rFonts w:ascii="Palatino Linotype" w:hAnsi="Palatino Linotype"/>
        </w:rPr>
        <w:t xml:space="preserve"> siguiente</w:t>
      </w:r>
      <w:r w:rsidR="00400CB4">
        <w:rPr>
          <w:rFonts w:ascii="Palatino Linotype" w:hAnsi="Palatino Linotype"/>
        </w:rPr>
        <w:t xml:space="preserve"> información:</w:t>
      </w:r>
    </w:p>
    <w:p w:rsidR="00C817FC" w:rsidRDefault="00922E7D" w:rsidP="00010A9D">
      <w:pPr>
        <w:pStyle w:val="Prrafodelista"/>
        <w:tabs>
          <w:tab w:val="left" w:pos="4667"/>
        </w:tabs>
        <w:spacing w:before="100" w:beforeAutospacing="1" w:after="100" w:afterAutospacing="1"/>
        <w:ind w:left="851" w:right="902"/>
        <w:jc w:val="both"/>
        <w:rPr>
          <w:rFonts w:ascii="Palatino Linotype" w:hAnsi="Palatino Linotype" w:cs="Tahoma"/>
          <w:bCs/>
          <w:i/>
          <w:sz w:val="22"/>
          <w:szCs w:val="22"/>
        </w:rPr>
      </w:pPr>
      <w:r w:rsidRPr="00187ABC">
        <w:rPr>
          <w:rFonts w:ascii="Palatino Linotype" w:hAnsi="Palatino Linotype" w:cs="Tahoma"/>
          <w:bCs/>
          <w:i/>
          <w:sz w:val="22"/>
          <w:szCs w:val="22"/>
        </w:rPr>
        <w:lastRenderedPageBreak/>
        <w:t>“</w:t>
      </w:r>
      <w:r w:rsidR="00076C00">
        <w:rPr>
          <w:rFonts w:ascii="Palatino Linotype" w:hAnsi="Palatino Linotype" w:cs="Tahoma"/>
          <w:bCs/>
          <w:i/>
          <w:sz w:val="22"/>
          <w:szCs w:val="22"/>
        </w:rPr>
        <w:t xml:space="preserve">Del Lic. </w:t>
      </w:r>
      <w:r w:rsidR="00EA4E81">
        <w:rPr>
          <w:rFonts w:ascii="Palatino Linotype" w:hAnsi="Palatino Linotype" w:cs="Tahoma"/>
          <w:bCs/>
          <w:i/>
          <w:sz w:val="22"/>
          <w:szCs w:val="22"/>
        </w:rPr>
        <w:t>Edgar Tello</w:t>
      </w:r>
      <w:r w:rsidR="00076C00">
        <w:rPr>
          <w:rFonts w:ascii="Palatino Linotype" w:hAnsi="Palatino Linotype" w:cs="Tahoma"/>
          <w:bCs/>
          <w:i/>
          <w:sz w:val="22"/>
          <w:szCs w:val="22"/>
        </w:rPr>
        <w:t xml:space="preserve"> </w:t>
      </w:r>
      <w:proofErr w:type="spellStart"/>
      <w:r w:rsidR="00076C00">
        <w:rPr>
          <w:rFonts w:ascii="Palatino Linotype" w:hAnsi="Palatino Linotype" w:cs="Tahoma"/>
          <w:bCs/>
          <w:i/>
          <w:sz w:val="22"/>
          <w:szCs w:val="22"/>
        </w:rPr>
        <w:t>Mompala</w:t>
      </w:r>
      <w:proofErr w:type="spellEnd"/>
      <w:r w:rsidR="00076C00">
        <w:rPr>
          <w:rFonts w:ascii="Palatino Linotype" w:hAnsi="Palatino Linotype" w:cs="Tahoma"/>
          <w:bCs/>
          <w:i/>
          <w:sz w:val="22"/>
          <w:szCs w:val="22"/>
        </w:rPr>
        <w:t xml:space="preserve"> Defensor Municipal de los Derechos Humanos Titulo y Cédula </w:t>
      </w:r>
      <w:proofErr w:type="gramStart"/>
      <w:r w:rsidR="00076C00">
        <w:rPr>
          <w:rFonts w:ascii="Palatino Linotype" w:hAnsi="Palatino Linotype" w:cs="Tahoma"/>
          <w:bCs/>
          <w:i/>
          <w:sz w:val="22"/>
          <w:szCs w:val="22"/>
        </w:rPr>
        <w:t xml:space="preserve">Profesional </w:t>
      </w:r>
      <w:r w:rsidRPr="00187ABC">
        <w:rPr>
          <w:rFonts w:ascii="Palatino Linotype" w:hAnsi="Palatino Linotype" w:cs="Tahoma"/>
          <w:bCs/>
          <w:i/>
          <w:sz w:val="22"/>
          <w:szCs w:val="22"/>
        </w:rPr>
        <w:t>”</w:t>
      </w:r>
      <w:proofErr w:type="gramEnd"/>
    </w:p>
    <w:p w:rsidR="00187ABC" w:rsidRPr="00187ABC" w:rsidRDefault="00187ABC" w:rsidP="00010A9D">
      <w:pPr>
        <w:pStyle w:val="Prrafodelista"/>
        <w:tabs>
          <w:tab w:val="left" w:pos="4667"/>
        </w:tabs>
        <w:spacing w:before="100" w:beforeAutospacing="1" w:after="100" w:afterAutospacing="1"/>
        <w:ind w:left="851" w:right="902"/>
        <w:jc w:val="both"/>
        <w:rPr>
          <w:rFonts w:ascii="Palatino Linotype" w:hAnsi="Palatino Linotype" w:cs="Tahoma"/>
          <w:b/>
          <w:i/>
          <w:sz w:val="22"/>
          <w:szCs w:val="22"/>
        </w:rPr>
      </w:pPr>
    </w:p>
    <w:p w:rsidR="00EA4E81" w:rsidRPr="00EA4E81" w:rsidRDefault="00204CBF" w:rsidP="00010A9D">
      <w:pPr>
        <w:spacing w:before="100" w:beforeAutospacing="1" w:after="100" w:afterAutospacing="1" w:line="360" w:lineRule="auto"/>
        <w:contextualSpacing/>
        <w:jc w:val="both"/>
        <w:rPr>
          <w:rFonts w:ascii="Palatino Linotype" w:hAnsi="Palatino Linotype" w:cs="Arial"/>
          <w:b/>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proofErr w:type="spellStart"/>
      <w:r w:rsidRPr="0073286C">
        <w:rPr>
          <w:rFonts w:ascii="Palatino Linotype" w:hAnsi="Palatino Linotype" w:cs="Arial"/>
          <w:b/>
        </w:rPr>
        <w:t>SAIMEX</w:t>
      </w:r>
      <w:proofErr w:type="spellEnd"/>
      <w:r w:rsidRPr="0073286C">
        <w:rPr>
          <w:rFonts w:ascii="Palatino Linotype" w:hAnsi="Palatino Linotype" w:cs="Arial"/>
          <w:b/>
        </w:rPr>
        <w:t>,</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EA4E81">
        <w:rPr>
          <w:rFonts w:ascii="Palatino Linotype" w:hAnsi="Palatino Linotype" w:cs="Arial"/>
        </w:rPr>
        <w:t xml:space="preserve">remitió como respuesta el archivo electrónico </w:t>
      </w:r>
      <w:r w:rsidR="00EA4E81">
        <w:rPr>
          <w:rFonts w:ascii="Palatino Linotype" w:hAnsi="Palatino Linotype" w:cs="Arial"/>
          <w:b/>
        </w:rPr>
        <w:t xml:space="preserve">OFICIO No. CGA 1140.pdf </w:t>
      </w:r>
      <w:r w:rsidR="00EA4E81">
        <w:rPr>
          <w:rFonts w:ascii="Palatino Linotype" w:hAnsi="Palatino Linotype" w:cs="Arial"/>
        </w:rPr>
        <w:t>media</w:t>
      </w:r>
      <w:r w:rsidR="00EA4E81" w:rsidRPr="00EA4E81">
        <w:rPr>
          <w:rFonts w:ascii="Palatino Linotype" w:hAnsi="Palatino Linotype" w:cs="Arial"/>
        </w:rPr>
        <w:t>nte</w:t>
      </w:r>
      <w:r w:rsidR="00EA4E81">
        <w:rPr>
          <w:rFonts w:ascii="Palatino Linotype" w:hAnsi="Palatino Linotype" w:cs="Arial"/>
        </w:rPr>
        <w:t xml:space="preserve"> </w:t>
      </w:r>
      <w:r w:rsidR="00EA4E81" w:rsidRPr="00EA4E81">
        <w:rPr>
          <w:rFonts w:ascii="Palatino Linotype" w:hAnsi="Palatino Linotype" w:cs="Arial"/>
        </w:rPr>
        <w:t>el cual</w:t>
      </w:r>
      <w:r w:rsidR="00EA4E81">
        <w:rPr>
          <w:rFonts w:ascii="Palatino Linotype" w:hAnsi="Palatino Linotype" w:cs="Arial"/>
          <w:b/>
        </w:rPr>
        <w:t xml:space="preserve"> </w:t>
      </w:r>
      <w:r w:rsidR="00EA4E81" w:rsidRPr="00EA4E81">
        <w:rPr>
          <w:rFonts w:ascii="Palatino Linotype" w:hAnsi="Palatino Linotype" w:cs="Arial"/>
        </w:rPr>
        <w:t>medularmente</w:t>
      </w:r>
      <w:r w:rsidR="00EA4E81">
        <w:rPr>
          <w:rFonts w:ascii="Palatino Linotype" w:hAnsi="Palatino Linotype" w:cs="Arial"/>
          <w:b/>
        </w:rPr>
        <w:t xml:space="preserve"> </w:t>
      </w:r>
      <w:r w:rsidR="00EA4E81" w:rsidRPr="00EA4E81">
        <w:rPr>
          <w:rFonts w:ascii="Palatino Linotype" w:hAnsi="Palatino Linotype" w:cs="Arial"/>
        </w:rPr>
        <w:t>la Coordinadora de Recursos Hum</w:t>
      </w:r>
      <w:r w:rsidR="00400CB4">
        <w:rPr>
          <w:rFonts w:ascii="Palatino Linotype" w:hAnsi="Palatino Linotype" w:cs="Arial"/>
        </w:rPr>
        <w:t>anos manifestó que remitía la cé</w:t>
      </w:r>
      <w:r w:rsidR="00EA4E81" w:rsidRPr="00EA4E81">
        <w:rPr>
          <w:rFonts w:ascii="Palatino Linotype" w:hAnsi="Palatino Linotype" w:cs="Arial"/>
        </w:rPr>
        <w:t xml:space="preserve">dula y el </w:t>
      </w:r>
      <w:proofErr w:type="spellStart"/>
      <w:r w:rsidR="00EA4E81" w:rsidRPr="00EA4E81">
        <w:rPr>
          <w:rFonts w:ascii="Palatino Linotype" w:hAnsi="Palatino Linotype" w:cs="Arial"/>
        </w:rPr>
        <w:t>titulo</w:t>
      </w:r>
      <w:proofErr w:type="spellEnd"/>
      <w:r w:rsidR="00400CB4">
        <w:rPr>
          <w:rFonts w:ascii="Palatino Linotype" w:hAnsi="Palatino Linotype" w:cs="Arial"/>
        </w:rPr>
        <w:t xml:space="preserve"> profesional</w:t>
      </w:r>
      <w:r w:rsidR="00EA4E81" w:rsidRPr="00EA4E81">
        <w:rPr>
          <w:rFonts w:ascii="Palatino Linotype" w:hAnsi="Palatino Linotype" w:cs="Arial"/>
        </w:rPr>
        <w:t>; asimismo,</w:t>
      </w:r>
      <w:r w:rsidR="00EA4E81">
        <w:rPr>
          <w:rFonts w:ascii="Palatino Linotype" w:hAnsi="Palatino Linotype" w:cs="Arial"/>
        </w:rPr>
        <w:t xml:space="preserve"> adjuntó el archivo electrónico </w:t>
      </w:r>
      <w:r w:rsidR="00EA4E81">
        <w:rPr>
          <w:rFonts w:ascii="Palatino Linotype" w:hAnsi="Palatino Linotype" w:cs="Arial"/>
          <w:b/>
        </w:rPr>
        <w:t xml:space="preserve">TELLO </w:t>
      </w:r>
      <w:proofErr w:type="spellStart"/>
      <w:r w:rsidR="00EA4E81">
        <w:rPr>
          <w:rFonts w:ascii="Palatino Linotype" w:hAnsi="Palatino Linotype" w:cs="Arial"/>
          <w:b/>
        </w:rPr>
        <w:t>MOMPALA</w:t>
      </w:r>
      <w:proofErr w:type="spellEnd"/>
      <w:r w:rsidR="00EA4E81">
        <w:rPr>
          <w:rFonts w:ascii="Palatino Linotype" w:hAnsi="Palatino Linotype" w:cs="Arial"/>
          <w:b/>
        </w:rPr>
        <w:t xml:space="preserve"> EDGAR.pdf </w:t>
      </w:r>
      <w:r w:rsidR="00EA4E81" w:rsidRPr="00EA4E81">
        <w:rPr>
          <w:rFonts w:ascii="Palatino Linotype" w:hAnsi="Palatino Linotype" w:cs="Arial"/>
        </w:rPr>
        <w:t>el cual contiene</w:t>
      </w:r>
      <w:r w:rsidR="00EA4E81">
        <w:rPr>
          <w:rFonts w:ascii="Palatino Linotype" w:hAnsi="Palatino Linotype" w:cs="Arial"/>
          <w:b/>
        </w:rPr>
        <w:t xml:space="preserve"> </w:t>
      </w:r>
      <w:r w:rsidR="00EA4E81" w:rsidRPr="00EA4E81">
        <w:rPr>
          <w:rFonts w:ascii="Palatino Linotype" w:hAnsi="Palatino Linotype" w:cs="Arial"/>
        </w:rPr>
        <w:t>los documentos acta de titulació</w:t>
      </w:r>
      <w:r w:rsidR="00400CB4">
        <w:rPr>
          <w:rFonts w:ascii="Palatino Linotype" w:hAnsi="Palatino Linotype" w:cs="Arial"/>
        </w:rPr>
        <w:t>n</w:t>
      </w:r>
      <w:r w:rsidR="00EA4E81" w:rsidRPr="00EA4E81">
        <w:rPr>
          <w:rFonts w:ascii="Palatino Linotype" w:hAnsi="Palatino Linotype" w:cs="Arial"/>
        </w:rPr>
        <w:t>, carta de pasante y constancia de liberación de seguro social.</w:t>
      </w:r>
    </w:p>
    <w:p w:rsidR="00EA4E81" w:rsidRDefault="00EA4E81" w:rsidP="00010A9D">
      <w:pPr>
        <w:spacing w:before="100" w:beforeAutospacing="1" w:after="100" w:afterAutospacing="1" w:line="360" w:lineRule="auto"/>
        <w:contextualSpacing/>
        <w:jc w:val="both"/>
        <w:rPr>
          <w:rFonts w:ascii="Palatino Linotype" w:hAnsi="Palatino Linotype" w:cs="Arial"/>
          <w:b/>
        </w:rPr>
      </w:pPr>
    </w:p>
    <w:p w:rsidR="00204CBF" w:rsidRDefault="00FC2F30" w:rsidP="00010A9D">
      <w:pPr>
        <w:spacing w:before="100" w:beforeAutospacing="1" w:after="100" w:afterAutospacing="1" w:line="360" w:lineRule="auto"/>
        <w:contextualSpacing/>
        <w:jc w:val="both"/>
        <w:rPr>
          <w:rFonts w:ascii="Palatino Linotype" w:hAnsi="Palatino Linotype"/>
        </w:rPr>
      </w:pPr>
      <w:r>
        <w:rPr>
          <w:rFonts w:ascii="Palatino Linotype" w:hAnsi="Palatino Linotype"/>
          <w:bCs/>
        </w:rPr>
        <w:t xml:space="preserve">Inconforme </w:t>
      </w:r>
      <w:r w:rsidR="00512349">
        <w:rPr>
          <w:rFonts w:ascii="Palatino Linotype" w:hAnsi="Palatino Linotype"/>
          <w:bCs/>
        </w:rPr>
        <w:t>respuesta</w:t>
      </w:r>
      <w:r>
        <w:rPr>
          <w:rFonts w:ascii="Palatino Linotype" w:hAnsi="Palatino Linotype"/>
          <w:bCs/>
        </w:rPr>
        <w:t xml:space="preserve"> otorgada, </w:t>
      </w:r>
      <w:r>
        <w:rPr>
          <w:rFonts w:ascii="Palatino Linotype" w:hAnsi="Palatino Linotype"/>
          <w:b/>
          <w:bCs/>
        </w:rPr>
        <w:t>EL</w:t>
      </w:r>
      <w:r w:rsidRPr="00C405D0">
        <w:rPr>
          <w:rFonts w:ascii="Palatino Linotype" w:hAnsi="Palatino Linotype"/>
          <w:b/>
          <w:bCs/>
        </w:rPr>
        <w:t xml:space="preserve"> </w:t>
      </w:r>
      <w:r w:rsidR="00512349" w:rsidRPr="00C405D0">
        <w:rPr>
          <w:rFonts w:ascii="Palatino Linotype" w:hAnsi="Palatino Linotype"/>
          <w:b/>
          <w:bCs/>
        </w:rPr>
        <w:t>RECURRENT</w:t>
      </w:r>
      <w:r w:rsidR="00512349">
        <w:rPr>
          <w:rFonts w:ascii="Palatino Linotype" w:hAnsi="Palatino Linotype"/>
          <w:bCs/>
        </w:rPr>
        <w:t xml:space="preserve">E </w:t>
      </w:r>
      <w:r w:rsidR="00512349">
        <w:rPr>
          <w:rFonts w:ascii="Palatino Linotype" w:hAnsi="Palatino Linotype"/>
        </w:rPr>
        <w:t>procedió a interponer el recurso de revisión de mérito</w:t>
      </w:r>
      <w:r w:rsidR="00400CB4">
        <w:rPr>
          <w:rFonts w:ascii="Palatino Linotype" w:hAnsi="Palatino Linotype"/>
        </w:rPr>
        <w:t xml:space="preserve"> señalando como acto impugnado:</w:t>
      </w:r>
    </w:p>
    <w:p w:rsidR="00512349" w:rsidRDefault="00512349" w:rsidP="00010A9D">
      <w:pPr>
        <w:spacing w:before="100" w:beforeAutospacing="1" w:after="100" w:afterAutospacing="1" w:line="360" w:lineRule="auto"/>
        <w:contextualSpacing/>
        <w:jc w:val="both"/>
        <w:rPr>
          <w:rFonts w:ascii="Palatino Linotype" w:hAnsi="Palatino Linotype"/>
        </w:rPr>
      </w:pPr>
    </w:p>
    <w:p w:rsidR="00512349" w:rsidRDefault="00512349" w:rsidP="00010A9D">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w:t>
      </w:r>
      <w:r w:rsidR="00FC2F30" w:rsidRPr="00FC2F30">
        <w:rPr>
          <w:rFonts w:ascii="Palatino Linotype" w:hAnsi="Palatino Linotype"/>
          <w:i/>
          <w:color w:val="000000"/>
          <w:sz w:val="22"/>
          <w:szCs w:val="22"/>
        </w:rPr>
        <w:t xml:space="preserve">DEFENSOR MUNICIPAL DE DERECHOS HUMANOS.-1.- cédula profesional y título que ostenta .del C Lic. Edgar Tello </w:t>
      </w:r>
      <w:proofErr w:type="spellStart"/>
      <w:r w:rsidR="00FC2F30" w:rsidRPr="00FC2F30">
        <w:rPr>
          <w:rFonts w:ascii="Palatino Linotype" w:hAnsi="Palatino Linotype"/>
          <w:i/>
          <w:color w:val="000000"/>
          <w:sz w:val="22"/>
          <w:szCs w:val="22"/>
        </w:rPr>
        <w:t>Mompal</w:t>
      </w:r>
      <w:proofErr w:type="spellEnd"/>
      <w:r>
        <w:rPr>
          <w:rFonts w:ascii="Palatino Linotype" w:hAnsi="Palatino Linotype"/>
          <w:i/>
          <w:color w:val="000000"/>
          <w:sz w:val="22"/>
          <w:szCs w:val="22"/>
        </w:rPr>
        <w:t>”</w:t>
      </w:r>
    </w:p>
    <w:p w:rsidR="00512349" w:rsidRDefault="00512349" w:rsidP="00010A9D">
      <w:pPr>
        <w:spacing w:before="100" w:beforeAutospacing="1" w:after="100" w:afterAutospacing="1" w:line="360" w:lineRule="auto"/>
        <w:contextualSpacing/>
        <w:jc w:val="both"/>
        <w:rPr>
          <w:rFonts w:ascii="Palatino Linotype" w:hAnsi="Palatino Linotype" w:cs="Arial"/>
        </w:rPr>
      </w:pPr>
    </w:p>
    <w:p w:rsidR="0011250A" w:rsidRDefault="0011250A" w:rsidP="00010A9D">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Asimismo, como razones o motivos de </w:t>
      </w:r>
      <w:proofErr w:type="gramStart"/>
      <w:r>
        <w:rPr>
          <w:rFonts w:ascii="Palatino Linotype" w:hAnsi="Palatino Linotype"/>
        </w:rPr>
        <w:t xml:space="preserve">inconformidad </w:t>
      </w:r>
      <w:r w:rsidR="00400CB4">
        <w:rPr>
          <w:rFonts w:ascii="Palatino Linotype" w:hAnsi="Palatino Linotype"/>
        </w:rPr>
        <w:t>:</w:t>
      </w:r>
      <w:proofErr w:type="gramEnd"/>
    </w:p>
    <w:p w:rsidR="0011250A" w:rsidRDefault="0011250A" w:rsidP="00010A9D">
      <w:pPr>
        <w:spacing w:before="100" w:beforeAutospacing="1" w:after="100" w:afterAutospacing="1" w:line="360" w:lineRule="auto"/>
        <w:contextualSpacing/>
        <w:jc w:val="both"/>
        <w:rPr>
          <w:rFonts w:ascii="Palatino Linotype" w:hAnsi="Palatino Linotype"/>
        </w:rPr>
      </w:pPr>
    </w:p>
    <w:p w:rsidR="00730550" w:rsidRPr="00922E7D" w:rsidRDefault="004D0F96" w:rsidP="00010A9D">
      <w:pPr>
        <w:spacing w:before="100" w:beforeAutospacing="1" w:after="100" w:afterAutospacing="1"/>
        <w:ind w:left="851" w:right="902"/>
        <w:contextualSpacing/>
        <w:jc w:val="both"/>
        <w:rPr>
          <w:rFonts w:ascii="Palatino Linotype" w:hAnsi="Palatino Linotype" w:cs="Tahoma"/>
          <w:i/>
          <w:sz w:val="22"/>
          <w:szCs w:val="22"/>
        </w:rPr>
      </w:pPr>
      <w:r w:rsidRPr="00922E7D">
        <w:rPr>
          <w:rFonts w:ascii="Palatino Linotype" w:hAnsi="Palatino Linotype" w:cs="Tahoma"/>
          <w:b/>
          <w:bCs/>
          <w:i/>
          <w:color w:val="0D0D0D" w:themeColor="text1" w:themeTint="F2"/>
          <w:sz w:val="22"/>
          <w:szCs w:val="22"/>
        </w:rPr>
        <w:t>“</w:t>
      </w:r>
      <w:r w:rsidR="00FC2F30" w:rsidRPr="00FC2F30">
        <w:rPr>
          <w:rFonts w:ascii="Palatino Linotype" w:hAnsi="Palatino Linotype" w:cs="Tahoma"/>
          <w:i/>
          <w:sz w:val="22"/>
          <w:szCs w:val="22"/>
        </w:rPr>
        <w:t xml:space="preserve">NO, entregan la información solicitada , como se está solicitando claramente, es imprecisa y con evasivas, Ya es la característica clásica, de un gobierno opaco sin transparencia a la información .FALTA DE ENTREGAR LO SIGUIENTE QUE CLARAMENTE SE SOLICITUD DE INFORMACIÓN Y NO SE NOS DE EL TRATO DE LIMOSNEROS DE LA INFORMACIÓN PUBLICA.: Por lo que exijo se me proporcione la información de forma completa, tal y como lo indica la ley de transparencia y acceso a la información pública de estado de México y municipios... Y NO TRAERNOS COMO LIMOSNEROS A LOS CIUDADANOS </w:t>
      </w:r>
      <w:proofErr w:type="spellStart"/>
      <w:r w:rsidR="00FC2F30" w:rsidRPr="00FC2F30">
        <w:rPr>
          <w:rFonts w:ascii="Palatino Linotype" w:hAnsi="Palatino Linotype" w:cs="Tahoma"/>
          <w:i/>
          <w:sz w:val="22"/>
          <w:szCs w:val="22"/>
        </w:rPr>
        <w:t>MEXIQUENSES,PARA</w:t>
      </w:r>
      <w:proofErr w:type="spellEnd"/>
      <w:r w:rsidR="00FC2F30" w:rsidRPr="00FC2F30">
        <w:rPr>
          <w:rFonts w:ascii="Palatino Linotype" w:hAnsi="Palatino Linotype" w:cs="Tahoma"/>
          <w:i/>
          <w:sz w:val="22"/>
          <w:szCs w:val="22"/>
        </w:rPr>
        <w:t xml:space="preserve"> SOLICITAR LA </w:t>
      </w:r>
      <w:proofErr w:type="spellStart"/>
      <w:r w:rsidR="00FC2F30" w:rsidRPr="00FC2F30">
        <w:rPr>
          <w:rFonts w:ascii="Palatino Linotype" w:hAnsi="Palatino Linotype" w:cs="Tahoma"/>
          <w:i/>
          <w:sz w:val="22"/>
          <w:szCs w:val="22"/>
        </w:rPr>
        <w:t>INFORMACIÓN,PONIÉNDONOS</w:t>
      </w:r>
      <w:proofErr w:type="spellEnd"/>
      <w:r w:rsidR="00FC2F30" w:rsidRPr="00FC2F30">
        <w:rPr>
          <w:rFonts w:ascii="Palatino Linotype" w:hAnsi="Palatino Linotype" w:cs="Tahoma"/>
          <w:i/>
          <w:sz w:val="22"/>
          <w:szCs w:val="22"/>
        </w:rPr>
        <w:t xml:space="preserve"> MILES DE TRABAS PARA </w:t>
      </w:r>
      <w:proofErr w:type="spellStart"/>
      <w:r w:rsidR="00FC2F30" w:rsidRPr="00FC2F30">
        <w:rPr>
          <w:rFonts w:ascii="Palatino Linotype" w:hAnsi="Palatino Linotype" w:cs="Tahoma"/>
          <w:i/>
          <w:sz w:val="22"/>
          <w:szCs w:val="22"/>
        </w:rPr>
        <w:t>SOLICITAR,LO</w:t>
      </w:r>
      <w:proofErr w:type="spellEnd"/>
      <w:r w:rsidR="00FC2F30" w:rsidRPr="00FC2F30">
        <w:rPr>
          <w:rFonts w:ascii="Palatino Linotype" w:hAnsi="Palatino Linotype" w:cs="Tahoma"/>
          <w:i/>
          <w:sz w:val="22"/>
          <w:szCs w:val="22"/>
        </w:rPr>
        <w:t xml:space="preserve"> QUE CONSTITUCIONALMENTE </w:t>
      </w:r>
      <w:r w:rsidR="00FC2F30" w:rsidRPr="00FC2F30">
        <w:rPr>
          <w:rFonts w:ascii="Palatino Linotype" w:hAnsi="Palatino Linotype" w:cs="Tahoma"/>
          <w:i/>
          <w:sz w:val="22"/>
          <w:szCs w:val="22"/>
        </w:rPr>
        <w:lastRenderedPageBreak/>
        <w:t xml:space="preserve">EN EL ART, 6 DE LA CONSTITUCIÓN FEDERAL .NOS </w:t>
      </w:r>
      <w:proofErr w:type="spellStart"/>
      <w:r w:rsidR="00FC2F30" w:rsidRPr="00FC2F30">
        <w:rPr>
          <w:rFonts w:ascii="Palatino Linotype" w:hAnsi="Palatino Linotype" w:cs="Tahoma"/>
          <w:i/>
          <w:sz w:val="22"/>
          <w:szCs w:val="22"/>
        </w:rPr>
        <w:t>MARCA,COMO</w:t>
      </w:r>
      <w:proofErr w:type="spellEnd"/>
      <w:r w:rsidR="00FC2F30" w:rsidRPr="00FC2F30">
        <w:rPr>
          <w:rFonts w:ascii="Palatino Linotype" w:hAnsi="Palatino Linotype" w:cs="Tahoma"/>
          <w:i/>
          <w:sz w:val="22"/>
          <w:szCs w:val="22"/>
        </w:rPr>
        <w:t xml:space="preserve"> UN DERECHO HUMANO. NO, PROPORCIONAR LA INFORMACIÓN SOLICITADA QUE ES INFORMACIÓN </w:t>
      </w:r>
      <w:proofErr w:type="spellStart"/>
      <w:r w:rsidR="00FC2F30" w:rsidRPr="00FC2F30">
        <w:rPr>
          <w:rFonts w:ascii="Palatino Linotype" w:hAnsi="Palatino Linotype" w:cs="Tahoma"/>
          <w:i/>
          <w:sz w:val="22"/>
          <w:szCs w:val="22"/>
        </w:rPr>
        <w:t>PUBLICA.POR</w:t>
      </w:r>
      <w:proofErr w:type="spellEnd"/>
      <w:r w:rsidR="00FC2F30" w:rsidRPr="00FC2F30">
        <w:rPr>
          <w:rFonts w:ascii="Palatino Linotype" w:hAnsi="Palatino Linotype" w:cs="Tahoma"/>
          <w:i/>
          <w:sz w:val="22"/>
          <w:szCs w:val="22"/>
        </w:rPr>
        <w:t xml:space="preserve"> TAL SITUACIÓN Y HECHOS SE CASTIGUE ESTA CONDUCTA RECUENTE CONFORME A DERECHO. Como persona libre, el ser humano es un sujeto ético y social, dotado de derechos y deberes propios de su naturaleza, en este sentido, los derechos humanos son prerrogativas inherentes al hombre, por el simple hecho de su condición humana y sirven para garantizarle una vida digna. Es por ello que su realización efectiva o el pleno ejercicio de los mismos, es una condición indispensable para el desarrollo integral de la personas. En el Sistema Interamericano de Derechos Humanos, se concibe al derecho de acceso a la información en poder del Estado, como una de las prerrogativas fundamentales de la democracia representativa. En ese orden de ideas, dentro del catálogo de los derechos reconocidos por nuestra Carta Magna, encontramos que tanto el derecho a la información como el de acceso a la información, están consagrados en su artículo 6º, los cuales deberán ser garantizados por el Estado. En nuestra entidad, el artículo 5º de la Constitución Local, establece que “El derecho a la información </w:t>
      </w:r>
      <w:proofErr w:type="gramStart"/>
      <w:r w:rsidR="00FC2F30" w:rsidRPr="00FC2F30">
        <w:rPr>
          <w:rFonts w:ascii="Palatino Linotype" w:hAnsi="Palatino Linotype" w:cs="Tahoma"/>
          <w:i/>
          <w:sz w:val="22"/>
          <w:szCs w:val="22"/>
        </w:rPr>
        <w:t>será ?</w:t>
      </w:r>
      <w:proofErr w:type="gramEnd"/>
      <w:r w:rsidR="00FC2F30" w:rsidRPr="00FC2F30">
        <w:rPr>
          <w:rFonts w:ascii="Palatino Linotype" w:hAnsi="Palatino Linotype" w:cs="Tahoma"/>
          <w:i/>
          <w:sz w:val="22"/>
          <w:szCs w:val="22"/>
        </w:rPr>
        <w:t xml:space="preserve"> garantizado por el Estado” y que “Para garantizar el ejercicio del derecho de transparencia, acceso a la información pública y protección de datos personales, los poderes públicos y los organismos autónomos, transparentarán sus acciones, en términos de las disposiciones aplicables, la información será ? oportuna, clara, veraz y de fácil acceso”. Existe pues un consenso de la doctrina jurídica y el marco legal existente en relación a la importancia y lugar que ocupa el derecho de acceso a la información, no obstante lo anterior, las condiciones por la que atraviesa nuestro país reclaman especial cuidado y hacen imperiosa la necesidad de avanzar en esta materia. Por tanto, el derecho de acceso a la información es herramienta fundamental para el control ciudadano del funcionamiento del Estado y la gestión pública, en especial para el combate a la corrupción y una real cultura de rendición de cuentas, además que incentiva la participación ciudadana en asuntos públicos a través, entre otros, del ejercicio informado de los derechos políticos y, en general, para la exigibilidad de otros derechos humanos, que permitan el desarrollo integral de toda persona .La sociedad civil organizada ha hecho planteamientos trascendentes en este tema, entre los que destaca el de Transparencia Mexicana, organización que ha manifestado entre otros aspectos, su preocupación por que las acciones de Gobierno y Parlamento Abierto se conviertan en auténticas prácticas transversales y generales, más allá del Plan de Acción 2019 al que México se comprometió en el marco de Alianza para el Gobierno Abierto, al tiempo que hace un llamado a que México apruebe una política nacional de datos abiertos. Tiene por objeto establecer las bases </w:t>
      </w:r>
      <w:r w:rsidR="00FC2F30" w:rsidRPr="00FC2F30">
        <w:rPr>
          <w:rFonts w:ascii="Palatino Linotype" w:hAnsi="Palatino Linotype" w:cs="Tahoma"/>
          <w:i/>
          <w:sz w:val="22"/>
          <w:szCs w:val="22"/>
        </w:rPr>
        <w:lastRenderedPageBreak/>
        <w:t xml:space="preserve">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en el Estado de México y sus municipios, así como promover, mejorar, ampliar y consolidar la participación ciudadana en los asuntos públicos y de gobierno. Se incluye la integración de un catálogo amplio de conceptos relativos a la transparencia y Acceso a la Información Pública para orientar el margen de interpretación del Organismo Garante, sujetos obligados o particulares; esto con la finalidad de garantizar mayor certeza jurídica en la propia interpretación de la presente Ley. Se define que el Derecho de Acceso a la Información Pública es un derecho fundamental el cual contiene en sí mismo La libertad de toda persona para acceder, solicitar, difundir, investigar y recabar información pública generada, administrada o en poder de los sujetos obligados, en los términos de ley. Se contemplan la observancia de Principios para el Derecho de Acceso a la Información Pública, en su carácter de gratuita, veraz, confiable, oportuna, congruente, integral, actualizada, accesible, comprensible, verificable y de fácil acceso. Por lo que hace a Organismo Garante, se procura la observancia de los principios rectores que le dan sustento, los cuales son. Certeza; II. Eficacia; III. Imparcialidad; IV. Independencia; V. Legalidad; VI. Máxima Publicidad; VII. Objetividad; VIII. Profesionalismo y; IX. Transparencia .Se destacan los principios de presunción de existencia y el principio de documentar, es decir, que se presume que la información debe existir si se refiere a las facultades, competencias y funciones que los ordenamientos jurídicos aplicables otorgan a los sujetos obligados, así como la obligatoriedad de los servidores públicos de los diversos órdenes de gobierno de documentar la gestión pública o el ejercicio de sus atribuciones y facultades, como principio generador de información .POR LO ANTERIOR SOLICITO AL PLENO DEL Instituto de Transparencia, Acceso a la Información Pública y Protección de Datos Personales del Estado de México y Municipios. TERMINAR .CON ESTE TIPO DE PRACTICAS QUE TANTO HAN DAÑADO AL PAÍS, .NO, entregan la información solicitada en forma completa, como se está solicitando claramente Pacto Internacional de Derechos Económicos, Sociales y Culturales Adoptado y abierto a la firma, ratificación y adhesión por la Asamblea General en su resolución 2200 A (XXI), de 16 de diciembre de 1966 Entrada en vigor: 3 de enero de 1976, de conformidad con el artículo 27 2. No podrá admitirse restricción o menoscabo de ninguno de los derechos humanos fundamentales reconocidos o vigentes en un país en virtud de leyes, convenciones, reglamentos o costumbres, a pretexto de que el presente Pacto no los reconoce o los reconoce en menor grado. </w:t>
      </w:r>
      <w:r w:rsidR="00FC2F30" w:rsidRPr="00FC2F30">
        <w:rPr>
          <w:rFonts w:ascii="Palatino Linotype" w:hAnsi="Palatino Linotype" w:cs="Tahoma"/>
          <w:i/>
          <w:sz w:val="22"/>
          <w:szCs w:val="22"/>
        </w:rPr>
        <w:lastRenderedPageBreak/>
        <w:t xml:space="preserve">Artículo 18 En virtud de las atribuciones que la Carta de las Naciones Unidas le confiere en materia de derechos humanos y libertades fundamentales, el Consejo Económico y Social podrá concluir acuerdos con los organismos especializados sobre la presentación por tales organismos de informes relativos al cumplimiento de las disposiciones de este Pacto que corresponden a su campo de actividades. Estos informes podrán contener detalles sobre las decisiones y recomendaciones que en relación con ese cumplimiento hayan aprobado los órganos competentes de dichos organismos. Artículo 24 Ninguna disposición del presente Pacto deberá interpretarse en menoscabo de las disposiciones de la Carta de las Naciones Unidas o de las constituciones de los organismos especializados que definen las atribuciones de los diversos órganos de las Naciones Unidas y de los organismos especializados en cuanto a las materias a que se refiere el Pacto. Para mayor compresión de este recurso, invoco las siguiente jurisprudencias, donde además se infiere, que no procede en este caso el cobro de copias certificadas. Tesis: </w:t>
      </w:r>
      <w:proofErr w:type="spellStart"/>
      <w:r w:rsidR="00FC2F30" w:rsidRPr="00FC2F30">
        <w:rPr>
          <w:rFonts w:ascii="Palatino Linotype" w:hAnsi="Palatino Linotype" w:cs="Tahoma"/>
          <w:i/>
          <w:sz w:val="22"/>
          <w:szCs w:val="22"/>
        </w:rPr>
        <w:t>VI.2o.A.11</w:t>
      </w:r>
      <w:proofErr w:type="spellEnd"/>
      <w:r w:rsidR="00FC2F30" w:rsidRPr="00FC2F30">
        <w:rPr>
          <w:rFonts w:ascii="Palatino Linotype" w:hAnsi="Palatino Linotype" w:cs="Tahoma"/>
          <w:i/>
          <w:sz w:val="22"/>
          <w:szCs w:val="22"/>
        </w:rPr>
        <w:t xml:space="preserve"> A (</w:t>
      </w:r>
      <w:proofErr w:type="spellStart"/>
      <w:r w:rsidR="00FC2F30" w:rsidRPr="00FC2F30">
        <w:rPr>
          <w:rFonts w:ascii="Palatino Linotype" w:hAnsi="Palatino Linotype" w:cs="Tahoma"/>
          <w:i/>
          <w:sz w:val="22"/>
          <w:szCs w:val="22"/>
        </w:rPr>
        <w:t>10a</w:t>
      </w:r>
      <w:proofErr w:type="spellEnd"/>
      <w:r w:rsidR="00FC2F30" w:rsidRPr="00FC2F30">
        <w:rPr>
          <w:rFonts w:ascii="Palatino Linotype" w:hAnsi="Palatino Linotype" w:cs="Tahoma"/>
          <w:i/>
          <w:sz w:val="22"/>
          <w:szCs w:val="22"/>
        </w:rPr>
        <w:t xml:space="preserve">.) Gaceta del Semanario Judicial de la Federación Décima Época 2012887 7 de 51 Tribunales Colegiados de Circuito Libro 35, Octubre de 2016, Tomo IV Pág. 2852 Tesis </w:t>
      </w:r>
      <w:proofErr w:type="gramStart"/>
      <w:r w:rsidR="00FC2F30" w:rsidRPr="00FC2F30">
        <w:rPr>
          <w:rFonts w:ascii="Palatino Linotype" w:hAnsi="Palatino Linotype" w:cs="Tahoma"/>
          <w:i/>
          <w:sz w:val="22"/>
          <w:szCs w:val="22"/>
        </w:rPr>
        <w:t>Aislada(</w:t>
      </w:r>
      <w:proofErr w:type="gramEnd"/>
      <w:r w:rsidR="00FC2F30" w:rsidRPr="00FC2F30">
        <w:rPr>
          <w:rFonts w:ascii="Palatino Linotype" w:hAnsi="Palatino Linotype" w:cs="Tahoma"/>
          <w:i/>
          <w:sz w:val="22"/>
          <w:szCs w:val="22"/>
        </w:rPr>
        <w:t xml:space="preserve">Constitucional, Administrativa, Administrativa) COPIA CERTIFICADA DE UN EXPEDIENTE CLÍNICO. CUANDO SE SOLICITA EN EJERCICIO DEL DERECHO DE ACCESO A LA INFORMACIÓN, LA AUTORIDAD QUE SE PRONUNCIE EN RELACIÓN CON EL COSTO DE SU EXPEDICIÓN, EN OBSERVANCIA AL PRINCIPIO PRO PERSONA, NO DEBE APLICAR EL ARTÍCULO 83, FRACCIÓN I, DE LA LEY DE INGRESOS DEL ESTADO DE PUEBLA, PARA EL EJERCICIO FISCAL 2015, QUE PREVÉ LA CUOTA APLICABLE POR LA CERTIFICACIÓN DE DATOS O DOCUMENTOS. Conforme al artículo </w:t>
      </w:r>
      <w:proofErr w:type="spellStart"/>
      <w:r w:rsidR="00FC2F30" w:rsidRPr="00FC2F30">
        <w:rPr>
          <w:rFonts w:ascii="Palatino Linotype" w:hAnsi="Palatino Linotype" w:cs="Tahoma"/>
          <w:i/>
          <w:sz w:val="22"/>
          <w:szCs w:val="22"/>
        </w:rPr>
        <w:t>1o</w:t>
      </w:r>
      <w:proofErr w:type="spellEnd"/>
      <w:r w:rsidR="00FC2F30" w:rsidRPr="00FC2F30">
        <w:rPr>
          <w:rFonts w:ascii="Palatino Linotype" w:hAnsi="Palatino Linotype" w:cs="Tahoma"/>
          <w:i/>
          <w:sz w:val="22"/>
          <w:szCs w:val="22"/>
        </w:rPr>
        <w:t xml:space="preserve">. de la Constitución Política de los Estados Unidos Mexicanos, todas las autoridades, en el ámbito de sus competencias, tienen la obligación de promover, respetar, proteger y garantizar los derechos humanos, de conformidad con los principios de universalidad, interdependencia, indivisibilidad y progresividad. Por su parte, los derechos de acceso a la información y a la salud guardan una relación de interdependencia cuando, en ejercicio del primero, se solicita copia certificada de un expediente clínico. En este contexto, en la legislación aplicable al derecho de acceso a la información en el Estado de Puebla, se encuentra previsto el pago por la certificación de documentos cuando proceda; no obstante, el artículo 83, fracción I, de la Ley de Ingresos de esa entidad para el ejercicio fiscal 2015, hace gravoso el ejercicio de ese derecho, al prever la cantidad que debe cubrirse contabilizando las hojas que se certifiquen, al tratarse de una disposición fiscal que no grava verdaderamente el servicio que presta el Estado por la certificación de las copias solicitadas, sino que impone una contribución como </w:t>
      </w:r>
      <w:r w:rsidR="00FC2F30" w:rsidRPr="00FC2F30">
        <w:rPr>
          <w:rFonts w:ascii="Palatino Linotype" w:hAnsi="Palatino Linotype" w:cs="Tahoma"/>
          <w:i/>
          <w:sz w:val="22"/>
          <w:szCs w:val="22"/>
        </w:rPr>
        <w:lastRenderedPageBreak/>
        <w:t xml:space="preserve">si se tratara de tantos servicios como hojas deben certificarse. Por tanto, la autoridad que se pronuncie en relación con el costo de la expedición de la copia certificada del expediente clínico del solicitante, debe observar el principio por persona, por lo que, al fijarlo, no debe aplicar el invocado numeral 83, fracción I, de la Ley de Ingresos señalada, que prevé la cuota aplicable a la certificación de datos o documentos. SEGUNDO TRIBUNAL COLEGIADO EN MATERIA ADMINISTRATIVA DEL SEXTO CIRCUITO. Amparo en revisión 527/2015. Carlos Erwin Porras Aguilera y otro. 7 de julio de 2016. Unanimidad de votos. Ponente: José </w:t>
      </w:r>
      <w:proofErr w:type="spellStart"/>
      <w:r w:rsidR="00FC2F30" w:rsidRPr="00FC2F30">
        <w:rPr>
          <w:rFonts w:ascii="Palatino Linotype" w:hAnsi="Palatino Linotype" w:cs="Tahoma"/>
          <w:i/>
          <w:sz w:val="22"/>
          <w:szCs w:val="22"/>
        </w:rPr>
        <w:t>Ybraín</w:t>
      </w:r>
      <w:proofErr w:type="spellEnd"/>
      <w:r w:rsidR="00FC2F30" w:rsidRPr="00FC2F30">
        <w:rPr>
          <w:rFonts w:ascii="Palatino Linotype" w:hAnsi="Palatino Linotype" w:cs="Tahoma"/>
          <w:i/>
          <w:sz w:val="22"/>
          <w:szCs w:val="22"/>
        </w:rPr>
        <w:t xml:space="preserve"> Hernández Lima. Secretaria: </w:t>
      </w:r>
      <w:proofErr w:type="spellStart"/>
      <w:r w:rsidR="00FC2F30" w:rsidRPr="00FC2F30">
        <w:rPr>
          <w:rFonts w:ascii="Palatino Linotype" w:hAnsi="Palatino Linotype" w:cs="Tahoma"/>
          <w:i/>
          <w:sz w:val="22"/>
          <w:szCs w:val="22"/>
        </w:rPr>
        <w:t>Krystell</w:t>
      </w:r>
      <w:proofErr w:type="spellEnd"/>
      <w:r w:rsidR="00FC2F30" w:rsidRPr="00FC2F30">
        <w:rPr>
          <w:rFonts w:ascii="Palatino Linotype" w:hAnsi="Palatino Linotype" w:cs="Tahoma"/>
          <w:i/>
          <w:sz w:val="22"/>
          <w:szCs w:val="22"/>
        </w:rPr>
        <w:t xml:space="preserve"> Díaz Barrientos. Época: Novena Época Registro: 169574 Instancia: Pleno Tipo de Tesis: Jurisprudencia Fuente: Semanario Judicial de la Federación y su Gaceta Tomo XXVII, Junio de 2008 Materia(s): Constitucional Tesis: P. /J. 54/</w:t>
      </w:r>
      <w:proofErr w:type="spellStart"/>
      <w:r w:rsidR="00FC2F30" w:rsidRPr="00FC2F30">
        <w:rPr>
          <w:rFonts w:ascii="Palatino Linotype" w:hAnsi="Palatino Linotype" w:cs="Tahoma"/>
          <w:i/>
          <w:sz w:val="22"/>
          <w:szCs w:val="22"/>
        </w:rPr>
        <w:t>2008Página</w:t>
      </w:r>
      <w:proofErr w:type="spellEnd"/>
      <w:r w:rsidR="00FC2F30" w:rsidRPr="00FC2F30">
        <w:rPr>
          <w:rFonts w:ascii="Palatino Linotype" w:hAnsi="Palatino Linotype" w:cs="Tahoma"/>
          <w:i/>
          <w:sz w:val="22"/>
          <w:szCs w:val="22"/>
        </w:rPr>
        <w:t xml:space="preserve">: 743 ACCESO A LA INFORMACIÓN. SU NATURALEZA COMO GARANTÍAS INDIVIDUAL Y SOCIAL. El acceso a la información se distingue de otros derechos intangibles por su 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Controversia constitucional 61/2005. Municipio de Torreón, Estado de Coahuila. 24 de enero de 2008. Unanimidad de diez votos. Ausente: José </w:t>
      </w:r>
      <w:r w:rsidR="00FC2F30" w:rsidRPr="00FC2F30">
        <w:rPr>
          <w:rFonts w:ascii="Palatino Linotype" w:hAnsi="Palatino Linotype" w:cs="Tahoma"/>
          <w:i/>
          <w:sz w:val="22"/>
          <w:szCs w:val="22"/>
        </w:rPr>
        <w:lastRenderedPageBreak/>
        <w:t xml:space="preserve">Ramón Cossío Díaz. Ponente: José de Jesús Gudiño Pelayo. Secretaria: Carmina Cortés Rodríguez. El Tribunal Pleno, el doce de mayo en curso, aprobó, con el número 54/2008, la tesis jurisprudencial que antecede. México, Distrito Federal, a doce de mayo de dos mil ocho. Época: Novena Época Registro: 1001593 Instancia: Pleno Tipo de Tesis: Jurisprudencia Fuente: Apéndice de 2011 Tomo I. Constitucional 3. Derechos Fundamentales Primera Parte - </w:t>
      </w:r>
      <w:proofErr w:type="spellStart"/>
      <w:r w:rsidR="00FC2F30" w:rsidRPr="00FC2F30">
        <w:rPr>
          <w:rFonts w:ascii="Palatino Linotype" w:hAnsi="Palatino Linotype" w:cs="Tahoma"/>
          <w:i/>
          <w:sz w:val="22"/>
          <w:szCs w:val="22"/>
        </w:rPr>
        <w:t>SCJN</w:t>
      </w:r>
      <w:proofErr w:type="spellEnd"/>
      <w:r w:rsidR="00FC2F30" w:rsidRPr="00FC2F30">
        <w:rPr>
          <w:rFonts w:ascii="Palatino Linotype" w:hAnsi="Palatino Linotype" w:cs="Tahoma"/>
          <w:i/>
          <w:sz w:val="22"/>
          <w:szCs w:val="22"/>
        </w:rPr>
        <w:t xml:space="preserve"> Sexta Sección - Acceso a la información, privacidad y protección de datos personales Materia(s): Constitucional Tesis: </w:t>
      </w:r>
      <w:proofErr w:type="spellStart"/>
      <w:r w:rsidR="00FC2F30" w:rsidRPr="00FC2F30">
        <w:rPr>
          <w:rFonts w:ascii="Palatino Linotype" w:hAnsi="Palatino Linotype" w:cs="Tahoma"/>
          <w:i/>
          <w:sz w:val="22"/>
          <w:szCs w:val="22"/>
        </w:rPr>
        <w:t>84Página</w:t>
      </w:r>
      <w:proofErr w:type="spellEnd"/>
      <w:r w:rsidR="00FC2F30" w:rsidRPr="00FC2F30">
        <w:rPr>
          <w:rFonts w:ascii="Palatino Linotype" w:hAnsi="Palatino Linotype" w:cs="Tahoma"/>
          <w:i/>
          <w:sz w:val="22"/>
          <w:szCs w:val="22"/>
        </w:rPr>
        <w:t xml:space="preserve">: 961 ACCESO A LA INFORMACIÓN. SU NATURALEZA COMO GARANTÍAS INDIVIDUAL Y SOCIAL. El acceso a la información se distingue de otros derechos intangibles por su 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Controversia constitucional 61/2005. —Municipio de Torreón, Estado de Coahuila. —24 de enero de 2008. —Unanimidad de diez votos. —Ausente: José Ramón Cossío Díaz. —Ponente: José de Jesús Gudiño Pelayo. —Secretaria: Carmina Cortés Rodríguez. El Tribunal Pleno, el doce de mayo en curso, aprobó, con el número 54/2008, la tesis jurisprudencial que antecede. —México, Distrito Federal, a doce de mayo de dos mil ocho. Semanario Judicial de la Federación y su Gaceta, </w:t>
      </w:r>
      <w:r w:rsidR="00FC2F30" w:rsidRPr="00FC2F30">
        <w:rPr>
          <w:rFonts w:ascii="Palatino Linotype" w:hAnsi="Palatino Linotype" w:cs="Tahoma"/>
          <w:i/>
          <w:sz w:val="22"/>
          <w:szCs w:val="22"/>
        </w:rPr>
        <w:lastRenderedPageBreak/>
        <w:t>Novena Época, Tomo XXVII, junio de 2008, página 743, Pleno, tesis P. /J. 54/2008; véase ejecutoria en el Semanario Judicial de la Federación y su Gaceta, Novena Época, Tomo XXVII, abril de 2008, página 1563.</w:t>
      </w:r>
      <w:r w:rsidR="00512349" w:rsidRPr="00922E7D">
        <w:rPr>
          <w:rFonts w:ascii="Palatino Linotype" w:hAnsi="Palatino Linotype" w:cs="Tahoma"/>
          <w:i/>
          <w:sz w:val="22"/>
          <w:szCs w:val="22"/>
        </w:rPr>
        <w:t>”</w:t>
      </w:r>
    </w:p>
    <w:p w:rsidR="00512349" w:rsidRPr="004D0F96" w:rsidRDefault="00512349" w:rsidP="00010A9D">
      <w:pPr>
        <w:spacing w:before="100" w:beforeAutospacing="1" w:after="100" w:afterAutospacing="1"/>
        <w:ind w:left="851" w:right="902"/>
        <w:contextualSpacing/>
        <w:jc w:val="both"/>
        <w:rPr>
          <w:rFonts w:ascii="Palatino Linotype" w:hAnsi="Palatino Linotype" w:cs="Tahoma"/>
          <w:b/>
          <w:bCs/>
          <w:i/>
          <w:color w:val="0D0D0D" w:themeColor="text1" w:themeTint="F2"/>
          <w:sz w:val="22"/>
          <w:szCs w:val="22"/>
        </w:rPr>
      </w:pPr>
    </w:p>
    <w:p w:rsidR="00855443" w:rsidRDefault="000F0BC5" w:rsidP="00010A9D">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la Ponencia Resolutora determinó </w:t>
      </w:r>
      <w:r w:rsidR="00855443">
        <w:rPr>
          <w:rFonts w:ascii="Palatino Linotype" w:hAnsi="Palatino Linotype" w:cs="Arial"/>
          <w:b/>
        </w:rPr>
        <w:t xml:space="preserve">MODIFICAR </w:t>
      </w:r>
      <w:r w:rsidR="00855443">
        <w:rPr>
          <w:rFonts w:ascii="Palatino Linotype" w:hAnsi="Palatino Linotype" w:cs="Arial"/>
        </w:rPr>
        <w:t xml:space="preserve">la respuesta del </w:t>
      </w:r>
      <w:r w:rsidR="00C63F91">
        <w:rPr>
          <w:rFonts w:ascii="Palatino Linotype" w:hAnsi="Palatino Linotype" w:cs="Arial"/>
          <w:b/>
        </w:rPr>
        <w:t>SUJ</w:t>
      </w:r>
      <w:r w:rsidRPr="0073286C">
        <w:rPr>
          <w:rFonts w:ascii="Palatino Linotype" w:hAnsi="Palatino Linotype" w:cs="Arial"/>
          <w:b/>
        </w:rPr>
        <w:t xml:space="preserve">ETO OBLIGADO </w:t>
      </w:r>
      <w:r w:rsidR="00855443">
        <w:rPr>
          <w:rFonts w:ascii="Palatino Linotype" w:hAnsi="Palatino Linotype" w:cs="Arial"/>
          <w:b/>
        </w:rPr>
        <w:t xml:space="preserve">ordenándole </w:t>
      </w:r>
      <w:r w:rsidR="006E34F7">
        <w:rPr>
          <w:rFonts w:ascii="Palatino Linotype" w:hAnsi="Palatino Linotype" w:cs="Arial"/>
        </w:rPr>
        <w:t>la</w:t>
      </w:r>
      <w:r w:rsidR="00C63F91" w:rsidRPr="00C63F91">
        <w:rPr>
          <w:rFonts w:ascii="Palatino Linotype" w:hAnsi="Palatino Linotype" w:cs="Arial"/>
        </w:rPr>
        <w:t xml:space="preserve"> entrega</w:t>
      </w:r>
      <w:r w:rsidR="00C63F91">
        <w:rPr>
          <w:rFonts w:ascii="Palatino Linotype" w:hAnsi="Palatino Linotype" w:cs="Arial"/>
          <w:b/>
        </w:rPr>
        <w:t xml:space="preserve"> </w:t>
      </w:r>
      <w:r w:rsidR="00222326" w:rsidRPr="00222326">
        <w:rPr>
          <w:rFonts w:ascii="Palatino Linotype" w:hAnsi="Palatino Linotype" w:cs="Arial"/>
        </w:rPr>
        <w:t>en versión pública</w:t>
      </w:r>
      <w:r w:rsidR="00855443">
        <w:rPr>
          <w:rFonts w:ascii="Palatino Linotype" w:hAnsi="Palatino Linotype" w:cs="Arial"/>
        </w:rPr>
        <w:t xml:space="preserve"> de:</w:t>
      </w:r>
    </w:p>
    <w:p w:rsidR="00512349" w:rsidRPr="00512349" w:rsidRDefault="00512349" w:rsidP="00010A9D">
      <w:pPr>
        <w:pStyle w:val="Prrafodelista"/>
        <w:autoSpaceDE w:val="0"/>
        <w:autoSpaceDN w:val="0"/>
        <w:adjustRightInd w:val="0"/>
        <w:spacing w:before="100" w:beforeAutospacing="1" w:after="100" w:afterAutospacing="1"/>
        <w:ind w:left="851" w:right="902"/>
        <w:jc w:val="both"/>
        <w:rPr>
          <w:rFonts w:ascii="Palatino Linotype" w:eastAsia="Calibri" w:hAnsi="Palatino Linotype" w:cs="Tahoma"/>
          <w:i/>
          <w:color w:val="000000"/>
          <w:sz w:val="22"/>
          <w:szCs w:val="22"/>
          <w:lang w:val="es-ES" w:eastAsia="es-MX"/>
        </w:rPr>
      </w:pPr>
      <w:r>
        <w:rPr>
          <w:rFonts w:ascii="Palatino Linotype" w:eastAsia="Calibri" w:hAnsi="Palatino Linotype" w:cs="Tahoma"/>
          <w:i/>
          <w:color w:val="000000"/>
          <w:sz w:val="22"/>
          <w:szCs w:val="22"/>
          <w:lang w:val="es-ES" w:eastAsia="es-MX"/>
        </w:rPr>
        <w:t xml:space="preserve">1.- </w:t>
      </w:r>
      <w:r w:rsidR="00FC2F30">
        <w:rPr>
          <w:rFonts w:ascii="Palatino Linotype" w:eastAsia="Calibri" w:hAnsi="Palatino Linotype" w:cs="Tahoma"/>
          <w:i/>
          <w:color w:val="000000"/>
          <w:sz w:val="22"/>
          <w:szCs w:val="22"/>
          <w:lang w:val="es-ES" w:eastAsia="es-MX"/>
        </w:rPr>
        <w:t xml:space="preserve">Título profesional; </w:t>
      </w:r>
      <w:r w:rsidR="00FC2F30" w:rsidRPr="00512349">
        <w:rPr>
          <w:rFonts w:ascii="Palatino Linotype" w:eastAsia="Calibri" w:hAnsi="Palatino Linotype" w:cs="Tahoma"/>
          <w:i/>
          <w:color w:val="000000"/>
          <w:sz w:val="22"/>
          <w:szCs w:val="22"/>
          <w:lang w:val="es-ES" w:eastAsia="es-MX"/>
        </w:rPr>
        <w:t xml:space="preserve"> </w:t>
      </w:r>
    </w:p>
    <w:p w:rsidR="00FC2F30" w:rsidRDefault="00FC2F30" w:rsidP="00010A9D">
      <w:pPr>
        <w:pStyle w:val="Prrafodelista"/>
        <w:autoSpaceDE w:val="0"/>
        <w:autoSpaceDN w:val="0"/>
        <w:adjustRightInd w:val="0"/>
        <w:spacing w:before="100" w:beforeAutospacing="1" w:after="100" w:afterAutospacing="1"/>
        <w:ind w:left="851" w:right="902"/>
        <w:jc w:val="both"/>
        <w:rPr>
          <w:rFonts w:ascii="Palatino Linotype" w:eastAsia="Calibri" w:hAnsi="Palatino Linotype" w:cs="Tahoma"/>
          <w:i/>
          <w:color w:val="000000"/>
          <w:sz w:val="22"/>
          <w:szCs w:val="22"/>
          <w:lang w:val="es-ES" w:eastAsia="es-MX"/>
        </w:rPr>
      </w:pPr>
      <w:r>
        <w:rPr>
          <w:rFonts w:ascii="Palatino Linotype" w:eastAsia="Calibri" w:hAnsi="Palatino Linotype" w:cs="Tahoma"/>
          <w:i/>
          <w:color w:val="000000"/>
          <w:sz w:val="22"/>
          <w:szCs w:val="22"/>
          <w:lang w:val="es-ES" w:eastAsia="es-MX"/>
        </w:rPr>
        <w:t>2.-Cédula profesional; y,</w:t>
      </w:r>
    </w:p>
    <w:p w:rsidR="00512349" w:rsidRPr="00512349" w:rsidRDefault="00512349" w:rsidP="00010A9D">
      <w:pPr>
        <w:pStyle w:val="Prrafodelista"/>
        <w:autoSpaceDE w:val="0"/>
        <w:autoSpaceDN w:val="0"/>
        <w:adjustRightInd w:val="0"/>
        <w:spacing w:before="100" w:beforeAutospacing="1" w:after="100" w:afterAutospacing="1"/>
        <w:ind w:left="851" w:right="902"/>
        <w:jc w:val="both"/>
        <w:rPr>
          <w:rFonts w:ascii="Palatino Linotype" w:eastAsia="Calibri" w:hAnsi="Palatino Linotype" w:cs="Tahoma"/>
          <w:i/>
          <w:color w:val="000000"/>
          <w:sz w:val="22"/>
          <w:szCs w:val="22"/>
          <w:lang w:val="es-ES" w:eastAsia="es-MX"/>
        </w:rPr>
      </w:pPr>
      <w:r>
        <w:rPr>
          <w:rFonts w:ascii="Palatino Linotype" w:eastAsia="Calibri" w:hAnsi="Palatino Linotype" w:cs="Tahoma"/>
          <w:i/>
          <w:color w:val="000000"/>
          <w:sz w:val="22"/>
          <w:szCs w:val="22"/>
          <w:lang w:val="es-ES" w:eastAsia="es-MX"/>
        </w:rPr>
        <w:t xml:space="preserve">3.- </w:t>
      </w:r>
      <w:r w:rsidRPr="00512349">
        <w:rPr>
          <w:rFonts w:ascii="Palatino Linotype" w:eastAsia="Calibri" w:hAnsi="Palatino Linotype" w:cs="Tahoma"/>
          <w:i/>
          <w:color w:val="000000"/>
          <w:sz w:val="22"/>
          <w:szCs w:val="22"/>
          <w:lang w:val="es-ES" w:eastAsia="es-MX"/>
        </w:rPr>
        <w:t xml:space="preserve">Documento </w:t>
      </w:r>
      <w:r w:rsidR="00FC2F30">
        <w:rPr>
          <w:rFonts w:ascii="Palatino Linotype" w:eastAsia="Calibri" w:hAnsi="Palatino Linotype" w:cs="Tahoma"/>
          <w:i/>
          <w:color w:val="000000"/>
          <w:sz w:val="22"/>
          <w:szCs w:val="22"/>
          <w:lang w:val="es-ES" w:eastAsia="es-MX"/>
        </w:rPr>
        <w:t>en donde conste la experiencia en la protección, observancia y divulgación  de derechos humanos, que deberá ser comprobable mínimo de tres años.</w:t>
      </w:r>
    </w:p>
    <w:p w:rsidR="003410CB" w:rsidRDefault="00C8377D" w:rsidP="00010A9D">
      <w:pPr>
        <w:spacing w:before="100" w:beforeAutospacing="1" w:after="100" w:afterAutospacing="1" w:line="360" w:lineRule="auto"/>
        <w:contextualSpacing/>
        <w:jc w:val="both"/>
        <w:rPr>
          <w:rFonts w:ascii="Palatino Linotype" w:hAnsi="Palatino Linotype" w:cs="Arial"/>
        </w:rPr>
      </w:pPr>
      <w:r w:rsidRPr="007F2500">
        <w:rPr>
          <w:rFonts w:ascii="Palatino Linotype" w:hAnsi="Palatino Linotype" w:cs="Arial"/>
        </w:rPr>
        <w:t>En ese sentido, la que suscribe reitera, que si bien coincide en términos generales con el sentido de la resolución en comento, estimo necesario</w:t>
      </w:r>
      <w:r>
        <w:rPr>
          <w:rFonts w:ascii="Palatino Linotype" w:hAnsi="Palatino Linotype" w:cs="Arial"/>
        </w:rPr>
        <w:t xml:space="preserve"> precisar que en cuanto hace a la informac</w:t>
      </w:r>
      <w:r w:rsidR="00FC2F30">
        <w:rPr>
          <w:rFonts w:ascii="Palatino Linotype" w:hAnsi="Palatino Linotype" w:cs="Arial"/>
        </w:rPr>
        <w:t xml:space="preserve">ión que se ordena en el </w:t>
      </w:r>
      <w:r w:rsidR="00400CB4">
        <w:rPr>
          <w:rFonts w:ascii="Palatino Linotype" w:hAnsi="Palatino Linotype" w:cs="Arial"/>
        </w:rPr>
        <w:t xml:space="preserve">numero </w:t>
      </w:r>
      <w:r w:rsidR="00FC2F30">
        <w:rPr>
          <w:rFonts w:ascii="Palatino Linotype" w:hAnsi="Palatino Linotype" w:cs="Arial"/>
        </w:rPr>
        <w:t>3</w:t>
      </w:r>
      <w:r>
        <w:rPr>
          <w:rFonts w:ascii="Palatino Linotype" w:hAnsi="Palatino Linotype" w:cs="Arial"/>
        </w:rPr>
        <w:t>)</w:t>
      </w:r>
      <w:r w:rsidR="00FC2F30">
        <w:rPr>
          <w:rFonts w:ascii="Palatino Linotype" w:hAnsi="Palatino Linotype" w:cs="Arial"/>
        </w:rPr>
        <w:t xml:space="preserve"> </w:t>
      </w:r>
      <w:r w:rsidR="00FC2F30" w:rsidRPr="00512349">
        <w:rPr>
          <w:rFonts w:ascii="Palatino Linotype" w:eastAsia="Calibri" w:hAnsi="Palatino Linotype" w:cs="Tahoma"/>
          <w:i/>
          <w:color w:val="000000"/>
          <w:sz w:val="22"/>
          <w:szCs w:val="22"/>
          <w:lang w:eastAsia="es-MX"/>
        </w:rPr>
        <w:t xml:space="preserve">Documento </w:t>
      </w:r>
      <w:r w:rsidR="00FC2F30">
        <w:rPr>
          <w:rFonts w:ascii="Palatino Linotype" w:eastAsia="Calibri" w:hAnsi="Palatino Linotype" w:cs="Tahoma"/>
          <w:i/>
          <w:color w:val="000000"/>
          <w:sz w:val="22"/>
          <w:szCs w:val="22"/>
          <w:lang w:eastAsia="es-MX"/>
        </w:rPr>
        <w:t>en donde conste la experiencia en la protección, observancia y divulgación  de derechos humanos, que deberá ser comprobable mínimo de tres años</w:t>
      </w:r>
      <w:r w:rsidR="00863654">
        <w:rPr>
          <w:rFonts w:ascii="Palatino Linotype" w:hAnsi="Palatino Linotype" w:cs="Arial"/>
        </w:rPr>
        <w:t>,</w:t>
      </w:r>
      <w:r w:rsidRPr="007F2500">
        <w:rPr>
          <w:rFonts w:ascii="Palatino Linotype" w:hAnsi="Palatino Linotype" w:cs="Arial"/>
        </w:rPr>
        <w:t xml:space="preserve"> </w:t>
      </w:r>
      <w:r>
        <w:rPr>
          <w:rFonts w:ascii="Palatino Linotype" w:hAnsi="Palatino Linotype" w:cs="Arial"/>
        </w:rPr>
        <w:t xml:space="preserve">no se comparte su entrega, </w:t>
      </w:r>
      <w:r w:rsidR="00400CB4">
        <w:rPr>
          <w:rFonts w:ascii="Palatino Linotype" w:hAnsi="Palatino Linotype" w:cs="Arial"/>
        </w:rPr>
        <w:t xml:space="preserve">ya que </w:t>
      </w:r>
      <w:r w:rsidR="00FC2F30">
        <w:rPr>
          <w:rFonts w:ascii="Palatino Linotype" w:hAnsi="Palatino Linotype" w:cs="Arial"/>
        </w:rPr>
        <w:t xml:space="preserve">si bien corresponde a un requisito que se debe cumplir </w:t>
      </w:r>
      <w:r w:rsidR="00400CB4">
        <w:rPr>
          <w:rFonts w:ascii="Palatino Linotype" w:hAnsi="Palatino Linotype" w:cs="Arial"/>
        </w:rPr>
        <w:t xml:space="preserve">para ser </w:t>
      </w:r>
      <w:r w:rsidR="00FC2F30">
        <w:rPr>
          <w:rFonts w:ascii="Palatino Linotype" w:hAnsi="Palatino Linotype" w:cs="Arial"/>
        </w:rPr>
        <w:t xml:space="preserve">Defensor Público Municipal, </w:t>
      </w:r>
      <w:r w:rsidR="00400CB4">
        <w:rPr>
          <w:rFonts w:ascii="Palatino Linotype" w:hAnsi="Palatino Linotype" w:cs="Arial"/>
        </w:rPr>
        <w:t xml:space="preserve"> del análisis a la información requerida no se desprende la solicitud de documentos que den cuenta de la experiencia de dicho servidor público.</w:t>
      </w:r>
    </w:p>
    <w:p w:rsidR="00010A9D" w:rsidRDefault="00010A9D" w:rsidP="00010A9D">
      <w:pPr>
        <w:spacing w:before="100" w:beforeAutospacing="1" w:after="100" w:afterAutospacing="1" w:line="360" w:lineRule="auto"/>
        <w:contextualSpacing/>
        <w:jc w:val="both"/>
        <w:rPr>
          <w:rFonts w:ascii="Palatino Linotype" w:hAnsi="Palatino Linotype" w:cs="Arial"/>
        </w:rPr>
      </w:pPr>
    </w:p>
    <w:p w:rsidR="00010A9D" w:rsidRDefault="00010A9D" w:rsidP="00010A9D">
      <w:pPr>
        <w:spacing w:before="100" w:beforeAutospacing="1" w:after="100" w:afterAutospacing="1" w:line="360" w:lineRule="auto"/>
        <w:contextualSpacing/>
        <w:jc w:val="both"/>
        <w:rPr>
          <w:rFonts w:ascii="Palatino Linotype" w:hAnsi="Palatino Linotype"/>
        </w:rPr>
      </w:pPr>
      <w:r>
        <w:rPr>
          <w:rFonts w:ascii="Palatino Linotype" w:hAnsi="Palatino Linotype"/>
        </w:rPr>
        <w:t>Es de lo anterior, que a</w:t>
      </w:r>
      <w:r w:rsidRPr="00CB3EA9">
        <w:rPr>
          <w:rFonts w:ascii="Palatino Linotype" w:hAnsi="Palatino Linotype"/>
        </w:rPr>
        <w:t xml:space="preserve"> fin de robustecer lo expuesto,</w:t>
      </w:r>
      <w:r>
        <w:rPr>
          <w:rFonts w:ascii="Palatino Linotype" w:hAnsi="Palatino Linotype"/>
        </w:rPr>
        <w:t xml:space="preserve"> es</w:t>
      </w:r>
      <w:r w:rsidRPr="00CB3EA9">
        <w:rPr>
          <w:rFonts w:ascii="Palatino Linotype" w:hAnsi="Palatino Linotype"/>
        </w:rPr>
        <w:t xml:space="preserve"> conviene citar </w:t>
      </w:r>
      <w:r w:rsidRPr="00CB3EA9">
        <w:rPr>
          <w:rFonts w:ascii="Palatino Linotype" w:hAnsi="Palatino Linotype" w:cs="Segoe UI"/>
        </w:rPr>
        <w:t xml:space="preserve">el criterio orientador </w:t>
      </w:r>
      <w:r w:rsidRPr="00CB3EA9">
        <w:rPr>
          <w:rFonts w:ascii="Palatino Linotype" w:hAnsi="Palatino Linotype"/>
          <w:lang w:eastAsia="es-MX"/>
        </w:rPr>
        <w:t>002/2017 del Instituto Nacional de Acceso a la Información y Protección de Datos (</w:t>
      </w:r>
      <w:proofErr w:type="spellStart"/>
      <w:r w:rsidRPr="00CB3EA9">
        <w:rPr>
          <w:rFonts w:ascii="Palatino Linotype" w:hAnsi="Palatino Linotype"/>
          <w:lang w:eastAsia="es-MX"/>
        </w:rPr>
        <w:t>INAI</w:t>
      </w:r>
      <w:proofErr w:type="spellEnd"/>
      <w:r w:rsidRPr="00CB3EA9">
        <w:rPr>
          <w:rFonts w:ascii="Palatino Linotype" w:hAnsi="Palatino Linotype"/>
          <w:lang w:eastAsia="es-MX"/>
        </w:rPr>
        <w:t>),</w:t>
      </w:r>
      <w:r w:rsidRPr="00CB3EA9">
        <w:rPr>
          <w:rFonts w:ascii="Palatino Linotype" w:hAnsi="Palatino Linotype" w:cs="Arial"/>
        </w:rPr>
        <w:t xml:space="preserve"> cuyo tenor es el siguiente:</w:t>
      </w:r>
    </w:p>
    <w:p w:rsidR="00010A9D" w:rsidRDefault="00010A9D" w:rsidP="00010A9D">
      <w:pPr>
        <w:spacing w:before="100" w:beforeAutospacing="1" w:after="100" w:afterAutospacing="1" w:line="360" w:lineRule="auto"/>
        <w:contextualSpacing/>
        <w:jc w:val="both"/>
        <w:rPr>
          <w:rFonts w:ascii="Palatino Linotype" w:hAnsi="Palatino Linotype"/>
        </w:rPr>
      </w:pPr>
    </w:p>
    <w:p w:rsidR="00010A9D" w:rsidRPr="00010A9D" w:rsidRDefault="00010A9D" w:rsidP="00400CB4">
      <w:pPr>
        <w:spacing w:before="100" w:beforeAutospacing="1" w:after="100" w:afterAutospacing="1"/>
        <w:ind w:left="851" w:right="902"/>
        <w:contextualSpacing/>
        <w:jc w:val="both"/>
        <w:rPr>
          <w:rFonts w:ascii="Palatino Linotype" w:hAnsi="Palatino Linotype"/>
          <w:sz w:val="22"/>
          <w:szCs w:val="22"/>
        </w:rPr>
      </w:pPr>
      <w:r w:rsidRPr="00010A9D">
        <w:rPr>
          <w:rFonts w:ascii="Palatino Linotype" w:hAnsi="Palatino Linotype" w:cs="Arial"/>
          <w:b/>
          <w:bCs/>
          <w:i/>
          <w:sz w:val="22"/>
          <w:szCs w:val="22"/>
        </w:rPr>
        <w:t>“Congruencia y exhaustividad.</w:t>
      </w:r>
      <w:r w:rsidRPr="00010A9D">
        <w:rPr>
          <w:rFonts w:ascii="Palatino Linotype" w:hAnsi="Palatino Linotype" w:cs="Arial"/>
          <w:bCs/>
          <w:i/>
          <w:sz w:val="22"/>
          <w:szCs w:val="22"/>
        </w:rPr>
        <w:t xml:space="preserve"> Sus alcances para garantizar el derecho de acceso a la información. De conformidad con el artículo 3 de la Ley Federal de Procedimiento Administrativo, de aplicación supletoria a la Ley Federal de Transparencia y Acceso </w:t>
      </w:r>
      <w:r w:rsidRPr="00010A9D">
        <w:rPr>
          <w:rFonts w:ascii="Palatino Linotype" w:hAnsi="Palatino Linotype" w:cs="Arial"/>
          <w:bCs/>
          <w:i/>
          <w:sz w:val="22"/>
          <w:szCs w:val="22"/>
        </w:rPr>
        <w:lastRenderedPageBreak/>
        <w:t xml:space="preserve">a la Información Pública, en términos de su artículo 7; todo acto administrativo debe cumplir con los principios de congruencia y exhaustividad. Para el efectivo ejercicio del derecho de acceso a la información, </w:t>
      </w:r>
      <w:r w:rsidRPr="00010A9D">
        <w:rPr>
          <w:rFonts w:ascii="Palatino Linotype" w:hAnsi="Palatino Linotype" w:cs="Arial"/>
          <w:b/>
          <w:bCs/>
          <w:i/>
          <w:sz w:val="22"/>
          <w:szCs w:val="22"/>
        </w:rPr>
        <w:t>la congruencia implica que exista concordancia entre el requerimiento formulado por el particular y la respuesta proporcionada por el sujeto obligado;</w:t>
      </w:r>
      <w:r w:rsidRPr="00010A9D">
        <w:rPr>
          <w:rFonts w:ascii="Palatino Linotype" w:hAnsi="Palatino Linotype" w:cs="Arial"/>
          <w:bCs/>
          <w:i/>
          <w:sz w:val="22"/>
          <w:szCs w:val="22"/>
        </w:rPr>
        <w:t xml:space="preserve"> mientras que </w:t>
      </w:r>
      <w:r w:rsidRPr="00010A9D">
        <w:rPr>
          <w:rFonts w:ascii="Palatino Linotype" w:hAnsi="Palatino Linotype" w:cs="Arial"/>
          <w:b/>
          <w:bCs/>
          <w:i/>
          <w:sz w:val="22"/>
          <w:szCs w:val="22"/>
        </w:rPr>
        <w:t xml:space="preserve">la exhaustividad significa que dicha respuesta se refiera expresamente a cada uno de los puntos solicitados. </w:t>
      </w:r>
      <w:r w:rsidRPr="00010A9D">
        <w:rPr>
          <w:rFonts w:ascii="Palatino Linotype" w:hAnsi="Palatino Linotype" w:cs="Arial"/>
          <w:bCs/>
          <w:i/>
          <w:sz w:val="22"/>
          <w:szCs w:val="22"/>
        </w:rPr>
        <w:t xml:space="preserve">Por lo anterior, los sujetos obligados cumplirán con los principios de congruencia y exhaustividad, </w:t>
      </w:r>
      <w:r w:rsidRPr="00010A9D">
        <w:rPr>
          <w:rFonts w:ascii="Palatino Linotype" w:hAnsi="Palatino Linotype" w:cs="Arial"/>
          <w:b/>
          <w:bCs/>
          <w:i/>
          <w:sz w:val="22"/>
          <w:szCs w:val="22"/>
        </w:rPr>
        <w:t>cuando las respuestas que emitan guarden una relación lógica con lo solicitado y atiendan de manera puntual y expresa, cada uno de los contenidos de información.</w:t>
      </w:r>
    </w:p>
    <w:p w:rsidR="00010A9D" w:rsidRPr="00010A9D" w:rsidRDefault="00010A9D" w:rsidP="00400CB4">
      <w:pPr>
        <w:spacing w:before="100" w:beforeAutospacing="1" w:after="100" w:afterAutospacing="1"/>
        <w:ind w:left="851" w:right="902"/>
        <w:contextualSpacing/>
        <w:jc w:val="both"/>
        <w:rPr>
          <w:rFonts w:ascii="Palatino Linotype" w:hAnsi="Palatino Linotype" w:cs="Arial"/>
          <w:sz w:val="22"/>
          <w:szCs w:val="22"/>
        </w:rPr>
      </w:pPr>
      <w:r w:rsidRPr="00010A9D">
        <w:rPr>
          <w:rFonts w:ascii="Palatino Linotype" w:hAnsi="Palatino Linotype" w:cs="Arial"/>
          <w:bCs/>
          <w:i/>
          <w:sz w:val="22"/>
          <w:szCs w:val="22"/>
        </w:rPr>
        <w:t xml:space="preserve">Resoluciones: </w:t>
      </w:r>
      <w:r w:rsidRPr="00010A9D">
        <w:rPr>
          <w:rFonts w:ascii="Palatino Linotype" w:hAnsi="Palatino Linotype" w:cs="Arial"/>
          <w:bCs/>
          <w:i/>
          <w:sz w:val="22"/>
          <w:szCs w:val="22"/>
        </w:rPr>
        <w:sym w:font="Symbol" w:char="F0B7"/>
      </w:r>
      <w:r w:rsidRPr="00010A9D">
        <w:rPr>
          <w:rFonts w:ascii="Palatino Linotype" w:hAnsi="Palatino Linotype" w:cs="Arial"/>
          <w:bCs/>
          <w:i/>
          <w:sz w:val="22"/>
          <w:szCs w:val="22"/>
        </w:rPr>
        <w:t xml:space="preserve"> </w:t>
      </w:r>
      <w:proofErr w:type="spellStart"/>
      <w:r w:rsidRPr="00010A9D">
        <w:rPr>
          <w:rFonts w:ascii="Palatino Linotype" w:hAnsi="Palatino Linotype" w:cs="Arial"/>
          <w:bCs/>
          <w:i/>
          <w:sz w:val="22"/>
          <w:szCs w:val="22"/>
        </w:rPr>
        <w:t>RRA</w:t>
      </w:r>
      <w:proofErr w:type="spellEnd"/>
      <w:r w:rsidRPr="00010A9D">
        <w:rPr>
          <w:rFonts w:ascii="Palatino Linotype" w:hAnsi="Palatino Linotype" w:cs="Arial"/>
          <w:bCs/>
          <w:i/>
          <w:sz w:val="22"/>
          <w:szCs w:val="22"/>
        </w:rPr>
        <w:t xml:space="preserve"> 0003/16. Comisión Nacional de las Zonas Áridas. 29 de junio de 2016. Por unanimidad. Comisionado Ponente Oscar Mauricio Guerra Ford. </w:t>
      </w:r>
      <w:r w:rsidRPr="00010A9D">
        <w:rPr>
          <w:rFonts w:ascii="Palatino Linotype" w:hAnsi="Palatino Linotype" w:cs="Arial"/>
          <w:bCs/>
          <w:i/>
          <w:sz w:val="22"/>
          <w:szCs w:val="22"/>
        </w:rPr>
        <w:sym w:font="Symbol" w:char="F0B7"/>
      </w:r>
      <w:r w:rsidRPr="00010A9D">
        <w:rPr>
          <w:rFonts w:ascii="Palatino Linotype" w:hAnsi="Palatino Linotype" w:cs="Arial"/>
          <w:bCs/>
          <w:i/>
          <w:sz w:val="22"/>
          <w:szCs w:val="22"/>
        </w:rPr>
        <w:t xml:space="preserve"> </w:t>
      </w:r>
      <w:proofErr w:type="spellStart"/>
      <w:r w:rsidRPr="00010A9D">
        <w:rPr>
          <w:rFonts w:ascii="Palatino Linotype" w:hAnsi="Palatino Linotype" w:cs="Arial"/>
          <w:bCs/>
          <w:i/>
          <w:sz w:val="22"/>
          <w:szCs w:val="22"/>
        </w:rPr>
        <w:t>RRA</w:t>
      </w:r>
      <w:proofErr w:type="spellEnd"/>
      <w:r w:rsidRPr="00010A9D">
        <w:rPr>
          <w:rFonts w:ascii="Palatino Linotype" w:hAnsi="Palatino Linotype" w:cs="Arial"/>
          <w:bCs/>
          <w:i/>
          <w:sz w:val="22"/>
          <w:szCs w:val="22"/>
        </w:rPr>
        <w:t xml:space="preserve"> 0100/16. Sindicato Nacional de Trabajadores de la Educación. 13 de julio de 2016. Por unanimidad. Comisionada Ponente. Areli Cano Guadiana. </w:t>
      </w:r>
      <w:r w:rsidRPr="00010A9D">
        <w:rPr>
          <w:rFonts w:ascii="Palatino Linotype" w:hAnsi="Palatino Linotype" w:cs="Arial"/>
          <w:bCs/>
          <w:i/>
          <w:sz w:val="22"/>
          <w:szCs w:val="22"/>
        </w:rPr>
        <w:sym w:font="Symbol" w:char="F0B7"/>
      </w:r>
      <w:r w:rsidRPr="00010A9D">
        <w:rPr>
          <w:rFonts w:ascii="Palatino Linotype" w:hAnsi="Palatino Linotype" w:cs="Arial"/>
          <w:bCs/>
          <w:i/>
          <w:sz w:val="22"/>
          <w:szCs w:val="22"/>
        </w:rPr>
        <w:t xml:space="preserve"> </w:t>
      </w:r>
      <w:proofErr w:type="spellStart"/>
      <w:r w:rsidRPr="00010A9D">
        <w:rPr>
          <w:rFonts w:ascii="Palatino Linotype" w:hAnsi="Palatino Linotype" w:cs="Arial"/>
          <w:bCs/>
          <w:i/>
          <w:sz w:val="22"/>
          <w:szCs w:val="22"/>
        </w:rPr>
        <w:t>RRA</w:t>
      </w:r>
      <w:proofErr w:type="spellEnd"/>
      <w:r w:rsidRPr="00010A9D">
        <w:rPr>
          <w:rFonts w:ascii="Palatino Linotype" w:hAnsi="Palatino Linotype" w:cs="Arial"/>
          <w:bCs/>
          <w:i/>
          <w:sz w:val="22"/>
          <w:szCs w:val="22"/>
        </w:rPr>
        <w:t xml:space="preserve"> 1419/16. Secretaría de Educación Pública. 14 de septiembre de 2016. Por unanimidad. Comisionado Ponente </w:t>
      </w:r>
      <w:proofErr w:type="spellStart"/>
      <w:r w:rsidRPr="00010A9D">
        <w:rPr>
          <w:rFonts w:ascii="Palatino Linotype" w:hAnsi="Palatino Linotype" w:cs="Arial"/>
          <w:bCs/>
          <w:i/>
          <w:sz w:val="22"/>
          <w:szCs w:val="22"/>
        </w:rPr>
        <w:t>Rosendoevgueni</w:t>
      </w:r>
      <w:proofErr w:type="spellEnd"/>
      <w:r w:rsidRPr="00010A9D">
        <w:rPr>
          <w:rFonts w:ascii="Palatino Linotype" w:hAnsi="Palatino Linotype" w:cs="Arial"/>
          <w:bCs/>
          <w:i/>
          <w:sz w:val="22"/>
          <w:szCs w:val="22"/>
        </w:rPr>
        <w:t xml:space="preserve"> Monterrey </w:t>
      </w:r>
      <w:proofErr w:type="spellStart"/>
      <w:r w:rsidRPr="00010A9D">
        <w:rPr>
          <w:rFonts w:ascii="Palatino Linotype" w:hAnsi="Palatino Linotype" w:cs="Arial"/>
          <w:bCs/>
          <w:i/>
          <w:sz w:val="22"/>
          <w:szCs w:val="22"/>
        </w:rPr>
        <w:t>Chepov</w:t>
      </w:r>
      <w:proofErr w:type="spellEnd"/>
      <w:r w:rsidRPr="00010A9D">
        <w:rPr>
          <w:rFonts w:ascii="Palatino Linotype" w:hAnsi="Palatino Linotype" w:cs="Arial"/>
          <w:b/>
          <w:bCs/>
          <w:i/>
          <w:sz w:val="22"/>
          <w:szCs w:val="22"/>
        </w:rPr>
        <w:t>.”</w:t>
      </w:r>
    </w:p>
    <w:p w:rsidR="00010A9D" w:rsidRDefault="00010A9D" w:rsidP="00010A9D">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010A9D" w:rsidRDefault="00010A9D" w:rsidP="00010A9D">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Asimismo, se sustenta con el criterio jurisprudencial emitido por la Suprema Corte de Justicia de la nación, siguiente</w:t>
      </w:r>
    </w:p>
    <w:p w:rsidR="00010A9D" w:rsidRDefault="00010A9D" w:rsidP="00010A9D">
      <w:pPr>
        <w:autoSpaceDE w:val="0"/>
        <w:autoSpaceDN w:val="0"/>
        <w:adjustRightInd w:val="0"/>
        <w:spacing w:before="100" w:beforeAutospacing="1" w:after="100" w:afterAutospacing="1"/>
        <w:ind w:left="851" w:right="902"/>
        <w:contextualSpacing/>
        <w:jc w:val="both"/>
        <w:rPr>
          <w:rFonts w:ascii="Palatino Linotype" w:hAnsi="Palatino Linotype" w:cs="Arial"/>
          <w:i/>
        </w:rPr>
      </w:pP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 xml:space="preserve">Época: Décima Época </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 xml:space="preserve">Registro: 2005968 </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 xml:space="preserve">Instancia: Tribunales Colegiados de Circuito </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 xml:space="preserve">Tipo de Tesis: Aislada </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 xml:space="preserve">Fuente: Gaceta del Semanario Judicial de la Federación </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 xml:space="preserve">Libro 4, Marzo de 2014, Tomo II </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 xml:space="preserve">Materia(s): Constitucional </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 xml:space="preserve">Tesis: </w:t>
      </w:r>
      <w:proofErr w:type="spellStart"/>
      <w:r w:rsidRPr="00D53E35">
        <w:rPr>
          <w:rFonts w:ascii="Palatino Linotype" w:hAnsi="Palatino Linotype" w:cs="Arial"/>
          <w:i/>
        </w:rPr>
        <w:t>I.4o.C.2</w:t>
      </w:r>
      <w:proofErr w:type="spellEnd"/>
      <w:r w:rsidRPr="00D53E35">
        <w:rPr>
          <w:rFonts w:ascii="Palatino Linotype" w:hAnsi="Palatino Linotype" w:cs="Arial"/>
          <w:i/>
        </w:rPr>
        <w:t xml:space="preserve"> K (</w:t>
      </w:r>
      <w:proofErr w:type="spellStart"/>
      <w:r w:rsidRPr="00D53E35">
        <w:rPr>
          <w:rFonts w:ascii="Palatino Linotype" w:hAnsi="Palatino Linotype" w:cs="Arial"/>
          <w:i/>
        </w:rPr>
        <w:t>10a</w:t>
      </w:r>
      <w:proofErr w:type="spellEnd"/>
      <w:r w:rsidRPr="00D53E35">
        <w:rPr>
          <w:rFonts w:ascii="Palatino Linotype" w:hAnsi="Palatino Linotype" w:cs="Arial"/>
          <w:i/>
        </w:rPr>
        <w:t xml:space="preserve">.) </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 xml:space="preserve">Página: 1772 </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b/>
          <w:i/>
        </w:rPr>
        <w:t>EXHAUSTIVIDAD</w:t>
      </w:r>
      <w:r w:rsidRPr="00D53E35">
        <w:rPr>
          <w:rFonts w:ascii="Palatino Linotype" w:hAnsi="Palatino Linotype" w:cs="Arial"/>
          <w:i/>
        </w:rPr>
        <w:t>. SU EXIGENCIA IMPLICA LA MAYOR CALIDAD POSIBLE DE LAS SENTENCIAS, PARA CUMPLIR CON LA PLENITUD EXIGIDA POR EL ARTÍCULO 17 CONSTITUCIONAL.</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 xml:space="preserve">El artículo 17 constitucional consigna los principios rectores de la impartición de justicia, para hacer efectivo el derecho a la jurisdicción. Uno de estos </w:t>
      </w:r>
      <w:r w:rsidRPr="00D53E35">
        <w:rPr>
          <w:rFonts w:ascii="Palatino Linotype" w:hAnsi="Palatino Linotype" w:cs="Arial"/>
          <w:i/>
        </w:rPr>
        <w:lastRenderedPageBreak/>
        <w:t xml:space="preserve">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w:t>
      </w:r>
      <w:r w:rsidRPr="00D53E35">
        <w:rPr>
          <w:rFonts w:ascii="Palatino Linotype" w:hAnsi="Palatino Linotype" w:cs="Arial"/>
          <w:i/>
        </w:rPr>
        <w:lastRenderedPageBreak/>
        <w:t>medio impugnativo de cualquier naturaleza. El principio de exhaustividad se orienta, pues, a que las consideraciones de estudio de la sentencia se revistan de la más alta calidad posible, de completitud y de consistencia argumentativa.</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CUARTO TRIBUNAL COLEGIADO EN MATERIA CIVIL DEL PRIMER CIRCUITO.</w:t>
      </w:r>
    </w:p>
    <w:p w:rsidR="00010A9D" w:rsidRPr="00D53E35" w:rsidRDefault="00010A9D" w:rsidP="00400CB4">
      <w:pPr>
        <w:autoSpaceDE w:val="0"/>
        <w:autoSpaceDN w:val="0"/>
        <w:adjustRightInd w:val="0"/>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Amparo directo 401/2013. Carlos Sánchez Castillo. 20 de septiembre de 2013. Unanimidad de votos. Ponente: Leonel Castillo González. Secretaria: Norma Leonor Morales González.</w:t>
      </w:r>
    </w:p>
    <w:p w:rsidR="00010A9D" w:rsidRDefault="00010A9D" w:rsidP="00400CB4">
      <w:pPr>
        <w:spacing w:before="100" w:beforeAutospacing="1" w:after="100" w:afterAutospacing="1"/>
        <w:ind w:left="851" w:right="902"/>
        <w:contextualSpacing/>
        <w:jc w:val="both"/>
        <w:rPr>
          <w:rFonts w:ascii="Palatino Linotype" w:hAnsi="Palatino Linotype" w:cs="Arial"/>
          <w:i/>
        </w:rPr>
      </w:pPr>
      <w:r w:rsidRPr="00D53E35">
        <w:rPr>
          <w:rFonts w:ascii="Palatino Linotype" w:hAnsi="Palatino Linotype" w:cs="Arial"/>
          <w:i/>
        </w:rPr>
        <w:t>Esta tesis se publicó el viernes 21 de marzo de 2014 a las 11:03 horas en el Semanario Judicial de la Federación</w:t>
      </w:r>
    </w:p>
    <w:p w:rsidR="00010A9D" w:rsidRDefault="00010A9D" w:rsidP="00010A9D">
      <w:pPr>
        <w:spacing w:before="100" w:beforeAutospacing="1" w:after="100" w:afterAutospacing="1" w:line="360" w:lineRule="auto"/>
        <w:contextualSpacing/>
        <w:jc w:val="both"/>
        <w:rPr>
          <w:rFonts w:ascii="Palatino Linotype" w:hAnsi="Palatino Linotype" w:cs="Arial"/>
        </w:rPr>
      </w:pPr>
    </w:p>
    <w:p w:rsidR="00C8377D" w:rsidRPr="00682AA1" w:rsidRDefault="00C8377D" w:rsidP="00010A9D">
      <w:pPr>
        <w:spacing w:before="100" w:beforeAutospacing="1" w:after="100" w:afterAutospacing="1" w:line="360" w:lineRule="auto"/>
        <w:contextualSpacing/>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Pr>
          <w:rFonts w:ascii="Palatino Linotype" w:hAnsi="Palatino Linotype" w:cs="Arial"/>
        </w:rPr>
        <w:t>tocante a la informac</w:t>
      </w:r>
      <w:r w:rsidR="00FC2F30">
        <w:rPr>
          <w:rFonts w:ascii="Palatino Linotype" w:hAnsi="Palatino Linotype" w:cs="Arial"/>
        </w:rPr>
        <w:t xml:space="preserve">ión que se ordena en el </w:t>
      </w:r>
      <w:r w:rsidR="00400CB4">
        <w:rPr>
          <w:rFonts w:ascii="Palatino Linotype" w:hAnsi="Palatino Linotype" w:cs="Arial"/>
        </w:rPr>
        <w:t>número</w:t>
      </w:r>
      <w:r w:rsidR="00FC2F30">
        <w:rPr>
          <w:rFonts w:ascii="Palatino Linotype" w:hAnsi="Palatino Linotype" w:cs="Arial"/>
        </w:rPr>
        <w:t xml:space="preserve"> 3</w:t>
      </w:r>
      <w:r>
        <w:rPr>
          <w:rFonts w:ascii="Palatino Linotype" w:hAnsi="Palatino Linotype" w:cs="Arial"/>
        </w:rPr>
        <w:t xml:space="preserve">) del resolutivo SEGUNDO, ésta es </w:t>
      </w:r>
      <w:r w:rsidR="00FC2F30">
        <w:rPr>
          <w:rFonts w:ascii="Palatino Linotype" w:hAnsi="Palatino Linotype" w:cs="Arial"/>
        </w:rPr>
        <w:t xml:space="preserve">no fue requerida en la solicitud de inicio realizada por </w:t>
      </w:r>
      <w:r w:rsidR="00FC2F30" w:rsidRPr="00FC2F30">
        <w:rPr>
          <w:rFonts w:ascii="Palatino Linotype" w:hAnsi="Palatino Linotype" w:cs="Arial"/>
          <w:b/>
        </w:rPr>
        <w:t xml:space="preserve">EL </w:t>
      </w:r>
      <w:r w:rsidR="00FC2F30">
        <w:rPr>
          <w:rFonts w:ascii="Palatino Linotype" w:hAnsi="Palatino Linotype" w:cs="Arial"/>
          <w:b/>
        </w:rPr>
        <w:t>RECUR</w:t>
      </w:r>
      <w:r w:rsidR="00FC2F30" w:rsidRPr="00FC2F30">
        <w:rPr>
          <w:rFonts w:ascii="Palatino Linotype" w:hAnsi="Palatino Linotype" w:cs="Arial"/>
          <w:b/>
        </w:rPr>
        <w:t>R</w:t>
      </w:r>
      <w:r w:rsidR="00FC2F30">
        <w:rPr>
          <w:rFonts w:ascii="Palatino Linotype" w:hAnsi="Palatino Linotype" w:cs="Arial"/>
          <w:b/>
        </w:rPr>
        <w:t>ENTE</w:t>
      </w:r>
      <w:r w:rsidR="00FC2F30">
        <w:rPr>
          <w:rFonts w:ascii="Palatino Linotype" w:hAnsi="Palatino Linotype" w:cs="Arial"/>
        </w:rPr>
        <w:t>,</w:t>
      </w:r>
      <w:r>
        <w:rPr>
          <w:rFonts w:ascii="Palatino Linotype" w:hAnsi="Palatino Linotype" w:cs="Arial"/>
        </w:rPr>
        <w:t xml:space="preserve"> por lo qu</w:t>
      </w:r>
      <w:r w:rsidR="003410CB">
        <w:rPr>
          <w:rFonts w:ascii="Palatino Linotype" w:hAnsi="Palatino Linotype" w:cs="Arial"/>
        </w:rPr>
        <w:t>e no debió ordenarse su entrega.</w:t>
      </w:r>
    </w:p>
    <w:p w:rsidR="003F1DA8" w:rsidRDefault="003F1DA8" w:rsidP="00010A9D">
      <w:pPr>
        <w:spacing w:before="100" w:beforeAutospacing="1" w:after="100" w:afterAutospacing="1" w:line="360" w:lineRule="auto"/>
        <w:contextualSpacing/>
        <w:jc w:val="both"/>
        <w:rPr>
          <w:rFonts w:ascii="Palatino Linotype" w:hAnsi="Palatino Linotype" w:cs="Arial"/>
        </w:rPr>
      </w:pPr>
    </w:p>
    <w:p w:rsidR="001902DB" w:rsidRDefault="001902DB" w:rsidP="00010A9D">
      <w:pPr>
        <w:spacing w:before="100" w:beforeAutospacing="1" w:after="100" w:afterAutospacing="1" w:line="360" w:lineRule="auto"/>
        <w:contextualSpacing/>
        <w:jc w:val="both"/>
        <w:rPr>
          <w:rFonts w:ascii="Palatino Linotype" w:hAnsi="Palatino Linotype" w:cs="Arial"/>
        </w:rPr>
      </w:pPr>
    </w:p>
    <w:p w:rsidR="003410CB" w:rsidRDefault="003410CB" w:rsidP="00010A9D">
      <w:pPr>
        <w:spacing w:before="100" w:beforeAutospacing="1" w:after="100" w:afterAutospacing="1" w:line="360" w:lineRule="auto"/>
        <w:contextualSpacing/>
        <w:jc w:val="both"/>
        <w:rPr>
          <w:rFonts w:ascii="Palatino Linotype" w:hAnsi="Palatino Linotype" w:cs="Arial"/>
        </w:rPr>
      </w:pPr>
    </w:p>
    <w:p w:rsidR="003410CB" w:rsidRDefault="003410CB" w:rsidP="00010A9D">
      <w:pPr>
        <w:spacing w:before="100" w:beforeAutospacing="1" w:after="100" w:afterAutospacing="1" w:line="360" w:lineRule="auto"/>
        <w:contextualSpacing/>
        <w:jc w:val="both"/>
        <w:rPr>
          <w:rFonts w:ascii="Palatino Linotype" w:hAnsi="Palatino Linotype" w:cs="Arial"/>
        </w:rPr>
      </w:pPr>
    </w:p>
    <w:p w:rsidR="001902DB" w:rsidRDefault="001902DB" w:rsidP="00010A9D">
      <w:pPr>
        <w:spacing w:before="100" w:beforeAutospacing="1" w:after="100" w:afterAutospacing="1" w:line="360" w:lineRule="auto"/>
        <w:contextualSpacing/>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7526E" w:rsidRPr="00F34645">
        <w:trPr>
          <w:jc w:val="center"/>
        </w:trPr>
        <w:tc>
          <w:tcPr>
            <w:tcW w:w="4253" w:type="dxa"/>
          </w:tcPr>
          <w:p w:rsidR="0087526E" w:rsidRPr="00F34645" w:rsidRDefault="0087526E" w:rsidP="00010A9D">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EVA ABAID YAPUR</w:t>
            </w:r>
          </w:p>
        </w:tc>
      </w:tr>
      <w:tr w:rsidR="0087526E" w:rsidRPr="00F34645">
        <w:trPr>
          <w:jc w:val="center"/>
        </w:trPr>
        <w:tc>
          <w:tcPr>
            <w:tcW w:w="4253" w:type="dxa"/>
          </w:tcPr>
          <w:p w:rsidR="0087526E" w:rsidRPr="00F34645" w:rsidRDefault="0087526E" w:rsidP="00010A9D">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COMISIONADA</w:t>
            </w:r>
          </w:p>
        </w:tc>
      </w:tr>
    </w:tbl>
    <w:p w:rsidR="00601965" w:rsidRPr="001423AD" w:rsidRDefault="00601965" w:rsidP="00601965">
      <w:pPr>
        <w:spacing w:line="360" w:lineRule="auto"/>
        <w:contextualSpacing/>
        <w:jc w:val="center"/>
        <w:rPr>
          <w:rFonts w:ascii="Palatino Linotype" w:eastAsia="Calibri" w:hAnsi="Palatino Linotype" w:cs="Arial"/>
          <w:b/>
          <w:color w:val="000000" w:themeColor="text1"/>
        </w:rPr>
      </w:pPr>
      <w:r w:rsidRPr="001423AD">
        <w:rPr>
          <w:rFonts w:ascii="Palatino Linotype" w:eastAsia="Calibri" w:hAnsi="Palatino Linotype" w:cs="Arial"/>
          <w:b/>
          <w:color w:val="000000" w:themeColor="text1"/>
        </w:rPr>
        <w:t>(RÚBRICA)</w:t>
      </w:r>
    </w:p>
    <w:p w:rsidR="00ED33FA" w:rsidRDefault="00ED33FA" w:rsidP="00601965">
      <w:pPr>
        <w:spacing w:before="100" w:beforeAutospacing="1" w:after="100" w:afterAutospacing="1"/>
        <w:contextualSpacing/>
        <w:jc w:val="center"/>
        <w:rPr>
          <w:rFonts w:ascii="Palatino Linotype" w:eastAsia="Calibri" w:hAnsi="Palatino Linotype" w:cs="Arial"/>
          <w:color w:val="000000" w:themeColor="text1"/>
          <w:sz w:val="22"/>
        </w:rPr>
      </w:pPr>
    </w:p>
    <w:p w:rsidR="00E2025A" w:rsidRDefault="00E2025A" w:rsidP="00010A9D">
      <w:pPr>
        <w:spacing w:before="100" w:beforeAutospacing="1" w:after="100" w:afterAutospacing="1"/>
        <w:contextualSpacing/>
        <w:jc w:val="both"/>
        <w:rPr>
          <w:rFonts w:ascii="Palatino Linotype" w:eastAsia="Calibri" w:hAnsi="Palatino Linotype" w:cs="Arial"/>
          <w:color w:val="000000" w:themeColor="text1"/>
          <w:sz w:val="22"/>
        </w:rPr>
      </w:pPr>
    </w:p>
    <w:p w:rsidR="00AB5E63" w:rsidRDefault="00AB5E63" w:rsidP="00010A9D">
      <w:pPr>
        <w:spacing w:before="100" w:beforeAutospacing="1" w:after="100" w:afterAutospacing="1"/>
        <w:contextualSpacing/>
        <w:jc w:val="both"/>
        <w:rPr>
          <w:rFonts w:ascii="Palatino Linotype" w:eastAsia="Calibri" w:hAnsi="Palatino Linotype" w:cs="Arial"/>
          <w:color w:val="000000" w:themeColor="text1"/>
          <w:sz w:val="20"/>
        </w:rPr>
      </w:pPr>
      <w:bookmarkStart w:id="0" w:name="_GoBack"/>
      <w:bookmarkEnd w:id="0"/>
    </w:p>
    <w:p w:rsidR="0085156C" w:rsidRPr="00AB5E63" w:rsidRDefault="003F1DA8" w:rsidP="00010A9D">
      <w:pPr>
        <w:spacing w:before="100" w:beforeAutospacing="1" w:after="100" w:afterAutospacing="1"/>
        <w:contextualSpacing/>
        <w:jc w:val="both"/>
        <w:rPr>
          <w:rFonts w:ascii="Palatino Linotype" w:eastAsia="Calibri" w:hAnsi="Palatino Linotype" w:cs="Arial"/>
          <w:color w:val="000000" w:themeColor="text1"/>
          <w:sz w:val="20"/>
        </w:rPr>
      </w:pPr>
      <w:r w:rsidRPr="00AB5E63">
        <w:rPr>
          <w:rFonts w:ascii="Palatino Linotype" w:eastAsia="Calibri" w:hAnsi="Palatino Linotype" w:cs="Arial"/>
          <w:color w:val="000000" w:themeColor="text1"/>
          <w:sz w:val="20"/>
        </w:rPr>
        <w:t>Esta hoja corresponde al</w:t>
      </w:r>
      <w:r w:rsidR="0085156C" w:rsidRPr="00AB5E63">
        <w:rPr>
          <w:rFonts w:ascii="Palatino Linotype" w:eastAsia="Calibri" w:hAnsi="Palatino Linotype" w:cs="Arial"/>
          <w:color w:val="000000" w:themeColor="text1"/>
          <w:sz w:val="20"/>
        </w:rPr>
        <w:t xml:space="preserve"> voto</w:t>
      </w:r>
      <w:r w:rsidRPr="00AB5E63">
        <w:rPr>
          <w:rFonts w:ascii="Palatino Linotype" w:eastAsia="Calibri" w:hAnsi="Palatino Linotype" w:cs="Arial"/>
          <w:color w:val="000000" w:themeColor="text1"/>
          <w:sz w:val="20"/>
        </w:rPr>
        <w:t xml:space="preserve"> particular</w:t>
      </w:r>
      <w:r w:rsidR="00ED33FA" w:rsidRPr="00AB5E63">
        <w:rPr>
          <w:rFonts w:ascii="Palatino Linotype" w:eastAsia="Calibri" w:hAnsi="Palatino Linotype" w:cs="Arial"/>
          <w:color w:val="000000" w:themeColor="text1"/>
          <w:sz w:val="20"/>
        </w:rPr>
        <w:t xml:space="preserve"> </w:t>
      </w:r>
      <w:r w:rsidRPr="00AB5E63">
        <w:rPr>
          <w:rFonts w:ascii="Palatino Linotype" w:eastAsia="Calibri" w:hAnsi="Palatino Linotype" w:cs="Arial"/>
          <w:color w:val="000000" w:themeColor="text1"/>
          <w:sz w:val="20"/>
        </w:rPr>
        <w:t>emitid</w:t>
      </w:r>
      <w:r w:rsidR="0085156C" w:rsidRPr="00AB5E63">
        <w:rPr>
          <w:rFonts w:ascii="Palatino Linotype" w:eastAsia="Calibri" w:hAnsi="Palatino Linotype" w:cs="Arial"/>
          <w:color w:val="000000" w:themeColor="text1"/>
          <w:sz w:val="20"/>
        </w:rPr>
        <w:t>o</w:t>
      </w:r>
      <w:r w:rsidRPr="00AB5E63">
        <w:rPr>
          <w:rFonts w:ascii="Palatino Linotype" w:eastAsia="Calibri" w:hAnsi="Palatino Linotype" w:cs="Arial"/>
          <w:color w:val="000000" w:themeColor="text1"/>
          <w:sz w:val="20"/>
        </w:rPr>
        <w:t xml:space="preserve"> en la resolución </w:t>
      </w:r>
      <w:r w:rsidR="00400CB4" w:rsidRPr="00AB5E63">
        <w:rPr>
          <w:rFonts w:ascii="Palatino Linotype" w:eastAsia="Calibri" w:hAnsi="Palatino Linotype" w:cs="Arial"/>
          <w:color w:val="000000" w:themeColor="text1"/>
          <w:sz w:val="20"/>
        </w:rPr>
        <w:t>del</w:t>
      </w:r>
      <w:r w:rsidRPr="00AB5E63">
        <w:rPr>
          <w:rFonts w:ascii="Palatino Linotype" w:eastAsia="Calibri" w:hAnsi="Palatino Linotype" w:cs="Arial"/>
          <w:color w:val="000000" w:themeColor="text1"/>
          <w:sz w:val="20"/>
        </w:rPr>
        <w:t xml:space="preserve"> </w:t>
      </w:r>
      <w:r w:rsidR="00400CB4" w:rsidRPr="00AB5E63">
        <w:rPr>
          <w:rFonts w:ascii="Palatino Linotype" w:eastAsia="Calibri" w:hAnsi="Palatino Linotype" w:cs="Arial"/>
          <w:color w:val="000000" w:themeColor="text1"/>
          <w:sz w:val="20"/>
        </w:rPr>
        <w:t>recurso</w:t>
      </w:r>
      <w:r w:rsidR="00010A9D" w:rsidRPr="00AB5E63">
        <w:rPr>
          <w:rFonts w:ascii="Palatino Linotype" w:eastAsia="Calibri" w:hAnsi="Palatino Linotype" w:cs="Arial"/>
          <w:color w:val="000000" w:themeColor="text1"/>
          <w:sz w:val="20"/>
        </w:rPr>
        <w:t xml:space="preserve"> de revisión 08190</w:t>
      </w:r>
      <w:r w:rsidR="00E2025A" w:rsidRPr="00AB5E63">
        <w:rPr>
          <w:rFonts w:ascii="Palatino Linotype" w:eastAsia="Calibri" w:hAnsi="Palatino Linotype" w:cs="Arial"/>
          <w:color w:val="000000" w:themeColor="text1"/>
          <w:sz w:val="20"/>
        </w:rPr>
        <w:t>/INFOEM/IP/</w:t>
      </w:r>
      <w:proofErr w:type="spellStart"/>
      <w:r w:rsidR="00E2025A" w:rsidRPr="00AB5E63">
        <w:rPr>
          <w:rFonts w:ascii="Palatino Linotype" w:eastAsia="Calibri" w:hAnsi="Palatino Linotype" w:cs="Arial"/>
          <w:color w:val="000000" w:themeColor="text1"/>
          <w:sz w:val="20"/>
        </w:rPr>
        <w:t>RR</w:t>
      </w:r>
      <w:proofErr w:type="spellEnd"/>
      <w:r w:rsidR="00E2025A" w:rsidRPr="00AB5E63">
        <w:rPr>
          <w:rFonts w:ascii="Palatino Linotype" w:eastAsia="Calibri" w:hAnsi="Palatino Linotype" w:cs="Arial"/>
          <w:color w:val="000000" w:themeColor="text1"/>
          <w:sz w:val="20"/>
        </w:rPr>
        <w:t>/2019</w:t>
      </w:r>
      <w:r w:rsidRPr="00AB5E63">
        <w:rPr>
          <w:rFonts w:ascii="Palatino Linotype" w:eastAsia="Calibri" w:hAnsi="Palatino Linotype" w:cs="Arial"/>
          <w:color w:val="000000" w:themeColor="text1"/>
          <w:sz w:val="20"/>
        </w:rPr>
        <w:t xml:space="preserve">, aprobada el </w:t>
      </w:r>
      <w:r w:rsidR="00010A9D" w:rsidRPr="00AB5E63">
        <w:rPr>
          <w:rFonts w:ascii="Palatino Linotype" w:eastAsia="Calibri" w:hAnsi="Palatino Linotype" w:cs="Arial"/>
          <w:color w:val="000000" w:themeColor="text1"/>
          <w:sz w:val="20"/>
        </w:rPr>
        <w:t>quince de enero</w:t>
      </w:r>
      <w:r w:rsidR="00863654" w:rsidRPr="00AB5E63">
        <w:rPr>
          <w:rFonts w:ascii="Palatino Linotype" w:eastAsia="Calibri" w:hAnsi="Palatino Linotype" w:cs="Arial"/>
          <w:color w:val="000000" w:themeColor="text1"/>
          <w:sz w:val="20"/>
        </w:rPr>
        <w:t xml:space="preserve"> de dos mil </w:t>
      </w:r>
      <w:r w:rsidR="00010A9D" w:rsidRPr="00AB5E63">
        <w:rPr>
          <w:rFonts w:ascii="Palatino Linotype" w:eastAsia="Calibri" w:hAnsi="Palatino Linotype" w:cs="Arial"/>
          <w:color w:val="000000" w:themeColor="text1"/>
          <w:sz w:val="20"/>
        </w:rPr>
        <w:t>veinte.</w:t>
      </w:r>
      <w:r w:rsidRPr="00AB5E63">
        <w:rPr>
          <w:rFonts w:ascii="Palatino Linotype" w:eastAsia="Calibri" w:hAnsi="Palatino Linotype" w:cs="Arial"/>
          <w:color w:val="000000" w:themeColor="text1"/>
          <w:sz w:val="20"/>
        </w:rPr>
        <w:t xml:space="preserve"> </w:t>
      </w:r>
    </w:p>
    <w:p w:rsidR="00AB5E63" w:rsidRPr="00AB5E63" w:rsidRDefault="00AB5E63" w:rsidP="00010A9D">
      <w:pPr>
        <w:spacing w:before="100" w:beforeAutospacing="1" w:after="100" w:afterAutospacing="1"/>
        <w:contextualSpacing/>
        <w:jc w:val="both"/>
        <w:rPr>
          <w:rFonts w:ascii="Palatino Linotype" w:eastAsia="Calibri" w:hAnsi="Palatino Linotype" w:cs="Arial"/>
          <w:color w:val="000000" w:themeColor="text1"/>
          <w:sz w:val="8"/>
          <w:szCs w:val="8"/>
        </w:rPr>
      </w:pPr>
    </w:p>
    <w:p w:rsidR="003F1DA8" w:rsidRPr="00AB5E63" w:rsidRDefault="00863654" w:rsidP="00010A9D">
      <w:pPr>
        <w:spacing w:before="100" w:beforeAutospacing="1" w:after="100" w:afterAutospacing="1"/>
        <w:contextualSpacing/>
        <w:jc w:val="both"/>
        <w:rPr>
          <w:rFonts w:ascii="Palatino Linotype" w:hAnsi="Palatino Linotype" w:cs="Arial"/>
          <w:sz w:val="22"/>
        </w:rPr>
      </w:pPr>
      <w:proofErr w:type="spellStart"/>
      <w:r w:rsidRPr="00AB5E63">
        <w:rPr>
          <w:rFonts w:ascii="Palatino Linotype" w:eastAsia="Calibri" w:hAnsi="Palatino Linotype" w:cs="Arial"/>
          <w:color w:val="000000" w:themeColor="text1"/>
          <w:sz w:val="20"/>
        </w:rPr>
        <w:t>YSM</w:t>
      </w:r>
      <w:proofErr w:type="spellEnd"/>
      <w:r w:rsidRPr="00AB5E63">
        <w:rPr>
          <w:rFonts w:ascii="Palatino Linotype" w:eastAsia="Calibri" w:hAnsi="Palatino Linotype" w:cs="Arial"/>
          <w:color w:val="000000" w:themeColor="text1"/>
          <w:sz w:val="20"/>
        </w:rPr>
        <w:t>/</w:t>
      </w:r>
      <w:proofErr w:type="spellStart"/>
      <w:r w:rsidRPr="00AB5E63">
        <w:rPr>
          <w:rFonts w:ascii="Palatino Linotype" w:eastAsia="Calibri" w:hAnsi="Palatino Linotype" w:cs="Arial"/>
          <w:color w:val="000000" w:themeColor="text1"/>
          <w:sz w:val="20"/>
        </w:rPr>
        <w:t>LGMJ</w:t>
      </w:r>
      <w:proofErr w:type="spellEnd"/>
    </w:p>
    <w:sectPr w:rsidR="003F1DA8" w:rsidRPr="00AB5E63" w:rsidSect="00D0063A">
      <w:headerReference w:type="even" r:id="rId8"/>
      <w:headerReference w:type="default" r:id="rId9"/>
      <w:footerReference w:type="default" r:id="rId10"/>
      <w:headerReference w:type="first" r:id="rId11"/>
      <w:pgSz w:w="12240" w:h="15840" w:code="1"/>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C54" w:rsidRDefault="00BE5C54" w:rsidP="00202921">
      <w:r>
        <w:separator/>
      </w:r>
    </w:p>
  </w:endnote>
  <w:endnote w:type="continuationSeparator" w:id="0">
    <w:p w:rsidR="00BE5C54" w:rsidRDefault="00BE5C54"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rPr>
        <w:rFonts w:ascii="Palatino Linotype" w:hAnsi="Palatino Linotype" w:cs="Arial"/>
        <w:b/>
        <w:bCs/>
        <w:sz w:val="20"/>
        <w:szCs w:val="20"/>
      </w:rPr>
    </w:pPr>
  </w:p>
  <w:p w:rsidR="00FF4E11" w:rsidRPr="00F12350" w:rsidRDefault="00FF4E11" w:rsidP="006E34F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01965">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01965">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FF4E11" w:rsidRDefault="00FF4E11" w:rsidP="006E34F7">
    <w:pPr>
      <w:pStyle w:val="Piedepgina"/>
      <w:ind w:firstLine="708"/>
    </w:pPr>
  </w:p>
  <w:p w:rsidR="00FF4E11" w:rsidRDefault="00FF4E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C54" w:rsidRDefault="00BE5C54" w:rsidP="00202921">
      <w:r>
        <w:separator/>
      </w:r>
    </w:p>
  </w:footnote>
  <w:footnote w:type="continuationSeparator" w:id="0">
    <w:p w:rsidR="00BE5C54" w:rsidRDefault="00BE5C54"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60196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FF4E11" w:rsidRDefault="00FF4E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60800" behindDoc="1" locked="0" layoutInCell="1" allowOverlap="1">
          <wp:simplePos x="0" y="0"/>
          <wp:positionH relativeFrom="column">
            <wp:posOffset>-744220</wp:posOffset>
          </wp:positionH>
          <wp:positionV relativeFrom="paragraph">
            <wp:posOffset>-365760</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C8377D" w:rsidRDefault="00C8377D" w:rsidP="00C8377D">
    <w:pPr>
      <w:pStyle w:val="Encabezado"/>
      <w:tabs>
        <w:tab w:val="clear" w:pos="4252"/>
        <w:tab w:val="clear" w:pos="8504"/>
        <w:tab w:val="left" w:pos="2326"/>
        <w:tab w:val="right" w:pos="9214"/>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p>
  <w:p w:rsidR="00FF4E11" w:rsidRPr="00AB5E63" w:rsidRDefault="00FF4E11" w:rsidP="00C8377D">
    <w:pPr>
      <w:pStyle w:val="Encabezado"/>
      <w:tabs>
        <w:tab w:val="clear" w:pos="4252"/>
        <w:tab w:val="clear" w:pos="8504"/>
        <w:tab w:val="left" w:pos="2326"/>
        <w:tab w:val="right" w:pos="9214"/>
      </w:tabs>
      <w:jc w:val="right"/>
      <w:rPr>
        <w:rFonts w:ascii="Palatino Linotype" w:hAnsi="Palatino Linotype"/>
        <w:sz w:val="18"/>
      </w:rPr>
    </w:pPr>
  </w:p>
  <w:p w:rsidR="00FF4E11" w:rsidRDefault="00FF4E11" w:rsidP="00C8377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AB5E63" w:rsidRPr="003764C2">
      <w:rPr>
        <w:rFonts w:ascii="Palatino Linotype" w:hAnsi="Palatino Linotype" w:cs="Arial"/>
        <w:sz w:val="20"/>
        <w:szCs w:val="20"/>
      </w:rPr>
      <w:t>VOTO</w:t>
    </w:r>
    <w:r w:rsidR="00AB5E63" w:rsidRPr="006F01F2">
      <w:rPr>
        <w:rFonts w:ascii="Palatino Linotype" w:hAnsi="Palatino Linotype" w:cs="Arial"/>
        <w:sz w:val="20"/>
        <w:szCs w:val="20"/>
      </w:rPr>
      <w:t xml:space="preserve"> PARTICULAR</w:t>
    </w:r>
  </w:p>
  <w:p w:rsidR="00AB5E63" w:rsidRDefault="00AB5E63" w:rsidP="00C8377D">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08190</w:t>
    </w:r>
    <w:r w:rsidRPr="00AE3F10">
      <w:rPr>
        <w:rFonts w:ascii="Palatino Linotype" w:hAnsi="Palatino Linotype" w:cs="Arial"/>
        <w:sz w:val="20"/>
        <w:szCs w:val="20"/>
      </w:rPr>
      <w:t>/INFOEM/IP/</w:t>
    </w:r>
    <w:proofErr w:type="spellStart"/>
    <w:r w:rsidRPr="00AE3F10">
      <w:rPr>
        <w:rFonts w:ascii="Palatino Linotype" w:hAnsi="Palatino Linotype" w:cs="Arial"/>
        <w:sz w:val="20"/>
        <w:szCs w:val="20"/>
      </w:rPr>
      <w:t>RR</w:t>
    </w:r>
    <w:proofErr w:type="spellEnd"/>
    <w:r w:rsidRPr="00AE3F10">
      <w:rPr>
        <w:rFonts w:ascii="Palatino Linotype" w:hAnsi="Palatino Linotype" w:cs="Arial"/>
        <w:sz w:val="20"/>
        <w:szCs w:val="20"/>
      </w:rPr>
      <w:t>/201</w:t>
    </w:r>
    <w:r>
      <w:rPr>
        <w:rFonts w:ascii="Palatino Linotype" w:hAnsi="Palatino Linotype" w:cs="Arial"/>
        <w:sz w:val="20"/>
        <w:szCs w:val="20"/>
      </w:rPr>
      <w:t>9</w:t>
    </w:r>
  </w:p>
  <w:p w:rsidR="00FF4E11" w:rsidRDefault="00601965" w:rsidP="00C8377D">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7.4pt;margin-top:256.4pt;width:647.85pt;height:93.55pt;rotation:315;z-index:-251655168;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60196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DC7ECD"/>
    <w:multiLevelType w:val="hybridMultilevel"/>
    <w:tmpl w:val="D73EF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01757C"/>
    <w:multiLevelType w:val="hybridMultilevel"/>
    <w:tmpl w:val="09E635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F96031"/>
    <w:multiLevelType w:val="hybridMultilevel"/>
    <w:tmpl w:val="7408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765ECA"/>
    <w:multiLevelType w:val="hybridMultilevel"/>
    <w:tmpl w:val="240E9A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EFB6CAF"/>
    <w:multiLevelType w:val="hybridMultilevel"/>
    <w:tmpl w:val="908491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13" w15:restartNumberingAfterBreak="0">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10"/>
  </w:num>
  <w:num w:numId="5">
    <w:abstractNumId w:val="8"/>
  </w:num>
  <w:num w:numId="6">
    <w:abstractNumId w:val="1"/>
  </w:num>
  <w:num w:numId="7">
    <w:abstractNumId w:val="9"/>
  </w:num>
  <w:num w:numId="8">
    <w:abstractNumId w:val="4"/>
  </w:num>
  <w:num w:numId="9">
    <w:abstractNumId w:val="13"/>
  </w:num>
  <w:num w:numId="10">
    <w:abstractNumId w:val="3"/>
  </w:num>
  <w:num w:numId="11">
    <w:abstractNumId w:val="7"/>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10A9D"/>
    <w:rsid w:val="0003135C"/>
    <w:rsid w:val="00055481"/>
    <w:rsid w:val="00076C00"/>
    <w:rsid w:val="000903B0"/>
    <w:rsid w:val="0009048A"/>
    <w:rsid w:val="0009375B"/>
    <w:rsid w:val="000C6DF1"/>
    <w:rsid w:val="000C7201"/>
    <w:rsid w:val="000D02DB"/>
    <w:rsid w:val="000F0BC5"/>
    <w:rsid w:val="000F2995"/>
    <w:rsid w:val="0011250A"/>
    <w:rsid w:val="001236B8"/>
    <w:rsid w:val="00127D73"/>
    <w:rsid w:val="00173159"/>
    <w:rsid w:val="00177727"/>
    <w:rsid w:val="00187ABC"/>
    <w:rsid w:val="001902DB"/>
    <w:rsid w:val="00195CD1"/>
    <w:rsid w:val="001A2F3A"/>
    <w:rsid w:val="001D2FEF"/>
    <w:rsid w:val="001E0C0E"/>
    <w:rsid w:val="00202921"/>
    <w:rsid w:val="00204CBF"/>
    <w:rsid w:val="00213408"/>
    <w:rsid w:val="00222326"/>
    <w:rsid w:val="00223BBB"/>
    <w:rsid w:val="00227DE1"/>
    <w:rsid w:val="002C1CC6"/>
    <w:rsid w:val="002C2A68"/>
    <w:rsid w:val="002E136D"/>
    <w:rsid w:val="002F0051"/>
    <w:rsid w:val="002F3DCF"/>
    <w:rsid w:val="003015A2"/>
    <w:rsid w:val="003410CB"/>
    <w:rsid w:val="00364F1A"/>
    <w:rsid w:val="00370A06"/>
    <w:rsid w:val="003837CB"/>
    <w:rsid w:val="00383A93"/>
    <w:rsid w:val="003847DA"/>
    <w:rsid w:val="00385565"/>
    <w:rsid w:val="003878EC"/>
    <w:rsid w:val="003C6361"/>
    <w:rsid w:val="003F1DA8"/>
    <w:rsid w:val="00400547"/>
    <w:rsid w:val="00400CB4"/>
    <w:rsid w:val="00451878"/>
    <w:rsid w:val="0046211F"/>
    <w:rsid w:val="0046500C"/>
    <w:rsid w:val="004D0F96"/>
    <w:rsid w:val="004E606A"/>
    <w:rsid w:val="005039DD"/>
    <w:rsid w:val="00512349"/>
    <w:rsid w:val="00563561"/>
    <w:rsid w:val="00585408"/>
    <w:rsid w:val="005977BF"/>
    <w:rsid w:val="005B1ABE"/>
    <w:rsid w:val="00601965"/>
    <w:rsid w:val="00613B67"/>
    <w:rsid w:val="00615728"/>
    <w:rsid w:val="006468C8"/>
    <w:rsid w:val="00650F98"/>
    <w:rsid w:val="00680615"/>
    <w:rsid w:val="006937C9"/>
    <w:rsid w:val="006E0912"/>
    <w:rsid w:val="006E34F7"/>
    <w:rsid w:val="006E6142"/>
    <w:rsid w:val="00717A14"/>
    <w:rsid w:val="00730550"/>
    <w:rsid w:val="007739F4"/>
    <w:rsid w:val="007B2986"/>
    <w:rsid w:val="00805009"/>
    <w:rsid w:val="00834348"/>
    <w:rsid w:val="00837EBE"/>
    <w:rsid w:val="0085156C"/>
    <w:rsid w:val="00851944"/>
    <w:rsid w:val="00855443"/>
    <w:rsid w:val="00861C08"/>
    <w:rsid w:val="00863654"/>
    <w:rsid w:val="0087526E"/>
    <w:rsid w:val="008A5D2D"/>
    <w:rsid w:val="008C05E3"/>
    <w:rsid w:val="008D4A45"/>
    <w:rsid w:val="00914D9D"/>
    <w:rsid w:val="00922B70"/>
    <w:rsid w:val="00922E7D"/>
    <w:rsid w:val="00955266"/>
    <w:rsid w:val="009E66D7"/>
    <w:rsid w:val="009E6879"/>
    <w:rsid w:val="00A112B0"/>
    <w:rsid w:val="00A84DF2"/>
    <w:rsid w:val="00A86F59"/>
    <w:rsid w:val="00AB3A08"/>
    <w:rsid w:val="00AB5E63"/>
    <w:rsid w:val="00AD622E"/>
    <w:rsid w:val="00AE3F10"/>
    <w:rsid w:val="00B313DC"/>
    <w:rsid w:val="00B61623"/>
    <w:rsid w:val="00B63948"/>
    <w:rsid w:val="00B81A48"/>
    <w:rsid w:val="00BA605E"/>
    <w:rsid w:val="00BC033F"/>
    <w:rsid w:val="00BE5C54"/>
    <w:rsid w:val="00BF1B29"/>
    <w:rsid w:val="00BF23C1"/>
    <w:rsid w:val="00BF435F"/>
    <w:rsid w:val="00C23B43"/>
    <w:rsid w:val="00C405D0"/>
    <w:rsid w:val="00C46E75"/>
    <w:rsid w:val="00C63F91"/>
    <w:rsid w:val="00C7628A"/>
    <w:rsid w:val="00C817FC"/>
    <w:rsid w:val="00C8377D"/>
    <w:rsid w:val="00C83B05"/>
    <w:rsid w:val="00C86502"/>
    <w:rsid w:val="00C9714C"/>
    <w:rsid w:val="00C971FC"/>
    <w:rsid w:val="00CB18F9"/>
    <w:rsid w:val="00CB7A00"/>
    <w:rsid w:val="00CC7F6D"/>
    <w:rsid w:val="00D0063A"/>
    <w:rsid w:val="00D2657E"/>
    <w:rsid w:val="00DC12D0"/>
    <w:rsid w:val="00DC529B"/>
    <w:rsid w:val="00DF46B8"/>
    <w:rsid w:val="00DF4AC7"/>
    <w:rsid w:val="00DF7C9A"/>
    <w:rsid w:val="00E2025A"/>
    <w:rsid w:val="00E515B2"/>
    <w:rsid w:val="00E677DD"/>
    <w:rsid w:val="00E86784"/>
    <w:rsid w:val="00E916DC"/>
    <w:rsid w:val="00EA4E81"/>
    <w:rsid w:val="00EC10B5"/>
    <w:rsid w:val="00ED33FA"/>
    <w:rsid w:val="00EF3C5E"/>
    <w:rsid w:val="00F17843"/>
    <w:rsid w:val="00F22431"/>
    <w:rsid w:val="00F34645"/>
    <w:rsid w:val="00F374F3"/>
    <w:rsid w:val="00F45A87"/>
    <w:rsid w:val="00F703E5"/>
    <w:rsid w:val="00FC2F30"/>
    <w:rsid w:val="00FF4E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283DCF-FE4C-4480-837B-27DE246D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81CF3-32DE-4B3C-8A50-47211736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3856</Words>
  <Characters>21208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5</cp:revision>
  <cp:lastPrinted>2020-01-20T18:20:00Z</cp:lastPrinted>
  <dcterms:created xsi:type="dcterms:W3CDTF">2020-01-20T18:20:00Z</dcterms:created>
  <dcterms:modified xsi:type="dcterms:W3CDTF">2020-01-31T19:14:00Z</dcterms:modified>
</cp:coreProperties>
</file>