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spacing w:after="0" w:line="360" w:lineRule="auto"/>
        <w:ind w:right="-164"/>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rtl w:val="0"/>
        </w:rPr>
        <w:t xml:space="preserve">VOTO PARTICULAR QUE FORMULA LA COMISIONADA EVA ABAID YAPUR, EN RELACIÓN CON LA RESOLUCIÓN DICTADA POR EL PLENO DEL INSTITUTO DE TRANSPARENCIA, ACCESO A LA INFORMACIÓN PÚBLICA Y PROTECCIÓN DE DATOS PERSONALES DEL ESTADO DE MÉXICO Y MUNICIPIOS, EN LA QUINTA SESIÓN ORDINARIA DE DOCE DE FEBRERO DE DOS MIL VEINTE, EN EL RECURSO DE REVISIÓN 09065/INFOEM/IP/RR/2019</w:t>
      </w:r>
      <w:r w:rsidDel="00000000" w:rsidR="00000000" w:rsidRPr="00000000">
        <w:rPr>
          <w:rFonts w:ascii="Palatino Linotype" w:cs="Palatino Linotype" w:eastAsia="Palatino Linotype" w:hAnsi="Palatino Linotype"/>
          <w:b w:val="1"/>
          <w:color w:val="000000"/>
          <w:rtl w:val="0"/>
        </w:rPr>
        <w:t xml:space="preserve">.</w:t>
      </w:r>
    </w:p>
    <w:p w:rsidR="00000000" w:rsidDel="00000000" w:rsidP="00000000" w:rsidRDefault="00000000" w:rsidRPr="00000000" w14:paraId="00000003">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4">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 fundamento en lo dispuesto por el artículo 14, fracciones X y XI del Reglamento Interior del Instituto de Transparencia, Acceso a la Información Pública y Protección de Datos Personales del Estado de México y Municipios, la que suscribe</w:t>
      </w:r>
      <w:r w:rsidDel="00000000" w:rsidR="00000000" w:rsidRPr="00000000">
        <w:rPr>
          <w:rFonts w:ascii="Palatino Linotype" w:cs="Palatino Linotype" w:eastAsia="Palatino Linotype" w:hAnsi="Palatino Linotype"/>
          <w:b w:val="1"/>
          <w:rtl w:val="0"/>
        </w:rPr>
        <w:t xml:space="preserve"> EVA ABAID YAPUR </w:t>
      </w:r>
      <w:r w:rsidDel="00000000" w:rsidR="00000000" w:rsidRPr="00000000">
        <w:rPr>
          <w:rFonts w:ascii="Palatino Linotype" w:cs="Palatino Linotype" w:eastAsia="Palatino Linotype" w:hAnsi="Palatino Linotype"/>
          <w:rtl w:val="0"/>
        </w:rPr>
        <w:t xml:space="preserve">emite </w:t>
      </w:r>
      <w:r w:rsidDel="00000000" w:rsidR="00000000" w:rsidRPr="00000000">
        <w:rPr>
          <w:rFonts w:ascii="Palatino Linotype" w:cs="Palatino Linotype" w:eastAsia="Palatino Linotype" w:hAnsi="Palatino Linotype"/>
          <w:b w:val="1"/>
          <w:rtl w:val="0"/>
        </w:rPr>
        <w:t xml:space="preserve">VOTO PARTICULAR </w:t>
      </w:r>
      <w:r w:rsidDel="00000000" w:rsidR="00000000" w:rsidRPr="00000000">
        <w:rPr>
          <w:rFonts w:ascii="Palatino Linotype" w:cs="Palatino Linotype" w:eastAsia="Palatino Linotype" w:hAnsi="Palatino Linotype"/>
          <w:rtl w:val="0"/>
        </w:rPr>
        <w:t xml:space="preserve">respecto de la resolución dictada en el recurso de revisión </w:t>
      </w:r>
      <w:r w:rsidDel="00000000" w:rsidR="00000000" w:rsidRPr="00000000">
        <w:rPr>
          <w:rFonts w:ascii="Palatino Linotype" w:cs="Palatino Linotype" w:eastAsia="Palatino Linotype" w:hAnsi="Palatino Linotype"/>
          <w:b w:val="1"/>
          <w:rtl w:val="0"/>
        </w:rPr>
        <w:t xml:space="preserve">09065/INFOEM/IP/RR/2019</w:t>
      </w:r>
      <w:r w:rsidDel="00000000" w:rsidR="00000000" w:rsidRPr="00000000">
        <w:rPr>
          <w:rFonts w:ascii="Palatino Linotype" w:cs="Palatino Linotype" w:eastAsia="Palatino Linotype" w:hAnsi="Palatino Linotype"/>
          <w:b w:val="1"/>
          <w:color w:val="000000"/>
          <w:rtl w:val="0"/>
        </w:rPr>
        <w:t xml:space="preserv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pronunciada por el Pleno de este Instituto ante el proyecto presentado por la Comisionada Presidenta </w:t>
      </w:r>
      <w:r w:rsidDel="00000000" w:rsidR="00000000" w:rsidRPr="00000000">
        <w:rPr>
          <w:rFonts w:ascii="Palatino Linotype" w:cs="Palatino Linotype" w:eastAsia="Palatino Linotype" w:hAnsi="Palatino Linotype"/>
          <w:b w:val="1"/>
          <w:rtl w:val="0"/>
        </w:rPr>
        <w:t xml:space="preserve">ZULEMA MARTÍNEZ SÁNCHEZ </w:t>
      </w:r>
      <w:r w:rsidDel="00000000" w:rsidR="00000000" w:rsidRPr="00000000">
        <w:rPr>
          <w:rFonts w:ascii="Palatino Linotype" w:cs="Palatino Linotype" w:eastAsia="Palatino Linotype" w:hAnsi="Palatino Linotype"/>
          <w:rtl w:val="0"/>
        </w:rPr>
        <w:t xml:space="preserve">, que es del tenor siguiente.</w:t>
      </w:r>
    </w:p>
    <w:p w:rsidR="00000000" w:rsidDel="00000000" w:rsidP="00000000" w:rsidRDefault="00000000" w:rsidRPr="00000000" w14:paraId="00000005">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6">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de destacar, que la suscrita comparte el sentido de la resolución del recurso de revisión; empero, considero necesario precisar algunas cuestiones de hecho y de derecho, tocante al resolutivo CUARTO de la resolución correspondiente.</w:t>
      </w:r>
    </w:p>
    <w:p w:rsidR="00000000" w:rsidDel="00000000" w:rsidP="00000000" w:rsidRDefault="00000000" w:rsidRPr="00000000" w14:paraId="00000007">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8">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tal y como quedó debidamente asentado en la resolución materia del presente voto, el particular requirió del </w:t>
      </w:r>
      <w:r w:rsidDel="00000000" w:rsidR="00000000" w:rsidRPr="00000000">
        <w:rPr>
          <w:rFonts w:ascii="Palatino Linotype" w:cs="Palatino Linotype" w:eastAsia="Palatino Linotype" w:hAnsi="Palatino Linotype"/>
          <w:b w:val="1"/>
          <w:rtl w:val="0"/>
        </w:rPr>
        <w:t xml:space="preserve">Ayuntamiento de Ixtapan de la Sal </w:t>
      </w:r>
      <w:r w:rsidDel="00000000" w:rsidR="00000000" w:rsidRPr="00000000">
        <w:rPr>
          <w:rFonts w:ascii="Palatino Linotype" w:cs="Palatino Linotype" w:eastAsia="Palatino Linotype" w:hAnsi="Palatino Linotype"/>
          <w:rtl w:val="0"/>
        </w:rPr>
        <w:t xml:space="preserve">, en lo sucesivo </w:t>
      </w:r>
      <w:r w:rsidDel="00000000" w:rsidR="00000000" w:rsidRPr="00000000">
        <w:rPr>
          <w:rFonts w:ascii="Palatino Linotype" w:cs="Palatino Linotype" w:eastAsia="Palatino Linotype" w:hAnsi="Palatino Linotype"/>
          <w:b w:val="1"/>
          <w:rtl w:val="0"/>
        </w:rPr>
        <w:t xml:space="preserve">EL</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la siguiente información que a continuación se desagrega:</w:t>
      </w:r>
    </w:p>
    <w:p w:rsidR="00000000" w:rsidDel="00000000" w:rsidP="00000000" w:rsidRDefault="00000000" w:rsidRPr="00000000" w14:paraId="00000009">
      <w:pPr>
        <w:spacing w:after="0" w:before="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sz w:val="22"/>
          <w:szCs w:val="22"/>
          <w:rtl w:val="0"/>
        </w:rPr>
        <w:t xml:space="preserve">“</w:t>
      </w:r>
      <w:r w:rsidDel="00000000" w:rsidR="00000000" w:rsidRPr="00000000">
        <w:rPr>
          <w:rFonts w:ascii="Palatino Linotype" w:cs="Palatino Linotype" w:eastAsia="Palatino Linotype" w:hAnsi="Palatino Linotype"/>
          <w:i w:val="1"/>
          <w:color w:val="000000"/>
          <w:sz w:val="22"/>
          <w:szCs w:val="22"/>
          <w:rtl w:val="0"/>
        </w:rPr>
        <w:t xml:space="preserve">toda la documentación recibida y emitida por la Contraloría Municipal de enero a la fecha 08/11/2019:</w:t>
      </w:r>
    </w:p>
    <w:p w:rsidR="00000000" w:rsidDel="00000000" w:rsidP="00000000" w:rsidRDefault="00000000" w:rsidRPr="00000000" w14:paraId="0000000A">
      <w:pPr>
        <w:spacing w:after="0" w:before="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a) Expedientes;</w:t>
      </w:r>
    </w:p>
    <w:p w:rsidR="00000000" w:rsidDel="00000000" w:rsidP="00000000" w:rsidRDefault="00000000" w:rsidRPr="00000000" w14:paraId="0000000B">
      <w:pPr>
        <w:spacing w:after="0" w:before="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b) Procedimientos;</w:t>
      </w:r>
    </w:p>
    <w:p w:rsidR="00000000" w:rsidDel="00000000" w:rsidP="00000000" w:rsidRDefault="00000000" w:rsidRPr="00000000" w14:paraId="0000000C">
      <w:pPr>
        <w:spacing w:after="0" w:before="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c) Actas;</w:t>
      </w:r>
    </w:p>
    <w:p w:rsidR="00000000" w:rsidDel="00000000" w:rsidP="00000000" w:rsidRDefault="00000000" w:rsidRPr="00000000" w14:paraId="0000000D">
      <w:pPr>
        <w:spacing w:after="0" w:before="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d) Notificaciones</w:t>
      </w:r>
    </w:p>
    <w:p w:rsidR="00000000" w:rsidDel="00000000" w:rsidP="00000000" w:rsidRDefault="00000000" w:rsidRPr="00000000" w14:paraId="0000000E">
      <w:pPr>
        <w:spacing w:after="0" w:before="0" w:lineRule="auto"/>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e) Oficios</w:t>
      </w:r>
      <w:r w:rsidDel="00000000" w:rsidR="00000000" w:rsidRPr="00000000">
        <w:rPr>
          <w:rFonts w:ascii="Palatino Linotype" w:cs="Palatino Linotype" w:eastAsia="Palatino Linotype" w:hAnsi="Palatino Linotype"/>
          <w:sz w:val="22"/>
          <w:szCs w:val="22"/>
          <w:rtl w:val="0"/>
        </w:rPr>
        <w:t xml:space="preserve">”</w:t>
      </w:r>
    </w:p>
    <w:p w:rsidR="00000000" w:rsidDel="00000000" w:rsidP="00000000" w:rsidRDefault="00000000" w:rsidRPr="00000000" w14:paraId="0000000F">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0">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las constancias que obran en el </w:t>
      </w:r>
      <w:r w:rsidDel="00000000" w:rsidR="00000000" w:rsidRPr="00000000">
        <w:rPr>
          <w:rFonts w:ascii="Palatino Linotype" w:cs="Palatino Linotype" w:eastAsia="Palatino Linotype" w:hAnsi="Palatino Linotype"/>
          <w:b w:val="1"/>
          <w:rtl w:val="0"/>
        </w:rPr>
        <w:t xml:space="preserve">SAIMEX, </w:t>
      </w:r>
      <w:r w:rsidDel="00000000" w:rsidR="00000000" w:rsidRPr="00000000">
        <w:rPr>
          <w:rFonts w:ascii="Palatino Linotype" w:cs="Palatino Linotype" w:eastAsia="Palatino Linotype" w:hAnsi="Palatino Linotype"/>
          <w:rtl w:val="0"/>
        </w:rPr>
        <w:t xml:space="preserve">se advierte que,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proporcionó su respuesta en los siguientes términos:</w:t>
      </w:r>
    </w:p>
    <w:p w:rsidR="00000000" w:rsidDel="00000000" w:rsidP="00000000" w:rsidRDefault="00000000" w:rsidRPr="00000000" w14:paraId="00000011">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2">
      <w:pPr>
        <w:spacing w:after="0" w:before="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En respuesta a la solicitud recibida, nos permitimos hacer de su conocimiento que con fundamento en el artículo 53, Fracciones: II, V y VI de la Ley de Transparencia y Acceso a la Información Pública del Estado de México y Municipios, le contestamos que:</w:t>
      </w:r>
    </w:p>
    <w:p w:rsidR="00000000" w:rsidDel="00000000" w:rsidP="00000000" w:rsidRDefault="00000000" w:rsidRPr="00000000" w14:paraId="00000013">
      <w:pPr>
        <w:spacing w:after="0" w:before="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tl w:val="0"/>
        </w:rPr>
      </w:r>
    </w:p>
    <w:p w:rsidR="00000000" w:rsidDel="00000000" w:rsidP="00000000" w:rsidRDefault="00000000" w:rsidRPr="00000000" w14:paraId="00000014">
      <w:pPr>
        <w:spacing w:after="0" w:before="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Adjunto respuesta a su solicitud</w:t>
      </w:r>
    </w:p>
    <w:p w:rsidR="00000000" w:rsidDel="00000000" w:rsidP="00000000" w:rsidRDefault="00000000" w:rsidRPr="00000000" w14:paraId="00000015">
      <w:pPr>
        <w:spacing w:after="0" w:before="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tl w:val="0"/>
        </w:rPr>
      </w:r>
    </w:p>
    <w:p w:rsidR="00000000" w:rsidDel="00000000" w:rsidP="00000000" w:rsidRDefault="00000000" w:rsidRPr="00000000" w14:paraId="00000016">
      <w:pPr>
        <w:spacing w:after="0" w:before="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ATENTAMENTE</w:t>
      </w:r>
    </w:p>
    <w:p w:rsidR="00000000" w:rsidDel="00000000" w:rsidP="00000000" w:rsidRDefault="00000000" w:rsidRPr="00000000" w14:paraId="00000017">
      <w:pPr>
        <w:spacing w:after="0" w:before="0" w:lineRule="auto"/>
        <w:ind w:left="851" w:right="902"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sz w:val="22"/>
          <w:szCs w:val="22"/>
          <w:rtl w:val="0"/>
        </w:rPr>
        <w:t xml:space="preserve">L. D. JOSÉ SOLÍS HERNÁNDEZ</w:t>
      </w:r>
      <w:r w:rsidDel="00000000" w:rsidR="00000000" w:rsidRPr="00000000">
        <w:rPr>
          <w:rtl w:val="0"/>
        </w:rPr>
      </w:r>
    </w:p>
    <w:p w:rsidR="00000000" w:rsidDel="00000000" w:rsidP="00000000" w:rsidRDefault="00000000" w:rsidRPr="00000000" w14:paraId="00000018">
      <w:pPr>
        <w:spacing w:after="0" w:before="0"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9">
      <w:pPr>
        <w:spacing w:after="0" w:before="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Asimismo, adjuntó los archivos electrónicos </w:t>
      </w:r>
      <w:r w:rsidDel="00000000" w:rsidR="00000000" w:rsidRPr="00000000">
        <w:rPr>
          <w:rFonts w:ascii="Palatino Linotype" w:cs="Palatino Linotype" w:eastAsia="Palatino Linotype" w:hAnsi="Palatino Linotype"/>
          <w:b w:val="1"/>
          <w:color w:val="000000"/>
          <w:rtl w:val="0"/>
        </w:rPr>
        <w:t xml:space="preserve">Contraloria 227.pdf </w:t>
      </w:r>
      <w:r w:rsidDel="00000000" w:rsidR="00000000" w:rsidRPr="00000000">
        <w:rPr>
          <w:rFonts w:ascii="Palatino Linotype" w:cs="Palatino Linotype" w:eastAsia="Palatino Linotype" w:hAnsi="Palatino Linotype"/>
          <w:color w:val="000000"/>
          <w:rtl w:val="0"/>
        </w:rPr>
        <w:t xml:space="preserve">que consiste medularmente en el oficio CIM/DPCC/1293/2019 mediante el Contralor Municipal con base en el artículo 140 de la Ley de Transparencia del Estado de México y Municipios clasifica </w:t>
      </w:r>
      <w:r w:rsidDel="00000000" w:rsidR="00000000" w:rsidRPr="00000000">
        <w:rPr>
          <w:rFonts w:ascii="Palatino Linotype" w:cs="Palatino Linotype" w:eastAsia="Palatino Linotype" w:hAnsi="Palatino Linotype"/>
          <w:rtl w:val="0"/>
        </w:rPr>
        <w:t xml:space="preserve">los expedientes, procedimientos, actas y notificaciones de procedimientos como información reservada; asimismo, indicó que el particular debería realizar el pago de $ 2,197.76 de 3252 hojas para entregarle la información correspondiente a oficios y documentación diversa; </w:t>
      </w:r>
      <w:r w:rsidDel="00000000" w:rsidR="00000000" w:rsidRPr="00000000">
        <w:rPr>
          <w:rFonts w:ascii="Palatino Linotype" w:cs="Palatino Linotype" w:eastAsia="Palatino Linotype" w:hAnsi="Palatino Linotype"/>
          <w:color w:val="000000"/>
          <w:rtl w:val="0"/>
        </w:rPr>
        <w:t xml:space="preserve"> </w:t>
      </w:r>
      <w:r w:rsidDel="00000000" w:rsidR="00000000" w:rsidRPr="00000000">
        <w:rPr>
          <w:rFonts w:ascii="Palatino Linotype" w:cs="Palatino Linotype" w:eastAsia="Palatino Linotype" w:hAnsi="Palatino Linotype"/>
          <w:b w:val="1"/>
          <w:color w:val="000000"/>
          <w:rtl w:val="0"/>
        </w:rPr>
        <w:t xml:space="preserve">Acta reserva solicitud 227.pdf </w:t>
      </w:r>
      <w:r w:rsidDel="00000000" w:rsidR="00000000" w:rsidRPr="00000000">
        <w:rPr>
          <w:rFonts w:ascii="Palatino Linotype" w:cs="Palatino Linotype" w:eastAsia="Palatino Linotype" w:hAnsi="Palatino Linotype"/>
          <w:color w:val="000000"/>
          <w:rtl w:val="0"/>
        </w:rPr>
        <w:t xml:space="preserve">en la que remiten un acta de la décimo segunda sesión extraordinaria celebrada por el Comité de Transparencia del </w:t>
      </w:r>
      <w:r w:rsidDel="00000000" w:rsidR="00000000" w:rsidRPr="00000000">
        <w:rPr>
          <w:rFonts w:ascii="Palatino Linotype" w:cs="Palatino Linotype" w:eastAsia="Palatino Linotype" w:hAnsi="Palatino Linotype"/>
          <w:b w:val="1"/>
          <w:color w:val="000000"/>
          <w:rtl w:val="0"/>
        </w:rPr>
        <w:t xml:space="preserve">SUJETO OBLIGADO</w:t>
      </w:r>
      <w:r w:rsidDel="00000000" w:rsidR="00000000" w:rsidRPr="00000000">
        <w:rPr>
          <w:rFonts w:ascii="Palatino Linotype" w:cs="Palatino Linotype" w:eastAsia="Palatino Linotype" w:hAnsi="Palatino Linotype"/>
          <w:color w:val="000000"/>
          <w:rtl w:val="0"/>
        </w:rPr>
        <w:t xml:space="preserve"> en la que clasifica como reservada la información correspondiente a los </w:t>
      </w:r>
      <w:r w:rsidDel="00000000" w:rsidR="00000000" w:rsidRPr="00000000">
        <w:rPr>
          <w:rFonts w:ascii="Palatino Linotype" w:cs="Palatino Linotype" w:eastAsia="Palatino Linotype" w:hAnsi="Palatino Linotype"/>
          <w:rtl w:val="0"/>
        </w:rPr>
        <w:t xml:space="preserve">procedimientos, actas y notificaciones tramitadas por la Contraloría Municipal; </w:t>
      </w:r>
      <w:r w:rsidDel="00000000" w:rsidR="00000000" w:rsidRPr="00000000">
        <w:rPr>
          <w:rFonts w:ascii="Palatino Linotype" w:cs="Palatino Linotype" w:eastAsia="Palatino Linotype" w:hAnsi="Palatino Linotype"/>
          <w:b w:val="1"/>
          <w:rtl w:val="0"/>
        </w:rPr>
        <w:t xml:space="preserve">Solicitud 227.pdf </w:t>
      </w:r>
      <w:r w:rsidDel="00000000" w:rsidR="00000000" w:rsidRPr="00000000">
        <w:rPr>
          <w:rFonts w:ascii="Palatino Linotype" w:cs="Palatino Linotype" w:eastAsia="Palatino Linotype" w:hAnsi="Palatino Linotype"/>
          <w:rtl w:val="0"/>
        </w:rPr>
        <w:t xml:space="preserve">archivo electrónico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mediante el cual</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el encargado de la Unidad de Transparencia remitió la información al particular</w:t>
      </w:r>
      <w:r w:rsidDel="00000000" w:rsidR="00000000" w:rsidRPr="00000000">
        <w:rPr>
          <w:rtl w:val="0"/>
        </w:rPr>
      </w:r>
    </w:p>
    <w:p w:rsidR="00000000" w:rsidDel="00000000" w:rsidP="00000000" w:rsidRDefault="00000000" w:rsidRPr="00000000" w14:paraId="0000001A">
      <w:pPr>
        <w:spacing w:after="0" w:before="0"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B">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000000"/>
          <w:rtl w:val="0"/>
        </w:rPr>
        <w:t xml:space="preserve">Inconforme con la respuesta proporcionada por </w:t>
      </w:r>
      <w:r w:rsidDel="00000000" w:rsidR="00000000" w:rsidRPr="00000000">
        <w:rPr>
          <w:rFonts w:ascii="Palatino Linotype" w:cs="Palatino Linotype" w:eastAsia="Palatino Linotype" w:hAnsi="Palatino Linotype"/>
          <w:b w:val="1"/>
          <w:color w:val="000000"/>
          <w:rtl w:val="0"/>
        </w:rPr>
        <w:t xml:space="preserve">EL SUJETO OBLIGADO,</w:t>
      </w:r>
      <w:r w:rsidDel="00000000" w:rsidR="00000000" w:rsidRPr="00000000">
        <w:rPr>
          <w:rFonts w:ascii="Palatino Linotype" w:cs="Palatino Linotype" w:eastAsia="Palatino Linotype" w:hAnsi="Palatino Linotype"/>
          <w:color w:val="000000"/>
          <w:rtl w:val="0"/>
        </w:rPr>
        <w:t xml:space="preserve"> </w:t>
      </w:r>
      <w:r w:rsidDel="00000000" w:rsidR="00000000" w:rsidRPr="00000000">
        <w:rPr>
          <w:rFonts w:ascii="Palatino Linotype" w:cs="Palatino Linotype" w:eastAsia="Palatino Linotype" w:hAnsi="Palatino Linotype"/>
          <w:b w:val="1"/>
          <w:color w:val="000000"/>
          <w:rtl w:val="0"/>
        </w:rPr>
        <w:t xml:space="preserve">EL RECURRENTE</w:t>
      </w:r>
      <w:r w:rsidDel="00000000" w:rsidR="00000000" w:rsidRPr="00000000">
        <w:rPr>
          <w:rFonts w:ascii="Palatino Linotype" w:cs="Palatino Linotype" w:eastAsia="Palatino Linotype" w:hAnsi="Palatino Linotype"/>
          <w:color w:val="000000"/>
          <w:rtl w:val="0"/>
        </w:rPr>
        <w:t xml:space="preserve"> </w:t>
      </w:r>
      <w:r w:rsidDel="00000000" w:rsidR="00000000" w:rsidRPr="00000000">
        <w:rPr>
          <w:rFonts w:ascii="Palatino Linotype" w:cs="Palatino Linotype" w:eastAsia="Palatino Linotype" w:hAnsi="Palatino Linotype"/>
          <w:rtl w:val="0"/>
        </w:rPr>
        <w:t xml:space="preserve">interpuso el recurso de revisión de mérito en el que manifestó comoacto impugnado:</w:t>
      </w:r>
    </w:p>
    <w:p w:rsidR="00000000" w:rsidDel="00000000" w:rsidP="00000000" w:rsidRDefault="00000000" w:rsidRPr="00000000" w14:paraId="0000001C">
      <w:pPr>
        <w:spacing w:after="0" w:before="0" w:lineRule="auto"/>
        <w:ind w:left="851" w:right="902"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D">
      <w:pPr>
        <w:spacing w:after="0" w:before="0" w:lineRule="auto"/>
        <w:ind w:left="851" w:right="902"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color w:val="000000"/>
          <w:sz w:val="22"/>
          <w:szCs w:val="22"/>
          <w:rtl w:val="0"/>
        </w:rPr>
        <w:t xml:space="preserve">“RESP</w:t>
      </w:r>
      <w:r w:rsidDel="00000000" w:rsidR="00000000" w:rsidRPr="00000000">
        <w:rPr>
          <w:rFonts w:ascii="Palatino Linotype" w:cs="Palatino Linotype" w:eastAsia="Palatino Linotype" w:hAnsi="Palatino Linotype"/>
          <w:i w:val="1"/>
          <w:sz w:val="22"/>
          <w:szCs w:val="22"/>
          <w:rtl w:val="0"/>
        </w:rPr>
        <w:t xml:space="preserve">”(Sic).</w:t>
      </w:r>
      <w:r w:rsidDel="00000000" w:rsidR="00000000" w:rsidRPr="00000000">
        <w:rPr>
          <w:rtl w:val="0"/>
        </w:rPr>
      </w:r>
    </w:p>
    <w:p w:rsidR="00000000" w:rsidDel="00000000" w:rsidP="00000000" w:rsidRDefault="00000000" w:rsidRPr="00000000" w14:paraId="0000001E">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F">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como razones o motivos de inconformidad:</w:t>
      </w:r>
    </w:p>
    <w:p w:rsidR="00000000" w:rsidDel="00000000" w:rsidP="00000000" w:rsidRDefault="00000000" w:rsidRPr="00000000" w14:paraId="00000020">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1">
      <w:pPr>
        <w:spacing w:after="0" w:before="0" w:lineRule="auto"/>
        <w:ind w:left="851" w:right="902"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color w:val="000000"/>
          <w:sz w:val="22"/>
          <w:szCs w:val="22"/>
          <w:rtl w:val="0"/>
        </w:rPr>
        <w:t xml:space="preserve">“hace caso omiso al fundamento la solicitud y manda a que se tiene que pagar supuesta información que ya tiene cuando es información que se tiene que tener en medio magnético. espero el INFOEM haga lo propio ya que este responsable de transparencia solo mancha el nombre del INFOEM con sus contestaciones banas, insuficiente, limitado, desprovisto, falto, menesteroso, pobre, parvo, raro, corto, avaro, mísero</w:t>
      </w:r>
      <w:r w:rsidDel="00000000" w:rsidR="00000000" w:rsidRPr="00000000">
        <w:rPr>
          <w:rFonts w:ascii="Palatino Linotype" w:cs="Palatino Linotype" w:eastAsia="Palatino Linotype" w:hAnsi="Palatino Linotype"/>
          <w:i w:val="1"/>
          <w:sz w:val="22"/>
          <w:szCs w:val="22"/>
          <w:rtl w:val="0"/>
        </w:rPr>
        <w:t xml:space="preserve">”(Sic).</w:t>
      </w:r>
      <w:r w:rsidDel="00000000" w:rsidR="00000000" w:rsidRPr="00000000">
        <w:rPr>
          <w:rtl w:val="0"/>
        </w:rPr>
      </w:r>
    </w:p>
    <w:p w:rsidR="00000000" w:rsidDel="00000000" w:rsidP="00000000" w:rsidRDefault="00000000" w:rsidRPr="00000000" w14:paraId="00000022">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3">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del análisis de la totalidad de las constancias que conforman el expediente electrónico</w:t>
      </w:r>
      <w:r w:rsidDel="00000000" w:rsidR="00000000" w:rsidRPr="00000000">
        <w:rPr>
          <w:rFonts w:ascii="Palatino Linotype" w:cs="Palatino Linotype" w:eastAsia="Palatino Linotype" w:hAnsi="Palatino Linotype"/>
          <w:b w:val="1"/>
          <w:rtl w:val="0"/>
        </w:rPr>
        <w:t xml:space="preserve">,</w:t>
      </w:r>
      <w:r w:rsidDel="00000000" w:rsidR="00000000" w:rsidRPr="00000000">
        <w:rPr>
          <w:rFonts w:ascii="Palatino Linotype" w:cs="Palatino Linotype" w:eastAsia="Palatino Linotype" w:hAnsi="Palatino Linotype"/>
          <w:rtl w:val="0"/>
        </w:rPr>
        <w:t xml:space="preserve"> la Ponencia Resolutora determinó </w:t>
      </w:r>
      <w:r w:rsidDel="00000000" w:rsidR="00000000" w:rsidRPr="00000000">
        <w:rPr>
          <w:rFonts w:ascii="Palatino Linotype" w:cs="Palatino Linotype" w:eastAsia="Palatino Linotype" w:hAnsi="Palatino Linotype"/>
          <w:b w:val="1"/>
          <w:rtl w:val="0"/>
        </w:rPr>
        <w:t xml:space="preserve">MODIFICAR </w:t>
      </w:r>
      <w:r w:rsidDel="00000000" w:rsidR="00000000" w:rsidRPr="00000000">
        <w:rPr>
          <w:rFonts w:ascii="Palatino Linotype" w:cs="Palatino Linotype" w:eastAsia="Palatino Linotype" w:hAnsi="Palatino Linotype"/>
          <w:rtl w:val="0"/>
        </w:rPr>
        <w:t xml:space="preserve">la respuesta del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y ordenar la entrega vía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en términos del considerando cuarto lo siguiente:</w:t>
      </w:r>
    </w:p>
    <w:p w:rsidR="00000000" w:rsidDel="00000000" w:rsidP="00000000" w:rsidRDefault="00000000" w:rsidRPr="00000000" w14:paraId="00000024">
      <w:pPr>
        <w:spacing w:after="0" w:before="0" w:line="360" w:lineRule="auto"/>
        <w:jc w:val="both"/>
        <w:rPr/>
      </w:pPr>
      <w:r w:rsidDel="00000000" w:rsidR="00000000" w:rsidRPr="00000000">
        <w:rPr>
          <w:rtl w:val="0"/>
        </w:rPr>
      </w:r>
    </w:p>
    <w:p w:rsidR="00000000" w:rsidDel="00000000" w:rsidP="00000000" w:rsidRDefault="00000000" w:rsidRPr="00000000" w14:paraId="00000025">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“1. Expedientes concluidos por la Contraloría Municipal, del primero de enero al ocho de noviembre de dos mil diecinueve.</w:t>
      </w:r>
    </w:p>
    <w:p w:rsidR="00000000" w:rsidDel="00000000" w:rsidP="00000000" w:rsidRDefault="00000000" w:rsidRPr="00000000" w14:paraId="00000026">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27">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2. Oficios y demás documentación recibida y emitida por la Contraloría Municipal del primero de enero al ocho de noviembre de dos mil diecinueve.</w:t>
      </w:r>
    </w:p>
    <w:p w:rsidR="00000000" w:rsidDel="00000000" w:rsidP="00000000" w:rsidRDefault="00000000" w:rsidRPr="00000000" w14:paraId="00000028">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29">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000000" w:rsidDel="00000000" w:rsidP="00000000" w:rsidRDefault="00000000" w:rsidRPr="00000000" w14:paraId="0000002A">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Respecto del numeral uno, para el caso de que algún expediente no haya causado estado, el Comité de Transparencia deberá emitir y notificar, el acuerdo de reserva, en términos del artículo 140 de la Ley de Transparencia y Acceso a la Información Pública del Estado de México y Municipios.</w:t>
      </w:r>
    </w:p>
    <w:p w:rsidR="00000000" w:rsidDel="00000000" w:rsidP="00000000" w:rsidRDefault="00000000" w:rsidRPr="00000000" w14:paraId="0000002B">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 efecto de que el Sujeto Obligado, dé cumplimiento a lo anterior, es necesario que informe al recurrente a través del SAIMEX, el procedimiento para obtener el medio magnético con la información correspondiente, proporcionando: el nombre de los servidores públicos que lo atenderán,  el o los lugares a acudir a realizar el trámite, días y horarios en que se deberá presentar el solicitante para obtener la información.”</w:t>
      </w:r>
    </w:p>
    <w:p w:rsidR="00000000" w:rsidDel="00000000" w:rsidP="00000000" w:rsidRDefault="00000000" w:rsidRPr="00000000" w14:paraId="0000002C">
      <w:pPr>
        <w:spacing w:after="0" w:before="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D">
      <w:pPr>
        <w:spacing w:after="0" w:before="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la que suscribe reitera, que si bien coincide en términos generales con el sentido de la resolución en comento, considero, que se encuadra la hipótesis contenida en los artículos 159 y 160 de la Ley General de Transparencia y Acceso a la Información Pública, a fin de hacerlo del conocimiento del particular que le asiste el derecho a interponer el recurso de inconformidad ante el  Instituto Nacional de Transparencia, Acceso a la Información y Protección de Datos Personales.</w:t>
      </w:r>
    </w:p>
    <w:p w:rsidR="00000000" w:rsidDel="00000000" w:rsidP="00000000" w:rsidRDefault="00000000" w:rsidRPr="00000000" w14:paraId="0000002E">
      <w:pPr>
        <w:spacing w:after="0" w:before="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F">
      <w:pPr>
        <w:spacing w:after="0" w:before="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obedece a que dentro de la respuesta se  advierte el Acuerdo IXTASAL/CT/13ext/2019 remitido mediante respuesta primigenia, mediante el cual se aprueba la clasificación de la información como reservada por un periodo de tres años, de manera fundada y motivada.</w:t>
      </w:r>
    </w:p>
    <w:p w:rsidR="00000000" w:rsidDel="00000000" w:rsidP="00000000" w:rsidRDefault="00000000" w:rsidRPr="00000000" w14:paraId="00000030">
      <w:pPr>
        <w:spacing w:after="0" w:before="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contexto, conviene precisar que los artículos 159 y 160 de la Ley General, se encuentran inmersos en el Título Octavo de la Ley en cita, denominado “De los Procedimientos de Impugnación en Materia de Acceso a la Información Pública”, específicamente en el Capítulo II  denominado “Del Recurso de Inconformidad ante el Instituto”, el cual, nos hace mención de las instancias ante las cuáles se podrá interponer el recurso de inconformidad y los supuestos legales en los que procede, tal y como se aprecia a continuación:</w:t>
      </w:r>
    </w:p>
    <w:p w:rsidR="00000000" w:rsidDel="00000000" w:rsidP="00000000" w:rsidRDefault="00000000" w:rsidRPr="00000000" w14:paraId="00000031">
      <w:pPr>
        <w:widowControl w:val="0"/>
        <w:spacing w:after="0" w:before="0" w:lineRule="auto"/>
        <w:ind w:left="851" w:right="902"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2">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159</w:t>
      </w:r>
      <w:r w:rsidDel="00000000" w:rsidR="00000000" w:rsidRPr="00000000">
        <w:rPr>
          <w:rFonts w:ascii="Palatino Linotype" w:cs="Palatino Linotype" w:eastAsia="Palatino Linotype" w:hAnsi="Palatino Linotype"/>
          <w:i w:val="1"/>
          <w:sz w:val="22"/>
          <w:szCs w:val="22"/>
          <w:rtl w:val="0"/>
        </w:rPr>
        <w:t xml:space="preserve">. Tratándose de las resoluciones a los recursos de revisión de los Organismos garantes de las Entidades Federativas, los particulares podrán optar por acudir ante el Instituto o ante el Poder Judicial de la Federación.</w:t>
      </w:r>
    </w:p>
    <w:p w:rsidR="00000000" w:rsidDel="00000000" w:rsidP="00000000" w:rsidRDefault="00000000" w:rsidRPr="00000000" w14:paraId="00000033">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4">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160</w:t>
      </w:r>
      <w:r w:rsidDel="00000000" w:rsidR="00000000" w:rsidRPr="00000000">
        <w:rPr>
          <w:rFonts w:ascii="Palatino Linotype" w:cs="Palatino Linotype" w:eastAsia="Palatino Linotype" w:hAnsi="Palatino Linotype"/>
          <w:i w:val="1"/>
          <w:sz w:val="22"/>
          <w:szCs w:val="22"/>
          <w:rtl w:val="0"/>
        </w:rPr>
        <w:t xml:space="preserve">. El recurso de inconformidad procede contra las resoluciones emitidas por los Organismos garantes de las Entidades Federativas que:</w:t>
      </w:r>
    </w:p>
    <w:p w:rsidR="00000000" w:rsidDel="00000000" w:rsidP="00000000" w:rsidRDefault="00000000" w:rsidRPr="00000000" w14:paraId="00000035">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6">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w:t>
        <w:tab/>
        <w:t xml:space="preserve">Confirmen o modifiquen la clasificación de la información, o</w:t>
      </w:r>
    </w:p>
    <w:p w:rsidR="00000000" w:rsidDel="00000000" w:rsidP="00000000" w:rsidRDefault="00000000" w:rsidRPr="00000000" w14:paraId="00000037">
      <w:pPr>
        <w:spacing w:after="0" w:before="0" w:lineRule="auto"/>
        <w:ind w:left="851" w:right="902" w:firstLine="0"/>
        <w:jc w:val="both"/>
        <w:rPr>
          <w:rFonts w:ascii="Palatino Linotype" w:cs="Palatino Linotype" w:eastAsia="Palatino Linotype" w:hAnsi="Palatino Linotype"/>
          <w:i w:val="1"/>
          <w:sz w:val="22"/>
          <w:szCs w:val="22"/>
          <w:u w:val="single"/>
        </w:rPr>
      </w:pPr>
      <w:r w:rsidDel="00000000" w:rsidR="00000000" w:rsidRPr="00000000">
        <w:rPr>
          <w:rFonts w:ascii="Palatino Linotype" w:cs="Palatino Linotype" w:eastAsia="Palatino Linotype" w:hAnsi="Palatino Linotype"/>
          <w:i w:val="1"/>
          <w:sz w:val="22"/>
          <w:szCs w:val="22"/>
          <w:rtl w:val="0"/>
        </w:rPr>
        <w:t xml:space="preserve">II.</w:t>
        <w:tab/>
        <w:t xml:space="preserve">Confirmen la inexistencia o negativa de información</w:t>
      </w:r>
      <w:r w:rsidDel="00000000" w:rsidR="00000000" w:rsidRPr="00000000">
        <w:rPr>
          <w:rFonts w:ascii="Palatino Linotype" w:cs="Palatino Linotype" w:eastAsia="Palatino Linotype" w:hAnsi="Palatino Linotype"/>
          <w:i w:val="1"/>
          <w:sz w:val="22"/>
          <w:szCs w:val="22"/>
          <w:u w:val="single"/>
          <w:rtl w:val="0"/>
        </w:rPr>
        <w:t xml:space="preserve">.</w:t>
      </w:r>
    </w:p>
    <w:p w:rsidR="00000000" w:rsidDel="00000000" w:rsidP="00000000" w:rsidRDefault="00000000" w:rsidRPr="00000000" w14:paraId="00000038">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9">
      <w:pPr>
        <w:spacing w:after="0" w:before="0" w:lineRule="auto"/>
        <w:ind w:left="851" w:right="902" w:firstLine="0"/>
        <w:jc w:val="both"/>
        <w:rPr>
          <w:rFonts w:ascii="Palatino Linotype" w:cs="Palatino Linotype" w:eastAsia="Palatino Linotype" w:hAnsi="Palatino Linotype"/>
          <w:i w:val="1"/>
          <w:sz w:val="22"/>
          <w:szCs w:val="22"/>
          <w:u w:val="single"/>
        </w:rPr>
      </w:pPr>
      <w:r w:rsidDel="00000000" w:rsidR="00000000" w:rsidRPr="00000000">
        <w:rPr>
          <w:rFonts w:ascii="Palatino Linotype" w:cs="Palatino Linotype" w:eastAsia="Palatino Linotype" w:hAnsi="Palatino Linotype"/>
          <w:i w:val="1"/>
          <w:sz w:val="22"/>
          <w:szCs w:val="22"/>
          <w:rtl w:val="0"/>
        </w:rPr>
        <w:t xml:space="preserve">Se entenderá como negativa de acceso a la información la falta de resolución de los Organismos garantes de las Entidades Federativas dentro del plazo previsto para ello.”</w:t>
      </w:r>
      <w:r w:rsidDel="00000000" w:rsidR="00000000" w:rsidRPr="00000000">
        <w:rPr>
          <w:rtl w:val="0"/>
        </w:rPr>
      </w:r>
    </w:p>
    <w:p w:rsidR="00000000" w:rsidDel="00000000" w:rsidP="00000000" w:rsidRDefault="00000000" w:rsidRPr="00000000" w14:paraId="0000003A">
      <w:pPr>
        <w:spacing w:after="0" w:before="0" w:line="276" w:lineRule="auto"/>
        <w:ind w:left="851" w:right="49"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B">
      <w:pPr>
        <w:widowControl w:val="0"/>
        <w:spacing w:after="0" w:before="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anterior, se advierte que los artículos en cita  resultan aplicables al asunto en concreto, toda vez que la Ponencia Resolutora confirmó el Acuerdo de clasificación de la información como reservada; aprobado por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a través del Comité de Transparencia.</w:t>
      </w:r>
    </w:p>
    <w:p w:rsidR="00000000" w:rsidDel="00000000" w:rsidP="00000000" w:rsidRDefault="00000000" w:rsidRPr="00000000" w14:paraId="0000003C">
      <w:pPr>
        <w:widowControl w:val="0"/>
        <w:spacing w:after="0" w:before="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D">
      <w:pPr>
        <w:widowControl w:val="0"/>
        <w:spacing w:after="0" w:before="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Para mayor claridad de lo aducido, se debe establecer que para confirmar o modificar la clasificación de la información, primero,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debe haber remitido el Acuerdo del Comité de Transparencia en virtud del cual se determine la misma, situación que se advierte dentro del expediente electrónico del SAIMEX, toda vez que efectivamente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remitió el Acuerdo de clasificación de la información, documento que contiene la motivación y fundamentación pertinente ya que sustenta el por qué no es viable otorgar las actas, procedimientos y notificaciones realizadas por la Contraloría Municipal.</w:t>
      </w:r>
    </w:p>
    <w:p w:rsidR="00000000" w:rsidDel="00000000" w:rsidP="00000000" w:rsidRDefault="00000000" w:rsidRPr="00000000" w14:paraId="0000003E">
      <w:pPr>
        <w:widowControl w:val="0"/>
        <w:spacing w:after="0" w:before="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F">
      <w:pPr>
        <w:widowControl w:val="0"/>
        <w:spacing w:after="0" w:before="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conclusión, la que suscribe emite </w:t>
      </w:r>
      <w:r w:rsidDel="00000000" w:rsidR="00000000" w:rsidRPr="00000000">
        <w:rPr>
          <w:rFonts w:ascii="Palatino Linotype" w:cs="Palatino Linotype" w:eastAsia="Palatino Linotype" w:hAnsi="Palatino Linotype"/>
          <w:b w:val="1"/>
          <w:rtl w:val="0"/>
        </w:rPr>
        <w:t xml:space="preserve">VOTO PARTICULAR</w:t>
      </w:r>
      <w:r w:rsidDel="00000000" w:rsidR="00000000" w:rsidRPr="00000000">
        <w:rPr>
          <w:rFonts w:ascii="Palatino Linotype" w:cs="Palatino Linotype" w:eastAsia="Palatino Linotype" w:hAnsi="Palatino Linotype"/>
          <w:rtl w:val="0"/>
        </w:rPr>
        <w:t xml:space="preserve"> ya que considero que se debieron invocar dichos artículos al ser procedentes; por lo que, se insiste, que de las constancias del expediente se advierten actos que encuadran en los supuestos legales de procedencia del recurso de inconformidad señalados en los numerales 159 y 160 de la Ley General de Transparencia y Acceso a la Información Pública, en atención a los principios inmersos en el artículo 9 de la Ley de Transparencia y Acceso a la Información Pública del Estado de México y Municipios y de conformidad a los principios de exhaustividad y congruencia.</w:t>
      </w:r>
    </w:p>
    <w:p w:rsidR="00000000" w:rsidDel="00000000" w:rsidP="00000000" w:rsidRDefault="00000000" w:rsidRPr="00000000" w14:paraId="00000040">
      <w:pPr>
        <w:widowControl w:val="0"/>
        <w:spacing w:after="0" w:before="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1">
      <w:pPr>
        <w:widowControl w:val="0"/>
        <w:spacing w:after="0" w:before="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2">
      <w:pPr>
        <w:widowControl w:val="0"/>
        <w:spacing w:after="0" w:before="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3">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EVA ABAID YAPUR</w:t>
      </w:r>
    </w:p>
    <w:p w:rsidR="00000000" w:rsidDel="00000000" w:rsidP="00000000" w:rsidRDefault="00000000" w:rsidRPr="00000000" w14:paraId="00000044">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COMISIONADA</w:t>
      </w:r>
    </w:p>
    <w:p w:rsidR="00000000" w:rsidDel="00000000" w:rsidP="00000000" w:rsidRDefault="00000000" w:rsidRPr="00000000" w14:paraId="00000045">
      <w:pPr>
        <w:jc w:val="center"/>
        <w:rPr>
          <w:rFonts w:ascii="Palatino Linotype" w:cs="Palatino Linotype" w:eastAsia="Palatino Linotype" w:hAnsi="Palatino Linotype"/>
        </w:rPr>
      </w:pPr>
      <w:bookmarkStart w:colFirst="0" w:colLast="0" w:name="_heading=h.gjdgxs" w:id="0"/>
      <w:bookmarkEnd w:id="0"/>
      <w:r w:rsidDel="00000000" w:rsidR="00000000" w:rsidRPr="00000000">
        <w:rPr>
          <w:rFonts w:ascii="Palatino Linotype" w:cs="Palatino Linotype" w:eastAsia="Palatino Linotype" w:hAnsi="Palatino Linotype"/>
          <w:b w:val="1"/>
          <w:rtl w:val="0"/>
        </w:rPr>
        <w:t xml:space="preserve">(RÚBRICA)</w:t>
      </w:r>
      <w:r w:rsidDel="00000000" w:rsidR="00000000" w:rsidRPr="00000000">
        <w:rPr>
          <w:rtl w:val="0"/>
        </w:rPr>
      </w:r>
    </w:p>
    <w:p w:rsidR="00000000" w:rsidDel="00000000" w:rsidP="00000000" w:rsidRDefault="00000000" w:rsidRPr="00000000" w14:paraId="00000046">
      <w:pPr>
        <w:widowControl w:val="0"/>
        <w:spacing w:after="280" w:before="0" w:line="360" w:lineRule="auto"/>
        <w:ind w:right="49"/>
        <w:jc w:val="both"/>
        <w:rPr>
          <w:rFonts w:ascii="Palatino Linotype" w:cs="Palatino Linotype" w:eastAsia="Palatino Linotype" w:hAnsi="Palatino Linotype"/>
        </w:rPr>
      </w:pPr>
      <w:r w:rsidDel="00000000" w:rsidR="00000000" w:rsidRPr="00000000">
        <w:rPr>
          <w:rtl w:val="0"/>
        </w:rPr>
      </w:r>
    </w:p>
    <w:tbl>
      <w:tblPr>
        <w:tblStyle w:val="Table1"/>
        <w:tblW w:w="2826.0" w:type="dxa"/>
        <w:jc w:val="left"/>
        <w:tblInd w:w="0.0" w:type="dxa"/>
        <w:tblLayout w:type="fixed"/>
        <w:tblLook w:val="0400"/>
      </w:tblPr>
      <w:tblGrid>
        <w:gridCol w:w="2826"/>
        <w:tblGridChange w:id="0">
          <w:tblGrid>
            <w:gridCol w:w="2826"/>
          </w:tblGrid>
        </w:tblGridChange>
      </w:tblGrid>
      <w:tr>
        <w:trPr>
          <w:trHeight w:val="426" w:hRule="atLeast"/>
        </w:trPr>
        <w:tc>
          <w:tcPr/>
          <w:p w:rsidR="00000000" w:rsidDel="00000000" w:rsidP="00000000" w:rsidRDefault="00000000" w:rsidRPr="00000000" w14:paraId="00000047">
            <w:pPr>
              <w:spacing w:after="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48">
            <w:pPr>
              <w:spacing w:after="0" w:before="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49">
            <w:pPr>
              <w:spacing w:after="0" w:before="0" w:lineRule="auto"/>
              <w:ind w:right="-6490.866141732284"/>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4A">
            <w:pPr>
              <w:jc w:val="center"/>
              <w:rPr>
                <w:rFonts w:ascii="Palatino Linotype" w:cs="Palatino Linotype" w:eastAsia="Palatino Linotype" w:hAnsi="Palatino Linotype"/>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4B">
            <w:pPr>
              <w:spacing w:after="0" w:before="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04C">
      <w:pPr>
        <w:spacing w:after="0" w:before="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4D">
      <w:pPr>
        <w:spacing w:after="0" w:before="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4E">
      <w:pPr>
        <w:spacing w:after="0" w:before="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4F">
      <w:pPr>
        <w:spacing w:after="0" w:before="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50">
      <w:pPr>
        <w:spacing w:after="0" w:before="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51">
      <w:pPr>
        <w:spacing w:after="0" w:before="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52">
      <w:pPr>
        <w:spacing w:after="0" w:before="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53">
      <w:pPr>
        <w:spacing w:after="0" w:before="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54">
      <w:pPr>
        <w:spacing w:after="0" w:before="0" w:lineRule="auto"/>
        <w:jc w:val="both"/>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color w:val="000000"/>
          <w:sz w:val="20"/>
          <w:szCs w:val="20"/>
          <w:rtl w:val="0"/>
        </w:rPr>
        <w:t xml:space="preserve">Esta hoja corresponde al voto particular emitido en la resolución del recurso de revisión 09065/INFOEM/IP/RR/2019, aprobada el doce de febrero de dos mil veinte.</w:t>
      </w:r>
    </w:p>
    <w:p w:rsidR="00000000" w:rsidDel="00000000" w:rsidP="00000000" w:rsidRDefault="00000000" w:rsidRPr="00000000" w14:paraId="00000055">
      <w:pPr>
        <w:spacing w:after="0" w:before="0" w:lineRule="auto"/>
        <w:jc w:val="both"/>
        <w:rPr>
          <w:rFonts w:ascii="Palatino Linotype" w:cs="Palatino Linotype" w:eastAsia="Palatino Linotype" w:hAnsi="Palatino Linotype"/>
          <w:color w:val="000000"/>
          <w:sz w:val="8"/>
          <w:szCs w:val="8"/>
        </w:rPr>
      </w:pPr>
      <w:r w:rsidDel="00000000" w:rsidR="00000000" w:rsidRPr="00000000">
        <w:rPr>
          <w:rtl w:val="0"/>
        </w:rPr>
      </w:r>
    </w:p>
    <w:p w:rsidR="00000000" w:rsidDel="00000000" w:rsidP="00000000" w:rsidRDefault="00000000" w:rsidRPr="00000000" w14:paraId="00000056">
      <w:pPr>
        <w:spacing w:before="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color w:val="000000"/>
          <w:sz w:val="20"/>
          <w:szCs w:val="20"/>
          <w:rtl w:val="0"/>
        </w:rPr>
        <w:t xml:space="preserve">YSM/LGMJ</w:t>
      </w:r>
      <w:r w:rsidDel="00000000" w:rsidR="00000000" w:rsidRPr="00000000">
        <w:rPr>
          <w:rtl w:val="0"/>
        </w:rPr>
      </w:r>
    </w:p>
    <w:sectPr>
      <w:headerReference r:id="rId7" w:type="default"/>
      <w:headerReference r:id="rId8" w:type="first"/>
      <w:headerReference r:id="rId9" w:type="even"/>
      <w:footerReference r:id="rId10" w:type="default"/>
      <w:pgSz w:h="15840" w:w="12240"/>
      <w:pgMar w:bottom="1418" w:top="1418" w:left="1701" w:right="1418" w:header="709" w:footer="59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left" w:pos="42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left" w:pos="42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left" w:pos="42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Página </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de </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708"/>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93" w:firstLine="0"/>
      <w:jc w:val="righ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93"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93"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VOTO PARTICULAR</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93"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RECURSO DE REVISIÓN 09065/INFOEM/IP/RR/2019</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93"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80F8C"/>
    <w:rPr>
      <w:rFonts w:ascii="Times New Roman" w:cs="Times New Roman" w:eastAsia="Times New Roman" w:hAnsi="Times New Roman"/>
      <w:lang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58639E"/>
    <w:pPr>
      <w:ind w:left="720"/>
      <w:contextualSpacing w:val="1"/>
    </w:pPr>
  </w:style>
  <w:style w:type="paragraph" w:styleId="Default" w:customStyle="1">
    <w:name w:val="Default"/>
    <w:rsid w:val="0058639E"/>
    <w:pPr>
      <w:autoSpaceDE w:val="0"/>
      <w:autoSpaceDN w:val="0"/>
      <w:adjustRightInd w:val="0"/>
    </w:pPr>
    <w:rPr>
      <w:rFonts w:ascii="Arial" w:cs="Arial" w:hAnsi="Arial"/>
      <w:color w:val="000000"/>
      <w:lang w:val="es-MX"/>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0E2B1A"/>
    <w:rPr>
      <w:rFonts w:ascii="Times New Roman" w:cs="Times New Roman" w:eastAsia="Times New Roman" w:hAnsi="Times New Roman"/>
      <w:lang w:val="es-ES"/>
    </w:rPr>
  </w:style>
  <w:style w:type="paragraph" w:styleId="Sinespaciado">
    <w:name w:val="No Spacing"/>
    <w:aliases w:val="Francesa"/>
    <w:link w:val="SinespaciadoCar"/>
    <w:uiPriority w:val="1"/>
    <w:qFormat w:val="1"/>
    <w:rsid w:val="008C0700"/>
    <w:rPr>
      <w:rFonts w:ascii="Times New Roman" w:cs="Times New Roman" w:eastAsia="Times New Roman" w:hAnsi="Times New Roman"/>
      <w:lang w:val="es-MX"/>
    </w:rPr>
  </w:style>
  <w:style w:type="character" w:styleId="SinespaciadoCar" w:customStyle="1">
    <w:name w:val="Sin espaciado Car"/>
    <w:aliases w:val="Francesa Car"/>
    <w:link w:val="Sinespaciado"/>
    <w:uiPriority w:val="1"/>
    <w:locked w:val="1"/>
    <w:rsid w:val="008C0700"/>
    <w:rPr>
      <w:rFonts w:ascii="Times New Roman" w:cs="Times New Roman" w:eastAsia="Times New Roman" w:hAnsi="Times New Roman"/>
      <w:lang w:val="es-MX"/>
    </w:rPr>
  </w:style>
  <w:style w:type="character" w:styleId="normaltextrun" w:customStyle="1">
    <w:name w:val="normaltextrun"/>
    <w:basedOn w:val="Fuentedeprrafopredeter"/>
    <w:rsid w:val="002D69E1"/>
  </w:style>
  <w:style w:type="paragraph" w:styleId="paragraph" w:customStyle="1">
    <w:name w:val="paragraph"/>
    <w:basedOn w:val="Normal"/>
    <w:rsid w:val="002D69E1"/>
    <w:pPr>
      <w:spacing w:after="100" w:afterAutospacing="1" w:before="100" w:beforeAutospacing="1"/>
    </w:pPr>
    <w:rPr>
      <w:lang w:eastAsia="es-MX"/>
    </w:rPr>
  </w:style>
  <w:style w:type="table" w:styleId="Tablaconcuadrcula">
    <w:name w:val="Table Grid"/>
    <w:basedOn w:val="Tablanormal"/>
    <w:uiPriority w:val="59"/>
    <w:rsid w:val="00D93CE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basedOn w:val="Fuentedeprrafopredeter"/>
    <w:rsid w:val="00D93CE4"/>
  </w:style>
  <w:style w:type="character" w:styleId="Refdecomentario">
    <w:name w:val="annotation reference"/>
    <w:basedOn w:val="Fuentedeprrafopredeter"/>
    <w:uiPriority w:val="99"/>
    <w:semiHidden w:val="1"/>
    <w:unhideWhenUsed w:val="1"/>
    <w:rsid w:val="006914AA"/>
    <w:rPr>
      <w:sz w:val="16"/>
      <w:szCs w:val="16"/>
    </w:rPr>
  </w:style>
  <w:style w:type="paragraph" w:styleId="Textocomentario">
    <w:name w:val="annotation text"/>
    <w:basedOn w:val="Normal"/>
    <w:link w:val="TextocomentarioCar"/>
    <w:uiPriority w:val="99"/>
    <w:semiHidden w:val="1"/>
    <w:unhideWhenUsed w:val="1"/>
    <w:rsid w:val="006914AA"/>
    <w:rPr>
      <w:sz w:val="20"/>
      <w:szCs w:val="20"/>
    </w:rPr>
  </w:style>
  <w:style w:type="character" w:styleId="TextocomentarioCar" w:customStyle="1">
    <w:name w:val="Texto comentario Car"/>
    <w:basedOn w:val="Fuentedeprrafopredeter"/>
    <w:link w:val="Textocomentario"/>
    <w:uiPriority w:val="99"/>
    <w:semiHidden w:val="1"/>
    <w:rsid w:val="006914AA"/>
    <w:rPr>
      <w:rFonts w:ascii="Times New Roman" w:cs="Times New Roman" w:eastAsia="Times New Roman" w:hAnsi="Times New Roman"/>
      <w:sz w:val="20"/>
      <w:szCs w:val="20"/>
      <w:lang w:val="es-MX"/>
    </w:rPr>
  </w:style>
  <w:style w:type="paragraph" w:styleId="Asuntodelcomentario">
    <w:name w:val="annotation subject"/>
    <w:basedOn w:val="Textocomentario"/>
    <w:next w:val="Textocomentario"/>
    <w:link w:val="AsuntodelcomentarioCar"/>
    <w:uiPriority w:val="99"/>
    <w:semiHidden w:val="1"/>
    <w:unhideWhenUsed w:val="1"/>
    <w:rsid w:val="006914AA"/>
    <w:rPr>
      <w:b w:val="1"/>
      <w:bCs w:val="1"/>
    </w:rPr>
  </w:style>
  <w:style w:type="character" w:styleId="AsuntodelcomentarioCar" w:customStyle="1">
    <w:name w:val="Asunto del comentario Car"/>
    <w:basedOn w:val="TextocomentarioCar"/>
    <w:link w:val="Asuntodelcomentario"/>
    <w:uiPriority w:val="99"/>
    <w:semiHidden w:val="1"/>
    <w:rsid w:val="006914AA"/>
    <w:rPr>
      <w:rFonts w:ascii="Times New Roman" w:cs="Times New Roman" w:eastAsia="Times New Roman" w:hAnsi="Times New Roman"/>
      <w:b w:val="1"/>
      <w:bCs w:val="1"/>
      <w:sz w:val="20"/>
      <w:szCs w:val="20"/>
      <w:lang w:val="es-MX"/>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3ISxbMbzVnuGfIxtY1J0xbNalQ==">AMUW2mWw1teUy5WJ/d7vLzinLCCq1IYFkt+oUsTxA6bMsf2DoIA+Or32qBv3qkT+olcy1MTlZTH8FAQ5K+JJeL39NS9h5VYYXgoCEn+OXQJML8AM9TfhWygWSOWpI9byk51hMeUvbQii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2020-02-17T17:10:00Z</dcterms:created>
  <dc:creator>iMac</dc:creator>
</cp:coreProperties>
</file>