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D6" w:rsidRPr="00CA6BAD" w:rsidRDefault="00D00ED6" w:rsidP="00D00ED6">
      <w:pPr>
        <w:shd w:val="clear" w:color="auto" w:fill="FFFFFF"/>
        <w:spacing w:after="0" w:line="360" w:lineRule="auto"/>
        <w:jc w:val="both"/>
        <w:rPr>
          <w:rFonts w:ascii="Palatino Linotype" w:eastAsia="Times New Roman" w:hAnsi="Palatino Linotype" w:cs="Arial"/>
          <w:color w:val="000000"/>
          <w:sz w:val="24"/>
          <w:szCs w:val="24"/>
          <w:lang w:eastAsia="es-MX"/>
        </w:rPr>
      </w:pPr>
      <w:r w:rsidRPr="00CA6BA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DC7AD0">
        <w:rPr>
          <w:rFonts w:ascii="Palatino Linotype" w:eastAsia="Times New Roman" w:hAnsi="Palatino Linotype" w:cs="Arial"/>
          <w:color w:val="000000"/>
          <w:sz w:val="24"/>
          <w:szCs w:val="24"/>
          <w:lang w:eastAsia="es-MX"/>
        </w:rPr>
        <w:t>veintiséis</w:t>
      </w:r>
      <w:r w:rsidRPr="00CA6BAD">
        <w:rPr>
          <w:rFonts w:ascii="Palatino Linotype" w:eastAsia="Times New Roman" w:hAnsi="Palatino Linotype" w:cs="Arial"/>
          <w:color w:val="000000"/>
          <w:sz w:val="24"/>
          <w:szCs w:val="24"/>
          <w:lang w:eastAsia="es-MX"/>
        </w:rPr>
        <w:t xml:space="preserve"> de</w:t>
      </w:r>
      <w:r w:rsidR="00DC7AD0">
        <w:rPr>
          <w:rFonts w:ascii="Palatino Linotype" w:eastAsia="Times New Roman" w:hAnsi="Palatino Linotype" w:cs="Arial"/>
          <w:color w:val="000000"/>
          <w:sz w:val="24"/>
          <w:szCs w:val="24"/>
          <w:lang w:eastAsia="es-MX"/>
        </w:rPr>
        <w:t xml:space="preserve"> junio</w:t>
      </w:r>
      <w:r w:rsidRPr="00CA6BAD">
        <w:rPr>
          <w:rFonts w:ascii="Palatino Linotype" w:eastAsia="Times New Roman" w:hAnsi="Palatino Linotype" w:cs="Arial"/>
          <w:color w:val="000000"/>
          <w:sz w:val="24"/>
          <w:szCs w:val="24"/>
          <w:lang w:eastAsia="es-MX"/>
        </w:rPr>
        <w:t xml:space="preserve"> de dos mil diecinueve.</w:t>
      </w:r>
    </w:p>
    <w:p w:rsidR="00D00ED6" w:rsidRPr="00CA6BAD" w:rsidRDefault="00D00ED6" w:rsidP="00D00ED6">
      <w:pPr>
        <w:shd w:val="clear" w:color="auto" w:fill="FFFFFF"/>
        <w:spacing w:after="0" w:line="360" w:lineRule="auto"/>
        <w:jc w:val="both"/>
        <w:rPr>
          <w:rFonts w:ascii="Palatino Linotype" w:eastAsia="Times New Roman" w:hAnsi="Palatino Linotype" w:cs="Arial"/>
          <w:color w:val="000000"/>
          <w:sz w:val="24"/>
          <w:szCs w:val="24"/>
          <w:lang w:eastAsia="es-MX"/>
        </w:rPr>
      </w:pPr>
    </w:p>
    <w:p w:rsidR="00D00ED6" w:rsidRPr="00CA6BAD" w:rsidRDefault="00D00ED6" w:rsidP="00D00ED6">
      <w:pPr>
        <w:spacing w:after="0" w:line="360" w:lineRule="auto"/>
        <w:jc w:val="both"/>
        <w:rPr>
          <w:rFonts w:ascii="Palatino Linotype" w:hAnsi="Palatino Linotype" w:cs="Arial"/>
          <w:sz w:val="24"/>
          <w:szCs w:val="24"/>
        </w:rPr>
      </w:pPr>
      <w:r w:rsidRPr="00CA6BAD">
        <w:rPr>
          <w:rFonts w:ascii="Palatino Linotype" w:hAnsi="Palatino Linotype" w:cs="Arial"/>
          <w:b/>
          <w:sz w:val="24"/>
        </w:rPr>
        <w:t>VISTO</w:t>
      </w:r>
      <w:r w:rsidRPr="00CA6BAD">
        <w:rPr>
          <w:rFonts w:ascii="Palatino Linotype" w:hAnsi="Palatino Linotype" w:cs="Arial"/>
          <w:sz w:val="24"/>
        </w:rPr>
        <w:t xml:space="preserve"> el expediente electrónico formado con motivo del recurso de revisión número </w:t>
      </w:r>
      <w:r w:rsidR="00E67E34">
        <w:rPr>
          <w:rFonts w:ascii="Palatino Linotype" w:hAnsi="Palatino Linotype" w:cs="Arial"/>
          <w:b/>
          <w:bCs/>
          <w:sz w:val="24"/>
          <w:lang w:eastAsia="es-MX"/>
        </w:rPr>
        <w:t>02466</w:t>
      </w:r>
      <w:r w:rsidRPr="00CA6BAD">
        <w:rPr>
          <w:rFonts w:ascii="Palatino Linotype" w:hAnsi="Palatino Linotype" w:cs="Arial"/>
          <w:b/>
          <w:bCs/>
          <w:sz w:val="24"/>
          <w:lang w:eastAsia="es-MX"/>
        </w:rPr>
        <w:t>/INFOEM/IP/RR/2019</w:t>
      </w:r>
      <w:r w:rsidRPr="00CA6BAD">
        <w:rPr>
          <w:rFonts w:ascii="Palatino Linotype" w:hAnsi="Palatino Linotype" w:cs="Arial"/>
          <w:sz w:val="24"/>
        </w:rPr>
        <w:t>, interpuesto por la</w:t>
      </w:r>
      <w:r w:rsidRPr="00CA6BAD">
        <w:rPr>
          <w:rFonts w:ascii="Palatino Linotype" w:hAnsi="Palatino Linotype" w:cs="Arial"/>
          <w:b/>
          <w:sz w:val="24"/>
        </w:rPr>
        <w:t xml:space="preserve"> C. </w:t>
      </w:r>
      <w:r w:rsidR="00682FBC">
        <w:rPr>
          <w:rFonts w:ascii="Palatino Linotype" w:hAnsi="Palatino Linotype" w:cs="Arial"/>
          <w:b/>
          <w:sz w:val="24"/>
        </w:rPr>
        <w:t>XXXXXXXXXXXXXX</w:t>
      </w:r>
      <w:r w:rsidRPr="00CA6BAD">
        <w:rPr>
          <w:rFonts w:ascii="Palatino Linotype" w:hAnsi="Palatino Linotype" w:cs="Arial"/>
          <w:sz w:val="24"/>
        </w:rPr>
        <w:t>,</w:t>
      </w:r>
      <w:r w:rsidRPr="00CA6BAD">
        <w:rPr>
          <w:rFonts w:ascii="Palatino Linotype" w:hAnsi="Palatino Linotype" w:cs="Arial"/>
          <w:b/>
          <w:sz w:val="24"/>
        </w:rPr>
        <w:t xml:space="preserve"> </w:t>
      </w:r>
      <w:r w:rsidRPr="00CA6BAD">
        <w:rPr>
          <w:rFonts w:ascii="Palatino Linotype" w:hAnsi="Palatino Linotype" w:cs="Arial"/>
          <w:sz w:val="24"/>
        </w:rPr>
        <w:t xml:space="preserve">en lo sucesivo </w:t>
      </w:r>
      <w:r w:rsidR="00E67E34">
        <w:rPr>
          <w:rFonts w:ascii="Palatino Linotype" w:hAnsi="Palatino Linotype" w:cs="Arial"/>
          <w:b/>
          <w:sz w:val="24"/>
        </w:rPr>
        <w:t>El</w:t>
      </w:r>
      <w:r w:rsidRPr="00CA6BAD">
        <w:rPr>
          <w:rFonts w:ascii="Palatino Linotype" w:hAnsi="Palatino Linotype" w:cs="Arial"/>
          <w:b/>
          <w:sz w:val="24"/>
        </w:rPr>
        <w:t xml:space="preserve"> Recurrente</w:t>
      </w:r>
      <w:r w:rsidRPr="00CA6BAD">
        <w:rPr>
          <w:rFonts w:ascii="Palatino Linotype" w:hAnsi="Palatino Linotype" w:cs="Arial"/>
          <w:sz w:val="24"/>
        </w:rPr>
        <w:t xml:space="preserve">, en contra de la falta de respuesta </w:t>
      </w:r>
      <w:r w:rsidRPr="00CA6BAD">
        <w:rPr>
          <w:rFonts w:ascii="Palatino Linotype" w:hAnsi="Palatino Linotype" w:cs="Arial"/>
          <w:sz w:val="24"/>
          <w:szCs w:val="24"/>
        </w:rPr>
        <w:t xml:space="preserve">del </w:t>
      </w:r>
      <w:r w:rsidR="00E67E34">
        <w:rPr>
          <w:rFonts w:ascii="Palatino Linotype" w:hAnsi="Palatino Linotype" w:cs="Arial"/>
          <w:b/>
          <w:sz w:val="24"/>
          <w:szCs w:val="24"/>
        </w:rPr>
        <w:t>Ayuntamiento de Tequixquiac</w:t>
      </w:r>
      <w:r w:rsidRPr="00CA6BAD">
        <w:rPr>
          <w:rFonts w:ascii="Palatino Linotype" w:hAnsi="Palatino Linotype" w:cs="Arial"/>
          <w:sz w:val="24"/>
          <w:szCs w:val="24"/>
        </w:rPr>
        <w:t>,</w:t>
      </w:r>
      <w:r w:rsidRPr="00CA6BAD">
        <w:rPr>
          <w:rFonts w:ascii="Palatino Linotype" w:hAnsi="Palatino Linotype" w:cs="Arial"/>
          <w:sz w:val="24"/>
        </w:rPr>
        <w:t xml:space="preserve"> en lo subsecuente</w:t>
      </w:r>
      <w:r w:rsidRPr="00CA6BAD">
        <w:rPr>
          <w:rFonts w:ascii="Palatino Linotype" w:hAnsi="Palatino Linotype" w:cs="Arial"/>
          <w:b/>
          <w:sz w:val="24"/>
        </w:rPr>
        <w:t xml:space="preserve"> El Sujeto Obligado, </w:t>
      </w:r>
      <w:r w:rsidRPr="00CA6BAD">
        <w:rPr>
          <w:rFonts w:ascii="Palatino Linotype" w:hAnsi="Palatino Linotype" w:cs="Arial"/>
          <w:sz w:val="24"/>
        </w:rPr>
        <w:t>se procede a dictar la presente resolución:</w:t>
      </w:r>
    </w:p>
    <w:p w:rsidR="00D00ED6" w:rsidRPr="00CA6BAD" w:rsidRDefault="00D00ED6" w:rsidP="00D00ED6">
      <w:pPr>
        <w:spacing w:after="0" w:line="360" w:lineRule="auto"/>
        <w:jc w:val="both"/>
        <w:rPr>
          <w:rFonts w:ascii="Palatino Linotype" w:hAnsi="Palatino Linotype" w:cs="Arial"/>
          <w:sz w:val="24"/>
          <w:szCs w:val="24"/>
        </w:rPr>
      </w:pPr>
    </w:p>
    <w:p w:rsidR="00D00ED6" w:rsidRPr="00CA6BAD" w:rsidRDefault="0069166E" w:rsidP="00D00ED6">
      <w:pPr>
        <w:spacing w:after="0" w:line="360" w:lineRule="auto"/>
        <w:jc w:val="center"/>
        <w:rPr>
          <w:rFonts w:ascii="Palatino Linotype" w:hAnsi="Palatino Linotype"/>
          <w:b/>
          <w:sz w:val="28"/>
          <w:szCs w:val="28"/>
        </w:rPr>
      </w:pPr>
      <w:r w:rsidRPr="00CA6BAD">
        <w:rPr>
          <w:rFonts w:ascii="Palatino Linotype" w:hAnsi="Palatino Linotype"/>
          <w:b/>
          <w:sz w:val="28"/>
          <w:szCs w:val="28"/>
        </w:rPr>
        <w:t xml:space="preserve">A N T E C E D E N T E S </w:t>
      </w:r>
    </w:p>
    <w:p w:rsidR="00D00ED6" w:rsidRPr="00CA6BAD" w:rsidRDefault="00D00ED6" w:rsidP="0069166E">
      <w:pPr>
        <w:spacing w:after="0" w:line="360" w:lineRule="auto"/>
        <w:rPr>
          <w:rFonts w:ascii="Palatino Linotype" w:hAnsi="Palatino Linotype" w:cs="Arial"/>
          <w:b/>
          <w:sz w:val="24"/>
          <w:szCs w:val="24"/>
        </w:rPr>
      </w:pPr>
    </w:p>
    <w:p w:rsidR="00D00ED6" w:rsidRPr="00CA6BAD" w:rsidRDefault="00D00ED6" w:rsidP="00D00ED6">
      <w:pPr>
        <w:spacing w:after="0" w:line="360" w:lineRule="auto"/>
        <w:jc w:val="both"/>
        <w:rPr>
          <w:rFonts w:ascii="Palatino Linotype" w:hAnsi="Palatino Linotype"/>
          <w:b/>
          <w:sz w:val="28"/>
          <w:szCs w:val="24"/>
        </w:rPr>
      </w:pPr>
      <w:r w:rsidRPr="00CA6BAD">
        <w:rPr>
          <w:rFonts w:ascii="Palatino Linotype" w:hAnsi="Palatino Linotype" w:cs="Arial"/>
          <w:b/>
          <w:sz w:val="28"/>
          <w:szCs w:val="24"/>
        </w:rPr>
        <w:t>PRIMERO.</w:t>
      </w:r>
      <w:r w:rsidRPr="00CA6BAD">
        <w:rPr>
          <w:rFonts w:ascii="Palatino Linotype" w:hAnsi="Palatino Linotype" w:cs="Arial"/>
          <w:sz w:val="28"/>
          <w:szCs w:val="24"/>
        </w:rPr>
        <w:t xml:space="preserve"> </w:t>
      </w:r>
      <w:r w:rsidRPr="00CA6BAD">
        <w:rPr>
          <w:rFonts w:ascii="Palatino Linotype" w:hAnsi="Palatino Linotype"/>
          <w:b/>
          <w:sz w:val="28"/>
          <w:szCs w:val="24"/>
        </w:rPr>
        <w:t>De la Solicitud de Información.</w:t>
      </w:r>
    </w:p>
    <w:p w:rsidR="00D00ED6" w:rsidRPr="00CA6BAD" w:rsidRDefault="00D00ED6" w:rsidP="00D00ED6">
      <w:pPr>
        <w:spacing w:after="0" w:line="360" w:lineRule="auto"/>
        <w:jc w:val="both"/>
        <w:rPr>
          <w:rFonts w:ascii="Palatino Linotype" w:hAnsi="Palatino Linotype" w:cs="Arial"/>
          <w:sz w:val="24"/>
          <w:szCs w:val="24"/>
        </w:rPr>
      </w:pPr>
      <w:r w:rsidRPr="00CA6BAD">
        <w:rPr>
          <w:rFonts w:ascii="Palatino Linotype" w:hAnsi="Palatino Linotype" w:cs="Arial"/>
          <w:sz w:val="24"/>
          <w:szCs w:val="24"/>
        </w:rPr>
        <w:t xml:space="preserve">Con fecha catorce de enero de dos mil diecinueve, </w:t>
      </w:r>
      <w:r w:rsidRPr="00CA6BAD">
        <w:rPr>
          <w:rFonts w:ascii="Palatino Linotype" w:hAnsi="Palatino Linotype" w:cs="Arial"/>
          <w:b/>
          <w:sz w:val="24"/>
          <w:szCs w:val="24"/>
        </w:rPr>
        <w:t>La Recurrente</w:t>
      </w:r>
      <w:r w:rsidRPr="00CA6BAD">
        <w:rPr>
          <w:rFonts w:ascii="Palatino Linotype" w:hAnsi="Palatino Linotype" w:cs="Arial"/>
          <w:sz w:val="24"/>
          <w:szCs w:val="24"/>
        </w:rPr>
        <w:t xml:space="preserve"> presentó a través del Sistema de Acceso a la Información Mexiquense (</w:t>
      </w:r>
      <w:r w:rsidRPr="00CA6BAD">
        <w:rPr>
          <w:rFonts w:ascii="Palatino Linotype" w:hAnsi="Palatino Linotype" w:cs="Arial"/>
          <w:b/>
          <w:sz w:val="24"/>
          <w:szCs w:val="24"/>
        </w:rPr>
        <w:t>SAIMEX)</w:t>
      </w:r>
      <w:r w:rsidRPr="00CA6BAD">
        <w:rPr>
          <w:rFonts w:ascii="Palatino Linotype" w:hAnsi="Palatino Linotype" w:cs="Arial"/>
          <w:sz w:val="24"/>
          <w:szCs w:val="24"/>
        </w:rPr>
        <w:t xml:space="preserve"> ante </w:t>
      </w:r>
      <w:r w:rsidRPr="00CA6BAD">
        <w:rPr>
          <w:rFonts w:ascii="Palatino Linotype" w:hAnsi="Palatino Linotype" w:cs="Arial"/>
          <w:b/>
          <w:sz w:val="24"/>
          <w:szCs w:val="24"/>
        </w:rPr>
        <w:t>El Sujeto Obligado</w:t>
      </w:r>
      <w:r w:rsidRPr="00CA6BAD">
        <w:rPr>
          <w:rFonts w:ascii="Palatino Linotype" w:hAnsi="Palatino Linotype" w:cs="Arial"/>
          <w:sz w:val="24"/>
          <w:szCs w:val="24"/>
        </w:rPr>
        <w:t>, solicitud de acceso a la información pública registrada bajo el número de expediente</w:t>
      </w:r>
      <w:r w:rsidRPr="00CA6BAD">
        <w:rPr>
          <w:rFonts w:ascii="Palatino Linotype" w:hAnsi="Palatino Linotype" w:cs="Arial"/>
          <w:b/>
          <w:sz w:val="24"/>
          <w:szCs w:val="24"/>
        </w:rPr>
        <w:t xml:space="preserve"> </w:t>
      </w:r>
      <w:r w:rsidR="00E67E34" w:rsidRPr="00E67E34">
        <w:rPr>
          <w:rFonts w:ascii="Palatino Linotype" w:hAnsi="Palatino Linotype" w:cs="Arial"/>
          <w:b/>
          <w:sz w:val="24"/>
          <w:szCs w:val="24"/>
        </w:rPr>
        <w:t>00028/TEQUIXQU/IP/2019.</w:t>
      </w:r>
      <w:r w:rsidRPr="00CA6BAD">
        <w:rPr>
          <w:rFonts w:ascii="Palatino Linotype" w:hAnsi="Palatino Linotype" w:cs="Arial"/>
          <w:sz w:val="24"/>
          <w:szCs w:val="24"/>
          <w:lang w:eastAsia="es-MX"/>
        </w:rPr>
        <w:t>,</w:t>
      </w:r>
      <w:r w:rsidRPr="00CA6BAD">
        <w:rPr>
          <w:rFonts w:ascii="Palatino Linotype" w:hAnsi="Palatino Linotype" w:cs="Arial"/>
          <w:b/>
          <w:sz w:val="24"/>
          <w:szCs w:val="24"/>
          <w:lang w:eastAsia="es-MX"/>
        </w:rPr>
        <w:t xml:space="preserve"> </w:t>
      </w:r>
      <w:r w:rsidRPr="00CA6BAD">
        <w:rPr>
          <w:rFonts w:ascii="Palatino Linotype" w:hAnsi="Palatino Linotype" w:cs="Arial"/>
          <w:sz w:val="24"/>
          <w:szCs w:val="24"/>
        </w:rPr>
        <w:t>mediante la cual solicitó información en el tenor siguiente:</w:t>
      </w:r>
    </w:p>
    <w:p w:rsidR="00D00ED6" w:rsidRPr="00CA6BAD" w:rsidRDefault="00D00ED6" w:rsidP="00D00ED6">
      <w:pPr>
        <w:spacing w:after="0" w:line="360" w:lineRule="auto"/>
        <w:jc w:val="both"/>
        <w:rPr>
          <w:rFonts w:ascii="Palatino Linotype" w:hAnsi="Palatino Linotype" w:cs="Arial"/>
          <w:sz w:val="24"/>
          <w:szCs w:val="24"/>
        </w:rPr>
      </w:pPr>
    </w:p>
    <w:p w:rsidR="00D00ED6" w:rsidRPr="00CA6BAD" w:rsidRDefault="00D00ED6" w:rsidP="00D00ED6">
      <w:pPr>
        <w:spacing w:after="0" w:line="276" w:lineRule="auto"/>
        <w:ind w:left="567" w:right="567"/>
        <w:jc w:val="both"/>
        <w:rPr>
          <w:rFonts w:ascii="Palatino Linotype" w:eastAsia="Times New Roman" w:hAnsi="Palatino Linotype" w:cs="Times New Roman"/>
          <w:i/>
          <w:sz w:val="24"/>
          <w:szCs w:val="24"/>
          <w:lang w:val="es-ES_tradnl" w:eastAsia="es-ES"/>
        </w:rPr>
      </w:pPr>
      <w:r w:rsidRPr="00CA6BAD">
        <w:rPr>
          <w:rFonts w:ascii="Palatino Linotype" w:eastAsia="Times New Roman" w:hAnsi="Palatino Linotype" w:cs="Times New Roman"/>
          <w:i/>
          <w:szCs w:val="24"/>
          <w:lang w:val="es-ES_tradnl" w:eastAsia="es-ES"/>
        </w:rPr>
        <w:t>“</w:t>
      </w:r>
      <w:r w:rsidR="00E67E34" w:rsidRPr="00E67E34">
        <w:rPr>
          <w:rFonts w:ascii="Palatino Linotype" w:eastAsia="Times New Roman" w:hAnsi="Palatino Linotype" w:cs="Times New Roman"/>
          <w:i/>
          <w:sz w:val="24"/>
          <w:szCs w:val="24"/>
          <w:lang w:val="es-ES_tradnl" w:eastAsia="es-ES"/>
        </w:rPr>
        <w:t>solicito los recibos de nomina de la primer quincena de enero a la primer quincena de marzo 2019. Asi como titulo, cédula, curriculum, constancia de habilitación, certificado de antecedentes penales de mandos medios y superiores y el tabulador de sueldos y salarios de IMCUFIDETEQ 2019 en formato pdf abierto</w:t>
      </w:r>
      <w:r w:rsidRPr="00CA6BAD">
        <w:rPr>
          <w:rFonts w:ascii="Palatino Linotype" w:eastAsia="Times New Roman" w:hAnsi="Palatino Linotype" w:cs="Times New Roman"/>
          <w:i/>
          <w:sz w:val="24"/>
          <w:szCs w:val="24"/>
          <w:lang w:val="es-ES_tradnl" w:eastAsia="es-ES"/>
        </w:rPr>
        <w:t>.” (Sic).</w:t>
      </w:r>
    </w:p>
    <w:p w:rsidR="00D00ED6" w:rsidRPr="00CA6BAD" w:rsidRDefault="00D00ED6" w:rsidP="00D00ED6">
      <w:pPr>
        <w:spacing w:after="0" w:line="360" w:lineRule="auto"/>
        <w:ind w:left="851" w:right="851"/>
        <w:jc w:val="both"/>
        <w:rPr>
          <w:rFonts w:ascii="Palatino Linotype" w:eastAsia="Times New Roman" w:hAnsi="Palatino Linotype" w:cs="Times New Roman"/>
          <w:i/>
          <w:sz w:val="24"/>
          <w:szCs w:val="24"/>
          <w:lang w:val="es-ES_tradnl" w:eastAsia="es-ES"/>
        </w:rPr>
      </w:pPr>
    </w:p>
    <w:p w:rsidR="00D00ED6" w:rsidRPr="00CA6BAD" w:rsidRDefault="00D00ED6" w:rsidP="00D00ED6">
      <w:pPr>
        <w:spacing w:after="0" w:line="360" w:lineRule="auto"/>
        <w:ind w:right="850"/>
        <w:jc w:val="both"/>
        <w:rPr>
          <w:rFonts w:ascii="Palatino Linotype" w:eastAsia="Times New Roman" w:hAnsi="Palatino Linotype" w:cs="Times New Roman"/>
          <w:sz w:val="24"/>
          <w:szCs w:val="24"/>
          <w:lang w:val="es-ES_tradnl" w:eastAsia="es-ES"/>
        </w:rPr>
      </w:pPr>
      <w:r w:rsidRPr="00CA6BAD">
        <w:rPr>
          <w:rFonts w:ascii="Palatino Linotype" w:eastAsia="Times New Roman" w:hAnsi="Palatino Linotype" w:cs="Times New Roman"/>
          <w:b/>
          <w:sz w:val="24"/>
          <w:szCs w:val="24"/>
          <w:lang w:val="es-ES_tradnl" w:eastAsia="es-ES"/>
        </w:rPr>
        <w:t>MODALIDAD DE ENTREGA:</w:t>
      </w:r>
      <w:r w:rsidRPr="00CA6BAD">
        <w:rPr>
          <w:rFonts w:ascii="Palatino Linotype" w:eastAsia="Times New Roman" w:hAnsi="Palatino Linotype" w:cs="Times New Roman"/>
          <w:sz w:val="24"/>
          <w:szCs w:val="24"/>
          <w:lang w:val="es-ES_tradnl" w:eastAsia="es-ES"/>
        </w:rPr>
        <w:t xml:space="preserve"> A través del </w:t>
      </w:r>
      <w:r w:rsidRPr="00CA6BAD">
        <w:rPr>
          <w:rFonts w:ascii="Palatino Linotype" w:eastAsia="Times New Roman" w:hAnsi="Palatino Linotype" w:cs="Times New Roman"/>
          <w:b/>
          <w:sz w:val="24"/>
          <w:szCs w:val="24"/>
          <w:lang w:val="es-ES_tradnl" w:eastAsia="es-ES"/>
        </w:rPr>
        <w:t>SAIMEX</w:t>
      </w:r>
      <w:r w:rsidRPr="00CA6BAD">
        <w:rPr>
          <w:rFonts w:ascii="Palatino Linotype" w:eastAsia="Times New Roman" w:hAnsi="Palatino Linotype" w:cs="Times New Roman"/>
          <w:sz w:val="24"/>
          <w:szCs w:val="24"/>
          <w:lang w:val="es-ES_tradnl" w:eastAsia="es-ES"/>
        </w:rPr>
        <w:t>.</w:t>
      </w:r>
    </w:p>
    <w:p w:rsidR="00D00ED6" w:rsidRPr="00CA6BAD" w:rsidRDefault="00D00ED6" w:rsidP="00D00ED6">
      <w:pPr>
        <w:spacing w:after="0" w:line="360" w:lineRule="auto"/>
        <w:ind w:right="850"/>
        <w:jc w:val="both"/>
        <w:rPr>
          <w:rFonts w:ascii="Palatino Linotype" w:eastAsia="Times New Roman" w:hAnsi="Palatino Linotype" w:cs="Times New Roman"/>
          <w:sz w:val="24"/>
          <w:szCs w:val="24"/>
          <w:lang w:val="es-ES_tradnl" w:eastAsia="es-ES"/>
        </w:rPr>
      </w:pPr>
    </w:p>
    <w:p w:rsidR="00D00ED6" w:rsidRPr="00CA6BAD" w:rsidRDefault="00D00ED6" w:rsidP="00D00ED6">
      <w:pPr>
        <w:spacing w:after="0" w:line="360" w:lineRule="auto"/>
        <w:jc w:val="both"/>
        <w:rPr>
          <w:rFonts w:ascii="Palatino Linotype" w:hAnsi="Palatino Linotype" w:cs="Arial"/>
          <w:b/>
          <w:sz w:val="28"/>
          <w:szCs w:val="24"/>
        </w:rPr>
      </w:pPr>
      <w:r w:rsidRPr="00CA6BAD">
        <w:rPr>
          <w:rFonts w:ascii="Palatino Linotype" w:hAnsi="Palatino Linotype" w:cs="Arial"/>
          <w:b/>
          <w:sz w:val="28"/>
          <w:szCs w:val="24"/>
        </w:rPr>
        <w:lastRenderedPageBreak/>
        <w:t>SEGUNDO. De la respuesta del Sujeto Obligado.</w:t>
      </w:r>
    </w:p>
    <w:p w:rsidR="00D00ED6" w:rsidRPr="00CA6BAD" w:rsidRDefault="00D00ED6" w:rsidP="00D00ED6">
      <w:pPr>
        <w:spacing w:after="0" w:line="360" w:lineRule="auto"/>
        <w:jc w:val="both"/>
        <w:rPr>
          <w:rFonts w:ascii="Palatino Linotype" w:hAnsi="Palatino Linotype" w:cs="Arial"/>
          <w:sz w:val="24"/>
          <w:szCs w:val="24"/>
        </w:rPr>
      </w:pPr>
      <w:r w:rsidRPr="00CA6BAD">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CA6BAD">
        <w:rPr>
          <w:rFonts w:ascii="Palatino Linotype" w:hAnsi="Palatino Linotype" w:cs="Arial"/>
          <w:b/>
          <w:sz w:val="24"/>
          <w:szCs w:val="24"/>
        </w:rPr>
        <w:t>SAIMEX,</w:t>
      </w:r>
      <w:r w:rsidRPr="00CA6BAD">
        <w:rPr>
          <w:rFonts w:ascii="Palatino Linotype" w:hAnsi="Palatino Linotype" w:cs="Arial"/>
          <w:sz w:val="24"/>
          <w:szCs w:val="24"/>
        </w:rPr>
        <w:t xml:space="preserve"> se aprecia que el</w:t>
      </w:r>
      <w:r w:rsidRPr="00CA6BAD">
        <w:rPr>
          <w:rFonts w:ascii="Palatino Linotype" w:hAnsi="Palatino Linotype" w:cs="Arial"/>
          <w:b/>
          <w:sz w:val="24"/>
          <w:szCs w:val="24"/>
        </w:rPr>
        <w:t xml:space="preserve"> Sujeto Obligado</w:t>
      </w:r>
      <w:r w:rsidRPr="00CA6BAD">
        <w:rPr>
          <w:rFonts w:ascii="Palatino Linotype" w:hAnsi="Palatino Linotype" w:cs="Arial"/>
          <w:sz w:val="24"/>
          <w:szCs w:val="24"/>
        </w:rPr>
        <w:t xml:space="preserve"> no dio contestación, como se muestra a continuación:</w:t>
      </w:r>
    </w:p>
    <w:p w:rsidR="00D00ED6" w:rsidRPr="00CA6BAD" w:rsidRDefault="00D00ED6" w:rsidP="00D00ED6">
      <w:pPr>
        <w:spacing w:after="0" w:line="360" w:lineRule="auto"/>
        <w:jc w:val="both"/>
        <w:rPr>
          <w:rFonts w:ascii="Palatino Linotype" w:hAnsi="Palatino Linotype" w:cs="Arial"/>
          <w:sz w:val="8"/>
          <w:szCs w:val="24"/>
        </w:rPr>
      </w:pPr>
    </w:p>
    <w:p w:rsidR="00D00ED6" w:rsidRPr="00CA6BAD" w:rsidRDefault="00682FBC" w:rsidP="00D00ED6">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81675" cy="24193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2419350"/>
                    </a:xfrm>
                    <a:prstGeom prst="rect">
                      <a:avLst/>
                    </a:prstGeom>
                    <a:noFill/>
                    <a:ln>
                      <a:noFill/>
                    </a:ln>
                  </pic:spPr>
                </pic:pic>
              </a:graphicData>
            </a:graphic>
          </wp:inline>
        </w:drawing>
      </w:r>
      <w:bookmarkStart w:id="0" w:name="_GoBack"/>
      <w:bookmarkEnd w:id="0"/>
    </w:p>
    <w:p w:rsidR="00D00ED6" w:rsidRPr="00CA6BAD" w:rsidRDefault="00D00ED6" w:rsidP="00D00ED6">
      <w:pPr>
        <w:pStyle w:val="Sinespaciado"/>
        <w:rPr>
          <w:lang w:val="es-ES" w:eastAsia="es-ES"/>
        </w:rPr>
      </w:pPr>
    </w:p>
    <w:p w:rsidR="00D00ED6" w:rsidRPr="00CA6BAD" w:rsidRDefault="00D00ED6" w:rsidP="00D00ED6">
      <w:pPr>
        <w:spacing w:after="0" w:line="360" w:lineRule="auto"/>
        <w:jc w:val="both"/>
        <w:rPr>
          <w:rFonts w:ascii="Palatino Linotype" w:hAnsi="Palatino Linotype"/>
          <w:b/>
          <w:sz w:val="28"/>
          <w:szCs w:val="24"/>
        </w:rPr>
      </w:pPr>
      <w:r w:rsidRPr="00CA6BAD">
        <w:rPr>
          <w:rFonts w:ascii="Palatino Linotype" w:hAnsi="Palatino Linotype" w:cs="Arial"/>
          <w:b/>
          <w:sz w:val="28"/>
          <w:szCs w:val="24"/>
        </w:rPr>
        <w:t xml:space="preserve">TERCERO. </w:t>
      </w:r>
      <w:r w:rsidRPr="00CA6BAD">
        <w:rPr>
          <w:rFonts w:ascii="Palatino Linotype" w:hAnsi="Palatino Linotype"/>
          <w:b/>
          <w:sz w:val="28"/>
          <w:szCs w:val="24"/>
        </w:rPr>
        <w:t>Del recurso de revisión.</w:t>
      </w:r>
    </w:p>
    <w:p w:rsidR="00D00ED6" w:rsidRPr="00CA6BAD" w:rsidRDefault="002136FF" w:rsidP="00D00ED6">
      <w:pPr>
        <w:spacing w:after="0" w:line="360" w:lineRule="auto"/>
        <w:jc w:val="both"/>
        <w:rPr>
          <w:rFonts w:ascii="Palatino Linotype" w:eastAsia="Calibri" w:hAnsi="Palatino Linotype" w:cs="Times New Roman"/>
          <w:sz w:val="24"/>
          <w:szCs w:val="24"/>
          <w:lang w:val="es-ES" w:eastAsia="es-ES"/>
        </w:rPr>
      </w:pPr>
      <w:r>
        <w:rPr>
          <w:rFonts w:ascii="Palatino Linotype" w:hAnsi="Palatino Linotype" w:cs="Arial"/>
          <w:sz w:val="24"/>
          <w:szCs w:val="24"/>
        </w:rPr>
        <w:t>Por lo anterior, en fecha nueve de abril</w:t>
      </w:r>
      <w:r w:rsidR="00D00ED6" w:rsidRPr="00CA6BAD">
        <w:rPr>
          <w:rFonts w:ascii="Palatino Linotype" w:eastAsia="Calibri" w:hAnsi="Palatino Linotype" w:cs="Times New Roman"/>
          <w:sz w:val="24"/>
          <w:szCs w:val="24"/>
          <w:lang w:val="es-ES" w:eastAsia="es-ES"/>
        </w:rPr>
        <w:t xml:space="preserve"> de dos mil diecinueve</w:t>
      </w:r>
      <w:r w:rsidR="00D00ED6" w:rsidRPr="00CA6BAD">
        <w:rPr>
          <w:rFonts w:ascii="Palatino Linotype" w:hAnsi="Palatino Linotype" w:cs="Arial"/>
          <w:sz w:val="24"/>
          <w:szCs w:val="24"/>
        </w:rPr>
        <w:t xml:space="preserve">, </w:t>
      </w:r>
      <w:r>
        <w:rPr>
          <w:rFonts w:ascii="Palatino Linotype" w:hAnsi="Palatino Linotype" w:cs="Arial"/>
          <w:b/>
          <w:sz w:val="24"/>
          <w:szCs w:val="24"/>
        </w:rPr>
        <w:t>El</w:t>
      </w:r>
      <w:r w:rsidR="00D00ED6" w:rsidRPr="00CA6BAD">
        <w:rPr>
          <w:rFonts w:ascii="Palatino Linotype" w:hAnsi="Palatino Linotype" w:cs="Arial"/>
          <w:b/>
          <w:sz w:val="24"/>
          <w:szCs w:val="24"/>
        </w:rPr>
        <w:t xml:space="preserve"> Recurrente </w:t>
      </w:r>
      <w:r w:rsidR="00D00ED6" w:rsidRPr="00CA6BAD">
        <w:rPr>
          <w:rFonts w:ascii="Palatino Linotype" w:hAnsi="Palatino Linotype" w:cs="Arial"/>
          <w:sz w:val="24"/>
          <w:szCs w:val="24"/>
        </w:rPr>
        <w:t xml:space="preserve">interpuso el recurso de revisión, </w:t>
      </w:r>
      <w:r w:rsidR="00D00ED6" w:rsidRPr="00CA6BAD">
        <w:rPr>
          <w:rFonts w:ascii="Palatino Linotype" w:hAnsi="Palatino Linotype" w:cs="Arial"/>
          <w:bCs/>
          <w:sz w:val="24"/>
          <w:szCs w:val="24"/>
        </w:rPr>
        <w:t xml:space="preserve">en contra de la omisión en la respuesta del </w:t>
      </w:r>
      <w:r w:rsidR="00D00ED6" w:rsidRPr="00CA6BAD">
        <w:rPr>
          <w:rFonts w:ascii="Palatino Linotype" w:hAnsi="Palatino Linotype" w:cs="Arial"/>
          <w:b/>
          <w:bCs/>
          <w:sz w:val="24"/>
          <w:szCs w:val="24"/>
        </w:rPr>
        <w:t>Sujeto Obligado</w:t>
      </w:r>
      <w:r w:rsidR="00D00ED6" w:rsidRPr="00CA6BAD">
        <w:rPr>
          <w:rFonts w:ascii="Palatino Linotype" w:hAnsi="Palatino Linotype" w:cs="Arial"/>
          <w:bCs/>
          <w:sz w:val="24"/>
          <w:szCs w:val="24"/>
        </w:rPr>
        <w:t xml:space="preserve">, </w:t>
      </w:r>
      <w:r w:rsidR="00D00ED6" w:rsidRPr="00CA6BAD">
        <w:rPr>
          <w:rFonts w:ascii="Palatino Linotype" w:hAnsi="Palatino Linotype" w:cs="Arial"/>
          <w:sz w:val="24"/>
          <w:szCs w:val="24"/>
        </w:rPr>
        <w:t>señalando lo siguiente:</w:t>
      </w:r>
    </w:p>
    <w:p w:rsidR="00D00ED6" w:rsidRPr="00CA6BAD" w:rsidRDefault="00D00ED6" w:rsidP="00D00ED6">
      <w:pPr>
        <w:pStyle w:val="Sinespaciado"/>
      </w:pPr>
    </w:p>
    <w:p w:rsidR="00D00ED6" w:rsidRPr="00CA6BAD" w:rsidRDefault="00D00ED6" w:rsidP="00D00ED6">
      <w:pPr>
        <w:pStyle w:val="Prrafodelista"/>
        <w:numPr>
          <w:ilvl w:val="0"/>
          <w:numId w:val="5"/>
        </w:numPr>
        <w:spacing w:line="360" w:lineRule="auto"/>
        <w:jc w:val="both"/>
        <w:rPr>
          <w:rFonts w:ascii="Palatino Linotype" w:hAnsi="Palatino Linotype" w:cs="Arial"/>
        </w:rPr>
      </w:pPr>
      <w:r w:rsidRPr="00CA6BAD">
        <w:rPr>
          <w:rFonts w:ascii="Palatino Linotype" w:hAnsi="Palatino Linotype" w:cs="Arial"/>
          <w:b/>
        </w:rPr>
        <w:t>Acto Impugnado</w:t>
      </w:r>
    </w:p>
    <w:p w:rsidR="00D00ED6" w:rsidRPr="00CA6BAD" w:rsidRDefault="00D00ED6" w:rsidP="00D00ED6">
      <w:pPr>
        <w:spacing w:after="0" w:line="240" w:lineRule="auto"/>
        <w:ind w:left="567" w:right="567"/>
        <w:jc w:val="both"/>
        <w:rPr>
          <w:rFonts w:ascii="Palatino Linotype" w:hAnsi="Palatino Linotype"/>
          <w:i/>
          <w:color w:val="000000"/>
          <w:sz w:val="24"/>
        </w:rPr>
      </w:pPr>
      <w:r w:rsidRPr="00CA6BAD">
        <w:rPr>
          <w:rFonts w:ascii="Palatino Linotype" w:hAnsi="Palatino Linotype"/>
          <w:i/>
          <w:color w:val="000000"/>
          <w:sz w:val="24"/>
        </w:rPr>
        <w:t>“</w:t>
      </w:r>
      <w:r w:rsidR="002136FF" w:rsidRPr="002136FF">
        <w:rPr>
          <w:rFonts w:ascii="Palatino Linotype" w:hAnsi="Palatino Linotype"/>
          <w:i/>
          <w:color w:val="000000"/>
          <w:sz w:val="24"/>
        </w:rPr>
        <w:t xml:space="preserve">solicito los recibos de nomina de la primer quincena de enero a la primer quincena de marzo 2019. Asi como titulo, cédula, curriculum, constancia de habilitación, certificado de antecedentes penales de mandos medios y superiores y el tabulador de sueldos y salarios de IMCUFIDETEQ 2019 en formato pdf abierto.” </w:t>
      </w:r>
      <w:r w:rsidRPr="00CA6BAD">
        <w:rPr>
          <w:rFonts w:ascii="Palatino Linotype" w:hAnsi="Palatino Linotype"/>
          <w:i/>
          <w:color w:val="000000"/>
          <w:sz w:val="24"/>
        </w:rPr>
        <w:t>(Sic).</w:t>
      </w:r>
    </w:p>
    <w:p w:rsidR="00D00ED6" w:rsidRPr="00CA6BAD" w:rsidRDefault="00D00ED6" w:rsidP="00D00ED6">
      <w:pPr>
        <w:pStyle w:val="Sinespaciado"/>
      </w:pPr>
    </w:p>
    <w:p w:rsidR="00D00ED6" w:rsidRPr="00CA6BAD" w:rsidRDefault="00D00ED6" w:rsidP="00D00ED6">
      <w:pPr>
        <w:pStyle w:val="Sinespaciado"/>
      </w:pPr>
    </w:p>
    <w:p w:rsidR="00D00ED6" w:rsidRPr="00CA6BAD" w:rsidRDefault="00D00ED6" w:rsidP="00D00ED6">
      <w:pPr>
        <w:pStyle w:val="Prrafodelista"/>
        <w:numPr>
          <w:ilvl w:val="0"/>
          <w:numId w:val="5"/>
        </w:numPr>
        <w:spacing w:line="360" w:lineRule="auto"/>
        <w:jc w:val="both"/>
        <w:rPr>
          <w:rFonts w:ascii="Palatino Linotype" w:hAnsi="Palatino Linotype" w:cs="Arial"/>
        </w:rPr>
      </w:pPr>
      <w:r w:rsidRPr="00CA6BAD">
        <w:rPr>
          <w:rFonts w:ascii="Palatino Linotype" w:hAnsi="Palatino Linotype" w:cs="Arial"/>
          <w:b/>
        </w:rPr>
        <w:t>Razones o Motivos de Inconformidad</w:t>
      </w:r>
    </w:p>
    <w:p w:rsidR="00D00ED6" w:rsidRPr="00CA6BAD" w:rsidRDefault="00D00ED6" w:rsidP="00D00ED6">
      <w:pPr>
        <w:spacing w:after="0" w:line="240" w:lineRule="auto"/>
        <w:ind w:left="851" w:right="992"/>
        <w:jc w:val="both"/>
        <w:rPr>
          <w:rFonts w:ascii="Palatino Linotype" w:hAnsi="Palatino Linotype"/>
          <w:i/>
          <w:color w:val="000000"/>
          <w:sz w:val="24"/>
        </w:rPr>
      </w:pPr>
      <w:r w:rsidRPr="00CA6BAD">
        <w:rPr>
          <w:rFonts w:ascii="Palatino Linotype" w:hAnsi="Palatino Linotype"/>
          <w:i/>
          <w:color w:val="000000"/>
          <w:sz w:val="24"/>
        </w:rPr>
        <w:lastRenderedPageBreak/>
        <w:t>“</w:t>
      </w:r>
      <w:r w:rsidR="002136FF" w:rsidRPr="002136FF">
        <w:rPr>
          <w:rFonts w:ascii="Palatino Linotype" w:hAnsi="Palatino Linotype"/>
          <w:i/>
          <w:color w:val="000000"/>
          <w:sz w:val="24"/>
        </w:rPr>
        <w:t>ya paso la fecha limite para la entrega de información, pero a la fecha no hay respuesta</w:t>
      </w:r>
      <w:r w:rsidRPr="00CA6BAD">
        <w:rPr>
          <w:rFonts w:ascii="Palatino Linotype" w:hAnsi="Palatino Linotype"/>
          <w:i/>
          <w:color w:val="000000"/>
          <w:sz w:val="24"/>
        </w:rPr>
        <w:t>.” (Sic).</w:t>
      </w:r>
    </w:p>
    <w:p w:rsidR="00D00ED6" w:rsidRPr="00CA6BAD" w:rsidRDefault="00D00ED6" w:rsidP="00D00ED6">
      <w:pPr>
        <w:spacing w:after="0" w:line="240" w:lineRule="auto"/>
        <w:ind w:left="851" w:right="992"/>
        <w:jc w:val="both"/>
        <w:rPr>
          <w:rFonts w:ascii="Palatino Linotype" w:hAnsi="Palatino Linotype"/>
          <w:i/>
          <w:color w:val="000000"/>
          <w:sz w:val="24"/>
        </w:rPr>
      </w:pPr>
    </w:p>
    <w:p w:rsidR="00D00ED6" w:rsidRPr="00CA6BAD" w:rsidRDefault="00D00ED6" w:rsidP="00D00ED6">
      <w:pPr>
        <w:spacing w:after="0" w:line="240" w:lineRule="auto"/>
        <w:ind w:left="851" w:right="992"/>
        <w:jc w:val="both"/>
        <w:rPr>
          <w:rFonts w:ascii="Palatino Linotype" w:hAnsi="Palatino Linotype"/>
          <w:i/>
          <w:color w:val="000000"/>
          <w:sz w:val="24"/>
        </w:rPr>
      </w:pPr>
    </w:p>
    <w:p w:rsidR="00D00ED6" w:rsidRPr="00CA6BAD" w:rsidRDefault="00D00ED6" w:rsidP="00D00ED6">
      <w:pPr>
        <w:spacing w:after="0" w:line="360" w:lineRule="auto"/>
        <w:jc w:val="both"/>
        <w:rPr>
          <w:rFonts w:ascii="Palatino Linotype" w:hAnsi="Palatino Linotype" w:cs="Arial"/>
          <w:b/>
          <w:sz w:val="28"/>
          <w:szCs w:val="24"/>
        </w:rPr>
      </w:pPr>
      <w:r w:rsidRPr="00CA6BAD">
        <w:rPr>
          <w:rFonts w:ascii="Palatino Linotype" w:hAnsi="Palatino Linotype" w:cs="Arial"/>
          <w:b/>
          <w:sz w:val="28"/>
          <w:szCs w:val="24"/>
        </w:rPr>
        <w:t>CUARTO. Del turno del recurso de revisión.</w:t>
      </w:r>
    </w:p>
    <w:p w:rsidR="00D00ED6" w:rsidRPr="00CA6BAD" w:rsidRDefault="00D00ED6" w:rsidP="00D00ED6">
      <w:pPr>
        <w:spacing w:after="0" w:line="360" w:lineRule="auto"/>
        <w:jc w:val="both"/>
        <w:rPr>
          <w:rFonts w:ascii="Palatino Linotype" w:hAnsi="Palatino Linotype" w:cs="Arial"/>
          <w:sz w:val="24"/>
          <w:szCs w:val="24"/>
        </w:rPr>
      </w:pPr>
      <w:r w:rsidRPr="00CA6BAD">
        <w:rPr>
          <w:rFonts w:ascii="Palatino Linotype" w:hAnsi="Palatino Linotype" w:cs="Arial"/>
          <w:sz w:val="24"/>
          <w:szCs w:val="24"/>
        </w:rPr>
        <w:t>El</w:t>
      </w:r>
      <w:r w:rsidRPr="00CA6BAD">
        <w:rPr>
          <w:rFonts w:ascii="Palatino Linotype" w:hAnsi="Palatino Linotype" w:cs="Arial"/>
          <w:b/>
          <w:sz w:val="24"/>
          <w:szCs w:val="24"/>
        </w:rPr>
        <w:t xml:space="preserve"> </w:t>
      </w:r>
      <w:r w:rsidRPr="00CA6BAD">
        <w:rPr>
          <w:rFonts w:ascii="Palatino Linotype" w:hAnsi="Palatino Linotype" w:cs="Arial"/>
          <w:sz w:val="24"/>
          <w:szCs w:val="24"/>
        </w:rPr>
        <w:t>medio de</w:t>
      </w:r>
      <w:r w:rsidR="004944DE">
        <w:rPr>
          <w:rFonts w:ascii="Palatino Linotype" w:hAnsi="Palatino Linotype" w:cs="Arial"/>
          <w:sz w:val="24"/>
          <w:szCs w:val="24"/>
        </w:rPr>
        <w:t xml:space="preserve"> impugnación le fue turnado al</w:t>
      </w:r>
      <w:r w:rsidRPr="00CA6BAD">
        <w:rPr>
          <w:rFonts w:ascii="Palatino Linotype" w:hAnsi="Palatino Linotype" w:cs="Arial"/>
          <w:sz w:val="24"/>
          <w:szCs w:val="24"/>
        </w:rPr>
        <w:t xml:space="preserve"> </w:t>
      </w:r>
      <w:r w:rsidR="004944DE">
        <w:rPr>
          <w:rFonts w:ascii="Palatino Linotype" w:hAnsi="Palatino Linotype" w:cs="Arial"/>
          <w:b/>
          <w:sz w:val="24"/>
          <w:szCs w:val="24"/>
        </w:rPr>
        <w:t>Comisionado Luis Gustavo Parra Noriega</w:t>
      </w:r>
      <w:r w:rsidRPr="00CA6BAD">
        <w:rPr>
          <w:rFonts w:ascii="Palatino Linotype" w:hAnsi="Palatino Linotype" w:cs="Arial"/>
          <w:sz w:val="24"/>
          <w:szCs w:val="24"/>
        </w:rPr>
        <w:t>, en términos del arábigo 185, fracción I, de la Ley de Transparencia y Acceso a la Información Pública del Estado de México y Municip</w:t>
      </w:r>
      <w:r w:rsidR="004944DE">
        <w:rPr>
          <w:rFonts w:ascii="Palatino Linotype" w:hAnsi="Palatino Linotype" w:cs="Arial"/>
          <w:sz w:val="24"/>
          <w:szCs w:val="24"/>
        </w:rPr>
        <w:t>ios, mismo que, en fecha veintidós de abril de dos mil diecinueve</w:t>
      </w:r>
      <w:r w:rsidRPr="00CA6BAD">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D00ED6" w:rsidRPr="00CA6BAD" w:rsidRDefault="00D00ED6" w:rsidP="00D00ED6">
      <w:pPr>
        <w:spacing w:after="0" w:line="360" w:lineRule="auto"/>
        <w:jc w:val="both"/>
        <w:rPr>
          <w:rFonts w:ascii="Palatino Linotype" w:hAnsi="Palatino Linotype" w:cs="Arial"/>
          <w:sz w:val="24"/>
          <w:szCs w:val="24"/>
        </w:rPr>
      </w:pPr>
    </w:p>
    <w:p w:rsidR="00D00ED6" w:rsidRPr="00CA6BAD" w:rsidRDefault="00D00ED6" w:rsidP="00D00ED6">
      <w:pPr>
        <w:spacing w:after="0" w:line="360" w:lineRule="auto"/>
        <w:jc w:val="both"/>
        <w:rPr>
          <w:rFonts w:ascii="Palatino Linotype" w:hAnsi="Palatino Linotype" w:cs="Arial"/>
          <w:b/>
          <w:sz w:val="28"/>
          <w:szCs w:val="24"/>
        </w:rPr>
      </w:pPr>
      <w:r w:rsidRPr="00CA6BAD">
        <w:rPr>
          <w:rFonts w:ascii="Palatino Linotype" w:hAnsi="Palatino Linotype" w:cs="Arial"/>
          <w:b/>
          <w:sz w:val="28"/>
          <w:szCs w:val="24"/>
        </w:rPr>
        <w:t>QUINTO. De la etapa de instrucción.</w:t>
      </w:r>
    </w:p>
    <w:p w:rsidR="00D00ED6" w:rsidRDefault="00D00ED6" w:rsidP="00D00ED6">
      <w:pPr>
        <w:spacing w:after="0" w:line="360" w:lineRule="auto"/>
        <w:jc w:val="both"/>
        <w:rPr>
          <w:rFonts w:ascii="Palatino Linotype" w:hAnsi="Palatino Linotype" w:cs="Arial"/>
          <w:sz w:val="24"/>
          <w:szCs w:val="24"/>
        </w:rPr>
      </w:pPr>
      <w:r w:rsidRPr="00CA6BAD">
        <w:rPr>
          <w:rFonts w:ascii="Palatino Linotype" w:hAnsi="Palatino Linotype" w:cs="Arial"/>
          <w:sz w:val="24"/>
          <w:szCs w:val="24"/>
        </w:rPr>
        <w:t xml:space="preserve">Así, en la etapa de instrucción, se desprende que </w:t>
      </w:r>
      <w:r w:rsidRPr="00CA6BAD">
        <w:rPr>
          <w:rFonts w:ascii="Palatino Linotype" w:hAnsi="Palatino Linotype" w:cs="Arial"/>
          <w:b/>
          <w:sz w:val="24"/>
          <w:szCs w:val="24"/>
        </w:rPr>
        <w:t>El Sujeto Obligado</w:t>
      </w:r>
      <w:r w:rsidRPr="00CA6BAD">
        <w:rPr>
          <w:rFonts w:ascii="Palatino Linotype" w:hAnsi="Palatino Linotype" w:cs="Arial"/>
          <w:sz w:val="24"/>
          <w:szCs w:val="24"/>
        </w:rPr>
        <w:t xml:space="preserve"> no remitió informe justificado, asimismo, se advierte que </w:t>
      </w:r>
      <w:r w:rsidR="00AA4D60">
        <w:rPr>
          <w:rFonts w:ascii="Palatino Linotype" w:hAnsi="Palatino Linotype" w:cs="Arial"/>
          <w:b/>
          <w:sz w:val="24"/>
          <w:szCs w:val="24"/>
        </w:rPr>
        <w:t>El</w:t>
      </w:r>
      <w:r w:rsidRPr="00CA6BAD">
        <w:rPr>
          <w:rFonts w:ascii="Palatino Linotype" w:hAnsi="Palatino Linotype" w:cs="Arial"/>
          <w:b/>
          <w:sz w:val="24"/>
          <w:szCs w:val="24"/>
        </w:rPr>
        <w:t xml:space="preserve"> Recurrente</w:t>
      </w:r>
      <w:r w:rsidRPr="00CA6BAD">
        <w:rPr>
          <w:rFonts w:ascii="Palatino Linotype" w:hAnsi="Palatino Linotype" w:cs="Arial"/>
          <w:sz w:val="24"/>
          <w:szCs w:val="24"/>
        </w:rPr>
        <w:t>, rindió manifestaciones e</w:t>
      </w:r>
      <w:r w:rsidR="00AA4D60">
        <w:rPr>
          <w:rFonts w:ascii="Palatino Linotype" w:hAnsi="Palatino Linotype" w:cs="Arial"/>
          <w:sz w:val="24"/>
          <w:szCs w:val="24"/>
        </w:rPr>
        <w:t>l día veinticuatro de abril</w:t>
      </w:r>
      <w:r w:rsidRPr="00CA6BAD">
        <w:rPr>
          <w:rFonts w:ascii="Palatino Linotype" w:hAnsi="Palatino Linotype" w:cs="Arial"/>
          <w:sz w:val="24"/>
          <w:szCs w:val="24"/>
        </w:rPr>
        <w:t xml:space="preserve"> del año en curso, </w:t>
      </w:r>
      <w:r w:rsidR="00605D47">
        <w:rPr>
          <w:rFonts w:ascii="Palatino Linotype" w:hAnsi="Palatino Linotype" w:cs="Arial"/>
          <w:sz w:val="24"/>
          <w:szCs w:val="24"/>
        </w:rPr>
        <w:t>mediante el cual indicó en el apartado de comentarios lo siguiente:</w:t>
      </w:r>
    </w:p>
    <w:p w:rsidR="00B54418" w:rsidRDefault="00B54418" w:rsidP="00D00ED6">
      <w:pPr>
        <w:spacing w:after="0" w:line="360" w:lineRule="auto"/>
        <w:jc w:val="both"/>
        <w:rPr>
          <w:rFonts w:ascii="Palatino Linotype" w:hAnsi="Palatino Linotype" w:cs="Arial"/>
          <w:sz w:val="24"/>
          <w:szCs w:val="24"/>
        </w:rPr>
      </w:pPr>
    </w:p>
    <w:p w:rsidR="00605D47" w:rsidRPr="00605D47" w:rsidRDefault="00605D47" w:rsidP="00D00ED6">
      <w:pPr>
        <w:spacing w:after="0" w:line="360" w:lineRule="auto"/>
        <w:jc w:val="both"/>
        <w:rPr>
          <w:rFonts w:ascii="Palatino Linotype" w:hAnsi="Palatino Linotype" w:cs="Arial"/>
          <w:i/>
          <w:sz w:val="24"/>
          <w:szCs w:val="24"/>
        </w:rPr>
      </w:pPr>
      <w:r w:rsidRPr="00605D47">
        <w:rPr>
          <w:rFonts w:ascii="Palatino Linotype" w:eastAsia="Calibri" w:hAnsi="Palatino Linotype" w:cs="Tahoma"/>
          <w:bCs/>
          <w:i/>
        </w:rPr>
        <w:t>“no existe respuesta por parte de la institución”</w:t>
      </w:r>
      <w:r>
        <w:rPr>
          <w:rFonts w:ascii="Palatino Linotype" w:eastAsia="Calibri" w:hAnsi="Palatino Linotype" w:cs="Tahoma"/>
          <w:bCs/>
          <w:i/>
        </w:rPr>
        <w:t xml:space="preserve"> (Sic).</w:t>
      </w:r>
    </w:p>
    <w:p w:rsidR="00D00ED6" w:rsidRDefault="00D00ED6" w:rsidP="00B54418">
      <w:pPr>
        <w:spacing w:after="0" w:line="360" w:lineRule="auto"/>
        <w:rPr>
          <w:rFonts w:ascii="Palatino Linotype" w:hAnsi="Palatino Linotype" w:cs="Arial"/>
          <w:noProof/>
          <w:sz w:val="24"/>
          <w:szCs w:val="24"/>
          <w:lang w:eastAsia="es-MX"/>
        </w:rPr>
      </w:pPr>
    </w:p>
    <w:p w:rsidR="00B54418" w:rsidRPr="00CA6BAD" w:rsidRDefault="00B54418" w:rsidP="00B54418">
      <w:pPr>
        <w:spacing w:after="0" w:line="360" w:lineRule="auto"/>
        <w:rPr>
          <w:rFonts w:ascii="Palatino Linotype" w:hAnsi="Palatino Linotype" w:cs="Arial"/>
          <w:noProof/>
          <w:sz w:val="24"/>
          <w:szCs w:val="24"/>
          <w:lang w:eastAsia="es-MX"/>
        </w:rPr>
      </w:pPr>
      <w:r>
        <w:rPr>
          <w:rFonts w:ascii="Palatino Linotype" w:hAnsi="Palatino Linotype" w:cs="Arial"/>
          <w:noProof/>
          <w:sz w:val="24"/>
          <w:szCs w:val="24"/>
          <w:lang w:eastAsia="es-MX"/>
        </w:rPr>
        <w:t xml:space="preserve">Como se muestra en la siguiente imagen </w:t>
      </w:r>
    </w:p>
    <w:p w:rsidR="00D00ED6" w:rsidRPr="00CA6BAD" w:rsidRDefault="003033E8" w:rsidP="00D00ED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lastRenderedPageBreak/>
        <w:drawing>
          <wp:inline distT="0" distB="0" distL="0" distR="0">
            <wp:extent cx="5747385" cy="1496060"/>
            <wp:effectExtent l="0" t="0" r="571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7385" cy="1496060"/>
                    </a:xfrm>
                    <a:prstGeom prst="rect">
                      <a:avLst/>
                    </a:prstGeom>
                    <a:noFill/>
                    <a:ln>
                      <a:noFill/>
                    </a:ln>
                  </pic:spPr>
                </pic:pic>
              </a:graphicData>
            </a:graphic>
          </wp:inline>
        </w:drawing>
      </w:r>
    </w:p>
    <w:p w:rsidR="00D00ED6" w:rsidRPr="00CA6BAD" w:rsidRDefault="00D00ED6" w:rsidP="00D00ED6">
      <w:pPr>
        <w:spacing w:after="0" w:line="360" w:lineRule="auto"/>
        <w:rPr>
          <w:rFonts w:ascii="Palatino Linotype" w:hAnsi="Palatino Linotype" w:cs="Arial"/>
          <w:noProof/>
          <w:sz w:val="24"/>
          <w:szCs w:val="24"/>
          <w:lang w:eastAsia="es-MX"/>
        </w:rPr>
      </w:pPr>
    </w:p>
    <w:p w:rsidR="00D00ED6" w:rsidRPr="00CA6BAD" w:rsidRDefault="00D00ED6" w:rsidP="00D00ED6">
      <w:pPr>
        <w:spacing w:after="0" w:line="360" w:lineRule="auto"/>
        <w:jc w:val="both"/>
        <w:rPr>
          <w:rFonts w:ascii="Palatino Linotype" w:hAnsi="Palatino Linotype" w:cs="Arial"/>
          <w:b/>
          <w:sz w:val="28"/>
          <w:szCs w:val="24"/>
        </w:rPr>
      </w:pPr>
      <w:r w:rsidRPr="00CA6BAD">
        <w:rPr>
          <w:rFonts w:ascii="Palatino Linotype" w:hAnsi="Palatino Linotype" w:cs="Arial"/>
          <w:b/>
          <w:sz w:val="28"/>
          <w:szCs w:val="24"/>
        </w:rPr>
        <w:t>QUINTO. Del Cierre de la etapa de instrucción.</w:t>
      </w:r>
    </w:p>
    <w:p w:rsidR="00D00ED6" w:rsidRPr="00CA6BAD" w:rsidRDefault="00D00ED6" w:rsidP="00D00ED6">
      <w:pPr>
        <w:spacing w:after="0" w:line="360" w:lineRule="auto"/>
        <w:jc w:val="both"/>
        <w:rPr>
          <w:rFonts w:ascii="Palatino Linotype" w:hAnsi="Palatino Linotype" w:cs="Arial"/>
          <w:sz w:val="24"/>
          <w:szCs w:val="24"/>
        </w:rPr>
      </w:pPr>
      <w:r w:rsidRPr="00CA6BAD">
        <w:rPr>
          <w:rFonts w:ascii="Palatino Linotype" w:hAnsi="Palatino Linotype" w:cs="Arial"/>
          <w:sz w:val="24"/>
          <w:szCs w:val="24"/>
        </w:rPr>
        <w:t xml:space="preserve">En fecha </w:t>
      </w:r>
      <w:r w:rsidR="003033E8">
        <w:rPr>
          <w:rFonts w:ascii="Palatino Linotype" w:hAnsi="Palatino Linotype" w:cs="Arial"/>
          <w:sz w:val="24"/>
          <w:szCs w:val="24"/>
        </w:rPr>
        <w:t>diecisiete de junio</w:t>
      </w:r>
      <w:r w:rsidRPr="00CA6BAD">
        <w:rPr>
          <w:rFonts w:ascii="Palatino Linotype" w:hAnsi="Palatino Linotype" w:cs="Arial"/>
          <w:sz w:val="24"/>
          <w:szCs w:val="24"/>
        </w:rPr>
        <w:t xml:space="preserve"> de dos mil diecinueve, en términos del artículo 185, fracción VI, de la Ley de Transparencia y Acceso a la Información Pública del Estado de México y Municipios, se decretó el cierre de la misma, iniciando el término legal para dictar resolución definitiva del asunto.</w:t>
      </w:r>
    </w:p>
    <w:p w:rsidR="0069166E" w:rsidRPr="00CA6BAD" w:rsidRDefault="0069166E" w:rsidP="0069166E">
      <w:pPr>
        <w:pStyle w:val="Sinespaciado"/>
      </w:pPr>
    </w:p>
    <w:p w:rsidR="0025586E" w:rsidRPr="009026F3" w:rsidRDefault="0025586E" w:rsidP="0025586E">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Pr>
          <w:rFonts w:ascii="Palatino Linotype" w:hAnsi="Palatino Linotype" w:cs="Arial"/>
          <w:b/>
          <w:sz w:val="26"/>
          <w:szCs w:val="26"/>
        </w:rPr>
        <w:t>EXTO</w:t>
      </w:r>
      <w:r w:rsidRPr="009026F3">
        <w:rPr>
          <w:rFonts w:ascii="Palatino Linotype" w:hAnsi="Palatino Linotype" w:cs="Arial"/>
          <w:b/>
          <w:sz w:val="26"/>
          <w:szCs w:val="26"/>
        </w:rPr>
        <w:t>. De la ampliación del término para resolver</w:t>
      </w:r>
      <w:r w:rsidRPr="009026F3">
        <w:rPr>
          <w:rFonts w:ascii="Palatino Linotype" w:hAnsi="Palatino Linotype" w:cs="Arial"/>
          <w:b/>
          <w:sz w:val="24"/>
          <w:szCs w:val="24"/>
        </w:rPr>
        <w:t>.</w:t>
      </w:r>
    </w:p>
    <w:p w:rsidR="0025586E" w:rsidRDefault="0025586E" w:rsidP="0025586E">
      <w:pPr>
        <w:spacing w:line="360" w:lineRule="auto"/>
        <w:jc w:val="both"/>
        <w:rPr>
          <w:rFonts w:ascii="Palatino Linotype" w:hAnsi="Palatino Linotype" w:cs="Arial"/>
          <w:sz w:val="24"/>
          <w:szCs w:val="24"/>
        </w:rPr>
      </w:pPr>
      <w:r>
        <w:rPr>
          <w:rFonts w:ascii="Palatino Linotype" w:hAnsi="Palatino Linotype" w:cs="Arial"/>
          <w:sz w:val="24"/>
          <w:szCs w:val="24"/>
        </w:rPr>
        <w:t>En fecha cinco de junio</w:t>
      </w:r>
      <w:r w:rsidRPr="009026F3">
        <w:rPr>
          <w:rFonts w:ascii="Palatino Linotype" w:hAnsi="Palatino Linotype" w:cs="Arial"/>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25586E" w:rsidRPr="007979BC" w:rsidRDefault="0025586E" w:rsidP="0025586E">
      <w:pPr>
        <w:spacing w:before="240" w:line="360" w:lineRule="auto"/>
        <w:jc w:val="both"/>
        <w:rPr>
          <w:rFonts w:ascii="Palatino Linotype" w:hAnsi="Palatino Linotype" w:cs="Arial"/>
          <w:b/>
          <w:sz w:val="28"/>
          <w:szCs w:val="24"/>
        </w:rPr>
      </w:pPr>
      <w:r>
        <w:rPr>
          <w:rFonts w:ascii="Palatino Linotype" w:hAnsi="Palatino Linotype" w:cs="Arial"/>
          <w:b/>
          <w:sz w:val="28"/>
          <w:szCs w:val="24"/>
        </w:rPr>
        <w:t>SÉPTIMO</w:t>
      </w:r>
      <w:r w:rsidRPr="007979BC">
        <w:rPr>
          <w:rFonts w:ascii="Palatino Linotype" w:hAnsi="Palatino Linotype" w:cs="Arial"/>
          <w:b/>
          <w:sz w:val="28"/>
          <w:szCs w:val="24"/>
        </w:rPr>
        <w:t>. Del r</w:t>
      </w:r>
      <w:r>
        <w:rPr>
          <w:rFonts w:ascii="Palatino Linotype" w:hAnsi="Palatino Linotype" w:cs="Arial"/>
          <w:b/>
          <w:sz w:val="28"/>
          <w:szCs w:val="24"/>
        </w:rPr>
        <w:t>eturno del recurso de revisión.</w:t>
      </w:r>
    </w:p>
    <w:p w:rsidR="0025586E" w:rsidRDefault="0025586E" w:rsidP="0025586E">
      <w:pPr>
        <w:spacing w:before="240" w:line="360" w:lineRule="auto"/>
        <w:jc w:val="both"/>
        <w:rPr>
          <w:rFonts w:ascii="Palatino Linotype" w:hAnsi="Palatino Linotype" w:cs="Arial"/>
          <w:sz w:val="24"/>
          <w:szCs w:val="24"/>
        </w:rPr>
      </w:pPr>
      <w:r w:rsidRPr="007979BC">
        <w:rPr>
          <w:rFonts w:ascii="Palatino Linotype" w:hAnsi="Palatino Linotype" w:cs="Arial"/>
          <w:sz w:val="24"/>
          <w:szCs w:val="24"/>
        </w:rPr>
        <w:t xml:space="preserve">En la </w:t>
      </w:r>
      <w:r>
        <w:rPr>
          <w:rFonts w:ascii="Palatino Linotype" w:hAnsi="Palatino Linotype" w:cs="Arial"/>
          <w:sz w:val="24"/>
          <w:szCs w:val="24"/>
        </w:rPr>
        <w:t xml:space="preserve"> Décimo Cuarta Sesión Ordinaria</w:t>
      </w:r>
      <w:r w:rsidRPr="007979BC">
        <w:rPr>
          <w:rFonts w:ascii="Palatino Linotype" w:hAnsi="Palatino Linotype" w:cs="Arial"/>
          <w:sz w:val="24"/>
          <w:szCs w:val="24"/>
        </w:rPr>
        <w:t xml:space="preserve"> , se returno el presente recurso de revisión a la Ponencia de la Comisionada Presidenta Zulema Martínez Sánchez, para su presentación, discusión y aprobación ante el Pleno del Instituto.</w:t>
      </w:r>
    </w:p>
    <w:p w:rsidR="0025586E" w:rsidRPr="00CA6BAD" w:rsidRDefault="0025586E" w:rsidP="007979BC">
      <w:pPr>
        <w:spacing w:before="240" w:line="360" w:lineRule="auto"/>
        <w:jc w:val="both"/>
        <w:rPr>
          <w:rFonts w:ascii="Palatino Linotype" w:hAnsi="Palatino Linotype" w:cs="Arial"/>
          <w:sz w:val="24"/>
          <w:szCs w:val="24"/>
        </w:rPr>
      </w:pPr>
    </w:p>
    <w:p w:rsidR="00D00ED6" w:rsidRPr="00CA6BAD" w:rsidRDefault="00D00ED6" w:rsidP="00D00ED6">
      <w:pPr>
        <w:pStyle w:val="Sinespaciado"/>
      </w:pPr>
    </w:p>
    <w:p w:rsidR="00D00ED6" w:rsidRPr="00CA6BAD" w:rsidRDefault="00D00ED6" w:rsidP="00D00ED6">
      <w:pPr>
        <w:pStyle w:val="Sinespaciado"/>
      </w:pPr>
    </w:p>
    <w:p w:rsidR="00D00ED6" w:rsidRPr="00CA6BAD" w:rsidRDefault="00D00ED6" w:rsidP="00D00ED6">
      <w:pPr>
        <w:spacing w:after="0" w:line="360" w:lineRule="auto"/>
        <w:jc w:val="center"/>
        <w:rPr>
          <w:rFonts w:ascii="Palatino Linotype" w:hAnsi="Palatino Linotype" w:cs="Arial"/>
          <w:b/>
          <w:sz w:val="28"/>
          <w:szCs w:val="24"/>
        </w:rPr>
      </w:pPr>
      <w:r w:rsidRPr="00CA6BAD">
        <w:rPr>
          <w:rFonts w:ascii="Palatino Linotype" w:hAnsi="Palatino Linotype" w:cs="Arial"/>
          <w:b/>
          <w:sz w:val="28"/>
          <w:szCs w:val="24"/>
        </w:rPr>
        <w:t>C O N S I D E R A N D O</w:t>
      </w:r>
    </w:p>
    <w:p w:rsidR="00D00ED6" w:rsidRPr="00CA6BAD" w:rsidRDefault="00D00ED6" w:rsidP="00D00ED6">
      <w:pPr>
        <w:pStyle w:val="Sinespaciado"/>
      </w:pPr>
    </w:p>
    <w:p w:rsidR="00D00ED6" w:rsidRPr="00CA6BAD" w:rsidRDefault="00D00ED6" w:rsidP="00D00ED6">
      <w:pPr>
        <w:spacing w:after="0" w:line="360" w:lineRule="auto"/>
        <w:jc w:val="both"/>
        <w:rPr>
          <w:rFonts w:ascii="Palatino Linotype" w:hAnsi="Palatino Linotype" w:cs="Arial"/>
          <w:sz w:val="28"/>
          <w:szCs w:val="28"/>
        </w:rPr>
      </w:pPr>
      <w:r w:rsidRPr="00CA6BAD">
        <w:rPr>
          <w:rFonts w:ascii="Palatino Linotype" w:hAnsi="Palatino Linotype" w:cs="Arial"/>
          <w:b/>
          <w:sz w:val="28"/>
          <w:szCs w:val="28"/>
        </w:rPr>
        <w:t>PRIMERO. Competencia</w:t>
      </w:r>
      <w:r w:rsidRPr="00CA6BAD">
        <w:rPr>
          <w:rFonts w:ascii="Palatino Linotype" w:hAnsi="Palatino Linotype" w:cs="Arial"/>
          <w:sz w:val="28"/>
          <w:szCs w:val="28"/>
        </w:rPr>
        <w:t xml:space="preserve">. </w:t>
      </w:r>
    </w:p>
    <w:p w:rsidR="00D00ED6" w:rsidRPr="00CA6BAD" w:rsidRDefault="00D00ED6" w:rsidP="00D00ED6">
      <w:pPr>
        <w:spacing w:after="0" w:line="360" w:lineRule="auto"/>
        <w:jc w:val="both"/>
        <w:rPr>
          <w:rFonts w:ascii="Palatino Linotype" w:hAnsi="Palatino Linotype" w:cs="Arial"/>
          <w:sz w:val="24"/>
          <w:szCs w:val="24"/>
        </w:rPr>
      </w:pPr>
      <w:r w:rsidRPr="00CA6BAD">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fracciones I y VI, 181 párrafo tercero, 182, 185, 188 y 194 de la Ley de Transparencia y Acceso a la Información Pública del Estado de México y Municipios, 9, fracciones I, XXIV del Reglamento Interior del Instituto de Transparencia, Acceso a la Información Pública y Protección de Datos Personales del Estado de México y Municipios.</w:t>
      </w:r>
    </w:p>
    <w:p w:rsidR="00D00ED6" w:rsidRPr="00CA6BAD" w:rsidRDefault="00D00ED6" w:rsidP="00D00ED6">
      <w:pPr>
        <w:spacing w:after="0" w:line="360" w:lineRule="auto"/>
        <w:ind w:left="426" w:hanging="426"/>
        <w:jc w:val="both"/>
        <w:rPr>
          <w:rFonts w:ascii="Palatino Linotype" w:hAnsi="Palatino Linotype" w:cs="Arial"/>
          <w:sz w:val="24"/>
          <w:szCs w:val="24"/>
        </w:rPr>
      </w:pPr>
    </w:p>
    <w:p w:rsidR="00D00ED6" w:rsidRPr="00CA6BAD" w:rsidRDefault="00D00ED6" w:rsidP="00D00ED6">
      <w:pPr>
        <w:autoSpaceDE w:val="0"/>
        <w:autoSpaceDN w:val="0"/>
        <w:adjustRightInd w:val="0"/>
        <w:spacing w:after="0" w:line="360" w:lineRule="auto"/>
        <w:jc w:val="both"/>
        <w:rPr>
          <w:rFonts w:ascii="Palatino Linotype" w:hAnsi="Palatino Linotype" w:cs="Arial"/>
          <w:b/>
          <w:sz w:val="28"/>
          <w:szCs w:val="28"/>
        </w:rPr>
      </w:pPr>
      <w:r w:rsidRPr="00CA6BAD">
        <w:rPr>
          <w:rFonts w:ascii="Palatino Linotype" w:hAnsi="Palatino Linotype" w:cs="Arial"/>
          <w:b/>
          <w:sz w:val="28"/>
          <w:szCs w:val="28"/>
        </w:rPr>
        <w:t xml:space="preserve">SEGUNDO. Alcances del Recurso de Revisión. </w:t>
      </w:r>
    </w:p>
    <w:p w:rsidR="00D00ED6" w:rsidRPr="00CA6BAD" w:rsidRDefault="00D00ED6" w:rsidP="00D00ED6">
      <w:pPr>
        <w:pStyle w:val="Prrafodelista"/>
        <w:autoSpaceDE w:val="0"/>
        <w:autoSpaceDN w:val="0"/>
        <w:adjustRightInd w:val="0"/>
        <w:spacing w:line="360" w:lineRule="auto"/>
        <w:ind w:left="0"/>
        <w:jc w:val="both"/>
        <w:rPr>
          <w:rFonts w:ascii="Palatino Linotype" w:hAnsi="Palatino Linotype" w:cs="Arial"/>
        </w:rPr>
      </w:pPr>
      <w:r w:rsidRPr="00CA6BAD">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00ED6" w:rsidRPr="00CA6BAD" w:rsidRDefault="00D00ED6" w:rsidP="00D00ED6">
      <w:pPr>
        <w:pStyle w:val="Prrafodelista"/>
        <w:autoSpaceDE w:val="0"/>
        <w:autoSpaceDN w:val="0"/>
        <w:adjustRightInd w:val="0"/>
        <w:spacing w:line="360" w:lineRule="auto"/>
        <w:ind w:left="0"/>
        <w:jc w:val="both"/>
        <w:rPr>
          <w:rFonts w:ascii="Palatino Linotype" w:hAnsi="Palatino Linotype" w:cs="Arial"/>
        </w:rPr>
      </w:pPr>
    </w:p>
    <w:p w:rsidR="00D00ED6" w:rsidRPr="00CA6BAD" w:rsidRDefault="00D00ED6" w:rsidP="00D00ED6">
      <w:pPr>
        <w:autoSpaceDE w:val="0"/>
        <w:autoSpaceDN w:val="0"/>
        <w:adjustRightInd w:val="0"/>
        <w:spacing w:line="360" w:lineRule="auto"/>
        <w:jc w:val="both"/>
        <w:rPr>
          <w:rFonts w:ascii="Palatino Linotype" w:hAnsi="Palatino Linotype" w:cs="Arial"/>
          <w:sz w:val="24"/>
          <w:szCs w:val="24"/>
        </w:rPr>
      </w:pPr>
      <w:r w:rsidRPr="00CA6BAD">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D00ED6" w:rsidRPr="00CA6BAD" w:rsidRDefault="00D00ED6" w:rsidP="00D00ED6">
      <w:pPr>
        <w:pStyle w:val="Sinespaciado"/>
      </w:pP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r w:rsidRPr="00CA6BAD">
        <w:rPr>
          <w:rFonts w:ascii="Palatino Linotype" w:hAnsi="Palatino Linotype" w:cs="Arial"/>
          <w:i/>
          <w:sz w:val="22"/>
          <w:szCs w:val="22"/>
        </w:rPr>
        <w:t>“</w:t>
      </w:r>
      <w:r w:rsidRPr="00CA6BAD">
        <w:rPr>
          <w:rFonts w:ascii="Palatino Linotype" w:hAnsi="Palatino Linotype" w:cs="Arial"/>
          <w:b/>
          <w:i/>
          <w:sz w:val="22"/>
          <w:szCs w:val="22"/>
        </w:rPr>
        <w:t>Artículo 163.</w:t>
      </w:r>
      <w:r w:rsidRPr="00CA6BA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r w:rsidRPr="00CA6BA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00ED6" w:rsidRPr="00CA6BAD" w:rsidRDefault="00D00ED6" w:rsidP="00D00ED6">
      <w:pPr>
        <w:pStyle w:val="Prrafodelista"/>
        <w:autoSpaceDE w:val="0"/>
        <w:autoSpaceDN w:val="0"/>
        <w:adjustRightInd w:val="0"/>
        <w:ind w:left="567" w:right="567"/>
        <w:jc w:val="right"/>
        <w:rPr>
          <w:rFonts w:ascii="Palatino Linotype" w:hAnsi="Palatino Linotype" w:cs="Arial"/>
          <w:i/>
          <w:sz w:val="22"/>
          <w:szCs w:val="22"/>
        </w:rPr>
      </w:pPr>
      <w:r w:rsidRPr="00CA6BAD">
        <w:rPr>
          <w:rFonts w:ascii="Palatino Linotype" w:hAnsi="Palatino Linotype" w:cs="Arial"/>
          <w:i/>
          <w:sz w:val="22"/>
          <w:szCs w:val="22"/>
        </w:rPr>
        <w:t>(Énfasis añadido)</w:t>
      </w: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p>
    <w:p w:rsidR="00D00ED6" w:rsidRPr="00CA6BAD" w:rsidRDefault="00D00ED6" w:rsidP="00D00ED6">
      <w:pPr>
        <w:pStyle w:val="Sinespaciado"/>
      </w:pPr>
    </w:p>
    <w:p w:rsidR="00D00ED6" w:rsidRPr="00CA6BAD" w:rsidRDefault="00D00ED6" w:rsidP="00D00ED6">
      <w:pPr>
        <w:autoSpaceDE w:val="0"/>
        <w:autoSpaceDN w:val="0"/>
        <w:adjustRightInd w:val="0"/>
        <w:spacing w:line="360" w:lineRule="auto"/>
        <w:jc w:val="both"/>
        <w:rPr>
          <w:rFonts w:ascii="Palatino Linotype" w:hAnsi="Palatino Linotype" w:cs="Arial"/>
          <w:sz w:val="24"/>
          <w:szCs w:val="24"/>
        </w:rPr>
      </w:pPr>
      <w:r w:rsidRPr="00CA6BAD">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D00ED6" w:rsidRPr="00CA6BAD" w:rsidRDefault="00D00ED6" w:rsidP="00D00ED6">
      <w:pPr>
        <w:pStyle w:val="Sinespaciado"/>
      </w:pPr>
    </w:p>
    <w:p w:rsidR="00D00ED6" w:rsidRPr="00CA6BAD" w:rsidRDefault="00D00ED6" w:rsidP="00D00ED6">
      <w:pPr>
        <w:autoSpaceDE w:val="0"/>
        <w:autoSpaceDN w:val="0"/>
        <w:adjustRightInd w:val="0"/>
        <w:spacing w:line="360" w:lineRule="auto"/>
        <w:jc w:val="both"/>
        <w:rPr>
          <w:rFonts w:ascii="Palatino Linotype" w:hAnsi="Palatino Linotype" w:cs="Arial"/>
          <w:sz w:val="24"/>
          <w:szCs w:val="24"/>
        </w:rPr>
      </w:pPr>
      <w:r w:rsidRPr="00CA6BAD">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D00ED6" w:rsidRPr="00CA6BAD" w:rsidRDefault="00D00ED6" w:rsidP="00D00ED6">
      <w:pPr>
        <w:autoSpaceDE w:val="0"/>
        <w:autoSpaceDN w:val="0"/>
        <w:adjustRightInd w:val="0"/>
        <w:spacing w:line="360" w:lineRule="auto"/>
        <w:jc w:val="both"/>
        <w:rPr>
          <w:rFonts w:ascii="Palatino Linotype" w:hAnsi="Palatino Linotype" w:cs="Arial"/>
          <w:sz w:val="24"/>
          <w:szCs w:val="24"/>
        </w:rPr>
      </w:pPr>
      <w:r w:rsidRPr="00CA6BAD">
        <w:rPr>
          <w:rFonts w:ascii="Palatino Linotype" w:hAnsi="Palatino Linotype" w:cs="Arial"/>
          <w:sz w:val="24"/>
          <w:szCs w:val="24"/>
        </w:rPr>
        <w:t xml:space="preserve">Derivado de lo anterior, se constituye la figura jurídica de la </w:t>
      </w:r>
      <w:r w:rsidRPr="00CA6BAD">
        <w:rPr>
          <w:rFonts w:ascii="Palatino Linotype" w:hAnsi="Palatino Linotype" w:cs="Arial"/>
          <w:b/>
          <w:i/>
          <w:sz w:val="24"/>
          <w:szCs w:val="24"/>
        </w:rPr>
        <w:t>NEGATIVA FICTA</w:t>
      </w:r>
      <w:r w:rsidRPr="00CA6BAD">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D00ED6" w:rsidRPr="00CA6BAD" w:rsidRDefault="00D00ED6" w:rsidP="00D00ED6">
      <w:pPr>
        <w:pStyle w:val="Sinespaciado"/>
      </w:pPr>
    </w:p>
    <w:p w:rsidR="00D00ED6" w:rsidRPr="00CA6BAD" w:rsidRDefault="00D00ED6" w:rsidP="00D00ED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A6BA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D00ED6" w:rsidRPr="00CA6BAD" w:rsidRDefault="00D00ED6" w:rsidP="00D00ED6">
      <w:pPr>
        <w:pStyle w:val="Sinespaciado"/>
      </w:pP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r w:rsidRPr="00CA6BAD">
        <w:rPr>
          <w:rFonts w:ascii="Palatino Linotype" w:hAnsi="Palatino Linotype" w:cs="Arial"/>
          <w:i/>
          <w:sz w:val="22"/>
          <w:szCs w:val="22"/>
        </w:rPr>
        <w:t>“</w:t>
      </w:r>
      <w:r w:rsidRPr="00CA6BAD">
        <w:rPr>
          <w:rFonts w:ascii="Palatino Linotype" w:hAnsi="Palatino Linotype" w:cs="Arial"/>
          <w:b/>
          <w:i/>
          <w:sz w:val="22"/>
          <w:szCs w:val="22"/>
        </w:rPr>
        <w:t>Artículo 178.</w:t>
      </w:r>
      <w:r w:rsidRPr="00CA6BA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r w:rsidRPr="00CA6BA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A6BAD">
        <w:rPr>
          <w:rFonts w:ascii="Palatino Linotype" w:hAnsi="Palatino Linotype" w:cs="Arial"/>
          <w:i/>
          <w:sz w:val="22"/>
          <w:szCs w:val="22"/>
        </w:rPr>
        <w:t>, acompañado con el documento que pruebe la fecha en que presentó la solicitud.</w:t>
      </w: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r w:rsidRPr="00CA6BA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D00ED6" w:rsidRPr="00CA6BAD" w:rsidRDefault="00D00ED6" w:rsidP="00D00ED6">
      <w:pPr>
        <w:pStyle w:val="Prrafodelista"/>
        <w:autoSpaceDE w:val="0"/>
        <w:autoSpaceDN w:val="0"/>
        <w:adjustRightInd w:val="0"/>
        <w:ind w:left="567" w:right="567"/>
        <w:jc w:val="both"/>
        <w:rPr>
          <w:rFonts w:ascii="Palatino Linotype" w:hAnsi="Palatino Linotype" w:cs="Arial"/>
          <w:i/>
          <w:sz w:val="22"/>
          <w:szCs w:val="22"/>
        </w:rPr>
      </w:pPr>
    </w:p>
    <w:p w:rsidR="00D00ED6" w:rsidRPr="00CA6BAD" w:rsidRDefault="00D00ED6" w:rsidP="00D00ED6">
      <w:pPr>
        <w:pStyle w:val="Prrafodelista"/>
        <w:autoSpaceDE w:val="0"/>
        <w:autoSpaceDN w:val="0"/>
        <w:adjustRightInd w:val="0"/>
        <w:ind w:left="567" w:right="567"/>
        <w:jc w:val="right"/>
        <w:rPr>
          <w:rFonts w:ascii="Palatino Linotype" w:hAnsi="Palatino Linotype" w:cs="Arial"/>
          <w:i/>
          <w:sz w:val="22"/>
          <w:szCs w:val="22"/>
        </w:rPr>
      </w:pPr>
      <w:r w:rsidRPr="00CA6BAD">
        <w:rPr>
          <w:rFonts w:ascii="Palatino Linotype" w:hAnsi="Palatino Linotype" w:cs="Arial"/>
          <w:i/>
          <w:sz w:val="22"/>
          <w:szCs w:val="22"/>
        </w:rPr>
        <w:t>(Énfasis añadido)</w:t>
      </w:r>
    </w:p>
    <w:p w:rsidR="00D00ED6" w:rsidRPr="00CA6BAD" w:rsidRDefault="00D00ED6" w:rsidP="00D00ED6">
      <w:pPr>
        <w:pStyle w:val="Sinespaciado"/>
      </w:pPr>
    </w:p>
    <w:p w:rsidR="00D00ED6" w:rsidRPr="00CA6BAD" w:rsidRDefault="00D00ED6" w:rsidP="00D00ED6">
      <w:pPr>
        <w:pStyle w:val="Prrafodelista"/>
        <w:autoSpaceDE w:val="0"/>
        <w:autoSpaceDN w:val="0"/>
        <w:adjustRightInd w:val="0"/>
        <w:spacing w:line="360" w:lineRule="auto"/>
        <w:ind w:left="0"/>
        <w:jc w:val="both"/>
        <w:rPr>
          <w:rFonts w:ascii="Palatino Linotype" w:hAnsi="Palatino Linotype" w:cs="Arial"/>
        </w:rPr>
      </w:pPr>
      <w:r w:rsidRPr="00CA6BA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A6BAD">
        <w:rPr>
          <w:rFonts w:ascii="Palatino Linotype" w:hAnsi="Palatino Linotype" w:cs="Arial"/>
          <w:b/>
        </w:rPr>
        <w:t>Sujeto Obligado</w:t>
      </w:r>
      <w:r w:rsidRPr="00CA6BA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D00ED6" w:rsidRPr="00CA6BAD" w:rsidRDefault="00D00ED6" w:rsidP="00D00ED6">
      <w:pPr>
        <w:pStyle w:val="Prrafodelista"/>
        <w:autoSpaceDE w:val="0"/>
        <w:autoSpaceDN w:val="0"/>
        <w:adjustRightInd w:val="0"/>
        <w:spacing w:line="360" w:lineRule="auto"/>
        <w:ind w:left="0"/>
        <w:jc w:val="both"/>
        <w:rPr>
          <w:rFonts w:ascii="Palatino Linotype" w:hAnsi="Palatino Linotype" w:cs="Arial"/>
        </w:rPr>
      </w:pPr>
    </w:p>
    <w:p w:rsidR="00D00ED6" w:rsidRPr="00CA6BAD" w:rsidRDefault="00D00ED6" w:rsidP="00D00ED6">
      <w:pPr>
        <w:spacing w:after="0" w:line="360" w:lineRule="auto"/>
        <w:jc w:val="both"/>
        <w:rPr>
          <w:rFonts w:ascii="Palatino Linotype" w:hAnsi="Palatino Linotype" w:cs="Arial"/>
          <w:b/>
          <w:sz w:val="28"/>
          <w:szCs w:val="28"/>
        </w:rPr>
      </w:pPr>
      <w:r w:rsidRPr="00CA6BAD">
        <w:rPr>
          <w:rFonts w:ascii="Palatino Linotype" w:hAnsi="Palatino Linotype" w:cs="Arial"/>
          <w:b/>
          <w:sz w:val="28"/>
          <w:szCs w:val="28"/>
        </w:rPr>
        <w:t>TERCERO. De las causas de improcedencia.</w:t>
      </w:r>
    </w:p>
    <w:p w:rsidR="00D00ED6" w:rsidRPr="00CA6BAD" w:rsidRDefault="00D00ED6" w:rsidP="00D00ED6">
      <w:pPr>
        <w:pStyle w:val="Prrafodelista"/>
        <w:autoSpaceDE w:val="0"/>
        <w:autoSpaceDN w:val="0"/>
        <w:adjustRightInd w:val="0"/>
        <w:spacing w:line="360" w:lineRule="auto"/>
        <w:ind w:left="0"/>
        <w:jc w:val="both"/>
        <w:rPr>
          <w:rFonts w:ascii="Palatino Linotype" w:hAnsi="Palatino Linotype" w:cs="Arial"/>
        </w:rPr>
      </w:pPr>
      <w:r w:rsidRPr="00CA6BAD">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CA6BAD">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A6BAD">
        <w:rPr>
          <w:rStyle w:val="Refdenotaalpie"/>
          <w:rFonts w:ascii="Palatino Linotype" w:hAnsi="Palatino Linotype" w:cs="Arial"/>
        </w:rPr>
        <w:footnoteReference w:id="1"/>
      </w:r>
      <w:r w:rsidRPr="00CA6BAD">
        <w:rPr>
          <w:rFonts w:ascii="Palatino Linotype" w:hAnsi="Palatino Linotype" w:cs="Arial"/>
        </w:rPr>
        <w:t>.</w:t>
      </w:r>
    </w:p>
    <w:p w:rsidR="00D00ED6" w:rsidRPr="00CA6BAD" w:rsidRDefault="00D00ED6" w:rsidP="00D00ED6">
      <w:pPr>
        <w:pStyle w:val="Prrafodelista"/>
        <w:autoSpaceDE w:val="0"/>
        <w:autoSpaceDN w:val="0"/>
        <w:adjustRightInd w:val="0"/>
        <w:spacing w:line="360" w:lineRule="auto"/>
        <w:ind w:left="0"/>
        <w:jc w:val="both"/>
        <w:rPr>
          <w:rFonts w:ascii="Palatino Linotype" w:hAnsi="Palatino Linotype" w:cs="Arial"/>
        </w:rPr>
      </w:pPr>
    </w:p>
    <w:p w:rsidR="00D00ED6" w:rsidRPr="00CA6BAD" w:rsidRDefault="00D00ED6" w:rsidP="00D00ED6">
      <w:pPr>
        <w:pStyle w:val="Prrafodelista"/>
        <w:autoSpaceDE w:val="0"/>
        <w:autoSpaceDN w:val="0"/>
        <w:adjustRightInd w:val="0"/>
        <w:spacing w:line="360" w:lineRule="auto"/>
        <w:ind w:left="0"/>
        <w:jc w:val="both"/>
        <w:rPr>
          <w:rFonts w:ascii="Palatino Linotype" w:hAnsi="Palatino Linotype" w:cs="Arial"/>
        </w:rPr>
      </w:pPr>
      <w:r w:rsidRPr="00CA6BAD">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CA6BAD">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rsidR="003F5D8E" w:rsidRDefault="003F5D8E" w:rsidP="00D00ED6">
      <w:pPr>
        <w:pStyle w:val="Prrafodelista"/>
        <w:autoSpaceDE w:val="0"/>
        <w:autoSpaceDN w:val="0"/>
        <w:adjustRightInd w:val="0"/>
        <w:spacing w:line="360" w:lineRule="auto"/>
        <w:ind w:left="0"/>
        <w:jc w:val="both"/>
        <w:rPr>
          <w:rFonts w:ascii="Palatino Linotype" w:hAnsi="Palatino Linotype" w:cs="Arial"/>
          <w:b/>
          <w:sz w:val="28"/>
        </w:rPr>
      </w:pPr>
    </w:p>
    <w:p w:rsidR="00D00ED6" w:rsidRPr="00CA6BAD" w:rsidRDefault="00D00ED6" w:rsidP="00D00ED6">
      <w:pPr>
        <w:pStyle w:val="Prrafodelista"/>
        <w:autoSpaceDE w:val="0"/>
        <w:autoSpaceDN w:val="0"/>
        <w:adjustRightInd w:val="0"/>
        <w:spacing w:line="360" w:lineRule="auto"/>
        <w:ind w:left="0"/>
        <w:jc w:val="both"/>
        <w:rPr>
          <w:rFonts w:ascii="Palatino Linotype" w:hAnsi="Palatino Linotype" w:cs="Arial"/>
          <w:b/>
          <w:sz w:val="28"/>
        </w:rPr>
      </w:pPr>
      <w:r w:rsidRPr="00CA6BAD">
        <w:rPr>
          <w:rFonts w:ascii="Palatino Linotype" w:hAnsi="Palatino Linotype" w:cs="Arial"/>
          <w:b/>
          <w:sz w:val="28"/>
        </w:rPr>
        <w:t>CUARTO.</w:t>
      </w:r>
      <w:r w:rsidRPr="00CA6BAD">
        <w:rPr>
          <w:rFonts w:ascii="Palatino Linotype" w:hAnsi="Palatino Linotype" w:cs="Arial"/>
          <w:sz w:val="28"/>
        </w:rPr>
        <w:t xml:space="preserve"> </w:t>
      </w:r>
      <w:r w:rsidRPr="00CA6BAD">
        <w:rPr>
          <w:rFonts w:ascii="Palatino Linotype" w:hAnsi="Palatino Linotype" w:cs="Arial"/>
          <w:b/>
          <w:sz w:val="28"/>
        </w:rPr>
        <w:t>Estudio y resolución del asunto.</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tab/>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t>Por su parte, la Ley de Transparencia y Acceso a la Información Pública del Estado de México y Municipios (Reglamentaria del artículo 5° de la Constitución Local), establece lo siguiente:</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t>El artículo 12, que, quienes generen, recopilen, administren, manejen, procesen, archiven o conserven información pública serán responsables de la misma.</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t>El artículo 18, que, los Sujetos Obligados deberán documentar todo acto que derive del ejercicio de sus facultades, competencias o funciones, considerando desde su origen la eventual publicidad y reutilización de la información que generen.</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r w:rsidRPr="00C834E5">
        <w:rPr>
          <w:rFonts w:ascii="Palatino Linotype" w:hAnsi="Palatino Linotype"/>
          <w:lang w:val="es-MX"/>
        </w:rPr>
        <w:t>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rsidR="00C834E5" w:rsidRPr="00C834E5" w:rsidRDefault="00C834E5" w:rsidP="00C834E5">
      <w:pPr>
        <w:pStyle w:val="Prrafodelista"/>
        <w:autoSpaceDE w:val="0"/>
        <w:autoSpaceDN w:val="0"/>
        <w:adjustRightInd w:val="0"/>
        <w:spacing w:line="360" w:lineRule="auto"/>
        <w:jc w:val="both"/>
        <w:rPr>
          <w:rFonts w:ascii="Palatino Linotype" w:hAnsi="Palatino Linotype"/>
          <w:lang w:val="es-MX"/>
        </w:rPr>
      </w:pPr>
    </w:p>
    <w:p w:rsidR="00D00ED6" w:rsidRPr="00CA6BAD" w:rsidRDefault="00D00ED6" w:rsidP="00D00ED6">
      <w:pPr>
        <w:pStyle w:val="Prrafodelista"/>
        <w:autoSpaceDE w:val="0"/>
        <w:autoSpaceDN w:val="0"/>
        <w:adjustRightInd w:val="0"/>
        <w:spacing w:line="360" w:lineRule="auto"/>
        <w:ind w:left="0"/>
        <w:jc w:val="both"/>
        <w:rPr>
          <w:rFonts w:ascii="Palatino Linotype" w:hAnsi="Palatino Linotype" w:cs="Arial"/>
        </w:rPr>
      </w:pPr>
      <w:r w:rsidRPr="00CA6BAD">
        <w:rPr>
          <w:rFonts w:ascii="Palatino Linotype" w:hAnsi="Palatino Linotype" w:cs="Arial"/>
        </w:rPr>
        <w:t>Por lo anterior, es necesario retomar el requerimiento del solicitante que versa específicamente en conocer la siguiente información:</w:t>
      </w:r>
    </w:p>
    <w:p w:rsidR="00D00ED6" w:rsidRPr="00CA6BAD" w:rsidRDefault="00D00ED6" w:rsidP="00D00ED6">
      <w:pPr>
        <w:pStyle w:val="Sinespaciado"/>
      </w:pPr>
    </w:p>
    <w:p w:rsidR="001D4CE8" w:rsidRPr="001D4CE8" w:rsidRDefault="001D4CE8" w:rsidP="001D4CE8">
      <w:pPr>
        <w:pStyle w:val="Prrafodelista"/>
        <w:numPr>
          <w:ilvl w:val="0"/>
          <w:numId w:val="12"/>
        </w:numPr>
        <w:autoSpaceDE w:val="0"/>
        <w:autoSpaceDN w:val="0"/>
        <w:adjustRightInd w:val="0"/>
        <w:ind w:right="567"/>
        <w:jc w:val="both"/>
        <w:rPr>
          <w:rFonts w:ascii="Palatino Linotype" w:hAnsi="Palatino Linotype"/>
          <w:i/>
          <w:lang w:val="es-ES_tradnl"/>
        </w:rPr>
      </w:pPr>
      <w:r w:rsidRPr="001D4CE8">
        <w:rPr>
          <w:rFonts w:ascii="Palatino Linotype" w:hAnsi="Palatino Linotype"/>
          <w:i/>
          <w:lang w:val="es-ES_tradnl"/>
        </w:rPr>
        <w:t>Los recibos de nómina de la primera quincena de enero a la primera quincena de marzo de dos mil diecinueve;</w:t>
      </w:r>
    </w:p>
    <w:p w:rsidR="001D4CE8" w:rsidRPr="001D4CE8" w:rsidRDefault="001D4CE8" w:rsidP="001D4CE8">
      <w:pPr>
        <w:pStyle w:val="Prrafodelista"/>
        <w:numPr>
          <w:ilvl w:val="0"/>
          <w:numId w:val="12"/>
        </w:numPr>
        <w:autoSpaceDE w:val="0"/>
        <w:autoSpaceDN w:val="0"/>
        <w:adjustRightInd w:val="0"/>
        <w:ind w:right="567"/>
        <w:jc w:val="both"/>
        <w:rPr>
          <w:rFonts w:ascii="Palatino Linotype" w:hAnsi="Palatino Linotype"/>
          <w:i/>
          <w:lang w:val="es-ES_tradnl"/>
        </w:rPr>
      </w:pPr>
      <w:r w:rsidRPr="001D4CE8">
        <w:rPr>
          <w:rFonts w:ascii="Palatino Linotype" w:hAnsi="Palatino Linotype"/>
          <w:i/>
          <w:lang w:val="es-ES_tradnl"/>
        </w:rPr>
        <w:t>Los títulos y cédulas de mandos medios y superiores;</w:t>
      </w:r>
    </w:p>
    <w:p w:rsidR="001D4CE8" w:rsidRPr="001D4CE8" w:rsidRDefault="001D4CE8" w:rsidP="001D4CE8">
      <w:pPr>
        <w:pStyle w:val="Prrafodelista"/>
        <w:numPr>
          <w:ilvl w:val="0"/>
          <w:numId w:val="12"/>
        </w:numPr>
        <w:autoSpaceDE w:val="0"/>
        <w:autoSpaceDN w:val="0"/>
        <w:adjustRightInd w:val="0"/>
        <w:ind w:right="567"/>
        <w:jc w:val="both"/>
        <w:rPr>
          <w:rFonts w:ascii="Palatino Linotype" w:hAnsi="Palatino Linotype"/>
          <w:i/>
          <w:lang w:val="es-ES_tradnl"/>
        </w:rPr>
      </w:pPr>
      <w:r w:rsidRPr="001D4CE8">
        <w:rPr>
          <w:rFonts w:ascii="Palatino Linotype" w:hAnsi="Palatino Linotype"/>
          <w:i/>
          <w:lang w:val="es-ES_tradnl"/>
        </w:rPr>
        <w:t>Curriculum Vitae de mando medios y superiores;</w:t>
      </w:r>
    </w:p>
    <w:p w:rsidR="001D4CE8" w:rsidRPr="001D4CE8" w:rsidRDefault="001D4CE8" w:rsidP="001D4CE8">
      <w:pPr>
        <w:pStyle w:val="Prrafodelista"/>
        <w:numPr>
          <w:ilvl w:val="0"/>
          <w:numId w:val="12"/>
        </w:numPr>
        <w:autoSpaceDE w:val="0"/>
        <w:autoSpaceDN w:val="0"/>
        <w:adjustRightInd w:val="0"/>
        <w:ind w:right="567"/>
        <w:jc w:val="both"/>
        <w:rPr>
          <w:rFonts w:ascii="Palatino Linotype" w:hAnsi="Palatino Linotype"/>
          <w:i/>
          <w:lang w:val="es-ES_tradnl"/>
        </w:rPr>
      </w:pPr>
      <w:r w:rsidRPr="001D4CE8">
        <w:rPr>
          <w:rFonts w:ascii="Palatino Linotype" w:hAnsi="Palatino Linotype"/>
          <w:i/>
          <w:lang w:val="es-ES_tradnl"/>
        </w:rPr>
        <w:t>Constancia de no inhabilitación de los mandos medios y superiores;</w:t>
      </w:r>
    </w:p>
    <w:p w:rsidR="001D4CE8" w:rsidRPr="001D4CE8" w:rsidRDefault="001D4CE8" w:rsidP="001D4CE8">
      <w:pPr>
        <w:pStyle w:val="Prrafodelista"/>
        <w:numPr>
          <w:ilvl w:val="0"/>
          <w:numId w:val="12"/>
        </w:numPr>
        <w:autoSpaceDE w:val="0"/>
        <w:autoSpaceDN w:val="0"/>
        <w:adjustRightInd w:val="0"/>
        <w:ind w:right="567"/>
        <w:jc w:val="both"/>
        <w:rPr>
          <w:rFonts w:ascii="Palatino Linotype" w:hAnsi="Palatino Linotype"/>
          <w:i/>
          <w:lang w:val="es-ES_tradnl"/>
        </w:rPr>
      </w:pPr>
      <w:r w:rsidRPr="001D4CE8">
        <w:rPr>
          <w:rFonts w:ascii="Palatino Linotype" w:hAnsi="Palatino Linotype"/>
          <w:i/>
          <w:lang w:val="es-ES_tradnl"/>
        </w:rPr>
        <w:t>Certificado de no antecedentes penales de los mandos medios y superiores; y</w:t>
      </w:r>
    </w:p>
    <w:p w:rsidR="00D00ED6" w:rsidRPr="001D4CE8" w:rsidRDefault="001D4CE8" w:rsidP="001D4CE8">
      <w:pPr>
        <w:pStyle w:val="Prrafodelista"/>
        <w:numPr>
          <w:ilvl w:val="0"/>
          <w:numId w:val="12"/>
        </w:numPr>
        <w:autoSpaceDE w:val="0"/>
        <w:autoSpaceDN w:val="0"/>
        <w:adjustRightInd w:val="0"/>
        <w:ind w:right="567"/>
        <w:jc w:val="both"/>
        <w:rPr>
          <w:rFonts w:ascii="Palatino Linotype" w:hAnsi="Palatino Linotype"/>
          <w:i/>
          <w:lang w:val="es-ES_tradnl"/>
        </w:rPr>
      </w:pPr>
      <w:r w:rsidRPr="001D4CE8">
        <w:rPr>
          <w:rFonts w:ascii="Palatino Linotype" w:hAnsi="Palatino Linotype"/>
          <w:i/>
          <w:lang w:val="es-ES_tradnl"/>
        </w:rPr>
        <w:t>El tabulador de sueldos y salarios de IMCUFIDETEQ 2019, en formato pdf abierto.</w:t>
      </w:r>
      <w:r w:rsidR="00D00ED6" w:rsidRPr="001D4CE8">
        <w:rPr>
          <w:rFonts w:ascii="Palatino Linotype" w:hAnsi="Palatino Linotype"/>
          <w:i/>
          <w:lang w:val="es-ES_tradnl"/>
        </w:rPr>
        <w:t xml:space="preserve"> (sic)</w:t>
      </w:r>
    </w:p>
    <w:p w:rsidR="00D00ED6" w:rsidRPr="00CA6BAD" w:rsidRDefault="00D00ED6" w:rsidP="00D00ED6">
      <w:pPr>
        <w:autoSpaceDE w:val="0"/>
        <w:autoSpaceDN w:val="0"/>
        <w:adjustRightInd w:val="0"/>
        <w:spacing w:after="0" w:line="360" w:lineRule="auto"/>
        <w:jc w:val="both"/>
        <w:rPr>
          <w:rFonts w:ascii="Palatino Linotype" w:hAnsi="Palatino Linotype" w:cs="Arial"/>
          <w:sz w:val="24"/>
        </w:rPr>
      </w:pPr>
    </w:p>
    <w:p w:rsidR="00D00ED6" w:rsidRPr="00CA6BAD" w:rsidRDefault="00D00ED6" w:rsidP="00D00ED6">
      <w:pPr>
        <w:autoSpaceDE w:val="0"/>
        <w:autoSpaceDN w:val="0"/>
        <w:adjustRightInd w:val="0"/>
        <w:spacing w:after="0" w:line="360" w:lineRule="auto"/>
        <w:jc w:val="both"/>
        <w:rPr>
          <w:rFonts w:ascii="Palatino Linotype" w:hAnsi="Palatino Linotype" w:cs="Arial"/>
          <w:sz w:val="24"/>
        </w:rPr>
      </w:pPr>
      <w:r w:rsidRPr="00CA6BAD">
        <w:rPr>
          <w:rFonts w:ascii="Palatino Linotype" w:hAnsi="Palatino Linotype" w:cs="Arial"/>
          <w:sz w:val="24"/>
        </w:rPr>
        <w:t xml:space="preserve">Sin embargo, no se emitió respuesta alguna por parte del </w:t>
      </w:r>
      <w:r w:rsidRPr="00CA6BAD">
        <w:rPr>
          <w:rFonts w:ascii="Palatino Linotype" w:hAnsi="Palatino Linotype" w:cs="Arial"/>
          <w:b/>
          <w:sz w:val="24"/>
        </w:rPr>
        <w:t>Sujeto Obligado</w:t>
      </w:r>
      <w:r w:rsidRPr="00CA6BAD">
        <w:rPr>
          <w:rFonts w:ascii="Palatino Linotype" w:hAnsi="Palatino Linotype" w:cs="Arial"/>
          <w:sz w:val="24"/>
        </w:rPr>
        <w:t xml:space="preserve">, obteniendo de esta manera la inconformidad por parte de la </w:t>
      </w:r>
      <w:r w:rsidRPr="00CA6BAD">
        <w:rPr>
          <w:rFonts w:ascii="Palatino Linotype" w:hAnsi="Palatino Linotype" w:cs="Arial"/>
          <w:b/>
          <w:sz w:val="24"/>
        </w:rPr>
        <w:t>Recurrente</w:t>
      </w:r>
      <w:r w:rsidRPr="00CA6BAD">
        <w:rPr>
          <w:rFonts w:ascii="Palatino Linotype" w:hAnsi="Palatino Linotype" w:cs="Arial"/>
          <w:sz w:val="24"/>
        </w:rPr>
        <w:t xml:space="preserve"> el cual, suscribió el presente recurso de revisión argumentando que no se le proporcionó respuesta, de la misma forma el </w:t>
      </w:r>
      <w:r w:rsidRPr="00CA6BAD">
        <w:rPr>
          <w:rFonts w:ascii="Palatino Linotype" w:hAnsi="Palatino Linotype" w:cs="Arial"/>
          <w:b/>
          <w:sz w:val="24"/>
        </w:rPr>
        <w:t>Sujeto Obligado</w:t>
      </w:r>
      <w:r w:rsidRPr="00CA6BAD">
        <w:rPr>
          <w:rFonts w:ascii="Palatino Linotype" w:hAnsi="Palatino Linotype" w:cs="Arial"/>
          <w:sz w:val="24"/>
        </w:rPr>
        <w:t xml:space="preserve"> fue omiso en rendir informe justificado; no obstante, se aprecia que en el apartado de manifestaciones en los </w:t>
      </w:r>
      <w:r w:rsidRPr="00CA6BAD">
        <w:rPr>
          <w:rFonts w:ascii="Palatino Linotype" w:hAnsi="Palatino Linotype" w:cs="Arial"/>
          <w:b/>
          <w:sz w:val="24"/>
        </w:rPr>
        <w:t>Archivos enviados por la Recurrente</w:t>
      </w:r>
      <w:r w:rsidRPr="00CA6BAD">
        <w:rPr>
          <w:rFonts w:ascii="Palatino Linotype" w:hAnsi="Palatino Linotype" w:cs="Arial"/>
          <w:sz w:val="24"/>
        </w:rPr>
        <w:t>, se encuentra el arc</w:t>
      </w:r>
      <w:r w:rsidR="001D4CE8">
        <w:rPr>
          <w:rFonts w:ascii="Palatino Linotype" w:hAnsi="Palatino Linotype" w:cs="Arial"/>
          <w:sz w:val="24"/>
        </w:rPr>
        <w:t>hivo denominado “tequisquiac</w:t>
      </w:r>
      <w:r w:rsidRPr="00CA6BAD">
        <w:rPr>
          <w:rFonts w:ascii="Palatino Linotype" w:hAnsi="Palatino Linotype" w:cs="Arial"/>
          <w:sz w:val="24"/>
        </w:rPr>
        <w:t>.pdf”.</w:t>
      </w:r>
    </w:p>
    <w:p w:rsidR="00D00ED6" w:rsidRPr="00CA6BAD" w:rsidRDefault="00D00ED6" w:rsidP="00D00ED6">
      <w:pPr>
        <w:autoSpaceDE w:val="0"/>
        <w:autoSpaceDN w:val="0"/>
        <w:adjustRightInd w:val="0"/>
        <w:spacing w:after="0" w:line="360" w:lineRule="auto"/>
        <w:jc w:val="both"/>
        <w:rPr>
          <w:rFonts w:ascii="Palatino Linotype" w:hAnsi="Palatino Linotype" w:cs="Arial"/>
          <w:sz w:val="24"/>
        </w:rPr>
      </w:pPr>
    </w:p>
    <w:p w:rsidR="001D4CE8" w:rsidRPr="00985849" w:rsidRDefault="001D4CE8" w:rsidP="001D4CE8">
      <w:pPr>
        <w:spacing w:line="360" w:lineRule="auto"/>
        <w:ind w:right="-93"/>
        <w:jc w:val="both"/>
        <w:rPr>
          <w:rFonts w:ascii="Palatino Linotype" w:eastAsia="Calibri" w:hAnsi="Palatino Linotype" w:cs="Tahoma"/>
          <w:bCs/>
        </w:rPr>
      </w:pPr>
      <w:r w:rsidRPr="00985849">
        <w:rPr>
          <w:rFonts w:ascii="Palatino Linotype" w:eastAsia="Calibri" w:hAnsi="Palatino Linotype" w:cs="Tahoma"/>
          <w:bCs/>
        </w:rPr>
        <w:lastRenderedPageBreak/>
        <w:t xml:space="preserve">Expuesta la controversia, se procede al análisis del agravio hecho valer por </w:t>
      </w:r>
      <w:r>
        <w:rPr>
          <w:rFonts w:ascii="Palatino Linotype" w:eastAsia="Calibri" w:hAnsi="Palatino Linotype" w:cs="Tahoma"/>
          <w:bCs/>
        </w:rPr>
        <w:t>e</w:t>
      </w:r>
      <w:r w:rsidRPr="00985849">
        <w:rPr>
          <w:rFonts w:ascii="Palatino Linotype" w:eastAsia="Calibri" w:hAnsi="Palatino Linotype" w:cs="Tahoma"/>
          <w:bCs/>
        </w:rPr>
        <w:t xml:space="preserve">l ahora Recurrente, concerniente a </w:t>
      </w:r>
      <w:r w:rsidRPr="001C569B">
        <w:rPr>
          <w:rFonts w:ascii="Palatino Linotype" w:eastAsia="Calibri" w:hAnsi="Palatino Linotype" w:cs="Tahoma"/>
          <w:b/>
          <w:bCs/>
        </w:rPr>
        <w:t>la falta de respuesta del Ayuntamiento de Tequixquiac</w:t>
      </w:r>
      <w:r w:rsidRPr="001C569B">
        <w:rPr>
          <w:rFonts w:ascii="Palatino Linotype" w:eastAsia="Calibri" w:hAnsi="Palatino Linotype" w:cs="Tahoma"/>
          <w:bCs/>
        </w:rPr>
        <w:t xml:space="preserve"> </w:t>
      </w:r>
      <w:r w:rsidRPr="00985849">
        <w:rPr>
          <w:rFonts w:ascii="Palatino Linotype" w:eastAsia="Calibri" w:hAnsi="Palatino Linotype" w:cs="Tahoma"/>
          <w:bCs/>
        </w:rPr>
        <w:t>al requerimiento informativo.</w:t>
      </w:r>
    </w:p>
    <w:p w:rsidR="001D4CE8" w:rsidRPr="00985849" w:rsidRDefault="001D4CE8" w:rsidP="001D4CE8">
      <w:pPr>
        <w:spacing w:line="360" w:lineRule="auto"/>
        <w:ind w:right="-93"/>
        <w:jc w:val="both"/>
        <w:rPr>
          <w:rFonts w:ascii="Palatino Linotype" w:eastAsia="Calibri" w:hAnsi="Palatino Linotype" w:cs="Tahoma"/>
          <w:bCs/>
        </w:rPr>
      </w:pPr>
    </w:p>
    <w:p w:rsidR="001D4CE8" w:rsidRPr="00985849" w:rsidRDefault="001D4CE8" w:rsidP="001D4CE8">
      <w:pPr>
        <w:spacing w:line="360" w:lineRule="auto"/>
        <w:ind w:right="-93"/>
        <w:jc w:val="both"/>
        <w:rPr>
          <w:rFonts w:ascii="Palatino Linotype" w:eastAsia="Calibri" w:hAnsi="Palatino Linotype" w:cs="Tahoma"/>
          <w:bCs/>
        </w:rPr>
      </w:pPr>
      <w:r w:rsidRPr="00985849">
        <w:rPr>
          <w:rFonts w:ascii="Palatino Linotype" w:eastAsia="Calibri" w:hAnsi="Palatino Linotype" w:cs="Tahoma"/>
          <w:bCs/>
        </w:rPr>
        <w:t xml:space="preserve">En principio, es de suma importancia señalar los objetivos de la Ley de Transparencia y Acceso a la Información Pública del Estado de México y Municipios, en relación con la obligación de acceso por parte de los Sujetos </w:t>
      </w:r>
      <w:r>
        <w:rPr>
          <w:rFonts w:ascii="Palatino Linotype" w:eastAsia="Calibri" w:hAnsi="Palatino Linotype" w:cs="Tahoma"/>
          <w:bCs/>
        </w:rPr>
        <w:t>Obligado</w:t>
      </w:r>
      <w:r w:rsidRPr="00985849">
        <w:rPr>
          <w:rFonts w:ascii="Palatino Linotype" w:eastAsia="Calibri" w:hAnsi="Palatino Linotype" w:cs="Tahoma"/>
          <w:bCs/>
        </w:rPr>
        <w:t>s, los cuales se encuentran establecidos en el artículo 2° de dicho ordenamiento jurídico y son los siguientes:</w:t>
      </w:r>
    </w:p>
    <w:p w:rsidR="001D4CE8" w:rsidRDefault="001D4CE8" w:rsidP="001D4CE8">
      <w:pPr>
        <w:pStyle w:val="Prrafodelista"/>
        <w:spacing w:line="360" w:lineRule="auto"/>
        <w:ind w:right="-93"/>
        <w:jc w:val="both"/>
        <w:rPr>
          <w:rFonts w:ascii="Palatino Linotype" w:eastAsia="Calibri" w:hAnsi="Palatino Linotype" w:cs="Tahoma"/>
          <w:bCs/>
          <w:szCs w:val="22"/>
          <w:lang w:eastAsia="en-US"/>
        </w:rPr>
      </w:pPr>
    </w:p>
    <w:p w:rsidR="001D4CE8" w:rsidRPr="00985849" w:rsidRDefault="001D4CE8" w:rsidP="001D4CE8">
      <w:pPr>
        <w:pStyle w:val="Prrafodelista"/>
        <w:numPr>
          <w:ilvl w:val="0"/>
          <w:numId w:val="36"/>
        </w:numPr>
        <w:spacing w:line="360" w:lineRule="auto"/>
        <w:ind w:right="-93"/>
        <w:contextualSpacing/>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1D4CE8" w:rsidRPr="00985849" w:rsidRDefault="001D4CE8" w:rsidP="001D4CE8">
      <w:pPr>
        <w:spacing w:line="360" w:lineRule="auto"/>
        <w:ind w:left="360" w:right="-93"/>
        <w:jc w:val="both"/>
        <w:rPr>
          <w:rFonts w:ascii="Palatino Linotype" w:eastAsia="Calibri" w:hAnsi="Palatino Linotype" w:cs="Tahoma"/>
          <w:bCs/>
        </w:rPr>
      </w:pPr>
    </w:p>
    <w:p w:rsidR="001D4CE8" w:rsidRPr="00985849" w:rsidRDefault="001D4CE8" w:rsidP="001D4CE8">
      <w:pPr>
        <w:pStyle w:val="Prrafodelista"/>
        <w:numPr>
          <w:ilvl w:val="0"/>
          <w:numId w:val="36"/>
        </w:numPr>
        <w:spacing w:line="360" w:lineRule="auto"/>
        <w:ind w:right="-93"/>
        <w:contextualSpacing/>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Sujetos </w:t>
      </w:r>
      <w:r>
        <w:rPr>
          <w:rFonts w:ascii="Palatino Linotype" w:eastAsia="Calibri" w:hAnsi="Palatino Linotype" w:cs="Tahoma"/>
          <w:bCs/>
          <w:szCs w:val="22"/>
          <w:lang w:eastAsia="en-US"/>
        </w:rPr>
        <w:t>Obligado</w:t>
      </w:r>
      <w:r w:rsidRPr="00985849">
        <w:rPr>
          <w:rFonts w:ascii="Palatino Linotype" w:eastAsia="Calibri" w:hAnsi="Palatino Linotype" w:cs="Tahoma"/>
          <w:bCs/>
          <w:szCs w:val="22"/>
          <w:lang w:eastAsia="en-US"/>
        </w:rPr>
        <w:t>s, y</w:t>
      </w:r>
    </w:p>
    <w:p w:rsidR="001D4CE8" w:rsidRPr="00985849" w:rsidRDefault="001D4CE8" w:rsidP="001D4CE8">
      <w:pPr>
        <w:pStyle w:val="Prrafodelista"/>
        <w:spacing w:line="360" w:lineRule="auto"/>
        <w:rPr>
          <w:rFonts w:ascii="Palatino Linotype" w:eastAsia="Calibri" w:hAnsi="Palatino Linotype" w:cs="Tahoma"/>
          <w:bCs/>
          <w:szCs w:val="22"/>
          <w:lang w:eastAsia="en-US"/>
        </w:rPr>
      </w:pPr>
    </w:p>
    <w:p w:rsidR="001D4CE8" w:rsidRPr="00985849" w:rsidRDefault="001D4CE8" w:rsidP="001D4CE8">
      <w:pPr>
        <w:pStyle w:val="Prrafodelista"/>
        <w:numPr>
          <w:ilvl w:val="0"/>
          <w:numId w:val="36"/>
        </w:numPr>
        <w:spacing w:line="360" w:lineRule="auto"/>
        <w:ind w:right="-93"/>
        <w:contextualSpacing/>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1D4CE8" w:rsidRPr="00985849" w:rsidRDefault="001D4CE8" w:rsidP="001D4CE8">
      <w:pPr>
        <w:spacing w:line="360" w:lineRule="auto"/>
        <w:ind w:right="-93"/>
        <w:jc w:val="both"/>
        <w:rPr>
          <w:rFonts w:ascii="Palatino Linotype" w:eastAsia="Calibri" w:hAnsi="Palatino Linotype" w:cs="Tahoma"/>
          <w:bCs/>
        </w:rPr>
      </w:pPr>
    </w:p>
    <w:p w:rsidR="001D4CE8" w:rsidRPr="00985849" w:rsidRDefault="001D4CE8" w:rsidP="001D4CE8">
      <w:pPr>
        <w:spacing w:line="360" w:lineRule="auto"/>
        <w:ind w:right="-93"/>
        <w:jc w:val="both"/>
        <w:rPr>
          <w:rFonts w:ascii="Palatino Linotype" w:eastAsia="Calibri" w:hAnsi="Palatino Linotype" w:cs="Tahoma"/>
          <w:bCs/>
        </w:rPr>
      </w:pPr>
      <w:r w:rsidRPr="00985849">
        <w:rPr>
          <w:rFonts w:ascii="Palatino Linotype" w:eastAsia="Calibri" w:hAnsi="Palatino Linotype" w:cs="Tahoma"/>
          <w:bCs/>
        </w:rPr>
        <w:t xml:space="preserve">Conforme a lo anterior, se deprende que </w:t>
      </w:r>
      <w:r w:rsidRPr="00985849">
        <w:rPr>
          <w:rFonts w:ascii="Palatino Linotype" w:eastAsia="Calibri" w:hAnsi="Palatino Linotype" w:cs="Tahoma"/>
          <w:b/>
          <w:bCs/>
        </w:rPr>
        <w:t>los objetivos de la Ley de la materia,</w:t>
      </w:r>
      <w:r w:rsidRPr="00985849">
        <w:rPr>
          <w:rFonts w:ascii="Palatino Linotype" w:eastAsia="Calibri" w:hAnsi="Palatino Linotype" w:cs="Tahoma"/>
          <w:bCs/>
        </w:rPr>
        <w:t xml:space="preserve"> son establecer las bases que regirán las formas para garantizar el derecho de acceso a la información, mediante procesos sencillos y expeditos, la promoción, foment</w:t>
      </w:r>
      <w:r>
        <w:rPr>
          <w:rFonts w:ascii="Palatino Linotype" w:eastAsia="Calibri" w:hAnsi="Palatino Linotype" w:cs="Tahoma"/>
          <w:bCs/>
        </w:rPr>
        <w:t>o</w:t>
      </w:r>
      <w:r w:rsidRPr="00985849">
        <w:rPr>
          <w:rFonts w:ascii="Palatino Linotype" w:eastAsia="Calibri" w:hAnsi="Palatino Linotype" w:cs="Tahoma"/>
          <w:bCs/>
        </w:rPr>
        <w:t xml:space="preserve"> y difusión de la cultura de transparencia y la rendición de cuentas, a través de establecimiento de políticas públicas y mecanismos que </w:t>
      </w:r>
      <w:r w:rsidRPr="00985849">
        <w:rPr>
          <w:rFonts w:ascii="Palatino Linotype" w:eastAsia="Calibri" w:hAnsi="Palatino Linotype" w:cs="Tahoma"/>
          <w:bCs/>
        </w:rPr>
        <w:lastRenderedPageBreak/>
        <w:t>garanticen la publicidad de información oportuna, verificable, comprensible, actualizada y completa.</w:t>
      </w:r>
    </w:p>
    <w:p w:rsidR="001D4CE8" w:rsidRPr="00985849" w:rsidRDefault="001D4CE8" w:rsidP="001D4CE8">
      <w:pPr>
        <w:spacing w:line="360" w:lineRule="auto"/>
        <w:ind w:right="-93"/>
        <w:jc w:val="both"/>
        <w:rPr>
          <w:rFonts w:ascii="Palatino Linotype" w:eastAsia="Calibri" w:hAnsi="Palatino Linotype" w:cs="Tahoma"/>
          <w:bCs/>
        </w:rPr>
      </w:pPr>
    </w:p>
    <w:p w:rsidR="001D4CE8" w:rsidRPr="00985849" w:rsidRDefault="001D4CE8" w:rsidP="001D4CE8">
      <w:pPr>
        <w:spacing w:line="360" w:lineRule="auto"/>
        <w:ind w:right="-93"/>
        <w:jc w:val="both"/>
        <w:rPr>
          <w:rFonts w:ascii="Palatino Linotype" w:eastAsia="Calibri" w:hAnsi="Palatino Linotype" w:cs="Tahoma"/>
          <w:bCs/>
        </w:rPr>
      </w:pPr>
      <w:r w:rsidRPr="00985849">
        <w:rPr>
          <w:rFonts w:ascii="Palatino Linotype" w:eastAsia="Calibri" w:hAnsi="Palatino Linotype" w:cs="Tahoma"/>
          <w:bCs/>
        </w:rPr>
        <w:t xml:space="preserve">En ese orden de ideas, para la atención de la solicitud de acceso a la información, debe privilegiarse el </w:t>
      </w:r>
      <w:r w:rsidRPr="00985849">
        <w:rPr>
          <w:rFonts w:ascii="Palatino Linotype" w:eastAsia="Calibri" w:hAnsi="Palatino Linotype" w:cs="Tahoma"/>
          <w:b/>
          <w:bCs/>
        </w:rPr>
        <w:t>principio de máxima publicidad</w:t>
      </w:r>
      <w:r w:rsidRPr="00985849">
        <w:rPr>
          <w:rFonts w:ascii="Palatino Linotype" w:eastAsia="Calibri" w:hAnsi="Palatino Linotype" w:cs="Tahoma"/>
          <w:bCs/>
        </w:rPr>
        <w:t xml:space="preserve"> el cual dispone que toda la información en posesión de los sujetos </w:t>
      </w:r>
      <w:r>
        <w:rPr>
          <w:rFonts w:ascii="Palatino Linotype" w:eastAsia="Calibri" w:hAnsi="Palatino Linotype" w:cs="Tahoma"/>
          <w:bCs/>
        </w:rPr>
        <w:t>obligado</w:t>
      </w:r>
      <w:r w:rsidRPr="00985849">
        <w:rPr>
          <w:rFonts w:ascii="Palatino Linotype" w:eastAsia="Calibri" w:hAnsi="Palatino Linotype" w:cs="Tahoma"/>
          <w:bCs/>
        </w:rPr>
        <w:t>s será pública, completa, oportuna y accesible, sujeta a un claro régimen de excepciones que deberán estar definidas y ser legítimas y estrictamente necesarias en una sociedad democrática.</w:t>
      </w:r>
    </w:p>
    <w:p w:rsidR="001D4CE8" w:rsidRPr="00985849" w:rsidRDefault="001D4CE8" w:rsidP="001D4CE8">
      <w:pPr>
        <w:spacing w:line="360" w:lineRule="auto"/>
        <w:ind w:right="-93"/>
        <w:jc w:val="both"/>
        <w:rPr>
          <w:rFonts w:ascii="Palatino Linotype" w:eastAsia="Calibri" w:hAnsi="Palatino Linotype" w:cs="Tahoma"/>
          <w:bCs/>
        </w:rPr>
      </w:pPr>
    </w:p>
    <w:p w:rsidR="001D4CE8" w:rsidRPr="00985849" w:rsidRDefault="001D4CE8" w:rsidP="001D4CE8">
      <w:pPr>
        <w:spacing w:line="360" w:lineRule="auto"/>
        <w:ind w:right="-93"/>
        <w:jc w:val="both"/>
        <w:rPr>
          <w:rFonts w:ascii="Palatino Linotype" w:eastAsia="Calibri" w:hAnsi="Palatino Linotype" w:cs="Tahoma"/>
          <w:bCs/>
        </w:rPr>
      </w:pPr>
      <w:r w:rsidRPr="00985849">
        <w:rPr>
          <w:rFonts w:ascii="Palatino Linotype" w:eastAsia="Calibri" w:hAnsi="Palatino Linotype" w:cs="Tahoma"/>
          <w:bCs/>
        </w:rPr>
        <w:t xml:space="preserve">Para lograr lo precisado, los </w:t>
      </w:r>
      <w:r>
        <w:rPr>
          <w:rFonts w:ascii="Palatino Linotype" w:eastAsia="Calibri" w:hAnsi="Palatino Linotype" w:cs="Tahoma"/>
          <w:bCs/>
        </w:rPr>
        <w:t>s</w:t>
      </w:r>
      <w:r w:rsidRPr="00985849">
        <w:rPr>
          <w:rFonts w:ascii="Palatino Linotype" w:eastAsia="Calibri" w:hAnsi="Palatino Linotype" w:cs="Tahoma"/>
          <w:bCs/>
        </w:rPr>
        <w:t xml:space="preserve">ujetos </w:t>
      </w:r>
      <w:r>
        <w:rPr>
          <w:rFonts w:ascii="Palatino Linotype" w:eastAsia="Calibri" w:hAnsi="Palatino Linotype" w:cs="Tahoma"/>
          <w:bCs/>
        </w:rPr>
        <w:t>obligado</w:t>
      </w:r>
      <w:r w:rsidRPr="00985849">
        <w:rPr>
          <w:rFonts w:ascii="Palatino Linotype" w:eastAsia="Calibri" w:hAnsi="Palatino Linotype" w:cs="Tahoma"/>
          <w:bCs/>
        </w:rPr>
        <w:t>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1D4CE8" w:rsidRPr="00985849" w:rsidRDefault="001D4CE8" w:rsidP="001D4CE8">
      <w:pPr>
        <w:spacing w:line="360" w:lineRule="auto"/>
        <w:ind w:right="-93"/>
        <w:jc w:val="both"/>
        <w:rPr>
          <w:rFonts w:ascii="Palatino Linotype" w:eastAsia="Calibri" w:hAnsi="Palatino Linotype" w:cs="Tahoma"/>
          <w:bCs/>
        </w:rPr>
      </w:pPr>
    </w:p>
    <w:p w:rsidR="001D4CE8" w:rsidRPr="00985849" w:rsidRDefault="001D4CE8" w:rsidP="001D4CE8">
      <w:pPr>
        <w:pStyle w:val="Prrafodelista"/>
        <w:numPr>
          <w:ilvl w:val="0"/>
          <w:numId w:val="37"/>
        </w:numPr>
        <w:spacing w:line="360" w:lineRule="auto"/>
        <w:ind w:right="-93"/>
        <w:contextualSpacing/>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Pr>
          <w:rFonts w:ascii="Palatino Linotype" w:eastAsia="Calibri" w:hAnsi="Palatino Linotype" w:cs="Tahoma"/>
          <w:bCs/>
          <w:szCs w:val="22"/>
          <w:lang w:eastAsia="en-US"/>
        </w:rPr>
        <w:t xml:space="preserve"> s</w:t>
      </w:r>
      <w:r w:rsidRPr="00985849">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obligado</w:t>
      </w:r>
      <w:r w:rsidRPr="00985849">
        <w:rPr>
          <w:rFonts w:ascii="Palatino Linotype" w:eastAsia="Calibri" w:hAnsi="Palatino Linotype" w:cs="Tahoma"/>
          <w:bCs/>
          <w:szCs w:val="22"/>
          <w:lang w:eastAsia="en-US"/>
        </w:rPr>
        <w:t>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1D4CE8" w:rsidRPr="00985849" w:rsidRDefault="001D4CE8" w:rsidP="001D4CE8">
      <w:pPr>
        <w:pStyle w:val="Prrafodelista"/>
        <w:spacing w:line="360" w:lineRule="auto"/>
        <w:ind w:right="-93"/>
        <w:jc w:val="both"/>
        <w:rPr>
          <w:rFonts w:ascii="Palatino Linotype" w:eastAsia="Calibri" w:hAnsi="Palatino Linotype" w:cs="Tahoma"/>
          <w:bCs/>
          <w:szCs w:val="22"/>
          <w:lang w:eastAsia="en-US"/>
        </w:rPr>
      </w:pPr>
    </w:p>
    <w:p w:rsidR="001D4CE8" w:rsidRPr="00985849" w:rsidRDefault="001D4CE8" w:rsidP="001D4CE8">
      <w:pPr>
        <w:pStyle w:val="Prrafodelista"/>
        <w:numPr>
          <w:ilvl w:val="0"/>
          <w:numId w:val="37"/>
        </w:numPr>
        <w:spacing w:line="360" w:lineRule="auto"/>
        <w:ind w:right="-93"/>
        <w:contextualSpacing/>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 que no podrá exceder </w:t>
      </w:r>
      <w:r w:rsidRPr="00985849">
        <w:rPr>
          <w:rFonts w:ascii="Palatino Linotype" w:eastAsia="Calibri" w:hAnsi="Palatino Linotype" w:cs="Tahoma"/>
          <w:b/>
          <w:bCs/>
          <w:szCs w:val="22"/>
          <w:lang w:eastAsia="en-US"/>
        </w:rPr>
        <w:t xml:space="preserve">quince días, contados a partir del día siguiente a la presentación de </w:t>
      </w:r>
      <w:r>
        <w:rPr>
          <w:rFonts w:ascii="Palatino Linotype" w:eastAsia="Calibri" w:hAnsi="Palatino Linotype" w:cs="Tahoma"/>
          <w:b/>
          <w:bCs/>
          <w:szCs w:val="22"/>
          <w:lang w:eastAsia="en-US"/>
        </w:rPr>
        <w:t>e</w:t>
      </w:r>
      <w:r w:rsidRPr="00985849">
        <w:rPr>
          <w:rFonts w:ascii="Palatino Linotype" w:eastAsia="Calibri" w:hAnsi="Palatino Linotype" w:cs="Tahoma"/>
          <w:b/>
          <w:bCs/>
          <w:szCs w:val="22"/>
          <w:lang w:eastAsia="en-US"/>
        </w:rPr>
        <w:t>sta.</w:t>
      </w:r>
      <w:r w:rsidRPr="00985849">
        <w:rPr>
          <w:rFonts w:ascii="Palatino Linotype" w:eastAsia="Calibri" w:hAnsi="Palatino Linotype" w:cs="Tahoma"/>
          <w:bCs/>
          <w:szCs w:val="22"/>
          <w:lang w:eastAsia="en-US"/>
        </w:rPr>
        <w:t xml:space="preserve"> Excepcionalmente, el plazo referido </w:t>
      </w:r>
      <w:r w:rsidRPr="00985849">
        <w:rPr>
          <w:rFonts w:ascii="Palatino Linotype" w:eastAsia="Calibri" w:hAnsi="Palatino Linotype" w:cs="Tahoma"/>
          <w:bCs/>
          <w:szCs w:val="22"/>
          <w:lang w:eastAsia="en-US"/>
        </w:rPr>
        <w:lastRenderedPageBreak/>
        <w:t>podrá ampliarse por siete días hábiles más, cuando existan razones fundadas y motivadas, a través del Comité de Transparencia;</w:t>
      </w:r>
    </w:p>
    <w:p w:rsidR="001D4CE8" w:rsidRPr="00985849" w:rsidRDefault="001D4CE8" w:rsidP="001D4CE8">
      <w:pPr>
        <w:pStyle w:val="Prrafodelista"/>
        <w:spacing w:line="360" w:lineRule="auto"/>
        <w:rPr>
          <w:rFonts w:ascii="Palatino Linotype" w:eastAsia="Calibri" w:hAnsi="Palatino Linotype" w:cs="Tahoma"/>
          <w:bCs/>
          <w:szCs w:val="22"/>
          <w:lang w:eastAsia="en-US"/>
        </w:rPr>
      </w:pPr>
    </w:p>
    <w:p w:rsidR="001D4CE8" w:rsidRPr="00985849" w:rsidRDefault="001D4CE8" w:rsidP="001D4CE8">
      <w:pPr>
        <w:pStyle w:val="Prrafodelista"/>
        <w:numPr>
          <w:ilvl w:val="0"/>
          <w:numId w:val="37"/>
        </w:numPr>
        <w:spacing w:line="360" w:lineRule="auto"/>
        <w:ind w:right="-93"/>
        <w:contextualSpacing/>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 elaborar;</w:t>
      </w:r>
    </w:p>
    <w:p w:rsidR="001D4CE8" w:rsidRPr="00985849" w:rsidRDefault="001D4CE8" w:rsidP="001D4CE8">
      <w:pPr>
        <w:pStyle w:val="Prrafodelista"/>
        <w:spacing w:line="360" w:lineRule="auto"/>
        <w:rPr>
          <w:rFonts w:ascii="Palatino Linotype" w:eastAsia="Calibri" w:hAnsi="Palatino Linotype" w:cs="Tahoma"/>
          <w:b/>
          <w:bCs/>
          <w:szCs w:val="22"/>
          <w:lang w:eastAsia="en-US"/>
        </w:rPr>
      </w:pPr>
    </w:p>
    <w:p w:rsidR="001D4CE8" w:rsidRPr="00985849" w:rsidRDefault="001D4CE8" w:rsidP="001D4CE8">
      <w:pPr>
        <w:pStyle w:val="Prrafodelista"/>
        <w:numPr>
          <w:ilvl w:val="0"/>
          <w:numId w:val="37"/>
        </w:numPr>
        <w:spacing w:line="360" w:lineRule="auto"/>
        <w:ind w:right="-93"/>
        <w:contextualSpacing/>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envío elegido por la solicitante, cuando no pueda entregarse en dicha modalidad, el </w:t>
      </w:r>
      <w:r>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 y motivar la necesidad de modificar el medio de entrega, y</w:t>
      </w:r>
    </w:p>
    <w:p w:rsidR="001D4CE8" w:rsidRPr="00985849" w:rsidRDefault="001D4CE8" w:rsidP="001D4CE8">
      <w:pPr>
        <w:pStyle w:val="Prrafodelista"/>
        <w:spacing w:line="360" w:lineRule="auto"/>
        <w:rPr>
          <w:rFonts w:ascii="Palatino Linotype" w:eastAsia="Calibri" w:hAnsi="Palatino Linotype" w:cs="Tahoma"/>
          <w:b/>
          <w:bCs/>
          <w:szCs w:val="22"/>
          <w:lang w:eastAsia="en-US"/>
        </w:rPr>
      </w:pPr>
    </w:p>
    <w:p w:rsidR="001D4CE8" w:rsidRPr="00985849" w:rsidRDefault="001D4CE8" w:rsidP="001D4CE8">
      <w:pPr>
        <w:pStyle w:val="Prrafodelista"/>
        <w:numPr>
          <w:ilvl w:val="0"/>
          <w:numId w:val="37"/>
        </w:numPr>
        <w:spacing w:line="360" w:lineRule="auto"/>
        <w:ind w:right="-28"/>
        <w:contextualSpacing/>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obligado</w:t>
      </w:r>
      <w:r w:rsidRPr="00985849">
        <w:rPr>
          <w:rFonts w:ascii="Palatino Linotype" w:eastAsia="Calibri" w:hAnsi="Palatino Linotype" w:cs="Tahoma"/>
          <w:bCs/>
          <w:szCs w:val="22"/>
          <w:lang w:eastAsia="en-US"/>
        </w:rPr>
        <w:t>s darán por concluida la solicitud y procederán de ser el caso, a la destrucción del material</w:t>
      </w:r>
      <w:r>
        <w:rPr>
          <w:rFonts w:ascii="Palatino Linotype" w:eastAsia="Calibri" w:hAnsi="Palatino Linotype" w:cs="Tahoma"/>
          <w:bCs/>
          <w:szCs w:val="22"/>
          <w:lang w:eastAsia="en-US"/>
        </w:rPr>
        <w:t>.</w:t>
      </w:r>
    </w:p>
    <w:p w:rsidR="001D4CE8" w:rsidRPr="00985849" w:rsidRDefault="001D4CE8" w:rsidP="001D4CE8">
      <w:pPr>
        <w:pStyle w:val="Prrafodelista"/>
        <w:spacing w:line="360" w:lineRule="auto"/>
        <w:rPr>
          <w:rFonts w:ascii="Palatino Linotype" w:eastAsia="Calibri" w:hAnsi="Palatino Linotype" w:cs="Tahoma"/>
          <w:b/>
          <w:bCs/>
          <w:szCs w:val="22"/>
          <w:lang w:eastAsia="en-US"/>
        </w:rPr>
      </w:pPr>
    </w:p>
    <w:p w:rsidR="001D4CE8" w:rsidRPr="00985849" w:rsidRDefault="001D4CE8" w:rsidP="001D4CE8">
      <w:pPr>
        <w:spacing w:line="360" w:lineRule="auto"/>
        <w:ind w:right="-93"/>
        <w:jc w:val="both"/>
        <w:rPr>
          <w:rFonts w:ascii="Palatino Linotype" w:hAnsi="Palatino Linotype" w:cs="Tahoma"/>
          <w:lang w:val="es-ES"/>
        </w:rPr>
      </w:pPr>
      <w:r w:rsidRPr="00985849">
        <w:rPr>
          <w:rFonts w:ascii="Palatino Linotype" w:eastAsia="Calibri" w:hAnsi="Palatino Linotype" w:cs="Tahoma"/>
          <w:bCs/>
        </w:rPr>
        <w:t xml:space="preserve">Una vez establecido lo anterior, es preciso indicar que el agravio del peticionario consistió en que a la fecha de la interposición del Recurso de Revisión, el </w:t>
      </w:r>
      <w:r w:rsidRPr="001C569B">
        <w:rPr>
          <w:rFonts w:ascii="Palatino Linotype" w:eastAsia="Calibri" w:hAnsi="Palatino Linotype" w:cs="Tahoma"/>
          <w:bCs/>
        </w:rPr>
        <w:t xml:space="preserve">Ayuntamiento de Tequixquiac </w:t>
      </w:r>
      <w:r>
        <w:rPr>
          <w:rFonts w:ascii="Palatino Linotype" w:eastAsia="Calibri" w:hAnsi="Palatino Linotype" w:cs="Tahoma"/>
          <w:bCs/>
        </w:rPr>
        <w:t>no</w:t>
      </w:r>
      <w:r w:rsidRPr="00985849">
        <w:rPr>
          <w:rFonts w:ascii="Palatino Linotype" w:eastAsia="Calibri" w:hAnsi="Palatino Linotype" w:cs="Tahoma"/>
          <w:bCs/>
        </w:rPr>
        <w:t xml:space="preserve"> registr</w:t>
      </w:r>
      <w:r>
        <w:rPr>
          <w:rFonts w:ascii="Palatino Linotype" w:eastAsia="Calibri" w:hAnsi="Palatino Linotype" w:cs="Tahoma"/>
          <w:bCs/>
        </w:rPr>
        <w:t>ó</w:t>
      </w:r>
      <w:r w:rsidRPr="00985849">
        <w:rPr>
          <w:rFonts w:ascii="Palatino Linotype" w:eastAsia="Calibri" w:hAnsi="Palatino Linotype" w:cs="Tahoma"/>
          <w:bCs/>
        </w:rPr>
        <w:t xml:space="preserve"> respuesta o prórroga a su requerimiento de acceso a la información</w:t>
      </w:r>
      <w:r>
        <w:rPr>
          <w:rFonts w:ascii="Palatino Linotype" w:eastAsia="Calibri" w:hAnsi="Palatino Linotype" w:cs="Tahoma"/>
          <w:bCs/>
        </w:rPr>
        <w:t>,</w:t>
      </w:r>
      <w:r w:rsidRPr="00985849">
        <w:rPr>
          <w:rFonts w:ascii="Palatino Linotype" w:eastAsia="Calibri" w:hAnsi="Palatino Linotype" w:cs="Tahoma"/>
          <w:bCs/>
        </w:rPr>
        <w:t xml:space="preserve"> como se verificó </w:t>
      </w:r>
      <w:r w:rsidRPr="00985849">
        <w:rPr>
          <w:rFonts w:ascii="Palatino Linotype" w:eastAsia="Calibri" w:hAnsi="Palatino Linotype" w:cs="Tahoma"/>
          <w:bCs/>
        </w:rPr>
        <w:lastRenderedPageBreak/>
        <w:t>en el Sistema</w:t>
      </w:r>
      <w:r w:rsidRPr="00985849">
        <w:rPr>
          <w:rFonts w:ascii="Palatino Linotype" w:hAnsi="Palatino Linotype" w:cs="Tahoma"/>
          <w:lang w:val="es-ES"/>
        </w:rPr>
        <w:t xml:space="preserve"> de Acceso a la Información Mexiquense (SAIMEX), plataforma utilizada para presentar el requerimiento de información.</w:t>
      </w:r>
    </w:p>
    <w:p w:rsidR="001D4CE8" w:rsidRPr="00985849" w:rsidRDefault="001D4CE8" w:rsidP="001D4CE8">
      <w:pPr>
        <w:spacing w:line="360" w:lineRule="auto"/>
        <w:ind w:right="-93"/>
        <w:jc w:val="both"/>
        <w:rPr>
          <w:rFonts w:ascii="Palatino Linotype" w:hAnsi="Palatino Linotype" w:cs="Tahoma"/>
          <w:lang w:val="es-ES"/>
        </w:rPr>
      </w:pPr>
    </w:p>
    <w:p w:rsidR="001D4CE8" w:rsidRPr="00985849" w:rsidRDefault="001D4CE8" w:rsidP="001D4CE8">
      <w:pPr>
        <w:spacing w:line="360" w:lineRule="auto"/>
        <w:ind w:right="-93" w:firstLine="1"/>
        <w:jc w:val="both"/>
        <w:rPr>
          <w:rFonts w:ascii="Palatino Linotype" w:eastAsia="Calibri" w:hAnsi="Palatino Linotype" w:cs="Tahoma"/>
          <w:bCs/>
        </w:rPr>
      </w:pPr>
      <w:r w:rsidRPr="00985849">
        <w:rPr>
          <w:rFonts w:ascii="Palatino Linotype" w:eastAsia="Calibri" w:hAnsi="Palatino Linotype" w:cs="Tahoma"/>
          <w:bCs/>
        </w:rPr>
        <w:t xml:space="preserve">En ese orden de ideas, el plazo con el que contaba el </w:t>
      </w:r>
      <w:r>
        <w:rPr>
          <w:rFonts w:ascii="Palatino Linotype" w:eastAsia="Calibri" w:hAnsi="Palatino Linotype" w:cs="Tahoma"/>
          <w:bCs/>
        </w:rPr>
        <w:t>Sujeto Obligado</w:t>
      </w:r>
      <w:r w:rsidRPr="00985849">
        <w:rPr>
          <w:rFonts w:ascii="Palatino Linotype" w:eastAsia="Calibri" w:hAnsi="Palatino Linotype" w:cs="Tahoma"/>
          <w:bCs/>
        </w:rPr>
        <w:t xml:space="preserve"> para emitir contestación</w:t>
      </w:r>
      <w:r>
        <w:rPr>
          <w:rFonts w:ascii="Palatino Linotype" w:eastAsia="Calibri" w:hAnsi="Palatino Linotype" w:cs="Tahoma"/>
          <w:bCs/>
        </w:rPr>
        <w:t xml:space="preserve"> </w:t>
      </w:r>
      <w:r w:rsidRPr="00985849">
        <w:rPr>
          <w:rFonts w:ascii="Palatino Linotype" w:eastAsia="Calibri" w:hAnsi="Palatino Linotype" w:cs="Tahoma"/>
          <w:bCs/>
        </w:rPr>
        <w:t xml:space="preserve">al requerimiento informativo, comenzó a correr el </w:t>
      </w:r>
      <w:r>
        <w:rPr>
          <w:rFonts w:ascii="Palatino Linotype" w:eastAsia="Calibri" w:hAnsi="Palatino Linotype" w:cs="Tahoma"/>
          <w:b/>
          <w:bCs/>
        </w:rPr>
        <w:t xml:space="preserve">quince de marzo </w:t>
      </w:r>
      <w:r w:rsidRPr="00985849">
        <w:rPr>
          <w:rFonts w:ascii="Palatino Linotype" w:eastAsia="Calibri" w:hAnsi="Palatino Linotype" w:cs="Tahoma"/>
          <w:b/>
          <w:bCs/>
        </w:rPr>
        <w:t xml:space="preserve">del </w:t>
      </w:r>
      <w:r>
        <w:rPr>
          <w:rFonts w:ascii="Palatino Linotype" w:eastAsia="Calibri" w:hAnsi="Palatino Linotype" w:cs="Tahoma"/>
          <w:b/>
          <w:bCs/>
        </w:rPr>
        <w:t xml:space="preserve">año dos mil diecinueve </w:t>
      </w:r>
      <w:r w:rsidRPr="00985849">
        <w:rPr>
          <w:rFonts w:ascii="Palatino Linotype" w:eastAsia="Calibri" w:hAnsi="Palatino Linotype" w:cs="Tahoma"/>
          <w:bCs/>
        </w:rPr>
        <w:t xml:space="preserve">y feneció el </w:t>
      </w:r>
      <w:r>
        <w:rPr>
          <w:rFonts w:ascii="Palatino Linotype" w:eastAsia="Calibri" w:hAnsi="Palatino Linotype" w:cs="Tahoma"/>
          <w:b/>
          <w:bCs/>
        </w:rPr>
        <w:t xml:space="preserve">cinco de abril </w:t>
      </w:r>
      <w:r w:rsidRPr="00985849">
        <w:rPr>
          <w:rFonts w:ascii="Palatino Linotype" w:eastAsia="Calibri" w:hAnsi="Palatino Linotype" w:cs="Tahoma"/>
          <w:b/>
          <w:bCs/>
        </w:rPr>
        <w:t xml:space="preserve">del mismo año; </w:t>
      </w:r>
      <w:r w:rsidRPr="00985849">
        <w:rPr>
          <w:rFonts w:ascii="Palatino Linotype" w:eastAsia="Calibri" w:hAnsi="Palatino Linotype" w:cs="Tahoma"/>
          <w:bCs/>
        </w:rPr>
        <w:t xml:space="preserve">lo anterior, sin contar los días </w:t>
      </w:r>
      <w:r>
        <w:rPr>
          <w:rFonts w:ascii="Palatino Linotype" w:eastAsia="Calibri" w:hAnsi="Palatino Linotype" w:cs="Tahoma"/>
          <w:bCs/>
        </w:rPr>
        <w:t xml:space="preserve">dieciséis, diecisiete, dieciocho, veintitrés, veinticuatro, treinta y treinta y uno de marzo de dos mil diecinueve, </w:t>
      </w:r>
      <w:r w:rsidRPr="00985849">
        <w:rPr>
          <w:rFonts w:ascii="Palatino Linotype" w:eastAsia="Calibri" w:hAnsi="Palatino Linotype" w:cs="Tahoma"/>
          <w:bC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rsidR="001D4CE8" w:rsidRPr="00985849" w:rsidRDefault="001D4CE8" w:rsidP="001D4CE8">
      <w:pPr>
        <w:spacing w:line="360" w:lineRule="auto"/>
        <w:ind w:right="-93"/>
        <w:jc w:val="both"/>
        <w:rPr>
          <w:rFonts w:ascii="Palatino Linotype" w:eastAsia="Calibri" w:hAnsi="Palatino Linotype" w:cs="Tahoma"/>
          <w:bCs/>
        </w:rPr>
      </w:pPr>
    </w:p>
    <w:p w:rsidR="001D4CE8" w:rsidRPr="00985849" w:rsidRDefault="001D4CE8" w:rsidP="001D4CE8">
      <w:pPr>
        <w:spacing w:line="360" w:lineRule="auto"/>
        <w:ind w:right="-93"/>
        <w:jc w:val="both"/>
        <w:rPr>
          <w:rFonts w:ascii="Palatino Linotype" w:eastAsia="Calibri" w:hAnsi="Palatino Linotype" w:cs="Tahoma"/>
          <w:b/>
          <w:bCs/>
        </w:rPr>
      </w:pPr>
      <w:r>
        <w:rPr>
          <w:rFonts w:ascii="Palatino Linotype" w:eastAsia="Calibri" w:hAnsi="Palatino Linotype" w:cs="Tahoma"/>
          <w:bCs/>
        </w:rPr>
        <w:t>De lo anterior</w:t>
      </w:r>
      <w:r w:rsidRPr="00985849">
        <w:rPr>
          <w:rFonts w:ascii="Palatino Linotype" w:eastAsia="Calibri" w:hAnsi="Palatino Linotype" w:cs="Tahoma"/>
          <w:bCs/>
        </w:rPr>
        <w:t xml:space="preserve">, se advierte que, tal como lo indicó el particular, el </w:t>
      </w:r>
      <w:r w:rsidRPr="001C569B">
        <w:rPr>
          <w:rFonts w:ascii="Palatino Linotype" w:eastAsia="Calibri" w:hAnsi="Palatino Linotype" w:cs="Tahoma"/>
          <w:bCs/>
        </w:rPr>
        <w:t>Ayuntamiento de Tequixquiac</w:t>
      </w:r>
      <w:r>
        <w:rPr>
          <w:rFonts w:ascii="Palatino Linotype" w:eastAsia="Calibri" w:hAnsi="Palatino Linotype" w:cs="Tahoma"/>
          <w:bCs/>
        </w:rPr>
        <w:t xml:space="preserve"> </w:t>
      </w:r>
      <w:r w:rsidRPr="00985849">
        <w:rPr>
          <w:rFonts w:ascii="Palatino Linotype" w:eastAsia="Calibri" w:hAnsi="Palatino Linotype" w:cs="Tahoma"/>
          <w:bCs/>
        </w:rPr>
        <w:t xml:space="preserve">no emitió respuesta, ni solicitó una prórroga para dar contestación a la solicitud de información, dentro de los plazos establecidos en el artículo 163 de la Ley de la materia, pues tenía hasta el </w:t>
      </w:r>
      <w:r w:rsidRPr="001C569B">
        <w:rPr>
          <w:rFonts w:ascii="Palatino Linotype" w:eastAsia="Calibri" w:hAnsi="Palatino Linotype" w:cs="Tahoma"/>
          <w:b/>
          <w:bCs/>
        </w:rPr>
        <w:t>cinco de abril del dos mil diecinueve</w:t>
      </w:r>
      <w:r>
        <w:rPr>
          <w:rFonts w:ascii="Palatino Linotype" w:eastAsia="Calibri" w:hAnsi="Palatino Linotype" w:cs="Tahoma"/>
          <w:bCs/>
        </w:rPr>
        <w:t xml:space="preserve">, </w:t>
      </w:r>
      <w:r w:rsidRPr="00985849">
        <w:rPr>
          <w:rFonts w:ascii="Palatino Linotype" w:eastAsia="Calibri" w:hAnsi="Palatino Linotype" w:cs="Tahoma"/>
          <w:bCs/>
        </w:rPr>
        <w:t>para notificar alguna de las dos situaciones; inclus</w:t>
      </w:r>
      <w:r>
        <w:rPr>
          <w:rFonts w:ascii="Palatino Linotype" w:eastAsia="Calibri" w:hAnsi="Palatino Linotype" w:cs="Tahoma"/>
          <w:bCs/>
        </w:rPr>
        <w:t>o</w:t>
      </w:r>
      <w:r w:rsidRPr="00985849">
        <w:rPr>
          <w:rFonts w:ascii="Palatino Linotype" w:eastAsia="Calibri" w:hAnsi="Palatino Linotype" w:cs="Tahoma"/>
          <w:bCs/>
        </w:rPr>
        <w:t xml:space="preserve"> a la fecha de la presente resolución no ha otorgado información o documentación alguna que atienda la solicitud de información; por lo que, resulta evidente que </w:t>
      </w:r>
      <w:r w:rsidRPr="00985849">
        <w:rPr>
          <w:rFonts w:ascii="Palatino Linotype" w:eastAsia="Calibri" w:hAnsi="Palatino Linotype" w:cs="Tahoma"/>
          <w:b/>
          <w:bCs/>
        </w:rPr>
        <w:t>el agravio hecho valer por el Recurrente resulta FUNDADO.</w:t>
      </w:r>
    </w:p>
    <w:p w:rsidR="001D4CE8" w:rsidRDefault="001D4CE8" w:rsidP="001D4CE8">
      <w:pPr>
        <w:spacing w:line="360" w:lineRule="auto"/>
        <w:ind w:right="-93"/>
        <w:jc w:val="both"/>
        <w:rPr>
          <w:rFonts w:ascii="Palatino Linotype" w:eastAsia="Calibri" w:hAnsi="Palatino Linotype" w:cs="Tahoma"/>
          <w:bCs/>
        </w:rPr>
      </w:pPr>
    </w:p>
    <w:p w:rsidR="001D4CE8" w:rsidRDefault="001D4CE8" w:rsidP="001D4CE8">
      <w:pPr>
        <w:spacing w:line="360" w:lineRule="auto"/>
        <w:ind w:right="-93"/>
        <w:jc w:val="both"/>
        <w:rPr>
          <w:rFonts w:ascii="Palatino Linotype" w:eastAsia="Calibri" w:hAnsi="Palatino Linotype" w:cs="Tahoma"/>
          <w:bCs/>
        </w:rPr>
      </w:pPr>
      <w:r>
        <w:rPr>
          <w:rFonts w:ascii="Palatino Linotype" w:eastAsia="Calibri" w:hAnsi="Palatino Linotype" w:cs="Tahoma"/>
          <w:bCs/>
        </w:rPr>
        <w:t>P</w:t>
      </w:r>
      <w:r w:rsidRPr="00F67BDF">
        <w:rPr>
          <w:rFonts w:ascii="Palatino Linotype" w:eastAsia="Calibri" w:hAnsi="Palatino Linotype" w:cs="Tahoma"/>
          <w:bCs/>
        </w:rPr>
        <w:t xml:space="preserve">or lo que, es necesario hacer referencia </w:t>
      </w:r>
      <w:r w:rsidRPr="00F67BDF">
        <w:rPr>
          <w:rFonts w:ascii="Palatino Linotype" w:hAnsi="Palatino Linotype" w:cs="Tahoma"/>
        </w:rPr>
        <w:t xml:space="preserve">al </w:t>
      </w:r>
      <w:r w:rsidRPr="00F67BDF">
        <w:rPr>
          <w:rFonts w:ascii="Palatino Linotype" w:hAnsi="Palatino Linotype" w:cs="Tahoma"/>
          <w:b/>
        </w:rPr>
        <w:t xml:space="preserve">procedimiento de búsqueda que deben de seguir los </w:t>
      </w:r>
      <w:r>
        <w:rPr>
          <w:rFonts w:ascii="Palatino Linotype" w:hAnsi="Palatino Linotype" w:cs="Tahoma"/>
          <w:b/>
        </w:rPr>
        <w:t>s</w:t>
      </w:r>
      <w:r w:rsidRPr="00F67BDF">
        <w:rPr>
          <w:rFonts w:ascii="Palatino Linotype" w:hAnsi="Palatino Linotype" w:cs="Tahoma"/>
          <w:b/>
        </w:rPr>
        <w:t xml:space="preserve">ujetos </w:t>
      </w:r>
      <w:r>
        <w:rPr>
          <w:rFonts w:ascii="Palatino Linotype" w:hAnsi="Palatino Linotype" w:cs="Tahoma"/>
          <w:b/>
        </w:rPr>
        <w:t>obligado</w:t>
      </w:r>
      <w:r w:rsidRPr="00F67BDF">
        <w:rPr>
          <w:rFonts w:ascii="Palatino Linotype" w:hAnsi="Palatino Linotype" w:cs="Tahoma"/>
          <w:b/>
        </w:rPr>
        <w:t>s para localizar la información</w:t>
      </w:r>
      <w:r w:rsidRPr="00F67BDF">
        <w:rPr>
          <w:rFonts w:ascii="Palatino Linotype" w:hAnsi="Palatino Linotype" w:cs="Tahoma"/>
        </w:rPr>
        <w:t xml:space="preserve">, el cual se encuentra previsto en los </w:t>
      </w:r>
      <w:r w:rsidRPr="00F67BDF">
        <w:rPr>
          <w:rFonts w:ascii="Palatino Linotype" w:hAnsi="Palatino Linotype" w:cs="Tahoma"/>
        </w:rPr>
        <w:lastRenderedPageBreak/>
        <w:t>artículos</w:t>
      </w:r>
      <w:r w:rsidRPr="00F67BDF">
        <w:rPr>
          <w:rFonts w:ascii="Palatino Linotype" w:eastAsia="Calibri" w:hAnsi="Palatino Linotype" w:cs="Tahoma"/>
          <w:bCs/>
        </w:rPr>
        <w:t xml:space="preserve"> 160 y 162</w:t>
      </w:r>
      <w:r>
        <w:rPr>
          <w:rFonts w:ascii="Palatino Linotype" w:eastAsia="Calibri" w:hAnsi="Palatino Linotype" w:cs="Tahoma"/>
          <w:bCs/>
        </w:rPr>
        <w:t xml:space="preserve"> </w:t>
      </w:r>
      <w:r w:rsidRPr="00F67BDF">
        <w:rPr>
          <w:rFonts w:ascii="Palatino Linotype" w:eastAsia="Calibri" w:hAnsi="Palatino Linotype" w:cs="Tahoma"/>
          <w:bCs/>
        </w:rPr>
        <w:t>de la Ley de Transparencia y Acceso a la Información Pública del Estado de México y Municipios, mismo que es el siguiente:</w:t>
      </w:r>
    </w:p>
    <w:p w:rsidR="001D4CE8" w:rsidRPr="003E3CBF" w:rsidRDefault="001D4CE8" w:rsidP="001D4CE8">
      <w:pPr>
        <w:spacing w:line="360" w:lineRule="auto"/>
        <w:ind w:right="-93"/>
        <w:jc w:val="both"/>
        <w:rPr>
          <w:rFonts w:ascii="Palatino Linotype" w:eastAsia="Calibri" w:hAnsi="Palatino Linotype" w:cs="Tahoma"/>
          <w:bCs/>
        </w:rPr>
      </w:pPr>
    </w:p>
    <w:p w:rsidR="001D4CE8" w:rsidRPr="00F67BDF" w:rsidRDefault="001D4CE8" w:rsidP="001D4CE8">
      <w:pPr>
        <w:numPr>
          <w:ilvl w:val="0"/>
          <w:numId w:val="38"/>
        </w:numPr>
        <w:spacing w:after="0" w:line="360" w:lineRule="auto"/>
        <w:jc w:val="both"/>
        <w:rPr>
          <w:rFonts w:ascii="Palatino Linotype" w:eastAsia="Calibri" w:hAnsi="Palatino Linotype" w:cs="Tahoma"/>
          <w:bCs/>
          <w:lang w:val="es-ES"/>
        </w:rPr>
      </w:pPr>
      <w:r w:rsidRPr="00F67BDF">
        <w:rPr>
          <w:rFonts w:ascii="Palatino Linotype" w:eastAsia="Calibri" w:hAnsi="Palatino Linotype" w:cs="Tahoma"/>
          <w:bCs/>
          <w:lang w:val="es-ES"/>
        </w:rPr>
        <w:t xml:space="preserve">Las Unidades de Transparencia garantizarán que las solicitudes de acceso a la información se turnen a todas las áreas competentes que cuenten con la información o deban tenerla -de acuerdo </w:t>
      </w:r>
      <w:r>
        <w:rPr>
          <w:rFonts w:ascii="Palatino Linotype" w:eastAsia="Calibri" w:hAnsi="Palatino Linotype" w:cs="Tahoma"/>
          <w:bCs/>
          <w:lang w:val="es-ES"/>
        </w:rPr>
        <w:t>con</w:t>
      </w:r>
      <w:r w:rsidRPr="00F67BDF">
        <w:rPr>
          <w:rFonts w:ascii="Palatino Linotype" w:eastAsia="Calibri" w:hAnsi="Palatino Linotype" w:cs="Tahoma"/>
          <w:bCs/>
          <w:lang w:val="es-ES"/>
        </w:rPr>
        <w:t xml:space="preserve"> las facultades, competencias y funciones-, con el objeto de que dichas áreas realicen una búsqueda exhaustiva y razonable de la información requerida, y</w:t>
      </w:r>
    </w:p>
    <w:p w:rsidR="001D4CE8" w:rsidRPr="00F67BDF" w:rsidRDefault="001D4CE8" w:rsidP="001D4CE8">
      <w:pPr>
        <w:spacing w:line="360" w:lineRule="auto"/>
        <w:ind w:left="720"/>
        <w:jc w:val="both"/>
        <w:rPr>
          <w:rFonts w:ascii="Palatino Linotype" w:eastAsia="Calibri" w:hAnsi="Palatino Linotype" w:cs="Tahoma"/>
          <w:bCs/>
          <w:lang w:val="es-ES"/>
        </w:rPr>
      </w:pPr>
    </w:p>
    <w:p w:rsidR="001D4CE8" w:rsidRDefault="001D4CE8" w:rsidP="001D4CE8">
      <w:pPr>
        <w:numPr>
          <w:ilvl w:val="0"/>
          <w:numId w:val="38"/>
        </w:numPr>
        <w:spacing w:after="0" w:line="360" w:lineRule="auto"/>
        <w:jc w:val="both"/>
        <w:rPr>
          <w:rFonts w:ascii="Palatino Linotype" w:eastAsia="Calibri" w:hAnsi="Palatino Linotype" w:cs="Tahoma"/>
          <w:bCs/>
          <w:lang w:val="es-ES"/>
        </w:rPr>
      </w:pPr>
      <w:r w:rsidRPr="00F67BDF">
        <w:rPr>
          <w:rFonts w:ascii="Palatino Linotype" w:eastAsia="Calibri" w:hAnsi="Palatino Linotype" w:cs="Tahoma"/>
          <w:bCs/>
          <w:lang w:val="es-ES"/>
        </w:rPr>
        <w:t xml:space="preserve">Los sujetos </w:t>
      </w:r>
      <w:r>
        <w:rPr>
          <w:rFonts w:ascii="Palatino Linotype" w:eastAsia="Calibri" w:hAnsi="Palatino Linotype" w:cs="Tahoma"/>
          <w:bCs/>
          <w:lang w:val="es-ES"/>
        </w:rPr>
        <w:t>obligado</w:t>
      </w:r>
      <w:r w:rsidRPr="00F67BDF">
        <w:rPr>
          <w:rFonts w:ascii="Palatino Linotype" w:eastAsia="Calibri" w:hAnsi="Palatino Linotype" w:cs="Tahoma"/>
          <w:bCs/>
          <w:lang w:val="es-ES"/>
        </w:rPr>
        <w:t xml:space="preserve">s otorgaran acceso a los documentos que se encuentren en sus archivos o que estén </w:t>
      </w:r>
      <w:r>
        <w:rPr>
          <w:rFonts w:ascii="Palatino Linotype" w:eastAsia="Calibri" w:hAnsi="Palatino Linotype" w:cs="Tahoma"/>
          <w:bCs/>
          <w:lang w:val="es-ES"/>
        </w:rPr>
        <w:t>obligado</w:t>
      </w:r>
      <w:r w:rsidRPr="00F67BDF">
        <w:rPr>
          <w:rFonts w:ascii="Palatino Linotype" w:eastAsia="Calibri" w:hAnsi="Palatino Linotype" w:cs="Tahoma"/>
          <w:bCs/>
          <w:lang w:val="es-ES"/>
        </w:rPr>
        <w:t>s a documentar de acuerdo con sus facultades, competencias o funciones, en el formato en que el solicitante manifieste, de entre aquellos formatos existentes.</w:t>
      </w:r>
    </w:p>
    <w:p w:rsidR="001D4CE8" w:rsidRDefault="001D4CE8" w:rsidP="001D4CE8">
      <w:pPr>
        <w:rPr>
          <w:rFonts w:ascii="Palatino Linotype" w:eastAsia="Calibri" w:hAnsi="Palatino Linotype" w:cs="Tahoma"/>
          <w:bCs/>
          <w:lang w:val="es-ES"/>
        </w:rPr>
      </w:pPr>
    </w:p>
    <w:p w:rsidR="001D4CE8" w:rsidRDefault="001D4CE8" w:rsidP="001D4CE8">
      <w:pPr>
        <w:spacing w:line="360" w:lineRule="auto"/>
        <w:jc w:val="both"/>
        <w:rPr>
          <w:rFonts w:ascii="Palatino Linotype" w:eastAsia="Calibri" w:hAnsi="Palatino Linotype" w:cs="Tahoma"/>
          <w:bCs/>
        </w:rPr>
      </w:pPr>
      <w:r w:rsidRPr="00A653E0">
        <w:rPr>
          <w:rFonts w:ascii="Palatino Linotype" w:eastAsia="Calibri" w:hAnsi="Palatino Linotype" w:cs="Tahoma"/>
          <w:bCs/>
        </w:rPr>
        <w:t>Por lo anterior, es conveniente analizar la naturaleza de la información para determinar si el Sujeto Obligado tiene atribuciones o competencias para entregar lo solicitado por el ahora Recurrente.</w:t>
      </w:r>
    </w:p>
    <w:p w:rsidR="001D4CE8" w:rsidRDefault="001D4CE8" w:rsidP="001D4CE8">
      <w:pPr>
        <w:spacing w:line="360" w:lineRule="auto"/>
        <w:jc w:val="both"/>
        <w:rPr>
          <w:rFonts w:ascii="Palatino Linotype" w:eastAsia="Calibri" w:hAnsi="Palatino Linotype" w:cs="Tahoma"/>
          <w:bCs/>
        </w:rPr>
      </w:pPr>
    </w:p>
    <w:p w:rsidR="001D4CE8" w:rsidRPr="00E34A2D" w:rsidRDefault="001D4CE8" w:rsidP="001D4CE8">
      <w:pPr>
        <w:spacing w:line="360" w:lineRule="auto"/>
        <w:jc w:val="both"/>
        <w:rPr>
          <w:rFonts w:ascii="Palatino Linotype" w:eastAsia="Calibri" w:hAnsi="Palatino Linotype" w:cs="Tahoma"/>
          <w:bCs/>
        </w:rPr>
      </w:pPr>
      <w:r w:rsidRPr="00E34A2D">
        <w:rPr>
          <w:rFonts w:ascii="Palatino Linotype" w:eastAsia="Calibri" w:hAnsi="Palatino Linotype" w:cs="Tahoma"/>
          <w:bCs/>
        </w:rPr>
        <w:t>Análisis de la naturaleza de la información solicitada por el Recurrente:</w:t>
      </w:r>
    </w:p>
    <w:p w:rsidR="001D4CE8" w:rsidRDefault="001D4CE8" w:rsidP="001D4CE8">
      <w:pPr>
        <w:pStyle w:val="Prrafodelista"/>
        <w:rPr>
          <w:rFonts w:ascii="Palatino Linotype" w:eastAsia="Calibri" w:hAnsi="Palatino Linotype" w:cs="Tahoma"/>
          <w:bCs/>
          <w:szCs w:val="22"/>
          <w:lang w:eastAsia="en-US"/>
        </w:rPr>
      </w:pPr>
    </w:p>
    <w:p w:rsidR="001D4CE8" w:rsidRPr="00AF2DB0" w:rsidRDefault="001D4CE8" w:rsidP="001D4CE8">
      <w:pPr>
        <w:pStyle w:val="Prrafodelista"/>
        <w:numPr>
          <w:ilvl w:val="0"/>
          <w:numId w:val="40"/>
        </w:numPr>
        <w:spacing w:line="360" w:lineRule="auto"/>
        <w:contextualSpacing/>
        <w:jc w:val="both"/>
        <w:rPr>
          <w:rFonts w:ascii="Palatino Linotype" w:eastAsia="Calibri" w:hAnsi="Palatino Linotype" w:cs="Tahoma"/>
          <w:b/>
          <w:bCs/>
          <w:szCs w:val="22"/>
          <w:lang w:eastAsia="en-US"/>
        </w:rPr>
      </w:pPr>
      <w:r w:rsidRPr="00AF2DB0">
        <w:rPr>
          <w:rFonts w:ascii="Palatino Linotype" w:eastAsia="Calibri" w:hAnsi="Palatino Linotype" w:cs="Tahoma"/>
          <w:b/>
          <w:bCs/>
          <w:szCs w:val="22"/>
          <w:lang w:eastAsia="en-US"/>
        </w:rPr>
        <w:t>RECIBOS DE NÓMINA DE LA PRIMERA QUINCENA DE ENERO A LA PRIMERA QUINCENA DE MARZO DE DOS MIL DIECINUEVE:</w:t>
      </w:r>
    </w:p>
    <w:p w:rsidR="001D4CE8" w:rsidRDefault="001D4CE8" w:rsidP="001D4CE8">
      <w:pPr>
        <w:spacing w:line="360" w:lineRule="auto"/>
        <w:ind w:right="-93"/>
        <w:jc w:val="both"/>
        <w:rPr>
          <w:rFonts w:ascii="Palatino Linotype" w:eastAsia="Calibri" w:hAnsi="Palatino Linotype" w:cs="Tahoma"/>
          <w:bCs/>
        </w:rPr>
      </w:pPr>
    </w:p>
    <w:p w:rsidR="001D4CE8" w:rsidRDefault="001D4CE8" w:rsidP="001D4CE8">
      <w:pPr>
        <w:spacing w:line="360" w:lineRule="auto"/>
        <w:ind w:right="-93"/>
        <w:jc w:val="both"/>
        <w:rPr>
          <w:rFonts w:ascii="Palatino Linotype" w:eastAsia="Calibri" w:hAnsi="Palatino Linotype" w:cs="Tahoma"/>
          <w:bCs/>
        </w:rPr>
      </w:pPr>
      <w:r>
        <w:rPr>
          <w:rFonts w:ascii="Palatino Linotype" w:eastAsia="Calibri" w:hAnsi="Palatino Linotype" w:cs="Tahoma"/>
          <w:bCs/>
        </w:rPr>
        <w:lastRenderedPageBreak/>
        <w:t>En ese sentido, el Bando Municipal 2019 del Ayuntamiento de Tequixquiac</w:t>
      </w:r>
      <w:r w:rsidRPr="00240764">
        <w:rPr>
          <w:rFonts w:ascii="Palatino Linotype" w:eastAsia="Calibri" w:hAnsi="Palatino Linotype" w:cs="Tahoma"/>
          <w:bCs/>
        </w:rPr>
        <w:t>,</w:t>
      </w:r>
      <w:r>
        <w:rPr>
          <w:rFonts w:ascii="Palatino Linotype" w:eastAsia="Calibri" w:hAnsi="Palatino Linotype" w:cs="Tahoma"/>
          <w:bCs/>
        </w:rPr>
        <w:t xml:space="preserve"> en su artículo 72 estipula que la Tesorería Municipal </w:t>
      </w:r>
      <w:r w:rsidRPr="00AF2DB0">
        <w:rPr>
          <w:rFonts w:ascii="Palatino Linotype" w:eastAsia="Calibri" w:hAnsi="Palatino Linotype" w:cs="Tahoma"/>
          <w:bCs/>
        </w:rPr>
        <w:t xml:space="preserve">es el órgano de la Administración Pública Municipal encargado de la recaudación de los ingresos y del </w:t>
      </w:r>
      <w:r w:rsidRPr="00AF2DB0">
        <w:rPr>
          <w:rFonts w:ascii="Palatino Linotype" w:eastAsia="Calibri" w:hAnsi="Palatino Linotype" w:cs="Tahoma"/>
          <w:bCs/>
          <w:u w:val="single"/>
        </w:rPr>
        <w:t>pago de las erogaciones</w:t>
      </w:r>
      <w:r>
        <w:rPr>
          <w:rFonts w:ascii="Palatino Linotype" w:eastAsia="Calibri" w:hAnsi="Palatino Linotype" w:cs="Tahoma"/>
          <w:bCs/>
        </w:rPr>
        <w:t xml:space="preserve"> que realice el Gobierno </w:t>
      </w:r>
      <w:r w:rsidRPr="00AF2DB0">
        <w:rPr>
          <w:rFonts w:ascii="Palatino Linotype" w:eastAsia="Calibri" w:hAnsi="Palatino Linotype" w:cs="Tahoma"/>
          <w:bCs/>
        </w:rPr>
        <w:t>Municipal</w:t>
      </w:r>
      <w:r>
        <w:rPr>
          <w:rFonts w:ascii="Palatino Linotype" w:eastAsia="Calibri" w:hAnsi="Palatino Linotype" w:cs="Tahoma"/>
          <w:bCs/>
        </w:rPr>
        <w:t>, el artículo 123, fracción X del mismo Bando señala las funciones de la Tesorería Municipal, dentro de las cuales se encuentran las de integrar los informes mensuales y anua</w:t>
      </w:r>
      <w:r w:rsidRPr="003469AB">
        <w:rPr>
          <w:rFonts w:ascii="Palatino Linotype" w:eastAsia="Calibri" w:hAnsi="Palatino Linotype" w:cs="Tahoma"/>
          <w:bCs/>
        </w:rPr>
        <w:t>les que exige el Órgano Superior de</w:t>
      </w:r>
      <w:r>
        <w:rPr>
          <w:rFonts w:ascii="Palatino Linotype" w:eastAsia="Calibri" w:hAnsi="Palatino Linotype" w:cs="Tahoma"/>
          <w:bCs/>
        </w:rPr>
        <w:t xml:space="preserve"> </w:t>
      </w:r>
      <w:r w:rsidRPr="003469AB">
        <w:rPr>
          <w:rFonts w:ascii="Palatino Linotype" w:eastAsia="Calibri" w:hAnsi="Palatino Linotype" w:cs="Tahoma"/>
          <w:bCs/>
        </w:rPr>
        <w:t>Fiscalización del Gobierno del Estado de</w:t>
      </w:r>
      <w:r>
        <w:rPr>
          <w:rFonts w:ascii="Palatino Linotype" w:eastAsia="Calibri" w:hAnsi="Palatino Linotype" w:cs="Tahoma"/>
          <w:bCs/>
        </w:rPr>
        <w:t xml:space="preserve"> </w:t>
      </w:r>
      <w:r w:rsidRPr="003469AB">
        <w:rPr>
          <w:rFonts w:ascii="Palatino Linotype" w:eastAsia="Calibri" w:hAnsi="Palatino Linotype" w:cs="Tahoma"/>
          <w:bCs/>
        </w:rPr>
        <w:t>México, con apego a las normas contables</w:t>
      </w:r>
      <w:r>
        <w:rPr>
          <w:rFonts w:ascii="Palatino Linotype" w:eastAsia="Calibri" w:hAnsi="Palatino Linotype" w:cs="Tahoma"/>
          <w:bCs/>
        </w:rPr>
        <w:t xml:space="preserve"> </w:t>
      </w:r>
      <w:r w:rsidRPr="003469AB">
        <w:rPr>
          <w:rFonts w:ascii="Palatino Linotype" w:eastAsia="Calibri" w:hAnsi="Palatino Linotype" w:cs="Tahoma"/>
          <w:bCs/>
        </w:rPr>
        <w:t>establecidas en el Manual Único de</w:t>
      </w:r>
      <w:r>
        <w:rPr>
          <w:rFonts w:ascii="Palatino Linotype" w:eastAsia="Calibri" w:hAnsi="Palatino Linotype" w:cs="Tahoma"/>
          <w:bCs/>
        </w:rPr>
        <w:t xml:space="preserve"> </w:t>
      </w:r>
      <w:r w:rsidRPr="003469AB">
        <w:rPr>
          <w:rFonts w:ascii="Palatino Linotype" w:eastAsia="Calibri" w:hAnsi="Palatino Linotype" w:cs="Tahoma"/>
          <w:bCs/>
        </w:rPr>
        <w:t>Contabilidad Gubernamental para las</w:t>
      </w:r>
      <w:r>
        <w:rPr>
          <w:rFonts w:ascii="Palatino Linotype" w:eastAsia="Calibri" w:hAnsi="Palatino Linotype" w:cs="Tahoma"/>
          <w:bCs/>
        </w:rPr>
        <w:t xml:space="preserve"> </w:t>
      </w:r>
      <w:r w:rsidRPr="003469AB">
        <w:rPr>
          <w:rFonts w:ascii="Palatino Linotype" w:eastAsia="Calibri" w:hAnsi="Palatino Linotype" w:cs="Tahoma"/>
          <w:bCs/>
        </w:rPr>
        <w:t>Dependencias y Entidades Públicas del</w:t>
      </w:r>
      <w:r>
        <w:rPr>
          <w:rFonts w:ascii="Palatino Linotype" w:eastAsia="Calibri" w:hAnsi="Palatino Linotype" w:cs="Tahoma"/>
          <w:bCs/>
        </w:rPr>
        <w:t xml:space="preserve"> </w:t>
      </w:r>
      <w:r w:rsidRPr="003469AB">
        <w:rPr>
          <w:rFonts w:ascii="Palatino Linotype" w:eastAsia="Calibri" w:hAnsi="Palatino Linotype" w:cs="Tahoma"/>
          <w:bCs/>
        </w:rPr>
        <w:t>Gobierno y Municipios del Estado de</w:t>
      </w:r>
      <w:r>
        <w:rPr>
          <w:rFonts w:ascii="Palatino Linotype" w:eastAsia="Calibri" w:hAnsi="Palatino Linotype" w:cs="Tahoma"/>
          <w:bCs/>
        </w:rPr>
        <w:t xml:space="preserve"> </w:t>
      </w:r>
      <w:r w:rsidRPr="003469AB">
        <w:rPr>
          <w:rFonts w:ascii="Palatino Linotype" w:eastAsia="Calibri" w:hAnsi="Palatino Linotype" w:cs="Tahoma"/>
          <w:bCs/>
        </w:rPr>
        <w:t>México</w:t>
      </w:r>
      <w:r>
        <w:rPr>
          <w:rFonts w:ascii="Palatino Linotype" w:eastAsia="Calibri" w:hAnsi="Palatino Linotype" w:cs="Tahoma"/>
          <w:bCs/>
        </w:rPr>
        <w:t>.</w:t>
      </w:r>
    </w:p>
    <w:p w:rsidR="001D4CE8" w:rsidRDefault="001D4CE8" w:rsidP="001D4CE8">
      <w:pPr>
        <w:spacing w:line="360" w:lineRule="auto"/>
        <w:ind w:right="-93"/>
        <w:jc w:val="both"/>
        <w:rPr>
          <w:rFonts w:ascii="Palatino Linotype" w:eastAsia="Calibri" w:hAnsi="Palatino Linotype" w:cs="Tahoma"/>
          <w:bCs/>
        </w:rPr>
      </w:pPr>
    </w:p>
    <w:p w:rsidR="001D4CE8" w:rsidRPr="00F67BDF" w:rsidRDefault="001D4CE8" w:rsidP="001D4CE8">
      <w:pPr>
        <w:widowControl w:val="0"/>
        <w:spacing w:line="360" w:lineRule="auto"/>
        <w:ind w:right="-91"/>
        <w:jc w:val="both"/>
        <w:rPr>
          <w:rFonts w:ascii="Palatino Linotype" w:eastAsia="Calibri" w:hAnsi="Palatino Linotype" w:cs="Tahoma"/>
          <w:bCs/>
        </w:rPr>
      </w:pPr>
      <w:r w:rsidRPr="00F67BDF">
        <w:rPr>
          <w:rFonts w:ascii="Palatino Linotype" w:eastAsia="Calibri" w:hAnsi="Palatino Linotype" w:cs="Tahoma"/>
          <w:bCs/>
        </w:rPr>
        <w:t xml:space="preserve">Conforme a lo anterior, se advierte que el </w:t>
      </w:r>
      <w:r>
        <w:rPr>
          <w:rFonts w:ascii="Palatino Linotype" w:eastAsia="Calibri" w:hAnsi="Palatino Linotype" w:cs="Tahoma"/>
          <w:bCs/>
        </w:rPr>
        <w:t>Sujeto Obligado</w:t>
      </w:r>
      <w:r w:rsidRPr="00F67BDF">
        <w:rPr>
          <w:rFonts w:ascii="Palatino Linotype" w:eastAsia="Calibri" w:hAnsi="Palatino Linotype" w:cs="Tahoma"/>
          <w:bCs/>
        </w:rPr>
        <w:t xml:space="preserve"> cuenta </w:t>
      </w:r>
      <w:r>
        <w:rPr>
          <w:rFonts w:ascii="Palatino Linotype" w:eastAsia="Calibri" w:hAnsi="Palatino Linotype" w:cs="Tahoma"/>
          <w:bCs/>
        </w:rPr>
        <w:t xml:space="preserve">con un área competente para </w:t>
      </w:r>
      <w:r w:rsidRPr="00F67BDF">
        <w:rPr>
          <w:rFonts w:ascii="Palatino Linotype" w:eastAsia="Calibri" w:hAnsi="Palatino Linotype" w:cs="Tahoma"/>
          <w:bCs/>
        </w:rPr>
        <w:t xml:space="preserve">conocer de la solicitud de información, </w:t>
      </w:r>
      <w:r>
        <w:rPr>
          <w:rFonts w:ascii="Palatino Linotype" w:eastAsia="Calibri" w:hAnsi="Palatino Linotype" w:cs="Tahoma"/>
          <w:bCs/>
        </w:rPr>
        <w:t xml:space="preserve">como lo es, </w:t>
      </w:r>
      <w:r w:rsidRPr="00F55644">
        <w:rPr>
          <w:rFonts w:ascii="Palatino Linotype" w:eastAsia="Calibri" w:hAnsi="Palatino Linotype" w:cs="Tahoma"/>
          <w:b/>
          <w:bCs/>
        </w:rPr>
        <w:t xml:space="preserve">la </w:t>
      </w:r>
      <w:r>
        <w:rPr>
          <w:rFonts w:ascii="Palatino Linotype" w:eastAsia="Calibri" w:hAnsi="Palatino Linotype" w:cs="Tahoma"/>
          <w:b/>
          <w:bCs/>
        </w:rPr>
        <w:t>Tesorería Municipal</w:t>
      </w:r>
      <w:r w:rsidRPr="00F55644">
        <w:rPr>
          <w:rFonts w:ascii="Palatino Linotype" w:eastAsia="Calibri" w:hAnsi="Palatino Linotype" w:cs="Tahoma"/>
          <w:b/>
          <w:bCs/>
        </w:rPr>
        <w:t>,</w:t>
      </w:r>
      <w:r w:rsidRPr="00F67BDF">
        <w:rPr>
          <w:rFonts w:ascii="Palatino Linotype" w:eastAsia="Calibri" w:hAnsi="Palatino Linotype" w:cs="Tahoma"/>
          <w:bCs/>
        </w:rPr>
        <w:t xml:space="preserve"> </w:t>
      </w:r>
      <w:r>
        <w:rPr>
          <w:rFonts w:ascii="Palatino Linotype" w:eastAsia="Calibri" w:hAnsi="Palatino Linotype" w:cs="Tahoma"/>
          <w:bCs/>
        </w:rPr>
        <w:t xml:space="preserve">misma que tiene </w:t>
      </w:r>
      <w:r w:rsidRPr="00F67BDF">
        <w:rPr>
          <w:rFonts w:ascii="Palatino Linotype" w:eastAsia="Calibri" w:hAnsi="Palatino Linotype" w:cs="Tahoma"/>
          <w:bCs/>
        </w:rPr>
        <w:t xml:space="preserve">atribuciones para conocer de </w:t>
      </w:r>
      <w:r>
        <w:rPr>
          <w:rFonts w:ascii="Palatino Linotype" w:eastAsia="Calibri" w:hAnsi="Palatino Linotype" w:cs="Tahoma"/>
          <w:bCs/>
        </w:rPr>
        <w:t>las remuneraciones otorgadas a los servidores públicos que laboran en el Ayuntamiento en cuestión;  por lo que</w:t>
      </w:r>
      <w:r w:rsidRPr="00F67BDF">
        <w:rPr>
          <w:rFonts w:ascii="Palatino Linotype" w:eastAsia="Calibri" w:hAnsi="Palatino Linotype" w:cs="Tahoma"/>
          <w:bCs/>
        </w:rPr>
        <w:t xml:space="preserve">, se advierte que </w:t>
      </w:r>
      <w:r>
        <w:rPr>
          <w:rFonts w:ascii="Palatino Linotype" w:eastAsia="Calibri" w:hAnsi="Palatino Linotype" w:cs="Tahoma"/>
          <w:bCs/>
        </w:rPr>
        <w:t xml:space="preserve">debió </w:t>
      </w:r>
      <w:r w:rsidRPr="00F67BDF">
        <w:rPr>
          <w:rFonts w:ascii="Palatino Linotype" w:eastAsia="Calibri" w:hAnsi="Palatino Linotype" w:cs="Tahoma"/>
          <w:bCs/>
        </w:rPr>
        <w:t>turn</w:t>
      </w:r>
      <w:r>
        <w:rPr>
          <w:rFonts w:ascii="Palatino Linotype" w:eastAsia="Calibri" w:hAnsi="Palatino Linotype" w:cs="Tahoma"/>
          <w:bCs/>
        </w:rPr>
        <w:t>ar</w:t>
      </w:r>
      <w:r w:rsidRPr="00F67BDF">
        <w:rPr>
          <w:rFonts w:ascii="Palatino Linotype" w:eastAsia="Calibri" w:hAnsi="Palatino Linotype" w:cs="Tahoma"/>
          <w:bCs/>
        </w:rPr>
        <w:t xml:space="preserve"> la solicitud de información </w:t>
      </w:r>
      <w:r>
        <w:rPr>
          <w:rFonts w:ascii="Palatino Linotype" w:eastAsia="Calibri" w:hAnsi="Palatino Linotype" w:cs="Tahoma"/>
          <w:bCs/>
        </w:rPr>
        <w:t>a dicha área y demás,</w:t>
      </w:r>
      <w:r w:rsidRPr="00F67BDF">
        <w:rPr>
          <w:rFonts w:ascii="Palatino Linotype" w:eastAsia="Calibri" w:hAnsi="Palatino Linotype" w:cs="Tahoma"/>
          <w:bCs/>
        </w:rPr>
        <w:t xml:space="preserve"> que conf</w:t>
      </w:r>
      <w:r>
        <w:rPr>
          <w:rFonts w:ascii="Palatino Linotype" w:eastAsia="Calibri" w:hAnsi="Palatino Linotype" w:cs="Tahoma"/>
          <w:bCs/>
        </w:rPr>
        <w:t>orme a sus atribuciones pudieran</w:t>
      </w:r>
      <w:r w:rsidRPr="00F67BDF">
        <w:rPr>
          <w:rFonts w:ascii="Palatino Linotype" w:eastAsia="Calibri" w:hAnsi="Palatino Linotype" w:cs="Tahoma"/>
          <w:bCs/>
        </w:rPr>
        <w:t xml:space="preserve"> contar con la informaci</w:t>
      </w:r>
      <w:r>
        <w:rPr>
          <w:rFonts w:ascii="Palatino Linotype" w:eastAsia="Calibri" w:hAnsi="Palatino Linotype" w:cs="Tahoma"/>
          <w:bCs/>
        </w:rPr>
        <w:t xml:space="preserve">ón requerida por el Particular. </w:t>
      </w:r>
    </w:p>
    <w:p w:rsidR="001D4CE8" w:rsidRDefault="001D4CE8" w:rsidP="001D4CE8">
      <w:pPr>
        <w:spacing w:line="360" w:lineRule="auto"/>
        <w:ind w:right="-93"/>
        <w:jc w:val="both"/>
        <w:rPr>
          <w:rFonts w:ascii="Palatino Linotype" w:eastAsia="Calibri" w:hAnsi="Palatino Linotype" w:cs="Tahoma"/>
          <w:bCs/>
        </w:rPr>
      </w:pPr>
    </w:p>
    <w:p w:rsidR="001D4CE8" w:rsidRDefault="001D4CE8" w:rsidP="001D4CE8">
      <w:pPr>
        <w:spacing w:line="360" w:lineRule="auto"/>
        <w:ind w:right="-93"/>
        <w:jc w:val="both"/>
        <w:rPr>
          <w:rFonts w:ascii="Palatino Linotype" w:eastAsia="Calibri" w:hAnsi="Palatino Linotype" w:cs="Tahoma"/>
          <w:bCs/>
        </w:rPr>
      </w:pPr>
      <w:r w:rsidRPr="0081054F">
        <w:rPr>
          <w:rFonts w:ascii="Palatino Linotype" w:eastAsia="Calibri" w:hAnsi="Palatino Linotype" w:cs="Tahoma"/>
          <w:bCs/>
        </w:rPr>
        <w:t xml:space="preserve">Aunado a lo anterior, es necesario contextualizar la solicitud de información, para lo cual, </w:t>
      </w:r>
      <w:r>
        <w:rPr>
          <w:rFonts w:ascii="Palatino Linotype" w:eastAsia="Calibri" w:hAnsi="Palatino Linotype" w:cs="Tahoma"/>
          <w:bCs/>
        </w:rPr>
        <w:t>es de</w:t>
      </w:r>
      <w:r w:rsidRPr="0081054F">
        <w:rPr>
          <w:rFonts w:ascii="Palatino Linotype" w:eastAsia="Calibri" w:hAnsi="Palatino Linotype" w:cs="Tahoma"/>
          <w:bCs/>
        </w:rPr>
        <w:t xml:space="preserve"> precisar </w:t>
      </w:r>
      <w:r>
        <w:rPr>
          <w:rFonts w:ascii="Palatino Linotype" w:eastAsia="Calibri" w:hAnsi="Palatino Linotype" w:cs="Tahoma"/>
          <w:bCs/>
        </w:rPr>
        <w:t>lo que puede entenderse por recibos de nómina:</w:t>
      </w:r>
    </w:p>
    <w:p w:rsidR="001D4CE8" w:rsidRPr="00915C1F" w:rsidRDefault="001D4CE8" w:rsidP="001D4CE8">
      <w:pPr>
        <w:spacing w:line="360" w:lineRule="auto"/>
        <w:ind w:right="-93"/>
        <w:jc w:val="both"/>
        <w:rPr>
          <w:rFonts w:ascii="Palatino Linotype" w:eastAsia="Calibri" w:hAnsi="Palatino Linotype" w:cs="Tahoma"/>
          <w:b/>
          <w:bCs/>
        </w:rPr>
      </w:pPr>
    </w:p>
    <w:p w:rsidR="001D4CE8" w:rsidRPr="0081054F" w:rsidRDefault="001D4CE8" w:rsidP="001D4CE8">
      <w:pPr>
        <w:spacing w:line="360" w:lineRule="auto"/>
        <w:ind w:right="-93"/>
        <w:jc w:val="both"/>
        <w:rPr>
          <w:rFonts w:ascii="Palatino Linotype" w:eastAsia="Calibri" w:hAnsi="Palatino Linotype" w:cs="Tahoma"/>
          <w:bCs/>
        </w:rPr>
      </w:pPr>
      <w:r>
        <w:rPr>
          <w:rFonts w:ascii="Palatino Linotype" w:eastAsia="Calibri" w:hAnsi="Palatino Linotype" w:cs="Tahoma"/>
          <w:bCs/>
        </w:rPr>
        <w:t xml:space="preserve">Al respecto, </w:t>
      </w:r>
      <w:r w:rsidRPr="0081054F">
        <w:rPr>
          <w:rFonts w:ascii="Palatino Linotype" w:eastAsia="Calibri" w:hAnsi="Palatino Linotype" w:cs="Tahoma"/>
          <w:bCs/>
        </w:rPr>
        <w:t>el Glosario localizado en la página de Transparencia Presupuestaria de la Secretaría de Hacienda y Crédito Público (</w:t>
      </w:r>
      <w:hyperlink r:id="rId10" w:history="1">
        <w:r w:rsidRPr="00DB11C3">
          <w:rPr>
            <w:rStyle w:val="Hipervnculo"/>
            <w:rFonts w:ascii="Palatino Linotype" w:eastAsia="Calibri" w:hAnsi="Palatino Linotype" w:cs="Tahoma"/>
            <w:bCs/>
          </w:rPr>
          <w:t>http://www.transparenciapresupuestaria.gob.mx/es/PTP/Glosario</w:t>
        </w:r>
      </w:hyperlink>
      <w:r w:rsidRPr="0081054F">
        <w:rPr>
          <w:rFonts w:ascii="Palatino Linotype" w:eastAsia="Calibri" w:hAnsi="Palatino Linotype" w:cs="Tahoma"/>
          <w:bCs/>
        </w:rPr>
        <w:t xml:space="preserve">, consultada el </w:t>
      </w:r>
      <w:r>
        <w:rPr>
          <w:rFonts w:ascii="Palatino Linotype" w:eastAsia="Calibri" w:hAnsi="Palatino Linotype" w:cs="Tahoma"/>
          <w:bCs/>
        </w:rPr>
        <w:t xml:space="preserve">veinte </w:t>
      </w:r>
      <w:r w:rsidRPr="0081054F">
        <w:rPr>
          <w:rFonts w:ascii="Palatino Linotype" w:eastAsia="Calibri" w:hAnsi="Palatino Linotype" w:cs="Tahoma"/>
          <w:bCs/>
        </w:rPr>
        <w:t xml:space="preserve">de </w:t>
      </w:r>
      <w:r>
        <w:rPr>
          <w:rFonts w:ascii="Palatino Linotype" w:eastAsia="Calibri" w:hAnsi="Palatino Linotype" w:cs="Tahoma"/>
          <w:bCs/>
        </w:rPr>
        <w:t xml:space="preserve">junio </w:t>
      </w:r>
      <w:r w:rsidRPr="0081054F">
        <w:rPr>
          <w:rFonts w:ascii="Palatino Linotype" w:eastAsia="Calibri" w:hAnsi="Palatino Linotype" w:cs="Tahoma"/>
          <w:bCs/>
        </w:rPr>
        <w:t>de dos mil dieci</w:t>
      </w:r>
      <w:r>
        <w:rPr>
          <w:rFonts w:ascii="Palatino Linotype" w:eastAsia="Calibri" w:hAnsi="Palatino Linotype" w:cs="Tahoma"/>
          <w:bCs/>
        </w:rPr>
        <w:t>nueve</w:t>
      </w:r>
      <w:r w:rsidRPr="0081054F">
        <w:rPr>
          <w:rFonts w:ascii="Palatino Linotype" w:eastAsia="Calibri" w:hAnsi="Palatino Linotype" w:cs="Tahoma"/>
          <w:bCs/>
        </w:rPr>
        <w:t xml:space="preserve">, a las </w:t>
      </w:r>
      <w:r>
        <w:rPr>
          <w:rFonts w:ascii="Palatino Linotype" w:eastAsia="Calibri" w:hAnsi="Palatino Linotype" w:cs="Tahoma"/>
          <w:bCs/>
        </w:rPr>
        <w:t xml:space="preserve">dieciséis </w:t>
      </w:r>
      <w:r w:rsidRPr="0081054F">
        <w:rPr>
          <w:rFonts w:ascii="Palatino Linotype" w:eastAsia="Calibri" w:hAnsi="Palatino Linotype" w:cs="Tahoma"/>
          <w:bCs/>
        </w:rPr>
        <w:t xml:space="preserve">horas), establece que la Nómina es el documento </w:t>
      </w:r>
      <w:r w:rsidRPr="0081054F">
        <w:rPr>
          <w:rFonts w:ascii="Palatino Linotype" w:eastAsia="Calibri" w:hAnsi="Palatino Linotype" w:cs="Tahoma"/>
          <w:bCs/>
        </w:rPr>
        <w:lastRenderedPageBreak/>
        <w:t>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1D4CE8" w:rsidRPr="0081054F" w:rsidRDefault="001D4CE8" w:rsidP="001D4CE8">
      <w:pPr>
        <w:spacing w:line="360" w:lineRule="auto"/>
        <w:ind w:right="-93"/>
        <w:jc w:val="both"/>
        <w:rPr>
          <w:rFonts w:ascii="Palatino Linotype" w:eastAsia="Calibri" w:hAnsi="Palatino Linotype" w:cs="Tahoma"/>
          <w:bCs/>
        </w:rPr>
      </w:pPr>
    </w:p>
    <w:p w:rsidR="001D4CE8" w:rsidRPr="0081054F" w:rsidRDefault="001D4CE8" w:rsidP="001D4CE8">
      <w:pPr>
        <w:spacing w:line="360" w:lineRule="auto"/>
        <w:ind w:right="-93"/>
        <w:jc w:val="both"/>
        <w:rPr>
          <w:rFonts w:ascii="Palatino Linotype" w:eastAsia="Calibri" w:hAnsi="Palatino Linotype" w:cs="Tahoma"/>
          <w:bCs/>
        </w:rPr>
      </w:pPr>
      <w:r w:rsidRPr="0081054F">
        <w:rPr>
          <w:rFonts w:ascii="Palatino Linotype" w:eastAsia="Calibri" w:hAnsi="Palatino Linotype" w:cs="Tahoma"/>
          <w:bCs/>
        </w:rPr>
        <w:t>De la misma manera, el Glosario de términos más usuales en la Administración Pública Federal, emitido por la Secretaría de Hacienda y Crédito Público (</w:t>
      </w:r>
      <w:hyperlink r:id="rId11" w:history="1">
        <w:r w:rsidRPr="00DB11C3">
          <w:rPr>
            <w:rStyle w:val="Hipervnculo"/>
            <w:rFonts w:ascii="Palatino Linotype" w:eastAsia="Calibri" w:hAnsi="Palatino Linotype" w:cs="Tahoma"/>
            <w:bCs/>
          </w:rPr>
          <w:t>http://www.apartados.hacienda.gob.mx/contabilidad/documentos/informe_cuenta/1998/cuenta_publica/Glosario/n.htm</w:t>
        </w:r>
      </w:hyperlink>
      <w:r w:rsidRPr="0081054F">
        <w:rPr>
          <w:rFonts w:ascii="Palatino Linotype" w:eastAsia="Calibri" w:hAnsi="Palatino Linotype" w:cs="Tahoma"/>
          <w:bCs/>
        </w:rPr>
        <w:t xml:space="preserve">, consultada el </w:t>
      </w:r>
      <w:r>
        <w:rPr>
          <w:rFonts w:ascii="Palatino Linotype" w:eastAsia="Calibri" w:hAnsi="Palatino Linotype" w:cs="Tahoma"/>
          <w:bCs/>
        </w:rPr>
        <w:t xml:space="preserve">veinte </w:t>
      </w:r>
      <w:r w:rsidRPr="0081054F">
        <w:rPr>
          <w:rFonts w:ascii="Palatino Linotype" w:eastAsia="Calibri" w:hAnsi="Palatino Linotype" w:cs="Tahoma"/>
          <w:bCs/>
        </w:rPr>
        <w:t xml:space="preserve">de </w:t>
      </w:r>
      <w:r>
        <w:rPr>
          <w:rFonts w:ascii="Palatino Linotype" w:eastAsia="Calibri" w:hAnsi="Palatino Linotype" w:cs="Tahoma"/>
          <w:bCs/>
        </w:rPr>
        <w:t xml:space="preserve">junio </w:t>
      </w:r>
      <w:r w:rsidRPr="0081054F">
        <w:rPr>
          <w:rFonts w:ascii="Palatino Linotype" w:eastAsia="Calibri" w:hAnsi="Palatino Linotype" w:cs="Tahoma"/>
          <w:bCs/>
        </w:rPr>
        <w:t>de dos mil dieci</w:t>
      </w:r>
      <w:r>
        <w:rPr>
          <w:rFonts w:ascii="Palatino Linotype" w:eastAsia="Calibri" w:hAnsi="Palatino Linotype" w:cs="Tahoma"/>
          <w:bCs/>
        </w:rPr>
        <w:t>nueve</w:t>
      </w:r>
      <w:r w:rsidRPr="0081054F">
        <w:rPr>
          <w:rFonts w:ascii="Palatino Linotype" w:eastAsia="Calibri" w:hAnsi="Palatino Linotype" w:cs="Tahoma"/>
          <w:bCs/>
        </w:rPr>
        <w:t xml:space="preserve">, a las </w:t>
      </w:r>
      <w:r>
        <w:rPr>
          <w:rFonts w:ascii="Palatino Linotype" w:eastAsia="Calibri" w:hAnsi="Palatino Linotype" w:cs="Tahoma"/>
          <w:bCs/>
        </w:rPr>
        <w:t>dieciséis</w:t>
      </w:r>
      <w:r w:rsidRPr="0081054F">
        <w:rPr>
          <w:rFonts w:ascii="Palatino Linotype" w:eastAsia="Calibri" w:hAnsi="Palatino Linotype" w:cs="Tahoma"/>
          <w:bCs/>
        </w:rPr>
        <w:t xml:space="preserve"> horas con treinta minutos), establece que la Nómina es un listado general de los trabajadores de una institución, en el cual se asientan las percepciones brutas, deducciones y alcance neto de las mismas.</w:t>
      </w:r>
    </w:p>
    <w:p w:rsidR="001D4CE8" w:rsidRPr="0081054F" w:rsidRDefault="001D4CE8" w:rsidP="001D4CE8">
      <w:pPr>
        <w:spacing w:line="360" w:lineRule="auto"/>
        <w:ind w:right="-93"/>
        <w:jc w:val="both"/>
        <w:rPr>
          <w:rFonts w:ascii="Palatino Linotype" w:eastAsia="Calibri" w:hAnsi="Palatino Linotype" w:cs="Tahoma"/>
          <w:bCs/>
        </w:rPr>
      </w:pPr>
    </w:p>
    <w:p w:rsidR="001D4CE8" w:rsidRPr="0081054F" w:rsidRDefault="001D4CE8" w:rsidP="001D4CE8">
      <w:pPr>
        <w:spacing w:line="360" w:lineRule="auto"/>
        <w:ind w:right="-93"/>
        <w:jc w:val="both"/>
        <w:rPr>
          <w:rFonts w:ascii="Palatino Linotype" w:eastAsia="Calibri" w:hAnsi="Palatino Linotype" w:cs="Tahoma"/>
          <w:bCs/>
        </w:rPr>
      </w:pPr>
      <w:r w:rsidRPr="0081054F">
        <w:rPr>
          <w:rFonts w:ascii="Palatino Linotype" w:eastAsia="Calibri" w:hAnsi="Palatino Linotype" w:cs="Tahoma"/>
          <w:bCs/>
        </w:rPr>
        <w:t>Conforme a lo anterior, se puede advertir que la nómina se puede referir a lo siguiente:</w:t>
      </w:r>
    </w:p>
    <w:p w:rsidR="001D4CE8" w:rsidRPr="0081054F" w:rsidRDefault="001D4CE8" w:rsidP="001D4CE8">
      <w:pPr>
        <w:spacing w:line="360" w:lineRule="auto"/>
        <w:ind w:right="-93"/>
        <w:jc w:val="both"/>
        <w:rPr>
          <w:rFonts w:ascii="Palatino Linotype" w:eastAsia="Calibri" w:hAnsi="Palatino Linotype" w:cs="Tahoma"/>
          <w:bCs/>
        </w:rPr>
      </w:pPr>
    </w:p>
    <w:p w:rsidR="001D4CE8" w:rsidRDefault="001D4CE8" w:rsidP="001D4CE8">
      <w:pPr>
        <w:spacing w:line="360" w:lineRule="auto"/>
        <w:ind w:right="-93"/>
        <w:jc w:val="both"/>
        <w:rPr>
          <w:rFonts w:ascii="Palatino Linotype" w:eastAsia="Calibri" w:hAnsi="Palatino Linotype" w:cs="Tahoma"/>
          <w:bCs/>
        </w:rPr>
      </w:pPr>
      <w:r w:rsidRPr="0081054F">
        <w:rPr>
          <w:rFonts w:ascii="Palatino Linotype" w:eastAsia="Calibri" w:hAnsi="Palatino Linotype" w:cs="Tahoma"/>
          <w:bCs/>
        </w:rPr>
        <w:t>I.</w:t>
      </w:r>
      <w:r w:rsidRPr="0081054F">
        <w:rPr>
          <w:rFonts w:ascii="Palatino Linotype" w:eastAsia="Calibri" w:hAnsi="Palatino Linotype" w:cs="Tahoma"/>
          <w:bCs/>
        </w:rPr>
        <w:tab/>
        <w:t>Relación de trabajadores con las percepciones monetarias de cada uno.</w:t>
      </w:r>
    </w:p>
    <w:p w:rsidR="001D4CE8" w:rsidRDefault="001D4CE8" w:rsidP="001D4CE8">
      <w:pPr>
        <w:spacing w:line="360" w:lineRule="auto"/>
        <w:ind w:right="-93"/>
        <w:jc w:val="both"/>
        <w:rPr>
          <w:rFonts w:ascii="Palatino Linotype" w:eastAsia="Calibri" w:hAnsi="Palatino Linotype" w:cs="Tahoma"/>
          <w:bCs/>
        </w:rPr>
      </w:pPr>
      <w:r w:rsidRPr="0081054F">
        <w:rPr>
          <w:rFonts w:ascii="Palatino Linotype" w:eastAsia="Calibri" w:hAnsi="Palatino Linotype" w:cs="Tahoma"/>
          <w:bCs/>
        </w:rPr>
        <w:t>II.</w:t>
      </w:r>
      <w:r w:rsidRPr="0081054F">
        <w:rPr>
          <w:rFonts w:ascii="Palatino Linotype" w:eastAsia="Calibri" w:hAnsi="Palatino Linotype" w:cs="Tahoma"/>
          <w:bCs/>
        </w:rPr>
        <w:tab/>
        <w:t>Recibo individual que contiene las prestaciones y deducciones de un trabajador.</w:t>
      </w:r>
    </w:p>
    <w:p w:rsidR="001D4CE8" w:rsidRPr="0081054F" w:rsidRDefault="001D4CE8" w:rsidP="001D4CE8">
      <w:pPr>
        <w:spacing w:line="360" w:lineRule="auto"/>
        <w:ind w:left="705" w:right="-93" w:hanging="705"/>
        <w:jc w:val="both"/>
        <w:rPr>
          <w:rFonts w:ascii="Palatino Linotype" w:eastAsia="Calibri" w:hAnsi="Palatino Linotype" w:cs="Tahoma"/>
          <w:bCs/>
        </w:rPr>
      </w:pPr>
      <w:r w:rsidRPr="0081054F">
        <w:rPr>
          <w:rFonts w:ascii="Palatino Linotype" w:eastAsia="Calibri" w:hAnsi="Palatino Linotype" w:cs="Tahoma"/>
          <w:bCs/>
        </w:rPr>
        <w:t>III.</w:t>
      </w:r>
      <w:r w:rsidRPr="0081054F">
        <w:rPr>
          <w:rFonts w:ascii="Palatino Linotype" w:eastAsia="Calibri" w:hAnsi="Palatino Linotype" w:cs="Tahoma"/>
          <w:bCs/>
        </w:rPr>
        <w:tab/>
        <w:t>Listado general de los servidores públicos de una institución o dependencia, en el cual se asientan las percepciones brutas, deducciones y alcance neto de las mismas.</w:t>
      </w:r>
    </w:p>
    <w:p w:rsidR="001D4CE8" w:rsidRPr="0081054F" w:rsidRDefault="001D4CE8" w:rsidP="001D4CE8">
      <w:pPr>
        <w:spacing w:line="360" w:lineRule="auto"/>
        <w:ind w:right="-93"/>
        <w:jc w:val="both"/>
        <w:rPr>
          <w:rFonts w:ascii="Palatino Linotype" w:eastAsia="Calibri" w:hAnsi="Palatino Linotype" w:cs="Tahoma"/>
          <w:bCs/>
        </w:rPr>
      </w:pPr>
    </w:p>
    <w:p w:rsidR="001D4CE8" w:rsidRDefault="001D4CE8" w:rsidP="001D4CE8">
      <w:pPr>
        <w:spacing w:line="360" w:lineRule="auto"/>
        <w:ind w:right="-93"/>
        <w:jc w:val="both"/>
        <w:rPr>
          <w:rFonts w:ascii="Palatino Linotype" w:eastAsia="Calibri" w:hAnsi="Palatino Linotype" w:cs="Tahoma"/>
          <w:bCs/>
        </w:rPr>
      </w:pPr>
      <w:r w:rsidRPr="0081054F">
        <w:rPr>
          <w:rFonts w:ascii="Palatino Linotype" w:eastAsia="Calibri" w:hAnsi="Palatino Linotype" w:cs="Tahoma"/>
          <w:bCs/>
        </w:rPr>
        <w:t xml:space="preserve">En ese contexto, cabe recordar que el particular solicitó </w:t>
      </w:r>
      <w:r>
        <w:rPr>
          <w:rFonts w:ascii="Palatino Linotype" w:eastAsia="Calibri" w:hAnsi="Palatino Linotype" w:cs="Tahoma"/>
          <w:bCs/>
        </w:rPr>
        <w:t>los</w:t>
      </w:r>
      <w:r w:rsidRPr="00402C98">
        <w:t xml:space="preserve"> </w:t>
      </w:r>
      <w:r w:rsidRPr="00402C98">
        <w:rPr>
          <w:rFonts w:ascii="Palatino Linotype" w:eastAsia="Calibri" w:hAnsi="Palatino Linotype" w:cs="Tahoma"/>
          <w:bCs/>
        </w:rPr>
        <w:t xml:space="preserve">recibos de pago </w:t>
      </w:r>
      <w:r>
        <w:rPr>
          <w:rFonts w:ascii="Palatino Linotype" w:eastAsia="Calibri" w:hAnsi="Palatino Linotype" w:cs="Tahoma"/>
          <w:bCs/>
        </w:rPr>
        <w:t>de</w:t>
      </w:r>
      <w:r w:rsidRPr="00402C98">
        <w:rPr>
          <w:rFonts w:ascii="Palatino Linotype" w:eastAsia="Calibri" w:hAnsi="Palatino Linotype" w:cs="Tahoma"/>
          <w:bCs/>
        </w:rPr>
        <w:t xml:space="preserve"> todos los servidores públicos del </w:t>
      </w:r>
      <w:r w:rsidRPr="009A2CC1">
        <w:rPr>
          <w:rFonts w:ascii="Palatino Linotype" w:eastAsia="Calibri" w:hAnsi="Palatino Linotype" w:cs="Tahoma"/>
          <w:bCs/>
        </w:rPr>
        <w:t>Ayuntamiento de Tequixquiac de la primera quincena de enero a la primera quincena de marzo de dos mil diecinueve</w:t>
      </w:r>
      <w:r w:rsidRPr="0081054F">
        <w:rPr>
          <w:rFonts w:ascii="Palatino Linotype" w:eastAsia="Calibri" w:hAnsi="Palatino Linotype" w:cs="Tahoma"/>
          <w:bCs/>
        </w:rPr>
        <w:t>; por lo que, se adv</w:t>
      </w:r>
      <w:r>
        <w:rPr>
          <w:rFonts w:ascii="Palatino Linotype" w:eastAsia="Calibri" w:hAnsi="Palatino Linotype" w:cs="Tahoma"/>
          <w:bCs/>
        </w:rPr>
        <w:t>ierte</w:t>
      </w:r>
      <w:r w:rsidRPr="0081054F">
        <w:rPr>
          <w:rFonts w:ascii="Palatino Linotype" w:eastAsia="Calibri" w:hAnsi="Palatino Linotype" w:cs="Tahoma"/>
          <w:bCs/>
        </w:rPr>
        <w:t xml:space="preserve"> que su pretensión es obtener el documento, que contenga las percepciones que reciben los servidores públicos que </w:t>
      </w:r>
      <w:r w:rsidRPr="0081054F">
        <w:rPr>
          <w:rFonts w:ascii="Palatino Linotype" w:eastAsia="Calibri" w:hAnsi="Palatino Linotype" w:cs="Tahoma"/>
          <w:bCs/>
        </w:rPr>
        <w:lastRenderedPageBreak/>
        <w:t xml:space="preserve">laboran en el Ayuntamiento </w:t>
      </w:r>
      <w:r w:rsidRPr="009A2CC1">
        <w:rPr>
          <w:rFonts w:ascii="Palatino Linotype" w:eastAsia="Calibri" w:hAnsi="Palatino Linotype" w:cs="Tahoma"/>
          <w:bCs/>
        </w:rPr>
        <w:t>de Tequixquiac;</w:t>
      </w:r>
      <w:r w:rsidRPr="0081054F">
        <w:rPr>
          <w:rFonts w:ascii="Palatino Linotype" w:eastAsia="Calibri" w:hAnsi="Palatino Linotype" w:cs="Tahoma"/>
          <w:bCs/>
        </w:rPr>
        <w:t xml:space="preserve"> esto es, de los trabajadores de base, confianza, sindicalizados, polic</w:t>
      </w:r>
      <w:r>
        <w:rPr>
          <w:rFonts w:ascii="Palatino Linotype" w:eastAsia="Calibri" w:hAnsi="Palatino Linotype" w:cs="Tahoma"/>
          <w:bCs/>
        </w:rPr>
        <w:t xml:space="preserve">ías, temporales </w:t>
      </w:r>
      <w:r w:rsidRPr="0081054F">
        <w:rPr>
          <w:rFonts w:ascii="Palatino Linotype" w:eastAsia="Calibri" w:hAnsi="Palatino Linotype" w:cs="Tahoma"/>
          <w:bCs/>
        </w:rPr>
        <w:t>y similares.</w:t>
      </w:r>
    </w:p>
    <w:p w:rsidR="001D4CE8" w:rsidRPr="00985849" w:rsidRDefault="001D4CE8" w:rsidP="001D4CE8">
      <w:pPr>
        <w:spacing w:line="360" w:lineRule="auto"/>
        <w:ind w:right="-93"/>
        <w:jc w:val="both"/>
        <w:rPr>
          <w:rFonts w:ascii="Palatino Linotype" w:eastAsia="Calibri" w:hAnsi="Palatino Linotype" w:cs="Tahoma"/>
          <w:bCs/>
        </w:rPr>
      </w:pPr>
    </w:p>
    <w:p w:rsidR="001D4CE8" w:rsidRPr="00985849" w:rsidRDefault="001D4CE8" w:rsidP="001D4CE8">
      <w:pPr>
        <w:spacing w:line="360" w:lineRule="auto"/>
        <w:ind w:right="-93"/>
        <w:jc w:val="both"/>
        <w:rPr>
          <w:rFonts w:ascii="Palatino Linotype" w:eastAsia="Calibri" w:hAnsi="Palatino Linotype" w:cs="Tahoma"/>
          <w:bCs/>
        </w:rPr>
      </w:pPr>
      <w:r w:rsidRPr="00985849">
        <w:rPr>
          <w:rFonts w:ascii="Palatino Linotype" w:eastAsia="Calibri" w:hAnsi="Palatino Linotype" w:cs="Tahoma"/>
          <w:bCs/>
        </w:rPr>
        <w:t xml:space="preserve">Ahora bien, respecto al tema, resulta necesario traer a colación </w:t>
      </w:r>
      <w:r>
        <w:rPr>
          <w:rFonts w:ascii="Palatino Linotype" w:eastAsia="Calibri" w:hAnsi="Palatino Linotype" w:cs="Tahoma"/>
          <w:bCs/>
        </w:rPr>
        <w:t xml:space="preserve">que </w:t>
      </w:r>
      <w:r w:rsidRPr="00985849">
        <w:rPr>
          <w:rFonts w:ascii="Palatino Linotype" w:eastAsia="Calibri" w:hAnsi="Palatino Linotype" w:cs="Tahoma"/>
          <w:bCs/>
        </w:rPr>
        <w:t>el artículo 147 de la Constitución Política del Estado Libre y Soberano de México, establece que los trabajadores al servicio del Estado</w:t>
      </w:r>
      <w:r>
        <w:rPr>
          <w:rFonts w:ascii="Palatino Linotype" w:eastAsia="Calibri" w:hAnsi="Palatino Linotype" w:cs="Tahoma"/>
          <w:bCs/>
        </w:rPr>
        <w:t xml:space="preserve"> y </w:t>
      </w:r>
      <w:r w:rsidRPr="00985849">
        <w:rPr>
          <w:rFonts w:ascii="Palatino Linotype" w:eastAsia="Calibri" w:hAnsi="Palatino Linotype" w:cs="Tahoma"/>
          <w:bCs/>
        </w:rPr>
        <w:t xml:space="preserve">los miembros de los Ayuntamientos, recibirán una remuneración adecuada e irrenunciable por el desempeño de su empleo, cargo o comisión, que será determinada en el presupuesto de egresos que corresponda. </w:t>
      </w:r>
    </w:p>
    <w:p w:rsidR="001D4CE8" w:rsidRPr="00985849" w:rsidRDefault="001D4CE8" w:rsidP="001D4CE8">
      <w:pPr>
        <w:spacing w:line="360" w:lineRule="auto"/>
        <w:ind w:right="-93"/>
        <w:jc w:val="both"/>
        <w:rPr>
          <w:rFonts w:ascii="Palatino Linotype" w:eastAsia="Calibri" w:hAnsi="Palatino Linotype" w:cs="Tahoma"/>
          <w:bCs/>
        </w:rPr>
      </w:pPr>
    </w:p>
    <w:p w:rsidR="001D4CE8" w:rsidRPr="00985849" w:rsidRDefault="001D4CE8" w:rsidP="001D4CE8">
      <w:pPr>
        <w:spacing w:line="360" w:lineRule="auto"/>
        <w:ind w:right="-93"/>
        <w:jc w:val="both"/>
        <w:rPr>
          <w:rFonts w:ascii="Palatino Linotype" w:eastAsia="Calibri" w:hAnsi="Palatino Linotype" w:cs="Tahoma"/>
          <w:bCs/>
        </w:rPr>
      </w:pPr>
      <w:r w:rsidRPr="00985849">
        <w:rPr>
          <w:rFonts w:ascii="Palatino Linotype" w:eastAsia="Calibri" w:hAnsi="Palatino Linotype" w:cs="Tahoma"/>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1D4CE8" w:rsidRDefault="001D4CE8" w:rsidP="001D4CE8">
      <w:pPr>
        <w:spacing w:line="360" w:lineRule="auto"/>
        <w:ind w:right="-93"/>
        <w:jc w:val="both"/>
        <w:rPr>
          <w:rFonts w:ascii="Palatino Linotype" w:eastAsia="Calibri" w:hAnsi="Palatino Linotype" w:cs="Tahoma"/>
          <w:bCs/>
        </w:rPr>
      </w:pPr>
    </w:p>
    <w:p w:rsidR="001D4CE8" w:rsidRDefault="001D4CE8" w:rsidP="001D4CE8">
      <w:pPr>
        <w:spacing w:line="360" w:lineRule="auto"/>
        <w:ind w:right="-93"/>
        <w:jc w:val="both"/>
        <w:rPr>
          <w:rFonts w:ascii="Palatino Linotype" w:eastAsia="Calibri" w:hAnsi="Palatino Linotype" w:cs="Tahoma"/>
          <w:bCs/>
        </w:rPr>
      </w:pPr>
      <w:r>
        <w:rPr>
          <w:rFonts w:ascii="Palatino Linotype" w:eastAsia="Calibri" w:hAnsi="Palatino Linotype" w:cs="Tahoma"/>
          <w:bCs/>
        </w:rPr>
        <w:t>De igual forma, la</w:t>
      </w:r>
      <w:r w:rsidRPr="002C5695">
        <w:rPr>
          <w:rFonts w:ascii="Palatino Linotype" w:eastAsia="Calibri" w:hAnsi="Palatino Linotype" w:cs="Tahoma"/>
          <w:bCs/>
        </w:rPr>
        <w:t xml:space="preserve"> Ley del Trabajo de los Servidores Públicos del Estado y Municipios, en su artículo 220</w:t>
      </w:r>
      <w:r>
        <w:rPr>
          <w:rFonts w:ascii="Palatino Linotype" w:eastAsia="Calibri" w:hAnsi="Palatino Linotype" w:cs="Tahoma"/>
          <w:bCs/>
        </w:rPr>
        <w:t xml:space="preserve"> K, establece los documentos que tiene la obligación de conservar el Sujeto Obligado, entre los que se encuentran los recibos de pagos: </w:t>
      </w:r>
    </w:p>
    <w:p w:rsidR="001D4CE8" w:rsidRDefault="001D4CE8" w:rsidP="001D4CE8">
      <w:pPr>
        <w:tabs>
          <w:tab w:val="left" w:pos="4962"/>
        </w:tabs>
        <w:spacing w:line="360" w:lineRule="auto"/>
        <w:ind w:left="567" w:right="539"/>
        <w:jc w:val="both"/>
        <w:rPr>
          <w:rFonts w:ascii="Palatino Linotype" w:hAnsi="Palatino Linotype" w:cs="Tahoma"/>
        </w:rPr>
      </w:pPr>
    </w:p>
    <w:p w:rsidR="001D4CE8" w:rsidRPr="002C5695" w:rsidRDefault="001D4CE8" w:rsidP="001D4CE8">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ARTÍCULO 220 K.- La institución o dependencia pública t</w:t>
      </w:r>
      <w:r>
        <w:rPr>
          <w:rFonts w:ascii="Palatino Linotype" w:hAnsi="Palatino Linotype" w:cs="Tahoma"/>
        </w:rPr>
        <w:t xml:space="preserve">iene la obligación de conservar </w:t>
      </w:r>
      <w:r w:rsidRPr="002C5695">
        <w:rPr>
          <w:rFonts w:ascii="Palatino Linotype" w:hAnsi="Palatino Linotype" w:cs="Tahoma"/>
        </w:rPr>
        <w:t>y exhibir en el proceso los documentos que a continuación se precisan:</w:t>
      </w:r>
    </w:p>
    <w:p w:rsidR="001D4CE8" w:rsidRPr="002C5695" w:rsidRDefault="001D4CE8" w:rsidP="001D4CE8">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 Contratos, Nombramientos o Formato Único de Mov</w:t>
      </w:r>
      <w:r>
        <w:rPr>
          <w:rFonts w:ascii="Palatino Linotype" w:hAnsi="Palatino Linotype" w:cs="Tahoma"/>
        </w:rPr>
        <w:t xml:space="preserve">imientos de Personal, cuando no </w:t>
      </w:r>
      <w:r w:rsidRPr="002C5695">
        <w:rPr>
          <w:rFonts w:ascii="Palatino Linotype" w:hAnsi="Palatino Linotype" w:cs="Tahoma"/>
        </w:rPr>
        <w:t>exista Convenio de condiciones generales de trabajo aplicable;</w:t>
      </w:r>
    </w:p>
    <w:p w:rsidR="001D4CE8" w:rsidRPr="002C5695" w:rsidRDefault="001D4CE8" w:rsidP="001D4CE8">
      <w:pPr>
        <w:tabs>
          <w:tab w:val="left" w:pos="4962"/>
        </w:tabs>
        <w:spacing w:line="360" w:lineRule="auto"/>
        <w:ind w:left="567" w:right="567"/>
        <w:jc w:val="both"/>
        <w:rPr>
          <w:rFonts w:ascii="Palatino Linotype" w:hAnsi="Palatino Linotype" w:cs="Tahoma"/>
          <w:b/>
          <w:u w:val="single"/>
        </w:rPr>
      </w:pPr>
      <w:r w:rsidRPr="002C5695">
        <w:rPr>
          <w:rFonts w:ascii="Palatino Linotype" w:hAnsi="Palatino Linotype" w:cs="Tahoma"/>
          <w:b/>
          <w:u w:val="single"/>
        </w:rPr>
        <w:lastRenderedPageBreak/>
        <w:t>II. Recibos de pagos de salarios o las constancias documentales del pago de salario cuando sea por depósito o mediante información electrónica;</w:t>
      </w:r>
    </w:p>
    <w:p w:rsidR="001D4CE8" w:rsidRPr="002C5695" w:rsidRDefault="001D4CE8" w:rsidP="001D4CE8">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III. Controles de asistencia o la información magnética o e</w:t>
      </w:r>
      <w:r>
        <w:rPr>
          <w:rFonts w:ascii="Palatino Linotype" w:hAnsi="Palatino Linotype" w:cs="Tahoma"/>
        </w:rPr>
        <w:t xml:space="preserve">lectrónica de asistencia de los </w:t>
      </w:r>
      <w:r w:rsidRPr="002C5695">
        <w:rPr>
          <w:rFonts w:ascii="Palatino Linotype" w:hAnsi="Palatino Linotype" w:cs="Tahoma"/>
        </w:rPr>
        <w:t>servidores públicos;</w:t>
      </w:r>
    </w:p>
    <w:p w:rsidR="001D4CE8" w:rsidRPr="002C5695" w:rsidRDefault="001D4CE8" w:rsidP="001D4CE8">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b/>
          <w:u w:val="single"/>
        </w:rPr>
        <w:t>IV. Recibos o las constancias de depósito o del medio de información magnética o electrónica que sean utilizadas para el pago de salarios, prima vacacional, aguinaldo y demás prestaciones establecidas en la presente ley;</w:t>
      </w:r>
      <w:r w:rsidRPr="002C5695">
        <w:rPr>
          <w:rFonts w:ascii="Palatino Linotype" w:hAnsi="Palatino Linotype" w:cs="Tahoma"/>
        </w:rPr>
        <w:t xml:space="preserve"> y</w:t>
      </w:r>
    </w:p>
    <w:p w:rsidR="001D4CE8" w:rsidRDefault="001D4CE8" w:rsidP="001D4CE8">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V. Los demás que señalen las leyes.</w:t>
      </w:r>
    </w:p>
    <w:p w:rsidR="001D4CE8" w:rsidRDefault="001D4CE8" w:rsidP="001D4CE8">
      <w:pPr>
        <w:tabs>
          <w:tab w:val="left" w:pos="4962"/>
        </w:tabs>
        <w:spacing w:line="360" w:lineRule="auto"/>
        <w:ind w:left="567" w:right="567"/>
        <w:jc w:val="both"/>
        <w:rPr>
          <w:rFonts w:ascii="Palatino Linotype" w:hAnsi="Palatino Linotype" w:cs="Tahoma"/>
        </w:rPr>
      </w:pPr>
    </w:p>
    <w:p w:rsidR="001D4CE8" w:rsidRDefault="001D4CE8" w:rsidP="001D4CE8">
      <w:pPr>
        <w:spacing w:line="360" w:lineRule="auto"/>
        <w:ind w:right="-93"/>
        <w:jc w:val="both"/>
        <w:rPr>
          <w:rFonts w:ascii="Palatino Linotype" w:eastAsia="Calibri" w:hAnsi="Palatino Linotype" w:cs="Tahoma"/>
          <w:bCs/>
        </w:rPr>
      </w:pPr>
      <w:r>
        <w:rPr>
          <w:rFonts w:ascii="Palatino Linotype" w:eastAsia="Calibri" w:hAnsi="Palatino Linotype" w:cs="Tahoma"/>
          <w:bCs/>
        </w:rPr>
        <w:t xml:space="preserve">Aunado a lo anterior, </w:t>
      </w:r>
      <w:r w:rsidRPr="006A3E93">
        <w:rPr>
          <w:rFonts w:ascii="Palatino Linotype" w:eastAsia="Calibri" w:hAnsi="Palatino Linotype" w:cs="Tahoma"/>
          <w:bCs/>
        </w:rPr>
        <w:t xml:space="preserve">es necesario señalar </w:t>
      </w:r>
      <w:r>
        <w:rPr>
          <w:rFonts w:ascii="Palatino Linotype" w:eastAsia="Calibri" w:hAnsi="Palatino Linotype" w:cs="Tahoma"/>
          <w:bCs/>
        </w:rPr>
        <w:t>que, e</w:t>
      </w:r>
      <w:r w:rsidRPr="006A3E93">
        <w:rPr>
          <w:rFonts w:ascii="Palatino Linotype" w:eastAsia="Calibri" w:hAnsi="Palatino Linotype" w:cs="Tahoma"/>
          <w:bCs/>
        </w:rPr>
        <w:t>l Órgano Superior de Fiscalización</w:t>
      </w:r>
      <w:r>
        <w:rPr>
          <w:rFonts w:ascii="Palatino Linotype" w:eastAsia="Calibri" w:hAnsi="Palatino Linotype" w:cs="Tahoma"/>
          <w:bCs/>
        </w:rPr>
        <w:t xml:space="preserve"> del Estado de México (OSFEM)</w:t>
      </w:r>
      <w:r w:rsidRPr="006A3E93">
        <w:rPr>
          <w:rFonts w:ascii="Palatino Linotype" w:eastAsia="Calibri" w:hAnsi="Palatino Linotype" w:cs="Tahoma"/>
          <w:bCs/>
        </w:rPr>
        <w:t xml:space="preserve"> emite anualmente los Lineamientos para </w:t>
      </w:r>
      <w:r>
        <w:rPr>
          <w:rFonts w:ascii="Palatino Linotype" w:eastAsia="Calibri" w:hAnsi="Palatino Linotype" w:cs="Tahoma"/>
          <w:bCs/>
        </w:rPr>
        <w:t>la elaboración y presentación del Informe Mensual Municipal, los cuales tienen como objetivo establecer las especificaciones necesarias que las entidades fiscalizables deben cumplir para la elaboración y presentación de los informes mensuales.</w:t>
      </w:r>
    </w:p>
    <w:p w:rsidR="001D4CE8" w:rsidRPr="006A3E93" w:rsidRDefault="001D4CE8" w:rsidP="001D4CE8">
      <w:pPr>
        <w:spacing w:line="360" w:lineRule="auto"/>
        <w:ind w:right="-93"/>
        <w:jc w:val="both"/>
        <w:rPr>
          <w:rFonts w:ascii="Palatino Linotype" w:eastAsia="Calibri" w:hAnsi="Palatino Linotype" w:cs="Tahoma"/>
          <w:bCs/>
          <w:i/>
        </w:rPr>
      </w:pPr>
    </w:p>
    <w:p w:rsidR="001D4CE8" w:rsidRDefault="001D4CE8" w:rsidP="001D4CE8">
      <w:pPr>
        <w:spacing w:line="360" w:lineRule="auto"/>
        <w:ind w:right="-93"/>
        <w:jc w:val="both"/>
        <w:rPr>
          <w:rFonts w:ascii="Palatino Linotype" w:eastAsia="Calibri" w:hAnsi="Palatino Linotype" w:cs="Tahoma"/>
          <w:bCs/>
        </w:rPr>
      </w:pPr>
      <w:r w:rsidRPr="006A3E93">
        <w:rPr>
          <w:rFonts w:ascii="Palatino Linotype" w:eastAsia="Calibri" w:hAnsi="Palatino Linotype" w:cs="Tahoma"/>
          <w:bCs/>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w:t>
      </w:r>
      <w:r w:rsidRPr="00663A0B">
        <w:rPr>
          <w:rFonts w:ascii="Palatino Linotype" w:eastAsia="Calibri" w:hAnsi="Palatino Linotype" w:cs="Tahoma"/>
          <w:bCs/>
        </w:rPr>
        <w:t>de Fiscalización  dentro de los veinte días posteriores al término del mes correspondiente tal y como lo señala el artículo 32 de la Ley de Fiscalización Superior del Estado de México.</w:t>
      </w:r>
    </w:p>
    <w:p w:rsidR="001D4CE8" w:rsidRDefault="001D4CE8" w:rsidP="001D4CE8">
      <w:pPr>
        <w:spacing w:line="360" w:lineRule="auto"/>
        <w:ind w:right="-93"/>
        <w:jc w:val="both"/>
        <w:rPr>
          <w:rFonts w:ascii="Palatino Linotype" w:eastAsia="Calibri" w:hAnsi="Palatino Linotype" w:cs="Tahoma"/>
          <w:bCs/>
        </w:rPr>
      </w:pPr>
    </w:p>
    <w:p w:rsidR="001D4CE8" w:rsidRPr="00A50EAF" w:rsidRDefault="001D4CE8" w:rsidP="001D4CE8">
      <w:pPr>
        <w:spacing w:line="360" w:lineRule="auto"/>
        <w:ind w:right="-93"/>
        <w:jc w:val="both"/>
        <w:rPr>
          <w:rFonts w:ascii="Palatino Linotype" w:eastAsia="Calibri" w:hAnsi="Palatino Linotype" w:cs="Tahoma"/>
          <w:bCs/>
          <w:lang w:val="es-ES"/>
        </w:rPr>
      </w:pPr>
      <w:r w:rsidRPr="00A50EAF">
        <w:rPr>
          <w:rFonts w:ascii="Palatino Linotype" w:eastAsia="Calibri" w:hAnsi="Palatino Linotype" w:cs="Tahoma"/>
          <w:bCs/>
        </w:rPr>
        <w:lastRenderedPageBreak/>
        <w:t xml:space="preserve">Ahora bien, en los Lineamientos </w:t>
      </w:r>
      <w:r>
        <w:rPr>
          <w:rFonts w:ascii="Palatino Linotype" w:eastAsia="Calibri" w:hAnsi="Palatino Linotype" w:cs="Tahoma"/>
          <w:bCs/>
        </w:rPr>
        <w:t>en cita</w:t>
      </w:r>
      <w:r w:rsidRPr="00A50EAF">
        <w:rPr>
          <w:rFonts w:ascii="Palatino Linotype" w:eastAsia="Calibri" w:hAnsi="Palatino Linotype" w:cs="Tahoma"/>
          <w:bCs/>
        </w:rPr>
        <w:t xml:space="preserve">, se advierte el análisis que nos ocupa, específicamente el Disco 4, relativo a la información de nómina, </w:t>
      </w:r>
      <w:r>
        <w:rPr>
          <w:rFonts w:ascii="Palatino Linotype" w:eastAsia="Calibri" w:hAnsi="Palatino Linotype" w:cs="Tahoma"/>
          <w:bCs/>
        </w:rPr>
        <w:t>el cual describe cómo debe llevarse a cabo</w:t>
      </w:r>
      <w:r w:rsidRPr="00A50EAF">
        <w:rPr>
          <w:rFonts w:ascii="Palatino Linotype" w:eastAsia="Calibri" w:hAnsi="Palatino Linotype" w:cs="Tahoma"/>
          <w:bCs/>
          <w:lang w:val="es-ES"/>
        </w:rPr>
        <w:t xml:space="preserve"> la presentación de la Información a la Nómina</w:t>
      </w:r>
      <w:r>
        <w:rPr>
          <w:rFonts w:ascii="Palatino Linotype" w:eastAsia="Calibri" w:hAnsi="Palatino Linotype" w:cs="Tahoma"/>
          <w:bCs/>
          <w:lang w:val="es-ES"/>
        </w:rPr>
        <w:t xml:space="preserve"> por parte de los Ayuntamientos</w:t>
      </w:r>
      <w:r w:rsidRPr="00A50EAF">
        <w:rPr>
          <w:rFonts w:ascii="Palatino Linotype" w:eastAsia="Calibri" w:hAnsi="Palatino Linotype" w:cs="Tahoma"/>
          <w:bCs/>
          <w:lang w:val="es-ES"/>
        </w:rPr>
        <w:t xml:space="preserve"> tal y como se muestra en las siguientes imágenes: </w:t>
      </w:r>
    </w:p>
    <w:p w:rsidR="001D4CE8" w:rsidRDefault="001D4CE8" w:rsidP="001D4CE8">
      <w:pPr>
        <w:spacing w:line="360" w:lineRule="auto"/>
        <w:ind w:right="-93"/>
        <w:jc w:val="both"/>
        <w:rPr>
          <w:rFonts w:ascii="Palatino Linotype" w:eastAsia="Calibri" w:hAnsi="Palatino Linotype" w:cs="Tahoma"/>
          <w:bCs/>
        </w:rPr>
      </w:pPr>
    </w:p>
    <w:p w:rsidR="001D4CE8" w:rsidRPr="00A50EAF" w:rsidRDefault="001D4CE8" w:rsidP="001D4CE8">
      <w:pPr>
        <w:spacing w:line="360" w:lineRule="auto"/>
        <w:ind w:right="-93"/>
        <w:jc w:val="both"/>
        <w:rPr>
          <w:rFonts w:ascii="Palatino Linotype" w:eastAsia="Calibri" w:hAnsi="Palatino Linotype" w:cs="Tahoma"/>
          <w:bCs/>
        </w:rPr>
      </w:pPr>
    </w:p>
    <w:p w:rsidR="001D4CE8" w:rsidRDefault="001D4CE8" w:rsidP="001D4CE8">
      <w:pPr>
        <w:spacing w:line="360" w:lineRule="auto"/>
        <w:ind w:right="-93"/>
        <w:jc w:val="both"/>
        <w:rPr>
          <w:rFonts w:ascii="Palatino Linotype" w:eastAsia="Calibri" w:hAnsi="Palatino Linotype" w:cs="Tahoma"/>
          <w:bCs/>
        </w:rPr>
      </w:pPr>
      <w:r w:rsidRPr="00BC1085">
        <w:rPr>
          <w:rFonts w:ascii="Palatino Linotype" w:eastAsia="Calibri" w:hAnsi="Palatino Linotype" w:cs="Tahoma"/>
          <w:bCs/>
          <w:noProof/>
          <w:lang w:eastAsia="es-MX"/>
        </w:rPr>
        <mc:AlternateContent>
          <mc:Choice Requires="wps">
            <w:drawing>
              <wp:anchor distT="0" distB="0" distL="114300" distR="114300" simplePos="0" relativeHeight="251670528" behindDoc="0" locked="0" layoutInCell="1" allowOverlap="1" wp14:anchorId="6DF5FC13" wp14:editId="10D446C3">
                <wp:simplePos x="0" y="0"/>
                <wp:positionH relativeFrom="margin">
                  <wp:posOffset>2423160</wp:posOffset>
                </wp:positionH>
                <wp:positionV relativeFrom="paragraph">
                  <wp:posOffset>890905</wp:posOffset>
                </wp:positionV>
                <wp:extent cx="540440" cy="142848"/>
                <wp:effectExtent l="76200" t="38100" r="50165" b="86360"/>
                <wp:wrapNone/>
                <wp:docPr id="5"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6A6235" id="Rectángulo redondeado 31" o:spid="_x0000_s1026" style="position:absolute;margin-left:190.8pt;margin-top:70.15pt;width:42.55pt;height:1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" filled="f" strokecolor="#ffc000" strokeweight="2.25pt">
                <v:shadow on="t" color="black" opacity="22937f" origin=",.5" offset="0,.63889mm"/>
                <w10:wrap anchorx="margin"/>
              </v:roundrect>
            </w:pict>
          </mc:Fallback>
        </mc:AlternateContent>
      </w:r>
      <w:r w:rsidRPr="00BC1085">
        <w:rPr>
          <w:rFonts w:ascii="Palatino Linotype" w:eastAsia="Calibri" w:hAnsi="Palatino Linotype" w:cs="Tahoma"/>
          <w:bCs/>
          <w:noProof/>
          <w:lang w:eastAsia="es-MX"/>
        </w:rPr>
        <mc:AlternateContent>
          <mc:Choice Requires="wps">
            <w:drawing>
              <wp:anchor distT="0" distB="0" distL="114300" distR="114300" simplePos="0" relativeHeight="251669504" behindDoc="0" locked="0" layoutInCell="1" allowOverlap="1" wp14:anchorId="3AAB6302" wp14:editId="5C021818">
                <wp:simplePos x="0" y="0"/>
                <wp:positionH relativeFrom="margin">
                  <wp:posOffset>544195</wp:posOffset>
                </wp:positionH>
                <wp:positionV relativeFrom="paragraph">
                  <wp:posOffset>2720340</wp:posOffset>
                </wp:positionV>
                <wp:extent cx="1892300" cy="765810"/>
                <wp:effectExtent l="76200" t="38100" r="69850" b="91440"/>
                <wp:wrapNone/>
                <wp:docPr id="8" name="Rectángulo redondeado 18"/>
                <wp:cNvGraphicFramePr/>
                <a:graphic xmlns:a="http://schemas.openxmlformats.org/drawingml/2006/main">
                  <a:graphicData uri="http://schemas.microsoft.com/office/word/2010/wordprocessingShape">
                    <wps:wsp>
                      <wps:cNvSpPr/>
                      <wps:spPr>
                        <a:xfrm>
                          <a:off x="0" y="0"/>
                          <a:ext cx="1892300" cy="76581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856B8" id="Rectángulo redondeado 18" o:spid="_x0000_s1026" style="position:absolute;margin-left:42.85pt;margin-top:214.2pt;width:149pt;height:60.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" filled="f" strokecolor="#ffc000" strokeweight="2.25pt">
                <v:shadow on="t" color="black" opacity="22937f" origin=",.5" offset="0,.63889mm"/>
                <w10:wrap anchorx="margin"/>
              </v:roundrect>
            </w:pict>
          </mc:Fallback>
        </mc:AlternateContent>
      </w:r>
      <w:r w:rsidRPr="00BC1085">
        <w:rPr>
          <w:rFonts w:ascii="Palatino Linotype" w:eastAsia="Calibri" w:hAnsi="Palatino Linotype" w:cs="Tahoma"/>
          <w:bCs/>
          <w:noProof/>
          <w:lang w:eastAsia="es-MX"/>
        </w:rPr>
        <w:drawing>
          <wp:inline distT="0" distB="0" distL="0" distR="0" wp14:anchorId="57633ECA" wp14:editId="156C9EB5">
            <wp:extent cx="5731510" cy="4010025"/>
            <wp:effectExtent l="0" t="0" r="254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200" t="19269" r="15372" b="16211"/>
                    <a:stretch/>
                  </pic:blipFill>
                  <pic:spPr bwMode="auto">
                    <a:xfrm>
                      <a:off x="0" y="0"/>
                      <a:ext cx="5784600" cy="4047169"/>
                    </a:xfrm>
                    <a:prstGeom prst="rect">
                      <a:avLst/>
                    </a:prstGeom>
                    <a:ln>
                      <a:noFill/>
                    </a:ln>
                    <a:extLst>
                      <a:ext uri="{53640926-AAD7-44D8-BBD7-CCE9431645EC}">
                        <a14:shadowObscured xmlns:a14="http://schemas.microsoft.com/office/drawing/2010/main"/>
                      </a:ext>
                    </a:extLst>
                  </pic:spPr>
                </pic:pic>
              </a:graphicData>
            </a:graphic>
          </wp:inline>
        </w:drawing>
      </w:r>
    </w:p>
    <w:p w:rsidR="001D4CE8" w:rsidRDefault="001D4CE8" w:rsidP="001D4CE8">
      <w:pPr>
        <w:spacing w:line="360" w:lineRule="auto"/>
        <w:ind w:right="-93"/>
        <w:jc w:val="both"/>
        <w:rPr>
          <w:rFonts w:ascii="Palatino Linotype" w:eastAsia="Calibri" w:hAnsi="Palatino Linotype" w:cs="Tahoma"/>
          <w:bCs/>
          <w:lang w:val="es-ES"/>
        </w:rPr>
      </w:pPr>
    </w:p>
    <w:p w:rsidR="001D4CE8" w:rsidRPr="00A50EAF" w:rsidRDefault="001D4CE8" w:rsidP="001D4CE8">
      <w:pPr>
        <w:spacing w:line="360" w:lineRule="auto"/>
        <w:ind w:right="-93"/>
        <w:jc w:val="both"/>
        <w:rPr>
          <w:rFonts w:ascii="Palatino Linotype" w:eastAsia="Calibri" w:hAnsi="Palatino Linotype" w:cs="Tahoma"/>
          <w:bCs/>
          <w:lang w:val="es-ES_tradnl"/>
        </w:rPr>
      </w:pPr>
      <w:r>
        <w:rPr>
          <w:rFonts w:ascii="Palatino Linotype" w:eastAsia="Calibri" w:hAnsi="Palatino Linotype" w:cs="Tahoma"/>
          <w:bCs/>
          <w:noProof/>
          <w:lang w:eastAsia="es-MX"/>
        </w:rPr>
        <mc:AlternateContent>
          <mc:Choice Requires="wps">
            <w:drawing>
              <wp:anchor distT="0" distB="0" distL="114300" distR="114300" simplePos="0" relativeHeight="251671552" behindDoc="0" locked="0" layoutInCell="1" allowOverlap="1" wp14:anchorId="031138A2" wp14:editId="46B65F24">
                <wp:simplePos x="0" y="0"/>
                <wp:positionH relativeFrom="margin">
                  <wp:align>left</wp:align>
                </wp:positionH>
                <wp:positionV relativeFrom="paragraph">
                  <wp:posOffset>5669376</wp:posOffset>
                </wp:positionV>
                <wp:extent cx="5654935" cy="1363668"/>
                <wp:effectExtent l="0" t="0" r="22225" b="27305"/>
                <wp:wrapNone/>
                <wp:docPr id="19" name="Conector recto 19"/>
                <wp:cNvGraphicFramePr/>
                <a:graphic xmlns:a="http://schemas.openxmlformats.org/drawingml/2006/main">
                  <a:graphicData uri="http://schemas.microsoft.com/office/word/2010/wordprocessingShape">
                    <wps:wsp>
                      <wps:cNvCnPr/>
                      <wps:spPr>
                        <a:xfrm>
                          <a:off x="0" y="0"/>
                          <a:ext cx="5654935" cy="13636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08946" id="Conector recto 19"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6.4pt" to="445.25pt,5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" strokecolor="#5b9bd5 [3204]" strokeweight=".5pt">
                <v:stroke joinstyle="miter"/>
                <w10:wrap anchorx="margin"/>
              </v:line>
            </w:pict>
          </mc:Fallback>
        </mc:AlternateContent>
      </w:r>
      <w:r w:rsidRPr="00A50EAF">
        <w:rPr>
          <w:rFonts w:ascii="Palatino Linotype" w:eastAsia="Calibri" w:hAnsi="Palatino Linotype" w:cs="Tahoma"/>
          <w:bCs/>
        </w:rPr>
        <w:t xml:space="preserve">De tal manera, que la información solicitada por el Recurrente, corresponde a la información de los recibos o constancias documentales del pago de salarios y prestaciones conforme a lo expuesto, en este sentido, </w:t>
      </w:r>
      <w:r w:rsidRPr="009A2CC1">
        <w:rPr>
          <w:rFonts w:ascii="Palatino Linotype" w:eastAsia="Calibri" w:hAnsi="Palatino Linotype" w:cs="Tahoma"/>
          <w:b/>
          <w:bCs/>
        </w:rPr>
        <w:t xml:space="preserve">los recibos de nómina de los servidores públicos del Ayuntamiento </w:t>
      </w:r>
      <w:r w:rsidRPr="009A2CC1">
        <w:rPr>
          <w:rFonts w:ascii="Palatino Linotype" w:eastAsia="Calibri" w:hAnsi="Palatino Linotype" w:cs="Tahoma"/>
          <w:b/>
          <w:bCs/>
        </w:rPr>
        <w:lastRenderedPageBreak/>
        <w:t>de Tequixquiac de la primera quincena de enero a la primera quincena de marzo de dos mil diecinueve</w:t>
      </w:r>
      <w:r w:rsidRPr="00A50EAF">
        <w:rPr>
          <w:rFonts w:ascii="Palatino Linotype" w:eastAsia="Calibri" w:hAnsi="Palatino Linotype" w:cs="Tahoma"/>
          <w:bCs/>
        </w:rPr>
        <w:t xml:space="preserve">, satisfacen el derecho del particular; por lo que, el Sujeto Obligado </w:t>
      </w:r>
      <w:r w:rsidRPr="00A50EAF">
        <w:rPr>
          <w:rFonts w:ascii="Palatino Linotype" w:eastAsia="Calibri" w:hAnsi="Palatino Linotype" w:cs="Tahoma"/>
          <w:b/>
          <w:bCs/>
        </w:rPr>
        <w:t>tiene competencia para conocer y poseer  la información solicitada</w:t>
      </w:r>
      <w:r w:rsidRPr="00A50EAF">
        <w:rPr>
          <w:rFonts w:ascii="Palatino Linotype" w:eastAsia="Calibri" w:hAnsi="Palatino Linotype" w:cs="Tahoma"/>
          <w:bCs/>
          <w:lang w:val="es-ES_tradnl"/>
        </w:rPr>
        <w:t xml:space="preserve">, por lo que es dable </w:t>
      </w:r>
      <w:r w:rsidRPr="00A50EAF">
        <w:rPr>
          <w:rFonts w:ascii="Palatino Linotype" w:eastAsia="Calibri" w:hAnsi="Palatino Linotype" w:cs="Tahoma"/>
          <w:b/>
          <w:bCs/>
          <w:lang w:val="es-ES_tradnl"/>
        </w:rPr>
        <w:t>ORDENAR</w:t>
      </w:r>
      <w:r w:rsidRPr="00A50EAF">
        <w:rPr>
          <w:rFonts w:ascii="Palatino Linotype" w:eastAsia="Calibri" w:hAnsi="Palatino Linotype" w:cs="Tahoma"/>
          <w:bCs/>
          <w:lang w:val="es-ES_tradnl"/>
        </w:rPr>
        <w:t xml:space="preserve"> una búsqueda exhaustiva y razonable de la información, en las áreas competentes</w:t>
      </w:r>
      <w:r>
        <w:rPr>
          <w:rFonts w:ascii="Palatino Linotype" w:eastAsia="Calibri" w:hAnsi="Palatino Linotype" w:cs="Tahoma"/>
          <w:bCs/>
          <w:lang w:val="es-ES_tradnl"/>
        </w:rPr>
        <w:t xml:space="preserve">, </w:t>
      </w:r>
      <w:r w:rsidRPr="009A2CC1">
        <w:rPr>
          <w:rFonts w:ascii="Palatino Linotype" w:eastAsia="Calibri" w:hAnsi="Palatino Linotype" w:cs="Tahoma"/>
          <w:b/>
          <w:bCs/>
          <w:lang w:val="es-ES_tradnl"/>
        </w:rPr>
        <w:t>los recibos de nómina de la primera quincena de enero a la primera quincena de marzo de dos mil diecinueve</w:t>
      </w:r>
      <w:r>
        <w:rPr>
          <w:rFonts w:ascii="Palatino Linotype" w:eastAsia="Calibri" w:hAnsi="Palatino Linotype" w:cs="Tahoma"/>
          <w:bCs/>
          <w:lang w:val="es-ES_tradnl"/>
        </w:rPr>
        <w:t xml:space="preserve">, y hacer entrega de los mismos </w:t>
      </w:r>
      <w:r w:rsidRPr="00A50EAF">
        <w:rPr>
          <w:rFonts w:ascii="Palatino Linotype" w:eastAsia="Calibri" w:hAnsi="Palatino Linotype" w:cs="Tahoma"/>
          <w:bCs/>
          <w:lang w:val="es-ES_tradnl"/>
        </w:rPr>
        <w:t>vía</w:t>
      </w:r>
      <w:r>
        <w:rPr>
          <w:rFonts w:ascii="Palatino Linotype" w:eastAsia="Calibri" w:hAnsi="Palatino Linotype" w:cs="Tahoma"/>
          <w:bCs/>
          <w:lang w:val="es-ES_tradnl"/>
        </w:rPr>
        <w:t xml:space="preserve"> el Sistema de Acceso a la Información Mexiquense (SAIMEX)</w:t>
      </w:r>
      <w:r w:rsidRPr="00A50EAF">
        <w:rPr>
          <w:rFonts w:ascii="Palatino Linotype" w:eastAsia="Calibri" w:hAnsi="Palatino Linotype" w:cs="Tahoma"/>
          <w:bCs/>
          <w:lang w:val="es-ES_tradnl"/>
        </w:rPr>
        <w:t xml:space="preserve"> en versión pública en los términos </w:t>
      </w:r>
      <w:r>
        <w:rPr>
          <w:rFonts w:ascii="Palatino Linotype" w:eastAsia="Calibri" w:hAnsi="Palatino Linotype" w:cs="Tahoma"/>
          <w:bCs/>
          <w:lang w:val="es-ES_tradnl"/>
        </w:rPr>
        <w:t>lo que se expondrá más adelante</w:t>
      </w:r>
      <w:r w:rsidRPr="00A50EAF">
        <w:rPr>
          <w:rFonts w:ascii="Palatino Linotype" w:eastAsia="Calibri" w:hAnsi="Palatino Linotype" w:cs="Tahoma"/>
          <w:bCs/>
          <w:lang w:val="es-ES_tradnl"/>
        </w:rPr>
        <w:t>.</w:t>
      </w:r>
    </w:p>
    <w:p w:rsidR="001D4CE8" w:rsidRPr="00A50EAF" w:rsidRDefault="001D4CE8" w:rsidP="001D4CE8">
      <w:pPr>
        <w:spacing w:line="360" w:lineRule="auto"/>
        <w:ind w:right="-93"/>
        <w:jc w:val="both"/>
        <w:rPr>
          <w:rFonts w:ascii="Palatino Linotype" w:eastAsia="Calibri" w:hAnsi="Palatino Linotype" w:cs="Tahoma"/>
          <w:bCs/>
          <w:lang w:val="es-ES_tradnl"/>
        </w:rPr>
      </w:pPr>
    </w:p>
    <w:p w:rsidR="001D4CE8" w:rsidRPr="00E34A2D" w:rsidRDefault="001D4CE8" w:rsidP="001D4CE8">
      <w:pPr>
        <w:spacing w:line="360" w:lineRule="auto"/>
        <w:ind w:right="-93"/>
        <w:jc w:val="both"/>
        <w:rPr>
          <w:rFonts w:ascii="Palatino Linotype" w:eastAsia="Calibri" w:hAnsi="Palatino Linotype" w:cs="Tahoma"/>
          <w:b/>
          <w:bCs/>
          <w:lang w:val="es-ES_tradnl"/>
        </w:rPr>
      </w:pPr>
      <w:r w:rsidRPr="00E34A2D">
        <w:rPr>
          <w:rFonts w:ascii="Palatino Linotype" w:eastAsia="Calibri" w:hAnsi="Palatino Linotype" w:cs="Tahoma"/>
          <w:b/>
          <w:bCs/>
          <w:lang w:val="es-ES_tradnl"/>
        </w:rPr>
        <w:t>Información sobre el personal de seguridad pública.</w:t>
      </w:r>
    </w:p>
    <w:p w:rsidR="001D4CE8" w:rsidRPr="00BC1085" w:rsidRDefault="001D4CE8" w:rsidP="001D4CE8">
      <w:pPr>
        <w:spacing w:line="360" w:lineRule="auto"/>
        <w:ind w:right="-93"/>
        <w:jc w:val="both"/>
        <w:rPr>
          <w:rFonts w:ascii="Palatino Linotype" w:eastAsia="Calibri" w:hAnsi="Palatino Linotype" w:cs="Tahoma"/>
          <w:b/>
          <w:bCs/>
          <w:lang w:val="es-ES_tradnl"/>
        </w:rPr>
      </w:pPr>
    </w:p>
    <w:p w:rsidR="00C63935" w:rsidRPr="00E25DAA" w:rsidRDefault="001D4CE8" w:rsidP="00C63935">
      <w:pPr>
        <w:spacing w:line="360" w:lineRule="auto"/>
        <w:ind w:right="-93"/>
        <w:contextualSpacing/>
        <w:jc w:val="both"/>
        <w:rPr>
          <w:rFonts w:ascii="Palatino Linotype" w:eastAsia="Calibri" w:hAnsi="Palatino Linotype" w:cs="Tahoma"/>
          <w:bCs/>
          <w:i/>
          <w:sz w:val="24"/>
        </w:rPr>
      </w:pPr>
      <w:r>
        <w:rPr>
          <w:rFonts w:ascii="Palatino Linotype" w:eastAsia="Calibri" w:hAnsi="Palatino Linotype" w:cs="Tahoma"/>
          <w:bCs/>
        </w:rPr>
        <w:t>E</w:t>
      </w:r>
      <w:r w:rsidRPr="00A50EAF">
        <w:rPr>
          <w:rFonts w:ascii="Palatino Linotype" w:eastAsia="Calibri" w:hAnsi="Palatino Linotype" w:cs="Tahoma"/>
          <w:bCs/>
        </w:rPr>
        <w:t>l particular solicit</w:t>
      </w:r>
      <w:r>
        <w:rPr>
          <w:rFonts w:ascii="Palatino Linotype" w:eastAsia="Calibri" w:hAnsi="Palatino Linotype" w:cs="Tahoma"/>
          <w:bCs/>
        </w:rPr>
        <w:t>ó los recibos de nómina</w:t>
      </w:r>
      <w:r w:rsidRPr="00A50EAF">
        <w:rPr>
          <w:rFonts w:ascii="Palatino Linotype" w:eastAsia="Calibri" w:hAnsi="Palatino Linotype" w:cs="Tahoma"/>
          <w:bCs/>
        </w:rPr>
        <w:t xml:space="preserve"> </w:t>
      </w:r>
      <w:r>
        <w:rPr>
          <w:rFonts w:ascii="Palatino Linotype" w:eastAsia="Calibri" w:hAnsi="Palatino Linotype" w:cs="Tahoma"/>
          <w:bCs/>
        </w:rPr>
        <w:t xml:space="preserve">de todos los servidores públicos dentro  de los que se encuentran los </w:t>
      </w:r>
      <w:r w:rsidRPr="00A50EAF">
        <w:rPr>
          <w:rFonts w:ascii="Palatino Linotype" w:eastAsia="Calibri" w:hAnsi="Palatino Linotype" w:cs="Tahoma"/>
          <w:bCs/>
        </w:rPr>
        <w:t xml:space="preserve">policías, </w:t>
      </w:r>
      <w:r w:rsidR="00C63935" w:rsidRPr="00E25DAA">
        <w:rPr>
          <w:rFonts w:ascii="Palatino Linotype" w:eastAsia="Calibri" w:hAnsi="Palatino Linotype" w:cs="Tahoma"/>
          <w:bCs/>
          <w:sz w:val="24"/>
        </w:rPr>
        <w:t>es posible que dentro de la información solicitada, se encuentren policías; por lo que es preciso que el Sujeto Obligado en el momento de dar cumplimiento a la presente observe puntualmente lo dispuesto por  la Ley de Transparencia y Acceso a la Información Pública del Estado de México y Municipios así como los Lineamientos Generales en Materia de Clasificación y Desclasificación de la Información, así como para la Elaboración de Versiones Públicas.</w:t>
      </w:r>
    </w:p>
    <w:p w:rsidR="00C63935" w:rsidRPr="00E25DAA" w:rsidRDefault="00C63935" w:rsidP="00C63935">
      <w:pPr>
        <w:spacing w:line="360" w:lineRule="auto"/>
        <w:ind w:right="-93"/>
        <w:contextualSpacing/>
        <w:jc w:val="both"/>
        <w:rPr>
          <w:rFonts w:ascii="Palatino Linotype" w:eastAsia="Calibri" w:hAnsi="Palatino Linotype" w:cs="Tahoma"/>
          <w:bCs/>
          <w:sz w:val="24"/>
        </w:rPr>
      </w:pPr>
    </w:p>
    <w:p w:rsidR="00C63935" w:rsidRPr="00E25DAA" w:rsidRDefault="00C63935" w:rsidP="00C63935">
      <w:pPr>
        <w:spacing w:line="360" w:lineRule="auto"/>
        <w:ind w:right="-93"/>
        <w:contextualSpacing/>
        <w:jc w:val="both"/>
        <w:rPr>
          <w:rFonts w:ascii="Palatino Linotype" w:eastAsia="Calibri" w:hAnsi="Palatino Linotype" w:cs="Tahoma"/>
          <w:bCs/>
          <w:sz w:val="24"/>
        </w:rPr>
      </w:pPr>
      <w:r w:rsidRPr="00E25DAA">
        <w:rPr>
          <w:rFonts w:ascii="Palatino Linotype" w:eastAsia="Calibri" w:hAnsi="Palatino Linotype" w:cs="Tahoma"/>
          <w:bCs/>
          <w:sz w:val="24"/>
        </w:rPr>
        <w:t>Por lo que es necesario ordenar la entrega de la información del personal de seguridad pública de acuerdo a las consideraciones que a continuación se exponen.</w:t>
      </w:r>
    </w:p>
    <w:p w:rsidR="00C63935" w:rsidRPr="00120D28" w:rsidRDefault="00C63935" w:rsidP="00C63935">
      <w:pPr>
        <w:spacing w:line="360" w:lineRule="auto"/>
        <w:ind w:right="-93"/>
        <w:contextualSpacing/>
        <w:jc w:val="both"/>
        <w:rPr>
          <w:rFonts w:ascii="Palatino Linotype" w:eastAsia="Calibri" w:hAnsi="Palatino Linotype" w:cs="Tahoma"/>
          <w:bCs/>
        </w:rPr>
      </w:pPr>
    </w:p>
    <w:p w:rsidR="00C63935" w:rsidRPr="00ED499A" w:rsidRDefault="00C63935" w:rsidP="00ED499A">
      <w:pPr>
        <w:spacing w:line="360" w:lineRule="auto"/>
        <w:ind w:right="-93"/>
        <w:contextualSpacing/>
        <w:jc w:val="both"/>
        <w:rPr>
          <w:rFonts w:ascii="Palatino Linotype" w:eastAsia="Calibri" w:hAnsi="Palatino Linotype" w:cs="Tahoma"/>
          <w:b/>
          <w:bCs/>
          <w:sz w:val="24"/>
        </w:rPr>
      </w:pPr>
      <w:r w:rsidRPr="00E25DAA">
        <w:rPr>
          <w:rFonts w:ascii="Palatino Linotype" w:eastAsia="Calibri" w:hAnsi="Palatino Linotype" w:cs="Tahoma"/>
          <w:bCs/>
          <w:sz w:val="24"/>
        </w:rPr>
        <w:t>Se llevó a cabo la búsqueda en el Bando Municipal del</w:t>
      </w:r>
      <w:r w:rsidRPr="00E25DAA">
        <w:rPr>
          <w:rFonts w:ascii="Palatino Linotype" w:eastAsia="Calibri" w:hAnsi="Palatino Linotype" w:cs="Tahoma"/>
          <w:sz w:val="24"/>
        </w:rPr>
        <w:t xml:space="preserve"> Ayuntamiento de T</w:t>
      </w:r>
      <w:r w:rsidR="006712F6">
        <w:rPr>
          <w:rFonts w:ascii="Palatino Linotype" w:eastAsia="Calibri" w:hAnsi="Palatino Linotype" w:cs="Tahoma"/>
          <w:sz w:val="24"/>
        </w:rPr>
        <w:t>equixquiac</w:t>
      </w:r>
      <w:r w:rsidRPr="00E25DAA">
        <w:rPr>
          <w:rFonts w:ascii="Palatino Linotype" w:eastAsia="Calibri" w:hAnsi="Palatino Linotype" w:cs="Tahoma"/>
          <w:bCs/>
          <w:sz w:val="24"/>
        </w:rPr>
        <w:t xml:space="preserve">, visible en </w:t>
      </w:r>
      <w:hyperlink r:id="rId13" w:history="1">
        <w:r w:rsidRPr="00C63935">
          <w:rPr>
            <w:rStyle w:val="Hipervnculo"/>
            <w:rFonts w:ascii="Palatino Linotype" w:eastAsia="Calibri" w:hAnsi="Palatino Linotype" w:cs="Tahoma"/>
            <w:bCs/>
            <w:sz w:val="24"/>
          </w:rPr>
          <w:t>http://legislacion.edomex.gob.mx/sites/legislacion.edomex.gob.mx/files/files/pdf/bdo/</w:t>
        </w:r>
        <w:r w:rsidRPr="00C63935">
          <w:rPr>
            <w:rStyle w:val="Hipervnculo"/>
            <w:rFonts w:ascii="Palatino Linotype" w:eastAsia="Calibri" w:hAnsi="Palatino Linotype" w:cs="Tahoma"/>
            <w:bCs/>
            <w:sz w:val="24"/>
          </w:rPr>
          <w:lastRenderedPageBreak/>
          <w:t>bdo2019/bdo098.pdf</w:t>
        </w:r>
      </w:hyperlink>
      <w:r>
        <w:rPr>
          <w:rStyle w:val="Hipervnculo"/>
          <w:rFonts w:ascii="Palatino Linotype" w:eastAsiaTheme="majorEastAsia" w:hAnsi="Palatino Linotype"/>
          <w:sz w:val="24"/>
        </w:rPr>
        <w:t xml:space="preserve"> </w:t>
      </w:r>
      <w:r w:rsidRPr="00E25DAA">
        <w:rPr>
          <w:rFonts w:ascii="Palatino Linotype" w:eastAsia="Calibri" w:hAnsi="Palatino Linotype" w:cs="Tahoma"/>
          <w:bCs/>
          <w:sz w:val="24"/>
        </w:rPr>
        <w:t>en</w:t>
      </w:r>
      <w:r w:rsidR="00FD7CD2">
        <w:rPr>
          <w:rFonts w:ascii="Palatino Linotype" w:eastAsia="Calibri" w:hAnsi="Palatino Linotype" w:cs="Tahoma"/>
          <w:bCs/>
          <w:sz w:val="24"/>
        </w:rPr>
        <w:t xml:space="preserve"> cuyo artículo 100</w:t>
      </w:r>
      <w:r w:rsidRPr="00E25DAA">
        <w:rPr>
          <w:rFonts w:ascii="Palatino Linotype" w:eastAsia="Calibri" w:hAnsi="Palatino Linotype" w:cs="Tahoma"/>
          <w:bCs/>
          <w:sz w:val="24"/>
        </w:rPr>
        <w:t xml:space="preserve"> referente a </w:t>
      </w:r>
      <w:r w:rsidR="00FD7CD2">
        <w:rPr>
          <w:rFonts w:ascii="Palatino Linotype" w:eastAsia="Calibri" w:hAnsi="Palatino Linotype" w:cs="Tahoma"/>
          <w:bCs/>
          <w:sz w:val="24"/>
        </w:rPr>
        <w:t>las autoridades municipales</w:t>
      </w:r>
      <w:r w:rsidRPr="00E25DAA">
        <w:rPr>
          <w:rFonts w:ascii="Palatino Linotype" w:eastAsia="Calibri" w:hAnsi="Palatino Linotype" w:cs="Tahoma"/>
          <w:bCs/>
          <w:sz w:val="24"/>
        </w:rPr>
        <w:t xml:space="preserve">, dentro de las dependencias </w:t>
      </w:r>
      <w:r w:rsidR="00ED499A">
        <w:rPr>
          <w:rFonts w:ascii="Palatino Linotype" w:eastAsia="Calibri" w:hAnsi="Palatino Linotype" w:cs="Tahoma"/>
          <w:bCs/>
          <w:sz w:val="24"/>
        </w:rPr>
        <w:t>se encuentran</w:t>
      </w:r>
      <w:r w:rsidRPr="00E25DAA">
        <w:rPr>
          <w:rFonts w:ascii="Palatino Linotype" w:eastAsia="Calibri" w:hAnsi="Palatino Linotype" w:cs="Tahoma"/>
          <w:bCs/>
          <w:sz w:val="24"/>
        </w:rPr>
        <w:t xml:space="preserve"> </w:t>
      </w:r>
      <w:r w:rsidR="00ED499A">
        <w:rPr>
          <w:rFonts w:ascii="Palatino Linotype" w:eastAsia="Calibri" w:hAnsi="Palatino Linotype" w:cs="Tahoma"/>
          <w:b/>
          <w:bCs/>
          <w:sz w:val="24"/>
        </w:rPr>
        <w:t>e</w:t>
      </w:r>
      <w:r w:rsidR="00ED499A" w:rsidRPr="00ED499A">
        <w:rPr>
          <w:rFonts w:ascii="Palatino Linotype" w:eastAsia="Calibri" w:hAnsi="Palatino Linotype" w:cs="Tahoma"/>
          <w:b/>
          <w:bCs/>
          <w:sz w:val="24"/>
        </w:rPr>
        <w:t>l Comisario de Seguridad Pública, Tránsito y Vialidad</w:t>
      </w:r>
      <w:r w:rsidR="00ED499A">
        <w:rPr>
          <w:rFonts w:ascii="Palatino Linotype" w:eastAsia="Calibri" w:hAnsi="Palatino Linotype" w:cs="Tahoma"/>
          <w:b/>
          <w:bCs/>
          <w:sz w:val="24"/>
        </w:rPr>
        <w:t>, l</w:t>
      </w:r>
      <w:r w:rsidR="00ED499A" w:rsidRPr="00ED499A">
        <w:rPr>
          <w:rFonts w:ascii="Palatino Linotype" w:eastAsia="Calibri" w:hAnsi="Palatino Linotype" w:cs="Tahoma"/>
          <w:b/>
          <w:bCs/>
          <w:sz w:val="24"/>
        </w:rPr>
        <w:t>os elementos de la Policía Municipal y los elem</w:t>
      </w:r>
      <w:r w:rsidR="00ED499A">
        <w:rPr>
          <w:rFonts w:ascii="Palatino Linotype" w:eastAsia="Calibri" w:hAnsi="Palatino Linotype" w:cs="Tahoma"/>
          <w:b/>
          <w:bCs/>
          <w:sz w:val="24"/>
        </w:rPr>
        <w:t xml:space="preserve">entos de la Unidad Municipal de </w:t>
      </w:r>
      <w:r w:rsidR="00ED499A" w:rsidRPr="00ED499A">
        <w:rPr>
          <w:rFonts w:ascii="Palatino Linotype" w:eastAsia="Calibri" w:hAnsi="Palatino Linotype" w:cs="Tahoma"/>
          <w:b/>
          <w:bCs/>
          <w:sz w:val="24"/>
        </w:rPr>
        <w:t>Protección Civil.</w:t>
      </w:r>
    </w:p>
    <w:p w:rsidR="00C63935" w:rsidRPr="00120D28" w:rsidRDefault="00C63935" w:rsidP="00C63935">
      <w:pPr>
        <w:spacing w:line="360" w:lineRule="auto"/>
        <w:ind w:right="-93"/>
        <w:contextualSpacing/>
        <w:jc w:val="both"/>
        <w:rPr>
          <w:rFonts w:ascii="Palatino Linotype" w:eastAsia="Calibri" w:hAnsi="Palatino Linotype" w:cs="Tahoma"/>
          <w:bCs/>
        </w:rPr>
      </w:pPr>
    </w:p>
    <w:p w:rsidR="00C63935" w:rsidRPr="00E25DAA" w:rsidRDefault="006712F6" w:rsidP="00C63935">
      <w:pPr>
        <w:spacing w:line="360" w:lineRule="auto"/>
        <w:ind w:right="-93"/>
        <w:contextualSpacing/>
        <w:jc w:val="both"/>
        <w:rPr>
          <w:rFonts w:ascii="Palatino Linotype" w:eastAsia="Calibri" w:hAnsi="Palatino Linotype" w:cs="Tahoma"/>
          <w:bCs/>
          <w:sz w:val="24"/>
        </w:rPr>
      </w:pPr>
      <w:r>
        <w:rPr>
          <w:rFonts w:ascii="Palatino Linotype" w:eastAsia="Calibri" w:hAnsi="Palatino Linotype" w:cs="Tahoma"/>
          <w:bCs/>
          <w:sz w:val="24"/>
        </w:rPr>
        <w:t>Por su parte, el artículo 46</w:t>
      </w:r>
      <w:r w:rsidR="00C63935" w:rsidRPr="00E25DAA">
        <w:rPr>
          <w:rFonts w:ascii="Palatino Linotype" w:eastAsia="Calibri" w:hAnsi="Palatino Linotype" w:cs="Tahoma"/>
          <w:bCs/>
          <w:sz w:val="24"/>
        </w:rPr>
        <w:t xml:space="preserve">  del mismo Bando, señala a la </w:t>
      </w:r>
      <w:r w:rsidR="00ED499A" w:rsidRPr="00ED499A">
        <w:rPr>
          <w:rFonts w:ascii="Palatino Linotype" w:eastAsia="Calibri" w:hAnsi="Palatino Linotype" w:cs="Tahoma"/>
          <w:b/>
          <w:bCs/>
          <w:sz w:val="24"/>
        </w:rPr>
        <w:t>Comisaría de Seguridad Pública, Tránsito y Vialidad Municipal</w:t>
      </w:r>
      <w:r w:rsidR="00C63935" w:rsidRPr="00E25DAA">
        <w:rPr>
          <w:rFonts w:ascii="Palatino Linotype" w:eastAsia="Calibri" w:hAnsi="Palatino Linotype" w:cs="Tahoma"/>
          <w:bCs/>
          <w:sz w:val="24"/>
        </w:rPr>
        <w:t>, como el órgano destinado a mantener la tranquilidad y el orden público dentro del territorio municipal, teniendo como funciones la vigilancia y defensa a fin de prevenir y evitar delitos.</w:t>
      </w:r>
    </w:p>
    <w:p w:rsidR="00C63935" w:rsidRPr="00120D28" w:rsidRDefault="00C63935" w:rsidP="00C63935">
      <w:pPr>
        <w:pStyle w:val="Sinespaciado"/>
      </w:pPr>
    </w:p>
    <w:p w:rsidR="00C63935" w:rsidRPr="005F46FC" w:rsidRDefault="00C63935" w:rsidP="00C63935">
      <w:pPr>
        <w:pStyle w:val="Sinespaciado"/>
        <w:spacing w:line="360" w:lineRule="auto"/>
        <w:jc w:val="both"/>
        <w:rPr>
          <w:rFonts w:ascii="Palatino Linotype" w:hAnsi="Palatino Linotype"/>
          <w:sz w:val="24"/>
        </w:rPr>
      </w:pPr>
      <w:r w:rsidRPr="005F46FC">
        <w:rPr>
          <w:rFonts w:ascii="Palatino Linotype" w:hAnsi="Palatino Linotype"/>
          <w:sz w:val="24"/>
        </w:rPr>
        <w:t xml:space="preserve">Asimismo, a </w:t>
      </w:r>
      <w:r w:rsidRPr="005F46FC">
        <w:rPr>
          <w:rFonts w:ascii="Palatino Linotype" w:hAnsi="Palatino Linotype"/>
          <w:b/>
          <w:sz w:val="24"/>
          <w:u w:val="single"/>
        </w:rPr>
        <w:t xml:space="preserve">fin de salvaguardar la información de los servidores públicos que prestan sus servicios </w:t>
      </w:r>
      <w:r w:rsidRPr="005F46FC">
        <w:rPr>
          <w:rFonts w:ascii="Palatino Linotype" w:hAnsi="Palatino Linotype" w:cs="Arial"/>
          <w:b/>
          <w:color w:val="000000" w:themeColor="text1"/>
          <w:sz w:val="24"/>
          <w:u w:val="single"/>
        </w:rPr>
        <w:t>de Seguridad Pública</w:t>
      </w:r>
      <w:r w:rsidRPr="005F46FC">
        <w:rPr>
          <w:rFonts w:ascii="Palatino Linotype" w:hAnsi="Palatino Linotype"/>
          <w:b/>
          <w:sz w:val="24"/>
          <w:u w:val="single"/>
        </w:rPr>
        <w:t>, los datos correspondientes al personal adscrito a esta área deberán ser entregados de forma disociada y testando el nombre de los policías, con el objeto de no identificar al servidor público con su cargo y sueldo</w:t>
      </w:r>
      <w:r w:rsidRPr="005F46FC">
        <w:rPr>
          <w:rFonts w:ascii="Palatino Linotype" w:hAnsi="Palatino Linotype"/>
          <w:sz w:val="24"/>
        </w:rPr>
        <w:t>, tal y como se establece en el artículo 52, de la Ley de Transparencia y Acceso a la Información Pública del Estado de México y Municipios, que a la letra dispone lo siguiente:</w:t>
      </w:r>
    </w:p>
    <w:p w:rsidR="00C63935" w:rsidRPr="002931AC" w:rsidRDefault="00C63935" w:rsidP="00C63935">
      <w:pPr>
        <w:pStyle w:val="Sinespaciado"/>
      </w:pPr>
    </w:p>
    <w:p w:rsidR="00C63935" w:rsidRDefault="00C63935" w:rsidP="00C63935">
      <w:pPr>
        <w:pStyle w:val="Sinespaciado"/>
        <w:ind w:left="567" w:right="567"/>
        <w:jc w:val="both"/>
        <w:rPr>
          <w:rFonts w:ascii="Palatino Linotype" w:hAnsi="Palatino Linotype"/>
          <w:i/>
        </w:rPr>
      </w:pPr>
      <w:r w:rsidRPr="002931AC">
        <w:rPr>
          <w:rFonts w:ascii="Palatino Linotype" w:hAnsi="Palatino Linotype"/>
          <w:b/>
          <w:bCs/>
          <w:i/>
        </w:rPr>
        <w:t xml:space="preserve">Artículo 52. </w:t>
      </w:r>
      <w:r w:rsidRPr="002931AC">
        <w:rPr>
          <w:rFonts w:ascii="Palatino Linotype" w:hAnsi="Palatino Linotype"/>
          <w:i/>
        </w:rPr>
        <w:t xml:space="preserve">Las solicitudes de acceso a la información y las respuestas que se les dé, incluyendo, en su caso, la información entregada, así como las resoluciones a los recursos que en su caso se promuevan serán públicas, y </w:t>
      </w:r>
      <w:r w:rsidRPr="002931AC">
        <w:rPr>
          <w:rFonts w:ascii="Palatino Linotype" w:hAnsi="Palatino Linotype"/>
          <w:i/>
          <w:u w:val="single"/>
        </w:rPr>
        <w:t xml:space="preserve">de ser el caso que contenga datos personales que deban ser protegidos se podrá dar su acceso en su versión pública, siempre y cuando la resolución de referencia </w:t>
      </w:r>
      <w:r w:rsidRPr="002931AC">
        <w:rPr>
          <w:rFonts w:ascii="Palatino Linotype" w:hAnsi="Palatino Linotype"/>
          <w:b/>
          <w:i/>
          <w:u w:val="single"/>
        </w:rPr>
        <w:t>se someta a un proceso de disociación</w:t>
      </w:r>
      <w:r w:rsidRPr="002931AC">
        <w:rPr>
          <w:rFonts w:ascii="Palatino Linotype" w:hAnsi="Palatino Linotype"/>
          <w:i/>
          <w:u w:val="single"/>
        </w:rPr>
        <w:t>, es decir, no haga identificable al titular de tales datos personales</w:t>
      </w:r>
      <w:r w:rsidRPr="002931AC">
        <w:rPr>
          <w:rFonts w:ascii="Palatino Linotype" w:hAnsi="Palatino Linotype"/>
          <w:i/>
        </w:rPr>
        <w:t>.</w:t>
      </w:r>
    </w:p>
    <w:p w:rsidR="00C63935" w:rsidRDefault="00C63935" w:rsidP="00C63935">
      <w:pPr>
        <w:pStyle w:val="Sinespaciado"/>
        <w:spacing w:line="360" w:lineRule="auto"/>
        <w:jc w:val="both"/>
        <w:rPr>
          <w:rFonts w:ascii="Palatino Linotype" w:hAnsi="Palatino Linotype"/>
        </w:rPr>
      </w:pPr>
    </w:p>
    <w:p w:rsidR="00C63935" w:rsidRPr="005F46FC" w:rsidRDefault="00C63935" w:rsidP="00C63935">
      <w:pPr>
        <w:pStyle w:val="Sinespaciado"/>
        <w:spacing w:line="360" w:lineRule="auto"/>
        <w:jc w:val="both"/>
        <w:rPr>
          <w:rFonts w:ascii="Palatino Linotype" w:hAnsi="Palatino Linotype"/>
          <w:sz w:val="24"/>
        </w:rPr>
      </w:pPr>
      <w:r w:rsidRPr="005F46FC">
        <w:rPr>
          <w:rFonts w:ascii="Palatino Linotype" w:hAnsi="Palatino Linotype"/>
          <w:sz w:val="24"/>
        </w:rPr>
        <w:t>Lo anterior, considerando que el número</w:t>
      </w:r>
      <w:r>
        <w:rPr>
          <w:rFonts w:ascii="Palatino Linotype" w:hAnsi="Palatino Linotype"/>
          <w:sz w:val="24"/>
        </w:rPr>
        <w:t xml:space="preserve"> de Habitantes del Municipio de Tequisquiac</w:t>
      </w:r>
      <w:r w:rsidRPr="005F46FC">
        <w:rPr>
          <w:rFonts w:ascii="Palatino Linotype" w:hAnsi="Palatino Linotype"/>
          <w:sz w:val="24"/>
        </w:rPr>
        <w:t xml:space="preserve">, asciende a </w:t>
      </w:r>
      <w:r>
        <w:rPr>
          <w:rFonts w:ascii="Palatino Linotype" w:hAnsi="Palatino Linotype"/>
          <w:sz w:val="24"/>
        </w:rPr>
        <w:t>36, 902</w:t>
      </w:r>
      <w:r w:rsidRPr="005F46FC">
        <w:rPr>
          <w:rFonts w:ascii="Palatino Linotype" w:hAnsi="Palatino Linotype"/>
          <w:sz w:val="24"/>
        </w:rPr>
        <w:t xml:space="preserve"> (</w:t>
      </w:r>
      <w:r>
        <w:rPr>
          <w:rFonts w:ascii="Palatino Linotype" w:hAnsi="Palatino Linotype"/>
          <w:sz w:val="24"/>
        </w:rPr>
        <w:t>treinta y seis mil novecientos dos</w:t>
      </w:r>
      <w:r w:rsidRPr="005F46FC">
        <w:rPr>
          <w:rFonts w:ascii="Palatino Linotype" w:hAnsi="Palatino Linotype"/>
          <w:sz w:val="24"/>
        </w:rPr>
        <w:t xml:space="preserve">), de conformidad con el último </w:t>
      </w:r>
      <w:r w:rsidRPr="005F46FC">
        <w:rPr>
          <w:rFonts w:ascii="Palatino Linotype" w:hAnsi="Palatino Linotype"/>
          <w:sz w:val="24"/>
        </w:rPr>
        <w:lastRenderedPageBreak/>
        <w:t>censo elaborado por el Instituto Nacional de Estadística y Geografía (INEGI), en al año 2015, como se muestra en la página oficial de dicho Instituto</w:t>
      </w:r>
      <w:r w:rsidRPr="005F46FC">
        <w:rPr>
          <w:rStyle w:val="Refdenotaalpie"/>
          <w:rFonts w:ascii="Palatino Linotype" w:hAnsi="Palatino Linotype"/>
          <w:sz w:val="24"/>
        </w:rPr>
        <w:footnoteReference w:id="2"/>
      </w:r>
      <w:r w:rsidRPr="005F46FC">
        <w:rPr>
          <w:rFonts w:ascii="Palatino Linotype" w:hAnsi="Palatino Linotype"/>
          <w:sz w:val="24"/>
        </w:rPr>
        <w:t>.</w:t>
      </w:r>
    </w:p>
    <w:p w:rsidR="00C63935" w:rsidRDefault="00C63935" w:rsidP="00C63935">
      <w:pPr>
        <w:pStyle w:val="Sinespaciado"/>
        <w:rPr>
          <w:lang w:eastAsia="es-ES_tradnl"/>
        </w:rPr>
      </w:pPr>
    </w:p>
    <w:p w:rsidR="00C63935" w:rsidRDefault="00C63935" w:rsidP="00C63935">
      <w:pPr>
        <w:tabs>
          <w:tab w:val="left" w:pos="4962"/>
        </w:tabs>
        <w:spacing w:line="360" w:lineRule="auto"/>
        <w:contextualSpacing/>
        <w:jc w:val="both"/>
        <w:rPr>
          <w:rFonts w:ascii="Palatino Linotype" w:hAnsi="Palatino Linotype" w:cs="Tahoma"/>
          <w:sz w:val="24"/>
          <w:lang w:val="es-ES"/>
        </w:rPr>
      </w:pPr>
      <w:r w:rsidRPr="00EC395C">
        <w:rPr>
          <w:rFonts w:ascii="Palatino Linotype" w:eastAsia="Calibri" w:hAnsi="Palatino Linotype" w:cs="Tahoma"/>
          <w:bCs/>
          <w:sz w:val="24"/>
        </w:rPr>
        <w:t>En este contexto</w:t>
      </w:r>
      <w:r w:rsidRPr="00EC395C">
        <w:rPr>
          <w:rFonts w:ascii="Palatino Linotype" w:hAnsi="Palatino Linotype" w:cs="Tahoma"/>
          <w:sz w:val="24"/>
          <w:lang w:val="es-ES"/>
        </w:rPr>
        <w:t>, el artículo 140, fracción</w:t>
      </w:r>
      <w:r>
        <w:rPr>
          <w:rFonts w:ascii="Palatino Linotype" w:hAnsi="Palatino Linotype" w:cs="Tahoma"/>
          <w:sz w:val="24"/>
          <w:lang w:val="es-ES"/>
        </w:rPr>
        <w:t xml:space="preserve"> I y</w:t>
      </w:r>
      <w:r w:rsidRPr="00EC395C">
        <w:rPr>
          <w:rFonts w:ascii="Palatino Linotype" w:hAnsi="Palatino Linotype" w:cs="Tahoma"/>
          <w:sz w:val="24"/>
          <w:lang w:val="es-ES"/>
        </w:rPr>
        <w:t xml:space="preserve"> IV, de la Ley de Transparencia y Acceso a la Información Pública del Estado de México y Municipios, dispone que el acceso a la información pública será restringido excepcionalmente, cuando ponga en riesgo la vida, la seguridad o la salud de una persona física.</w:t>
      </w:r>
    </w:p>
    <w:p w:rsidR="00C63935" w:rsidRDefault="00C63935" w:rsidP="00C63935">
      <w:pPr>
        <w:pStyle w:val="Sinespaciado"/>
        <w:rPr>
          <w:lang w:val="es-ES"/>
        </w:rPr>
      </w:pPr>
    </w:p>
    <w:p w:rsidR="00C63935" w:rsidRDefault="00C63935" w:rsidP="00C63935">
      <w:pPr>
        <w:tabs>
          <w:tab w:val="left" w:pos="4962"/>
        </w:tabs>
        <w:spacing w:line="360" w:lineRule="auto"/>
        <w:contextualSpacing/>
        <w:jc w:val="both"/>
        <w:rPr>
          <w:rFonts w:ascii="Palatino Linotype" w:hAnsi="Palatino Linotype" w:cs="Tahoma"/>
          <w:sz w:val="24"/>
          <w:lang w:val="es-ES"/>
        </w:rPr>
      </w:pPr>
      <w:r w:rsidRPr="00EC395C">
        <w:rPr>
          <w:rFonts w:ascii="Palatino Linotype" w:hAnsi="Palatino Linotype" w:cs="Tahoma"/>
          <w:sz w:val="24"/>
          <w:lang w:val="es-ES"/>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w:t>
      </w:r>
      <w:r>
        <w:rPr>
          <w:rFonts w:ascii="Palatino Linotype" w:hAnsi="Palatino Linotype" w:cs="Tahoma"/>
          <w:sz w:val="24"/>
          <w:lang w:val="es-ES"/>
        </w:rPr>
        <w:t xml:space="preserve"> I y</w:t>
      </w:r>
      <w:r w:rsidRPr="00EC395C">
        <w:rPr>
          <w:rFonts w:ascii="Palatino Linotype" w:hAnsi="Palatino Linotype" w:cs="Tahoma"/>
          <w:sz w:val="24"/>
          <w:lang w:val="es-ES"/>
        </w:rPr>
        <w:t xml:space="preserve"> IV, de la Ley de Transparencia y Acceso a la Información Pública del Estado de México y Municipios</w:t>
      </w:r>
    </w:p>
    <w:p w:rsidR="00C63935" w:rsidRDefault="00C63935" w:rsidP="00C63935">
      <w:pPr>
        <w:tabs>
          <w:tab w:val="left" w:pos="4962"/>
        </w:tabs>
        <w:spacing w:line="360" w:lineRule="auto"/>
        <w:contextualSpacing/>
        <w:jc w:val="both"/>
        <w:rPr>
          <w:rFonts w:ascii="Palatino Linotype" w:hAnsi="Palatino Linotype" w:cs="Tahoma"/>
          <w:sz w:val="24"/>
          <w:lang w:val="es-ES"/>
        </w:rPr>
      </w:pPr>
    </w:p>
    <w:p w:rsidR="00C63935" w:rsidRDefault="00C63935" w:rsidP="00C63935">
      <w:pPr>
        <w:tabs>
          <w:tab w:val="left" w:pos="4962"/>
        </w:tabs>
        <w:spacing w:line="360" w:lineRule="auto"/>
        <w:contextualSpacing/>
        <w:jc w:val="both"/>
        <w:rPr>
          <w:rFonts w:ascii="Palatino Linotype" w:hAnsi="Palatino Linotype" w:cs="Tahoma"/>
          <w:sz w:val="24"/>
          <w:lang w:val="es-ES"/>
        </w:rPr>
      </w:pPr>
      <w:r w:rsidRPr="00D6480E">
        <w:rPr>
          <w:rFonts w:ascii="Palatino Linotype" w:hAnsi="Palatino Linotype" w:cs="Tahoma"/>
          <w:sz w:val="24"/>
          <w:lang w:val="es-ES"/>
        </w:rPr>
        <w:t xml:space="preserve">Por tanto, si bien el nombre de los policías del Ayuntamiento actualiza el supuesto de reserva establecido en el artículo 140, </w:t>
      </w:r>
      <w:r w:rsidRPr="00AD153F">
        <w:rPr>
          <w:rFonts w:ascii="Palatino Linotype" w:hAnsi="Palatino Linotype" w:cs="Tahoma"/>
          <w:sz w:val="24"/>
          <w:lang w:val="es-ES"/>
        </w:rPr>
        <w:t>fracción I y IV</w:t>
      </w:r>
      <w:r w:rsidRPr="00D6480E">
        <w:rPr>
          <w:rFonts w:ascii="Palatino Linotype" w:hAnsi="Palatino Linotype" w:cs="Tahoma"/>
          <w:sz w:val="24"/>
          <w:lang w:val="es-ES"/>
        </w:rPr>
        <w:t>, de la Ley de Transparencia y Acceso a la Información Pública del Estado de México y Municipios, lo cierto es que el cargo y las percepciones de los servidores públicos son de carácter público, tal como lo señala el artículo 92, fracción VIII, de la Ley en cita.</w:t>
      </w:r>
    </w:p>
    <w:p w:rsidR="00C63935" w:rsidRPr="00EC395C" w:rsidRDefault="00C63935" w:rsidP="00C63935">
      <w:pPr>
        <w:tabs>
          <w:tab w:val="left" w:pos="4962"/>
        </w:tabs>
        <w:spacing w:line="360" w:lineRule="auto"/>
        <w:contextualSpacing/>
        <w:jc w:val="both"/>
        <w:rPr>
          <w:rFonts w:ascii="Palatino Linotype" w:hAnsi="Palatino Linotype" w:cs="Tahoma"/>
          <w:sz w:val="24"/>
          <w:lang w:val="es-ES"/>
        </w:rPr>
      </w:pPr>
      <w:r w:rsidRPr="00EC395C">
        <w:rPr>
          <w:rFonts w:ascii="Palatino Linotype" w:hAnsi="Palatino Linotype" w:cs="Tahoma"/>
          <w:sz w:val="24"/>
          <w:lang w:val="es-ES"/>
        </w:rPr>
        <w:t xml:space="preserve"> </w:t>
      </w:r>
    </w:p>
    <w:p w:rsidR="001D4CE8" w:rsidRDefault="001D4CE8" w:rsidP="00C63935">
      <w:pPr>
        <w:spacing w:line="360" w:lineRule="auto"/>
        <w:ind w:right="-93"/>
        <w:jc w:val="both"/>
        <w:rPr>
          <w:rFonts w:ascii="Palatino Linotype" w:hAnsi="Palatino Linotype" w:cs="Tahoma"/>
          <w:lang w:val="es-ES"/>
        </w:rPr>
      </w:pPr>
    </w:p>
    <w:p w:rsidR="001D4CE8" w:rsidRPr="00AF5466" w:rsidRDefault="001D4CE8" w:rsidP="001D4CE8">
      <w:pPr>
        <w:pStyle w:val="Prrafodelista"/>
        <w:numPr>
          <w:ilvl w:val="0"/>
          <w:numId w:val="41"/>
        </w:numPr>
        <w:tabs>
          <w:tab w:val="left" w:pos="4962"/>
        </w:tabs>
        <w:spacing w:line="360" w:lineRule="auto"/>
        <w:contextualSpacing/>
        <w:jc w:val="both"/>
        <w:rPr>
          <w:rFonts w:ascii="Palatino Linotype" w:hAnsi="Palatino Linotype" w:cs="Tahoma"/>
          <w:b/>
          <w:szCs w:val="22"/>
        </w:rPr>
      </w:pPr>
      <w:r w:rsidRPr="00AF5466">
        <w:rPr>
          <w:rFonts w:ascii="Palatino Linotype" w:hAnsi="Palatino Linotype" w:cs="Tahoma"/>
          <w:b/>
          <w:szCs w:val="22"/>
        </w:rPr>
        <w:lastRenderedPageBreak/>
        <w:t xml:space="preserve">ANÁLISIS </w:t>
      </w:r>
      <w:r w:rsidRPr="005073F6">
        <w:rPr>
          <w:rFonts w:ascii="Palatino Linotype" w:hAnsi="Palatino Linotype" w:cs="Tahoma"/>
          <w:b/>
          <w:caps/>
          <w:szCs w:val="22"/>
        </w:rPr>
        <w:t>de grado de estudios</w:t>
      </w:r>
      <w:r>
        <w:rPr>
          <w:rFonts w:ascii="Palatino Linotype" w:hAnsi="Palatino Linotype" w:cs="Tahoma"/>
          <w:b/>
          <w:caps/>
          <w:szCs w:val="22"/>
        </w:rPr>
        <w:t xml:space="preserve">: </w:t>
      </w:r>
    </w:p>
    <w:p w:rsidR="001D4CE8" w:rsidRPr="00AF5466" w:rsidRDefault="001D4CE8" w:rsidP="001D4CE8">
      <w:pPr>
        <w:tabs>
          <w:tab w:val="left" w:pos="4962"/>
        </w:tabs>
        <w:spacing w:line="360" w:lineRule="auto"/>
        <w:jc w:val="both"/>
        <w:rPr>
          <w:rFonts w:ascii="Palatino Linotype" w:hAnsi="Palatino Linotype" w:cs="Tahoma"/>
          <w:b/>
          <w:lang w:val="es-ES"/>
        </w:rPr>
      </w:pPr>
    </w:p>
    <w:p w:rsidR="001D4CE8" w:rsidRDefault="001D4CE8" w:rsidP="001D4CE8">
      <w:pPr>
        <w:spacing w:line="360" w:lineRule="auto"/>
        <w:ind w:right="-93"/>
        <w:jc w:val="both"/>
        <w:rPr>
          <w:rFonts w:ascii="Palatino Linotype" w:hAnsi="Palatino Linotype" w:cs="Tahoma"/>
          <w:lang w:val="es-ES"/>
        </w:rPr>
      </w:pPr>
      <w:r w:rsidRPr="005073F6">
        <w:rPr>
          <w:rFonts w:ascii="Palatino Linotype" w:hAnsi="Palatino Linotype" w:cs="Tahoma"/>
          <w:caps/>
          <w:lang w:val="es-ES"/>
        </w:rPr>
        <w:t>E</w:t>
      </w:r>
      <w:r w:rsidRPr="005073F6">
        <w:rPr>
          <w:rFonts w:ascii="Palatino Linotype" w:hAnsi="Palatino Linotype" w:cs="Tahoma"/>
          <w:lang w:val="es-ES"/>
        </w:rPr>
        <w:t xml:space="preserve">l Particular en su solicitud requirió </w:t>
      </w:r>
      <w:r>
        <w:rPr>
          <w:rFonts w:ascii="Palatino Linotype" w:hAnsi="Palatino Linotype" w:cs="Tahoma"/>
          <w:lang w:val="es-ES"/>
        </w:rPr>
        <w:t xml:space="preserve">título </w:t>
      </w:r>
      <w:r w:rsidRPr="00F724E7">
        <w:rPr>
          <w:rFonts w:ascii="Palatino Linotype" w:hAnsi="Palatino Linotype" w:cs="Tahoma"/>
          <w:lang w:val="es-ES"/>
        </w:rPr>
        <w:t>o cédula profesional de diversos servidores públicos, por lo que es pertinente analizar su naturaleza.</w:t>
      </w:r>
    </w:p>
    <w:p w:rsidR="001D4CE8" w:rsidRPr="00280333" w:rsidRDefault="001D4CE8" w:rsidP="001D4CE8">
      <w:pPr>
        <w:spacing w:line="360" w:lineRule="auto"/>
        <w:ind w:right="-93"/>
        <w:jc w:val="both"/>
        <w:rPr>
          <w:rFonts w:ascii="Palatino Linotype" w:hAnsi="Palatino Linotype" w:cs="Tahoma"/>
          <w:lang w:val="es-ES"/>
        </w:rPr>
      </w:pPr>
    </w:p>
    <w:p w:rsidR="001D4CE8" w:rsidRPr="00E34A2D" w:rsidRDefault="001D4CE8" w:rsidP="001D4CE8">
      <w:pPr>
        <w:spacing w:line="360" w:lineRule="auto"/>
        <w:jc w:val="both"/>
        <w:rPr>
          <w:rFonts w:ascii="Palatino Linotype" w:hAnsi="Palatino Linotype" w:cs="Arial"/>
        </w:rPr>
      </w:pPr>
      <w:r w:rsidRPr="00E34A2D">
        <w:rPr>
          <w:rFonts w:ascii="Palatino Linotype" w:hAnsi="Palatino Linotype" w:cs="Arial"/>
        </w:rPr>
        <w:t xml:space="preserve">El Título profesional es </w:t>
      </w:r>
      <w:r w:rsidRPr="00E34A2D">
        <w:rPr>
          <w:rFonts w:ascii="Palatino Linotype" w:hAnsi="Palatino Linotype" w:cs="Arial"/>
          <w:i/>
        </w:rPr>
        <w:t>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E34A2D">
        <w:rPr>
          <w:rFonts w:ascii="Palatino Linotype" w:hAnsi="Palatino Linotype" w:cs="Arial"/>
        </w:rPr>
        <w:t xml:space="preserve">, y para su obtención es  </w:t>
      </w:r>
      <w:r w:rsidRPr="00E34A2D">
        <w:rPr>
          <w:rFonts w:ascii="Palatino Linotype" w:hAnsi="Palatino Linotype" w:cs="Arial"/>
          <w:i/>
        </w:rPr>
        <w:t xml:space="preserve">indispensable acreditar que se han cumplido los requisitos académicos previstos por las leyes aplicables; </w:t>
      </w:r>
      <w:r w:rsidRPr="00E34A2D">
        <w:rPr>
          <w:rFonts w:ascii="Palatino Linotype" w:hAnsi="Palatino Linotype" w:cs="Arial"/>
        </w:rPr>
        <w:t>lo anterior de conformidad con los artículos 1° y 8° de la Ley Reglamentaria del Artículo 5° Constitucional, Relativo al Ejercicio de las Profesiones en la Ciudad de México.</w:t>
      </w:r>
    </w:p>
    <w:p w:rsidR="001D4CE8" w:rsidRPr="00E34A2D" w:rsidRDefault="001D4CE8" w:rsidP="001D4CE8">
      <w:pPr>
        <w:spacing w:line="360" w:lineRule="auto"/>
        <w:jc w:val="both"/>
        <w:rPr>
          <w:rFonts w:ascii="Palatino Linotype" w:hAnsi="Palatino Linotype" w:cs="Arial"/>
        </w:rPr>
      </w:pPr>
    </w:p>
    <w:p w:rsidR="001D4CE8" w:rsidRPr="00E34A2D" w:rsidRDefault="001D4CE8" w:rsidP="001D4CE8">
      <w:pPr>
        <w:spacing w:line="360" w:lineRule="auto"/>
        <w:jc w:val="both"/>
        <w:rPr>
          <w:rFonts w:ascii="Palatino Linotype" w:hAnsi="Palatino Linotype" w:cs="Arial"/>
        </w:rPr>
      </w:pPr>
      <w:r w:rsidRPr="00E34A2D">
        <w:rPr>
          <w:rFonts w:ascii="Palatino Linotype" w:hAnsi="Palatino Linotype" w:cs="Arial"/>
        </w:rPr>
        <w:t xml:space="preserve">Por su parte la cédula profesional, es el documento que toda persona </w:t>
      </w:r>
      <w:r w:rsidRPr="00E34A2D">
        <w:rPr>
          <w:rFonts w:ascii="Palatino Linotype" w:hAnsi="Palatino Linotype" w:cs="Arial"/>
          <w:i/>
        </w:rPr>
        <w:t>a quien legalmente se le haya expedido título profesional o grado académico equivalente, podrá obtener</w:t>
      </w:r>
      <w:r w:rsidRPr="00E34A2D">
        <w:rPr>
          <w:rFonts w:ascii="Palatino Linotype" w:hAnsi="Palatino Linotype" w:cs="Arial"/>
        </w:rPr>
        <w:t xml:space="preserve"> (…) </w:t>
      </w:r>
      <w:r w:rsidRPr="00E34A2D">
        <w:rPr>
          <w:rFonts w:ascii="Palatino Linotype" w:hAnsi="Palatino Linotype" w:cs="Arial"/>
          <w:b/>
          <w:i/>
        </w:rPr>
        <w:t xml:space="preserve">con efectos de patente </w:t>
      </w:r>
      <w:r w:rsidRPr="00E34A2D">
        <w:rPr>
          <w:rFonts w:ascii="Palatino Linotype" w:hAnsi="Palatino Linotype" w:cs="Arial"/>
        </w:rPr>
        <w:t>y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Es de señalar que este documento además de traer la fotografía, también incluye la firma de su titular que de igual manera se considera pública.</w:t>
      </w:r>
    </w:p>
    <w:p w:rsidR="001D4CE8" w:rsidRPr="00E34A2D" w:rsidRDefault="001D4CE8" w:rsidP="001D4CE8">
      <w:pPr>
        <w:spacing w:line="360" w:lineRule="auto"/>
        <w:jc w:val="both"/>
        <w:rPr>
          <w:rFonts w:ascii="Palatino Linotype" w:hAnsi="Palatino Linotype" w:cs="Arial"/>
        </w:rPr>
      </w:pPr>
    </w:p>
    <w:p w:rsidR="001D4CE8" w:rsidRPr="00E34A2D" w:rsidRDefault="001D4CE8" w:rsidP="001D4CE8">
      <w:pPr>
        <w:spacing w:line="360" w:lineRule="auto"/>
        <w:jc w:val="both"/>
        <w:rPr>
          <w:rFonts w:ascii="Palatino Linotype" w:hAnsi="Palatino Linotype" w:cs="Arial"/>
        </w:rPr>
      </w:pPr>
      <w:r w:rsidRPr="00E34A2D">
        <w:rPr>
          <w:rFonts w:ascii="Palatino Linotype" w:hAnsi="Palatino Linotype" w:cs="Arial"/>
        </w:rPr>
        <w:t xml:space="preserve">En este sentido, los dos documentos solicitados tienen como objetivo, servir como medios de identificación, para que a su titular lo relacionen con el nivel de estudios con que cuenta </w:t>
      </w:r>
      <w:r w:rsidRPr="00E34A2D">
        <w:rPr>
          <w:rFonts w:ascii="Palatino Linotype" w:hAnsi="Palatino Linotype" w:cs="Arial"/>
        </w:rPr>
        <w:lastRenderedPageBreak/>
        <w:t>independientemente de que sean o no medios de identificación oficial, como puede ser el caso de diplomas y constancias.</w:t>
      </w:r>
    </w:p>
    <w:p w:rsidR="001D4CE8" w:rsidRPr="00E34A2D" w:rsidRDefault="001D4CE8" w:rsidP="001D4CE8">
      <w:pPr>
        <w:spacing w:line="360" w:lineRule="auto"/>
        <w:jc w:val="both"/>
        <w:rPr>
          <w:rFonts w:ascii="Palatino Linotype" w:hAnsi="Palatino Linotype" w:cs="Arial"/>
        </w:rPr>
      </w:pPr>
    </w:p>
    <w:p w:rsidR="001D4CE8" w:rsidRPr="00E34A2D" w:rsidRDefault="001D4CE8" w:rsidP="001D4CE8">
      <w:pPr>
        <w:pStyle w:val="Prrafodelista"/>
        <w:spacing w:line="360" w:lineRule="auto"/>
        <w:ind w:left="0"/>
        <w:jc w:val="both"/>
        <w:rPr>
          <w:rFonts w:ascii="Palatino Linotype" w:hAnsi="Palatino Linotype" w:cs="Arial"/>
          <w:szCs w:val="22"/>
        </w:rPr>
      </w:pPr>
      <w:r>
        <w:rPr>
          <w:rStyle w:val="Ttulo1Car"/>
          <w:rFonts w:ascii="Palatino Linotype" w:hAnsi="Palatino Linotype"/>
          <w:sz w:val="22"/>
          <w:szCs w:val="22"/>
        </w:rPr>
        <w:t>A</w:t>
      </w:r>
      <w:r w:rsidRPr="00E34A2D">
        <w:rPr>
          <w:rFonts w:ascii="Palatino Linotype" w:hAnsi="Palatino Linotype" w:cs="Arial"/>
          <w:szCs w:val="22"/>
        </w:rPr>
        <w:t xml:space="preserve">cceder a la fotocopia del título, cédula o cualquier otro documento que acredite preparación en algún campo del conocimiento, proporciona información valiosa sobre la experiencia académica de quienes ocupan cargos en la administración pública, permite conocer con toda certeza y de manera indudable si las personas que se desempeñan como servidores públicos tienen el perfil idóneo para desarrollar las actividades y atribuciones que se deriven de su encargo. </w:t>
      </w:r>
    </w:p>
    <w:p w:rsidR="001D4CE8" w:rsidRPr="00E34A2D" w:rsidRDefault="001D4CE8" w:rsidP="001D4CE8">
      <w:pPr>
        <w:pStyle w:val="Prrafodelista"/>
        <w:spacing w:line="360" w:lineRule="auto"/>
        <w:ind w:left="0"/>
        <w:jc w:val="both"/>
        <w:rPr>
          <w:rFonts w:ascii="Palatino Linotype" w:hAnsi="Palatino Linotype" w:cs="Arial"/>
          <w:szCs w:val="22"/>
        </w:rPr>
      </w:pPr>
    </w:p>
    <w:p w:rsidR="001D4CE8" w:rsidRPr="00E34A2D" w:rsidRDefault="001D4CE8" w:rsidP="001D4CE8">
      <w:pPr>
        <w:pStyle w:val="Prrafodelista"/>
        <w:spacing w:line="360" w:lineRule="auto"/>
        <w:ind w:left="0"/>
        <w:jc w:val="both"/>
        <w:rPr>
          <w:rFonts w:ascii="Palatino Linotype" w:hAnsi="Palatino Linotype" w:cs="Arial"/>
          <w:szCs w:val="22"/>
        </w:rPr>
      </w:pPr>
      <w:r w:rsidRPr="00E34A2D">
        <w:rPr>
          <w:rFonts w:ascii="Palatino Linotype" w:hAnsi="Palatino Linotype" w:cs="Arial"/>
          <w:szCs w:val="22"/>
        </w:rPr>
        <w:t>Al respecto, se debe tener presente que la naturaleza del título, la cédula profesional que acredit</w:t>
      </w:r>
      <w:r>
        <w:rPr>
          <w:rFonts w:ascii="Palatino Linotype" w:hAnsi="Palatino Linotype" w:cs="Arial"/>
          <w:szCs w:val="22"/>
        </w:rPr>
        <w:t>an</w:t>
      </w:r>
      <w:r w:rsidRPr="00E34A2D">
        <w:rPr>
          <w:rFonts w:ascii="Palatino Linotype" w:hAnsi="Palatino Linotype" w:cs="Arial"/>
          <w:szCs w:val="22"/>
        </w:rPr>
        <w:t xml:space="preserve"> un nivel académico, consiste en la de </w:t>
      </w:r>
      <w:r>
        <w:rPr>
          <w:rFonts w:ascii="Palatino Linotype" w:hAnsi="Palatino Linotype" w:cs="Arial"/>
          <w:szCs w:val="22"/>
        </w:rPr>
        <w:t>ser</w:t>
      </w:r>
      <w:r w:rsidRPr="00E34A2D">
        <w:rPr>
          <w:rFonts w:ascii="Palatino Linotype" w:hAnsi="Palatino Linotype" w:cs="Arial"/>
          <w:szCs w:val="22"/>
        </w:rPr>
        <w:t xml:space="preserve"> documento</w:t>
      </w:r>
      <w:r>
        <w:rPr>
          <w:rFonts w:ascii="Palatino Linotype" w:hAnsi="Palatino Linotype" w:cs="Arial"/>
          <w:szCs w:val="22"/>
        </w:rPr>
        <w:t>s</w:t>
      </w:r>
      <w:r w:rsidRPr="00E34A2D">
        <w:rPr>
          <w:rFonts w:ascii="Palatino Linotype" w:hAnsi="Palatino Linotype" w:cs="Arial"/>
          <w:szCs w:val="22"/>
        </w:rPr>
        <w:t xml:space="preserve"> de identificación para que, a sus titulares, los acrediten como profesionales o expertos en algún área de estudio o conocimiento frente a terceros, por lo que su entrega total, incluida la fotografía, justamente tiene el efecto cumplir este objetivo. </w:t>
      </w:r>
    </w:p>
    <w:p w:rsidR="001D4CE8" w:rsidRPr="00E34A2D" w:rsidRDefault="001D4CE8" w:rsidP="001D4CE8">
      <w:pPr>
        <w:pStyle w:val="Prrafodelista"/>
        <w:spacing w:line="360" w:lineRule="auto"/>
        <w:ind w:left="0"/>
        <w:jc w:val="both"/>
        <w:rPr>
          <w:rFonts w:ascii="Palatino Linotype" w:hAnsi="Palatino Linotype" w:cs="Arial"/>
          <w:szCs w:val="22"/>
        </w:rPr>
      </w:pPr>
    </w:p>
    <w:p w:rsidR="001D4CE8" w:rsidRPr="00E34A2D" w:rsidRDefault="001D4CE8" w:rsidP="001D4CE8">
      <w:pPr>
        <w:pStyle w:val="Prrafodelista"/>
        <w:spacing w:line="360" w:lineRule="auto"/>
        <w:ind w:left="0"/>
        <w:jc w:val="both"/>
        <w:rPr>
          <w:rFonts w:ascii="Palatino Linotype" w:hAnsi="Palatino Linotype" w:cs="Arial"/>
          <w:szCs w:val="22"/>
        </w:rPr>
      </w:pPr>
      <w:r>
        <w:rPr>
          <w:rFonts w:ascii="Palatino Linotype" w:hAnsi="Palatino Linotype" w:cs="Arial"/>
          <w:szCs w:val="22"/>
        </w:rPr>
        <w:t xml:space="preserve">Por lo anterior, procede la entrega de dichos documentos, no se deja de lado que la cédula profesional tiene inserta la CURP de su titular, dicho dato si debe ser eliminado, ya que no da cuenta de la preparación del servidor público y releva información de su vida privada, por lo que actualiza el supuesto de confidencialidad establecido en el artículo 143, fracción I, de la </w:t>
      </w:r>
      <w:r w:rsidRPr="00280333">
        <w:rPr>
          <w:rFonts w:ascii="Palatino Linotype" w:hAnsi="Palatino Linotype" w:cs="Tahoma"/>
          <w:szCs w:val="22"/>
        </w:rPr>
        <w:t>Ley de Transparencia y Acceso a la Información Pública del Estado de México y Municipios</w:t>
      </w:r>
      <w:r>
        <w:rPr>
          <w:rFonts w:ascii="Palatino Linotype" w:hAnsi="Palatino Linotype" w:cs="Arial"/>
          <w:szCs w:val="22"/>
        </w:rPr>
        <w:t>.</w:t>
      </w:r>
    </w:p>
    <w:p w:rsidR="00B636AD" w:rsidRPr="00175A9B" w:rsidRDefault="00B636AD" w:rsidP="00B636AD">
      <w:pPr>
        <w:pStyle w:val="Prrafodelista"/>
        <w:numPr>
          <w:ilvl w:val="0"/>
          <w:numId w:val="41"/>
        </w:numPr>
        <w:contextualSpacing/>
        <w:rPr>
          <w:rFonts w:ascii="Palatino Linotype" w:hAnsi="Palatino Linotype" w:cs="Tahoma"/>
          <w:b/>
          <w:szCs w:val="22"/>
        </w:rPr>
      </w:pPr>
      <w:r w:rsidRPr="00175A9B">
        <w:rPr>
          <w:rFonts w:ascii="Palatino Linotype" w:hAnsi="Palatino Linotype" w:cs="Tahoma"/>
          <w:b/>
          <w:szCs w:val="22"/>
        </w:rPr>
        <w:t>ANÁLISIS DE CURRICULUM VITAE</w:t>
      </w:r>
    </w:p>
    <w:p w:rsidR="00B636AD" w:rsidRDefault="00B636AD" w:rsidP="00B636AD">
      <w:pPr>
        <w:tabs>
          <w:tab w:val="left" w:pos="4962"/>
        </w:tabs>
        <w:spacing w:line="360" w:lineRule="auto"/>
        <w:jc w:val="both"/>
        <w:rPr>
          <w:rFonts w:ascii="Palatino Linotype" w:hAnsi="Palatino Linotype" w:cs="Tahoma"/>
          <w:lang w:val="es-ES"/>
        </w:rPr>
      </w:pPr>
    </w:p>
    <w:p w:rsidR="00B636AD" w:rsidRPr="00331629" w:rsidRDefault="00B636AD" w:rsidP="00B636AD">
      <w:pPr>
        <w:spacing w:line="360" w:lineRule="auto"/>
        <w:ind w:right="-93"/>
        <w:jc w:val="both"/>
        <w:rPr>
          <w:rFonts w:ascii="Palatino Linotype" w:eastAsia="Calibri" w:hAnsi="Palatino Linotype" w:cs="Tahoma"/>
          <w:bCs/>
        </w:rPr>
      </w:pPr>
      <w:r>
        <w:rPr>
          <w:rFonts w:ascii="Palatino Linotype" w:hAnsi="Palatino Linotype"/>
          <w:noProof/>
          <w:lang w:eastAsia="es-MX"/>
        </w:rPr>
        <w:lastRenderedPageBreak/>
        <w:t>R</w:t>
      </w:r>
      <w:r>
        <w:rPr>
          <w:rFonts w:ascii="Palatino Linotype" w:eastAsia="Calibri" w:hAnsi="Palatino Linotype" w:cs="Tahoma"/>
          <w:bCs/>
        </w:rPr>
        <w:t>eferente a</w:t>
      </w:r>
      <w:r>
        <w:rPr>
          <w:rFonts w:ascii="Palatino Linotype" w:hAnsi="Palatino Linotype"/>
          <w:noProof/>
          <w:lang w:eastAsia="es-MX"/>
        </w:rPr>
        <w:t xml:space="preserve"> la ficha curricular o </w:t>
      </w:r>
      <w:r>
        <w:rPr>
          <w:rFonts w:ascii="Palatino Linotype" w:hAnsi="Palatino Linotype"/>
          <w:i/>
          <w:noProof/>
          <w:lang w:eastAsia="es-MX"/>
        </w:rPr>
        <w:t xml:space="preserve">curriculum vitae </w:t>
      </w:r>
      <w:r>
        <w:rPr>
          <w:rFonts w:ascii="Palatino Linotype" w:hAnsi="Palatino Linotype"/>
          <w:noProof/>
          <w:lang w:eastAsia="es-MX"/>
        </w:rPr>
        <w:t xml:space="preserve">de los servidores públicos que solicitó el Particular, </w:t>
      </w:r>
      <w:r w:rsidRPr="00331629">
        <w:rPr>
          <w:rFonts w:ascii="Palatino Linotype" w:eastAsia="Calibri" w:hAnsi="Palatino Linotype" w:cs="Tahoma"/>
          <w:bC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rsidR="00B636AD" w:rsidRPr="00331629" w:rsidRDefault="00B636AD" w:rsidP="00B636AD">
      <w:pPr>
        <w:spacing w:line="360" w:lineRule="auto"/>
        <w:ind w:right="-93"/>
        <w:jc w:val="both"/>
        <w:rPr>
          <w:rFonts w:ascii="Palatino Linotype" w:eastAsia="Calibri" w:hAnsi="Palatino Linotype" w:cs="Tahoma"/>
          <w:bCs/>
        </w:rPr>
      </w:pPr>
    </w:p>
    <w:p w:rsidR="00B636AD" w:rsidRPr="001436DA" w:rsidRDefault="00B636AD" w:rsidP="00B636AD">
      <w:pPr>
        <w:spacing w:line="360" w:lineRule="auto"/>
        <w:ind w:left="567" w:right="539"/>
        <w:jc w:val="center"/>
        <w:rPr>
          <w:rFonts w:ascii="Palatino Linotype" w:hAnsi="Palatino Linotype"/>
          <w:b/>
          <w:i/>
        </w:rPr>
      </w:pPr>
      <w:r w:rsidRPr="001436DA">
        <w:rPr>
          <w:rFonts w:ascii="Palatino Linotype" w:hAnsi="Palatino Linotype"/>
          <w:b/>
          <w:i/>
        </w:rPr>
        <w:t>Capítulo II</w:t>
      </w:r>
    </w:p>
    <w:p w:rsidR="00B636AD" w:rsidRPr="001436DA" w:rsidRDefault="00B636AD" w:rsidP="00B636AD">
      <w:pPr>
        <w:spacing w:line="360" w:lineRule="auto"/>
        <w:ind w:left="567" w:right="539"/>
        <w:jc w:val="center"/>
        <w:rPr>
          <w:rFonts w:ascii="Palatino Linotype" w:hAnsi="Palatino Linotype"/>
          <w:b/>
          <w:i/>
        </w:rPr>
      </w:pPr>
      <w:r w:rsidRPr="001436DA">
        <w:rPr>
          <w:rFonts w:ascii="Palatino Linotype" w:hAnsi="Palatino Linotype"/>
          <w:b/>
          <w:i/>
        </w:rPr>
        <w:t>De las Obligaciones de Transparencia Comunes</w:t>
      </w:r>
    </w:p>
    <w:p w:rsidR="00B636AD" w:rsidRPr="001436DA" w:rsidRDefault="00B636AD" w:rsidP="00B636AD">
      <w:pPr>
        <w:spacing w:line="360" w:lineRule="auto"/>
        <w:ind w:left="567" w:right="539"/>
        <w:jc w:val="both"/>
        <w:rPr>
          <w:rFonts w:ascii="Palatino Linotype" w:hAnsi="Palatino Linotype"/>
          <w:i/>
        </w:rPr>
      </w:pPr>
      <w:r w:rsidRPr="001436DA">
        <w:rPr>
          <w:rFonts w:ascii="Palatino Linotype" w:hAnsi="Palatino Linotype"/>
          <w:b/>
          <w:i/>
        </w:rPr>
        <w:t>Artículo 92.</w:t>
      </w:r>
      <w:r w:rsidRPr="001436D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636AD" w:rsidRPr="001436DA" w:rsidRDefault="00B636AD" w:rsidP="00B636AD">
      <w:pPr>
        <w:spacing w:line="360" w:lineRule="auto"/>
        <w:ind w:left="567" w:right="539"/>
        <w:jc w:val="both"/>
        <w:rPr>
          <w:rFonts w:ascii="Palatino Linotype" w:hAnsi="Palatino Linotype"/>
          <w:i/>
        </w:rPr>
      </w:pPr>
    </w:p>
    <w:p w:rsidR="00B636AD" w:rsidRPr="001436DA" w:rsidRDefault="00B636AD" w:rsidP="00B636AD">
      <w:pPr>
        <w:spacing w:line="360" w:lineRule="auto"/>
        <w:ind w:left="567" w:right="539"/>
        <w:jc w:val="both"/>
        <w:rPr>
          <w:rFonts w:ascii="Palatino Linotype" w:hAnsi="Palatino Linotype"/>
          <w:b/>
          <w:i/>
        </w:rPr>
      </w:pPr>
      <w:r w:rsidRPr="001436DA">
        <w:rPr>
          <w:rFonts w:ascii="Palatino Linotype" w:hAnsi="Palatino Linotype"/>
          <w:i/>
        </w:rPr>
        <w:tab/>
      </w:r>
      <w:r w:rsidRPr="001436DA">
        <w:rPr>
          <w:rFonts w:ascii="Palatino Linotype" w:hAnsi="Palatino Linotype"/>
          <w:b/>
          <w:i/>
        </w:rPr>
        <w:t xml:space="preserve">I </w:t>
      </w:r>
      <w:r w:rsidRPr="001436DA">
        <w:rPr>
          <w:rFonts w:ascii="Palatino Linotype" w:hAnsi="Palatino Linotype"/>
          <w:i/>
        </w:rPr>
        <w:t>al</w:t>
      </w:r>
      <w:r w:rsidRPr="001436DA">
        <w:rPr>
          <w:rFonts w:ascii="Palatino Linotype" w:hAnsi="Palatino Linotype"/>
          <w:b/>
          <w:i/>
        </w:rPr>
        <w:t xml:space="preserve"> XX…</w:t>
      </w:r>
    </w:p>
    <w:p w:rsidR="00B636AD" w:rsidRPr="001436DA" w:rsidRDefault="00B636AD" w:rsidP="00B636AD">
      <w:pPr>
        <w:spacing w:line="360" w:lineRule="auto"/>
        <w:ind w:left="567" w:right="539"/>
        <w:jc w:val="both"/>
        <w:rPr>
          <w:rFonts w:ascii="Palatino Linotype" w:hAnsi="Palatino Linotype"/>
          <w:b/>
          <w:i/>
        </w:rPr>
      </w:pPr>
    </w:p>
    <w:p w:rsidR="00B636AD" w:rsidRPr="001436DA" w:rsidRDefault="00B636AD" w:rsidP="00B636AD">
      <w:pPr>
        <w:spacing w:line="360" w:lineRule="auto"/>
        <w:ind w:left="567" w:right="539"/>
        <w:jc w:val="both"/>
        <w:rPr>
          <w:rFonts w:ascii="Palatino Linotype" w:hAnsi="Palatino Linotype"/>
          <w:i/>
        </w:rPr>
      </w:pPr>
      <w:r w:rsidRPr="001436DA">
        <w:rPr>
          <w:rFonts w:ascii="Palatino Linotype" w:hAnsi="Palatino Linotype"/>
          <w:b/>
          <w:i/>
        </w:rPr>
        <w:t>XXI.</w:t>
      </w:r>
      <w:r w:rsidRPr="001436DA">
        <w:rPr>
          <w:rFonts w:ascii="Palatino Linotype" w:hAnsi="Palatino Linotype"/>
          <w:i/>
        </w:rPr>
        <w:t xml:space="preserve"> </w:t>
      </w:r>
      <w:r w:rsidRPr="001436DA">
        <w:rPr>
          <w:rFonts w:ascii="Palatino Linotype" w:hAnsi="Palatino Linotype"/>
          <w:b/>
          <w:i/>
        </w:rPr>
        <w:t>La información curricular</w:t>
      </w:r>
      <w:r w:rsidRPr="001436DA">
        <w:rPr>
          <w:rFonts w:ascii="Palatino Linotype" w:hAnsi="Palatino Linotype"/>
          <w:i/>
        </w:rPr>
        <w:t>, desde el nivel de jefe de departamento o equivalente, hasta el titular del sujeto obligado, así como, en su caso, las sanciones administrativas de que haya sido objeto;</w:t>
      </w:r>
    </w:p>
    <w:p w:rsidR="00B636AD" w:rsidRPr="001436DA" w:rsidRDefault="00B636AD" w:rsidP="00B636AD">
      <w:pPr>
        <w:spacing w:line="360" w:lineRule="auto"/>
        <w:ind w:left="567" w:right="539"/>
        <w:jc w:val="both"/>
        <w:rPr>
          <w:rFonts w:ascii="Palatino Linotype" w:eastAsia="Calibri" w:hAnsi="Palatino Linotype" w:cs="Tahoma"/>
          <w:bCs/>
          <w:i/>
        </w:rPr>
      </w:pPr>
      <w:r w:rsidRPr="001436DA">
        <w:rPr>
          <w:rFonts w:ascii="Palatino Linotype" w:hAnsi="Palatino Linotype"/>
          <w:b/>
          <w:i/>
        </w:rPr>
        <w:t xml:space="preserve">XXII </w:t>
      </w:r>
      <w:r w:rsidRPr="001436DA">
        <w:rPr>
          <w:rFonts w:ascii="Palatino Linotype" w:hAnsi="Palatino Linotype"/>
          <w:i/>
        </w:rPr>
        <w:t xml:space="preserve">a </w:t>
      </w:r>
      <w:r w:rsidRPr="001436DA">
        <w:rPr>
          <w:rFonts w:ascii="Palatino Linotype" w:hAnsi="Palatino Linotype"/>
          <w:b/>
          <w:i/>
        </w:rPr>
        <w:t>XLII…</w:t>
      </w:r>
    </w:p>
    <w:p w:rsidR="00B636AD" w:rsidRPr="001436DA" w:rsidRDefault="00B636AD" w:rsidP="00B636AD">
      <w:pPr>
        <w:spacing w:line="360" w:lineRule="auto"/>
        <w:ind w:left="567" w:right="539"/>
        <w:jc w:val="both"/>
        <w:rPr>
          <w:rFonts w:ascii="Palatino Linotype" w:eastAsia="Calibri" w:hAnsi="Palatino Linotype" w:cs="Tahoma"/>
          <w:bCs/>
        </w:rPr>
      </w:pPr>
    </w:p>
    <w:p w:rsidR="00B636AD" w:rsidRPr="00331629" w:rsidRDefault="00B636AD" w:rsidP="00B636AD">
      <w:pPr>
        <w:spacing w:line="360" w:lineRule="auto"/>
        <w:ind w:right="-93"/>
        <w:jc w:val="both"/>
        <w:rPr>
          <w:rFonts w:ascii="Palatino Linotype" w:eastAsia="Calibri" w:hAnsi="Palatino Linotype" w:cs="Tahoma"/>
          <w:bCs/>
        </w:rPr>
      </w:pPr>
      <w:r w:rsidRPr="00331629">
        <w:rPr>
          <w:rFonts w:ascii="Palatino Linotype" w:eastAsia="Calibri" w:hAnsi="Palatino Linotype" w:cs="Tahoma"/>
          <w:bCs/>
        </w:rPr>
        <w:t xml:space="preserve">En este mismo sentido, se pronunció el entonces Instituto Federal de Acceso a la Información Pública (IFAI), ahora Instituto Nacional de Transparencia, Acceso a la Información y Protección </w:t>
      </w:r>
      <w:r w:rsidRPr="00331629">
        <w:rPr>
          <w:rFonts w:ascii="Palatino Linotype" w:eastAsia="Calibri" w:hAnsi="Palatino Linotype" w:cs="Tahoma"/>
          <w:bCs/>
        </w:rPr>
        <w:lastRenderedPageBreak/>
        <w:t xml:space="preserve">de Datos Personales (INAI), al establecer en el </w:t>
      </w:r>
      <w:r w:rsidRPr="00331629">
        <w:rPr>
          <w:rFonts w:ascii="Palatino Linotype" w:eastAsia="Calibri" w:hAnsi="Palatino Linotype" w:cs="Tahoma"/>
          <w:b/>
          <w:bCs/>
        </w:rPr>
        <w:t>criterio  03/2009</w:t>
      </w:r>
      <w:r w:rsidRPr="00331629">
        <w:rPr>
          <w:rFonts w:ascii="Palatino Linotype" w:eastAsia="Calibri" w:hAnsi="Palatino Linotype" w:cs="Tahoma"/>
          <w:bCs/>
        </w:rPr>
        <w:t xml:space="preserve"> que una de las formas en la que los ciudadanos pueden evaluar las aptitudes de los servidores públicos para desempeñar  el cargo público que le ha sido encomendado, es mediante la publicidad de ciertos datos contenidos en la </w:t>
      </w:r>
      <w:r w:rsidRPr="00331629">
        <w:rPr>
          <w:rFonts w:ascii="Palatino Linotype" w:eastAsia="Calibri" w:hAnsi="Palatino Linotype" w:cs="Tahoma"/>
          <w:bCs/>
          <w:i/>
        </w:rPr>
        <w:t xml:space="preserve">curricula vitae, </w:t>
      </w:r>
      <w:r w:rsidRPr="00331629">
        <w:rPr>
          <w:rFonts w:ascii="Palatino Linotype" w:eastAsia="Calibri" w:hAnsi="Palatino Linotype" w:cs="Tahoma"/>
          <w:bCs/>
        </w:rPr>
        <w:t>o bien, en las solicitudes de empleo, el cual para mejor referencia se  transcribe a continuación:</w:t>
      </w:r>
    </w:p>
    <w:p w:rsidR="00B636AD" w:rsidRPr="00331629" w:rsidRDefault="00B636AD" w:rsidP="00B636AD">
      <w:pPr>
        <w:pStyle w:val="Prrafodelista"/>
        <w:spacing w:line="360" w:lineRule="auto"/>
        <w:ind w:left="1428" w:right="-93"/>
        <w:jc w:val="both"/>
        <w:rPr>
          <w:rFonts w:ascii="Palatino Linotype" w:hAnsi="Palatino Linotype" w:cs="Tahoma"/>
          <w:bCs/>
          <w:szCs w:val="22"/>
        </w:rPr>
      </w:pPr>
    </w:p>
    <w:p w:rsidR="00B636AD" w:rsidRPr="001436DA" w:rsidRDefault="00B636AD" w:rsidP="00B636AD">
      <w:pPr>
        <w:pStyle w:val="Prrafodelista"/>
        <w:spacing w:line="360" w:lineRule="auto"/>
        <w:ind w:left="567" w:right="567"/>
        <w:jc w:val="both"/>
        <w:rPr>
          <w:rFonts w:ascii="Palatino Linotype" w:hAnsi="Palatino Linotype" w:cs="Tahoma"/>
          <w:bCs/>
          <w:i/>
          <w:sz w:val="20"/>
          <w:szCs w:val="20"/>
        </w:rPr>
      </w:pPr>
      <w:r w:rsidRPr="001436DA">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1436DA">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w:t>
      </w:r>
      <w:r>
        <w:rPr>
          <w:rFonts w:ascii="Palatino Linotype" w:hAnsi="Palatino Linotype" w:cs="Tahoma"/>
          <w:bCs/>
          <w:i/>
          <w:sz w:val="20"/>
          <w:szCs w:val="20"/>
        </w:rPr>
        <w:t xml:space="preserve"> ante una solicitud de acceso, </w:t>
      </w:r>
      <w:r w:rsidRPr="001436DA">
        <w:rPr>
          <w:rFonts w:ascii="Palatino Linotype" w:hAnsi="Palatino Linotype" w:cs="Tahoma"/>
          <w:bCs/>
          <w:i/>
          <w:sz w:val="20"/>
          <w:szCs w:val="20"/>
        </w:rPr>
        <w:t>se encuentran los</w:t>
      </w:r>
      <w:r>
        <w:rPr>
          <w:rFonts w:ascii="Palatino Linotype" w:hAnsi="Palatino Linotype" w:cs="Tahoma"/>
          <w:bCs/>
          <w:i/>
          <w:sz w:val="20"/>
          <w:szCs w:val="20"/>
        </w:rPr>
        <w:t xml:space="preserve"> </w:t>
      </w:r>
      <w:r w:rsidRPr="001436DA">
        <w:rPr>
          <w:rFonts w:ascii="Palatino Linotype" w:hAnsi="Palatino Linotype" w:cs="Tahoma"/>
          <w:bCs/>
          <w:i/>
          <w:sz w:val="20"/>
          <w:szCs w:val="20"/>
        </w:rPr>
        <w:t>relativos a  su  trayectoria  académica,  profesional, laboral, así como todos aquellos que acrediten su capacidad, habilidades o pericia para ocupar el cargo público.”</w:t>
      </w:r>
    </w:p>
    <w:p w:rsidR="00B636AD" w:rsidRDefault="00B636AD" w:rsidP="00B636AD">
      <w:pPr>
        <w:spacing w:line="360" w:lineRule="auto"/>
        <w:ind w:right="-93"/>
        <w:jc w:val="both"/>
        <w:rPr>
          <w:rFonts w:ascii="Palatino Linotype" w:hAnsi="Palatino Linotype" w:cs="Tahoma"/>
        </w:rPr>
      </w:pPr>
    </w:p>
    <w:p w:rsidR="00B636AD" w:rsidRPr="00331629" w:rsidRDefault="00B636AD" w:rsidP="00B636AD">
      <w:pPr>
        <w:spacing w:line="360" w:lineRule="auto"/>
        <w:jc w:val="both"/>
        <w:rPr>
          <w:rFonts w:ascii="Palatino Linotype" w:hAnsi="Palatino Linotype" w:cs="Tahoma"/>
          <w:lang w:val="es-ES"/>
        </w:rPr>
      </w:pPr>
      <w:r>
        <w:rPr>
          <w:rFonts w:ascii="Palatino Linotype" w:hAnsi="Palatino Linotype" w:cs="Tahoma"/>
        </w:rPr>
        <w:t>En efecto, el</w:t>
      </w:r>
      <w:r w:rsidRPr="00331629">
        <w:rPr>
          <w:rFonts w:ascii="Palatino Linotype" w:hAnsi="Palatino Linotype" w:cs="Tahoma"/>
          <w:lang w:val="es-ES"/>
        </w:rPr>
        <w:t xml:space="preserve"> </w:t>
      </w:r>
      <w:r w:rsidRPr="00331629">
        <w:rPr>
          <w:rFonts w:ascii="Palatino Linotype" w:hAnsi="Palatino Linotype" w:cs="Tahoma"/>
          <w:i/>
          <w:lang w:val="es-ES"/>
        </w:rPr>
        <w:t>curriculum vitae</w:t>
      </w:r>
      <w:r w:rsidRPr="00331629">
        <w:rPr>
          <w:rFonts w:ascii="Palatino Linotype" w:hAnsi="Palatino Linotype" w:cs="Tahoma"/>
          <w:lang w:val="es-ES"/>
        </w:rPr>
        <w:t xml:space="preserve"> este permite acreditar que una persona cuenta con los estudios y experiencia que indican, integrándose por un conjunto de elementos cuya concurrencia simultánea permiten identificar clara e indubitablemente que una persona determinada cuenta </w:t>
      </w:r>
      <w:r w:rsidRPr="00331629">
        <w:rPr>
          <w:rFonts w:ascii="Palatino Linotype" w:hAnsi="Palatino Linotype" w:cs="Tahoma"/>
          <w:lang w:val="es-ES"/>
        </w:rPr>
        <w:lastRenderedPageBreak/>
        <w:t>con los conocimientos, preparación y experiencia necesarios para desempeñar una determinada función pública.</w:t>
      </w:r>
    </w:p>
    <w:p w:rsidR="00B636AD" w:rsidRPr="00331629" w:rsidRDefault="00B636AD" w:rsidP="00B636AD">
      <w:pPr>
        <w:spacing w:line="360" w:lineRule="auto"/>
        <w:jc w:val="both"/>
        <w:rPr>
          <w:rFonts w:ascii="Palatino Linotype" w:hAnsi="Palatino Linotype" w:cs="Tahoma"/>
          <w:lang w:val="es-ES"/>
        </w:rPr>
      </w:pPr>
    </w:p>
    <w:p w:rsidR="00B636AD" w:rsidRDefault="00B636AD" w:rsidP="00B636AD">
      <w:pPr>
        <w:spacing w:line="360" w:lineRule="auto"/>
        <w:ind w:right="-93"/>
        <w:jc w:val="both"/>
        <w:rPr>
          <w:rFonts w:ascii="Palatino Linotype" w:hAnsi="Palatino Linotype" w:cs="Tahoma"/>
          <w:lang w:val="es-ES"/>
        </w:rPr>
      </w:pPr>
      <w:r>
        <w:rPr>
          <w:rFonts w:ascii="Palatino Linotype" w:hAnsi="Palatino Linotype" w:cs="Tahoma"/>
          <w:lang w:val="es-ES"/>
        </w:rPr>
        <w:t>Así, al ser</w:t>
      </w:r>
      <w:r w:rsidRPr="00331629">
        <w:rPr>
          <w:rFonts w:ascii="Palatino Linotype" w:hAnsi="Palatino Linotype" w:cs="Tahoma"/>
          <w:lang w:val="es-ES"/>
        </w:rPr>
        <w:t xml:space="preserve"> una obligación de transparencia, la información curricular desde el nivel de jefe de departamento o equivale</w:t>
      </w:r>
      <w:r>
        <w:rPr>
          <w:rFonts w:ascii="Palatino Linotype" w:hAnsi="Palatino Linotype" w:cs="Tahoma"/>
          <w:lang w:val="es-ES"/>
        </w:rPr>
        <w:t>nte</w:t>
      </w:r>
      <w:r w:rsidRPr="00331629">
        <w:rPr>
          <w:rFonts w:ascii="Palatino Linotype" w:hAnsi="Palatino Linotype" w:cs="Tahoma"/>
          <w:lang w:val="es-ES"/>
        </w:rPr>
        <w:t xml:space="preserve"> es información que debe obrar en los archivos del Sujeto Obligado y procede su entreg</w:t>
      </w:r>
      <w:r>
        <w:rPr>
          <w:rFonts w:ascii="Palatino Linotype" w:hAnsi="Palatino Linotype" w:cs="Tahoma"/>
          <w:lang w:val="es-ES"/>
        </w:rPr>
        <w:t>a, en su caso en versión pública, en la que sólo se elimine la información referente a la vida privada de los servidores públicos.</w:t>
      </w:r>
    </w:p>
    <w:p w:rsidR="00B636AD" w:rsidRDefault="00B636AD" w:rsidP="00B636AD">
      <w:pPr>
        <w:spacing w:line="360" w:lineRule="auto"/>
        <w:ind w:right="-93"/>
        <w:jc w:val="both"/>
        <w:rPr>
          <w:rFonts w:ascii="Palatino Linotype" w:hAnsi="Palatino Linotype" w:cs="Tahoma"/>
          <w:lang w:val="es-ES"/>
        </w:rPr>
      </w:pPr>
    </w:p>
    <w:p w:rsidR="00B636AD" w:rsidRPr="00D67DF2" w:rsidRDefault="00B636AD" w:rsidP="00B636AD">
      <w:pPr>
        <w:pStyle w:val="Prrafodelista"/>
        <w:numPr>
          <w:ilvl w:val="0"/>
          <w:numId w:val="41"/>
        </w:numPr>
        <w:spacing w:line="360" w:lineRule="auto"/>
        <w:ind w:right="-93"/>
        <w:contextualSpacing/>
        <w:jc w:val="both"/>
        <w:rPr>
          <w:rFonts w:ascii="Palatino Linotype" w:hAnsi="Palatino Linotype" w:cs="Tahoma"/>
          <w:b/>
          <w:szCs w:val="22"/>
        </w:rPr>
      </w:pPr>
      <w:r w:rsidRPr="003563A4">
        <w:rPr>
          <w:rFonts w:ascii="Palatino Linotype" w:hAnsi="Palatino Linotype" w:cs="Tahoma"/>
          <w:b/>
          <w:szCs w:val="22"/>
        </w:rPr>
        <w:t>ANÁLISIS</w:t>
      </w:r>
      <w:r>
        <w:rPr>
          <w:rFonts w:ascii="Palatino Linotype" w:hAnsi="Palatino Linotype" w:cs="Tahoma"/>
          <w:b/>
          <w:szCs w:val="22"/>
        </w:rPr>
        <w:t xml:space="preserve"> DE </w:t>
      </w:r>
      <w:r w:rsidRPr="003563A4">
        <w:rPr>
          <w:rFonts w:ascii="Palatino Linotype" w:eastAsia="Calibri" w:hAnsi="Palatino Linotype" w:cs="Tahoma"/>
          <w:b/>
          <w:iCs/>
          <w:szCs w:val="22"/>
          <w:lang w:eastAsia="es-ES_tradnl"/>
        </w:rPr>
        <w:t xml:space="preserve">CONSTANCIAS DE </w:t>
      </w:r>
      <w:r>
        <w:rPr>
          <w:rFonts w:ascii="Palatino Linotype" w:eastAsia="Calibri" w:hAnsi="Palatino Linotype" w:cs="Tahoma"/>
          <w:b/>
          <w:iCs/>
          <w:szCs w:val="22"/>
          <w:lang w:eastAsia="es-ES_tradnl"/>
        </w:rPr>
        <w:t>NO IN</w:t>
      </w:r>
      <w:r w:rsidRPr="003563A4">
        <w:rPr>
          <w:rFonts w:ascii="Palatino Linotype" w:eastAsia="Calibri" w:hAnsi="Palatino Linotype" w:cs="Tahoma"/>
          <w:b/>
          <w:iCs/>
          <w:szCs w:val="22"/>
          <w:lang w:eastAsia="es-ES_tradnl"/>
        </w:rPr>
        <w:t>HABILITACIÓN</w:t>
      </w:r>
      <w:r>
        <w:rPr>
          <w:rFonts w:ascii="Palatino Linotype" w:eastAsia="Calibri" w:hAnsi="Palatino Linotype" w:cs="Tahoma"/>
          <w:b/>
          <w:iCs/>
          <w:szCs w:val="22"/>
          <w:lang w:eastAsia="es-ES_tradnl"/>
        </w:rPr>
        <w:t>:</w:t>
      </w:r>
    </w:p>
    <w:p w:rsidR="00B636AD" w:rsidRDefault="00B636AD" w:rsidP="00B636AD">
      <w:pPr>
        <w:spacing w:line="360" w:lineRule="auto"/>
        <w:ind w:right="-93"/>
        <w:jc w:val="both"/>
        <w:rPr>
          <w:rFonts w:ascii="Palatino Linotype" w:hAnsi="Palatino Linotype" w:cs="Tahoma"/>
          <w:lang w:val="es-ES"/>
        </w:rPr>
      </w:pPr>
    </w:p>
    <w:p w:rsidR="00B636AD" w:rsidRPr="00882F39" w:rsidRDefault="00B636AD" w:rsidP="00B636AD">
      <w:pPr>
        <w:spacing w:line="360" w:lineRule="auto"/>
        <w:ind w:right="-93"/>
        <w:jc w:val="both"/>
        <w:rPr>
          <w:rFonts w:ascii="Palatino Linotype" w:hAnsi="Palatino Linotype" w:cs="Tahoma"/>
          <w:lang w:val="es-ES"/>
        </w:rPr>
      </w:pPr>
      <w:r>
        <w:rPr>
          <w:rFonts w:ascii="Palatino Linotype" w:hAnsi="Palatino Linotype" w:cs="Tahoma"/>
          <w:lang w:val="es-ES"/>
        </w:rPr>
        <w:t>De acuerdo al artículo 181, tercer párrafo de la Ley de Transparencia y Acceso a la Información Pública del Estado de México y Municipios, en el caso en particular se aplicará la suplencia de la queja a favor del Recurrente, debido a que en la solicitud inicial indicó requerir la “</w:t>
      </w:r>
      <w:r w:rsidRPr="00A04217">
        <w:rPr>
          <w:rFonts w:ascii="Palatino Linotype" w:hAnsi="Palatino Linotype" w:cs="Tahoma"/>
          <w:i/>
          <w:lang w:val="es-ES"/>
        </w:rPr>
        <w:t>constancia de habilitaci</w:t>
      </w:r>
      <w:r>
        <w:rPr>
          <w:rFonts w:ascii="Palatino Linotype" w:hAnsi="Palatino Linotype" w:cs="Tahoma"/>
          <w:i/>
          <w:lang w:val="es-ES"/>
        </w:rPr>
        <w:t>ón”</w:t>
      </w:r>
      <w:r>
        <w:rPr>
          <w:rFonts w:ascii="Palatino Linotype" w:hAnsi="Palatino Linotype" w:cs="Tahoma"/>
          <w:lang w:val="es-ES"/>
        </w:rPr>
        <w:t xml:space="preserve">; sin embargo, esta figura no existe como tal y, por lo tanto, se infiere que el Particular se refiere a la </w:t>
      </w:r>
      <w:r w:rsidRPr="00882F39">
        <w:rPr>
          <w:rFonts w:ascii="Palatino Linotype" w:hAnsi="Palatino Linotype" w:cs="Tahoma"/>
          <w:lang w:val="es-ES"/>
        </w:rPr>
        <w:t xml:space="preserve">Constancia de </w:t>
      </w:r>
      <w:r>
        <w:rPr>
          <w:rFonts w:ascii="Palatino Linotype" w:hAnsi="Palatino Linotype" w:cs="Tahoma"/>
          <w:lang w:val="es-ES"/>
        </w:rPr>
        <w:t xml:space="preserve">No </w:t>
      </w:r>
      <w:r w:rsidRPr="00882F39">
        <w:rPr>
          <w:rFonts w:ascii="Palatino Linotype" w:hAnsi="Palatino Linotype" w:cs="Tahoma"/>
          <w:lang w:val="es-ES"/>
        </w:rPr>
        <w:t xml:space="preserve">Inhabilitación de </w:t>
      </w:r>
      <w:r>
        <w:rPr>
          <w:rFonts w:ascii="Palatino Linotype" w:hAnsi="Palatino Linotype" w:cs="Tahoma"/>
          <w:lang w:val="es-ES"/>
        </w:rPr>
        <w:t>S</w:t>
      </w:r>
      <w:r w:rsidRPr="00882F39">
        <w:rPr>
          <w:rFonts w:ascii="Palatino Linotype" w:hAnsi="Palatino Linotype" w:cs="Tahoma"/>
          <w:lang w:val="es-ES"/>
        </w:rPr>
        <w:t xml:space="preserve">ervidores </w:t>
      </w:r>
      <w:r>
        <w:rPr>
          <w:rFonts w:ascii="Palatino Linotype" w:hAnsi="Palatino Linotype" w:cs="Tahoma"/>
          <w:lang w:val="es-ES"/>
        </w:rPr>
        <w:t>P</w:t>
      </w:r>
      <w:r w:rsidRPr="00882F39">
        <w:rPr>
          <w:rFonts w:ascii="Palatino Linotype" w:hAnsi="Palatino Linotype" w:cs="Tahoma"/>
          <w:lang w:val="es-ES"/>
        </w:rPr>
        <w:t>úblicos del Estado de México.</w:t>
      </w:r>
    </w:p>
    <w:p w:rsidR="00B636AD" w:rsidRDefault="00B636AD" w:rsidP="00B636AD">
      <w:pPr>
        <w:spacing w:line="360" w:lineRule="auto"/>
        <w:ind w:right="-93"/>
        <w:jc w:val="both"/>
        <w:rPr>
          <w:rFonts w:ascii="Palatino Linotype" w:hAnsi="Palatino Linotype" w:cs="Tahoma"/>
          <w:lang w:val="es-ES"/>
        </w:rPr>
      </w:pPr>
    </w:p>
    <w:p w:rsidR="00B636AD" w:rsidRDefault="00B636AD" w:rsidP="00B636AD">
      <w:pPr>
        <w:spacing w:line="360" w:lineRule="auto"/>
        <w:ind w:right="-93"/>
        <w:jc w:val="both"/>
        <w:rPr>
          <w:rFonts w:ascii="Palatino Linotype" w:hAnsi="Palatino Linotype" w:cs="Tahoma"/>
          <w:lang w:val="es-ES"/>
        </w:rPr>
      </w:pPr>
      <w:r>
        <w:rPr>
          <w:rFonts w:ascii="Palatino Linotype" w:hAnsi="Palatino Linotype" w:cs="Tahoma"/>
          <w:lang w:val="es-ES"/>
        </w:rPr>
        <w:t>Aclarado el punto, podemos indicar que conforme al artículo 28, párrafo quinto de la Ley de Responsabilidades Administrativas del Estado de México y Municipios, se estipula lo siguiente:</w:t>
      </w:r>
    </w:p>
    <w:p w:rsidR="00B636AD" w:rsidRPr="00D15933" w:rsidRDefault="00B636AD" w:rsidP="00B636AD">
      <w:pPr>
        <w:spacing w:line="360" w:lineRule="auto"/>
        <w:ind w:right="-93"/>
        <w:jc w:val="both"/>
        <w:rPr>
          <w:rFonts w:ascii="Palatino Linotype" w:hAnsi="Palatino Linotype" w:cs="Tahoma"/>
          <w:i/>
          <w:lang w:val="es-ES"/>
        </w:rPr>
      </w:pPr>
    </w:p>
    <w:p w:rsidR="00B636AD" w:rsidRPr="00D15933" w:rsidRDefault="00B636AD" w:rsidP="00B636AD">
      <w:pPr>
        <w:spacing w:line="360" w:lineRule="auto"/>
        <w:ind w:left="567" w:right="567"/>
        <w:jc w:val="both"/>
        <w:rPr>
          <w:rFonts w:ascii="Palatino Linotype" w:hAnsi="Palatino Linotype" w:cs="Tahoma"/>
          <w:i/>
          <w:lang w:val="es-ES"/>
        </w:rPr>
      </w:pPr>
      <w:r w:rsidRPr="00D15933">
        <w:rPr>
          <w:rFonts w:ascii="Palatino Linotype" w:hAnsi="Palatino Linotype" w:cs="Tahoma"/>
          <w:b/>
          <w:i/>
          <w:lang w:val="es-ES"/>
        </w:rPr>
        <w:t>“Artículo 28</w:t>
      </w:r>
      <w:r w:rsidRPr="00D15933">
        <w:rPr>
          <w:rFonts w:ascii="Palatino Linotype" w:hAnsi="Palatino Linotype" w:cs="Tahoma"/>
          <w:i/>
          <w:lang w:val="es-ES"/>
        </w:rPr>
        <w:t xml:space="preserve">. La información prevista en el sistema de evolución patrimonial, de declaración de intereses y presentación de la constancia de declaración fiscal, se almacenará en la plataforma digital estatal que contendrá la información que, para efectos de las </w:t>
      </w:r>
      <w:r w:rsidRPr="00D15933">
        <w:rPr>
          <w:rFonts w:ascii="Palatino Linotype" w:hAnsi="Palatino Linotype" w:cs="Tahoma"/>
          <w:i/>
          <w:lang w:val="es-ES"/>
        </w:rPr>
        <w:lastRenderedPageBreak/>
        <w:t xml:space="preserve">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w:t>
      </w:r>
      <w:r>
        <w:rPr>
          <w:rFonts w:ascii="Palatino Linotype" w:hAnsi="Palatino Linotype" w:cs="Tahoma"/>
          <w:i/>
          <w:lang w:val="es-ES"/>
        </w:rPr>
        <w:t>Sistema.</w:t>
      </w:r>
    </w:p>
    <w:p w:rsidR="00B636AD" w:rsidRPr="00D15933" w:rsidRDefault="00B636AD" w:rsidP="00B636AD">
      <w:pPr>
        <w:spacing w:line="360" w:lineRule="auto"/>
        <w:ind w:left="567" w:right="567"/>
        <w:jc w:val="both"/>
        <w:rPr>
          <w:rFonts w:ascii="Palatino Linotype" w:hAnsi="Palatino Linotype" w:cs="Tahoma"/>
          <w:i/>
          <w:lang w:val="es-ES"/>
        </w:rPr>
      </w:pPr>
      <w:r w:rsidRPr="00D15933">
        <w:rPr>
          <w:rFonts w:ascii="Palatino Linotype" w:hAnsi="Palatino Linotype" w:cs="Tahoma"/>
          <w:i/>
          <w:lang w:val="es-ES"/>
        </w:rPr>
        <w:t>…</w:t>
      </w:r>
    </w:p>
    <w:p w:rsidR="00B636AD" w:rsidRDefault="00B636AD" w:rsidP="00B636AD">
      <w:pPr>
        <w:spacing w:line="360" w:lineRule="auto"/>
        <w:ind w:left="567" w:right="567"/>
        <w:jc w:val="both"/>
        <w:rPr>
          <w:rFonts w:ascii="Palatino Linotype" w:hAnsi="Palatino Linotype"/>
          <w:i/>
        </w:rPr>
      </w:pPr>
      <w:r w:rsidRPr="00D15933">
        <w:rPr>
          <w:rFonts w:ascii="Palatino Linotype" w:hAnsi="Palatino Linotype"/>
          <w:i/>
          <w:u w:val="single"/>
        </w:rPr>
        <w:t>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w:t>
      </w:r>
      <w:r w:rsidRPr="00D15933">
        <w:rPr>
          <w:rFonts w:ascii="Palatino Linotype" w:hAnsi="Palatino Linotype"/>
          <w:i/>
        </w:rPr>
        <w:t>.</w:t>
      </w:r>
      <w:r>
        <w:rPr>
          <w:rFonts w:ascii="Palatino Linotype" w:hAnsi="Palatino Linotype"/>
          <w:i/>
        </w:rPr>
        <w:t>”</w:t>
      </w:r>
    </w:p>
    <w:p w:rsidR="00B636AD" w:rsidRDefault="00B636AD" w:rsidP="00B636AD">
      <w:pPr>
        <w:spacing w:line="360" w:lineRule="auto"/>
        <w:ind w:right="-93"/>
        <w:jc w:val="both"/>
        <w:rPr>
          <w:rFonts w:ascii="Palatino Linotype" w:hAnsi="Palatino Linotype" w:cs="Tahoma"/>
          <w:i/>
          <w:lang w:val="es-ES"/>
        </w:rPr>
      </w:pPr>
    </w:p>
    <w:p w:rsidR="00B636AD" w:rsidRDefault="00B636AD" w:rsidP="00B636AD">
      <w:pPr>
        <w:spacing w:line="360" w:lineRule="auto"/>
        <w:ind w:right="-93"/>
        <w:jc w:val="both"/>
        <w:rPr>
          <w:rFonts w:ascii="Palatino Linotype" w:hAnsi="Palatino Linotype" w:cs="Tahoma"/>
          <w:lang w:val="es-ES"/>
        </w:rPr>
      </w:pPr>
      <w:r>
        <w:rPr>
          <w:rFonts w:ascii="Palatino Linotype" w:hAnsi="Palatino Linotype" w:cs="Tahoma"/>
          <w:lang w:val="es-ES"/>
        </w:rPr>
        <w:t>Asimismo, el artículo 62 de este mismo ordenamiento, indica que incurrirá en una contratación indebida el servidor público que se encuentre inhabilitado, como a continuación se enuncia:</w:t>
      </w:r>
    </w:p>
    <w:p w:rsidR="00B636AD" w:rsidRPr="00D15933" w:rsidRDefault="00B636AD" w:rsidP="00B636AD">
      <w:pPr>
        <w:spacing w:line="360" w:lineRule="auto"/>
        <w:ind w:right="-93"/>
        <w:jc w:val="both"/>
        <w:rPr>
          <w:rFonts w:ascii="Palatino Linotype" w:hAnsi="Palatino Linotype" w:cs="Tahoma"/>
          <w:lang w:val="es-ES"/>
        </w:rPr>
      </w:pPr>
    </w:p>
    <w:p w:rsidR="00B636AD" w:rsidRDefault="00B636AD" w:rsidP="00B636AD">
      <w:pPr>
        <w:spacing w:line="360" w:lineRule="auto"/>
        <w:ind w:left="567" w:right="567"/>
        <w:jc w:val="both"/>
        <w:rPr>
          <w:rFonts w:ascii="Palatino Linotype" w:hAnsi="Palatino Linotype"/>
          <w:i/>
        </w:rPr>
      </w:pPr>
      <w:r>
        <w:rPr>
          <w:rFonts w:ascii="Palatino Linotype" w:hAnsi="Palatino Linotype"/>
          <w:b/>
          <w:i/>
        </w:rPr>
        <w:t>“</w:t>
      </w:r>
      <w:r w:rsidRPr="00D15933">
        <w:rPr>
          <w:rFonts w:ascii="Palatino Linotype" w:hAnsi="Palatino Linotype"/>
          <w:b/>
          <w:i/>
        </w:rPr>
        <w:t>Artículo 62.</w:t>
      </w:r>
      <w:r w:rsidRPr="00D15933">
        <w:rPr>
          <w:rFonts w:ascii="Palatino Linotype" w:hAnsi="Palatino Linotype"/>
          <w:i/>
        </w:rPr>
        <w:t xml:space="preserve"> Incurrirá en contratación indebida el servidor público que autorice cualquier tipo de contratación, así como la selección, nombramiento o designación, de quien se encuentre impedido por disposición legal o inhabilitado por resolución de autoridad competente para ocupar un empleo, cargo o comisión en el servicio público o inhabilitado para realizar contrataciones con los entes públicos, siempre que en el caso de las inhabilitaciones, al momento de la autorización, éstas se encuentren inscritas en el sistema nacional o estatal de servidores públicos y particulares sancionados de la plataforma digital nacional o estatal</w:t>
      </w:r>
      <w:r>
        <w:rPr>
          <w:rFonts w:ascii="Palatino Linotype" w:hAnsi="Palatino Linotype"/>
          <w:i/>
        </w:rPr>
        <w:t>.”</w:t>
      </w:r>
    </w:p>
    <w:p w:rsidR="00B636AD" w:rsidRDefault="00B636AD" w:rsidP="00B636AD">
      <w:pPr>
        <w:spacing w:line="360" w:lineRule="auto"/>
        <w:ind w:right="-93"/>
        <w:jc w:val="both"/>
        <w:rPr>
          <w:rFonts w:ascii="Palatino Linotype" w:hAnsi="Palatino Linotype" w:cs="Tahoma"/>
          <w:i/>
          <w:lang w:val="es-ES"/>
        </w:rPr>
      </w:pPr>
    </w:p>
    <w:p w:rsidR="00B636AD" w:rsidRDefault="00B636AD" w:rsidP="00B636AD">
      <w:pPr>
        <w:spacing w:line="360" w:lineRule="auto"/>
        <w:ind w:right="-93"/>
        <w:jc w:val="both"/>
        <w:rPr>
          <w:rFonts w:ascii="Palatino Linotype" w:hAnsi="Palatino Linotype" w:cs="Tahoma"/>
          <w:lang w:val="es-ES"/>
        </w:rPr>
      </w:pPr>
      <w:r>
        <w:rPr>
          <w:rFonts w:ascii="Palatino Linotype" w:hAnsi="Palatino Linotype" w:cs="Tahoma"/>
          <w:lang w:val="es-ES"/>
        </w:rPr>
        <w:lastRenderedPageBreak/>
        <w:t>Asimismo, los artículos 52 y 53 de la Ley del Sistema Anticorrupción del Estado de México y Municipios, indican lo siguiente:</w:t>
      </w:r>
    </w:p>
    <w:p w:rsidR="00B636AD" w:rsidRDefault="00B636AD" w:rsidP="00B636AD">
      <w:pPr>
        <w:spacing w:line="360" w:lineRule="auto"/>
        <w:ind w:right="-93"/>
        <w:jc w:val="both"/>
        <w:rPr>
          <w:rFonts w:ascii="Palatino Linotype" w:hAnsi="Palatino Linotype" w:cs="Tahoma"/>
          <w:lang w:val="es-ES"/>
        </w:rPr>
      </w:pPr>
    </w:p>
    <w:p w:rsidR="00B636AD" w:rsidRDefault="00B636AD" w:rsidP="00B636AD">
      <w:pPr>
        <w:spacing w:line="360" w:lineRule="auto"/>
        <w:ind w:left="705" w:right="-93"/>
        <w:jc w:val="both"/>
        <w:rPr>
          <w:rFonts w:ascii="Palatino Linotype" w:hAnsi="Palatino Linotype"/>
          <w:i/>
        </w:rPr>
      </w:pPr>
      <w:r w:rsidRPr="00D15933">
        <w:rPr>
          <w:rFonts w:ascii="Palatino Linotype" w:hAnsi="Palatino Linotype"/>
          <w:b/>
          <w:i/>
        </w:rPr>
        <w:t>Artículo 52.</w:t>
      </w:r>
      <w:r w:rsidRPr="00D15933">
        <w:rPr>
          <w:rFonts w:ascii="Palatino Linotype" w:hAnsi="Palatino Linotype"/>
          <w:i/>
        </w:rPr>
        <w:t xml:space="preserve"> El Sistema de servidores públicos estatales y municipales, así como de particulares sancionados tiene como finalidad que las sanciones impuestas a servidores públicos y particulares por la comisión de faltas administrativas en términos de la Ley de Responsabilidades Administrativas del Estado de México y Municipios y hechos de corrupción en términos del Código Penal del Estado de México, queden inscritas dentro del mismo y su </w:t>
      </w:r>
      <w:r w:rsidRPr="00F00513">
        <w:rPr>
          <w:rFonts w:ascii="Palatino Linotype" w:hAnsi="Palatino Linotype"/>
          <w:i/>
          <w:u w:val="single"/>
        </w:rPr>
        <w:t>consulta deberá estar al alcance de las autoridades cuya competencia lo requiera.</w:t>
      </w:r>
    </w:p>
    <w:p w:rsidR="00B636AD" w:rsidRDefault="00B636AD" w:rsidP="00B636AD">
      <w:pPr>
        <w:spacing w:line="360" w:lineRule="auto"/>
        <w:ind w:left="705" w:right="-93"/>
        <w:jc w:val="both"/>
        <w:rPr>
          <w:rFonts w:ascii="Palatino Linotype" w:hAnsi="Palatino Linotype"/>
          <w:i/>
        </w:rPr>
      </w:pPr>
    </w:p>
    <w:p w:rsidR="00B636AD" w:rsidRPr="00F00513" w:rsidRDefault="00B636AD" w:rsidP="00B636AD">
      <w:pPr>
        <w:spacing w:line="360" w:lineRule="auto"/>
        <w:ind w:left="705" w:right="-93"/>
        <w:jc w:val="both"/>
        <w:rPr>
          <w:rFonts w:ascii="Palatino Linotype" w:hAnsi="Palatino Linotype"/>
          <w:i/>
        </w:rPr>
      </w:pPr>
      <w:r w:rsidRPr="00D15933">
        <w:rPr>
          <w:rFonts w:ascii="Palatino Linotype" w:hAnsi="Palatino Linotype"/>
          <w:b/>
          <w:i/>
        </w:rPr>
        <w:t>Artículo 53.</w:t>
      </w:r>
      <w:r w:rsidRPr="00D15933">
        <w:rPr>
          <w:rFonts w:ascii="Palatino Linotype" w:hAnsi="Palatino Linotype"/>
          <w:i/>
        </w:rPr>
        <w:t xml:space="preserve"> Las sanciones impuestas por faltas administrativas graves serán del conocimiento público cuando éstas </w:t>
      </w:r>
      <w:r w:rsidRPr="00F00513">
        <w:rPr>
          <w:rFonts w:ascii="Palatino Linotype" w:hAnsi="Palatino Linotype"/>
          <w:i/>
          <w:u w:val="single"/>
        </w:rPr>
        <w:t>contengan impedimentos o inhabilitaciones</w:t>
      </w:r>
      <w:r w:rsidRPr="00D15933">
        <w:rPr>
          <w:rFonts w:ascii="Palatino Linotype" w:hAnsi="Palatino Linotype"/>
          <w:i/>
        </w:rPr>
        <w:t xml:space="preserve"> para ser contratados como servidores públicos o como prestadores de servicios o contratistas del sector público, en términos de la Ley de Responsabilidades Administrativas del Estado de México y Municipios. Los registros de las sanciones relativas a responsabilidades administrativas no graves, quedarán registradas para efectos de eventual reincidencia, pero no serán públicas</w:t>
      </w:r>
      <w:r>
        <w:rPr>
          <w:rFonts w:ascii="Palatino Linotype" w:hAnsi="Palatino Linotype"/>
          <w:i/>
        </w:rPr>
        <w:t>.</w:t>
      </w:r>
    </w:p>
    <w:p w:rsidR="00B636AD" w:rsidRDefault="00B636AD" w:rsidP="00B636AD">
      <w:pPr>
        <w:spacing w:line="360" w:lineRule="auto"/>
        <w:ind w:right="-93"/>
        <w:jc w:val="both"/>
        <w:rPr>
          <w:rFonts w:ascii="Palatino Linotype" w:hAnsi="Palatino Linotype" w:cs="Tahoma"/>
          <w:lang w:val="es-ES"/>
        </w:rPr>
      </w:pPr>
    </w:p>
    <w:p w:rsidR="00B636AD" w:rsidRPr="00D15933" w:rsidRDefault="00B636AD" w:rsidP="00B636AD">
      <w:pPr>
        <w:spacing w:line="360" w:lineRule="auto"/>
        <w:ind w:right="-93"/>
        <w:jc w:val="both"/>
        <w:rPr>
          <w:rFonts w:ascii="Palatino Linotype" w:hAnsi="Palatino Linotype" w:cs="Tahoma"/>
          <w:lang w:val="es-ES"/>
        </w:rPr>
      </w:pPr>
      <w:r w:rsidRPr="00D15933">
        <w:rPr>
          <w:rFonts w:ascii="Palatino Linotype" w:hAnsi="Palatino Linotype" w:cs="Tahoma"/>
          <w:lang w:val="es-ES"/>
        </w:rPr>
        <w:t xml:space="preserve">Por lo tanto, el Sujeto Obligado debe contar </w:t>
      </w:r>
      <w:r>
        <w:rPr>
          <w:rFonts w:ascii="Palatino Linotype" w:hAnsi="Palatino Linotype" w:cs="Tahoma"/>
          <w:lang w:val="es-ES"/>
        </w:rPr>
        <w:t>la documentación indicada por el Particular, debido a que es un requisito indispensable para la contratación de cualquier servidor público en el Estado de México, por lo que procede ordenar su entrega, en caso de que tenga datos personales confidenciales, en versión pública.</w:t>
      </w:r>
    </w:p>
    <w:p w:rsidR="00B636AD" w:rsidRPr="00F00513" w:rsidRDefault="00B636AD" w:rsidP="00B636AD">
      <w:pPr>
        <w:spacing w:line="360" w:lineRule="auto"/>
        <w:ind w:right="-93"/>
        <w:jc w:val="both"/>
        <w:rPr>
          <w:rFonts w:ascii="Palatino Linotype" w:hAnsi="Palatino Linotype" w:cs="Tahoma"/>
          <w:lang w:val="es-ES"/>
        </w:rPr>
      </w:pPr>
      <w:r w:rsidRPr="00D15933">
        <w:rPr>
          <w:rFonts w:ascii="Palatino Linotype" w:hAnsi="Palatino Linotype" w:cs="Tahoma"/>
          <w:lang w:val="es-ES"/>
        </w:rPr>
        <w:tab/>
        <w:t xml:space="preserve"> </w:t>
      </w:r>
    </w:p>
    <w:p w:rsidR="00B636AD" w:rsidRPr="00D67DF2" w:rsidRDefault="00B636AD" w:rsidP="00B636AD">
      <w:pPr>
        <w:pStyle w:val="Prrafodelista"/>
        <w:numPr>
          <w:ilvl w:val="0"/>
          <w:numId w:val="41"/>
        </w:numPr>
        <w:spacing w:line="360" w:lineRule="auto"/>
        <w:ind w:right="-93"/>
        <w:contextualSpacing/>
        <w:jc w:val="both"/>
        <w:rPr>
          <w:rFonts w:ascii="Palatino Linotype" w:hAnsi="Palatino Linotype" w:cs="Tahoma"/>
          <w:b/>
          <w:szCs w:val="22"/>
        </w:rPr>
      </w:pPr>
      <w:r w:rsidRPr="003563A4">
        <w:rPr>
          <w:rFonts w:ascii="Palatino Linotype" w:hAnsi="Palatino Linotype" w:cs="Tahoma"/>
          <w:b/>
          <w:szCs w:val="22"/>
        </w:rPr>
        <w:t>ANÁLISIS</w:t>
      </w:r>
      <w:r>
        <w:rPr>
          <w:rFonts w:ascii="Palatino Linotype" w:hAnsi="Palatino Linotype" w:cs="Tahoma"/>
          <w:b/>
          <w:szCs w:val="22"/>
        </w:rPr>
        <w:t xml:space="preserve"> DE </w:t>
      </w:r>
      <w:r w:rsidRPr="003563A4">
        <w:rPr>
          <w:rFonts w:ascii="Palatino Linotype" w:eastAsia="Calibri" w:hAnsi="Palatino Linotype" w:cs="Tahoma"/>
          <w:b/>
          <w:iCs/>
          <w:szCs w:val="22"/>
          <w:lang w:eastAsia="es-ES_tradnl"/>
        </w:rPr>
        <w:t>CERTIFICADO DE ANTECEDENTES NO PENALES</w:t>
      </w:r>
      <w:r>
        <w:rPr>
          <w:rFonts w:ascii="Palatino Linotype" w:eastAsia="Calibri" w:hAnsi="Palatino Linotype" w:cs="Tahoma"/>
          <w:b/>
          <w:iCs/>
          <w:szCs w:val="22"/>
          <w:lang w:eastAsia="es-ES_tradnl"/>
        </w:rPr>
        <w:t>:</w:t>
      </w:r>
    </w:p>
    <w:p w:rsidR="00B636AD" w:rsidRDefault="00B636AD" w:rsidP="00B636AD">
      <w:pPr>
        <w:spacing w:line="360" w:lineRule="auto"/>
        <w:ind w:right="-93"/>
        <w:jc w:val="both"/>
        <w:rPr>
          <w:rFonts w:ascii="Palatino Linotype" w:hAnsi="Palatino Linotype" w:cs="Tahoma"/>
          <w:b/>
          <w:lang w:val="es-ES"/>
        </w:rPr>
      </w:pPr>
    </w:p>
    <w:p w:rsidR="00B636AD" w:rsidRDefault="00B636AD" w:rsidP="00B636AD">
      <w:pPr>
        <w:spacing w:line="360" w:lineRule="auto"/>
        <w:ind w:right="-93"/>
        <w:jc w:val="both"/>
        <w:rPr>
          <w:rFonts w:ascii="Palatino Linotype" w:hAnsi="Palatino Linotype" w:cs="Tahoma"/>
          <w:lang w:val="es-ES"/>
        </w:rPr>
      </w:pPr>
      <w:r w:rsidRPr="00D67DF2">
        <w:rPr>
          <w:rFonts w:ascii="Palatino Linotype" w:hAnsi="Palatino Linotype" w:cs="Tahoma"/>
          <w:lang w:val="es-ES"/>
        </w:rPr>
        <w:lastRenderedPageBreak/>
        <w:t>Conforme al artículo 47, fracción III, de la Ley del Trabajo de los Servidores Públicos del Estado y Municipios, establece que, para ingresar al servicio público de cualquier dependencia o institución pública, incluyendo los municipios, la persona deberá acreditar que se encuentra en pleno ejercicio de sus derechos civiles y políticos.</w:t>
      </w:r>
    </w:p>
    <w:p w:rsidR="00B636AD" w:rsidRDefault="00B636AD" w:rsidP="00B636AD">
      <w:pPr>
        <w:spacing w:line="360" w:lineRule="auto"/>
        <w:ind w:right="-93"/>
        <w:jc w:val="both"/>
        <w:rPr>
          <w:rFonts w:ascii="Palatino Linotype" w:hAnsi="Palatino Linotype" w:cs="Tahoma"/>
          <w:lang w:val="es-ES"/>
        </w:rPr>
      </w:pPr>
    </w:p>
    <w:p w:rsidR="00B636AD" w:rsidRPr="00C7575E" w:rsidRDefault="00B636AD" w:rsidP="00B636AD">
      <w:pPr>
        <w:spacing w:line="360" w:lineRule="auto"/>
        <w:jc w:val="both"/>
        <w:rPr>
          <w:rFonts w:ascii="Palatino Linotype" w:eastAsia="Calibri" w:hAnsi="Palatino Linotype" w:cs="Tahoma"/>
          <w:bCs/>
        </w:rPr>
      </w:pPr>
      <w:r w:rsidRPr="00C7575E">
        <w:rPr>
          <w:rFonts w:ascii="Palatino Linotype" w:eastAsia="Calibri" w:hAnsi="Palatino Linotype" w:cs="Tahoma"/>
          <w:bCs/>
        </w:rPr>
        <w:t xml:space="preserve">Para acreditar dicha situación, las personas deberán presentar el </w:t>
      </w:r>
      <w:r w:rsidRPr="00D67DF2">
        <w:rPr>
          <w:rFonts w:ascii="Palatino Linotype" w:eastAsia="Calibri" w:hAnsi="Palatino Linotype" w:cs="Tahoma"/>
          <w:b/>
          <w:bCs/>
        </w:rPr>
        <w:t>Certificado de no antecedentes penales</w:t>
      </w:r>
      <w:r w:rsidRPr="00C7575E">
        <w:rPr>
          <w:rFonts w:ascii="Palatino Linotype" w:eastAsia="Calibri" w:hAnsi="Palatino Linotype" w:cs="Tahoma"/>
          <w:bCs/>
        </w:rPr>
        <w:t>, el cual se limitará a señalar, que conforme a los datos proporcionados, la persona de que se trate, cuenta o no</w:t>
      </w:r>
      <w:r>
        <w:rPr>
          <w:rFonts w:ascii="Palatino Linotype" w:eastAsia="Calibri" w:hAnsi="Palatino Linotype" w:cs="Tahoma"/>
          <w:bCs/>
        </w:rPr>
        <w:t xml:space="preserve"> con antecedentes penales, según </w:t>
      </w:r>
      <w:r w:rsidRPr="00C7575E">
        <w:rPr>
          <w:rFonts w:ascii="Palatino Linotype" w:eastAsia="Calibri" w:hAnsi="Palatino Linotype" w:cs="Tahoma"/>
          <w:bCs/>
        </w:rPr>
        <w:t>lo establecido en el Acuerdo número 14/2011, del Procurador General de Justicia del Estado de México, por el que se establecen los Lineamientos para expedición de informes y certificados de no antecedentes penales, publicado en la “Gaceta de Gobierno” el treinta de noviembre de dos mil once.</w:t>
      </w:r>
    </w:p>
    <w:p w:rsidR="00B636AD" w:rsidRDefault="00B636AD" w:rsidP="00B636AD">
      <w:pPr>
        <w:spacing w:line="360" w:lineRule="auto"/>
        <w:jc w:val="both"/>
        <w:rPr>
          <w:rFonts w:ascii="Palatino Linotype" w:eastAsia="Calibri" w:hAnsi="Palatino Linotype" w:cs="Tahoma"/>
          <w:bCs/>
        </w:rPr>
      </w:pPr>
    </w:p>
    <w:p w:rsidR="00B636AD" w:rsidRDefault="00B636AD" w:rsidP="00B636AD">
      <w:pPr>
        <w:spacing w:line="360" w:lineRule="auto"/>
        <w:jc w:val="both"/>
        <w:rPr>
          <w:rFonts w:ascii="Palatino Linotype" w:eastAsia="Calibri" w:hAnsi="Palatino Linotype" w:cs="Tahoma"/>
          <w:bCs/>
        </w:rPr>
      </w:pPr>
      <w:r>
        <w:rPr>
          <w:rFonts w:ascii="Palatino Linotype" w:eastAsia="Calibri" w:hAnsi="Palatino Linotype" w:cs="Tahoma"/>
          <w:bCs/>
        </w:rPr>
        <w:t xml:space="preserve">Así, de la normatividad hasta aquí analizada, se desprende que el Ayuntamiento de </w:t>
      </w:r>
      <w:r w:rsidRPr="00D67DF2">
        <w:rPr>
          <w:rFonts w:ascii="Palatino Linotype" w:eastAsia="Calibri" w:hAnsi="Palatino Linotype" w:cs="Tahoma"/>
          <w:bCs/>
        </w:rPr>
        <w:t>Tequixquiac</w:t>
      </w:r>
      <w:r>
        <w:rPr>
          <w:rFonts w:ascii="Palatino Linotype" w:eastAsia="Calibri" w:hAnsi="Palatino Linotype" w:cs="Tahoma"/>
          <w:bCs/>
        </w:rPr>
        <w:t xml:space="preserve"> tiene atribuciones para poseer y administrar el </w:t>
      </w:r>
      <w:r w:rsidRPr="00D67DF2">
        <w:rPr>
          <w:rFonts w:ascii="Palatino Linotype" w:eastAsia="Calibri" w:hAnsi="Palatino Linotype" w:cs="Tahoma"/>
          <w:b/>
          <w:bCs/>
        </w:rPr>
        <w:t>certificado de no antecedentes penales</w:t>
      </w:r>
      <w:r>
        <w:rPr>
          <w:rFonts w:ascii="Palatino Linotype" w:eastAsia="Calibri" w:hAnsi="Palatino Linotype" w:cs="Tahoma"/>
          <w:bCs/>
        </w:rPr>
        <w:t>.</w:t>
      </w:r>
    </w:p>
    <w:p w:rsidR="00B636AD" w:rsidRDefault="00B636AD" w:rsidP="00B636AD">
      <w:pPr>
        <w:spacing w:line="360" w:lineRule="auto"/>
        <w:jc w:val="both"/>
        <w:rPr>
          <w:rFonts w:ascii="Palatino Linotype" w:eastAsia="Calibri" w:hAnsi="Palatino Linotype" w:cs="Tahoma"/>
          <w:bCs/>
        </w:rPr>
      </w:pPr>
    </w:p>
    <w:p w:rsidR="00B636AD" w:rsidRDefault="00B636AD" w:rsidP="00B636AD">
      <w:pPr>
        <w:spacing w:line="360" w:lineRule="auto"/>
        <w:jc w:val="both"/>
        <w:rPr>
          <w:rFonts w:ascii="Palatino Linotype" w:eastAsia="Calibri" w:hAnsi="Palatino Linotype" w:cs="Tahoma"/>
          <w:bCs/>
        </w:rPr>
      </w:pPr>
      <w:r>
        <w:rPr>
          <w:rFonts w:ascii="Palatino Linotype" w:eastAsia="Calibri" w:hAnsi="Palatino Linotype" w:cs="Tahoma"/>
          <w:bCs/>
        </w:rPr>
        <w:t xml:space="preserve">La normatividad analizada establece como requisito indispensable para ingresar a una institución de gobierno, </w:t>
      </w:r>
      <w:r w:rsidRPr="00D67DF2">
        <w:rPr>
          <w:rFonts w:ascii="Palatino Linotype" w:eastAsia="Calibri" w:hAnsi="Palatino Linotype" w:cs="Tahoma"/>
          <w:b/>
          <w:bCs/>
        </w:rPr>
        <w:t>el certificado de antecedentes no penales</w:t>
      </w:r>
      <w:r>
        <w:rPr>
          <w:rFonts w:ascii="Palatino Linotype" w:eastAsia="Calibri" w:hAnsi="Palatino Linotype" w:cs="Tahoma"/>
          <w:bCs/>
        </w:rPr>
        <w:t xml:space="preserve">, por lo que en términos del artículo 19, </w:t>
      </w:r>
      <w:r w:rsidRPr="00AB6385">
        <w:rPr>
          <w:rFonts w:ascii="Palatino Linotype" w:eastAsia="Calibri" w:hAnsi="Palatino Linotype" w:cs="Tahoma"/>
          <w:bCs/>
        </w:rPr>
        <w:t>de la Ley de Transparencia y Acceso a la Información Pública del Estado de México y Municipios</w:t>
      </w:r>
      <w:r>
        <w:rPr>
          <w:rFonts w:ascii="Palatino Linotype" w:eastAsia="Calibri" w:hAnsi="Palatino Linotype" w:cs="Tahoma"/>
          <w:bCs/>
        </w:rPr>
        <w:t xml:space="preserve">, </w:t>
      </w:r>
      <w:r w:rsidRPr="00AB6385">
        <w:rPr>
          <w:rFonts w:ascii="Palatino Linotype" w:eastAsia="Calibri" w:hAnsi="Palatino Linotype" w:cs="Tahoma"/>
          <w:bCs/>
        </w:rPr>
        <w:t>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r>
        <w:rPr>
          <w:rFonts w:ascii="Palatino Linotype" w:eastAsia="Calibri" w:hAnsi="Palatino Linotype" w:cs="Tahoma"/>
          <w:bCs/>
        </w:rPr>
        <w:t xml:space="preserve"> </w:t>
      </w:r>
    </w:p>
    <w:p w:rsidR="00B636AD" w:rsidRDefault="00B636AD" w:rsidP="00B636AD">
      <w:pPr>
        <w:spacing w:line="360" w:lineRule="auto"/>
        <w:jc w:val="both"/>
        <w:rPr>
          <w:rFonts w:ascii="Palatino Linotype" w:eastAsia="Calibri" w:hAnsi="Palatino Linotype" w:cs="Tahoma"/>
          <w:bCs/>
        </w:rPr>
      </w:pPr>
    </w:p>
    <w:p w:rsidR="00B636AD" w:rsidRDefault="00B636AD" w:rsidP="00B636AD">
      <w:pPr>
        <w:spacing w:line="360" w:lineRule="auto"/>
        <w:jc w:val="both"/>
        <w:rPr>
          <w:rFonts w:ascii="Palatino Linotype" w:eastAsia="Calibri" w:hAnsi="Palatino Linotype" w:cs="Tahoma"/>
          <w:bCs/>
          <w:lang w:val="es-ES"/>
        </w:rPr>
      </w:pPr>
      <w:r>
        <w:rPr>
          <w:rFonts w:ascii="Palatino Linotype" w:eastAsia="Calibri" w:hAnsi="Palatino Linotype" w:cs="Tahoma"/>
          <w:bCs/>
        </w:rPr>
        <w:lastRenderedPageBreak/>
        <w:t xml:space="preserve">De ahí que, si bien resulta procedente la entrega del certificado antecedentes no penales, estos deben proporcionarse en versión pública, testando el nombre y fotografía de los policías del Ayuntamiento que realizan funciones operativas, no así el de </w:t>
      </w:r>
      <w:r w:rsidRPr="00604292">
        <w:rPr>
          <w:rFonts w:ascii="Palatino Linotype" w:eastAsia="Calibri" w:hAnsi="Palatino Linotype" w:cs="Tahoma"/>
          <w:bCs/>
        </w:rPr>
        <w:t>personal administrativo adscrito al área de seguridad pública</w:t>
      </w:r>
      <w:r>
        <w:rPr>
          <w:rFonts w:ascii="Palatino Linotype" w:eastAsia="Calibri" w:hAnsi="Palatino Linotype" w:cs="Tahoma"/>
          <w:bCs/>
        </w:rPr>
        <w:t xml:space="preserve">. Adicionalmente, se advierte que los documentos referidos podrían </w:t>
      </w:r>
      <w:r>
        <w:rPr>
          <w:rFonts w:ascii="Palatino Linotype" w:eastAsia="Calibri" w:hAnsi="Palatino Linotype" w:cs="Tahoma"/>
          <w:bCs/>
          <w:lang w:val="es-ES"/>
        </w:rPr>
        <w:t>contener</w:t>
      </w:r>
      <w:r w:rsidRPr="005E4EEE">
        <w:rPr>
          <w:rFonts w:ascii="Palatino Linotype" w:eastAsia="Calibri" w:hAnsi="Palatino Linotype" w:cs="Tahoma"/>
          <w:bCs/>
          <w:lang w:val="es-ES"/>
        </w:rPr>
        <w:t xml:space="preserve"> la huella dactilar</w:t>
      </w:r>
      <w:r>
        <w:rPr>
          <w:rFonts w:ascii="Palatino Linotype" w:eastAsia="Calibri" w:hAnsi="Palatino Linotype" w:cs="Tahoma"/>
          <w:bCs/>
          <w:lang w:val="es-ES"/>
        </w:rPr>
        <w:t xml:space="preserve">, </w:t>
      </w:r>
      <w:r w:rsidRPr="005E4EEE">
        <w:rPr>
          <w:rFonts w:ascii="Palatino Linotype" w:eastAsia="Calibri" w:hAnsi="Palatino Linotype" w:cs="Tahoma"/>
          <w:bCs/>
          <w:lang w:val="es-ES"/>
        </w:rPr>
        <w:t>información que pudiera considerase confidencial, en términos del artículo 143, frac</w:t>
      </w:r>
      <w:r>
        <w:rPr>
          <w:rFonts w:ascii="Palatino Linotype" w:eastAsia="Calibri" w:hAnsi="Palatino Linotype" w:cs="Tahoma"/>
          <w:bCs/>
          <w:lang w:val="es-ES"/>
        </w:rPr>
        <w:t>ción I de la Ley de la materia.</w:t>
      </w:r>
    </w:p>
    <w:p w:rsidR="00B636AD" w:rsidRDefault="00B636AD" w:rsidP="00B636AD">
      <w:pPr>
        <w:spacing w:line="360" w:lineRule="auto"/>
        <w:jc w:val="both"/>
        <w:rPr>
          <w:rFonts w:ascii="Palatino Linotype" w:eastAsia="Calibri" w:hAnsi="Palatino Linotype" w:cs="Tahoma"/>
          <w:bCs/>
          <w:lang w:val="es-ES"/>
        </w:rPr>
      </w:pPr>
    </w:p>
    <w:p w:rsidR="00B636AD" w:rsidRPr="005E4EEE" w:rsidRDefault="00B636AD" w:rsidP="00B636AD">
      <w:pPr>
        <w:spacing w:line="360" w:lineRule="auto"/>
        <w:jc w:val="both"/>
        <w:rPr>
          <w:rFonts w:ascii="Palatino Linotype" w:eastAsia="Calibri" w:hAnsi="Palatino Linotype" w:cs="Tahoma"/>
          <w:bCs/>
        </w:rPr>
      </w:pPr>
      <w:r w:rsidRPr="005E4EEE">
        <w:rPr>
          <w:rFonts w:ascii="Palatino Linotype" w:eastAsia="Calibri" w:hAnsi="Palatino Linotype" w:cs="Tahoma"/>
          <w:bCs/>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4" w:history="1">
        <w:r w:rsidRPr="005E4EEE">
          <w:rPr>
            <w:rStyle w:val="Hipervnculo"/>
            <w:rFonts w:ascii="Palatino Linotype" w:eastAsia="Calibri" w:hAnsi="Palatino Linotype" w:cs="Tahoma"/>
            <w:bCs/>
          </w:rPr>
          <w:t>https://docplayer.es/5455342-Nuevas-tecnologias-biometricas-instituto-nacional-de-ciencias-penales-procuraduria-general-de-la-republica-version-1-0.html</w:t>
        </w:r>
      </w:hyperlink>
      <w:r w:rsidRPr="005E4EEE">
        <w:rPr>
          <w:rFonts w:ascii="Palatino Linotype" w:eastAsia="Calibri" w:hAnsi="Palatino Linotype" w:cs="Tahoma"/>
          <w:bCs/>
        </w:rPr>
        <w:t xml:space="preserve">, se indica que existen tres principios fundamentales para la identificación de las huellas dactilares, a saber: </w:t>
      </w:r>
    </w:p>
    <w:p w:rsidR="00B636AD" w:rsidRPr="005E4EEE" w:rsidRDefault="00B636AD" w:rsidP="00B636AD">
      <w:pPr>
        <w:spacing w:line="360" w:lineRule="auto"/>
        <w:jc w:val="both"/>
        <w:rPr>
          <w:rFonts w:ascii="Palatino Linotype" w:eastAsia="Calibri" w:hAnsi="Palatino Linotype" w:cs="Tahoma"/>
          <w:bCs/>
        </w:rPr>
      </w:pPr>
    </w:p>
    <w:p w:rsidR="00B636AD" w:rsidRPr="005E4EEE" w:rsidRDefault="00B636AD" w:rsidP="00B636AD">
      <w:pPr>
        <w:numPr>
          <w:ilvl w:val="0"/>
          <w:numId w:val="42"/>
        </w:numPr>
        <w:spacing w:after="0" w:line="360" w:lineRule="auto"/>
        <w:jc w:val="both"/>
        <w:rPr>
          <w:rFonts w:ascii="Palatino Linotype" w:eastAsia="Calibri" w:hAnsi="Palatino Linotype" w:cs="Tahoma"/>
          <w:bCs/>
        </w:rPr>
      </w:pPr>
      <w:r w:rsidRPr="005E4EEE">
        <w:rPr>
          <w:rFonts w:ascii="Palatino Linotype" w:eastAsia="Calibri" w:hAnsi="Palatino Linotype" w:cs="Tahoma"/>
          <w:bCs/>
        </w:rPr>
        <w:t xml:space="preserve">Primer principio. La huella es una característica individual. No hay dos huellas con características en las crestas que sean idénticas. </w:t>
      </w:r>
    </w:p>
    <w:p w:rsidR="00B636AD" w:rsidRPr="005E4EEE" w:rsidRDefault="00B636AD" w:rsidP="00B636AD">
      <w:pPr>
        <w:spacing w:line="360" w:lineRule="auto"/>
        <w:jc w:val="both"/>
        <w:rPr>
          <w:rFonts w:ascii="Palatino Linotype" w:eastAsia="Calibri" w:hAnsi="Palatino Linotype" w:cs="Tahoma"/>
          <w:bCs/>
        </w:rPr>
      </w:pPr>
    </w:p>
    <w:p w:rsidR="00B636AD" w:rsidRPr="005E4EEE" w:rsidRDefault="00B636AD" w:rsidP="00B636AD">
      <w:pPr>
        <w:numPr>
          <w:ilvl w:val="0"/>
          <w:numId w:val="42"/>
        </w:numPr>
        <w:spacing w:after="0" w:line="360" w:lineRule="auto"/>
        <w:jc w:val="both"/>
        <w:rPr>
          <w:rFonts w:ascii="Palatino Linotype" w:eastAsia="Calibri" w:hAnsi="Palatino Linotype" w:cs="Tahoma"/>
          <w:bCs/>
        </w:rPr>
      </w:pPr>
      <w:r w:rsidRPr="005E4EEE">
        <w:rPr>
          <w:rFonts w:ascii="Palatino Linotype" w:eastAsia="Calibri" w:hAnsi="Palatino Linotype" w:cs="Tahoma"/>
          <w:bCs/>
        </w:rPr>
        <w:t xml:space="preserve">Segundo principio. Una huella permanece sin cambios durante toda la vida de un individuo (sin embargo, puede adquirir cicatrices o cualquier otra deformación que impida su identificación clara). </w:t>
      </w:r>
    </w:p>
    <w:p w:rsidR="00B636AD" w:rsidRPr="005E4EEE" w:rsidRDefault="00B636AD" w:rsidP="00B636AD">
      <w:pPr>
        <w:spacing w:line="360" w:lineRule="auto"/>
        <w:jc w:val="both"/>
        <w:rPr>
          <w:rFonts w:ascii="Palatino Linotype" w:eastAsia="Calibri" w:hAnsi="Palatino Linotype" w:cs="Tahoma"/>
          <w:bCs/>
        </w:rPr>
      </w:pPr>
    </w:p>
    <w:p w:rsidR="00B636AD" w:rsidRPr="005E4EEE" w:rsidRDefault="00B636AD" w:rsidP="00B636AD">
      <w:pPr>
        <w:numPr>
          <w:ilvl w:val="0"/>
          <w:numId w:val="42"/>
        </w:numPr>
        <w:spacing w:after="0" w:line="360" w:lineRule="auto"/>
        <w:jc w:val="both"/>
        <w:rPr>
          <w:rFonts w:ascii="Palatino Linotype" w:eastAsia="Calibri" w:hAnsi="Palatino Linotype" w:cs="Tahoma"/>
          <w:bCs/>
        </w:rPr>
      </w:pPr>
      <w:r w:rsidRPr="005E4EEE">
        <w:rPr>
          <w:rFonts w:ascii="Palatino Linotype" w:eastAsia="Calibri" w:hAnsi="Palatino Linotype" w:cs="Tahoma"/>
          <w:bCs/>
        </w:rPr>
        <w:lastRenderedPageBreak/>
        <w:t xml:space="preserve">Tercer principio. Las huellas tienen patrones que se forman con sus crestas, lo que hace posible clasificarlas sistemáticamente para agilizar las búsquedas. </w:t>
      </w:r>
    </w:p>
    <w:p w:rsidR="00B636AD" w:rsidRPr="005E4EEE" w:rsidRDefault="00B636AD" w:rsidP="00B636AD">
      <w:pPr>
        <w:spacing w:line="360" w:lineRule="auto"/>
        <w:jc w:val="both"/>
        <w:rPr>
          <w:rFonts w:ascii="Palatino Linotype" w:eastAsia="Calibri" w:hAnsi="Palatino Linotype" w:cs="Tahoma"/>
          <w:bCs/>
        </w:rPr>
      </w:pPr>
    </w:p>
    <w:p w:rsidR="00B636AD" w:rsidRPr="005E4EEE" w:rsidRDefault="00B636AD" w:rsidP="00B636AD">
      <w:pPr>
        <w:spacing w:line="360" w:lineRule="auto"/>
        <w:jc w:val="both"/>
        <w:rPr>
          <w:rFonts w:ascii="Palatino Linotype" w:eastAsia="Calibri" w:hAnsi="Palatino Linotype" w:cs="Tahoma"/>
          <w:bCs/>
        </w:rPr>
      </w:pPr>
      <w:r w:rsidRPr="005E4EEE">
        <w:rPr>
          <w:rFonts w:ascii="Palatino Linotype" w:eastAsia="Calibri" w:hAnsi="Palatino Linotype" w:cs="Tahoma"/>
          <w:bCs/>
        </w:rPr>
        <w:t>Conforme a lo expuesto, es indubitable que la huella dactilar es una característica propia de un individuo que permite su reconocimiento. Por tanto, sin duda, se</w:t>
      </w:r>
      <w:r w:rsidRPr="005E4EEE">
        <w:rPr>
          <w:rFonts w:ascii="Palatino Linotype" w:eastAsia="Calibri" w:hAnsi="Palatino Linotype" w:cs="Tahoma"/>
          <w:bCs/>
          <w:lang w:val="es-ES"/>
        </w:rPr>
        <w:t xml:space="preserve"> </w:t>
      </w:r>
      <w:r w:rsidRPr="005E4EEE">
        <w:rPr>
          <w:rFonts w:ascii="Palatino Linotype" w:eastAsia="Calibri" w:hAnsi="Palatino Linotype" w:cs="Tahoma"/>
          <w:bCs/>
        </w:rPr>
        <w:t>considera que es una característica individual que se utiliza como medio de identificación de las personas y, por tanto, constituye un dato personal, de conformidad con lo establecido en el artículo 143, fracción I de la Ley de la materia.</w:t>
      </w:r>
    </w:p>
    <w:p w:rsidR="00B636AD" w:rsidRPr="005E4EEE" w:rsidRDefault="00B636AD" w:rsidP="00B636AD">
      <w:pPr>
        <w:spacing w:line="360" w:lineRule="auto"/>
        <w:jc w:val="both"/>
        <w:rPr>
          <w:rFonts w:ascii="Palatino Linotype" w:eastAsia="Calibri" w:hAnsi="Palatino Linotype" w:cs="Tahoma"/>
          <w:bCs/>
        </w:rPr>
      </w:pPr>
    </w:p>
    <w:p w:rsidR="00B636AD" w:rsidRPr="005E4EEE" w:rsidRDefault="00B636AD" w:rsidP="00B636AD">
      <w:pPr>
        <w:spacing w:line="360" w:lineRule="auto"/>
        <w:jc w:val="both"/>
        <w:rPr>
          <w:rFonts w:ascii="Palatino Linotype" w:eastAsia="Calibri" w:hAnsi="Palatino Linotype" w:cs="Tahoma"/>
          <w:bCs/>
        </w:rPr>
      </w:pPr>
      <w:r w:rsidRPr="005E4EEE">
        <w:rPr>
          <w:rFonts w:ascii="Palatino Linotype" w:eastAsia="Calibri" w:hAnsi="Palatino Linotype" w:cs="Tahoma"/>
          <w:bCs/>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ES APTA PARA ACREDITAR EL CONSENTIMIENTO EN LA CELEBRACIÓN DE UN CONTRATO.</w:t>
      </w:r>
    </w:p>
    <w:p w:rsidR="00B636AD" w:rsidRPr="005E4EEE" w:rsidRDefault="00B636AD" w:rsidP="00B636AD">
      <w:pPr>
        <w:spacing w:line="360" w:lineRule="auto"/>
        <w:jc w:val="both"/>
        <w:rPr>
          <w:rFonts w:ascii="Palatino Linotype" w:eastAsia="Calibri" w:hAnsi="Palatino Linotype" w:cs="Tahoma"/>
          <w:bCs/>
        </w:rPr>
      </w:pPr>
    </w:p>
    <w:p w:rsidR="00B636AD" w:rsidRPr="00E34A2D" w:rsidRDefault="00B636AD" w:rsidP="00B636AD">
      <w:pPr>
        <w:spacing w:line="360" w:lineRule="auto"/>
        <w:ind w:left="567" w:right="567"/>
        <w:jc w:val="both"/>
        <w:rPr>
          <w:rFonts w:ascii="Palatino Linotype" w:eastAsia="Calibri" w:hAnsi="Palatino Linotype" w:cs="Tahoma"/>
          <w:bCs/>
          <w:i/>
        </w:rPr>
      </w:pPr>
      <w:r w:rsidRPr="00E34A2D">
        <w:rPr>
          <w:rFonts w:ascii="Palatino Linotype" w:eastAsia="Calibri" w:hAnsi="Palatino Linotype" w:cs="Tahoma"/>
          <w:b/>
          <w:bCs/>
          <w:i/>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E34A2D">
        <w:rPr>
          <w:rFonts w:ascii="Palatino Linotype" w:eastAsia="Calibri" w:hAnsi="Palatino Linotype" w:cs="Tahoma"/>
          <w:bCs/>
          <w:i/>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w:t>
      </w:r>
      <w:r w:rsidRPr="00E34A2D">
        <w:rPr>
          <w:rFonts w:ascii="Palatino Linotype" w:eastAsia="Calibri" w:hAnsi="Palatino Linotype" w:cs="Tahoma"/>
          <w:bCs/>
          <w:i/>
        </w:rPr>
        <w:lastRenderedPageBreak/>
        <w:t>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rsidR="00B636AD" w:rsidRPr="00E34A2D" w:rsidRDefault="00B636AD" w:rsidP="00B636AD">
      <w:pPr>
        <w:spacing w:line="360" w:lineRule="auto"/>
        <w:ind w:left="567" w:right="567"/>
        <w:jc w:val="both"/>
        <w:rPr>
          <w:rFonts w:ascii="Palatino Linotype" w:eastAsia="Calibri" w:hAnsi="Palatino Linotype" w:cs="Tahoma"/>
          <w:bCs/>
          <w:i/>
        </w:rPr>
      </w:pPr>
      <w:r w:rsidRPr="00E34A2D">
        <w:rPr>
          <w:rFonts w:ascii="Palatino Linotype" w:eastAsia="Calibri" w:hAnsi="Palatino Linotype" w:cs="Tahoma"/>
          <w:bCs/>
          <w:i/>
        </w:rPr>
        <w:t>(Énfasis añadido).</w:t>
      </w:r>
    </w:p>
    <w:p w:rsidR="00B636AD" w:rsidRPr="005E4EEE" w:rsidRDefault="00B636AD" w:rsidP="00B636AD">
      <w:pPr>
        <w:spacing w:line="360" w:lineRule="auto"/>
        <w:jc w:val="both"/>
        <w:rPr>
          <w:rFonts w:ascii="Palatino Linotype" w:eastAsia="Calibri" w:hAnsi="Palatino Linotype" w:cs="Tahoma"/>
          <w:bCs/>
        </w:rPr>
      </w:pPr>
    </w:p>
    <w:p w:rsidR="00B636AD" w:rsidRPr="005E4EEE" w:rsidRDefault="00B636AD" w:rsidP="00B636AD">
      <w:pPr>
        <w:spacing w:line="360" w:lineRule="auto"/>
        <w:jc w:val="both"/>
        <w:rPr>
          <w:rFonts w:ascii="Palatino Linotype" w:eastAsia="Calibri" w:hAnsi="Palatino Linotype" w:cs="Tahoma"/>
          <w:bCs/>
        </w:rPr>
      </w:pPr>
      <w:r w:rsidRPr="005E4EEE">
        <w:rPr>
          <w:rFonts w:ascii="Palatino Linotype" w:eastAsia="Calibri" w:hAnsi="Palatino Linotype" w:cs="Tahoma"/>
          <w:bCs/>
        </w:rPr>
        <w:t xml:space="preserve"> En la actualidad existen sistemas denominados AFIS por sus siglas en inglés </w:t>
      </w:r>
      <w:r w:rsidRPr="005E4EEE">
        <w:rPr>
          <w:rFonts w:ascii="Palatino Linotype" w:eastAsia="Calibri" w:hAnsi="Palatino Linotype" w:cs="Tahoma"/>
          <w:bCs/>
          <w:i/>
        </w:rPr>
        <w:t>Automated Fingerprint Identification System</w:t>
      </w:r>
      <w:r w:rsidRPr="005E4EEE">
        <w:rPr>
          <w:rFonts w:ascii="Palatino Linotype" w:eastAsia="Calibri" w:hAnsi="Palatino Linotype" w:cs="Tahoma"/>
          <w:bCs/>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rsidR="00B636AD" w:rsidRPr="005E4EEE" w:rsidRDefault="00B636AD" w:rsidP="00B636AD">
      <w:pPr>
        <w:spacing w:line="360" w:lineRule="auto"/>
        <w:jc w:val="both"/>
        <w:rPr>
          <w:rFonts w:ascii="Palatino Linotype" w:eastAsia="Calibri" w:hAnsi="Palatino Linotype" w:cs="Tahoma"/>
          <w:bCs/>
        </w:rPr>
      </w:pPr>
    </w:p>
    <w:p w:rsidR="00B636AD" w:rsidRPr="005E4EEE" w:rsidRDefault="00B636AD" w:rsidP="00B636AD">
      <w:pPr>
        <w:spacing w:line="360" w:lineRule="auto"/>
        <w:jc w:val="both"/>
        <w:rPr>
          <w:rFonts w:ascii="Palatino Linotype" w:eastAsia="Calibri" w:hAnsi="Palatino Linotype" w:cs="Tahoma"/>
          <w:bCs/>
        </w:rPr>
      </w:pPr>
      <w:r w:rsidRPr="005E4EEE">
        <w:rPr>
          <w:rFonts w:ascii="Palatino Linotype" w:eastAsia="Calibri" w:hAnsi="Palatino Linotype" w:cs="Tahoma"/>
          <w:bCs/>
        </w:rPr>
        <w:lastRenderedPageBreak/>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rsidR="00B636AD" w:rsidRPr="005E4EEE" w:rsidRDefault="00B636AD" w:rsidP="00B636AD">
      <w:pPr>
        <w:spacing w:line="360" w:lineRule="auto"/>
        <w:jc w:val="both"/>
        <w:rPr>
          <w:rFonts w:ascii="Palatino Linotype" w:eastAsia="Calibri" w:hAnsi="Palatino Linotype" w:cs="Tahoma"/>
          <w:bCs/>
        </w:rPr>
      </w:pPr>
    </w:p>
    <w:p w:rsidR="00B636AD" w:rsidRPr="005E4EEE" w:rsidRDefault="00B636AD" w:rsidP="00B636AD">
      <w:pPr>
        <w:spacing w:line="360" w:lineRule="auto"/>
        <w:jc w:val="both"/>
        <w:rPr>
          <w:rFonts w:ascii="Palatino Linotype" w:eastAsia="Calibri" w:hAnsi="Palatino Linotype" w:cs="Tahoma"/>
          <w:bCs/>
        </w:rPr>
      </w:pPr>
      <w:r w:rsidRPr="005E4EEE">
        <w:rPr>
          <w:rFonts w:ascii="Palatino Linotype" w:eastAsia="Calibri" w:hAnsi="Palatino Linotype" w:cs="Tahoma"/>
          <w:bCs/>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rsidR="00B636AD" w:rsidRPr="005E4EEE" w:rsidRDefault="00B636AD" w:rsidP="00B636AD">
      <w:pPr>
        <w:spacing w:line="360" w:lineRule="auto"/>
        <w:jc w:val="both"/>
        <w:rPr>
          <w:rFonts w:ascii="Palatino Linotype" w:eastAsia="Calibri" w:hAnsi="Palatino Linotype" w:cs="Tahoma"/>
          <w:bCs/>
        </w:rPr>
      </w:pPr>
    </w:p>
    <w:p w:rsidR="00B636AD" w:rsidRDefault="00B636AD" w:rsidP="00B636AD">
      <w:pPr>
        <w:spacing w:line="360" w:lineRule="auto"/>
        <w:jc w:val="both"/>
        <w:rPr>
          <w:rFonts w:ascii="Palatino Linotype" w:eastAsia="Calibri" w:hAnsi="Palatino Linotype" w:cs="Tahoma"/>
          <w:bCs/>
        </w:rPr>
      </w:pPr>
      <w:r w:rsidRPr="005E4EEE">
        <w:rPr>
          <w:rFonts w:ascii="Palatino Linotype" w:eastAsia="Calibri" w:hAnsi="Palatino Linotype" w:cs="Tahoma"/>
          <w:bCs/>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rsidR="00B636AD" w:rsidRPr="00D67DF2" w:rsidRDefault="00B636AD" w:rsidP="00B636AD">
      <w:pPr>
        <w:spacing w:line="360" w:lineRule="auto"/>
        <w:ind w:right="-93"/>
        <w:jc w:val="both"/>
        <w:rPr>
          <w:rFonts w:ascii="Palatino Linotype" w:hAnsi="Palatino Linotype" w:cs="Tahoma"/>
          <w:b/>
          <w:lang w:val="es-ES"/>
        </w:rPr>
      </w:pPr>
    </w:p>
    <w:p w:rsidR="00B636AD" w:rsidRPr="003563A4" w:rsidRDefault="00B636AD" w:rsidP="00B636AD">
      <w:pPr>
        <w:pStyle w:val="Prrafodelista"/>
        <w:numPr>
          <w:ilvl w:val="0"/>
          <w:numId w:val="41"/>
        </w:numPr>
        <w:spacing w:line="360" w:lineRule="auto"/>
        <w:ind w:right="-93"/>
        <w:contextualSpacing/>
        <w:jc w:val="both"/>
        <w:rPr>
          <w:rFonts w:ascii="Palatino Linotype" w:hAnsi="Palatino Linotype" w:cs="Tahoma"/>
          <w:b/>
          <w:szCs w:val="22"/>
        </w:rPr>
      </w:pPr>
      <w:r w:rsidRPr="003563A4">
        <w:rPr>
          <w:rFonts w:ascii="Palatino Linotype" w:hAnsi="Palatino Linotype" w:cs="Tahoma"/>
          <w:b/>
          <w:szCs w:val="22"/>
        </w:rPr>
        <w:t>ANÁLISIS</w:t>
      </w:r>
      <w:r>
        <w:rPr>
          <w:rFonts w:ascii="Palatino Linotype" w:hAnsi="Palatino Linotype" w:cs="Tahoma"/>
          <w:b/>
          <w:szCs w:val="22"/>
        </w:rPr>
        <w:t xml:space="preserve"> </w:t>
      </w:r>
      <w:r w:rsidRPr="003563A4">
        <w:rPr>
          <w:rFonts w:ascii="Palatino Linotype" w:hAnsi="Palatino Linotype" w:cs="Tahoma"/>
          <w:b/>
          <w:szCs w:val="22"/>
        </w:rPr>
        <w:t xml:space="preserve">DE </w:t>
      </w:r>
      <w:r w:rsidRPr="003563A4">
        <w:rPr>
          <w:rFonts w:ascii="Palatino Linotype" w:eastAsia="Calibri" w:hAnsi="Palatino Linotype" w:cs="Tahoma"/>
          <w:b/>
          <w:iCs/>
          <w:szCs w:val="22"/>
          <w:lang w:eastAsia="es-ES_tradnl"/>
        </w:rPr>
        <w:t xml:space="preserve">TABULADOR DE SUELDOS Y SALARIOS DE </w:t>
      </w:r>
      <w:r w:rsidRPr="003563A4">
        <w:rPr>
          <w:rFonts w:ascii="Palatino Linotype" w:hAnsi="Palatino Linotype" w:cs="Tahoma"/>
          <w:b/>
          <w:bCs/>
        </w:rPr>
        <w:t>IMCUFIDETEQ 2019</w:t>
      </w:r>
      <w:r>
        <w:rPr>
          <w:rFonts w:ascii="Palatino Linotype" w:hAnsi="Palatino Linotype" w:cs="Tahoma"/>
          <w:b/>
          <w:bCs/>
        </w:rPr>
        <w:t>:</w:t>
      </w:r>
    </w:p>
    <w:p w:rsidR="00B636AD" w:rsidRPr="003563A4" w:rsidRDefault="00B636AD" w:rsidP="00B636AD">
      <w:pPr>
        <w:pStyle w:val="Prrafodelista"/>
        <w:spacing w:line="360" w:lineRule="auto"/>
        <w:ind w:right="-93"/>
        <w:jc w:val="both"/>
        <w:rPr>
          <w:rFonts w:ascii="Palatino Linotype" w:hAnsi="Palatino Linotype" w:cs="Tahoma"/>
          <w:b/>
          <w:szCs w:val="22"/>
        </w:rPr>
      </w:pPr>
    </w:p>
    <w:p w:rsidR="00B636AD" w:rsidRDefault="00B636AD" w:rsidP="00B636AD">
      <w:pPr>
        <w:spacing w:line="360" w:lineRule="auto"/>
        <w:jc w:val="both"/>
        <w:rPr>
          <w:rFonts w:ascii="Palatino Linotype" w:hAnsi="Palatino Linotype" w:cs="Tahoma"/>
          <w:lang w:val="es-ES"/>
        </w:rPr>
      </w:pPr>
      <w:r>
        <w:rPr>
          <w:rFonts w:ascii="Palatino Linotype" w:hAnsi="Palatino Linotype" w:cs="Tahoma"/>
          <w:lang w:val="es-ES"/>
        </w:rPr>
        <w:t>Conforme al</w:t>
      </w:r>
      <w:r w:rsidRPr="008C1123">
        <w:rPr>
          <w:rFonts w:ascii="Palatino Linotype" w:hAnsi="Palatino Linotype" w:cs="Tahoma"/>
          <w:lang w:val="es-ES"/>
        </w:rPr>
        <w:t xml:space="preserve"> </w:t>
      </w:r>
      <w:r w:rsidRPr="008C1123">
        <w:rPr>
          <w:rFonts w:ascii="Palatino Linotype" w:hAnsi="Palatino Linotype" w:cs="Tahoma"/>
          <w:b/>
          <w:lang w:val="es-ES"/>
        </w:rPr>
        <w:t>Manual para la Planeación, Programación y Presupuesto de Egresos Municipal para el Ejercicio Fiscal 2019</w:t>
      </w:r>
      <w:r w:rsidRPr="008C1123">
        <w:rPr>
          <w:rFonts w:ascii="Palatino Linotype" w:hAnsi="Palatino Linotype" w:cs="Tahoma"/>
          <w:lang w:val="es-ES"/>
        </w:rPr>
        <w:t xml:space="preserve">, apartados III.3.1, III.3.2 y III.4.1, determinan que, entre otros formatos, </w:t>
      </w:r>
      <w:r w:rsidRPr="008C1123">
        <w:rPr>
          <w:rFonts w:ascii="Palatino Linotype" w:hAnsi="Palatino Linotype" w:cs="Tahoma"/>
          <w:b/>
          <w:lang w:val="es-ES"/>
        </w:rPr>
        <w:t>el Proyecto de Presupuesto de Egresos deberá contener los Tabuladores de Sueldo</w:t>
      </w:r>
      <w:r w:rsidRPr="008C1123">
        <w:rPr>
          <w:rFonts w:ascii="Palatino Linotype" w:hAnsi="Palatino Linotype" w:cs="Tahoma"/>
          <w:lang w:val="es-ES"/>
        </w:rPr>
        <w:t>, los cuales deberán coincidir con el monto total presupuestado para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y deberá presentarse a más tardar el día 25 de febrero de cada año y debe ser enviado al Órgano Superior de Fiscalización en la misma fecha.</w:t>
      </w:r>
    </w:p>
    <w:p w:rsidR="00B636AD" w:rsidRDefault="00B636AD" w:rsidP="00B636AD">
      <w:pPr>
        <w:spacing w:line="360" w:lineRule="auto"/>
        <w:jc w:val="both"/>
        <w:rPr>
          <w:rFonts w:ascii="Palatino Linotype" w:hAnsi="Palatino Linotype" w:cs="Tahoma"/>
          <w:lang w:val="es-ES"/>
        </w:rPr>
      </w:pPr>
    </w:p>
    <w:p w:rsidR="00B636AD" w:rsidRPr="00E02660" w:rsidRDefault="00B636AD" w:rsidP="00B636AD">
      <w:pPr>
        <w:spacing w:line="360" w:lineRule="auto"/>
        <w:jc w:val="both"/>
        <w:rPr>
          <w:rFonts w:ascii="Palatino Linotype" w:eastAsia="Calibri" w:hAnsi="Palatino Linotype" w:cs="Tahoma"/>
          <w:bCs/>
          <w:lang w:val="es-ES"/>
        </w:rPr>
      </w:pPr>
      <w:r>
        <w:rPr>
          <w:rFonts w:ascii="Palatino Linotype" w:eastAsia="Calibri" w:hAnsi="Palatino Linotype" w:cs="Tahoma"/>
          <w:bCs/>
          <w:lang w:val="es-ES"/>
        </w:rPr>
        <w:t>E</w:t>
      </w:r>
      <w:r w:rsidRPr="00E02660">
        <w:rPr>
          <w:rFonts w:ascii="Palatino Linotype" w:eastAsia="Calibri" w:hAnsi="Palatino Linotype" w:cs="Tahoma"/>
          <w:bCs/>
          <w:lang w:val="es-ES"/>
        </w:rPr>
        <w:t>l referido Manual</w:t>
      </w:r>
      <w:r>
        <w:rPr>
          <w:rFonts w:ascii="Palatino Linotype" w:eastAsia="Calibri" w:hAnsi="Palatino Linotype" w:cs="Tahoma"/>
          <w:bCs/>
          <w:lang w:val="es-ES"/>
        </w:rPr>
        <w:t>, además</w:t>
      </w:r>
      <w:r w:rsidRPr="00E02660">
        <w:rPr>
          <w:rFonts w:ascii="Palatino Linotype" w:eastAsia="Calibri" w:hAnsi="Palatino Linotype" w:cs="Tahoma"/>
          <w:bCs/>
          <w:lang w:val="es-ES"/>
        </w:rPr>
        <w:t xml:space="preserve"> indica que el Tabulador de Sueldos tiene como alcance registrar las remuneraciones que se perciben por el empleo, cargo o comisión de cualquier naturaleza por los servidores públicos municipales y ejemplifica un formato del Tabulador de Sueldos que deberán presentar los Ayuntamientos y Organismos Descentralizados Municipales</w:t>
      </w:r>
      <w:r>
        <w:rPr>
          <w:rFonts w:ascii="Palatino Linotype" w:eastAsia="Calibri" w:hAnsi="Palatino Linotype" w:cs="Tahoma"/>
          <w:bCs/>
          <w:lang w:val="es-ES"/>
        </w:rPr>
        <w:t>;</w:t>
      </w:r>
      <w:r w:rsidRPr="00E02660">
        <w:rPr>
          <w:rFonts w:ascii="Palatino Linotype" w:eastAsia="Calibri" w:hAnsi="Palatino Linotype" w:cs="Tahoma"/>
          <w:bCs/>
          <w:lang w:val="es-ES"/>
        </w:rPr>
        <w:t xml:space="preserve"> </w:t>
      </w:r>
      <w:r>
        <w:rPr>
          <w:rFonts w:ascii="Palatino Linotype" w:eastAsia="Calibri" w:hAnsi="Palatino Linotype" w:cs="Tahoma"/>
          <w:bCs/>
          <w:lang w:val="es-ES"/>
        </w:rPr>
        <w:t>p</w:t>
      </w:r>
      <w:r w:rsidRPr="00E02660">
        <w:rPr>
          <w:rFonts w:ascii="Palatino Linotype" w:eastAsia="Calibri" w:hAnsi="Palatino Linotype" w:cs="Tahoma"/>
          <w:bCs/>
          <w:lang w:val="es-ES"/>
        </w:rPr>
        <w:t>ara pronta Referencia se muestra un extracto:</w:t>
      </w:r>
    </w:p>
    <w:p w:rsidR="00B636AD" w:rsidRPr="00E02660" w:rsidRDefault="00B636AD" w:rsidP="00B636AD">
      <w:pPr>
        <w:spacing w:line="360" w:lineRule="auto"/>
        <w:jc w:val="both"/>
        <w:rPr>
          <w:rFonts w:ascii="Palatino Linotype" w:eastAsia="Calibri" w:hAnsi="Palatino Linotype" w:cs="Tahoma"/>
          <w:bCs/>
          <w:lang w:val="es-ES"/>
        </w:rPr>
      </w:pPr>
      <w:r w:rsidRPr="00E02660">
        <w:rPr>
          <w:noProof/>
          <w:lang w:eastAsia="es-MX"/>
        </w:rPr>
        <w:lastRenderedPageBreak/>
        <w:drawing>
          <wp:inline distT="0" distB="0" distL="0" distR="0" wp14:anchorId="306682CB" wp14:editId="67B46E93">
            <wp:extent cx="5742940" cy="318071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180715"/>
                    </a:xfrm>
                    <a:prstGeom prst="rect">
                      <a:avLst/>
                    </a:prstGeom>
                  </pic:spPr>
                </pic:pic>
              </a:graphicData>
            </a:graphic>
          </wp:inline>
        </w:drawing>
      </w:r>
    </w:p>
    <w:p w:rsidR="00B636AD" w:rsidRPr="00E02660" w:rsidRDefault="00B636AD" w:rsidP="00B636AD">
      <w:pPr>
        <w:spacing w:line="360" w:lineRule="auto"/>
        <w:jc w:val="both"/>
        <w:rPr>
          <w:rFonts w:ascii="Palatino Linotype" w:eastAsia="Calibri" w:hAnsi="Palatino Linotype" w:cs="Tahoma"/>
          <w:bCs/>
          <w:lang w:val="es-ES"/>
        </w:rPr>
      </w:pPr>
    </w:p>
    <w:p w:rsidR="00B636AD" w:rsidRPr="00E02660" w:rsidRDefault="00B636AD" w:rsidP="00B636AD">
      <w:pPr>
        <w:spacing w:line="360" w:lineRule="auto"/>
        <w:jc w:val="both"/>
        <w:rPr>
          <w:rFonts w:ascii="Palatino Linotype" w:eastAsia="Calibri" w:hAnsi="Palatino Linotype" w:cs="Tahoma"/>
          <w:bCs/>
          <w:lang w:val="es-ES"/>
        </w:rPr>
      </w:pPr>
      <w:r w:rsidRPr="00E02660">
        <w:rPr>
          <w:rFonts w:ascii="Palatino Linotype" w:eastAsia="Calibri" w:hAnsi="Palatino Linotype" w:cs="Tahoma"/>
          <w:bCs/>
          <w:lang w:val="es-ES"/>
        </w:rPr>
        <w:t>De la imagen anterior, se puede advertir que el Tabulador de Sueldos contiene, entre otros rubros, el de “categoría”, el cual, de conformidad con el glosario del mismo Manual, contendrá la denominación que corresponda a cada uno de los grupos de los puestos laborales.</w:t>
      </w:r>
    </w:p>
    <w:p w:rsidR="00B636AD" w:rsidRPr="00E02660" w:rsidRDefault="00B636AD" w:rsidP="00B636AD">
      <w:pPr>
        <w:spacing w:line="360" w:lineRule="auto"/>
        <w:jc w:val="both"/>
        <w:rPr>
          <w:rFonts w:ascii="Palatino Linotype" w:eastAsia="Calibri" w:hAnsi="Palatino Linotype" w:cs="Tahoma"/>
          <w:bCs/>
          <w:lang w:val="es-ES"/>
        </w:rPr>
      </w:pPr>
    </w:p>
    <w:p w:rsidR="00B636AD" w:rsidRPr="00E02660" w:rsidRDefault="00B636AD" w:rsidP="00B636AD">
      <w:pPr>
        <w:spacing w:line="360" w:lineRule="auto"/>
        <w:jc w:val="both"/>
        <w:rPr>
          <w:rFonts w:ascii="Palatino Linotype" w:eastAsia="Calibri" w:hAnsi="Palatino Linotype" w:cs="Tahoma"/>
          <w:bCs/>
          <w:lang w:val="es-ES"/>
        </w:rPr>
      </w:pPr>
      <w:r w:rsidRPr="00E02660">
        <w:rPr>
          <w:rFonts w:ascii="Palatino Linotype" w:eastAsia="Calibri" w:hAnsi="Palatino Linotype" w:cs="Tahoma"/>
          <w:bCs/>
          <w:lang w:val="es-ES"/>
        </w:rPr>
        <w:t>Entonces, retomando la solicitud del Particular, a saber,</w:t>
      </w:r>
      <w:r w:rsidRPr="008C1123">
        <w:rPr>
          <w:rFonts w:ascii="Palatino Linotype" w:eastAsia="Calibri" w:hAnsi="Palatino Linotype" w:cs="Tahoma"/>
          <w:bCs/>
          <w:i/>
          <w:lang w:val="es-ES"/>
        </w:rPr>
        <w:t xml:space="preserve"> “El tabulador de sueldos y salarios de IMCUFIDETEQ 2019.”</w:t>
      </w:r>
      <w:r>
        <w:rPr>
          <w:rFonts w:ascii="Palatino Linotype" w:eastAsia="Calibri" w:hAnsi="Palatino Linotype" w:cs="Tahoma"/>
          <w:bCs/>
          <w:lang w:val="es-ES"/>
        </w:rPr>
        <w:t xml:space="preserve"> (</w:t>
      </w:r>
      <w:r w:rsidRPr="00541950">
        <w:rPr>
          <w:rFonts w:ascii="Palatino Linotype" w:eastAsia="Calibri" w:hAnsi="Palatino Linotype" w:cs="Tahoma"/>
          <w:bCs/>
          <w:i/>
          <w:lang w:val="es-ES"/>
        </w:rPr>
        <w:t>sic.</w:t>
      </w:r>
      <w:r>
        <w:rPr>
          <w:rFonts w:ascii="Palatino Linotype" w:eastAsia="Calibri" w:hAnsi="Palatino Linotype" w:cs="Tahoma"/>
          <w:bCs/>
          <w:lang w:val="es-ES"/>
        </w:rPr>
        <w:t>)</w:t>
      </w:r>
      <w:r w:rsidRPr="00E02660">
        <w:rPr>
          <w:rFonts w:ascii="Palatino Linotype" w:eastAsia="Calibri" w:hAnsi="Palatino Linotype" w:cs="Tahoma"/>
          <w:bCs/>
          <w:lang w:val="es-ES"/>
        </w:rPr>
        <w:t>, a la luz de la normatividad analizada, se puede decir válidamente que el Particular pretende tener acceso al formato denominado Tabulador de Sueldos que contiene la</w:t>
      </w:r>
      <w:r>
        <w:rPr>
          <w:rFonts w:ascii="Palatino Linotype" w:eastAsia="Calibri" w:hAnsi="Palatino Linotype" w:cs="Tahoma"/>
          <w:bCs/>
          <w:lang w:val="es-ES"/>
        </w:rPr>
        <w:t>s</w:t>
      </w:r>
      <w:r w:rsidRPr="00E02660">
        <w:rPr>
          <w:rFonts w:ascii="Palatino Linotype" w:eastAsia="Calibri" w:hAnsi="Palatino Linotype" w:cs="Tahoma"/>
          <w:bCs/>
          <w:lang w:val="es-ES"/>
        </w:rPr>
        <w:t xml:space="preserve"> categorías descriptivas para los pagos de trabajadores eventuales, de confianza y asimilados a salarios, con el n</w:t>
      </w:r>
      <w:r>
        <w:rPr>
          <w:rFonts w:ascii="Palatino Linotype" w:eastAsia="Calibri" w:hAnsi="Palatino Linotype" w:cs="Tahoma"/>
          <w:bCs/>
          <w:lang w:val="es-ES"/>
        </w:rPr>
        <w:t>ú</w:t>
      </w:r>
      <w:r w:rsidRPr="00E02660">
        <w:rPr>
          <w:rFonts w:ascii="Palatino Linotype" w:eastAsia="Calibri" w:hAnsi="Palatino Linotype" w:cs="Tahoma"/>
          <w:bCs/>
          <w:lang w:val="es-ES"/>
        </w:rPr>
        <w:t>mero espec</w:t>
      </w:r>
      <w:r>
        <w:rPr>
          <w:rFonts w:ascii="Palatino Linotype" w:eastAsia="Calibri" w:hAnsi="Palatino Linotype" w:cs="Tahoma"/>
          <w:bCs/>
          <w:lang w:val="es-ES"/>
        </w:rPr>
        <w:t>í</w:t>
      </w:r>
      <w:r w:rsidRPr="00E02660">
        <w:rPr>
          <w:rFonts w:ascii="Palatino Linotype" w:eastAsia="Calibri" w:hAnsi="Palatino Linotype" w:cs="Tahoma"/>
          <w:bCs/>
          <w:lang w:val="es-ES"/>
        </w:rPr>
        <w:t>fico de trabajadores por categoría.</w:t>
      </w:r>
    </w:p>
    <w:p w:rsidR="00B636AD" w:rsidRPr="00E02660" w:rsidRDefault="00B636AD" w:rsidP="00B636AD">
      <w:pPr>
        <w:spacing w:line="360" w:lineRule="auto"/>
        <w:jc w:val="both"/>
        <w:rPr>
          <w:rFonts w:ascii="Palatino Linotype" w:eastAsia="Calibri" w:hAnsi="Palatino Linotype" w:cs="Tahoma"/>
          <w:bCs/>
          <w:lang w:val="es-ES"/>
        </w:rPr>
      </w:pPr>
    </w:p>
    <w:p w:rsidR="00D00ED6" w:rsidRPr="00B636AD" w:rsidRDefault="00B636AD" w:rsidP="00D00ED6">
      <w:pPr>
        <w:pStyle w:val="Sinespaciado"/>
        <w:spacing w:line="360" w:lineRule="auto"/>
        <w:jc w:val="both"/>
        <w:rPr>
          <w:rFonts w:ascii="Palatino Linotype" w:eastAsia="Calibri" w:hAnsi="Palatino Linotype" w:cs="Tahoma"/>
          <w:b/>
          <w:bCs/>
        </w:rPr>
      </w:pPr>
      <w:r>
        <w:rPr>
          <w:rFonts w:ascii="Palatino Linotype" w:eastAsia="Calibri" w:hAnsi="Palatino Linotype" w:cs="Tahoma"/>
          <w:bCs/>
          <w:lang w:val="es-ES"/>
        </w:rPr>
        <w:t xml:space="preserve">Por lo tanto, </w:t>
      </w:r>
      <w:r w:rsidRPr="00E02660">
        <w:rPr>
          <w:rFonts w:ascii="Palatino Linotype" w:eastAsia="Calibri" w:hAnsi="Palatino Linotype" w:cs="Tahoma"/>
          <w:bCs/>
          <w:lang w:val="es-ES"/>
        </w:rPr>
        <w:t xml:space="preserve">el Sujeto Obligado, </w:t>
      </w:r>
      <w:r>
        <w:rPr>
          <w:rFonts w:ascii="Palatino Linotype" w:eastAsia="Calibri" w:hAnsi="Palatino Linotype" w:cs="Tahoma"/>
          <w:bCs/>
          <w:lang w:val="es-ES"/>
        </w:rPr>
        <w:t xml:space="preserve">tiene entre sus atribuciones contar </w:t>
      </w:r>
      <w:r w:rsidRPr="00E02660">
        <w:rPr>
          <w:rFonts w:ascii="Palatino Linotype" w:eastAsia="Calibri" w:hAnsi="Palatino Linotype" w:cs="Tahoma"/>
          <w:b/>
          <w:bCs/>
          <w:lang w:val="es-ES"/>
        </w:rPr>
        <w:t>con la información re</w:t>
      </w:r>
      <w:r>
        <w:rPr>
          <w:rFonts w:ascii="Palatino Linotype" w:eastAsia="Calibri" w:hAnsi="Palatino Linotype" w:cs="Tahoma"/>
          <w:b/>
          <w:bCs/>
          <w:lang w:val="es-ES"/>
        </w:rPr>
        <w:t xml:space="preserve">querida por el Particular, debido a que tiene obligación de integrar, aprobar y </w:t>
      </w:r>
      <w:r w:rsidRPr="00E02660">
        <w:rPr>
          <w:rFonts w:ascii="Palatino Linotype" w:eastAsia="Calibri" w:hAnsi="Palatino Linotype" w:cs="Tahoma"/>
          <w:b/>
          <w:bCs/>
          <w:lang w:val="es-ES"/>
        </w:rPr>
        <w:t xml:space="preserve">publicar el </w:t>
      </w:r>
      <w:r w:rsidRPr="00E02660">
        <w:rPr>
          <w:rFonts w:ascii="Palatino Linotype" w:eastAsia="Calibri" w:hAnsi="Palatino Linotype" w:cs="Tahoma"/>
          <w:b/>
          <w:bCs/>
          <w:lang w:val="es-ES"/>
        </w:rPr>
        <w:lastRenderedPageBreak/>
        <w:t>Presupuesto de Egresos Municipal</w:t>
      </w:r>
      <w:r w:rsidRPr="00E02660">
        <w:rPr>
          <w:rFonts w:ascii="Palatino Linotype" w:eastAsia="Calibri" w:hAnsi="Palatino Linotype" w:cs="Tahoma"/>
          <w:bCs/>
          <w:lang w:val="es-ES"/>
        </w:rPr>
        <w:t>, el cual incluye</w:t>
      </w:r>
      <w:r w:rsidRPr="00E02660">
        <w:rPr>
          <w:rFonts w:ascii="Palatino Linotype" w:eastAsia="Calibri" w:hAnsi="Palatino Linotype" w:cs="Tahoma"/>
          <w:b/>
          <w:bCs/>
        </w:rPr>
        <w:t xml:space="preserve"> los tabuladores desglosados de las remuneraciones que percib</w:t>
      </w:r>
      <w:r>
        <w:rPr>
          <w:rFonts w:ascii="Palatino Linotype" w:eastAsia="Calibri" w:hAnsi="Palatino Linotype" w:cs="Tahoma"/>
          <w:b/>
          <w:bCs/>
        </w:rPr>
        <w:t>irá</w:t>
      </w:r>
      <w:r w:rsidRPr="00E02660">
        <w:rPr>
          <w:rFonts w:ascii="Palatino Linotype" w:eastAsia="Calibri" w:hAnsi="Palatino Linotype" w:cs="Tahoma"/>
          <w:b/>
          <w:bCs/>
        </w:rPr>
        <w:t xml:space="preserve">n los servidores públicos municipales. </w:t>
      </w:r>
    </w:p>
    <w:p w:rsidR="00D00ED6" w:rsidRPr="00CA6BAD" w:rsidRDefault="00D00ED6" w:rsidP="00D00ED6">
      <w:pPr>
        <w:pStyle w:val="Sinespaciado"/>
        <w:spacing w:line="360" w:lineRule="auto"/>
        <w:jc w:val="both"/>
        <w:rPr>
          <w:rFonts w:ascii="Palatino Linotype" w:hAnsi="Palatino Linotype"/>
          <w:sz w:val="24"/>
        </w:rPr>
      </w:pPr>
    </w:p>
    <w:p w:rsidR="00D00ED6" w:rsidRPr="00CA6BAD" w:rsidRDefault="00D00ED6" w:rsidP="00FD7CD2">
      <w:pPr>
        <w:pStyle w:val="Sinespaciado"/>
        <w:numPr>
          <w:ilvl w:val="0"/>
          <w:numId w:val="41"/>
        </w:numPr>
        <w:spacing w:line="360" w:lineRule="auto"/>
        <w:jc w:val="both"/>
        <w:rPr>
          <w:rFonts w:ascii="Palatino Linotype" w:hAnsi="Palatino Linotype"/>
          <w:b/>
          <w:i/>
          <w:sz w:val="28"/>
          <w:szCs w:val="28"/>
          <w:u w:val="single"/>
        </w:rPr>
      </w:pPr>
      <w:r w:rsidRPr="00CA6BAD">
        <w:rPr>
          <w:rFonts w:ascii="Palatino Linotype" w:hAnsi="Palatino Linotype"/>
          <w:b/>
          <w:i/>
          <w:sz w:val="28"/>
          <w:szCs w:val="28"/>
          <w:u w:val="single"/>
        </w:rPr>
        <w:t>De la Versión Pública.</w:t>
      </w:r>
    </w:p>
    <w:p w:rsidR="000C734E" w:rsidRPr="00875058" w:rsidRDefault="000C734E" w:rsidP="000C734E">
      <w:pPr>
        <w:spacing w:line="360" w:lineRule="auto"/>
        <w:ind w:right="-93"/>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 xml:space="preserve">Como se ha precisado y por lo señalado por el Sujeto Obligado </w:t>
      </w:r>
      <w:r w:rsidRPr="00875058">
        <w:rPr>
          <w:rFonts w:ascii="Palatino Linotype" w:eastAsia="Calibri" w:hAnsi="Palatino Linotype" w:cs="Tahoma"/>
          <w:bCs/>
          <w:iCs/>
          <w:lang w:eastAsia="es-ES_tradnl"/>
        </w:rPr>
        <w:t xml:space="preserve">es </w:t>
      </w:r>
      <w:r w:rsidRPr="00875058">
        <w:rPr>
          <w:rFonts w:ascii="Palatino Linotype" w:eastAsia="Calibri" w:hAnsi="Palatino Linotype" w:cs="Tahoma"/>
          <w:bCs/>
          <w:lang w:val="es-ES_tradnl"/>
        </w:rPr>
        <w:t>posible</w:t>
      </w:r>
      <w:r w:rsidRPr="00875058">
        <w:rPr>
          <w:rFonts w:ascii="Palatino Linotype" w:eastAsia="Calibri" w:hAnsi="Palatino Linotype" w:cs="Tahoma"/>
          <w:bCs/>
          <w:iCs/>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000C734E" w:rsidRPr="00875058" w:rsidRDefault="000C734E" w:rsidP="000C734E">
      <w:pPr>
        <w:tabs>
          <w:tab w:val="left" w:pos="3198"/>
        </w:tabs>
        <w:spacing w:line="360" w:lineRule="auto"/>
        <w:ind w:right="-93"/>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ab/>
      </w:r>
    </w:p>
    <w:p w:rsidR="000C734E" w:rsidRPr="00875058" w:rsidRDefault="000C734E" w:rsidP="000C734E">
      <w:pPr>
        <w:tabs>
          <w:tab w:val="left" w:pos="4962"/>
        </w:tabs>
        <w:spacing w:line="360" w:lineRule="auto"/>
        <w:jc w:val="both"/>
        <w:rPr>
          <w:rFonts w:ascii="Palatino Linotype" w:hAnsi="Palatino Linotype" w:cs="Tahoma"/>
        </w:rPr>
      </w:pPr>
      <w:r w:rsidRPr="00875058">
        <w:rPr>
          <w:rFonts w:ascii="Palatino Linotype" w:hAnsi="Palatino Linotype" w:cs="Tahoma"/>
          <w:lang w:val="es-ES"/>
        </w:rPr>
        <w:t xml:space="preserve">Adicional a lo anterior, </w:t>
      </w:r>
      <w:r>
        <w:rPr>
          <w:rFonts w:ascii="Palatino Linotype" w:hAnsi="Palatino Linotype" w:cs="Tahoma"/>
          <w:lang w:val="es-ES"/>
        </w:rPr>
        <w:t>se a</w:t>
      </w:r>
      <w:r w:rsidRPr="00875058">
        <w:rPr>
          <w:rFonts w:ascii="Palatino Linotype" w:hAnsi="Palatino Linotype" w:cs="Tahoma"/>
          <w:lang w:val="es-ES"/>
        </w:rPr>
        <w:t xml:space="preserve">dvierte que en </w:t>
      </w:r>
      <w:r>
        <w:rPr>
          <w:rFonts w:ascii="Palatino Linotype" w:hAnsi="Palatino Linotype" w:cs="Tahoma"/>
          <w:lang w:val="es-ES"/>
        </w:rPr>
        <w:t>los documentos que se ordenan entregar</w:t>
      </w:r>
      <w:r w:rsidRPr="00875058">
        <w:rPr>
          <w:rFonts w:ascii="Palatino Linotype" w:hAnsi="Palatino Linotype" w:cs="Tahoma"/>
          <w:lang w:val="es-ES"/>
        </w:rPr>
        <w:t xml:space="preserve"> </w:t>
      </w:r>
      <w:r>
        <w:rPr>
          <w:rFonts w:ascii="Palatino Linotype" w:hAnsi="Palatino Linotype" w:cs="Tahoma"/>
          <w:lang w:val="es-ES"/>
        </w:rPr>
        <w:t xml:space="preserve">pudieran contener </w:t>
      </w:r>
      <w:r w:rsidRPr="00875058">
        <w:rPr>
          <w:rFonts w:ascii="Palatino Linotype" w:hAnsi="Palatino Linotype" w:cs="Tahoma"/>
          <w:lang w:val="es-ES"/>
        </w:rPr>
        <w:t>diversos datos personales relacionados con la vida privada de los servidores públicos, por lo que conviene analizar la naturaleza de estos.</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rPr>
      </w:pPr>
      <w:r w:rsidRPr="00875058">
        <w:rPr>
          <w:rFonts w:ascii="Palatino Linotype" w:hAnsi="Palatino Linotype" w:cs="Tahoma"/>
          <w:bCs/>
          <w:iCs/>
        </w:rPr>
        <w:t>En efecto, cuando los documentos de acceso público</w:t>
      </w:r>
      <w:r w:rsidRPr="00875058">
        <w:rPr>
          <w:rFonts w:ascii="Palatino Linotype" w:hAnsi="Palatino Linotype" w:cs="Tahoma"/>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0C734E" w:rsidRPr="00875058" w:rsidRDefault="000C734E" w:rsidP="000C734E">
      <w:pPr>
        <w:spacing w:line="360" w:lineRule="auto"/>
        <w:ind w:right="-93"/>
        <w:jc w:val="both"/>
        <w:rPr>
          <w:rFonts w:ascii="Palatino Linotype" w:hAnsi="Palatino Linotype" w:cs="Tahoma"/>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 xml:space="preserve">Por su parte, el artículo 24, fracción VI, de la Ley de Transparencia y Acceso a la Información Pública del Estado de México y Municipios, precisa que los Sujetos Obligados serán los </w:t>
      </w:r>
      <w:r w:rsidRPr="00875058">
        <w:rPr>
          <w:rFonts w:ascii="Palatino Linotype" w:hAnsi="Palatino Linotype" w:cs="Tahoma"/>
          <w:bCs/>
          <w:iCs/>
        </w:rPr>
        <w:lastRenderedPageBreak/>
        <w:t>responsables de proteger y resguardar la información clasificada como reservada o confidencial.</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lang w:val="es-ES"/>
        </w:rPr>
      </w:pPr>
      <w:r w:rsidRPr="00875058">
        <w:rPr>
          <w:rFonts w:ascii="Palatino Linotype" w:hAnsi="Palatino Linotype" w:cs="Tahoma"/>
          <w:bCs/>
          <w:iCs/>
        </w:rPr>
        <w:t xml:space="preserve">Asimismo, en el artículo 145 de la Ley de Transparencia y Acceso a la Información Pública del Estado de México y Municipios, prevé que para que los Sujetos Obligados </w:t>
      </w:r>
      <w:r w:rsidRPr="00875058">
        <w:rPr>
          <w:rFonts w:ascii="Palatino Linotype" w:hAnsi="Palatino Linotype" w:cs="Tahoma"/>
          <w:bCs/>
          <w:iCs/>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lang w:val="es-ES"/>
        </w:rPr>
      </w:pPr>
      <w:r w:rsidRPr="00875058">
        <w:rPr>
          <w:rFonts w:ascii="Palatino Linotype" w:hAnsi="Palatino Linotype" w:cs="Tahoma"/>
          <w:bCs/>
          <w:iCs/>
          <w:lang w:val="es-ES"/>
        </w:rPr>
        <w:t>En términos de lo expuesto, la documentación y aquellos datos que se consideren confidenciales, serán una limitante del derecho de acceso a la información, siempre y cuando:</w:t>
      </w:r>
    </w:p>
    <w:p w:rsidR="000C734E" w:rsidRPr="00875058" w:rsidRDefault="000C734E" w:rsidP="000C734E">
      <w:pPr>
        <w:spacing w:line="360" w:lineRule="auto"/>
        <w:ind w:right="-93"/>
        <w:jc w:val="both"/>
        <w:rPr>
          <w:rFonts w:ascii="Palatino Linotype" w:hAnsi="Palatino Linotype" w:cs="Tahoma"/>
          <w:bCs/>
          <w:iCs/>
          <w:lang w:val="es-ES"/>
        </w:rPr>
      </w:pPr>
    </w:p>
    <w:p w:rsidR="000C734E" w:rsidRPr="00875058" w:rsidRDefault="000C734E" w:rsidP="000C734E">
      <w:pPr>
        <w:numPr>
          <w:ilvl w:val="0"/>
          <w:numId w:val="43"/>
        </w:numPr>
        <w:spacing w:after="0" w:line="360" w:lineRule="auto"/>
        <w:ind w:right="-93"/>
        <w:jc w:val="both"/>
        <w:rPr>
          <w:rFonts w:ascii="Palatino Linotype" w:hAnsi="Palatino Linotype" w:cs="Tahoma"/>
          <w:bCs/>
          <w:iCs/>
          <w:lang w:val="es-ES"/>
        </w:rPr>
      </w:pPr>
      <w:r w:rsidRPr="00875058">
        <w:rPr>
          <w:rFonts w:ascii="Palatino Linotype" w:hAnsi="Palatino Linotype" w:cs="Tahoma"/>
          <w:bCs/>
          <w:iCs/>
          <w:lang w:val="es-ES"/>
        </w:rPr>
        <w:t xml:space="preserve">Se trate de datos personales o información privada; esto es, información concerniente a una persona física o jurídico colectiva y que esta sea identificada o identificable. </w:t>
      </w:r>
    </w:p>
    <w:p w:rsidR="000C734E" w:rsidRPr="00875058" w:rsidRDefault="000C734E" w:rsidP="000C734E">
      <w:pPr>
        <w:spacing w:line="360" w:lineRule="auto"/>
        <w:ind w:right="-93"/>
        <w:jc w:val="both"/>
        <w:rPr>
          <w:rFonts w:ascii="Palatino Linotype" w:hAnsi="Palatino Linotype" w:cs="Tahoma"/>
          <w:bCs/>
          <w:iCs/>
          <w:lang w:val="es-ES"/>
        </w:rPr>
      </w:pPr>
    </w:p>
    <w:p w:rsidR="000C734E" w:rsidRPr="00875058" w:rsidRDefault="000C734E" w:rsidP="000C734E">
      <w:pPr>
        <w:numPr>
          <w:ilvl w:val="0"/>
          <w:numId w:val="43"/>
        </w:numPr>
        <w:spacing w:after="0" w:line="360" w:lineRule="auto"/>
        <w:ind w:right="-93"/>
        <w:jc w:val="both"/>
        <w:rPr>
          <w:rFonts w:ascii="Palatino Linotype" w:hAnsi="Palatino Linotype" w:cs="Tahoma"/>
          <w:bCs/>
          <w:iCs/>
          <w:lang w:val="es-ES"/>
        </w:rPr>
      </w:pPr>
      <w:r w:rsidRPr="00875058">
        <w:rPr>
          <w:rFonts w:ascii="Palatino Linotype" w:hAnsi="Palatino Linotype" w:cs="Tahoma"/>
          <w:bCs/>
          <w:iCs/>
          <w:lang w:val="es-ES"/>
        </w:rPr>
        <w:t xml:space="preserve">Para la difusión de los datos, se requiera el consentimiento del titular. </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Además, en el artículo 5° de dicho ordenamiento jurídico, establece que es la Ley aplicable para todo tratamiento de datos personales.</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w:t>
      </w:r>
      <w:r w:rsidRPr="00875058">
        <w:rPr>
          <w:rFonts w:ascii="Palatino Linotype" w:hAnsi="Palatino Linotype" w:cs="Tahoma"/>
          <w:bCs/>
          <w:iCs/>
        </w:rPr>
        <w:lastRenderedPageBreak/>
        <w:t>este sentido, cualquier información que por sí sola o relacionada con otra permita hacer identificable a una persona, es un dato personal, susceptible de ser clasificado.</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De tal suerte, las instituciones públicas tienen la doble responsabilidad, por un lado, de proteger los datos personales y por otro, darles publicidad cuando la relevancia de esos datos sea de interés público.</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0C734E" w:rsidRPr="00875058" w:rsidRDefault="000C734E" w:rsidP="000C734E">
      <w:pPr>
        <w:spacing w:line="360" w:lineRule="auto"/>
        <w:ind w:right="-93"/>
        <w:jc w:val="both"/>
        <w:rPr>
          <w:rFonts w:ascii="Palatino Linotype" w:hAnsi="Palatino Linotype" w:cs="Tahoma"/>
          <w:bCs/>
          <w:iCs/>
        </w:rPr>
      </w:pPr>
    </w:p>
    <w:p w:rsidR="000C734E" w:rsidRPr="00875058" w:rsidRDefault="000C734E" w:rsidP="000C734E">
      <w:pPr>
        <w:spacing w:line="360" w:lineRule="auto"/>
        <w:ind w:right="-93"/>
        <w:jc w:val="both"/>
        <w:rPr>
          <w:rFonts w:ascii="Palatino Linotype" w:hAnsi="Palatino Linotype" w:cs="Tahoma"/>
          <w:bCs/>
          <w:iCs/>
        </w:rPr>
      </w:pPr>
      <w:r w:rsidRPr="00875058">
        <w:rPr>
          <w:rFonts w:ascii="Palatino Linotype" w:hAnsi="Palatino Linotype" w:cs="Tahoma"/>
          <w:bCs/>
          <w:iCs/>
        </w:rPr>
        <w:t xml:space="preserve">Ahora bien, cuando las personas tienen una relación comercial, </w:t>
      </w:r>
      <w:r w:rsidRPr="00875058">
        <w:rPr>
          <w:rFonts w:ascii="Palatino Linotype" w:hAnsi="Palatino Linotype" w:cs="Tahoma"/>
          <w:bCs/>
          <w:iCs/>
          <w:u w:val="single"/>
        </w:rPr>
        <w:t>laboral</w:t>
      </w:r>
      <w:r w:rsidRPr="00875058">
        <w:rPr>
          <w:rFonts w:ascii="Palatino Linotype" w:hAnsi="Palatino Linotype" w:cs="Tahoma"/>
          <w:bCs/>
          <w:iCs/>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0C734E" w:rsidRDefault="000C734E" w:rsidP="000C734E">
      <w:pPr>
        <w:spacing w:line="360" w:lineRule="auto"/>
        <w:ind w:right="-93"/>
        <w:jc w:val="both"/>
        <w:rPr>
          <w:rFonts w:ascii="Palatino Linotype" w:hAnsi="Palatino Linotype" w:cs="Tahoma"/>
          <w:bCs/>
          <w:iCs/>
        </w:rPr>
      </w:pPr>
    </w:p>
    <w:p w:rsidR="000C734E" w:rsidRPr="00715850" w:rsidRDefault="000C734E" w:rsidP="000C734E">
      <w:pPr>
        <w:spacing w:line="360" w:lineRule="auto"/>
        <w:ind w:right="-93"/>
        <w:jc w:val="both"/>
        <w:rPr>
          <w:rFonts w:ascii="Palatino Linotype" w:hAnsi="Palatino Linotype" w:cs="Tahoma"/>
          <w:bCs/>
          <w:iCs/>
        </w:rPr>
      </w:pPr>
      <w:r w:rsidRPr="00715850">
        <w:rPr>
          <w:rFonts w:ascii="Palatino Linotype" w:hAnsi="Palatino Linotype" w:cs="Tahoma"/>
          <w:bCs/>
          <w:iCs/>
        </w:rPr>
        <w:t xml:space="preserve">Bajo este esquema a continuación se analizan los datos personales, que de manera enunciativa mas no limitativa, pudieran encontrarse en </w:t>
      </w:r>
      <w:r>
        <w:rPr>
          <w:rFonts w:ascii="Palatino Linotype" w:hAnsi="Palatino Linotype" w:cs="Tahoma"/>
          <w:bCs/>
          <w:iCs/>
        </w:rPr>
        <w:t xml:space="preserve">los documentos que se ordenan entregar </w:t>
      </w:r>
      <w:r w:rsidRPr="00715850">
        <w:rPr>
          <w:rFonts w:ascii="Palatino Linotype" w:hAnsi="Palatino Linotype" w:cs="Tahoma"/>
          <w:bCs/>
          <w:iCs/>
        </w:rPr>
        <w:t xml:space="preserve">susceptibles de clasificación, tales como el </w:t>
      </w:r>
      <w:r w:rsidRPr="00715850">
        <w:rPr>
          <w:rFonts w:ascii="Palatino Linotype" w:hAnsi="Palatino Linotype" w:cs="Tahoma"/>
          <w:b/>
          <w:bCs/>
          <w:iCs/>
        </w:rPr>
        <w:t>Registro Federal de Contribuyentes</w:t>
      </w:r>
      <w:r w:rsidRPr="00715850">
        <w:rPr>
          <w:rFonts w:ascii="Palatino Linotype" w:hAnsi="Palatino Linotype" w:cs="Tahoma"/>
          <w:bCs/>
          <w:iCs/>
        </w:rPr>
        <w:t xml:space="preserve"> (RFC), la </w:t>
      </w:r>
      <w:r w:rsidRPr="00715850">
        <w:rPr>
          <w:rFonts w:ascii="Palatino Linotype" w:hAnsi="Palatino Linotype" w:cs="Tahoma"/>
          <w:b/>
          <w:bCs/>
          <w:iCs/>
        </w:rPr>
        <w:t>Clave Única de Registro de Población</w:t>
      </w:r>
      <w:r w:rsidRPr="00715850">
        <w:rPr>
          <w:rFonts w:ascii="Palatino Linotype" w:hAnsi="Palatino Linotype" w:cs="Tahoma"/>
          <w:bCs/>
          <w:iCs/>
        </w:rPr>
        <w:t xml:space="preserve"> (CURP), la </w:t>
      </w:r>
      <w:r w:rsidRPr="00715850">
        <w:rPr>
          <w:rFonts w:ascii="Palatino Linotype" w:hAnsi="Palatino Linotype" w:cs="Tahoma"/>
          <w:b/>
          <w:bCs/>
          <w:iCs/>
        </w:rPr>
        <w:t>Clave de cualquier tipo de seguridad social</w:t>
      </w:r>
      <w:r w:rsidRPr="00715850">
        <w:rPr>
          <w:rFonts w:ascii="Palatino Linotype" w:hAnsi="Palatino Linotype" w:cs="Tahoma"/>
          <w:bCs/>
          <w:iCs/>
        </w:rPr>
        <w:t xml:space="preserve"> (ISSEMYM, u otros), domicilio, estado civil y edad.</w:t>
      </w:r>
    </w:p>
    <w:p w:rsidR="000C734E" w:rsidRPr="00715850" w:rsidRDefault="000C734E" w:rsidP="000C734E">
      <w:pPr>
        <w:spacing w:line="360" w:lineRule="auto"/>
        <w:ind w:right="-93"/>
        <w:jc w:val="both"/>
        <w:rPr>
          <w:rFonts w:ascii="Palatino Linotype" w:hAnsi="Palatino Linotype" w:cs="Tahoma"/>
          <w:bCs/>
          <w:iCs/>
        </w:rPr>
      </w:pPr>
    </w:p>
    <w:p w:rsidR="000C734E" w:rsidRPr="00715850" w:rsidRDefault="000C734E" w:rsidP="000C734E">
      <w:pPr>
        <w:pStyle w:val="Prrafodelista"/>
        <w:numPr>
          <w:ilvl w:val="0"/>
          <w:numId w:val="44"/>
        </w:numPr>
        <w:spacing w:line="360" w:lineRule="auto"/>
        <w:ind w:right="-93"/>
        <w:contextualSpacing/>
        <w:jc w:val="both"/>
        <w:rPr>
          <w:rFonts w:ascii="Palatino Linotype" w:hAnsi="Palatino Linotype" w:cs="Tahoma"/>
          <w:bCs/>
          <w:iCs/>
          <w:szCs w:val="22"/>
        </w:rPr>
      </w:pPr>
      <w:r w:rsidRPr="00715850">
        <w:rPr>
          <w:rFonts w:ascii="Palatino Linotype" w:hAnsi="Palatino Linotype" w:cs="Tahoma"/>
          <w:b/>
          <w:bCs/>
          <w:iCs/>
          <w:szCs w:val="22"/>
        </w:rPr>
        <w:lastRenderedPageBreak/>
        <w:t>Registro Federal de Contribuyentes</w:t>
      </w:r>
      <w:r w:rsidRPr="00715850">
        <w:rPr>
          <w:rFonts w:ascii="Palatino Linotype" w:hAnsi="Palatino Linotype" w:cs="Tahoma"/>
          <w:bCs/>
          <w:iCs/>
          <w:szCs w:val="22"/>
        </w:rPr>
        <w:t xml:space="preserve"> (RFC)</w:t>
      </w:r>
    </w:p>
    <w:p w:rsidR="000C734E" w:rsidRPr="00715850" w:rsidRDefault="000C734E" w:rsidP="000C734E">
      <w:pPr>
        <w:spacing w:line="360" w:lineRule="auto"/>
        <w:ind w:left="360" w:right="-93"/>
        <w:jc w:val="both"/>
        <w:rPr>
          <w:rFonts w:ascii="Palatino Linotype" w:hAnsi="Palatino Linotype" w:cs="Tahoma"/>
          <w:bCs/>
          <w:iCs/>
        </w:rPr>
      </w:pPr>
    </w:p>
    <w:p w:rsidR="000C734E" w:rsidRPr="00715850" w:rsidRDefault="000C734E" w:rsidP="000C734E">
      <w:pPr>
        <w:spacing w:line="360" w:lineRule="auto"/>
        <w:ind w:right="-93"/>
        <w:jc w:val="both"/>
        <w:rPr>
          <w:rFonts w:ascii="Palatino Linotype" w:hAnsi="Palatino Linotype" w:cs="Tahoma"/>
          <w:bCs/>
          <w:iCs/>
        </w:rPr>
      </w:pPr>
      <w:r w:rsidRPr="00715850">
        <w:rPr>
          <w:rFonts w:ascii="Palatino Linotype" w:hAnsi="Palatino Linotype" w:cs="Tahoma"/>
          <w:bCs/>
          <w:iC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0C734E" w:rsidRPr="00715850" w:rsidRDefault="000C734E" w:rsidP="000C734E">
      <w:pPr>
        <w:spacing w:line="360" w:lineRule="auto"/>
        <w:ind w:right="-93"/>
        <w:jc w:val="both"/>
        <w:rPr>
          <w:rFonts w:ascii="Palatino Linotype" w:hAnsi="Palatino Linotype" w:cs="Tahoma"/>
          <w:bCs/>
          <w:iCs/>
        </w:rPr>
      </w:pPr>
    </w:p>
    <w:p w:rsidR="000C734E" w:rsidRPr="00715850" w:rsidRDefault="000C734E" w:rsidP="000C734E">
      <w:pPr>
        <w:spacing w:line="360" w:lineRule="auto"/>
        <w:ind w:right="-93"/>
        <w:jc w:val="both"/>
        <w:rPr>
          <w:rFonts w:ascii="Palatino Linotype" w:hAnsi="Palatino Linotype" w:cs="Tahoma"/>
          <w:bCs/>
          <w:iCs/>
        </w:rPr>
      </w:pPr>
      <w:r w:rsidRPr="00715850">
        <w:rPr>
          <w:rFonts w:ascii="Palatino Linotype" w:hAnsi="Palatino Linotype" w:cs="Tahoma"/>
          <w:bCs/>
          <w:iCs/>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0C734E" w:rsidRPr="00715850" w:rsidRDefault="000C734E" w:rsidP="000C734E">
      <w:pPr>
        <w:spacing w:line="360" w:lineRule="auto"/>
        <w:ind w:right="-93"/>
        <w:jc w:val="both"/>
        <w:rPr>
          <w:rFonts w:ascii="Palatino Linotype" w:hAnsi="Palatino Linotype" w:cs="Tahoma"/>
          <w:bCs/>
          <w:iCs/>
        </w:rPr>
      </w:pPr>
    </w:p>
    <w:p w:rsidR="000C734E" w:rsidRPr="00715850" w:rsidRDefault="000C734E" w:rsidP="000C734E">
      <w:pPr>
        <w:spacing w:line="360" w:lineRule="auto"/>
        <w:ind w:right="-93"/>
        <w:jc w:val="both"/>
        <w:rPr>
          <w:rFonts w:ascii="Palatino Linotype" w:hAnsi="Palatino Linotype" w:cs="Tahoma"/>
          <w:bCs/>
          <w:iCs/>
        </w:rPr>
      </w:pPr>
      <w:r w:rsidRPr="00715850">
        <w:rPr>
          <w:rFonts w:ascii="Palatino Linotype" w:hAnsi="Palatino Linotype"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0C734E" w:rsidRPr="00715850" w:rsidRDefault="000C734E" w:rsidP="000C734E">
      <w:pPr>
        <w:spacing w:line="360" w:lineRule="auto"/>
        <w:ind w:right="-93"/>
        <w:jc w:val="both"/>
        <w:rPr>
          <w:rFonts w:ascii="Palatino Linotype" w:hAnsi="Palatino Linotype" w:cs="Tahoma"/>
          <w:bCs/>
          <w:iCs/>
        </w:rPr>
      </w:pPr>
    </w:p>
    <w:p w:rsidR="000C734E" w:rsidRPr="00715850" w:rsidRDefault="000C734E" w:rsidP="000C734E">
      <w:pPr>
        <w:spacing w:line="360" w:lineRule="auto"/>
        <w:ind w:right="-93"/>
        <w:jc w:val="both"/>
        <w:rPr>
          <w:rFonts w:ascii="Palatino Linotype" w:hAnsi="Palatino Linotype" w:cs="Tahoma"/>
          <w:bCs/>
          <w:iCs/>
        </w:rPr>
      </w:pPr>
      <w:r w:rsidRPr="00715850">
        <w:rPr>
          <w:rFonts w:ascii="Palatino Linotype" w:hAnsi="Palatino Linotype"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Pr="00715850">
        <w:rPr>
          <w:rFonts w:ascii="Palatino Linotype" w:hAnsi="Palatino Linotype" w:cs="Tahoma"/>
          <w:bCs/>
          <w:iCs/>
        </w:rPr>
        <w:lastRenderedPageBreak/>
        <w:t xml:space="preserve">involucradas, en el pago de estos, en el presente caso, del pago del Impuesto Sobre el Producto del Trabajo. </w:t>
      </w:r>
    </w:p>
    <w:p w:rsidR="000C734E" w:rsidRPr="00715850" w:rsidRDefault="000C734E" w:rsidP="000C734E">
      <w:pPr>
        <w:spacing w:line="360" w:lineRule="auto"/>
        <w:ind w:right="-93"/>
        <w:jc w:val="both"/>
        <w:rPr>
          <w:rFonts w:ascii="Palatino Linotype" w:hAnsi="Palatino Linotype" w:cs="Tahoma"/>
          <w:bCs/>
          <w:iCs/>
        </w:rPr>
      </w:pPr>
    </w:p>
    <w:p w:rsidR="000C734E" w:rsidRPr="00715850" w:rsidRDefault="000C734E" w:rsidP="000C734E">
      <w:pPr>
        <w:spacing w:line="360" w:lineRule="auto"/>
        <w:ind w:right="-93"/>
        <w:jc w:val="both"/>
        <w:rPr>
          <w:rFonts w:ascii="Palatino Linotype" w:hAnsi="Palatino Linotype" w:cs="Tahoma"/>
          <w:bCs/>
          <w:iCs/>
        </w:rPr>
      </w:pPr>
      <w:r w:rsidRPr="00715850">
        <w:rPr>
          <w:rFonts w:ascii="Palatino Linotype" w:hAnsi="Palatino Linotype" w:cs="Tahoma"/>
          <w:bCs/>
          <w:iCs/>
        </w:rPr>
        <w:t>Lo anterior, resulta congruente con el Criterio 19/17 emitido por el Instituto Nacional de Transparencia, Acceso a la Información y Protección de Datos Personales, en el cual se señala lo siguiente:</w:t>
      </w:r>
    </w:p>
    <w:p w:rsidR="000C734E" w:rsidRPr="002C5BC9" w:rsidRDefault="000C734E" w:rsidP="000C734E">
      <w:pPr>
        <w:spacing w:line="360" w:lineRule="auto"/>
        <w:ind w:right="-93"/>
        <w:jc w:val="both"/>
        <w:rPr>
          <w:rFonts w:ascii="Palatino Linotype" w:hAnsi="Palatino Linotype" w:cs="Tahoma"/>
          <w:bCs/>
          <w:iCs/>
        </w:rPr>
      </w:pPr>
    </w:p>
    <w:p w:rsidR="000C734E" w:rsidRPr="002C5BC9" w:rsidRDefault="000C734E" w:rsidP="000C734E">
      <w:pPr>
        <w:spacing w:line="360" w:lineRule="auto"/>
        <w:ind w:left="567" w:right="539"/>
        <w:jc w:val="both"/>
        <w:rPr>
          <w:rFonts w:ascii="Palatino Linotype" w:hAnsi="Palatino Linotype" w:cs="Tahoma"/>
          <w:bCs/>
          <w:i/>
          <w:iCs/>
        </w:rPr>
      </w:pPr>
      <w:r w:rsidRPr="002C5BC9">
        <w:rPr>
          <w:rFonts w:ascii="Palatino Linotype" w:hAnsi="Palatino Linotype" w:cs="Tahoma"/>
          <w:bCs/>
          <w:i/>
          <w:iCs/>
        </w:rPr>
        <w:t>“</w:t>
      </w:r>
      <w:r w:rsidRPr="002C5BC9">
        <w:rPr>
          <w:rFonts w:ascii="Palatino Linotype" w:hAnsi="Palatino Linotype" w:cs="Tahoma"/>
          <w:b/>
          <w:bCs/>
          <w:i/>
          <w:iCs/>
        </w:rPr>
        <w:t>Registro Federal de Contribuyentes (RFC) de personas físicas</w:t>
      </w:r>
      <w:r w:rsidRPr="002C5BC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000C734E" w:rsidRPr="00715850" w:rsidRDefault="000C734E" w:rsidP="000C734E">
      <w:pPr>
        <w:spacing w:line="360" w:lineRule="auto"/>
        <w:ind w:right="-93"/>
        <w:jc w:val="both"/>
        <w:rPr>
          <w:rFonts w:ascii="Palatino Linotype" w:hAnsi="Palatino Linotype" w:cs="Tahoma"/>
          <w:bCs/>
          <w:iCs/>
        </w:rPr>
      </w:pPr>
    </w:p>
    <w:p w:rsidR="000C734E" w:rsidRDefault="000C734E" w:rsidP="000C734E">
      <w:pPr>
        <w:spacing w:line="360" w:lineRule="auto"/>
        <w:ind w:right="-93"/>
        <w:jc w:val="both"/>
        <w:rPr>
          <w:rFonts w:ascii="Palatino Linotype" w:hAnsi="Palatino Linotype" w:cs="Tahoma"/>
          <w:bCs/>
          <w:iCs/>
        </w:rPr>
      </w:pPr>
      <w:r w:rsidRPr="00715850">
        <w:rPr>
          <w:rFonts w:ascii="Palatino Linotype" w:hAnsi="Palatino Linotype" w:cs="Tahoma"/>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0C734E" w:rsidRPr="00715850" w:rsidRDefault="000C734E" w:rsidP="000C734E">
      <w:pPr>
        <w:spacing w:line="360" w:lineRule="auto"/>
        <w:ind w:right="-93"/>
        <w:jc w:val="both"/>
        <w:rPr>
          <w:rFonts w:ascii="Palatino Linotype" w:hAnsi="Palatino Linotype" w:cs="Tahoma"/>
          <w:bCs/>
          <w:iCs/>
        </w:rPr>
      </w:pPr>
    </w:p>
    <w:p w:rsidR="000C734E" w:rsidRDefault="000C734E" w:rsidP="000C734E">
      <w:pPr>
        <w:pStyle w:val="Prrafodelista"/>
        <w:numPr>
          <w:ilvl w:val="0"/>
          <w:numId w:val="45"/>
        </w:numPr>
        <w:spacing w:line="360" w:lineRule="auto"/>
        <w:contextualSpacing/>
        <w:jc w:val="both"/>
        <w:rPr>
          <w:rFonts w:ascii="Palatino Linotype" w:hAnsi="Palatino Linotype" w:cs="Tahoma"/>
          <w:b/>
          <w:szCs w:val="22"/>
        </w:rPr>
      </w:pPr>
      <w:r w:rsidRPr="00715850">
        <w:rPr>
          <w:rFonts w:ascii="Palatino Linotype" w:hAnsi="Palatino Linotype" w:cs="Tahoma"/>
          <w:b/>
          <w:szCs w:val="22"/>
        </w:rPr>
        <w:t xml:space="preserve">Clave </w:t>
      </w:r>
      <w:r w:rsidRPr="00715850">
        <w:rPr>
          <w:rFonts w:ascii="Palatino Linotype" w:hAnsi="Palatino Linotype" w:cs="Tahoma"/>
          <w:b/>
          <w:caps/>
          <w:szCs w:val="22"/>
        </w:rPr>
        <w:t>ú</w:t>
      </w:r>
      <w:r w:rsidRPr="00715850">
        <w:rPr>
          <w:rFonts w:ascii="Palatino Linotype" w:hAnsi="Palatino Linotype" w:cs="Tahoma"/>
          <w:b/>
          <w:szCs w:val="22"/>
        </w:rPr>
        <w:t>nica de Registro de Población –CURP-.</w:t>
      </w:r>
    </w:p>
    <w:p w:rsidR="000C734E" w:rsidRPr="00715850" w:rsidRDefault="000C734E" w:rsidP="000C734E">
      <w:pPr>
        <w:pStyle w:val="Prrafodelista"/>
        <w:spacing w:line="360" w:lineRule="auto"/>
        <w:jc w:val="both"/>
        <w:rPr>
          <w:rFonts w:ascii="Palatino Linotype" w:hAnsi="Palatino Linotype" w:cs="Tahoma"/>
          <w:b/>
          <w:szCs w:val="22"/>
        </w:rPr>
      </w:pP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t xml:space="preserve">El artículo 36 de la Constitución Política de los Estados Unidos Mexicanos, dispone la obligación de los ciudadanos de inscribirse en el Registro Nacional de Ciudadanos. </w:t>
      </w:r>
    </w:p>
    <w:p w:rsidR="000C734E" w:rsidRPr="00715850" w:rsidRDefault="000C734E" w:rsidP="000C734E">
      <w:pPr>
        <w:spacing w:line="360" w:lineRule="auto"/>
        <w:contextualSpacing/>
        <w:jc w:val="both"/>
        <w:rPr>
          <w:rFonts w:ascii="Palatino Linotype" w:hAnsi="Palatino Linotype" w:cs="Tahoma"/>
          <w:lang w:eastAsia="es-MX"/>
        </w:rPr>
      </w:pP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0C734E" w:rsidRPr="00715850" w:rsidRDefault="000C734E" w:rsidP="000C734E">
      <w:pPr>
        <w:spacing w:line="360" w:lineRule="auto"/>
        <w:contextualSpacing/>
        <w:jc w:val="both"/>
        <w:rPr>
          <w:rFonts w:ascii="Palatino Linotype" w:hAnsi="Palatino Linotype" w:cs="Tahoma"/>
          <w:lang w:eastAsia="es-MX"/>
        </w:rPr>
      </w:pP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0C734E" w:rsidRPr="00715850" w:rsidRDefault="000C734E" w:rsidP="000C734E">
      <w:pPr>
        <w:spacing w:line="360" w:lineRule="auto"/>
        <w:contextualSpacing/>
        <w:jc w:val="both"/>
        <w:rPr>
          <w:rFonts w:ascii="Palatino Linotype" w:hAnsi="Palatino Linotype" w:cs="Tahoma"/>
          <w:b/>
          <w:lang w:eastAsia="es-MX"/>
        </w:rPr>
      </w:pP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t xml:space="preserve">De conformidad con lo precisado por la propia Secretaría de Gobernación en la dirección </w:t>
      </w:r>
      <w:hyperlink r:id="rId16" w:history="1">
        <w:r w:rsidRPr="00715850">
          <w:rPr>
            <w:rStyle w:val="Hipervnculo"/>
            <w:rFonts w:ascii="Palatino Linotype" w:hAnsi="Palatino Linotype" w:cs="Tahoma"/>
            <w:lang w:eastAsia="es-MX"/>
          </w:rPr>
          <w:t>https://consultas.curp.gob.mx/CurpSP/html/informacionecurpPS.html</w:t>
        </w:r>
      </w:hyperlink>
      <w:r w:rsidRPr="00715850">
        <w:rPr>
          <w:rFonts w:ascii="Palatino Linotype" w:hAnsi="Palatino Linotype" w:cs="Tahoma"/>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15850">
        <w:rPr>
          <w:rFonts w:ascii="Palatino Linotype" w:hAnsi="Palatino Linotype" w:cs="Tahoma"/>
          <w:b/>
          <w:lang w:eastAsia="es-MX"/>
        </w:rPr>
        <w:t xml:space="preserve">se generan a partir de los datos contenidos en el documento probatorio de la identidad del interesado </w:t>
      </w:r>
      <w:r w:rsidRPr="00715850">
        <w:rPr>
          <w:rFonts w:ascii="Palatino Linotype" w:hAnsi="Palatino Linotype" w:cs="Tahoma"/>
          <w:lang w:eastAsia="es-MX"/>
        </w:rPr>
        <w:t>(acta de nacimiento, carta de naturalización o documento migratorio) de la siguiente forma:</w:t>
      </w:r>
    </w:p>
    <w:p w:rsidR="000C734E" w:rsidRPr="00715850" w:rsidRDefault="000C734E" w:rsidP="000C734E">
      <w:pPr>
        <w:spacing w:line="360" w:lineRule="auto"/>
        <w:contextualSpacing/>
        <w:jc w:val="both"/>
        <w:rPr>
          <w:rFonts w:ascii="Palatino Linotype" w:hAnsi="Palatino Linotype" w:cs="Tahoma"/>
          <w:lang w:eastAsia="es-MX"/>
        </w:rPr>
      </w:pP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t xml:space="preserve"> • El primero y segundo apellidos, así como al nombre de pila.</w:t>
      </w: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t xml:space="preserve"> • La fecha de nacimiento.</w:t>
      </w: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t xml:space="preserve"> • El sexo.</w:t>
      </w: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t xml:space="preserve"> • La entidad federativa de nacimiento.</w:t>
      </w:r>
    </w:p>
    <w:p w:rsidR="000C734E" w:rsidRPr="00715850" w:rsidRDefault="000C734E" w:rsidP="000C734E">
      <w:pPr>
        <w:spacing w:line="360" w:lineRule="auto"/>
        <w:contextualSpacing/>
        <w:jc w:val="both"/>
        <w:rPr>
          <w:rFonts w:ascii="Palatino Linotype" w:hAnsi="Palatino Linotype" w:cs="Tahoma"/>
          <w:lang w:eastAsia="es-MX"/>
        </w:rPr>
      </w:pP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t>Los dos últimos elementos de la CURP evitan la duplicidad de la Clave y garantizan su correcta integración.</w:t>
      </w:r>
    </w:p>
    <w:p w:rsidR="000C734E" w:rsidRPr="00715850" w:rsidRDefault="000C734E" w:rsidP="000C734E">
      <w:pPr>
        <w:spacing w:line="360" w:lineRule="auto"/>
        <w:contextualSpacing/>
        <w:jc w:val="both"/>
        <w:rPr>
          <w:rFonts w:ascii="Palatino Linotype" w:hAnsi="Palatino Linotype" w:cs="Tahoma"/>
          <w:lang w:eastAsia="es-MX"/>
        </w:rPr>
      </w:pPr>
    </w:p>
    <w:p w:rsidR="000C734E" w:rsidRPr="00715850" w:rsidRDefault="000C734E" w:rsidP="000C734E">
      <w:pPr>
        <w:spacing w:line="360" w:lineRule="auto"/>
        <w:contextualSpacing/>
        <w:jc w:val="both"/>
        <w:rPr>
          <w:rFonts w:ascii="Palatino Linotype" w:hAnsi="Palatino Linotype" w:cs="Tahoma"/>
        </w:rPr>
      </w:pPr>
      <w:r w:rsidRPr="00715850">
        <w:rPr>
          <w:rFonts w:ascii="Palatino Linotype" w:hAnsi="Palatino Linotype" w:cs="Tahoma"/>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0C734E" w:rsidRPr="00715850" w:rsidRDefault="000C734E" w:rsidP="000C734E">
      <w:pPr>
        <w:spacing w:line="360" w:lineRule="auto"/>
        <w:contextualSpacing/>
        <w:jc w:val="both"/>
        <w:rPr>
          <w:rFonts w:ascii="Palatino Linotype" w:hAnsi="Palatino Linotype" w:cs="Tahoma"/>
        </w:rPr>
      </w:pPr>
    </w:p>
    <w:p w:rsidR="000C734E" w:rsidRPr="00715850" w:rsidRDefault="000C734E" w:rsidP="000C734E">
      <w:pPr>
        <w:spacing w:line="360" w:lineRule="auto"/>
        <w:contextualSpacing/>
        <w:jc w:val="both"/>
        <w:rPr>
          <w:rFonts w:ascii="Palatino Linotype" w:hAnsi="Palatino Linotype" w:cs="Tahoma"/>
          <w:lang w:eastAsia="es-MX"/>
        </w:rPr>
      </w:pPr>
      <w:r w:rsidRPr="00715850">
        <w:rPr>
          <w:rFonts w:ascii="Palatino Linotype" w:hAnsi="Palatino Linotype" w:cs="Tahoma"/>
          <w:lang w:eastAsia="es-MX"/>
        </w:rPr>
        <w:t>Resulta aplicable en la especie, como argumento orientador, el Criterio 3/10, emitido por el INAI.</w:t>
      </w:r>
    </w:p>
    <w:p w:rsidR="000C734E" w:rsidRPr="00715850" w:rsidRDefault="000C734E" w:rsidP="000C734E">
      <w:pPr>
        <w:spacing w:line="360" w:lineRule="auto"/>
        <w:contextualSpacing/>
        <w:jc w:val="both"/>
        <w:rPr>
          <w:rFonts w:ascii="Palatino Linotype" w:hAnsi="Palatino Linotype" w:cs="Tahoma"/>
        </w:rPr>
      </w:pPr>
    </w:p>
    <w:p w:rsidR="000C734E" w:rsidRDefault="000C734E" w:rsidP="000C734E">
      <w:pPr>
        <w:autoSpaceDE w:val="0"/>
        <w:autoSpaceDN w:val="0"/>
        <w:adjustRightInd w:val="0"/>
        <w:spacing w:line="360" w:lineRule="auto"/>
        <w:ind w:left="567" w:right="567"/>
        <w:jc w:val="both"/>
        <w:rPr>
          <w:rFonts w:ascii="Palatino Linotype" w:eastAsia="Calibri" w:hAnsi="Palatino Linotype" w:cs="Tahoma"/>
          <w:i/>
          <w:color w:val="000000"/>
        </w:rPr>
      </w:pPr>
      <w:r w:rsidRPr="002C5BC9">
        <w:rPr>
          <w:rFonts w:ascii="Palatino Linotype" w:eastAsia="Calibri" w:hAnsi="Palatino Linotype" w:cs="Tahoma"/>
          <w:b/>
          <w:bCs/>
          <w:i/>
          <w:color w:val="000000"/>
        </w:rPr>
        <w:t xml:space="preserve">“Clave Única de Registro de Población (CURP) es un dato personal confidencial. </w:t>
      </w:r>
      <w:r w:rsidRPr="002C5BC9">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rsidR="000C734E" w:rsidRPr="002C5BC9" w:rsidRDefault="000C734E" w:rsidP="000C734E">
      <w:pPr>
        <w:autoSpaceDE w:val="0"/>
        <w:autoSpaceDN w:val="0"/>
        <w:adjustRightInd w:val="0"/>
        <w:spacing w:line="360" w:lineRule="auto"/>
        <w:ind w:left="567" w:right="567"/>
        <w:jc w:val="both"/>
        <w:rPr>
          <w:rFonts w:ascii="Palatino Linotype" w:eastAsia="Calibri" w:hAnsi="Palatino Linotype" w:cs="Tahoma"/>
          <w:i/>
          <w:color w:val="000000"/>
        </w:rPr>
      </w:pPr>
    </w:p>
    <w:p w:rsidR="000C734E" w:rsidRDefault="000C734E" w:rsidP="000C734E">
      <w:pPr>
        <w:spacing w:line="360" w:lineRule="auto"/>
        <w:jc w:val="both"/>
        <w:rPr>
          <w:rFonts w:ascii="Palatino Linotype" w:hAnsi="Palatino Linotype" w:cs="Tahoma"/>
        </w:rPr>
      </w:pPr>
      <w:r w:rsidRPr="00715850">
        <w:rPr>
          <w:rFonts w:ascii="Palatino Linotype" w:hAnsi="Palatino Linotype" w:cs="Tahoma"/>
        </w:rPr>
        <w:t>De acuerdo con lo anterior, se la clave CURP, es un dato personal confidencial, en términos del artículo 143, fracción I de la Ley de Transparencia y Acceso a la Información Pública del Estado de México y Municipios.</w:t>
      </w:r>
    </w:p>
    <w:p w:rsidR="000C734E" w:rsidRPr="00715850" w:rsidRDefault="000C734E" w:rsidP="000C734E">
      <w:pPr>
        <w:spacing w:line="360" w:lineRule="auto"/>
        <w:jc w:val="both"/>
        <w:rPr>
          <w:rFonts w:ascii="Palatino Linotype" w:hAnsi="Palatino Linotype" w:cs="Tahoma"/>
        </w:rPr>
      </w:pPr>
    </w:p>
    <w:p w:rsidR="000C734E" w:rsidRPr="00715850" w:rsidRDefault="000C734E" w:rsidP="000C734E">
      <w:pPr>
        <w:pStyle w:val="Prrafodelista"/>
        <w:numPr>
          <w:ilvl w:val="0"/>
          <w:numId w:val="47"/>
        </w:numPr>
        <w:spacing w:line="360" w:lineRule="auto"/>
        <w:contextualSpacing/>
        <w:jc w:val="both"/>
        <w:rPr>
          <w:rFonts w:ascii="Palatino Linotype" w:eastAsia="Calibri" w:hAnsi="Palatino Linotype" w:cs="Tahoma"/>
          <w:b/>
          <w:bCs/>
          <w:szCs w:val="22"/>
          <w:lang w:eastAsia="en-US"/>
        </w:rPr>
      </w:pPr>
      <w:r w:rsidRPr="00715850">
        <w:rPr>
          <w:rFonts w:ascii="Palatino Linotype" w:eastAsia="Calibri" w:hAnsi="Palatino Linotype" w:cs="Tahoma"/>
          <w:b/>
          <w:bCs/>
          <w:szCs w:val="22"/>
          <w:lang w:eastAsia="en-US"/>
        </w:rPr>
        <w:lastRenderedPageBreak/>
        <w:t>Domicilio</w:t>
      </w:r>
    </w:p>
    <w:p w:rsidR="000C734E" w:rsidRPr="00715850" w:rsidRDefault="000C734E" w:rsidP="000C734E">
      <w:pPr>
        <w:spacing w:line="360" w:lineRule="auto"/>
        <w:jc w:val="both"/>
        <w:rPr>
          <w:rFonts w:ascii="Palatino Linotype" w:eastAsia="Calibri" w:hAnsi="Palatino Linotype" w:cs="Tahoma"/>
          <w:bCs/>
        </w:rPr>
      </w:pPr>
    </w:p>
    <w:p w:rsidR="000C734E" w:rsidRPr="00715850" w:rsidRDefault="000C734E" w:rsidP="000C734E">
      <w:pPr>
        <w:spacing w:line="360" w:lineRule="auto"/>
        <w:jc w:val="both"/>
        <w:rPr>
          <w:rFonts w:ascii="Palatino Linotype" w:eastAsia="Calibri" w:hAnsi="Palatino Linotype" w:cs="Tahoma"/>
          <w:bCs/>
          <w:lang w:val="es-ES"/>
        </w:rPr>
      </w:pPr>
      <w:r w:rsidRPr="00715850">
        <w:rPr>
          <w:rFonts w:ascii="Palatino Linotype" w:eastAsia="Calibri" w:hAnsi="Palatino Linotype" w:cs="Tahoma"/>
          <w:bCs/>
          <w:lang w:val="es-E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715850">
        <w:rPr>
          <w:rFonts w:ascii="Palatino Linotype" w:hAnsi="Palatino Linotype" w:cs="Tahoma"/>
          <w:lang w:val="es-ES"/>
        </w:rPr>
        <w:t xml:space="preserve"> </w:t>
      </w:r>
      <w:r w:rsidRPr="00715850">
        <w:rPr>
          <w:rFonts w:ascii="Palatino Linotype" w:eastAsia="Calibri" w:hAnsi="Palatino Linotype" w:cs="Tahoma"/>
          <w:bCs/>
          <w:lang w:val="es-E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rsidR="000C734E" w:rsidRPr="00715850" w:rsidRDefault="000C734E" w:rsidP="000C734E">
      <w:pPr>
        <w:spacing w:line="360" w:lineRule="auto"/>
        <w:jc w:val="both"/>
        <w:rPr>
          <w:rFonts w:ascii="Palatino Linotype" w:eastAsia="Calibri" w:hAnsi="Palatino Linotype" w:cs="Tahoma"/>
          <w:bCs/>
          <w:lang w:val="es-ES"/>
        </w:rPr>
      </w:pPr>
    </w:p>
    <w:p w:rsidR="000C734E" w:rsidRPr="00715850" w:rsidRDefault="000C734E" w:rsidP="000C734E">
      <w:pPr>
        <w:pStyle w:val="Prrafodelista"/>
        <w:numPr>
          <w:ilvl w:val="0"/>
          <w:numId w:val="46"/>
        </w:numPr>
        <w:spacing w:line="360" w:lineRule="auto"/>
        <w:ind w:right="-93"/>
        <w:contextualSpacing/>
        <w:jc w:val="both"/>
        <w:rPr>
          <w:rFonts w:ascii="Palatino Linotype" w:hAnsi="Palatino Linotype" w:cs="Tahoma"/>
          <w:b/>
          <w:szCs w:val="22"/>
        </w:rPr>
      </w:pPr>
      <w:r w:rsidRPr="00715850">
        <w:rPr>
          <w:rFonts w:ascii="Palatino Linotype" w:hAnsi="Palatino Linotype" w:cs="Tahoma"/>
          <w:b/>
          <w:szCs w:val="22"/>
        </w:rPr>
        <w:t>Estado civil.</w:t>
      </w:r>
    </w:p>
    <w:p w:rsidR="000C734E" w:rsidRPr="00715850" w:rsidRDefault="000C734E" w:rsidP="000C734E">
      <w:pPr>
        <w:spacing w:line="360" w:lineRule="auto"/>
        <w:ind w:right="-93"/>
        <w:jc w:val="both"/>
        <w:rPr>
          <w:rFonts w:ascii="Palatino Linotype" w:hAnsi="Palatino Linotype" w:cs="Tahoma"/>
        </w:rPr>
      </w:pPr>
    </w:p>
    <w:p w:rsidR="000C734E" w:rsidRPr="00715850" w:rsidRDefault="000C734E" w:rsidP="000C734E">
      <w:pPr>
        <w:spacing w:line="360" w:lineRule="auto"/>
        <w:ind w:right="-93"/>
        <w:jc w:val="both"/>
        <w:rPr>
          <w:rFonts w:ascii="Palatino Linotype" w:hAnsi="Palatino Linotype" w:cs="Tahoma"/>
        </w:rPr>
      </w:pPr>
      <w:r w:rsidRPr="00715850">
        <w:rPr>
          <w:rFonts w:ascii="Palatino Linotype" w:hAnsi="Palatino Linotype" w:cs="Tahoma"/>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0C734E" w:rsidRPr="00715850" w:rsidRDefault="000C734E" w:rsidP="000C734E">
      <w:pPr>
        <w:spacing w:line="360" w:lineRule="auto"/>
        <w:ind w:right="-93"/>
        <w:jc w:val="both"/>
        <w:rPr>
          <w:rFonts w:ascii="Palatino Linotype" w:hAnsi="Palatino Linotype" w:cs="Tahoma"/>
        </w:rPr>
      </w:pPr>
    </w:p>
    <w:p w:rsidR="000C734E" w:rsidRPr="00715850" w:rsidRDefault="000C734E" w:rsidP="000C734E">
      <w:pPr>
        <w:spacing w:line="360" w:lineRule="auto"/>
        <w:ind w:right="-93"/>
        <w:jc w:val="both"/>
        <w:rPr>
          <w:rFonts w:ascii="Palatino Linotype" w:hAnsi="Palatino Linotype" w:cs="Tahoma"/>
        </w:rPr>
      </w:pPr>
      <w:r w:rsidRPr="00715850">
        <w:rPr>
          <w:rFonts w:ascii="Palatino Linotype" w:hAnsi="Palatino Linotype" w:cs="Tahoma"/>
        </w:rPr>
        <w:t xml:space="preserve">De esta manera, se trata de un dato personal confidencial que tiene que ver únicamente con la vida privada de las personas, motivo por el cual se considera un dato personal en términos del </w:t>
      </w:r>
      <w:r w:rsidRPr="00715850">
        <w:rPr>
          <w:rFonts w:ascii="Palatino Linotype" w:hAnsi="Palatino Linotype" w:cs="Tahoma"/>
        </w:rPr>
        <w:lastRenderedPageBreak/>
        <w:t>artículo 143, fracción I de la Ley de Transparencia y Acceso a la Información Pública del Estado de México y Municipios.</w:t>
      </w:r>
    </w:p>
    <w:p w:rsidR="000C734E" w:rsidRPr="00715850" w:rsidRDefault="000C734E" w:rsidP="000C734E">
      <w:pPr>
        <w:spacing w:line="360" w:lineRule="auto"/>
        <w:contextualSpacing/>
        <w:jc w:val="both"/>
        <w:rPr>
          <w:rFonts w:ascii="Palatino Linotype" w:hAnsi="Palatino Linotype" w:cs="Tahoma"/>
          <w:lang w:eastAsia="es-MX"/>
        </w:rPr>
      </w:pPr>
    </w:p>
    <w:p w:rsidR="000C734E" w:rsidRPr="00715850" w:rsidRDefault="000C734E" w:rsidP="000C734E">
      <w:pPr>
        <w:pStyle w:val="Prrafodelista"/>
        <w:numPr>
          <w:ilvl w:val="0"/>
          <w:numId w:val="46"/>
        </w:numPr>
        <w:spacing w:line="360" w:lineRule="auto"/>
        <w:ind w:right="-93"/>
        <w:contextualSpacing/>
        <w:jc w:val="both"/>
        <w:rPr>
          <w:rFonts w:ascii="Palatino Linotype" w:hAnsi="Palatino Linotype" w:cs="Tahoma"/>
          <w:b/>
          <w:szCs w:val="22"/>
        </w:rPr>
      </w:pPr>
      <w:r w:rsidRPr="00715850">
        <w:rPr>
          <w:rFonts w:ascii="Palatino Linotype" w:hAnsi="Palatino Linotype" w:cs="Tahoma"/>
          <w:b/>
          <w:szCs w:val="22"/>
        </w:rPr>
        <w:t>Edad.</w:t>
      </w:r>
    </w:p>
    <w:p w:rsidR="000C734E" w:rsidRPr="00715850" w:rsidRDefault="000C734E" w:rsidP="000C734E">
      <w:pPr>
        <w:spacing w:line="360" w:lineRule="auto"/>
        <w:ind w:right="-93"/>
        <w:jc w:val="both"/>
        <w:rPr>
          <w:rFonts w:ascii="Palatino Linotype" w:hAnsi="Palatino Linotype" w:cs="Tahoma"/>
        </w:rPr>
      </w:pPr>
    </w:p>
    <w:p w:rsidR="000C734E" w:rsidRPr="00715850" w:rsidRDefault="000C734E" w:rsidP="000C734E">
      <w:pPr>
        <w:spacing w:line="360" w:lineRule="auto"/>
        <w:ind w:right="-93"/>
        <w:jc w:val="both"/>
        <w:rPr>
          <w:rFonts w:ascii="Palatino Linotype" w:hAnsi="Palatino Linotype" w:cs="Tahoma"/>
        </w:rPr>
      </w:pPr>
      <w:r w:rsidRPr="00715850">
        <w:rPr>
          <w:rFonts w:ascii="Palatino Linotype" w:hAnsi="Palatino Linotype" w:cs="Tahoma"/>
        </w:rPr>
        <w:t>La edad, corresponde al número de años que tiene de vida una persona, contados a partir de la fecha de su nacimiento.</w:t>
      </w:r>
    </w:p>
    <w:p w:rsidR="000C734E" w:rsidRPr="00715850" w:rsidRDefault="000C734E" w:rsidP="000C734E">
      <w:pPr>
        <w:spacing w:line="360" w:lineRule="auto"/>
        <w:ind w:right="-93"/>
        <w:jc w:val="both"/>
        <w:rPr>
          <w:rFonts w:ascii="Palatino Linotype" w:hAnsi="Palatino Linotype" w:cs="Tahoma"/>
        </w:rPr>
      </w:pPr>
    </w:p>
    <w:p w:rsidR="000C734E" w:rsidRPr="00715850" w:rsidRDefault="000C734E" w:rsidP="000C734E">
      <w:pPr>
        <w:spacing w:line="360" w:lineRule="auto"/>
        <w:ind w:right="-93"/>
        <w:jc w:val="both"/>
        <w:rPr>
          <w:rFonts w:ascii="Palatino Linotype" w:hAnsi="Palatino Linotype" w:cs="Tahoma"/>
        </w:rPr>
      </w:pPr>
      <w:r w:rsidRPr="00715850">
        <w:rPr>
          <w:rFonts w:ascii="Palatino Linotype" w:hAnsi="Palatino Linotype" w:cs="Tahoma"/>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rsidR="000C734E" w:rsidRPr="00715850" w:rsidRDefault="000C734E" w:rsidP="000C734E">
      <w:pPr>
        <w:spacing w:line="360" w:lineRule="auto"/>
        <w:contextualSpacing/>
        <w:jc w:val="both"/>
        <w:rPr>
          <w:rFonts w:ascii="Palatino Linotype" w:hAnsi="Palatino Linotype" w:cs="Tahoma"/>
          <w:lang w:eastAsia="es-MX"/>
        </w:rPr>
      </w:pPr>
    </w:p>
    <w:p w:rsidR="000C734E" w:rsidRDefault="000C734E" w:rsidP="000C734E">
      <w:pPr>
        <w:spacing w:line="360" w:lineRule="auto"/>
        <w:ind w:right="-93"/>
        <w:jc w:val="both"/>
        <w:rPr>
          <w:rFonts w:ascii="Palatino Linotype" w:hAnsi="Palatino Linotype" w:cs="Tahoma"/>
        </w:rPr>
      </w:pPr>
      <w:r w:rsidRPr="00715850">
        <w:rPr>
          <w:rFonts w:ascii="Palatino Linotype" w:hAnsi="Palatino Linotype" w:cs="Tahoma"/>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0C734E" w:rsidRDefault="000C734E" w:rsidP="000C734E">
      <w:pPr>
        <w:spacing w:line="360" w:lineRule="auto"/>
        <w:ind w:right="-93"/>
        <w:jc w:val="both"/>
        <w:rPr>
          <w:rFonts w:ascii="Palatino Linotype" w:hAnsi="Palatino Linotype" w:cs="Tahoma"/>
        </w:rPr>
      </w:pPr>
    </w:p>
    <w:p w:rsidR="000C734E" w:rsidRPr="002F6C1B" w:rsidRDefault="000C734E" w:rsidP="000C734E">
      <w:pPr>
        <w:spacing w:line="360" w:lineRule="auto"/>
        <w:ind w:right="-93"/>
        <w:jc w:val="both"/>
        <w:rPr>
          <w:rFonts w:ascii="Palatino Linotype" w:hAnsi="Palatino Linotype" w:cs="Tahoma"/>
        </w:rPr>
      </w:pPr>
      <w:r>
        <w:rPr>
          <w:rFonts w:ascii="Palatino Linotype" w:hAnsi="Palatino Linotype" w:cs="Tahoma"/>
        </w:rPr>
        <w:t xml:space="preserve">No se deja de lado que dentro de un </w:t>
      </w:r>
      <w:r>
        <w:rPr>
          <w:rFonts w:ascii="Palatino Linotype" w:hAnsi="Palatino Linotype" w:cs="Tahoma"/>
          <w:i/>
        </w:rPr>
        <w:t>curriculum vitae</w:t>
      </w:r>
      <w:r>
        <w:rPr>
          <w:rFonts w:ascii="Palatino Linotype" w:hAnsi="Palatino Linotype" w:cs="Tahoma"/>
        </w:rPr>
        <w:t xml:space="preserve">, el Sujeto Obligado dejó a la vista dos datos, estado civil y fecha de nacimiento, por lo que se le insta a que previo a la entrega de documentos verifique que estos no contenga información clasificada como reservada y/o confidencial y de ser el caso esta se apruebe por el Comité de Transparencia de acuerdo a lo establecido en el </w:t>
      </w:r>
      <w:r>
        <w:rPr>
          <w:rFonts w:ascii="Palatino Linotype" w:hAnsi="Palatino Linotype" w:cs="Tahoma"/>
        </w:rPr>
        <w:lastRenderedPageBreak/>
        <w:t xml:space="preserve">artículo 49, fracción II, de la </w:t>
      </w:r>
      <w:r w:rsidRPr="002F6C1B">
        <w:rPr>
          <w:rFonts w:ascii="Palatino Linotype" w:hAnsi="Palatino Linotype" w:cs="Tahoma"/>
          <w:lang w:val="es-ES"/>
        </w:rPr>
        <w:t>Ley de Transparencia y Acceso a la Información Pública del Estado de México y Municipios</w:t>
      </w:r>
      <w:r>
        <w:rPr>
          <w:rFonts w:ascii="Palatino Linotype" w:hAnsi="Palatino Linotype" w:cs="Tahoma"/>
        </w:rPr>
        <w:t>. De tal suerte que sólo entregue versiones públicas y proteja los datos personales confidenciales y cualquier otra información que en su caso sea clasificada.</w:t>
      </w:r>
    </w:p>
    <w:p w:rsidR="00D00ED6" w:rsidRPr="00CA6BAD" w:rsidRDefault="00D00ED6" w:rsidP="00D00ED6">
      <w:pPr>
        <w:spacing w:after="0" w:line="360" w:lineRule="auto"/>
        <w:jc w:val="both"/>
        <w:rPr>
          <w:rFonts w:ascii="Palatino Linotype" w:eastAsia="Times New Roman" w:hAnsi="Palatino Linotype" w:cs="Times New Roman"/>
          <w:sz w:val="24"/>
          <w:szCs w:val="24"/>
          <w:lang w:val="es-ES" w:eastAsia="es-ES"/>
        </w:rPr>
      </w:pPr>
    </w:p>
    <w:p w:rsidR="00D00ED6" w:rsidRPr="00505462" w:rsidRDefault="00D00ED6" w:rsidP="00505462">
      <w:pPr>
        <w:pStyle w:val="Prrafodelista"/>
        <w:numPr>
          <w:ilvl w:val="0"/>
          <w:numId w:val="47"/>
        </w:numPr>
        <w:autoSpaceDE w:val="0"/>
        <w:autoSpaceDN w:val="0"/>
        <w:adjustRightInd w:val="0"/>
        <w:spacing w:line="360" w:lineRule="auto"/>
        <w:jc w:val="both"/>
        <w:rPr>
          <w:rFonts w:ascii="Palatino Linotype" w:hAnsi="Palatino Linotype"/>
          <w:b/>
          <w:i/>
          <w:sz w:val="28"/>
          <w:u w:val="single"/>
        </w:rPr>
      </w:pPr>
      <w:r w:rsidRPr="00505462">
        <w:rPr>
          <w:rFonts w:ascii="Palatino Linotype" w:hAnsi="Palatino Linotype"/>
          <w:b/>
          <w:i/>
          <w:sz w:val="28"/>
          <w:u w:val="single"/>
        </w:rPr>
        <w:t xml:space="preserve">Vista a los Órganos de Control Interno. </w:t>
      </w:r>
    </w:p>
    <w:p w:rsidR="00505462" w:rsidRPr="00505462" w:rsidRDefault="00505462" w:rsidP="00505462">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r w:rsidRPr="00505462">
        <w:rPr>
          <w:rFonts w:ascii="Palatino Linotype" w:eastAsia="MS Mincho" w:hAnsi="Palatino Linotype" w:cs="Times New Roman"/>
          <w:sz w:val="24"/>
          <w:szCs w:val="24"/>
          <w:lang w:val="es-ES_tradnl" w:eastAsia="es-ES"/>
        </w:rPr>
        <w:t>En el caso en estudio, ha quedado señalado que el Ayuntamiento de Tequixquiac no emitió respuesta en el plazo establecido en el artículo 163 de la Ley de Transparencia y Acceso a la Información Pública del Estado de México y Municipios.</w:t>
      </w:r>
    </w:p>
    <w:p w:rsidR="00505462" w:rsidRPr="00505462" w:rsidRDefault="00505462" w:rsidP="00505462">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p>
    <w:p w:rsidR="00505462" w:rsidRPr="00505462" w:rsidRDefault="00505462" w:rsidP="00505462">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r w:rsidRPr="00505462">
        <w:rPr>
          <w:rFonts w:ascii="Palatino Linotype" w:eastAsia="MS Mincho" w:hAnsi="Palatino Linotype" w:cs="Times New Roman"/>
          <w:sz w:val="24"/>
          <w:szCs w:val="24"/>
          <w:lang w:val="es-ES_tradnl"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00505462" w:rsidRPr="00505462" w:rsidRDefault="00505462" w:rsidP="00505462">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p>
    <w:p w:rsidR="00505462" w:rsidRPr="00505462" w:rsidRDefault="00505462" w:rsidP="00505462">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r w:rsidRPr="00505462">
        <w:rPr>
          <w:rFonts w:ascii="Palatino Linotype" w:eastAsia="MS Mincho" w:hAnsi="Palatino Linotype" w:cs="Times New Roman"/>
          <w:sz w:val="24"/>
          <w:szCs w:val="24"/>
          <w:lang w:val="es-ES_tradnl"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505462" w:rsidRPr="00505462" w:rsidRDefault="00505462" w:rsidP="00505462">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p>
    <w:p w:rsidR="00505462" w:rsidRPr="00505462" w:rsidRDefault="00505462" w:rsidP="00505462">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r w:rsidRPr="00505462">
        <w:rPr>
          <w:rFonts w:ascii="Palatino Linotype" w:eastAsia="MS Mincho" w:hAnsi="Palatino Linotype" w:cs="Times New Roman"/>
          <w:sz w:val="24"/>
          <w:szCs w:val="24"/>
          <w:lang w:val="es-ES_tradnl" w:eastAsia="es-ES"/>
        </w:rPr>
        <w:lastRenderedPageBreak/>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rsidR="00505462" w:rsidRPr="00505462" w:rsidRDefault="00505462" w:rsidP="00505462">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p>
    <w:p w:rsidR="00D00ED6" w:rsidRDefault="00505462" w:rsidP="00505462">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r w:rsidRPr="00505462">
        <w:rPr>
          <w:rFonts w:ascii="Palatino Linotype" w:eastAsia="MS Mincho" w:hAnsi="Palatino Linotype" w:cs="Times New Roman"/>
          <w:sz w:val="24"/>
          <w:szCs w:val="24"/>
          <w:lang w:val="es-ES_tradnl" w:eastAsia="es-ES"/>
        </w:rPr>
        <w:t>Por lo expuesto y fundado, este Pleno:</w:t>
      </w:r>
    </w:p>
    <w:p w:rsidR="00F40AD1" w:rsidRPr="00CA6BAD" w:rsidRDefault="00F40AD1" w:rsidP="00505462">
      <w:pPr>
        <w:autoSpaceDE w:val="0"/>
        <w:autoSpaceDN w:val="0"/>
        <w:adjustRightInd w:val="0"/>
        <w:spacing w:after="0" w:line="360" w:lineRule="auto"/>
        <w:jc w:val="both"/>
        <w:rPr>
          <w:rFonts w:ascii="Palatino Linotype" w:hAnsi="Palatino Linotype" w:cs="Arial"/>
          <w:sz w:val="24"/>
          <w:szCs w:val="24"/>
        </w:rPr>
      </w:pPr>
    </w:p>
    <w:p w:rsidR="00D00ED6" w:rsidRPr="00CA6BAD" w:rsidRDefault="00D00ED6" w:rsidP="00D00ED6">
      <w:pPr>
        <w:pStyle w:val="Prrafodelista"/>
        <w:spacing w:line="360" w:lineRule="auto"/>
        <w:ind w:left="426"/>
        <w:jc w:val="center"/>
        <w:rPr>
          <w:rFonts w:ascii="Palatino Linotype" w:hAnsi="Palatino Linotype"/>
          <w:b/>
          <w:color w:val="000000"/>
          <w:sz w:val="28"/>
        </w:rPr>
      </w:pPr>
      <w:r w:rsidRPr="00CA6BAD">
        <w:rPr>
          <w:rFonts w:ascii="Palatino Linotype" w:hAnsi="Palatino Linotype"/>
          <w:b/>
          <w:color w:val="000000"/>
          <w:sz w:val="28"/>
        </w:rPr>
        <w:t xml:space="preserve">S E    R E S U E L V E </w:t>
      </w:r>
    </w:p>
    <w:p w:rsidR="008F4F7B" w:rsidRPr="00985849" w:rsidRDefault="008F4F7B" w:rsidP="008F4F7B">
      <w:pPr>
        <w:spacing w:line="360" w:lineRule="auto"/>
        <w:ind w:right="-93"/>
        <w:rPr>
          <w:rFonts w:ascii="Palatino Linotype" w:eastAsia="Calibri" w:hAnsi="Palatino Linotype" w:cs="Tahoma"/>
          <w:b/>
          <w:bCs/>
        </w:rPr>
      </w:pPr>
    </w:p>
    <w:p w:rsidR="008F4F7B" w:rsidRPr="00985849" w:rsidRDefault="008F4F7B" w:rsidP="008F4F7B">
      <w:pPr>
        <w:shd w:val="clear" w:color="auto" w:fill="FFFFFF" w:themeFill="background1"/>
        <w:spacing w:line="360" w:lineRule="auto"/>
        <w:jc w:val="both"/>
        <w:rPr>
          <w:rFonts w:ascii="Palatino Linotype" w:eastAsia="Calibri" w:hAnsi="Palatino Linotype" w:cs="Tahoma"/>
          <w:bCs/>
        </w:rPr>
      </w:pPr>
      <w:r w:rsidRPr="00985849">
        <w:rPr>
          <w:rFonts w:ascii="Palatino Linotype" w:eastAsia="Calibri" w:hAnsi="Palatino Linotype" w:cs="Tahoma"/>
          <w:b/>
          <w:bCs/>
        </w:rPr>
        <w:t xml:space="preserve">PRIMERO. </w:t>
      </w:r>
      <w:r w:rsidRPr="00985849">
        <w:rPr>
          <w:rFonts w:ascii="Palatino Linotype" w:eastAsia="Calibri" w:hAnsi="Palatino Linotype" w:cs="Tahoma"/>
          <w:bCs/>
        </w:rPr>
        <w:t xml:space="preserve">Resultan </w:t>
      </w:r>
      <w:r w:rsidRPr="00985849">
        <w:rPr>
          <w:rFonts w:ascii="Palatino Linotype" w:eastAsia="Calibri" w:hAnsi="Palatino Linotype" w:cs="Tahoma"/>
          <w:b/>
          <w:bCs/>
        </w:rPr>
        <w:t>FUNDADAS</w:t>
      </w:r>
      <w:r w:rsidRPr="00985849">
        <w:rPr>
          <w:rFonts w:ascii="Palatino Linotype" w:eastAsia="Calibri" w:hAnsi="Palatino Linotype" w:cs="Tahoma"/>
          <w:bCs/>
        </w:rPr>
        <w:t xml:space="preserve"> las razones o motivos de inconformidad hechos valer por el Recurrente, en términos de</w:t>
      </w:r>
      <w:r>
        <w:rPr>
          <w:rFonts w:ascii="Palatino Linotype" w:eastAsia="Calibri" w:hAnsi="Palatino Linotype" w:cs="Tahoma"/>
          <w:bCs/>
        </w:rPr>
        <w:t xml:space="preserve"> los</w:t>
      </w:r>
      <w:r w:rsidRPr="00985849">
        <w:rPr>
          <w:rFonts w:ascii="Palatino Linotype" w:eastAsia="Calibri" w:hAnsi="Palatino Linotype" w:cs="Tahoma"/>
          <w:bCs/>
        </w:rPr>
        <w:t xml:space="preserve"> </w:t>
      </w:r>
      <w:r>
        <w:rPr>
          <w:rFonts w:ascii="Palatino Linotype" w:eastAsia="Calibri" w:hAnsi="Palatino Linotype" w:cs="Tahoma"/>
          <w:bCs/>
        </w:rPr>
        <w:t>C</w:t>
      </w:r>
      <w:r w:rsidRPr="00985849">
        <w:rPr>
          <w:rFonts w:ascii="Palatino Linotype" w:eastAsia="Calibri" w:hAnsi="Palatino Linotype" w:cs="Tahoma"/>
          <w:bCs/>
        </w:rPr>
        <w:t>onsiderando</w:t>
      </w:r>
      <w:r>
        <w:rPr>
          <w:rFonts w:ascii="Palatino Linotype" w:eastAsia="Calibri" w:hAnsi="Palatino Linotype" w:cs="Tahoma"/>
          <w:bCs/>
        </w:rPr>
        <w:t>s</w:t>
      </w:r>
      <w:r w:rsidRPr="00985849">
        <w:rPr>
          <w:rFonts w:ascii="Palatino Linotype" w:eastAsia="Calibri" w:hAnsi="Palatino Linotype" w:cs="Tahoma"/>
          <w:bCs/>
        </w:rPr>
        <w:t xml:space="preserve"> </w:t>
      </w:r>
      <w:r>
        <w:rPr>
          <w:rFonts w:ascii="Palatino Linotype" w:eastAsia="Calibri" w:hAnsi="Palatino Linotype" w:cs="Tahoma"/>
          <w:bCs/>
        </w:rPr>
        <w:t xml:space="preserve">QUINTO y SÉPTIMO </w:t>
      </w:r>
      <w:r w:rsidRPr="00985849">
        <w:rPr>
          <w:rFonts w:ascii="Palatino Linotype" w:eastAsia="Calibri" w:hAnsi="Palatino Linotype" w:cs="Tahoma"/>
          <w:bCs/>
        </w:rPr>
        <w:t xml:space="preserve">de la presente </w:t>
      </w:r>
      <w:r>
        <w:rPr>
          <w:rFonts w:ascii="Palatino Linotype" w:eastAsia="Calibri" w:hAnsi="Palatino Linotype" w:cs="Tahoma"/>
          <w:bCs/>
        </w:rPr>
        <w:t>Resolución.</w:t>
      </w:r>
    </w:p>
    <w:p w:rsidR="008F4F7B" w:rsidRDefault="008F4F7B" w:rsidP="008F4F7B">
      <w:pPr>
        <w:spacing w:line="360" w:lineRule="auto"/>
        <w:ind w:right="-93"/>
        <w:jc w:val="both"/>
        <w:rPr>
          <w:rFonts w:ascii="Palatino Linotype" w:hAnsi="Palatino Linotype" w:cs="Tahoma"/>
          <w:bCs/>
        </w:rPr>
      </w:pPr>
      <w:r w:rsidRPr="00985849">
        <w:rPr>
          <w:rFonts w:ascii="Palatino Linotype" w:eastAsia="Calibri" w:hAnsi="Palatino Linotype" w:cs="Tahoma"/>
          <w:b/>
          <w:bCs/>
        </w:rPr>
        <w:t xml:space="preserve">SEGUNDO. </w:t>
      </w:r>
      <w:r w:rsidRPr="00985849">
        <w:rPr>
          <w:rFonts w:ascii="Palatino Linotype" w:eastAsia="Calibri" w:hAnsi="Palatino Linotype" w:cs="Tahoma"/>
          <w:lang w:eastAsia="es-MX"/>
        </w:rPr>
        <w:t xml:space="preserve">Se </w:t>
      </w:r>
      <w:r w:rsidRPr="00985849">
        <w:rPr>
          <w:rFonts w:ascii="Palatino Linotype" w:eastAsia="Calibri" w:hAnsi="Palatino Linotype" w:cs="Tahoma"/>
          <w:b/>
          <w:lang w:eastAsia="es-MX"/>
        </w:rPr>
        <w:t xml:space="preserve">ORDENA </w:t>
      </w:r>
      <w:r w:rsidRPr="00985849">
        <w:rPr>
          <w:rFonts w:ascii="Palatino Linotype" w:eastAsia="Calibri" w:hAnsi="Palatino Linotype" w:cs="Tahoma"/>
          <w:lang w:eastAsia="es-MX"/>
        </w:rPr>
        <w:t xml:space="preserve">al Ayuntamiento de </w:t>
      </w:r>
      <w:r>
        <w:rPr>
          <w:rFonts w:ascii="Palatino Linotype" w:eastAsia="Calibri" w:hAnsi="Palatino Linotype" w:cs="Tahoma"/>
          <w:lang w:eastAsia="es-MX"/>
        </w:rPr>
        <w:t>Tequixquiac</w:t>
      </w:r>
      <w:r w:rsidRPr="00985849">
        <w:rPr>
          <w:rFonts w:ascii="Palatino Linotype" w:eastAsia="Calibri" w:hAnsi="Palatino Linotype" w:cs="Tahoma"/>
          <w:lang w:eastAsia="es-MX"/>
        </w:rPr>
        <w:t xml:space="preserve">, previa búsqueda exhaustiva y razonable en todas las áreas competentes, </w:t>
      </w:r>
      <w:r w:rsidRPr="00A50EAF">
        <w:rPr>
          <w:rFonts w:ascii="Palatino Linotype" w:hAnsi="Palatino Linotype" w:cs="Tahoma"/>
          <w:bCs/>
        </w:rPr>
        <w:t xml:space="preserve">otorgue </w:t>
      </w:r>
      <w:r>
        <w:rPr>
          <w:rFonts w:ascii="Palatino Linotype" w:hAnsi="Palatino Linotype" w:cs="Tahoma"/>
          <w:bCs/>
        </w:rPr>
        <w:t>acceso vía el Sistema de Acceso a la Información Mexiquense (SAIMEX), en su caso en versión pública, de lo siguiente:</w:t>
      </w:r>
    </w:p>
    <w:p w:rsidR="008F4F7B" w:rsidRDefault="008F4F7B" w:rsidP="008F4F7B">
      <w:pPr>
        <w:spacing w:line="360" w:lineRule="auto"/>
        <w:ind w:right="-93"/>
        <w:jc w:val="both"/>
        <w:rPr>
          <w:rFonts w:ascii="Palatino Linotype" w:hAnsi="Palatino Linotype" w:cs="Tahoma"/>
          <w:bCs/>
        </w:rPr>
      </w:pPr>
    </w:p>
    <w:p w:rsidR="008F4F7B" w:rsidRDefault="008F4F7B" w:rsidP="008F4F7B">
      <w:pPr>
        <w:pStyle w:val="Prrafodelista"/>
        <w:numPr>
          <w:ilvl w:val="0"/>
          <w:numId w:val="44"/>
        </w:numPr>
        <w:spacing w:line="360" w:lineRule="auto"/>
        <w:ind w:right="-93"/>
        <w:contextualSpacing/>
        <w:jc w:val="both"/>
        <w:rPr>
          <w:rFonts w:ascii="Palatino Linotype" w:hAnsi="Palatino Linotype" w:cs="Tahoma"/>
          <w:bCs/>
          <w:szCs w:val="22"/>
        </w:rPr>
      </w:pPr>
      <w:r w:rsidRPr="00AE177F">
        <w:rPr>
          <w:rFonts w:ascii="Palatino Linotype" w:hAnsi="Palatino Linotype" w:cs="Tahoma"/>
          <w:bCs/>
          <w:szCs w:val="22"/>
        </w:rPr>
        <w:t xml:space="preserve">Los recibos de nómina </w:t>
      </w:r>
      <w:r w:rsidRPr="00741908">
        <w:rPr>
          <w:rFonts w:ascii="Palatino Linotype" w:hAnsi="Palatino Linotype" w:cs="Tahoma"/>
          <w:bCs/>
          <w:szCs w:val="22"/>
        </w:rPr>
        <w:t>de la primera quincena de enero a la primera quincena de marzo de dos mil diecinueve</w:t>
      </w:r>
      <w:r>
        <w:rPr>
          <w:rFonts w:ascii="Palatino Linotype" w:hAnsi="Palatino Linotype" w:cs="Tahoma"/>
          <w:bCs/>
          <w:szCs w:val="22"/>
        </w:rPr>
        <w:t xml:space="preserve"> </w:t>
      </w:r>
      <w:r w:rsidRPr="00AE177F">
        <w:rPr>
          <w:rFonts w:ascii="Palatino Linotype" w:hAnsi="Palatino Linotype" w:cs="Tahoma"/>
          <w:bCs/>
          <w:szCs w:val="22"/>
        </w:rPr>
        <w:t>de todos lo</w:t>
      </w:r>
      <w:r>
        <w:rPr>
          <w:rFonts w:ascii="Palatino Linotype" w:hAnsi="Palatino Linotype" w:cs="Tahoma"/>
          <w:bCs/>
          <w:szCs w:val="22"/>
        </w:rPr>
        <w:t>s trabajadores del Municipio.</w:t>
      </w:r>
    </w:p>
    <w:p w:rsidR="008F4F7B" w:rsidRDefault="008F4F7B" w:rsidP="008F4F7B">
      <w:pPr>
        <w:pStyle w:val="Prrafodelista"/>
        <w:numPr>
          <w:ilvl w:val="0"/>
          <w:numId w:val="44"/>
        </w:numPr>
        <w:spacing w:line="360" w:lineRule="auto"/>
        <w:ind w:right="-93"/>
        <w:contextualSpacing/>
        <w:jc w:val="both"/>
        <w:rPr>
          <w:rFonts w:ascii="Palatino Linotype" w:hAnsi="Palatino Linotype" w:cs="Tahoma"/>
          <w:bCs/>
          <w:szCs w:val="22"/>
        </w:rPr>
      </w:pPr>
      <w:r w:rsidRPr="00741908">
        <w:rPr>
          <w:rFonts w:ascii="Palatino Linotype" w:hAnsi="Palatino Linotype" w:cs="Tahoma"/>
          <w:bCs/>
          <w:szCs w:val="22"/>
        </w:rPr>
        <w:t xml:space="preserve">Los títulos y cédulas </w:t>
      </w:r>
      <w:r>
        <w:rPr>
          <w:rFonts w:ascii="Palatino Linotype" w:hAnsi="Palatino Linotype" w:cs="Tahoma"/>
          <w:bCs/>
          <w:szCs w:val="22"/>
        </w:rPr>
        <w:t xml:space="preserve">profesionales </w:t>
      </w:r>
      <w:r w:rsidRPr="00741908">
        <w:rPr>
          <w:rFonts w:ascii="Palatino Linotype" w:hAnsi="Palatino Linotype" w:cs="Tahoma"/>
          <w:bCs/>
          <w:szCs w:val="22"/>
        </w:rPr>
        <w:t xml:space="preserve">de </w:t>
      </w:r>
      <w:r>
        <w:rPr>
          <w:rFonts w:ascii="Palatino Linotype" w:hAnsi="Palatino Linotype" w:cs="Tahoma"/>
          <w:bCs/>
          <w:szCs w:val="22"/>
        </w:rPr>
        <w:t xml:space="preserve">los servidores públicos de </w:t>
      </w:r>
      <w:r w:rsidRPr="00741908">
        <w:rPr>
          <w:rFonts w:ascii="Palatino Linotype" w:hAnsi="Palatino Linotype" w:cs="Tahoma"/>
          <w:bCs/>
          <w:szCs w:val="22"/>
        </w:rPr>
        <w:t>mandos medios y superiores</w:t>
      </w:r>
      <w:r>
        <w:rPr>
          <w:rFonts w:ascii="Palatino Linotype" w:hAnsi="Palatino Linotype" w:cs="Tahoma"/>
          <w:bCs/>
          <w:szCs w:val="22"/>
        </w:rPr>
        <w:t xml:space="preserve"> del Municipio.</w:t>
      </w:r>
    </w:p>
    <w:p w:rsidR="008F4F7B" w:rsidRDefault="008F4F7B" w:rsidP="008F4F7B">
      <w:pPr>
        <w:pStyle w:val="Prrafodelista"/>
        <w:numPr>
          <w:ilvl w:val="0"/>
          <w:numId w:val="44"/>
        </w:numPr>
        <w:spacing w:line="360" w:lineRule="auto"/>
        <w:ind w:right="-93"/>
        <w:contextualSpacing/>
        <w:jc w:val="both"/>
        <w:rPr>
          <w:rFonts w:ascii="Palatino Linotype" w:hAnsi="Palatino Linotype" w:cs="Tahoma"/>
          <w:bCs/>
          <w:szCs w:val="22"/>
        </w:rPr>
      </w:pPr>
      <w:r w:rsidRPr="00E34A2D">
        <w:rPr>
          <w:rFonts w:ascii="Palatino Linotype" w:hAnsi="Palatino Linotype" w:cs="Tahoma"/>
          <w:bCs/>
          <w:i/>
          <w:szCs w:val="22"/>
        </w:rPr>
        <w:t>Curriculum Vitae</w:t>
      </w:r>
      <w:r>
        <w:rPr>
          <w:rFonts w:ascii="Palatino Linotype" w:hAnsi="Palatino Linotype" w:cs="Tahoma"/>
          <w:bCs/>
          <w:szCs w:val="22"/>
        </w:rPr>
        <w:t xml:space="preserve"> </w:t>
      </w:r>
      <w:r w:rsidRPr="00741908">
        <w:rPr>
          <w:rFonts w:ascii="Palatino Linotype" w:hAnsi="Palatino Linotype" w:cs="Tahoma"/>
          <w:bCs/>
          <w:szCs w:val="22"/>
        </w:rPr>
        <w:t xml:space="preserve">de </w:t>
      </w:r>
      <w:r>
        <w:rPr>
          <w:rFonts w:ascii="Palatino Linotype" w:hAnsi="Palatino Linotype" w:cs="Tahoma"/>
          <w:bCs/>
          <w:szCs w:val="22"/>
        </w:rPr>
        <w:t>los servidores públicos de mando medios y superiores del Municipio.</w:t>
      </w:r>
    </w:p>
    <w:p w:rsidR="008F4F7B" w:rsidRDefault="008F4F7B" w:rsidP="008F4F7B">
      <w:pPr>
        <w:pStyle w:val="Prrafodelista"/>
        <w:numPr>
          <w:ilvl w:val="0"/>
          <w:numId w:val="44"/>
        </w:numPr>
        <w:spacing w:line="360" w:lineRule="auto"/>
        <w:ind w:right="-93"/>
        <w:contextualSpacing/>
        <w:jc w:val="both"/>
        <w:rPr>
          <w:rFonts w:ascii="Palatino Linotype" w:hAnsi="Palatino Linotype" w:cs="Tahoma"/>
          <w:bCs/>
          <w:szCs w:val="22"/>
        </w:rPr>
      </w:pPr>
      <w:r>
        <w:rPr>
          <w:rFonts w:ascii="Palatino Linotype" w:eastAsia="Calibri" w:hAnsi="Palatino Linotype" w:cs="Tahoma"/>
          <w:iCs/>
          <w:szCs w:val="22"/>
          <w:lang w:eastAsia="es-ES_tradnl"/>
        </w:rPr>
        <w:lastRenderedPageBreak/>
        <w:t>De mandos medios y superiores del Municipio, constancia de no haber sido inhabilitado</w:t>
      </w:r>
      <w:r>
        <w:rPr>
          <w:rFonts w:ascii="Palatino Linotype" w:hAnsi="Palatino Linotype" w:cs="Tahoma"/>
          <w:bCs/>
          <w:szCs w:val="22"/>
        </w:rPr>
        <w:t>.</w:t>
      </w:r>
    </w:p>
    <w:p w:rsidR="008F4F7B" w:rsidRDefault="008F4F7B" w:rsidP="008F4F7B">
      <w:pPr>
        <w:pStyle w:val="Prrafodelista"/>
        <w:numPr>
          <w:ilvl w:val="0"/>
          <w:numId w:val="44"/>
        </w:numPr>
        <w:spacing w:line="360" w:lineRule="auto"/>
        <w:ind w:right="-93"/>
        <w:contextualSpacing/>
        <w:jc w:val="both"/>
        <w:rPr>
          <w:rFonts w:ascii="Palatino Linotype" w:hAnsi="Palatino Linotype" w:cs="Tahoma"/>
          <w:bCs/>
          <w:szCs w:val="22"/>
        </w:rPr>
      </w:pPr>
      <w:r>
        <w:rPr>
          <w:rFonts w:ascii="Palatino Linotype" w:eastAsia="Calibri" w:hAnsi="Palatino Linotype" w:cs="Tahoma"/>
          <w:iCs/>
          <w:szCs w:val="22"/>
          <w:lang w:eastAsia="es-ES_tradnl"/>
        </w:rPr>
        <w:t xml:space="preserve">Certificado de no antecedentes penales, </w:t>
      </w:r>
      <w:r w:rsidRPr="00741908">
        <w:rPr>
          <w:rFonts w:ascii="Palatino Linotype" w:hAnsi="Palatino Linotype" w:cs="Tahoma"/>
          <w:bCs/>
          <w:szCs w:val="22"/>
        </w:rPr>
        <w:t xml:space="preserve">de </w:t>
      </w:r>
      <w:r>
        <w:rPr>
          <w:rFonts w:ascii="Palatino Linotype" w:hAnsi="Palatino Linotype" w:cs="Tahoma"/>
          <w:bCs/>
          <w:szCs w:val="22"/>
        </w:rPr>
        <w:t>los servidores públicos de mando medios y superiores del Municipio.</w:t>
      </w:r>
    </w:p>
    <w:p w:rsidR="008F4F7B" w:rsidRPr="007613B4" w:rsidRDefault="008F4F7B" w:rsidP="008F4F7B">
      <w:pPr>
        <w:pStyle w:val="Prrafodelista"/>
        <w:numPr>
          <w:ilvl w:val="0"/>
          <w:numId w:val="44"/>
        </w:numPr>
        <w:contextualSpacing/>
        <w:rPr>
          <w:rFonts w:ascii="Palatino Linotype" w:hAnsi="Palatino Linotype" w:cs="Tahoma"/>
          <w:bCs/>
          <w:szCs w:val="22"/>
        </w:rPr>
      </w:pPr>
      <w:r w:rsidRPr="007613B4">
        <w:rPr>
          <w:rFonts w:ascii="Palatino Linotype" w:hAnsi="Palatino Linotype" w:cs="Tahoma"/>
          <w:bCs/>
          <w:szCs w:val="22"/>
        </w:rPr>
        <w:t>El tab</w:t>
      </w:r>
      <w:r>
        <w:rPr>
          <w:rFonts w:ascii="Palatino Linotype" w:hAnsi="Palatino Linotype" w:cs="Tahoma"/>
          <w:bCs/>
          <w:szCs w:val="22"/>
        </w:rPr>
        <w:t xml:space="preserve">ulador de sueldos y salarios </w:t>
      </w:r>
      <w:r w:rsidRPr="00AE177F">
        <w:rPr>
          <w:rFonts w:ascii="Palatino Linotype" w:hAnsi="Palatino Linotype" w:cs="Tahoma"/>
          <w:bCs/>
          <w:szCs w:val="22"/>
        </w:rPr>
        <w:t>de todos lo</w:t>
      </w:r>
      <w:r>
        <w:rPr>
          <w:rFonts w:ascii="Palatino Linotype" w:hAnsi="Palatino Linotype" w:cs="Tahoma"/>
          <w:bCs/>
          <w:szCs w:val="22"/>
        </w:rPr>
        <w:t xml:space="preserve">s trabajadores del </w:t>
      </w:r>
      <w:r w:rsidRPr="007613B4">
        <w:rPr>
          <w:rFonts w:ascii="Palatino Linotype" w:hAnsi="Palatino Linotype" w:cs="Tahoma"/>
          <w:bCs/>
          <w:szCs w:val="22"/>
        </w:rPr>
        <w:t>IMCUFIDETEQ 2019</w:t>
      </w:r>
      <w:r>
        <w:rPr>
          <w:rFonts w:ascii="Palatino Linotype" w:hAnsi="Palatino Linotype" w:cs="Tahoma"/>
          <w:bCs/>
          <w:szCs w:val="22"/>
        </w:rPr>
        <w:t>, en formato pdf abierto</w:t>
      </w:r>
      <w:r w:rsidRPr="007613B4">
        <w:rPr>
          <w:rFonts w:ascii="Palatino Linotype" w:hAnsi="Palatino Linotype" w:cs="Tahoma"/>
          <w:bCs/>
          <w:szCs w:val="22"/>
        </w:rPr>
        <w:t>.</w:t>
      </w:r>
    </w:p>
    <w:p w:rsidR="008F4F7B" w:rsidRPr="00741908" w:rsidRDefault="008F4F7B" w:rsidP="008F4F7B">
      <w:pPr>
        <w:pStyle w:val="Prrafodelista"/>
        <w:spacing w:line="360" w:lineRule="auto"/>
        <w:ind w:right="-93"/>
        <w:jc w:val="both"/>
        <w:rPr>
          <w:rFonts w:ascii="Palatino Linotype" w:hAnsi="Palatino Linotype" w:cs="Tahoma"/>
          <w:bCs/>
          <w:szCs w:val="22"/>
        </w:rPr>
      </w:pPr>
    </w:p>
    <w:p w:rsidR="008F4F7B" w:rsidRDefault="00FD7CD2" w:rsidP="00FD7CD2">
      <w:pPr>
        <w:spacing w:line="360" w:lineRule="auto"/>
        <w:ind w:right="-93"/>
        <w:jc w:val="both"/>
        <w:rPr>
          <w:rFonts w:ascii="Palatino Linotype" w:hAnsi="Palatino Linotype" w:cs="Tahoma"/>
          <w:i/>
          <w:sz w:val="24"/>
          <w:szCs w:val="24"/>
        </w:rPr>
      </w:pPr>
      <w:r w:rsidRPr="00CB5946">
        <w:rPr>
          <w:rFonts w:ascii="Palatino Linotype" w:hAnsi="Palatino Linotype" w:cs="Tahoma"/>
          <w:i/>
          <w:sz w:val="24"/>
          <w:szCs w:val="24"/>
        </w:rPr>
        <w:t>Junto con la versión pública, se deberá proporcionar el Acuerdo de Clasificación donde el Comité de Transparencia, confirme la eliminación de los datos conforme a lo concluido en el Considerado Quinto, de conformidad con los artículos 49, fracciones II y VIII y 132, fracción II, de la Ley de Transparencia y Acceso a la Información Pública del Estado de México y Municipios.</w:t>
      </w:r>
    </w:p>
    <w:p w:rsidR="00F40AD1" w:rsidRPr="00FD7CD2" w:rsidRDefault="00F40AD1" w:rsidP="00FD7CD2">
      <w:pPr>
        <w:spacing w:line="360" w:lineRule="auto"/>
        <w:ind w:right="-93"/>
        <w:jc w:val="both"/>
        <w:rPr>
          <w:rFonts w:ascii="Palatino Linotype" w:hAnsi="Palatino Linotype" w:cs="Tahoma"/>
          <w:i/>
          <w:sz w:val="24"/>
          <w:szCs w:val="24"/>
        </w:rPr>
      </w:pPr>
    </w:p>
    <w:p w:rsidR="008F4F7B" w:rsidRPr="00985849" w:rsidRDefault="008F4F7B" w:rsidP="008F4F7B">
      <w:pPr>
        <w:spacing w:line="360" w:lineRule="auto"/>
        <w:jc w:val="both"/>
        <w:rPr>
          <w:rFonts w:ascii="Palatino Linotype" w:hAnsi="Palatino Linotype" w:cs="Tahoma"/>
          <w:i/>
        </w:rPr>
      </w:pPr>
      <w:r w:rsidRPr="00985849">
        <w:rPr>
          <w:rFonts w:ascii="Palatino Linotype" w:eastAsia="Calibri" w:hAnsi="Palatino Linotype" w:cs="Tahoma"/>
          <w:b/>
          <w:bCs/>
        </w:rPr>
        <w:t>TERCERO.</w:t>
      </w:r>
      <w:r>
        <w:rPr>
          <w:rFonts w:ascii="Palatino Linotype" w:eastAsia="Calibri" w:hAnsi="Palatino Linotype" w:cs="Tahoma"/>
          <w:b/>
          <w:bCs/>
        </w:rPr>
        <w:t xml:space="preserve"> </w:t>
      </w:r>
      <w:r w:rsidRPr="00985849">
        <w:rPr>
          <w:rFonts w:ascii="Palatino Linotype" w:hAnsi="Palatino Linotype" w:cs="Tahoma"/>
          <w:b/>
        </w:rPr>
        <w:t xml:space="preserve">NOTIFÍQUESE </w:t>
      </w:r>
      <w:r w:rsidRPr="00985849">
        <w:rPr>
          <w:rFonts w:ascii="Palatino Linotype" w:hAnsi="Palatino Linotype" w:cs="Tahoma"/>
        </w:rPr>
        <w:t xml:space="preserve">la presente </w:t>
      </w:r>
      <w:r>
        <w:rPr>
          <w:rFonts w:ascii="Palatino Linotype" w:hAnsi="Palatino Linotype" w:cs="Tahoma"/>
        </w:rPr>
        <w:t>R</w:t>
      </w:r>
      <w:r w:rsidRPr="00985849">
        <w:rPr>
          <w:rFonts w:ascii="Palatino Linotype" w:hAnsi="Palatino Linotype" w:cs="Tahoma"/>
        </w:rPr>
        <w:t xml:space="preserve">esolución al Titular de la Unidad de Transparencia del </w:t>
      </w:r>
      <w:r>
        <w:rPr>
          <w:rFonts w:ascii="Palatino Linotype" w:hAnsi="Palatino Linotype" w:cs="Tahoma"/>
        </w:rPr>
        <w:t>Sujeto Obligado</w:t>
      </w:r>
      <w:r w:rsidRPr="0098584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8F4F7B" w:rsidRPr="00F40AD1" w:rsidRDefault="008F4F7B" w:rsidP="00F40AD1">
      <w:pPr>
        <w:shd w:val="clear" w:color="auto" w:fill="FFFFFF" w:themeFill="background1"/>
        <w:spacing w:line="360" w:lineRule="auto"/>
        <w:jc w:val="both"/>
        <w:rPr>
          <w:rFonts w:ascii="Palatino Linotype" w:hAnsi="Palatino Linotype" w:cs="Tahoma"/>
        </w:rPr>
      </w:pPr>
      <w:r w:rsidRPr="00985849">
        <w:rPr>
          <w:rFonts w:ascii="Palatino Linotype" w:eastAsia="Calibri" w:hAnsi="Palatino Linotype" w:cs="Tahoma"/>
          <w:b/>
          <w:lang w:eastAsia="es-MX"/>
        </w:rPr>
        <w:t>CUARTO</w:t>
      </w:r>
      <w:r w:rsidRPr="00985849">
        <w:rPr>
          <w:rFonts w:ascii="Palatino Linotype" w:eastAsia="Calibri" w:hAnsi="Palatino Linotype" w:cs="Tahoma"/>
          <w:b/>
          <w:bCs/>
        </w:rPr>
        <w:t>.</w:t>
      </w:r>
      <w:r>
        <w:rPr>
          <w:rFonts w:ascii="Palatino Linotype" w:eastAsia="Calibri" w:hAnsi="Palatino Linotype" w:cs="Tahoma"/>
          <w:b/>
          <w:bCs/>
        </w:rPr>
        <w:t xml:space="preserve"> </w:t>
      </w:r>
      <w:r w:rsidRPr="00985849">
        <w:rPr>
          <w:rFonts w:ascii="Palatino Linotype" w:hAnsi="Palatino Linotype" w:cs="Tahoma"/>
          <w:b/>
        </w:rPr>
        <w:t>NOTIFÍQUESE</w:t>
      </w:r>
      <w:r w:rsidRPr="00985849">
        <w:rPr>
          <w:rFonts w:ascii="Palatino Linotype" w:hAnsi="Palatino Linotype" w:cs="Tahoma"/>
        </w:rPr>
        <w:t xml:space="preserve"> al Recurrente la presente Resolución</w:t>
      </w:r>
      <w:r>
        <w:rPr>
          <w:rFonts w:ascii="Palatino Linotype" w:hAnsi="Palatino Linotype" w:cs="Tahoma"/>
        </w:rPr>
        <w:t>; asimismo</w:t>
      </w:r>
      <w:r w:rsidRPr="00985849">
        <w:rPr>
          <w:rFonts w:ascii="Palatino Linotype" w:hAnsi="Palatino Linotype" w:cs="Tahoma"/>
        </w:rPr>
        <w:t xml:space="preserve">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8F4F7B" w:rsidRDefault="008F4F7B" w:rsidP="008F4F7B">
      <w:pPr>
        <w:spacing w:line="360" w:lineRule="auto"/>
        <w:ind w:right="-93"/>
        <w:jc w:val="both"/>
        <w:rPr>
          <w:rFonts w:ascii="Palatino Linotype" w:eastAsia="Calibri" w:hAnsi="Palatino Linotype" w:cs="Tahoma"/>
          <w:bCs/>
          <w:lang w:val="es-ES_tradnl"/>
        </w:rPr>
      </w:pPr>
      <w:r w:rsidRPr="00985849">
        <w:rPr>
          <w:rFonts w:ascii="Palatino Linotype" w:eastAsia="Calibri" w:hAnsi="Palatino Linotype" w:cs="Tahoma"/>
          <w:b/>
          <w:bCs/>
        </w:rPr>
        <w:t>QUINTO.</w:t>
      </w:r>
      <w:r>
        <w:rPr>
          <w:rFonts w:ascii="Palatino Linotype" w:eastAsia="Calibri" w:hAnsi="Palatino Linotype" w:cs="Tahoma"/>
          <w:b/>
          <w:bCs/>
        </w:rPr>
        <w:t xml:space="preserve"> </w:t>
      </w:r>
      <w:r w:rsidRPr="00985849">
        <w:rPr>
          <w:rFonts w:ascii="Palatino Linotype" w:eastAsia="Calibri" w:hAnsi="Palatino Linotype" w:cs="Tahoma"/>
          <w:bCs/>
          <w:lang w:val="es-ES_tradnl"/>
        </w:rPr>
        <w:t xml:space="preserve">Con fundamento en lo dispuesto en los artículos 190 de la </w:t>
      </w:r>
      <w:r w:rsidRPr="00985849">
        <w:rPr>
          <w:rFonts w:ascii="Palatino Linotype" w:hAnsi="Palatino Linotype" w:cs="Tahoma"/>
        </w:rPr>
        <w:t xml:space="preserve">Ley de Transparencia y Acceso a la Información Pública del Estado de México y Municipios, </w:t>
      </w:r>
      <w:r>
        <w:rPr>
          <w:rFonts w:ascii="Palatino Linotype" w:hAnsi="Palatino Linotype" w:cs="Tahoma"/>
        </w:rPr>
        <w:t xml:space="preserve">gírese </w:t>
      </w:r>
      <w:r w:rsidRPr="00985849">
        <w:rPr>
          <w:rFonts w:ascii="Palatino Linotype" w:eastAsia="Calibri" w:hAnsi="Palatino Linotype" w:cs="Tahoma"/>
          <w:bCs/>
          <w:lang w:val="es-ES_tradnl"/>
        </w:rPr>
        <w:t xml:space="preserve">oficio al Contralor Interno y Titular del Órgano de Control y Vigilancia de este Instituto con la finalidad de que </w:t>
      </w:r>
      <w:r w:rsidRPr="00985849">
        <w:rPr>
          <w:rFonts w:ascii="Palatino Linotype" w:eastAsia="Calibri" w:hAnsi="Palatino Linotype" w:cs="Tahoma"/>
          <w:bCs/>
          <w:lang w:val="es-ES_tradnl"/>
        </w:rPr>
        <w:lastRenderedPageBreak/>
        <w:t xml:space="preserve">actúe en razón de su competencia, en términos de lo dispuesto en el Considerando </w:t>
      </w:r>
      <w:r>
        <w:rPr>
          <w:rFonts w:ascii="Palatino Linotype" w:eastAsia="Calibri" w:hAnsi="Palatino Linotype" w:cs="Tahoma"/>
          <w:bCs/>
          <w:lang w:val="es-ES_tradnl"/>
        </w:rPr>
        <w:t>Octavo</w:t>
      </w:r>
      <w:r w:rsidRPr="00985849">
        <w:rPr>
          <w:rFonts w:ascii="Palatino Linotype" w:eastAsia="Calibri" w:hAnsi="Palatino Linotype" w:cs="Tahoma"/>
          <w:bCs/>
          <w:lang w:val="es-ES_tradnl"/>
        </w:rPr>
        <w:t xml:space="preserve"> de la presente </w:t>
      </w:r>
      <w:r>
        <w:rPr>
          <w:rFonts w:ascii="Palatino Linotype" w:eastAsia="Calibri" w:hAnsi="Palatino Linotype" w:cs="Tahoma"/>
          <w:bCs/>
          <w:lang w:val="es-ES_tradnl"/>
        </w:rPr>
        <w:t>R</w:t>
      </w:r>
      <w:r w:rsidRPr="00985849">
        <w:rPr>
          <w:rFonts w:ascii="Palatino Linotype" w:eastAsia="Calibri" w:hAnsi="Palatino Linotype" w:cs="Tahoma"/>
          <w:bCs/>
          <w:lang w:val="es-ES_tradnl"/>
        </w:rPr>
        <w:t>esolución.</w:t>
      </w:r>
    </w:p>
    <w:p w:rsidR="00F40AD1" w:rsidRPr="00F40AD1" w:rsidRDefault="00F40AD1" w:rsidP="008F4F7B">
      <w:pPr>
        <w:spacing w:line="360" w:lineRule="auto"/>
        <w:ind w:right="-93"/>
        <w:jc w:val="both"/>
        <w:rPr>
          <w:rFonts w:ascii="Palatino Linotype" w:eastAsia="Calibri" w:hAnsi="Palatino Linotype" w:cs="Tahoma"/>
          <w:bCs/>
          <w:sz w:val="2"/>
          <w:lang w:val="es-ES_tradnl"/>
        </w:rPr>
      </w:pPr>
    </w:p>
    <w:p w:rsidR="008F4F7B" w:rsidRPr="00985849" w:rsidRDefault="008F4F7B" w:rsidP="008F4F7B">
      <w:pPr>
        <w:spacing w:line="360" w:lineRule="auto"/>
        <w:jc w:val="both"/>
        <w:rPr>
          <w:rFonts w:ascii="Palatino Linotype" w:hAnsi="Palatino Linotype" w:cs="Tahoma"/>
          <w:lang w:eastAsia="es-MX"/>
        </w:rPr>
      </w:pPr>
      <w:r w:rsidRPr="00985849">
        <w:rPr>
          <w:rFonts w:ascii="Palatino Linotype" w:hAnsi="Palatino Linotype" w:cs="Tahoma"/>
          <w:lang w:eastAsia="es-MX"/>
        </w:rPr>
        <w:t xml:space="preserve">ASÍ, POR </w:t>
      </w:r>
      <w:r w:rsidRPr="003C5742">
        <w:rPr>
          <w:rFonts w:ascii="Palatino Linotype" w:hAnsi="Palatino Linotype" w:cs="Tahoma"/>
          <w:b/>
          <w:lang w:eastAsia="es-MX"/>
        </w:rPr>
        <w:t>UNANIMIDAD</w:t>
      </w:r>
      <w:r w:rsidRPr="00985849">
        <w:rPr>
          <w:rFonts w:ascii="Palatino Linotype" w:hAnsi="Palatino Linotype" w:cs="Tahoma"/>
          <w:lang w:eastAsia="es-MX"/>
        </w:rPr>
        <w:t xml:space="preserve"> DE VOTOS, LO RESOLVIERON Y FIRMAN LOS COMISIONADOS DEL INSTITUTO DE TRANSPARENCIA, ACCESO A LA INFORMACIÓN PÚBLICA Y PROTECCIÓN DE DATOS PERSONALES DEL ESTADO DE MÉXICO Y MUNICIPIOS, ZULEMA MARTÍNEZ SÁNCHEZ; </w:t>
      </w:r>
      <w:r w:rsidRPr="00985849">
        <w:rPr>
          <w:rFonts w:ascii="Palatino Linotype" w:hAnsi="Palatino Linotype" w:cs="Tahoma"/>
          <w:bCs/>
          <w:lang w:eastAsia="es-MX"/>
        </w:rPr>
        <w:t>EVA ABAID YAPUR</w:t>
      </w:r>
      <w:r w:rsidR="00DC7AD0">
        <w:rPr>
          <w:rFonts w:ascii="Palatino Linotype" w:hAnsi="Palatino Linotype" w:cs="Tahoma"/>
          <w:bCs/>
          <w:lang w:eastAsia="es-MX"/>
        </w:rPr>
        <w:t xml:space="preserve">; </w:t>
      </w:r>
      <w:r w:rsidRPr="00985849">
        <w:rPr>
          <w:rFonts w:ascii="Palatino Linotype" w:hAnsi="Palatino Linotype" w:cs="Tahoma"/>
          <w:lang w:eastAsia="es-MX"/>
        </w:rPr>
        <w:t xml:space="preserve">JOSÉ GUADALUPE LUNA HERNÁNDEZ; </w:t>
      </w:r>
      <w:r w:rsidRPr="00985849">
        <w:rPr>
          <w:rFonts w:ascii="Palatino Linotype" w:hAnsi="Palatino Linotype" w:cs="Tahoma"/>
          <w:lang w:val="es-ES_tradnl" w:eastAsia="es-MX"/>
        </w:rPr>
        <w:t>JAVIER MARTÍNEZ CRUZ Y LUIS GUSTAVO PARRA NORIEGA</w:t>
      </w:r>
      <w:r w:rsidR="00687AD5">
        <w:rPr>
          <w:rFonts w:ascii="Palatino Linotype" w:hAnsi="Palatino Linotype" w:cs="Tahoma"/>
          <w:lang w:val="es-ES_tradnl" w:eastAsia="es-MX"/>
        </w:rPr>
        <w:t xml:space="preserve"> (EMITIENDO VOTO PARTICULAR)</w:t>
      </w:r>
      <w:r w:rsidRPr="00985849">
        <w:rPr>
          <w:rFonts w:ascii="Palatino Linotype" w:hAnsi="Palatino Linotype" w:cs="Tahoma"/>
          <w:lang w:eastAsia="es-MX"/>
        </w:rPr>
        <w:t xml:space="preserve">, EN </w:t>
      </w:r>
      <w:r>
        <w:rPr>
          <w:rFonts w:ascii="Palatino Linotype" w:hAnsi="Palatino Linotype" w:cs="Tahoma"/>
          <w:lang w:eastAsia="es-MX"/>
        </w:rPr>
        <w:t xml:space="preserve">LA VIGÉSIMA CUARTA </w:t>
      </w:r>
      <w:r w:rsidRPr="00985849">
        <w:rPr>
          <w:rFonts w:ascii="Palatino Linotype" w:hAnsi="Palatino Linotype" w:cs="Tahoma"/>
          <w:lang w:eastAsia="es-MX"/>
        </w:rPr>
        <w:t xml:space="preserve">SESIÓN ORDINARIA, CELEBRADA EL </w:t>
      </w:r>
      <w:r>
        <w:rPr>
          <w:rFonts w:ascii="Palatino Linotype" w:hAnsi="Palatino Linotype" w:cs="Tahoma"/>
          <w:lang w:eastAsia="es-MX"/>
        </w:rPr>
        <w:t xml:space="preserve">VEINTISÉIS </w:t>
      </w:r>
      <w:r w:rsidRPr="00985849">
        <w:rPr>
          <w:rFonts w:ascii="Palatino Linotype" w:hAnsi="Palatino Linotype" w:cs="Tahoma"/>
          <w:lang w:eastAsia="es-MX"/>
        </w:rPr>
        <w:t xml:space="preserve">DE </w:t>
      </w:r>
      <w:r>
        <w:rPr>
          <w:rFonts w:ascii="Palatino Linotype" w:hAnsi="Palatino Linotype" w:cs="Tahoma"/>
          <w:lang w:eastAsia="es-MX"/>
        </w:rPr>
        <w:t xml:space="preserve">JUNIO </w:t>
      </w:r>
      <w:r w:rsidRPr="00985849">
        <w:rPr>
          <w:rFonts w:ascii="Palatino Linotype" w:hAnsi="Palatino Linotype" w:cs="Tahoma"/>
          <w:lang w:eastAsia="es-MX"/>
        </w:rPr>
        <w:t>DE DOS MIL DIECI</w:t>
      </w:r>
      <w:r>
        <w:rPr>
          <w:rFonts w:ascii="Palatino Linotype" w:hAnsi="Palatino Linotype" w:cs="Tahoma"/>
          <w:lang w:eastAsia="es-MX"/>
        </w:rPr>
        <w:t>NUEVE</w:t>
      </w:r>
      <w:r w:rsidRPr="00985849">
        <w:rPr>
          <w:rFonts w:ascii="Palatino Linotype" w:hAnsi="Palatino Linotype" w:cs="Tahoma"/>
          <w:lang w:eastAsia="es-MX"/>
        </w:rPr>
        <w:t>, ANTE EL SECRETARIO TÉCNICO DEL PLENO, ALEXIS TAPIA RAMÍREZ.</w:t>
      </w:r>
      <w:r>
        <w:rPr>
          <w:rFonts w:ascii="Palatino Linotype" w:hAnsi="Palatino Linotype" w:cs="Tahoma"/>
          <w:lang w:eastAsia="es-MX"/>
        </w:rPr>
        <w:t>------------------------------------------------------------------------------------------------------------------------------------------------------------------------------------------------------------------------------------------------------------------------------------------------------------------------------------------------------------------------------------------------------------------------------------------------------------------------------------------------------------------------------------------------------------------------------------------------------------------------------------------------------------------------------------------------------------------------------------------------------------------------------------------------------------------------------------------------------------------------------------------------------------------------------------------------------------------------------------------------------------------------------------------------------------------------------------------------------------------------------------------</w:t>
      </w:r>
      <w:r w:rsidR="00FD7CD2">
        <w:rPr>
          <w:rFonts w:ascii="Palatino Linotype" w:hAnsi="Palatino Linotype" w:cs="Tahoma"/>
          <w:lang w:eastAsia="es-MX"/>
        </w:rPr>
        <w:t>----------------------------------------------------------------------------------------------------------------------------------------------------------------------------------------------------------------------------------------------------------------------------------------------------------------------------------------------------------------------------------------------------------------------------------------------------------------------------------------------------------------------------------------------------------------------------------------------------------------------------------------</w:t>
      </w:r>
      <w:r>
        <w:rPr>
          <w:rFonts w:ascii="Palatino Linotype" w:hAnsi="Palatino Linotype" w:cs="Tahoma"/>
          <w:lang w:eastAsia="es-MX"/>
        </w:rPr>
        <w:t>--------------------------------------</w:t>
      </w:r>
    </w:p>
    <w:p w:rsidR="00D00ED6" w:rsidRPr="00CA6BAD" w:rsidRDefault="00D00ED6" w:rsidP="00D00ED6">
      <w:pPr>
        <w:spacing w:after="0" w:line="360" w:lineRule="auto"/>
        <w:jc w:val="both"/>
        <w:rPr>
          <w:rFonts w:ascii="Palatino Linotype" w:hAnsi="Palatino Linotype"/>
          <w:sz w:val="24"/>
          <w:szCs w:val="24"/>
        </w:rPr>
      </w:pPr>
    </w:p>
    <w:p w:rsidR="00D00ED6" w:rsidRPr="00CA6BAD" w:rsidRDefault="00D00ED6" w:rsidP="00D00ED6">
      <w:pPr>
        <w:spacing w:after="0" w:line="360" w:lineRule="auto"/>
        <w:jc w:val="both"/>
        <w:rPr>
          <w:rFonts w:ascii="Palatino Linotype" w:hAnsi="Palatino Linotype"/>
          <w:sz w:val="24"/>
          <w:szCs w:val="24"/>
        </w:rPr>
      </w:pPr>
    </w:p>
    <w:p w:rsidR="00D00ED6" w:rsidRPr="00CA6BAD" w:rsidRDefault="00D00ED6" w:rsidP="00D00ED6">
      <w:pPr>
        <w:spacing w:after="0" w:line="360" w:lineRule="auto"/>
        <w:jc w:val="both"/>
        <w:rPr>
          <w:rFonts w:ascii="Palatino Linotype" w:hAnsi="Palatino Linotype"/>
          <w:sz w:val="24"/>
          <w:szCs w:val="24"/>
        </w:rPr>
      </w:pPr>
      <w:r w:rsidRPr="00CA6BAD">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7A4B1B7F" wp14:editId="2E6AE26E">
                <wp:simplePos x="0" y="0"/>
                <wp:positionH relativeFrom="page">
                  <wp:posOffset>2599690</wp:posOffset>
                </wp:positionH>
                <wp:positionV relativeFrom="paragraph">
                  <wp:posOffset>29430</wp:posOffset>
                </wp:positionV>
                <wp:extent cx="2551430" cy="683812"/>
                <wp:effectExtent l="0" t="0" r="20320" b="21590"/>
                <wp:wrapNone/>
                <wp:docPr id="21" name="Cuadro de texto 21"/>
                <wp:cNvGraphicFramePr/>
                <a:graphic xmlns:a="http://schemas.openxmlformats.org/drawingml/2006/main">
                  <a:graphicData uri="http://schemas.microsoft.com/office/word/2010/wordprocessingShape">
                    <wps:wsp>
                      <wps:cNvSpPr txBox="1"/>
                      <wps:spPr>
                        <a:xfrm>
                          <a:off x="0" y="0"/>
                          <a:ext cx="2551430" cy="6838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5586E" w:rsidRPr="009020F7"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25586E" w:rsidRPr="009020F7" w:rsidRDefault="0025586E" w:rsidP="00D00ED6">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25586E" w:rsidRPr="009020F7"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B1B7F" id="_x0000_t202" coordsize="21600,21600" o:spt="202" path="m,l,21600r21600,l21600,xe">
                <v:stroke joinstyle="miter"/>
                <v:path gradientshapeok="t" o:connecttype="rect"/>
              </v:shapetype>
              <v:shape id="Cuadro de texto 21" o:spid="_x0000_s1026" type="#_x0000_t202" style="position:absolute;left:0;text-align:left;margin-left:204.7pt;margin-top:2.3pt;width:200.9pt;height:5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" fillcolor="white [3201]" strokecolor="white [3212]" strokeweight=".5pt">
                <v:textbox>
                  <w:txbxContent>
                    <w:p w:rsidR="0025586E" w:rsidRPr="009020F7"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25586E" w:rsidRPr="009020F7" w:rsidRDefault="0025586E" w:rsidP="00D00ED6">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25586E" w:rsidRPr="009020F7"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D00ED6" w:rsidRPr="00CA6BAD" w:rsidRDefault="00D00ED6" w:rsidP="00D00ED6">
      <w:pPr>
        <w:spacing w:after="0" w:line="360" w:lineRule="auto"/>
        <w:jc w:val="center"/>
        <w:rPr>
          <w:rFonts w:ascii="Palatino Linotype" w:hAnsi="Palatino Linotype"/>
          <w:sz w:val="24"/>
          <w:szCs w:val="24"/>
        </w:rPr>
      </w:pP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b/>
          <w:sz w:val="24"/>
          <w:szCs w:val="24"/>
        </w:rPr>
      </w:pPr>
      <w:r w:rsidRPr="00CA6BAD">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557D6336" wp14:editId="4653F2DF">
                <wp:simplePos x="0" y="0"/>
                <wp:positionH relativeFrom="margin">
                  <wp:posOffset>3189715</wp:posOffset>
                </wp:positionH>
                <wp:positionV relativeFrom="paragraph">
                  <wp:posOffset>145968</wp:posOffset>
                </wp:positionV>
                <wp:extent cx="2543175" cy="850790"/>
                <wp:effectExtent l="0" t="0" r="28575" b="26035"/>
                <wp:wrapNone/>
                <wp:docPr id="35" name="Cuadro de texto 35"/>
                <wp:cNvGraphicFramePr/>
                <a:graphic xmlns:a="http://schemas.openxmlformats.org/drawingml/2006/main">
                  <a:graphicData uri="http://schemas.microsoft.com/office/word/2010/wordprocessingShape">
                    <wps:wsp>
                      <wps:cNvSpPr txBox="1"/>
                      <wps:spPr>
                        <a:xfrm>
                          <a:off x="0" y="0"/>
                          <a:ext cx="2543175" cy="850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sz w:val="24"/>
                              </w:rPr>
                              <w:t>Comisionado</w:t>
                            </w:r>
                          </w:p>
                          <w:p w:rsidR="0025586E" w:rsidRPr="001E579B" w:rsidRDefault="0025586E" w:rsidP="00D00ED6">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D6336" id="Cuadro de texto 35" o:spid="_x0000_s1027" type="#_x0000_t202" style="position:absolute;margin-left:251.15pt;margin-top:11.5pt;width:200.25pt;height: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" fillcolor="white [3201]" strokecolor="white [3212]" strokeweight=".5pt">
                <v:textbox>
                  <w:txbxContent>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sz w:val="24"/>
                        </w:rPr>
                        <w:t>Comisionado</w:t>
                      </w:r>
                    </w:p>
                    <w:p w:rsidR="0025586E" w:rsidRPr="001E579B" w:rsidRDefault="0025586E" w:rsidP="00D00ED6">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v:textbox>
                <w10:wrap anchorx="margin"/>
              </v:shape>
            </w:pict>
          </mc:Fallback>
        </mc:AlternateContent>
      </w:r>
      <w:r w:rsidRPr="00CA6BAD">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1D993034" wp14:editId="18DAF08B">
                <wp:simplePos x="0" y="0"/>
                <wp:positionH relativeFrom="margin">
                  <wp:posOffset>1242</wp:posOffset>
                </wp:positionH>
                <wp:positionV relativeFrom="paragraph">
                  <wp:posOffset>159937</wp:posOffset>
                </wp:positionV>
                <wp:extent cx="1943100" cy="707666"/>
                <wp:effectExtent l="0" t="0" r="19050" b="16510"/>
                <wp:wrapNone/>
                <wp:docPr id="22" name="Cuadro de texto 22"/>
                <wp:cNvGraphicFramePr/>
                <a:graphic xmlns:a="http://schemas.openxmlformats.org/drawingml/2006/main">
                  <a:graphicData uri="http://schemas.microsoft.com/office/word/2010/wordprocessingShape">
                    <wps:wsp>
                      <wps:cNvSpPr txBox="1"/>
                      <wps:spPr>
                        <a:xfrm>
                          <a:off x="0" y="0"/>
                          <a:ext cx="19431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5586E" w:rsidRPr="005C434E" w:rsidRDefault="0025586E" w:rsidP="00D00ED6">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sz w:val="24"/>
                              </w:rPr>
                              <w:t>Comisionada</w:t>
                            </w:r>
                          </w:p>
                          <w:p w:rsidR="0025586E" w:rsidRPr="009020F7"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25586E" w:rsidRPr="005C434E" w:rsidRDefault="0025586E" w:rsidP="00D00ED6">
                            <w:pPr>
                              <w:spacing w:after="0" w:line="240" w:lineRule="auto"/>
                              <w:jc w:val="center"/>
                              <w:rPr>
                                <w:rFonts w:ascii="Palatino Linotype" w:hAnsi="Palatino Linotype"/>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93034" id="Cuadro de texto 22" o:spid="_x0000_s1028" type="#_x0000_t202" style="position:absolute;margin-left:.1pt;margin-top:12.6pt;width:153pt;height:5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" fillcolor="white [3201]" strokecolor="white [3212]" strokeweight=".5pt">
                <v:textbox>
                  <w:txbxContent>
                    <w:p w:rsidR="0025586E" w:rsidRPr="005C434E" w:rsidRDefault="0025586E" w:rsidP="00D00ED6">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sz w:val="24"/>
                        </w:rPr>
                        <w:t>Comisionada</w:t>
                      </w:r>
                    </w:p>
                    <w:p w:rsidR="0025586E" w:rsidRPr="009020F7"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25586E" w:rsidRPr="005C434E" w:rsidRDefault="0025586E" w:rsidP="00D00ED6">
                      <w:pPr>
                        <w:spacing w:after="0" w:line="240" w:lineRule="auto"/>
                        <w:jc w:val="center"/>
                        <w:rPr>
                          <w:rFonts w:ascii="Palatino Linotype" w:hAnsi="Palatino Linotype"/>
                          <w:b/>
                          <w:sz w:val="24"/>
                        </w:rPr>
                      </w:pPr>
                    </w:p>
                  </w:txbxContent>
                </v:textbox>
                <w10:wrap anchorx="margin"/>
              </v:shape>
            </w:pict>
          </mc:Fallback>
        </mc:AlternateContent>
      </w: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b/>
          <w:sz w:val="24"/>
          <w:szCs w:val="24"/>
        </w:rPr>
      </w:pPr>
      <w:r w:rsidRPr="00CA6BAD">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224ABA12" wp14:editId="27D11982">
                <wp:simplePos x="0" y="0"/>
                <wp:positionH relativeFrom="margin">
                  <wp:posOffset>79348</wp:posOffset>
                </wp:positionH>
                <wp:positionV relativeFrom="margin">
                  <wp:posOffset>4532989</wp:posOffset>
                </wp:positionV>
                <wp:extent cx="2133600" cy="675640"/>
                <wp:effectExtent l="0" t="0" r="19050" b="10160"/>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sz w:val="24"/>
                              </w:rPr>
                              <w:t>Comisionado</w:t>
                            </w:r>
                          </w:p>
                          <w:p w:rsidR="0025586E"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25586E" w:rsidRPr="009020F7" w:rsidRDefault="0025586E" w:rsidP="00D00ED6">
                            <w:pPr>
                              <w:spacing w:after="0" w:line="240" w:lineRule="auto"/>
                              <w:jc w:val="center"/>
                              <w:rPr>
                                <w:rFonts w:ascii="Palatino Linotype" w:hAnsi="Palatino Linotype"/>
                                <w:b/>
                                <w:sz w:val="24"/>
                                <w:szCs w:val="24"/>
                              </w:rPr>
                            </w:pPr>
                          </w:p>
                          <w:p w:rsidR="0025586E" w:rsidRDefault="0025586E" w:rsidP="00D00ED6">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ABA12" id="Cuadro de texto 2" o:spid="_x0000_s1029" type="#_x0000_t202" style="position:absolute;margin-left:6.25pt;margin-top:356.95pt;width:168pt;height:5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" fillcolor="white [3201]" strokecolor="white [3212]" strokeweight=".5pt">
                <v:textbox>
                  <w:txbxContent>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sz w:val="24"/>
                        </w:rPr>
                        <w:t>Comisionado</w:t>
                      </w:r>
                    </w:p>
                    <w:p w:rsidR="0025586E"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25586E" w:rsidRPr="009020F7" w:rsidRDefault="0025586E" w:rsidP="00D00ED6">
                      <w:pPr>
                        <w:spacing w:after="0" w:line="240" w:lineRule="auto"/>
                        <w:jc w:val="center"/>
                        <w:rPr>
                          <w:rFonts w:ascii="Palatino Linotype" w:hAnsi="Palatino Linotype"/>
                          <w:b/>
                          <w:sz w:val="24"/>
                          <w:szCs w:val="24"/>
                        </w:rPr>
                      </w:pPr>
                    </w:p>
                    <w:p w:rsidR="0025586E" w:rsidRDefault="0025586E" w:rsidP="00D00ED6">
                      <w:pPr>
                        <w:spacing w:after="0" w:line="240" w:lineRule="auto"/>
                        <w:jc w:val="center"/>
                      </w:pPr>
                    </w:p>
                  </w:txbxContent>
                </v:textbox>
                <w10:wrap type="square" anchorx="margin" anchory="margin"/>
              </v:shape>
            </w:pict>
          </mc:Fallback>
        </mc:AlternateContent>
      </w:r>
      <w:r w:rsidRPr="00CA6BAD">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1BCC6952" wp14:editId="0BF12125">
                <wp:simplePos x="0" y="0"/>
                <wp:positionH relativeFrom="margin">
                  <wp:posOffset>3508955</wp:posOffset>
                </wp:positionH>
                <wp:positionV relativeFrom="margin">
                  <wp:posOffset>4558803</wp:posOffset>
                </wp:positionV>
                <wp:extent cx="2133600" cy="675640"/>
                <wp:effectExtent l="0" t="0" r="19050" b="10160"/>
                <wp:wrapSquare wrapText="bothSides"/>
                <wp:docPr id="1" name="Cuadro de texto 1"/>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5586E" w:rsidRPr="005C434E" w:rsidRDefault="0025586E" w:rsidP="00D00ED6">
                            <w:pPr>
                              <w:spacing w:after="0" w:line="240" w:lineRule="auto"/>
                              <w:jc w:val="center"/>
                              <w:rPr>
                                <w:rFonts w:ascii="Palatino Linotype" w:hAnsi="Palatino Linotype"/>
                                <w:sz w:val="24"/>
                              </w:rPr>
                            </w:pPr>
                            <w:r>
                              <w:rPr>
                                <w:rFonts w:ascii="Palatino Linotype" w:hAnsi="Palatino Linotype"/>
                                <w:b/>
                                <w:sz w:val="24"/>
                              </w:rPr>
                              <w:t>Luis Gustavo Parra Noriega</w:t>
                            </w:r>
                          </w:p>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sz w:val="24"/>
                              </w:rPr>
                              <w:t>Comisionado</w:t>
                            </w:r>
                          </w:p>
                          <w:p w:rsidR="0025586E"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25586E" w:rsidRPr="009020F7" w:rsidRDefault="0025586E" w:rsidP="00D00ED6">
                            <w:pPr>
                              <w:spacing w:after="0" w:line="240" w:lineRule="auto"/>
                              <w:jc w:val="center"/>
                              <w:rPr>
                                <w:rFonts w:ascii="Palatino Linotype" w:hAnsi="Palatino Linotype"/>
                                <w:b/>
                                <w:sz w:val="24"/>
                                <w:szCs w:val="24"/>
                              </w:rPr>
                            </w:pPr>
                          </w:p>
                          <w:p w:rsidR="0025586E" w:rsidRDefault="0025586E" w:rsidP="00D00ED6">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C6952" id="Cuadro de texto 1" o:spid="_x0000_s1030" type="#_x0000_t202" style="position:absolute;margin-left:276.3pt;margin-top:358.95pt;width:168pt;height:53.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" fillcolor="white [3201]" strokecolor="white [3212]" strokeweight=".5pt">
                <v:textbox>
                  <w:txbxContent>
                    <w:p w:rsidR="0025586E" w:rsidRPr="005C434E" w:rsidRDefault="0025586E" w:rsidP="00D00ED6">
                      <w:pPr>
                        <w:spacing w:after="0" w:line="240" w:lineRule="auto"/>
                        <w:jc w:val="center"/>
                        <w:rPr>
                          <w:rFonts w:ascii="Palatino Linotype" w:hAnsi="Palatino Linotype"/>
                          <w:sz w:val="24"/>
                        </w:rPr>
                      </w:pPr>
                      <w:r>
                        <w:rPr>
                          <w:rFonts w:ascii="Palatino Linotype" w:hAnsi="Palatino Linotype"/>
                          <w:b/>
                          <w:sz w:val="24"/>
                        </w:rPr>
                        <w:t>Luis Gustavo Parra Noriega</w:t>
                      </w:r>
                    </w:p>
                    <w:p w:rsidR="0025586E" w:rsidRPr="005C434E" w:rsidRDefault="0025586E" w:rsidP="00D00ED6">
                      <w:pPr>
                        <w:spacing w:after="0" w:line="240" w:lineRule="auto"/>
                        <w:jc w:val="center"/>
                        <w:rPr>
                          <w:rFonts w:ascii="Palatino Linotype" w:hAnsi="Palatino Linotype"/>
                          <w:sz w:val="24"/>
                        </w:rPr>
                      </w:pPr>
                      <w:r w:rsidRPr="005C434E">
                        <w:rPr>
                          <w:rFonts w:ascii="Palatino Linotype" w:hAnsi="Palatino Linotype"/>
                          <w:sz w:val="24"/>
                        </w:rPr>
                        <w:t>Comisionado</w:t>
                      </w:r>
                    </w:p>
                    <w:p w:rsidR="0025586E"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25586E" w:rsidRPr="009020F7" w:rsidRDefault="0025586E" w:rsidP="00D00ED6">
                      <w:pPr>
                        <w:spacing w:after="0" w:line="240" w:lineRule="auto"/>
                        <w:jc w:val="center"/>
                        <w:rPr>
                          <w:rFonts w:ascii="Palatino Linotype" w:hAnsi="Palatino Linotype"/>
                          <w:b/>
                          <w:sz w:val="24"/>
                          <w:szCs w:val="24"/>
                        </w:rPr>
                      </w:pPr>
                    </w:p>
                    <w:p w:rsidR="0025586E" w:rsidRDefault="0025586E" w:rsidP="00D00ED6">
                      <w:pPr>
                        <w:spacing w:after="0" w:line="240" w:lineRule="auto"/>
                        <w:jc w:val="center"/>
                      </w:pPr>
                    </w:p>
                  </w:txbxContent>
                </v:textbox>
                <w10:wrap type="square" anchorx="margin" anchory="margin"/>
              </v:shape>
            </w:pict>
          </mc:Fallback>
        </mc:AlternateContent>
      </w: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b/>
          <w:sz w:val="24"/>
          <w:szCs w:val="24"/>
        </w:rPr>
      </w:pPr>
    </w:p>
    <w:p w:rsidR="00D00ED6" w:rsidRPr="00CA6BAD" w:rsidRDefault="00D00ED6" w:rsidP="00D00ED6">
      <w:pPr>
        <w:spacing w:after="0" w:line="360" w:lineRule="auto"/>
        <w:rPr>
          <w:rFonts w:ascii="Palatino Linotype" w:hAnsi="Palatino Linotype" w:cs="Arial"/>
          <w:sz w:val="24"/>
          <w:szCs w:val="24"/>
        </w:rPr>
      </w:pPr>
    </w:p>
    <w:p w:rsidR="00D00ED6" w:rsidRPr="00CA6BAD" w:rsidRDefault="00D00ED6" w:rsidP="00D00ED6">
      <w:pPr>
        <w:spacing w:after="0" w:line="360" w:lineRule="auto"/>
        <w:rPr>
          <w:rFonts w:ascii="Palatino Linotype" w:hAnsi="Palatino Linotype" w:cs="Arial"/>
          <w:sz w:val="44"/>
          <w:szCs w:val="24"/>
        </w:rPr>
      </w:pPr>
    </w:p>
    <w:p w:rsidR="00D00ED6" w:rsidRPr="00CA6BAD" w:rsidRDefault="00D00ED6" w:rsidP="00D00ED6">
      <w:pPr>
        <w:spacing w:after="0" w:line="360" w:lineRule="auto"/>
        <w:rPr>
          <w:rFonts w:ascii="Palatino Linotype" w:hAnsi="Palatino Linotype" w:cs="Arial"/>
          <w:sz w:val="24"/>
          <w:szCs w:val="24"/>
        </w:rPr>
      </w:pPr>
      <w:r w:rsidRPr="00CA6BAD">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3C913E51" wp14:editId="2B1073E8">
                <wp:simplePos x="0" y="0"/>
                <wp:positionH relativeFrom="page">
                  <wp:posOffset>2297927</wp:posOffset>
                </wp:positionH>
                <wp:positionV relativeFrom="paragraph">
                  <wp:posOffset>61540</wp:posOffset>
                </wp:positionV>
                <wp:extent cx="3152775" cy="675861"/>
                <wp:effectExtent l="0" t="0" r="28575" b="10160"/>
                <wp:wrapNone/>
                <wp:docPr id="24" name="Cuadro de texto 24"/>
                <wp:cNvGraphicFramePr/>
                <a:graphic xmlns:a="http://schemas.openxmlformats.org/drawingml/2006/main">
                  <a:graphicData uri="http://schemas.microsoft.com/office/word/2010/wordprocessingShape">
                    <wps:wsp>
                      <wps:cNvSpPr txBox="1"/>
                      <wps:spPr>
                        <a:xfrm>
                          <a:off x="0" y="0"/>
                          <a:ext cx="3152775" cy="6758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5586E" w:rsidRPr="005C434E" w:rsidRDefault="0025586E" w:rsidP="00D00ED6">
                            <w:pPr>
                              <w:spacing w:after="0" w:line="240" w:lineRule="auto"/>
                              <w:jc w:val="center"/>
                              <w:rPr>
                                <w:rFonts w:ascii="Palatino Linotype" w:hAnsi="Palatino Linotype"/>
                                <w:b/>
                                <w:sz w:val="24"/>
                              </w:rPr>
                            </w:pPr>
                            <w:r>
                              <w:rPr>
                                <w:rFonts w:ascii="Palatino Linotype" w:hAnsi="Palatino Linotype"/>
                                <w:b/>
                                <w:sz w:val="24"/>
                              </w:rPr>
                              <w:t>Alexis Tapia Ramírez</w:t>
                            </w:r>
                          </w:p>
                          <w:p w:rsidR="0025586E" w:rsidRPr="005C434E" w:rsidRDefault="0025586E" w:rsidP="00D00ED6">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25586E" w:rsidRPr="001476CB"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13E51" id="Cuadro de texto 24" o:spid="_x0000_s1031" type="#_x0000_t202" style="position:absolute;margin-left:180.95pt;margin-top:4.85pt;width:248.25pt;height:5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" fillcolor="white [3201]" strokecolor="white [3212]" strokeweight=".5pt">
                <v:textbox>
                  <w:txbxContent>
                    <w:p w:rsidR="0025586E" w:rsidRPr="005C434E" w:rsidRDefault="0025586E" w:rsidP="00D00ED6">
                      <w:pPr>
                        <w:spacing w:after="0" w:line="240" w:lineRule="auto"/>
                        <w:jc w:val="center"/>
                        <w:rPr>
                          <w:rFonts w:ascii="Palatino Linotype" w:hAnsi="Palatino Linotype"/>
                          <w:b/>
                          <w:sz w:val="24"/>
                        </w:rPr>
                      </w:pPr>
                      <w:r>
                        <w:rPr>
                          <w:rFonts w:ascii="Palatino Linotype" w:hAnsi="Palatino Linotype"/>
                          <w:b/>
                          <w:sz w:val="24"/>
                        </w:rPr>
                        <w:t>Alexis Tapia Ramírez</w:t>
                      </w:r>
                    </w:p>
                    <w:p w:rsidR="0025586E" w:rsidRPr="005C434E" w:rsidRDefault="0025586E" w:rsidP="00D00ED6">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25586E" w:rsidRPr="001476CB" w:rsidRDefault="0025586E" w:rsidP="00D00ED6">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D00ED6" w:rsidRPr="00CA6BAD" w:rsidRDefault="00D00ED6" w:rsidP="00D00ED6">
      <w:pPr>
        <w:spacing w:after="0" w:line="240" w:lineRule="auto"/>
        <w:jc w:val="both"/>
        <w:rPr>
          <w:rFonts w:ascii="Palatino Linotype" w:hAnsi="Palatino Linotype" w:cs="Arial"/>
          <w:sz w:val="16"/>
          <w:szCs w:val="24"/>
        </w:rPr>
      </w:pPr>
    </w:p>
    <w:p w:rsidR="00D00ED6" w:rsidRPr="00CA6BAD" w:rsidRDefault="00D00ED6" w:rsidP="00D00ED6">
      <w:pPr>
        <w:spacing w:after="0" w:line="240" w:lineRule="auto"/>
        <w:jc w:val="both"/>
        <w:rPr>
          <w:rFonts w:ascii="Palatino Linotype" w:hAnsi="Palatino Linotype" w:cs="Arial"/>
          <w:sz w:val="16"/>
          <w:szCs w:val="24"/>
        </w:rPr>
      </w:pPr>
    </w:p>
    <w:p w:rsidR="00D00ED6" w:rsidRDefault="00D00ED6" w:rsidP="00D00ED6">
      <w:pPr>
        <w:spacing w:after="0" w:line="240" w:lineRule="auto"/>
        <w:jc w:val="both"/>
        <w:rPr>
          <w:rFonts w:ascii="Palatino Linotype" w:hAnsi="Palatino Linotype" w:cs="Arial"/>
          <w:sz w:val="16"/>
          <w:szCs w:val="24"/>
        </w:rPr>
      </w:pPr>
    </w:p>
    <w:p w:rsidR="008F4F7B" w:rsidRPr="00CA6BAD" w:rsidRDefault="008F4F7B" w:rsidP="00D00ED6">
      <w:pPr>
        <w:spacing w:after="0" w:line="240" w:lineRule="auto"/>
        <w:jc w:val="both"/>
        <w:rPr>
          <w:rFonts w:ascii="Palatino Linotype" w:hAnsi="Palatino Linotype" w:cs="Arial"/>
          <w:sz w:val="16"/>
          <w:szCs w:val="24"/>
        </w:rPr>
      </w:pPr>
    </w:p>
    <w:p w:rsidR="00D00ED6" w:rsidRPr="00CA6BAD" w:rsidRDefault="00D00ED6" w:rsidP="00D00ED6">
      <w:pPr>
        <w:spacing w:after="0" w:line="240" w:lineRule="auto"/>
        <w:jc w:val="both"/>
        <w:rPr>
          <w:rFonts w:ascii="Palatino Linotype" w:hAnsi="Palatino Linotype" w:cs="Arial"/>
          <w:sz w:val="16"/>
          <w:szCs w:val="24"/>
        </w:rPr>
      </w:pPr>
    </w:p>
    <w:p w:rsidR="008F4F7B" w:rsidRDefault="008F4F7B" w:rsidP="00D00ED6">
      <w:pPr>
        <w:spacing w:after="0" w:line="240" w:lineRule="auto"/>
        <w:jc w:val="both"/>
        <w:rPr>
          <w:rFonts w:ascii="Palatino Linotype" w:hAnsi="Palatino Linotype" w:cs="Arial"/>
          <w:sz w:val="16"/>
          <w:szCs w:val="24"/>
        </w:rPr>
      </w:pPr>
      <w:r w:rsidRPr="008F4F7B">
        <w:rPr>
          <w:rFonts w:ascii="Palatino Linotype" w:hAnsi="Palatino Linotype" w:cs="Arial"/>
          <w:sz w:val="16"/>
          <w:szCs w:val="24"/>
        </w:rPr>
        <w:t>Esta foja corresponde a la resolución de fecha veintiséis de junio de dos mil diecinueve, emitida en el recurso de revisión número 02466/INFOEM/IP/RR/2019.</w:t>
      </w:r>
    </w:p>
    <w:p w:rsidR="00D00ED6" w:rsidRPr="005C434E" w:rsidRDefault="008F4F7B" w:rsidP="00D00ED6">
      <w:pPr>
        <w:spacing w:after="0" w:line="240" w:lineRule="auto"/>
        <w:jc w:val="both"/>
        <w:rPr>
          <w:rFonts w:ascii="Palatino Linotype" w:hAnsi="Palatino Linotype" w:cs="Arial"/>
          <w:sz w:val="16"/>
          <w:szCs w:val="24"/>
        </w:rPr>
      </w:pPr>
      <w:r>
        <w:rPr>
          <w:rFonts w:ascii="Palatino Linotype" w:hAnsi="Palatino Linotype" w:cs="Arial"/>
          <w:sz w:val="16"/>
          <w:szCs w:val="24"/>
        </w:rPr>
        <w:t>ZMS/OSAM/FJJC</w:t>
      </w:r>
    </w:p>
    <w:sectPr w:rsidR="00D00ED6" w:rsidRPr="005C434E" w:rsidSect="0069166E">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86E" w:rsidRDefault="0025586E" w:rsidP="00D00ED6">
      <w:pPr>
        <w:spacing w:after="0" w:line="240" w:lineRule="auto"/>
      </w:pPr>
      <w:r>
        <w:separator/>
      </w:r>
    </w:p>
  </w:endnote>
  <w:endnote w:type="continuationSeparator" w:id="0">
    <w:p w:rsidR="0025586E" w:rsidRDefault="0025586E" w:rsidP="00D0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6E" w:rsidRPr="000B69FA" w:rsidRDefault="0025586E" w:rsidP="0069166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2FBC">
      <w:rPr>
        <w:rFonts w:ascii="Palatino Linotype" w:hAnsi="Palatino Linotype"/>
        <w:bCs/>
        <w:noProof/>
        <w:sz w:val="20"/>
      </w:rPr>
      <w:t>55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2FBC">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6E" w:rsidRPr="000B69FA" w:rsidRDefault="0025586E" w:rsidP="0069166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2F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2FBC">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86E" w:rsidRDefault="0025586E" w:rsidP="00D00ED6">
      <w:pPr>
        <w:spacing w:after="0" w:line="240" w:lineRule="auto"/>
      </w:pPr>
      <w:r>
        <w:separator/>
      </w:r>
    </w:p>
  </w:footnote>
  <w:footnote w:type="continuationSeparator" w:id="0">
    <w:p w:rsidR="0025586E" w:rsidRDefault="0025586E" w:rsidP="00D00ED6">
      <w:pPr>
        <w:spacing w:after="0" w:line="240" w:lineRule="auto"/>
      </w:pPr>
      <w:r>
        <w:continuationSeparator/>
      </w:r>
    </w:p>
  </w:footnote>
  <w:footnote w:id="1">
    <w:p w:rsidR="0025586E" w:rsidRPr="00F07740" w:rsidRDefault="0025586E" w:rsidP="00D00ED6">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5586E" w:rsidRPr="00946E1F" w:rsidRDefault="0025586E" w:rsidP="00D00ED6">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63935" w:rsidRDefault="00C63935" w:rsidP="00C63935">
      <w:pPr>
        <w:pStyle w:val="Textonotapie"/>
      </w:pPr>
      <w:r>
        <w:rPr>
          <w:rStyle w:val="Refdenotaalpie"/>
        </w:rPr>
        <w:footnoteRef/>
      </w:r>
      <w:r>
        <w:t xml:space="preserve"> </w:t>
      </w:r>
      <w:r w:rsidRPr="00F33A87">
        <w:rPr>
          <w:b/>
          <w:i/>
          <w:color w:val="3333FF"/>
          <w:sz w:val="22"/>
        </w:rPr>
        <w:t>http://cuentame.inegi.org.mx/monografias/informacion/mex/poblacion/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6E" w:rsidRDefault="0025586E">
    <w:pPr>
      <w:pStyle w:val="Encabezado"/>
    </w:pPr>
  </w:p>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25586E" w:rsidTr="0069166E">
      <w:trPr>
        <w:trHeight w:val="227"/>
      </w:trPr>
      <w:tc>
        <w:tcPr>
          <w:tcW w:w="5529" w:type="dxa"/>
          <w:hideMark/>
        </w:tcPr>
        <w:p w:rsidR="0025586E" w:rsidRDefault="0025586E" w:rsidP="0069166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25586E" w:rsidRDefault="0025586E" w:rsidP="0069166E">
          <w:pPr>
            <w:spacing w:after="120" w:line="256" w:lineRule="auto"/>
            <w:ind w:left="-486" w:right="214"/>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02466/INFOEM/IP/RR/2019</w:t>
          </w:r>
        </w:p>
      </w:tc>
    </w:tr>
    <w:tr w:rsidR="0025586E" w:rsidTr="0069166E">
      <w:trPr>
        <w:trHeight w:val="242"/>
      </w:trPr>
      <w:tc>
        <w:tcPr>
          <w:tcW w:w="5529" w:type="dxa"/>
          <w:hideMark/>
        </w:tcPr>
        <w:p w:rsidR="0025586E" w:rsidRDefault="0025586E" w:rsidP="0069166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25586E" w:rsidRDefault="0025586E" w:rsidP="0069166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Tequixquiac</w:t>
          </w:r>
        </w:p>
      </w:tc>
    </w:tr>
    <w:tr w:rsidR="0025586E" w:rsidTr="0069166E">
      <w:trPr>
        <w:trHeight w:val="342"/>
      </w:trPr>
      <w:tc>
        <w:tcPr>
          <w:tcW w:w="5529" w:type="dxa"/>
          <w:hideMark/>
        </w:tcPr>
        <w:p w:rsidR="0025586E" w:rsidRDefault="0025586E" w:rsidP="0069166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25586E" w:rsidRDefault="0025586E" w:rsidP="0069166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5586E" w:rsidRPr="0011607E" w:rsidRDefault="0025586E">
    <w:pPr>
      <w:pStyle w:val="Encabezad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25586E" w:rsidRPr="00633CD9" w:rsidTr="0069166E">
      <w:trPr>
        <w:trHeight w:val="227"/>
      </w:trPr>
      <w:tc>
        <w:tcPr>
          <w:tcW w:w="5813" w:type="dxa"/>
          <w:hideMark/>
        </w:tcPr>
        <w:p w:rsidR="0025586E" w:rsidRDefault="0025586E" w:rsidP="0069166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25586E" w:rsidRPr="00B4142F" w:rsidRDefault="0025586E" w:rsidP="0069166E">
          <w:pPr>
            <w:spacing w:after="120" w:line="256" w:lineRule="auto"/>
            <w:ind w:left="-486" w:right="214" w:firstLine="567"/>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2466/INFOEM/IP/RR/2019</w:t>
          </w:r>
        </w:p>
      </w:tc>
    </w:tr>
    <w:tr w:rsidR="0025586E" w:rsidRPr="00633CD9" w:rsidTr="0069166E">
      <w:trPr>
        <w:trHeight w:val="196"/>
      </w:trPr>
      <w:tc>
        <w:tcPr>
          <w:tcW w:w="5813" w:type="dxa"/>
          <w:hideMark/>
        </w:tcPr>
        <w:p w:rsidR="0025586E" w:rsidRDefault="0025586E" w:rsidP="0069166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hideMark/>
        </w:tcPr>
        <w:p w:rsidR="0025586E" w:rsidRPr="00840752" w:rsidRDefault="00682FBC" w:rsidP="0069166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w:t>
          </w:r>
        </w:p>
      </w:tc>
    </w:tr>
    <w:tr w:rsidR="0025586E" w:rsidRPr="00633CD9" w:rsidTr="0069166E">
      <w:trPr>
        <w:trHeight w:val="242"/>
      </w:trPr>
      <w:tc>
        <w:tcPr>
          <w:tcW w:w="5813" w:type="dxa"/>
          <w:hideMark/>
        </w:tcPr>
        <w:p w:rsidR="0025586E" w:rsidRDefault="0025586E" w:rsidP="0069166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25586E" w:rsidRDefault="0025586E" w:rsidP="0069166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Ayuntamiento de Tequixquiac</w:t>
          </w:r>
        </w:p>
      </w:tc>
    </w:tr>
    <w:tr w:rsidR="0025586E" w:rsidTr="0069166E">
      <w:trPr>
        <w:trHeight w:val="342"/>
      </w:trPr>
      <w:tc>
        <w:tcPr>
          <w:tcW w:w="5813" w:type="dxa"/>
          <w:hideMark/>
        </w:tcPr>
        <w:p w:rsidR="0025586E" w:rsidRDefault="0025586E" w:rsidP="0069166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25586E" w:rsidRDefault="0025586E" w:rsidP="0069166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5586E" w:rsidRDefault="002558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4" w15:restartNumberingAfterBreak="0">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EC331A"/>
    <w:multiLevelType w:val="hybridMultilevel"/>
    <w:tmpl w:val="41CA2FA8"/>
    <w:lvl w:ilvl="0" w:tplc="9A5C241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0434B7"/>
    <w:multiLevelType w:val="hybridMultilevel"/>
    <w:tmpl w:val="AB24F7D0"/>
    <w:lvl w:ilvl="0" w:tplc="1064419E">
      <w:start w:val="1"/>
      <w:numFmt w:val="upperRoman"/>
      <w:lvlText w:val="%1."/>
      <w:lvlJc w:val="left"/>
      <w:pPr>
        <w:ind w:left="1080" w:hanging="72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46FA"/>
    <w:multiLevelType w:val="hybridMultilevel"/>
    <w:tmpl w:val="A37C4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277047"/>
    <w:multiLevelType w:val="hybridMultilevel"/>
    <w:tmpl w:val="4478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C040D1"/>
    <w:multiLevelType w:val="hybridMultilevel"/>
    <w:tmpl w:val="F17CA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51BC586E"/>
    <w:multiLevelType w:val="hybridMultilevel"/>
    <w:tmpl w:val="5CD00B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C84D2F"/>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E40CC6"/>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4F769FF"/>
    <w:multiLevelType w:val="hybridMultilevel"/>
    <w:tmpl w:val="448AE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710A83"/>
    <w:multiLevelType w:val="hybridMultilevel"/>
    <w:tmpl w:val="58366C9E"/>
    <w:lvl w:ilvl="0" w:tplc="22F473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29"/>
  </w:num>
  <w:num w:numId="4">
    <w:abstractNumId w:val="38"/>
  </w:num>
  <w:num w:numId="5">
    <w:abstractNumId w:val="36"/>
  </w:num>
  <w:num w:numId="6">
    <w:abstractNumId w:val="17"/>
  </w:num>
  <w:num w:numId="7">
    <w:abstractNumId w:val="12"/>
  </w:num>
  <w:num w:numId="8">
    <w:abstractNumId w:val="43"/>
  </w:num>
  <w:num w:numId="9">
    <w:abstractNumId w:val="16"/>
  </w:num>
  <w:num w:numId="10">
    <w:abstractNumId w:val="28"/>
  </w:num>
  <w:num w:numId="11">
    <w:abstractNumId w:val="35"/>
  </w:num>
  <w:num w:numId="12">
    <w:abstractNumId w:val="34"/>
  </w:num>
  <w:num w:numId="13">
    <w:abstractNumId w:val="19"/>
  </w:num>
  <w:num w:numId="14">
    <w:abstractNumId w:val="14"/>
  </w:num>
  <w:num w:numId="15">
    <w:abstractNumId w:val="27"/>
  </w:num>
  <w:num w:numId="16">
    <w:abstractNumId w:val="5"/>
  </w:num>
  <w:num w:numId="17">
    <w:abstractNumId w:val="13"/>
  </w:num>
  <w:num w:numId="18">
    <w:abstractNumId w:val="41"/>
  </w:num>
  <w:num w:numId="19">
    <w:abstractNumId w:val="45"/>
  </w:num>
  <w:num w:numId="20">
    <w:abstractNumId w:val="22"/>
  </w:num>
  <w:num w:numId="21">
    <w:abstractNumId w:val="3"/>
  </w:num>
  <w:num w:numId="22">
    <w:abstractNumId w:val="23"/>
  </w:num>
  <w:num w:numId="23">
    <w:abstractNumId w:val="1"/>
  </w:num>
  <w:num w:numId="24">
    <w:abstractNumId w:val="44"/>
  </w:num>
  <w:num w:numId="25">
    <w:abstractNumId w:val="46"/>
  </w:num>
  <w:num w:numId="26">
    <w:abstractNumId w:val="20"/>
  </w:num>
  <w:num w:numId="27">
    <w:abstractNumId w:val="8"/>
  </w:num>
  <w:num w:numId="28">
    <w:abstractNumId w:val="9"/>
  </w:num>
  <w:num w:numId="29">
    <w:abstractNumId w:val="42"/>
  </w:num>
  <w:num w:numId="30">
    <w:abstractNumId w:val="4"/>
  </w:num>
  <w:num w:numId="31">
    <w:abstractNumId w:val="25"/>
  </w:num>
  <w:num w:numId="32">
    <w:abstractNumId w:val="7"/>
  </w:num>
  <w:num w:numId="33">
    <w:abstractNumId w:val="15"/>
  </w:num>
  <w:num w:numId="34">
    <w:abstractNumId w:val="6"/>
  </w:num>
  <w:num w:numId="35">
    <w:abstractNumId w:val="2"/>
  </w:num>
  <w:num w:numId="36">
    <w:abstractNumId w:val="11"/>
  </w:num>
  <w:num w:numId="37">
    <w:abstractNumId w:val="39"/>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1"/>
  </w:num>
  <w:num w:numId="41">
    <w:abstractNumId w:val="18"/>
  </w:num>
  <w:num w:numId="42">
    <w:abstractNumId w:val="31"/>
  </w:num>
  <w:num w:numId="43">
    <w:abstractNumId w:val="24"/>
  </w:num>
  <w:num w:numId="44">
    <w:abstractNumId w:val="32"/>
  </w:num>
  <w:num w:numId="45">
    <w:abstractNumId w:val="10"/>
  </w:num>
  <w:num w:numId="46">
    <w:abstractNumId w:val="33"/>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D6"/>
    <w:rsid w:val="00024BD6"/>
    <w:rsid w:val="000C734E"/>
    <w:rsid w:val="00171AAB"/>
    <w:rsid w:val="001D2462"/>
    <w:rsid w:val="001D4CE8"/>
    <w:rsid w:val="002136FF"/>
    <w:rsid w:val="00215F2F"/>
    <w:rsid w:val="0025586E"/>
    <w:rsid w:val="002569EF"/>
    <w:rsid w:val="00261468"/>
    <w:rsid w:val="003033E8"/>
    <w:rsid w:val="003C0E41"/>
    <w:rsid w:val="003F5D8E"/>
    <w:rsid w:val="004944DE"/>
    <w:rsid w:val="004E7193"/>
    <w:rsid w:val="00505462"/>
    <w:rsid w:val="00535E1A"/>
    <w:rsid w:val="00605D47"/>
    <w:rsid w:val="006712F6"/>
    <w:rsid w:val="00682FBC"/>
    <w:rsid w:val="00687AD5"/>
    <w:rsid w:val="0069166E"/>
    <w:rsid w:val="007979BC"/>
    <w:rsid w:val="007E7C08"/>
    <w:rsid w:val="008F4F7B"/>
    <w:rsid w:val="009212AF"/>
    <w:rsid w:val="009651FE"/>
    <w:rsid w:val="00AA4D60"/>
    <w:rsid w:val="00B54418"/>
    <w:rsid w:val="00B636AD"/>
    <w:rsid w:val="00C36868"/>
    <w:rsid w:val="00C63935"/>
    <w:rsid w:val="00C834E5"/>
    <w:rsid w:val="00CA6BAD"/>
    <w:rsid w:val="00CA7C0D"/>
    <w:rsid w:val="00D00ED6"/>
    <w:rsid w:val="00DC7AD0"/>
    <w:rsid w:val="00E67E34"/>
    <w:rsid w:val="00ED499A"/>
    <w:rsid w:val="00F107C7"/>
    <w:rsid w:val="00F40AD1"/>
    <w:rsid w:val="00F87DFC"/>
    <w:rsid w:val="00FD3993"/>
    <w:rsid w:val="00FD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A24FB-B1B1-486E-8D7E-4367EC6D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ED6"/>
  </w:style>
  <w:style w:type="paragraph" w:styleId="Ttulo1">
    <w:name w:val="heading 1"/>
    <w:basedOn w:val="Normal"/>
    <w:next w:val="Normal"/>
    <w:link w:val="Ttulo1Car"/>
    <w:uiPriority w:val="9"/>
    <w:qFormat/>
    <w:rsid w:val="00D00ED6"/>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00E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00ED6"/>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ED6"/>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00ED6"/>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00ED6"/>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D00E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0ED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00E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0ED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00ED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0ED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00ED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00ED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00ED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00ED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00ED6"/>
    <w:rPr>
      <w:sz w:val="20"/>
      <w:szCs w:val="20"/>
    </w:rPr>
  </w:style>
  <w:style w:type="paragraph" w:styleId="Textodeglobo">
    <w:name w:val="Balloon Text"/>
    <w:basedOn w:val="Normal"/>
    <w:link w:val="TextodegloboCar"/>
    <w:uiPriority w:val="99"/>
    <w:semiHidden/>
    <w:unhideWhenUsed/>
    <w:rsid w:val="00D00E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ED6"/>
    <w:rPr>
      <w:rFonts w:ascii="Segoe UI" w:hAnsi="Segoe UI" w:cs="Segoe UI"/>
      <w:sz w:val="18"/>
      <w:szCs w:val="18"/>
    </w:rPr>
  </w:style>
  <w:style w:type="paragraph" w:styleId="Sinespaciado">
    <w:name w:val="No Spacing"/>
    <w:aliases w:val="Francesa"/>
    <w:link w:val="SinespaciadoCar"/>
    <w:uiPriority w:val="1"/>
    <w:qFormat/>
    <w:rsid w:val="00D00ED6"/>
    <w:pPr>
      <w:spacing w:after="0" w:line="240" w:lineRule="auto"/>
    </w:pPr>
  </w:style>
  <w:style w:type="character" w:customStyle="1" w:styleId="apple-style-span">
    <w:name w:val="apple-style-span"/>
    <w:rsid w:val="00D00ED6"/>
  </w:style>
  <w:style w:type="character" w:customStyle="1" w:styleId="SinespaciadoCar">
    <w:name w:val="Sin espaciado Car"/>
    <w:aliases w:val="Francesa Car"/>
    <w:link w:val="Sinespaciado"/>
    <w:uiPriority w:val="1"/>
    <w:locked/>
    <w:rsid w:val="00D00ED6"/>
  </w:style>
  <w:style w:type="paragraph" w:styleId="Textosinformato">
    <w:name w:val="Plain Text"/>
    <w:basedOn w:val="Normal"/>
    <w:link w:val="TextosinformatoCar"/>
    <w:rsid w:val="00D00ED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00ED6"/>
    <w:rPr>
      <w:rFonts w:ascii="Courier New" w:eastAsia="Times New Roman" w:hAnsi="Courier New" w:cs="Times New Roman"/>
      <w:sz w:val="20"/>
      <w:szCs w:val="20"/>
      <w:lang w:val="es-ES" w:eastAsia="es-ES"/>
    </w:rPr>
  </w:style>
  <w:style w:type="paragraph" w:customStyle="1" w:styleId="Default">
    <w:name w:val="Default"/>
    <w:rsid w:val="00D00ED6"/>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D00ED6"/>
    <w:rPr>
      <w:b/>
      <w:bCs/>
    </w:rPr>
  </w:style>
  <w:style w:type="paragraph" w:styleId="Textoindependiente">
    <w:name w:val="Body Text"/>
    <w:basedOn w:val="Normal"/>
    <w:link w:val="TextoindependienteCar"/>
    <w:uiPriority w:val="1"/>
    <w:qFormat/>
    <w:rsid w:val="00D00ED6"/>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D00ED6"/>
    <w:rPr>
      <w:rFonts w:ascii="Times New Roman" w:eastAsia="Times New Roman" w:hAnsi="Times New Roman"/>
      <w:sz w:val="25"/>
      <w:szCs w:val="25"/>
      <w:lang w:val="en-US"/>
    </w:rPr>
  </w:style>
  <w:style w:type="character" w:customStyle="1" w:styleId="lbl-encabezado-negro">
    <w:name w:val="lbl-encabezado-negro"/>
    <w:basedOn w:val="Fuentedeprrafopredeter"/>
    <w:rsid w:val="00D00ED6"/>
  </w:style>
  <w:style w:type="character" w:customStyle="1" w:styleId="red">
    <w:name w:val="red"/>
    <w:basedOn w:val="Fuentedeprrafopredeter"/>
    <w:rsid w:val="00D00ED6"/>
  </w:style>
  <w:style w:type="paragraph" w:customStyle="1" w:styleId="francesa">
    <w:name w:val="francesa"/>
    <w:basedOn w:val="Normal"/>
    <w:rsid w:val="00D00ED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0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D00ED6"/>
    <w:pPr>
      <w:spacing w:line="221" w:lineRule="atLeast"/>
    </w:pPr>
    <w:rPr>
      <w:color w:val="auto"/>
    </w:rPr>
  </w:style>
  <w:style w:type="paragraph" w:customStyle="1" w:styleId="n2">
    <w:name w:val="n2"/>
    <w:basedOn w:val="Normal"/>
    <w:rsid w:val="00D00ED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00ED6"/>
    <w:rPr>
      <w:i/>
      <w:iCs/>
    </w:rPr>
  </w:style>
  <w:style w:type="paragraph" w:customStyle="1" w:styleId="j">
    <w:name w:val="j"/>
    <w:basedOn w:val="Normal"/>
    <w:rsid w:val="00D00ED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D00ED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D00ED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00ED6"/>
  </w:style>
  <w:style w:type="character" w:customStyle="1" w:styleId="h">
    <w:name w:val="h"/>
    <w:basedOn w:val="Fuentedeprrafopredeter"/>
    <w:rsid w:val="00D00ED6"/>
  </w:style>
  <w:style w:type="character" w:customStyle="1" w:styleId="i1">
    <w:name w:val="i1"/>
    <w:basedOn w:val="Fuentedeprrafopredeter"/>
    <w:rsid w:val="00D00ED6"/>
  </w:style>
  <w:style w:type="paragraph" w:styleId="Sangradetextonormal">
    <w:name w:val="Body Text Indent"/>
    <w:basedOn w:val="Normal"/>
    <w:link w:val="SangradetextonormalCar"/>
    <w:uiPriority w:val="99"/>
    <w:unhideWhenUsed/>
    <w:rsid w:val="00D00ED6"/>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D00ED6"/>
    <w:rPr>
      <w:rFonts w:ascii="Calibri" w:eastAsia="Calibri" w:hAnsi="Calibri" w:cs="Times New Roman"/>
    </w:rPr>
  </w:style>
  <w:style w:type="paragraph" w:styleId="NormalWeb">
    <w:name w:val="Normal (Web)"/>
    <w:basedOn w:val="Normal"/>
    <w:uiPriority w:val="99"/>
    <w:rsid w:val="00D00ED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00ED6"/>
    <w:rPr>
      <w:sz w:val="16"/>
      <w:szCs w:val="16"/>
    </w:rPr>
  </w:style>
  <w:style w:type="paragraph" w:styleId="Textocomentario">
    <w:name w:val="annotation text"/>
    <w:basedOn w:val="Normal"/>
    <w:link w:val="TextocomentarioCar"/>
    <w:uiPriority w:val="99"/>
    <w:semiHidden/>
    <w:unhideWhenUsed/>
    <w:rsid w:val="00D00E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0ED6"/>
    <w:rPr>
      <w:sz w:val="20"/>
      <w:szCs w:val="20"/>
    </w:rPr>
  </w:style>
  <w:style w:type="paragraph" w:styleId="Asuntodelcomentario">
    <w:name w:val="annotation subject"/>
    <w:basedOn w:val="Textocomentario"/>
    <w:next w:val="Textocomentario"/>
    <w:link w:val="AsuntodelcomentarioCar"/>
    <w:uiPriority w:val="99"/>
    <w:semiHidden/>
    <w:unhideWhenUsed/>
    <w:rsid w:val="00D00ED6"/>
    <w:rPr>
      <w:b/>
      <w:bCs/>
    </w:rPr>
  </w:style>
  <w:style w:type="character" w:customStyle="1" w:styleId="AsuntodelcomentarioCar">
    <w:name w:val="Asunto del comentario Car"/>
    <w:basedOn w:val="TextocomentarioCar"/>
    <w:link w:val="Asuntodelcomentario"/>
    <w:uiPriority w:val="99"/>
    <w:semiHidden/>
    <w:rsid w:val="00D00ED6"/>
    <w:rPr>
      <w:b/>
      <w:bCs/>
      <w:sz w:val="20"/>
      <w:szCs w:val="20"/>
    </w:rPr>
  </w:style>
  <w:style w:type="paragraph" w:styleId="Revisin">
    <w:name w:val="Revision"/>
    <w:hidden/>
    <w:uiPriority w:val="99"/>
    <w:semiHidden/>
    <w:rsid w:val="00D00ED6"/>
    <w:pPr>
      <w:spacing w:after="0" w:line="240" w:lineRule="auto"/>
    </w:pPr>
  </w:style>
  <w:style w:type="character" w:customStyle="1" w:styleId="notranslate">
    <w:name w:val="notranslate"/>
    <w:basedOn w:val="Fuentedeprrafopredeter"/>
    <w:rsid w:val="00D00ED6"/>
  </w:style>
  <w:style w:type="character" w:styleId="Hipervnculovisitado">
    <w:name w:val="FollowedHyperlink"/>
    <w:basedOn w:val="Fuentedeprrafopredeter"/>
    <w:uiPriority w:val="99"/>
    <w:semiHidden/>
    <w:unhideWhenUsed/>
    <w:rsid w:val="00D00E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gislacion.edomex.gob.mx/sites/legislacion.edomex.gob.mx/files/files/pdf/bdo/bdo2019/bdo098.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transparenciapresupuestaria.gob.mx/es/PTP/Glosari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player.es/5455342-Nuevas-tecnologias-biometricas-instituto-nacional-de-ciencias-penales-procuraduria-general-de-la-republica-version-1-0.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341E-DD0C-4C36-804B-97BD8020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12702</Words>
  <Characters>69861</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2019-07-02T00:06:00Z</cp:lastPrinted>
  <dcterms:created xsi:type="dcterms:W3CDTF">2019-08-23T01:41:00Z</dcterms:created>
  <dcterms:modified xsi:type="dcterms:W3CDTF">2019-08-23T01:41:00Z</dcterms:modified>
</cp:coreProperties>
</file>