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F9" w:rsidRPr="009F71D8" w:rsidRDefault="00FB31F9" w:rsidP="00914903">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VOTO PARTICULAR QUE FORMULA LA COMISIONADA EVA ABAID YAPUR, EN RELACIÓN CON LA RESOLUCIÓN DICTADA POR EL PLENO DEL INSTITUTO DE TRANSPARENCIA, ACCESO A LA INFORMACIÓN PÚBLICA Y PROTECCIÓN DE DATOS PERSONALES DEL ESTAD</w:t>
      </w:r>
      <w:r w:rsidR="002009E0">
        <w:rPr>
          <w:rFonts w:ascii="Palatino Linotype" w:hAnsi="Palatino Linotype" w:cs="Arial"/>
          <w:b/>
          <w:sz w:val="24"/>
          <w:szCs w:val="24"/>
        </w:rPr>
        <w:t xml:space="preserve">O DE MÉXICO Y MUNICIPIOS, EN LA </w:t>
      </w:r>
      <w:r w:rsidR="00C017AD">
        <w:rPr>
          <w:rFonts w:ascii="Palatino Linotype" w:hAnsi="Palatino Linotype" w:cs="Arial"/>
          <w:b/>
          <w:sz w:val="24"/>
          <w:szCs w:val="24"/>
        </w:rPr>
        <w:t xml:space="preserve">CUADRAGÉSIMA SEXTA </w:t>
      </w:r>
      <w:r w:rsidR="002009E0">
        <w:rPr>
          <w:rFonts w:ascii="Palatino Linotype" w:hAnsi="Palatino Linotype" w:cs="Arial"/>
          <w:b/>
          <w:sz w:val="24"/>
          <w:szCs w:val="24"/>
        </w:rPr>
        <w:t>S</w:t>
      </w:r>
      <w:r w:rsidRPr="009F71D8">
        <w:rPr>
          <w:rFonts w:ascii="Palatino Linotype" w:hAnsi="Palatino Linotype" w:cs="Arial"/>
          <w:b/>
          <w:sz w:val="24"/>
          <w:szCs w:val="24"/>
        </w:rPr>
        <w:t xml:space="preserve">ESIÓN ORDINARIA DE </w:t>
      </w:r>
      <w:r w:rsidR="00C017AD">
        <w:rPr>
          <w:rFonts w:ascii="Palatino Linotype" w:hAnsi="Palatino Linotype" w:cs="Arial"/>
          <w:b/>
          <w:sz w:val="24"/>
          <w:szCs w:val="24"/>
        </w:rPr>
        <w:t xml:space="preserve">ONCE </w:t>
      </w:r>
      <w:r>
        <w:rPr>
          <w:rFonts w:ascii="Palatino Linotype" w:hAnsi="Palatino Linotype" w:cs="Arial"/>
          <w:b/>
          <w:sz w:val="24"/>
          <w:szCs w:val="24"/>
        </w:rPr>
        <w:t xml:space="preserve">DE </w:t>
      </w:r>
      <w:r w:rsidR="00C017AD">
        <w:rPr>
          <w:rFonts w:ascii="Palatino Linotype" w:hAnsi="Palatino Linotype" w:cs="Arial"/>
          <w:b/>
          <w:sz w:val="24"/>
          <w:szCs w:val="24"/>
        </w:rPr>
        <w:t xml:space="preserve">DICIEMBRE </w:t>
      </w:r>
      <w:r>
        <w:rPr>
          <w:rFonts w:ascii="Palatino Linotype" w:hAnsi="Palatino Linotype" w:cs="Arial"/>
          <w:b/>
          <w:sz w:val="24"/>
          <w:szCs w:val="24"/>
        </w:rPr>
        <w:t xml:space="preserve">DE </w:t>
      </w:r>
      <w:r w:rsidRPr="009F71D8">
        <w:rPr>
          <w:rFonts w:ascii="Palatino Linotype" w:hAnsi="Palatino Linotype" w:cs="Arial"/>
          <w:b/>
          <w:sz w:val="24"/>
          <w:szCs w:val="24"/>
        </w:rPr>
        <w:t>DOS MIL DIECI</w:t>
      </w:r>
      <w:r>
        <w:rPr>
          <w:rFonts w:ascii="Palatino Linotype" w:hAnsi="Palatino Linotype" w:cs="Arial"/>
          <w:b/>
          <w:sz w:val="24"/>
          <w:szCs w:val="24"/>
        </w:rPr>
        <w:t>NUEVE</w:t>
      </w:r>
      <w:r w:rsidR="00C017AD">
        <w:rPr>
          <w:rFonts w:ascii="Palatino Linotype" w:hAnsi="Palatino Linotype" w:cs="Arial"/>
          <w:b/>
          <w:sz w:val="24"/>
          <w:szCs w:val="24"/>
        </w:rPr>
        <w:t xml:space="preserve">, EN </w:t>
      </w:r>
      <w:r w:rsidRPr="009F71D8">
        <w:rPr>
          <w:rFonts w:ascii="Palatino Linotype" w:hAnsi="Palatino Linotype" w:cs="Arial"/>
          <w:b/>
          <w:sz w:val="24"/>
          <w:szCs w:val="24"/>
        </w:rPr>
        <w:t>L</w:t>
      </w:r>
      <w:r w:rsidR="00C017AD">
        <w:rPr>
          <w:rFonts w:ascii="Palatino Linotype" w:hAnsi="Palatino Linotype" w:cs="Arial"/>
          <w:b/>
          <w:sz w:val="24"/>
          <w:szCs w:val="24"/>
        </w:rPr>
        <w:t>OS</w:t>
      </w:r>
      <w:r w:rsidRPr="009F71D8">
        <w:rPr>
          <w:rFonts w:ascii="Palatino Linotype" w:hAnsi="Palatino Linotype" w:cs="Arial"/>
          <w:b/>
          <w:sz w:val="24"/>
          <w:szCs w:val="24"/>
        </w:rPr>
        <w:t xml:space="preserve"> RECURSO</w:t>
      </w:r>
      <w:r w:rsidR="00C017AD">
        <w:rPr>
          <w:rFonts w:ascii="Palatino Linotype" w:hAnsi="Palatino Linotype" w:cs="Arial"/>
          <w:b/>
          <w:sz w:val="24"/>
          <w:szCs w:val="24"/>
        </w:rPr>
        <w:t>S</w:t>
      </w:r>
      <w:r w:rsidRPr="009F71D8">
        <w:rPr>
          <w:rFonts w:ascii="Palatino Linotype" w:hAnsi="Palatino Linotype" w:cs="Arial"/>
          <w:b/>
          <w:sz w:val="24"/>
          <w:szCs w:val="24"/>
        </w:rPr>
        <w:t xml:space="preserve"> DE REVISIÓN </w:t>
      </w:r>
      <w:r w:rsidR="00C017AD">
        <w:rPr>
          <w:rFonts w:ascii="Palatino Linotype" w:hAnsi="Palatino Linotype" w:cs="Arial"/>
          <w:b/>
          <w:bCs/>
          <w:sz w:val="24"/>
          <w:szCs w:val="24"/>
        </w:rPr>
        <w:t>07850</w:t>
      </w:r>
      <w:r w:rsidRPr="009F71D8">
        <w:rPr>
          <w:rFonts w:ascii="Palatino Linotype" w:hAnsi="Palatino Linotype" w:cs="Arial"/>
          <w:b/>
          <w:bCs/>
          <w:sz w:val="24"/>
          <w:szCs w:val="24"/>
        </w:rPr>
        <w:t>/INFOEM/IP/RR/201</w:t>
      </w:r>
      <w:r w:rsidR="00EF7432">
        <w:rPr>
          <w:rFonts w:ascii="Palatino Linotype" w:hAnsi="Palatino Linotype" w:cs="Arial"/>
          <w:b/>
          <w:bCs/>
          <w:sz w:val="24"/>
          <w:szCs w:val="24"/>
        </w:rPr>
        <w:t>9</w:t>
      </w:r>
      <w:r w:rsidR="00C017AD">
        <w:rPr>
          <w:rFonts w:ascii="Palatino Linotype" w:hAnsi="Palatino Linotype" w:cs="Arial"/>
          <w:b/>
          <w:bCs/>
          <w:sz w:val="24"/>
          <w:szCs w:val="24"/>
        </w:rPr>
        <w:t xml:space="preserve"> Y </w:t>
      </w:r>
      <w:r w:rsidR="00C017AD" w:rsidRPr="00C017AD">
        <w:rPr>
          <w:rFonts w:ascii="Palatino Linotype" w:hAnsi="Palatino Linotype" w:cs="Arial"/>
          <w:b/>
          <w:bCs/>
          <w:sz w:val="24"/>
          <w:szCs w:val="24"/>
        </w:rPr>
        <w:t xml:space="preserve">07851/INFOEM/IP/RR/2019 </w:t>
      </w:r>
      <w:r w:rsidR="00C017AD">
        <w:rPr>
          <w:rFonts w:ascii="Palatino Linotype" w:hAnsi="Palatino Linotype" w:cs="Arial"/>
          <w:b/>
          <w:bCs/>
          <w:sz w:val="24"/>
          <w:szCs w:val="24"/>
        </w:rPr>
        <w:t>ACUMULADOS</w:t>
      </w:r>
      <w:r w:rsidRPr="009F71D8">
        <w:rPr>
          <w:rFonts w:ascii="Palatino Linotype" w:hAnsi="Palatino Linotype" w:cs="Arial"/>
          <w:b/>
          <w:bCs/>
          <w:sz w:val="24"/>
          <w:szCs w:val="24"/>
        </w:rPr>
        <w:t>.</w:t>
      </w:r>
    </w:p>
    <w:p w:rsidR="00FB31F9" w:rsidRPr="009F71D8" w:rsidRDefault="00FB31F9" w:rsidP="0091490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respec</w:t>
      </w:r>
      <w:r w:rsidR="00C017AD">
        <w:rPr>
          <w:rFonts w:ascii="Palatino Linotype" w:hAnsi="Palatino Linotype" w:cs="Arial"/>
          <w:sz w:val="24"/>
          <w:szCs w:val="24"/>
        </w:rPr>
        <w:t xml:space="preserve">to de la resolución dictada en </w:t>
      </w:r>
      <w:r w:rsidRPr="009F71D8">
        <w:rPr>
          <w:rFonts w:ascii="Palatino Linotype" w:hAnsi="Palatino Linotype" w:cs="Arial"/>
          <w:sz w:val="24"/>
          <w:szCs w:val="24"/>
        </w:rPr>
        <w:t>l</w:t>
      </w:r>
      <w:r w:rsidR="00C017AD">
        <w:rPr>
          <w:rFonts w:ascii="Palatino Linotype" w:hAnsi="Palatino Linotype" w:cs="Arial"/>
          <w:sz w:val="24"/>
          <w:szCs w:val="24"/>
        </w:rPr>
        <w:t>os</w:t>
      </w:r>
      <w:r w:rsidRPr="009F71D8">
        <w:rPr>
          <w:rFonts w:ascii="Palatino Linotype" w:hAnsi="Palatino Linotype" w:cs="Arial"/>
          <w:sz w:val="24"/>
          <w:szCs w:val="24"/>
        </w:rPr>
        <w:t xml:space="preserve"> recurso</w:t>
      </w:r>
      <w:r w:rsidR="00C017AD">
        <w:rPr>
          <w:rFonts w:ascii="Palatino Linotype" w:hAnsi="Palatino Linotype" w:cs="Arial"/>
          <w:sz w:val="24"/>
          <w:szCs w:val="24"/>
        </w:rPr>
        <w:t>s</w:t>
      </w:r>
      <w:r w:rsidRPr="009F71D8">
        <w:rPr>
          <w:rFonts w:ascii="Palatino Linotype" w:hAnsi="Palatino Linotype" w:cs="Arial"/>
          <w:sz w:val="24"/>
          <w:szCs w:val="24"/>
        </w:rPr>
        <w:t xml:space="preserve"> de revisión </w:t>
      </w:r>
      <w:r w:rsidR="00C017AD" w:rsidRPr="00C017AD">
        <w:rPr>
          <w:rFonts w:ascii="Palatino Linotype" w:hAnsi="Palatino Linotype" w:cs="Arial"/>
          <w:b/>
          <w:bCs/>
          <w:sz w:val="24"/>
          <w:szCs w:val="24"/>
        </w:rPr>
        <w:t xml:space="preserve">07850/INFOEM/IP/RR/2019 </w:t>
      </w:r>
      <w:r w:rsidR="00C017AD" w:rsidRPr="00C017AD">
        <w:rPr>
          <w:rFonts w:ascii="Palatino Linotype" w:hAnsi="Palatino Linotype" w:cs="Arial"/>
          <w:bCs/>
          <w:sz w:val="24"/>
          <w:szCs w:val="24"/>
        </w:rPr>
        <w:t>y</w:t>
      </w:r>
      <w:r w:rsidR="00C017AD" w:rsidRPr="00C017AD">
        <w:rPr>
          <w:rFonts w:ascii="Palatino Linotype" w:hAnsi="Palatino Linotype" w:cs="Arial"/>
          <w:b/>
          <w:bCs/>
          <w:sz w:val="24"/>
          <w:szCs w:val="24"/>
        </w:rPr>
        <w:t xml:space="preserve"> 07851/INFOEM/IP/RR/2019 </w:t>
      </w:r>
      <w:r w:rsidR="00C017AD" w:rsidRPr="00C017AD">
        <w:rPr>
          <w:rFonts w:ascii="Palatino Linotype" w:hAnsi="Palatino Linotype" w:cs="Arial"/>
          <w:bCs/>
          <w:sz w:val="24"/>
          <w:szCs w:val="24"/>
        </w:rPr>
        <w:t>acumulados</w:t>
      </w:r>
      <w:r w:rsidRPr="009F71D8">
        <w:rPr>
          <w:rFonts w:ascii="Palatino Linotype" w:hAnsi="Palatino Linotype" w:cs="Arial"/>
          <w:sz w:val="24"/>
          <w:szCs w:val="24"/>
        </w:rPr>
        <w:t>, pronunciada por el Pleno de este Instituto an</w:t>
      </w:r>
      <w:r w:rsidR="007D2EFA">
        <w:rPr>
          <w:rFonts w:ascii="Palatino Linotype" w:hAnsi="Palatino Linotype" w:cs="Arial"/>
          <w:sz w:val="24"/>
          <w:szCs w:val="24"/>
        </w:rPr>
        <w:t xml:space="preserve">te el proyecto presentado por </w:t>
      </w:r>
      <w:r w:rsidR="00EF7432">
        <w:rPr>
          <w:rFonts w:ascii="Palatino Linotype" w:hAnsi="Palatino Linotype" w:cs="Arial"/>
          <w:sz w:val="24"/>
          <w:szCs w:val="24"/>
        </w:rPr>
        <w:t>l</w:t>
      </w:r>
      <w:r w:rsidR="007D2EFA">
        <w:rPr>
          <w:rFonts w:ascii="Palatino Linotype" w:hAnsi="Palatino Linotype" w:cs="Arial"/>
          <w:sz w:val="24"/>
          <w:szCs w:val="24"/>
        </w:rPr>
        <w:t>a</w:t>
      </w:r>
      <w:r>
        <w:rPr>
          <w:rFonts w:ascii="Palatino Linotype" w:hAnsi="Palatino Linotype" w:cs="Arial"/>
          <w:sz w:val="24"/>
          <w:szCs w:val="24"/>
        </w:rPr>
        <w:t xml:space="preserve"> Comisionad</w:t>
      </w:r>
      <w:r w:rsidR="007D2EFA">
        <w:rPr>
          <w:rFonts w:ascii="Palatino Linotype" w:hAnsi="Palatino Linotype" w:cs="Arial"/>
          <w:sz w:val="24"/>
          <w:szCs w:val="24"/>
        </w:rPr>
        <w:t>a</w:t>
      </w:r>
      <w:r>
        <w:rPr>
          <w:rFonts w:ascii="Palatino Linotype" w:hAnsi="Palatino Linotype" w:cs="Arial"/>
          <w:sz w:val="24"/>
          <w:szCs w:val="24"/>
        </w:rPr>
        <w:t xml:space="preserve"> </w:t>
      </w:r>
      <w:r w:rsidR="007D2EFA">
        <w:rPr>
          <w:rFonts w:ascii="Palatino Linotype" w:hAnsi="Palatino Linotype" w:cs="Arial"/>
          <w:sz w:val="24"/>
          <w:szCs w:val="24"/>
        </w:rPr>
        <w:t xml:space="preserve">Presidenta </w:t>
      </w:r>
      <w:r w:rsidR="007D2EFA">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DB60D8" w:rsidRDefault="00FB31F9" w:rsidP="00914903">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w:t>
      </w:r>
      <w:r w:rsidR="00DB60D8">
        <w:rPr>
          <w:rFonts w:ascii="Palatino Linotype" w:hAnsi="Palatino Linotype"/>
          <w:sz w:val="24"/>
          <w:szCs w:val="24"/>
        </w:rPr>
        <w:t>con las causas que dieron origen al recurso de revisión</w:t>
      </w:r>
      <w:r>
        <w:rPr>
          <w:rFonts w:ascii="Palatino Linotype" w:hAnsi="Palatino Linotype"/>
          <w:sz w:val="24"/>
          <w:szCs w:val="24"/>
        </w:rPr>
        <w:t>; empero, estimo</w:t>
      </w:r>
      <w:r w:rsidRPr="009F71D8">
        <w:rPr>
          <w:rFonts w:ascii="Palatino Linotype" w:hAnsi="Palatino Linotype"/>
          <w:sz w:val="24"/>
          <w:szCs w:val="24"/>
        </w:rPr>
        <w:t xml:space="preserve"> necesario precisar algunas consid</w:t>
      </w:r>
      <w:r>
        <w:rPr>
          <w:rFonts w:ascii="Palatino Linotype" w:hAnsi="Palatino Linotype"/>
          <w:sz w:val="24"/>
          <w:szCs w:val="24"/>
        </w:rPr>
        <w:t>eraciones de hecho y de derecho</w:t>
      </w:r>
      <w:r w:rsidR="00190C0F">
        <w:rPr>
          <w:rFonts w:ascii="Palatino Linotype" w:hAnsi="Palatino Linotype"/>
          <w:sz w:val="24"/>
          <w:szCs w:val="24"/>
        </w:rPr>
        <w:t xml:space="preserve">, </w:t>
      </w:r>
      <w:r w:rsidR="00190C0F" w:rsidRPr="00190C0F">
        <w:rPr>
          <w:rFonts w:ascii="Palatino Linotype" w:hAnsi="Palatino Linotype"/>
          <w:sz w:val="24"/>
          <w:szCs w:val="24"/>
        </w:rPr>
        <w:t>tocante a parte de la información que se ordena en la resolución correspondiente.</w:t>
      </w:r>
    </w:p>
    <w:p w:rsidR="007D2EFA" w:rsidRDefault="00FB31F9" w:rsidP="00914903">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lastRenderedPageBreak/>
        <w:t>T</w:t>
      </w:r>
      <w:r w:rsidRPr="009F71D8">
        <w:rPr>
          <w:rFonts w:ascii="Palatino Linotype" w:hAnsi="Palatino Linotype"/>
          <w:sz w:val="24"/>
          <w:szCs w:val="24"/>
        </w:rPr>
        <w:t>al y como quedó debidamente asentado en la resoluc</w:t>
      </w:r>
      <w:r>
        <w:rPr>
          <w:rFonts w:ascii="Palatino Linotype" w:hAnsi="Palatino Linotype"/>
          <w:sz w:val="24"/>
          <w:szCs w:val="24"/>
        </w:rPr>
        <w:t>i</w:t>
      </w:r>
      <w:r w:rsidR="00EF7432">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de</w:t>
      </w:r>
      <w:r>
        <w:rPr>
          <w:rFonts w:ascii="Palatino Linotype" w:hAnsi="Palatino Linotype"/>
          <w:sz w:val="24"/>
          <w:szCs w:val="24"/>
        </w:rPr>
        <w:t xml:space="preserve">l </w:t>
      </w:r>
      <w:r w:rsidR="00C017AD" w:rsidRPr="00C017AD">
        <w:rPr>
          <w:rFonts w:ascii="Palatino Linotype" w:hAnsi="Palatino Linotype"/>
          <w:b/>
          <w:sz w:val="24"/>
          <w:szCs w:val="24"/>
        </w:rPr>
        <w:t>Instituto de Salud del Estado de México</w:t>
      </w:r>
      <w:r w:rsidRPr="00FB31F9">
        <w:rPr>
          <w:rFonts w:ascii="Palatino Linotype" w:hAnsi="Palatino Linotype"/>
          <w:sz w:val="24"/>
          <w:szCs w:val="24"/>
        </w:rPr>
        <w:t>,</w:t>
      </w:r>
      <w:r>
        <w:rPr>
          <w:rFonts w:ascii="Palatino Linotype" w:hAnsi="Palatino Linotype"/>
          <w:sz w:val="24"/>
          <w:szCs w:val="24"/>
        </w:rPr>
        <w:t xml:space="preserve"> en lo sucesivo</w:t>
      </w:r>
      <w:r w:rsidRPr="009F71D8">
        <w:rPr>
          <w:rFonts w:ascii="Palatino Linotype" w:hAnsi="Palatino Linotype"/>
          <w:sz w:val="24"/>
          <w:szCs w:val="24"/>
        </w:rPr>
        <w:t xml:space="preserve"> </w:t>
      </w:r>
      <w:r>
        <w:rPr>
          <w:rFonts w:ascii="Palatino Linotype" w:hAnsi="Palatino Linotype"/>
          <w:b/>
          <w:sz w:val="24"/>
          <w:szCs w:val="24"/>
        </w:rPr>
        <w:t>EL S</w:t>
      </w:r>
      <w:r w:rsidRPr="009F71D8">
        <w:rPr>
          <w:rFonts w:ascii="Palatino Linotype" w:hAnsi="Palatino Linotype"/>
          <w:b/>
          <w:sz w:val="24"/>
          <w:szCs w:val="24"/>
        </w:rPr>
        <w:t>UJETO OBLIGADO,</w:t>
      </w:r>
      <w:r>
        <w:rPr>
          <w:rFonts w:ascii="Palatino Linotype" w:hAnsi="Palatino Linotype"/>
          <w:b/>
          <w:sz w:val="24"/>
          <w:szCs w:val="24"/>
        </w:rPr>
        <w:t xml:space="preserve"> </w:t>
      </w:r>
      <w:r w:rsidR="007D2EFA" w:rsidRPr="007D2EFA">
        <w:rPr>
          <w:rFonts w:ascii="Palatino Linotype" w:hAnsi="Palatino Linotype"/>
          <w:sz w:val="24"/>
          <w:szCs w:val="24"/>
        </w:rPr>
        <w:t xml:space="preserve">lo siguiente: </w:t>
      </w:r>
    </w:p>
    <w:p w:rsidR="00C017AD" w:rsidRPr="00C017AD" w:rsidRDefault="00C017AD" w:rsidP="00914903">
      <w:pPr>
        <w:spacing w:after="0" w:line="240" w:lineRule="auto"/>
        <w:ind w:left="851" w:right="902"/>
        <w:jc w:val="both"/>
        <w:rPr>
          <w:rFonts w:ascii="Palatino Linotype" w:hAnsi="Palatino Linotype"/>
          <w:i/>
          <w:szCs w:val="24"/>
        </w:rPr>
      </w:pPr>
      <w:r w:rsidRPr="00C017AD">
        <w:rPr>
          <w:rFonts w:ascii="Palatino Linotype" w:hAnsi="Palatino Linotype"/>
          <w:i/>
          <w:szCs w:val="24"/>
        </w:rPr>
        <w:t>De la solicitud 00389/ISEM/IP/2019, peticiona de los procedimientos de contratación para la adquisición de condones masculinos, llevados a cabo en el año 2019, lo siguiente:</w:t>
      </w:r>
    </w:p>
    <w:p w:rsidR="00C017AD" w:rsidRDefault="00C017AD" w:rsidP="00914903">
      <w:pPr>
        <w:spacing w:after="0" w:line="240" w:lineRule="auto"/>
        <w:ind w:left="851" w:right="902"/>
        <w:jc w:val="both"/>
        <w:rPr>
          <w:rFonts w:ascii="Palatino Linotype" w:hAnsi="Palatino Linotype"/>
          <w:i/>
          <w:szCs w:val="24"/>
        </w:rPr>
      </w:pPr>
    </w:p>
    <w:p w:rsidR="00C017AD" w:rsidRPr="00C017AD" w:rsidRDefault="00C017AD" w:rsidP="00914903">
      <w:pPr>
        <w:spacing w:after="0" w:line="240" w:lineRule="auto"/>
        <w:ind w:left="851" w:right="902"/>
        <w:jc w:val="both"/>
        <w:rPr>
          <w:rFonts w:ascii="Palatino Linotype" w:hAnsi="Palatino Linotype"/>
          <w:i/>
          <w:szCs w:val="24"/>
        </w:rPr>
      </w:pPr>
      <w:r w:rsidRPr="00C017AD">
        <w:rPr>
          <w:rFonts w:ascii="Palatino Linotype" w:hAnsi="Palatino Linotype"/>
          <w:i/>
          <w:szCs w:val="24"/>
        </w:rPr>
        <w:t>a)</w:t>
      </w:r>
      <w:r w:rsidRPr="00C017AD">
        <w:rPr>
          <w:rFonts w:ascii="Palatino Linotype" w:hAnsi="Palatino Linotype"/>
          <w:i/>
          <w:szCs w:val="24"/>
        </w:rPr>
        <w:tab/>
        <w:t>Tipo de procedimiento de contratación;</w:t>
      </w:r>
    </w:p>
    <w:p w:rsidR="00C017AD" w:rsidRPr="00C017AD" w:rsidRDefault="00C017AD" w:rsidP="00914903">
      <w:pPr>
        <w:spacing w:after="0" w:line="240" w:lineRule="auto"/>
        <w:ind w:left="851" w:right="902"/>
        <w:jc w:val="both"/>
        <w:rPr>
          <w:rFonts w:ascii="Palatino Linotype" w:hAnsi="Palatino Linotype"/>
          <w:i/>
          <w:szCs w:val="24"/>
        </w:rPr>
      </w:pPr>
      <w:r w:rsidRPr="00C017AD">
        <w:rPr>
          <w:rFonts w:ascii="Palatino Linotype" w:hAnsi="Palatino Linotype"/>
          <w:i/>
          <w:szCs w:val="24"/>
        </w:rPr>
        <w:t>b)</w:t>
      </w:r>
      <w:r w:rsidRPr="00C017AD">
        <w:rPr>
          <w:rFonts w:ascii="Palatino Linotype" w:hAnsi="Palatino Linotype"/>
          <w:i/>
          <w:szCs w:val="24"/>
        </w:rPr>
        <w:tab/>
        <w:t>Número de expediente de contratación;</w:t>
      </w:r>
    </w:p>
    <w:p w:rsidR="00C017AD" w:rsidRPr="00C017AD" w:rsidRDefault="00C017AD" w:rsidP="00914903">
      <w:pPr>
        <w:spacing w:after="0" w:line="240" w:lineRule="auto"/>
        <w:ind w:left="851" w:right="902"/>
        <w:jc w:val="both"/>
        <w:rPr>
          <w:rFonts w:ascii="Palatino Linotype" w:hAnsi="Palatino Linotype"/>
          <w:i/>
          <w:szCs w:val="24"/>
        </w:rPr>
      </w:pPr>
      <w:r w:rsidRPr="00C017AD">
        <w:rPr>
          <w:rFonts w:ascii="Palatino Linotype" w:hAnsi="Palatino Linotype"/>
          <w:i/>
          <w:szCs w:val="24"/>
        </w:rPr>
        <w:t>c)</w:t>
      </w:r>
      <w:r w:rsidRPr="00C017AD">
        <w:rPr>
          <w:rFonts w:ascii="Palatino Linotype" w:hAnsi="Palatino Linotype"/>
          <w:i/>
          <w:szCs w:val="24"/>
        </w:rPr>
        <w:tab/>
        <w:t xml:space="preserve">Código de expediente </w:t>
      </w:r>
      <w:proofErr w:type="spellStart"/>
      <w:r w:rsidRPr="00C017AD">
        <w:rPr>
          <w:rFonts w:ascii="Palatino Linotype" w:hAnsi="Palatino Linotype"/>
          <w:i/>
          <w:szCs w:val="24"/>
        </w:rPr>
        <w:t>CompraNet</w:t>
      </w:r>
      <w:proofErr w:type="spellEnd"/>
      <w:r w:rsidRPr="00C017AD">
        <w:rPr>
          <w:rFonts w:ascii="Palatino Linotype" w:hAnsi="Palatino Linotype"/>
          <w:i/>
          <w:szCs w:val="24"/>
        </w:rPr>
        <w:t>;</w:t>
      </w:r>
    </w:p>
    <w:p w:rsidR="00C017AD" w:rsidRDefault="00C017AD" w:rsidP="00914903">
      <w:pPr>
        <w:spacing w:after="0" w:line="240" w:lineRule="auto"/>
        <w:ind w:left="851" w:right="902"/>
        <w:jc w:val="both"/>
        <w:rPr>
          <w:rFonts w:ascii="Palatino Linotype" w:hAnsi="Palatino Linotype"/>
          <w:i/>
          <w:szCs w:val="24"/>
        </w:rPr>
      </w:pPr>
    </w:p>
    <w:p w:rsidR="00C017AD" w:rsidRPr="00C017AD" w:rsidRDefault="00C017AD" w:rsidP="00914903">
      <w:pPr>
        <w:spacing w:after="0" w:line="240" w:lineRule="auto"/>
        <w:ind w:left="851" w:right="902"/>
        <w:jc w:val="both"/>
        <w:rPr>
          <w:rFonts w:ascii="Palatino Linotype" w:hAnsi="Palatino Linotype"/>
          <w:i/>
          <w:szCs w:val="24"/>
        </w:rPr>
      </w:pPr>
      <w:r w:rsidRPr="00C017AD">
        <w:rPr>
          <w:rFonts w:ascii="Palatino Linotype" w:hAnsi="Palatino Linotype"/>
          <w:i/>
          <w:szCs w:val="24"/>
        </w:rPr>
        <w:t>De la solicitud 00391/ISEM/IP/2019, peticiona de los procedimientos de adquisición de condones masculinos adquiridos en el año 2019, lo siguiente:</w:t>
      </w:r>
    </w:p>
    <w:p w:rsidR="00C017AD" w:rsidRDefault="00C017AD" w:rsidP="00914903">
      <w:pPr>
        <w:spacing w:after="0" w:line="240" w:lineRule="auto"/>
        <w:ind w:left="851" w:right="902"/>
        <w:jc w:val="both"/>
        <w:rPr>
          <w:rFonts w:ascii="Palatino Linotype" w:hAnsi="Palatino Linotype"/>
          <w:i/>
          <w:szCs w:val="24"/>
        </w:rPr>
      </w:pPr>
    </w:p>
    <w:p w:rsidR="007D2EFA" w:rsidRPr="00C017AD" w:rsidRDefault="00C017AD" w:rsidP="00914903">
      <w:pPr>
        <w:pStyle w:val="Prrafodelista"/>
        <w:numPr>
          <w:ilvl w:val="0"/>
          <w:numId w:val="7"/>
        </w:numPr>
        <w:spacing w:after="0" w:line="240" w:lineRule="auto"/>
        <w:ind w:right="902"/>
        <w:jc w:val="both"/>
        <w:rPr>
          <w:rFonts w:ascii="Palatino Linotype" w:hAnsi="Palatino Linotype"/>
          <w:i/>
          <w:szCs w:val="24"/>
        </w:rPr>
      </w:pPr>
      <w:r w:rsidRPr="00C017AD">
        <w:rPr>
          <w:rFonts w:ascii="Palatino Linotype" w:hAnsi="Palatino Linotype"/>
          <w:i/>
          <w:szCs w:val="24"/>
        </w:rPr>
        <w:t>El lugar en que han sido difundidos los procedimientos de contratación</w:t>
      </w:r>
    </w:p>
    <w:p w:rsidR="00E60FEE" w:rsidRDefault="00E60FEE" w:rsidP="00914903">
      <w:pPr>
        <w:spacing w:before="100" w:beforeAutospacing="1" w:after="100" w:afterAutospacing="1" w:line="360" w:lineRule="auto"/>
        <w:contextualSpacing/>
        <w:jc w:val="both"/>
        <w:rPr>
          <w:rFonts w:ascii="Palatino Linotype" w:hAnsi="Palatino Linotype" w:cs="Arial"/>
          <w:sz w:val="24"/>
        </w:rPr>
      </w:pPr>
      <w:r w:rsidRPr="00E60FEE">
        <w:rPr>
          <w:rFonts w:ascii="Palatino Linotype" w:hAnsi="Palatino Linotype" w:cs="Arial"/>
          <w:sz w:val="24"/>
        </w:rPr>
        <w:t xml:space="preserve">De las constancias que obran dentro del expediente electrónico del </w:t>
      </w:r>
      <w:r w:rsidRPr="00E60FEE">
        <w:rPr>
          <w:rFonts w:ascii="Palatino Linotype" w:hAnsi="Palatino Linotype" w:cs="Arial"/>
          <w:b/>
          <w:sz w:val="24"/>
        </w:rPr>
        <w:t>SAIMEX,</w:t>
      </w:r>
      <w:r w:rsidRPr="00E60FEE">
        <w:rPr>
          <w:rFonts w:ascii="Palatino Linotype" w:hAnsi="Palatino Linotype" w:cs="Arial"/>
          <w:sz w:val="24"/>
        </w:rPr>
        <w:t xml:space="preserve"> se advirtió que </w:t>
      </w:r>
      <w:r w:rsidRPr="00E60FEE">
        <w:rPr>
          <w:rFonts w:ascii="Palatino Linotype" w:hAnsi="Palatino Linotype" w:cs="Arial"/>
          <w:b/>
          <w:sz w:val="24"/>
        </w:rPr>
        <w:t xml:space="preserve">EL SUJETO OBLIGADO, </w:t>
      </w:r>
      <w:r w:rsidRPr="00E60FEE">
        <w:rPr>
          <w:rFonts w:ascii="Palatino Linotype" w:hAnsi="Palatino Linotype" w:cs="Arial"/>
          <w:sz w:val="24"/>
        </w:rPr>
        <w:t xml:space="preserve">en </w:t>
      </w:r>
      <w:r w:rsidR="00C017AD">
        <w:rPr>
          <w:rFonts w:ascii="Palatino Linotype" w:hAnsi="Palatino Linotype" w:cs="Arial"/>
          <w:sz w:val="24"/>
        </w:rPr>
        <w:t xml:space="preserve">sus </w:t>
      </w:r>
      <w:r w:rsidRPr="00E60FEE">
        <w:rPr>
          <w:rFonts w:ascii="Palatino Linotype" w:hAnsi="Palatino Linotype" w:cs="Arial"/>
          <w:sz w:val="24"/>
        </w:rPr>
        <w:t>respuesta</w:t>
      </w:r>
      <w:r w:rsidR="00C017AD">
        <w:rPr>
          <w:rFonts w:ascii="Palatino Linotype" w:hAnsi="Palatino Linotype" w:cs="Arial"/>
          <w:sz w:val="24"/>
        </w:rPr>
        <w:t>s</w:t>
      </w:r>
      <w:r w:rsidRPr="00E60FEE">
        <w:rPr>
          <w:rFonts w:ascii="Palatino Linotype" w:hAnsi="Palatino Linotype" w:cs="Arial"/>
          <w:sz w:val="24"/>
        </w:rPr>
        <w:t xml:space="preserve"> adjunt</w:t>
      </w:r>
      <w:r w:rsidR="00190C0F">
        <w:rPr>
          <w:rFonts w:ascii="Palatino Linotype" w:hAnsi="Palatino Linotype" w:cs="Arial"/>
          <w:sz w:val="24"/>
        </w:rPr>
        <w:t>ó</w:t>
      </w:r>
      <w:r w:rsidRPr="00E60FEE">
        <w:rPr>
          <w:rFonts w:ascii="Palatino Linotype" w:hAnsi="Palatino Linotype" w:cs="Arial"/>
          <w:sz w:val="24"/>
        </w:rPr>
        <w:t xml:space="preserve"> </w:t>
      </w:r>
      <w:r w:rsidR="00C017AD">
        <w:rPr>
          <w:rFonts w:ascii="Palatino Linotype" w:hAnsi="Palatino Linotype" w:cs="Arial"/>
          <w:sz w:val="24"/>
        </w:rPr>
        <w:t xml:space="preserve">diversos </w:t>
      </w:r>
      <w:r w:rsidRPr="00E60FEE">
        <w:rPr>
          <w:rFonts w:ascii="Palatino Linotype" w:hAnsi="Palatino Linotype" w:cs="Arial"/>
          <w:sz w:val="24"/>
        </w:rPr>
        <w:t>archivo</w:t>
      </w:r>
      <w:r w:rsidR="00C017AD">
        <w:rPr>
          <w:rFonts w:ascii="Palatino Linotype" w:hAnsi="Palatino Linotype" w:cs="Arial"/>
          <w:sz w:val="24"/>
        </w:rPr>
        <w:t>s</w:t>
      </w:r>
      <w:r w:rsidRPr="00E60FEE">
        <w:rPr>
          <w:rFonts w:ascii="Palatino Linotype" w:hAnsi="Palatino Linotype" w:cs="Arial"/>
          <w:sz w:val="24"/>
        </w:rPr>
        <w:t xml:space="preserve"> electrónico</w:t>
      </w:r>
      <w:r w:rsidR="00C017AD">
        <w:rPr>
          <w:rFonts w:ascii="Palatino Linotype" w:hAnsi="Palatino Linotype" w:cs="Arial"/>
          <w:sz w:val="24"/>
        </w:rPr>
        <w:t xml:space="preserve">s en </w:t>
      </w:r>
      <w:r w:rsidRPr="00E60FEE">
        <w:rPr>
          <w:rFonts w:ascii="Palatino Linotype" w:hAnsi="Palatino Linotype" w:cs="Arial"/>
          <w:sz w:val="24"/>
        </w:rPr>
        <w:t>l</w:t>
      </w:r>
      <w:r w:rsidR="00C017AD">
        <w:rPr>
          <w:rFonts w:ascii="Palatino Linotype" w:hAnsi="Palatino Linotype" w:cs="Arial"/>
          <w:sz w:val="24"/>
        </w:rPr>
        <w:t xml:space="preserve">os que entrego </w:t>
      </w:r>
      <w:r w:rsidR="00CD70CA">
        <w:rPr>
          <w:rFonts w:ascii="Palatino Linotype" w:hAnsi="Palatino Linotype" w:cs="Arial"/>
          <w:sz w:val="24"/>
        </w:rPr>
        <w:t xml:space="preserve">la </w:t>
      </w:r>
      <w:r w:rsidR="00CD70CA" w:rsidRPr="00CD70CA">
        <w:rPr>
          <w:rFonts w:ascii="Palatino Linotype" w:hAnsi="Palatino Linotype" w:cs="Arial"/>
          <w:sz w:val="24"/>
        </w:rPr>
        <w:t>Licitación Pública Nacional Presencial</w:t>
      </w:r>
      <w:r w:rsidR="00CD70CA">
        <w:rPr>
          <w:rFonts w:ascii="Palatino Linotype" w:hAnsi="Palatino Linotype" w:cs="Arial"/>
          <w:sz w:val="24"/>
        </w:rPr>
        <w:t>, el número de expediente de contratación, el fallo 038.pdf y el</w:t>
      </w:r>
      <w:r w:rsidR="00CD70CA" w:rsidRPr="00CD70CA">
        <w:rPr>
          <w:rFonts w:ascii="Palatino Linotype" w:hAnsi="Palatino Linotype" w:cs="Arial"/>
          <w:sz w:val="24"/>
        </w:rPr>
        <w:t xml:space="preserve"> procedimiento adquisitivo 44064003-038-2019 regist</w:t>
      </w:r>
      <w:r w:rsidR="00CD70CA">
        <w:rPr>
          <w:rFonts w:ascii="Palatino Linotype" w:hAnsi="Palatino Linotype" w:cs="Arial"/>
          <w:sz w:val="24"/>
        </w:rPr>
        <w:t xml:space="preserve">rado en la plataforma </w:t>
      </w:r>
      <w:proofErr w:type="spellStart"/>
      <w:r w:rsidR="00CD70CA">
        <w:rPr>
          <w:rFonts w:ascii="Palatino Linotype" w:hAnsi="Palatino Linotype" w:cs="Arial"/>
          <w:sz w:val="24"/>
        </w:rPr>
        <w:t>CompraNet</w:t>
      </w:r>
      <w:proofErr w:type="spellEnd"/>
      <w:r w:rsidR="00CD70CA">
        <w:rPr>
          <w:rFonts w:ascii="Palatino Linotype" w:hAnsi="Palatino Linotype" w:cs="Arial"/>
          <w:sz w:val="24"/>
        </w:rPr>
        <w:t xml:space="preserve">. </w:t>
      </w:r>
    </w:p>
    <w:p w:rsidR="00914903" w:rsidRDefault="00914903" w:rsidP="00914903">
      <w:pPr>
        <w:spacing w:before="100" w:beforeAutospacing="1" w:after="100" w:afterAutospacing="1" w:line="360" w:lineRule="auto"/>
        <w:contextualSpacing/>
        <w:jc w:val="both"/>
        <w:rPr>
          <w:rFonts w:ascii="Palatino Linotype" w:hAnsi="Palatino Linotype" w:cs="Arial"/>
          <w:sz w:val="24"/>
          <w:szCs w:val="24"/>
        </w:rPr>
      </w:pPr>
    </w:p>
    <w:p w:rsidR="004A4D5A" w:rsidRDefault="004A4D5A" w:rsidP="00914903">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Inconforme con la</w:t>
      </w:r>
      <w:r w:rsidR="00CD70CA">
        <w:rPr>
          <w:rFonts w:ascii="Palatino Linotype" w:hAnsi="Palatino Linotype" w:cs="Arial"/>
          <w:sz w:val="24"/>
          <w:szCs w:val="24"/>
        </w:rPr>
        <w:t>s</w:t>
      </w:r>
      <w:r>
        <w:rPr>
          <w:rFonts w:ascii="Palatino Linotype" w:hAnsi="Palatino Linotype" w:cs="Arial"/>
          <w:sz w:val="24"/>
          <w:szCs w:val="24"/>
        </w:rPr>
        <w:t xml:space="preserve"> respuesta</w:t>
      </w:r>
      <w:r w:rsidR="00CD70CA">
        <w:rPr>
          <w:rFonts w:ascii="Palatino Linotype" w:hAnsi="Palatino Linotype" w:cs="Arial"/>
          <w:sz w:val="24"/>
          <w:szCs w:val="24"/>
        </w:rPr>
        <w:t>s</w:t>
      </w:r>
      <w:r>
        <w:rPr>
          <w:rFonts w:ascii="Palatino Linotype" w:hAnsi="Palatino Linotype" w:cs="Arial"/>
          <w:sz w:val="24"/>
          <w:szCs w:val="24"/>
        </w:rPr>
        <w:t xml:space="preserve"> del </w:t>
      </w:r>
      <w:r w:rsidRPr="004A4D5A">
        <w:rPr>
          <w:rFonts w:ascii="Palatino Linotype" w:hAnsi="Palatino Linotype" w:cs="Arial"/>
          <w:b/>
          <w:sz w:val="24"/>
          <w:szCs w:val="24"/>
        </w:rPr>
        <w:t>SUJETO OBLIGADO</w:t>
      </w:r>
      <w:r>
        <w:rPr>
          <w:rFonts w:ascii="Palatino Linotype" w:hAnsi="Palatino Linotype" w:cs="Arial"/>
          <w:sz w:val="24"/>
          <w:szCs w:val="24"/>
        </w:rPr>
        <w:t xml:space="preserve">, el hoy </w:t>
      </w:r>
      <w:r>
        <w:rPr>
          <w:rFonts w:ascii="Palatino Linotype" w:hAnsi="Palatino Linotype" w:cs="Arial"/>
          <w:b/>
          <w:sz w:val="24"/>
          <w:szCs w:val="24"/>
        </w:rPr>
        <w:t xml:space="preserve">RECURRENTE </w:t>
      </w:r>
      <w:r w:rsidR="00CD70CA">
        <w:rPr>
          <w:rFonts w:ascii="Palatino Linotype" w:hAnsi="Palatino Linotype" w:cs="Arial"/>
          <w:sz w:val="24"/>
          <w:szCs w:val="24"/>
        </w:rPr>
        <w:t xml:space="preserve">interpuso </w:t>
      </w:r>
      <w:r w:rsidRPr="00670490">
        <w:rPr>
          <w:rFonts w:ascii="Palatino Linotype" w:hAnsi="Palatino Linotype" w:cs="Arial"/>
          <w:sz w:val="24"/>
          <w:szCs w:val="24"/>
        </w:rPr>
        <w:t>l</w:t>
      </w:r>
      <w:r w:rsidR="00CD70CA">
        <w:rPr>
          <w:rFonts w:ascii="Palatino Linotype" w:hAnsi="Palatino Linotype" w:cs="Arial"/>
          <w:sz w:val="24"/>
          <w:szCs w:val="24"/>
        </w:rPr>
        <w:t>os</w:t>
      </w:r>
      <w:r w:rsidRPr="00670490">
        <w:rPr>
          <w:rFonts w:ascii="Palatino Linotype" w:hAnsi="Palatino Linotype" w:cs="Arial"/>
          <w:sz w:val="24"/>
          <w:szCs w:val="24"/>
        </w:rPr>
        <w:t xml:space="preserve"> recurso</w:t>
      </w:r>
      <w:r w:rsidR="00CD70CA">
        <w:rPr>
          <w:rFonts w:ascii="Palatino Linotype" w:hAnsi="Palatino Linotype" w:cs="Arial"/>
          <w:sz w:val="24"/>
          <w:szCs w:val="24"/>
        </w:rPr>
        <w:t>s</w:t>
      </w:r>
      <w:r w:rsidRPr="00670490">
        <w:rPr>
          <w:rFonts w:ascii="Palatino Linotype" w:hAnsi="Palatino Linotype" w:cs="Arial"/>
          <w:sz w:val="24"/>
          <w:szCs w:val="24"/>
        </w:rPr>
        <w:t xml:space="preserve"> de revisión de mérito</w:t>
      </w:r>
      <w:r w:rsidR="00CD70CA">
        <w:rPr>
          <w:rFonts w:ascii="Palatino Linotype" w:hAnsi="Palatino Linotype" w:cs="Arial"/>
          <w:sz w:val="24"/>
          <w:szCs w:val="24"/>
        </w:rPr>
        <w:t xml:space="preserve">, señalando en sus </w:t>
      </w:r>
      <w:r w:rsidR="00CD70CA" w:rsidRPr="00CD70CA">
        <w:rPr>
          <w:rFonts w:ascii="Palatino Linotype" w:hAnsi="Palatino Linotype" w:cs="Arial"/>
          <w:sz w:val="24"/>
          <w:szCs w:val="24"/>
        </w:rPr>
        <w:t xml:space="preserve">razones o motivos de inconformidad, que </w:t>
      </w:r>
      <w:r w:rsidR="00CD70CA" w:rsidRPr="00CD70CA">
        <w:rPr>
          <w:rFonts w:ascii="Palatino Linotype" w:hAnsi="Palatino Linotype" w:cs="Arial"/>
          <w:b/>
          <w:sz w:val="24"/>
          <w:szCs w:val="24"/>
        </w:rPr>
        <w:t>EL SUJETO OBLIGADO</w:t>
      </w:r>
      <w:r w:rsidR="00CD70CA" w:rsidRPr="00CD70CA">
        <w:rPr>
          <w:rFonts w:ascii="Palatino Linotype" w:hAnsi="Palatino Linotype" w:cs="Arial"/>
          <w:sz w:val="24"/>
          <w:szCs w:val="24"/>
        </w:rPr>
        <w:t xml:space="preserve"> no hizo entrega completa de la información, al señalar que por lo que corresponde al inciso c), </w:t>
      </w:r>
      <w:r w:rsidR="00B1543A" w:rsidRPr="00B1543A">
        <w:rPr>
          <w:rFonts w:ascii="Palatino Linotype" w:hAnsi="Palatino Linotype" w:cs="Arial"/>
          <w:b/>
          <w:sz w:val="24"/>
          <w:szCs w:val="24"/>
        </w:rPr>
        <w:t>EL SUJETO OBLIGADO</w:t>
      </w:r>
      <w:r w:rsidR="00B1543A" w:rsidRPr="00CD70CA">
        <w:rPr>
          <w:rFonts w:ascii="Palatino Linotype" w:hAnsi="Palatino Linotype" w:cs="Arial"/>
          <w:sz w:val="24"/>
          <w:szCs w:val="24"/>
        </w:rPr>
        <w:t xml:space="preserve"> </w:t>
      </w:r>
      <w:r w:rsidR="00CD70CA" w:rsidRPr="00CD70CA">
        <w:rPr>
          <w:rFonts w:ascii="Palatino Linotype" w:hAnsi="Palatino Linotype" w:cs="Arial"/>
          <w:sz w:val="24"/>
          <w:szCs w:val="24"/>
        </w:rPr>
        <w:t xml:space="preserve">informa que el código de expediente en </w:t>
      </w:r>
      <w:proofErr w:type="spellStart"/>
      <w:r w:rsidR="00CD70CA" w:rsidRPr="00CD70CA">
        <w:rPr>
          <w:rFonts w:ascii="Palatino Linotype" w:hAnsi="Palatino Linotype" w:cs="Arial"/>
          <w:sz w:val="24"/>
          <w:szCs w:val="24"/>
        </w:rPr>
        <w:t>CompraNet</w:t>
      </w:r>
      <w:proofErr w:type="spellEnd"/>
      <w:r w:rsidR="00CD70CA" w:rsidRPr="00CD70CA">
        <w:rPr>
          <w:rFonts w:ascii="Palatino Linotype" w:hAnsi="Palatino Linotype" w:cs="Arial"/>
          <w:sz w:val="24"/>
          <w:szCs w:val="24"/>
        </w:rPr>
        <w:t xml:space="preserve"> es fallo 038.pdf, sin </w:t>
      </w:r>
      <w:r w:rsidR="00CD70CA" w:rsidRPr="00CD70CA">
        <w:rPr>
          <w:rFonts w:ascii="Palatino Linotype" w:hAnsi="Palatino Linotype" w:cs="Arial"/>
          <w:sz w:val="24"/>
          <w:szCs w:val="24"/>
        </w:rPr>
        <w:lastRenderedPageBreak/>
        <w:t>embargo, ese no es ningún código, que eso corresponde únicamente al nombre de un archivo.</w:t>
      </w:r>
    </w:p>
    <w:p w:rsidR="00CD70CA" w:rsidRDefault="004A4D5A" w:rsidP="00914903">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Bajo ese tenor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w:t>
      </w:r>
      <w:r w:rsidR="00E60FEE" w:rsidRPr="00E60FEE">
        <w:rPr>
          <w:rFonts w:ascii="Palatino Linotype" w:hAnsi="Palatino Linotype" w:cs="Arial"/>
          <w:b/>
          <w:sz w:val="24"/>
          <w:szCs w:val="24"/>
        </w:rPr>
        <w:t xml:space="preserve">MODIFICAR </w:t>
      </w:r>
      <w:r w:rsidR="00E60FEE" w:rsidRPr="00E60FEE">
        <w:rPr>
          <w:rFonts w:ascii="Palatino Linotype" w:hAnsi="Palatino Linotype" w:cs="Arial"/>
          <w:sz w:val="24"/>
          <w:szCs w:val="24"/>
        </w:rPr>
        <w:t>la</w:t>
      </w:r>
      <w:r w:rsidR="00CD70CA">
        <w:rPr>
          <w:rFonts w:ascii="Palatino Linotype" w:hAnsi="Palatino Linotype" w:cs="Arial"/>
          <w:sz w:val="24"/>
          <w:szCs w:val="24"/>
        </w:rPr>
        <w:t>s</w:t>
      </w:r>
      <w:r w:rsidR="00E60FEE" w:rsidRPr="00E60FEE">
        <w:rPr>
          <w:rFonts w:ascii="Palatino Linotype" w:hAnsi="Palatino Linotype" w:cs="Arial"/>
          <w:sz w:val="24"/>
          <w:szCs w:val="24"/>
        </w:rPr>
        <w:t xml:space="preserve"> respuesta</w:t>
      </w:r>
      <w:r w:rsidR="00CD70CA">
        <w:rPr>
          <w:rFonts w:ascii="Palatino Linotype" w:hAnsi="Palatino Linotype" w:cs="Arial"/>
          <w:sz w:val="24"/>
          <w:szCs w:val="24"/>
        </w:rPr>
        <w:t>s</w:t>
      </w:r>
      <w:r w:rsidR="00E60FEE" w:rsidRPr="00E60FEE">
        <w:rPr>
          <w:rFonts w:ascii="Palatino Linotype" w:hAnsi="Palatino Linotype" w:cs="Arial"/>
          <w:sz w:val="24"/>
          <w:szCs w:val="24"/>
        </w:rPr>
        <w:t xml:space="preserve"> del</w:t>
      </w:r>
      <w:r w:rsidR="00E60FEE">
        <w:rPr>
          <w:rFonts w:ascii="Palatino Linotype" w:hAnsi="Palatino Linotype" w:cs="Arial"/>
          <w:b/>
          <w:sz w:val="24"/>
          <w:szCs w:val="24"/>
        </w:rPr>
        <w:t xml:space="preserve"> </w:t>
      </w:r>
      <w:r w:rsidRPr="004A4D5A">
        <w:rPr>
          <w:rFonts w:ascii="Palatino Linotype" w:hAnsi="Palatino Linotype" w:cs="Arial"/>
          <w:b/>
          <w:sz w:val="24"/>
          <w:szCs w:val="24"/>
        </w:rPr>
        <w:t>SUJETO OBLIGADO</w:t>
      </w:r>
      <w:r>
        <w:rPr>
          <w:rFonts w:ascii="Palatino Linotype" w:hAnsi="Palatino Linotype" w:cs="Arial"/>
          <w:sz w:val="24"/>
          <w:szCs w:val="24"/>
        </w:rPr>
        <w:t xml:space="preserve"> </w:t>
      </w:r>
      <w:r w:rsidR="00E60FEE">
        <w:rPr>
          <w:rFonts w:ascii="Palatino Linotype" w:hAnsi="Palatino Linotype" w:cs="Arial"/>
          <w:sz w:val="24"/>
          <w:szCs w:val="24"/>
        </w:rPr>
        <w:t xml:space="preserve">y así ordenar la entrega vía </w:t>
      </w:r>
      <w:r w:rsidR="00E60FEE" w:rsidRPr="00E60FEE">
        <w:rPr>
          <w:rFonts w:ascii="Palatino Linotype" w:hAnsi="Palatino Linotype" w:cs="Arial"/>
          <w:b/>
          <w:sz w:val="24"/>
          <w:szCs w:val="24"/>
        </w:rPr>
        <w:t>SAIMEX</w:t>
      </w:r>
      <w:r w:rsidR="00E60FEE">
        <w:rPr>
          <w:rFonts w:ascii="Palatino Linotype" w:hAnsi="Palatino Linotype" w:cs="Arial"/>
          <w:sz w:val="24"/>
          <w:szCs w:val="24"/>
        </w:rPr>
        <w:t xml:space="preserve">, </w:t>
      </w:r>
      <w:r w:rsidR="00CD70CA">
        <w:rPr>
          <w:rFonts w:ascii="Palatino Linotype" w:hAnsi="Palatino Linotype" w:cs="Arial"/>
          <w:sz w:val="24"/>
          <w:szCs w:val="24"/>
        </w:rPr>
        <w:t xml:space="preserve">del procedimiento adquisitivo de condones masculinos referido en respuestas, de lo siguiente: </w:t>
      </w:r>
    </w:p>
    <w:p w:rsidR="00CD70CA" w:rsidRPr="00CD70CA" w:rsidRDefault="00CD70CA" w:rsidP="00914903">
      <w:pPr>
        <w:pStyle w:val="Prrafodelista"/>
        <w:numPr>
          <w:ilvl w:val="0"/>
          <w:numId w:val="8"/>
        </w:numPr>
        <w:spacing w:before="100" w:beforeAutospacing="1" w:after="100" w:afterAutospacing="1" w:line="240" w:lineRule="auto"/>
        <w:ind w:left="851" w:right="899" w:firstLine="0"/>
        <w:jc w:val="both"/>
        <w:rPr>
          <w:rFonts w:ascii="Palatino Linotype" w:hAnsi="Palatino Linotype"/>
          <w:b/>
          <w:i/>
          <w:lang w:eastAsia="es-MX"/>
        </w:rPr>
      </w:pPr>
      <w:r w:rsidRPr="00CD70CA">
        <w:rPr>
          <w:rFonts w:ascii="Palatino Linotype" w:hAnsi="Palatino Linotype"/>
          <w:b/>
          <w:i/>
          <w:lang w:eastAsia="es-MX"/>
        </w:rPr>
        <w:t xml:space="preserve">Código del expediente de contratación; y </w:t>
      </w:r>
    </w:p>
    <w:p w:rsidR="00CD70CA" w:rsidRPr="00CD70CA" w:rsidRDefault="00CD70CA" w:rsidP="00914903">
      <w:pPr>
        <w:pStyle w:val="Prrafodelista"/>
        <w:numPr>
          <w:ilvl w:val="0"/>
          <w:numId w:val="8"/>
        </w:numPr>
        <w:spacing w:before="100" w:beforeAutospacing="1" w:after="100" w:afterAutospacing="1" w:line="240" w:lineRule="auto"/>
        <w:ind w:left="851" w:right="899" w:firstLine="0"/>
        <w:jc w:val="both"/>
        <w:rPr>
          <w:rFonts w:ascii="Palatino Linotype" w:hAnsi="Palatino Linotype"/>
          <w:b/>
          <w:i/>
          <w:lang w:eastAsia="es-MX"/>
        </w:rPr>
      </w:pPr>
      <w:r w:rsidRPr="00CD70CA">
        <w:rPr>
          <w:rFonts w:ascii="Palatino Linotype" w:hAnsi="Palatino Linotype"/>
          <w:i/>
          <w:lang w:eastAsia="es-MX"/>
        </w:rPr>
        <w:t>Lugar en que fue difundido el procedimiento adquisitivo.</w:t>
      </w:r>
    </w:p>
    <w:p w:rsidR="004900F7" w:rsidRDefault="004900F7" w:rsidP="00914903">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En ese tenor, la que suscribe coincide con el sentido de la resolución en comento; empero, estimo necesario realizar algunas precisiones respecto de lo ordenado en el resolutivo Segundo</w:t>
      </w:r>
      <w:r w:rsidR="00913EB4">
        <w:rPr>
          <w:rFonts w:ascii="Palatino Linotype" w:hAnsi="Palatino Linotype"/>
          <w:sz w:val="24"/>
          <w:szCs w:val="24"/>
        </w:rPr>
        <w:t xml:space="preserve">, </w:t>
      </w:r>
      <w:r w:rsidR="00CD70CA">
        <w:rPr>
          <w:rFonts w:ascii="Palatino Linotype" w:hAnsi="Palatino Linotype"/>
          <w:sz w:val="24"/>
          <w:szCs w:val="24"/>
        </w:rPr>
        <w:t xml:space="preserve">numeral 1 </w:t>
      </w:r>
      <w:r>
        <w:rPr>
          <w:rFonts w:ascii="Palatino Linotype" w:hAnsi="Palatino Linotype"/>
          <w:sz w:val="24"/>
          <w:szCs w:val="24"/>
        </w:rPr>
        <w:t xml:space="preserve">de la resolución en comento. </w:t>
      </w:r>
    </w:p>
    <w:p w:rsidR="00D37DD4" w:rsidRDefault="00913EB4" w:rsidP="00914903">
      <w:pPr>
        <w:spacing w:before="100" w:beforeAutospacing="1" w:after="100" w:afterAutospacing="1" w:line="360" w:lineRule="auto"/>
        <w:jc w:val="both"/>
        <w:rPr>
          <w:rFonts w:ascii="Palatino Linotype" w:hAnsi="Palatino Linotype"/>
          <w:sz w:val="24"/>
          <w:szCs w:val="24"/>
        </w:rPr>
      </w:pPr>
      <w:r w:rsidRPr="00913EB4">
        <w:rPr>
          <w:rFonts w:ascii="Palatino Linotype" w:hAnsi="Palatino Linotype"/>
          <w:sz w:val="24"/>
          <w:szCs w:val="24"/>
        </w:rPr>
        <w:t xml:space="preserve">Lo anterior obedece a que, de la información que pudiera remitir </w:t>
      </w:r>
      <w:r w:rsidRPr="00913EB4">
        <w:rPr>
          <w:rFonts w:ascii="Palatino Linotype" w:hAnsi="Palatino Linotype"/>
          <w:b/>
          <w:sz w:val="24"/>
          <w:szCs w:val="24"/>
        </w:rPr>
        <w:t>EL SUJETO OBLIGADO</w:t>
      </w:r>
      <w:r w:rsidRPr="00913EB4">
        <w:rPr>
          <w:rFonts w:ascii="Palatino Linotype" w:hAnsi="Palatino Linotype"/>
          <w:sz w:val="24"/>
          <w:szCs w:val="24"/>
        </w:rPr>
        <w:t xml:space="preserve"> podría contener información susceptible de </w:t>
      </w:r>
      <w:r w:rsidR="00D37DD4">
        <w:rPr>
          <w:rFonts w:ascii="Palatino Linotype" w:hAnsi="Palatino Linotype"/>
          <w:sz w:val="24"/>
          <w:szCs w:val="24"/>
        </w:rPr>
        <w:t xml:space="preserve">ser </w:t>
      </w:r>
      <w:r w:rsidRPr="00913EB4">
        <w:rPr>
          <w:rFonts w:ascii="Palatino Linotype" w:hAnsi="Palatino Linotype"/>
          <w:sz w:val="24"/>
          <w:szCs w:val="24"/>
        </w:rPr>
        <w:t>entrega</w:t>
      </w:r>
      <w:r w:rsidR="00D37DD4">
        <w:rPr>
          <w:rFonts w:ascii="Palatino Linotype" w:hAnsi="Palatino Linotype"/>
          <w:sz w:val="24"/>
          <w:szCs w:val="24"/>
        </w:rPr>
        <w:t>da</w:t>
      </w:r>
      <w:r w:rsidRPr="00913EB4">
        <w:rPr>
          <w:rFonts w:ascii="Palatino Linotype" w:hAnsi="Palatino Linotype"/>
          <w:sz w:val="24"/>
          <w:szCs w:val="24"/>
        </w:rPr>
        <w:t xml:space="preserve"> en versión pública, puesto que</w:t>
      </w:r>
      <w:r w:rsidR="00D37DD4">
        <w:rPr>
          <w:rFonts w:ascii="Palatino Linotype" w:hAnsi="Palatino Linotype"/>
          <w:sz w:val="24"/>
          <w:szCs w:val="24"/>
        </w:rPr>
        <w:t xml:space="preserve"> como ya fue precisado en el estudio de la Ponencia </w:t>
      </w:r>
      <w:proofErr w:type="spellStart"/>
      <w:r w:rsidR="00D37DD4">
        <w:rPr>
          <w:rFonts w:ascii="Palatino Linotype" w:hAnsi="Palatino Linotype"/>
          <w:sz w:val="24"/>
          <w:szCs w:val="24"/>
        </w:rPr>
        <w:t>Resolutora</w:t>
      </w:r>
      <w:proofErr w:type="spellEnd"/>
      <w:r w:rsidR="00B1543A">
        <w:rPr>
          <w:rFonts w:ascii="Palatino Linotype" w:hAnsi="Palatino Linotype"/>
          <w:sz w:val="24"/>
          <w:szCs w:val="24"/>
        </w:rPr>
        <w:t>,</w:t>
      </w:r>
      <w:r w:rsidR="00D37DD4">
        <w:rPr>
          <w:rFonts w:ascii="Palatino Linotype" w:hAnsi="Palatino Linotype"/>
          <w:sz w:val="24"/>
          <w:szCs w:val="24"/>
        </w:rPr>
        <w:t xml:space="preserve"> </w:t>
      </w:r>
      <w:r w:rsidR="00B1543A" w:rsidRPr="00B1543A">
        <w:rPr>
          <w:rFonts w:ascii="Palatino Linotype" w:hAnsi="Palatino Linotype"/>
          <w:b/>
          <w:sz w:val="24"/>
          <w:szCs w:val="24"/>
        </w:rPr>
        <w:t xml:space="preserve">EL RECURRENTE </w:t>
      </w:r>
      <w:r w:rsidR="00D37DD4" w:rsidRPr="00D37DD4">
        <w:rPr>
          <w:rFonts w:ascii="Palatino Linotype" w:hAnsi="Palatino Linotype"/>
          <w:sz w:val="24"/>
          <w:szCs w:val="24"/>
        </w:rPr>
        <w:t xml:space="preserve">peticiona de forma específica información </w:t>
      </w:r>
      <w:r w:rsidR="00D37DD4">
        <w:rPr>
          <w:rFonts w:ascii="Palatino Linotype" w:hAnsi="Palatino Linotype"/>
          <w:sz w:val="24"/>
          <w:szCs w:val="24"/>
        </w:rPr>
        <w:t xml:space="preserve">del sistema COMPRANET; empero, </w:t>
      </w:r>
      <w:r w:rsidR="00D37DD4" w:rsidRPr="00D37DD4">
        <w:rPr>
          <w:rFonts w:ascii="Palatino Linotype" w:hAnsi="Palatino Linotype"/>
          <w:sz w:val="24"/>
          <w:szCs w:val="24"/>
        </w:rPr>
        <w:t>se tiene por acreditada la obligación de realizar los procedimientos adquisitivos en el sistema COMPRAMEX, por lo que en tales consideraciones deberá hacer entrega de la información generada con motivo de la Licitación Pública Nacional Presencial 44064003-038-2019, relativa a la adquisición de condones masculinos</w:t>
      </w:r>
      <w:r w:rsidR="00D37DD4">
        <w:rPr>
          <w:rFonts w:ascii="Palatino Linotype" w:hAnsi="Palatino Linotype"/>
          <w:sz w:val="24"/>
          <w:szCs w:val="24"/>
        </w:rPr>
        <w:t xml:space="preserve">. </w:t>
      </w:r>
    </w:p>
    <w:p w:rsidR="00E04921" w:rsidRPr="00B1543A" w:rsidRDefault="00E04921" w:rsidP="00914903">
      <w:pPr>
        <w:spacing w:before="100" w:beforeAutospacing="1" w:after="100" w:afterAutospacing="1" w:line="360" w:lineRule="auto"/>
        <w:jc w:val="both"/>
        <w:rPr>
          <w:rFonts w:ascii="Palatino Linotype" w:hAnsi="Palatino Linotype" w:cs="Arial"/>
          <w:color w:val="000000" w:themeColor="text1"/>
          <w:sz w:val="24"/>
          <w:szCs w:val="24"/>
        </w:rPr>
      </w:pPr>
      <w:r w:rsidRPr="00B1543A">
        <w:rPr>
          <w:rFonts w:ascii="Palatino Linotype" w:hAnsi="Palatino Linotype"/>
          <w:sz w:val="24"/>
          <w:szCs w:val="24"/>
        </w:rPr>
        <w:t xml:space="preserve">En esa virtud, </w:t>
      </w:r>
      <w:r w:rsidRPr="00B1543A">
        <w:rPr>
          <w:rFonts w:ascii="Palatino Linotype" w:hAnsi="Palatino Linotype" w:cs="Arial"/>
          <w:color w:val="000000" w:themeColor="text1"/>
          <w:sz w:val="24"/>
          <w:szCs w:val="24"/>
        </w:rPr>
        <w:t xml:space="preserve">el artículo 18 de la Ley en comento, establece que los procedimientos de adquisiciones deberán desahogarse preferentemente por conducto del COMPRAMEX, artículo que vinculado con sus similares 28 y 33, que señalan que las licitaciones </w:t>
      </w:r>
      <w:r w:rsidRPr="00B1543A">
        <w:rPr>
          <w:rFonts w:ascii="Palatino Linotype" w:hAnsi="Palatino Linotype" w:cs="Arial"/>
          <w:color w:val="000000" w:themeColor="text1"/>
          <w:sz w:val="24"/>
          <w:szCs w:val="24"/>
        </w:rPr>
        <w:lastRenderedPageBreak/>
        <w:t xml:space="preserve">públicas podrán ser presenciales, electrónicas o mixtas, estas dos últimas que permitirán únicamente la participación de licitantes a través del sistema COMPRAMEX; razón por la que, se acredita que </w:t>
      </w:r>
      <w:r w:rsidRPr="00B1543A">
        <w:rPr>
          <w:rFonts w:ascii="Palatino Linotype" w:hAnsi="Palatino Linotype" w:cs="Arial"/>
          <w:b/>
          <w:color w:val="000000" w:themeColor="text1"/>
          <w:sz w:val="24"/>
          <w:szCs w:val="24"/>
        </w:rPr>
        <w:t>EL SUJETO OBLIGADO</w:t>
      </w:r>
      <w:r w:rsidRPr="00B1543A">
        <w:rPr>
          <w:rFonts w:ascii="Palatino Linotype" w:hAnsi="Palatino Linotype" w:cs="Arial"/>
          <w:color w:val="000000" w:themeColor="text1"/>
          <w:sz w:val="24"/>
          <w:szCs w:val="24"/>
        </w:rPr>
        <w:t xml:space="preserve"> al realizar procedimientos adquisitivos de bienes o servicios, deberá </w:t>
      </w:r>
      <w:r w:rsidR="008A0A86" w:rsidRPr="00B1543A">
        <w:rPr>
          <w:rFonts w:ascii="Palatino Linotype" w:hAnsi="Palatino Linotype" w:cs="Arial"/>
          <w:color w:val="000000" w:themeColor="text1"/>
          <w:sz w:val="24"/>
          <w:szCs w:val="24"/>
        </w:rPr>
        <w:t xml:space="preserve">hacer </w:t>
      </w:r>
      <w:r w:rsidRPr="00B1543A">
        <w:rPr>
          <w:rFonts w:ascii="Palatino Linotype" w:hAnsi="Palatino Linotype" w:cs="Arial"/>
          <w:color w:val="000000" w:themeColor="text1"/>
          <w:sz w:val="24"/>
          <w:szCs w:val="24"/>
        </w:rPr>
        <w:t xml:space="preserve">publica dicha licitación. </w:t>
      </w:r>
    </w:p>
    <w:p w:rsidR="00E04921" w:rsidRDefault="00E04921" w:rsidP="00914903">
      <w:pPr>
        <w:spacing w:before="100" w:beforeAutospacing="1" w:after="100" w:afterAutospacing="1" w:line="360" w:lineRule="auto"/>
        <w:jc w:val="both"/>
        <w:rPr>
          <w:rFonts w:ascii="Palatino Linotype" w:eastAsia="Times New Roman" w:hAnsi="Palatino Linotype" w:cs="Arial"/>
          <w:sz w:val="24"/>
          <w:szCs w:val="24"/>
          <w:lang w:val="es-ES"/>
        </w:rPr>
      </w:pPr>
      <w:r>
        <w:rPr>
          <w:rFonts w:ascii="Palatino Linotype" w:hAnsi="Palatino Linotype" w:cs="Arial"/>
          <w:color w:val="000000" w:themeColor="text1"/>
        </w:rPr>
        <w:t xml:space="preserve">No obstante lo anterior, </w:t>
      </w:r>
      <w:r w:rsidR="008A0A86" w:rsidRPr="008A0A86">
        <w:rPr>
          <w:rFonts w:ascii="Palatino Linotype" w:eastAsia="Times New Roman" w:hAnsi="Palatino Linotype" w:cs="Arial"/>
          <w:sz w:val="24"/>
          <w:szCs w:val="24"/>
          <w:lang w:val="es-ES"/>
        </w:rPr>
        <w:t>se advierte que </w:t>
      </w:r>
      <w:r w:rsidR="008A0A86" w:rsidRPr="008A0A86">
        <w:rPr>
          <w:rFonts w:ascii="Palatino Linotype" w:eastAsia="Times New Roman" w:hAnsi="Palatino Linotype" w:cs="Arial"/>
          <w:b/>
          <w:sz w:val="24"/>
          <w:szCs w:val="24"/>
          <w:lang w:val="es-ES"/>
        </w:rPr>
        <w:t>EL SUJETO OBLIGADO</w:t>
      </w:r>
      <w:r w:rsidR="008A0A86" w:rsidRPr="008A0A86">
        <w:rPr>
          <w:rFonts w:ascii="Palatino Linotype" w:eastAsia="Times New Roman" w:hAnsi="Palatino Linotype" w:cs="Arial"/>
          <w:sz w:val="24"/>
          <w:szCs w:val="24"/>
          <w:lang w:val="es-ES"/>
        </w:rPr>
        <w:t xml:space="preserve">, cuenta con la competencia para regular los actos relativos a la </w:t>
      </w:r>
      <w:r w:rsidR="008A0A86" w:rsidRPr="008A0A86">
        <w:rPr>
          <w:rFonts w:ascii="Palatino Linotype" w:eastAsia="Times New Roman" w:hAnsi="Palatino Linotype" w:cs="Arial"/>
          <w:b/>
          <w:sz w:val="24"/>
          <w:szCs w:val="24"/>
          <w:u w:val="single"/>
          <w:lang w:val="es-ES"/>
        </w:rPr>
        <w:t xml:space="preserve">planeación, programación, </w:t>
      </w:r>
      <w:proofErr w:type="spellStart"/>
      <w:r w:rsidR="008A0A86" w:rsidRPr="008A0A86">
        <w:rPr>
          <w:rFonts w:ascii="Palatino Linotype" w:eastAsia="Times New Roman" w:hAnsi="Palatino Linotype" w:cs="Arial"/>
          <w:b/>
          <w:sz w:val="24"/>
          <w:szCs w:val="24"/>
          <w:u w:val="single"/>
          <w:lang w:val="es-ES"/>
        </w:rPr>
        <w:t>presupuestación</w:t>
      </w:r>
      <w:proofErr w:type="spellEnd"/>
      <w:r w:rsidR="008A0A86" w:rsidRPr="008A0A86">
        <w:rPr>
          <w:rFonts w:ascii="Palatino Linotype" w:eastAsia="Times New Roman" w:hAnsi="Palatino Linotype" w:cs="Arial"/>
          <w:b/>
          <w:sz w:val="24"/>
          <w:szCs w:val="24"/>
          <w:u w:val="single"/>
          <w:lang w:val="es-ES"/>
        </w:rPr>
        <w:t>, ejecución y control de la adquisición y arrendamiento de bienes, así como la contratación de servicios de cualquier naturaleza</w:t>
      </w:r>
      <w:r w:rsidR="008A0A86" w:rsidRPr="008A0A86">
        <w:rPr>
          <w:rFonts w:ascii="Palatino Linotype" w:eastAsia="Times New Roman" w:hAnsi="Palatino Linotype" w:cs="Arial"/>
          <w:sz w:val="24"/>
          <w:szCs w:val="24"/>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 asimismo, existe obligatoriedad de la publicación de convocatorias en diarios de mayor circulación en la capital del Estado y en uno de los diarios de mayor circulación nacional, así como a través del COMPRAMEX</w:t>
      </w:r>
      <w:r w:rsidR="008A0A86">
        <w:rPr>
          <w:rFonts w:ascii="Palatino Linotype" w:eastAsia="Times New Roman" w:hAnsi="Palatino Linotype" w:cs="Arial"/>
          <w:sz w:val="24"/>
          <w:szCs w:val="24"/>
          <w:lang w:val="es-ES"/>
        </w:rPr>
        <w:t xml:space="preserve">. </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Sin embargo</w:t>
      </w:r>
      <w:r w:rsidRPr="00210DC4">
        <w:rPr>
          <w:rFonts w:ascii="Palatino Linotype" w:eastAsia="Times New Roman" w:hAnsi="Palatino Linotype" w:cs="Times New Roman"/>
          <w:sz w:val="24"/>
          <w:szCs w:val="24"/>
          <w:lang w:val="es-ES"/>
        </w:rPr>
        <w:t>,</w:t>
      </w:r>
      <w:r>
        <w:rPr>
          <w:rFonts w:ascii="Palatino Linotype" w:eastAsia="Times New Roman" w:hAnsi="Palatino Linotype" w:cs="Times New Roman"/>
          <w:sz w:val="24"/>
          <w:szCs w:val="24"/>
          <w:lang w:val="es-ES"/>
        </w:rPr>
        <w:t xml:space="preserve"> no se omite comentar que para el caso de que la </w:t>
      </w:r>
      <w:r w:rsidRPr="00210DC4">
        <w:rPr>
          <w:rFonts w:ascii="Palatino Linotype" w:eastAsia="Times New Roman" w:hAnsi="Palatino Linotype" w:cs="Times New Roman"/>
          <w:sz w:val="24"/>
          <w:szCs w:val="24"/>
          <w:lang w:val="es-ES"/>
        </w:rPr>
        <w:t xml:space="preserve">información </w:t>
      </w:r>
      <w:r>
        <w:rPr>
          <w:rFonts w:ascii="Palatino Linotype" w:eastAsia="Times New Roman" w:hAnsi="Palatino Linotype" w:cs="Times New Roman"/>
          <w:sz w:val="24"/>
          <w:szCs w:val="24"/>
          <w:lang w:val="es-ES"/>
        </w:rPr>
        <w:t xml:space="preserve">contenga </w:t>
      </w:r>
      <w:r w:rsidRPr="00210DC4">
        <w:rPr>
          <w:rFonts w:ascii="Palatino Linotype" w:eastAsia="Times New Roman" w:hAnsi="Palatino Linotype" w:cs="Times New Roman"/>
          <w:sz w:val="24"/>
          <w:szCs w:val="24"/>
          <w:lang w:val="es-ES"/>
        </w:rPr>
        <w:t xml:space="preserve">datos personales que podrían afectar a personas físicas, en el caso de que se cuente con dicha información, se </w:t>
      </w:r>
      <w:r>
        <w:rPr>
          <w:rFonts w:ascii="Palatino Linotype" w:eastAsia="Times New Roman" w:hAnsi="Palatino Linotype" w:cs="Times New Roman"/>
          <w:sz w:val="24"/>
          <w:szCs w:val="24"/>
          <w:lang w:val="es-ES"/>
        </w:rPr>
        <w:t xml:space="preserve">debió </w:t>
      </w:r>
      <w:r w:rsidRPr="008A0A86">
        <w:rPr>
          <w:rFonts w:ascii="Palatino Linotype" w:eastAsia="Times New Roman" w:hAnsi="Palatino Linotype" w:cs="Times New Roman"/>
          <w:sz w:val="24"/>
          <w:szCs w:val="24"/>
          <w:lang w:val="es-ES"/>
        </w:rPr>
        <w:t>ordenar su</w:t>
      </w:r>
      <w:r w:rsidRPr="00210DC4">
        <w:rPr>
          <w:rFonts w:ascii="Palatino Linotype" w:eastAsia="Times New Roman" w:hAnsi="Palatino Linotype" w:cs="Times New Roman"/>
          <w:sz w:val="24"/>
          <w:szCs w:val="24"/>
          <w:lang w:val="es-ES"/>
        </w:rPr>
        <w:t xml:space="preserve"> entrega en </w:t>
      </w:r>
      <w:r w:rsidRPr="00210DC4">
        <w:rPr>
          <w:rFonts w:ascii="Palatino Linotype" w:eastAsia="Times New Roman" w:hAnsi="Palatino Linotype" w:cs="Times New Roman"/>
          <w:b/>
          <w:sz w:val="24"/>
          <w:szCs w:val="24"/>
          <w:lang w:val="es-ES"/>
        </w:rPr>
        <w:t>versión pública</w:t>
      </w:r>
      <w:r w:rsidRPr="00210DC4">
        <w:rPr>
          <w:rFonts w:ascii="Palatino Linotype" w:eastAsia="Times New Roman" w:hAnsi="Palatino Linotype" w:cs="Times New Roman"/>
          <w:sz w:val="24"/>
          <w:szCs w:val="24"/>
          <w:lang w:val="es-ES"/>
        </w:rPr>
        <w:t xml:space="preserve">, lo cual es de señalar que no opera con la simple supresión de datos que se haga en los documentos de que se trate o con la simple decisión que tome el Servidor Público Habilitado o el Responsable de la Unidad de Transparencia del </w:t>
      </w:r>
      <w:r w:rsidRPr="00210DC4">
        <w:rPr>
          <w:rFonts w:ascii="Palatino Linotype" w:eastAsia="Times New Roman" w:hAnsi="Palatino Linotype" w:cs="Times New Roman"/>
          <w:b/>
          <w:sz w:val="24"/>
          <w:szCs w:val="24"/>
          <w:lang w:val="es-ES"/>
        </w:rPr>
        <w:t>SUJETO OBLIGADO</w:t>
      </w:r>
      <w:r w:rsidRPr="00210DC4">
        <w:rPr>
          <w:rFonts w:ascii="Palatino Linotype" w:eastAsia="Times New Roman" w:hAnsi="Palatino Linotype" w:cs="Times New Roman"/>
          <w:sz w:val="24"/>
          <w:szCs w:val="24"/>
          <w:lang w:val="es-ES"/>
        </w:rPr>
        <w:t xml:space="preserve">, sino que ello se deberá realizarse en términos de lo que disponen los artículos 3, fracciones IX, XX, </w:t>
      </w:r>
      <w:r w:rsidRPr="00210DC4">
        <w:rPr>
          <w:rFonts w:ascii="Palatino Linotype" w:eastAsia="Times New Roman" w:hAnsi="Palatino Linotype" w:cs="Times New Roman"/>
          <w:sz w:val="24"/>
          <w:szCs w:val="24"/>
          <w:lang w:val="es-ES"/>
        </w:rPr>
        <w:lastRenderedPageBreak/>
        <w:t>XXI, XXXII, XLV; 6, 49 fracción VIII, 53, fracción X, 59, fracción V, 137, 143 fracción I, de la Ley de Transparencia y Acceso a la Información Pública del Estado de México y Municipios vigente, que son del tenor literal siguiente:</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“Artículo 3.</w:t>
      </w:r>
      <w:r w:rsidRPr="00210DC4">
        <w:rPr>
          <w:rFonts w:ascii="Palatino Linotype" w:eastAsia="Times New Roman" w:hAnsi="Palatino Linotype" w:cs="Times New Roman"/>
          <w:i/>
          <w:lang w:val="es-ES"/>
        </w:rPr>
        <w:t xml:space="preserve"> Para los efectos de la presente Ley se entenderá por:</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IX. Datos personales:</w:t>
      </w:r>
      <w:r w:rsidRPr="00210DC4">
        <w:rPr>
          <w:rFonts w:ascii="Palatino Linotype" w:eastAsia="Times New Roman" w:hAnsi="Palatino Linotype" w:cs="Times New Roman"/>
          <w:i/>
          <w:lang w:val="es-ES"/>
        </w:rPr>
        <w:t xml:space="preserve"> La información concerniente a una persona, identificada o identificable según lo dispuesto por la Ley de Protección de Datos Personales del Estado de México;</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XX. Información clasificada:</w:t>
      </w:r>
      <w:r w:rsidRPr="00210DC4">
        <w:rPr>
          <w:rFonts w:ascii="Palatino Linotype" w:eastAsia="Times New Roman" w:hAnsi="Palatino Linotype" w:cs="Times New Roman"/>
          <w:i/>
          <w:lang w:val="es-ES"/>
        </w:rPr>
        <w:t xml:space="preserve"> Aquella considerada por la presente Ley como reservada o confidencial;</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 xml:space="preserve">XXI. Información confidencial: </w:t>
      </w:r>
      <w:r w:rsidRPr="00210DC4">
        <w:rPr>
          <w:rFonts w:ascii="Palatino Linotype" w:eastAsia="Times New Roman" w:hAnsi="Palatino Linotype" w:cs="Times New Roman"/>
          <w:i/>
          <w:lang w:val="es-ES"/>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XXXII. Protección de Datos Personales:</w:t>
      </w:r>
      <w:r w:rsidRPr="00210DC4">
        <w:rPr>
          <w:rFonts w:ascii="Palatino Linotype" w:eastAsia="Times New Roman" w:hAnsi="Palatino Linotype" w:cs="Times New Roman"/>
          <w:i/>
          <w:lang w:val="es-ES"/>
        </w:rPr>
        <w:t xml:space="preserve"> Derecho humano que tutela la privacidad de datos personales en poder de los sujetos obligados y sujetos particulares;</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XLV. Versión pública:</w:t>
      </w:r>
      <w:r w:rsidRPr="00210DC4">
        <w:rPr>
          <w:rFonts w:ascii="Palatino Linotype" w:eastAsia="Times New Roman" w:hAnsi="Palatino Linotype" w:cs="Times New Roman"/>
          <w:i/>
          <w:lang w:val="es-ES"/>
        </w:rPr>
        <w:t xml:space="preserve"> Documento en el que se elimine, suprime o borra la información clasificada como reservada o confidencial para permitir su acceso.</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Artículo 6.</w:t>
      </w:r>
      <w:r w:rsidRPr="00210DC4">
        <w:rPr>
          <w:rFonts w:ascii="Palatino Linotype" w:eastAsia="Times New Roman" w:hAnsi="Palatino Linotype" w:cs="Times New Roman"/>
          <w:i/>
          <w:lang w:val="es-E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Artículo 49.</w:t>
      </w:r>
      <w:r w:rsidRPr="00210DC4">
        <w:rPr>
          <w:rFonts w:ascii="Palatino Linotype" w:eastAsia="Times New Roman" w:hAnsi="Palatino Linotype" w:cs="Times New Roman"/>
          <w:i/>
          <w:lang w:val="es-ES"/>
        </w:rPr>
        <w:t xml:space="preserve"> Los Comités de Transparencia tendrán las siguientes atribuciones:</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VIII.</w:t>
      </w:r>
      <w:r w:rsidRPr="00210DC4">
        <w:rPr>
          <w:rFonts w:ascii="Palatino Linotype" w:eastAsia="Times New Roman" w:hAnsi="Palatino Linotype" w:cs="Times New Roman"/>
          <w:i/>
          <w:lang w:val="es-ES"/>
        </w:rPr>
        <w:t xml:space="preserve"> Aprobar, modificar o revocar la clasificación de la información…”</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Artículo 53.</w:t>
      </w:r>
      <w:r w:rsidRPr="00210DC4">
        <w:rPr>
          <w:rFonts w:ascii="Palatino Linotype" w:eastAsia="Times New Roman" w:hAnsi="Palatino Linotype" w:cs="Times New Roman"/>
          <w:i/>
          <w:lang w:val="es-ES"/>
        </w:rPr>
        <w:t xml:space="preserve"> Las Unidades de Transparencia tendrán las siguientes funciones:</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X.</w:t>
      </w:r>
      <w:r w:rsidRPr="00210DC4">
        <w:rPr>
          <w:rFonts w:ascii="Palatino Linotype" w:eastAsia="Times New Roman" w:hAnsi="Palatino Linotype" w:cs="Times New Roman"/>
          <w:i/>
          <w:lang w:val="es-ES"/>
        </w:rPr>
        <w:t xml:space="preserve"> Presentar ante el Comité, el proyecto de clasificación de información…” </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Artículo 59.</w:t>
      </w:r>
      <w:r w:rsidRPr="00210DC4">
        <w:rPr>
          <w:rFonts w:ascii="Palatino Linotype" w:eastAsia="Times New Roman" w:hAnsi="Palatino Linotype" w:cs="Times New Roman"/>
          <w:i/>
          <w:lang w:val="es-ES"/>
        </w:rPr>
        <w:t xml:space="preserve"> Los servidores públicos habilitados tendrán las funciones siguientes:</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V.</w:t>
      </w:r>
      <w:r w:rsidRPr="00210DC4">
        <w:rPr>
          <w:rFonts w:ascii="Palatino Linotype" w:eastAsia="Times New Roman" w:hAnsi="Palatino Linotype" w:cs="Times New Roman"/>
          <w:i/>
          <w:lang w:val="es-ES"/>
        </w:rPr>
        <w:t xml:space="preserve"> Integrar y presentar al responsable de la Unidad de Transparencia la propuesta de clasificación de información, la cual tendrá los fundamentos y argumentos en que se basa dicha propuesta…”</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Artículo 137.</w:t>
      </w:r>
      <w:r w:rsidRPr="00210DC4">
        <w:rPr>
          <w:rFonts w:ascii="Palatino Linotype" w:eastAsia="Times New Roman" w:hAnsi="Palatino Linotype" w:cs="Times New Roman"/>
          <w:i/>
          <w:lang w:val="es-ES"/>
        </w:rPr>
        <w:t xml:space="preserve"> Cuando un mismo medio, impreso o electrónico, contenga información pública y reservada o confidencial, la Unidad de Transparencia para </w:t>
      </w:r>
      <w:r w:rsidRPr="00210DC4">
        <w:rPr>
          <w:rFonts w:ascii="Palatino Linotype" w:eastAsia="Times New Roman" w:hAnsi="Palatino Linotype" w:cs="Times New Roman"/>
          <w:i/>
          <w:lang w:val="es-ES"/>
        </w:rPr>
        <w:lastRenderedPageBreak/>
        <w:t>efectos de atender una solicitud de información, deberán elaborar una versión pública en la que se testen las partes o secciones clasificadas, indicando su contenido de manera genérica y fundando y motivando su clasificación.”</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b/>
          <w:i/>
          <w:lang w:val="es-ES"/>
        </w:rPr>
        <w:t>Artículo 143.</w:t>
      </w:r>
      <w:r w:rsidRPr="00210DC4">
        <w:rPr>
          <w:rFonts w:ascii="Palatino Linotype" w:eastAsia="Times New Roman" w:hAnsi="Palatino Linotype" w:cs="Times New Roman"/>
          <w:i/>
          <w:lang w:val="es-ES"/>
        </w:rPr>
        <w:t xml:space="preserve"> Para los efectos de esta Ley se considera información confidencial, la clasificada como tal, de manera permanente, por su naturaleza, cuando:</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b/>
          <w:i/>
          <w:lang w:val="es-ES"/>
        </w:rPr>
      </w:pPr>
      <w:r w:rsidRPr="00210DC4">
        <w:rPr>
          <w:rFonts w:ascii="Palatino Linotype" w:eastAsia="Times New Roman" w:hAnsi="Palatino Linotype" w:cs="Times New Roman"/>
          <w:b/>
          <w:i/>
          <w:lang w:val="es-ES"/>
        </w:rPr>
        <w:t>I.</w:t>
      </w:r>
      <w:r w:rsidRPr="00210DC4">
        <w:rPr>
          <w:rFonts w:ascii="Palatino Linotype" w:eastAsia="Times New Roman" w:hAnsi="Palatino Linotype" w:cs="Times New Roman"/>
          <w:i/>
          <w:lang w:val="es-ES"/>
        </w:rPr>
        <w:t xml:space="preserve"> Se refiera a la información privada y los datos personales concernientes a una persona física o jurídico colectiva identificada o identificable…</w:t>
      </w:r>
      <w:r w:rsidRPr="00210DC4">
        <w:rPr>
          <w:rFonts w:ascii="Palatino Linotype" w:eastAsia="Times New Roman" w:hAnsi="Palatino Linotype" w:cs="Times New Roman"/>
          <w:b/>
          <w:i/>
          <w:lang w:val="es-ES"/>
        </w:rPr>
        <w:t>”</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i/>
          <w:lang w:val="es-ES"/>
        </w:rPr>
        <w:t>(Énfasis añadido)</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sidRPr="00210DC4">
        <w:rPr>
          <w:rFonts w:ascii="Palatino Linotype" w:eastAsia="Times New Roman" w:hAnsi="Palatino Linotype" w:cs="Times New Roman"/>
          <w:b/>
          <w:sz w:val="24"/>
          <w:szCs w:val="24"/>
          <w:lang w:val="es-ES"/>
        </w:rPr>
        <w:t>SUJETO OBLIGADO</w:t>
      </w:r>
      <w:r w:rsidRPr="00210DC4">
        <w:rPr>
          <w:rFonts w:ascii="Palatino Linotype" w:eastAsia="Times New Roman" w:hAnsi="Palatino Linotype" w:cs="Times New Roman"/>
          <w:sz w:val="24"/>
          <w:szCs w:val="24"/>
          <w:lang w:val="es-ES"/>
        </w:rPr>
        <w:t>, teniendo el deber los primeros de ellos de presentar ante la Unidad de Transparencia la propuesta de la 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Para lo cual, a su vez en el caso de información de carácter confidencial se debe atender a lo que señala el artículo 149 de la Ley de Transparencia Local vigente, cuyo contenido es de la literalidad siguiente:</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b/>
          <w:i/>
          <w:lang w:val="es-ES"/>
        </w:rPr>
      </w:pPr>
      <w:r w:rsidRPr="00210DC4">
        <w:rPr>
          <w:rFonts w:ascii="Palatino Linotype" w:eastAsia="Times New Roman" w:hAnsi="Palatino Linotype" w:cs="Times New Roman"/>
          <w:b/>
          <w:i/>
          <w:lang w:val="es-ES"/>
        </w:rPr>
        <w:t>“Artículo 149.</w:t>
      </w:r>
      <w:r w:rsidRPr="00210DC4">
        <w:rPr>
          <w:rFonts w:ascii="Palatino Linotype" w:eastAsia="Times New Roman" w:hAnsi="Palatino Linotype" w:cs="Times New Roman"/>
          <w:i/>
          <w:lang w:val="es-ES"/>
        </w:rPr>
        <w:t xml:space="preserve"> El acuerdo que clasifique la información como confidencial deberá contener un razonamiento lógico en el que demuestre que la información se encuentra en alguna o algunas de las hipótesis previstas en la presente Ley.</w:t>
      </w:r>
      <w:r w:rsidRPr="00210DC4">
        <w:rPr>
          <w:rFonts w:ascii="Palatino Linotype" w:eastAsia="Times New Roman" w:hAnsi="Palatino Linotype" w:cs="Times New Roman"/>
          <w:b/>
          <w:i/>
          <w:lang w:val="es-ES"/>
        </w:rPr>
        <w:t>”</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 xml:space="preserve">Es decir, </w:t>
      </w:r>
      <w:r w:rsidRPr="00210DC4">
        <w:rPr>
          <w:rFonts w:ascii="Palatino Linotype" w:eastAsia="Times New Roman" w:hAnsi="Palatino Linotype" w:cs="Times New Roman"/>
          <w:b/>
          <w:sz w:val="24"/>
          <w:szCs w:val="24"/>
          <w:lang w:val="es-ES"/>
        </w:rPr>
        <w:t>EL SUJETO OBLIGADO</w:t>
      </w:r>
      <w:r w:rsidRPr="00210DC4">
        <w:rPr>
          <w:rFonts w:ascii="Palatino Linotype" w:eastAsia="Times New Roman" w:hAnsi="Palatino Linotype" w:cs="Times New Roman"/>
          <w:sz w:val="24"/>
          <w:szCs w:val="24"/>
          <w:lang w:val="es-ES"/>
        </w:rPr>
        <w:t xml:space="preserve"> a través de su Comité de Transparencia, para la entrega de la información materia del presente recurso; deberá elaborar acuerdo que </w:t>
      </w:r>
      <w:r w:rsidRPr="00210DC4">
        <w:rPr>
          <w:rFonts w:ascii="Palatino Linotype" w:eastAsia="Times New Roman" w:hAnsi="Palatino Linotype" w:cs="Times New Roman"/>
          <w:sz w:val="24"/>
          <w:szCs w:val="24"/>
          <w:lang w:val="es-ES"/>
        </w:rPr>
        <w:lastRenderedPageBreak/>
        <w:t>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del solicitante.</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En el caso específico, la información solicitada puede contener datos susceptibles de clasificarse, que de hacerse públicos afectarían la intimidad y vida privada de particulares; que se ha reiterado en las resoluciones de</w:t>
      </w:r>
      <w:r>
        <w:rPr>
          <w:rFonts w:ascii="Palatino Linotype" w:eastAsia="Times New Roman" w:hAnsi="Palatino Linotype" w:cs="Times New Roman"/>
          <w:sz w:val="24"/>
          <w:szCs w:val="24"/>
          <w:lang w:val="es-ES"/>
        </w:rPr>
        <w:t>l</w:t>
      </w:r>
      <w:r w:rsidRPr="00210DC4">
        <w:rPr>
          <w:rFonts w:ascii="Palatino Linotype" w:eastAsia="Times New Roman" w:hAnsi="Palatino Linotype" w:cs="Times New Roman"/>
          <w:sz w:val="24"/>
          <w:szCs w:val="24"/>
          <w:lang w:val="es-ES"/>
        </w:rPr>
        <w:t xml:space="preserv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la Clave Única de Registro de Población (CURP), así como, los números de Cuenta Bancarios exclusivamente de particulares.</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lastRenderedPageBreak/>
        <w:t xml:space="preserve">Argumento que es compartido por el Instituto Nacional de Transparencia, Acceso a la Información y Protección de Datos Personales (INAI), conforme al criterio número 18/2017, el cual refiere: </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i/>
          <w:lang w:val="es-ES"/>
        </w:rPr>
        <w:t>“</w:t>
      </w:r>
      <w:r w:rsidRPr="00500062">
        <w:rPr>
          <w:rFonts w:ascii="Palatino Linotype" w:eastAsia="Times New Roman" w:hAnsi="Palatino Linotype" w:cs="Times New Roman"/>
          <w:b/>
          <w:i/>
          <w:lang w:val="es-ES"/>
        </w:rPr>
        <w:t>Clave Única de Registro de Población (CURP).</w:t>
      </w:r>
      <w:r w:rsidRPr="00210DC4">
        <w:rPr>
          <w:rFonts w:ascii="Palatino Linotype" w:eastAsia="Times New Roman" w:hAnsi="Palatino Linotype" w:cs="Times New Roman"/>
          <w:i/>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p>
    <w:p w:rsidR="008A0A86" w:rsidRPr="00500062"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b/>
          <w:i/>
          <w:lang w:val="es-ES"/>
        </w:rPr>
      </w:pPr>
      <w:r w:rsidRPr="00500062">
        <w:rPr>
          <w:rFonts w:ascii="Palatino Linotype" w:eastAsia="Times New Roman" w:hAnsi="Palatino Linotype" w:cs="Times New Roman"/>
          <w:b/>
          <w:i/>
          <w:lang w:val="es-ES"/>
        </w:rPr>
        <w:t>Resoluciones:</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i/>
          <w:lang w:val="es-ES"/>
        </w:rPr>
        <w:t>•</w:t>
      </w:r>
      <w:r w:rsidRPr="00210DC4">
        <w:rPr>
          <w:rFonts w:ascii="Palatino Linotype" w:eastAsia="Times New Roman" w:hAnsi="Palatino Linotype" w:cs="Times New Roman"/>
          <w:i/>
          <w:lang w:val="es-ES"/>
        </w:rPr>
        <w:tab/>
        <w:t xml:space="preserve">RRA 3995/16. Secretaría de la Defensa Nacional. 1 de febrero de 2017. Por unanimidad. Comisionado Ponente </w:t>
      </w:r>
      <w:proofErr w:type="spellStart"/>
      <w:r w:rsidRPr="00210DC4">
        <w:rPr>
          <w:rFonts w:ascii="Palatino Linotype" w:eastAsia="Times New Roman" w:hAnsi="Palatino Linotype" w:cs="Times New Roman"/>
          <w:i/>
          <w:lang w:val="es-ES"/>
        </w:rPr>
        <w:t>Rosendoevgueni</w:t>
      </w:r>
      <w:proofErr w:type="spellEnd"/>
      <w:r w:rsidRPr="00210DC4">
        <w:rPr>
          <w:rFonts w:ascii="Palatino Linotype" w:eastAsia="Times New Roman" w:hAnsi="Palatino Linotype" w:cs="Times New Roman"/>
          <w:i/>
          <w:lang w:val="es-ES"/>
        </w:rPr>
        <w:t xml:space="preserve"> Monterrey </w:t>
      </w:r>
      <w:proofErr w:type="spellStart"/>
      <w:r w:rsidRPr="00210DC4">
        <w:rPr>
          <w:rFonts w:ascii="Palatino Linotype" w:eastAsia="Times New Roman" w:hAnsi="Palatino Linotype" w:cs="Times New Roman"/>
          <w:i/>
          <w:lang w:val="es-ES"/>
        </w:rPr>
        <w:t>Chepov</w:t>
      </w:r>
      <w:proofErr w:type="spellEnd"/>
      <w:r w:rsidRPr="00210DC4">
        <w:rPr>
          <w:rFonts w:ascii="Palatino Linotype" w:eastAsia="Times New Roman" w:hAnsi="Palatino Linotype" w:cs="Times New Roman"/>
          <w:i/>
          <w:lang w:val="es-ES"/>
        </w:rPr>
        <w:t>.</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i/>
          <w:lang w:val="es-ES"/>
        </w:rPr>
        <w:t>•</w:t>
      </w:r>
      <w:r w:rsidRPr="00210DC4">
        <w:rPr>
          <w:rFonts w:ascii="Palatino Linotype" w:eastAsia="Times New Roman" w:hAnsi="Palatino Linotype" w:cs="Times New Roman"/>
          <w:i/>
          <w:lang w:val="es-ES"/>
        </w:rPr>
        <w:tab/>
        <w:t xml:space="preserve">RRA 0937/17. Senado de la República. 15 de marzo de 2017. Por unanimidad. Comisionada Ponente Ximena Puente de la Mora. </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i/>
          <w:lang w:val="es-ES"/>
        </w:rPr>
        <w:t>•</w:t>
      </w:r>
      <w:r w:rsidRPr="00210DC4">
        <w:rPr>
          <w:rFonts w:ascii="Palatino Linotype" w:eastAsia="Times New Roman" w:hAnsi="Palatino Linotype" w:cs="Times New Roman"/>
          <w:i/>
          <w:lang w:val="es-ES"/>
        </w:rPr>
        <w:tab/>
        <w:t>RRA 0478/17. Secretaría de Relaciones Exteriores. 26 de abril de 2017. Por unanimidad. Comisionada Ponente Areli Cano Guadiana.”</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Igualmente, resulta importante destacar que el número de cuenta bancaria de las personas físicas</w:t>
      </w:r>
      <w:r w:rsidR="00492E45">
        <w:rPr>
          <w:rFonts w:ascii="Palatino Linotype" w:eastAsia="Times New Roman" w:hAnsi="Palatino Linotype" w:cs="Times New Roman"/>
          <w:sz w:val="24"/>
          <w:szCs w:val="24"/>
          <w:lang w:val="es-ES"/>
        </w:rPr>
        <w:t xml:space="preserve"> o jurídico colectivas </w:t>
      </w:r>
      <w:r w:rsidRPr="00210DC4">
        <w:rPr>
          <w:rFonts w:ascii="Palatino Linotype" w:eastAsia="Times New Roman" w:hAnsi="Palatino Linotype" w:cs="Times New Roman"/>
          <w:sz w:val="24"/>
          <w:szCs w:val="24"/>
          <w:lang w:val="es-ES"/>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Por lo anterior, el número de cuenta bancaria debe ser clasificado como confidencial con fundamento en la fracciones I y II del artículo 143 de la Ley de la Materia de la Entidad; en razón de que, con su difusión se estaría poniendo en riesgo la seguridad de su titular.</w:t>
      </w:r>
    </w:p>
    <w:p w:rsidR="008A0A86" w:rsidRPr="00210DC4" w:rsidRDefault="008A0A86" w:rsidP="00914903">
      <w:pPr>
        <w:autoSpaceDE w:val="0"/>
        <w:autoSpaceDN w:val="0"/>
        <w:adjustRightInd w:val="0"/>
        <w:spacing w:before="100" w:beforeAutospacing="1" w:after="100" w:afterAutospacing="1"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8A0A86" w:rsidRPr="00210DC4" w:rsidRDefault="008A0A86" w:rsidP="00914903">
      <w:pPr>
        <w:autoSpaceDE w:val="0"/>
        <w:autoSpaceDN w:val="0"/>
        <w:adjustRightInd w:val="0"/>
        <w:spacing w:before="100" w:beforeAutospacing="1" w:after="100" w:afterAutospacing="1" w:line="360" w:lineRule="auto"/>
        <w:ind w:right="51"/>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Lo anterior encuentra sustento a su vez en lo señalado en el criterio 10/13 emitido por el entonces IFAI ahora Instituto Nacional de Transparencia y Acceso a la Información Pública del Estado de México y Municipios, así como en el diverso criterio 11/2017, que a la letra dicen:</w:t>
      </w:r>
    </w:p>
    <w:p w:rsidR="008A0A86" w:rsidRPr="00210DC4" w:rsidRDefault="008A0A86" w:rsidP="00914903">
      <w:pPr>
        <w:autoSpaceDE w:val="0"/>
        <w:autoSpaceDN w:val="0"/>
        <w:adjustRightInd w:val="0"/>
        <w:spacing w:after="0" w:line="240" w:lineRule="auto"/>
        <w:ind w:left="851" w:right="902"/>
        <w:jc w:val="center"/>
        <w:rPr>
          <w:rFonts w:ascii="Palatino Linotype" w:eastAsia="Times New Roman" w:hAnsi="Palatino Linotype" w:cs="Times New Roman"/>
          <w:b/>
          <w:i/>
          <w:lang w:val="es-ES"/>
        </w:rPr>
      </w:pPr>
      <w:r w:rsidRPr="00210DC4">
        <w:rPr>
          <w:rFonts w:ascii="Palatino Linotype" w:eastAsia="Times New Roman" w:hAnsi="Palatino Linotype" w:cs="Times New Roman"/>
          <w:b/>
          <w:i/>
          <w:lang w:val="es-ES"/>
        </w:rPr>
        <w:t>“CRITERIO 10/13</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500062">
        <w:rPr>
          <w:rFonts w:ascii="Palatino Linotype" w:eastAsia="Times New Roman" w:hAnsi="Palatino Linotype" w:cs="Times New Roman"/>
          <w:b/>
          <w:i/>
          <w:lang w:val="es-ES"/>
        </w:rPr>
        <w:t>Número de cuenta bancaria de particulares, personas físicas y morales, constituye información confidencial.</w:t>
      </w:r>
      <w:r w:rsidRPr="00210DC4">
        <w:rPr>
          <w:rFonts w:ascii="Palatino Linotype" w:eastAsia="Times New Roman" w:hAnsi="Palatino Linotype" w:cs="Times New Roman"/>
          <w:i/>
          <w:lang w:val="es-ES"/>
        </w:rPr>
        <w:t xml:space="preserve"> De conformidad con lo dispuesto en el artículo 18, fracciones I (personas morales) y II (personas físicas) de la Ley Federal de Transparencia y Acceso a la Información Pública Gubernamental, el número de cuenta bancaria de los particulares es información confidencial por referirse a su patrimonio. A través de dicho número, el cliente puede acceder a la información relacionada con su patrimonio, contenida en las bases de datos de las instituciones bancarias y financieras, en donde se pueden realizar diversas transacciones como son movimientos y consulta de saldos. Por lo anterior, en los casos en que el acceso a documentos conlleve la revelación del número de cuenta bancaria de un particular, deberán elaborarse versiones públicas en las que deberá testarse dicho dato, por tratarse de información</w:t>
      </w:r>
      <w:r w:rsidRPr="00210DC4">
        <w:rPr>
          <w:rFonts w:ascii="Palatino Linotype" w:eastAsia="Times New Roman" w:hAnsi="Palatino Linotype" w:cs="Times New Roman"/>
          <w:b/>
          <w:i/>
          <w:lang w:val="es-ES"/>
        </w:rPr>
        <w:t>”</w:t>
      </w:r>
    </w:p>
    <w:p w:rsidR="008A0A86" w:rsidRPr="00210DC4" w:rsidRDefault="008A0A86" w:rsidP="00914903">
      <w:pPr>
        <w:autoSpaceDE w:val="0"/>
        <w:autoSpaceDN w:val="0"/>
        <w:adjustRightInd w:val="0"/>
        <w:spacing w:after="0" w:line="240" w:lineRule="auto"/>
        <w:ind w:left="851" w:right="902"/>
        <w:jc w:val="center"/>
        <w:rPr>
          <w:rFonts w:ascii="Palatino Linotype" w:eastAsia="Times New Roman" w:hAnsi="Palatino Linotype" w:cs="Times New Roman"/>
          <w:b/>
          <w:i/>
          <w:lang w:val="es-ES"/>
        </w:rPr>
      </w:pPr>
      <w:r w:rsidRPr="00210DC4">
        <w:rPr>
          <w:rFonts w:ascii="Palatino Linotype" w:eastAsia="Times New Roman" w:hAnsi="Palatino Linotype" w:cs="Times New Roman"/>
          <w:b/>
          <w:i/>
          <w:lang w:val="es-ES"/>
        </w:rPr>
        <w:t>“Criterio 11/2017</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500062">
        <w:rPr>
          <w:rFonts w:ascii="Palatino Linotype" w:eastAsia="Times New Roman" w:hAnsi="Palatino Linotype" w:cs="Times New Roman"/>
          <w:b/>
          <w:i/>
          <w:lang w:val="es-ES"/>
        </w:rPr>
        <w:t>Cuentas bancarias y/o CLABE interbancaria de sujetos obligados que reciben y/o transfieren recursos públicos, son información pública.</w:t>
      </w:r>
      <w:r w:rsidRPr="00210DC4">
        <w:rPr>
          <w:rFonts w:ascii="Palatino Linotype" w:eastAsia="Times New Roman" w:hAnsi="Palatino Linotype" w:cs="Times New Roman"/>
          <w:i/>
          <w:lang w:val="es-ES"/>
        </w:rPr>
        <w:t xml:space="preserve"> La </w:t>
      </w:r>
      <w:r w:rsidRPr="00210DC4">
        <w:rPr>
          <w:rFonts w:ascii="Palatino Linotype" w:eastAsia="Times New Roman" w:hAnsi="Palatino Linotype" w:cs="Times New Roman"/>
          <w:i/>
          <w:lang w:val="es-ES"/>
        </w:rPr>
        <w:lastRenderedPageBreak/>
        <w:t>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i/>
          <w:lang w:val="es-ES"/>
        </w:rPr>
        <w:t>Resoluciones:</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i/>
          <w:lang w:val="es-ES"/>
        </w:rPr>
        <w:t> RRA 0448/16. NOTIMEX, Agencia de Noticias del Estado Mexicano. 24 de agosto de 2016. Por unanimidad. Comisionado Ponente Joel Salas Suárez.</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i/>
          <w:lang w:val="es-ES"/>
        </w:rPr>
        <w:t> RRA 2787/16. Colegio de Postgraduados. 01 de noviembre de 2016. Por unanimidad. Comisionado Ponente Francisco Javier Acuña Llamas.</w:t>
      </w:r>
    </w:p>
    <w:p w:rsidR="008A0A86" w:rsidRPr="00210DC4" w:rsidRDefault="008A0A86" w:rsidP="00914903">
      <w:pPr>
        <w:autoSpaceDE w:val="0"/>
        <w:autoSpaceDN w:val="0"/>
        <w:adjustRightInd w:val="0"/>
        <w:spacing w:after="0" w:line="240" w:lineRule="auto"/>
        <w:ind w:left="851" w:right="902"/>
        <w:jc w:val="both"/>
        <w:rPr>
          <w:rFonts w:ascii="Palatino Linotype" w:eastAsia="Times New Roman" w:hAnsi="Palatino Linotype" w:cs="Times New Roman"/>
          <w:i/>
          <w:lang w:val="es-ES"/>
        </w:rPr>
      </w:pPr>
      <w:r w:rsidRPr="00210DC4">
        <w:rPr>
          <w:rFonts w:ascii="Palatino Linotype" w:eastAsia="Times New Roman" w:hAnsi="Palatino Linotype" w:cs="Times New Roman"/>
          <w:i/>
          <w:lang w:val="es-ES"/>
        </w:rPr>
        <w:t> RRA 4756/16. Instituto Mexicano del Seguro Social. 08 de febrero de 2017. Por unanimidad. Comisionado Ponente Oscar Mauricio Guerra Ford.”</w:t>
      </w:r>
    </w:p>
    <w:p w:rsidR="009A4347" w:rsidRPr="009A4347" w:rsidRDefault="009A4347" w:rsidP="00914903">
      <w:pPr>
        <w:spacing w:before="100" w:beforeAutospacing="1" w:after="100" w:afterAutospacing="1" w:line="360" w:lineRule="auto"/>
        <w:jc w:val="both"/>
        <w:rPr>
          <w:rFonts w:ascii="Palatino Linotype" w:hAnsi="Palatino Linotype" w:cs="Arial"/>
          <w:sz w:val="24"/>
          <w:szCs w:val="24"/>
        </w:rPr>
      </w:pPr>
      <w:r w:rsidRPr="00490A13">
        <w:rPr>
          <w:rFonts w:ascii="Palatino Linotype" w:hAnsi="Palatino Linotype" w:cs="Arial"/>
          <w:sz w:val="24"/>
          <w:szCs w:val="24"/>
        </w:rPr>
        <w:t xml:space="preserve">Es por lo anteriormente expuesto que, la </w:t>
      </w:r>
      <w:r w:rsidR="009A2098">
        <w:rPr>
          <w:rFonts w:ascii="Palatino Linotype" w:hAnsi="Palatino Linotype" w:cs="Arial"/>
          <w:sz w:val="24"/>
          <w:szCs w:val="24"/>
        </w:rPr>
        <w:t xml:space="preserve">que suscribe </w:t>
      </w:r>
      <w:r w:rsidRPr="00490A13">
        <w:rPr>
          <w:rFonts w:ascii="Palatino Linotype" w:hAnsi="Palatino Linotype" w:cs="Arial"/>
          <w:sz w:val="24"/>
          <w:szCs w:val="24"/>
        </w:rPr>
        <w:t xml:space="preserve">emite </w:t>
      </w:r>
      <w:r w:rsidRPr="00490A13">
        <w:rPr>
          <w:rFonts w:ascii="Palatino Linotype" w:hAnsi="Palatino Linotype" w:cs="Arial"/>
          <w:b/>
          <w:sz w:val="24"/>
          <w:szCs w:val="24"/>
        </w:rPr>
        <w:t>VOTO PARTICULAR</w:t>
      </w:r>
      <w:r w:rsidRPr="00490A13">
        <w:rPr>
          <w:rFonts w:ascii="Palatino Linotype" w:hAnsi="Palatino Linotype" w:cs="Arial"/>
          <w:sz w:val="24"/>
          <w:szCs w:val="24"/>
        </w:rPr>
        <w:t xml:space="preserve">, pues se insiste que </w:t>
      </w:r>
      <w:r>
        <w:rPr>
          <w:rFonts w:ascii="Palatino Linotype" w:hAnsi="Palatino Linotype" w:cs="Arial"/>
          <w:sz w:val="24"/>
          <w:szCs w:val="24"/>
        </w:rPr>
        <w:t xml:space="preserve">la </w:t>
      </w:r>
      <w:r w:rsidRPr="00D35B05">
        <w:rPr>
          <w:rFonts w:ascii="Palatino Linotype" w:hAnsi="Palatino Linotype" w:cs="Arial"/>
          <w:sz w:val="24"/>
          <w:szCs w:val="24"/>
        </w:rPr>
        <w:t xml:space="preserve">Ponencia </w:t>
      </w:r>
      <w:proofErr w:type="spellStart"/>
      <w:r w:rsidRPr="00D35B05">
        <w:rPr>
          <w:rFonts w:ascii="Palatino Linotype" w:hAnsi="Palatino Linotype" w:cs="Arial"/>
          <w:sz w:val="24"/>
          <w:szCs w:val="24"/>
        </w:rPr>
        <w:t>Resolutora</w:t>
      </w:r>
      <w:proofErr w:type="spellEnd"/>
      <w:r w:rsidRPr="00D35B05">
        <w:rPr>
          <w:rFonts w:ascii="Palatino Linotype" w:hAnsi="Palatino Linotype" w:cs="Arial"/>
          <w:sz w:val="24"/>
          <w:szCs w:val="24"/>
        </w:rPr>
        <w:t xml:space="preserve"> debió </w:t>
      </w:r>
      <w:r w:rsidR="00B50511">
        <w:rPr>
          <w:rFonts w:ascii="Palatino Linotype" w:hAnsi="Palatino Linotype" w:cs="Arial"/>
          <w:sz w:val="24"/>
          <w:szCs w:val="24"/>
        </w:rPr>
        <w:t xml:space="preserve">prever el </w:t>
      </w:r>
      <w:r w:rsidRPr="00D35B05">
        <w:rPr>
          <w:rFonts w:ascii="Palatino Linotype" w:hAnsi="Palatino Linotype"/>
          <w:sz w:val="24"/>
          <w:szCs w:val="24"/>
        </w:rPr>
        <w:t>ordenar la entreg</w:t>
      </w:r>
      <w:r>
        <w:rPr>
          <w:rFonts w:ascii="Palatino Linotype" w:hAnsi="Palatino Linotype"/>
          <w:sz w:val="24"/>
          <w:szCs w:val="24"/>
        </w:rPr>
        <w:t>a de la información solicitada en versió</w:t>
      </w:r>
      <w:r w:rsidR="00B50511">
        <w:rPr>
          <w:rFonts w:ascii="Palatino Linotype" w:hAnsi="Palatino Linotype"/>
          <w:sz w:val="24"/>
          <w:szCs w:val="24"/>
        </w:rPr>
        <w:t>n pública</w:t>
      </w:r>
      <w:r w:rsidR="00492E45">
        <w:rPr>
          <w:rFonts w:ascii="Palatino Linotype" w:hAnsi="Palatino Linotype"/>
          <w:sz w:val="24"/>
          <w:szCs w:val="24"/>
        </w:rPr>
        <w:t xml:space="preserve"> de ser procedente en el </w:t>
      </w:r>
      <w:r w:rsidR="008A0A86">
        <w:rPr>
          <w:rFonts w:ascii="Palatino Linotype" w:hAnsi="Palatino Linotype"/>
          <w:sz w:val="24"/>
          <w:szCs w:val="24"/>
        </w:rPr>
        <w:t xml:space="preserve">resolutivo segundo, numeral 1 </w:t>
      </w:r>
      <w:r w:rsidR="00B50511">
        <w:rPr>
          <w:rFonts w:ascii="Palatino Linotype" w:hAnsi="Palatino Linotype"/>
          <w:sz w:val="24"/>
          <w:szCs w:val="24"/>
        </w:rPr>
        <w:t>debidamente acompañada</w:t>
      </w:r>
      <w:r>
        <w:rPr>
          <w:rFonts w:ascii="Palatino Linotype" w:hAnsi="Palatino Linotype"/>
          <w:sz w:val="24"/>
          <w:szCs w:val="24"/>
        </w:rPr>
        <w:t xml:space="preserve"> del Acuerdo de Clasificación, </w:t>
      </w:r>
      <w:r w:rsidRPr="00D35B05">
        <w:rPr>
          <w:rFonts w:ascii="Palatino Linotype" w:hAnsi="Palatino Linotype"/>
          <w:sz w:val="24"/>
          <w:szCs w:val="24"/>
        </w:rPr>
        <w:t>ello en atención a los principios establecidos en el artíc</w:t>
      </w:r>
      <w:r>
        <w:rPr>
          <w:rFonts w:ascii="Palatino Linotype" w:hAnsi="Palatino Linotype"/>
          <w:sz w:val="24"/>
          <w:szCs w:val="24"/>
        </w:rPr>
        <w:t xml:space="preserve">ulo 9, fracciones I y </w:t>
      </w:r>
      <w:r w:rsidRPr="00D35B05">
        <w:rPr>
          <w:rFonts w:ascii="Palatino Linotype" w:hAnsi="Palatino Linotype"/>
          <w:sz w:val="24"/>
          <w:szCs w:val="24"/>
        </w:rPr>
        <w:t>VII de la Ley de Transparencia y Acceso a la Información Pública de</w:t>
      </w:r>
      <w:r w:rsidR="00E27DCA">
        <w:rPr>
          <w:rFonts w:ascii="Palatino Linotype" w:hAnsi="Palatino Linotype"/>
          <w:sz w:val="24"/>
          <w:szCs w:val="24"/>
        </w:rPr>
        <w:t xml:space="preserve">l </w:t>
      </w:r>
      <w:r>
        <w:rPr>
          <w:rFonts w:ascii="Palatino Linotype" w:hAnsi="Palatino Linotype"/>
          <w:sz w:val="24"/>
          <w:szCs w:val="24"/>
        </w:rPr>
        <w:t>Estado de México y Municipios.</w:t>
      </w:r>
    </w:p>
    <w:tbl>
      <w:tblPr>
        <w:tblW w:w="4393" w:type="dxa"/>
        <w:jc w:val="center"/>
        <w:tblLayout w:type="fixed"/>
        <w:tblLook w:val="04A0" w:firstRow="1" w:lastRow="0" w:firstColumn="1" w:lastColumn="0" w:noHBand="0" w:noVBand="1"/>
      </w:tblPr>
      <w:tblGrid>
        <w:gridCol w:w="4393"/>
      </w:tblGrid>
      <w:tr w:rsidR="00FB31F9" w:rsidRPr="009F71D8" w:rsidTr="004D0FA6">
        <w:trPr>
          <w:jc w:val="center"/>
        </w:trPr>
        <w:tc>
          <w:tcPr>
            <w:tcW w:w="4393" w:type="dxa"/>
          </w:tcPr>
          <w:p w:rsidR="00914903" w:rsidRDefault="00914903" w:rsidP="00914903">
            <w:pPr>
              <w:spacing w:after="0" w:line="240" w:lineRule="auto"/>
              <w:ind w:right="51"/>
              <w:jc w:val="center"/>
              <w:rPr>
                <w:rFonts w:ascii="Palatino Linotype" w:hAnsi="Palatino Linotype"/>
                <w:b/>
                <w:sz w:val="24"/>
                <w:szCs w:val="24"/>
              </w:rPr>
            </w:pPr>
          </w:p>
          <w:p w:rsidR="00914903" w:rsidRDefault="00914903" w:rsidP="00914903">
            <w:pPr>
              <w:spacing w:after="0" w:line="240" w:lineRule="auto"/>
              <w:ind w:right="51"/>
              <w:jc w:val="center"/>
              <w:rPr>
                <w:rFonts w:ascii="Palatino Linotype" w:hAnsi="Palatino Linotype"/>
                <w:b/>
                <w:sz w:val="24"/>
                <w:szCs w:val="24"/>
              </w:rPr>
            </w:pPr>
          </w:p>
          <w:p w:rsidR="00C51D57" w:rsidRDefault="00C51D57" w:rsidP="00914903">
            <w:pPr>
              <w:spacing w:after="0" w:line="240" w:lineRule="auto"/>
              <w:ind w:right="51"/>
              <w:jc w:val="center"/>
              <w:rPr>
                <w:rFonts w:ascii="Palatino Linotype" w:hAnsi="Palatino Linotype"/>
                <w:b/>
                <w:sz w:val="24"/>
                <w:szCs w:val="24"/>
              </w:rPr>
            </w:pPr>
          </w:p>
          <w:p w:rsidR="00C51D57" w:rsidRDefault="00C51D57" w:rsidP="00914903">
            <w:pPr>
              <w:spacing w:after="0" w:line="240" w:lineRule="auto"/>
              <w:ind w:right="51"/>
              <w:jc w:val="center"/>
              <w:rPr>
                <w:rFonts w:ascii="Palatino Linotype" w:hAnsi="Palatino Linotype"/>
                <w:b/>
                <w:sz w:val="24"/>
                <w:szCs w:val="24"/>
              </w:rPr>
            </w:pPr>
          </w:p>
          <w:p w:rsidR="00914903" w:rsidRDefault="00914903" w:rsidP="00914903">
            <w:pPr>
              <w:spacing w:after="0" w:line="240" w:lineRule="auto"/>
              <w:ind w:right="51"/>
              <w:jc w:val="center"/>
              <w:rPr>
                <w:rFonts w:ascii="Palatino Linotype" w:hAnsi="Palatino Linotype"/>
                <w:b/>
                <w:sz w:val="24"/>
                <w:szCs w:val="24"/>
              </w:rPr>
            </w:pPr>
            <w:bookmarkStart w:id="0" w:name="_GoBack"/>
            <w:bookmarkEnd w:id="0"/>
          </w:p>
          <w:p w:rsidR="00FB31F9" w:rsidRPr="009F71D8" w:rsidRDefault="00FB31F9" w:rsidP="00914903">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B05587" w:rsidRDefault="00FB31F9" w:rsidP="00C51D57">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2F4F3F" w:rsidRPr="009F71D8" w:rsidRDefault="002F4F3F" w:rsidP="002F4F3F">
            <w:pPr>
              <w:jc w:val="center"/>
              <w:rPr>
                <w:rFonts w:ascii="Palatino Linotype" w:hAnsi="Palatino Linotype"/>
                <w:b/>
                <w:sz w:val="24"/>
                <w:szCs w:val="24"/>
              </w:rPr>
            </w:pPr>
            <w:r>
              <w:rPr>
                <w:rFonts w:ascii="Palatino Linotype" w:hAnsi="Palatino Linotype" w:cs="Arial"/>
                <w:b/>
              </w:rPr>
              <w:t>(RÚBRICA)</w:t>
            </w:r>
          </w:p>
        </w:tc>
      </w:tr>
    </w:tbl>
    <w:p w:rsidR="00914903" w:rsidRDefault="00914903" w:rsidP="00914903">
      <w:pPr>
        <w:widowControl w:val="0"/>
        <w:spacing w:after="0" w:line="240" w:lineRule="auto"/>
        <w:ind w:right="51"/>
        <w:jc w:val="both"/>
        <w:rPr>
          <w:rFonts w:ascii="Palatino Linotype" w:eastAsia="Calibri" w:hAnsi="Palatino Linotype" w:cs="Arial"/>
          <w:color w:val="000000" w:themeColor="text1"/>
          <w:sz w:val="20"/>
          <w:szCs w:val="18"/>
        </w:rPr>
      </w:pPr>
    </w:p>
    <w:p w:rsidR="00FB31F9" w:rsidRDefault="00FB31F9" w:rsidP="00914903">
      <w:pPr>
        <w:widowControl w:val="0"/>
        <w:spacing w:after="0" w:line="240" w:lineRule="auto"/>
        <w:ind w:right="51"/>
        <w:jc w:val="both"/>
        <w:rPr>
          <w:rFonts w:ascii="Palatino Linotype" w:hAnsi="Palatino Linotype" w:cs="Arial"/>
          <w:bCs/>
          <w:sz w:val="20"/>
          <w:szCs w:val="18"/>
        </w:rPr>
      </w:pPr>
      <w:r w:rsidRPr="00AB7235">
        <w:rPr>
          <w:rFonts w:ascii="Palatino Linotype" w:eastAsia="Calibri" w:hAnsi="Palatino Linotype" w:cs="Arial"/>
          <w:color w:val="000000" w:themeColor="text1"/>
          <w:sz w:val="20"/>
          <w:szCs w:val="18"/>
        </w:rPr>
        <w:t>Esta hoja corresponde al voto particular emitido en la resolución de</w:t>
      </w:r>
      <w:r w:rsidR="00914903">
        <w:rPr>
          <w:rFonts w:ascii="Palatino Linotype" w:eastAsia="Calibri" w:hAnsi="Palatino Linotype" w:cs="Arial"/>
          <w:color w:val="000000" w:themeColor="text1"/>
          <w:sz w:val="20"/>
          <w:szCs w:val="18"/>
        </w:rPr>
        <w:t xml:space="preserve"> </w:t>
      </w:r>
      <w:r w:rsidRPr="00AB7235">
        <w:rPr>
          <w:rFonts w:ascii="Palatino Linotype" w:eastAsia="Calibri" w:hAnsi="Palatino Linotype" w:cs="Arial"/>
          <w:color w:val="000000" w:themeColor="text1"/>
          <w:sz w:val="20"/>
          <w:szCs w:val="18"/>
        </w:rPr>
        <w:t>l</w:t>
      </w:r>
      <w:r w:rsidR="00914903">
        <w:rPr>
          <w:rFonts w:ascii="Palatino Linotype" w:eastAsia="Calibri" w:hAnsi="Palatino Linotype" w:cs="Arial"/>
          <w:color w:val="000000" w:themeColor="text1"/>
          <w:sz w:val="20"/>
          <w:szCs w:val="18"/>
        </w:rPr>
        <w:t>os</w:t>
      </w:r>
      <w:r w:rsidRPr="00AB7235">
        <w:rPr>
          <w:rFonts w:ascii="Palatino Linotype" w:eastAsia="Calibri" w:hAnsi="Palatino Linotype" w:cs="Arial"/>
          <w:color w:val="000000" w:themeColor="text1"/>
          <w:sz w:val="20"/>
          <w:szCs w:val="18"/>
        </w:rPr>
        <w:t xml:space="preserve"> recurso</w:t>
      </w:r>
      <w:r w:rsidR="00914903">
        <w:rPr>
          <w:rFonts w:ascii="Palatino Linotype" w:eastAsia="Calibri" w:hAnsi="Palatino Linotype" w:cs="Arial"/>
          <w:color w:val="000000" w:themeColor="text1"/>
          <w:sz w:val="20"/>
          <w:szCs w:val="18"/>
        </w:rPr>
        <w:t>s</w:t>
      </w:r>
      <w:r w:rsidRPr="00AB7235">
        <w:rPr>
          <w:rFonts w:ascii="Palatino Linotype" w:eastAsia="Calibri" w:hAnsi="Palatino Linotype" w:cs="Arial"/>
          <w:color w:val="000000" w:themeColor="text1"/>
          <w:sz w:val="20"/>
          <w:szCs w:val="18"/>
        </w:rPr>
        <w:t xml:space="preserve"> de revisión </w:t>
      </w:r>
      <w:r w:rsidR="00914903">
        <w:rPr>
          <w:rFonts w:ascii="Palatino Linotype" w:hAnsi="Palatino Linotype" w:cs="Arial"/>
          <w:bCs/>
          <w:sz w:val="20"/>
          <w:szCs w:val="18"/>
        </w:rPr>
        <w:t>07850</w:t>
      </w:r>
      <w:r w:rsidRPr="00AB7235">
        <w:rPr>
          <w:rFonts w:ascii="Palatino Linotype" w:hAnsi="Palatino Linotype" w:cs="Arial"/>
          <w:bCs/>
          <w:sz w:val="20"/>
          <w:szCs w:val="18"/>
        </w:rPr>
        <w:t>/INFOEM/IP/RR/201</w:t>
      </w:r>
      <w:r w:rsidR="00AB7235">
        <w:rPr>
          <w:rFonts w:ascii="Palatino Linotype" w:hAnsi="Palatino Linotype" w:cs="Arial"/>
          <w:bCs/>
          <w:sz w:val="20"/>
          <w:szCs w:val="18"/>
        </w:rPr>
        <w:t>9</w:t>
      </w:r>
      <w:r w:rsidR="00914903">
        <w:rPr>
          <w:rFonts w:ascii="Palatino Linotype" w:hAnsi="Palatino Linotype" w:cs="Arial"/>
          <w:bCs/>
          <w:sz w:val="20"/>
          <w:szCs w:val="18"/>
        </w:rPr>
        <w:t xml:space="preserve"> y acumulados</w:t>
      </w:r>
      <w:r w:rsidRPr="00AB7235">
        <w:rPr>
          <w:rFonts w:ascii="Palatino Linotype" w:hAnsi="Palatino Linotype" w:cs="Arial"/>
          <w:bCs/>
          <w:sz w:val="20"/>
          <w:szCs w:val="18"/>
        </w:rPr>
        <w:t>,</w:t>
      </w:r>
      <w:r w:rsidRPr="00AB7235">
        <w:rPr>
          <w:rFonts w:ascii="Palatino Linotype" w:hAnsi="Palatino Linotype" w:cs="Arial"/>
          <w:b/>
          <w:bCs/>
          <w:sz w:val="20"/>
          <w:szCs w:val="18"/>
        </w:rPr>
        <w:t xml:space="preserve"> </w:t>
      </w:r>
      <w:r w:rsidRPr="00AB7235">
        <w:rPr>
          <w:rFonts w:ascii="Palatino Linotype" w:hAnsi="Palatino Linotype" w:cs="Arial"/>
          <w:bCs/>
          <w:sz w:val="20"/>
          <w:szCs w:val="18"/>
        </w:rPr>
        <w:t>aprobad</w:t>
      </w:r>
      <w:r w:rsidR="00AB7235">
        <w:rPr>
          <w:rFonts w:ascii="Palatino Linotype" w:hAnsi="Palatino Linotype" w:cs="Arial"/>
          <w:bCs/>
          <w:sz w:val="20"/>
          <w:szCs w:val="18"/>
        </w:rPr>
        <w:t>a</w:t>
      </w:r>
      <w:r w:rsidRPr="00AB7235">
        <w:rPr>
          <w:rFonts w:ascii="Palatino Linotype" w:hAnsi="Palatino Linotype" w:cs="Arial"/>
          <w:bCs/>
          <w:sz w:val="20"/>
          <w:szCs w:val="18"/>
        </w:rPr>
        <w:t xml:space="preserve"> el </w:t>
      </w:r>
      <w:r w:rsidR="00914903">
        <w:rPr>
          <w:rFonts w:ascii="Palatino Linotype" w:hAnsi="Palatino Linotype" w:cs="Arial"/>
          <w:bCs/>
          <w:sz w:val="20"/>
          <w:szCs w:val="18"/>
        </w:rPr>
        <w:t>once</w:t>
      </w:r>
      <w:r w:rsidR="009A4347">
        <w:rPr>
          <w:rFonts w:ascii="Palatino Linotype" w:hAnsi="Palatino Linotype" w:cs="Arial"/>
          <w:bCs/>
          <w:sz w:val="20"/>
          <w:szCs w:val="18"/>
        </w:rPr>
        <w:t xml:space="preserve"> </w:t>
      </w:r>
      <w:r w:rsidR="003A2F6D" w:rsidRPr="00AB7235">
        <w:rPr>
          <w:rFonts w:ascii="Palatino Linotype" w:hAnsi="Palatino Linotype" w:cs="Arial"/>
          <w:bCs/>
          <w:sz w:val="20"/>
          <w:szCs w:val="18"/>
        </w:rPr>
        <w:t xml:space="preserve">de </w:t>
      </w:r>
      <w:r w:rsidR="00914903">
        <w:rPr>
          <w:rFonts w:ascii="Palatino Linotype" w:hAnsi="Palatino Linotype" w:cs="Arial"/>
          <w:bCs/>
          <w:sz w:val="20"/>
          <w:szCs w:val="18"/>
        </w:rPr>
        <w:t xml:space="preserve">diciembre </w:t>
      </w:r>
      <w:r w:rsidR="003A2F6D" w:rsidRPr="00AB7235">
        <w:rPr>
          <w:rFonts w:ascii="Palatino Linotype" w:hAnsi="Palatino Linotype" w:cs="Arial"/>
          <w:bCs/>
          <w:sz w:val="20"/>
          <w:szCs w:val="18"/>
        </w:rPr>
        <w:t xml:space="preserve">de </w:t>
      </w:r>
      <w:r w:rsidRPr="00AB7235">
        <w:rPr>
          <w:rFonts w:ascii="Palatino Linotype" w:hAnsi="Palatino Linotype" w:cs="Arial"/>
          <w:bCs/>
          <w:sz w:val="20"/>
          <w:szCs w:val="18"/>
        </w:rPr>
        <w:t>dos mil diecinueve.</w:t>
      </w:r>
    </w:p>
    <w:p w:rsidR="00AB7235" w:rsidRPr="00AB7235" w:rsidRDefault="00AB7235" w:rsidP="00914903">
      <w:pPr>
        <w:widowControl w:val="0"/>
        <w:spacing w:after="0" w:line="240" w:lineRule="auto"/>
        <w:ind w:right="51"/>
        <w:jc w:val="both"/>
        <w:rPr>
          <w:rFonts w:ascii="Palatino Linotype" w:hAnsi="Palatino Linotype" w:cs="Arial"/>
          <w:sz w:val="8"/>
          <w:szCs w:val="8"/>
        </w:rPr>
      </w:pPr>
    </w:p>
    <w:p w:rsidR="00C23B43" w:rsidRDefault="002D3C61" w:rsidP="00914903">
      <w:pPr>
        <w:spacing w:after="0" w:line="240" w:lineRule="auto"/>
        <w:ind w:right="51"/>
        <w:jc w:val="both"/>
      </w:pPr>
      <w:r>
        <w:rPr>
          <w:rFonts w:ascii="Palatino Linotype" w:eastAsia="Calibri" w:hAnsi="Palatino Linotype" w:cs="Arial"/>
          <w:color w:val="000000" w:themeColor="text1"/>
          <w:sz w:val="20"/>
          <w:szCs w:val="18"/>
        </w:rPr>
        <w:t>YSM</w:t>
      </w:r>
      <w:r w:rsidR="00D616D7">
        <w:rPr>
          <w:rFonts w:ascii="Palatino Linotype" w:eastAsia="Calibri" w:hAnsi="Palatino Linotype" w:cs="Arial"/>
          <w:color w:val="000000" w:themeColor="text1"/>
          <w:sz w:val="20"/>
          <w:szCs w:val="18"/>
        </w:rPr>
        <w:t>/IAHA</w:t>
      </w:r>
    </w:p>
    <w:sectPr w:rsidR="00C23B43"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8C8" w:rsidRDefault="005908C8" w:rsidP="00FB31F9">
      <w:pPr>
        <w:spacing w:after="0" w:line="240" w:lineRule="auto"/>
      </w:pPr>
      <w:r>
        <w:separator/>
      </w:r>
    </w:p>
  </w:endnote>
  <w:endnote w:type="continuationSeparator" w:id="0">
    <w:p w:rsidR="005908C8" w:rsidRDefault="005908C8" w:rsidP="00FB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F4F3F" w:rsidP="00DC5C4E">
    <w:pPr>
      <w:pStyle w:val="Piedepgina"/>
      <w:tabs>
        <w:tab w:val="clear" w:pos="4252"/>
        <w:tab w:val="left" w:pos="4228"/>
      </w:tabs>
      <w:rPr>
        <w:rFonts w:ascii="Palatino Linotype" w:hAnsi="Palatino Linotype" w:cs="Arial"/>
        <w:b/>
        <w:bCs/>
        <w:sz w:val="20"/>
        <w:szCs w:val="20"/>
      </w:rPr>
    </w:pPr>
  </w:p>
  <w:p w:rsidR="005C7C8F" w:rsidRDefault="002F4F3F" w:rsidP="00DC5C4E">
    <w:pPr>
      <w:pStyle w:val="Piedepgina"/>
      <w:tabs>
        <w:tab w:val="clear" w:pos="4252"/>
        <w:tab w:val="left" w:pos="4228"/>
      </w:tabs>
      <w:rPr>
        <w:rFonts w:ascii="Palatino Linotype" w:hAnsi="Palatino Linotype" w:cs="Arial"/>
        <w:b/>
        <w:bCs/>
        <w:sz w:val="20"/>
        <w:szCs w:val="20"/>
      </w:rPr>
    </w:pPr>
  </w:p>
  <w:p w:rsidR="005C7C8F" w:rsidRDefault="002F4F3F" w:rsidP="00DC5C4E">
    <w:pPr>
      <w:pStyle w:val="Piedepgina"/>
      <w:tabs>
        <w:tab w:val="clear" w:pos="4252"/>
        <w:tab w:val="left" w:pos="4228"/>
      </w:tabs>
      <w:rPr>
        <w:rFonts w:ascii="Palatino Linotype" w:hAnsi="Palatino Linotype" w:cs="Arial"/>
        <w:b/>
        <w:bCs/>
        <w:sz w:val="20"/>
        <w:szCs w:val="20"/>
      </w:rPr>
    </w:pPr>
  </w:p>
  <w:p w:rsidR="005C7C8F" w:rsidRDefault="002F4F3F" w:rsidP="00DC5C4E">
    <w:pPr>
      <w:pStyle w:val="Piedepgina"/>
      <w:rPr>
        <w:rFonts w:ascii="Palatino Linotype" w:hAnsi="Palatino Linotype" w:cs="Arial"/>
        <w:b/>
        <w:bCs/>
        <w:sz w:val="20"/>
        <w:szCs w:val="20"/>
      </w:rPr>
    </w:pPr>
  </w:p>
  <w:p w:rsidR="005C7C8F" w:rsidRPr="00F12350" w:rsidRDefault="003325D9"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F4F3F">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F4F3F">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5C7C8F" w:rsidRDefault="002F4F3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8C8" w:rsidRDefault="005908C8" w:rsidP="00FB31F9">
      <w:pPr>
        <w:spacing w:after="0" w:line="240" w:lineRule="auto"/>
      </w:pPr>
      <w:r>
        <w:separator/>
      </w:r>
    </w:p>
  </w:footnote>
  <w:footnote w:type="continuationSeparator" w:id="0">
    <w:p w:rsidR="005908C8" w:rsidRDefault="005908C8" w:rsidP="00FB3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F4F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325D9"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2A3CB807" wp14:editId="766CB8D6">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2F4F3F"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C017AD"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C017AD" w:rsidP="00DC5C4E">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Pr>
        <w:rFonts w:ascii="Palatino Linotype" w:hAnsi="Palatino Linotype" w:cs="Arial"/>
        <w:sz w:val="20"/>
        <w:szCs w:val="20"/>
      </w:rPr>
      <w:t>7850</w:t>
    </w:r>
    <w:r w:rsidRPr="00A91250">
      <w:rPr>
        <w:rFonts w:ascii="Palatino Linotype" w:hAnsi="Palatino Linotype" w:cs="Arial"/>
        <w:sz w:val="20"/>
        <w:szCs w:val="20"/>
      </w:rPr>
      <w:t>/INFOEM/IP/RR/201</w:t>
    </w:r>
    <w:r>
      <w:rPr>
        <w:rFonts w:ascii="Palatino Linotype" w:hAnsi="Palatino Linotype" w:cs="Arial"/>
        <w:sz w:val="20"/>
        <w:szCs w:val="20"/>
      </w:rPr>
      <w:t>9 Y</w:t>
    </w:r>
  </w:p>
  <w:p w:rsidR="00A91250" w:rsidRDefault="003325D9"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00C017AD">
      <w:rPr>
        <w:rFonts w:ascii="Palatino Linotype" w:hAnsi="Palatino Linotype" w:cs="Arial"/>
        <w:sz w:val="20"/>
        <w:szCs w:val="20"/>
      </w:rPr>
      <w:t xml:space="preserve">ACUMULADOS </w:t>
    </w:r>
  </w:p>
  <w:p w:rsidR="00D406EF" w:rsidRDefault="002F4F3F"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62.2pt;height:93.4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F4F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91F58"/>
    <w:multiLevelType w:val="hybridMultilevel"/>
    <w:tmpl w:val="309AF47C"/>
    <w:lvl w:ilvl="0" w:tplc="C7BCFDF2">
      <w:start w:val="1"/>
      <w:numFmt w:val="lowerLetter"/>
      <w:lvlText w:val="%1)"/>
      <w:lvlJc w:val="left"/>
      <w:pPr>
        <w:ind w:left="1003"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55BE8"/>
    <w:multiLevelType w:val="hybridMultilevel"/>
    <w:tmpl w:val="8B92E006"/>
    <w:lvl w:ilvl="0" w:tplc="15AA9542">
      <w:numFmt w:val="bullet"/>
      <w:lvlText w:val=""/>
      <w:lvlJc w:val="left"/>
      <w:pPr>
        <w:ind w:left="927" w:hanging="360"/>
      </w:pPr>
      <w:rPr>
        <w:rFonts w:ascii="Symbol" w:eastAsia="Times New Roman" w:hAnsi="Symbol"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15:restartNumberingAfterBreak="0">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E8637C"/>
    <w:multiLevelType w:val="hybridMultilevel"/>
    <w:tmpl w:val="734CA9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A5D163F"/>
    <w:multiLevelType w:val="hybridMultilevel"/>
    <w:tmpl w:val="1A161578"/>
    <w:lvl w:ilvl="0" w:tplc="A48041D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416F0C"/>
    <w:multiLevelType w:val="hybridMultilevel"/>
    <w:tmpl w:val="050A91CE"/>
    <w:lvl w:ilvl="0" w:tplc="A5AE7B06">
      <w:start w:val="1"/>
      <w:numFmt w:val="lowerLetter"/>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F9"/>
    <w:rsid w:val="00061836"/>
    <w:rsid w:val="000A0941"/>
    <w:rsid w:val="000B5D65"/>
    <w:rsid w:val="000C20BE"/>
    <w:rsid w:val="000F3975"/>
    <w:rsid w:val="00113725"/>
    <w:rsid w:val="001763C8"/>
    <w:rsid w:val="00190C0F"/>
    <w:rsid w:val="001A4D2A"/>
    <w:rsid w:val="001C78C5"/>
    <w:rsid w:val="001D69E8"/>
    <w:rsid w:val="001E2BEE"/>
    <w:rsid w:val="002009E0"/>
    <w:rsid w:val="00242562"/>
    <w:rsid w:val="00276DD0"/>
    <w:rsid w:val="002C4438"/>
    <w:rsid w:val="002D3C61"/>
    <w:rsid w:val="002D4676"/>
    <w:rsid w:val="002F4F3F"/>
    <w:rsid w:val="003325D9"/>
    <w:rsid w:val="003656F6"/>
    <w:rsid w:val="00372B1F"/>
    <w:rsid w:val="003960AC"/>
    <w:rsid w:val="003A2F6D"/>
    <w:rsid w:val="004900F7"/>
    <w:rsid w:val="00492E45"/>
    <w:rsid w:val="004A4D5A"/>
    <w:rsid w:val="004F71E6"/>
    <w:rsid w:val="00572265"/>
    <w:rsid w:val="00574A90"/>
    <w:rsid w:val="005908C8"/>
    <w:rsid w:val="0059466A"/>
    <w:rsid w:val="005B0931"/>
    <w:rsid w:val="0063578B"/>
    <w:rsid w:val="0065705D"/>
    <w:rsid w:val="00685A9F"/>
    <w:rsid w:val="007055FB"/>
    <w:rsid w:val="0073105F"/>
    <w:rsid w:val="00765519"/>
    <w:rsid w:val="007D2EFA"/>
    <w:rsid w:val="007D78B8"/>
    <w:rsid w:val="008146B6"/>
    <w:rsid w:val="00872FEB"/>
    <w:rsid w:val="008A0A86"/>
    <w:rsid w:val="008B57C0"/>
    <w:rsid w:val="00913EB4"/>
    <w:rsid w:val="00914903"/>
    <w:rsid w:val="00915D25"/>
    <w:rsid w:val="00932DE9"/>
    <w:rsid w:val="00983B51"/>
    <w:rsid w:val="009A2098"/>
    <w:rsid w:val="009A4347"/>
    <w:rsid w:val="009B2B5B"/>
    <w:rsid w:val="00A33367"/>
    <w:rsid w:val="00A70FCA"/>
    <w:rsid w:val="00AA33BD"/>
    <w:rsid w:val="00AB3517"/>
    <w:rsid w:val="00AB7235"/>
    <w:rsid w:val="00AD6B48"/>
    <w:rsid w:val="00B02247"/>
    <w:rsid w:val="00B0448E"/>
    <w:rsid w:val="00B05587"/>
    <w:rsid w:val="00B10E9C"/>
    <w:rsid w:val="00B1413B"/>
    <w:rsid w:val="00B1543A"/>
    <w:rsid w:val="00B50511"/>
    <w:rsid w:val="00B65137"/>
    <w:rsid w:val="00B75F93"/>
    <w:rsid w:val="00B96FAA"/>
    <w:rsid w:val="00C017AD"/>
    <w:rsid w:val="00C1582E"/>
    <w:rsid w:val="00C23B43"/>
    <w:rsid w:val="00C51D57"/>
    <w:rsid w:val="00C85521"/>
    <w:rsid w:val="00C87AFC"/>
    <w:rsid w:val="00C9714C"/>
    <w:rsid w:val="00CD70CA"/>
    <w:rsid w:val="00D35B05"/>
    <w:rsid w:val="00D37B6E"/>
    <w:rsid w:val="00D37DD4"/>
    <w:rsid w:val="00D50289"/>
    <w:rsid w:val="00D616D7"/>
    <w:rsid w:val="00D9654D"/>
    <w:rsid w:val="00DB60D8"/>
    <w:rsid w:val="00DF23F1"/>
    <w:rsid w:val="00E04921"/>
    <w:rsid w:val="00E27DCA"/>
    <w:rsid w:val="00E30CE2"/>
    <w:rsid w:val="00E32AD7"/>
    <w:rsid w:val="00E60FEE"/>
    <w:rsid w:val="00E950A9"/>
    <w:rsid w:val="00E9547C"/>
    <w:rsid w:val="00EB5616"/>
    <w:rsid w:val="00EF7432"/>
    <w:rsid w:val="00F21E44"/>
    <w:rsid w:val="00F60630"/>
    <w:rsid w:val="00F81F2A"/>
    <w:rsid w:val="00F82F77"/>
    <w:rsid w:val="00F904AB"/>
    <w:rsid w:val="00FB0F9E"/>
    <w:rsid w:val="00FB31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7B591C9-FAB8-440C-A1E7-521345BD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1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31F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B31F9"/>
    <w:rPr>
      <w:rFonts w:eastAsiaTheme="minorEastAsia"/>
      <w:sz w:val="24"/>
      <w:szCs w:val="24"/>
      <w:lang w:val="es-ES_tradnl" w:eastAsia="es-ES"/>
    </w:rPr>
  </w:style>
  <w:style w:type="paragraph" w:styleId="Piedepgina">
    <w:name w:val="footer"/>
    <w:basedOn w:val="Normal"/>
    <w:link w:val="PiedepginaCar"/>
    <w:uiPriority w:val="99"/>
    <w:unhideWhenUsed/>
    <w:rsid w:val="00FB31F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B31F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B31F9"/>
    <w:pPr>
      <w:spacing w:after="200" w:line="276"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B31F9"/>
  </w:style>
  <w:style w:type="paragraph" w:styleId="Sinespaciado">
    <w:name w:val="No Spacing"/>
    <w:aliases w:val="Francesa"/>
    <w:link w:val="SinespaciadoCar"/>
    <w:uiPriority w:val="1"/>
    <w:qFormat/>
    <w:rsid w:val="00FB31F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B31F9"/>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35B05"/>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35B05"/>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5B05"/>
    <w:rPr>
      <w:vertAlign w:val="superscript"/>
    </w:rPr>
  </w:style>
  <w:style w:type="paragraph" w:styleId="Textodeglobo">
    <w:name w:val="Balloon Text"/>
    <w:basedOn w:val="Normal"/>
    <w:link w:val="TextodegloboCar"/>
    <w:uiPriority w:val="99"/>
    <w:semiHidden/>
    <w:unhideWhenUsed/>
    <w:rsid w:val="003A2F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F6D"/>
    <w:rPr>
      <w:rFonts w:ascii="Segoe UI" w:hAnsi="Segoe UI" w:cs="Segoe UI"/>
      <w:sz w:val="18"/>
      <w:szCs w:val="18"/>
    </w:rPr>
  </w:style>
  <w:style w:type="character" w:styleId="Hipervnculo">
    <w:name w:val="Hyperlink"/>
    <w:basedOn w:val="Fuentedeprrafopredeter"/>
    <w:uiPriority w:val="99"/>
    <w:unhideWhenUsed/>
    <w:rsid w:val="001A4D2A"/>
    <w:rPr>
      <w:color w:val="0563C1" w:themeColor="hyperlink"/>
      <w:u w:val="single"/>
    </w:rPr>
  </w:style>
  <w:style w:type="table" w:styleId="Tablaconcuadrcula">
    <w:name w:val="Table Grid"/>
    <w:basedOn w:val="Tablanormal"/>
    <w:uiPriority w:val="39"/>
    <w:rsid w:val="00C0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550596">
      <w:bodyDiv w:val="1"/>
      <w:marLeft w:val="0"/>
      <w:marRight w:val="0"/>
      <w:marTop w:val="0"/>
      <w:marBottom w:val="0"/>
      <w:divBdr>
        <w:top w:val="none" w:sz="0" w:space="0" w:color="auto"/>
        <w:left w:val="none" w:sz="0" w:space="0" w:color="auto"/>
        <w:bottom w:val="none" w:sz="0" w:space="0" w:color="auto"/>
        <w:right w:val="none" w:sz="0" w:space="0" w:color="auto"/>
      </w:divBdr>
    </w:div>
    <w:div w:id="1368095026">
      <w:bodyDiv w:val="1"/>
      <w:marLeft w:val="0"/>
      <w:marRight w:val="0"/>
      <w:marTop w:val="0"/>
      <w:marBottom w:val="0"/>
      <w:divBdr>
        <w:top w:val="none" w:sz="0" w:space="0" w:color="auto"/>
        <w:left w:val="none" w:sz="0" w:space="0" w:color="auto"/>
        <w:bottom w:val="none" w:sz="0" w:space="0" w:color="auto"/>
        <w:right w:val="none" w:sz="0" w:space="0" w:color="auto"/>
      </w:divBdr>
    </w:div>
    <w:div w:id="1453549682">
      <w:bodyDiv w:val="1"/>
      <w:marLeft w:val="0"/>
      <w:marRight w:val="0"/>
      <w:marTop w:val="0"/>
      <w:marBottom w:val="0"/>
      <w:divBdr>
        <w:top w:val="none" w:sz="0" w:space="0" w:color="auto"/>
        <w:left w:val="none" w:sz="0" w:space="0" w:color="auto"/>
        <w:bottom w:val="none" w:sz="0" w:space="0" w:color="auto"/>
        <w:right w:val="none" w:sz="0" w:space="0" w:color="auto"/>
      </w:divBdr>
    </w:div>
    <w:div w:id="1630017071">
      <w:bodyDiv w:val="1"/>
      <w:marLeft w:val="0"/>
      <w:marRight w:val="0"/>
      <w:marTop w:val="0"/>
      <w:marBottom w:val="0"/>
      <w:divBdr>
        <w:top w:val="none" w:sz="0" w:space="0" w:color="auto"/>
        <w:left w:val="none" w:sz="0" w:space="0" w:color="auto"/>
        <w:bottom w:val="none" w:sz="0" w:space="0" w:color="auto"/>
        <w:right w:val="none" w:sz="0" w:space="0" w:color="auto"/>
      </w:divBdr>
    </w:div>
    <w:div w:id="19454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9B89-02E8-4102-8100-2C94F4C0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2618</Words>
  <Characters>14404</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2019-10-14T19:37:00Z</cp:lastPrinted>
  <dcterms:created xsi:type="dcterms:W3CDTF">2019-12-13T17:38:00Z</dcterms:created>
  <dcterms:modified xsi:type="dcterms:W3CDTF">2019-12-19T02:18:00Z</dcterms:modified>
</cp:coreProperties>
</file>