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C32BC">
        <w:rPr>
          <w:rFonts w:ascii="Palatino Linotype" w:hAnsi="Palatino Linotype" w:cs="Arial"/>
          <w:b/>
          <w:sz w:val="24"/>
          <w:szCs w:val="24"/>
        </w:rPr>
        <w:t>TRIGÉSI</w:t>
      </w:r>
      <w:r w:rsidR="00E24D48">
        <w:rPr>
          <w:rFonts w:ascii="Palatino Linotype" w:hAnsi="Palatino Linotype" w:cs="Arial"/>
          <w:b/>
          <w:sz w:val="24"/>
          <w:szCs w:val="24"/>
        </w:rPr>
        <w:t>MA CUARTA</w:t>
      </w:r>
      <w:r w:rsidR="007C4D4B">
        <w:rPr>
          <w:rFonts w:ascii="Palatino Linotype" w:hAnsi="Palatino Linotype" w:cs="Arial"/>
          <w:b/>
          <w:sz w:val="24"/>
          <w:szCs w:val="24"/>
        </w:rPr>
        <w:t xml:space="preserve"> </w:t>
      </w:r>
      <w:r w:rsidRPr="009F71D8">
        <w:rPr>
          <w:rFonts w:ascii="Palatino Linotype" w:hAnsi="Palatino Linotype" w:cs="Arial"/>
          <w:b/>
          <w:sz w:val="24"/>
          <w:szCs w:val="24"/>
        </w:rPr>
        <w:t xml:space="preserve">SESIÓN ORDINARIA DE </w:t>
      </w:r>
      <w:r w:rsidR="00E24D48">
        <w:rPr>
          <w:rFonts w:ascii="Palatino Linotype" w:hAnsi="Palatino Linotype" w:cs="Arial"/>
          <w:b/>
          <w:sz w:val="24"/>
          <w:szCs w:val="24"/>
        </w:rPr>
        <w:t>DIECINUEVE DE SEPTIEMBRE</w:t>
      </w:r>
      <w:r w:rsidRPr="009F71D8">
        <w:rPr>
          <w:rFonts w:ascii="Palatino Linotype" w:hAnsi="Palatino Linotype" w:cs="Arial"/>
          <w:b/>
          <w:sz w:val="24"/>
          <w:szCs w:val="24"/>
        </w:rPr>
        <w:t xml:space="preserve"> DE DOS MIL </w:t>
      </w:r>
      <w:r w:rsidR="0046713B">
        <w:rPr>
          <w:rFonts w:ascii="Palatino Linotype" w:hAnsi="Palatino Linotype" w:cs="Arial"/>
          <w:b/>
          <w:sz w:val="24"/>
          <w:szCs w:val="24"/>
        </w:rPr>
        <w:t>DIECINUEVE</w:t>
      </w:r>
      <w:r w:rsidRPr="009F71D8">
        <w:rPr>
          <w:rFonts w:ascii="Palatino Linotype" w:hAnsi="Palatino Linotype" w:cs="Arial"/>
          <w:b/>
          <w:sz w:val="24"/>
          <w:szCs w:val="24"/>
        </w:rPr>
        <w:t xml:space="preserve">, EN EL RECURSO DE REVISIÓN </w:t>
      </w:r>
      <w:r w:rsidR="00E24D48">
        <w:rPr>
          <w:rFonts w:ascii="Palatino Linotype" w:hAnsi="Palatino Linotype" w:cs="Arial"/>
          <w:b/>
          <w:bCs/>
          <w:sz w:val="24"/>
          <w:szCs w:val="24"/>
        </w:rPr>
        <w:t>05860</w:t>
      </w:r>
      <w:r w:rsidR="001C32BC" w:rsidRPr="001C32BC">
        <w:rPr>
          <w:rFonts w:ascii="Palatino Linotype" w:hAnsi="Palatino Linotype" w:cs="Arial"/>
          <w:b/>
          <w:bCs/>
          <w:sz w:val="24"/>
          <w:szCs w:val="24"/>
        </w:rPr>
        <w:t>/INFOEM/IP/RR/2019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E24D48">
        <w:rPr>
          <w:rFonts w:ascii="Palatino Linotype" w:hAnsi="Palatino Linotype" w:cs="Arial"/>
          <w:b/>
          <w:bCs/>
          <w:sz w:val="24"/>
          <w:szCs w:val="24"/>
        </w:rPr>
        <w:t>05860</w:t>
      </w:r>
      <w:r w:rsidR="001C32BC" w:rsidRPr="001C32B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923B0E">
        <w:rPr>
          <w:rFonts w:ascii="Palatino Linotype" w:hAnsi="Palatino Linotype" w:cs="Arial"/>
          <w:sz w:val="24"/>
          <w:szCs w:val="24"/>
        </w:rPr>
        <w:t>l</w:t>
      </w:r>
      <w:r w:rsidR="00A859E5">
        <w:rPr>
          <w:rFonts w:ascii="Palatino Linotype" w:hAnsi="Palatino Linotype" w:cs="Arial"/>
          <w:sz w:val="24"/>
          <w:szCs w:val="24"/>
        </w:rPr>
        <w:t>a Comisionada Presidenta</w:t>
      </w:r>
      <w:r w:rsidRPr="009F71D8">
        <w:rPr>
          <w:rFonts w:ascii="Palatino Linotype" w:hAnsi="Palatino Linotype" w:cs="Arial"/>
          <w:sz w:val="24"/>
          <w:szCs w:val="24"/>
        </w:rPr>
        <w:t xml:space="preserve"> </w:t>
      </w:r>
      <w:r w:rsidR="00E24D48">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72662D" w:rsidRPr="0072662D" w:rsidRDefault="00222D15" w:rsidP="00E24D48">
      <w:pPr>
        <w:spacing w:before="240" w:line="360" w:lineRule="auto"/>
        <w:jc w:val="both"/>
        <w:rPr>
          <w:rFonts w:ascii="Palatino Linotype" w:hAnsi="Palatino Linotype" w:cs="Arial"/>
          <w:i/>
          <w:color w:val="000000" w:themeColor="text1"/>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EC447A">
        <w:rPr>
          <w:rFonts w:ascii="Palatino Linotype" w:hAnsi="Palatino Linotype"/>
          <w:sz w:val="24"/>
          <w:szCs w:val="24"/>
        </w:rPr>
        <w:t xml:space="preserve"> </w:t>
      </w:r>
      <w:r w:rsidR="00E24D48" w:rsidRPr="00E24D48">
        <w:rPr>
          <w:rFonts w:ascii="Palatino Linotype" w:hAnsi="Palatino Linotype"/>
          <w:b/>
          <w:sz w:val="24"/>
          <w:szCs w:val="24"/>
        </w:rPr>
        <w:t>Ayuntamiento de Villa del Carbón</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Pr="009F71D8">
        <w:rPr>
          <w:rFonts w:ascii="Palatino Linotype" w:hAnsi="Palatino Linotype"/>
          <w:b/>
          <w:sz w:val="24"/>
          <w:szCs w:val="24"/>
        </w:rPr>
        <w:t>SUJETO OBLIGADO,</w:t>
      </w:r>
      <w:r w:rsidR="004F1058" w:rsidRPr="004F1058">
        <w:t xml:space="preserve"> </w:t>
      </w:r>
      <w:r w:rsidR="00E24D48">
        <w:rPr>
          <w:rFonts w:ascii="Palatino Linotype" w:hAnsi="Palatino Linotype" w:cs="Arial"/>
          <w:sz w:val="24"/>
        </w:rPr>
        <w:t xml:space="preserve"> la nómina general</w:t>
      </w:r>
      <w:r w:rsidR="00F45BEE">
        <w:rPr>
          <w:rFonts w:ascii="Palatino Linotype" w:hAnsi="Palatino Linotype" w:cs="Arial"/>
          <w:sz w:val="24"/>
        </w:rPr>
        <w:t xml:space="preserve"> y </w:t>
      </w:r>
      <w:r w:rsidR="00F45BEE" w:rsidRPr="00F45BEE">
        <w:rPr>
          <w:rFonts w:ascii="Palatino Linotype" w:hAnsi="Palatino Linotype" w:cs="Arial"/>
          <w:sz w:val="24"/>
        </w:rPr>
        <w:t>las listas de raya pagadas</w:t>
      </w:r>
      <w:r w:rsidR="00E24D48">
        <w:rPr>
          <w:rFonts w:ascii="Palatino Linotype" w:hAnsi="Palatino Linotype" w:cs="Arial"/>
          <w:sz w:val="24"/>
        </w:rPr>
        <w:t xml:space="preserve"> del 15 de mayo de 2019</w:t>
      </w:r>
      <w:r w:rsidR="00F45BEE">
        <w:rPr>
          <w:rFonts w:ascii="Palatino Linotype" w:hAnsi="Palatino Linotype" w:cs="Arial"/>
          <w:sz w:val="24"/>
        </w:rPr>
        <w:t xml:space="preserve"> del personal de confianza y eventual,</w:t>
      </w:r>
      <w:r w:rsidR="006D2711" w:rsidRPr="006D2711">
        <w:t xml:space="preserve"> </w:t>
      </w:r>
      <w:r w:rsidR="006D2711" w:rsidRPr="006D2711">
        <w:rPr>
          <w:rFonts w:ascii="Palatino Linotype" w:hAnsi="Palatino Linotype" w:cs="Arial"/>
          <w:sz w:val="24"/>
        </w:rPr>
        <w:t xml:space="preserve">tanto de ayuntamiento como </w:t>
      </w:r>
      <w:r w:rsidR="006D2711" w:rsidRPr="006D2711">
        <w:rPr>
          <w:rFonts w:ascii="Palatino Linotype" w:hAnsi="Palatino Linotype" w:cs="Arial"/>
          <w:sz w:val="24"/>
        </w:rPr>
        <w:lastRenderedPageBreak/>
        <w:t>de organismos desconcentrados y descentralizados</w:t>
      </w:r>
      <w:r w:rsidR="006D2711">
        <w:rPr>
          <w:rFonts w:ascii="Palatino Linotype" w:hAnsi="Palatino Linotype" w:cs="Arial"/>
          <w:sz w:val="24"/>
        </w:rPr>
        <w:t>,</w:t>
      </w:r>
      <w:r w:rsidR="00F45BEE">
        <w:rPr>
          <w:rFonts w:ascii="Palatino Linotype" w:hAnsi="Palatino Linotype" w:cs="Arial"/>
          <w:sz w:val="24"/>
        </w:rPr>
        <w:t xml:space="preserve"> asimismo solicitó información de diversos Ayuntamientos.</w:t>
      </w:r>
    </w:p>
    <w:p w:rsidR="00ED27A9" w:rsidRPr="00B31118" w:rsidRDefault="00ED27A9" w:rsidP="00ED27A9">
      <w:pPr>
        <w:pStyle w:val="Sinespaciado"/>
        <w:ind w:left="1287" w:right="567"/>
        <w:jc w:val="both"/>
        <w:rPr>
          <w:rFonts w:ascii="Palatino Linotype" w:eastAsia="Times New Roman" w:hAnsi="Palatino Linotype" w:cs="Times New Roman"/>
          <w:i/>
          <w:szCs w:val="24"/>
          <w:lang w:val="es-ES_tradnl" w:eastAsia="es-ES"/>
        </w:rPr>
      </w:pPr>
    </w:p>
    <w:p w:rsidR="00945BD8" w:rsidRPr="00DF3621" w:rsidRDefault="00222D15" w:rsidP="00945BD8">
      <w:pPr>
        <w:tabs>
          <w:tab w:val="left" w:pos="7938"/>
        </w:tabs>
        <w:autoSpaceDE w:val="0"/>
        <w:autoSpaceDN w:val="0"/>
        <w:adjustRightInd w:val="0"/>
        <w:spacing w:line="360" w:lineRule="auto"/>
        <w:ind w:right="49"/>
        <w:jc w:val="both"/>
        <w:rPr>
          <w:rFonts w:ascii="Palatino Linotype" w:hAnsi="Palatino Linotype"/>
          <w:sz w:val="24"/>
          <w:szCs w:val="24"/>
          <w:lang w:eastAsia="es-MX"/>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DF3621">
        <w:rPr>
          <w:rFonts w:ascii="Palatino Linotype" w:hAnsi="Palatino Linotype" w:cs="Arial"/>
          <w:b/>
          <w:sz w:val="24"/>
          <w:szCs w:val="24"/>
        </w:rPr>
        <w:t xml:space="preserve">EL SUJETO OBLIGADO, </w:t>
      </w:r>
      <w:r w:rsidR="00F45BEE" w:rsidRPr="00A84149">
        <w:rPr>
          <w:rFonts w:ascii="Palatino Linotype" w:hAnsi="Palatino Linotype" w:cs="Arial"/>
          <w:sz w:val="24"/>
          <w:szCs w:val="24"/>
        </w:rPr>
        <w:t>manifestando</w:t>
      </w:r>
      <w:r w:rsidR="00F45BEE">
        <w:rPr>
          <w:rFonts w:ascii="Palatino Linotype" w:hAnsi="Palatino Linotype" w:cs="Arial"/>
          <w:sz w:val="24"/>
          <w:szCs w:val="24"/>
        </w:rPr>
        <w:t xml:space="preserve"> que</w:t>
      </w:r>
      <w:r w:rsidR="00F45BEE" w:rsidRPr="00A84149">
        <w:rPr>
          <w:rFonts w:ascii="Palatino Linotype" w:hAnsi="Palatino Linotype" w:cs="Arial"/>
          <w:sz w:val="24"/>
          <w:szCs w:val="24"/>
        </w:rPr>
        <w:t xml:space="preserve"> </w:t>
      </w:r>
      <w:r w:rsidR="00275040">
        <w:rPr>
          <w:rFonts w:ascii="Palatino Linotype" w:hAnsi="Palatino Linotype" w:cs="Arial"/>
          <w:sz w:val="24"/>
          <w:szCs w:val="24"/>
        </w:rPr>
        <w:t>la información se encontraba publicada y podía</w:t>
      </w:r>
      <w:r w:rsidR="00F45BEE">
        <w:rPr>
          <w:rFonts w:ascii="Palatino Linotype" w:hAnsi="Palatino Linotype" w:cs="Arial"/>
          <w:sz w:val="24"/>
          <w:szCs w:val="24"/>
        </w:rPr>
        <w:t xml:space="preserve"> ser consultada en la página electrónica </w:t>
      </w:r>
      <w:hyperlink r:id="rId8" w:history="1">
        <w:r w:rsidR="00F45BEE" w:rsidRPr="0038062E">
          <w:rPr>
            <w:rStyle w:val="Hipervnculo"/>
            <w:rFonts w:ascii="Palatino Linotype" w:hAnsi="Palatino Linotype" w:cs="Arial"/>
            <w:sz w:val="24"/>
          </w:rPr>
          <w:t>http://www.villadelcarbon.gob.mx/</w:t>
        </w:r>
      </w:hyperlink>
      <w:r w:rsidR="00A859E5" w:rsidRPr="00A859E5">
        <w:rPr>
          <w:rStyle w:val="Hipervnculo"/>
          <w:rFonts w:ascii="Palatino Linotype" w:hAnsi="Palatino Linotype" w:cs="Arial"/>
          <w:color w:val="auto"/>
          <w:sz w:val="24"/>
          <w:u w:val="none"/>
        </w:rPr>
        <w:t>.</w:t>
      </w:r>
    </w:p>
    <w:p w:rsidR="00E97C45" w:rsidRPr="00D72673"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3A1818">
        <w:rPr>
          <w:rFonts w:ascii="Palatino Linotype" w:hAnsi="Palatino Linotype" w:cs="Arial"/>
          <w:sz w:val="24"/>
          <w:szCs w:val="24"/>
        </w:rPr>
        <w:t xml:space="preserve"> </w:t>
      </w:r>
      <w:r w:rsidR="005F4CBD">
        <w:rPr>
          <w:rFonts w:ascii="Palatino Linotype" w:hAnsi="Palatino Linotype" w:cs="Arial"/>
          <w:sz w:val="24"/>
          <w:szCs w:val="24"/>
        </w:rPr>
        <w:t>respuesta, el</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5F4CBD">
        <w:rPr>
          <w:rFonts w:ascii="Palatino Linotype" w:hAnsi="Palatino Linotype" w:cs="Arial"/>
          <w:sz w:val="24"/>
          <w:szCs w:val="24"/>
        </w:rPr>
        <w:t>que hacía falta remitir información relativa al Presidente Municipal, Síndico y Regidores.</w:t>
      </w:r>
    </w:p>
    <w:p w:rsidR="005F4CBD" w:rsidRDefault="00222D15" w:rsidP="005F4CBD">
      <w:pPr>
        <w:autoSpaceDE w:val="0"/>
        <w:autoSpaceDN w:val="0"/>
        <w:adjustRightInd w:val="0"/>
        <w:spacing w:after="0"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312268">
        <w:rPr>
          <w:rFonts w:ascii="Palatino Linotype" w:hAnsi="Palatino Linotype"/>
          <w:b/>
          <w:sz w:val="24"/>
          <w:szCs w:val="24"/>
        </w:rPr>
        <w:t>MODIFICA</w:t>
      </w:r>
      <w:r w:rsidR="003A1818">
        <w:rPr>
          <w:rFonts w:ascii="Palatino Linotype" w:hAnsi="Palatino Linotype"/>
          <w:b/>
          <w:sz w:val="24"/>
          <w:szCs w:val="24"/>
        </w:rPr>
        <w:t>R</w:t>
      </w:r>
      <w:r w:rsidR="007A3711" w:rsidRPr="0014447C">
        <w:rPr>
          <w:rFonts w:ascii="Palatino Linotype" w:hAnsi="Palatino Linotype"/>
          <w:sz w:val="24"/>
          <w:szCs w:val="24"/>
        </w:rPr>
        <w:t xml:space="preserve"> </w:t>
      </w:r>
      <w:r w:rsidR="00312268">
        <w:rPr>
          <w:rFonts w:ascii="Palatino Linotype" w:hAnsi="Palatino Linotype"/>
          <w:sz w:val="24"/>
          <w:szCs w:val="24"/>
        </w:rPr>
        <w:t>la respuesta del</w:t>
      </w:r>
      <w:r w:rsidR="003A1818">
        <w:rPr>
          <w:rFonts w:ascii="Palatino Linotype" w:hAnsi="Palatino Linotype"/>
          <w:sz w:val="24"/>
          <w:szCs w:val="24"/>
        </w:rPr>
        <w:t xml:space="preserve"> </w:t>
      </w:r>
      <w:r w:rsidR="003A1818">
        <w:rPr>
          <w:rFonts w:ascii="Palatino Linotype" w:hAnsi="Palatino Linotype" w:cs="Arial"/>
          <w:b/>
          <w:sz w:val="24"/>
          <w:szCs w:val="24"/>
        </w:rPr>
        <w:t>EL SUJETO OBLIGADO</w:t>
      </w:r>
      <w:r w:rsidR="003A1818">
        <w:rPr>
          <w:rFonts w:ascii="Palatino Linotype" w:hAnsi="Palatino Linotype" w:cs="Arial"/>
          <w:sz w:val="24"/>
          <w:szCs w:val="24"/>
        </w:rPr>
        <w:t xml:space="preserve"> </w:t>
      </w:r>
      <w:r w:rsidR="00312268">
        <w:rPr>
          <w:rFonts w:ascii="Palatino Linotype" w:hAnsi="Palatino Linotype" w:cs="Arial"/>
          <w:sz w:val="24"/>
          <w:szCs w:val="24"/>
        </w:rPr>
        <w:t xml:space="preserve">y ordenar </w:t>
      </w:r>
      <w:r w:rsidR="005F4CBD" w:rsidRPr="00A84149">
        <w:rPr>
          <w:rFonts w:ascii="Palatino Linotype" w:hAnsi="Palatino Linotype" w:cs="Arial"/>
          <w:sz w:val="24"/>
          <w:szCs w:val="24"/>
        </w:rPr>
        <w:t>haga entrega al</w:t>
      </w:r>
      <w:r w:rsidR="005F4CBD" w:rsidRPr="00A84149">
        <w:rPr>
          <w:rFonts w:ascii="Palatino Linotype" w:hAnsi="Palatino Linotype" w:cs="Arial"/>
          <w:b/>
          <w:sz w:val="24"/>
          <w:szCs w:val="24"/>
        </w:rPr>
        <w:t xml:space="preserve"> </w:t>
      </w:r>
      <w:r w:rsidR="00275040" w:rsidRPr="00A84149">
        <w:rPr>
          <w:rFonts w:ascii="Palatino Linotype" w:hAnsi="Palatino Linotype" w:cs="Arial"/>
          <w:b/>
          <w:sz w:val="24"/>
          <w:szCs w:val="24"/>
        </w:rPr>
        <w:t>RECURRENTE</w:t>
      </w:r>
      <w:r w:rsidR="005F4CBD" w:rsidRPr="00A84149">
        <w:rPr>
          <w:rFonts w:ascii="Palatino Linotype" w:hAnsi="Palatino Linotype" w:cs="Arial"/>
          <w:sz w:val="24"/>
          <w:szCs w:val="24"/>
        </w:rPr>
        <w:t xml:space="preserve"> a través del </w:t>
      </w:r>
      <w:r w:rsidR="005F4CBD" w:rsidRPr="00A84149">
        <w:rPr>
          <w:rFonts w:ascii="Palatino Linotype" w:hAnsi="Palatino Linotype" w:cs="Arial"/>
          <w:b/>
          <w:sz w:val="24"/>
          <w:szCs w:val="24"/>
        </w:rPr>
        <w:t>SAIMEX</w:t>
      </w:r>
      <w:r w:rsidR="005F4CBD" w:rsidRPr="00A84149">
        <w:rPr>
          <w:rFonts w:ascii="Palatino Linotype" w:hAnsi="Palatino Linotype" w:cs="Arial"/>
          <w:sz w:val="24"/>
          <w:szCs w:val="24"/>
        </w:rPr>
        <w:t>, en términos del considerando CUARTO</w:t>
      </w:r>
      <w:r w:rsidR="005F4CBD">
        <w:rPr>
          <w:rFonts w:ascii="Palatino Linotype" w:hAnsi="Palatino Linotype" w:cs="Arial"/>
          <w:sz w:val="24"/>
          <w:szCs w:val="24"/>
        </w:rPr>
        <w:t xml:space="preserve"> de la resolución</w:t>
      </w:r>
      <w:r w:rsidR="005F4CBD" w:rsidRPr="00A84149">
        <w:rPr>
          <w:rFonts w:ascii="Palatino Linotype" w:hAnsi="Palatino Linotype" w:cs="Arial"/>
          <w:sz w:val="24"/>
          <w:szCs w:val="24"/>
        </w:rPr>
        <w:t xml:space="preserve">, </w:t>
      </w:r>
      <w:r w:rsidR="005F4CBD">
        <w:rPr>
          <w:rFonts w:ascii="Palatino Linotype" w:hAnsi="Palatino Linotype" w:cs="Arial"/>
          <w:sz w:val="24"/>
          <w:szCs w:val="24"/>
        </w:rPr>
        <w:t xml:space="preserve">de </w:t>
      </w:r>
      <w:r w:rsidR="005F4CBD" w:rsidRPr="00A84149">
        <w:rPr>
          <w:rFonts w:ascii="Palatino Linotype" w:hAnsi="Palatino Linotype" w:cs="Arial"/>
          <w:sz w:val="24"/>
          <w:szCs w:val="24"/>
        </w:rPr>
        <w:t>lo siguiente:</w:t>
      </w:r>
    </w:p>
    <w:p w:rsidR="005F4CBD" w:rsidRPr="00A84149" w:rsidRDefault="005F4CBD" w:rsidP="005F4CBD">
      <w:pPr>
        <w:autoSpaceDE w:val="0"/>
        <w:autoSpaceDN w:val="0"/>
        <w:adjustRightInd w:val="0"/>
        <w:spacing w:after="0" w:line="360" w:lineRule="auto"/>
        <w:ind w:right="49"/>
        <w:jc w:val="both"/>
        <w:rPr>
          <w:rFonts w:ascii="Palatino Linotype" w:hAnsi="Palatino Linotype" w:cs="Arial"/>
          <w:sz w:val="24"/>
          <w:szCs w:val="24"/>
        </w:rPr>
      </w:pPr>
    </w:p>
    <w:p w:rsidR="005F4CBD" w:rsidRPr="005F4CBD" w:rsidRDefault="005F4CBD" w:rsidP="005F4CBD">
      <w:pPr>
        <w:numPr>
          <w:ilvl w:val="0"/>
          <w:numId w:val="24"/>
        </w:numPr>
        <w:autoSpaceDE w:val="0"/>
        <w:autoSpaceDN w:val="0"/>
        <w:adjustRightInd w:val="0"/>
        <w:spacing w:after="0" w:line="240" w:lineRule="auto"/>
        <w:ind w:left="851" w:right="757"/>
        <w:jc w:val="both"/>
        <w:rPr>
          <w:rFonts w:ascii="Palatino Linotype" w:hAnsi="Palatino Linotype" w:cs="Arial"/>
          <w:i/>
        </w:rPr>
      </w:pPr>
      <w:r w:rsidRPr="005F4CBD">
        <w:rPr>
          <w:rFonts w:ascii="Palatino Linotype" w:eastAsia="Times New Roman" w:hAnsi="Palatino Linotype" w:cs="Arial"/>
          <w:i/>
          <w:lang w:val="es-ES" w:eastAsia="es-ES"/>
        </w:rPr>
        <w:t xml:space="preserve">Acuerdo de incompetencia </w:t>
      </w:r>
      <w:r w:rsidRPr="005F4CBD">
        <w:rPr>
          <w:rFonts w:ascii="Palatino Linotype" w:hAnsi="Palatino Linotype" w:cs="Arial"/>
          <w:i/>
        </w:rPr>
        <w:t xml:space="preserve">por cuanto hace a tener en sus archivos la información referente a las nóminas generales de los Municipios de Jilotepec, </w:t>
      </w:r>
      <w:proofErr w:type="spellStart"/>
      <w:r w:rsidRPr="005F4CBD">
        <w:rPr>
          <w:rFonts w:ascii="Palatino Linotype" w:hAnsi="Palatino Linotype" w:cs="Arial"/>
          <w:i/>
        </w:rPr>
        <w:t>Soyaniquilpan</w:t>
      </w:r>
      <w:proofErr w:type="spellEnd"/>
      <w:r w:rsidRPr="005F4CBD">
        <w:rPr>
          <w:rFonts w:ascii="Palatino Linotype" w:hAnsi="Palatino Linotype" w:cs="Arial"/>
          <w:i/>
        </w:rPr>
        <w:t xml:space="preserve">, Chapa De Mota, </w:t>
      </w:r>
      <w:proofErr w:type="spellStart"/>
      <w:r w:rsidRPr="005F4CBD">
        <w:rPr>
          <w:rFonts w:ascii="Palatino Linotype" w:hAnsi="Palatino Linotype" w:cs="Arial"/>
          <w:i/>
        </w:rPr>
        <w:t>Timilpan</w:t>
      </w:r>
      <w:proofErr w:type="spellEnd"/>
      <w:r w:rsidRPr="005F4CBD">
        <w:rPr>
          <w:rFonts w:ascii="Palatino Linotype" w:hAnsi="Palatino Linotype" w:cs="Arial"/>
          <w:i/>
        </w:rPr>
        <w:t xml:space="preserve">, San Bartolo Morelos y </w:t>
      </w:r>
      <w:proofErr w:type="spellStart"/>
      <w:r w:rsidRPr="005F4CBD">
        <w:rPr>
          <w:rFonts w:ascii="Palatino Linotype" w:hAnsi="Palatino Linotype" w:cs="Arial"/>
          <w:i/>
        </w:rPr>
        <w:t>Acambay</w:t>
      </w:r>
      <w:proofErr w:type="spellEnd"/>
      <w:r w:rsidRPr="005F4CBD">
        <w:rPr>
          <w:rFonts w:ascii="Palatino Linotype" w:hAnsi="Palatino Linotype" w:cs="Arial"/>
          <w:i/>
        </w:rPr>
        <w:t>.</w:t>
      </w:r>
    </w:p>
    <w:p w:rsidR="001F5492" w:rsidRPr="001F5492" w:rsidRDefault="001F5492" w:rsidP="001F5492">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p>
    <w:p w:rsidR="004B7753" w:rsidRPr="002362C0" w:rsidRDefault="00222D15" w:rsidP="004B775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 xml:space="preserve">sentido </w:t>
      </w:r>
      <w:r w:rsidR="005F4CBD">
        <w:rPr>
          <w:rFonts w:ascii="Palatino Linotype" w:hAnsi="Palatino Linotype" w:cs="Arial"/>
          <w:sz w:val="24"/>
          <w:szCs w:val="24"/>
        </w:rPr>
        <w:t xml:space="preserve">y el análisis efectuado por la Ponencia </w:t>
      </w:r>
      <w:proofErr w:type="spellStart"/>
      <w:r w:rsidR="005F4CBD">
        <w:rPr>
          <w:rFonts w:ascii="Palatino Linotype" w:hAnsi="Palatino Linotype" w:cs="Arial"/>
          <w:sz w:val="24"/>
          <w:szCs w:val="24"/>
        </w:rPr>
        <w:t>Resolutora</w:t>
      </w:r>
      <w:proofErr w:type="spellEnd"/>
      <w:r w:rsidR="005F4CBD">
        <w:rPr>
          <w:rFonts w:ascii="Palatino Linotype" w:hAnsi="Palatino Linotype" w:cs="Arial"/>
          <w:sz w:val="24"/>
          <w:szCs w:val="24"/>
        </w:rPr>
        <w:t xml:space="preserve">, sin embargo, se considera </w:t>
      </w:r>
      <w:proofErr w:type="gramStart"/>
      <w:r w:rsidR="005F4CBD">
        <w:rPr>
          <w:rFonts w:ascii="Palatino Linotype" w:hAnsi="Palatino Linotype" w:cs="Arial"/>
          <w:sz w:val="24"/>
          <w:szCs w:val="24"/>
        </w:rPr>
        <w:t>que</w:t>
      </w:r>
      <w:proofErr w:type="gramEnd"/>
      <w:r w:rsidR="005F4CBD">
        <w:rPr>
          <w:rFonts w:ascii="Palatino Linotype" w:hAnsi="Palatino Linotype" w:cs="Arial"/>
          <w:sz w:val="24"/>
          <w:szCs w:val="24"/>
        </w:rPr>
        <w:t xml:space="preserve"> no se abordaron puntos determinantes para brindar mayor certeza a las partes.</w:t>
      </w:r>
    </w:p>
    <w:p w:rsidR="00E10F9B" w:rsidRDefault="006D2711" w:rsidP="000B643B">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Atento a lo anterior, se puede advertir dentro de la solicitud formulada por el particular, que requiere específicamente la nómina general y lista de raya tanto del Ayuntamiento como de Organismos desconcentrados y descentralizados, es así, que no se observa dentro de la resolución de mérito que se hayan abordado en el estudio dichos organismos. </w:t>
      </w:r>
    </w:p>
    <w:p w:rsidR="00C057C4" w:rsidRDefault="00C057C4" w:rsidP="00E10F9B">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Es por ello, que al remitirnos al Bando Municipal del Ayuntamiento de Villa del Carbón en su numeral 46, fracción VII, podemos advertir que cuenta con dos organismos descentralizados, Sistema Municipal para el Desarrollo de la Familia y el Instituto Municipal de Cultura Física y Deporte de Villa del Carbón:</w:t>
      </w:r>
    </w:p>
    <w:p w:rsidR="00C057C4" w:rsidRPr="00C057C4" w:rsidRDefault="00C057C4" w:rsidP="00C057C4">
      <w:pPr>
        <w:spacing w:before="240" w:after="0" w:line="240" w:lineRule="auto"/>
        <w:ind w:left="709" w:right="757"/>
        <w:jc w:val="center"/>
        <w:rPr>
          <w:rFonts w:ascii="Palatino Linotype" w:hAnsi="Palatino Linotype"/>
          <w:i/>
        </w:rPr>
      </w:pPr>
      <w:r w:rsidRPr="00C057C4">
        <w:rPr>
          <w:rFonts w:ascii="Palatino Linotype" w:hAnsi="Palatino Linotype"/>
          <w:i/>
        </w:rPr>
        <w:t>CAPÍTULO VII</w:t>
      </w:r>
    </w:p>
    <w:p w:rsidR="00C057C4" w:rsidRPr="00C057C4" w:rsidRDefault="00C057C4" w:rsidP="00C057C4">
      <w:pPr>
        <w:spacing w:before="240" w:after="0" w:line="240" w:lineRule="auto"/>
        <w:ind w:left="709" w:right="757"/>
        <w:jc w:val="center"/>
        <w:rPr>
          <w:rFonts w:ascii="Palatino Linotype" w:hAnsi="Palatino Linotype"/>
          <w:i/>
        </w:rPr>
      </w:pPr>
      <w:r w:rsidRPr="00C057C4">
        <w:rPr>
          <w:rFonts w:ascii="Palatino Linotype" w:hAnsi="Palatino Linotype"/>
          <w:i/>
        </w:rPr>
        <w:t>DE LAS DEPENDENCIAS</w:t>
      </w:r>
    </w:p>
    <w:p w:rsidR="00C057C4" w:rsidRPr="00C057C4" w:rsidRDefault="00C057C4" w:rsidP="00C057C4">
      <w:pPr>
        <w:spacing w:before="240" w:after="0" w:line="240" w:lineRule="auto"/>
        <w:ind w:left="709" w:right="757"/>
        <w:jc w:val="center"/>
        <w:rPr>
          <w:rFonts w:ascii="Palatino Linotype" w:hAnsi="Palatino Linotype"/>
          <w:i/>
        </w:rPr>
      </w:pPr>
      <w:r w:rsidRPr="00C057C4">
        <w:rPr>
          <w:rFonts w:ascii="Palatino Linotype" w:hAnsi="Palatino Linotype"/>
          <w:i/>
        </w:rPr>
        <w:t>ADMINISTRATIVAS MUNICIPALES</w:t>
      </w:r>
    </w:p>
    <w:p w:rsidR="00C057C4" w:rsidRPr="00C057C4" w:rsidRDefault="00C057C4" w:rsidP="00C057C4">
      <w:pPr>
        <w:spacing w:before="240" w:after="0" w:line="240" w:lineRule="auto"/>
        <w:ind w:left="709" w:right="757"/>
        <w:jc w:val="both"/>
        <w:rPr>
          <w:rFonts w:ascii="Palatino Linotype" w:hAnsi="Palatino Linotype" w:cs="Arial"/>
          <w:i/>
        </w:rPr>
      </w:pPr>
      <w:r w:rsidRPr="00C057C4">
        <w:rPr>
          <w:rFonts w:ascii="Palatino Linotype" w:hAnsi="Palatino Linotype"/>
          <w:i/>
        </w:rPr>
        <w:t>Artículo 46.- El Gobierno Municipal en el ejercicio de sus atribuciones y para el despacho de los asuntos de orden administrativo, contará con las siguientes dependencias administrativas municipales.</w:t>
      </w:r>
      <w:r w:rsidRPr="00C057C4">
        <w:rPr>
          <w:rFonts w:ascii="Palatino Linotype" w:hAnsi="Palatino Linotype" w:cs="Arial"/>
          <w:i/>
        </w:rPr>
        <w:t xml:space="preserve"> </w:t>
      </w:r>
    </w:p>
    <w:p w:rsidR="00C057C4" w:rsidRPr="00C057C4" w:rsidRDefault="00C057C4" w:rsidP="00C057C4">
      <w:pPr>
        <w:spacing w:before="240" w:after="0" w:line="240" w:lineRule="auto"/>
        <w:ind w:left="709" w:right="757"/>
        <w:jc w:val="both"/>
        <w:rPr>
          <w:rFonts w:ascii="Palatino Linotype" w:hAnsi="Palatino Linotype" w:cs="Arial"/>
          <w:i/>
        </w:rPr>
      </w:pPr>
      <w:r w:rsidRPr="00C057C4">
        <w:rPr>
          <w:rFonts w:ascii="Palatino Linotype" w:hAnsi="Palatino Linotype" w:cs="Arial"/>
          <w:i/>
        </w:rPr>
        <w:t>…</w:t>
      </w:r>
    </w:p>
    <w:p w:rsidR="00C057C4" w:rsidRPr="00C057C4" w:rsidRDefault="00C057C4" w:rsidP="00C057C4">
      <w:pPr>
        <w:spacing w:before="240" w:after="0" w:line="240" w:lineRule="auto"/>
        <w:ind w:left="709" w:right="757"/>
        <w:jc w:val="both"/>
        <w:rPr>
          <w:rFonts w:ascii="Palatino Linotype" w:hAnsi="Palatino Linotype"/>
          <w:i/>
        </w:rPr>
      </w:pPr>
      <w:r w:rsidRPr="00C057C4">
        <w:rPr>
          <w:rFonts w:ascii="Palatino Linotype" w:hAnsi="Palatino Linotype"/>
          <w:i/>
        </w:rPr>
        <w:t xml:space="preserve">VII. Órganos Descentralizados: </w:t>
      </w:r>
    </w:p>
    <w:p w:rsidR="00C057C4" w:rsidRPr="00C057C4" w:rsidRDefault="00C057C4" w:rsidP="00C057C4">
      <w:pPr>
        <w:spacing w:before="240" w:after="0" w:line="240" w:lineRule="auto"/>
        <w:ind w:left="709" w:right="757"/>
        <w:jc w:val="both"/>
        <w:rPr>
          <w:rFonts w:ascii="Palatino Linotype" w:hAnsi="Palatino Linotype"/>
          <w:i/>
        </w:rPr>
      </w:pPr>
      <w:r w:rsidRPr="00C057C4">
        <w:rPr>
          <w:rFonts w:ascii="Palatino Linotype" w:hAnsi="Palatino Linotype"/>
          <w:i/>
        </w:rPr>
        <w:t>A) Sistema Municipal para el Desarrollo Integral de la Familia;</w:t>
      </w:r>
    </w:p>
    <w:p w:rsidR="00C057C4" w:rsidRPr="00C057C4" w:rsidRDefault="00C057C4" w:rsidP="00C057C4">
      <w:pPr>
        <w:spacing w:before="240" w:after="0" w:line="240" w:lineRule="auto"/>
        <w:ind w:left="709" w:right="757"/>
        <w:jc w:val="both"/>
        <w:rPr>
          <w:rFonts w:ascii="Palatino Linotype" w:hAnsi="Palatino Linotype"/>
          <w:i/>
        </w:rPr>
      </w:pPr>
      <w:r w:rsidRPr="00C057C4">
        <w:rPr>
          <w:rFonts w:ascii="Palatino Linotype" w:hAnsi="Palatino Linotype"/>
          <w:i/>
        </w:rPr>
        <w:t xml:space="preserve">B) Instituto Municipal de Cultura Física y Deporte de Villa del Carbón, México; </w:t>
      </w:r>
    </w:p>
    <w:p w:rsidR="00C057C4" w:rsidRPr="00C057C4" w:rsidRDefault="00C057C4" w:rsidP="00C057C4">
      <w:pPr>
        <w:spacing w:before="240" w:after="0" w:line="240" w:lineRule="auto"/>
        <w:ind w:left="709" w:right="757"/>
        <w:jc w:val="both"/>
        <w:rPr>
          <w:rFonts w:ascii="Palatino Linotype" w:hAnsi="Palatino Linotype"/>
          <w:i/>
        </w:rPr>
      </w:pPr>
      <w:r w:rsidRPr="00C057C4">
        <w:rPr>
          <w:rFonts w:ascii="Palatino Linotype" w:hAnsi="Palatino Linotype"/>
          <w:i/>
        </w:rPr>
        <w:t xml:space="preserve">C) Las demás que determine crear el Ayuntamiento por acuerdo de cabildo. </w:t>
      </w:r>
    </w:p>
    <w:p w:rsidR="00E10F9B" w:rsidRPr="00C057C4" w:rsidRDefault="00C057C4" w:rsidP="00C057C4">
      <w:pPr>
        <w:spacing w:before="240" w:after="0" w:line="240" w:lineRule="auto"/>
        <w:ind w:left="709" w:right="757"/>
        <w:jc w:val="both"/>
        <w:rPr>
          <w:rFonts w:ascii="Palatino Linotype" w:hAnsi="Palatino Linotype" w:cs="Arial"/>
          <w:i/>
          <w:color w:val="000000" w:themeColor="text1"/>
        </w:rPr>
      </w:pPr>
      <w:r w:rsidRPr="00C057C4">
        <w:rPr>
          <w:rFonts w:ascii="Palatino Linotype" w:hAnsi="Palatino Linotype"/>
          <w:i/>
        </w:rPr>
        <w:t>Las y los responsables de cada una de estas dependencias con la denominación que les corresponda, tienen el carácter de servidoras y/o servidores públicos municipales.</w:t>
      </w:r>
      <w:r w:rsidRPr="00C057C4">
        <w:rPr>
          <w:rFonts w:ascii="Palatino Linotype" w:hAnsi="Palatino Linotype" w:cs="Arial"/>
          <w:i/>
        </w:rPr>
        <w:t xml:space="preserve"> </w:t>
      </w:r>
    </w:p>
    <w:p w:rsidR="00B26D1E" w:rsidRPr="00A859E5" w:rsidRDefault="00B26D1E" w:rsidP="00E10F9B">
      <w:pPr>
        <w:spacing w:before="100" w:beforeAutospacing="1" w:after="100" w:afterAutospacing="1" w:line="360" w:lineRule="auto"/>
        <w:jc w:val="both"/>
        <w:rPr>
          <w:rFonts w:ascii="Palatino Linotype" w:hAnsi="Palatino Linotype" w:cs="Arial"/>
          <w:sz w:val="2"/>
          <w:szCs w:val="24"/>
          <w:lang w:eastAsia="es-MX"/>
        </w:rPr>
      </w:pPr>
    </w:p>
    <w:p w:rsidR="00B26D1E" w:rsidRDefault="00B26D1E" w:rsidP="00E10F9B">
      <w:pPr>
        <w:autoSpaceDE w:val="0"/>
        <w:autoSpaceDN w:val="0"/>
        <w:adjustRightInd w:val="0"/>
        <w:spacing w:before="100" w:beforeAutospacing="1" w:after="100" w:afterAutospacing="1" w:line="360" w:lineRule="auto"/>
        <w:ind w:right="49"/>
        <w:jc w:val="both"/>
        <w:rPr>
          <w:rFonts w:ascii="Palatino Linotype" w:hAnsi="Palatino Linotype" w:cs="Arial"/>
          <w:sz w:val="24"/>
          <w:szCs w:val="24"/>
          <w:lang w:eastAsia="es-MX"/>
        </w:rPr>
      </w:pPr>
      <w:r>
        <w:rPr>
          <w:rFonts w:ascii="Palatino Linotype" w:hAnsi="Palatino Linotype" w:cs="Arial"/>
          <w:sz w:val="24"/>
          <w:szCs w:val="24"/>
          <w:lang w:eastAsia="es-MX"/>
        </w:rPr>
        <w:t xml:space="preserve">Es así, que al </w:t>
      </w:r>
      <w:r w:rsidR="00275040">
        <w:rPr>
          <w:rFonts w:ascii="Palatino Linotype" w:hAnsi="Palatino Linotype" w:cs="Arial"/>
          <w:sz w:val="24"/>
          <w:szCs w:val="24"/>
          <w:lang w:eastAsia="es-MX"/>
        </w:rPr>
        <w:t>ser parte estos organismos</w:t>
      </w:r>
      <w:r>
        <w:rPr>
          <w:rFonts w:ascii="Palatino Linotype" w:hAnsi="Palatino Linotype" w:cs="Arial"/>
          <w:sz w:val="24"/>
          <w:szCs w:val="24"/>
          <w:lang w:eastAsia="es-MX"/>
        </w:rPr>
        <w:t xml:space="preserve"> del Ayuntamiento y al haber sido requeridos específicamente por el particular dentro de su solicitud de información, se considera que la P</w:t>
      </w:r>
      <w:r w:rsidR="00275040">
        <w:rPr>
          <w:rFonts w:ascii="Palatino Linotype" w:hAnsi="Palatino Linotype" w:cs="Arial"/>
          <w:sz w:val="24"/>
          <w:szCs w:val="24"/>
          <w:lang w:eastAsia="es-MX"/>
        </w:rPr>
        <w:t>o</w:t>
      </w:r>
      <w:r>
        <w:rPr>
          <w:rFonts w:ascii="Palatino Linotype" w:hAnsi="Palatino Linotype" w:cs="Arial"/>
          <w:sz w:val="24"/>
          <w:szCs w:val="24"/>
          <w:lang w:eastAsia="es-MX"/>
        </w:rPr>
        <w:t xml:space="preserve">nencia </w:t>
      </w:r>
      <w:proofErr w:type="spellStart"/>
      <w:r>
        <w:rPr>
          <w:rFonts w:ascii="Palatino Linotype" w:hAnsi="Palatino Linotype" w:cs="Arial"/>
          <w:sz w:val="24"/>
          <w:szCs w:val="24"/>
          <w:lang w:eastAsia="es-MX"/>
        </w:rPr>
        <w:t>Resolutora</w:t>
      </w:r>
      <w:proofErr w:type="spellEnd"/>
      <w:r>
        <w:rPr>
          <w:rFonts w:ascii="Palatino Linotype" w:hAnsi="Palatino Linotype" w:cs="Arial"/>
          <w:sz w:val="24"/>
          <w:szCs w:val="24"/>
          <w:lang w:eastAsia="es-MX"/>
        </w:rPr>
        <w:t xml:space="preserve"> debió abordar el caso concreto a fin de cumplimentar con los principios de exhaustividad y certeza </w:t>
      </w:r>
      <w:r w:rsidR="00275040">
        <w:rPr>
          <w:rFonts w:ascii="Palatino Linotype" w:hAnsi="Palatino Linotype" w:cs="Arial"/>
          <w:sz w:val="24"/>
          <w:szCs w:val="24"/>
          <w:lang w:eastAsia="es-MX"/>
        </w:rPr>
        <w:t>jurídica</w:t>
      </w:r>
    </w:p>
    <w:p w:rsidR="00B26D1E" w:rsidRPr="00683F6F" w:rsidRDefault="00275040" w:rsidP="00B26D1E">
      <w:pPr>
        <w:spacing w:before="100" w:beforeAutospacing="1" w:after="100" w:afterAutospacing="1" w:line="360" w:lineRule="auto"/>
        <w:jc w:val="both"/>
        <w:rPr>
          <w:rFonts w:ascii="Palatino Linotype" w:hAnsi="Palatino Linotype"/>
        </w:rPr>
      </w:pPr>
      <w:r w:rsidRPr="00A859E5">
        <w:rPr>
          <w:rFonts w:ascii="Palatino Linotype" w:hAnsi="Palatino Linotype"/>
          <w:sz w:val="24"/>
        </w:rPr>
        <w:t>Es de lo anterior</w:t>
      </w:r>
      <w:r w:rsidR="00B26D1E" w:rsidRPr="00A859E5">
        <w:rPr>
          <w:rFonts w:ascii="Palatino Linotype" w:hAnsi="Palatino Linotype"/>
          <w:sz w:val="24"/>
        </w:rPr>
        <w:t>,</w:t>
      </w:r>
      <w:r w:rsidRPr="00A859E5">
        <w:rPr>
          <w:rFonts w:ascii="Palatino Linotype" w:hAnsi="Palatino Linotype"/>
          <w:sz w:val="24"/>
        </w:rPr>
        <w:t xml:space="preserve"> que</w:t>
      </w:r>
      <w:r w:rsidR="00B26D1E" w:rsidRPr="00A859E5">
        <w:rPr>
          <w:rFonts w:ascii="Palatino Linotype" w:hAnsi="Palatino Linotype"/>
          <w:sz w:val="24"/>
        </w:rPr>
        <w:t xml:space="preserve"> a fin de robustecer lo expuesto,</w:t>
      </w:r>
      <w:r w:rsidRPr="00A859E5">
        <w:rPr>
          <w:rFonts w:ascii="Palatino Linotype" w:hAnsi="Palatino Linotype"/>
          <w:sz w:val="24"/>
        </w:rPr>
        <w:t xml:space="preserve"> es</w:t>
      </w:r>
      <w:r w:rsidR="00B26D1E" w:rsidRPr="00A859E5">
        <w:rPr>
          <w:rFonts w:ascii="Palatino Linotype" w:hAnsi="Palatino Linotype"/>
          <w:sz w:val="24"/>
        </w:rPr>
        <w:t xml:space="preserve"> conviene citar </w:t>
      </w:r>
      <w:r w:rsidR="00B26D1E" w:rsidRPr="00A859E5">
        <w:rPr>
          <w:rFonts w:ascii="Palatino Linotype" w:hAnsi="Palatino Linotype" w:cs="Segoe UI"/>
          <w:sz w:val="24"/>
        </w:rPr>
        <w:t xml:space="preserve">el criterio orientador </w:t>
      </w:r>
      <w:r w:rsidR="00B26D1E" w:rsidRPr="00A859E5">
        <w:rPr>
          <w:rFonts w:ascii="Palatino Linotype" w:hAnsi="Palatino Linotype"/>
          <w:sz w:val="24"/>
          <w:lang w:eastAsia="es-MX"/>
        </w:rPr>
        <w:t>002/2017 del Instituto Nacional de Acceso a la Información y Protección de Datos (INAI),</w:t>
      </w:r>
      <w:r w:rsidR="00B26D1E" w:rsidRPr="00A859E5">
        <w:rPr>
          <w:rFonts w:ascii="Palatino Linotype" w:hAnsi="Palatino Linotype" w:cs="Arial"/>
          <w:sz w:val="24"/>
        </w:rPr>
        <w:t xml:space="preserve"> cuyo tenor es el siguiente:</w:t>
      </w:r>
    </w:p>
    <w:p w:rsidR="00B26D1E" w:rsidRPr="00D621C2" w:rsidRDefault="00B26D1E" w:rsidP="00B26D1E">
      <w:pPr>
        <w:spacing w:before="100" w:beforeAutospacing="1" w:after="100" w:afterAutospacing="1"/>
        <w:ind w:left="851" w:right="899"/>
        <w:jc w:val="both"/>
        <w:rPr>
          <w:rFonts w:ascii="Palatino Linotype" w:hAnsi="Palatino Linotype" w:cs="Arial"/>
          <w:b/>
          <w:bCs/>
          <w:i/>
        </w:rPr>
      </w:pPr>
      <w:r w:rsidRPr="006807DD">
        <w:rPr>
          <w:rFonts w:ascii="Palatino Linotype" w:hAnsi="Palatino Linotype" w:cs="Arial"/>
          <w:b/>
          <w:bCs/>
          <w:i/>
        </w:rPr>
        <w:t>“Congruencia y exhaustividad.</w:t>
      </w:r>
      <w:r w:rsidRPr="006807DD">
        <w:rPr>
          <w:rFonts w:ascii="Palatino Linotype" w:hAnsi="Palatino Linotype" w:cs="Arial"/>
          <w:bCs/>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rPr>
        <w:t>la congruencia implica que exista concordancia entre el requerimiento formulado por el particular y la respuesta proporcionada por el sujeto obligado;</w:t>
      </w:r>
      <w:r w:rsidRPr="006807DD">
        <w:rPr>
          <w:rFonts w:ascii="Palatino Linotype" w:hAnsi="Palatino Linotype" w:cs="Arial"/>
          <w:bCs/>
          <w:i/>
        </w:rPr>
        <w:t xml:space="preserve"> mientras que </w:t>
      </w:r>
      <w:r w:rsidRPr="00D621C2">
        <w:rPr>
          <w:rFonts w:ascii="Palatino Linotype" w:hAnsi="Palatino Linotype" w:cs="Arial"/>
          <w:b/>
          <w:bCs/>
          <w:i/>
        </w:rPr>
        <w:t xml:space="preserve">la exhaustividad significa que dicha respuesta se refiera expresamente a cada uno de los puntos solicitados. </w:t>
      </w:r>
      <w:r w:rsidRPr="006807DD">
        <w:rPr>
          <w:rFonts w:ascii="Palatino Linotype" w:hAnsi="Palatino Linotype" w:cs="Arial"/>
          <w:bCs/>
          <w:i/>
        </w:rPr>
        <w:t xml:space="preserve">Por lo anterior, los sujetos obligados cumplirán con los principios de congruencia y exhaustividad, </w:t>
      </w:r>
      <w:r w:rsidRPr="00D621C2">
        <w:rPr>
          <w:rFonts w:ascii="Palatino Linotype" w:hAnsi="Palatino Linotype" w:cs="Arial"/>
          <w:b/>
          <w:bCs/>
          <w:i/>
        </w:rPr>
        <w:t>cuando las respuestas que emitan guarden una relación lógica con lo solicitado y atiendan de manera puntual y expresa, cada uno de los contenidos de información.</w:t>
      </w:r>
    </w:p>
    <w:p w:rsidR="00B26D1E" w:rsidRPr="00CB3EA9" w:rsidRDefault="00B26D1E" w:rsidP="00B26D1E">
      <w:pPr>
        <w:spacing w:before="100" w:beforeAutospacing="1" w:after="100" w:afterAutospacing="1"/>
        <w:ind w:left="851" w:right="899"/>
        <w:jc w:val="both"/>
        <w:rPr>
          <w:rFonts w:ascii="Palatino Linotype" w:hAnsi="Palatino Linotype" w:cs="Arial"/>
        </w:rPr>
      </w:pPr>
      <w:r w:rsidRPr="006807DD">
        <w:rPr>
          <w:rFonts w:ascii="Palatino Linotype" w:hAnsi="Palatino Linotype" w:cs="Arial"/>
          <w:bCs/>
          <w:i/>
        </w:rPr>
        <w:t xml:space="preserve">Resoluciones: </w:t>
      </w:r>
      <w:r w:rsidRPr="006807DD">
        <w:rPr>
          <w:rFonts w:ascii="Palatino Linotype" w:hAnsi="Palatino Linotype" w:cs="Arial"/>
          <w:bCs/>
          <w:i/>
        </w:rPr>
        <w:sym w:font="Symbol" w:char="F0B7"/>
      </w:r>
      <w:r w:rsidRPr="006807DD">
        <w:rPr>
          <w:rFonts w:ascii="Palatino Linotype" w:hAnsi="Palatino Linotype" w:cs="Arial"/>
          <w:bCs/>
          <w:i/>
        </w:rPr>
        <w:t xml:space="preserve"> RRA 0003/16. Comisión Nacional de las Zonas Áridas. 29 de junio de 2016. Por unanimidad. Comisionado Ponente Oscar Mauricio Guerra Ford. </w:t>
      </w:r>
      <w:r w:rsidRPr="006807DD">
        <w:rPr>
          <w:rFonts w:ascii="Palatino Linotype" w:hAnsi="Palatino Linotype" w:cs="Arial"/>
          <w:bCs/>
          <w:i/>
        </w:rPr>
        <w:sym w:font="Symbol" w:char="F0B7"/>
      </w:r>
      <w:r w:rsidRPr="006807DD">
        <w:rPr>
          <w:rFonts w:ascii="Palatino Linotype" w:hAnsi="Palatino Linotype" w:cs="Arial"/>
          <w:bCs/>
          <w:i/>
        </w:rPr>
        <w:t xml:space="preserve"> RRA 0100/16. Sindicato Nacional de Trabajadores de la Educación. 13 de julio de 2016. Por unanimidad. Comisionada Ponente. Areli Cano Guadiana. </w:t>
      </w:r>
      <w:r w:rsidRPr="006807DD">
        <w:rPr>
          <w:rFonts w:ascii="Palatino Linotype" w:hAnsi="Palatino Linotype" w:cs="Arial"/>
          <w:bCs/>
          <w:i/>
        </w:rPr>
        <w:sym w:font="Symbol" w:char="F0B7"/>
      </w:r>
      <w:r w:rsidRPr="006807DD">
        <w:rPr>
          <w:rFonts w:ascii="Palatino Linotype" w:hAnsi="Palatino Linotype" w:cs="Arial"/>
          <w:bCs/>
          <w:i/>
        </w:rPr>
        <w:t xml:space="preserve"> RRA 1419/16. Secretaría de Educación Pública. 14 de septiembre de 2016. Por unanimidad. Comisionado Ponente </w:t>
      </w:r>
      <w:proofErr w:type="spellStart"/>
      <w:r w:rsidRPr="006807DD">
        <w:rPr>
          <w:rFonts w:ascii="Palatino Linotype" w:hAnsi="Palatino Linotype" w:cs="Arial"/>
          <w:bCs/>
          <w:i/>
        </w:rPr>
        <w:t>Rosendoevgueni</w:t>
      </w:r>
      <w:proofErr w:type="spellEnd"/>
      <w:r w:rsidRPr="006807DD">
        <w:rPr>
          <w:rFonts w:ascii="Palatino Linotype" w:hAnsi="Palatino Linotype" w:cs="Arial"/>
          <w:bCs/>
          <w:i/>
        </w:rPr>
        <w:t xml:space="preserve"> Monterrey </w:t>
      </w:r>
      <w:proofErr w:type="spellStart"/>
      <w:r w:rsidRPr="006807DD">
        <w:rPr>
          <w:rFonts w:ascii="Palatino Linotype" w:hAnsi="Palatino Linotype" w:cs="Arial"/>
          <w:bCs/>
          <w:i/>
        </w:rPr>
        <w:t>Chepov</w:t>
      </w:r>
      <w:proofErr w:type="spellEnd"/>
      <w:r w:rsidRPr="007D2ED5">
        <w:rPr>
          <w:rFonts w:ascii="Palatino Linotype" w:hAnsi="Palatino Linotype" w:cs="Arial"/>
          <w:b/>
          <w:bCs/>
          <w:i/>
        </w:rPr>
        <w:t>.”</w:t>
      </w:r>
    </w:p>
    <w:p w:rsidR="00B26D1E" w:rsidRPr="00A859E5" w:rsidRDefault="00B26D1E" w:rsidP="00B26D1E">
      <w:pPr>
        <w:autoSpaceDE w:val="0"/>
        <w:autoSpaceDN w:val="0"/>
        <w:adjustRightInd w:val="0"/>
        <w:spacing w:before="100" w:beforeAutospacing="1" w:after="100" w:afterAutospacing="1" w:line="360" w:lineRule="auto"/>
        <w:ind w:right="49"/>
        <w:jc w:val="both"/>
        <w:rPr>
          <w:rFonts w:ascii="Palatino Linotype" w:hAnsi="Palatino Linotype" w:cs="Arial"/>
          <w:sz w:val="24"/>
        </w:rPr>
      </w:pPr>
      <w:r w:rsidRPr="00A859E5">
        <w:rPr>
          <w:rFonts w:ascii="Palatino Linotype" w:hAnsi="Palatino Linotype" w:cs="Arial"/>
          <w:sz w:val="24"/>
        </w:rPr>
        <w:lastRenderedPageBreak/>
        <w:t>Asimismo, se sustenta con el criterio jurisprudencial emitido por la Suprema Corte de Justicia de la nación, siguiente</w:t>
      </w:r>
    </w:p>
    <w:p w:rsidR="00B26D1E" w:rsidRPr="00D53E35" w:rsidRDefault="00B26D1E" w:rsidP="00B26D1E">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Época: Décima Época </w:t>
      </w:r>
    </w:p>
    <w:p w:rsidR="00B26D1E" w:rsidRPr="00D53E35" w:rsidRDefault="00B26D1E" w:rsidP="00B26D1E">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Registro: 2005968 </w:t>
      </w:r>
    </w:p>
    <w:p w:rsidR="00B26D1E" w:rsidRPr="00D53E35" w:rsidRDefault="00B26D1E" w:rsidP="00B26D1E">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Instancia: Tribunales Colegiados de Circuito </w:t>
      </w:r>
    </w:p>
    <w:p w:rsidR="00B26D1E" w:rsidRPr="00D53E35" w:rsidRDefault="00B26D1E" w:rsidP="00B26D1E">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Tipo de Tesis: Aislada </w:t>
      </w:r>
    </w:p>
    <w:p w:rsidR="00B26D1E" w:rsidRPr="00D53E35" w:rsidRDefault="00B26D1E" w:rsidP="00B26D1E">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Fuente: Gaceta del Semanario Judicial de la Federación </w:t>
      </w:r>
    </w:p>
    <w:p w:rsidR="00B26D1E" w:rsidRPr="00D53E35" w:rsidRDefault="00B26D1E" w:rsidP="00B26D1E">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Libro 4, Marzo de 2014, Tomo II </w:t>
      </w:r>
    </w:p>
    <w:p w:rsidR="00B26D1E" w:rsidRPr="00D53E35" w:rsidRDefault="00B26D1E" w:rsidP="00B26D1E">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Materia(s): Constitucional </w:t>
      </w:r>
    </w:p>
    <w:p w:rsidR="00B26D1E" w:rsidRPr="00D53E35" w:rsidRDefault="00B26D1E" w:rsidP="00B26D1E">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Tesis: I.4o.C.2 K (10a.) </w:t>
      </w:r>
    </w:p>
    <w:p w:rsidR="00B26D1E" w:rsidRPr="00D53E35" w:rsidRDefault="00B26D1E" w:rsidP="00B26D1E">
      <w:pPr>
        <w:autoSpaceDE w:val="0"/>
        <w:autoSpaceDN w:val="0"/>
        <w:adjustRightInd w:val="0"/>
        <w:ind w:left="709" w:right="757"/>
        <w:jc w:val="both"/>
        <w:rPr>
          <w:rFonts w:ascii="Palatino Linotype" w:hAnsi="Palatino Linotype" w:cs="Arial"/>
          <w:i/>
        </w:rPr>
      </w:pPr>
      <w:r w:rsidRPr="00D53E35">
        <w:rPr>
          <w:rFonts w:ascii="Palatino Linotype" w:hAnsi="Palatino Linotype" w:cs="Arial"/>
          <w:i/>
        </w:rPr>
        <w:t xml:space="preserve">Página: 1772 </w:t>
      </w:r>
    </w:p>
    <w:p w:rsidR="00B26D1E" w:rsidRPr="00D53E35" w:rsidRDefault="00B26D1E" w:rsidP="00B26D1E">
      <w:pPr>
        <w:autoSpaceDE w:val="0"/>
        <w:autoSpaceDN w:val="0"/>
        <w:adjustRightInd w:val="0"/>
        <w:spacing w:before="100" w:beforeAutospacing="1"/>
        <w:ind w:left="709" w:right="757"/>
        <w:jc w:val="both"/>
        <w:rPr>
          <w:rFonts w:ascii="Palatino Linotype" w:hAnsi="Palatino Linotype" w:cs="Arial"/>
          <w:i/>
        </w:rPr>
      </w:pPr>
      <w:r w:rsidRPr="00D53E35">
        <w:rPr>
          <w:rFonts w:ascii="Palatino Linotype" w:hAnsi="Palatino Linotype" w:cs="Arial"/>
          <w:b/>
          <w:i/>
        </w:rPr>
        <w:t>EXHAUSTIVIDAD</w:t>
      </w:r>
      <w:r w:rsidRPr="00D53E35">
        <w:rPr>
          <w:rFonts w:ascii="Palatino Linotype" w:hAnsi="Palatino Linotype" w:cs="Arial"/>
          <w:i/>
        </w:rPr>
        <w:t>. SU EXIGENCIA IMPLICA LA MAYOR CALIDAD POSIBLE DE LAS SENTENCIAS, PARA CUMPLIR CON LA PLENITUD EXIGIDA POR EL ARTÍCULO 17 CONSTITUCIONAL.</w:t>
      </w:r>
    </w:p>
    <w:p w:rsidR="00B26D1E" w:rsidRPr="00D53E35" w:rsidRDefault="00B26D1E" w:rsidP="00B26D1E">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B26D1E" w:rsidRPr="00D53E35" w:rsidRDefault="00B26D1E" w:rsidP="00B26D1E">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CUARTO TRIBUNAL COLEGIADO EN MATERIA CIVIL DEL PRIMER CIRCUITO.</w:t>
      </w:r>
    </w:p>
    <w:p w:rsidR="00B26D1E" w:rsidRPr="00D53E35" w:rsidRDefault="00B26D1E" w:rsidP="00B26D1E">
      <w:pPr>
        <w:autoSpaceDE w:val="0"/>
        <w:autoSpaceDN w:val="0"/>
        <w:adjustRightInd w:val="0"/>
        <w:spacing w:before="100" w:beforeAutospacing="1" w:after="100" w:afterAutospacing="1"/>
        <w:ind w:left="709" w:right="757"/>
        <w:jc w:val="both"/>
        <w:rPr>
          <w:rFonts w:ascii="Palatino Linotype" w:hAnsi="Palatino Linotype" w:cs="Arial"/>
          <w:i/>
        </w:rPr>
      </w:pPr>
      <w:r w:rsidRPr="00D53E35">
        <w:rPr>
          <w:rFonts w:ascii="Palatino Linotype" w:hAnsi="Palatino Linotype" w:cs="Arial"/>
          <w:i/>
        </w:rPr>
        <w:t>Amparo directo 401/2013. Carlos Sánchez Castillo. 20 de septiembre de 2013. Unanimidad de votos. Ponente: Leonel Castillo González. Secretaria: Norma Leonor Morales González.</w:t>
      </w:r>
    </w:p>
    <w:p w:rsidR="00B26D1E" w:rsidRPr="00A668C0" w:rsidRDefault="00B26D1E" w:rsidP="00B26D1E">
      <w:pPr>
        <w:spacing w:before="100" w:beforeAutospacing="1" w:after="100" w:afterAutospacing="1" w:line="360" w:lineRule="auto"/>
        <w:ind w:left="709" w:right="757"/>
        <w:jc w:val="both"/>
        <w:rPr>
          <w:rFonts w:ascii="Palatino Linotype" w:hAnsi="Palatino Linotype"/>
        </w:rPr>
      </w:pPr>
      <w:r w:rsidRPr="00D53E35">
        <w:rPr>
          <w:rFonts w:ascii="Palatino Linotype" w:hAnsi="Palatino Linotype" w:cs="Arial"/>
          <w:i/>
        </w:rPr>
        <w:t>Esta tesis se publicó el viernes 21 de marzo de 2014 a las 11:03 horas en el Semanario Judicial de la Federación.</w:t>
      </w:r>
    </w:p>
    <w:p w:rsidR="00B26D1E" w:rsidRPr="00FB66FE" w:rsidRDefault="00B26D1E" w:rsidP="00B26D1E">
      <w:pPr>
        <w:spacing w:before="100" w:beforeAutospacing="1" w:after="100" w:afterAutospacing="1" w:line="360" w:lineRule="auto"/>
        <w:ind w:left="709" w:right="757"/>
        <w:jc w:val="both"/>
        <w:rPr>
          <w:rFonts w:ascii="Palatino Linotype" w:hAnsi="Palatino Linotype"/>
          <w:i/>
          <w:color w:val="000000"/>
        </w:rPr>
      </w:pPr>
      <w:r w:rsidRPr="00FB66FE">
        <w:rPr>
          <w:rFonts w:ascii="Palatino Linotype" w:hAnsi="Palatino Linotype"/>
          <w:b/>
          <w:i/>
          <w:color w:val="000000"/>
        </w:rPr>
        <w:t>Artículo 9.</w:t>
      </w:r>
      <w:r w:rsidRPr="00FB66FE">
        <w:rPr>
          <w:rFonts w:ascii="Palatino Linotype" w:hAnsi="Palatino Linotype"/>
          <w:i/>
          <w:color w:val="000000"/>
        </w:rPr>
        <w:t xml:space="preserve"> El Instituto deberá regir su funcionamiento de acuerdo a los siguientes principios:</w:t>
      </w:r>
    </w:p>
    <w:p w:rsidR="00B26D1E" w:rsidRPr="00827FC6" w:rsidRDefault="00B26D1E" w:rsidP="00B26D1E">
      <w:pPr>
        <w:spacing w:before="100" w:beforeAutospacing="1" w:after="100" w:afterAutospacing="1" w:line="240" w:lineRule="auto"/>
        <w:ind w:left="709" w:right="757"/>
        <w:jc w:val="both"/>
        <w:rPr>
          <w:rFonts w:ascii="Palatino Linotype" w:hAnsi="Palatino Linotype"/>
          <w:i/>
          <w:color w:val="000000"/>
        </w:rPr>
      </w:pPr>
      <w:r w:rsidRPr="00FB66FE">
        <w:rPr>
          <w:rFonts w:ascii="Palatino Linotype" w:hAnsi="Palatino Linotype"/>
          <w:b/>
          <w:i/>
          <w:color w:val="000000"/>
        </w:rPr>
        <w:t>I.</w:t>
      </w:r>
      <w:r w:rsidRPr="00FB66FE">
        <w:rPr>
          <w:rFonts w:ascii="Palatino Linotype" w:hAnsi="Palatino Linotype"/>
          <w:b/>
          <w:i/>
          <w:color w:val="000000"/>
        </w:rPr>
        <w:tab/>
        <w:t>Certeza:</w:t>
      </w:r>
      <w:r w:rsidRPr="00FB66FE">
        <w:rPr>
          <w:rFonts w:ascii="Palatino Linotype" w:hAnsi="Palatino Linotype"/>
          <w:i/>
          <w:color w:val="000000"/>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rsidR="007D09E5" w:rsidRPr="009A0B3C" w:rsidRDefault="007D09E5" w:rsidP="00E10F9B">
      <w:pPr>
        <w:autoSpaceDE w:val="0"/>
        <w:autoSpaceDN w:val="0"/>
        <w:adjustRightInd w:val="0"/>
        <w:spacing w:before="100" w:beforeAutospacing="1" w:after="100" w:afterAutospacing="1"/>
        <w:ind w:left="709" w:right="757"/>
        <w:jc w:val="both"/>
        <w:rPr>
          <w:rFonts w:ascii="Palatino Linotype" w:hAnsi="Palatino Linotype" w:cs="Arial"/>
          <w:i/>
        </w:rPr>
      </w:pPr>
    </w:p>
    <w:p w:rsidR="000D3E21" w:rsidRPr="002601BD" w:rsidRDefault="00E10F9B" w:rsidP="00B26D1E">
      <w:pPr>
        <w:spacing w:before="100" w:beforeAutospacing="1" w:after="100" w:afterAutospacing="1" w:line="360" w:lineRule="auto"/>
        <w:ind w:right="49"/>
        <w:jc w:val="both"/>
        <w:rPr>
          <w:rFonts w:ascii="Palatino Linotype" w:hAnsi="Palatino Linotype" w:cs="Arial"/>
          <w:sz w:val="24"/>
          <w:szCs w:val="24"/>
        </w:rPr>
      </w:pPr>
      <w:r w:rsidRPr="00E10F9B">
        <w:rPr>
          <w:rFonts w:ascii="Palatino Linotype" w:hAnsi="Palatino Linotype"/>
          <w:sz w:val="24"/>
          <w:szCs w:val="24"/>
        </w:rPr>
        <w:t xml:space="preserve">En ese sentido, la que suscribe </w:t>
      </w:r>
      <w:r w:rsidRPr="00E10F9B">
        <w:rPr>
          <w:rFonts w:ascii="Palatino Linotype" w:hAnsi="Palatino Linotype" w:cs="Arial"/>
          <w:sz w:val="24"/>
          <w:szCs w:val="24"/>
        </w:rPr>
        <w:t xml:space="preserve">emite </w:t>
      </w:r>
      <w:r w:rsidRPr="00E10F9B">
        <w:rPr>
          <w:rFonts w:ascii="Palatino Linotype" w:hAnsi="Palatino Linotype" w:cs="Arial"/>
          <w:b/>
          <w:sz w:val="24"/>
          <w:szCs w:val="24"/>
        </w:rPr>
        <w:t xml:space="preserve">VOTO PARTICULAR </w:t>
      </w:r>
      <w:r w:rsidRPr="00E10F9B">
        <w:rPr>
          <w:rFonts w:ascii="Palatino Linotype" w:hAnsi="Palatino Linotype" w:cs="Arial"/>
          <w:sz w:val="24"/>
          <w:szCs w:val="24"/>
        </w:rPr>
        <w:t xml:space="preserve">ya que se reitera que </w:t>
      </w:r>
      <w:r w:rsidR="000507DF">
        <w:rPr>
          <w:rFonts w:ascii="Palatino Linotype" w:hAnsi="Palatino Linotype" w:cs="Arial"/>
          <w:sz w:val="24"/>
          <w:szCs w:val="24"/>
        </w:rPr>
        <w:t xml:space="preserve">si bien se coincide tanto con el sentido como con el estudio de la resolución realizado por la Ponencia </w:t>
      </w:r>
      <w:proofErr w:type="spellStart"/>
      <w:r w:rsidR="000507DF">
        <w:rPr>
          <w:rFonts w:ascii="Palatino Linotype" w:hAnsi="Palatino Linotype" w:cs="Arial"/>
          <w:sz w:val="24"/>
          <w:szCs w:val="24"/>
        </w:rPr>
        <w:t>Resolutora</w:t>
      </w:r>
      <w:proofErr w:type="spellEnd"/>
      <w:r w:rsidR="000507DF">
        <w:rPr>
          <w:rFonts w:ascii="Palatino Linotype" w:hAnsi="Palatino Linotype" w:cs="Arial"/>
          <w:sz w:val="24"/>
          <w:szCs w:val="24"/>
        </w:rPr>
        <w:t>, se considera que se debieron abordar dentro de la resolución los organismos descentralizados pertenecientes al Ayuntamiento, toda vez que de manera clara y especifica son solicitados por el particular al momento de accionar su derecho de acceso a la información pública</w:t>
      </w:r>
      <w:r w:rsidR="00B26D1E">
        <w:rPr>
          <w:rFonts w:ascii="Palatino Linotype" w:hAnsi="Palatino Linotype" w:cs="Arial"/>
          <w:sz w:val="24"/>
          <w:szCs w:val="24"/>
          <w:lang w:eastAsia="es-MX"/>
        </w:rPr>
        <w:t>.</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A859E5" w:rsidRDefault="00A859E5" w:rsidP="00FF74B8">
            <w:pPr>
              <w:spacing w:after="0"/>
              <w:ind w:right="51"/>
              <w:jc w:val="center"/>
              <w:rPr>
                <w:rFonts w:ascii="Palatino Linotype" w:hAnsi="Palatino Linotype"/>
                <w:b/>
                <w:sz w:val="24"/>
                <w:szCs w:val="24"/>
              </w:rPr>
            </w:pPr>
          </w:p>
          <w:p w:rsidR="00A859E5" w:rsidRDefault="00A859E5" w:rsidP="00FF74B8">
            <w:pPr>
              <w:spacing w:after="0"/>
              <w:ind w:right="51"/>
              <w:jc w:val="center"/>
              <w:rPr>
                <w:rFonts w:ascii="Palatino Linotype" w:hAnsi="Palatino Linotype"/>
                <w:b/>
                <w:sz w:val="24"/>
                <w:szCs w:val="24"/>
              </w:rPr>
            </w:pPr>
          </w:p>
          <w:p w:rsidR="00A859E5" w:rsidRDefault="00A859E5" w:rsidP="00FF74B8">
            <w:pPr>
              <w:spacing w:after="0"/>
              <w:ind w:right="51"/>
              <w:jc w:val="center"/>
              <w:rPr>
                <w:rFonts w:ascii="Palatino Linotype" w:hAnsi="Palatino Linotype"/>
                <w:b/>
                <w:sz w:val="24"/>
                <w:szCs w:val="24"/>
              </w:rPr>
            </w:pPr>
          </w:p>
          <w:p w:rsidR="00A859E5" w:rsidRDefault="00A859E5" w:rsidP="00FF74B8">
            <w:pPr>
              <w:spacing w:after="0"/>
              <w:ind w:right="51"/>
              <w:jc w:val="center"/>
              <w:rPr>
                <w:rFonts w:ascii="Palatino Linotype" w:hAnsi="Palatino Linotype"/>
                <w:b/>
                <w:sz w:val="24"/>
                <w:szCs w:val="24"/>
              </w:rPr>
            </w:pPr>
          </w:p>
          <w:p w:rsidR="00A859E5" w:rsidRDefault="00A859E5" w:rsidP="00FF74B8">
            <w:pPr>
              <w:spacing w:after="0"/>
              <w:ind w:right="51"/>
              <w:jc w:val="center"/>
              <w:rPr>
                <w:rFonts w:ascii="Palatino Linotype" w:hAnsi="Palatino Linotype"/>
                <w:b/>
                <w:sz w:val="24"/>
                <w:szCs w:val="24"/>
              </w:rPr>
            </w:pPr>
          </w:p>
          <w:p w:rsidR="00A859E5" w:rsidRDefault="00A859E5" w:rsidP="00FF74B8">
            <w:pPr>
              <w:spacing w:after="0"/>
              <w:ind w:right="51"/>
              <w:jc w:val="center"/>
              <w:rPr>
                <w:rFonts w:ascii="Palatino Linotype" w:hAnsi="Palatino Linotype"/>
                <w:b/>
                <w:sz w:val="24"/>
                <w:szCs w:val="24"/>
              </w:rPr>
            </w:pP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A859E5">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16229E" w:rsidRPr="009F71D8" w:rsidRDefault="008B0756" w:rsidP="00A859E5">
            <w:pPr>
              <w:spacing w:after="0"/>
              <w:ind w:right="51"/>
              <w:jc w:val="center"/>
              <w:rPr>
                <w:rFonts w:ascii="Palatino Linotype" w:hAnsi="Palatino Linotype"/>
                <w:b/>
                <w:sz w:val="24"/>
                <w:szCs w:val="24"/>
              </w:rPr>
            </w:pPr>
            <w:r>
              <w:rPr>
                <w:rFonts w:ascii="Palatino Linotype" w:hAnsi="Palatino Linotype"/>
                <w:b/>
              </w:rPr>
              <w:t>(RÚBRICA)</w:t>
            </w:r>
            <w:bookmarkStart w:id="0" w:name="_GoBack"/>
            <w:bookmarkEnd w:id="0"/>
          </w:p>
        </w:tc>
      </w:tr>
    </w:tbl>
    <w:p w:rsidR="00D67AAB" w:rsidRDefault="00D67AAB"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E84A93" w:rsidRDefault="00222D15" w:rsidP="00222D15">
      <w:pPr>
        <w:widowControl w:val="0"/>
        <w:spacing w:after="0" w:line="240" w:lineRule="auto"/>
        <w:ind w:right="51"/>
        <w:jc w:val="both"/>
        <w:rPr>
          <w:rFonts w:ascii="Palatino Linotype" w:hAnsi="Palatino Linotype" w:cs="Arial"/>
          <w:bCs/>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0507DF">
        <w:rPr>
          <w:rFonts w:ascii="Palatino Linotype" w:hAnsi="Palatino Linotype" w:cs="Arial"/>
          <w:bCs/>
          <w:sz w:val="20"/>
          <w:szCs w:val="20"/>
        </w:rPr>
        <w:t>5860</w:t>
      </w:r>
      <w:r w:rsidRPr="002D79AC">
        <w:rPr>
          <w:rFonts w:ascii="Palatino Linotype" w:hAnsi="Palatino Linotype" w:cs="Arial"/>
          <w:bCs/>
          <w:sz w:val="20"/>
          <w:szCs w:val="20"/>
        </w:rPr>
        <w:t>/INFOEM/IP/RR/201</w:t>
      </w:r>
      <w:r w:rsidR="00D67AAB">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275040">
        <w:rPr>
          <w:rFonts w:ascii="Palatino Linotype" w:hAnsi="Palatino Linotype" w:cs="Arial"/>
          <w:bCs/>
          <w:sz w:val="20"/>
          <w:szCs w:val="20"/>
        </w:rPr>
        <w:t>diecinueve de septiembre</w:t>
      </w:r>
      <w:r w:rsidR="00045152">
        <w:rPr>
          <w:rFonts w:ascii="Palatino Linotype" w:hAnsi="Palatino Linotype" w:cs="Arial"/>
          <w:bCs/>
          <w:sz w:val="20"/>
          <w:szCs w:val="20"/>
        </w:rPr>
        <w:t xml:space="preserve"> </w:t>
      </w:r>
      <w:r w:rsidR="00F860A0">
        <w:rPr>
          <w:rFonts w:ascii="Palatino Linotype" w:hAnsi="Palatino Linotype" w:cs="Arial"/>
          <w:bCs/>
          <w:sz w:val="20"/>
          <w:szCs w:val="20"/>
        </w:rPr>
        <w:t>de dos mil diecinueve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E43478">
        <w:rPr>
          <w:rFonts w:ascii="Palatino Linotype" w:eastAsia="Calibri" w:hAnsi="Palatino Linotype" w:cs="Arial"/>
          <w:color w:val="000000" w:themeColor="text1"/>
          <w:sz w:val="20"/>
          <w:szCs w:val="20"/>
        </w:rPr>
        <w:t>/</w:t>
      </w:r>
      <w:r w:rsidR="00757133">
        <w:rPr>
          <w:rFonts w:ascii="Palatino Linotype" w:eastAsia="Calibri" w:hAnsi="Palatino Linotype" w:cs="Arial"/>
          <w:color w:val="000000" w:themeColor="text1"/>
          <w:sz w:val="20"/>
          <w:szCs w:val="20"/>
        </w:rPr>
        <w:t>ATU/</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9"/>
      <w:headerReference w:type="default" r:id="rId10"/>
      <w:footerReference w:type="default" r:id="rId11"/>
      <w:head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ADF" w:rsidRDefault="00683ADF" w:rsidP="00222D15">
      <w:pPr>
        <w:spacing w:after="0" w:line="240" w:lineRule="auto"/>
      </w:pPr>
      <w:r>
        <w:separator/>
      </w:r>
    </w:p>
  </w:endnote>
  <w:endnote w:type="continuationSeparator" w:id="0">
    <w:p w:rsidR="00683ADF" w:rsidRDefault="00683ADF"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B0756" w:rsidP="00DC5C4E">
    <w:pPr>
      <w:pStyle w:val="Piedepgina"/>
      <w:tabs>
        <w:tab w:val="clear" w:pos="4252"/>
        <w:tab w:val="left" w:pos="4228"/>
      </w:tabs>
      <w:rPr>
        <w:rFonts w:ascii="Palatino Linotype" w:hAnsi="Palatino Linotype" w:cs="Arial"/>
        <w:b/>
        <w:bCs/>
        <w:sz w:val="20"/>
        <w:szCs w:val="20"/>
      </w:rPr>
    </w:pPr>
  </w:p>
  <w:p w:rsidR="005C7C8F" w:rsidRDefault="008B0756" w:rsidP="00DC5C4E">
    <w:pPr>
      <w:pStyle w:val="Piedepgina"/>
      <w:tabs>
        <w:tab w:val="clear" w:pos="4252"/>
        <w:tab w:val="left" w:pos="4228"/>
      </w:tabs>
      <w:rPr>
        <w:rFonts w:ascii="Palatino Linotype" w:hAnsi="Palatino Linotype" w:cs="Arial"/>
        <w:b/>
        <w:bCs/>
        <w:sz w:val="20"/>
        <w:szCs w:val="20"/>
      </w:rPr>
    </w:pPr>
  </w:p>
  <w:p w:rsidR="005C7C8F" w:rsidRDefault="008B0756" w:rsidP="00DC5C4E">
    <w:pPr>
      <w:pStyle w:val="Piedepgina"/>
      <w:tabs>
        <w:tab w:val="clear" w:pos="4252"/>
        <w:tab w:val="left" w:pos="4228"/>
      </w:tabs>
      <w:rPr>
        <w:rFonts w:ascii="Palatino Linotype" w:hAnsi="Palatino Linotype" w:cs="Arial"/>
        <w:b/>
        <w:bCs/>
        <w:sz w:val="20"/>
        <w:szCs w:val="20"/>
      </w:rPr>
    </w:pPr>
  </w:p>
  <w:p w:rsidR="005C7C8F" w:rsidRDefault="008B0756"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B0756">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B0756">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8B0756"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ADF" w:rsidRDefault="00683ADF" w:rsidP="00222D15">
      <w:pPr>
        <w:spacing w:after="0" w:line="240" w:lineRule="auto"/>
      </w:pPr>
      <w:r>
        <w:separator/>
      </w:r>
    </w:p>
  </w:footnote>
  <w:footnote w:type="continuationSeparator" w:id="0">
    <w:p w:rsidR="00683ADF" w:rsidRDefault="00683ADF"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B075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8B0756"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8B0756"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7C4D4B">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E24D48">
      <w:rPr>
        <w:rFonts w:ascii="Palatino Linotype" w:hAnsi="Palatino Linotype" w:cs="Arial"/>
        <w:sz w:val="20"/>
        <w:szCs w:val="20"/>
      </w:rPr>
      <w:t>5860</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8B0756"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89.4pt;margin-top:249.2pt;width:658.05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8B075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3437A"/>
    <w:multiLevelType w:val="hybridMultilevel"/>
    <w:tmpl w:val="CAA0E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0A7578"/>
    <w:multiLevelType w:val="multilevel"/>
    <w:tmpl w:val="6994D100"/>
    <w:lvl w:ilvl="0">
      <w:start w:val="1"/>
      <w:numFmt w:val="lowerLetter"/>
      <w:lvlText w:val="%1)"/>
      <w:lvlJc w:val="left"/>
      <w:pPr>
        <w:ind w:left="644" w:hanging="360"/>
      </w:pPr>
      <w:rPr>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nsid w:val="27F04D0A"/>
    <w:multiLevelType w:val="hybridMultilevel"/>
    <w:tmpl w:val="3888113A"/>
    <w:lvl w:ilvl="0" w:tplc="49DA96F8">
      <w:start w:val="1"/>
      <w:numFmt w:val="lowerLetter"/>
      <w:lvlText w:val="%1)"/>
      <w:lvlJc w:val="left"/>
      <w:pPr>
        <w:ind w:left="1146" w:hanging="360"/>
      </w:pPr>
      <w:rPr>
        <w:rFonts w:hint="default"/>
        <w:b w:val="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31361FEB"/>
    <w:multiLevelType w:val="hybridMultilevel"/>
    <w:tmpl w:val="7430BD10"/>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1">
    <w:nsid w:val="321C2C63"/>
    <w:multiLevelType w:val="hybridMultilevel"/>
    <w:tmpl w:val="18862B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F373EFE"/>
    <w:multiLevelType w:val="hybridMultilevel"/>
    <w:tmpl w:val="D9C020F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71E3504F"/>
    <w:multiLevelType w:val="hybridMultilevel"/>
    <w:tmpl w:val="2CF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0"/>
  </w:num>
  <w:num w:numId="3">
    <w:abstractNumId w:val="14"/>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2"/>
  </w:num>
  <w:num w:numId="9">
    <w:abstractNumId w:val="18"/>
  </w:num>
  <w:num w:numId="10">
    <w:abstractNumId w:val="2"/>
  </w:num>
  <w:num w:numId="11">
    <w:abstractNumId w:val="4"/>
  </w:num>
  <w:num w:numId="12">
    <w:abstractNumId w:val="6"/>
  </w:num>
  <w:num w:numId="13">
    <w:abstractNumId w:val="15"/>
  </w:num>
  <w:num w:numId="14">
    <w:abstractNumId w:val="10"/>
  </w:num>
  <w:num w:numId="15">
    <w:abstractNumId w:val="19"/>
  </w:num>
  <w:num w:numId="16">
    <w:abstractNumId w:val="21"/>
  </w:num>
  <w:num w:numId="17">
    <w:abstractNumId w:val="23"/>
  </w:num>
  <w:num w:numId="18">
    <w:abstractNumId w:val="11"/>
  </w:num>
  <w:num w:numId="19">
    <w:abstractNumId w:val="0"/>
  </w:num>
  <w:num w:numId="20">
    <w:abstractNumId w:val="16"/>
  </w:num>
  <w:num w:numId="21">
    <w:abstractNumId w:val="5"/>
  </w:num>
  <w:num w:numId="22">
    <w:abstractNumId w:val="12"/>
  </w:num>
  <w:num w:numId="23">
    <w:abstractNumId w:val="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45152"/>
    <w:rsid w:val="000507DF"/>
    <w:rsid w:val="000734DD"/>
    <w:rsid w:val="000B643B"/>
    <w:rsid w:val="000D3E21"/>
    <w:rsid w:val="001300FF"/>
    <w:rsid w:val="001354EB"/>
    <w:rsid w:val="001375AB"/>
    <w:rsid w:val="00142B10"/>
    <w:rsid w:val="0016229E"/>
    <w:rsid w:val="00177DDB"/>
    <w:rsid w:val="00183FBA"/>
    <w:rsid w:val="00184B83"/>
    <w:rsid w:val="001C32BC"/>
    <w:rsid w:val="001F5492"/>
    <w:rsid w:val="00222D15"/>
    <w:rsid w:val="002362C0"/>
    <w:rsid w:val="0024260F"/>
    <w:rsid w:val="002670F4"/>
    <w:rsid w:val="00267DAC"/>
    <w:rsid w:val="0027038D"/>
    <w:rsid w:val="00275040"/>
    <w:rsid w:val="00280712"/>
    <w:rsid w:val="00283122"/>
    <w:rsid w:val="002B43B8"/>
    <w:rsid w:val="002F537D"/>
    <w:rsid w:val="00303FB7"/>
    <w:rsid w:val="0030441A"/>
    <w:rsid w:val="00312268"/>
    <w:rsid w:val="00333EEC"/>
    <w:rsid w:val="00334792"/>
    <w:rsid w:val="00352450"/>
    <w:rsid w:val="00352721"/>
    <w:rsid w:val="00363930"/>
    <w:rsid w:val="003A1818"/>
    <w:rsid w:val="003B2D2B"/>
    <w:rsid w:val="003D5927"/>
    <w:rsid w:val="003E110E"/>
    <w:rsid w:val="003E5AB1"/>
    <w:rsid w:val="003E6C2F"/>
    <w:rsid w:val="003F231C"/>
    <w:rsid w:val="00434F2D"/>
    <w:rsid w:val="0046713B"/>
    <w:rsid w:val="004773D0"/>
    <w:rsid w:val="004801C3"/>
    <w:rsid w:val="004B607A"/>
    <w:rsid w:val="004B7753"/>
    <w:rsid w:val="004C6792"/>
    <w:rsid w:val="004E7395"/>
    <w:rsid w:val="004F1058"/>
    <w:rsid w:val="004F307F"/>
    <w:rsid w:val="0051785B"/>
    <w:rsid w:val="00517C66"/>
    <w:rsid w:val="00520810"/>
    <w:rsid w:val="00524824"/>
    <w:rsid w:val="00534C05"/>
    <w:rsid w:val="00541D04"/>
    <w:rsid w:val="00563884"/>
    <w:rsid w:val="00571F3C"/>
    <w:rsid w:val="005D1C17"/>
    <w:rsid w:val="005E0490"/>
    <w:rsid w:val="005E0746"/>
    <w:rsid w:val="005F4CBD"/>
    <w:rsid w:val="006079F6"/>
    <w:rsid w:val="00642D83"/>
    <w:rsid w:val="006537E7"/>
    <w:rsid w:val="00657587"/>
    <w:rsid w:val="00661074"/>
    <w:rsid w:val="00683ADF"/>
    <w:rsid w:val="00692DB6"/>
    <w:rsid w:val="006A112C"/>
    <w:rsid w:val="006D2711"/>
    <w:rsid w:val="00702877"/>
    <w:rsid w:val="0072662D"/>
    <w:rsid w:val="0075624F"/>
    <w:rsid w:val="00757133"/>
    <w:rsid w:val="00784D68"/>
    <w:rsid w:val="00787DD5"/>
    <w:rsid w:val="00792EC9"/>
    <w:rsid w:val="007A3711"/>
    <w:rsid w:val="007C4D4B"/>
    <w:rsid w:val="007D09E5"/>
    <w:rsid w:val="00826F9A"/>
    <w:rsid w:val="008A22B2"/>
    <w:rsid w:val="008B0756"/>
    <w:rsid w:val="008C3005"/>
    <w:rsid w:val="008C3EA5"/>
    <w:rsid w:val="008C4B77"/>
    <w:rsid w:val="008C6BC1"/>
    <w:rsid w:val="00920D70"/>
    <w:rsid w:val="00923B0E"/>
    <w:rsid w:val="0094060E"/>
    <w:rsid w:val="00945BD8"/>
    <w:rsid w:val="009C0562"/>
    <w:rsid w:val="009E3E0B"/>
    <w:rsid w:val="009F1B96"/>
    <w:rsid w:val="00A55C30"/>
    <w:rsid w:val="00A859E5"/>
    <w:rsid w:val="00A85D7A"/>
    <w:rsid w:val="00AC0AFF"/>
    <w:rsid w:val="00AE1C6B"/>
    <w:rsid w:val="00AE3945"/>
    <w:rsid w:val="00AE4B1F"/>
    <w:rsid w:val="00AE56B4"/>
    <w:rsid w:val="00AF155E"/>
    <w:rsid w:val="00B01DEF"/>
    <w:rsid w:val="00B26C8F"/>
    <w:rsid w:val="00B26D1E"/>
    <w:rsid w:val="00B65E8A"/>
    <w:rsid w:val="00BA7978"/>
    <w:rsid w:val="00BB75BA"/>
    <w:rsid w:val="00BC1621"/>
    <w:rsid w:val="00BC647D"/>
    <w:rsid w:val="00C057C4"/>
    <w:rsid w:val="00C10C4B"/>
    <w:rsid w:val="00C10CE9"/>
    <w:rsid w:val="00C23B43"/>
    <w:rsid w:val="00C3408B"/>
    <w:rsid w:val="00C76FD9"/>
    <w:rsid w:val="00C83DFF"/>
    <w:rsid w:val="00C846FA"/>
    <w:rsid w:val="00C92D53"/>
    <w:rsid w:val="00C9714C"/>
    <w:rsid w:val="00CB35F6"/>
    <w:rsid w:val="00CB3EA9"/>
    <w:rsid w:val="00CD75F6"/>
    <w:rsid w:val="00CE3D7A"/>
    <w:rsid w:val="00D05991"/>
    <w:rsid w:val="00D3046F"/>
    <w:rsid w:val="00D34ECE"/>
    <w:rsid w:val="00D67AAB"/>
    <w:rsid w:val="00D72673"/>
    <w:rsid w:val="00D83EB3"/>
    <w:rsid w:val="00D9781B"/>
    <w:rsid w:val="00DB79F9"/>
    <w:rsid w:val="00DF3621"/>
    <w:rsid w:val="00E02985"/>
    <w:rsid w:val="00E10F9B"/>
    <w:rsid w:val="00E24D48"/>
    <w:rsid w:val="00E43478"/>
    <w:rsid w:val="00E45F71"/>
    <w:rsid w:val="00E471A2"/>
    <w:rsid w:val="00E47517"/>
    <w:rsid w:val="00E838CF"/>
    <w:rsid w:val="00E842B6"/>
    <w:rsid w:val="00E84A93"/>
    <w:rsid w:val="00E97C45"/>
    <w:rsid w:val="00EA3494"/>
    <w:rsid w:val="00EB3365"/>
    <w:rsid w:val="00EB621D"/>
    <w:rsid w:val="00EC447A"/>
    <w:rsid w:val="00ED22F1"/>
    <w:rsid w:val="00ED27A9"/>
    <w:rsid w:val="00ED29D1"/>
    <w:rsid w:val="00EE67AD"/>
    <w:rsid w:val="00F3668C"/>
    <w:rsid w:val="00F367F5"/>
    <w:rsid w:val="00F45BEE"/>
    <w:rsid w:val="00F5763D"/>
    <w:rsid w:val="00F7093C"/>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 w:type="character" w:styleId="Hipervnculo">
    <w:name w:val="Hyperlink"/>
    <w:basedOn w:val="Fuentedeprrafopredeter"/>
    <w:uiPriority w:val="99"/>
    <w:unhideWhenUsed/>
    <w:rsid w:val="00F45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ladelcarbo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02629-1943-4C40-ADD3-9286C841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1697</Words>
  <Characters>9334</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8</cp:revision>
  <cp:lastPrinted>2019-09-24T22:29:00Z</cp:lastPrinted>
  <dcterms:created xsi:type="dcterms:W3CDTF">2019-09-24T16:50:00Z</dcterms:created>
  <dcterms:modified xsi:type="dcterms:W3CDTF">2019-10-15T23:06:00Z</dcterms:modified>
</cp:coreProperties>
</file>