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4212" w:tblpY="556"/>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35"/>
        <w:gridCol w:w="3969"/>
      </w:tblGrid>
      <w:tr w:rsidR="00264223" w:rsidRPr="00516CC9" w:rsidTr="000A24C9">
        <w:trPr>
          <w:trHeight w:val="144"/>
        </w:trPr>
        <w:tc>
          <w:tcPr>
            <w:tcW w:w="2835" w:type="dxa"/>
          </w:tcPr>
          <w:p w:rsidR="00264223" w:rsidRPr="00516CC9" w:rsidRDefault="00264223" w:rsidP="00516CC9">
            <w:pPr>
              <w:tabs>
                <w:tab w:val="right" w:pos="8838"/>
              </w:tabs>
              <w:spacing w:line="360" w:lineRule="auto"/>
              <w:ind w:right="-105"/>
              <w:rPr>
                <w:rFonts w:ascii="Palatino Linotype" w:eastAsia="Calibri" w:hAnsi="Palatino Linotype" w:cs="Tahoma"/>
                <w:b/>
                <w:sz w:val="22"/>
                <w:szCs w:val="22"/>
                <w:lang w:val="es-MX" w:eastAsia="en-US"/>
              </w:rPr>
            </w:pPr>
            <w:r w:rsidRPr="00516CC9">
              <w:rPr>
                <w:rFonts w:ascii="Palatino Linotype" w:eastAsia="Calibri" w:hAnsi="Palatino Linotype" w:cs="Tahoma"/>
                <w:b/>
                <w:sz w:val="22"/>
                <w:szCs w:val="22"/>
                <w:lang w:val="es-MX" w:eastAsia="en-US"/>
              </w:rPr>
              <w:t>Recurso de Revisión:</w:t>
            </w:r>
          </w:p>
        </w:tc>
        <w:tc>
          <w:tcPr>
            <w:tcW w:w="3969" w:type="dxa"/>
          </w:tcPr>
          <w:p w:rsidR="00264223" w:rsidRPr="00516CC9" w:rsidRDefault="000C766E" w:rsidP="00516CC9">
            <w:pPr>
              <w:tabs>
                <w:tab w:val="right" w:pos="8838"/>
              </w:tabs>
              <w:spacing w:line="360" w:lineRule="auto"/>
              <w:ind w:left="-28" w:right="171"/>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0</w:t>
            </w:r>
            <w:r w:rsidR="001E2CC9" w:rsidRPr="00516CC9">
              <w:rPr>
                <w:rFonts w:ascii="Palatino Linotype" w:eastAsia="Calibri" w:hAnsi="Palatino Linotype" w:cs="Tahoma"/>
                <w:bCs/>
                <w:sz w:val="22"/>
                <w:szCs w:val="22"/>
                <w:lang w:eastAsia="en-US"/>
              </w:rPr>
              <w:t>1341</w:t>
            </w:r>
            <w:r w:rsidRPr="00516CC9">
              <w:rPr>
                <w:rFonts w:ascii="Palatino Linotype" w:eastAsia="Calibri" w:hAnsi="Palatino Linotype" w:cs="Tahoma"/>
                <w:bCs/>
                <w:sz w:val="22"/>
                <w:szCs w:val="22"/>
                <w:lang w:eastAsia="en-US"/>
              </w:rPr>
              <w:t>/INFOEM/IP/RR/2019</w:t>
            </w:r>
          </w:p>
        </w:tc>
      </w:tr>
      <w:tr w:rsidR="00264223" w:rsidRPr="00516CC9" w:rsidTr="000A24C9">
        <w:trPr>
          <w:trHeight w:val="144"/>
        </w:trPr>
        <w:tc>
          <w:tcPr>
            <w:tcW w:w="2835" w:type="dxa"/>
          </w:tcPr>
          <w:p w:rsidR="00264223" w:rsidRPr="00516CC9" w:rsidRDefault="00264223" w:rsidP="00516CC9">
            <w:pPr>
              <w:tabs>
                <w:tab w:val="right" w:pos="8838"/>
              </w:tabs>
              <w:spacing w:line="360" w:lineRule="auto"/>
              <w:ind w:right="-105"/>
              <w:rPr>
                <w:rFonts w:ascii="Palatino Linotype" w:eastAsia="Calibri" w:hAnsi="Palatino Linotype" w:cs="Tahoma"/>
                <w:b/>
                <w:sz w:val="22"/>
                <w:szCs w:val="22"/>
                <w:lang w:val="es-MX" w:eastAsia="en-US"/>
              </w:rPr>
            </w:pPr>
            <w:r w:rsidRPr="00516CC9">
              <w:rPr>
                <w:rFonts w:ascii="Palatino Linotype" w:eastAsia="Calibri" w:hAnsi="Palatino Linotype" w:cs="Tahoma"/>
                <w:b/>
                <w:sz w:val="22"/>
                <w:szCs w:val="22"/>
                <w:lang w:eastAsia="en-US"/>
              </w:rPr>
              <w:t>Recurrente:</w:t>
            </w:r>
          </w:p>
        </w:tc>
        <w:tc>
          <w:tcPr>
            <w:tcW w:w="3969" w:type="dxa"/>
          </w:tcPr>
          <w:p w:rsidR="00264223" w:rsidRPr="00516CC9" w:rsidRDefault="00B078D9" w:rsidP="00516CC9">
            <w:pPr>
              <w:tabs>
                <w:tab w:val="right" w:pos="8838"/>
              </w:tabs>
              <w:spacing w:line="360" w:lineRule="auto"/>
              <w:ind w:right="171"/>
              <w:jc w:val="both"/>
              <w:rPr>
                <w:rFonts w:ascii="Palatino Linotype" w:eastAsia="Calibri" w:hAnsi="Palatino Linotype" w:cs="Tahoma"/>
                <w:sz w:val="22"/>
                <w:szCs w:val="22"/>
                <w:lang w:val="es-MX" w:eastAsia="en-US"/>
              </w:rPr>
            </w:pPr>
            <w:r w:rsidRPr="00B078D9">
              <w:rPr>
                <w:rFonts w:ascii="Palatino Linotype" w:eastAsia="Calibri" w:hAnsi="Palatino Linotype" w:cs="Tahoma"/>
                <w:bCs/>
                <w:sz w:val="22"/>
                <w:szCs w:val="22"/>
                <w:highlight w:val="black"/>
                <w:lang w:val="es-MX" w:eastAsia="en-US"/>
              </w:rPr>
              <w:t>XXXXXXXXXXXXXXXXXXX</w:t>
            </w:r>
          </w:p>
        </w:tc>
      </w:tr>
      <w:tr w:rsidR="00264223" w:rsidRPr="00516CC9" w:rsidTr="000A24C9">
        <w:trPr>
          <w:trHeight w:val="283"/>
        </w:trPr>
        <w:tc>
          <w:tcPr>
            <w:tcW w:w="2835" w:type="dxa"/>
          </w:tcPr>
          <w:p w:rsidR="00264223" w:rsidRPr="00516CC9" w:rsidRDefault="00386A93" w:rsidP="00516CC9">
            <w:pPr>
              <w:tabs>
                <w:tab w:val="right" w:pos="8838"/>
              </w:tabs>
              <w:spacing w:line="360" w:lineRule="auto"/>
              <w:ind w:right="-105"/>
              <w:rPr>
                <w:rFonts w:ascii="Palatino Linotype" w:eastAsia="Calibri" w:hAnsi="Palatino Linotype" w:cs="Tahoma"/>
                <w:b/>
                <w:sz w:val="22"/>
                <w:szCs w:val="22"/>
                <w:lang w:val="es-MX" w:eastAsia="en-US"/>
              </w:rPr>
            </w:pPr>
            <w:r w:rsidRPr="00516CC9">
              <w:rPr>
                <w:rFonts w:ascii="Palatino Linotype" w:eastAsia="Calibri" w:hAnsi="Palatino Linotype" w:cs="Tahoma"/>
                <w:b/>
                <w:sz w:val="22"/>
                <w:szCs w:val="22"/>
                <w:lang w:eastAsia="en-US"/>
              </w:rPr>
              <w:t>Sujeto Obligado</w:t>
            </w:r>
            <w:r w:rsidR="00264223" w:rsidRPr="00516CC9">
              <w:rPr>
                <w:rFonts w:ascii="Palatino Linotype" w:eastAsia="Calibri" w:hAnsi="Palatino Linotype" w:cs="Tahoma"/>
                <w:b/>
                <w:sz w:val="22"/>
                <w:szCs w:val="22"/>
                <w:lang w:eastAsia="en-US"/>
              </w:rPr>
              <w:t>:</w:t>
            </w:r>
          </w:p>
        </w:tc>
        <w:tc>
          <w:tcPr>
            <w:tcW w:w="3969" w:type="dxa"/>
          </w:tcPr>
          <w:p w:rsidR="00264223" w:rsidRPr="00516CC9" w:rsidRDefault="00E95BD6" w:rsidP="00516CC9">
            <w:pPr>
              <w:tabs>
                <w:tab w:val="right" w:pos="8838"/>
              </w:tabs>
              <w:spacing w:line="360" w:lineRule="auto"/>
              <w:ind w:right="171"/>
              <w:jc w:val="both"/>
              <w:rPr>
                <w:rFonts w:ascii="Palatino Linotype" w:eastAsia="Calibri" w:hAnsi="Palatino Linotype" w:cs="Tahoma"/>
                <w:sz w:val="22"/>
                <w:szCs w:val="22"/>
                <w:lang w:val="es-MX" w:eastAsia="en-US"/>
              </w:rPr>
            </w:pPr>
            <w:r w:rsidRPr="00516CC9">
              <w:rPr>
                <w:rFonts w:ascii="Palatino Linotype" w:eastAsia="Calibri" w:hAnsi="Palatino Linotype" w:cs="Tahoma"/>
                <w:bCs/>
                <w:sz w:val="22"/>
                <w:szCs w:val="22"/>
                <w:lang w:val="es-MX" w:eastAsia="en-US"/>
              </w:rPr>
              <w:t>Ayuntamiento de Atizapán de Zaragoza</w:t>
            </w:r>
          </w:p>
        </w:tc>
      </w:tr>
      <w:tr w:rsidR="00264223" w:rsidRPr="00516CC9" w:rsidTr="000A24C9">
        <w:trPr>
          <w:trHeight w:val="283"/>
        </w:trPr>
        <w:tc>
          <w:tcPr>
            <w:tcW w:w="2835" w:type="dxa"/>
          </w:tcPr>
          <w:p w:rsidR="00264223" w:rsidRPr="00516CC9" w:rsidRDefault="00264223" w:rsidP="00516CC9">
            <w:pPr>
              <w:tabs>
                <w:tab w:val="right" w:pos="8838"/>
              </w:tabs>
              <w:spacing w:line="360" w:lineRule="auto"/>
              <w:ind w:right="-105"/>
              <w:rPr>
                <w:rFonts w:ascii="Palatino Linotype" w:eastAsia="Calibri" w:hAnsi="Palatino Linotype" w:cs="Tahoma"/>
                <w:b/>
                <w:sz w:val="22"/>
                <w:szCs w:val="22"/>
                <w:lang w:val="es-MX" w:eastAsia="en-US"/>
              </w:rPr>
            </w:pPr>
            <w:r w:rsidRPr="00516CC9">
              <w:rPr>
                <w:rFonts w:ascii="Palatino Linotype" w:eastAsia="Calibri" w:hAnsi="Palatino Linotype" w:cs="Tahoma"/>
                <w:b/>
                <w:sz w:val="22"/>
                <w:szCs w:val="22"/>
                <w:lang w:eastAsia="en-US"/>
              </w:rPr>
              <w:t>Comisionado Ponente:</w:t>
            </w:r>
          </w:p>
        </w:tc>
        <w:tc>
          <w:tcPr>
            <w:tcW w:w="3969" w:type="dxa"/>
          </w:tcPr>
          <w:p w:rsidR="00264223" w:rsidRPr="00516CC9" w:rsidRDefault="00264223" w:rsidP="00516CC9">
            <w:pPr>
              <w:tabs>
                <w:tab w:val="right" w:pos="8838"/>
              </w:tabs>
              <w:spacing w:line="360" w:lineRule="auto"/>
              <w:ind w:right="171"/>
              <w:jc w:val="both"/>
              <w:rPr>
                <w:rFonts w:ascii="Palatino Linotype" w:eastAsia="Calibri" w:hAnsi="Palatino Linotype" w:cs="Tahoma"/>
                <w:b/>
                <w:sz w:val="22"/>
                <w:szCs w:val="22"/>
                <w:lang w:val="es-MX" w:eastAsia="en-US"/>
              </w:rPr>
            </w:pPr>
            <w:r w:rsidRPr="00516CC9">
              <w:rPr>
                <w:rFonts w:ascii="Palatino Linotype" w:eastAsia="Calibri" w:hAnsi="Palatino Linotype" w:cs="Tahoma"/>
                <w:sz w:val="22"/>
                <w:szCs w:val="22"/>
                <w:lang w:eastAsia="en-US"/>
              </w:rPr>
              <w:t>Luis Gustavo Parra Noriega</w:t>
            </w:r>
          </w:p>
        </w:tc>
      </w:tr>
    </w:tbl>
    <w:p w:rsidR="000A24C9" w:rsidRPr="00516CC9" w:rsidRDefault="000A24C9" w:rsidP="00516CC9">
      <w:pPr>
        <w:spacing w:line="360" w:lineRule="auto"/>
        <w:jc w:val="both"/>
        <w:rPr>
          <w:rFonts w:ascii="Palatino Linotype" w:hAnsi="Palatino Linotype" w:cs="Tahoma"/>
          <w:bCs/>
          <w:sz w:val="22"/>
          <w:szCs w:val="22"/>
        </w:rPr>
      </w:pPr>
    </w:p>
    <w:p w:rsidR="00E95BD6" w:rsidRPr="00516CC9" w:rsidRDefault="00E95BD6" w:rsidP="00516CC9">
      <w:pPr>
        <w:spacing w:line="360" w:lineRule="auto"/>
        <w:jc w:val="both"/>
        <w:rPr>
          <w:rFonts w:ascii="Palatino Linotype" w:hAnsi="Palatino Linotype" w:cs="Tahoma"/>
          <w:bCs/>
          <w:sz w:val="22"/>
          <w:szCs w:val="22"/>
        </w:rPr>
      </w:pPr>
    </w:p>
    <w:p w:rsidR="0074285B" w:rsidRPr="00516CC9" w:rsidRDefault="00D22B6A" w:rsidP="00516CC9">
      <w:pPr>
        <w:spacing w:line="360" w:lineRule="auto"/>
        <w:jc w:val="both"/>
        <w:rPr>
          <w:rFonts w:ascii="Palatino Linotype" w:hAnsi="Palatino Linotype"/>
          <w:noProof/>
          <w:sz w:val="22"/>
          <w:szCs w:val="22"/>
          <w:lang w:val="es-ES"/>
        </w:rPr>
      </w:pPr>
      <w:r w:rsidRPr="00516CC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1E2CC9" w:rsidRPr="00516CC9">
        <w:rPr>
          <w:rFonts w:ascii="Palatino Linotype" w:hAnsi="Palatino Linotype" w:cs="Tahoma"/>
          <w:bCs/>
          <w:sz w:val="22"/>
          <w:szCs w:val="22"/>
        </w:rPr>
        <w:t xml:space="preserve">catorce de mayo </w:t>
      </w:r>
      <w:r w:rsidRPr="00516CC9">
        <w:rPr>
          <w:rFonts w:ascii="Palatino Linotype" w:hAnsi="Palatino Linotype" w:cs="Tahoma"/>
          <w:bCs/>
          <w:sz w:val="22"/>
          <w:szCs w:val="22"/>
        </w:rPr>
        <w:t>de dos mil dieci</w:t>
      </w:r>
      <w:r w:rsidR="006B112B" w:rsidRPr="00516CC9">
        <w:rPr>
          <w:rFonts w:ascii="Palatino Linotype" w:hAnsi="Palatino Linotype" w:cs="Tahoma"/>
          <w:bCs/>
          <w:sz w:val="22"/>
          <w:szCs w:val="22"/>
        </w:rPr>
        <w:t>nueve</w:t>
      </w:r>
      <w:r w:rsidRPr="00516CC9">
        <w:rPr>
          <w:rFonts w:ascii="Palatino Linotype" w:hAnsi="Palatino Linotype" w:cs="Tahoma"/>
          <w:bCs/>
          <w:sz w:val="22"/>
          <w:szCs w:val="22"/>
        </w:rPr>
        <w:t>.</w:t>
      </w:r>
    </w:p>
    <w:p w:rsidR="00492DCA" w:rsidRPr="00516CC9" w:rsidRDefault="00492DCA" w:rsidP="00516CC9">
      <w:pPr>
        <w:spacing w:line="360" w:lineRule="auto"/>
        <w:jc w:val="both"/>
        <w:rPr>
          <w:rFonts w:ascii="Palatino Linotype" w:hAnsi="Palatino Linotype"/>
          <w:noProof/>
          <w:sz w:val="22"/>
          <w:szCs w:val="22"/>
          <w:lang w:val="es-ES"/>
        </w:rPr>
      </w:pPr>
    </w:p>
    <w:p w:rsidR="00400FDE" w:rsidRPr="00516CC9" w:rsidRDefault="00575DE3" w:rsidP="00516CC9">
      <w:pPr>
        <w:spacing w:line="360" w:lineRule="auto"/>
        <w:jc w:val="both"/>
        <w:rPr>
          <w:rFonts w:ascii="Palatino Linotype" w:hAnsi="Palatino Linotype" w:cs="Tahoma"/>
          <w:bCs/>
          <w:sz w:val="22"/>
          <w:szCs w:val="22"/>
        </w:rPr>
      </w:pPr>
      <w:r w:rsidRPr="00516CC9">
        <w:rPr>
          <w:rFonts w:ascii="Palatino Linotype" w:hAnsi="Palatino Linotype" w:cs="Tahoma"/>
          <w:b/>
          <w:bCs/>
          <w:color w:val="0D0D0D" w:themeColor="text1" w:themeTint="F2"/>
          <w:sz w:val="22"/>
          <w:szCs w:val="22"/>
        </w:rPr>
        <w:t>VISTO</w:t>
      </w:r>
      <w:r w:rsidR="0019389B" w:rsidRPr="00516CC9">
        <w:rPr>
          <w:rFonts w:ascii="Palatino Linotype" w:hAnsi="Palatino Linotype" w:cs="Tahoma"/>
          <w:bCs/>
          <w:color w:val="0D0D0D" w:themeColor="text1" w:themeTint="F2"/>
          <w:sz w:val="22"/>
          <w:szCs w:val="22"/>
        </w:rPr>
        <w:t xml:space="preserve"> el expediente conformado </w:t>
      </w:r>
      <w:r w:rsidR="00422869" w:rsidRPr="00516CC9">
        <w:rPr>
          <w:rFonts w:ascii="Palatino Linotype" w:hAnsi="Palatino Linotype" w:cs="Tahoma"/>
          <w:bCs/>
          <w:color w:val="0D0D0D" w:themeColor="text1" w:themeTint="F2"/>
          <w:sz w:val="22"/>
          <w:szCs w:val="22"/>
        </w:rPr>
        <w:t xml:space="preserve">con motivo del Recurso de Revisión </w:t>
      </w:r>
      <w:r w:rsidR="0050449E" w:rsidRPr="00516CC9">
        <w:rPr>
          <w:rFonts w:ascii="Palatino Linotype" w:hAnsi="Palatino Linotype" w:cs="Tahoma"/>
          <w:b/>
          <w:bCs/>
          <w:color w:val="0D0D0D" w:themeColor="text1" w:themeTint="F2"/>
          <w:sz w:val="22"/>
          <w:szCs w:val="22"/>
        </w:rPr>
        <w:t>0</w:t>
      </w:r>
      <w:r w:rsidR="001E2CC9" w:rsidRPr="00516CC9">
        <w:rPr>
          <w:rFonts w:ascii="Palatino Linotype" w:hAnsi="Palatino Linotype" w:cs="Tahoma"/>
          <w:b/>
          <w:bCs/>
          <w:color w:val="0D0D0D" w:themeColor="text1" w:themeTint="F2"/>
          <w:sz w:val="22"/>
          <w:szCs w:val="22"/>
        </w:rPr>
        <w:t>1341</w:t>
      </w:r>
      <w:r w:rsidR="0050449E" w:rsidRPr="00516CC9">
        <w:rPr>
          <w:rFonts w:ascii="Palatino Linotype" w:hAnsi="Palatino Linotype" w:cs="Tahoma"/>
          <w:b/>
          <w:bCs/>
          <w:color w:val="0D0D0D" w:themeColor="text1" w:themeTint="F2"/>
          <w:sz w:val="22"/>
          <w:szCs w:val="22"/>
        </w:rPr>
        <w:t>/INFOEM/IP/RR/201</w:t>
      </w:r>
      <w:r w:rsidR="002459FB" w:rsidRPr="00516CC9">
        <w:rPr>
          <w:rFonts w:ascii="Palatino Linotype" w:hAnsi="Palatino Linotype" w:cs="Tahoma"/>
          <w:b/>
          <w:bCs/>
          <w:color w:val="0D0D0D" w:themeColor="text1" w:themeTint="F2"/>
          <w:sz w:val="22"/>
          <w:szCs w:val="22"/>
        </w:rPr>
        <w:t>9</w:t>
      </w:r>
      <w:r w:rsidR="00A37B60" w:rsidRPr="00516CC9">
        <w:rPr>
          <w:rFonts w:ascii="Palatino Linotype" w:hAnsi="Palatino Linotype" w:cs="Tahoma"/>
          <w:b/>
          <w:bCs/>
          <w:color w:val="0D0D0D" w:themeColor="text1" w:themeTint="F2"/>
          <w:sz w:val="22"/>
          <w:szCs w:val="22"/>
        </w:rPr>
        <w:t>,</w:t>
      </w:r>
      <w:r w:rsidR="004E1AD9" w:rsidRPr="00516CC9">
        <w:rPr>
          <w:rFonts w:ascii="Palatino Linotype" w:hAnsi="Palatino Linotype" w:cs="Tahoma"/>
          <w:b/>
          <w:bCs/>
          <w:color w:val="0D0D0D" w:themeColor="text1" w:themeTint="F2"/>
          <w:sz w:val="22"/>
          <w:szCs w:val="22"/>
        </w:rPr>
        <w:t xml:space="preserve"> </w:t>
      </w:r>
      <w:r w:rsidR="00127757" w:rsidRPr="00516CC9">
        <w:rPr>
          <w:rFonts w:ascii="Palatino Linotype" w:hAnsi="Palatino Linotype" w:cs="Tahoma"/>
          <w:bCs/>
          <w:color w:val="0D0D0D" w:themeColor="text1" w:themeTint="F2"/>
          <w:sz w:val="22"/>
          <w:szCs w:val="22"/>
        </w:rPr>
        <w:t>interpuesto por</w:t>
      </w:r>
      <w:r w:rsidR="00E70503" w:rsidRPr="00516CC9">
        <w:rPr>
          <w:rFonts w:ascii="Palatino Linotype" w:hAnsi="Palatino Linotype" w:cs="Tahoma"/>
          <w:bCs/>
          <w:color w:val="0D0D0D" w:themeColor="text1" w:themeTint="F2"/>
          <w:sz w:val="22"/>
          <w:szCs w:val="22"/>
        </w:rPr>
        <w:t xml:space="preserve"> </w:t>
      </w:r>
      <w:bookmarkStart w:id="0" w:name="_GoBack"/>
      <w:bookmarkEnd w:id="0"/>
      <w:r w:rsidR="00B078D9" w:rsidRPr="00B078D9">
        <w:rPr>
          <w:rFonts w:ascii="Palatino Linotype" w:hAnsi="Palatino Linotype" w:cs="Tahoma"/>
          <w:b/>
          <w:bCs/>
          <w:color w:val="0D0D0D" w:themeColor="text1" w:themeTint="F2"/>
          <w:sz w:val="22"/>
          <w:szCs w:val="22"/>
          <w:highlight w:val="black"/>
        </w:rPr>
        <w:t>XXXXXXXXXXXXXXXXXXXXXX</w:t>
      </w:r>
      <w:r w:rsidR="000A238F" w:rsidRPr="00516CC9">
        <w:rPr>
          <w:rFonts w:ascii="Palatino Linotype" w:hAnsi="Palatino Linotype" w:cs="Tahoma"/>
          <w:bCs/>
          <w:color w:val="0D0D0D" w:themeColor="text1" w:themeTint="F2"/>
          <w:sz w:val="22"/>
          <w:szCs w:val="22"/>
        </w:rPr>
        <w:t xml:space="preserve">, en lo sucesivo </w:t>
      </w:r>
      <w:r w:rsidR="00EC7187" w:rsidRPr="00516CC9">
        <w:rPr>
          <w:rFonts w:ascii="Palatino Linotype" w:hAnsi="Palatino Linotype" w:cs="Tahoma"/>
          <w:bCs/>
          <w:color w:val="0D0D0D" w:themeColor="text1" w:themeTint="F2"/>
          <w:sz w:val="22"/>
          <w:szCs w:val="22"/>
        </w:rPr>
        <w:t xml:space="preserve">el </w:t>
      </w:r>
      <w:r w:rsidR="00470619" w:rsidRPr="00516CC9">
        <w:rPr>
          <w:rFonts w:ascii="Palatino Linotype" w:hAnsi="Palatino Linotype" w:cs="Tahoma"/>
          <w:bCs/>
          <w:color w:val="0D0D0D" w:themeColor="text1" w:themeTint="F2"/>
          <w:sz w:val="22"/>
          <w:szCs w:val="22"/>
        </w:rPr>
        <w:t xml:space="preserve">Recurrente </w:t>
      </w:r>
      <w:r w:rsidR="000A238F" w:rsidRPr="00516CC9">
        <w:rPr>
          <w:rFonts w:ascii="Palatino Linotype" w:hAnsi="Palatino Linotype" w:cs="Tahoma"/>
          <w:bCs/>
          <w:color w:val="0D0D0D" w:themeColor="text1" w:themeTint="F2"/>
          <w:sz w:val="22"/>
          <w:szCs w:val="22"/>
        </w:rPr>
        <w:t xml:space="preserve">o </w:t>
      </w:r>
      <w:r w:rsidR="00470619" w:rsidRPr="00516CC9">
        <w:rPr>
          <w:rFonts w:ascii="Palatino Linotype" w:hAnsi="Palatino Linotype" w:cs="Tahoma"/>
          <w:bCs/>
          <w:color w:val="0D0D0D" w:themeColor="text1" w:themeTint="F2"/>
          <w:sz w:val="22"/>
          <w:szCs w:val="22"/>
        </w:rPr>
        <w:t>P</w:t>
      </w:r>
      <w:r w:rsidR="000A238F" w:rsidRPr="00516CC9">
        <w:rPr>
          <w:rFonts w:ascii="Palatino Linotype" w:hAnsi="Palatino Linotype" w:cs="Tahoma"/>
          <w:bCs/>
          <w:color w:val="0D0D0D" w:themeColor="text1" w:themeTint="F2"/>
          <w:sz w:val="22"/>
          <w:szCs w:val="22"/>
        </w:rPr>
        <w:t>articular,</w:t>
      </w:r>
      <w:r w:rsidR="00A9024A" w:rsidRPr="00516CC9">
        <w:rPr>
          <w:rFonts w:ascii="Palatino Linotype" w:hAnsi="Palatino Linotype" w:cs="Tahoma"/>
          <w:bCs/>
          <w:color w:val="0D0D0D" w:themeColor="text1" w:themeTint="F2"/>
          <w:sz w:val="22"/>
          <w:szCs w:val="22"/>
        </w:rPr>
        <w:t xml:space="preserve"> </w:t>
      </w:r>
      <w:r w:rsidR="00DC1594" w:rsidRPr="00516CC9">
        <w:rPr>
          <w:rFonts w:ascii="Palatino Linotype" w:hAnsi="Palatino Linotype" w:cs="Tahoma"/>
          <w:bCs/>
          <w:color w:val="0D0D0D" w:themeColor="text1" w:themeTint="F2"/>
          <w:sz w:val="22"/>
          <w:szCs w:val="22"/>
        </w:rPr>
        <w:t xml:space="preserve">en contra de la respuesta del </w:t>
      </w:r>
      <w:r w:rsidR="00956793" w:rsidRPr="00516CC9">
        <w:rPr>
          <w:rFonts w:ascii="Palatino Linotype" w:hAnsi="Palatino Linotype" w:cs="Tahoma"/>
          <w:b/>
          <w:bCs/>
          <w:color w:val="0D0D0D" w:themeColor="text1" w:themeTint="F2"/>
          <w:sz w:val="22"/>
          <w:szCs w:val="22"/>
        </w:rPr>
        <w:t>Sujeto Obligado</w:t>
      </w:r>
      <w:r w:rsidR="002A0FB8" w:rsidRPr="00516CC9">
        <w:rPr>
          <w:rFonts w:ascii="Palatino Linotype" w:hAnsi="Palatino Linotype" w:cs="Tahoma"/>
          <w:b/>
          <w:bCs/>
          <w:color w:val="0D0D0D" w:themeColor="text1" w:themeTint="F2"/>
          <w:sz w:val="22"/>
          <w:szCs w:val="22"/>
        </w:rPr>
        <w:t xml:space="preserve"> </w:t>
      </w:r>
      <w:r w:rsidR="00E95BD6" w:rsidRPr="00516CC9">
        <w:rPr>
          <w:rFonts w:ascii="Palatino Linotype" w:hAnsi="Palatino Linotype" w:cs="Tahoma"/>
          <w:b/>
          <w:bCs/>
          <w:color w:val="0D0D0D" w:themeColor="text1" w:themeTint="F2"/>
          <w:sz w:val="22"/>
          <w:szCs w:val="22"/>
        </w:rPr>
        <w:t>Ayuntamiento de Atizapán de Zaragoza</w:t>
      </w:r>
      <w:r w:rsidR="00DC1594" w:rsidRPr="00516CC9">
        <w:rPr>
          <w:rFonts w:ascii="Palatino Linotype" w:hAnsi="Palatino Linotype" w:cs="Tahoma"/>
          <w:bCs/>
          <w:color w:val="0D0D0D" w:themeColor="text1" w:themeTint="F2"/>
          <w:sz w:val="22"/>
          <w:szCs w:val="22"/>
        </w:rPr>
        <w:t xml:space="preserve">, </w:t>
      </w:r>
      <w:r w:rsidR="00422869" w:rsidRPr="00516CC9">
        <w:rPr>
          <w:rFonts w:ascii="Palatino Linotype" w:hAnsi="Palatino Linotype" w:cs="Tahoma"/>
          <w:bCs/>
          <w:color w:val="0D0D0D" w:themeColor="text1" w:themeTint="F2"/>
          <w:sz w:val="22"/>
          <w:szCs w:val="22"/>
        </w:rPr>
        <w:t xml:space="preserve">se emite la presente Resolución, </w:t>
      </w:r>
      <w:r w:rsidR="00DC1594" w:rsidRPr="00516CC9">
        <w:rPr>
          <w:rFonts w:ascii="Palatino Linotype" w:hAnsi="Palatino Linotype" w:cs="Tahoma"/>
          <w:bCs/>
          <w:color w:val="0D0D0D" w:themeColor="text1" w:themeTint="F2"/>
          <w:sz w:val="22"/>
          <w:szCs w:val="22"/>
        </w:rPr>
        <w:t>con base en</w:t>
      </w:r>
      <w:r w:rsidR="0098795A" w:rsidRPr="00516CC9">
        <w:rPr>
          <w:rFonts w:ascii="Palatino Linotype" w:hAnsi="Palatino Linotype" w:cs="Tahoma"/>
          <w:bCs/>
          <w:color w:val="0D0D0D" w:themeColor="text1" w:themeTint="F2"/>
          <w:sz w:val="22"/>
          <w:szCs w:val="22"/>
        </w:rPr>
        <w:t xml:space="preserve"> </w:t>
      </w:r>
      <w:r w:rsidR="00DC1594" w:rsidRPr="00516CC9">
        <w:rPr>
          <w:rFonts w:ascii="Palatino Linotype" w:hAnsi="Palatino Linotype" w:cs="Tahoma"/>
          <w:bCs/>
          <w:color w:val="0D0D0D" w:themeColor="text1" w:themeTint="F2"/>
          <w:sz w:val="22"/>
          <w:szCs w:val="22"/>
        </w:rPr>
        <w:t xml:space="preserve">los </w:t>
      </w:r>
      <w:r w:rsidR="006C1B1D" w:rsidRPr="00516CC9">
        <w:rPr>
          <w:rFonts w:ascii="Palatino Linotype" w:hAnsi="Palatino Linotype" w:cs="Tahoma"/>
          <w:bCs/>
          <w:color w:val="0D0D0D" w:themeColor="text1" w:themeTint="F2"/>
          <w:sz w:val="22"/>
          <w:szCs w:val="22"/>
        </w:rPr>
        <w:t>A</w:t>
      </w:r>
      <w:r w:rsidR="00DC1594" w:rsidRPr="00516CC9">
        <w:rPr>
          <w:rFonts w:ascii="Palatino Linotype" w:hAnsi="Palatino Linotype" w:cs="Tahoma"/>
          <w:bCs/>
          <w:color w:val="0D0D0D" w:themeColor="text1" w:themeTint="F2"/>
          <w:sz w:val="22"/>
          <w:szCs w:val="22"/>
        </w:rPr>
        <w:t xml:space="preserve">ntecedentes y </w:t>
      </w:r>
      <w:r w:rsidR="002A0FB8" w:rsidRPr="00516CC9">
        <w:rPr>
          <w:rFonts w:ascii="Palatino Linotype" w:hAnsi="Palatino Linotype" w:cs="Tahoma"/>
          <w:bCs/>
          <w:color w:val="0D0D0D" w:themeColor="text1" w:themeTint="F2"/>
          <w:sz w:val="22"/>
          <w:szCs w:val="22"/>
        </w:rPr>
        <w:t>C</w:t>
      </w:r>
      <w:r w:rsidR="002A0FB8" w:rsidRPr="00516CC9">
        <w:rPr>
          <w:rFonts w:ascii="Palatino Linotype" w:hAnsi="Palatino Linotype" w:cs="Tahoma"/>
          <w:bCs/>
          <w:sz w:val="22"/>
          <w:szCs w:val="22"/>
        </w:rPr>
        <w:t xml:space="preserve">onsiderandos </w:t>
      </w:r>
      <w:r w:rsidR="00DC1594" w:rsidRPr="00516CC9">
        <w:rPr>
          <w:rFonts w:ascii="Palatino Linotype" w:hAnsi="Palatino Linotype" w:cs="Tahoma"/>
          <w:bCs/>
          <w:sz w:val="22"/>
          <w:szCs w:val="22"/>
        </w:rPr>
        <w:t>que a continuación se exponen</w:t>
      </w:r>
      <w:r w:rsidR="00B31222" w:rsidRPr="00516CC9">
        <w:rPr>
          <w:rFonts w:ascii="Palatino Linotype" w:hAnsi="Palatino Linotype" w:cs="Tahoma"/>
          <w:bCs/>
          <w:sz w:val="22"/>
          <w:szCs w:val="22"/>
        </w:rPr>
        <w:t>:</w:t>
      </w:r>
    </w:p>
    <w:p w:rsidR="00634CEB" w:rsidRPr="00516CC9" w:rsidRDefault="00634CEB" w:rsidP="00516CC9">
      <w:pPr>
        <w:tabs>
          <w:tab w:val="center" w:pos="4522"/>
          <w:tab w:val="left" w:pos="7245"/>
          <w:tab w:val="right" w:pos="9044"/>
        </w:tabs>
        <w:spacing w:line="360" w:lineRule="auto"/>
        <w:rPr>
          <w:rFonts w:ascii="Palatino Linotype" w:hAnsi="Palatino Linotype" w:cs="Tahoma"/>
          <w:b/>
          <w:sz w:val="22"/>
          <w:szCs w:val="22"/>
        </w:rPr>
      </w:pPr>
    </w:p>
    <w:p w:rsidR="00B31222" w:rsidRPr="00516CC9" w:rsidRDefault="00E46195" w:rsidP="00516CC9">
      <w:pPr>
        <w:tabs>
          <w:tab w:val="center" w:pos="4522"/>
          <w:tab w:val="left" w:pos="7245"/>
          <w:tab w:val="right" w:pos="9044"/>
        </w:tabs>
        <w:spacing w:line="360" w:lineRule="auto"/>
        <w:jc w:val="center"/>
        <w:rPr>
          <w:rFonts w:ascii="Palatino Linotype" w:hAnsi="Palatino Linotype" w:cs="Tahoma"/>
          <w:b/>
          <w:sz w:val="22"/>
          <w:szCs w:val="22"/>
        </w:rPr>
      </w:pPr>
      <w:r w:rsidRPr="00516CC9">
        <w:rPr>
          <w:rFonts w:ascii="Palatino Linotype" w:hAnsi="Palatino Linotype" w:cs="Tahoma"/>
          <w:b/>
          <w:sz w:val="22"/>
          <w:szCs w:val="22"/>
        </w:rPr>
        <w:t>A</w:t>
      </w:r>
      <w:r w:rsidR="002459FB" w:rsidRPr="00516CC9">
        <w:rPr>
          <w:rFonts w:ascii="Palatino Linotype" w:hAnsi="Palatino Linotype" w:cs="Tahoma"/>
          <w:b/>
          <w:sz w:val="22"/>
          <w:szCs w:val="22"/>
        </w:rPr>
        <w:t xml:space="preserve"> </w:t>
      </w:r>
      <w:r w:rsidRPr="00516CC9">
        <w:rPr>
          <w:rFonts w:ascii="Palatino Linotype" w:hAnsi="Palatino Linotype" w:cs="Tahoma"/>
          <w:b/>
          <w:sz w:val="22"/>
          <w:szCs w:val="22"/>
        </w:rPr>
        <w:t>N</w:t>
      </w:r>
      <w:r w:rsidR="002459FB" w:rsidRPr="00516CC9">
        <w:rPr>
          <w:rFonts w:ascii="Palatino Linotype" w:hAnsi="Palatino Linotype" w:cs="Tahoma"/>
          <w:b/>
          <w:sz w:val="22"/>
          <w:szCs w:val="22"/>
        </w:rPr>
        <w:t xml:space="preserve"> </w:t>
      </w:r>
      <w:r w:rsidRPr="00516CC9">
        <w:rPr>
          <w:rFonts w:ascii="Palatino Linotype" w:hAnsi="Palatino Linotype" w:cs="Tahoma"/>
          <w:b/>
          <w:sz w:val="22"/>
          <w:szCs w:val="22"/>
        </w:rPr>
        <w:t>T</w:t>
      </w:r>
      <w:r w:rsidR="002459FB" w:rsidRPr="00516CC9">
        <w:rPr>
          <w:rFonts w:ascii="Palatino Linotype" w:hAnsi="Palatino Linotype" w:cs="Tahoma"/>
          <w:b/>
          <w:sz w:val="22"/>
          <w:szCs w:val="22"/>
        </w:rPr>
        <w:t xml:space="preserve"> </w:t>
      </w:r>
      <w:r w:rsidRPr="00516CC9">
        <w:rPr>
          <w:rFonts w:ascii="Palatino Linotype" w:hAnsi="Palatino Linotype" w:cs="Tahoma"/>
          <w:b/>
          <w:sz w:val="22"/>
          <w:szCs w:val="22"/>
        </w:rPr>
        <w:t>E</w:t>
      </w:r>
      <w:r w:rsidR="002459FB" w:rsidRPr="00516CC9">
        <w:rPr>
          <w:rFonts w:ascii="Palatino Linotype" w:hAnsi="Palatino Linotype" w:cs="Tahoma"/>
          <w:b/>
          <w:sz w:val="22"/>
          <w:szCs w:val="22"/>
        </w:rPr>
        <w:t xml:space="preserve"> </w:t>
      </w:r>
      <w:r w:rsidRPr="00516CC9">
        <w:rPr>
          <w:rFonts w:ascii="Palatino Linotype" w:hAnsi="Palatino Linotype" w:cs="Tahoma"/>
          <w:b/>
          <w:sz w:val="22"/>
          <w:szCs w:val="22"/>
        </w:rPr>
        <w:t>C</w:t>
      </w:r>
      <w:r w:rsidR="002459FB" w:rsidRPr="00516CC9">
        <w:rPr>
          <w:rFonts w:ascii="Palatino Linotype" w:hAnsi="Palatino Linotype" w:cs="Tahoma"/>
          <w:b/>
          <w:sz w:val="22"/>
          <w:szCs w:val="22"/>
        </w:rPr>
        <w:t xml:space="preserve"> </w:t>
      </w:r>
      <w:r w:rsidRPr="00516CC9">
        <w:rPr>
          <w:rFonts w:ascii="Palatino Linotype" w:hAnsi="Palatino Linotype" w:cs="Tahoma"/>
          <w:b/>
          <w:sz w:val="22"/>
          <w:szCs w:val="22"/>
        </w:rPr>
        <w:t>E</w:t>
      </w:r>
      <w:r w:rsidR="002459FB" w:rsidRPr="00516CC9">
        <w:rPr>
          <w:rFonts w:ascii="Palatino Linotype" w:hAnsi="Palatino Linotype" w:cs="Tahoma"/>
          <w:b/>
          <w:sz w:val="22"/>
          <w:szCs w:val="22"/>
        </w:rPr>
        <w:t xml:space="preserve"> </w:t>
      </w:r>
      <w:r w:rsidRPr="00516CC9">
        <w:rPr>
          <w:rFonts w:ascii="Palatino Linotype" w:hAnsi="Palatino Linotype" w:cs="Tahoma"/>
          <w:b/>
          <w:sz w:val="22"/>
          <w:szCs w:val="22"/>
        </w:rPr>
        <w:t>D</w:t>
      </w:r>
      <w:r w:rsidR="002459FB" w:rsidRPr="00516CC9">
        <w:rPr>
          <w:rFonts w:ascii="Palatino Linotype" w:hAnsi="Palatino Linotype" w:cs="Tahoma"/>
          <w:b/>
          <w:sz w:val="22"/>
          <w:szCs w:val="22"/>
        </w:rPr>
        <w:t xml:space="preserve"> </w:t>
      </w:r>
      <w:r w:rsidRPr="00516CC9">
        <w:rPr>
          <w:rFonts w:ascii="Palatino Linotype" w:hAnsi="Palatino Linotype" w:cs="Tahoma"/>
          <w:b/>
          <w:sz w:val="22"/>
          <w:szCs w:val="22"/>
        </w:rPr>
        <w:t>E</w:t>
      </w:r>
      <w:r w:rsidR="002459FB" w:rsidRPr="00516CC9">
        <w:rPr>
          <w:rFonts w:ascii="Palatino Linotype" w:hAnsi="Palatino Linotype" w:cs="Tahoma"/>
          <w:b/>
          <w:sz w:val="22"/>
          <w:szCs w:val="22"/>
        </w:rPr>
        <w:t xml:space="preserve"> </w:t>
      </w:r>
      <w:r w:rsidRPr="00516CC9">
        <w:rPr>
          <w:rFonts w:ascii="Palatino Linotype" w:hAnsi="Palatino Linotype" w:cs="Tahoma"/>
          <w:b/>
          <w:sz w:val="22"/>
          <w:szCs w:val="22"/>
        </w:rPr>
        <w:t>N</w:t>
      </w:r>
      <w:r w:rsidR="002459FB" w:rsidRPr="00516CC9">
        <w:rPr>
          <w:rFonts w:ascii="Palatino Linotype" w:hAnsi="Palatino Linotype" w:cs="Tahoma"/>
          <w:b/>
          <w:sz w:val="22"/>
          <w:szCs w:val="22"/>
        </w:rPr>
        <w:t xml:space="preserve"> </w:t>
      </w:r>
      <w:r w:rsidRPr="00516CC9">
        <w:rPr>
          <w:rFonts w:ascii="Palatino Linotype" w:hAnsi="Palatino Linotype" w:cs="Tahoma"/>
          <w:b/>
          <w:sz w:val="22"/>
          <w:szCs w:val="22"/>
        </w:rPr>
        <w:t>T</w:t>
      </w:r>
      <w:r w:rsidR="002459FB" w:rsidRPr="00516CC9">
        <w:rPr>
          <w:rFonts w:ascii="Palatino Linotype" w:hAnsi="Palatino Linotype" w:cs="Tahoma"/>
          <w:b/>
          <w:sz w:val="22"/>
          <w:szCs w:val="22"/>
        </w:rPr>
        <w:t xml:space="preserve"> </w:t>
      </w:r>
      <w:r w:rsidRPr="00516CC9">
        <w:rPr>
          <w:rFonts w:ascii="Palatino Linotype" w:hAnsi="Palatino Linotype" w:cs="Tahoma"/>
          <w:b/>
          <w:sz w:val="22"/>
          <w:szCs w:val="22"/>
        </w:rPr>
        <w:t>E</w:t>
      </w:r>
      <w:r w:rsidR="002459FB" w:rsidRPr="00516CC9">
        <w:rPr>
          <w:rFonts w:ascii="Palatino Linotype" w:hAnsi="Palatino Linotype" w:cs="Tahoma"/>
          <w:b/>
          <w:sz w:val="22"/>
          <w:szCs w:val="22"/>
        </w:rPr>
        <w:t xml:space="preserve"> </w:t>
      </w:r>
      <w:r w:rsidRPr="00516CC9">
        <w:rPr>
          <w:rFonts w:ascii="Palatino Linotype" w:hAnsi="Palatino Linotype" w:cs="Tahoma"/>
          <w:b/>
          <w:sz w:val="22"/>
          <w:szCs w:val="22"/>
        </w:rPr>
        <w:t>S</w:t>
      </w:r>
    </w:p>
    <w:p w:rsidR="00683CB5" w:rsidRPr="00516CC9" w:rsidRDefault="00683CB5" w:rsidP="00516CC9">
      <w:pPr>
        <w:tabs>
          <w:tab w:val="center" w:pos="4522"/>
          <w:tab w:val="left" w:pos="7245"/>
          <w:tab w:val="right" w:pos="9044"/>
        </w:tabs>
        <w:spacing w:line="360" w:lineRule="auto"/>
        <w:rPr>
          <w:rFonts w:ascii="Palatino Linotype" w:hAnsi="Palatino Linotype" w:cs="Tahoma"/>
          <w:b/>
          <w:sz w:val="22"/>
          <w:szCs w:val="22"/>
        </w:rPr>
      </w:pPr>
    </w:p>
    <w:p w:rsidR="00DC1594" w:rsidRPr="00516CC9" w:rsidRDefault="00B31222" w:rsidP="00516CC9">
      <w:pPr>
        <w:pStyle w:val="Prrafodelista"/>
        <w:tabs>
          <w:tab w:val="left" w:pos="567"/>
        </w:tabs>
        <w:spacing w:line="360" w:lineRule="auto"/>
        <w:ind w:left="0"/>
        <w:contextualSpacing w:val="0"/>
        <w:jc w:val="both"/>
        <w:rPr>
          <w:rFonts w:ascii="Palatino Linotype" w:hAnsi="Palatino Linotype" w:cs="Tahoma"/>
          <w:b/>
          <w:szCs w:val="22"/>
        </w:rPr>
      </w:pPr>
      <w:r w:rsidRPr="00516CC9">
        <w:rPr>
          <w:rFonts w:ascii="Palatino Linotype" w:hAnsi="Palatino Linotype" w:cs="Tahoma"/>
          <w:b/>
          <w:szCs w:val="22"/>
        </w:rPr>
        <w:t xml:space="preserve">I. Presentación de la solicitud de información. </w:t>
      </w:r>
    </w:p>
    <w:p w:rsidR="00DC1594" w:rsidRPr="00516CC9" w:rsidRDefault="00DC1594" w:rsidP="00516CC9">
      <w:pPr>
        <w:pStyle w:val="Prrafodelista"/>
        <w:tabs>
          <w:tab w:val="left" w:pos="1050"/>
        </w:tabs>
        <w:spacing w:line="360" w:lineRule="auto"/>
        <w:ind w:left="0"/>
        <w:contextualSpacing w:val="0"/>
        <w:jc w:val="both"/>
        <w:rPr>
          <w:rFonts w:ascii="Palatino Linotype" w:hAnsi="Palatino Linotype" w:cs="Tahoma"/>
          <w:szCs w:val="22"/>
        </w:rPr>
      </w:pPr>
    </w:p>
    <w:p w:rsidR="00637179" w:rsidRPr="00516CC9" w:rsidRDefault="00AA417B" w:rsidP="00516CC9">
      <w:pPr>
        <w:pStyle w:val="Prrafodelista"/>
        <w:tabs>
          <w:tab w:val="left" w:pos="567"/>
        </w:tabs>
        <w:spacing w:line="360" w:lineRule="auto"/>
        <w:ind w:left="0"/>
        <w:contextualSpacing w:val="0"/>
        <w:jc w:val="both"/>
        <w:rPr>
          <w:rFonts w:ascii="Palatino Linotype" w:hAnsi="Palatino Linotype" w:cs="Tahoma"/>
          <w:szCs w:val="22"/>
        </w:rPr>
      </w:pPr>
      <w:r w:rsidRPr="00516CC9">
        <w:rPr>
          <w:rFonts w:ascii="Palatino Linotype" w:hAnsi="Palatino Linotype" w:cs="Tahoma"/>
          <w:szCs w:val="22"/>
        </w:rPr>
        <w:t>Con fecha</w:t>
      </w:r>
      <w:r w:rsidR="00A9024A" w:rsidRPr="00516CC9">
        <w:rPr>
          <w:rFonts w:ascii="Palatino Linotype" w:hAnsi="Palatino Linotype" w:cs="Tahoma"/>
          <w:szCs w:val="22"/>
        </w:rPr>
        <w:t xml:space="preserve"> </w:t>
      </w:r>
      <w:r w:rsidR="001E2CC9" w:rsidRPr="00516CC9">
        <w:rPr>
          <w:rFonts w:ascii="Palatino Linotype" w:hAnsi="Palatino Linotype" w:cs="Tahoma"/>
          <w:szCs w:val="22"/>
        </w:rPr>
        <w:t xml:space="preserve">once de febrero </w:t>
      </w:r>
      <w:r w:rsidRPr="00516CC9">
        <w:rPr>
          <w:rFonts w:ascii="Palatino Linotype" w:hAnsi="Palatino Linotype" w:cs="Tahoma"/>
          <w:szCs w:val="22"/>
        </w:rPr>
        <w:t>de</w:t>
      </w:r>
      <w:r w:rsidR="00B31222" w:rsidRPr="00516CC9">
        <w:rPr>
          <w:rFonts w:ascii="Palatino Linotype" w:hAnsi="Palatino Linotype" w:cs="Tahoma"/>
          <w:szCs w:val="22"/>
        </w:rPr>
        <w:t xml:space="preserve"> dos mil dieci</w:t>
      </w:r>
      <w:r w:rsidR="00E95BD6" w:rsidRPr="00516CC9">
        <w:rPr>
          <w:rFonts w:ascii="Palatino Linotype" w:hAnsi="Palatino Linotype" w:cs="Tahoma"/>
          <w:szCs w:val="22"/>
        </w:rPr>
        <w:t>nueve</w:t>
      </w:r>
      <w:r w:rsidR="00B31222" w:rsidRPr="00516CC9">
        <w:rPr>
          <w:rFonts w:ascii="Palatino Linotype" w:hAnsi="Palatino Linotype" w:cs="Tahoma"/>
          <w:szCs w:val="22"/>
        </w:rPr>
        <w:t xml:space="preserve">, </w:t>
      </w:r>
      <w:r w:rsidR="00E573C6" w:rsidRPr="00516CC9">
        <w:rPr>
          <w:rFonts w:ascii="Palatino Linotype" w:hAnsi="Palatino Linotype" w:cs="Tahoma"/>
          <w:szCs w:val="22"/>
        </w:rPr>
        <w:t>el</w:t>
      </w:r>
      <w:r w:rsidR="00A9024A" w:rsidRPr="00516CC9">
        <w:rPr>
          <w:rFonts w:ascii="Palatino Linotype" w:hAnsi="Palatino Linotype" w:cs="Tahoma"/>
          <w:szCs w:val="22"/>
        </w:rPr>
        <w:t xml:space="preserve"> </w:t>
      </w:r>
      <w:r w:rsidR="002459FB" w:rsidRPr="00516CC9">
        <w:rPr>
          <w:rFonts w:ascii="Palatino Linotype" w:hAnsi="Palatino Linotype" w:cs="Tahoma"/>
          <w:szCs w:val="22"/>
        </w:rPr>
        <w:t xml:space="preserve">Particular </w:t>
      </w:r>
      <w:r w:rsidR="00EA68DA" w:rsidRPr="00516CC9">
        <w:rPr>
          <w:rFonts w:ascii="Palatino Linotype" w:hAnsi="Palatino Linotype" w:cs="Tahoma"/>
          <w:szCs w:val="22"/>
        </w:rPr>
        <w:t xml:space="preserve">presentó </w:t>
      </w:r>
      <w:r w:rsidR="00B31222" w:rsidRPr="00516CC9">
        <w:rPr>
          <w:rFonts w:ascii="Palatino Linotype" w:hAnsi="Palatino Linotype" w:cs="Tahoma"/>
          <w:szCs w:val="22"/>
        </w:rPr>
        <w:t>solicitud de acceso a la información</w:t>
      </w:r>
      <w:r w:rsidR="00C55151" w:rsidRPr="00516CC9">
        <w:rPr>
          <w:rFonts w:ascii="Palatino Linotype" w:hAnsi="Palatino Linotype" w:cs="Tahoma"/>
          <w:szCs w:val="22"/>
        </w:rPr>
        <w:t xml:space="preserve"> pública a través d</w:t>
      </w:r>
      <w:r w:rsidR="000C27CA" w:rsidRPr="00516CC9">
        <w:rPr>
          <w:rFonts w:ascii="Palatino Linotype" w:hAnsi="Palatino Linotype" w:cs="Tahoma"/>
          <w:szCs w:val="22"/>
          <w:lang w:val="es-ES"/>
        </w:rPr>
        <w:t>el Sistema de Acceso a la Información Mexiquense</w:t>
      </w:r>
      <w:r w:rsidR="004100AA" w:rsidRPr="00516CC9">
        <w:rPr>
          <w:rFonts w:ascii="Palatino Linotype" w:hAnsi="Palatino Linotype" w:cs="Tahoma"/>
          <w:szCs w:val="22"/>
          <w:lang w:val="es-ES"/>
        </w:rPr>
        <w:t xml:space="preserve"> (SAIMEX)</w:t>
      </w:r>
      <w:r w:rsidR="00B31222" w:rsidRPr="00516CC9">
        <w:rPr>
          <w:rFonts w:ascii="Palatino Linotype" w:hAnsi="Palatino Linotype" w:cs="Tahoma"/>
          <w:szCs w:val="22"/>
        </w:rPr>
        <w:t xml:space="preserve">, </w:t>
      </w:r>
      <w:r w:rsidR="00C55151" w:rsidRPr="00516CC9">
        <w:rPr>
          <w:rFonts w:ascii="Palatino Linotype" w:hAnsi="Palatino Linotype" w:cs="Tahoma"/>
          <w:szCs w:val="22"/>
        </w:rPr>
        <w:t>ante</w:t>
      </w:r>
      <w:r w:rsidR="00896DC7" w:rsidRPr="00516CC9">
        <w:rPr>
          <w:rFonts w:ascii="Palatino Linotype" w:hAnsi="Palatino Linotype" w:cs="Tahoma"/>
          <w:szCs w:val="22"/>
        </w:rPr>
        <w:t xml:space="preserve"> el</w:t>
      </w:r>
      <w:r w:rsidR="00C55151" w:rsidRPr="00516CC9">
        <w:rPr>
          <w:rFonts w:ascii="Palatino Linotype" w:hAnsi="Palatino Linotype" w:cs="Tahoma"/>
          <w:szCs w:val="22"/>
        </w:rPr>
        <w:t xml:space="preserve"> </w:t>
      </w:r>
      <w:r w:rsidR="00E95BD6" w:rsidRPr="00516CC9">
        <w:rPr>
          <w:rFonts w:ascii="Palatino Linotype" w:hAnsi="Palatino Linotype" w:cs="Tahoma"/>
          <w:szCs w:val="22"/>
        </w:rPr>
        <w:t>Ayuntamiento de Atizapán de Zaragoza</w:t>
      </w:r>
      <w:r w:rsidR="00B31222" w:rsidRPr="00516CC9">
        <w:rPr>
          <w:rFonts w:ascii="Palatino Linotype" w:hAnsi="Palatino Linotype" w:cs="Tahoma"/>
          <w:szCs w:val="22"/>
        </w:rPr>
        <w:t xml:space="preserve">, </w:t>
      </w:r>
      <w:r w:rsidR="00C55151" w:rsidRPr="00516CC9">
        <w:rPr>
          <w:rFonts w:ascii="Palatino Linotype" w:hAnsi="Palatino Linotype" w:cs="Tahoma"/>
          <w:szCs w:val="22"/>
        </w:rPr>
        <w:t>mediante la cual requirió</w:t>
      </w:r>
      <w:r w:rsidR="00A37B60" w:rsidRPr="00516CC9">
        <w:rPr>
          <w:rFonts w:ascii="Palatino Linotype" w:hAnsi="Palatino Linotype" w:cs="Tahoma"/>
          <w:szCs w:val="22"/>
        </w:rPr>
        <w:t xml:space="preserve"> lo siguiente</w:t>
      </w:r>
      <w:r w:rsidR="00B31222" w:rsidRPr="00516CC9">
        <w:rPr>
          <w:rFonts w:ascii="Palatino Linotype" w:hAnsi="Palatino Linotype" w:cs="Tahoma"/>
          <w:szCs w:val="22"/>
        </w:rPr>
        <w:t>:</w:t>
      </w:r>
    </w:p>
    <w:p w:rsidR="0048505E" w:rsidRPr="00516CC9" w:rsidRDefault="0048505E" w:rsidP="00516CC9">
      <w:pPr>
        <w:tabs>
          <w:tab w:val="left" w:pos="567"/>
        </w:tabs>
        <w:spacing w:line="360" w:lineRule="auto"/>
        <w:jc w:val="both"/>
        <w:rPr>
          <w:rFonts w:ascii="Palatino Linotype" w:hAnsi="Palatino Linotype" w:cs="Tahoma"/>
          <w:sz w:val="22"/>
          <w:szCs w:val="22"/>
        </w:rPr>
      </w:pPr>
    </w:p>
    <w:p w:rsidR="00031B16" w:rsidRPr="00516CC9" w:rsidRDefault="00031B16" w:rsidP="00516CC9">
      <w:pPr>
        <w:tabs>
          <w:tab w:val="left" w:pos="4667"/>
        </w:tabs>
        <w:spacing w:line="360" w:lineRule="auto"/>
        <w:ind w:left="567" w:right="567"/>
        <w:jc w:val="both"/>
        <w:rPr>
          <w:rFonts w:ascii="Palatino Linotype" w:hAnsi="Palatino Linotype" w:cs="Tahoma"/>
          <w:b/>
          <w:bCs/>
          <w:sz w:val="22"/>
          <w:szCs w:val="22"/>
        </w:rPr>
      </w:pPr>
      <w:r w:rsidRPr="00516CC9">
        <w:rPr>
          <w:rFonts w:ascii="Palatino Linotype" w:hAnsi="Palatino Linotype" w:cs="Tahoma"/>
          <w:b/>
          <w:bCs/>
          <w:sz w:val="22"/>
          <w:szCs w:val="22"/>
        </w:rPr>
        <w:t>DESCRIPCIÓN CLARA Y PRECISA DE LA INFORMACIÓN SOLICITADA</w:t>
      </w:r>
    </w:p>
    <w:p w:rsidR="00026EBB" w:rsidRPr="00516CC9" w:rsidRDefault="001E2CC9" w:rsidP="00516CC9">
      <w:pPr>
        <w:tabs>
          <w:tab w:val="left" w:pos="4667"/>
        </w:tabs>
        <w:spacing w:line="360" w:lineRule="auto"/>
        <w:ind w:left="567" w:right="567"/>
        <w:jc w:val="both"/>
        <w:rPr>
          <w:rFonts w:ascii="Palatino Linotype" w:hAnsi="Palatino Linotype" w:cs="Tahoma"/>
          <w:bCs/>
          <w:i/>
          <w:sz w:val="22"/>
          <w:szCs w:val="22"/>
        </w:rPr>
      </w:pPr>
      <w:r w:rsidRPr="00516CC9">
        <w:rPr>
          <w:rFonts w:ascii="Palatino Linotype" w:hAnsi="Palatino Linotype" w:cs="Tahoma"/>
          <w:bCs/>
          <w:i/>
          <w:sz w:val="22"/>
          <w:szCs w:val="22"/>
        </w:rPr>
        <w:t>“SOLICITO CON EVIDENCIA DIGITALES O ELECTRONICAS SE HAN EXPEDIDO EN MATERIA DE LICENCIA DE REMODELACION Y /O CONSTRUCCIÓN O BIEN DE TERMINACIÓN DE OBRA, DETALLANDO UBICACIÓN GEOGRÁFICA DE LOS PARTICULARES SOLICITANTES DE DICHAS OBRAS POR PARTE DEL AYUNTAMIENTO DE ATIZAPAN DE ZARAGOZA DEL 01 DE ENERO DE 2019 A LA FECHA.”</w:t>
      </w:r>
      <w:r w:rsidR="00ED669A" w:rsidRPr="00516CC9">
        <w:rPr>
          <w:rFonts w:ascii="Palatino Linotype" w:hAnsi="Palatino Linotype" w:cs="Tahoma"/>
          <w:bCs/>
          <w:i/>
          <w:sz w:val="22"/>
          <w:szCs w:val="22"/>
        </w:rPr>
        <w:t xml:space="preserve"> (Sic.)</w:t>
      </w:r>
    </w:p>
    <w:p w:rsidR="00E95BD6" w:rsidRPr="00516CC9" w:rsidRDefault="00E95BD6" w:rsidP="00516CC9">
      <w:pPr>
        <w:tabs>
          <w:tab w:val="left" w:pos="4667"/>
        </w:tabs>
        <w:spacing w:line="360" w:lineRule="auto"/>
        <w:ind w:left="567" w:right="567"/>
        <w:jc w:val="both"/>
        <w:rPr>
          <w:rFonts w:ascii="Palatino Linotype" w:hAnsi="Palatino Linotype" w:cs="Tahoma"/>
          <w:bCs/>
          <w:i/>
          <w:sz w:val="22"/>
          <w:szCs w:val="22"/>
        </w:rPr>
      </w:pPr>
    </w:p>
    <w:p w:rsidR="00031B16" w:rsidRPr="00516CC9" w:rsidRDefault="00031B16" w:rsidP="00516CC9">
      <w:pPr>
        <w:tabs>
          <w:tab w:val="left" w:pos="4667"/>
        </w:tabs>
        <w:spacing w:line="360" w:lineRule="auto"/>
        <w:ind w:left="567" w:right="567"/>
        <w:jc w:val="both"/>
        <w:rPr>
          <w:rFonts w:ascii="Palatino Linotype" w:hAnsi="Palatino Linotype" w:cs="Tahoma"/>
          <w:bCs/>
          <w:sz w:val="22"/>
          <w:szCs w:val="22"/>
        </w:rPr>
      </w:pPr>
      <w:r w:rsidRPr="00516CC9">
        <w:rPr>
          <w:rFonts w:ascii="Palatino Linotype" w:hAnsi="Palatino Linotype" w:cs="Tahoma"/>
          <w:b/>
          <w:bCs/>
          <w:sz w:val="22"/>
          <w:szCs w:val="22"/>
        </w:rPr>
        <w:t>“MODALIDAD DE ENTREGA</w:t>
      </w:r>
    </w:p>
    <w:p w:rsidR="00031B16" w:rsidRPr="00516CC9" w:rsidRDefault="00031B16" w:rsidP="00516CC9">
      <w:pPr>
        <w:spacing w:line="360" w:lineRule="auto"/>
        <w:ind w:left="567" w:right="567"/>
        <w:jc w:val="both"/>
        <w:rPr>
          <w:rFonts w:ascii="Palatino Linotype" w:hAnsi="Palatino Linotype" w:cs="Arial"/>
          <w:bCs/>
          <w:i/>
          <w:sz w:val="22"/>
          <w:szCs w:val="22"/>
        </w:rPr>
      </w:pPr>
      <w:r w:rsidRPr="00516CC9">
        <w:rPr>
          <w:rFonts w:ascii="Palatino Linotype" w:hAnsi="Palatino Linotype" w:cs="Arial"/>
          <w:bCs/>
          <w:i/>
          <w:sz w:val="22"/>
          <w:szCs w:val="22"/>
        </w:rPr>
        <w:t>A través del SAIMEX”</w:t>
      </w:r>
    </w:p>
    <w:p w:rsidR="002459FB" w:rsidRPr="00516CC9" w:rsidRDefault="002459FB" w:rsidP="00516CC9">
      <w:pPr>
        <w:spacing w:line="360" w:lineRule="auto"/>
        <w:ind w:left="567" w:right="567"/>
        <w:jc w:val="both"/>
        <w:rPr>
          <w:rFonts w:ascii="Palatino Linotype" w:hAnsi="Palatino Linotype" w:cs="Tahoma"/>
          <w:bCs/>
          <w:sz w:val="22"/>
          <w:szCs w:val="22"/>
        </w:rPr>
      </w:pPr>
    </w:p>
    <w:p w:rsidR="00AA5A86" w:rsidRPr="00516CC9" w:rsidRDefault="0045478C" w:rsidP="00516CC9">
      <w:pPr>
        <w:spacing w:line="360" w:lineRule="auto"/>
        <w:rPr>
          <w:rFonts w:ascii="Palatino Linotype" w:hAnsi="Palatino Linotype" w:cs="Tahoma"/>
          <w:b/>
          <w:sz w:val="22"/>
          <w:szCs w:val="22"/>
        </w:rPr>
      </w:pPr>
      <w:r w:rsidRPr="00516CC9">
        <w:rPr>
          <w:rFonts w:ascii="Palatino Linotype" w:hAnsi="Palatino Linotype" w:cs="Tahoma"/>
          <w:b/>
          <w:bCs/>
          <w:sz w:val="22"/>
          <w:szCs w:val="22"/>
        </w:rPr>
        <w:t>II.</w:t>
      </w:r>
      <w:r w:rsidRPr="00516CC9">
        <w:rPr>
          <w:rFonts w:ascii="Palatino Linotype" w:hAnsi="Palatino Linotype" w:cs="Tahoma"/>
          <w:bCs/>
          <w:sz w:val="22"/>
          <w:szCs w:val="22"/>
        </w:rPr>
        <w:t xml:space="preserve">  </w:t>
      </w:r>
      <w:r w:rsidR="00AA5A86" w:rsidRPr="00516CC9">
        <w:rPr>
          <w:rFonts w:ascii="Palatino Linotype" w:hAnsi="Palatino Linotype" w:cs="Tahoma"/>
          <w:b/>
          <w:sz w:val="22"/>
          <w:szCs w:val="22"/>
        </w:rPr>
        <w:t xml:space="preserve">Respuesta del </w:t>
      </w:r>
      <w:r w:rsidR="00386A93" w:rsidRPr="00516CC9">
        <w:rPr>
          <w:rFonts w:ascii="Palatino Linotype" w:hAnsi="Palatino Linotype" w:cs="Tahoma"/>
          <w:b/>
          <w:sz w:val="22"/>
          <w:szCs w:val="22"/>
        </w:rPr>
        <w:t>Sujeto Obligado</w:t>
      </w:r>
      <w:r w:rsidR="00AA5A86" w:rsidRPr="00516CC9">
        <w:rPr>
          <w:rFonts w:ascii="Palatino Linotype" w:hAnsi="Palatino Linotype" w:cs="Tahoma"/>
          <w:b/>
          <w:sz w:val="22"/>
          <w:szCs w:val="22"/>
        </w:rPr>
        <w:t>.</w:t>
      </w:r>
    </w:p>
    <w:p w:rsidR="00264223" w:rsidRPr="00516CC9" w:rsidRDefault="00264223" w:rsidP="00516CC9">
      <w:pPr>
        <w:pStyle w:val="Prrafodelista"/>
        <w:tabs>
          <w:tab w:val="left" w:pos="567"/>
        </w:tabs>
        <w:spacing w:line="360" w:lineRule="auto"/>
        <w:ind w:left="0"/>
        <w:contextualSpacing w:val="0"/>
        <w:jc w:val="both"/>
        <w:rPr>
          <w:rFonts w:ascii="Palatino Linotype" w:hAnsi="Palatino Linotype" w:cs="Tahoma"/>
          <w:b/>
          <w:szCs w:val="22"/>
        </w:rPr>
      </w:pPr>
    </w:p>
    <w:p w:rsidR="004B017A" w:rsidRPr="00516CC9" w:rsidRDefault="00FB5FC7" w:rsidP="00516CC9">
      <w:pPr>
        <w:autoSpaceDE w:val="0"/>
        <w:autoSpaceDN w:val="0"/>
        <w:adjustRightInd w:val="0"/>
        <w:spacing w:line="360" w:lineRule="auto"/>
        <w:jc w:val="both"/>
        <w:rPr>
          <w:rFonts w:ascii="Palatino Linotype" w:hAnsi="Palatino Linotype" w:cs="Tahoma"/>
          <w:sz w:val="22"/>
          <w:szCs w:val="22"/>
        </w:rPr>
      </w:pPr>
      <w:r w:rsidRPr="00516CC9">
        <w:rPr>
          <w:rFonts w:ascii="Palatino Linotype" w:hAnsi="Palatino Linotype" w:cs="Tahoma"/>
          <w:sz w:val="22"/>
          <w:szCs w:val="22"/>
        </w:rPr>
        <w:t xml:space="preserve">El </w:t>
      </w:r>
      <w:r w:rsidR="001E2CC9" w:rsidRPr="00516CC9">
        <w:rPr>
          <w:rFonts w:ascii="Palatino Linotype" w:hAnsi="Palatino Linotype" w:cs="Tahoma"/>
          <w:sz w:val="22"/>
          <w:szCs w:val="22"/>
        </w:rPr>
        <w:t xml:space="preserve">cinco de marzo </w:t>
      </w:r>
      <w:r w:rsidR="00E95BD6" w:rsidRPr="00516CC9">
        <w:rPr>
          <w:rFonts w:ascii="Palatino Linotype" w:hAnsi="Palatino Linotype" w:cs="Tahoma"/>
          <w:sz w:val="22"/>
          <w:szCs w:val="22"/>
        </w:rPr>
        <w:t xml:space="preserve">de </w:t>
      </w:r>
      <w:r w:rsidRPr="00516CC9">
        <w:rPr>
          <w:rFonts w:ascii="Palatino Linotype" w:hAnsi="Palatino Linotype" w:cs="Tahoma"/>
          <w:sz w:val="22"/>
          <w:szCs w:val="22"/>
        </w:rPr>
        <w:t>dos mil dieci</w:t>
      </w:r>
      <w:r w:rsidR="00E95BD6" w:rsidRPr="00516CC9">
        <w:rPr>
          <w:rFonts w:ascii="Palatino Linotype" w:hAnsi="Palatino Linotype" w:cs="Tahoma"/>
          <w:sz w:val="22"/>
          <w:szCs w:val="22"/>
        </w:rPr>
        <w:t>nueve</w:t>
      </w:r>
      <w:r w:rsidRPr="00516CC9">
        <w:rPr>
          <w:rFonts w:ascii="Palatino Linotype" w:hAnsi="Palatino Linotype" w:cs="Tahoma"/>
          <w:sz w:val="22"/>
          <w:szCs w:val="22"/>
        </w:rPr>
        <w:t>, el Sujeto Obligado dio respuesta a la solicitud de acceso a la información a través del Sistema de Acceso a la Información Mexiquense (SAIMEX) en l</w:t>
      </w:r>
      <w:r w:rsidR="0048505E" w:rsidRPr="00516CC9">
        <w:rPr>
          <w:rFonts w:ascii="Palatino Linotype" w:hAnsi="Palatino Linotype" w:cs="Tahoma"/>
          <w:sz w:val="22"/>
          <w:szCs w:val="22"/>
        </w:rPr>
        <w:t xml:space="preserve">os siguientes términos: </w:t>
      </w:r>
    </w:p>
    <w:p w:rsidR="00BC11E7" w:rsidRPr="00516CC9" w:rsidRDefault="00BC11E7" w:rsidP="00516CC9">
      <w:pPr>
        <w:autoSpaceDE w:val="0"/>
        <w:autoSpaceDN w:val="0"/>
        <w:adjustRightInd w:val="0"/>
        <w:spacing w:line="360" w:lineRule="auto"/>
        <w:ind w:left="567" w:right="539"/>
        <w:jc w:val="both"/>
        <w:rPr>
          <w:rFonts w:ascii="Palatino Linotype" w:hAnsi="Palatino Linotype" w:cs="Tahoma"/>
          <w:sz w:val="22"/>
          <w:szCs w:val="22"/>
        </w:rPr>
      </w:pPr>
    </w:p>
    <w:p w:rsidR="00AF34D0" w:rsidRPr="00516CC9" w:rsidRDefault="00AF34D0" w:rsidP="00516CC9">
      <w:pPr>
        <w:autoSpaceDE w:val="0"/>
        <w:autoSpaceDN w:val="0"/>
        <w:adjustRightInd w:val="0"/>
        <w:spacing w:line="360" w:lineRule="auto"/>
        <w:ind w:left="567" w:right="539"/>
        <w:jc w:val="both"/>
        <w:rPr>
          <w:rFonts w:ascii="Palatino Linotype" w:hAnsi="Palatino Linotype" w:cs="Tahoma"/>
          <w:i/>
          <w:sz w:val="22"/>
          <w:szCs w:val="22"/>
        </w:rPr>
      </w:pPr>
      <w:r w:rsidRPr="00516CC9">
        <w:rPr>
          <w:rFonts w:ascii="Palatino Linotype" w:hAnsi="Palatino Linotype" w:cs="Tahoma"/>
          <w:i/>
          <w:sz w:val="22"/>
          <w:szCs w:val="22"/>
        </w:rPr>
        <w:t>“…</w:t>
      </w:r>
    </w:p>
    <w:p w:rsidR="001E2CC9" w:rsidRPr="00516CC9" w:rsidRDefault="001E2CC9" w:rsidP="00516CC9">
      <w:pPr>
        <w:autoSpaceDE w:val="0"/>
        <w:autoSpaceDN w:val="0"/>
        <w:adjustRightInd w:val="0"/>
        <w:spacing w:line="360" w:lineRule="auto"/>
        <w:ind w:left="567" w:right="567"/>
        <w:jc w:val="both"/>
        <w:rPr>
          <w:rFonts w:ascii="Palatino Linotype" w:hAnsi="Palatino Linotype" w:cs="Tahoma"/>
          <w:i/>
          <w:sz w:val="22"/>
          <w:szCs w:val="22"/>
        </w:rPr>
      </w:pPr>
      <w:r w:rsidRPr="00516CC9">
        <w:rPr>
          <w:rFonts w:ascii="Palatino Linotype" w:hAnsi="Palatino Linotype" w:cs="Tahoma"/>
          <w:i/>
          <w:sz w:val="22"/>
          <w:szCs w:val="22"/>
        </w:rPr>
        <w:t xml:space="preserve">En atención a su solicitud número 00150/ATIZARA/IP/2019, al respecto me permito hacer de su conocimiento que esta Dirección General de Desarrollo Territorial, no genera la información como usted la requiere, ya que únicamente se hace la captura de las Licencias de construcción en la página web de Información Pública de Oficio Mexiquense (IPOMEX), sin estar obligado a realizar el procesamiento de las mismas como usted las requiere, lo anterior de conformidad con el artículo 12 de la Ley de Transparencia y Acceso a la Información Pública del Estado de México y Municipios, que a la letra dice: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que atendiendo al principio de máxima publicidad, me permito informar que las Licencias de Construcción las podrá consultar bajo la siguiente ruta: en la página del H. Ayuntamiento de Atizapán de </w:t>
      </w:r>
      <w:r w:rsidRPr="00516CC9">
        <w:rPr>
          <w:rFonts w:ascii="Palatino Linotype" w:hAnsi="Palatino Linotype" w:cs="Tahoma"/>
          <w:i/>
          <w:sz w:val="22"/>
          <w:szCs w:val="22"/>
        </w:rPr>
        <w:lastRenderedPageBreak/>
        <w:t>Zaragoza, en transparencia, IPOMEX, http://www.ipomex.org.mx/ipo/portal/atizapandezaragoza.web, Artículo 94, Fracción I F7 (año 2018). Los Expedientes Concluidos de Autorizaciones, Permisos, Licencias, Certificaciones y Concesiones, (mismas que se encuentran escaneadas). Agradeceré su atención al presente, quedo de usted.</w:t>
      </w:r>
    </w:p>
    <w:p w:rsidR="00AF34D0" w:rsidRPr="00516CC9" w:rsidRDefault="00417D45" w:rsidP="00516CC9">
      <w:pPr>
        <w:autoSpaceDE w:val="0"/>
        <w:autoSpaceDN w:val="0"/>
        <w:adjustRightInd w:val="0"/>
        <w:spacing w:line="360" w:lineRule="auto"/>
        <w:ind w:left="567" w:right="567"/>
        <w:jc w:val="both"/>
        <w:rPr>
          <w:rFonts w:ascii="Palatino Linotype" w:hAnsi="Palatino Linotype" w:cs="Tahoma"/>
          <w:i/>
          <w:sz w:val="22"/>
          <w:szCs w:val="22"/>
        </w:rPr>
      </w:pPr>
      <w:r w:rsidRPr="00516CC9">
        <w:rPr>
          <w:rFonts w:ascii="Palatino Linotype" w:hAnsi="Palatino Linotype" w:cs="Tahoma"/>
          <w:i/>
          <w:sz w:val="22"/>
          <w:szCs w:val="22"/>
        </w:rPr>
        <w:t>…”</w:t>
      </w:r>
    </w:p>
    <w:p w:rsidR="00056128" w:rsidRPr="00516CC9" w:rsidRDefault="00056128" w:rsidP="00516CC9">
      <w:pPr>
        <w:autoSpaceDE w:val="0"/>
        <w:autoSpaceDN w:val="0"/>
        <w:adjustRightInd w:val="0"/>
        <w:spacing w:line="360" w:lineRule="auto"/>
        <w:jc w:val="both"/>
        <w:rPr>
          <w:rFonts w:ascii="Palatino Linotype" w:hAnsi="Palatino Linotype" w:cs="Tahoma"/>
          <w:sz w:val="22"/>
          <w:szCs w:val="22"/>
        </w:rPr>
      </w:pPr>
    </w:p>
    <w:p w:rsidR="00587F23" w:rsidRPr="00516CC9" w:rsidRDefault="00D95C7A" w:rsidP="00516CC9">
      <w:pPr>
        <w:autoSpaceDE w:val="0"/>
        <w:autoSpaceDN w:val="0"/>
        <w:adjustRightInd w:val="0"/>
        <w:spacing w:line="360" w:lineRule="auto"/>
        <w:jc w:val="both"/>
        <w:rPr>
          <w:rFonts w:ascii="Palatino Linotype" w:hAnsi="Palatino Linotype" w:cs="Tahoma"/>
          <w:b/>
          <w:sz w:val="22"/>
          <w:szCs w:val="22"/>
        </w:rPr>
      </w:pPr>
      <w:r w:rsidRPr="00516CC9">
        <w:rPr>
          <w:rFonts w:ascii="Palatino Linotype" w:hAnsi="Palatino Linotype" w:cs="Tahoma"/>
          <w:b/>
          <w:sz w:val="22"/>
          <w:szCs w:val="22"/>
        </w:rPr>
        <w:t>I</w:t>
      </w:r>
      <w:r w:rsidR="00A558CA" w:rsidRPr="00516CC9">
        <w:rPr>
          <w:rFonts w:ascii="Palatino Linotype" w:hAnsi="Palatino Linotype" w:cs="Tahoma"/>
          <w:b/>
          <w:sz w:val="22"/>
          <w:szCs w:val="22"/>
        </w:rPr>
        <w:t>II</w:t>
      </w:r>
      <w:r w:rsidR="00AA5A86" w:rsidRPr="00516CC9">
        <w:rPr>
          <w:rFonts w:ascii="Palatino Linotype" w:hAnsi="Palatino Linotype" w:cs="Tahoma"/>
          <w:b/>
          <w:sz w:val="22"/>
          <w:szCs w:val="22"/>
        </w:rPr>
        <w:t xml:space="preserve">. </w:t>
      </w:r>
      <w:r w:rsidR="004100AA" w:rsidRPr="00516CC9">
        <w:rPr>
          <w:rFonts w:ascii="Palatino Linotype" w:hAnsi="Palatino Linotype" w:cs="Tahoma"/>
          <w:b/>
          <w:sz w:val="22"/>
          <w:szCs w:val="22"/>
        </w:rPr>
        <w:t>Interposición</w:t>
      </w:r>
      <w:r w:rsidR="00C459A9" w:rsidRPr="00516CC9">
        <w:rPr>
          <w:rFonts w:ascii="Palatino Linotype" w:hAnsi="Palatino Linotype" w:cs="Tahoma"/>
          <w:b/>
          <w:sz w:val="22"/>
          <w:szCs w:val="22"/>
        </w:rPr>
        <w:t xml:space="preserve"> del Recurso de R</w:t>
      </w:r>
      <w:r w:rsidR="00C25238" w:rsidRPr="00516CC9">
        <w:rPr>
          <w:rFonts w:ascii="Palatino Linotype" w:hAnsi="Palatino Linotype" w:cs="Tahoma"/>
          <w:b/>
          <w:sz w:val="22"/>
          <w:szCs w:val="22"/>
        </w:rPr>
        <w:t xml:space="preserve">evisión. </w:t>
      </w:r>
    </w:p>
    <w:p w:rsidR="0006419A" w:rsidRPr="00516CC9" w:rsidRDefault="0006419A" w:rsidP="00516CC9">
      <w:pPr>
        <w:autoSpaceDE w:val="0"/>
        <w:autoSpaceDN w:val="0"/>
        <w:adjustRightInd w:val="0"/>
        <w:spacing w:line="360" w:lineRule="auto"/>
        <w:jc w:val="both"/>
        <w:rPr>
          <w:rFonts w:ascii="Palatino Linotype" w:hAnsi="Palatino Linotype" w:cs="Tahoma"/>
          <w:b/>
          <w:sz w:val="22"/>
          <w:szCs w:val="22"/>
        </w:rPr>
      </w:pPr>
    </w:p>
    <w:p w:rsidR="00264223" w:rsidRPr="00516CC9" w:rsidRDefault="006C1B1D" w:rsidP="00516CC9">
      <w:pPr>
        <w:autoSpaceDE w:val="0"/>
        <w:autoSpaceDN w:val="0"/>
        <w:adjustRightInd w:val="0"/>
        <w:spacing w:line="360" w:lineRule="auto"/>
        <w:jc w:val="both"/>
        <w:rPr>
          <w:rFonts w:ascii="Palatino Linotype" w:hAnsi="Palatino Linotype" w:cs="Tahoma"/>
          <w:sz w:val="22"/>
          <w:szCs w:val="22"/>
        </w:rPr>
      </w:pPr>
      <w:r w:rsidRPr="00516CC9">
        <w:rPr>
          <w:rFonts w:ascii="Palatino Linotype" w:hAnsi="Palatino Linotype" w:cs="Tahoma"/>
          <w:sz w:val="22"/>
          <w:szCs w:val="22"/>
        </w:rPr>
        <w:t xml:space="preserve">Con </w:t>
      </w:r>
      <w:r w:rsidR="00A9024A" w:rsidRPr="00516CC9">
        <w:rPr>
          <w:rFonts w:ascii="Palatino Linotype" w:hAnsi="Palatino Linotype" w:cs="Tahoma"/>
          <w:sz w:val="22"/>
          <w:szCs w:val="22"/>
        </w:rPr>
        <w:t xml:space="preserve">fecha </w:t>
      </w:r>
      <w:r w:rsidR="001E2CC9" w:rsidRPr="00516CC9">
        <w:rPr>
          <w:rFonts w:ascii="Palatino Linotype" w:hAnsi="Palatino Linotype" w:cs="Tahoma"/>
          <w:sz w:val="22"/>
          <w:szCs w:val="22"/>
        </w:rPr>
        <w:t>seis de marzo</w:t>
      </w:r>
      <w:r w:rsidR="00984F18" w:rsidRPr="00516CC9">
        <w:rPr>
          <w:rFonts w:ascii="Palatino Linotype" w:hAnsi="Palatino Linotype" w:cs="Tahoma"/>
          <w:sz w:val="22"/>
          <w:szCs w:val="22"/>
        </w:rPr>
        <w:t xml:space="preserve"> </w:t>
      </w:r>
      <w:r w:rsidR="00593A79" w:rsidRPr="00516CC9">
        <w:rPr>
          <w:rFonts w:ascii="Palatino Linotype" w:hAnsi="Palatino Linotype" w:cs="Tahoma"/>
          <w:sz w:val="22"/>
          <w:szCs w:val="22"/>
        </w:rPr>
        <w:t>de dos mil diecinueve</w:t>
      </w:r>
      <w:r w:rsidR="00C25238" w:rsidRPr="00516CC9">
        <w:rPr>
          <w:rFonts w:ascii="Palatino Linotype" w:hAnsi="Palatino Linotype" w:cs="Tahoma"/>
          <w:sz w:val="22"/>
          <w:szCs w:val="22"/>
        </w:rPr>
        <w:t xml:space="preserve">, se recibió en este </w:t>
      </w:r>
      <w:r w:rsidR="00C25238" w:rsidRPr="00516CC9">
        <w:rPr>
          <w:rFonts w:ascii="Palatino Linotype" w:eastAsia="Calibri" w:hAnsi="Palatino Linotype" w:cs="Tahoma"/>
          <w:sz w:val="22"/>
          <w:szCs w:val="22"/>
          <w:lang w:eastAsia="en-US"/>
        </w:rPr>
        <w:t xml:space="preserve">Instituto, a través del </w:t>
      </w:r>
      <w:r w:rsidR="000313A7" w:rsidRPr="00516CC9">
        <w:rPr>
          <w:rFonts w:ascii="Palatino Linotype" w:hAnsi="Palatino Linotype" w:cs="Tahoma"/>
          <w:sz w:val="22"/>
          <w:szCs w:val="22"/>
          <w:lang w:val="es-ES"/>
        </w:rPr>
        <w:t>Sistema de Acceso a la Información Mexiquense (SAIMEX)</w:t>
      </w:r>
      <w:r w:rsidRPr="00516CC9">
        <w:rPr>
          <w:rFonts w:ascii="Palatino Linotype" w:hAnsi="Palatino Linotype" w:cs="Tahoma"/>
          <w:sz w:val="22"/>
          <w:szCs w:val="22"/>
        </w:rPr>
        <w:t xml:space="preserve">, </w:t>
      </w:r>
      <w:r w:rsidR="00593A79" w:rsidRPr="00516CC9">
        <w:rPr>
          <w:rFonts w:ascii="Palatino Linotype" w:hAnsi="Palatino Linotype" w:cs="Tahoma"/>
          <w:sz w:val="22"/>
          <w:szCs w:val="22"/>
        </w:rPr>
        <w:t>e</w:t>
      </w:r>
      <w:r w:rsidR="00DD2303" w:rsidRPr="00516CC9">
        <w:rPr>
          <w:rFonts w:ascii="Palatino Linotype" w:hAnsi="Palatino Linotype" w:cs="Tahoma"/>
          <w:sz w:val="22"/>
          <w:szCs w:val="22"/>
        </w:rPr>
        <w:t>l</w:t>
      </w:r>
      <w:r w:rsidRPr="00516CC9">
        <w:rPr>
          <w:rFonts w:ascii="Palatino Linotype" w:hAnsi="Palatino Linotype" w:cs="Tahoma"/>
          <w:sz w:val="22"/>
          <w:szCs w:val="22"/>
        </w:rPr>
        <w:t xml:space="preserve"> Recurso</w:t>
      </w:r>
      <w:r w:rsidR="00593A79" w:rsidRPr="00516CC9">
        <w:rPr>
          <w:rFonts w:ascii="Palatino Linotype" w:hAnsi="Palatino Linotype" w:cs="Tahoma"/>
          <w:sz w:val="22"/>
          <w:szCs w:val="22"/>
        </w:rPr>
        <w:t xml:space="preserve"> </w:t>
      </w:r>
      <w:r w:rsidRPr="00516CC9">
        <w:rPr>
          <w:rFonts w:ascii="Palatino Linotype" w:hAnsi="Palatino Linotype" w:cs="Tahoma"/>
          <w:sz w:val="22"/>
          <w:szCs w:val="22"/>
        </w:rPr>
        <w:t>de R</w:t>
      </w:r>
      <w:r w:rsidR="00C25238" w:rsidRPr="00516CC9">
        <w:rPr>
          <w:rFonts w:ascii="Palatino Linotype" w:hAnsi="Palatino Linotype" w:cs="Tahoma"/>
          <w:sz w:val="22"/>
          <w:szCs w:val="22"/>
        </w:rPr>
        <w:t xml:space="preserve">evisión </w:t>
      </w:r>
      <w:r w:rsidR="00DD2303" w:rsidRPr="00516CC9">
        <w:rPr>
          <w:rFonts w:ascii="Palatino Linotype" w:hAnsi="Palatino Linotype" w:cs="Tahoma"/>
          <w:b/>
          <w:sz w:val="22"/>
          <w:szCs w:val="22"/>
        </w:rPr>
        <w:t>0</w:t>
      </w:r>
      <w:r w:rsidR="00E06B9E">
        <w:rPr>
          <w:rFonts w:ascii="Palatino Linotype" w:hAnsi="Palatino Linotype" w:cs="Tahoma"/>
          <w:b/>
          <w:sz w:val="22"/>
          <w:szCs w:val="22"/>
        </w:rPr>
        <w:t>1341</w:t>
      </w:r>
      <w:r w:rsidR="00DD2303" w:rsidRPr="00516CC9">
        <w:rPr>
          <w:rFonts w:ascii="Palatino Linotype" w:hAnsi="Palatino Linotype" w:cs="Tahoma"/>
          <w:b/>
          <w:sz w:val="22"/>
          <w:szCs w:val="22"/>
        </w:rPr>
        <w:t>/INFOEM/IP/RR/201</w:t>
      </w:r>
      <w:r w:rsidR="00593A79" w:rsidRPr="00516CC9">
        <w:rPr>
          <w:rFonts w:ascii="Palatino Linotype" w:hAnsi="Palatino Linotype" w:cs="Tahoma"/>
          <w:b/>
          <w:sz w:val="22"/>
          <w:szCs w:val="22"/>
        </w:rPr>
        <w:t>9</w:t>
      </w:r>
      <w:r w:rsidR="00DD2303" w:rsidRPr="00516CC9">
        <w:rPr>
          <w:rFonts w:ascii="Palatino Linotype" w:hAnsi="Palatino Linotype" w:cs="Tahoma"/>
          <w:b/>
          <w:sz w:val="22"/>
          <w:szCs w:val="22"/>
        </w:rPr>
        <w:t>,</w:t>
      </w:r>
      <w:r w:rsidR="00DD2303" w:rsidRPr="00516CC9">
        <w:rPr>
          <w:rFonts w:ascii="Palatino Linotype" w:hAnsi="Palatino Linotype" w:cs="Tahoma"/>
          <w:sz w:val="22"/>
          <w:szCs w:val="22"/>
        </w:rPr>
        <w:t xml:space="preserve"> </w:t>
      </w:r>
      <w:r w:rsidR="00C25238" w:rsidRPr="00516CC9">
        <w:rPr>
          <w:rFonts w:ascii="Palatino Linotype" w:hAnsi="Palatino Linotype" w:cs="Tahoma"/>
          <w:sz w:val="22"/>
          <w:szCs w:val="22"/>
        </w:rPr>
        <w:t xml:space="preserve">interpuesto por </w:t>
      </w:r>
      <w:r w:rsidR="00E573C6" w:rsidRPr="00516CC9">
        <w:rPr>
          <w:rFonts w:ascii="Palatino Linotype" w:hAnsi="Palatino Linotype" w:cs="Tahoma"/>
          <w:sz w:val="22"/>
          <w:szCs w:val="22"/>
        </w:rPr>
        <w:t xml:space="preserve">el </w:t>
      </w:r>
      <w:r w:rsidR="008C357C" w:rsidRPr="00516CC9">
        <w:rPr>
          <w:rFonts w:ascii="Palatino Linotype" w:hAnsi="Palatino Linotype" w:cs="Tahoma"/>
          <w:sz w:val="22"/>
          <w:szCs w:val="22"/>
        </w:rPr>
        <w:t>P</w:t>
      </w:r>
      <w:r w:rsidR="00E573C6" w:rsidRPr="00516CC9">
        <w:rPr>
          <w:rFonts w:ascii="Palatino Linotype" w:hAnsi="Palatino Linotype" w:cs="Tahoma"/>
          <w:sz w:val="22"/>
          <w:szCs w:val="22"/>
        </w:rPr>
        <w:t>articular</w:t>
      </w:r>
      <w:r w:rsidR="00C25238" w:rsidRPr="00516CC9">
        <w:rPr>
          <w:rFonts w:ascii="Palatino Linotype" w:hAnsi="Palatino Linotype" w:cs="Tahoma"/>
          <w:sz w:val="22"/>
          <w:szCs w:val="22"/>
        </w:rPr>
        <w:t xml:space="preserve">, en contra de la respuesta </w:t>
      </w:r>
      <w:r w:rsidR="00587F23" w:rsidRPr="00516CC9">
        <w:rPr>
          <w:rFonts w:ascii="Palatino Linotype" w:hAnsi="Palatino Linotype" w:cs="Tahoma"/>
          <w:sz w:val="22"/>
          <w:szCs w:val="22"/>
        </w:rPr>
        <w:t xml:space="preserve">del </w:t>
      </w:r>
      <w:r w:rsidR="00956793" w:rsidRPr="00516CC9">
        <w:rPr>
          <w:rFonts w:ascii="Palatino Linotype" w:hAnsi="Palatino Linotype" w:cs="Tahoma"/>
          <w:sz w:val="22"/>
          <w:szCs w:val="22"/>
        </w:rPr>
        <w:t>Sujeto Obligado</w:t>
      </w:r>
      <w:r w:rsidR="00C25238" w:rsidRPr="00516CC9">
        <w:rPr>
          <w:rFonts w:ascii="Palatino Linotype" w:hAnsi="Palatino Linotype" w:cs="Tahoma"/>
          <w:sz w:val="22"/>
          <w:szCs w:val="22"/>
        </w:rPr>
        <w:t xml:space="preserve">, en </w:t>
      </w:r>
      <w:r w:rsidR="00DD2303" w:rsidRPr="00516CC9">
        <w:rPr>
          <w:rFonts w:ascii="Palatino Linotype" w:hAnsi="Palatino Linotype" w:cs="Tahoma"/>
          <w:sz w:val="22"/>
          <w:szCs w:val="22"/>
        </w:rPr>
        <w:t xml:space="preserve">los </w:t>
      </w:r>
      <w:r w:rsidR="00593A79" w:rsidRPr="00516CC9">
        <w:rPr>
          <w:rFonts w:ascii="Palatino Linotype" w:hAnsi="Palatino Linotype" w:cs="Tahoma"/>
          <w:sz w:val="22"/>
          <w:szCs w:val="22"/>
        </w:rPr>
        <w:t xml:space="preserve">siguientes </w:t>
      </w:r>
      <w:r w:rsidR="00626F66" w:rsidRPr="00516CC9">
        <w:rPr>
          <w:rFonts w:ascii="Palatino Linotype" w:hAnsi="Palatino Linotype" w:cs="Tahoma"/>
          <w:sz w:val="22"/>
          <w:szCs w:val="22"/>
        </w:rPr>
        <w:t>términos</w:t>
      </w:r>
      <w:r w:rsidR="00C25238" w:rsidRPr="00516CC9">
        <w:rPr>
          <w:rFonts w:ascii="Palatino Linotype" w:hAnsi="Palatino Linotype" w:cs="Tahoma"/>
          <w:sz w:val="22"/>
          <w:szCs w:val="22"/>
        </w:rPr>
        <w:t>:</w:t>
      </w:r>
    </w:p>
    <w:p w:rsidR="00DD2303" w:rsidRPr="00516CC9" w:rsidRDefault="00DD2303" w:rsidP="00516CC9">
      <w:pPr>
        <w:tabs>
          <w:tab w:val="left" w:pos="4667"/>
        </w:tabs>
        <w:spacing w:line="360" w:lineRule="auto"/>
        <w:ind w:left="567" w:right="567"/>
        <w:jc w:val="both"/>
        <w:rPr>
          <w:rFonts w:ascii="Palatino Linotype" w:hAnsi="Palatino Linotype" w:cs="Tahoma"/>
          <w:b/>
          <w:bCs/>
          <w:sz w:val="22"/>
          <w:szCs w:val="22"/>
        </w:rPr>
      </w:pPr>
    </w:p>
    <w:p w:rsidR="00DD2303" w:rsidRPr="00516CC9" w:rsidRDefault="00DD2303" w:rsidP="00516CC9">
      <w:pPr>
        <w:tabs>
          <w:tab w:val="left" w:pos="4667"/>
        </w:tabs>
        <w:spacing w:line="360" w:lineRule="auto"/>
        <w:ind w:left="567" w:right="567"/>
        <w:jc w:val="both"/>
        <w:rPr>
          <w:rFonts w:ascii="Palatino Linotype" w:hAnsi="Palatino Linotype" w:cs="Tahoma"/>
          <w:bCs/>
          <w:sz w:val="22"/>
          <w:szCs w:val="22"/>
        </w:rPr>
      </w:pPr>
      <w:r w:rsidRPr="00516CC9">
        <w:rPr>
          <w:rFonts w:ascii="Palatino Linotype" w:hAnsi="Palatino Linotype" w:cs="Tahoma"/>
          <w:b/>
          <w:bCs/>
          <w:sz w:val="22"/>
          <w:szCs w:val="22"/>
        </w:rPr>
        <w:t>“ACTO IMPUGNADO</w:t>
      </w:r>
    </w:p>
    <w:p w:rsidR="00DD2303" w:rsidRPr="00516CC9" w:rsidRDefault="001E2CC9" w:rsidP="00516CC9">
      <w:pPr>
        <w:autoSpaceDE w:val="0"/>
        <w:autoSpaceDN w:val="0"/>
        <w:adjustRightInd w:val="0"/>
        <w:spacing w:line="360" w:lineRule="auto"/>
        <w:ind w:left="567" w:right="567"/>
        <w:jc w:val="both"/>
        <w:rPr>
          <w:rFonts w:ascii="Palatino Linotype" w:hAnsi="Palatino Linotype" w:cs="Tahoma"/>
          <w:i/>
          <w:sz w:val="22"/>
          <w:szCs w:val="22"/>
        </w:rPr>
      </w:pPr>
      <w:r w:rsidRPr="00516CC9">
        <w:rPr>
          <w:rFonts w:ascii="Palatino Linotype" w:hAnsi="Palatino Linotype" w:cs="Tahoma"/>
          <w:i/>
          <w:sz w:val="22"/>
          <w:szCs w:val="22"/>
        </w:rPr>
        <w:t>RESPUESTA DE LA AUTORIDAD</w:t>
      </w:r>
      <w:r w:rsidR="00DD2303" w:rsidRPr="00516CC9">
        <w:rPr>
          <w:rFonts w:ascii="Palatino Linotype" w:hAnsi="Palatino Linotype" w:cs="Tahoma"/>
          <w:i/>
          <w:sz w:val="22"/>
          <w:szCs w:val="22"/>
        </w:rPr>
        <w:t>”</w:t>
      </w:r>
    </w:p>
    <w:p w:rsidR="00DD2303" w:rsidRPr="00516CC9" w:rsidRDefault="00DD2303" w:rsidP="00516CC9">
      <w:pPr>
        <w:autoSpaceDE w:val="0"/>
        <w:autoSpaceDN w:val="0"/>
        <w:adjustRightInd w:val="0"/>
        <w:spacing w:line="360" w:lineRule="auto"/>
        <w:ind w:left="567" w:right="567"/>
        <w:jc w:val="both"/>
        <w:rPr>
          <w:rFonts w:ascii="Palatino Linotype" w:hAnsi="Palatino Linotype" w:cs="Tahoma"/>
          <w:sz w:val="22"/>
          <w:szCs w:val="22"/>
        </w:rPr>
      </w:pPr>
    </w:p>
    <w:p w:rsidR="00DD2303" w:rsidRPr="00516CC9" w:rsidRDefault="00DD2303" w:rsidP="00516CC9">
      <w:pPr>
        <w:autoSpaceDE w:val="0"/>
        <w:autoSpaceDN w:val="0"/>
        <w:adjustRightInd w:val="0"/>
        <w:spacing w:line="360" w:lineRule="auto"/>
        <w:ind w:left="567" w:right="567"/>
        <w:jc w:val="both"/>
        <w:rPr>
          <w:rFonts w:ascii="Palatino Linotype" w:hAnsi="Palatino Linotype" w:cs="Tahoma"/>
          <w:b/>
          <w:sz w:val="22"/>
          <w:szCs w:val="22"/>
        </w:rPr>
      </w:pPr>
      <w:r w:rsidRPr="00516CC9">
        <w:rPr>
          <w:rFonts w:ascii="Palatino Linotype" w:hAnsi="Palatino Linotype" w:cs="Tahoma"/>
          <w:b/>
          <w:sz w:val="22"/>
          <w:szCs w:val="22"/>
        </w:rPr>
        <w:t>“RAZONES O MOTIVOS DE LA INCONFORMIDAD</w:t>
      </w:r>
    </w:p>
    <w:p w:rsidR="00DD2303" w:rsidRPr="00516CC9" w:rsidRDefault="001E2CC9" w:rsidP="00516CC9">
      <w:pPr>
        <w:autoSpaceDE w:val="0"/>
        <w:autoSpaceDN w:val="0"/>
        <w:adjustRightInd w:val="0"/>
        <w:spacing w:line="360" w:lineRule="auto"/>
        <w:ind w:left="567" w:right="567"/>
        <w:jc w:val="both"/>
        <w:rPr>
          <w:rFonts w:ascii="Palatino Linotype" w:hAnsi="Palatino Linotype" w:cs="Tahoma"/>
          <w:i/>
          <w:sz w:val="22"/>
          <w:szCs w:val="22"/>
        </w:rPr>
      </w:pPr>
      <w:r w:rsidRPr="00516CC9">
        <w:rPr>
          <w:rFonts w:ascii="Palatino Linotype" w:hAnsi="Palatino Linotype" w:cs="Tahoma"/>
          <w:i/>
          <w:sz w:val="22"/>
          <w:szCs w:val="22"/>
        </w:rPr>
        <w:t>SE RESPONDE CON UNA DIRECCION WEB INEXISTENTE O BIEN NO ACTIVA : IPOMEX, http://www.ipomex.org.mx/ipo/portal/atizapandezaragoza.web POR LO QUE NO SE OBTIENE LA RESPUESTA A LO SOLCITADO</w:t>
      </w:r>
      <w:r w:rsidR="00DD2303" w:rsidRPr="00516CC9">
        <w:rPr>
          <w:rFonts w:ascii="Palatino Linotype" w:hAnsi="Palatino Linotype" w:cs="Tahoma"/>
          <w:i/>
          <w:sz w:val="22"/>
          <w:szCs w:val="22"/>
        </w:rPr>
        <w:t>”</w:t>
      </w:r>
      <w:r w:rsidR="00593A79" w:rsidRPr="00516CC9">
        <w:rPr>
          <w:rFonts w:ascii="Palatino Linotype" w:hAnsi="Palatino Linotype" w:cs="Tahoma"/>
          <w:i/>
          <w:sz w:val="22"/>
          <w:szCs w:val="22"/>
        </w:rPr>
        <w:t xml:space="preserve"> (Sic</w:t>
      </w:r>
      <w:r w:rsidR="002513F4" w:rsidRPr="00516CC9">
        <w:rPr>
          <w:rFonts w:ascii="Palatino Linotype" w:hAnsi="Palatino Linotype" w:cs="Tahoma"/>
          <w:i/>
          <w:sz w:val="22"/>
          <w:szCs w:val="22"/>
        </w:rPr>
        <w:t>.</w:t>
      </w:r>
      <w:r w:rsidR="00593A79" w:rsidRPr="00516CC9">
        <w:rPr>
          <w:rFonts w:ascii="Palatino Linotype" w:hAnsi="Palatino Linotype" w:cs="Tahoma"/>
          <w:i/>
          <w:sz w:val="22"/>
          <w:szCs w:val="22"/>
        </w:rPr>
        <w:t>)</w:t>
      </w:r>
    </w:p>
    <w:p w:rsidR="00DD2303" w:rsidRPr="00516CC9" w:rsidRDefault="00DD2303" w:rsidP="00516CC9">
      <w:pPr>
        <w:autoSpaceDE w:val="0"/>
        <w:autoSpaceDN w:val="0"/>
        <w:adjustRightInd w:val="0"/>
        <w:spacing w:line="360" w:lineRule="auto"/>
        <w:ind w:left="567" w:right="567"/>
        <w:jc w:val="both"/>
        <w:rPr>
          <w:rFonts w:ascii="Palatino Linotype" w:hAnsi="Palatino Linotype" w:cs="Tahoma"/>
          <w:sz w:val="22"/>
          <w:szCs w:val="22"/>
        </w:rPr>
      </w:pPr>
    </w:p>
    <w:p w:rsidR="00B31222" w:rsidRPr="00516CC9" w:rsidRDefault="00F1692B" w:rsidP="00516CC9">
      <w:pPr>
        <w:spacing w:line="360" w:lineRule="auto"/>
        <w:jc w:val="both"/>
        <w:rPr>
          <w:rFonts w:ascii="Palatino Linotype" w:eastAsia="Batang" w:hAnsi="Palatino Linotype" w:cs="Tahoma"/>
          <w:b/>
          <w:bCs/>
          <w:sz w:val="22"/>
          <w:szCs w:val="22"/>
        </w:rPr>
      </w:pPr>
      <w:r w:rsidRPr="00516CC9">
        <w:rPr>
          <w:rFonts w:ascii="Palatino Linotype" w:hAnsi="Palatino Linotype" w:cs="Tahoma"/>
          <w:b/>
          <w:sz w:val="22"/>
          <w:szCs w:val="22"/>
        </w:rPr>
        <w:t>I</w:t>
      </w:r>
      <w:r w:rsidR="0096693C" w:rsidRPr="00516CC9">
        <w:rPr>
          <w:rFonts w:ascii="Palatino Linotype" w:hAnsi="Palatino Linotype" w:cs="Tahoma"/>
          <w:b/>
          <w:sz w:val="22"/>
          <w:szCs w:val="22"/>
        </w:rPr>
        <w:t>V</w:t>
      </w:r>
      <w:r w:rsidR="00B31222" w:rsidRPr="00516CC9">
        <w:rPr>
          <w:rFonts w:ascii="Palatino Linotype" w:hAnsi="Palatino Linotype" w:cs="Tahoma"/>
          <w:b/>
          <w:sz w:val="22"/>
          <w:szCs w:val="22"/>
        </w:rPr>
        <w:t xml:space="preserve">. </w:t>
      </w:r>
      <w:r w:rsidR="00B31222" w:rsidRPr="00516CC9">
        <w:rPr>
          <w:rFonts w:ascii="Palatino Linotype" w:eastAsia="Batang" w:hAnsi="Palatino Linotype" w:cs="Tahoma"/>
          <w:b/>
          <w:bCs/>
          <w:sz w:val="22"/>
          <w:szCs w:val="22"/>
        </w:rPr>
        <w:t xml:space="preserve">Trámite del </w:t>
      </w:r>
      <w:r w:rsidR="00C459A9" w:rsidRPr="00516CC9">
        <w:rPr>
          <w:rFonts w:ascii="Palatino Linotype" w:hAnsi="Palatino Linotype" w:cs="Tahoma"/>
          <w:b/>
          <w:sz w:val="22"/>
          <w:szCs w:val="22"/>
        </w:rPr>
        <w:t>Recurso de Revisión</w:t>
      </w:r>
      <w:r w:rsidR="00B73823" w:rsidRPr="00516CC9">
        <w:rPr>
          <w:rFonts w:ascii="Palatino Linotype" w:hAnsi="Palatino Linotype" w:cs="Tahoma"/>
          <w:b/>
          <w:sz w:val="22"/>
          <w:szCs w:val="22"/>
        </w:rPr>
        <w:t xml:space="preserve"> </w:t>
      </w:r>
      <w:r w:rsidR="00B31222" w:rsidRPr="00516CC9">
        <w:rPr>
          <w:rFonts w:ascii="Palatino Linotype" w:eastAsia="Batang" w:hAnsi="Palatino Linotype" w:cs="Tahoma"/>
          <w:b/>
          <w:bCs/>
          <w:sz w:val="22"/>
          <w:szCs w:val="22"/>
        </w:rPr>
        <w:t>ante el Instituto</w:t>
      </w:r>
      <w:r w:rsidR="00E445DA" w:rsidRPr="00516CC9">
        <w:rPr>
          <w:rFonts w:ascii="Palatino Linotype" w:eastAsia="Batang" w:hAnsi="Palatino Linotype" w:cs="Tahoma"/>
          <w:b/>
          <w:bCs/>
          <w:sz w:val="22"/>
          <w:szCs w:val="22"/>
        </w:rPr>
        <w:t>.</w:t>
      </w:r>
    </w:p>
    <w:p w:rsidR="00E445DA" w:rsidRPr="00516CC9" w:rsidRDefault="00E445DA" w:rsidP="00516CC9">
      <w:pPr>
        <w:spacing w:line="360" w:lineRule="auto"/>
        <w:jc w:val="both"/>
        <w:rPr>
          <w:rFonts w:ascii="Palatino Linotype" w:eastAsia="Batang" w:hAnsi="Palatino Linotype" w:cs="Tahoma"/>
          <w:b/>
          <w:bCs/>
          <w:sz w:val="22"/>
          <w:szCs w:val="22"/>
        </w:rPr>
      </w:pPr>
    </w:p>
    <w:p w:rsidR="00B31222" w:rsidRPr="00516CC9" w:rsidRDefault="00A90F9B" w:rsidP="00516CC9">
      <w:pPr>
        <w:spacing w:line="360" w:lineRule="auto"/>
        <w:jc w:val="both"/>
        <w:rPr>
          <w:rFonts w:ascii="Palatino Linotype" w:eastAsia="Batang" w:hAnsi="Palatino Linotype" w:cs="Tahoma"/>
          <w:bCs/>
          <w:sz w:val="22"/>
          <w:szCs w:val="22"/>
        </w:rPr>
      </w:pPr>
      <w:r w:rsidRPr="00516CC9">
        <w:rPr>
          <w:rFonts w:ascii="Palatino Linotype" w:eastAsia="Batang" w:hAnsi="Palatino Linotype" w:cs="Tahoma"/>
          <w:b/>
          <w:bCs/>
          <w:sz w:val="22"/>
          <w:szCs w:val="22"/>
        </w:rPr>
        <w:t xml:space="preserve">a) </w:t>
      </w:r>
      <w:r w:rsidR="00B31222" w:rsidRPr="00516CC9">
        <w:rPr>
          <w:rFonts w:ascii="Palatino Linotype" w:eastAsia="Batang" w:hAnsi="Palatino Linotype" w:cs="Tahoma"/>
          <w:b/>
          <w:bCs/>
          <w:sz w:val="22"/>
          <w:szCs w:val="22"/>
        </w:rPr>
        <w:t xml:space="preserve">Turno del </w:t>
      </w:r>
      <w:r w:rsidR="00C459A9" w:rsidRPr="00516CC9">
        <w:rPr>
          <w:rFonts w:ascii="Palatino Linotype" w:hAnsi="Palatino Linotype" w:cs="Tahoma"/>
          <w:b/>
          <w:sz w:val="22"/>
          <w:szCs w:val="22"/>
        </w:rPr>
        <w:t>Recurso de Revisión</w:t>
      </w:r>
      <w:r w:rsidRPr="00516CC9">
        <w:rPr>
          <w:rFonts w:ascii="Palatino Linotype" w:eastAsia="Batang" w:hAnsi="Palatino Linotype" w:cs="Tahoma"/>
          <w:b/>
          <w:bCs/>
          <w:sz w:val="22"/>
          <w:szCs w:val="22"/>
        </w:rPr>
        <w:t>.</w:t>
      </w:r>
      <w:r w:rsidR="00A9024A" w:rsidRPr="00516CC9">
        <w:rPr>
          <w:rFonts w:ascii="Palatino Linotype" w:eastAsia="Batang" w:hAnsi="Palatino Linotype" w:cs="Tahoma"/>
          <w:b/>
          <w:bCs/>
          <w:sz w:val="22"/>
          <w:szCs w:val="22"/>
        </w:rPr>
        <w:t xml:space="preserve"> </w:t>
      </w:r>
      <w:r w:rsidR="00E573C6" w:rsidRPr="00516CC9">
        <w:rPr>
          <w:rFonts w:ascii="Palatino Linotype" w:eastAsia="Batang" w:hAnsi="Palatino Linotype" w:cs="Tahoma"/>
          <w:bCs/>
          <w:sz w:val="22"/>
          <w:szCs w:val="22"/>
        </w:rPr>
        <w:t>Con fecha</w:t>
      </w:r>
      <w:r w:rsidR="00A9024A" w:rsidRPr="00516CC9">
        <w:rPr>
          <w:rFonts w:ascii="Palatino Linotype" w:eastAsia="Batang" w:hAnsi="Palatino Linotype" w:cs="Tahoma"/>
          <w:bCs/>
          <w:sz w:val="22"/>
          <w:szCs w:val="22"/>
        </w:rPr>
        <w:t xml:space="preserve"> </w:t>
      </w:r>
      <w:r w:rsidR="001E2CC9" w:rsidRPr="00516CC9">
        <w:rPr>
          <w:rFonts w:ascii="Palatino Linotype" w:eastAsia="Batang" w:hAnsi="Palatino Linotype" w:cs="Tahoma"/>
          <w:bCs/>
          <w:sz w:val="22"/>
          <w:szCs w:val="22"/>
        </w:rPr>
        <w:t xml:space="preserve">seis de marzo </w:t>
      </w:r>
      <w:r w:rsidR="00593A79" w:rsidRPr="00516CC9">
        <w:rPr>
          <w:rFonts w:ascii="Palatino Linotype" w:eastAsia="Batang" w:hAnsi="Palatino Linotype" w:cs="Tahoma"/>
          <w:bCs/>
          <w:sz w:val="22"/>
          <w:szCs w:val="22"/>
        </w:rPr>
        <w:t>de dos mil diecinueve</w:t>
      </w:r>
      <w:r w:rsidR="00B31222" w:rsidRPr="00516CC9">
        <w:rPr>
          <w:rFonts w:ascii="Palatino Linotype" w:eastAsia="Batang" w:hAnsi="Palatino Linotype" w:cs="Tahoma"/>
          <w:bCs/>
          <w:sz w:val="22"/>
          <w:szCs w:val="22"/>
        </w:rPr>
        <w:t>, e</w:t>
      </w:r>
      <w:r w:rsidR="001F78D9" w:rsidRPr="00516CC9">
        <w:rPr>
          <w:rFonts w:ascii="Palatino Linotype" w:eastAsia="Batang" w:hAnsi="Palatino Linotype" w:cs="Tahoma"/>
          <w:bCs/>
          <w:sz w:val="22"/>
          <w:szCs w:val="22"/>
        </w:rPr>
        <w:t>l</w:t>
      </w:r>
      <w:r w:rsidR="00A9024A" w:rsidRPr="00516CC9">
        <w:rPr>
          <w:rFonts w:ascii="Palatino Linotype" w:eastAsia="Batang" w:hAnsi="Palatino Linotype" w:cs="Tahoma"/>
          <w:bCs/>
          <w:sz w:val="22"/>
          <w:szCs w:val="22"/>
        </w:rPr>
        <w:t xml:space="preserve"> </w:t>
      </w:r>
      <w:r w:rsidR="001F78D9" w:rsidRPr="00516CC9">
        <w:rPr>
          <w:rFonts w:ascii="Palatino Linotype" w:hAnsi="Palatino Linotype" w:cs="Tahoma"/>
          <w:sz w:val="22"/>
          <w:szCs w:val="22"/>
          <w:lang w:val="es-ES"/>
        </w:rPr>
        <w:t>Sistema de Acceso a la Información Mexiquense (SAIMEX),</w:t>
      </w:r>
      <w:r w:rsidR="00B31222" w:rsidRPr="00516CC9">
        <w:rPr>
          <w:rFonts w:ascii="Palatino Linotype" w:eastAsia="Batang" w:hAnsi="Palatino Linotype" w:cs="Tahoma"/>
          <w:bCs/>
          <w:sz w:val="22"/>
          <w:szCs w:val="22"/>
        </w:rPr>
        <w:t xml:space="preserve"> asignó </w:t>
      </w:r>
      <w:r w:rsidR="00593A79" w:rsidRPr="00516CC9">
        <w:rPr>
          <w:rFonts w:ascii="Palatino Linotype" w:eastAsia="Batang" w:hAnsi="Palatino Linotype" w:cs="Tahoma"/>
          <w:bCs/>
          <w:sz w:val="22"/>
          <w:szCs w:val="22"/>
        </w:rPr>
        <w:t>e</w:t>
      </w:r>
      <w:r w:rsidR="00B31222" w:rsidRPr="00516CC9">
        <w:rPr>
          <w:rFonts w:ascii="Palatino Linotype" w:eastAsia="Batang" w:hAnsi="Palatino Linotype" w:cs="Tahoma"/>
          <w:bCs/>
          <w:sz w:val="22"/>
          <w:szCs w:val="22"/>
        </w:rPr>
        <w:t xml:space="preserve">l número de expediente </w:t>
      </w:r>
      <w:r w:rsidR="00A9024A" w:rsidRPr="00516CC9">
        <w:rPr>
          <w:rFonts w:ascii="Palatino Linotype" w:eastAsia="Batang" w:hAnsi="Palatino Linotype" w:cs="Tahoma"/>
          <w:b/>
          <w:bCs/>
          <w:sz w:val="22"/>
          <w:szCs w:val="22"/>
        </w:rPr>
        <w:t>0</w:t>
      </w:r>
      <w:r w:rsidR="001E2CC9" w:rsidRPr="00516CC9">
        <w:rPr>
          <w:rFonts w:ascii="Palatino Linotype" w:eastAsia="Batang" w:hAnsi="Palatino Linotype" w:cs="Tahoma"/>
          <w:b/>
          <w:bCs/>
          <w:sz w:val="22"/>
          <w:szCs w:val="22"/>
        </w:rPr>
        <w:t>1341</w:t>
      </w:r>
      <w:r w:rsidR="00E46195" w:rsidRPr="00516CC9">
        <w:rPr>
          <w:rFonts w:ascii="Palatino Linotype" w:eastAsia="Batang" w:hAnsi="Palatino Linotype" w:cs="Tahoma"/>
          <w:b/>
          <w:bCs/>
          <w:sz w:val="22"/>
          <w:szCs w:val="22"/>
        </w:rPr>
        <w:t>/</w:t>
      </w:r>
      <w:r w:rsidR="000313A7" w:rsidRPr="00516CC9">
        <w:rPr>
          <w:rFonts w:ascii="Palatino Linotype" w:eastAsia="Batang" w:hAnsi="Palatino Linotype" w:cs="Tahoma"/>
          <w:b/>
          <w:bCs/>
          <w:sz w:val="22"/>
          <w:szCs w:val="22"/>
        </w:rPr>
        <w:t>INFOEM/IP/RR/201</w:t>
      </w:r>
      <w:r w:rsidR="00593A79" w:rsidRPr="00516CC9">
        <w:rPr>
          <w:rFonts w:ascii="Palatino Linotype" w:eastAsia="Batang" w:hAnsi="Palatino Linotype" w:cs="Tahoma"/>
          <w:b/>
          <w:bCs/>
          <w:sz w:val="22"/>
          <w:szCs w:val="22"/>
        </w:rPr>
        <w:t>9</w:t>
      </w:r>
      <w:r w:rsidR="00CA39B2" w:rsidRPr="00516CC9">
        <w:rPr>
          <w:rFonts w:ascii="Palatino Linotype" w:eastAsia="Batang" w:hAnsi="Palatino Linotype" w:cs="Tahoma"/>
          <w:b/>
          <w:bCs/>
          <w:sz w:val="22"/>
          <w:szCs w:val="22"/>
        </w:rPr>
        <w:t>,</w:t>
      </w:r>
      <w:r w:rsidR="00593A79" w:rsidRPr="00516CC9">
        <w:rPr>
          <w:rFonts w:ascii="Palatino Linotype" w:eastAsia="Batang" w:hAnsi="Palatino Linotype" w:cs="Tahoma"/>
          <w:bCs/>
          <w:sz w:val="22"/>
          <w:szCs w:val="22"/>
        </w:rPr>
        <w:t xml:space="preserve"> al medio de impugnación que nos ocupa, con base en el sistema </w:t>
      </w:r>
      <w:r w:rsidR="00593A79" w:rsidRPr="00516CC9">
        <w:rPr>
          <w:rFonts w:ascii="Palatino Linotype" w:eastAsia="Batang" w:hAnsi="Palatino Linotype" w:cs="Tahoma"/>
          <w:bCs/>
          <w:sz w:val="22"/>
          <w:szCs w:val="22"/>
        </w:rPr>
        <w:lastRenderedPageBreak/>
        <w:t>aprobado por el Pleno de este Órgano Garante y lo turnó al Comisionado Ponente Luis Gustavo Parra Noriega, para los efectos del artículo 185, fracción I, de la Ley de Transparencia y Acceso a la Información Pública del Estado de México y Municipios.</w:t>
      </w:r>
    </w:p>
    <w:p w:rsidR="00593A79" w:rsidRPr="00516CC9" w:rsidRDefault="00593A79" w:rsidP="00516CC9">
      <w:pPr>
        <w:spacing w:line="360" w:lineRule="auto"/>
        <w:jc w:val="both"/>
        <w:rPr>
          <w:rFonts w:ascii="Palatino Linotype" w:eastAsia="Batang" w:hAnsi="Palatino Linotype" w:cs="Tahoma"/>
          <w:b/>
          <w:bCs/>
          <w:sz w:val="22"/>
          <w:szCs w:val="22"/>
        </w:rPr>
      </w:pPr>
    </w:p>
    <w:p w:rsidR="00257903" w:rsidRPr="00516CC9" w:rsidRDefault="00625DFB" w:rsidP="00516CC9">
      <w:pPr>
        <w:spacing w:line="360" w:lineRule="auto"/>
        <w:jc w:val="both"/>
        <w:rPr>
          <w:rFonts w:ascii="Palatino Linotype" w:eastAsia="Calibri" w:hAnsi="Palatino Linotype" w:cs="Tahoma"/>
          <w:sz w:val="22"/>
          <w:szCs w:val="22"/>
          <w:lang w:eastAsia="en-US"/>
        </w:rPr>
      </w:pPr>
      <w:r w:rsidRPr="00516CC9">
        <w:rPr>
          <w:rFonts w:ascii="Palatino Linotype" w:eastAsia="Batang" w:hAnsi="Palatino Linotype" w:cs="Tahoma"/>
          <w:b/>
          <w:bCs/>
          <w:sz w:val="22"/>
          <w:szCs w:val="22"/>
        </w:rPr>
        <w:t>b</w:t>
      </w:r>
      <w:r w:rsidR="009F46DC" w:rsidRPr="00516CC9">
        <w:rPr>
          <w:rFonts w:ascii="Palatino Linotype" w:eastAsia="Batang" w:hAnsi="Palatino Linotype" w:cs="Tahoma"/>
          <w:b/>
          <w:bCs/>
          <w:sz w:val="22"/>
          <w:szCs w:val="22"/>
        </w:rPr>
        <w:t xml:space="preserve">) </w:t>
      </w:r>
      <w:r w:rsidR="00B31222" w:rsidRPr="00516CC9">
        <w:rPr>
          <w:rFonts w:ascii="Palatino Linotype" w:eastAsia="Batang" w:hAnsi="Palatino Linotype" w:cs="Tahoma"/>
          <w:b/>
          <w:bCs/>
          <w:sz w:val="22"/>
          <w:szCs w:val="22"/>
        </w:rPr>
        <w:t xml:space="preserve">Admisión del </w:t>
      </w:r>
      <w:r w:rsidR="00C459A9" w:rsidRPr="00516CC9">
        <w:rPr>
          <w:rFonts w:ascii="Palatino Linotype" w:hAnsi="Palatino Linotype" w:cs="Tahoma"/>
          <w:b/>
          <w:sz w:val="22"/>
          <w:szCs w:val="22"/>
        </w:rPr>
        <w:t>Recurso de Revisión</w:t>
      </w:r>
      <w:r w:rsidR="00B31222" w:rsidRPr="00516CC9">
        <w:rPr>
          <w:rFonts w:ascii="Palatino Linotype" w:eastAsia="Batang" w:hAnsi="Palatino Linotype" w:cs="Tahoma"/>
          <w:b/>
          <w:bCs/>
          <w:sz w:val="22"/>
          <w:szCs w:val="22"/>
          <w:lang w:val="es-ES_tradnl"/>
        </w:rPr>
        <w:t xml:space="preserve">. </w:t>
      </w:r>
      <w:r w:rsidR="00E573C6" w:rsidRPr="00516CC9">
        <w:rPr>
          <w:rFonts w:ascii="Palatino Linotype" w:eastAsia="Batang" w:hAnsi="Palatino Linotype" w:cs="Tahoma"/>
          <w:bCs/>
          <w:sz w:val="22"/>
          <w:szCs w:val="22"/>
          <w:lang w:val="es-ES_tradnl"/>
        </w:rPr>
        <w:t>Con fecha</w:t>
      </w:r>
      <w:r w:rsidR="00A9024A" w:rsidRPr="00516CC9">
        <w:rPr>
          <w:rFonts w:ascii="Palatino Linotype" w:eastAsia="Batang" w:hAnsi="Palatino Linotype" w:cs="Tahoma"/>
          <w:bCs/>
          <w:sz w:val="22"/>
          <w:szCs w:val="22"/>
          <w:lang w:val="es-ES_tradnl"/>
        </w:rPr>
        <w:t xml:space="preserve"> </w:t>
      </w:r>
      <w:r w:rsidR="001E2CC9" w:rsidRPr="00516CC9">
        <w:rPr>
          <w:rFonts w:ascii="Palatino Linotype" w:eastAsia="Batang" w:hAnsi="Palatino Linotype" w:cs="Tahoma"/>
          <w:bCs/>
          <w:sz w:val="22"/>
          <w:szCs w:val="22"/>
          <w:lang w:val="es-ES_tradnl"/>
        </w:rPr>
        <w:t xml:space="preserve">doce de marzo </w:t>
      </w:r>
      <w:r w:rsidR="00593A79" w:rsidRPr="00516CC9">
        <w:rPr>
          <w:rFonts w:ascii="Palatino Linotype" w:eastAsia="Batang" w:hAnsi="Palatino Linotype" w:cs="Tahoma"/>
          <w:bCs/>
          <w:sz w:val="22"/>
          <w:szCs w:val="22"/>
          <w:lang w:val="es-ES_tradnl"/>
        </w:rPr>
        <w:t>de dos mil diecinueve</w:t>
      </w:r>
      <w:r w:rsidR="00B31222" w:rsidRPr="00516CC9">
        <w:rPr>
          <w:rFonts w:ascii="Palatino Linotype" w:eastAsia="Batang" w:hAnsi="Palatino Linotype" w:cs="Tahoma"/>
          <w:bCs/>
          <w:sz w:val="22"/>
          <w:szCs w:val="22"/>
          <w:lang w:val="es-ES_tradnl"/>
        </w:rPr>
        <w:t xml:space="preserve">, </w:t>
      </w:r>
      <w:r w:rsidR="009F46DC" w:rsidRPr="00516CC9">
        <w:rPr>
          <w:rFonts w:ascii="Palatino Linotype" w:hAnsi="Palatino Linotype" w:cs="Tahoma"/>
          <w:sz w:val="22"/>
          <w:szCs w:val="22"/>
        </w:rPr>
        <w:t>se</w:t>
      </w:r>
      <w:r w:rsidR="00A9024A" w:rsidRPr="00516CC9">
        <w:rPr>
          <w:rFonts w:ascii="Palatino Linotype" w:hAnsi="Palatino Linotype" w:cs="Tahoma"/>
          <w:sz w:val="22"/>
          <w:szCs w:val="22"/>
        </w:rPr>
        <w:t xml:space="preserve"> </w:t>
      </w:r>
      <w:r w:rsidR="009F46DC" w:rsidRPr="00516CC9">
        <w:rPr>
          <w:rFonts w:ascii="Palatino Linotype" w:eastAsia="Calibri" w:hAnsi="Palatino Linotype" w:cs="Tahoma"/>
          <w:sz w:val="22"/>
          <w:szCs w:val="22"/>
          <w:lang w:eastAsia="en-US"/>
        </w:rPr>
        <w:t xml:space="preserve">acordó la admisión </w:t>
      </w:r>
      <w:r w:rsidR="00593A79" w:rsidRPr="00516CC9">
        <w:rPr>
          <w:rFonts w:ascii="Palatino Linotype" w:eastAsia="Calibri" w:hAnsi="Palatino Linotype" w:cs="Tahoma"/>
          <w:sz w:val="22"/>
          <w:szCs w:val="22"/>
          <w:lang w:eastAsia="en-US"/>
        </w:rPr>
        <w:t>del Recurso de Revisión interpuesto por el Recurrente en contra de</w:t>
      </w:r>
      <w:r w:rsidR="007C76D2" w:rsidRPr="00516CC9">
        <w:rPr>
          <w:rFonts w:ascii="Palatino Linotype" w:eastAsia="Calibri" w:hAnsi="Palatino Linotype" w:cs="Tahoma"/>
          <w:sz w:val="22"/>
          <w:szCs w:val="22"/>
          <w:lang w:eastAsia="en-US"/>
        </w:rPr>
        <w:t>l</w:t>
      </w:r>
      <w:r w:rsidR="00593A79" w:rsidRPr="00516CC9">
        <w:rPr>
          <w:rFonts w:ascii="Palatino Linotype" w:eastAsia="Calibri" w:hAnsi="Palatino Linotype" w:cs="Tahoma"/>
          <w:sz w:val="22"/>
          <w:szCs w:val="22"/>
          <w:lang w:eastAsia="en-US"/>
        </w:rPr>
        <w:t xml:space="preserve"> </w:t>
      </w:r>
      <w:r w:rsidR="00984F18" w:rsidRPr="00516CC9">
        <w:rPr>
          <w:rFonts w:ascii="Palatino Linotype" w:eastAsia="Calibri" w:hAnsi="Palatino Linotype" w:cs="Tahoma"/>
          <w:sz w:val="22"/>
          <w:szCs w:val="22"/>
          <w:lang w:eastAsia="en-US"/>
        </w:rPr>
        <w:t>Ayuntamiento de Atizapán de Zaragoza</w:t>
      </w:r>
      <w:r w:rsidR="00593A79" w:rsidRPr="00516CC9">
        <w:rPr>
          <w:rFonts w:ascii="Palatino Linotype" w:eastAsia="Calibri" w:hAnsi="Palatino Linotype" w:cs="Tahoma"/>
          <w:sz w:val="22"/>
          <w:szCs w:val="22"/>
          <w:lang w:eastAsia="en-US"/>
        </w:rPr>
        <w:t>, la integración del expediente y su puesta a disposición de las partes, en términos del artículo 185, fracciones I y II, de la Ley de Transparencia y Acceso a la Información Pública del Estado de México y Municipios; acto que fue notificado el mismo día, a través del Sistema de Acceso a la Información Mexiquense (SAIMEX)</w:t>
      </w:r>
      <w:r w:rsidR="002E75A1" w:rsidRPr="00516CC9">
        <w:rPr>
          <w:rFonts w:ascii="Palatino Linotype" w:eastAsia="Calibri" w:hAnsi="Palatino Linotype" w:cs="Tahoma"/>
          <w:sz w:val="22"/>
          <w:szCs w:val="22"/>
          <w:lang w:eastAsia="en-US"/>
        </w:rPr>
        <w:t xml:space="preserve"> y</w:t>
      </w:r>
      <w:r w:rsidR="00593A79" w:rsidRPr="00516CC9">
        <w:rPr>
          <w:rFonts w:ascii="Palatino Linotype" w:eastAsia="Calibri" w:hAnsi="Palatino Linotype" w:cs="Tahoma"/>
          <w:sz w:val="22"/>
          <w:szCs w:val="22"/>
          <w:lang w:eastAsia="en-US"/>
        </w:rPr>
        <w:t>,</w:t>
      </w:r>
      <w:r w:rsidR="002E75A1" w:rsidRPr="00516CC9">
        <w:rPr>
          <w:rFonts w:ascii="Palatino Linotype" w:eastAsia="Calibri" w:hAnsi="Palatino Linotype" w:cs="Tahoma"/>
          <w:sz w:val="22"/>
          <w:szCs w:val="22"/>
          <w:lang w:eastAsia="en-US"/>
        </w:rPr>
        <w:t xml:space="preserve"> se les </w:t>
      </w:r>
      <w:r w:rsidR="00593A79" w:rsidRPr="00516CC9">
        <w:rPr>
          <w:rFonts w:ascii="Palatino Linotype" w:eastAsia="Calibri" w:hAnsi="Palatino Linotype" w:cs="Tahoma"/>
          <w:sz w:val="22"/>
          <w:szCs w:val="22"/>
          <w:lang w:eastAsia="en-US"/>
        </w:rPr>
        <w:t>otorg</w:t>
      </w:r>
      <w:r w:rsidR="002E75A1" w:rsidRPr="00516CC9">
        <w:rPr>
          <w:rFonts w:ascii="Palatino Linotype" w:eastAsia="Calibri" w:hAnsi="Palatino Linotype" w:cs="Tahoma"/>
          <w:sz w:val="22"/>
          <w:szCs w:val="22"/>
          <w:lang w:eastAsia="en-US"/>
        </w:rPr>
        <w:t>ó</w:t>
      </w:r>
      <w:r w:rsidR="00593A79" w:rsidRPr="00516CC9">
        <w:rPr>
          <w:rFonts w:ascii="Palatino Linotype" w:eastAsia="Calibri" w:hAnsi="Palatino Linotype" w:cs="Tahoma"/>
          <w:sz w:val="22"/>
          <w:szCs w:val="22"/>
          <w:lang w:eastAsia="en-US"/>
        </w:rPr>
        <w:t xml:space="preserve"> un plazo de siete días hábiles posteriores a dicha </w:t>
      </w:r>
      <w:r w:rsidR="003916E4" w:rsidRPr="00516CC9">
        <w:rPr>
          <w:rFonts w:ascii="Palatino Linotype" w:eastAsia="Calibri" w:hAnsi="Palatino Linotype" w:cs="Tahoma"/>
          <w:sz w:val="22"/>
          <w:szCs w:val="22"/>
          <w:lang w:eastAsia="en-US"/>
        </w:rPr>
        <w:t xml:space="preserve">notificación </w:t>
      </w:r>
      <w:r w:rsidR="00593A79" w:rsidRPr="00516CC9">
        <w:rPr>
          <w:rFonts w:ascii="Palatino Linotype" w:eastAsia="Calibri" w:hAnsi="Palatino Linotype" w:cs="Tahoma"/>
          <w:sz w:val="22"/>
          <w:szCs w:val="22"/>
          <w:lang w:eastAsia="en-US"/>
        </w:rPr>
        <w:t>para que manifestaran lo que a su derecho conviniera y formularan alegatos, en términos del artículo 185, fracción IV, de la Ley de Transparencia y Acceso a la Información Pública del Estado de México y Municipios.</w:t>
      </w:r>
    </w:p>
    <w:p w:rsidR="00593A79" w:rsidRPr="00516CC9" w:rsidRDefault="00593A79" w:rsidP="00516CC9">
      <w:pPr>
        <w:spacing w:line="360" w:lineRule="auto"/>
        <w:jc w:val="both"/>
        <w:rPr>
          <w:rFonts w:ascii="Palatino Linotype" w:hAnsi="Palatino Linotype" w:cs="Tahoma"/>
          <w:bCs/>
          <w:sz w:val="22"/>
          <w:szCs w:val="22"/>
        </w:rPr>
      </w:pPr>
    </w:p>
    <w:p w:rsidR="007C4BDC" w:rsidRPr="00516CC9" w:rsidRDefault="00E46195" w:rsidP="00516CC9">
      <w:pPr>
        <w:spacing w:line="360" w:lineRule="auto"/>
        <w:jc w:val="both"/>
        <w:rPr>
          <w:rFonts w:ascii="Palatino Linotype" w:hAnsi="Palatino Linotype" w:cs="Tahoma"/>
          <w:bCs/>
          <w:iCs/>
          <w:sz w:val="22"/>
          <w:szCs w:val="22"/>
          <w:lang w:val="es-ES_tradnl"/>
        </w:rPr>
      </w:pPr>
      <w:r w:rsidRPr="00516CC9">
        <w:rPr>
          <w:rFonts w:ascii="Palatino Linotype" w:hAnsi="Palatino Linotype" w:cs="Tahoma"/>
          <w:b/>
          <w:bCs/>
          <w:sz w:val="22"/>
          <w:szCs w:val="22"/>
        </w:rPr>
        <w:t>c</w:t>
      </w:r>
      <w:r w:rsidR="00A13D97" w:rsidRPr="00516CC9">
        <w:rPr>
          <w:rFonts w:ascii="Palatino Linotype" w:hAnsi="Palatino Linotype" w:cs="Tahoma"/>
          <w:b/>
          <w:sz w:val="22"/>
          <w:szCs w:val="22"/>
        </w:rPr>
        <w:t>)</w:t>
      </w:r>
      <w:r w:rsidR="00A13D97" w:rsidRPr="00516CC9">
        <w:rPr>
          <w:rFonts w:ascii="Palatino Linotype" w:hAnsi="Palatino Linotype" w:cs="Tahoma"/>
          <w:sz w:val="22"/>
          <w:szCs w:val="22"/>
        </w:rPr>
        <w:t xml:space="preserve"> </w:t>
      </w:r>
      <w:r w:rsidR="00A13D97" w:rsidRPr="00516CC9">
        <w:rPr>
          <w:rFonts w:ascii="Palatino Linotype" w:hAnsi="Palatino Linotype" w:cs="Tahoma"/>
          <w:b/>
          <w:bCs/>
          <w:sz w:val="22"/>
          <w:szCs w:val="22"/>
        </w:rPr>
        <w:t>Informe Justificado.</w:t>
      </w:r>
      <w:r w:rsidR="00A13D97" w:rsidRPr="00516CC9">
        <w:rPr>
          <w:rFonts w:ascii="Palatino Linotype" w:hAnsi="Palatino Linotype" w:cs="Tahoma"/>
          <w:bCs/>
          <w:sz w:val="22"/>
          <w:szCs w:val="22"/>
        </w:rPr>
        <w:t xml:space="preserve"> </w:t>
      </w:r>
      <w:r w:rsidR="00A13D97" w:rsidRPr="00516CC9">
        <w:rPr>
          <w:rFonts w:ascii="Palatino Linotype" w:hAnsi="Palatino Linotype" w:cs="Tahoma"/>
          <w:bCs/>
          <w:sz w:val="22"/>
          <w:szCs w:val="22"/>
          <w:lang w:val="es-ES_tradnl"/>
        </w:rPr>
        <w:t xml:space="preserve">El </w:t>
      </w:r>
      <w:r w:rsidR="001E2CC9" w:rsidRPr="00516CC9">
        <w:rPr>
          <w:rFonts w:ascii="Palatino Linotype" w:hAnsi="Palatino Linotype" w:cs="Tahoma"/>
          <w:bCs/>
          <w:sz w:val="22"/>
          <w:szCs w:val="22"/>
          <w:lang w:val="es-ES_tradnl"/>
        </w:rPr>
        <w:t xml:space="preserve">trece de marzo </w:t>
      </w:r>
      <w:r w:rsidR="00A13D97" w:rsidRPr="00516CC9">
        <w:rPr>
          <w:rFonts w:ascii="Palatino Linotype" w:hAnsi="Palatino Linotype" w:cs="Tahoma"/>
          <w:bCs/>
          <w:sz w:val="22"/>
          <w:szCs w:val="22"/>
          <w:lang w:val="es-ES_tradnl"/>
        </w:rPr>
        <w:t>de dos mil dieci</w:t>
      </w:r>
      <w:r w:rsidR="00BA1A16" w:rsidRPr="00516CC9">
        <w:rPr>
          <w:rFonts w:ascii="Palatino Linotype" w:hAnsi="Palatino Linotype" w:cs="Tahoma"/>
          <w:bCs/>
          <w:sz w:val="22"/>
          <w:szCs w:val="22"/>
          <w:lang w:val="es-ES_tradnl"/>
        </w:rPr>
        <w:t>nueve</w:t>
      </w:r>
      <w:r w:rsidR="00A13D97" w:rsidRPr="00516CC9">
        <w:rPr>
          <w:rFonts w:ascii="Palatino Linotype" w:hAnsi="Palatino Linotype" w:cs="Tahoma"/>
          <w:bCs/>
          <w:sz w:val="22"/>
          <w:szCs w:val="22"/>
          <w:lang w:val="es-ES_tradnl"/>
        </w:rPr>
        <w:t xml:space="preserve">, </w:t>
      </w:r>
      <w:r w:rsidR="007C4BDC" w:rsidRPr="00516CC9">
        <w:rPr>
          <w:rFonts w:ascii="Palatino Linotype" w:hAnsi="Palatino Linotype" w:cs="Tahoma"/>
          <w:sz w:val="22"/>
          <w:szCs w:val="22"/>
        </w:rPr>
        <w:t xml:space="preserve">se recibió a través del Sistema de Acceso a la Información Mexiquense (SAIMEX), </w:t>
      </w:r>
      <w:r w:rsidR="007C4BDC" w:rsidRPr="00516CC9">
        <w:rPr>
          <w:rFonts w:ascii="Palatino Linotype" w:hAnsi="Palatino Linotype" w:cs="Tahoma"/>
          <w:bCs/>
          <w:iCs/>
          <w:sz w:val="22"/>
          <w:szCs w:val="22"/>
        </w:rPr>
        <w:t xml:space="preserve">el Informe Justificado </w:t>
      </w:r>
      <w:r w:rsidR="007C4BDC" w:rsidRPr="00516CC9">
        <w:rPr>
          <w:rFonts w:ascii="Palatino Linotype" w:hAnsi="Palatino Linotype" w:cs="Tahoma"/>
          <w:bCs/>
          <w:iCs/>
          <w:sz w:val="22"/>
          <w:szCs w:val="22"/>
          <w:lang w:val="es-ES"/>
        </w:rPr>
        <w:t xml:space="preserve">emitido por la Unidad de Transparencia </w:t>
      </w:r>
      <w:r w:rsidR="007C76D2" w:rsidRPr="00516CC9">
        <w:rPr>
          <w:rFonts w:ascii="Palatino Linotype" w:hAnsi="Palatino Linotype" w:cs="Tahoma"/>
          <w:bCs/>
          <w:iCs/>
          <w:sz w:val="22"/>
          <w:szCs w:val="22"/>
          <w:lang w:val="es-ES"/>
        </w:rPr>
        <w:t xml:space="preserve">del </w:t>
      </w:r>
      <w:r w:rsidR="00487AE9" w:rsidRPr="00516CC9">
        <w:rPr>
          <w:rFonts w:ascii="Palatino Linotype" w:hAnsi="Palatino Linotype" w:cs="Tahoma"/>
          <w:bCs/>
          <w:iCs/>
          <w:sz w:val="22"/>
          <w:szCs w:val="22"/>
          <w:lang w:val="es-ES"/>
        </w:rPr>
        <w:t>Ayuntamiento</w:t>
      </w:r>
      <w:r w:rsidR="007C76D2" w:rsidRPr="00516CC9">
        <w:rPr>
          <w:rFonts w:ascii="Palatino Linotype" w:hAnsi="Palatino Linotype" w:cs="Tahoma"/>
          <w:bCs/>
          <w:iCs/>
          <w:sz w:val="22"/>
          <w:szCs w:val="22"/>
          <w:lang w:val="es-ES"/>
        </w:rPr>
        <w:t xml:space="preserve"> de Atizapán de Zaragoza</w:t>
      </w:r>
      <w:r w:rsidR="007C4BDC" w:rsidRPr="00516CC9">
        <w:rPr>
          <w:rFonts w:ascii="Palatino Linotype" w:hAnsi="Palatino Linotype" w:cs="Tahoma"/>
          <w:sz w:val="22"/>
          <w:szCs w:val="22"/>
          <w:lang w:val="es-ES"/>
        </w:rPr>
        <w:t xml:space="preserve">, en el cual </w:t>
      </w:r>
      <w:r w:rsidR="00C753AA" w:rsidRPr="00516CC9">
        <w:rPr>
          <w:rFonts w:ascii="Palatino Linotype" w:hAnsi="Palatino Linotype" w:cs="Tahoma"/>
          <w:sz w:val="22"/>
          <w:szCs w:val="22"/>
          <w:lang w:val="es-ES"/>
        </w:rPr>
        <w:t xml:space="preserve">adjunto el archivo identificado como </w:t>
      </w:r>
      <w:r w:rsidR="00C753AA" w:rsidRPr="00516CC9">
        <w:rPr>
          <w:rFonts w:ascii="Palatino Linotype" w:hAnsi="Palatino Linotype" w:cs="Tahoma"/>
          <w:b/>
          <w:sz w:val="22"/>
          <w:szCs w:val="22"/>
          <w:lang w:val="es-ES"/>
        </w:rPr>
        <w:t>In</w:t>
      </w:r>
      <w:r w:rsidR="001E2CC9" w:rsidRPr="00516CC9">
        <w:rPr>
          <w:rFonts w:ascii="Palatino Linotype" w:hAnsi="Palatino Linotype" w:cs="Tahoma"/>
          <w:b/>
          <w:sz w:val="22"/>
          <w:szCs w:val="22"/>
          <w:lang w:val="es-ES"/>
        </w:rPr>
        <w:t xml:space="preserve">forme de Justificación RR01341-00150.zip </w:t>
      </w:r>
      <w:r w:rsidR="00C753AA" w:rsidRPr="00516CC9">
        <w:rPr>
          <w:rFonts w:ascii="Palatino Linotype" w:hAnsi="Palatino Linotype" w:cs="Tahoma"/>
          <w:sz w:val="22"/>
          <w:szCs w:val="22"/>
          <w:lang w:val="es-ES"/>
        </w:rPr>
        <w:t xml:space="preserve">en el que </w:t>
      </w:r>
      <w:r w:rsidR="00A9748C" w:rsidRPr="00516CC9">
        <w:rPr>
          <w:rFonts w:ascii="Palatino Linotype" w:hAnsi="Palatino Linotype" w:cs="Tahoma"/>
          <w:sz w:val="22"/>
          <w:szCs w:val="22"/>
          <w:lang w:val="es-ES"/>
        </w:rPr>
        <w:t xml:space="preserve">en su parte medular </w:t>
      </w:r>
      <w:r w:rsidR="00BA454D" w:rsidRPr="00516CC9">
        <w:rPr>
          <w:rFonts w:ascii="Palatino Linotype" w:hAnsi="Palatino Linotype" w:cs="Tahoma"/>
          <w:sz w:val="22"/>
          <w:szCs w:val="22"/>
          <w:lang w:val="es-ES"/>
        </w:rPr>
        <w:t>señaló</w:t>
      </w:r>
      <w:r w:rsidR="00BA454D" w:rsidRPr="00516CC9">
        <w:rPr>
          <w:rFonts w:ascii="Palatino Linotype" w:hAnsi="Palatino Linotype" w:cs="Tahoma"/>
          <w:bCs/>
          <w:iCs/>
          <w:sz w:val="22"/>
          <w:szCs w:val="22"/>
          <w:lang w:val="es-ES_tradnl"/>
        </w:rPr>
        <w:t xml:space="preserve"> </w:t>
      </w:r>
      <w:r w:rsidR="007C4BDC" w:rsidRPr="00516CC9">
        <w:rPr>
          <w:rFonts w:ascii="Palatino Linotype" w:hAnsi="Palatino Linotype" w:cs="Tahoma"/>
          <w:bCs/>
          <w:iCs/>
          <w:sz w:val="22"/>
          <w:szCs w:val="22"/>
          <w:lang w:val="es-ES_tradnl"/>
        </w:rPr>
        <w:t>lo siguiente:</w:t>
      </w:r>
    </w:p>
    <w:p w:rsidR="00BA1A16" w:rsidRPr="00516CC9" w:rsidRDefault="00BA1A16" w:rsidP="00516CC9">
      <w:pPr>
        <w:spacing w:line="360" w:lineRule="auto"/>
        <w:jc w:val="both"/>
        <w:rPr>
          <w:rFonts w:ascii="Palatino Linotype" w:hAnsi="Palatino Linotype" w:cs="Tahoma"/>
          <w:b/>
          <w:sz w:val="22"/>
          <w:szCs w:val="22"/>
        </w:rPr>
      </w:pPr>
    </w:p>
    <w:p w:rsidR="00487AE9" w:rsidRPr="00516CC9" w:rsidRDefault="000C0C9E" w:rsidP="00516CC9">
      <w:pPr>
        <w:tabs>
          <w:tab w:val="left" w:pos="8222"/>
        </w:tabs>
        <w:spacing w:line="360" w:lineRule="auto"/>
        <w:ind w:left="426" w:right="397"/>
        <w:jc w:val="both"/>
        <w:rPr>
          <w:rFonts w:ascii="Palatino Linotype" w:hAnsi="Palatino Linotype" w:cs="Tahoma"/>
          <w:b/>
          <w:i/>
          <w:sz w:val="22"/>
          <w:szCs w:val="22"/>
        </w:rPr>
      </w:pPr>
      <w:r w:rsidRPr="00516CC9">
        <w:rPr>
          <w:rFonts w:ascii="Palatino Linotype" w:hAnsi="Palatino Linotype" w:cs="Tahoma"/>
          <w:b/>
          <w:i/>
          <w:sz w:val="22"/>
          <w:szCs w:val="22"/>
        </w:rPr>
        <w:t>“…</w:t>
      </w:r>
    </w:p>
    <w:p w:rsidR="00487AE9" w:rsidRPr="00516CC9" w:rsidRDefault="001E2CC9" w:rsidP="00516CC9">
      <w:pPr>
        <w:tabs>
          <w:tab w:val="left" w:pos="8222"/>
        </w:tabs>
        <w:spacing w:line="360" w:lineRule="auto"/>
        <w:ind w:left="426" w:right="397"/>
        <w:jc w:val="both"/>
        <w:rPr>
          <w:rFonts w:ascii="Palatino Linotype" w:hAnsi="Palatino Linotype" w:cs="Tahoma"/>
          <w:i/>
          <w:sz w:val="22"/>
          <w:szCs w:val="22"/>
        </w:rPr>
      </w:pPr>
      <w:r w:rsidRPr="00516CC9">
        <w:rPr>
          <w:rFonts w:ascii="Palatino Linotype" w:hAnsi="Palatino Linotype" w:cs="Tahoma"/>
          <w:i/>
          <w:sz w:val="22"/>
          <w:szCs w:val="22"/>
        </w:rPr>
        <w:t xml:space="preserve">Al respecto me permito informar que la dirección de correo anteriormente enviada, cambio, a </w:t>
      </w:r>
      <w:hyperlink r:id="rId8" w:history="1">
        <w:r w:rsidRPr="00516CC9">
          <w:rPr>
            <w:rStyle w:val="Hipervnculo"/>
            <w:rFonts w:ascii="Palatino Linotype" w:hAnsi="Palatino Linotype" w:cs="Tahoma"/>
            <w:i/>
            <w:sz w:val="22"/>
            <w:szCs w:val="22"/>
          </w:rPr>
          <w:t>http://www.ipomex.org.mx/ipo3/lgt/indice/ATIZAPANDEZARAGOZA/art_94_i_f7/1.web</w:t>
        </w:r>
      </w:hyperlink>
      <w:r w:rsidRPr="00516CC9">
        <w:rPr>
          <w:rFonts w:ascii="Palatino Linotype" w:hAnsi="Palatino Linotype" w:cs="Tahoma"/>
          <w:i/>
          <w:sz w:val="22"/>
          <w:szCs w:val="22"/>
        </w:rPr>
        <w:t>, siendo el mismo artículo 94, Fracción I F7. Los expedientes concluidos de autorizaciones permisos, Licencias, Certificaciones y Concesiones, (mismas que se encuentra escaneadas).</w:t>
      </w:r>
    </w:p>
    <w:p w:rsidR="00DF12BC" w:rsidRPr="00516CC9" w:rsidRDefault="00DF12BC" w:rsidP="00516CC9">
      <w:pPr>
        <w:tabs>
          <w:tab w:val="left" w:pos="8222"/>
        </w:tabs>
        <w:spacing w:line="360" w:lineRule="auto"/>
        <w:ind w:left="426" w:right="397"/>
        <w:jc w:val="both"/>
        <w:rPr>
          <w:rFonts w:ascii="Palatino Linotype" w:hAnsi="Palatino Linotype" w:cs="Tahoma"/>
          <w:i/>
          <w:sz w:val="22"/>
          <w:szCs w:val="22"/>
        </w:rPr>
      </w:pPr>
      <w:r w:rsidRPr="00516CC9">
        <w:rPr>
          <w:rFonts w:ascii="Palatino Linotype" w:hAnsi="Palatino Linotype" w:cs="Tahoma"/>
          <w:i/>
          <w:sz w:val="22"/>
          <w:szCs w:val="22"/>
        </w:rPr>
        <w:t>…”</w:t>
      </w:r>
    </w:p>
    <w:p w:rsidR="00C753AA" w:rsidRPr="00516CC9" w:rsidRDefault="00C753AA" w:rsidP="00516CC9">
      <w:pPr>
        <w:spacing w:line="360" w:lineRule="auto"/>
        <w:ind w:right="-28"/>
        <w:jc w:val="both"/>
        <w:rPr>
          <w:rFonts w:ascii="Palatino Linotype" w:hAnsi="Palatino Linotype" w:cs="Tahoma"/>
          <w:sz w:val="22"/>
          <w:szCs w:val="22"/>
        </w:rPr>
      </w:pPr>
    </w:p>
    <w:p w:rsidR="007C4BDC" w:rsidRPr="00516CC9" w:rsidRDefault="007C4BDC" w:rsidP="00516CC9">
      <w:pPr>
        <w:spacing w:line="360" w:lineRule="auto"/>
        <w:jc w:val="both"/>
        <w:rPr>
          <w:rFonts w:ascii="Palatino Linotype" w:hAnsi="Palatino Linotype" w:cs="Tahoma"/>
          <w:bCs/>
          <w:iCs/>
          <w:sz w:val="22"/>
          <w:szCs w:val="22"/>
        </w:rPr>
      </w:pPr>
      <w:r w:rsidRPr="00516CC9">
        <w:rPr>
          <w:rFonts w:ascii="Palatino Linotype" w:hAnsi="Palatino Linotype" w:cs="Tahoma"/>
          <w:b/>
          <w:sz w:val="22"/>
          <w:szCs w:val="22"/>
        </w:rPr>
        <w:t xml:space="preserve">d) Vista de Informe Justificado: </w:t>
      </w:r>
      <w:r w:rsidRPr="00516CC9">
        <w:rPr>
          <w:rFonts w:ascii="Palatino Linotype" w:hAnsi="Palatino Linotype" w:cs="Tahoma"/>
          <w:sz w:val="22"/>
          <w:szCs w:val="22"/>
        </w:rPr>
        <w:t xml:space="preserve">El </w:t>
      </w:r>
      <w:r w:rsidR="00BE27B1" w:rsidRPr="00516CC9">
        <w:rPr>
          <w:rFonts w:ascii="Palatino Linotype" w:hAnsi="Palatino Linotype" w:cs="Tahoma"/>
          <w:sz w:val="22"/>
          <w:szCs w:val="22"/>
        </w:rPr>
        <w:t>ocho de abril</w:t>
      </w:r>
      <w:r w:rsidR="007C76D2" w:rsidRPr="00516CC9">
        <w:rPr>
          <w:rFonts w:ascii="Palatino Linotype" w:hAnsi="Palatino Linotype" w:cs="Tahoma"/>
          <w:sz w:val="22"/>
          <w:szCs w:val="22"/>
        </w:rPr>
        <w:t xml:space="preserve"> </w:t>
      </w:r>
      <w:r w:rsidRPr="00516CC9">
        <w:rPr>
          <w:rFonts w:ascii="Palatino Linotype" w:hAnsi="Palatino Linotype" w:cs="Tahoma"/>
          <w:sz w:val="22"/>
          <w:szCs w:val="22"/>
        </w:rPr>
        <w:t xml:space="preserve">del dos mil diecinueve, se dictó acuerdo mediante el cual se puso a la vista del </w:t>
      </w:r>
      <w:r w:rsidR="00D266B9" w:rsidRPr="00516CC9">
        <w:rPr>
          <w:rFonts w:ascii="Palatino Linotype" w:hAnsi="Palatino Linotype" w:cs="Tahoma"/>
          <w:sz w:val="22"/>
          <w:szCs w:val="22"/>
        </w:rPr>
        <w:t>P</w:t>
      </w:r>
      <w:r w:rsidRPr="00516CC9">
        <w:rPr>
          <w:rFonts w:ascii="Palatino Linotype" w:hAnsi="Palatino Linotype" w:cs="Tahoma"/>
          <w:sz w:val="22"/>
          <w:szCs w:val="22"/>
        </w:rPr>
        <w:t>articular, el Informe Justificado entregado por el Sujeto Obligado, el cual fue notificado a las partes, en esa misma fecha, a través del Sistema de Acceso a la Información Mexiquense (SAIMEX). No obstante</w:t>
      </w:r>
      <w:r w:rsidR="00D266B9" w:rsidRPr="00516CC9">
        <w:rPr>
          <w:rFonts w:ascii="Palatino Linotype" w:hAnsi="Palatino Linotype" w:cs="Tahoma"/>
          <w:sz w:val="22"/>
          <w:szCs w:val="22"/>
        </w:rPr>
        <w:t xml:space="preserve"> lo anterior</w:t>
      </w:r>
      <w:r w:rsidRPr="00516CC9">
        <w:rPr>
          <w:rFonts w:ascii="Palatino Linotype" w:hAnsi="Palatino Linotype" w:cs="Tahoma"/>
          <w:bCs/>
          <w:iCs/>
          <w:sz w:val="22"/>
          <w:szCs w:val="22"/>
          <w:lang w:val="es-ES_tradnl"/>
        </w:rPr>
        <w:t xml:space="preserve">, el </w:t>
      </w:r>
      <w:r w:rsidR="00D266B9" w:rsidRPr="00516CC9">
        <w:rPr>
          <w:rFonts w:ascii="Palatino Linotype" w:hAnsi="Palatino Linotype" w:cs="Tahoma"/>
          <w:bCs/>
          <w:iCs/>
          <w:sz w:val="22"/>
          <w:szCs w:val="22"/>
          <w:lang w:val="es-ES_tradnl"/>
        </w:rPr>
        <w:t xml:space="preserve">Recurrente </w:t>
      </w:r>
      <w:r w:rsidRPr="00516CC9">
        <w:rPr>
          <w:rFonts w:ascii="Palatino Linotype" w:hAnsi="Palatino Linotype" w:cs="Tahoma"/>
          <w:bCs/>
          <w:iCs/>
          <w:sz w:val="22"/>
          <w:szCs w:val="22"/>
          <w:lang w:val="es-ES_tradnl"/>
        </w:rPr>
        <w:t>omitió realizar manifestación alguna que a su derecho conviniera y asistiera</w:t>
      </w:r>
      <w:r w:rsidRPr="00516CC9">
        <w:rPr>
          <w:rFonts w:ascii="Palatino Linotype" w:hAnsi="Palatino Linotype" w:cs="Tahoma"/>
          <w:bCs/>
          <w:iCs/>
          <w:sz w:val="22"/>
          <w:szCs w:val="22"/>
        </w:rPr>
        <w:t>.</w:t>
      </w:r>
    </w:p>
    <w:p w:rsidR="007C76D2" w:rsidRPr="00516CC9" w:rsidRDefault="007C76D2" w:rsidP="00516CC9">
      <w:pPr>
        <w:spacing w:line="360" w:lineRule="auto"/>
        <w:jc w:val="both"/>
        <w:rPr>
          <w:rFonts w:ascii="Palatino Linotype" w:hAnsi="Palatino Linotype" w:cs="Tahoma"/>
          <w:bCs/>
          <w:iCs/>
          <w:sz w:val="22"/>
          <w:szCs w:val="22"/>
        </w:rPr>
      </w:pPr>
    </w:p>
    <w:p w:rsidR="00BE27B1" w:rsidRPr="00516CC9" w:rsidRDefault="00BE27B1" w:rsidP="00516CC9">
      <w:pPr>
        <w:spacing w:line="360" w:lineRule="auto"/>
        <w:jc w:val="both"/>
        <w:rPr>
          <w:rFonts w:ascii="Palatino Linotype" w:hAnsi="Palatino Linotype" w:cs="Tahoma"/>
          <w:sz w:val="22"/>
          <w:szCs w:val="22"/>
        </w:rPr>
      </w:pPr>
      <w:r w:rsidRPr="00516CC9">
        <w:rPr>
          <w:rFonts w:ascii="Palatino Linotype" w:hAnsi="Palatino Linotype" w:cs="Tahoma"/>
          <w:b/>
          <w:sz w:val="22"/>
          <w:szCs w:val="22"/>
        </w:rPr>
        <w:t xml:space="preserve">e) Ampliación de plazo: </w:t>
      </w:r>
      <w:r w:rsidRPr="00516CC9">
        <w:rPr>
          <w:rFonts w:ascii="Palatino Linotype" w:hAnsi="Palatino Linotype" w:cs="Tahoma"/>
          <w:sz w:val="22"/>
          <w:szCs w:val="22"/>
        </w:rPr>
        <w:t>Con fundamento en el artículo 181, párrafo tercero, de la Ley de Transparencia y Acceso a la Información Pública del Estado de México y Municipios, el veintinueve de abril de dos mil 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la resolución que en derecho corresponda, así como, en su caso, allegarse de mayores elementos, a partir de que se otorgó al Particular tiempo para presentar manifestaciones con relación al Informe Justificado del Sujeto Obligado.</w:t>
      </w:r>
    </w:p>
    <w:p w:rsidR="00BE27B1" w:rsidRPr="00516CC9" w:rsidRDefault="00BE27B1" w:rsidP="00516CC9">
      <w:pPr>
        <w:spacing w:line="360" w:lineRule="auto"/>
        <w:jc w:val="both"/>
        <w:rPr>
          <w:rFonts w:ascii="Palatino Linotype" w:hAnsi="Palatino Linotype" w:cs="Tahoma"/>
          <w:b/>
          <w:sz w:val="22"/>
          <w:szCs w:val="22"/>
        </w:rPr>
      </w:pPr>
    </w:p>
    <w:p w:rsidR="00755EC9" w:rsidRPr="00516CC9" w:rsidRDefault="00BE27B1" w:rsidP="00516CC9">
      <w:pPr>
        <w:spacing w:line="360" w:lineRule="auto"/>
        <w:jc w:val="both"/>
        <w:rPr>
          <w:rFonts w:ascii="Palatino Linotype" w:hAnsi="Palatino Linotype" w:cs="Tahoma"/>
          <w:sz w:val="22"/>
          <w:szCs w:val="22"/>
        </w:rPr>
      </w:pPr>
      <w:r w:rsidRPr="00516CC9">
        <w:rPr>
          <w:rFonts w:ascii="Palatino Linotype" w:hAnsi="Palatino Linotype" w:cs="Tahoma"/>
          <w:b/>
          <w:sz w:val="22"/>
          <w:szCs w:val="22"/>
        </w:rPr>
        <w:t>f</w:t>
      </w:r>
      <w:r w:rsidR="00515CEB" w:rsidRPr="00516CC9">
        <w:rPr>
          <w:rFonts w:ascii="Palatino Linotype" w:hAnsi="Palatino Linotype" w:cs="Tahoma"/>
          <w:b/>
          <w:sz w:val="22"/>
          <w:szCs w:val="22"/>
        </w:rPr>
        <w:t xml:space="preserve">) </w:t>
      </w:r>
      <w:r w:rsidR="00755EC9" w:rsidRPr="00516CC9">
        <w:rPr>
          <w:rFonts w:ascii="Palatino Linotype" w:hAnsi="Palatino Linotype" w:cs="Tahoma"/>
          <w:b/>
          <w:sz w:val="22"/>
          <w:szCs w:val="22"/>
        </w:rPr>
        <w:t xml:space="preserve">Cierre de instrucción. </w:t>
      </w:r>
      <w:r w:rsidR="00755EC9" w:rsidRPr="00516CC9">
        <w:rPr>
          <w:rFonts w:ascii="Palatino Linotype" w:hAnsi="Palatino Linotype" w:cs="Tahoma"/>
          <w:sz w:val="22"/>
          <w:szCs w:val="22"/>
        </w:rPr>
        <w:t xml:space="preserve">Con fecha </w:t>
      </w:r>
      <w:r w:rsidR="009B116D" w:rsidRPr="00516CC9">
        <w:rPr>
          <w:rFonts w:ascii="Palatino Linotype" w:hAnsi="Palatino Linotype" w:cs="Tahoma"/>
          <w:sz w:val="22"/>
          <w:szCs w:val="22"/>
        </w:rPr>
        <w:t xml:space="preserve">ocho </w:t>
      </w:r>
      <w:r w:rsidRPr="00516CC9">
        <w:rPr>
          <w:rFonts w:ascii="Palatino Linotype" w:hAnsi="Palatino Linotype" w:cs="Tahoma"/>
          <w:sz w:val="22"/>
          <w:szCs w:val="22"/>
        </w:rPr>
        <w:t xml:space="preserve">de mayo </w:t>
      </w:r>
      <w:r w:rsidR="00755EC9" w:rsidRPr="00516CC9">
        <w:rPr>
          <w:rFonts w:ascii="Palatino Linotype" w:hAnsi="Palatino Linotype" w:cs="Tahoma"/>
          <w:sz w:val="22"/>
          <w:szCs w:val="22"/>
        </w:rPr>
        <w:t xml:space="preserve">de dos mil diecinueve,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00755EC9" w:rsidRPr="00516CC9">
        <w:rPr>
          <w:rFonts w:ascii="Palatino Linotype" w:hAnsi="Palatino Linotype" w:cs="Tahoma"/>
          <w:sz w:val="22"/>
          <w:szCs w:val="22"/>
          <w:lang w:val="es-ES"/>
        </w:rPr>
        <w:t>Sistema de Acceso a la Información Mexiquense (SAIMEX)</w:t>
      </w:r>
      <w:r w:rsidR="00755EC9" w:rsidRPr="00516CC9">
        <w:rPr>
          <w:rFonts w:ascii="Palatino Linotype" w:hAnsi="Palatino Linotype" w:cs="Tahoma"/>
          <w:sz w:val="22"/>
          <w:szCs w:val="22"/>
        </w:rPr>
        <w:t>.</w:t>
      </w:r>
    </w:p>
    <w:p w:rsidR="00755EC9" w:rsidRPr="00516CC9" w:rsidRDefault="00755EC9" w:rsidP="00516CC9">
      <w:pPr>
        <w:spacing w:line="360" w:lineRule="auto"/>
        <w:jc w:val="both"/>
        <w:rPr>
          <w:rFonts w:ascii="Palatino Linotype" w:hAnsi="Palatino Linotype" w:cs="Tahoma"/>
          <w:sz w:val="22"/>
          <w:szCs w:val="22"/>
          <w:lang w:val="es-ES"/>
        </w:rPr>
      </w:pPr>
    </w:p>
    <w:p w:rsidR="004F2D88" w:rsidRPr="00516CC9" w:rsidRDefault="004F2D88" w:rsidP="00516CC9">
      <w:pPr>
        <w:spacing w:line="360" w:lineRule="auto"/>
        <w:jc w:val="both"/>
        <w:rPr>
          <w:rFonts w:ascii="Palatino Linotype" w:hAnsi="Palatino Linotype" w:cs="Tahoma"/>
          <w:color w:val="000000"/>
          <w:sz w:val="22"/>
          <w:szCs w:val="22"/>
        </w:rPr>
      </w:pPr>
      <w:r w:rsidRPr="00516CC9">
        <w:rPr>
          <w:rFonts w:ascii="Palatino Linotype" w:hAnsi="Palatino Linotype" w:cs="Tahoma"/>
          <w:color w:val="000000"/>
          <w:sz w:val="22"/>
          <w:szCs w:val="22"/>
        </w:rPr>
        <w:t xml:space="preserve">En </w:t>
      </w:r>
      <w:r w:rsidR="00367F82" w:rsidRPr="00516CC9">
        <w:rPr>
          <w:rFonts w:ascii="Palatino Linotype" w:hAnsi="Palatino Linotype" w:cs="Tahoma"/>
          <w:color w:val="000000"/>
          <w:sz w:val="22"/>
          <w:szCs w:val="22"/>
        </w:rPr>
        <w:t>razón de que fue debidamente su</w:t>
      </w:r>
      <w:r w:rsidRPr="00516CC9">
        <w:rPr>
          <w:rFonts w:ascii="Palatino Linotype" w:hAnsi="Palatino Linotype" w:cs="Tahoma"/>
          <w:color w:val="000000"/>
          <w:sz w:val="22"/>
          <w:szCs w:val="22"/>
        </w:rPr>
        <w:t xml:space="preserve">stanciado el expediente </w:t>
      </w:r>
      <w:r w:rsidR="00367F82" w:rsidRPr="00516CC9">
        <w:rPr>
          <w:rFonts w:ascii="Palatino Linotype" w:hAnsi="Palatino Linotype" w:cs="Tahoma"/>
          <w:color w:val="000000"/>
          <w:sz w:val="22"/>
          <w:szCs w:val="22"/>
        </w:rPr>
        <w:t xml:space="preserve">electrónico </w:t>
      </w:r>
      <w:r w:rsidRPr="00516CC9">
        <w:rPr>
          <w:rFonts w:ascii="Palatino Linotype" w:hAnsi="Palatino Linotype" w:cs="Tahoma"/>
          <w:color w:val="000000"/>
          <w:sz w:val="22"/>
          <w:szCs w:val="22"/>
        </w:rPr>
        <w:t>y no exist</w:t>
      </w:r>
      <w:r w:rsidR="00367F82" w:rsidRPr="00516CC9">
        <w:rPr>
          <w:rFonts w:ascii="Palatino Linotype" w:hAnsi="Palatino Linotype" w:cs="Tahoma"/>
          <w:color w:val="000000"/>
          <w:sz w:val="22"/>
          <w:szCs w:val="22"/>
        </w:rPr>
        <w:t>e</w:t>
      </w:r>
      <w:r w:rsidRPr="00516CC9">
        <w:rPr>
          <w:rFonts w:ascii="Palatino Linotype" w:hAnsi="Palatino Linotype" w:cs="Tahoma"/>
          <w:color w:val="000000"/>
          <w:sz w:val="22"/>
          <w:szCs w:val="22"/>
        </w:rPr>
        <w:t xml:space="preserve"> dilige</w:t>
      </w:r>
      <w:r w:rsidR="00367F82" w:rsidRPr="00516CC9">
        <w:rPr>
          <w:rFonts w:ascii="Palatino Linotype" w:hAnsi="Palatino Linotype" w:cs="Tahoma"/>
          <w:color w:val="000000"/>
          <w:sz w:val="22"/>
          <w:szCs w:val="22"/>
        </w:rPr>
        <w:t xml:space="preserve">ncia pendiente de desahogo, se </w:t>
      </w:r>
      <w:r w:rsidRPr="00516CC9">
        <w:rPr>
          <w:rFonts w:ascii="Palatino Linotype" w:hAnsi="Palatino Linotype" w:cs="Tahoma"/>
          <w:color w:val="000000"/>
          <w:sz w:val="22"/>
          <w:szCs w:val="22"/>
        </w:rPr>
        <w:t>emit</w:t>
      </w:r>
      <w:r w:rsidR="00367F82" w:rsidRPr="00516CC9">
        <w:rPr>
          <w:rFonts w:ascii="Palatino Linotype" w:hAnsi="Palatino Linotype" w:cs="Tahoma"/>
          <w:color w:val="000000"/>
          <w:sz w:val="22"/>
          <w:szCs w:val="22"/>
        </w:rPr>
        <w:t>e</w:t>
      </w:r>
      <w:r w:rsidRPr="00516CC9">
        <w:rPr>
          <w:rFonts w:ascii="Palatino Linotype" w:hAnsi="Palatino Linotype" w:cs="Tahoma"/>
          <w:color w:val="000000"/>
          <w:sz w:val="22"/>
          <w:szCs w:val="22"/>
        </w:rPr>
        <w:t xml:space="preserve"> la resolución que conforme a Derecho proceda, de acuerdo a l</w:t>
      </w:r>
      <w:r w:rsidR="009A620E" w:rsidRPr="00516CC9">
        <w:rPr>
          <w:rFonts w:ascii="Palatino Linotype" w:hAnsi="Palatino Linotype" w:cs="Tahoma"/>
          <w:color w:val="000000"/>
          <w:sz w:val="22"/>
          <w:szCs w:val="22"/>
        </w:rPr>
        <w:t>o</w:t>
      </w:r>
      <w:r w:rsidR="007C4BDC" w:rsidRPr="00516CC9">
        <w:rPr>
          <w:rFonts w:ascii="Palatino Linotype" w:hAnsi="Palatino Linotype" w:cs="Tahoma"/>
          <w:color w:val="000000"/>
          <w:sz w:val="22"/>
          <w:szCs w:val="22"/>
        </w:rPr>
        <w:t>s siguientes:</w:t>
      </w:r>
    </w:p>
    <w:p w:rsidR="00264223" w:rsidRPr="00516CC9" w:rsidRDefault="00264223" w:rsidP="00516CC9">
      <w:pPr>
        <w:spacing w:line="360" w:lineRule="auto"/>
        <w:jc w:val="center"/>
        <w:rPr>
          <w:rFonts w:ascii="Palatino Linotype" w:hAnsi="Palatino Linotype" w:cs="Tahoma"/>
          <w:b/>
          <w:sz w:val="22"/>
          <w:szCs w:val="22"/>
        </w:rPr>
      </w:pPr>
    </w:p>
    <w:p w:rsidR="00264223" w:rsidRPr="00516CC9" w:rsidRDefault="009A620E" w:rsidP="00516CC9">
      <w:pPr>
        <w:spacing w:line="360" w:lineRule="auto"/>
        <w:jc w:val="center"/>
        <w:rPr>
          <w:rFonts w:ascii="Palatino Linotype" w:hAnsi="Palatino Linotype" w:cs="Tahoma"/>
          <w:b/>
          <w:sz w:val="22"/>
          <w:szCs w:val="22"/>
          <w:lang w:val="es-ES"/>
        </w:rPr>
      </w:pPr>
      <w:r w:rsidRPr="00516CC9">
        <w:rPr>
          <w:rFonts w:ascii="Palatino Linotype" w:hAnsi="Palatino Linotype" w:cs="Tahoma"/>
          <w:b/>
          <w:sz w:val="22"/>
          <w:szCs w:val="22"/>
          <w:lang w:val="es-ES"/>
        </w:rPr>
        <w:lastRenderedPageBreak/>
        <w:t>C</w:t>
      </w:r>
      <w:r w:rsidR="007C4BDC" w:rsidRPr="00516CC9">
        <w:rPr>
          <w:rFonts w:ascii="Palatino Linotype" w:hAnsi="Palatino Linotype" w:cs="Tahoma"/>
          <w:b/>
          <w:sz w:val="22"/>
          <w:szCs w:val="22"/>
          <w:lang w:val="es-ES"/>
        </w:rPr>
        <w:t xml:space="preserve"> </w:t>
      </w:r>
      <w:r w:rsidRPr="00516CC9">
        <w:rPr>
          <w:rFonts w:ascii="Palatino Linotype" w:hAnsi="Palatino Linotype" w:cs="Tahoma"/>
          <w:b/>
          <w:sz w:val="22"/>
          <w:szCs w:val="22"/>
          <w:lang w:val="es-ES"/>
        </w:rPr>
        <w:t>O</w:t>
      </w:r>
      <w:r w:rsidR="007C4BDC" w:rsidRPr="00516CC9">
        <w:rPr>
          <w:rFonts w:ascii="Palatino Linotype" w:hAnsi="Palatino Linotype" w:cs="Tahoma"/>
          <w:b/>
          <w:sz w:val="22"/>
          <w:szCs w:val="22"/>
          <w:lang w:val="es-ES"/>
        </w:rPr>
        <w:t xml:space="preserve"> </w:t>
      </w:r>
      <w:r w:rsidRPr="00516CC9">
        <w:rPr>
          <w:rFonts w:ascii="Palatino Linotype" w:hAnsi="Palatino Linotype" w:cs="Tahoma"/>
          <w:b/>
          <w:sz w:val="22"/>
          <w:szCs w:val="22"/>
          <w:lang w:val="es-ES"/>
        </w:rPr>
        <w:t>N</w:t>
      </w:r>
      <w:r w:rsidR="007C4BDC" w:rsidRPr="00516CC9">
        <w:rPr>
          <w:rFonts w:ascii="Palatino Linotype" w:hAnsi="Palatino Linotype" w:cs="Tahoma"/>
          <w:b/>
          <w:sz w:val="22"/>
          <w:szCs w:val="22"/>
          <w:lang w:val="es-ES"/>
        </w:rPr>
        <w:t xml:space="preserve"> </w:t>
      </w:r>
      <w:r w:rsidRPr="00516CC9">
        <w:rPr>
          <w:rFonts w:ascii="Palatino Linotype" w:hAnsi="Palatino Linotype" w:cs="Tahoma"/>
          <w:b/>
          <w:sz w:val="22"/>
          <w:szCs w:val="22"/>
          <w:lang w:val="es-ES"/>
        </w:rPr>
        <w:t>S</w:t>
      </w:r>
      <w:r w:rsidR="007C4BDC" w:rsidRPr="00516CC9">
        <w:rPr>
          <w:rFonts w:ascii="Palatino Linotype" w:hAnsi="Palatino Linotype" w:cs="Tahoma"/>
          <w:b/>
          <w:sz w:val="22"/>
          <w:szCs w:val="22"/>
          <w:lang w:val="es-ES"/>
        </w:rPr>
        <w:t xml:space="preserve"> </w:t>
      </w:r>
      <w:r w:rsidRPr="00516CC9">
        <w:rPr>
          <w:rFonts w:ascii="Palatino Linotype" w:hAnsi="Palatino Linotype" w:cs="Tahoma"/>
          <w:b/>
          <w:sz w:val="22"/>
          <w:szCs w:val="22"/>
          <w:lang w:val="es-ES"/>
        </w:rPr>
        <w:t>I</w:t>
      </w:r>
      <w:r w:rsidR="007C4BDC" w:rsidRPr="00516CC9">
        <w:rPr>
          <w:rFonts w:ascii="Palatino Linotype" w:hAnsi="Palatino Linotype" w:cs="Tahoma"/>
          <w:b/>
          <w:sz w:val="22"/>
          <w:szCs w:val="22"/>
          <w:lang w:val="es-ES"/>
        </w:rPr>
        <w:t xml:space="preserve"> </w:t>
      </w:r>
      <w:r w:rsidRPr="00516CC9">
        <w:rPr>
          <w:rFonts w:ascii="Palatino Linotype" w:hAnsi="Palatino Linotype" w:cs="Tahoma"/>
          <w:b/>
          <w:sz w:val="22"/>
          <w:szCs w:val="22"/>
          <w:lang w:val="es-ES"/>
        </w:rPr>
        <w:t>D</w:t>
      </w:r>
      <w:r w:rsidR="007C4BDC" w:rsidRPr="00516CC9">
        <w:rPr>
          <w:rFonts w:ascii="Palatino Linotype" w:hAnsi="Palatino Linotype" w:cs="Tahoma"/>
          <w:b/>
          <w:sz w:val="22"/>
          <w:szCs w:val="22"/>
          <w:lang w:val="es-ES"/>
        </w:rPr>
        <w:t xml:space="preserve"> </w:t>
      </w:r>
      <w:r w:rsidRPr="00516CC9">
        <w:rPr>
          <w:rFonts w:ascii="Palatino Linotype" w:hAnsi="Palatino Linotype" w:cs="Tahoma"/>
          <w:b/>
          <w:sz w:val="22"/>
          <w:szCs w:val="22"/>
          <w:lang w:val="es-ES"/>
        </w:rPr>
        <w:t>E</w:t>
      </w:r>
      <w:r w:rsidR="007C4BDC" w:rsidRPr="00516CC9">
        <w:rPr>
          <w:rFonts w:ascii="Palatino Linotype" w:hAnsi="Palatino Linotype" w:cs="Tahoma"/>
          <w:b/>
          <w:sz w:val="22"/>
          <w:szCs w:val="22"/>
          <w:lang w:val="es-ES"/>
        </w:rPr>
        <w:t xml:space="preserve"> </w:t>
      </w:r>
      <w:r w:rsidRPr="00516CC9">
        <w:rPr>
          <w:rFonts w:ascii="Palatino Linotype" w:hAnsi="Palatino Linotype" w:cs="Tahoma"/>
          <w:b/>
          <w:sz w:val="22"/>
          <w:szCs w:val="22"/>
          <w:lang w:val="es-ES"/>
        </w:rPr>
        <w:t>R</w:t>
      </w:r>
      <w:r w:rsidR="007C4BDC" w:rsidRPr="00516CC9">
        <w:rPr>
          <w:rFonts w:ascii="Palatino Linotype" w:hAnsi="Palatino Linotype" w:cs="Tahoma"/>
          <w:b/>
          <w:sz w:val="22"/>
          <w:szCs w:val="22"/>
          <w:lang w:val="es-ES"/>
        </w:rPr>
        <w:t xml:space="preserve"> </w:t>
      </w:r>
      <w:r w:rsidRPr="00516CC9">
        <w:rPr>
          <w:rFonts w:ascii="Palatino Linotype" w:hAnsi="Palatino Linotype" w:cs="Tahoma"/>
          <w:b/>
          <w:sz w:val="22"/>
          <w:szCs w:val="22"/>
          <w:lang w:val="es-ES"/>
        </w:rPr>
        <w:t>A</w:t>
      </w:r>
      <w:r w:rsidR="007C4BDC" w:rsidRPr="00516CC9">
        <w:rPr>
          <w:rFonts w:ascii="Palatino Linotype" w:hAnsi="Palatino Linotype" w:cs="Tahoma"/>
          <w:b/>
          <w:sz w:val="22"/>
          <w:szCs w:val="22"/>
          <w:lang w:val="es-ES"/>
        </w:rPr>
        <w:t xml:space="preserve"> </w:t>
      </w:r>
      <w:r w:rsidRPr="00516CC9">
        <w:rPr>
          <w:rFonts w:ascii="Palatino Linotype" w:hAnsi="Palatino Linotype" w:cs="Tahoma"/>
          <w:b/>
          <w:sz w:val="22"/>
          <w:szCs w:val="22"/>
          <w:lang w:val="es-ES"/>
        </w:rPr>
        <w:t>N</w:t>
      </w:r>
      <w:r w:rsidR="007C4BDC" w:rsidRPr="00516CC9">
        <w:rPr>
          <w:rFonts w:ascii="Palatino Linotype" w:hAnsi="Palatino Linotype" w:cs="Tahoma"/>
          <w:b/>
          <w:sz w:val="22"/>
          <w:szCs w:val="22"/>
          <w:lang w:val="es-ES"/>
        </w:rPr>
        <w:t xml:space="preserve"> </w:t>
      </w:r>
      <w:r w:rsidRPr="00516CC9">
        <w:rPr>
          <w:rFonts w:ascii="Palatino Linotype" w:hAnsi="Palatino Linotype" w:cs="Tahoma"/>
          <w:b/>
          <w:sz w:val="22"/>
          <w:szCs w:val="22"/>
          <w:lang w:val="es-ES"/>
        </w:rPr>
        <w:t>D</w:t>
      </w:r>
      <w:r w:rsidR="007C4BDC" w:rsidRPr="00516CC9">
        <w:rPr>
          <w:rFonts w:ascii="Palatino Linotype" w:hAnsi="Palatino Linotype" w:cs="Tahoma"/>
          <w:b/>
          <w:sz w:val="22"/>
          <w:szCs w:val="22"/>
          <w:lang w:val="es-ES"/>
        </w:rPr>
        <w:t xml:space="preserve"> </w:t>
      </w:r>
      <w:r w:rsidRPr="00516CC9">
        <w:rPr>
          <w:rFonts w:ascii="Palatino Linotype" w:hAnsi="Palatino Linotype" w:cs="Tahoma"/>
          <w:b/>
          <w:sz w:val="22"/>
          <w:szCs w:val="22"/>
          <w:lang w:val="es-ES"/>
        </w:rPr>
        <w:t>O</w:t>
      </w:r>
      <w:r w:rsidR="007C4BDC" w:rsidRPr="00516CC9">
        <w:rPr>
          <w:rFonts w:ascii="Palatino Linotype" w:hAnsi="Palatino Linotype" w:cs="Tahoma"/>
          <w:b/>
          <w:sz w:val="22"/>
          <w:szCs w:val="22"/>
          <w:lang w:val="es-ES"/>
        </w:rPr>
        <w:t xml:space="preserve"> </w:t>
      </w:r>
      <w:r w:rsidRPr="00516CC9">
        <w:rPr>
          <w:rFonts w:ascii="Palatino Linotype" w:hAnsi="Palatino Linotype" w:cs="Tahoma"/>
          <w:b/>
          <w:sz w:val="22"/>
          <w:szCs w:val="22"/>
          <w:lang w:val="es-ES"/>
        </w:rPr>
        <w:t>S</w:t>
      </w:r>
    </w:p>
    <w:p w:rsidR="00264223" w:rsidRPr="00516CC9" w:rsidRDefault="00264223" w:rsidP="00516CC9">
      <w:pPr>
        <w:spacing w:line="360" w:lineRule="auto"/>
        <w:jc w:val="center"/>
        <w:rPr>
          <w:rFonts w:ascii="Palatino Linotype" w:hAnsi="Palatino Linotype" w:cs="Tahoma"/>
          <w:b/>
          <w:sz w:val="22"/>
          <w:szCs w:val="22"/>
          <w:lang w:val="es-ES"/>
        </w:rPr>
      </w:pPr>
    </w:p>
    <w:p w:rsidR="00B64641" w:rsidRPr="00516CC9" w:rsidRDefault="0096693C" w:rsidP="00516CC9">
      <w:pPr>
        <w:autoSpaceDE w:val="0"/>
        <w:autoSpaceDN w:val="0"/>
        <w:adjustRightInd w:val="0"/>
        <w:spacing w:line="360" w:lineRule="auto"/>
        <w:jc w:val="both"/>
        <w:rPr>
          <w:rFonts w:ascii="Palatino Linotype" w:hAnsi="Palatino Linotype" w:cs="Tahoma"/>
          <w:b/>
          <w:sz w:val="22"/>
          <w:szCs w:val="22"/>
          <w:lang w:val="es-ES"/>
        </w:rPr>
      </w:pPr>
      <w:r w:rsidRPr="00516CC9">
        <w:rPr>
          <w:rFonts w:ascii="Palatino Linotype" w:eastAsia="Calibri" w:hAnsi="Palatino Linotype" w:cs="Tahoma"/>
          <w:b/>
          <w:color w:val="000000"/>
          <w:sz w:val="22"/>
          <w:szCs w:val="22"/>
          <w:lang w:val="es-ES" w:eastAsia="es-MX"/>
        </w:rPr>
        <w:t>PRIMERO</w:t>
      </w:r>
      <w:r w:rsidR="00B64641" w:rsidRPr="00516CC9">
        <w:rPr>
          <w:rFonts w:ascii="Palatino Linotype" w:eastAsia="Calibri" w:hAnsi="Palatino Linotype" w:cs="Tahoma"/>
          <w:color w:val="000000"/>
          <w:sz w:val="22"/>
          <w:szCs w:val="22"/>
          <w:lang w:val="es-ES" w:eastAsia="es-MX"/>
        </w:rPr>
        <w:t xml:space="preserve">. </w:t>
      </w:r>
      <w:r w:rsidR="00B64641" w:rsidRPr="00516CC9">
        <w:rPr>
          <w:rFonts w:ascii="Palatino Linotype" w:hAnsi="Palatino Linotype" w:cs="Tahoma"/>
          <w:b/>
          <w:sz w:val="22"/>
          <w:szCs w:val="22"/>
          <w:lang w:val="es-ES"/>
        </w:rPr>
        <w:t>Competencia.</w:t>
      </w:r>
    </w:p>
    <w:p w:rsidR="00BA454D" w:rsidRPr="00516CC9" w:rsidRDefault="00BA454D" w:rsidP="00516CC9">
      <w:pPr>
        <w:autoSpaceDE w:val="0"/>
        <w:autoSpaceDN w:val="0"/>
        <w:adjustRightInd w:val="0"/>
        <w:spacing w:line="360" w:lineRule="auto"/>
        <w:jc w:val="both"/>
        <w:rPr>
          <w:rFonts w:ascii="Palatino Linotype" w:hAnsi="Palatino Linotype" w:cs="Tahoma"/>
          <w:b/>
          <w:sz w:val="22"/>
          <w:szCs w:val="22"/>
          <w:lang w:val="es-ES"/>
        </w:rPr>
      </w:pPr>
    </w:p>
    <w:p w:rsidR="004F2D88" w:rsidRPr="00516CC9" w:rsidRDefault="009C4081" w:rsidP="00516CC9">
      <w:pPr>
        <w:spacing w:line="360" w:lineRule="auto"/>
        <w:jc w:val="both"/>
        <w:rPr>
          <w:rFonts w:ascii="Palatino Linotype" w:hAnsi="Palatino Linotype" w:cs="Tahoma"/>
          <w:sz w:val="22"/>
          <w:szCs w:val="22"/>
          <w:shd w:val="clear" w:color="auto" w:fill="FFFFFF"/>
        </w:rPr>
      </w:pPr>
      <w:r w:rsidRPr="00516CC9">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w:t>
      </w:r>
      <w:r w:rsidR="00A55CDF" w:rsidRPr="00516CC9">
        <w:rPr>
          <w:rFonts w:ascii="Palatino Linotype" w:hAnsi="Palatino Linotype" w:cs="Tahoma"/>
          <w:sz w:val="22"/>
          <w:szCs w:val="22"/>
          <w:shd w:val="clear" w:color="auto" w:fill="FFFFFF"/>
        </w:rPr>
        <w:t xml:space="preserve">Recurso </w:t>
      </w:r>
      <w:r w:rsidRPr="00516CC9">
        <w:rPr>
          <w:rFonts w:ascii="Palatino Linotype" w:hAnsi="Palatino Linotype" w:cs="Tahoma"/>
          <w:sz w:val="22"/>
          <w:szCs w:val="22"/>
          <w:shd w:val="clear" w:color="auto" w:fill="FFFFFF"/>
        </w:rPr>
        <w:t xml:space="preserve">de </w:t>
      </w:r>
      <w:r w:rsidR="00A55CDF" w:rsidRPr="00516CC9">
        <w:rPr>
          <w:rFonts w:ascii="Palatino Linotype" w:hAnsi="Palatino Linotype" w:cs="Tahoma"/>
          <w:sz w:val="22"/>
          <w:szCs w:val="22"/>
          <w:shd w:val="clear" w:color="auto" w:fill="FFFFFF"/>
        </w:rPr>
        <w:t xml:space="preserve">Revisión </w:t>
      </w:r>
      <w:r w:rsidRPr="00516CC9">
        <w:rPr>
          <w:rFonts w:ascii="Palatino Linotype" w:hAnsi="Palatino Linotype" w:cs="Tahoma"/>
          <w:sz w:val="22"/>
          <w:szCs w:val="22"/>
          <w:shd w:val="clear" w:color="auto" w:fill="FFFFFF"/>
        </w:rPr>
        <w:t>interpuesto por la parte recurrente, conforme a lo dispuesto en los artículos 6</w:t>
      </w:r>
      <w:r w:rsidR="00973FDF" w:rsidRPr="00516CC9">
        <w:rPr>
          <w:rFonts w:ascii="Palatino Linotype" w:hAnsi="Palatino Linotype" w:cs="Tahoma"/>
          <w:sz w:val="22"/>
          <w:szCs w:val="22"/>
          <w:shd w:val="clear" w:color="auto" w:fill="FFFFFF"/>
        </w:rPr>
        <w:t>º</w:t>
      </w:r>
      <w:r w:rsidRPr="00516CC9">
        <w:rPr>
          <w:rFonts w:ascii="Palatino Linotype" w:hAnsi="Palatino Linotype" w:cs="Tahoma"/>
          <w:sz w:val="22"/>
          <w:szCs w:val="22"/>
          <w:shd w:val="clear" w:color="auto" w:fill="FFFFFF"/>
        </w:rPr>
        <w:t>, apartado A de la Constitución Política de los Estados Unidos Mexicanos; 5</w:t>
      </w:r>
      <w:r w:rsidR="00973FDF" w:rsidRPr="00516CC9">
        <w:rPr>
          <w:rFonts w:ascii="Palatino Linotype" w:hAnsi="Palatino Linotype" w:cs="Tahoma"/>
          <w:sz w:val="22"/>
          <w:szCs w:val="22"/>
          <w:shd w:val="clear" w:color="auto" w:fill="FFFFFF"/>
        </w:rPr>
        <w:t>º</w:t>
      </w:r>
      <w:r w:rsidRPr="00516CC9">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E70503" w:rsidRPr="00516CC9" w:rsidRDefault="00E70503" w:rsidP="00516CC9">
      <w:pPr>
        <w:spacing w:line="360" w:lineRule="auto"/>
        <w:jc w:val="both"/>
        <w:rPr>
          <w:rFonts w:ascii="Palatino Linotype" w:eastAsia="Calibri" w:hAnsi="Palatino Linotype" w:cs="Tahoma"/>
          <w:bCs/>
          <w:color w:val="000000"/>
          <w:sz w:val="22"/>
          <w:szCs w:val="22"/>
          <w:lang w:val="es-ES" w:eastAsia="es-ES_tradnl"/>
        </w:rPr>
      </w:pPr>
    </w:p>
    <w:p w:rsidR="00D90C9D" w:rsidRPr="00516CC9" w:rsidRDefault="0096693C" w:rsidP="00516CC9">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516CC9">
        <w:rPr>
          <w:rFonts w:ascii="Palatino Linotype" w:eastAsia="Calibri" w:hAnsi="Palatino Linotype" w:cs="Tahoma"/>
          <w:b/>
          <w:color w:val="000000"/>
          <w:sz w:val="22"/>
          <w:szCs w:val="22"/>
          <w:lang w:val="es-ES" w:eastAsia="es-MX"/>
        </w:rPr>
        <w:t>SEGUNDO</w:t>
      </w:r>
      <w:r w:rsidR="009C4081" w:rsidRPr="00516CC9">
        <w:rPr>
          <w:rFonts w:ascii="Palatino Linotype" w:eastAsia="Calibri" w:hAnsi="Palatino Linotype" w:cs="Tahoma"/>
          <w:b/>
          <w:color w:val="000000"/>
          <w:sz w:val="22"/>
          <w:szCs w:val="22"/>
          <w:lang w:val="es-ES" w:eastAsia="es-MX"/>
        </w:rPr>
        <w:t>. Causales de improcedencia y sobreseimiento.</w:t>
      </w:r>
    </w:p>
    <w:p w:rsidR="009C4081" w:rsidRPr="00516CC9" w:rsidRDefault="009C4081" w:rsidP="00516CC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CF4012" w:rsidRPr="00516CC9" w:rsidRDefault="00FE5410" w:rsidP="00516CC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16CC9">
        <w:rPr>
          <w:rFonts w:ascii="Palatino Linotype" w:eastAsia="Calibri" w:hAnsi="Palatino Linotype" w:cs="Tahoma"/>
          <w:color w:val="000000"/>
          <w:sz w:val="22"/>
          <w:szCs w:val="22"/>
          <w:lang w:val="es-ES" w:eastAsia="es-MX"/>
        </w:rPr>
        <w:t>Previo al análisis de fondo del asunto que no ocupa, e</w:t>
      </w:r>
      <w:r w:rsidR="00683CB5" w:rsidRPr="00516CC9">
        <w:rPr>
          <w:rFonts w:ascii="Palatino Linotype" w:eastAsia="Calibri" w:hAnsi="Palatino Linotype" w:cs="Tahoma"/>
          <w:color w:val="000000"/>
          <w:sz w:val="22"/>
          <w:szCs w:val="22"/>
          <w:lang w:val="es-ES" w:eastAsia="es-MX"/>
        </w:rPr>
        <w:t>ste Instituto realiza</w:t>
      </w:r>
      <w:r w:rsidRPr="00516CC9">
        <w:rPr>
          <w:rFonts w:ascii="Palatino Linotype" w:eastAsia="Calibri" w:hAnsi="Palatino Linotype" w:cs="Tahoma"/>
          <w:color w:val="000000"/>
          <w:sz w:val="22"/>
          <w:szCs w:val="22"/>
          <w:lang w:val="es-ES" w:eastAsia="es-MX"/>
        </w:rPr>
        <w:t>rá</w:t>
      </w:r>
      <w:r w:rsidR="00683CB5" w:rsidRPr="00516CC9">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2E12B1" w:rsidRPr="00516CC9" w:rsidRDefault="002E12B1" w:rsidP="00516CC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E46195" w:rsidRPr="00516CC9" w:rsidRDefault="00E46195" w:rsidP="00516CC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16CC9">
        <w:rPr>
          <w:rFonts w:ascii="Palatino Linotype" w:eastAsia="Calibri" w:hAnsi="Palatino Linotype" w:cs="Tahoma"/>
          <w:color w:val="000000"/>
          <w:sz w:val="22"/>
          <w:szCs w:val="22"/>
          <w:lang w:val="es-ES" w:eastAsia="es-MX"/>
        </w:rPr>
        <w:t xml:space="preserve">En el presente caso, </w:t>
      </w:r>
      <w:r w:rsidRPr="00516CC9">
        <w:rPr>
          <w:rFonts w:ascii="Palatino Linotype" w:eastAsia="Calibri" w:hAnsi="Palatino Linotype" w:cs="Tahoma"/>
          <w:b/>
          <w:color w:val="000000"/>
          <w:sz w:val="22"/>
          <w:szCs w:val="22"/>
          <w:lang w:val="es-ES" w:eastAsia="es-MX"/>
        </w:rPr>
        <w:t>no se actualiza ninguna de las causales de improcedencia</w:t>
      </w:r>
      <w:r w:rsidRPr="00516CC9">
        <w:rPr>
          <w:rFonts w:ascii="Palatino Linotype" w:eastAsia="Calibri" w:hAnsi="Palatino Linotype" w:cs="Tahoma"/>
          <w:color w:val="000000"/>
          <w:sz w:val="22"/>
          <w:szCs w:val="22"/>
          <w:lang w:val="es-ES" w:eastAsia="es-MX"/>
        </w:rPr>
        <w:t xml:space="preserve"> establecidas en el ordenamiento jurídico previamente señalado, toda vez que: el </w:t>
      </w:r>
      <w:r w:rsidR="00ED669A" w:rsidRPr="00516CC9">
        <w:rPr>
          <w:rFonts w:ascii="Palatino Linotype" w:eastAsia="Calibri" w:hAnsi="Palatino Linotype" w:cs="Tahoma"/>
          <w:color w:val="000000"/>
          <w:sz w:val="22"/>
          <w:szCs w:val="22"/>
          <w:lang w:val="es-ES" w:eastAsia="es-MX"/>
        </w:rPr>
        <w:t xml:space="preserve">Recurso de Revisión </w:t>
      </w:r>
      <w:r w:rsidRPr="00516CC9">
        <w:rPr>
          <w:rFonts w:ascii="Palatino Linotype" w:eastAsia="Calibri" w:hAnsi="Palatino Linotype" w:cs="Tahoma"/>
          <w:color w:val="000000"/>
          <w:sz w:val="22"/>
          <w:szCs w:val="22"/>
          <w:lang w:val="es-ES" w:eastAsia="es-MX"/>
        </w:rPr>
        <w:t>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E46195" w:rsidRPr="00516CC9" w:rsidRDefault="00E46195" w:rsidP="00516CC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rsidR="008E5077" w:rsidRPr="00516CC9" w:rsidRDefault="004F2D88" w:rsidP="00516CC9">
      <w:pPr>
        <w:spacing w:line="360" w:lineRule="auto"/>
        <w:jc w:val="both"/>
        <w:rPr>
          <w:rFonts w:ascii="Palatino Linotype" w:eastAsia="Calibri" w:hAnsi="Palatino Linotype" w:cs="Tahoma"/>
          <w:sz w:val="22"/>
          <w:szCs w:val="22"/>
          <w:lang w:val="es-ES" w:eastAsia="es-ES_tradnl"/>
        </w:rPr>
      </w:pPr>
      <w:r w:rsidRPr="00516CC9">
        <w:rPr>
          <w:rFonts w:ascii="Palatino Linotype" w:eastAsia="Calibri" w:hAnsi="Palatino Linotype" w:cs="Tahoma"/>
          <w:b/>
          <w:sz w:val="22"/>
          <w:szCs w:val="22"/>
          <w:lang w:val="es-ES" w:eastAsia="es-ES_tradnl"/>
        </w:rPr>
        <w:t>Causales de sobreseimiento.</w:t>
      </w:r>
    </w:p>
    <w:p w:rsidR="009C6FAD" w:rsidRPr="00516CC9" w:rsidRDefault="009C6FAD" w:rsidP="00516CC9">
      <w:pPr>
        <w:spacing w:line="360" w:lineRule="auto"/>
        <w:jc w:val="both"/>
        <w:rPr>
          <w:rFonts w:ascii="Palatino Linotype" w:eastAsia="Calibri" w:hAnsi="Palatino Linotype" w:cs="Tahoma"/>
          <w:sz w:val="22"/>
          <w:szCs w:val="22"/>
          <w:lang w:val="es-ES" w:eastAsia="es-ES_tradnl"/>
        </w:rPr>
      </w:pPr>
    </w:p>
    <w:p w:rsidR="00BE27B1" w:rsidRPr="00516CC9" w:rsidRDefault="00BE27B1" w:rsidP="00516CC9">
      <w:pPr>
        <w:spacing w:line="360" w:lineRule="auto"/>
        <w:jc w:val="both"/>
        <w:rPr>
          <w:rFonts w:ascii="Palatino Linotype" w:eastAsia="Calibri" w:hAnsi="Palatino Linotype" w:cs="Tahoma"/>
          <w:sz w:val="22"/>
          <w:szCs w:val="22"/>
          <w:lang w:val="es-ES" w:eastAsia="es-ES_tradnl"/>
        </w:rPr>
      </w:pPr>
      <w:r w:rsidRPr="00516CC9">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16CC9">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16CC9">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rsidR="00BE27B1" w:rsidRPr="00516CC9" w:rsidRDefault="00BE27B1" w:rsidP="00516CC9">
      <w:pPr>
        <w:spacing w:line="360" w:lineRule="auto"/>
        <w:jc w:val="both"/>
        <w:rPr>
          <w:rFonts w:ascii="Palatino Linotype" w:eastAsia="Calibri" w:hAnsi="Palatino Linotype" w:cs="Tahoma"/>
          <w:sz w:val="22"/>
          <w:szCs w:val="22"/>
          <w:lang w:val="es-ES" w:eastAsia="es-ES_tradnl"/>
        </w:rPr>
      </w:pPr>
    </w:p>
    <w:p w:rsidR="0025469C" w:rsidRPr="00516CC9" w:rsidRDefault="0096693C" w:rsidP="00516CC9">
      <w:pPr>
        <w:tabs>
          <w:tab w:val="left" w:pos="4962"/>
        </w:tabs>
        <w:spacing w:line="360" w:lineRule="auto"/>
        <w:jc w:val="both"/>
        <w:rPr>
          <w:rFonts w:ascii="Palatino Linotype" w:eastAsia="Calibri" w:hAnsi="Palatino Linotype" w:cs="Tahoma"/>
          <w:b/>
          <w:iCs/>
          <w:sz w:val="22"/>
          <w:szCs w:val="22"/>
          <w:lang w:val="es-ES" w:eastAsia="es-ES_tradnl"/>
        </w:rPr>
      </w:pPr>
      <w:r w:rsidRPr="00516CC9">
        <w:rPr>
          <w:rFonts w:ascii="Palatino Linotype" w:eastAsia="Calibri" w:hAnsi="Palatino Linotype" w:cs="Tahoma"/>
          <w:b/>
          <w:iCs/>
          <w:sz w:val="22"/>
          <w:szCs w:val="22"/>
          <w:lang w:val="es-ES" w:eastAsia="es-ES_tradnl"/>
        </w:rPr>
        <w:t>TERCERO</w:t>
      </w:r>
      <w:r w:rsidR="00F02171" w:rsidRPr="00516CC9">
        <w:rPr>
          <w:rFonts w:ascii="Palatino Linotype" w:eastAsia="Calibri" w:hAnsi="Palatino Linotype" w:cs="Tahoma"/>
          <w:b/>
          <w:iCs/>
          <w:sz w:val="22"/>
          <w:szCs w:val="22"/>
          <w:lang w:val="es-ES" w:eastAsia="es-ES_tradnl"/>
        </w:rPr>
        <w:t xml:space="preserve">. </w:t>
      </w:r>
      <w:r w:rsidR="0025469C" w:rsidRPr="00516CC9">
        <w:rPr>
          <w:rFonts w:ascii="Palatino Linotype" w:eastAsia="Calibri" w:hAnsi="Palatino Linotype" w:cs="Tahoma"/>
          <w:b/>
          <w:iCs/>
          <w:sz w:val="22"/>
          <w:szCs w:val="22"/>
          <w:lang w:val="es-ES" w:eastAsia="es-ES_tradnl"/>
        </w:rPr>
        <w:t xml:space="preserve">Determinación </w:t>
      </w:r>
      <w:r w:rsidR="009617D3" w:rsidRPr="00516CC9">
        <w:rPr>
          <w:rFonts w:ascii="Palatino Linotype" w:eastAsia="Calibri" w:hAnsi="Palatino Linotype" w:cs="Tahoma"/>
          <w:b/>
          <w:iCs/>
          <w:sz w:val="22"/>
          <w:szCs w:val="22"/>
          <w:lang w:val="es-ES" w:eastAsia="es-ES_tradnl"/>
        </w:rPr>
        <w:t xml:space="preserve">de la </w:t>
      </w:r>
      <w:r w:rsidR="00CF4012" w:rsidRPr="00516CC9">
        <w:rPr>
          <w:rFonts w:ascii="Palatino Linotype" w:eastAsia="Calibri" w:hAnsi="Palatino Linotype" w:cs="Tahoma"/>
          <w:b/>
          <w:iCs/>
          <w:sz w:val="22"/>
          <w:szCs w:val="22"/>
          <w:lang w:val="es-ES" w:eastAsia="es-ES_tradnl"/>
        </w:rPr>
        <w:t>Controversia</w:t>
      </w:r>
      <w:r w:rsidR="00F02171" w:rsidRPr="00516CC9">
        <w:rPr>
          <w:rFonts w:ascii="Palatino Linotype" w:eastAsia="Calibri" w:hAnsi="Palatino Linotype" w:cs="Tahoma"/>
          <w:b/>
          <w:iCs/>
          <w:sz w:val="22"/>
          <w:szCs w:val="22"/>
          <w:lang w:val="es-ES" w:eastAsia="es-ES_tradnl"/>
        </w:rPr>
        <w:t xml:space="preserve">. </w:t>
      </w:r>
    </w:p>
    <w:p w:rsidR="0025469C" w:rsidRPr="00516CC9" w:rsidRDefault="0025469C" w:rsidP="00516CC9">
      <w:pPr>
        <w:tabs>
          <w:tab w:val="left" w:pos="4962"/>
        </w:tabs>
        <w:spacing w:line="360" w:lineRule="auto"/>
        <w:jc w:val="both"/>
        <w:rPr>
          <w:rFonts w:ascii="Palatino Linotype" w:eastAsia="Calibri" w:hAnsi="Palatino Linotype" w:cs="Tahoma"/>
          <w:b/>
          <w:iCs/>
          <w:sz w:val="22"/>
          <w:szCs w:val="22"/>
          <w:lang w:val="es-ES" w:eastAsia="es-ES_tradnl"/>
        </w:rPr>
      </w:pPr>
    </w:p>
    <w:p w:rsidR="00880330" w:rsidRPr="00516CC9" w:rsidRDefault="00753ABF" w:rsidP="00516CC9">
      <w:pPr>
        <w:tabs>
          <w:tab w:val="left" w:pos="4962"/>
        </w:tabs>
        <w:spacing w:line="360" w:lineRule="auto"/>
        <w:jc w:val="both"/>
        <w:rPr>
          <w:rFonts w:ascii="Palatino Linotype" w:eastAsia="Calibri" w:hAnsi="Palatino Linotype" w:cs="Tahoma"/>
          <w:iCs/>
          <w:sz w:val="22"/>
          <w:szCs w:val="22"/>
          <w:lang w:val="es-ES" w:eastAsia="es-ES_tradnl"/>
        </w:rPr>
      </w:pPr>
      <w:r w:rsidRPr="00516CC9">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284CB1" w:rsidRPr="00516CC9">
        <w:rPr>
          <w:rFonts w:ascii="Palatino Linotype" w:eastAsia="Calibri" w:hAnsi="Palatino Linotype" w:cs="Tahoma"/>
          <w:iCs/>
          <w:sz w:val="22"/>
          <w:szCs w:val="22"/>
          <w:lang w:val="es-ES" w:eastAsia="es-ES_tradnl"/>
        </w:rPr>
        <w:t>que el Recurrente solicitó</w:t>
      </w:r>
      <w:r w:rsidR="00321A39" w:rsidRPr="00516CC9">
        <w:rPr>
          <w:rFonts w:ascii="Palatino Linotype" w:eastAsia="Calibri" w:hAnsi="Palatino Linotype" w:cs="Tahoma"/>
          <w:iCs/>
          <w:sz w:val="22"/>
          <w:szCs w:val="22"/>
          <w:lang w:val="es-ES" w:eastAsia="es-ES_tradnl"/>
        </w:rPr>
        <w:t xml:space="preserve"> </w:t>
      </w:r>
      <w:r w:rsidR="00880330" w:rsidRPr="00516CC9">
        <w:rPr>
          <w:rFonts w:ascii="Palatino Linotype" w:eastAsia="Calibri" w:hAnsi="Palatino Linotype" w:cs="Tahoma"/>
          <w:iCs/>
          <w:sz w:val="22"/>
          <w:szCs w:val="22"/>
          <w:lang w:val="es-ES" w:eastAsia="es-ES_tradnl"/>
        </w:rPr>
        <w:t xml:space="preserve">con evidencia digitales o electrónicas se han expedido en materia de licencia de remodelación y/o construcción o bien de terminación de obra, detallando ubicación geográfica de los particulares solicitantes, expedidas por parte del </w:t>
      </w:r>
      <w:r w:rsidR="00880330" w:rsidRPr="00516CC9">
        <w:rPr>
          <w:rFonts w:ascii="Palatino Linotype" w:eastAsia="Calibri" w:hAnsi="Palatino Linotype" w:cs="Tahoma"/>
          <w:iCs/>
          <w:sz w:val="22"/>
          <w:szCs w:val="22"/>
          <w:lang w:val="es-ES" w:eastAsia="es-ES_tradnl"/>
        </w:rPr>
        <w:lastRenderedPageBreak/>
        <w:t>Ayuntamiento de Atizapán de Zaragoza del primero de enero al once de febrero de dos mil diecinueve.</w:t>
      </w:r>
    </w:p>
    <w:p w:rsidR="00CA02BB" w:rsidRPr="00516CC9" w:rsidRDefault="00CA02BB" w:rsidP="00516CC9">
      <w:pPr>
        <w:tabs>
          <w:tab w:val="left" w:pos="4962"/>
        </w:tabs>
        <w:spacing w:line="360" w:lineRule="auto"/>
        <w:jc w:val="both"/>
        <w:rPr>
          <w:rFonts w:ascii="Palatino Linotype" w:eastAsia="Calibri" w:hAnsi="Palatino Linotype" w:cs="Tahoma"/>
          <w:iCs/>
          <w:sz w:val="22"/>
          <w:szCs w:val="22"/>
          <w:lang w:val="es-ES" w:eastAsia="es-ES_tradnl"/>
        </w:rPr>
      </w:pPr>
    </w:p>
    <w:p w:rsidR="00D47A95" w:rsidRPr="00516CC9" w:rsidRDefault="00CA02BB" w:rsidP="00516CC9">
      <w:pPr>
        <w:tabs>
          <w:tab w:val="left" w:pos="4962"/>
        </w:tabs>
        <w:spacing w:line="360" w:lineRule="auto"/>
        <w:jc w:val="both"/>
        <w:rPr>
          <w:rFonts w:ascii="Palatino Linotype" w:eastAsia="Calibri" w:hAnsi="Palatino Linotype" w:cs="Tahoma"/>
          <w:iCs/>
          <w:sz w:val="22"/>
          <w:szCs w:val="22"/>
          <w:lang w:val="es-ES" w:eastAsia="es-ES_tradnl"/>
        </w:rPr>
      </w:pPr>
      <w:r w:rsidRPr="00516CC9">
        <w:rPr>
          <w:rFonts w:ascii="Palatino Linotype" w:eastAsia="Calibri" w:hAnsi="Palatino Linotype" w:cs="Tahoma"/>
          <w:iCs/>
          <w:sz w:val="22"/>
          <w:szCs w:val="22"/>
          <w:lang w:val="es-ES" w:eastAsia="es-ES_tradnl"/>
        </w:rPr>
        <w:t>E</w:t>
      </w:r>
      <w:r w:rsidR="00805DD4" w:rsidRPr="00516CC9">
        <w:rPr>
          <w:rFonts w:ascii="Palatino Linotype" w:eastAsia="Calibri" w:hAnsi="Palatino Linotype" w:cs="Tahoma"/>
          <w:iCs/>
          <w:sz w:val="22"/>
          <w:szCs w:val="22"/>
          <w:lang w:val="es-ES" w:eastAsia="es-ES_tradnl"/>
        </w:rPr>
        <w:t>l Sujeto Obligado en respuesta,</w:t>
      </w:r>
      <w:r w:rsidR="008A4950" w:rsidRPr="00516CC9">
        <w:rPr>
          <w:rFonts w:ascii="Palatino Linotype" w:eastAsia="Calibri" w:hAnsi="Palatino Linotype" w:cs="Tahoma"/>
          <w:iCs/>
          <w:sz w:val="22"/>
          <w:szCs w:val="22"/>
          <w:lang w:val="es-ES" w:eastAsia="es-ES_tradnl"/>
        </w:rPr>
        <w:t xml:space="preserve"> </w:t>
      </w:r>
      <w:r w:rsidRPr="00516CC9">
        <w:rPr>
          <w:rFonts w:ascii="Palatino Linotype" w:eastAsia="Calibri" w:hAnsi="Palatino Linotype" w:cs="Tahoma"/>
          <w:iCs/>
          <w:sz w:val="22"/>
          <w:szCs w:val="22"/>
          <w:lang w:val="es-ES" w:eastAsia="es-ES_tradnl"/>
        </w:rPr>
        <w:t xml:space="preserve">señaló una liga electrónica en donde el Particular podía consultar la información; situación por la cual el </w:t>
      </w:r>
      <w:r w:rsidR="00B25504" w:rsidRPr="00516CC9">
        <w:rPr>
          <w:rFonts w:ascii="Palatino Linotype" w:eastAsia="Calibri" w:hAnsi="Palatino Linotype" w:cs="Tahoma"/>
          <w:iCs/>
          <w:sz w:val="22"/>
          <w:szCs w:val="22"/>
          <w:lang w:val="es-ES" w:eastAsia="es-ES_tradnl"/>
        </w:rPr>
        <w:t xml:space="preserve">Recurrente </w:t>
      </w:r>
      <w:r w:rsidRPr="00516CC9">
        <w:rPr>
          <w:rFonts w:ascii="Palatino Linotype" w:eastAsia="Calibri" w:hAnsi="Palatino Linotype" w:cs="Tahoma"/>
          <w:iCs/>
          <w:sz w:val="22"/>
          <w:szCs w:val="22"/>
          <w:lang w:val="es-ES" w:eastAsia="es-ES_tradnl"/>
        </w:rPr>
        <w:t>se inconform</w:t>
      </w:r>
      <w:r w:rsidR="0012742D">
        <w:rPr>
          <w:rFonts w:ascii="Palatino Linotype" w:eastAsia="Calibri" w:hAnsi="Palatino Linotype" w:cs="Tahoma"/>
          <w:iCs/>
          <w:sz w:val="22"/>
          <w:szCs w:val="22"/>
          <w:lang w:val="es-ES" w:eastAsia="es-ES_tradnl"/>
        </w:rPr>
        <w:t>ó</w:t>
      </w:r>
      <w:r w:rsidRPr="00516CC9">
        <w:rPr>
          <w:rFonts w:ascii="Palatino Linotype" w:eastAsia="Calibri" w:hAnsi="Palatino Linotype" w:cs="Tahoma"/>
          <w:iCs/>
          <w:sz w:val="22"/>
          <w:szCs w:val="22"/>
          <w:lang w:val="es-ES" w:eastAsia="es-ES_tradnl"/>
        </w:rPr>
        <w:t xml:space="preserve"> ya que la liga proporcionada era inexistente.</w:t>
      </w:r>
      <w:r w:rsidR="00D47A95" w:rsidRPr="00516CC9">
        <w:rPr>
          <w:rFonts w:ascii="Palatino Linotype" w:eastAsia="Calibri" w:hAnsi="Palatino Linotype" w:cs="Tahoma"/>
          <w:iCs/>
          <w:sz w:val="22"/>
          <w:szCs w:val="22"/>
          <w:lang w:val="es-ES" w:eastAsia="es-ES_tradnl"/>
        </w:rPr>
        <w:t xml:space="preserve"> </w:t>
      </w:r>
    </w:p>
    <w:p w:rsidR="00D47A95" w:rsidRPr="00516CC9" w:rsidRDefault="00D47A95" w:rsidP="00516CC9">
      <w:pPr>
        <w:tabs>
          <w:tab w:val="left" w:pos="4962"/>
        </w:tabs>
        <w:spacing w:line="360" w:lineRule="auto"/>
        <w:jc w:val="both"/>
        <w:rPr>
          <w:rFonts w:ascii="Palatino Linotype" w:eastAsia="Calibri" w:hAnsi="Palatino Linotype" w:cs="Tahoma"/>
          <w:iCs/>
          <w:sz w:val="22"/>
          <w:szCs w:val="22"/>
          <w:lang w:val="es-ES" w:eastAsia="es-ES_tradnl"/>
        </w:rPr>
      </w:pPr>
    </w:p>
    <w:p w:rsidR="00D47A95" w:rsidRPr="00516CC9" w:rsidRDefault="00D47A95" w:rsidP="00516CC9">
      <w:pPr>
        <w:tabs>
          <w:tab w:val="left" w:pos="4962"/>
        </w:tabs>
        <w:spacing w:line="360" w:lineRule="auto"/>
        <w:jc w:val="both"/>
        <w:rPr>
          <w:rFonts w:ascii="Palatino Linotype" w:eastAsia="Calibri" w:hAnsi="Palatino Linotype" w:cs="Tahoma"/>
          <w:iCs/>
          <w:sz w:val="22"/>
          <w:szCs w:val="22"/>
          <w:lang w:val="es-ES" w:eastAsia="es-ES_tradnl"/>
        </w:rPr>
      </w:pPr>
      <w:r w:rsidRPr="00516CC9">
        <w:rPr>
          <w:rFonts w:ascii="Palatino Linotype" w:eastAsia="Calibri" w:hAnsi="Palatino Linotype" w:cs="Tahoma"/>
          <w:iCs/>
          <w:sz w:val="22"/>
          <w:szCs w:val="22"/>
          <w:lang w:val="es-ES" w:eastAsia="es-ES_tradnl"/>
        </w:rPr>
        <w:t xml:space="preserve">De tales circunstancias, en el presente caso, la inconformidad del </w:t>
      </w:r>
      <w:r w:rsidR="0058389F" w:rsidRPr="00516CC9">
        <w:rPr>
          <w:rFonts w:ascii="Palatino Linotype" w:eastAsia="Calibri" w:hAnsi="Palatino Linotype" w:cs="Tahoma"/>
          <w:iCs/>
          <w:sz w:val="22"/>
          <w:szCs w:val="22"/>
          <w:lang w:val="es-ES" w:eastAsia="es-ES_tradnl"/>
        </w:rPr>
        <w:t xml:space="preserve">Recurrente fue planteada en el sentido de que  </w:t>
      </w:r>
      <w:r w:rsidRPr="00516CC9">
        <w:rPr>
          <w:rFonts w:ascii="Palatino Linotype" w:eastAsia="Calibri" w:hAnsi="Palatino Linotype" w:cs="Tahoma"/>
          <w:iCs/>
          <w:sz w:val="22"/>
          <w:szCs w:val="22"/>
          <w:lang w:val="es-ES" w:eastAsia="es-ES_tradnl"/>
        </w:rPr>
        <w:t>la información que no corresponde con lo solicitado</w:t>
      </w:r>
      <w:r w:rsidR="0058389F" w:rsidRPr="00516CC9">
        <w:rPr>
          <w:rFonts w:ascii="Palatino Linotype" w:eastAsia="Calibri" w:hAnsi="Palatino Linotype" w:cs="Tahoma"/>
          <w:iCs/>
          <w:sz w:val="22"/>
          <w:szCs w:val="22"/>
          <w:lang w:val="es-ES" w:eastAsia="es-ES_tradnl"/>
        </w:rPr>
        <w:t>;</w:t>
      </w:r>
      <w:r w:rsidRPr="00516CC9">
        <w:rPr>
          <w:rFonts w:ascii="Palatino Linotype" w:eastAsia="Calibri" w:hAnsi="Palatino Linotype" w:cs="Tahoma"/>
          <w:iCs/>
          <w:sz w:val="22"/>
          <w:szCs w:val="22"/>
          <w:lang w:val="es-ES" w:eastAsia="es-ES_tradnl"/>
        </w:rPr>
        <w:t xml:space="preserve"> lo cual constituye una causal de procedencia del </w:t>
      </w:r>
      <w:r w:rsidR="0021653D" w:rsidRPr="00516CC9">
        <w:rPr>
          <w:rFonts w:ascii="Palatino Linotype" w:eastAsia="Calibri" w:hAnsi="Palatino Linotype" w:cs="Tahoma"/>
          <w:iCs/>
          <w:sz w:val="22"/>
          <w:szCs w:val="22"/>
          <w:lang w:val="es-ES" w:eastAsia="es-ES_tradnl"/>
        </w:rPr>
        <w:t xml:space="preserve">Recurso </w:t>
      </w:r>
      <w:r w:rsidRPr="00516CC9">
        <w:rPr>
          <w:rFonts w:ascii="Palatino Linotype" w:eastAsia="Calibri" w:hAnsi="Palatino Linotype" w:cs="Tahoma"/>
          <w:iCs/>
          <w:sz w:val="22"/>
          <w:szCs w:val="22"/>
          <w:lang w:val="es-ES" w:eastAsia="es-ES_tradnl"/>
        </w:rPr>
        <w:t>de revisión en términos de los previsto por el artículo 179, fracción VI, de la Ley Transparencia y Acceso a la Información Pública del Estado de México y Municipios.</w:t>
      </w:r>
    </w:p>
    <w:p w:rsidR="00D47A95" w:rsidRPr="00516CC9" w:rsidRDefault="00D47A95" w:rsidP="00516CC9">
      <w:pPr>
        <w:tabs>
          <w:tab w:val="left" w:pos="4962"/>
        </w:tabs>
        <w:spacing w:line="360" w:lineRule="auto"/>
        <w:jc w:val="both"/>
        <w:rPr>
          <w:rFonts w:ascii="Palatino Linotype" w:eastAsia="Calibri" w:hAnsi="Palatino Linotype" w:cs="Tahoma"/>
          <w:iCs/>
          <w:sz w:val="22"/>
          <w:szCs w:val="22"/>
          <w:lang w:val="es-ES" w:eastAsia="es-ES_tradnl"/>
        </w:rPr>
      </w:pPr>
      <w:r w:rsidRPr="00516CC9">
        <w:rPr>
          <w:rFonts w:ascii="Palatino Linotype" w:eastAsia="Calibri" w:hAnsi="Palatino Linotype" w:cs="Tahoma"/>
          <w:iCs/>
          <w:sz w:val="22"/>
          <w:szCs w:val="22"/>
          <w:lang w:val="es-ES" w:eastAsia="es-ES_tradnl"/>
        </w:rPr>
        <w:t xml:space="preserve"> </w:t>
      </w:r>
    </w:p>
    <w:p w:rsidR="00D47A95" w:rsidRPr="00516CC9" w:rsidRDefault="00D47A95" w:rsidP="00516CC9">
      <w:pPr>
        <w:tabs>
          <w:tab w:val="left" w:pos="4962"/>
        </w:tabs>
        <w:spacing w:line="360" w:lineRule="auto"/>
        <w:jc w:val="both"/>
        <w:rPr>
          <w:rFonts w:ascii="Palatino Linotype" w:eastAsia="Calibri" w:hAnsi="Palatino Linotype" w:cs="Tahoma"/>
          <w:iCs/>
          <w:sz w:val="22"/>
          <w:szCs w:val="22"/>
          <w:lang w:val="es-ES" w:eastAsia="es-ES_tradnl"/>
        </w:rPr>
      </w:pPr>
      <w:r w:rsidRPr="00516CC9">
        <w:rPr>
          <w:rFonts w:ascii="Palatino Linotype" w:eastAsia="Calibri" w:hAnsi="Palatino Linotype" w:cs="Tahoma"/>
          <w:iCs/>
          <w:sz w:val="22"/>
          <w:szCs w:val="22"/>
          <w:lang w:val="es-ES" w:eastAsia="es-ES_tradnl"/>
        </w:rPr>
        <w:t xml:space="preserve">Aclarado lo anterior, lo consecuente es analizar la legalidad de la respuesta emitida por el Ayuntamiento de </w:t>
      </w:r>
      <w:r w:rsidR="00B571CD" w:rsidRPr="00516CC9">
        <w:rPr>
          <w:rFonts w:ascii="Palatino Linotype" w:eastAsia="Calibri" w:hAnsi="Palatino Linotype" w:cs="Tahoma"/>
          <w:iCs/>
          <w:sz w:val="22"/>
          <w:szCs w:val="22"/>
          <w:lang w:val="es-ES" w:eastAsia="es-ES_tradnl"/>
        </w:rPr>
        <w:t xml:space="preserve">Atizapán de Zaragoza </w:t>
      </w:r>
      <w:r w:rsidRPr="00516CC9">
        <w:rPr>
          <w:rFonts w:ascii="Palatino Linotype" w:eastAsia="Calibri" w:hAnsi="Palatino Linotype" w:cs="Tahoma"/>
          <w:iCs/>
          <w:sz w:val="22"/>
          <w:szCs w:val="22"/>
          <w:lang w:val="es-ES" w:eastAsia="es-ES_tradnl"/>
        </w:rPr>
        <w:t xml:space="preserve">a la luz de los agravios manifestados por el ahora </w:t>
      </w:r>
      <w:r w:rsidR="00B571CD" w:rsidRPr="00516CC9">
        <w:rPr>
          <w:rFonts w:ascii="Palatino Linotype" w:eastAsia="Calibri" w:hAnsi="Palatino Linotype" w:cs="Tahoma"/>
          <w:iCs/>
          <w:sz w:val="22"/>
          <w:szCs w:val="22"/>
          <w:lang w:val="es-ES" w:eastAsia="es-ES_tradnl"/>
        </w:rPr>
        <w:t>Recurrente</w:t>
      </w:r>
      <w:r w:rsidRPr="00516CC9">
        <w:rPr>
          <w:rFonts w:ascii="Palatino Linotype" w:eastAsia="Calibri" w:hAnsi="Palatino Linotype" w:cs="Tahoma"/>
          <w:iCs/>
          <w:sz w:val="22"/>
          <w:szCs w:val="22"/>
          <w:lang w:val="es-ES" w:eastAsia="es-ES_tradnl"/>
        </w:rPr>
        <w:t>, de conformidad con lo dispuesto por la Ley de Transparencia y Acceso a la Información Pública del Estado de México y Municipios, y demás disposiciones legales aplicables a la materia que se resuelve.</w:t>
      </w:r>
    </w:p>
    <w:p w:rsidR="00D47A95" w:rsidRPr="00516CC9" w:rsidRDefault="00D47A95" w:rsidP="00516CC9">
      <w:pPr>
        <w:spacing w:line="360" w:lineRule="auto"/>
        <w:ind w:right="-93"/>
        <w:jc w:val="both"/>
        <w:rPr>
          <w:rFonts w:ascii="Palatino Linotype" w:hAnsi="Palatino Linotype" w:cs="Tahoma"/>
          <w:b/>
          <w:sz w:val="22"/>
          <w:szCs w:val="22"/>
          <w:lang w:val="es-ES"/>
        </w:rPr>
      </w:pPr>
    </w:p>
    <w:p w:rsidR="00B37CF8" w:rsidRPr="00516CC9" w:rsidRDefault="00B37CF8" w:rsidP="00516CC9">
      <w:pPr>
        <w:spacing w:line="360" w:lineRule="auto"/>
        <w:ind w:right="-93"/>
        <w:jc w:val="both"/>
        <w:rPr>
          <w:rFonts w:ascii="Palatino Linotype" w:hAnsi="Palatino Linotype" w:cs="Tahoma"/>
          <w:b/>
          <w:sz w:val="22"/>
          <w:szCs w:val="22"/>
        </w:rPr>
      </w:pPr>
      <w:r w:rsidRPr="00516CC9">
        <w:rPr>
          <w:rFonts w:ascii="Palatino Linotype" w:hAnsi="Palatino Linotype" w:cs="Tahoma"/>
          <w:b/>
          <w:sz w:val="22"/>
          <w:szCs w:val="22"/>
          <w:lang w:val="es-ES"/>
        </w:rPr>
        <w:t xml:space="preserve">CUARTO. </w:t>
      </w:r>
      <w:r w:rsidRPr="00516CC9">
        <w:rPr>
          <w:rFonts w:ascii="Palatino Linotype" w:hAnsi="Palatino Linotype" w:cs="Tahoma"/>
          <w:b/>
          <w:sz w:val="22"/>
          <w:szCs w:val="22"/>
        </w:rPr>
        <w:t>Marco normativo aplicable en materia de transparencia y acceso a la información pública.</w:t>
      </w:r>
    </w:p>
    <w:p w:rsidR="00B37CF8" w:rsidRPr="00516CC9" w:rsidRDefault="00B37CF8" w:rsidP="00516CC9">
      <w:pPr>
        <w:spacing w:line="360" w:lineRule="auto"/>
        <w:ind w:right="-93"/>
        <w:jc w:val="both"/>
        <w:rPr>
          <w:rFonts w:ascii="Palatino Linotype" w:hAnsi="Palatino Linotype" w:cs="Tahoma"/>
          <w:b/>
          <w:sz w:val="22"/>
          <w:szCs w:val="22"/>
        </w:rPr>
      </w:pPr>
    </w:p>
    <w:p w:rsidR="004B6A23" w:rsidRPr="00516CC9" w:rsidRDefault="00B37CF8" w:rsidP="00516CC9">
      <w:pPr>
        <w:spacing w:line="360" w:lineRule="auto"/>
        <w:contextualSpacing/>
        <w:jc w:val="both"/>
        <w:rPr>
          <w:rFonts w:ascii="Palatino Linotype" w:hAnsi="Palatino Linotype" w:cs="Tahoma"/>
          <w:sz w:val="22"/>
          <w:szCs w:val="22"/>
        </w:rPr>
      </w:pPr>
      <w:r w:rsidRPr="00516CC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r w:rsidR="004B6A23" w:rsidRPr="00516CC9">
        <w:rPr>
          <w:rFonts w:ascii="Palatino Linotype" w:hAnsi="Palatino Linotype" w:cs="Tahoma"/>
          <w:sz w:val="22"/>
          <w:szCs w:val="22"/>
        </w:rPr>
        <w:t xml:space="preserve"> </w:t>
      </w:r>
    </w:p>
    <w:p w:rsidR="004B6A23" w:rsidRPr="00516CC9" w:rsidRDefault="004B6A23" w:rsidP="00516CC9">
      <w:pPr>
        <w:spacing w:line="360" w:lineRule="auto"/>
        <w:contextualSpacing/>
        <w:jc w:val="both"/>
        <w:rPr>
          <w:rFonts w:ascii="Palatino Linotype" w:hAnsi="Palatino Linotype" w:cs="Tahoma"/>
          <w:sz w:val="22"/>
          <w:szCs w:val="22"/>
        </w:rPr>
      </w:pPr>
    </w:p>
    <w:p w:rsidR="00B37CF8" w:rsidRPr="00516CC9" w:rsidRDefault="00B37CF8" w:rsidP="00516CC9">
      <w:pPr>
        <w:spacing w:line="360" w:lineRule="auto"/>
        <w:contextualSpacing/>
        <w:jc w:val="both"/>
        <w:rPr>
          <w:rFonts w:ascii="Palatino Linotype" w:hAnsi="Palatino Linotype" w:cs="Tahoma"/>
          <w:sz w:val="22"/>
          <w:szCs w:val="22"/>
        </w:rPr>
      </w:pPr>
      <w:r w:rsidRPr="00516CC9">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B37CF8" w:rsidRPr="00516CC9" w:rsidRDefault="00B37CF8" w:rsidP="00516CC9">
      <w:pPr>
        <w:spacing w:line="360" w:lineRule="auto"/>
        <w:jc w:val="both"/>
        <w:rPr>
          <w:rFonts w:ascii="Palatino Linotype" w:hAnsi="Palatino Linotype" w:cs="Tahoma"/>
          <w:sz w:val="22"/>
          <w:szCs w:val="22"/>
        </w:rPr>
      </w:pPr>
    </w:p>
    <w:p w:rsidR="00B37CF8" w:rsidRPr="00516CC9" w:rsidRDefault="00B37CF8" w:rsidP="00516CC9">
      <w:pPr>
        <w:spacing w:line="360" w:lineRule="auto"/>
        <w:jc w:val="both"/>
        <w:rPr>
          <w:rFonts w:ascii="Palatino Linotype" w:hAnsi="Palatino Linotype" w:cs="Tahoma"/>
          <w:sz w:val="22"/>
          <w:szCs w:val="22"/>
        </w:rPr>
      </w:pPr>
      <w:r w:rsidRPr="00516CC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516CC9">
        <w:rPr>
          <w:rFonts w:ascii="Palatino Linotype" w:hAnsi="Palatino Linotype" w:cs="Tahoma"/>
          <w:sz w:val="22"/>
          <w:szCs w:val="22"/>
        </w:rPr>
        <w:t>Obligado</w:t>
      </w:r>
      <w:r w:rsidRPr="00516CC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rsidR="00B37CF8" w:rsidRPr="00516CC9" w:rsidRDefault="00B37CF8" w:rsidP="00516CC9">
      <w:pPr>
        <w:spacing w:line="360" w:lineRule="auto"/>
        <w:jc w:val="both"/>
        <w:rPr>
          <w:rFonts w:ascii="Palatino Linotype" w:hAnsi="Palatino Linotype" w:cs="Tahoma"/>
          <w:sz w:val="22"/>
          <w:szCs w:val="22"/>
        </w:rPr>
      </w:pPr>
    </w:p>
    <w:p w:rsidR="00B37CF8" w:rsidRPr="00516CC9" w:rsidRDefault="00B37CF8" w:rsidP="00516CC9">
      <w:pPr>
        <w:spacing w:line="360" w:lineRule="auto"/>
        <w:jc w:val="both"/>
        <w:rPr>
          <w:rFonts w:ascii="Palatino Linotype" w:hAnsi="Palatino Linotype" w:cs="Tahoma"/>
          <w:sz w:val="22"/>
          <w:szCs w:val="22"/>
        </w:rPr>
      </w:pPr>
      <w:r w:rsidRPr="00516CC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B37CF8" w:rsidRPr="00516CC9" w:rsidRDefault="00B37CF8" w:rsidP="00516CC9">
      <w:pPr>
        <w:spacing w:line="360" w:lineRule="auto"/>
        <w:jc w:val="both"/>
        <w:rPr>
          <w:rFonts w:ascii="Palatino Linotype" w:hAnsi="Palatino Linotype" w:cs="Tahoma"/>
          <w:sz w:val="22"/>
          <w:szCs w:val="22"/>
        </w:rPr>
      </w:pPr>
    </w:p>
    <w:p w:rsidR="00B37CF8" w:rsidRPr="00516CC9" w:rsidRDefault="00B37CF8" w:rsidP="00516CC9">
      <w:pPr>
        <w:spacing w:line="360" w:lineRule="auto"/>
        <w:jc w:val="both"/>
        <w:rPr>
          <w:rFonts w:ascii="Palatino Linotype" w:hAnsi="Palatino Linotype" w:cs="Tahoma"/>
          <w:sz w:val="22"/>
          <w:szCs w:val="22"/>
        </w:rPr>
      </w:pPr>
      <w:r w:rsidRPr="00516CC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B37CF8" w:rsidRPr="00516CC9" w:rsidRDefault="00B37CF8" w:rsidP="00516CC9">
      <w:pPr>
        <w:spacing w:line="360" w:lineRule="auto"/>
        <w:jc w:val="both"/>
        <w:rPr>
          <w:rFonts w:ascii="Palatino Linotype" w:hAnsi="Palatino Linotype" w:cs="Tahoma"/>
          <w:sz w:val="22"/>
          <w:szCs w:val="22"/>
        </w:rPr>
      </w:pPr>
    </w:p>
    <w:p w:rsidR="00B37CF8" w:rsidRPr="00516CC9" w:rsidRDefault="00B37CF8" w:rsidP="00516CC9">
      <w:pPr>
        <w:spacing w:line="360" w:lineRule="auto"/>
        <w:jc w:val="both"/>
        <w:rPr>
          <w:rFonts w:ascii="Palatino Linotype" w:hAnsi="Palatino Linotype" w:cs="Tahoma"/>
          <w:sz w:val="22"/>
          <w:szCs w:val="22"/>
        </w:rPr>
      </w:pPr>
      <w:r w:rsidRPr="00516CC9">
        <w:rPr>
          <w:rFonts w:ascii="Palatino Linotype" w:hAnsi="Palatino Linotype" w:cs="Tahoma"/>
          <w:sz w:val="22"/>
          <w:szCs w:val="22"/>
        </w:rPr>
        <w:t>El artículo 12, que, quienes generen, recopilen, administren, manejen, procesen, archiven o conserven información pública serán responsables de la misma.</w:t>
      </w:r>
    </w:p>
    <w:p w:rsidR="00B37CF8" w:rsidRPr="00516CC9" w:rsidRDefault="00B37CF8" w:rsidP="00516CC9">
      <w:pPr>
        <w:spacing w:line="360" w:lineRule="auto"/>
        <w:jc w:val="both"/>
        <w:rPr>
          <w:rFonts w:ascii="Palatino Linotype" w:hAnsi="Palatino Linotype" w:cs="Tahoma"/>
          <w:sz w:val="22"/>
          <w:szCs w:val="22"/>
        </w:rPr>
      </w:pPr>
    </w:p>
    <w:p w:rsidR="00B37CF8" w:rsidRPr="00516CC9" w:rsidRDefault="00B37CF8" w:rsidP="00516CC9">
      <w:pPr>
        <w:spacing w:line="360" w:lineRule="auto"/>
        <w:jc w:val="both"/>
        <w:rPr>
          <w:rFonts w:ascii="Palatino Linotype" w:hAnsi="Palatino Linotype" w:cs="Tahoma"/>
          <w:sz w:val="22"/>
          <w:szCs w:val="22"/>
        </w:rPr>
      </w:pPr>
      <w:r w:rsidRPr="00516CC9">
        <w:rPr>
          <w:rFonts w:ascii="Palatino Linotype" w:hAnsi="Palatino Linotype" w:cs="Tahoma"/>
          <w:sz w:val="22"/>
          <w:szCs w:val="22"/>
        </w:rPr>
        <w:t xml:space="preserve">El artículo 18, que, los Sujetos </w:t>
      </w:r>
      <w:r w:rsidR="00956793" w:rsidRPr="00516CC9">
        <w:rPr>
          <w:rFonts w:ascii="Palatino Linotype" w:hAnsi="Palatino Linotype" w:cs="Tahoma"/>
          <w:sz w:val="22"/>
          <w:szCs w:val="22"/>
        </w:rPr>
        <w:t>Obligado</w:t>
      </w:r>
      <w:r w:rsidRPr="00516CC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rsidR="004B6A23" w:rsidRPr="00516CC9" w:rsidRDefault="004B6A23" w:rsidP="00516CC9">
      <w:pPr>
        <w:spacing w:line="360" w:lineRule="auto"/>
        <w:jc w:val="both"/>
        <w:rPr>
          <w:rFonts w:ascii="Palatino Linotype" w:hAnsi="Palatino Linotype" w:cs="Tahoma"/>
          <w:sz w:val="22"/>
          <w:szCs w:val="22"/>
        </w:rPr>
      </w:pPr>
    </w:p>
    <w:p w:rsidR="00B37CF8" w:rsidRPr="00516CC9" w:rsidRDefault="00B37CF8" w:rsidP="00516CC9">
      <w:pPr>
        <w:spacing w:line="360" w:lineRule="auto"/>
        <w:jc w:val="both"/>
        <w:rPr>
          <w:rFonts w:ascii="Palatino Linotype" w:hAnsi="Palatino Linotype" w:cs="Tahoma"/>
          <w:sz w:val="22"/>
          <w:szCs w:val="22"/>
        </w:rPr>
      </w:pPr>
      <w:r w:rsidRPr="00516CC9">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516CC9">
        <w:rPr>
          <w:rFonts w:ascii="Palatino Linotype" w:hAnsi="Palatino Linotype" w:cs="Tahoma"/>
          <w:sz w:val="22"/>
          <w:szCs w:val="22"/>
        </w:rPr>
        <w:t>Obligado</w:t>
      </w:r>
      <w:r w:rsidRPr="00516CC9">
        <w:rPr>
          <w:rFonts w:ascii="Palatino Linotype" w:hAnsi="Palatino Linotype" w:cs="Tahoma"/>
          <w:sz w:val="22"/>
          <w:szCs w:val="22"/>
        </w:rPr>
        <w:t>s y en caso de que dichas facultades no se hayan ejercido, se deberá motivar la respuesta en función de las causas que motivaron tal circunstancia.</w:t>
      </w:r>
    </w:p>
    <w:p w:rsidR="00B37CF8" w:rsidRPr="00516CC9" w:rsidRDefault="00B37CF8" w:rsidP="00516CC9">
      <w:pPr>
        <w:spacing w:line="360" w:lineRule="auto"/>
        <w:jc w:val="both"/>
        <w:rPr>
          <w:rFonts w:ascii="Palatino Linotype" w:hAnsi="Palatino Linotype" w:cs="Tahoma"/>
          <w:sz w:val="22"/>
          <w:szCs w:val="22"/>
        </w:rPr>
      </w:pPr>
    </w:p>
    <w:p w:rsidR="00CA02BB" w:rsidRPr="00516CC9" w:rsidRDefault="00CA02BB" w:rsidP="00516CC9">
      <w:pPr>
        <w:spacing w:line="360" w:lineRule="auto"/>
        <w:jc w:val="both"/>
        <w:rPr>
          <w:rFonts w:ascii="Palatino Linotype" w:eastAsia="Calibri" w:hAnsi="Palatino Linotype" w:cs="Tahoma"/>
          <w:sz w:val="22"/>
          <w:szCs w:val="22"/>
          <w:lang w:val="es-ES" w:eastAsia="es-ES_tradnl"/>
        </w:rPr>
      </w:pPr>
      <w:r w:rsidRPr="00516CC9">
        <w:rPr>
          <w:rFonts w:ascii="Palatino Linotype" w:eastAsia="Calibri" w:hAnsi="Palatino Linotype" w:cs="Tahoma"/>
          <w:sz w:val="22"/>
          <w:szCs w:val="22"/>
          <w:lang w:val="es-ES" w:eastAsia="es-ES_tradnl"/>
        </w:rPr>
        <w:t xml:space="preserve">El </w:t>
      </w:r>
      <w:r w:rsidRPr="00516CC9">
        <w:rPr>
          <w:rFonts w:ascii="Palatino Linotype" w:eastAsia="Calibri" w:hAnsi="Palatino Linotype" w:cs="Tahoma"/>
          <w:b/>
          <w:sz w:val="22"/>
          <w:szCs w:val="22"/>
          <w:lang w:val="es-ES" w:eastAsia="es-ES_tradnl"/>
        </w:rPr>
        <w:t>artículo 94, fracción I</w:t>
      </w:r>
      <w:r w:rsidR="006C70C0" w:rsidRPr="00516CC9">
        <w:rPr>
          <w:rFonts w:ascii="Palatino Linotype" w:eastAsia="Calibri" w:hAnsi="Palatino Linotype" w:cs="Tahoma"/>
          <w:b/>
          <w:sz w:val="22"/>
          <w:szCs w:val="22"/>
          <w:lang w:val="es-ES" w:eastAsia="es-ES_tradnl"/>
        </w:rPr>
        <w:t>,</w:t>
      </w:r>
      <w:r w:rsidRPr="00516CC9">
        <w:rPr>
          <w:rFonts w:ascii="Palatino Linotype" w:eastAsia="Calibri" w:hAnsi="Palatino Linotype" w:cs="Tahoma"/>
          <w:b/>
          <w:sz w:val="22"/>
          <w:szCs w:val="22"/>
          <w:lang w:val="es-ES" w:eastAsia="es-ES_tradnl"/>
        </w:rPr>
        <w:t xml:space="preserve"> inciso f)</w:t>
      </w:r>
      <w:r w:rsidRPr="00516CC9">
        <w:rPr>
          <w:rFonts w:ascii="Palatino Linotype" w:eastAsia="Calibri" w:hAnsi="Palatino Linotype" w:cs="Tahoma"/>
          <w:sz w:val="22"/>
          <w:szCs w:val="22"/>
          <w:lang w:val="es-ES" w:eastAsia="es-ES_tradnl"/>
        </w:rPr>
        <w:t>, que, la información detallada que contengan los planes de desarrollo urbano, ordenamiento territorial y ecológico, los tipos y usos de suelo, licencias de uso y construcción otorgadas por los gobiernos municipales.</w:t>
      </w:r>
    </w:p>
    <w:p w:rsidR="00CA02BB" w:rsidRPr="00516CC9" w:rsidRDefault="00CA02BB" w:rsidP="00516CC9">
      <w:pPr>
        <w:spacing w:line="360" w:lineRule="auto"/>
        <w:jc w:val="both"/>
        <w:rPr>
          <w:rFonts w:ascii="Palatino Linotype" w:hAnsi="Palatino Linotype" w:cs="Tahoma"/>
          <w:sz w:val="22"/>
          <w:szCs w:val="22"/>
        </w:rPr>
      </w:pPr>
    </w:p>
    <w:p w:rsidR="00237D0D" w:rsidRPr="00516CC9" w:rsidRDefault="00B37CF8" w:rsidP="00516CC9">
      <w:pPr>
        <w:spacing w:line="360" w:lineRule="auto"/>
        <w:ind w:right="-93"/>
        <w:jc w:val="both"/>
        <w:rPr>
          <w:rFonts w:ascii="Palatino Linotype" w:hAnsi="Palatino Linotype" w:cs="Tahoma"/>
          <w:b/>
          <w:sz w:val="22"/>
          <w:szCs w:val="22"/>
          <w:lang w:val="es-ES"/>
        </w:rPr>
      </w:pPr>
      <w:r w:rsidRPr="00516CC9">
        <w:rPr>
          <w:rFonts w:ascii="Palatino Linotype" w:hAnsi="Palatino Linotype" w:cs="Tahoma"/>
          <w:b/>
          <w:sz w:val="22"/>
          <w:szCs w:val="22"/>
          <w:lang w:val="es-ES"/>
        </w:rPr>
        <w:t>QUINTO</w:t>
      </w:r>
      <w:r w:rsidR="009617D3" w:rsidRPr="00516CC9">
        <w:rPr>
          <w:rFonts w:ascii="Palatino Linotype" w:hAnsi="Palatino Linotype" w:cs="Tahoma"/>
          <w:b/>
          <w:sz w:val="22"/>
          <w:szCs w:val="22"/>
          <w:lang w:val="es-ES"/>
        </w:rPr>
        <w:t>. Estudio de Fondo.</w:t>
      </w:r>
    </w:p>
    <w:p w:rsidR="00703B8D" w:rsidRPr="00516CC9" w:rsidRDefault="00703B8D" w:rsidP="00516CC9">
      <w:pPr>
        <w:spacing w:line="360" w:lineRule="auto"/>
        <w:ind w:right="-93"/>
        <w:jc w:val="both"/>
        <w:rPr>
          <w:rFonts w:ascii="Palatino Linotype" w:hAnsi="Palatino Linotype" w:cs="Tahoma"/>
          <w:b/>
          <w:sz w:val="22"/>
          <w:szCs w:val="22"/>
          <w:lang w:val="es-ES"/>
        </w:rPr>
      </w:pPr>
    </w:p>
    <w:p w:rsidR="00D47A95" w:rsidRPr="00516CC9" w:rsidRDefault="00D47A95" w:rsidP="00516CC9">
      <w:pPr>
        <w:spacing w:line="360" w:lineRule="auto"/>
        <w:ind w:right="-93"/>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Expuesta la controversia, se procede al análisis del agravio hecho valer por el ahora Recurrente, concerniente a la respuesta del Ayuntamiento de Atizapán de Zaragoza al requerimiento informativo.</w:t>
      </w:r>
    </w:p>
    <w:p w:rsidR="00D47A95" w:rsidRPr="00516CC9" w:rsidRDefault="00D47A95" w:rsidP="00516CC9">
      <w:pPr>
        <w:spacing w:line="360" w:lineRule="auto"/>
        <w:ind w:right="-93"/>
        <w:jc w:val="both"/>
        <w:rPr>
          <w:rFonts w:ascii="Palatino Linotype" w:eastAsia="Calibri" w:hAnsi="Palatino Linotype" w:cs="Tahoma"/>
          <w:bCs/>
          <w:sz w:val="22"/>
          <w:szCs w:val="22"/>
          <w:lang w:eastAsia="en-US"/>
        </w:rPr>
      </w:pPr>
    </w:p>
    <w:p w:rsidR="00D47A95" w:rsidRPr="00516CC9" w:rsidRDefault="00D47A95" w:rsidP="00516CC9">
      <w:pPr>
        <w:spacing w:line="360" w:lineRule="auto"/>
        <w:ind w:right="-93"/>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00D47A95" w:rsidRPr="00516CC9" w:rsidRDefault="00D47A95" w:rsidP="00516CC9">
      <w:pPr>
        <w:spacing w:line="360" w:lineRule="auto"/>
        <w:ind w:right="-93"/>
        <w:jc w:val="both"/>
        <w:rPr>
          <w:rFonts w:ascii="Palatino Linotype" w:eastAsia="Calibri" w:hAnsi="Palatino Linotype" w:cs="Tahoma"/>
          <w:bCs/>
          <w:sz w:val="22"/>
          <w:szCs w:val="22"/>
          <w:lang w:eastAsia="en-US"/>
        </w:rPr>
      </w:pPr>
    </w:p>
    <w:p w:rsidR="00D47A95" w:rsidRPr="00516CC9" w:rsidRDefault="00D47A95" w:rsidP="00516CC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16CC9">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rsidR="00D47A95" w:rsidRPr="00516CC9" w:rsidRDefault="00D47A95" w:rsidP="00516CC9">
      <w:pPr>
        <w:spacing w:line="360" w:lineRule="auto"/>
        <w:ind w:left="360" w:right="-93"/>
        <w:jc w:val="both"/>
        <w:rPr>
          <w:rFonts w:ascii="Palatino Linotype" w:eastAsia="Calibri" w:hAnsi="Palatino Linotype" w:cs="Tahoma"/>
          <w:bCs/>
          <w:sz w:val="22"/>
          <w:szCs w:val="22"/>
          <w:lang w:eastAsia="en-US"/>
        </w:rPr>
      </w:pPr>
    </w:p>
    <w:p w:rsidR="00D47A95" w:rsidRPr="00516CC9" w:rsidRDefault="00D47A95" w:rsidP="00516CC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16CC9">
        <w:rPr>
          <w:rFonts w:ascii="Palatino Linotype" w:eastAsia="Calibri" w:hAnsi="Palatino Linotype" w:cs="Tahoma"/>
          <w:bCs/>
          <w:szCs w:val="22"/>
          <w:lang w:eastAsia="en-US"/>
        </w:rPr>
        <w:t>Transparentar la gestión pública, mediante la difusión de la información generada por los Sujetos Obligados, y</w:t>
      </w:r>
    </w:p>
    <w:p w:rsidR="00D47A95" w:rsidRPr="00516CC9" w:rsidRDefault="00D47A95" w:rsidP="00516CC9">
      <w:pPr>
        <w:pStyle w:val="Prrafodelista"/>
        <w:spacing w:line="360" w:lineRule="auto"/>
        <w:rPr>
          <w:rFonts w:ascii="Palatino Linotype" w:eastAsia="Calibri" w:hAnsi="Palatino Linotype" w:cs="Tahoma"/>
          <w:bCs/>
          <w:szCs w:val="22"/>
          <w:lang w:eastAsia="en-US"/>
        </w:rPr>
      </w:pPr>
    </w:p>
    <w:p w:rsidR="00D47A95" w:rsidRPr="00516CC9" w:rsidRDefault="00D47A95" w:rsidP="00516CC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16CC9">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rsidR="00D47A95" w:rsidRPr="00516CC9" w:rsidRDefault="00D47A95" w:rsidP="00516CC9">
      <w:pPr>
        <w:spacing w:line="360" w:lineRule="auto"/>
        <w:ind w:right="-93"/>
        <w:jc w:val="both"/>
        <w:rPr>
          <w:rFonts w:ascii="Palatino Linotype" w:eastAsia="Calibri" w:hAnsi="Palatino Linotype" w:cs="Tahoma"/>
          <w:bCs/>
          <w:sz w:val="22"/>
          <w:szCs w:val="22"/>
          <w:lang w:eastAsia="en-US"/>
        </w:rPr>
      </w:pPr>
    </w:p>
    <w:p w:rsidR="00D47A95" w:rsidRPr="00516CC9" w:rsidRDefault="00D47A95" w:rsidP="00516CC9">
      <w:pPr>
        <w:spacing w:line="360" w:lineRule="auto"/>
        <w:ind w:right="-93"/>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 xml:space="preserve">Conforme a lo anterior, se deprende que </w:t>
      </w:r>
      <w:r w:rsidRPr="00516CC9">
        <w:rPr>
          <w:rFonts w:ascii="Palatino Linotype" w:eastAsia="Calibri" w:hAnsi="Palatino Linotype" w:cs="Tahoma"/>
          <w:b/>
          <w:bCs/>
          <w:sz w:val="22"/>
          <w:szCs w:val="22"/>
          <w:lang w:eastAsia="en-US"/>
        </w:rPr>
        <w:t>los objetivos de la Ley de la materia,</w:t>
      </w:r>
      <w:r w:rsidRPr="00516CC9">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00D47A95" w:rsidRPr="00516CC9" w:rsidRDefault="00D47A95" w:rsidP="00516CC9">
      <w:pPr>
        <w:spacing w:line="360" w:lineRule="auto"/>
        <w:ind w:right="-93"/>
        <w:jc w:val="both"/>
        <w:rPr>
          <w:rFonts w:ascii="Palatino Linotype" w:eastAsia="Calibri" w:hAnsi="Palatino Linotype" w:cs="Tahoma"/>
          <w:bCs/>
          <w:sz w:val="22"/>
          <w:szCs w:val="22"/>
          <w:lang w:eastAsia="en-US"/>
        </w:rPr>
      </w:pPr>
    </w:p>
    <w:p w:rsidR="00D47A95" w:rsidRPr="00516CC9" w:rsidRDefault="00D47A95" w:rsidP="00516CC9">
      <w:pPr>
        <w:spacing w:line="360" w:lineRule="auto"/>
        <w:ind w:right="-93"/>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516CC9">
        <w:rPr>
          <w:rFonts w:ascii="Palatino Linotype" w:eastAsia="Calibri" w:hAnsi="Palatino Linotype" w:cs="Tahoma"/>
          <w:b/>
          <w:bCs/>
          <w:sz w:val="22"/>
          <w:szCs w:val="22"/>
          <w:lang w:eastAsia="en-US"/>
        </w:rPr>
        <w:t>principio de máxima publicidad</w:t>
      </w:r>
      <w:r w:rsidRPr="00516CC9">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D47A95" w:rsidRPr="00516CC9" w:rsidRDefault="00D47A95" w:rsidP="00516CC9">
      <w:pPr>
        <w:spacing w:line="360" w:lineRule="auto"/>
        <w:ind w:right="-93"/>
        <w:jc w:val="both"/>
        <w:rPr>
          <w:rFonts w:ascii="Palatino Linotype" w:eastAsia="Calibri" w:hAnsi="Palatino Linotype" w:cs="Tahoma"/>
          <w:bCs/>
          <w:sz w:val="22"/>
          <w:szCs w:val="22"/>
          <w:lang w:eastAsia="en-US"/>
        </w:rPr>
      </w:pPr>
    </w:p>
    <w:p w:rsidR="00D47A95" w:rsidRPr="00516CC9" w:rsidRDefault="00D47A95" w:rsidP="00516CC9">
      <w:pPr>
        <w:spacing w:line="360" w:lineRule="auto"/>
        <w:ind w:right="-93"/>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D47A95" w:rsidRPr="00516CC9" w:rsidRDefault="00D47A95" w:rsidP="00516CC9">
      <w:pPr>
        <w:spacing w:line="360" w:lineRule="auto"/>
        <w:ind w:right="-93"/>
        <w:jc w:val="both"/>
        <w:rPr>
          <w:rFonts w:ascii="Palatino Linotype" w:eastAsia="Calibri" w:hAnsi="Palatino Linotype" w:cs="Tahoma"/>
          <w:bCs/>
          <w:sz w:val="22"/>
          <w:szCs w:val="22"/>
          <w:lang w:eastAsia="en-US"/>
        </w:rPr>
      </w:pPr>
    </w:p>
    <w:p w:rsidR="00D47A95" w:rsidRPr="00516CC9" w:rsidRDefault="00D47A95" w:rsidP="00516CC9">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16CC9">
        <w:rPr>
          <w:rFonts w:ascii="Palatino Linotype" w:eastAsia="Calibri" w:hAnsi="Palatino Linotype" w:cs="Tahoma"/>
          <w:bCs/>
          <w:szCs w:val="22"/>
          <w:lang w:eastAsia="en-US"/>
        </w:rPr>
        <w:t xml:space="preserve">Las Unidades de Transparencia de los sujetos obligados deben garantizar las medidas y condiciones de accesibilidad para que toda persona pueda ejercer el derecho de acceso a la información; por lo que, son las responsables de hacer las notificaciones </w:t>
      </w:r>
      <w:r w:rsidRPr="00516CC9">
        <w:rPr>
          <w:rFonts w:ascii="Palatino Linotype" w:eastAsia="Calibri" w:hAnsi="Palatino Linotype" w:cs="Tahoma"/>
          <w:bCs/>
          <w:szCs w:val="22"/>
          <w:lang w:eastAsia="en-US"/>
        </w:rPr>
        <w:lastRenderedPageBreak/>
        <w:t>correspondientes, además de llevar a cabo todas las gestiones necesarias para facilitar el acceso de la información;</w:t>
      </w:r>
    </w:p>
    <w:p w:rsidR="00D47A95" w:rsidRPr="00516CC9" w:rsidRDefault="00D47A95" w:rsidP="00516CC9">
      <w:pPr>
        <w:pStyle w:val="Prrafodelista"/>
        <w:spacing w:line="360" w:lineRule="auto"/>
        <w:ind w:right="-93"/>
        <w:jc w:val="both"/>
        <w:rPr>
          <w:rFonts w:ascii="Palatino Linotype" w:eastAsia="Calibri" w:hAnsi="Palatino Linotype" w:cs="Tahoma"/>
          <w:bCs/>
          <w:szCs w:val="22"/>
          <w:lang w:eastAsia="en-US"/>
        </w:rPr>
      </w:pPr>
    </w:p>
    <w:p w:rsidR="00D47A95" w:rsidRPr="00516CC9" w:rsidRDefault="00D47A95" w:rsidP="00516CC9">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16CC9">
        <w:rPr>
          <w:rFonts w:ascii="Palatino Linotype" w:eastAsia="Calibri" w:hAnsi="Palatino Linotype" w:cs="Tahoma"/>
          <w:bCs/>
          <w:szCs w:val="22"/>
          <w:lang w:eastAsia="en-US"/>
        </w:rPr>
        <w:t xml:space="preserve">La respuesta a los requerimientos informativos, deberá notificarse al interesado en el menor tiempo posible, que no podrá exceder de </w:t>
      </w:r>
      <w:r w:rsidRPr="00516CC9">
        <w:rPr>
          <w:rFonts w:ascii="Palatino Linotype" w:eastAsia="Calibri" w:hAnsi="Palatino Linotype" w:cs="Tahoma"/>
          <w:b/>
          <w:bCs/>
          <w:szCs w:val="22"/>
          <w:lang w:eastAsia="en-US"/>
        </w:rPr>
        <w:t>quince días hábiles, contados a partir del día siguiente a la presentación de esta.</w:t>
      </w:r>
      <w:r w:rsidRPr="00516CC9">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rsidR="00D47A95" w:rsidRPr="00516CC9" w:rsidRDefault="00D47A95" w:rsidP="00516CC9">
      <w:pPr>
        <w:pStyle w:val="Prrafodelista"/>
        <w:spacing w:line="360" w:lineRule="auto"/>
        <w:rPr>
          <w:rFonts w:ascii="Palatino Linotype" w:eastAsia="Calibri" w:hAnsi="Palatino Linotype" w:cs="Tahoma"/>
          <w:bCs/>
          <w:szCs w:val="22"/>
          <w:lang w:eastAsia="en-US"/>
        </w:rPr>
      </w:pPr>
    </w:p>
    <w:p w:rsidR="00D47A95" w:rsidRPr="00516CC9" w:rsidRDefault="00D47A95" w:rsidP="00516CC9">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16CC9">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516CC9">
        <w:rPr>
          <w:rFonts w:ascii="Palatino Linotype" w:eastAsia="Calibri" w:hAnsi="Palatino Linotype" w:cs="Tahoma"/>
          <w:b/>
          <w:bCs/>
          <w:szCs w:val="22"/>
          <w:lang w:eastAsia="en-US"/>
        </w:rPr>
        <w:t>que se encuentren en sus archivos o que estén constreñidos a elaborar;</w:t>
      </w:r>
    </w:p>
    <w:p w:rsidR="00D47A95" w:rsidRPr="00516CC9" w:rsidRDefault="00D47A95" w:rsidP="00516CC9">
      <w:pPr>
        <w:pStyle w:val="Prrafodelista"/>
        <w:spacing w:line="360" w:lineRule="auto"/>
        <w:rPr>
          <w:rFonts w:ascii="Palatino Linotype" w:eastAsia="Calibri" w:hAnsi="Palatino Linotype" w:cs="Tahoma"/>
          <w:b/>
          <w:bCs/>
          <w:szCs w:val="22"/>
          <w:lang w:eastAsia="en-US"/>
        </w:rPr>
      </w:pPr>
    </w:p>
    <w:p w:rsidR="00D47A95" w:rsidRPr="00516CC9" w:rsidRDefault="00D47A95" w:rsidP="00516CC9">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16CC9">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00D47A95" w:rsidRPr="00516CC9" w:rsidRDefault="00D47A95" w:rsidP="00516CC9">
      <w:pPr>
        <w:pStyle w:val="Prrafodelista"/>
        <w:spacing w:line="360" w:lineRule="auto"/>
        <w:rPr>
          <w:rFonts w:ascii="Palatino Linotype" w:eastAsia="Calibri" w:hAnsi="Palatino Linotype" w:cs="Tahoma"/>
          <w:b/>
          <w:bCs/>
          <w:szCs w:val="22"/>
          <w:lang w:eastAsia="en-US"/>
        </w:rPr>
      </w:pPr>
    </w:p>
    <w:p w:rsidR="00D47A95" w:rsidRPr="00516CC9" w:rsidRDefault="00D47A95" w:rsidP="00516CC9">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516CC9">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345698" w:rsidRPr="00516CC9" w:rsidRDefault="00345698" w:rsidP="00516CC9">
      <w:pPr>
        <w:tabs>
          <w:tab w:val="left" w:pos="4962"/>
        </w:tabs>
        <w:spacing w:line="360" w:lineRule="auto"/>
        <w:jc w:val="both"/>
        <w:rPr>
          <w:rFonts w:ascii="Palatino Linotype" w:hAnsi="Palatino Linotype"/>
          <w:sz w:val="22"/>
          <w:szCs w:val="22"/>
        </w:rPr>
      </w:pPr>
      <w:r w:rsidRPr="00516CC9">
        <w:rPr>
          <w:rFonts w:ascii="Palatino Linotype" w:hAnsi="Palatino Linotype"/>
          <w:sz w:val="22"/>
          <w:szCs w:val="22"/>
        </w:rPr>
        <w:lastRenderedPageBreak/>
        <w:t>Sobre la competencia del Sujeto Obligado para poseer la información en sus archivos, el estudio de la naturaleza jurídica de la información pública solicitada, tiene por objeto determinar si este la genera, posee o administra; sin embargo, el hecho de que haya proporcionado en respuesta y en informe justificado la liga electrónica donde puede obrar la información solicitada, aceptó expresamente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CC1935" w:rsidRPr="00516CC9" w:rsidRDefault="00CC1935" w:rsidP="00516CC9">
      <w:pPr>
        <w:tabs>
          <w:tab w:val="left" w:pos="4962"/>
        </w:tabs>
        <w:spacing w:line="360" w:lineRule="auto"/>
        <w:jc w:val="both"/>
        <w:rPr>
          <w:rFonts w:ascii="Palatino Linotype" w:eastAsia="Calibri" w:hAnsi="Palatino Linotype" w:cs="Tahoma"/>
          <w:bCs/>
          <w:sz w:val="22"/>
          <w:szCs w:val="22"/>
          <w:lang w:eastAsia="en-US"/>
        </w:rPr>
      </w:pPr>
    </w:p>
    <w:p w:rsidR="009B116D" w:rsidRPr="00516CC9" w:rsidRDefault="00D47A95" w:rsidP="00516CC9">
      <w:pPr>
        <w:tabs>
          <w:tab w:val="left" w:pos="4962"/>
        </w:tabs>
        <w:spacing w:line="360" w:lineRule="auto"/>
        <w:jc w:val="both"/>
        <w:rPr>
          <w:rFonts w:ascii="Palatino Linotype" w:eastAsia="Calibri" w:hAnsi="Palatino Linotype" w:cs="Tahoma"/>
          <w:iCs/>
          <w:sz w:val="22"/>
          <w:szCs w:val="22"/>
          <w:lang w:val="es-ES" w:eastAsia="es-ES_tradnl"/>
        </w:rPr>
      </w:pPr>
      <w:r w:rsidRPr="00516CC9">
        <w:rPr>
          <w:rFonts w:ascii="Palatino Linotype" w:eastAsia="Calibri" w:hAnsi="Palatino Linotype" w:cs="Tahoma"/>
          <w:bCs/>
          <w:sz w:val="22"/>
          <w:szCs w:val="22"/>
          <w:lang w:eastAsia="en-US"/>
        </w:rPr>
        <w:t xml:space="preserve">Una vez establecido lo anterior, es de precisar </w:t>
      </w:r>
      <w:r w:rsidRPr="00516CC9">
        <w:rPr>
          <w:rFonts w:ascii="Palatino Linotype" w:eastAsia="Calibri" w:hAnsi="Palatino Linotype" w:cs="Tahoma"/>
          <w:bCs/>
          <w:sz w:val="22"/>
          <w:szCs w:val="22"/>
          <w:lang w:val="es-ES" w:eastAsia="en-US"/>
        </w:rPr>
        <w:t>que el Recurrente solicitó</w:t>
      </w:r>
      <w:r w:rsidR="003530F8" w:rsidRPr="00516CC9">
        <w:rPr>
          <w:rFonts w:ascii="Palatino Linotype" w:hAnsi="Palatino Linotype"/>
          <w:sz w:val="22"/>
          <w:szCs w:val="22"/>
        </w:rPr>
        <w:t xml:space="preserve"> </w:t>
      </w:r>
      <w:r w:rsidR="00345698" w:rsidRPr="00516CC9">
        <w:rPr>
          <w:rFonts w:ascii="Palatino Linotype" w:hAnsi="Palatino Linotype"/>
          <w:sz w:val="22"/>
          <w:szCs w:val="22"/>
        </w:rPr>
        <w:t xml:space="preserve">con evidencia digital o electrónica las </w:t>
      </w:r>
      <w:r w:rsidR="009B116D" w:rsidRPr="00516CC9">
        <w:rPr>
          <w:rFonts w:ascii="Palatino Linotype" w:hAnsi="Palatino Linotype"/>
          <w:sz w:val="22"/>
          <w:szCs w:val="22"/>
        </w:rPr>
        <w:t>licencias de remodelación</w:t>
      </w:r>
      <w:r w:rsidR="00AC1A92" w:rsidRPr="00516CC9">
        <w:rPr>
          <w:rFonts w:ascii="Palatino Linotype" w:hAnsi="Palatino Linotype"/>
          <w:sz w:val="22"/>
          <w:szCs w:val="22"/>
        </w:rPr>
        <w:t>,</w:t>
      </w:r>
      <w:r w:rsidR="009B116D" w:rsidRPr="00516CC9">
        <w:rPr>
          <w:rFonts w:ascii="Palatino Linotype" w:hAnsi="Palatino Linotype"/>
          <w:sz w:val="22"/>
          <w:szCs w:val="22"/>
        </w:rPr>
        <w:t xml:space="preserve"> construcción y de terminación de obra en la que se detallará la ubicación geográfica de los particulares solicitantes expedidas por el Ayuntamiento de Atizapán de Zaragoza, a lo que e</w:t>
      </w:r>
      <w:r w:rsidRPr="00516CC9">
        <w:rPr>
          <w:rFonts w:ascii="Palatino Linotype" w:eastAsia="Calibri" w:hAnsi="Palatino Linotype" w:cs="Tahoma"/>
          <w:sz w:val="22"/>
          <w:szCs w:val="22"/>
          <w:lang w:eastAsia="es-ES_tradnl"/>
        </w:rPr>
        <w:t xml:space="preserve">n respuesta, el Sujeto Obligado remitió </w:t>
      </w:r>
      <w:r w:rsidR="009B116D" w:rsidRPr="00516CC9">
        <w:rPr>
          <w:rFonts w:ascii="Palatino Linotype" w:eastAsia="Calibri" w:hAnsi="Palatino Linotype" w:cs="Tahoma"/>
          <w:sz w:val="22"/>
          <w:szCs w:val="22"/>
          <w:lang w:eastAsia="es-ES_tradnl"/>
        </w:rPr>
        <w:t>una liga electrónica</w:t>
      </w:r>
      <w:r w:rsidR="00E8107F" w:rsidRPr="00516CC9">
        <w:rPr>
          <w:rFonts w:ascii="Palatino Linotype" w:eastAsia="Calibri" w:hAnsi="Palatino Linotype" w:cs="Tahoma"/>
          <w:sz w:val="22"/>
          <w:szCs w:val="22"/>
          <w:lang w:eastAsia="es-ES_tradnl"/>
        </w:rPr>
        <w:t>,</w:t>
      </w:r>
      <w:r w:rsidR="00E8107F" w:rsidRPr="00516CC9">
        <w:rPr>
          <w:rFonts w:ascii="Palatino Linotype" w:eastAsia="Calibri" w:hAnsi="Palatino Linotype" w:cs="Tahoma"/>
          <w:iCs/>
          <w:sz w:val="22"/>
          <w:szCs w:val="22"/>
          <w:lang w:val="es-ES" w:eastAsia="es-ES_tradnl"/>
        </w:rPr>
        <w:t xml:space="preserve"> situación por la cual el Recurrente se inconformo ya que la liga proporcionada era inexistente.</w:t>
      </w:r>
    </w:p>
    <w:p w:rsidR="00E8107F" w:rsidRDefault="00E8107F" w:rsidP="00516CC9">
      <w:pPr>
        <w:tabs>
          <w:tab w:val="left" w:pos="4962"/>
        </w:tabs>
        <w:spacing w:line="360" w:lineRule="auto"/>
        <w:jc w:val="both"/>
        <w:rPr>
          <w:rFonts w:ascii="Palatino Linotype" w:eastAsia="Calibri" w:hAnsi="Palatino Linotype" w:cs="Tahoma"/>
          <w:iCs/>
          <w:sz w:val="22"/>
          <w:szCs w:val="22"/>
          <w:lang w:val="es-ES" w:eastAsia="es-ES_tradnl"/>
        </w:rPr>
      </w:pPr>
    </w:p>
    <w:p w:rsidR="007426DA" w:rsidRDefault="00063A56" w:rsidP="00516CC9">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Ahora bien, </w:t>
      </w:r>
      <w:r w:rsidR="007426DA">
        <w:rPr>
          <w:rFonts w:ascii="Palatino Linotype" w:eastAsia="Calibri" w:hAnsi="Palatino Linotype" w:cs="Tahoma"/>
          <w:iCs/>
          <w:sz w:val="22"/>
          <w:szCs w:val="22"/>
          <w:lang w:val="es-ES" w:eastAsia="es-ES_tradnl"/>
        </w:rPr>
        <w:t xml:space="preserve"> resulta conveniente traer a colación lo señalado por el Código Administrativo del Estado de México, Título Segundo de las licencias, permisos y constancias, Capítulo </w:t>
      </w:r>
      <w:r w:rsidR="00D66B35">
        <w:rPr>
          <w:rFonts w:ascii="Palatino Linotype" w:eastAsia="Calibri" w:hAnsi="Palatino Linotype" w:cs="Tahoma"/>
          <w:iCs/>
          <w:sz w:val="22"/>
          <w:szCs w:val="22"/>
          <w:lang w:val="es-ES" w:eastAsia="es-ES_tradnl"/>
        </w:rPr>
        <w:t xml:space="preserve">Primero </w:t>
      </w:r>
      <w:r w:rsidR="007426DA">
        <w:rPr>
          <w:rFonts w:ascii="Palatino Linotype" w:eastAsia="Calibri" w:hAnsi="Palatino Linotype" w:cs="Tahoma"/>
          <w:iCs/>
          <w:sz w:val="22"/>
          <w:szCs w:val="22"/>
          <w:lang w:val="es-ES" w:eastAsia="es-ES_tradnl"/>
        </w:rPr>
        <w:t>de las licencias de construcción</w:t>
      </w:r>
      <w:r w:rsidR="00D66B35">
        <w:rPr>
          <w:rFonts w:ascii="Palatino Linotype" w:eastAsia="Calibri" w:hAnsi="Palatino Linotype" w:cs="Tahoma"/>
          <w:iCs/>
          <w:sz w:val="22"/>
          <w:szCs w:val="22"/>
          <w:lang w:val="es-ES" w:eastAsia="es-ES_tradnl"/>
        </w:rPr>
        <w:t xml:space="preserve"> y Capítulo Tercero de las Constancias </w:t>
      </w:r>
      <w:r w:rsidR="007426DA">
        <w:rPr>
          <w:rFonts w:ascii="Palatino Linotype" w:eastAsia="Calibri" w:hAnsi="Palatino Linotype" w:cs="Tahoma"/>
          <w:iCs/>
          <w:sz w:val="22"/>
          <w:szCs w:val="22"/>
          <w:lang w:val="es-ES" w:eastAsia="es-ES_tradnl"/>
        </w:rPr>
        <w:t>en l</w:t>
      </w:r>
      <w:r w:rsidR="00D66B35">
        <w:rPr>
          <w:rFonts w:ascii="Palatino Linotype" w:eastAsia="Calibri" w:hAnsi="Palatino Linotype" w:cs="Tahoma"/>
          <w:iCs/>
          <w:sz w:val="22"/>
          <w:szCs w:val="22"/>
          <w:lang w:val="es-ES" w:eastAsia="es-ES_tradnl"/>
        </w:rPr>
        <w:t>os</w:t>
      </w:r>
      <w:r w:rsidR="007426DA">
        <w:rPr>
          <w:rFonts w:ascii="Palatino Linotype" w:eastAsia="Calibri" w:hAnsi="Palatino Linotype" w:cs="Tahoma"/>
          <w:iCs/>
          <w:sz w:val="22"/>
          <w:szCs w:val="22"/>
          <w:lang w:val="es-ES" w:eastAsia="es-ES_tradnl"/>
        </w:rPr>
        <w:t xml:space="preserve"> que se establece lo siguiente:</w:t>
      </w:r>
    </w:p>
    <w:p w:rsidR="007426DA" w:rsidRDefault="007426DA" w:rsidP="00516CC9">
      <w:pPr>
        <w:tabs>
          <w:tab w:val="left" w:pos="4962"/>
        </w:tabs>
        <w:spacing w:line="360" w:lineRule="auto"/>
        <w:jc w:val="both"/>
        <w:rPr>
          <w:rFonts w:ascii="Palatino Linotype" w:eastAsia="Calibri" w:hAnsi="Palatino Linotype" w:cs="Tahoma"/>
          <w:iCs/>
          <w:sz w:val="22"/>
          <w:szCs w:val="22"/>
          <w:lang w:val="es-ES" w:eastAsia="es-ES_tradnl"/>
        </w:rPr>
      </w:pPr>
    </w:p>
    <w:p w:rsidR="007426DA" w:rsidRP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sidRPr="007426DA">
        <w:rPr>
          <w:rFonts w:ascii="Palatino Linotype" w:eastAsia="Calibri" w:hAnsi="Palatino Linotype" w:cs="Tahoma"/>
          <w:b/>
          <w:i/>
          <w:iCs/>
          <w:sz w:val="22"/>
          <w:szCs w:val="22"/>
          <w:lang w:val="es-ES" w:eastAsia="es-ES_tradnl"/>
        </w:rPr>
        <w:t>Artículo 18.20.-</w:t>
      </w:r>
      <w:r w:rsidRPr="007426DA">
        <w:rPr>
          <w:rFonts w:ascii="Palatino Linotype" w:eastAsia="Calibri" w:hAnsi="Palatino Linotype" w:cs="Tahoma"/>
          <w:i/>
          <w:iCs/>
          <w:sz w:val="22"/>
          <w:szCs w:val="22"/>
          <w:lang w:val="es-ES" w:eastAsia="es-ES_tradnl"/>
        </w:rPr>
        <w:t xml:space="preserve"> La licencia de construcción tiene por objeto autorizar: </w:t>
      </w:r>
    </w:p>
    <w:p w:rsidR="007426DA" w:rsidRPr="007426DA" w:rsidRDefault="007426DA" w:rsidP="007426DA">
      <w:pPr>
        <w:tabs>
          <w:tab w:val="left" w:pos="4962"/>
        </w:tabs>
        <w:spacing w:line="360" w:lineRule="auto"/>
        <w:ind w:left="567" w:right="539"/>
        <w:jc w:val="both"/>
        <w:rPr>
          <w:rFonts w:ascii="Palatino Linotype" w:eastAsia="Calibri" w:hAnsi="Palatino Linotype" w:cs="Tahoma"/>
          <w:b/>
          <w:i/>
          <w:iCs/>
          <w:sz w:val="22"/>
          <w:szCs w:val="22"/>
          <w:lang w:val="es-ES" w:eastAsia="es-ES_tradnl"/>
        </w:rPr>
      </w:pPr>
      <w:r w:rsidRPr="007426DA">
        <w:rPr>
          <w:rFonts w:ascii="Palatino Linotype" w:eastAsia="Calibri" w:hAnsi="Palatino Linotype" w:cs="Tahoma"/>
          <w:b/>
          <w:i/>
          <w:iCs/>
          <w:sz w:val="22"/>
          <w:szCs w:val="22"/>
          <w:lang w:val="es-ES" w:eastAsia="es-ES_tradnl"/>
        </w:rPr>
        <w:t xml:space="preserve">I. Obra nueva; </w:t>
      </w:r>
    </w:p>
    <w:p w:rsidR="007426DA" w:rsidRP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sidRPr="007426DA">
        <w:rPr>
          <w:rFonts w:ascii="Palatino Linotype" w:eastAsia="Calibri" w:hAnsi="Palatino Linotype" w:cs="Tahoma"/>
          <w:b/>
          <w:i/>
          <w:iCs/>
          <w:sz w:val="22"/>
          <w:szCs w:val="22"/>
          <w:lang w:val="es-ES" w:eastAsia="es-ES_tradnl"/>
        </w:rPr>
        <w:t>II. Ampliación, modificación o reparación</w:t>
      </w:r>
      <w:r w:rsidRPr="007426DA">
        <w:rPr>
          <w:rFonts w:ascii="Palatino Linotype" w:eastAsia="Calibri" w:hAnsi="Palatino Linotype" w:cs="Tahoma"/>
          <w:i/>
          <w:iCs/>
          <w:sz w:val="22"/>
          <w:szCs w:val="22"/>
          <w:lang w:val="es-ES" w:eastAsia="es-ES_tradnl"/>
        </w:rPr>
        <w:t xml:space="preserve"> que afecte elementos estructurales de la obra existente; </w:t>
      </w:r>
    </w:p>
    <w:p w:rsidR="007426DA" w:rsidRP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sidRPr="007426DA">
        <w:rPr>
          <w:rFonts w:ascii="Palatino Linotype" w:eastAsia="Calibri" w:hAnsi="Palatino Linotype" w:cs="Tahoma"/>
          <w:i/>
          <w:iCs/>
          <w:sz w:val="22"/>
          <w:szCs w:val="22"/>
          <w:lang w:val="es-ES" w:eastAsia="es-ES_tradnl"/>
        </w:rPr>
        <w:t xml:space="preserve">III. Demolición parcial o total; </w:t>
      </w:r>
    </w:p>
    <w:p w:rsidR="007426DA" w:rsidRP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sidRPr="007426DA">
        <w:rPr>
          <w:rFonts w:ascii="Palatino Linotype" w:eastAsia="Calibri" w:hAnsi="Palatino Linotype" w:cs="Tahoma"/>
          <w:i/>
          <w:iCs/>
          <w:sz w:val="22"/>
          <w:szCs w:val="22"/>
          <w:lang w:val="es-ES" w:eastAsia="es-ES_tradnl"/>
        </w:rPr>
        <w:t xml:space="preserve">IV. Excavación o relleno; </w:t>
      </w:r>
    </w:p>
    <w:p w:rsidR="007426DA" w:rsidRP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sidRPr="007426DA">
        <w:rPr>
          <w:rFonts w:ascii="Palatino Linotype" w:eastAsia="Calibri" w:hAnsi="Palatino Linotype" w:cs="Tahoma"/>
          <w:i/>
          <w:iCs/>
          <w:sz w:val="22"/>
          <w:szCs w:val="22"/>
          <w:lang w:val="es-ES" w:eastAsia="es-ES_tradnl"/>
        </w:rPr>
        <w:lastRenderedPageBreak/>
        <w:t xml:space="preserve">V. Construcción de bardas; </w:t>
      </w:r>
    </w:p>
    <w:p w:rsidR="007426DA" w:rsidRP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sidRPr="007426DA">
        <w:rPr>
          <w:rFonts w:ascii="Palatino Linotype" w:eastAsia="Calibri" w:hAnsi="Palatino Linotype" w:cs="Tahoma"/>
          <w:i/>
          <w:iCs/>
          <w:sz w:val="22"/>
          <w:szCs w:val="22"/>
          <w:lang w:val="es-ES" w:eastAsia="es-ES_tradnl"/>
        </w:rPr>
        <w:t xml:space="preserve">VI. Obras de conexión a las redes de agua potable y drenaje; </w:t>
      </w:r>
    </w:p>
    <w:p w:rsidR="007426DA" w:rsidRP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sidRPr="007426DA">
        <w:rPr>
          <w:rFonts w:ascii="Palatino Linotype" w:eastAsia="Calibri" w:hAnsi="Palatino Linotype" w:cs="Tahoma"/>
          <w:i/>
          <w:iCs/>
          <w:sz w:val="22"/>
          <w:szCs w:val="22"/>
          <w:lang w:val="es-ES" w:eastAsia="es-ES_tradnl"/>
        </w:rPr>
        <w:t>VII. Modificación del proyecto de una obra autorizada;</w:t>
      </w:r>
    </w:p>
    <w:p w:rsidR="007426DA" w:rsidRP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sidRPr="007426DA">
        <w:rPr>
          <w:rFonts w:ascii="Palatino Linotype" w:eastAsia="Calibri" w:hAnsi="Palatino Linotype" w:cs="Tahoma"/>
          <w:i/>
          <w:iCs/>
          <w:sz w:val="22"/>
          <w:szCs w:val="22"/>
          <w:lang w:val="es-ES" w:eastAsia="es-ES_tradnl"/>
        </w:rPr>
        <w:t xml:space="preserve">VIII. Construcción e instalación de estaciones repetidoras y antenas para radiotelecomunicaciones; </w:t>
      </w:r>
    </w:p>
    <w:p w:rsidR="007426DA" w:rsidRP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sidRPr="007426DA">
        <w:rPr>
          <w:rFonts w:ascii="Palatino Linotype" w:eastAsia="Calibri" w:hAnsi="Palatino Linotype" w:cs="Tahoma"/>
          <w:i/>
          <w:iCs/>
          <w:sz w:val="22"/>
          <w:szCs w:val="22"/>
          <w:lang w:val="es-ES" w:eastAsia="es-ES_tradnl"/>
        </w:rPr>
        <w:t xml:space="preserve">IX. Anuncios publicitarios que requieran de elementos estructurales; y </w:t>
      </w:r>
    </w:p>
    <w:p w:rsidR="007426DA" w:rsidRP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sidRPr="007426DA">
        <w:rPr>
          <w:rFonts w:ascii="Palatino Linotype" w:eastAsia="Calibri" w:hAnsi="Palatino Linotype" w:cs="Tahoma"/>
          <w:i/>
          <w:iCs/>
          <w:sz w:val="22"/>
          <w:szCs w:val="22"/>
          <w:lang w:val="es-ES" w:eastAsia="es-ES_tradnl"/>
        </w:rPr>
        <w:t>X. Instalaciones o modificaciones de ascensores para personas, montacargas, escaleras mecánicas o cualquier otro mecanismo de transporte electromecánico.</w:t>
      </w:r>
    </w:p>
    <w:p w:rsidR="007426DA" w:rsidRP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p>
    <w:p w:rsidR="007426DA" w:rsidRP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sidRPr="007426DA">
        <w:rPr>
          <w:rFonts w:ascii="Palatino Linotype" w:eastAsia="Calibri" w:hAnsi="Palatino Linotype" w:cs="Tahoma"/>
          <w:i/>
          <w:iCs/>
          <w:sz w:val="22"/>
          <w:szCs w:val="22"/>
          <w:lang w:val="es-ES" w:eastAsia="es-ES_tradnl"/>
        </w:rPr>
        <w:t>La licencia de construcción tendrá vigencia de un año y podrá autorizar, además del uso de la vía pública, uno o más de los rubros señalados, conforme a la solicitud que se presente.</w:t>
      </w:r>
    </w:p>
    <w:p w:rsidR="007426DA" w:rsidRP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p>
    <w:p w:rsidR="007426DA" w:rsidRP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sidRPr="007426DA">
        <w:rPr>
          <w:rFonts w:ascii="Palatino Linotype" w:eastAsia="Calibri" w:hAnsi="Palatino Linotype" w:cs="Tahoma"/>
          <w:i/>
          <w:iCs/>
          <w:sz w:val="22"/>
          <w:szCs w:val="22"/>
          <w:lang w:val="es-ES" w:eastAsia="es-ES_tradnl"/>
        </w:rPr>
        <w:t xml:space="preserve">La autoridad municipal que emita la licencia de construcción deberá revisar que en el proyecto que autoriza se observen las disposiciones de este Libro, las Normas Técnicas y demás disposiciones jurídicas aplicables y deberá otorgar o negar la misma dando respuesta en un plazo no mayor de tres días hábiles posteriores a la fecha de presentación o recepción de la solicitud que reúna todos los requisitos establecidos en la Ley. </w:t>
      </w:r>
    </w:p>
    <w:p w:rsid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sidRPr="007426DA">
        <w:rPr>
          <w:rFonts w:ascii="Palatino Linotype" w:eastAsia="Calibri" w:hAnsi="Palatino Linotype" w:cs="Tahoma"/>
          <w:i/>
          <w:iCs/>
          <w:sz w:val="22"/>
          <w:szCs w:val="22"/>
          <w:lang w:val="es-ES" w:eastAsia="es-ES_tradnl"/>
        </w:rPr>
        <w:t>…”</w:t>
      </w:r>
    </w:p>
    <w:p w:rsidR="00D66B35" w:rsidRPr="00D66B35" w:rsidRDefault="00D66B35" w:rsidP="00D66B35">
      <w:pPr>
        <w:tabs>
          <w:tab w:val="left" w:pos="4962"/>
        </w:tabs>
        <w:spacing w:line="360" w:lineRule="auto"/>
        <w:ind w:left="567" w:right="539"/>
        <w:jc w:val="center"/>
        <w:rPr>
          <w:rFonts w:ascii="Palatino Linotype" w:eastAsia="Calibri" w:hAnsi="Palatino Linotype" w:cs="Tahoma"/>
          <w:b/>
          <w:i/>
          <w:iCs/>
          <w:sz w:val="22"/>
          <w:szCs w:val="22"/>
          <w:lang w:val="es-ES" w:eastAsia="es-ES_tradnl"/>
        </w:rPr>
      </w:pPr>
      <w:r w:rsidRPr="00D66B35">
        <w:rPr>
          <w:rFonts w:ascii="Palatino Linotype" w:eastAsia="Calibri" w:hAnsi="Palatino Linotype" w:cs="Tahoma"/>
          <w:b/>
          <w:i/>
          <w:iCs/>
          <w:sz w:val="22"/>
          <w:szCs w:val="22"/>
          <w:lang w:val="es-ES" w:eastAsia="es-ES_tradnl"/>
        </w:rPr>
        <w:t>CAPÍTULO TERCERO</w:t>
      </w:r>
    </w:p>
    <w:p w:rsidR="007426DA" w:rsidRPr="00D66B35" w:rsidRDefault="007426DA" w:rsidP="00D66B35">
      <w:pPr>
        <w:tabs>
          <w:tab w:val="left" w:pos="4962"/>
        </w:tabs>
        <w:spacing w:line="360" w:lineRule="auto"/>
        <w:ind w:left="567" w:right="539"/>
        <w:jc w:val="center"/>
        <w:rPr>
          <w:rFonts w:ascii="Palatino Linotype" w:eastAsia="Calibri" w:hAnsi="Palatino Linotype" w:cs="Tahoma"/>
          <w:b/>
          <w:i/>
          <w:iCs/>
          <w:sz w:val="22"/>
          <w:szCs w:val="22"/>
          <w:lang w:val="es-ES" w:eastAsia="es-ES_tradnl"/>
        </w:rPr>
      </w:pPr>
      <w:r w:rsidRPr="00D66B35">
        <w:rPr>
          <w:rFonts w:ascii="Palatino Linotype" w:eastAsia="Calibri" w:hAnsi="Palatino Linotype" w:cs="Tahoma"/>
          <w:b/>
          <w:i/>
          <w:iCs/>
          <w:sz w:val="22"/>
          <w:szCs w:val="22"/>
          <w:lang w:val="es-ES" w:eastAsia="es-ES_tradnl"/>
        </w:rPr>
        <w:t>DE LAS CONSTANCIAS</w:t>
      </w:r>
    </w:p>
    <w:p w:rsidR="007426DA" w:rsidRP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sidRPr="00D66B35">
        <w:rPr>
          <w:rFonts w:ascii="Palatino Linotype" w:eastAsia="Calibri" w:hAnsi="Palatino Linotype" w:cs="Tahoma"/>
          <w:b/>
          <w:i/>
          <w:iCs/>
          <w:sz w:val="22"/>
          <w:szCs w:val="22"/>
          <w:lang w:val="es-ES" w:eastAsia="es-ES_tradnl"/>
        </w:rPr>
        <w:t>Artículo 18.33.</w:t>
      </w:r>
      <w:r w:rsidRPr="007426DA">
        <w:rPr>
          <w:rFonts w:ascii="Palatino Linotype" w:eastAsia="Calibri" w:hAnsi="Palatino Linotype" w:cs="Tahoma"/>
          <w:i/>
          <w:iCs/>
          <w:sz w:val="22"/>
          <w:szCs w:val="22"/>
          <w:lang w:val="es-ES" w:eastAsia="es-ES_tradnl"/>
        </w:rPr>
        <w:t xml:space="preserve"> El titular de la licencia o permiso de construcción o el Director responsable de la</w:t>
      </w:r>
      <w:r w:rsidR="00D66B35">
        <w:rPr>
          <w:rFonts w:ascii="Palatino Linotype" w:eastAsia="Calibri" w:hAnsi="Palatino Linotype" w:cs="Tahoma"/>
          <w:i/>
          <w:iCs/>
          <w:sz w:val="22"/>
          <w:szCs w:val="22"/>
          <w:lang w:val="es-ES" w:eastAsia="es-ES_tradnl"/>
        </w:rPr>
        <w:t xml:space="preserve"> </w:t>
      </w:r>
      <w:r w:rsidRPr="007426DA">
        <w:rPr>
          <w:rFonts w:ascii="Palatino Linotype" w:eastAsia="Calibri" w:hAnsi="Palatino Linotype" w:cs="Tahoma"/>
          <w:i/>
          <w:iCs/>
          <w:sz w:val="22"/>
          <w:szCs w:val="22"/>
          <w:lang w:val="es-ES" w:eastAsia="es-ES_tradnl"/>
        </w:rPr>
        <w:t>obra, deberá dar aviso por escrito o vía electrónica a la autoridad municipal, de la terminación de las</w:t>
      </w:r>
      <w:r w:rsidR="00D66B35">
        <w:rPr>
          <w:rFonts w:ascii="Palatino Linotype" w:eastAsia="Calibri" w:hAnsi="Palatino Linotype" w:cs="Tahoma"/>
          <w:i/>
          <w:iCs/>
          <w:sz w:val="22"/>
          <w:szCs w:val="22"/>
          <w:lang w:val="es-ES" w:eastAsia="es-ES_tradnl"/>
        </w:rPr>
        <w:t xml:space="preserve"> </w:t>
      </w:r>
      <w:r w:rsidRPr="007426DA">
        <w:rPr>
          <w:rFonts w:ascii="Palatino Linotype" w:eastAsia="Calibri" w:hAnsi="Palatino Linotype" w:cs="Tahoma"/>
          <w:i/>
          <w:iCs/>
          <w:sz w:val="22"/>
          <w:szCs w:val="22"/>
          <w:lang w:val="es-ES" w:eastAsia="es-ES_tradnl"/>
        </w:rPr>
        <w:t>obras autorizadas, dentro de los treinta días hábiles posteriores a su conclusión, a efecto de expedir</w:t>
      </w:r>
      <w:r w:rsidR="00D66B35">
        <w:rPr>
          <w:rFonts w:ascii="Palatino Linotype" w:eastAsia="Calibri" w:hAnsi="Palatino Linotype" w:cs="Tahoma"/>
          <w:i/>
          <w:iCs/>
          <w:sz w:val="22"/>
          <w:szCs w:val="22"/>
          <w:lang w:val="es-ES" w:eastAsia="es-ES_tradnl"/>
        </w:rPr>
        <w:t xml:space="preserve"> </w:t>
      </w:r>
      <w:r w:rsidRPr="007426DA">
        <w:rPr>
          <w:rFonts w:ascii="Palatino Linotype" w:eastAsia="Calibri" w:hAnsi="Palatino Linotype" w:cs="Tahoma"/>
          <w:i/>
          <w:iCs/>
          <w:sz w:val="22"/>
          <w:szCs w:val="22"/>
          <w:lang w:val="es-ES" w:eastAsia="es-ES_tradnl"/>
        </w:rPr>
        <w:t>la constancia de terminación de obra.</w:t>
      </w:r>
    </w:p>
    <w:p w:rsidR="00D66B35" w:rsidRDefault="00D66B35"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p>
    <w:p w:rsidR="007426DA" w:rsidRDefault="007426DA"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sidRPr="007426DA">
        <w:rPr>
          <w:rFonts w:ascii="Palatino Linotype" w:eastAsia="Calibri" w:hAnsi="Palatino Linotype" w:cs="Tahoma"/>
          <w:i/>
          <w:iCs/>
          <w:sz w:val="22"/>
          <w:szCs w:val="22"/>
          <w:lang w:val="es-ES" w:eastAsia="es-ES_tradnl"/>
        </w:rPr>
        <w:t>La autoridad municipal extenderá la constancia solicitada, previa inspección que realice para</w:t>
      </w:r>
      <w:r w:rsidR="00D66B35">
        <w:rPr>
          <w:rFonts w:ascii="Palatino Linotype" w:eastAsia="Calibri" w:hAnsi="Palatino Linotype" w:cs="Tahoma"/>
          <w:i/>
          <w:iCs/>
          <w:sz w:val="22"/>
          <w:szCs w:val="22"/>
          <w:lang w:val="es-ES" w:eastAsia="es-ES_tradnl"/>
        </w:rPr>
        <w:t xml:space="preserve"> </w:t>
      </w:r>
      <w:r w:rsidRPr="007426DA">
        <w:rPr>
          <w:rFonts w:ascii="Palatino Linotype" w:eastAsia="Calibri" w:hAnsi="Palatino Linotype" w:cs="Tahoma"/>
          <w:i/>
          <w:iCs/>
          <w:sz w:val="22"/>
          <w:szCs w:val="22"/>
          <w:lang w:val="es-ES" w:eastAsia="es-ES_tradnl"/>
        </w:rPr>
        <w:t xml:space="preserve">comprobar que la obra, edificación o instalación se ejecutó de acuerdo al proyecto </w:t>
      </w:r>
      <w:r w:rsidRPr="007426DA">
        <w:rPr>
          <w:rFonts w:ascii="Palatino Linotype" w:eastAsia="Calibri" w:hAnsi="Palatino Linotype" w:cs="Tahoma"/>
          <w:i/>
          <w:iCs/>
          <w:sz w:val="22"/>
          <w:szCs w:val="22"/>
          <w:lang w:val="es-ES" w:eastAsia="es-ES_tradnl"/>
        </w:rPr>
        <w:lastRenderedPageBreak/>
        <w:t>autorizado y que</w:t>
      </w:r>
      <w:r w:rsidR="00D66B35">
        <w:rPr>
          <w:rFonts w:ascii="Palatino Linotype" w:eastAsia="Calibri" w:hAnsi="Palatino Linotype" w:cs="Tahoma"/>
          <w:i/>
          <w:iCs/>
          <w:sz w:val="22"/>
          <w:szCs w:val="22"/>
          <w:lang w:val="es-ES" w:eastAsia="es-ES_tradnl"/>
        </w:rPr>
        <w:t xml:space="preserve"> </w:t>
      </w:r>
      <w:r w:rsidRPr="007426DA">
        <w:rPr>
          <w:rFonts w:ascii="Palatino Linotype" w:eastAsia="Calibri" w:hAnsi="Palatino Linotype" w:cs="Tahoma"/>
          <w:i/>
          <w:iCs/>
          <w:sz w:val="22"/>
          <w:szCs w:val="22"/>
          <w:lang w:val="es-ES" w:eastAsia="es-ES_tradnl"/>
        </w:rPr>
        <w:t>por lo tanto, es apta para su ocupación o para el fin señalado en la licencia o permiso de</w:t>
      </w:r>
      <w:r w:rsidR="00D66B35">
        <w:rPr>
          <w:rFonts w:ascii="Palatino Linotype" w:eastAsia="Calibri" w:hAnsi="Palatino Linotype" w:cs="Tahoma"/>
          <w:i/>
          <w:iCs/>
          <w:sz w:val="22"/>
          <w:szCs w:val="22"/>
          <w:lang w:val="es-ES" w:eastAsia="es-ES_tradnl"/>
        </w:rPr>
        <w:t xml:space="preserve"> </w:t>
      </w:r>
      <w:r w:rsidRPr="007426DA">
        <w:rPr>
          <w:rFonts w:ascii="Palatino Linotype" w:eastAsia="Calibri" w:hAnsi="Palatino Linotype" w:cs="Tahoma"/>
          <w:i/>
          <w:iCs/>
          <w:sz w:val="22"/>
          <w:szCs w:val="22"/>
          <w:lang w:val="es-ES" w:eastAsia="es-ES_tradnl"/>
        </w:rPr>
        <w:t>construcción.</w:t>
      </w:r>
    </w:p>
    <w:p w:rsidR="00D66B35" w:rsidRPr="007426DA" w:rsidRDefault="00D66B35" w:rsidP="007426DA">
      <w:pPr>
        <w:tabs>
          <w:tab w:val="left" w:pos="4962"/>
        </w:tabs>
        <w:spacing w:line="360" w:lineRule="auto"/>
        <w:ind w:left="567" w:right="539"/>
        <w:jc w:val="both"/>
        <w:rPr>
          <w:rFonts w:ascii="Palatino Linotype" w:eastAsia="Calibri" w:hAnsi="Palatino Linotype" w:cs="Tahoma"/>
          <w:i/>
          <w:iCs/>
          <w:sz w:val="22"/>
          <w:szCs w:val="22"/>
          <w:lang w:val="es-ES" w:eastAsia="es-ES_tradnl"/>
        </w:rPr>
      </w:pPr>
      <w:r>
        <w:rPr>
          <w:rFonts w:ascii="Palatino Linotype" w:eastAsia="Calibri" w:hAnsi="Palatino Linotype" w:cs="Tahoma"/>
          <w:i/>
          <w:iCs/>
          <w:sz w:val="22"/>
          <w:szCs w:val="22"/>
          <w:lang w:val="es-ES" w:eastAsia="es-ES_tradnl"/>
        </w:rPr>
        <w:t>…”</w:t>
      </w:r>
    </w:p>
    <w:p w:rsidR="007426DA" w:rsidRDefault="007426DA" w:rsidP="00516CC9">
      <w:pPr>
        <w:tabs>
          <w:tab w:val="left" w:pos="4962"/>
        </w:tabs>
        <w:spacing w:line="360" w:lineRule="auto"/>
        <w:jc w:val="both"/>
        <w:rPr>
          <w:rFonts w:ascii="Palatino Linotype" w:eastAsia="Calibri" w:hAnsi="Palatino Linotype" w:cs="Tahoma"/>
          <w:iCs/>
          <w:sz w:val="22"/>
          <w:szCs w:val="22"/>
          <w:lang w:val="es-ES" w:eastAsia="es-ES_tradnl"/>
        </w:rPr>
      </w:pPr>
    </w:p>
    <w:p w:rsidR="00D66B35" w:rsidRPr="00D66B35" w:rsidRDefault="00D66B35" w:rsidP="00D66B35">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De la normatividad anteriormente señalada, se advierte que las licencias que quiere conocer el Particular, respecto de las licencias de remodelación, se encuentran dentro de la definición de las licencias de construcción y por lo que respecta a las licencias de Terminación de obra, se refiere a las constancias que emite el Sujeto Obligado previa inspección de la obra para verificar que la misma cumplió con lo señalado en la licencia </w:t>
      </w:r>
      <w:r w:rsidR="00063A56">
        <w:rPr>
          <w:rFonts w:ascii="Palatino Linotype" w:eastAsia="Calibri" w:hAnsi="Palatino Linotype" w:cs="Tahoma"/>
          <w:iCs/>
          <w:sz w:val="22"/>
          <w:szCs w:val="22"/>
          <w:lang w:val="es-ES" w:eastAsia="es-ES_tradnl"/>
        </w:rPr>
        <w:t xml:space="preserve">de construcción </w:t>
      </w:r>
      <w:r>
        <w:rPr>
          <w:rFonts w:ascii="Palatino Linotype" w:eastAsia="Calibri" w:hAnsi="Palatino Linotype" w:cs="Tahoma"/>
          <w:iCs/>
          <w:sz w:val="22"/>
          <w:szCs w:val="22"/>
          <w:lang w:val="es-ES" w:eastAsia="es-ES_tradnl"/>
        </w:rPr>
        <w:t>correspondiente</w:t>
      </w:r>
      <w:r>
        <w:rPr>
          <w:rFonts w:ascii="Palatino Linotype" w:eastAsia="Calibri" w:hAnsi="Palatino Linotype" w:cs="Tahoma"/>
          <w:bCs/>
          <w:sz w:val="22"/>
          <w:szCs w:val="22"/>
          <w:lang w:val="es-ES_tradnl" w:eastAsia="en-US"/>
        </w:rPr>
        <w:t xml:space="preserve">; lo anterior </w:t>
      </w:r>
      <w:r w:rsidRPr="009743DE">
        <w:rPr>
          <w:rFonts w:ascii="Palatino Linotype" w:eastAsia="Calibri" w:hAnsi="Palatino Linotype" w:cs="Tahoma"/>
          <w:bCs/>
          <w:iCs/>
          <w:sz w:val="22"/>
          <w:szCs w:val="22"/>
          <w:lang w:val="es-ES_tradnl" w:eastAsia="en-US"/>
        </w:rPr>
        <w:t xml:space="preserve">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w:t>
      </w:r>
      <w:r>
        <w:rPr>
          <w:rFonts w:ascii="Palatino Linotype" w:eastAsia="Calibri" w:hAnsi="Palatino Linotype" w:cs="Tahoma"/>
          <w:bCs/>
          <w:iCs/>
          <w:sz w:val="22"/>
          <w:szCs w:val="22"/>
          <w:lang w:val="es-ES_tradnl" w:eastAsia="en-US"/>
        </w:rPr>
        <w:t>P</w:t>
      </w:r>
      <w:r w:rsidRPr="009743DE">
        <w:rPr>
          <w:rFonts w:ascii="Palatino Linotype" w:eastAsia="Calibri" w:hAnsi="Palatino Linotype" w:cs="Tahoma"/>
          <w:bCs/>
          <w:iCs/>
          <w:sz w:val="22"/>
          <w:szCs w:val="22"/>
          <w:lang w:val="es-ES_tradnl" w:eastAsia="en-US"/>
        </w:rPr>
        <w:t>articular</w:t>
      </w:r>
      <w:r>
        <w:rPr>
          <w:rFonts w:ascii="Palatino Linotype" w:eastAsia="Calibri" w:hAnsi="Palatino Linotype" w:cs="Tahoma"/>
          <w:bCs/>
          <w:iCs/>
          <w:sz w:val="22"/>
          <w:szCs w:val="22"/>
          <w:lang w:val="es-ES_tradnl" w:eastAsia="en-US"/>
        </w:rPr>
        <w:t>;</w:t>
      </w:r>
      <w:r w:rsidRPr="009743DE">
        <w:rPr>
          <w:rFonts w:ascii="Palatino Linotype" w:eastAsia="Calibri" w:hAnsi="Palatino Linotype" w:cs="Tahoma"/>
          <w:bCs/>
          <w:iCs/>
          <w:sz w:val="22"/>
          <w:szCs w:val="22"/>
          <w:lang w:val="es-ES_tradnl" w:eastAsia="en-US"/>
        </w:rPr>
        <w:t xml:space="preserve"> lo anterior</w:t>
      </w:r>
      <w:r>
        <w:rPr>
          <w:rFonts w:ascii="Palatino Linotype" w:eastAsia="Calibri" w:hAnsi="Palatino Linotype" w:cs="Tahoma"/>
          <w:bCs/>
          <w:iCs/>
          <w:sz w:val="22"/>
          <w:szCs w:val="22"/>
          <w:lang w:val="es-ES_tradnl" w:eastAsia="en-US"/>
        </w:rPr>
        <w:t>,</w:t>
      </w:r>
      <w:r w:rsidRPr="009743DE">
        <w:rPr>
          <w:rFonts w:ascii="Palatino Linotype" w:eastAsia="Calibri" w:hAnsi="Palatino Linotype" w:cs="Tahoma"/>
          <w:bCs/>
          <w:iCs/>
          <w:sz w:val="22"/>
          <w:szCs w:val="22"/>
          <w:lang w:val="es-ES_tradnl" w:eastAsia="en-US"/>
        </w:rPr>
        <w:t xml:space="preserve"> como consecuencia de que </w:t>
      </w:r>
      <w:r>
        <w:rPr>
          <w:rFonts w:ascii="Palatino Linotype" w:eastAsia="Calibri" w:hAnsi="Palatino Linotype" w:cs="Tahoma"/>
          <w:bCs/>
          <w:iCs/>
          <w:sz w:val="22"/>
          <w:szCs w:val="22"/>
          <w:lang w:val="es-ES_tradnl" w:eastAsia="en-US"/>
        </w:rPr>
        <w:t>e</w:t>
      </w:r>
      <w:r w:rsidRPr="009743DE">
        <w:rPr>
          <w:rFonts w:ascii="Palatino Linotype" w:eastAsia="Calibri" w:hAnsi="Palatino Linotype" w:cs="Tahoma"/>
          <w:bCs/>
          <w:iCs/>
          <w:sz w:val="22"/>
          <w:szCs w:val="22"/>
          <w:lang w:val="es-ES_tradnl" w:eastAsia="en-US"/>
        </w:rPr>
        <w:t>ste Órgano Garante no debe suponer bajo ninguna circunstancia que el Recurrente sea un experto en Derecho, mucho menos en la materia del Derecho de Acceso a la Información Pública.</w:t>
      </w:r>
    </w:p>
    <w:p w:rsidR="00D66B35" w:rsidRPr="009743DE" w:rsidRDefault="00D66B35" w:rsidP="00D66B35">
      <w:pPr>
        <w:spacing w:line="360" w:lineRule="auto"/>
        <w:ind w:right="-93"/>
        <w:jc w:val="both"/>
        <w:rPr>
          <w:rFonts w:ascii="Palatino Linotype" w:eastAsia="Calibri" w:hAnsi="Palatino Linotype" w:cs="Tahoma"/>
          <w:bCs/>
          <w:iCs/>
          <w:sz w:val="22"/>
          <w:szCs w:val="22"/>
          <w:lang w:val="es-ES_tradnl" w:eastAsia="en-US"/>
        </w:rPr>
      </w:pPr>
    </w:p>
    <w:p w:rsidR="00D66B35" w:rsidRPr="006855E4" w:rsidRDefault="00D66B35" w:rsidP="00D66B35">
      <w:pPr>
        <w:spacing w:line="360" w:lineRule="auto"/>
        <w:ind w:right="-93"/>
        <w:jc w:val="both"/>
        <w:rPr>
          <w:rFonts w:ascii="Palatino Linotype" w:eastAsia="Calibri" w:hAnsi="Palatino Linotype" w:cs="Tahoma"/>
          <w:bCs/>
          <w:iCs/>
          <w:sz w:val="22"/>
          <w:szCs w:val="22"/>
          <w:lang w:val="es-ES_tradnl" w:eastAsia="es-ES_tradnl"/>
        </w:rPr>
      </w:pPr>
      <w:r w:rsidRPr="006855E4">
        <w:rPr>
          <w:rFonts w:ascii="Palatino Linotype" w:eastAsia="Calibri" w:hAnsi="Palatino Linotype" w:cs="Tahoma"/>
          <w:bCs/>
          <w:iCs/>
          <w:sz w:val="22"/>
          <w:szCs w:val="22"/>
          <w:lang w:val="es-ES_tradnl" w:eastAsia="es-ES_tradnl"/>
        </w:rPr>
        <w:t xml:space="preserve">Por ello, este Órgano </w:t>
      </w:r>
      <w:r w:rsidRPr="006855E4">
        <w:rPr>
          <w:rFonts w:ascii="Palatino Linotype" w:eastAsia="Calibri" w:hAnsi="Palatino Linotype" w:cs="Tahoma"/>
          <w:bCs/>
          <w:iCs/>
          <w:sz w:val="22"/>
          <w:szCs w:val="22"/>
          <w:lang w:val="es-ES_tradnl" w:eastAsia="en-US"/>
        </w:rPr>
        <w:t>Garante</w:t>
      </w:r>
      <w:r w:rsidRPr="006855E4">
        <w:rPr>
          <w:rFonts w:ascii="Palatino Linotype" w:eastAsia="Calibri" w:hAnsi="Palatino Linotype" w:cs="Tahoma"/>
          <w:bCs/>
          <w:iCs/>
          <w:sz w:val="22"/>
          <w:szCs w:val="22"/>
          <w:lang w:val="es-ES_tradnl" w:eastAsia="es-ES_tradnl"/>
        </w:rPr>
        <w:t>, aten</w:t>
      </w:r>
      <w:r>
        <w:rPr>
          <w:rFonts w:ascii="Palatino Linotype" w:eastAsia="Calibri" w:hAnsi="Palatino Linotype" w:cs="Tahoma"/>
          <w:bCs/>
          <w:iCs/>
          <w:sz w:val="22"/>
          <w:szCs w:val="22"/>
          <w:lang w:val="es-ES_tradnl" w:eastAsia="es-ES_tradnl"/>
        </w:rPr>
        <w:t>tos</w:t>
      </w:r>
      <w:r w:rsidRPr="006855E4">
        <w:rPr>
          <w:rFonts w:ascii="Palatino Linotype" w:eastAsia="Calibri" w:hAnsi="Palatino Linotype" w:cs="Tahoma"/>
          <w:bCs/>
          <w:iCs/>
          <w:sz w:val="22"/>
          <w:szCs w:val="22"/>
          <w:lang w:val="es-ES_tradnl" w:eastAsia="es-ES_tradnl"/>
        </w:rPr>
        <w:t xml:space="preserve"> </w:t>
      </w:r>
      <w:r>
        <w:rPr>
          <w:rFonts w:ascii="Palatino Linotype" w:eastAsia="Calibri" w:hAnsi="Palatino Linotype" w:cs="Tahoma"/>
          <w:bCs/>
          <w:iCs/>
          <w:sz w:val="22"/>
          <w:szCs w:val="22"/>
          <w:lang w:val="es-ES_tradnl" w:eastAsia="es-ES_tradnl"/>
        </w:rPr>
        <w:t>a</w:t>
      </w:r>
      <w:r w:rsidRPr="006855E4">
        <w:rPr>
          <w:rFonts w:ascii="Palatino Linotype" w:eastAsia="Calibri" w:hAnsi="Palatino Linotype" w:cs="Tahoma"/>
          <w:bCs/>
          <w:iCs/>
          <w:sz w:val="22"/>
          <w:szCs w:val="22"/>
          <w:lang w:val="es-ES_tradnl" w:eastAsia="es-ES_tradnl"/>
        </w:rPr>
        <w:t xml:space="preserve">l contenido de los numerales 13 y 181 de la Ley de la Materia, procede a realizar la suplencia de la queja deficiente en favor del </w:t>
      </w:r>
      <w:r w:rsidRPr="006855E4">
        <w:rPr>
          <w:rFonts w:ascii="Palatino Linotype" w:eastAsia="Calibri" w:hAnsi="Palatino Linotype" w:cs="Tahoma"/>
          <w:b/>
          <w:bCs/>
          <w:iCs/>
          <w:sz w:val="22"/>
          <w:szCs w:val="22"/>
          <w:lang w:val="es-ES_tradnl" w:eastAsia="es-ES_tradnl"/>
        </w:rPr>
        <w:t>RECURRENTE</w:t>
      </w:r>
      <w:r w:rsidRPr="006855E4">
        <w:rPr>
          <w:rFonts w:ascii="Palatino Linotype" w:eastAsia="Calibri" w:hAnsi="Palatino Linotype" w:cs="Tahoma"/>
          <w:bCs/>
          <w:iCs/>
          <w:sz w:val="22"/>
          <w:szCs w:val="22"/>
          <w:lang w:val="es-ES_tradnl" w:eastAsia="es-ES_tradnl"/>
        </w:rPr>
        <w:t>.</w:t>
      </w:r>
    </w:p>
    <w:p w:rsidR="00D66B35" w:rsidRPr="006855E4" w:rsidRDefault="00D66B35" w:rsidP="00D66B35">
      <w:pPr>
        <w:spacing w:line="360" w:lineRule="auto"/>
        <w:jc w:val="both"/>
        <w:rPr>
          <w:rFonts w:ascii="Palatino Linotype" w:eastAsia="Calibri" w:hAnsi="Palatino Linotype" w:cs="Tahoma"/>
          <w:bCs/>
          <w:iCs/>
          <w:sz w:val="22"/>
          <w:szCs w:val="22"/>
          <w:lang w:val="es-ES_tradnl" w:eastAsia="es-ES_tradnl"/>
        </w:rPr>
      </w:pPr>
    </w:p>
    <w:p w:rsidR="00D66B35" w:rsidRDefault="00D66B35" w:rsidP="00D66B35">
      <w:pPr>
        <w:spacing w:line="360" w:lineRule="auto"/>
        <w:ind w:right="-93"/>
        <w:jc w:val="both"/>
        <w:rPr>
          <w:rFonts w:ascii="Palatino Linotype" w:eastAsia="Calibri" w:hAnsi="Palatino Linotype" w:cs="Tahoma"/>
          <w:bCs/>
          <w:iCs/>
          <w:sz w:val="22"/>
          <w:szCs w:val="22"/>
          <w:lang w:val="es-ES_tradnl" w:eastAsia="es-ES_tradnl"/>
        </w:rPr>
      </w:pPr>
      <w:r>
        <w:rPr>
          <w:rFonts w:ascii="Palatino Linotype" w:eastAsia="Calibri" w:hAnsi="Palatino Linotype" w:cs="Tahoma"/>
          <w:bCs/>
          <w:iCs/>
          <w:sz w:val="22"/>
          <w:szCs w:val="22"/>
          <w:lang w:val="es-ES_tradnl" w:eastAsia="es-ES_tradnl"/>
        </w:rPr>
        <w:t>Por lo anterior, sirve</w:t>
      </w:r>
      <w:r w:rsidRPr="006855E4">
        <w:rPr>
          <w:rFonts w:ascii="Palatino Linotype" w:eastAsia="Calibri" w:hAnsi="Palatino Linotype" w:cs="Tahoma"/>
          <w:bCs/>
          <w:iCs/>
          <w:sz w:val="22"/>
          <w:szCs w:val="22"/>
          <w:lang w:val="es-ES_tradnl" w:eastAsia="es-ES_tradnl"/>
        </w:rPr>
        <w:t xml:space="preserve"> </w:t>
      </w:r>
      <w:r w:rsidRPr="006855E4">
        <w:rPr>
          <w:rFonts w:ascii="Palatino Linotype" w:eastAsia="Calibri" w:hAnsi="Palatino Linotype" w:cs="Tahoma"/>
          <w:bCs/>
          <w:iCs/>
          <w:sz w:val="22"/>
          <w:szCs w:val="22"/>
          <w:lang w:val="es-ES_tradnl" w:eastAsia="en-US"/>
        </w:rPr>
        <w:t>como</w:t>
      </w:r>
      <w:r w:rsidRPr="006855E4">
        <w:rPr>
          <w:rFonts w:ascii="Palatino Linotype" w:eastAsia="Calibri" w:hAnsi="Palatino Linotype" w:cs="Tahoma"/>
          <w:bCs/>
          <w:iCs/>
          <w:sz w:val="22"/>
          <w:szCs w:val="22"/>
          <w:lang w:val="es-ES_tradnl" w:eastAsia="es-ES_tradnl"/>
        </w:rPr>
        <w:t xml:space="preserve"> criterio orientador la jurisprudencia administrativa 1a./J. 17/2000, emanada por la Suprema Corte de Justicia de la Nación, la cual dicta lo siguiente:</w:t>
      </w:r>
    </w:p>
    <w:p w:rsidR="00D66B35" w:rsidRPr="006855E4" w:rsidRDefault="00D66B35" w:rsidP="00D66B35">
      <w:pPr>
        <w:spacing w:line="360" w:lineRule="auto"/>
        <w:jc w:val="both"/>
        <w:rPr>
          <w:rFonts w:ascii="Palatino Linotype" w:eastAsia="Calibri" w:hAnsi="Palatino Linotype" w:cs="Tahoma"/>
          <w:bCs/>
          <w:iCs/>
          <w:sz w:val="22"/>
          <w:szCs w:val="22"/>
          <w:lang w:val="es-ES_tradnl" w:eastAsia="es-ES_tradnl"/>
        </w:rPr>
      </w:pPr>
    </w:p>
    <w:p w:rsidR="00D66B35" w:rsidRPr="00D66B35" w:rsidRDefault="00D66B35" w:rsidP="00D66B35">
      <w:pPr>
        <w:spacing w:line="360" w:lineRule="auto"/>
        <w:ind w:left="567" w:right="539"/>
        <w:jc w:val="both"/>
        <w:rPr>
          <w:rFonts w:ascii="Palatino Linotype" w:eastAsia="Calibri" w:hAnsi="Palatino Linotype" w:cs="Tahoma"/>
          <w:bCs/>
          <w:i/>
          <w:iCs/>
          <w:sz w:val="22"/>
          <w:szCs w:val="22"/>
          <w:lang w:val="es-ES_tradnl" w:eastAsia="es-ES_tradnl"/>
        </w:rPr>
      </w:pPr>
      <w:r w:rsidRPr="00D66B35">
        <w:rPr>
          <w:rFonts w:ascii="Palatino Linotype" w:eastAsia="Calibri" w:hAnsi="Palatino Linotype" w:cs="Tahoma"/>
          <w:b/>
          <w:bCs/>
          <w:i/>
          <w:iCs/>
          <w:sz w:val="22"/>
          <w:szCs w:val="22"/>
          <w:lang w:val="es-ES_tradnl" w:eastAsia="es-ES_tradnl"/>
        </w:rPr>
        <w:t>SUPLENCIA DE LA QUEJA DEFICIENTE EN MATERIA ADMINISTRATIVA. PROCEDENCIA.</w:t>
      </w:r>
      <w:r w:rsidRPr="00D66B35">
        <w:rPr>
          <w:rFonts w:ascii="Palatino Linotype" w:eastAsia="Calibri" w:hAnsi="Palatino Linotype" w:cs="Tahoma"/>
          <w:bCs/>
          <w:i/>
          <w:iCs/>
          <w:sz w:val="22"/>
          <w:szCs w:val="22"/>
          <w:lang w:val="es-ES_tradnl" w:eastAsia="es-ES_tradnl"/>
        </w:rPr>
        <w:t xml:space="preserve"> Para que proceda la suplencia de los conceptos de violación deficientes en la demanda de amparo o de los agravios en la revisión, en materias como la administrativa, en términos de lo dispuesto en la fracción VI del artículo 76 bis de la Ley de Amparo, se requiere que el juzgador advierta que el acto reclamado, independientemente </w:t>
      </w:r>
      <w:r w:rsidRPr="00D66B35">
        <w:rPr>
          <w:rFonts w:ascii="Palatino Linotype" w:eastAsia="Calibri" w:hAnsi="Palatino Linotype" w:cs="Tahoma"/>
          <w:bCs/>
          <w:i/>
          <w:iCs/>
          <w:sz w:val="22"/>
          <w:szCs w:val="22"/>
          <w:lang w:val="es-ES_tradnl" w:eastAsia="es-ES_tradnl"/>
        </w:rPr>
        <w:lastRenderedPageBreak/>
        <w:t>de aquellos aspectos que se le impugnan por vicios de legalidad o de inconstitucionalidad, implique además, una violación manifiesta de la ley que deje sin defensa al quejoso o al particular recurrente. Se entiende por "violación manifiesta de la ley que deje sin defensa", aquella actuación en el auto reclamado de las autoridades responsables (ordenadoras o ejecutoras) que haga visiblemente notoria e indiscutible la vulneración a las garantías individuales del quejoso, ya sea en forma directa, o bien, indirectamente, mediante la transgresión a las 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necesariamente de la demostración del promovente del amparo, para acreditar la ilegalidad o inconstitucionalidad del acto, o bien, de allegarse de cuestiones ajenas a la litis planteada, porque de ser así, ya no se estaría ante la presencia de una violación manifiesta de la ley que deje sin defensa al quejoso o agraviado.</w:t>
      </w:r>
    </w:p>
    <w:p w:rsidR="00D66B35" w:rsidRPr="006855E4" w:rsidRDefault="00D66B35" w:rsidP="00D66B35">
      <w:pPr>
        <w:spacing w:line="360" w:lineRule="auto"/>
        <w:jc w:val="both"/>
        <w:rPr>
          <w:rFonts w:ascii="Palatino Linotype" w:eastAsia="Calibri" w:hAnsi="Palatino Linotype" w:cs="Tahoma"/>
          <w:bCs/>
          <w:iCs/>
          <w:sz w:val="22"/>
          <w:szCs w:val="22"/>
          <w:lang w:val="es-ES_tradnl" w:eastAsia="es-ES_tradnl"/>
        </w:rPr>
      </w:pPr>
    </w:p>
    <w:p w:rsidR="00D66B35" w:rsidRDefault="00D66B35" w:rsidP="00D66B35">
      <w:pPr>
        <w:spacing w:line="360" w:lineRule="auto"/>
        <w:ind w:right="-93"/>
        <w:jc w:val="both"/>
        <w:rPr>
          <w:rFonts w:ascii="Palatino Linotype" w:eastAsia="Calibri" w:hAnsi="Palatino Linotype" w:cs="Tahoma"/>
          <w:bCs/>
          <w:iCs/>
          <w:sz w:val="22"/>
          <w:szCs w:val="22"/>
          <w:lang w:val="es-ES_tradnl" w:eastAsia="es-ES_tradnl"/>
        </w:rPr>
      </w:pPr>
      <w:r w:rsidRPr="006855E4">
        <w:rPr>
          <w:rFonts w:ascii="Palatino Linotype" w:eastAsia="Calibri" w:hAnsi="Palatino Linotype" w:cs="Tahoma"/>
          <w:bCs/>
          <w:iCs/>
          <w:sz w:val="22"/>
          <w:szCs w:val="22"/>
          <w:lang w:val="es-ES_tradnl" w:eastAsia="es-ES_tradnl"/>
        </w:rPr>
        <w:t xml:space="preserve">Así, de acuerdo a la Ley de Transparencia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mejorar la toma decisiones, a través de la difusión de la información que obra en </w:t>
      </w:r>
      <w:r>
        <w:rPr>
          <w:rFonts w:ascii="Palatino Linotype" w:eastAsia="Calibri" w:hAnsi="Palatino Linotype" w:cs="Tahoma"/>
          <w:bCs/>
          <w:iCs/>
          <w:sz w:val="22"/>
          <w:szCs w:val="22"/>
          <w:lang w:val="es-ES_tradnl" w:eastAsia="es-ES_tradnl"/>
        </w:rPr>
        <w:t xml:space="preserve">poder de los Sujetos Obligados. </w:t>
      </w:r>
    </w:p>
    <w:p w:rsidR="00D66B35" w:rsidRPr="00516CC9" w:rsidRDefault="00D66B35" w:rsidP="00516CC9">
      <w:pPr>
        <w:tabs>
          <w:tab w:val="left" w:pos="4962"/>
        </w:tabs>
        <w:spacing w:line="360" w:lineRule="auto"/>
        <w:jc w:val="both"/>
        <w:rPr>
          <w:rFonts w:ascii="Palatino Linotype" w:eastAsia="Calibri" w:hAnsi="Palatino Linotype" w:cs="Tahoma"/>
          <w:iCs/>
          <w:sz w:val="22"/>
          <w:szCs w:val="22"/>
          <w:lang w:val="es-ES" w:eastAsia="es-ES_tradnl"/>
        </w:rPr>
      </w:pPr>
    </w:p>
    <w:p w:rsidR="00E8107F" w:rsidRPr="00516CC9" w:rsidRDefault="00D66B35" w:rsidP="00516CC9">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Ahora bien de las constancias que obra en el expediente se advierte que </w:t>
      </w:r>
      <w:r w:rsidR="00E8107F" w:rsidRPr="00516CC9">
        <w:rPr>
          <w:rFonts w:ascii="Palatino Linotype" w:eastAsia="Calibri" w:hAnsi="Palatino Linotype" w:cs="Tahoma"/>
          <w:iCs/>
          <w:sz w:val="22"/>
          <w:szCs w:val="22"/>
          <w:lang w:val="es-ES" w:eastAsia="es-ES_tradnl"/>
        </w:rPr>
        <w:t xml:space="preserve">el Sujeto Obligado </w:t>
      </w:r>
      <w:r>
        <w:rPr>
          <w:rFonts w:ascii="Palatino Linotype" w:eastAsia="Calibri" w:hAnsi="Palatino Linotype" w:cs="Tahoma"/>
          <w:iCs/>
          <w:sz w:val="22"/>
          <w:szCs w:val="22"/>
          <w:lang w:val="es-ES" w:eastAsia="es-ES_tradnl"/>
        </w:rPr>
        <w:t xml:space="preserve">en Informe Justificado </w:t>
      </w:r>
      <w:r w:rsidR="00E8107F" w:rsidRPr="00516CC9">
        <w:rPr>
          <w:rFonts w:ascii="Palatino Linotype" w:eastAsia="Calibri" w:hAnsi="Palatino Linotype" w:cs="Tahoma"/>
          <w:iCs/>
          <w:sz w:val="22"/>
          <w:szCs w:val="22"/>
          <w:lang w:val="es-ES" w:eastAsia="es-ES_tradnl"/>
        </w:rPr>
        <w:t xml:space="preserve">señaló que la liga proporcionada en respuesta había </w:t>
      </w:r>
      <w:r w:rsidR="00D96B0B" w:rsidRPr="00516CC9">
        <w:rPr>
          <w:rFonts w:ascii="Palatino Linotype" w:eastAsia="Calibri" w:hAnsi="Palatino Linotype" w:cs="Tahoma"/>
          <w:iCs/>
          <w:sz w:val="22"/>
          <w:szCs w:val="22"/>
          <w:lang w:val="es-ES" w:eastAsia="es-ES_tradnl"/>
        </w:rPr>
        <w:t xml:space="preserve">cambiado, a lo que brindaba </w:t>
      </w:r>
      <w:r w:rsidR="008D76CD" w:rsidRPr="00516CC9">
        <w:rPr>
          <w:rFonts w:ascii="Palatino Linotype" w:eastAsia="Calibri" w:hAnsi="Palatino Linotype" w:cs="Tahoma"/>
          <w:iCs/>
          <w:sz w:val="22"/>
          <w:szCs w:val="22"/>
          <w:lang w:val="es-ES" w:eastAsia="es-ES_tradnl"/>
        </w:rPr>
        <w:t xml:space="preserve">la correcta: </w:t>
      </w:r>
      <w:hyperlink r:id="rId9" w:history="1">
        <w:r w:rsidR="008D76CD" w:rsidRPr="00516CC9">
          <w:rPr>
            <w:rStyle w:val="Hipervnculo"/>
            <w:rFonts w:ascii="Palatino Linotype" w:eastAsia="Calibri" w:hAnsi="Palatino Linotype" w:cs="Tahoma"/>
            <w:iCs/>
            <w:sz w:val="22"/>
            <w:szCs w:val="22"/>
            <w:lang w:val="es-ES" w:eastAsia="es-ES_tradnl"/>
          </w:rPr>
          <w:t>http://www.ipomex.org.mx/ipo3/lgt/indice/ATIZAPANDEZARAGOZA/art_94_i_f7/1.web</w:t>
        </w:r>
      </w:hyperlink>
      <w:r w:rsidR="00D96B0B" w:rsidRPr="00516CC9">
        <w:rPr>
          <w:rFonts w:ascii="Palatino Linotype" w:eastAsia="Calibri" w:hAnsi="Palatino Linotype" w:cs="Tahoma"/>
          <w:iCs/>
          <w:sz w:val="22"/>
          <w:szCs w:val="22"/>
          <w:lang w:val="es-ES" w:eastAsia="es-ES_tradnl"/>
        </w:rPr>
        <w:t xml:space="preserve">, por lo que si bien es cierto dicha liga pudiera </w:t>
      </w:r>
      <w:r>
        <w:rPr>
          <w:rFonts w:ascii="Palatino Linotype" w:eastAsia="Calibri" w:hAnsi="Palatino Linotype" w:cs="Tahoma"/>
          <w:iCs/>
          <w:sz w:val="22"/>
          <w:szCs w:val="22"/>
          <w:lang w:val="es-ES" w:eastAsia="es-ES_tradnl"/>
        </w:rPr>
        <w:t xml:space="preserve">en parte </w:t>
      </w:r>
      <w:r w:rsidR="00D96B0B" w:rsidRPr="00516CC9">
        <w:rPr>
          <w:rFonts w:ascii="Palatino Linotype" w:eastAsia="Calibri" w:hAnsi="Palatino Linotype" w:cs="Tahoma"/>
          <w:iCs/>
          <w:sz w:val="22"/>
          <w:szCs w:val="22"/>
          <w:lang w:val="es-ES" w:eastAsia="es-ES_tradnl"/>
        </w:rPr>
        <w:t xml:space="preserve">colmar lo solicitado por el Particular, se </w:t>
      </w:r>
      <w:r w:rsidR="00D96B0B" w:rsidRPr="00516CC9">
        <w:rPr>
          <w:rFonts w:ascii="Palatino Linotype" w:eastAsia="Calibri" w:hAnsi="Palatino Linotype" w:cs="Tahoma"/>
          <w:iCs/>
          <w:sz w:val="22"/>
          <w:szCs w:val="22"/>
          <w:lang w:val="es-ES" w:eastAsia="es-ES_tradnl"/>
        </w:rPr>
        <w:lastRenderedPageBreak/>
        <w:t xml:space="preserve">advierte que </w:t>
      </w:r>
      <w:r w:rsidR="00503E67" w:rsidRPr="00516CC9">
        <w:rPr>
          <w:rFonts w:ascii="Palatino Linotype" w:eastAsia="Calibri" w:hAnsi="Palatino Linotype" w:cs="Tahoma"/>
          <w:iCs/>
          <w:sz w:val="22"/>
          <w:szCs w:val="22"/>
          <w:lang w:val="es-ES" w:eastAsia="es-ES_tradnl"/>
        </w:rPr>
        <w:t>en algunos</w:t>
      </w:r>
      <w:r w:rsidR="00D96B0B" w:rsidRPr="00516CC9">
        <w:rPr>
          <w:rFonts w:ascii="Palatino Linotype" w:eastAsia="Calibri" w:hAnsi="Palatino Linotype" w:cs="Tahoma"/>
          <w:iCs/>
          <w:sz w:val="22"/>
          <w:szCs w:val="22"/>
          <w:lang w:val="es-ES" w:eastAsia="es-ES_tradnl"/>
        </w:rPr>
        <w:t xml:space="preserve"> hipervínculos que deberían de contener</w:t>
      </w:r>
      <w:r w:rsidR="00AC1A92" w:rsidRPr="00516CC9">
        <w:rPr>
          <w:rFonts w:ascii="Palatino Linotype" w:eastAsia="Calibri" w:hAnsi="Palatino Linotype" w:cs="Tahoma"/>
          <w:iCs/>
          <w:sz w:val="22"/>
          <w:szCs w:val="22"/>
          <w:lang w:val="es-ES" w:eastAsia="es-ES_tradnl"/>
        </w:rPr>
        <w:t xml:space="preserve"> adjunta </w:t>
      </w:r>
      <w:r w:rsidR="00D96B0B" w:rsidRPr="00516CC9">
        <w:rPr>
          <w:rFonts w:ascii="Palatino Linotype" w:eastAsia="Calibri" w:hAnsi="Palatino Linotype" w:cs="Tahoma"/>
          <w:iCs/>
          <w:sz w:val="22"/>
          <w:szCs w:val="22"/>
          <w:lang w:val="es-ES" w:eastAsia="es-ES_tradnl"/>
        </w:rPr>
        <w:t xml:space="preserve">la licencia </w:t>
      </w:r>
      <w:r w:rsidR="00AC1A92" w:rsidRPr="00516CC9">
        <w:rPr>
          <w:rFonts w:ascii="Palatino Linotype" w:eastAsia="Calibri" w:hAnsi="Palatino Linotype" w:cs="Tahoma"/>
          <w:iCs/>
          <w:sz w:val="22"/>
          <w:szCs w:val="22"/>
          <w:lang w:val="es-ES" w:eastAsia="es-ES_tradnl"/>
        </w:rPr>
        <w:t>correspondiente</w:t>
      </w:r>
      <w:r w:rsidR="00345698" w:rsidRPr="00516CC9">
        <w:rPr>
          <w:rFonts w:ascii="Palatino Linotype" w:eastAsia="Calibri" w:hAnsi="Palatino Linotype" w:cs="Tahoma"/>
          <w:iCs/>
          <w:sz w:val="22"/>
          <w:szCs w:val="22"/>
          <w:lang w:val="es-ES" w:eastAsia="es-ES_tradnl"/>
        </w:rPr>
        <w:t>,</w:t>
      </w:r>
      <w:r w:rsidR="00AC1A92" w:rsidRPr="00516CC9">
        <w:rPr>
          <w:rFonts w:ascii="Palatino Linotype" w:eastAsia="Calibri" w:hAnsi="Palatino Linotype" w:cs="Tahoma"/>
          <w:iCs/>
          <w:sz w:val="22"/>
          <w:szCs w:val="22"/>
          <w:lang w:val="es-ES" w:eastAsia="es-ES_tradnl"/>
        </w:rPr>
        <w:t xml:space="preserve"> </w:t>
      </w:r>
      <w:r w:rsidR="00503E67" w:rsidRPr="00516CC9">
        <w:rPr>
          <w:rFonts w:ascii="Palatino Linotype" w:eastAsia="Calibri" w:hAnsi="Palatino Linotype" w:cs="Tahoma"/>
          <w:iCs/>
          <w:sz w:val="22"/>
          <w:szCs w:val="22"/>
          <w:lang w:val="es-ES" w:eastAsia="es-ES_tradnl"/>
        </w:rPr>
        <w:t xml:space="preserve">no </w:t>
      </w:r>
      <w:r w:rsidR="00D96B0B" w:rsidRPr="00516CC9">
        <w:rPr>
          <w:rFonts w:ascii="Palatino Linotype" w:eastAsia="Calibri" w:hAnsi="Palatino Linotype" w:cs="Tahoma"/>
          <w:iCs/>
          <w:sz w:val="22"/>
          <w:szCs w:val="22"/>
          <w:lang w:val="es-ES" w:eastAsia="es-ES_tradnl"/>
        </w:rPr>
        <w:t>la tienen</w:t>
      </w:r>
      <w:r w:rsidR="00345698" w:rsidRPr="00516CC9">
        <w:rPr>
          <w:rFonts w:ascii="Palatino Linotype" w:eastAsia="Calibri" w:hAnsi="Palatino Linotype" w:cs="Tahoma"/>
          <w:iCs/>
          <w:sz w:val="22"/>
          <w:szCs w:val="22"/>
          <w:lang w:val="es-ES" w:eastAsia="es-ES_tradnl"/>
        </w:rPr>
        <w:t>,</w:t>
      </w:r>
      <w:r w:rsidR="00D96B0B" w:rsidRPr="00516CC9">
        <w:rPr>
          <w:rFonts w:ascii="Palatino Linotype" w:eastAsia="Calibri" w:hAnsi="Palatino Linotype" w:cs="Tahoma"/>
          <w:iCs/>
          <w:sz w:val="22"/>
          <w:szCs w:val="22"/>
          <w:lang w:val="es-ES" w:eastAsia="es-ES_tradnl"/>
        </w:rPr>
        <w:t xml:space="preserve"> tal y como se muestra con las siguientes capturas de pantalla:</w:t>
      </w:r>
    </w:p>
    <w:p w:rsidR="00D96B0B" w:rsidRPr="00516CC9" w:rsidRDefault="00D96B0B" w:rsidP="00516CC9">
      <w:pPr>
        <w:tabs>
          <w:tab w:val="left" w:pos="4962"/>
        </w:tabs>
        <w:spacing w:line="360" w:lineRule="auto"/>
        <w:jc w:val="center"/>
        <w:rPr>
          <w:rFonts w:ascii="Palatino Linotype" w:eastAsia="Calibri" w:hAnsi="Palatino Linotype" w:cs="Tahoma"/>
          <w:iCs/>
          <w:sz w:val="22"/>
          <w:szCs w:val="22"/>
          <w:lang w:val="es-ES" w:eastAsia="es-ES_tradnl"/>
        </w:rPr>
      </w:pPr>
      <w:r w:rsidRPr="00516CC9">
        <w:rPr>
          <w:noProof/>
          <w:sz w:val="22"/>
          <w:szCs w:val="22"/>
          <w:lang w:eastAsia="es-MX"/>
        </w:rPr>
        <mc:AlternateContent>
          <mc:Choice Requires="wps">
            <w:drawing>
              <wp:anchor distT="0" distB="0" distL="114300" distR="114300" simplePos="0" relativeHeight="251659264" behindDoc="0" locked="0" layoutInCell="1" allowOverlap="1">
                <wp:simplePos x="0" y="0"/>
                <wp:positionH relativeFrom="column">
                  <wp:posOffset>645796</wp:posOffset>
                </wp:positionH>
                <wp:positionV relativeFrom="paragraph">
                  <wp:posOffset>2233930</wp:posOffset>
                </wp:positionV>
                <wp:extent cx="340115" cy="689064"/>
                <wp:effectExtent l="0" t="136525" r="0" b="95250"/>
                <wp:wrapNone/>
                <wp:docPr id="2" name="Flecha abajo 2"/>
                <wp:cNvGraphicFramePr/>
                <a:graphic xmlns:a="http://schemas.openxmlformats.org/drawingml/2006/main">
                  <a:graphicData uri="http://schemas.microsoft.com/office/word/2010/wordprocessingShape">
                    <wps:wsp>
                      <wps:cNvSpPr/>
                      <wps:spPr>
                        <a:xfrm rot="18459347">
                          <a:off x="0" y="0"/>
                          <a:ext cx="340115" cy="689064"/>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A3C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 o:spid="_x0000_s1026" type="#_x0000_t67" style="position:absolute;margin-left:50.85pt;margin-top:175.9pt;width:26.8pt;height:54.25pt;rotation:-343043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" adj="16269" fillcolor="red" strokecolor="#1f3763 [1604]" strokeweight="1pt"/>
            </w:pict>
          </mc:Fallback>
        </mc:AlternateContent>
      </w:r>
      <w:r w:rsidRPr="00516CC9">
        <w:rPr>
          <w:noProof/>
          <w:sz w:val="22"/>
          <w:szCs w:val="22"/>
          <w:lang w:eastAsia="es-MX"/>
        </w:rPr>
        <w:drawing>
          <wp:inline distT="0" distB="0" distL="0" distR="0" wp14:anchorId="128A4819" wp14:editId="349A9A62">
            <wp:extent cx="3638021" cy="35052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030" t="18634" r="39297" b="25397"/>
                    <a:stretch/>
                  </pic:blipFill>
                  <pic:spPr bwMode="auto">
                    <a:xfrm>
                      <a:off x="0" y="0"/>
                      <a:ext cx="3654535" cy="3521112"/>
                    </a:xfrm>
                    <a:prstGeom prst="rect">
                      <a:avLst/>
                    </a:prstGeom>
                    <a:ln>
                      <a:noFill/>
                    </a:ln>
                    <a:extLst>
                      <a:ext uri="{53640926-AAD7-44D8-BBD7-CCE9431645EC}">
                        <a14:shadowObscured xmlns:a14="http://schemas.microsoft.com/office/drawing/2010/main"/>
                      </a:ext>
                    </a:extLst>
                  </pic:spPr>
                </pic:pic>
              </a:graphicData>
            </a:graphic>
          </wp:inline>
        </w:drawing>
      </w:r>
    </w:p>
    <w:p w:rsidR="00D96B0B" w:rsidRPr="00516CC9" w:rsidRDefault="00D96B0B" w:rsidP="00516CC9">
      <w:pPr>
        <w:tabs>
          <w:tab w:val="left" w:pos="4962"/>
        </w:tabs>
        <w:spacing w:line="360" w:lineRule="auto"/>
        <w:jc w:val="both"/>
        <w:rPr>
          <w:rFonts w:ascii="Palatino Linotype" w:eastAsia="Calibri" w:hAnsi="Palatino Linotype" w:cs="Tahoma"/>
          <w:iCs/>
          <w:sz w:val="22"/>
          <w:szCs w:val="22"/>
          <w:lang w:val="es-ES" w:eastAsia="es-ES_tradnl"/>
        </w:rPr>
      </w:pPr>
    </w:p>
    <w:p w:rsidR="00D96B0B" w:rsidRPr="00516CC9" w:rsidRDefault="00295B6A" w:rsidP="00516CC9">
      <w:pPr>
        <w:tabs>
          <w:tab w:val="left" w:pos="4962"/>
        </w:tabs>
        <w:spacing w:line="360" w:lineRule="auto"/>
        <w:jc w:val="center"/>
        <w:rPr>
          <w:rFonts w:ascii="Palatino Linotype" w:eastAsia="Calibri" w:hAnsi="Palatino Linotype" w:cs="Tahoma"/>
          <w:sz w:val="22"/>
          <w:szCs w:val="22"/>
          <w:lang w:eastAsia="es-ES_tradnl"/>
        </w:rPr>
      </w:pPr>
      <w:r w:rsidRPr="00516CC9">
        <w:rPr>
          <w:noProof/>
          <w:sz w:val="22"/>
          <w:szCs w:val="22"/>
          <w:lang w:eastAsia="es-MX"/>
        </w:rPr>
        <w:drawing>
          <wp:inline distT="0" distB="0" distL="0" distR="0" wp14:anchorId="4F0CD93F" wp14:editId="53215117">
            <wp:extent cx="3405741" cy="195262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68" t="34500" r="56214" b="27462"/>
                    <a:stretch/>
                  </pic:blipFill>
                  <pic:spPr bwMode="auto">
                    <a:xfrm>
                      <a:off x="0" y="0"/>
                      <a:ext cx="3413413" cy="1957023"/>
                    </a:xfrm>
                    <a:prstGeom prst="rect">
                      <a:avLst/>
                    </a:prstGeom>
                    <a:ln>
                      <a:noFill/>
                    </a:ln>
                    <a:extLst>
                      <a:ext uri="{53640926-AAD7-44D8-BBD7-CCE9431645EC}">
                        <a14:shadowObscured xmlns:a14="http://schemas.microsoft.com/office/drawing/2010/main"/>
                      </a:ext>
                    </a:extLst>
                  </pic:spPr>
                </pic:pic>
              </a:graphicData>
            </a:graphic>
          </wp:inline>
        </w:drawing>
      </w:r>
    </w:p>
    <w:p w:rsidR="009B116D" w:rsidRPr="00516CC9" w:rsidRDefault="009B116D" w:rsidP="00516CC9">
      <w:pPr>
        <w:tabs>
          <w:tab w:val="left" w:pos="4962"/>
        </w:tabs>
        <w:spacing w:line="360" w:lineRule="auto"/>
        <w:jc w:val="both"/>
        <w:rPr>
          <w:rFonts w:ascii="Palatino Linotype" w:eastAsia="Calibri" w:hAnsi="Palatino Linotype" w:cs="Tahoma"/>
          <w:sz w:val="22"/>
          <w:szCs w:val="22"/>
          <w:lang w:eastAsia="es-ES_tradnl"/>
        </w:rPr>
      </w:pPr>
    </w:p>
    <w:p w:rsidR="00AC1A92" w:rsidRPr="00516CC9" w:rsidRDefault="00345698" w:rsidP="00516CC9">
      <w:pPr>
        <w:tabs>
          <w:tab w:val="left" w:pos="4962"/>
        </w:tabs>
        <w:spacing w:line="360" w:lineRule="auto"/>
        <w:jc w:val="both"/>
        <w:rPr>
          <w:rFonts w:ascii="Palatino Linotype" w:eastAsia="Calibri" w:hAnsi="Palatino Linotype" w:cs="Tahoma"/>
          <w:sz w:val="22"/>
          <w:szCs w:val="22"/>
          <w:lang w:eastAsia="es-ES_tradnl"/>
        </w:rPr>
      </w:pPr>
      <w:r w:rsidRPr="00516CC9">
        <w:rPr>
          <w:rFonts w:ascii="Palatino Linotype" w:eastAsia="Calibri" w:hAnsi="Palatino Linotype" w:cs="Tahoma"/>
          <w:sz w:val="22"/>
          <w:szCs w:val="22"/>
          <w:lang w:eastAsia="es-ES_tradnl"/>
        </w:rPr>
        <w:t xml:space="preserve">Es por ello que </w:t>
      </w:r>
      <w:r w:rsidR="00503E67" w:rsidRPr="00516CC9">
        <w:rPr>
          <w:rFonts w:ascii="Palatino Linotype" w:eastAsia="Calibri" w:hAnsi="Palatino Linotype" w:cs="Tahoma"/>
          <w:sz w:val="22"/>
          <w:szCs w:val="22"/>
          <w:lang w:eastAsia="es-ES_tradnl"/>
        </w:rPr>
        <w:t>el Informe Justificado de</w:t>
      </w:r>
      <w:r w:rsidR="00E8107F" w:rsidRPr="00516CC9">
        <w:rPr>
          <w:rFonts w:ascii="Palatino Linotype" w:eastAsia="Calibri" w:hAnsi="Palatino Linotype" w:cs="Tahoma"/>
          <w:sz w:val="22"/>
          <w:szCs w:val="22"/>
          <w:lang w:eastAsia="es-ES_tradnl"/>
        </w:rPr>
        <w:t xml:space="preserve">l Sujeto Obligado </w:t>
      </w:r>
      <w:r w:rsidRPr="00516CC9">
        <w:rPr>
          <w:rFonts w:ascii="Palatino Linotype" w:eastAsia="Calibri" w:hAnsi="Palatino Linotype" w:cs="Tahoma"/>
          <w:sz w:val="22"/>
          <w:szCs w:val="22"/>
          <w:lang w:eastAsia="es-ES_tradnl"/>
        </w:rPr>
        <w:t xml:space="preserve">no satisface </w:t>
      </w:r>
      <w:r w:rsidR="00E8107F" w:rsidRPr="00516CC9">
        <w:rPr>
          <w:rFonts w:ascii="Palatino Linotype" w:eastAsia="Calibri" w:hAnsi="Palatino Linotype" w:cs="Tahoma"/>
          <w:sz w:val="22"/>
          <w:szCs w:val="22"/>
          <w:lang w:eastAsia="es-ES_tradnl"/>
        </w:rPr>
        <w:t>l</w:t>
      </w:r>
      <w:r w:rsidR="00503E67" w:rsidRPr="00516CC9">
        <w:rPr>
          <w:rFonts w:ascii="Palatino Linotype" w:eastAsia="Calibri" w:hAnsi="Palatino Linotype" w:cs="Tahoma"/>
          <w:sz w:val="22"/>
          <w:szCs w:val="22"/>
          <w:lang w:eastAsia="es-ES_tradnl"/>
        </w:rPr>
        <w:t xml:space="preserve">o solicitado por el Particular ya que este en </w:t>
      </w:r>
      <w:r w:rsidR="00AC1A92" w:rsidRPr="00516CC9">
        <w:rPr>
          <w:rFonts w:ascii="Palatino Linotype" w:eastAsia="Calibri" w:hAnsi="Palatino Linotype" w:cs="Tahoma"/>
          <w:sz w:val="22"/>
          <w:szCs w:val="22"/>
          <w:lang w:eastAsia="es-ES_tradnl"/>
        </w:rPr>
        <w:t xml:space="preserve">su </w:t>
      </w:r>
      <w:r w:rsidR="00503E67" w:rsidRPr="00516CC9">
        <w:rPr>
          <w:rFonts w:ascii="Palatino Linotype" w:eastAsia="Calibri" w:hAnsi="Palatino Linotype" w:cs="Tahoma"/>
          <w:sz w:val="22"/>
          <w:szCs w:val="22"/>
          <w:lang w:eastAsia="es-ES_tradnl"/>
        </w:rPr>
        <w:t xml:space="preserve">solicitud </w:t>
      </w:r>
      <w:r w:rsidR="00AC1A92" w:rsidRPr="00516CC9">
        <w:rPr>
          <w:rFonts w:ascii="Palatino Linotype" w:eastAsia="Calibri" w:hAnsi="Palatino Linotype" w:cs="Tahoma"/>
          <w:sz w:val="22"/>
          <w:szCs w:val="22"/>
          <w:lang w:eastAsia="es-ES_tradnl"/>
        </w:rPr>
        <w:t>de acceso a la información señala que requiere la información con evidencia digital o electrónica</w:t>
      </w:r>
      <w:r w:rsidRPr="00516CC9">
        <w:rPr>
          <w:rFonts w:ascii="Palatino Linotype" w:eastAsia="Calibri" w:hAnsi="Palatino Linotype" w:cs="Tahoma"/>
          <w:sz w:val="22"/>
          <w:szCs w:val="22"/>
          <w:lang w:eastAsia="es-ES_tradnl"/>
        </w:rPr>
        <w:t xml:space="preserve"> de las licencias</w:t>
      </w:r>
      <w:r w:rsidR="00AC1A92" w:rsidRPr="00516CC9">
        <w:rPr>
          <w:rFonts w:ascii="Palatino Linotype" w:eastAsia="Calibri" w:hAnsi="Palatino Linotype" w:cs="Tahoma"/>
          <w:sz w:val="22"/>
          <w:szCs w:val="22"/>
          <w:lang w:eastAsia="es-ES_tradnl"/>
        </w:rPr>
        <w:t xml:space="preserve">, siendo </w:t>
      </w:r>
      <w:r w:rsidRPr="00516CC9">
        <w:rPr>
          <w:rFonts w:ascii="Palatino Linotype" w:eastAsia="Calibri" w:hAnsi="Palatino Linotype" w:cs="Tahoma"/>
          <w:sz w:val="22"/>
          <w:szCs w:val="22"/>
          <w:lang w:eastAsia="es-ES_tradnl"/>
        </w:rPr>
        <w:t xml:space="preserve">estas </w:t>
      </w:r>
      <w:r w:rsidR="00AC1A92" w:rsidRPr="00516CC9">
        <w:rPr>
          <w:rFonts w:ascii="Palatino Linotype" w:eastAsia="Calibri" w:hAnsi="Palatino Linotype" w:cs="Tahoma"/>
          <w:sz w:val="22"/>
          <w:szCs w:val="22"/>
          <w:lang w:eastAsia="es-ES_tradnl"/>
        </w:rPr>
        <w:t xml:space="preserve">el documento </w:t>
      </w:r>
      <w:r w:rsidR="00AC1A92" w:rsidRPr="00516CC9">
        <w:rPr>
          <w:rFonts w:ascii="Palatino Linotype" w:eastAsia="Calibri" w:hAnsi="Palatino Linotype" w:cs="Tahoma"/>
          <w:sz w:val="22"/>
          <w:szCs w:val="22"/>
          <w:lang w:eastAsia="es-ES_tradnl"/>
        </w:rPr>
        <w:lastRenderedPageBreak/>
        <w:t xml:space="preserve">fuente </w:t>
      </w:r>
      <w:r w:rsidRPr="00516CC9">
        <w:rPr>
          <w:rFonts w:ascii="Palatino Linotype" w:eastAsia="Calibri" w:hAnsi="Palatino Linotype" w:cs="Tahoma"/>
          <w:sz w:val="22"/>
          <w:szCs w:val="22"/>
          <w:lang w:eastAsia="es-ES_tradnl"/>
        </w:rPr>
        <w:t>que satisface la pretensión del Particular y en la liga proporcionada n</w:t>
      </w:r>
      <w:r w:rsidR="00AC1A92" w:rsidRPr="00516CC9">
        <w:rPr>
          <w:rFonts w:ascii="Palatino Linotype" w:eastAsia="Calibri" w:hAnsi="Palatino Linotype" w:cs="Tahoma"/>
          <w:sz w:val="22"/>
          <w:szCs w:val="22"/>
          <w:lang w:eastAsia="es-ES_tradnl"/>
        </w:rPr>
        <w:t>o se encuentra</w:t>
      </w:r>
      <w:r w:rsidRPr="00516CC9">
        <w:rPr>
          <w:rFonts w:ascii="Palatino Linotype" w:eastAsia="Calibri" w:hAnsi="Palatino Linotype" w:cs="Tahoma"/>
          <w:sz w:val="22"/>
          <w:szCs w:val="22"/>
          <w:lang w:eastAsia="es-ES_tradnl"/>
        </w:rPr>
        <w:t>n</w:t>
      </w:r>
      <w:r w:rsidR="00AC1A92" w:rsidRPr="00516CC9">
        <w:rPr>
          <w:rFonts w:ascii="Palatino Linotype" w:eastAsia="Calibri" w:hAnsi="Palatino Linotype" w:cs="Tahoma"/>
          <w:sz w:val="22"/>
          <w:szCs w:val="22"/>
          <w:lang w:eastAsia="es-ES_tradnl"/>
        </w:rPr>
        <w:t xml:space="preserve"> adjunt</w:t>
      </w:r>
      <w:r w:rsidRPr="00516CC9">
        <w:rPr>
          <w:rFonts w:ascii="Palatino Linotype" w:eastAsia="Calibri" w:hAnsi="Palatino Linotype" w:cs="Tahoma"/>
          <w:sz w:val="22"/>
          <w:szCs w:val="22"/>
          <w:lang w:eastAsia="es-ES_tradnl"/>
        </w:rPr>
        <w:t>as</w:t>
      </w:r>
      <w:r w:rsidR="00AC1A92" w:rsidRPr="00516CC9">
        <w:rPr>
          <w:rFonts w:ascii="Palatino Linotype" w:eastAsia="Calibri" w:hAnsi="Palatino Linotype" w:cs="Tahoma"/>
          <w:sz w:val="22"/>
          <w:szCs w:val="22"/>
          <w:lang w:eastAsia="es-ES_tradnl"/>
        </w:rPr>
        <w:t xml:space="preserve">; por lo que será necesario que el Sujeto Obligado entregue las licencias de construcción y </w:t>
      </w:r>
      <w:r w:rsidR="00D66B35">
        <w:rPr>
          <w:rFonts w:ascii="Palatino Linotype" w:eastAsia="Calibri" w:hAnsi="Palatino Linotype" w:cs="Tahoma"/>
          <w:sz w:val="22"/>
          <w:szCs w:val="22"/>
          <w:lang w:eastAsia="es-ES_tradnl"/>
        </w:rPr>
        <w:t xml:space="preserve">las constancias de </w:t>
      </w:r>
      <w:r w:rsidR="00AC1A92" w:rsidRPr="00516CC9">
        <w:rPr>
          <w:rFonts w:ascii="Palatino Linotype" w:eastAsia="Calibri" w:hAnsi="Palatino Linotype" w:cs="Tahoma"/>
          <w:sz w:val="22"/>
          <w:szCs w:val="22"/>
          <w:lang w:eastAsia="es-ES_tradnl"/>
        </w:rPr>
        <w:t>terminación de obra del primero de enero al once de febrero de dos mil diecinueve en versión pública en la que se eliminen los datos personales confidenciales.</w:t>
      </w:r>
    </w:p>
    <w:p w:rsidR="00AC1A92" w:rsidRPr="00516CC9" w:rsidRDefault="00AC1A92" w:rsidP="00516CC9">
      <w:pPr>
        <w:tabs>
          <w:tab w:val="left" w:pos="4962"/>
        </w:tabs>
        <w:spacing w:line="360" w:lineRule="auto"/>
        <w:jc w:val="both"/>
        <w:rPr>
          <w:rFonts w:ascii="Palatino Linotype" w:eastAsia="Calibri" w:hAnsi="Palatino Linotype" w:cs="Tahoma"/>
          <w:sz w:val="22"/>
          <w:szCs w:val="22"/>
          <w:lang w:eastAsia="es-ES_tradnl"/>
        </w:rPr>
      </w:pPr>
    </w:p>
    <w:p w:rsidR="00AC1A92" w:rsidRPr="00516CC9" w:rsidRDefault="00345698" w:rsidP="00516CC9">
      <w:pPr>
        <w:tabs>
          <w:tab w:val="left" w:pos="4962"/>
        </w:tabs>
        <w:spacing w:line="360" w:lineRule="auto"/>
        <w:jc w:val="both"/>
        <w:rPr>
          <w:rFonts w:ascii="Palatino Linotype" w:eastAsia="Calibri" w:hAnsi="Palatino Linotype" w:cs="Tahoma"/>
          <w:sz w:val="22"/>
          <w:szCs w:val="22"/>
          <w:lang w:eastAsia="es-ES_tradnl"/>
        </w:rPr>
      </w:pPr>
      <w:r w:rsidRPr="00516CC9">
        <w:rPr>
          <w:rFonts w:ascii="Palatino Linotype" w:eastAsia="Calibri" w:hAnsi="Palatino Linotype" w:cs="Tahoma"/>
          <w:sz w:val="22"/>
          <w:szCs w:val="22"/>
          <w:lang w:eastAsia="es-ES_tradnl"/>
        </w:rPr>
        <w:t xml:space="preserve">Lo anterior, </w:t>
      </w:r>
      <w:r w:rsidR="00AC1A92" w:rsidRPr="00516CC9">
        <w:rPr>
          <w:rFonts w:ascii="Palatino Linotype" w:eastAsia="Calibri" w:hAnsi="Palatino Linotype" w:cs="Tahoma"/>
          <w:sz w:val="22"/>
          <w:szCs w:val="22"/>
          <w:lang w:eastAsia="es-ES_tradnl"/>
        </w:rPr>
        <w:t>de acuerdo a la naturaleza de la información solicitada y</w:t>
      </w:r>
      <w:r w:rsidRPr="00516CC9">
        <w:rPr>
          <w:rFonts w:ascii="Palatino Linotype" w:eastAsia="Calibri" w:hAnsi="Palatino Linotype" w:cs="Tahoma"/>
          <w:sz w:val="22"/>
          <w:szCs w:val="22"/>
          <w:lang w:eastAsia="es-ES_tradnl"/>
        </w:rPr>
        <w:t xml:space="preserve">a </w:t>
      </w:r>
      <w:r w:rsidR="00AC1A92" w:rsidRPr="00516CC9">
        <w:rPr>
          <w:rFonts w:ascii="Palatino Linotype" w:eastAsia="Calibri" w:hAnsi="Palatino Linotype" w:cs="Tahoma"/>
          <w:sz w:val="22"/>
          <w:szCs w:val="22"/>
          <w:lang w:eastAsia="es-ES_tradnl"/>
        </w:rPr>
        <w:t>que ésta es de interés general y de alcance público, puesto que es una obligación de Transparencia Específica del sujeto Obligado, ello conforme a lo dispuesto por el artículo 23, fracción IV de la Ley de Transparencia y Acceso a la Información Pública del Estado de México y Municipios, mismo que establece como Sujetos Obligados a los Ayuntamientos.</w:t>
      </w:r>
    </w:p>
    <w:p w:rsidR="00AC1A92" w:rsidRPr="00516CC9" w:rsidRDefault="00AC1A92" w:rsidP="00516CC9">
      <w:pPr>
        <w:tabs>
          <w:tab w:val="left" w:pos="4962"/>
        </w:tabs>
        <w:spacing w:line="360" w:lineRule="auto"/>
        <w:jc w:val="both"/>
        <w:rPr>
          <w:rFonts w:ascii="Palatino Linotype" w:eastAsia="Calibri" w:hAnsi="Palatino Linotype" w:cs="Tahoma"/>
          <w:sz w:val="22"/>
          <w:szCs w:val="22"/>
          <w:lang w:eastAsia="es-ES_tradnl"/>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 xml:space="preserve">Ahora bien, cabe precisar que las Licencias de Construcción solicitadas, pueden contar con diversos datos, entre los que se encuentran el número de licencia, el nombre del solicitante en los casos de </w:t>
      </w:r>
      <w:r w:rsidRPr="00516CC9">
        <w:rPr>
          <w:rFonts w:ascii="Palatino Linotype" w:eastAsia="Calibri" w:hAnsi="Palatino Linotype" w:cs="Tahoma"/>
          <w:b/>
          <w:bCs/>
          <w:sz w:val="22"/>
          <w:szCs w:val="22"/>
          <w:lang w:eastAsia="en-US"/>
        </w:rPr>
        <w:t>persona jurídico colectiva,</w:t>
      </w:r>
      <w:r w:rsidRPr="00516CC9">
        <w:rPr>
          <w:rFonts w:ascii="Palatino Linotype" w:eastAsia="Calibri" w:hAnsi="Palatino Linotype" w:cs="Tahoma"/>
          <w:bCs/>
          <w:sz w:val="22"/>
          <w:szCs w:val="22"/>
          <w:lang w:eastAsia="en-US"/>
        </w:rPr>
        <w:t xml:space="preserve"> ubicación del predio o inmueble, uso de suelo, información relacionada con el proyecto (densidad de la vivienda, altura máxima, cajones de estacionamiento, normatividad y obligaciones), vigencia de la licencia, lugar y fecha en que se expide y el nombre, cargo y firma del servidor público que autoriza la misma, los cuales son de carácter público al no ser datos susceptibles a clasificarse como confidenciales, en términos del artículo 143 de la Ley de la materia, toda vez que los mismos están directamente relacionados con la emisión del permiso y el ejercicio de atribuciones legales.</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Sin embargo, dichos documentos contienen otros, tales como el nombre de personas físicas, domicilio del solicitante; así como, la clave catastral del predio correspondiente a la multicitadas licencias, los cuales pudieran ser considerados como datos confidenciales, por lo que se procede analizar si dichos datos son considerados clasificados o públicos conforme a las Leyes de Transparencia.</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En términos de lo expuesto, la documentación y aquellos datos que se consideren confidenciales, serán una limitante del derecho de acceso a la información, siempre y cuando:</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sidRPr="00516CC9">
        <w:rPr>
          <w:rFonts w:ascii="Palatino Linotype" w:eastAsia="Calibri" w:hAnsi="Palatino Linotype" w:cs="Tahoma"/>
          <w:bCs/>
          <w:szCs w:val="22"/>
          <w:lang w:eastAsia="en-US"/>
        </w:rPr>
        <w:t xml:space="preserve">Se trate de datos personales o información privada; esto es, información concerniente a una persona física o jurídico colectiva y que esta sea identificada o identificable. </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sidRPr="00516CC9">
        <w:rPr>
          <w:rFonts w:ascii="Palatino Linotype" w:eastAsia="Calibri" w:hAnsi="Palatino Linotype" w:cs="Tahoma"/>
          <w:bCs/>
          <w:szCs w:val="22"/>
          <w:lang w:eastAsia="en-US"/>
        </w:rPr>
        <w:t xml:space="preserve">Para la difusión de los datos, se requiera el consentimiento del titular. </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w:t>
      </w:r>
      <w:r w:rsidRPr="00516CC9">
        <w:rPr>
          <w:rFonts w:ascii="Palatino Linotype" w:eastAsia="Calibri" w:hAnsi="Palatino Linotype" w:cs="Tahoma"/>
          <w:bCs/>
          <w:sz w:val="22"/>
          <w:szCs w:val="22"/>
          <w:lang w:eastAsia="en-US"/>
        </w:rPr>
        <w:lastRenderedPageBreak/>
        <w:t xml:space="preserve">cualquier documento informativo físico o electrónico), establecida en cualquier formato o modalidad. </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Además, en el artículo 5° de dicho ordenamiento jurídico, establece que es la Ley aplicable para todo tratamiento de datos personales.</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516CC9">
        <w:rPr>
          <w:rFonts w:ascii="Palatino Linotype" w:eastAsia="Calibri" w:hAnsi="Palatino Linotype" w:cs="Tahoma"/>
          <w:bCs/>
          <w:sz w:val="22"/>
          <w:szCs w:val="22"/>
          <w:lang w:eastAsia="en-US"/>
        </w:rPr>
        <w:lastRenderedPageBreak/>
        <w:t>instituciones y es a partir de ahí, en donde las instituciones públicas deben determinar la publicidad de su información.</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De tal suerte, las instituciones públicas tienen la doble responsabilidad, por un lado de proteger los datos personales y por otro, darles publicidad cuando la relevancia de esos datos sea de interés público.</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Bajo este contexto, se analizarán si los datos contenidos en las licencias solicitadas, deben ser considerados confidenciales o públicos, a saber: el domicilio (persona moral</w:t>
      </w:r>
      <w:r w:rsidR="00516CC9" w:rsidRPr="00516CC9">
        <w:rPr>
          <w:rFonts w:ascii="Palatino Linotype" w:eastAsia="Calibri" w:hAnsi="Palatino Linotype" w:cs="Tahoma"/>
          <w:bCs/>
          <w:sz w:val="22"/>
          <w:szCs w:val="22"/>
          <w:lang w:eastAsia="en-US"/>
        </w:rPr>
        <w:t xml:space="preserve"> y física</w:t>
      </w:r>
      <w:r w:rsidRPr="00516CC9">
        <w:rPr>
          <w:rFonts w:ascii="Palatino Linotype" w:eastAsia="Calibri" w:hAnsi="Palatino Linotype" w:cs="Tahoma"/>
          <w:bCs/>
          <w:sz w:val="22"/>
          <w:szCs w:val="22"/>
          <w:lang w:eastAsia="en-US"/>
        </w:rPr>
        <w:t>), clave catastral y el nombre del solicitante (representante legal de una empresa</w:t>
      </w:r>
      <w:r w:rsidR="00516CC9" w:rsidRPr="00516CC9">
        <w:rPr>
          <w:rFonts w:ascii="Palatino Linotype" w:eastAsia="Calibri" w:hAnsi="Palatino Linotype" w:cs="Tahoma"/>
          <w:bCs/>
          <w:sz w:val="22"/>
          <w:szCs w:val="22"/>
          <w:lang w:eastAsia="en-US"/>
        </w:rPr>
        <w:t>, y/o persona física</w:t>
      </w:r>
      <w:r w:rsidRPr="00516CC9">
        <w:rPr>
          <w:rFonts w:ascii="Palatino Linotype" w:eastAsia="Calibri" w:hAnsi="Palatino Linotype" w:cs="Tahoma"/>
          <w:bCs/>
          <w:sz w:val="22"/>
          <w:szCs w:val="22"/>
          <w:lang w:eastAsia="en-US"/>
        </w:rPr>
        <w:t>).</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eastAsia="en-US"/>
        </w:rPr>
      </w:pP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val="es-ES" w:eastAsia="en-US"/>
        </w:rPr>
      </w:pPr>
      <w:r w:rsidRPr="00516CC9">
        <w:rPr>
          <w:rFonts w:ascii="Palatino Linotype" w:eastAsia="Calibri" w:hAnsi="Palatino Linotype" w:cs="Tahoma"/>
          <w:bCs/>
          <w:sz w:val="22"/>
          <w:szCs w:val="22"/>
          <w:lang w:val="es-ES" w:eastAsia="en-US"/>
        </w:rPr>
        <w:t xml:space="preserve">En principio, resulta necesario aclarar que en las Licencias de Construcción hay dos tipos de domicilio, uno que corresponde al del solicitante, correspondiente a su residencia o donde comúnmente habita, en caso de persona jurídico colectiva, donde realiza su actividad, mientras que también está la ubicación del predio o inmueble que se autoriza para realizar una construcción, modificación u obra; por lo que, necesariamente no corresponden al mismo dato. </w:t>
      </w:r>
    </w:p>
    <w:p w:rsidR="00516CC9" w:rsidRPr="00516CC9" w:rsidRDefault="00516CC9" w:rsidP="00516CC9">
      <w:pPr>
        <w:spacing w:line="360" w:lineRule="auto"/>
        <w:ind w:right="-93"/>
        <w:jc w:val="both"/>
        <w:rPr>
          <w:rFonts w:ascii="Palatino Linotype" w:hAnsi="Palatino Linotype" w:cs="Tahoma"/>
          <w:b/>
          <w:sz w:val="22"/>
          <w:szCs w:val="22"/>
        </w:rPr>
      </w:pPr>
    </w:p>
    <w:p w:rsidR="00516CC9" w:rsidRPr="00516CC9" w:rsidRDefault="00516CC9" w:rsidP="00516CC9">
      <w:pPr>
        <w:spacing w:line="360" w:lineRule="auto"/>
        <w:ind w:right="-93"/>
        <w:jc w:val="both"/>
        <w:rPr>
          <w:rFonts w:ascii="Palatino Linotype" w:hAnsi="Palatino Linotype" w:cs="Tahoma"/>
          <w:b/>
          <w:sz w:val="22"/>
          <w:szCs w:val="22"/>
        </w:rPr>
      </w:pPr>
      <w:r w:rsidRPr="00516CC9">
        <w:rPr>
          <w:rFonts w:ascii="Palatino Linotype" w:hAnsi="Palatino Linotype" w:cs="Tahoma"/>
          <w:b/>
          <w:sz w:val="22"/>
          <w:szCs w:val="22"/>
        </w:rPr>
        <w:t>Domicilio de personas físicas y jurídico colectivas</w:t>
      </w:r>
    </w:p>
    <w:p w:rsidR="00516CC9" w:rsidRPr="00516CC9" w:rsidRDefault="00516CC9" w:rsidP="00516CC9">
      <w:pPr>
        <w:spacing w:line="360" w:lineRule="auto"/>
        <w:ind w:right="-93"/>
        <w:jc w:val="both"/>
        <w:rPr>
          <w:rFonts w:ascii="Palatino Linotype" w:hAnsi="Palatino Linotype" w:cs="Tahoma"/>
          <w:b/>
          <w:sz w:val="22"/>
          <w:szCs w:val="22"/>
        </w:rPr>
      </w:pPr>
    </w:p>
    <w:p w:rsidR="00516CC9" w:rsidRPr="00516CC9" w:rsidRDefault="00516CC9" w:rsidP="00516CC9">
      <w:pPr>
        <w:numPr>
          <w:ilvl w:val="0"/>
          <w:numId w:val="17"/>
        </w:numPr>
        <w:spacing w:line="360" w:lineRule="auto"/>
        <w:ind w:right="-93"/>
        <w:jc w:val="both"/>
        <w:rPr>
          <w:rFonts w:ascii="Palatino Linotype" w:hAnsi="Palatino Linotype" w:cs="Tahoma"/>
          <w:b/>
          <w:sz w:val="22"/>
          <w:szCs w:val="22"/>
        </w:rPr>
      </w:pPr>
      <w:r w:rsidRPr="00516CC9">
        <w:rPr>
          <w:rFonts w:ascii="Palatino Linotype" w:hAnsi="Palatino Linotype" w:cs="Tahoma"/>
          <w:b/>
          <w:sz w:val="22"/>
          <w:szCs w:val="22"/>
        </w:rPr>
        <w:t>Persona física.</w:t>
      </w:r>
    </w:p>
    <w:p w:rsidR="00516CC9" w:rsidRPr="00516CC9" w:rsidRDefault="00516CC9" w:rsidP="00516CC9">
      <w:pPr>
        <w:spacing w:line="360" w:lineRule="auto"/>
        <w:ind w:right="-93"/>
        <w:jc w:val="both"/>
        <w:rPr>
          <w:rFonts w:ascii="Palatino Linotype" w:hAnsi="Palatino Linotype" w:cs="Tahoma"/>
          <w:b/>
          <w:sz w:val="22"/>
          <w:szCs w:val="22"/>
        </w:rPr>
      </w:pPr>
    </w:p>
    <w:p w:rsidR="00516CC9" w:rsidRPr="00516CC9" w:rsidRDefault="00516CC9" w:rsidP="00516CC9">
      <w:pPr>
        <w:spacing w:line="360" w:lineRule="auto"/>
        <w:ind w:right="-93"/>
        <w:jc w:val="both"/>
        <w:rPr>
          <w:rFonts w:ascii="Palatino Linotype" w:hAnsi="Palatino Linotype" w:cs="Tahoma"/>
          <w:sz w:val="22"/>
          <w:szCs w:val="22"/>
        </w:rPr>
      </w:pPr>
      <w:r w:rsidRPr="00516CC9">
        <w:rPr>
          <w:rFonts w:ascii="Palatino Linotype" w:hAnsi="Palatino Linotype" w:cs="Tahoma"/>
          <w:sz w:val="22"/>
          <w:szCs w:val="22"/>
        </w:rPr>
        <w:t xml:space="preserve">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516CC9" w:rsidRPr="00516CC9" w:rsidRDefault="00516CC9" w:rsidP="00516CC9">
      <w:pPr>
        <w:spacing w:line="360" w:lineRule="auto"/>
        <w:ind w:right="-93"/>
        <w:jc w:val="both"/>
        <w:rPr>
          <w:rFonts w:ascii="Palatino Linotype" w:hAnsi="Palatino Linotype" w:cs="Tahoma"/>
          <w:sz w:val="22"/>
          <w:szCs w:val="22"/>
        </w:rPr>
      </w:pPr>
    </w:p>
    <w:p w:rsidR="00516CC9" w:rsidRPr="00516CC9" w:rsidRDefault="00516CC9" w:rsidP="00516CC9">
      <w:pPr>
        <w:spacing w:line="360" w:lineRule="auto"/>
        <w:ind w:right="-93"/>
        <w:jc w:val="both"/>
        <w:rPr>
          <w:rFonts w:ascii="Palatino Linotype" w:hAnsi="Palatino Linotype" w:cs="Tahoma"/>
          <w:sz w:val="22"/>
          <w:szCs w:val="22"/>
        </w:rPr>
      </w:pPr>
      <w:r w:rsidRPr="00516CC9">
        <w:rPr>
          <w:rFonts w:ascii="Palatino Linotype" w:hAnsi="Palatino Linotype" w:cs="Tahoma"/>
          <w:sz w:val="22"/>
          <w:szCs w:val="22"/>
        </w:rPr>
        <w:t>De la misma manera, lo establece el artículo 29 del Código Civil Federal, al precisar que el domicilio de personas físicas, es el lugar donde residen habitualmente, el lugar del centro principal de sus negocios, donde residan o el lugar donde se encuentren.</w:t>
      </w:r>
    </w:p>
    <w:p w:rsidR="00516CC9" w:rsidRPr="00516CC9" w:rsidRDefault="00516CC9" w:rsidP="00516CC9">
      <w:pPr>
        <w:spacing w:line="360" w:lineRule="auto"/>
        <w:ind w:right="-93"/>
        <w:jc w:val="both"/>
        <w:rPr>
          <w:rFonts w:ascii="Palatino Linotype" w:hAnsi="Palatino Linotype" w:cs="Tahoma"/>
          <w:sz w:val="22"/>
          <w:szCs w:val="22"/>
        </w:rPr>
      </w:pPr>
    </w:p>
    <w:p w:rsidR="00516CC9" w:rsidRPr="00516CC9" w:rsidRDefault="00516CC9" w:rsidP="00516CC9">
      <w:pPr>
        <w:spacing w:line="360" w:lineRule="auto"/>
        <w:ind w:right="-93"/>
        <w:jc w:val="both"/>
        <w:rPr>
          <w:rFonts w:ascii="Palatino Linotype" w:hAnsi="Palatino Linotype" w:cs="Tahoma"/>
          <w:sz w:val="22"/>
          <w:szCs w:val="22"/>
        </w:rPr>
      </w:pPr>
      <w:r w:rsidRPr="00516CC9">
        <w:rPr>
          <w:rFonts w:ascii="Palatino Linotype" w:hAnsi="Palatino Linotype" w:cs="Tahoma"/>
          <w:sz w:val="22"/>
          <w:szCs w:val="22"/>
        </w:rPr>
        <w:t>Como se observa,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rsidR="00516CC9" w:rsidRPr="00516CC9" w:rsidRDefault="00516CC9" w:rsidP="00516CC9">
      <w:pPr>
        <w:spacing w:line="360" w:lineRule="auto"/>
        <w:ind w:right="-93"/>
        <w:jc w:val="both"/>
        <w:rPr>
          <w:rFonts w:ascii="Palatino Linotype" w:hAnsi="Palatino Linotype" w:cs="Tahoma"/>
          <w:b/>
          <w:sz w:val="22"/>
          <w:szCs w:val="22"/>
        </w:rPr>
      </w:pPr>
    </w:p>
    <w:p w:rsidR="00516CC9" w:rsidRPr="00516CC9" w:rsidRDefault="00516CC9" w:rsidP="00516CC9">
      <w:pPr>
        <w:numPr>
          <w:ilvl w:val="0"/>
          <w:numId w:val="17"/>
        </w:numPr>
        <w:spacing w:line="360" w:lineRule="auto"/>
        <w:ind w:right="-93"/>
        <w:jc w:val="both"/>
        <w:rPr>
          <w:rFonts w:ascii="Palatino Linotype" w:hAnsi="Palatino Linotype" w:cs="Tahoma"/>
          <w:b/>
          <w:sz w:val="22"/>
          <w:szCs w:val="22"/>
        </w:rPr>
      </w:pPr>
      <w:r w:rsidRPr="00516CC9">
        <w:rPr>
          <w:rFonts w:ascii="Palatino Linotype" w:hAnsi="Palatino Linotype" w:cs="Tahoma"/>
          <w:b/>
          <w:sz w:val="22"/>
          <w:szCs w:val="22"/>
        </w:rPr>
        <w:t>Persona Jurídico-colectiva.</w:t>
      </w:r>
    </w:p>
    <w:p w:rsidR="00516CC9" w:rsidRPr="00516CC9" w:rsidRDefault="00516CC9" w:rsidP="00516CC9">
      <w:pPr>
        <w:spacing w:line="360" w:lineRule="auto"/>
        <w:ind w:right="-93"/>
        <w:jc w:val="both"/>
        <w:rPr>
          <w:rFonts w:ascii="Palatino Linotype" w:hAnsi="Palatino Linotype" w:cs="Tahoma"/>
          <w:b/>
          <w:sz w:val="22"/>
          <w:szCs w:val="22"/>
        </w:rPr>
      </w:pPr>
    </w:p>
    <w:p w:rsidR="00516CC9" w:rsidRPr="00516CC9" w:rsidRDefault="00516CC9" w:rsidP="00516CC9">
      <w:pPr>
        <w:spacing w:line="360" w:lineRule="auto"/>
        <w:ind w:right="-93"/>
        <w:jc w:val="both"/>
        <w:rPr>
          <w:rFonts w:ascii="Palatino Linotype" w:hAnsi="Palatino Linotype" w:cs="Tahoma"/>
          <w:sz w:val="22"/>
          <w:szCs w:val="22"/>
        </w:rPr>
      </w:pPr>
      <w:r w:rsidRPr="00516CC9">
        <w:rPr>
          <w:rFonts w:ascii="Palatino Linotype" w:hAnsi="Palatino Linotype" w:cs="Tahoma"/>
          <w:sz w:val="22"/>
          <w:szCs w:val="22"/>
        </w:rPr>
        <w:t xml:space="preserve">En principio, cabe señalar, la información entregada a las autoridades por parte de las personas jurídicas colectivas, debe ser confidencial cuando tenga el carácter de privada por contener datos que pudieran equipararse a los de las personas físicas. </w:t>
      </w:r>
    </w:p>
    <w:p w:rsidR="00516CC9" w:rsidRPr="00516CC9" w:rsidRDefault="00516CC9" w:rsidP="00516CC9">
      <w:pPr>
        <w:spacing w:line="360" w:lineRule="auto"/>
        <w:ind w:right="-93"/>
        <w:jc w:val="both"/>
        <w:rPr>
          <w:rFonts w:ascii="Palatino Linotype" w:hAnsi="Palatino Linotype" w:cs="Tahoma"/>
          <w:sz w:val="22"/>
          <w:szCs w:val="22"/>
        </w:rPr>
      </w:pPr>
    </w:p>
    <w:p w:rsidR="00516CC9" w:rsidRPr="00516CC9" w:rsidRDefault="00516CC9" w:rsidP="00516CC9">
      <w:pPr>
        <w:spacing w:line="360" w:lineRule="auto"/>
        <w:ind w:right="-93"/>
        <w:jc w:val="both"/>
        <w:rPr>
          <w:rFonts w:ascii="Palatino Linotype" w:hAnsi="Palatino Linotype" w:cs="Tahoma"/>
          <w:sz w:val="22"/>
          <w:szCs w:val="22"/>
        </w:rPr>
      </w:pPr>
      <w:r w:rsidRPr="00516CC9">
        <w:rPr>
          <w:rFonts w:ascii="Palatino Linotype" w:hAnsi="Palatino Linotype" w:cs="Tahoma"/>
          <w:sz w:val="22"/>
          <w:szCs w:val="22"/>
        </w:rPr>
        <w:t xml:space="preserve">Lo anterior, encuentra sustento en la Tesis Aislada con número P. II/2014 (10a.), publicada en febrero de dos mil catorce, en la Gaceta del Semanario Judicial de la Federación, en su Libro 3, Tomo I, que precisa que los bienes protegidos por el derecho a la privacidad y de protección de datos de las personas morales, comprenden aquellos documentos e información que les son inherentes, que deben permanecer ajenos al conocimiento de terceros; por lo que, la información entregada a las autoridades por parte de personas morales, será confidencial cuando tenga el carácter de privada por contener datos que pudieran equipararse a los </w:t>
      </w:r>
      <w:r w:rsidRPr="00516CC9">
        <w:rPr>
          <w:rFonts w:ascii="Palatino Linotype" w:hAnsi="Palatino Linotype" w:cs="Tahoma"/>
          <w:sz w:val="22"/>
          <w:szCs w:val="22"/>
        </w:rPr>
        <w:lastRenderedPageBreak/>
        <w:t>personales, o bien, reservada temporalmente, si actualiza alguno de los supuestos previstos legalmente.</w:t>
      </w:r>
    </w:p>
    <w:p w:rsidR="00516CC9" w:rsidRPr="00516CC9" w:rsidRDefault="00516CC9" w:rsidP="00516CC9">
      <w:pPr>
        <w:spacing w:line="360" w:lineRule="auto"/>
        <w:ind w:right="-93"/>
        <w:jc w:val="both"/>
        <w:rPr>
          <w:rFonts w:ascii="Palatino Linotype" w:hAnsi="Palatino Linotype" w:cs="Tahoma"/>
          <w:sz w:val="22"/>
          <w:szCs w:val="22"/>
        </w:rPr>
      </w:pPr>
    </w:p>
    <w:p w:rsidR="00516CC9" w:rsidRPr="00516CC9" w:rsidRDefault="00516CC9" w:rsidP="00516CC9">
      <w:pPr>
        <w:spacing w:line="360" w:lineRule="auto"/>
        <w:ind w:right="-93"/>
        <w:jc w:val="both"/>
        <w:rPr>
          <w:rFonts w:ascii="Palatino Linotype" w:hAnsi="Palatino Linotype" w:cs="Tahoma"/>
          <w:bCs/>
          <w:iCs/>
          <w:sz w:val="22"/>
          <w:szCs w:val="22"/>
        </w:rPr>
      </w:pPr>
      <w:r w:rsidRPr="00516CC9">
        <w:rPr>
          <w:rFonts w:ascii="Palatino Linotype" w:hAnsi="Palatino Linotype" w:cs="Tahoma"/>
          <w:bCs/>
          <w:iCs/>
          <w:sz w:val="22"/>
          <w:szCs w:val="22"/>
        </w:rPr>
        <w:t xml:space="preserve">En cuanto al domicilio, este Instituto advierte que se trata de un dato personal, pues como se precisó en párrafos anteriores, da cuenta del lugar donde está asentado el negocio de la persona jurídica colectiva indicada en respuesta; además, debe tomarse en cuenta que dicha empresa o asociación atendiendo a sus intereses personales, decide entregarlo a terceros o no, con el propósito de cumplir los fines para los cuales fue constituida, o las inherentes obligaciones a la que se encuentra constreñido, conforme a la legislación que le es aplicable, y por ende, debe resguardarse en la especie. </w:t>
      </w:r>
    </w:p>
    <w:p w:rsidR="00516CC9" w:rsidRPr="00516CC9" w:rsidRDefault="00516CC9" w:rsidP="00516CC9">
      <w:pPr>
        <w:spacing w:line="360" w:lineRule="auto"/>
        <w:ind w:right="-93"/>
        <w:jc w:val="both"/>
        <w:rPr>
          <w:rFonts w:ascii="Palatino Linotype" w:hAnsi="Palatino Linotype" w:cs="Tahoma"/>
          <w:bCs/>
          <w:iCs/>
          <w:sz w:val="22"/>
          <w:szCs w:val="22"/>
        </w:rPr>
      </w:pPr>
    </w:p>
    <w:p w:rsidR="00516CC9" w:rsidRPr="00516CC9" w:rsidRDefault="00516CC9" w:rsidP="00516CC9">
      <w:pPr>
        <w:spacing w:line="360" w:lineRule="auto"/>
        <w:ind w:right="-93"/>
        <w:jc w:val="both"/>
        <w:rPr>
          <w:rFonts w:ascii="Palatino Linotype" w:hAnsi="Palatino Linotype" w:cs="Tahoma"/>
          <w:bCs/>
          <w:iCs/>
          <w:sz w:val="22"/>
          <w:szCs w:val="22"/>
        </w:rPr>
      </w:pPr>
      <w:r w:rsidRPr="00516CC9">
        <w:rPr>
          <w:rFonts w:ascii="Palatino Linotype" w:hAnsi="Palatino Linotype" w:cs="Tahoma"/>
          <w:bCs/>
          <w:iCs/>
          <w:sz w:val="22"/>
          <w:szCs w:val="22"/>
        </w:rPr>
        <w:t>De tales circunstancias, se considera que el domicilio de la persona jurídico-colectiva es considero confidencial, por lo que, se actualiza la causal de clasificación establecida en el artículo 143, fracción I de la Ley de Transparencia y Acceso a la Información Pública del Estado de México y Municipios.</w:t>
      </w:r>
    </w:p>
    <w:p w:rsidR="004402AC" w:rsidRPr="00516CC9" w:rsidRDefault="004402AC" w:rsidP="00516CC9">
      <w:pPr>
        <w:shd w:val="clear" w:color="auto" w:fill="FFFFFF" w:themeFill="background1"/>
        <w:spacing w:line="360" w:lineRule="auto"/>
        <w:jc w:val="both"/>
        <w:rPr>
          <w:rFonts w:ascii="Palatino Linotype" w:eastAsia="Calibri" w:hAnsi="Palatino Linotype" w:cs="Tahoma"/>
          <w:bCs/>
          <w:sz w:val="22"/>
          <w:szCs w:val="22"/>
          <w:lang w:val="es-ES" w:eastAsia="en-US"/>
        </w:rPr>
      </w:pPr>
    </w:p>
    <w:p w:rsidR="004402AC" w:rsidRPr="00516CC9" w:rsidRDefault="004402AC" w:rsidP="00516CC9">
      <w:pPr>
        <w:numPr>
          <w:ilvl w:val="0"/>
          <w:numId w:val="16"/>
        </w:numPr>
        <w:spacing w:line="360" w:lineRule="auto"/>
        <w:jc w:val="both"/>
        <w:rPr>
          <w:rFonts w:ascii="Palatino Linotype" w:hAnsi="Palatino Linotype" w:cs="Tahoma"/>
          <w:b/>
          <w:sz w:val="22"/>
          <w:szCs w:val="22"/>
        </w:rPr>
      </w:pPr>
      <w:r w:rsidRPr="00516CC9">
        <w:rPr>
          <w:rFonts w:ascii="Palatino Linotype" w:hAnsi="Palatino Linotype" w:cs="Tahoma"/>
          <w:b/>
          <w:sz w:val="22"/>
          <w:szCs w:val="22"/>
        </w:rPr>
        <w:t>Clave Catastral del predio o inmueble autorizado en la Licencia de Uso de Suelo y de Construcción.</w:t>
      </w:r>
    </w:p>
    <w:p w:rsidR="004402AC" w:rsidRPr="00516CC9" w:rsidRDefault="004402AC" w:rsidP="00516CC9">
      <w:pPr>
        <w:spacing w:line="360" w:lineRule="auto"/>
        <w:jc w:val="both"/>
        <w:rPr>
          <w:rFonts w:ascii="Palatino Linotype" w:hAnsi="Palatino Linotype" w:cs="Tahoma"/>
          <w:sz w:val="22"/>
          <w:szCs w:val="22"/>
          <w:lang w:val="es-ES"/>
        </w:rPr>
      </w:pPr>
    </w:p>
    <w:p w:rsidR="004402AC" w:rsidRPr="00516CC9" w:rsidRDefault="004402AC" w:rsidP="00516CC9">
      <w:pPr>
        <w:spacing w:line="360" w:lineRule="auto"/>
        <w:jc w:val="both"/>
        <w:rPr>
          <w:rFonts w:ascii="Palatino Linotype" w:hAnsi="Palatino Linotype" w:cs="Tahoma"/>
          <w:bCs/>
          <w:sz w:val="22"/>
          <w:szCs w:val="22"/>
          <w:lang w:val="es-ES"/>
        </w:rPr>
      </w:pPr>
      <w:r w:rsidRPr="00516CC9">
        <w:rPr>
          <w:rFonts w:ascii="Palatino Linotype" w:hAnsi="Palatino Linotype" w:cs="Tahoma"/>
          <w:bCs/>
          <w:sz w:val="22"/>
          <w:szCs w:val="22"/>
          <w:lang w:val="es-ES"/>
        </w:rPr>
        <w:t>En principio, resulta necesario señalar que de conformidad con el artículo 179, fracción I, del Código Financiero del Estado de México y Municipios,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posiciones identifican el número de lote o predio.</w:t>
      </w:r>
    </w:p>
    <w:p w:rsidR="004402AC" w:rsidRPr="00516CC9" w:rsidRDefault="004402AC" w:rsidP="00516CC9">
      <w:pPr>
        <w:spacing w:line="360" w:lineRule="auto"/>
        <w:jc w:val="both"/>
        <w:rPr>
          <w:rFonts w:ascii="Palatino Linotype" w:hAnsi="Palatino Linotype" w:cs="Tahoma"/>
          <w:sz w:val="22"/>
          <w:szCs w:val="22"/>
          <w:lang w:val="es-ES"/>
        </w:rPr>
      </w:pPr>
    </w:p>
    <w:p w:rsidR="004402AC" w:rsidRPr="00516CC9" w:rsidRDefault="004402AC" w:rsidP="00516CC9">
      <w:pPr>
        <w:spacing w:line="360" w:lineRule="auto"/>
        <w:jc w:val="both"/>
        <w:rPr>
          <w:rFonts w:ascii="Palatino Linotype" w:hAnsi="Palatino Linotype" w:cs="Tahoma"/>
          <w:bCs/>
          <w:sz w:val="22"/>
          <w:szCs w:val="22"/>
          <w:lang w:val="es-ES"/>
        </w:rPr>
      </w:pPr>
      <w:r w:rsidRPr="00516CC9">
        <w:rPr>
          <w:rFonts w:ascii="Palatino Linotype" w:hAnsi="Palatino Linotype" w:cs="Tahoma"/>
          <w:bCs/>
          <w:sz w:val="22"/>
          <w:szCs w:val="22"/>
          <w:lang w:val="es-ES"/>
        </w:rPr>
        <w:lastRenderedPageBreak/>
        <w:t xml:space="preserve">En ese orden de ideas, conforme a la página oficial del Instituto de Información e Investigación Geográfica, Estadística y Catastral del Estado de México, en su apartado de Preguntas Frecuentes (consultada en la liga electrónica </w:t>
      </w:r>
      <w:hyperlink r:id="rId12" w:history="1">
        <w:r w:rsidRPr="00516CC9">
          <w:rPr>
            <w:rStyle w:val="Hipervnculo"/>
            <w:rFonts w:ascii="Palatino Linotype" w:hAnsi="Palatino Linotype" w:cs="Tahoma"/>
            <w:bCs/>
            <w:sz w:val="22"/>
            <w:szCs w:val="22"/>
            <w:lang w:val="es-ES"/>
          </w:rPr>
          <w:t>http://igecem.edomex.gob.mx/faqs</w:t>
        </w:r>
      </w:hyperlink>
      <w:r w:rsidRPr="00516CC9">
        <w:rPr>
          <w:rFonts w:ascii="Palatino Linotype" w:hAnsi="Palatino Linotype" w:cs="Tahoma"/>
          <w:bCs/>
          <w:sz w:val="22"/>
          <w:szCs w:val="22"/>
          <w:lang w:val="es-ES"/>
        </w:rPr>
        <w:t xml:space="preserve">, el </w:t>
      </w:r>
      <w:r w:rsidR="008A0F47">
        <w:rPr>
          <w:rFonts w:ascii="Palatino Linotype" w:hAnsi="Palatino Linotype" w:cs="Tahoma"/>
          <w:bCs/>
          <w:sz w:val="22"/>
          <w:szCs w:val="22"/>
          <w:lang w:val="es-ES"/>
        </w:rPr>
        <w:t xml:space="preserve">nueve de mayo </w:t>
      </w:r>
      <w:r w:rsidRPr="00516CC9">
        <w:rPr>
          <w:rFonts w:ascii="Palatino Linotype" w:hAnsi="Palatino Linotype" w:cs="Tahoma"/>
          <w:bCs/>
          <w:sz w:val="22"/>
          <w:szCs w:val="22"/>
          <w:lang w:val="es-ES"/>
        </w:rPr>
        <w:t xml:space="preserve">de dos mil diecinueve, a las diecisiete horas), para obtener la información registrada en el Padrón Catastral Municipal, conociendo la </w:t>
      </w:r>
      <w:r w:rsidRPr="00516CC9">
        <w:rPr>
          <w:rFonts w:ascii="Palatino Linotype" w:hAnsi="Palatino Linotype" w:cs="Tahoma"/>
          <w:b/>
          <w:bCs/>
          <w:sz w:val="22"/>
          <w:szCs w:val="22"/>
          <w:lang w:val="es-ES"/>
        </w:rPr>
        <w:t xml:space="preserve">clave catastral de un predio, </w:t>
      </w:r>
      <w:r w:rsidRPr="00516CC9">
        <w:rPr>
          <w:rFonts w:ascii="Palatino Linotype" w:hAnsi="Palatino Linotype" w:cs="Tahoma"/>
          <w:bCs/>
          <w:sz w:val="22"/>
          <w:szCs w:val="22"/>
          <w:lang w:val="es-ES"/>
        </w:rPr>
        <w:t xml:space="preserve">se necesita acreditar el interés jurídico o legítimo respecto del inmueble; esto es, demostrar la propiedad, posesión, herencia, trámite judicial, entre otros. </w:t>
      </w:r>
    </w:p>
    <w:p w:rsidR="004402AC" w:rsidRPr="00516CC9" w:rsidRDefault="004402AC" w:rsidP="00516CC9">
      <w:pPr>
        <w:spacing w:line="360" w:lineRule="auto"/>
        <w:jc w:val="both"/>
        <w:rPr>
          <w:rFonts w:ascii="Palatino Linotype" w:hAnsi="Palatino Linotype" w:cs="Tahoma"/>
          <w:bCs/>
          <w:sz w:val="22"/>
          <w:szCs w:val="22"/>
          <w:lang w:val="es-ES"/>
        </w:rPr>
      </w:pPr>
    </w:p>
    <w:p w:rsidR="004402AC" w:rsidRPr="00516CC9" w:rsidRDefault="004402AC" w:rsidP="00516CC9">
      <w:pPr>
        <w:spacing w:line="360" w:lineRule="auto"/>
        <w:jc w:val="both"/>
        <w:rPr>
          <w:rFonts w:ascii="Palatino Linotype" w:hAnsi="Palatino Linotype" w:cs="Tahoma"/>
          <w:bCs/>
          <w:sz w:val="22"/>
          <w:szCs w:val="22"/>
          <w:lang w:val="es-ES"/>
        </w:rPr>
      </w:pPr>
      <w:r w:rsidRPr="00516CC9">
        <w:rPr>
          <w:rFonts w:ascii="Palatino Linotype" w:hAnsi="Palatino Linotype" w:cs="Tahoma"/>
          <w:bCs/>
          <w:sz w:val="22"/>
          <w:szCs w:val="22"/>
          <w:lang w:val="es-ES"/>
        </w:rPr>
        <w:t>De tales circunstancias, se colige que conocer la clave catastral de un inmueble, no te permite conocer mayores datos del catastro, pues para acceder a la misma, se necesita acreditar el interés legítimo o jurídico.</w:t>
      </w:r>
    </w:p>
    <w:p w:rsidR="004402AC" w:rsidRPr="00516CC9" w:rsidRDefault="004402AC" w:rsidP="00516CC9">
      <w:pPr>
        <w:spacing w:line="360" w:lineRule="auto"/>
        <w:jc w:val="both"/>
        <w:rPr>
          <w:rFonts w:ascii="Palatino Linotype" w:hAnsi="Palatino Linotype" w:cs="Tahoma"/>
          <w:bCs/>
          <w:sz w:val="22"/>
          <w:szCs w:val="22"/>
          <w:lang w:val="es-ES"/>
        </w:rPr>
      </w:pPr>
    </w:p>
    <w:p w:rsidR="004402AC" w:rsidRPr="00516CC9" w:rsidRDefault="004402AC" w:rsidP="00516CC9">
      <w:pPr>
        <w:spacing w:line="360" w:lineRule="auto"/>
        <w:jc w:val="both"/>
        <w:rPr>
          <w:rFonts w:ascii="Palatino Linotype" w:hAnsi="Palatino Linotype" w:cs="Tahoma"/>
          <w:bCs/>
          <w:sz w:val="22"/>
          <w:szCs w:val="22"/>
          <w:lang w:val="es-ES"/>
        </w:rPr>
      </w:pPr>
      <w:r w:rsidRPr="00516CC9">
        <w:rPr>
          <w:rFonts w:ascii="Palatino Linotype" w:hAnsi="Palatino Linotype" w:cs="Tahoma"/>
          <w:bCs/>
          <w:sz w:val="22"/>
          <w:szCs w:val="22"/>
          <w:lang w:val="es-ES"/>
        </w:rPr>
        <w:t>En ese contexto, no es dable afirmar que necesariamente la entrega de la clave catastral da cuenta del patrimonio de una persona jurídico colectiva específica, pues, en el presente caso, permite acreditar que la ubicación del predio donde se hará una construcción o modificación, corresponde al registrado en el Municipio.</w:t>
      </w:r>
    </w:p>
    <w:p w:rsidR="004402AC" w:rsidRPr="00516CC9" w:rsidRDefault="004402AC" w:rsidP="00516CC9">
      <w:pPr>
        <w:spacing w:line="360" w:lineRule="auto"/>
        <w:jc w:val="both"/>
        <w:rPr>
          <w:rFonts w:ascii="Palatino Linotype" w:hAnsi="Palatino Linotype" w:cs="Tahoma"/>
          <w:bCs/>
          <w:sz w:val="22"/>
          <w:szCs w:val="22"/>
          <w:lang w:val="es-ES"/>
        </w:rPr>
      </w:pPr>
    </w:p>
    <w:p w:rsidR="004402AC" w:rsidRPr="00516CC9" w:rsidRDefault="004402AC" w:rsidP="00516CC9">
      <w:pPr>
        <w:spacing w:line="360" w:lineRule="auto"/>
        <w:jc w:val="both"/>
        <w:rPr>
          <w:rFonts w:ascii="Palatino Linotype" w:hAnsi="Palatino Linotype" w:cs="Tahoma"/>
          <w:bCs/>
          <w:iCs/>
          <w:sz w:val="22"/>
          <w:szCs w:val="22"/>
        </w:rPr>
      </w:pPr>
      <w:r w:rsidRPr="00516CC9">
        <w:rPr>
          <w:rFonts w:ascii="Palatino Linotype" w:hAnsi="Palatino Linotype" w:cs="Tahoma"/>
          <w:bCs/>
          <w:sz w:val="22"/>
          <w:szCs w:val="22"/>
          <w:lang w:val="es-ES"/>
        </w:rPr>
        <w:t xml:space="preserve">Lo anterior, toma relevancia, pues conforme al formato 7f LGT_Art_71_Fr_If (Licencias de construcción) de los </w:t>
      </w:r>
      <w:r w:rsidRPr="00516CC9">
        <w:rPr>
          <w:rFonts w:ascii="Palatino Linotype" w:hAnsi="Palatino Linotype" w:cs="Tahoma"/>
          <w:bCs/>
          <w:iCs/>
          <w:sz w:val="22"/>
          <w:szCs w:val="22"/>
        </w:rPr>
        <w:t>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dichas Licencias, los domicilios de donde se solicita la misma, tal como se muestra continuación:</w:t>
      </w:r>
    </w:p>
    <w:p w:rsidR="004402AC" w:rsidRPr="00516CC9" w:rsidRDefault="004402AC" w:rsidP="00516CC9">
      <w:pPr>
        <w:spacing w:line="360" w:lineRule="auto"/>
        <w:jc w:val="both"/>
        <w:rPr>
          <w:rFonts w:ascii="Palatino Linotype" w:hAnsi="Palatino Linotype" w:cs="Tahoma"/>
          <w:bCs/>
          <w:iCs/>
          <w:sz w:val="22"/>
          <w:szCs w:val="22"/>
        </w:rPr>
      </w:pPr>
    </w:p>
    <w:p w:rsidR="004402AC" w:rsidRPr="00516CC9" w:rsidRDefault="004402AC" w:rsidP="00516CC9">
      <w:pPr>
        <w:spacing w:line="360" w:lineRule="auto"/>
        <w:jc w:val="both"/>
        <w:rPr>
          <w:rFonts w:ascii="Palatino Linotype" w:hAnsi="Palatino Linotype" w:cs="Tahoma"/>
          <w:bCs/>
          <w:sz w:val="22"/>
          <w:szCs w:val="22"/>
          <w:lang w:val="es-ES"/>
        </w:rPr>
      </w:pPr>
      <w:r w:rsidRPr="00516CC9">
        <w:rPr>
          <w:rFonts w:ascii="Palatino Linotype" w:hAnsi="Palatino Linotype" w:cs="Tahoma"/>
          <w:noProof/>
          <w:sz w:val="22"/>
          <w:szCs w:val="22"/>
          <w:lang w:eastAsia="es-MX"/>
        </w:rPr>
        <w:lastRenderedPageBreak/>
        <mc:AlternateContent>
          <mc:Choice Requires="wps">
            <w:drawing>
              <wp:anchor distT="0" distB="0" distL="114300" distR="114300" simplePos="0" relativeHeight="251661312" behindDoc="0" locked="0" layoutInCell="1" allowOverlap="1" wp14:anchorId="53647B95" wp14:editId="50E5F373">
                <wp:simplePos x="0" y="0"/>
                <wp:positionH relativeFrom="margin">
                  <wp:posOffset>1623695</wp:posOffset>
                </wp:positionH>
                <wp:positionV relativeFrom="paragraph">
                  <wp:posOffset>28575</wp:posOffset>
                </wp:positionV>
                <wp:extent cx="2400300" cy="171450"/>
                <wp:effectExtent l="19050" t="19050" r="19050" b="19050"/>
                <wp:wrapNone/>
                <wp:docPr id="6" name="Rectángulo 6"/>
                <wp:cNvGraphicFramePr/>
                <a:graphic xmlns:a="http://schemas.openxmlformats.org/drawingml/2006/main">
                  <a:graphicData uri="http://schemas.microsoft.com/office/word/2010/wordprocessingShape">
                    <wps:wsp>
                      <wps:cNvSpPr/>
                      <wps:spPr>
                        <a:xfrm>
                          <a:off x="0" y="0"/>
                          <a:ext cx="2400300" cy="1714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83482" id="Rectángulo 6" o:spid="_x0000_s1026" style="position:absolute;margin-left:127.85pt;margin-top:2.25pt;width:189pt;height:13.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" filled="f" strokecolor="black [3213]" strokeweight="2.25pt">
                <w10:wrap anchorx="margin"/>
              </v:rect>
            </w:pict>
          </mc:Fallback>
        </mc:AlternateContent>
      </w:r>
      <w:r w:rsidRPr="00516CC9">
        <w:rPr>
          <w:rFonts w:ascii="Palatino Linotype" w:hAnsi="Palatino Linotype" w:cs="Tahoma"/>
          <w:noProof/>
          <w:sz w:val="22"/>
          <w:szCs w:val="22"/>
          <w:lang w:eastAsia="es-MX"/>
        </w:rPr>
        <w:drawing>
          <wp:inline distT="0" distB="0" distL="0" distR="0" wp14:anchorId="20B957F9" wp14:editId="0170B318">
            <wp:extent cx="5705475" cy="6858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7445"/>
                    <a:stretch/>
                  </pic:blipFill>
                  <pic:spPr bwMode="auto">
                    <a:xfrm>
                      <a:off x="0" y="0"/>
                      <a:ext cx="5705475" cy="685800"/>
                    </a:xfrm>
                    <a:prstGeom prst="rect">
                      <a:avLst/>
                    </a:prstGeom>
                    <a:ln>
                      <a:noFill/>
                    </a:ln>
                    <a:extLst>
                      <a:ext uri="{53640926-AAD7-44D8-BBD7-CCE9431645EC}">
                        <a14:shadowObscured xmlns:a14="http://schemas.microsoft.com/office/drawing/2010/main"/>
                      </a:ext>
                    </a:extLst>
                  </pic:spPr>
                </pic:pic>
              </a:graphicData>
            </a:graphic>
          </wp:inline>
        </w:drawing>
      </w:r>
    </w:p>
    <w:p w:rsidR="004402AC" w:rsidRPr="00516CC9" w:rsidRDefault="004402AC" w:rsidP="00516CC9">
      <w:pPr>
        <w:spacing w:line="360" w:lineRule="auto"/>
        <w:jc w:val="both"/>
        <w:rPr>
          <w:rFonts w:ascii="Palatino Linotype" w:hAnsi="Palatino Linotype" w:cs="Tahoma"/>
          <w:bCs/>
          <w:sz w:val="22"/>
          <w:szCs w:val="22"/>
          <w:lang w:val="es-ES"/>
        </w:rPr>
      </w:pPr>
      <w:r w:rsidRPr="00516CC9">
        <w:rPr>
          <w:rFonts w:ascii="Palatino Linotype" w:hAnsi="Palatino Linotype" w:cs="Tahoma"/>
          <w:noProof/>
          <w:sz w:val="22"/>
          <w:szCs w:val="22"/>
          <w:lang w:eastAsia="es-MX"/>
        </w:rPr>
        <mc:AlternateContent>
          <mc:Choice Requires="wps">
            <w:drawing>
              <wp:anchor distT="0" distB="0" distL="114300" distR="114300" simplePos="0" relativeHeight="251662336" behindDoc="0" locked="0" layoutInCell="1" allowOverlap="1" wp14:anchorId="5B9345B5" wp14:editId="3BE60E1E">
                <wp:simplePos x="0" y="0"/>
                <wp:positionH relativeFrom="margin">
                  <wp:posOffset>1601470</wp:posOffset>
                </wp:positionH>
                <wp:positionV relativeFrom="paragraph">
                  <wp:posOffset>93980</wp:posOffset>
                </wp:positionV>
                <wp:extent cx="2400300" cy="17145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2400300" cy="1714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ED9E68" id="Rectángulo 7" o:spid="_x0000_s1026" style="position:absolute;margin-left:126.1pt;margin-top:7.4pt;width:189pt;height:13.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" filled="f" strokecolor="black [3213]" strokeweight="2.25pt">
                <w10:wrap anchorx="margin"/>
              </v:rect>
            </w:pict>
          </mc:Fallback>
        </mc:AlternateContent>
      </w:r>
      <w:r w:rsidRPr="00516CC9">
        <w:rPr>
          <w:rFonts w:ascii="Palatino Linotype" w:hAnsi="Palatino Linotype" w:cs="Tahoma"/>
          <w:noProof/>
          <w:sz w:val="22"/>
          <w:szCs w:val="22"/>
          <w:lang w:eastAsia="es-MX"/>
        </w:rPr>
        <w:drawing>
          <wp:inline distT="0" distB="0" distL="0" distR="0" wp14:anchorId="03B86048" wp14:editId="5352534B">
            <wp:extent cx="5705475" cy="6477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1079"/>
                    <a:stretch/>
                  </pic:blipFill>
                  <pic:spPr bwMode="auto">
                    <a:xfrm>
                      <a:off x="0" y="0"/>
                      <a:ext cx="5705475" cy="647700"/>
                    </a:xfrm>
                    <a:prstGeom prst="rect">
                      <a:avLst/>
                    </a:prstGeom>
                    <a:ln>
                      <a:noFill/>
                    </a:ln>
                    <a:extLst>
                      <a:ext uri="{53640926-AAD7-44D8-BBD7-CCE9431645EC}">
                        <a14:shadowObscured xmlns:a14="http://schemas.microsoft.com/office/drawing/2010/main"/>
                      </a:ext>
                    </a:extLst>
                  </pic:spPr>
                </pic:pic>
              </a:graphicData>
            </a:graphic>
          </wp:inline>
        </w:drawing>
      </w:r>
    </w:p>
    <w:p w:rsidR="004402AC" w:rsidRPr="00516CC9" w:rsidRDefault="004402AC" w:rsidP="00516CC9">
      <w:pPr>
        <w:spacing w:line="360" w:lineRule="auto"/>
        <w:jc w:val="both"/>
        <w:rPr>
          <w:rFonts w:ascii="Palatino Linotype" w:hAnsi="Palatino Linotype" w:cs="Tahoma"/>
          <w:bCs/>
          <w:sz w:val="22"/>
          <w:szCs w:val="22"/>
          <w:lang w:val="es-ES"/>
        </w:rPr>
      </w:pPr>
    </w:p>
    <w:p w:rsidR="004402AC" w:rsidRPr="00516CC9" w:rsidRDefault="004402AC" w:rsidP="00516CC9">
      <w:pPr>
        <w:spacing w:line="360" w:lineRule="auto"/>
        <w:jc w:val="both"/>
        <w:rPr>
          <w:rFonts w:ascii="Palatino Linotype" w:hAnsi="Palatino Linotype" w:cs="Tahoma"/>
          <w:bCs/>
          <w:sz w:val="22"/>
          <w:szCs w:val="22"/>
          <w:lang w:val="es-ES"/>
        </w:rPr>
      </w:pPr>
      <w:r w:rsidRPr="00516CC9">
        <w:rPr>
          <w:rFonts w:ascii="Palatino Linotype" w:hAnsi="Palatino Linotype" w:cs="Tahoma"/>
          <w:bCs/>
          <w:sz w:val="22"/>
          <w:szCs w:val="22"/>
          <w:lang w:val="es-ES"/>
        </w:rPr>
        <w:t xml:space="preserve">Así, en el caso en estudio, la clave catastral permite identificar, que la ubicación del predio coincide con la solicitada en las Licencias de Construcción, y que la misma está debidamente registrada ante la autoridad catastral; por lo tanto, es información de acceso a público, más aún cuando debe tomarse en cuenta que los datos de identificación de un inmueble se encuentran en diversos registros públicos, mismos que son de acceso público. Inclusive el Instituto de Información e Investigación Geográfica, Estadística y Catastral del Estado de México brinda el servicio de ubicación física de un terreno en una “Ortofoto” (producto cartográfico derivado de fotografías aéreas, corregidas en un plano ortogonal), a partir, de una clave catastral. </w:t>
      </w:r>
    </w:p>
    <w:p w:rsidR="004402AC" w:rsidRPr="00516CC9" w:rsidRDefault="004402AC" w:rsidP="00516CC9">
      <w:pPr>
        <w:spacing w:line="360" w:lineRule="auto"/>
        <w:jc w:val="both"/>
        <w:rPr>
          <w:rFonts w:ascii="Palatino Linotype" w:hAnsi="Palatino Linotype" w:cs="Tahoma"/>
          <w:bCs/>
          <w:sz w:val="22"/>
          <w:szCs w:val="22"/>
          <w:lang w:val="es-ES"/>
        </w:rPr>
      </w:pPr>
    </w:p>
    <w:p w:rsidR="004402AC" w:rsidRPr="00516CC9" w:rsidRDefault="004402AC" w:rsidP="00516CC9">
      <w:pPr>
        <w:spacing w:line="360" w:lineRule="auto"/>
        <w:jc w:val="both"/>
        <w:rPr>
          <w:rFonts w:ascii="Palatino Linotype" w:hAnsi="Palatino Linotype" w:cs="Tahoma"/>
          <w:bCs/>
          <w:sz w:val="22"/>
          <w:szCs w:val="22"/>
          <w:lang w:val="es-ES"/>
        </w:rPr>
      </w:pPr>
      <w:r w:rsidRPr="00516CC9">
        <w:rPr>
          <w:rFonts w:ascii="Palatino Linotype" w:hAnsi="Palatino Linotype" w:cs="Tahoma"/>
          <w:bCs/>
          <w:sz w:val="22"/>
          <w:szCs w:val="22"/>
          <w:lang w:val="es-ES"/>
        </w:rPr>
        <w:t>Por lo tanto, la clave catastral localizada en una Licencia de Construcción, es de naturaleza pública, pues con dicho dato se acredita que el inmueble donde se realiza una construcción o modificación, está debidamente registrado, aunado al hecho, de que ayuda a identificar la correcta ubicación del mismo; por lo que, no resulta procedente la clasificación, en términos del artículo 143, fracción I de la Ley de Transparencia y Acceso a la Información Pública del Estado de México y Municipios.</w:t>
      </w:r>
    </w:p>
    <w:p w:rsidR="004402AC" w:rsidRPr="00516CC9" w:rsidRDefault="004402AC" w:rsidP="00516CC9">
      <w:pPr>
        <w:spacing w:line="360" w:lineRule="auto"/>
        <w:jc w:val="both"/>
        <w:rPr>
          <w:rFonts w:ascii="Palatino Linotype" w:hAnsi="Palatino Linotype" w:cs="Tahoma"/>
          <w:sz w:val="22"/>
          <w:szCs w:val="22"/>
        </w:rPr>
      </w:pPr>
    </w:p>
    <w:p w:rsidR="004402AC" w:rsidRPr="00516CC9" w:rsidRDefault="004402AC" w:rsidP="00516CC9">
      <w:pPr>
        <w:numPr>
          <w:ilvl w:val="0"/>
          <w:numId w:val="16"/>
        </w:numPr>
        <w:spacing w:line="360" w:lineRule="auto"/>
        <w:jc w:val="both"/>
        <w:rPr>
          <w:rFonts w:ascii="Palatino Linotype" w:eastAsia="Calibri" w:hAnsi="Palatino Linotype" w:cs="Tahoma"/>
          <w:bCs/>
          <w:sz w:val="22"/>
          <w:szCs w:val="22"/>
          <w:lang w:eastAsia="en-US"/>
        </w:rPr>
      </w:pPr>
      <w:r w:rsidRPr="00516CC9">
        <w:rPr>
          <w:rFonts w:ascii="Palatino Linotype" w:hAnsi="Palatino Linotype" w:cs="Tahoma"/>
          <w:b/>
          <w:sz w:val="22"/>
          <w:szCs w:val="22"/>
        </w:rPr>
        <w:t>Nombre</w:t>
      </w:r>
      <w:r w:rsidRPr="00516CC9">
        <w:rPr>
          <w:rFonts w:ascii="Palatino Linotype" w:eastAsia="Calibri" w:hAnsi="Palatino Linotype" w:cs="Tahoma"/>
          <w:bCs/>
          <w:sz w:val="22"/>
          <w:szCs w:val="22"/>
          <w:lang w:eastAsia="en-US"/>
        </w:rPr>
        <w:t xml:space="preserve"> </w:t>
      </w:r>
      <w:r w:rsidR="008A0F47">
        <w:rPr>
          <w:rFonts w:ascii="Palatino Linotype" w:eastAsia="Calibri" w:hAnsi="Palatino Linotype" w:cs="Tahoma"/>
          <w:bCs/>
          <w:sz w:val="22"/>
          <w:szCs w:val="22"/>
          <w:lang w:eastAsia="en-US"/>
        </w:rPr>
        <w:t>de</w:t>
      </w:r>
      <w:r w:rsidRPr="00516CC9">
        <w:rPr>
          <w:rFonts w:ascii="Palatino Linotype" w:eastAsia="Calibri" w:hAnsi="Palatino Linotype" w:cs="Tahoma"/>
          <w:bCs/>
          <w:sz w:val="22"/>
          <w:szCs w:val="22"/>
          <w:lang w:eastAsia="en-US"/>
        </w:rPr>
        <w:t xml:space="preserve"> representante legal de</w:t>
      </w:r>
      <w:r w:rsidR="008A0F47">
        <w:rPr>
          <w:rFonts w:ascii="Palatino Linotype" w:eastAsia="Calibri" w:hAnsi="Palatino Linotype" w:cs="Tahoma"/>
          <w:bCs/>
          <w:sz w:val="22"/>
          <w:szCs w:val="22"/>
          <w:lang w:eastAsia="en-US"/>
        </w:rPr>
        <w:t xml:space="preserve"> </w:t>
      </w:r>
      <w:r w:rsidRPr="00516CC9">
        <w:rPr>
          <w:rFonts w:ascii="Palatino Linotype" w:eastAsia="Calibri" w:hAnsi="Palatino Linotype" w:cs="Tahoma"/>
          <w:bCs/>
          <w:sz w:val="22"/>
          <w:szCs w:val="22"/>
          <w:lang w:eastAsia="en-US"/>
        </w:rPr>
        <w:t>persona jurídico colectiva:</w:t>
      </w:r>
    </w:p>
    <w:p w:rsidR="004402AC" w:rsidRPr="00516CC9" w:rsidRDefault="004402AC" w:rsidP="00516CC9">
      <w:pPr>
        <w:pStyle w:val="Prrafodelista"/>
        <w:spacing w:line="360" w:lineRule="auto"/>
        <w:ind w:hanging="360"/>
        <w:jc w:val="both"/>
        <w:rPr>
          <w:rFonts w:ascii="Palatino Linotype" w:eastAsia="Calibri" w:hAnsi="Palatino Linotype" w:cs="Tahoma"/>
          <w:bCs/>
          <w:szCs w:val="22"/>
          <w:lang w:eastAsia="en-US"/>
        </w:rPr>
      </w:pPr>
    </w:p>
    <w:p w:rsidR="004402AC" w:rsidRPr="00516CC9" w:rsidRDefault="004402AC" w:rsidP="00516CC9">
      <w:pPr>
        <w:spacing w:line="360" w:lineRule="auto"/>
        <w:jc w:val="both"/>
        <w:rPr>
          <w:rFonts w:ascii="Palatino Linotype" w:hAnsi="Palatino Linotype" w:cs="Tahoma"/>
          <w:sz w:val="22"/>
          <w:szCs w:val="22"/>
          <w:lang w:val="es-ES"/>
        </w:rPr>
      </w:pPr>
      <w:r w:rsidRPr="00516CC9">
        <w:rPr>
          <w:rFonts w:ascii="Palatino Linotype" w:hAnsi="Palatino Linotype" w:cs="Tahoma"/>
          <w:sz w:val="22"/>
          <w:szCs w:val="22"/>
          <w:lang w:val="es-ES"/>
        </w:rPr>
        <w:t xml:space="preserve">Al respecto, resulta necesario señalar que las personas morales son representadas mediante personas físicas, debidamente acreditadas para realizar determinados actos a nombre de la </w:t>
      </w:r>
      <w:r w:rsidRPr="00516CC9">
        <w:rPr>
          <w:rFonts w:ascii="Palatino Linotype" w:hAnsi="Palatino Linotype" w:cs="Tahoma"/>
          <w:sz w:val="22"/>
          <w:szCs w:val="22"/>
          <w:lang w:val="es-ES"/>
        </w:rPr>
        <w:lastRenderedPageBreak/>
        <w:t>jurídico colectiva, por lo que, el nombre de dichos individuos no puede ser objeto de clasificación, en virtud de que la representación persigue la finalidad de dar certeza jurídica a los actos que realiza, en el presente caso, solicitar diversas Licencias de Uso de Suelo o de Construcción.</w:t>
      </w:r>
    </w:p>
    <w:p w:rsidR="004402AC" w:rsidRPr="00516CC9" w:rsidRDefault="004402AC" w:rsidP="00516CC9">
      <w:pPr>
        <w:spacing w:line="360" w:lineRule="auto"/>
        <w:jc w:val="both"/>
        <w:rPr>
          <w:rFonts w:ascii="Palatino Linotype" w:hAnsi="Palatino Linotype" w:cs="Tahoma"/>
          <w:sz w:val="22"/>
          <w:szCs w:val="22"/>
          <w:lang w:val="es-ES"/>
        </w:rPr>
      </w:pPr>
    </w:p>
    <w:p w:rsidR="004402AC" w:rsidRPr="00516CC9" w:rsidRDefault="004402AC" w:rsidP="00516CC9">
      <w:pPr>
        <w:spacing w:line="360" w:lineRule="auto"/>
        <w:jc w:val="both"/>
        <w:rPr>
          <w:rFonts w:ascii="Palatino Linotype" w:hAnsi="Palatino Linotype" w:cs="Tahoma"/>
          <w:sz w:val="22"/>
          <w:szCs w:val="22"/>
          <w:lang w:val="es-ES"/>
        </w:rPr>
      </w:pPr>
      <w:r w:rsidRPr="00516CC9">
        <w:rPr>
          <w:rFonts w:ascii="Palatino Linotype" w:hAnsi="Palatino Linotype" w:cs="Tahoma"/>
          <w:sz w:val="22"/>
          <w:szCs w:val="22"/>
          <w:lang w:val="es-ES"/>
        </w:rPr>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rsidR="004402AC" w:rsidRPr="00516CC9" w:rsidRDefault="004402AC" w:rsidP="00516CC9">
      <w:pPr>
        <w:spacing w:line="360" w:lineRule="auto"/>
        <w:jc w:val="both"/>
        <w:rPr>
          <w:rFonts w:ascii="Palatino Linotype" w:hAnsi="Palatino Linotype" w:cs="Tahoma"/>
          <w:sz w:val="22"/>
          <w:szCs w:val="22"/>
          <w:lang w:val="es-ES"/>
        </w:rPr>
      </w:pPr>
    </w:p>
    <w:p w:rsidR="004402AC" w:rsidRPr="00516CC9" w:rsidRDefault="004402AC" w:rsidP="00516CC9">
      <w:pPr>
        <w:spacing w:line="360" w:lineRule="auto"/>
        <w:jc w:val="both"/>
        <w:rPr>
          <w:rFonts w:ascii="Palatino Linotype" w:hAnsi="Palatino Linotype" w:cs="Tahoma"/>
          <w:sz w:val="22"/>
          <w:szCs w:val="22"/>
          <w:lang w:val="es-ES"/>
        </w:rPr>
      </w:pPr>
      <w:r w:rsidRPr="00516CC9">
        <w:rPr>
          <w:rFonts w:ascii="Palatino Linotype" w:hAnsi="Palatino Linotype" w:cs="Tahoma"/>
          <w:sz w:val="22"/>
          <w:szCs w:val="22"/>
          <w:lang w:val="es-ES"/>
        </w:rPr>
        <w:t>En esa tesitura, la representación de las personas morales se realizará por medio de representantes o apoderados, y en el caso específico de las sociedades mercantiles, dicha representación se otorgará mediante instrumento público.</w:t>
      </w:r>
    </w:p>
    <w:p w:rsidR="004402AC" w:rsidRPr="00516CC9" w:rsidRDefault="004402AC" w:rsidP="00516CC9">
      <w:pPr>
        <w:spacing w:line="360" w:lineRule="auto"/>
        <w:jc w:val="both"/>
        <w:rPr>
          <w:rFonts w:ascii="Palatino Linotype" w:hAnsi="Palatino Linotype" w:cs="Tahoma"/>
          <w:sz w:val="22"/>
          <w:szCs w:val="22"/>
          <w:lang w:val="es-ES"/>
        </w:rPr>
      </w:pPr>
    </w:p>
    <w:p w:rsidR="004402AC" w:rsidRPr="00516CC9" w:rsidRDefault="004402AC" w:rsidP="00516CC9">
      <w:pPr>
        <w:spacing w:line="360" w:lineRule="auto"/>
        <w:jc w:val="both"/>
        <w:rPr>
          <w:rFonts w:ascii="Palatino Linotype" w:hAnsi="Palatino Linotype" w:cs="Tahoma"/>
          <w:sz w:val="22"/>
          <w:szCs w:val="22"/>
          <w:lang w:val="es-ES"/>
        </w:rPr>
      </w:pPr>
      <w:r w:rsidRPr="00516CC9">
        <w:rPr>
          <w:rFonts w:ascii="Palatino Linotype" w:hAnsi="Palatino Linotype" w:cs="Tahoma"/>
          <w:sz w:val="22"/>
          <w:szCs w:val="22"/>
          <w:lang w:val="es-ES"/>
        </w:rPr>
        <w:t>Ello, toda vez que la representación legal debe ser conocida para surtir efectos ante terceros; es decir, la publicidad de la misma tiene por objeto dar certeza a quienes se relacionan con la persona jurídico colectiva representada, que las actuaciones de su representante están previamente autorizadas y que surtirán efectos legales a que constriñe cada acto.</w:t>
      </w:r>
    </w:p>
    <w:p w:rsidR="004402AC" w:rsidRPr="00516CC9" w:rsidRDefault="004402AC" w:rsidP="00516CC9">
      <w:pPr>
        <w:spacing w:line="360" w:lineRule="auto"/>
        <w:jc w:val="both"/>
        <w:rPr>
          <w:rFonts w:ascii="Palatino Linotype" w:hAnsi="Palatino Linotype" w:cs="Tahoma"/>
          <w:sz w:val="22"/>
          <w:szCs w:val="22"/>
          <w:lang w:val="es-ES"/>
        </w:rPr>
      </w:pPr>
    </w:p>
    <w:p w:rsidR="004402AC" w:rsidRPr="00516CC9" w:rsidRDefault="004402AC" w:rsidP="00516CC9">
      <w:pPr>
        <w:spacing w:line="360" w:lineRule="auto"/>
        <w:jc w:val="both"/>
        <w:rPr>
          <w:rFonts w:ascii="Palatino Linotype" w:hAnsi="Palatino Linotype" w:cs="Tahoma"/>
          <w:sz w:val="22"/>
          <w:szCs w:val="22"/>
          <w:lang w:val="es-ES"/>
        </w:rPr>
      </w:pPr>
      <w:r w:rsidRPr="00516CC9">
        <w:rPr>
          <w:rFonts w:ascii="Palatino Linotype" w:hAnsi="Palatino Linotype" w:cs="Tahoma"/>
          <w:sz w:val="22"/>
          <w:szCs w:val="22"/>
          <w:lang w:val="es-ES"/>
        </w:rPr>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del apoderado legal de una empresa, </w:t>
      </w:r>
      <w:r w:rsidRPr="00516CC9">
        <w:rPr>
          <w:rFonts w:ascii="Palatino Linotype" w:hAnsi="Palatino Linotype" w:cs="Tahoma"/>
          <w:b/>
          <w:sz w:val="22"/>
          <w:szCs w:val="22"/>
          <w:lang w:val="es-ES"/>
        </w:rPr>
        <w:t xml:space="preserve">es público, </w:t>
      </w:r>
      <w:r w:rsidRPr="00516CC9">
        <w:rPr>
          <w:rFonts w:ascii="Palatino Linotype" w:hAnsi="Palatino Linotype" w:cs="Tahoma"/>
          <w:sz w:val="22"/>
          <w:szCs w:val="22"/>
          <w:lang w:val="es-ES"/>
        </w:rPr>
        <w:t xml:space="preserve">toda vez que por conducto de este, una persona jurídico colectiva realiza cualquier acto jurídico; es decir, la publicidad de dicho dato da certeza a quienes se relacionan con la persona representada, partiendo del supuesto de que las actuaciones de su representante están previamente autorizadas y que surtirán los efectos </w:t>
      </w:r>
      <w:r w:rsidRPr="00516CC9">
        <w:rPr>
          <w:rFonts w:ascii="Palatino Linotype" w:hAnsi="Palatino Linotype" w:cs="Tahoma"/>
          <w:sz w:val="22"/>
          <w:szCs w:val="22"/>
          <w:lang w:val="es-ES"/>
        </w:rPr>
        <w:lastRenderedPageBreak/>
        <w:t>legales a que se constriñe en cada acto, tal como solicitar una Licencia de Uso de Suelo o de Construcción.</w:t>
      </w:r>
    </w:p>
    <w:p w:rsidR="004402AC" w:rsidRPr="00516CC9" w:rsidRDefault="004402AC" w:rsidP="00516CC9">
      <w:pPr>
        <w:spacing w:line="360" w:lineRule="auto"/>
        <w:jc w:val="both"/>
        <w:rPr>
          <w:rFonts w:ascii="Palatino Linotype" w:hAnsi="Palatino Linotype" w:cs="Tahoma"/>
          <w:sz w:val="22"/>
          <w:szCs w:val="22"/>
          <w:lang w:val="es-ES"/>
        </w:rPr>
      </w:pPr>
    </w:p>
    <w:p w:rsidR="004402AC" w:rsidRPr="00516CC9" w:rsidRDefault="004402AC" w:rsidP="00516CC9">
      <w:pPr>
        <w:spacing w:line="360" w:lineRule="auto"/>
        <w:jc w:val="both"/>
        <w:rPr>
          <w:rFonts w:ascii="Palatino Linotype" w:hAnsi="Palatino Linotype" w:cs="Tahoma"/>
          <w:sz w:val="22"/>
          <w:szCs w:val="22"/>
          <w:lang w:val="es-ES"/>
        </w:rPr>
      </w:pPr>
      <w:r w:rsidRPr="00516CC9">
        <w:rPr>
          <w:rFonts w:ascii="Palatino Linotype" w:hAnsi="Palatino Linotype" w:cs="Tahoma"/>
          <w:sz w:val="22"/>
          <w:szCs w:val="22"/>
          <w:lang w:val="es-ES"/>
        </w:rPr>
        <w:t>Ante tales situaciones, el nombre del representante legal de una persona jurídico colectiva, no es susceptible de ser clasificado como confidencial, en términos del artículo 143, fracción I de la Ley Federal de Transparencia y Acceso a la Información Pública.</w:t>
      </w:r>
    </w:p>
    <w:p w:rsidR="004402AC" w:rsidRPr="00516CC9" w:rsidRDefault="004402AC" w:rsidP="00516CC9">
      <w:pPr>
        <w:spacing w:line="360" w:lineRule="auto"/>
        <w:ind w:right="-93"/>
        <w:jc w:val="both"/>
        <w:rPr>
          <w:rFonts w:ascii="Palatino Linotype" w:hAnsi="Palatino Linotype" w:cs="Tahoma"/>
          <w:b/>
          <w:sz w:val="22"/>
          <w:szCs w:val="22"/>
        </w:rPr>
      </w:pPr>
    </w:p>
    <w:p w:rsidR="00516CC9" w:rsidRPr="00516CC9" w:rsidRDefault="00516CC9" w:rsidP="00516CC9">
      <w:pPr>
        <w:spacing w:line="360" w:lineRule="auto"/>
        <w:contextualSpacing/>
        <w:jc w:val="both"/>
        <w:rPr>
          <w:rFonts w:ascii="Palatino Linotype" w:hAnsi="Palatino Linotype" w:cs="Tahoma"/>
          <w:b/>
          <w:sz w:val="22"/>
          <w:szCs w:val="22"/>
          <w:lang w:eastAsia="es-MX"/>
        </w:rPr>
      </w:pPr>
      <w:r w:rsidRPr="00516CC9">
        <w:rPr>
          <w:rFonts w:ascii="Palatino Linotype" w:hAnsi="Palatino Linotype" w:cs="Tahoma"/>
          <w:b/>
          <w:sz w:val="22"/>
          <w:szCs w:val="22"/>
          <w:lang w:eastAsia="es-MX"/>
        </w:rPr>
        <w:t>Nombres de personas físicas.</w:t>
      </w:r>
    </w:p>
    <w:p w:rsidR="00516CC9" w:rsidRPr="00516CC9" w:rsidRDefault="00516CC9" w:rsidP="00516CC9">
      <w:pPr>
        <w:tabs>
          <w:tab w:val="left" w:pos="2115"/>
        </w:tabs>
        <w:spacing w:line="360" w:lineRule="auto"/>
        <w:ind w:right="-93"/>
        <w:jc w:val="both"/>
        <w:rPr>
          <w:rFonts w:ascii="Palatino Linotype" w:hAnsi="Palatino Linotype" w:cs="Tahoma"/>
          <w:sz w:val="22"/>
          <w:szCs w:val="22"/>
        </w:rPr>
      </w:pPr>
    </w:p>
    <w:p w:rsidR="00516CC9" w:rsidRPr="00516CC9" w:rsidRDefault="00516CC9" w:rsidP="00516CC9">
      <w:pPr>
        <w:spacing w:line="360" w:lineRule="auto"/>
        <w:ind w:right="-93"/>
        <w:jc w:val="both"/>
        <w:rPr>
          <w:rFonts w:ascii="Palatino Linotype" w:eastAsia="Calibri" w:hAnsi="Palatino Linotype" w:cs="Tahoma"/>
          <w:b/>
          <w:bCs/>
          <w:sz w:val="22"/>
          <w:szCs w:val="22"/>
          <w:lang w:val="es-ES_tradnl" w:eastAsia="en-US"/>
        </w:rPr>
      </w:pPr>
      <w:r w:rsidRPr="00516CC9">
        <w:rPr>
          <w:rFonts w:ascii="Palatino Linotype" w:hAnsi="Palatino Linotype" w:cs="Tahoma"/>
          <w:sz w:val="22"/>
          <w:szCs w:val="22"/>
        </w:rPr>
        <w:t xml:space="preserve">Al respecto, </w:t>
      </w:r>
      <w:r w:rsidRPr="00516CC9">
        <w:rPr>
          <w:rFonts w:ascii="Palatino Linotype" w:eastAsia="Calibri" w:hAnsi="Palatino Linotype" w:cs="Tahoma"/>
          <w:bCs/>
          <w:sz w:val="22"/>
          <w:szCs w:val="22"/>
          <w:lang w:eastAsia="en-US"/>
        </w:rPr>
        <w:t xml:space="preserve">se considera que el nombre se integra </w:t>
      </w:r>
      <w:r w:rsidRPr="00516CC9">
        <w:rPr>
          <w:rFonts w:ascii="Palatino Linotype" w:eastAsia="Calibri" w:hAnsi="Palatino Linotype" w:cs="Tahoma"/>
          <w:bCs/>
          <w:sz w:val="22"/>
          <w:szCs w:val="22"/>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516CC9">
        <w:rPr>
          <w:rFonts w:ascii="Palatino Linotype" w:eastAsia="Calibri" w:hAnsi="Palatino Linotype" w:cs="Tahoma"/>
          <w:bCs/>
          <w:i/>
          <w:sz w:val="22"/>
          <w:szCs w:val="22"/>
          <w:lang w:val="es-ES_tradnl" w:eastAsia="en-US"/>
        </w:rPr>
        <w:t>per se</w:t>
      </w:r>
      <w:r w:rsidRPr="00516CC9">
        <w:rPr>
          <w:rFonts w:ascii="Palatino Linotype" w:eastAsia="Calibri" w:hAnsi="Palatino Linotype" w:cs="Tahoma"/>
          <w:bCs/>
          <w:sz w:val="22"/>
          <w:szCs w:val="22"/>
          <w:lang w:val="es-ES_tradnl" w:eastAsia="en-US"/>
        </w:rPr>
        <w:t xml:space="preserve"> es un elemento que hace a una persona física identificada o identificable, por lo que, </w:t>
      </w:r>
      <w:r w:rsidRPr="00516CC9">
        <w:rPr>
          <w:rFonts w:ascii="Palatino Linotype" w:eastAsia="Calibri" w:hAnsi="Palatino Linotype" w:cs="Tahoma"/>
          <w:b/>
          <w:bCs/>
          <w:sz w:val="22"/>
          <w:szCs w:val="22"/>
          <w:lang w:val="es-ES_tradnl" w:eastAsia="en-US"/>
        </w:rPr>
        <w:t>se considera un dato personal.</w:t>
      </w:r>
    </w:p>
    <w:p w:rsidR="00516CC9" w:rsidRPr="00516CC9" w:rsidRDefault="00516CC9" w:rsidP="00516CC9">
      <w:pPr>
        <w:spacing w:line="360" w:lineRule="auto"/>
        <w:jc w:val="both"/>
        <w:rPr>
          <w:rFonts w:ascii="Palatino Linotype" w:hAnsi="Palatino Linotype" w:cs="Tahoma"/>
          <w:sz w:val="22"/>
          <w:szCs w:val="22"/>
        </w:rPr>
      </w:pPr>
    </w:p>
    <w:p w:rsidR="00516CC9" w:rsidRPr="00516CC9" w:rsidRDefault="00516CC9" w:rsidP="00516CC9">
      <w:pPr>
        <w:spacing w:line="360" w:lineRule="auto"/>
        <w:jc w:val="both"/>
        <w:rPr>
          <w:rFonts w:ascii="Palatino Linotype" w:eastAsia="Calibri" w:hAnsi="Palatino Linotype" w:cs="Tahoma"/>
          <w:bCs/>
          <w:sz w:val="22"/>
          <w:szCs w:val="22"/>
          <w:lang w:val="es-ES_tradnl" w:eastAsia="en-US"/>
        </w:rPr>
      </w:pPr>
      <w:r w:rsidRPr="00516CC9">
        <w:rPr>
          <w:rFonts w:ascii="Palatino Linotype" w:eastAsia="Calibri" w:hAnsi="Palatino Linotype" w:cs="Tahoma"/>
          <w:bCs/>
          <w:sz w:val="22"/>
          <w:szCs w:val="22"/>
          <w:lang w:val="es-ES_tradnl" w:eastAsia="en-US"/>
        </w:rP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rsidR="00516CC9" w:rsidRPr="00516CC9" w:rsidRDefault="00516CC9" w:rsidP="00516CC9">
      <w:pPr>
        <w:spacing w:line="360" w:lineRule="auto"/>
        <w:jc w:val="both"/>
        <w:rPr>
          <w:rFonts w:ascii="Palatino Linotype" w:eastAsia="Calibri" w:hAnsi="Palatino Linotype" w:cs="Tahoma"/>
          <w:bCs/>
          <w:sz w:val="22"/>
          <w:szCs w:val="22"/>
          <w:lang w:val="es-ES_tradnl" w:eastAsia="en-US"/>
        </w:rPr>
      </w:pPr>
    </w:p>
    <w:p w:rsidR="00516CC9" w:rsidRPr="00516CC9" w:rsidRDefault="00516CC9" w:rsidP="00516CC9">
      <w:pPr>
        <w:spacing w:line="360" w:lineRule="auto"/>
        <w:ind w:left="567" w:right="567"/>
        <w:jc w:val="both"/>
        <w:rPr>
          <w:rFonts w:ascii="Palatino Linotype" w:eastAsiaTheme="minorHAnsi" w:hAnsi="Palatino Linotype" w:cs="Tahoma"/>
          <w:bCs/>
          <w:i/>
          <w:sz w:val="22"/>
          <w:szCs w:val="22"/>
          <w:lang w:eastAsia="es-MX"/>
        </w:rPr>
      </w:pPr>
      <w:r w:rsidRPr="00516CC9">
        <w:rPr>
          <w:rFonts w:ascii="Palatino Linotype" w:eastAsiaTheme="minorHAnsi" w:hAnsi="Palatino Linotype" w:cs="Tahoma"/>
          <w:b/>
          <w:bCs/>
          <w:i/>
          <w:sz w:val="22"/>
          <w:szCs w:val="22"/>
          <w:lang w:eastAsia="es-MX"/>
        </w:rPr>
        <w:t>“Nombre del titular de una licencia que no involucre el aprovechamiento de bienes, servicios y/o recursos públicos, constituye un dato personal susceptible de clasificar como confidencial.</w:t>
      </w:r>
      <w:r w:rsidRPr="00516CC9">
        <w:rPr>
          <w:rFonts w:ascii="Palatino Linotype" w:eastAsiaTheme="minorHAnsi" w:hAnsi="Palatino Linotype" w:cs="Tahoma"/>
          <w:bCs/>
          <w:i/>
          <w:sz w:val="22"/>
          <w:szCs w:val="22"/>
          <w:lang w:eastAsia="es-MX"/>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w:t>
      </w:r>
      <w:r w:rsidRPr="00516CC9">
        <w:rPr>
          <w:rFonts w:ascii="Palatino Linotype" w:eastAsiaTheme="minorHAnsi" w:hAnsi="Palatino Linotype" w:cs="Tahoma"/>
          <w:bCs/>
          <w:i/>
          <w:sz w:val="22"/>
          <w:szCs w:val="22"/>
          <w:lang w:eastAsia="es-MX"/>
        </w:rPr>
        <w:lastRenderedPageBreak/>
        <w:t>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rsidR="00516CC9" w:rsidRPr="00516CC9" w:rsidRDefault="00516CC9" w:rsidP="00516CC9">
      <w:pPr>
        <w:spacing w:line="360" w:lineRule="auto"/>
        <w:ind w:right="-93"/>
        <w:jc w:val="both"/>
        <w:rPr>
          <w:rFonts w:ascii="Palatino Linotype" w:eastAsia="Calibri" w:hAnsi="Palatino Linotype" w:cs="Tahoma"/>
          <w:bCs/>
          <w:sz w:val="22"/>
          <w:szCs w:val="22"/>
          <w:lang w:eastAsia="en-US"/>
        </w:rPr>
      </w:pPr>
    </w:p>
    <w:p w:rsidR="00516CC9" w:rsidRPr="00516CC9" w:rsidRDefault="00516CC9" w:rsidP="00516CC9">
      <w:pPr>
        <w:spacing w:line="360" w:lineRule="auto"/>
        <w:jc w:val="both"/>
        <w:rPr>
          <w:rFonts w:ascii="Palatino Linotype" w:hAnsi="Palatino Linotype" w:cs="Tahoma"/>
          <w:sz w:val="22"/>
          <w:szCs w:val="22"/>
        </w:rPr>
      </w:pPr>
      <w:r w:rsidRPr="00516CC9">
        <w:rPr>
          <w:rFonts w:ascii="Palatino Linotype" w:eastAsia="Calibri" w:hAnsi="Palatino Linotype" w:cs="Tahoma"/>
          <w:bCs/>
          <w:sz w:val="22"/>
          <w:szCs w:val="22"/>
          <w:lang w:eastAsia="en-US"/>
        </w:rPr>
        <w:t>Con base en lo anterior, procede su eliminación de las versiones públicas.</w:t>
      </w:r>
    </w:p>
    <w:p w:rsidR="004402AC" w:rsidRPr="00516CC9" w:rsidRDefault="004402AC" w:rsidP="00516CC9">
      <w:pPr>
        <w:spacing w:line="360" w:lineRule="auto"/>
        <w:ind w:right="-93"/>
        <w:jc w:val="both"/>
        <w:rPr>
          <w:rFonts w:ascii="Palatino Linotype" w:hAnsi="Palatino Linotype" w:cs="Tahoma"/>
          <w:sz w:val="22"/>
          <w:szCs w:val="22"/>
        </w:rPr>
      </w:pPr>
    </w:p>
    <w:p w:rsidR="004402AC" w:rsidRPr="00516CC9" w:rsidRDefault="004402AC" w:rsidP="00516CC9">
      <w:pPr>
        <w:spacing w:line="360" w:lineRule="auto"/>
        <w:ind w:right="-93"/>
        <w:jc w:val="both"/>
        <w:rPr>
          <w:rFonts w:ascii="Palatino Linotype" w:hAnsi="Palatino Linotype" w:cs="Tahoma"/>
          <w:sz w:val="22"/>
          <w:szCs w:val="22"/>
        </w:rPr>
      </w:pPr>
      <w:r w:rsidRPr="00516CC9">
        <w:rPr>
          <w:rFonts w:ascii="Palatino Linotype" w:hAnsi="Palatino Linotype" w:cs="Tahoma"/>
          <w:sz w:val="22"/>
          <w:szCs w:val="22"/>
        </w:rPr>
        <w:t>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4402AC" w:rsidRPr="00516CC9" w:rsidRDefault="004402AC" w:rsidP="00516CC9">
      <w:pPr>
        <w:spacing w:line="360" w:lineRule="auto"/>
        <w:ind w:right="-93"/>
        <w:jc w:val="both"/>
        <w:rPr>
          <w:rFonts w:ascii="Palatino Linotype" w:hAnsi="Palatino Linotype" w:cs="Tahoma"/>
          <w:sz w:val="22"/>
          <w:szCs w:val="22"/>
        </w:rPr>
      </w:pPr>
    </w:p>
    <w:p w:rsidR="004402AC" w:rsidRPr="00516CC9" w:rsidRDefault="004402AC" w:rsidP="00516CC9">
      <w:pPr>
        <w:spacing w:line="360" w:lineRule="auto"/>
        <w:ind w:right="-93"/>
        <w:jc w:val="both"/>
        <w:rPr>
          <w:rFonts w:ascii="Palatino Linotype" w:hAnsi="Palatino Linotype" w:cs="Tahoma"/>
          <w:sz w:val="22"/>
          <w:szCs w:val="22"/>
        </w:rPr>
      </w:pPr>
      <w:r w:rsidRPr="00516CC9">
        <w:rPr>
          <w:rFonts w:ascii="Palatino Linotype" w:hAnsi="Palatino Linotype" w:cs="Tahoma"/>
          <w:sz w:val="22"/>
          <w:szCs w:val="22"/>
        </w:rPr>
        <w:lastRenderedPageBreak/>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rsidR="004402AC" w:rsidRPr="00516CC9" w:rsidRDefault="004402AC" w:rsidP="00516CC9">
      <w:pPr>
        <w:spacing w:line="360" w:lineRule="auto"/>
        <w:ind w:right="-93"/>
        <w:jc w:val="both"/>
        <w:rPr>
          <w:rFonts w:ascii="Palatino Linotype" w:hAnsi="Palatino Linotype" w:cs="Tahoma"/>
          <w:sz w:val="22"/>
          <w:szCs w:val="22"/>
        </w:rPr>
      </w:pPr>
    </w:p>
    <w:p w:rsidR="004402AC" w:rsidRPr="00516CC9" w:rsidRDefault="004402AC" w:rsidP="00516CC9">
      <w:pPr>
        <w:spacing w:line="360" w:lineRule="auto"/>
        <w:ind w:right="-93"/>
        <w:jc w:val="both"/>
        <w:rPr>
          <w:rFonts w:ascii="Palatino Linotype" w:hAnsi="Palatino Linotype" w:cs="Tahoma"/>
          <w:sz w:val="22"/>
          <w:szCs w:val="22"/>
        </w:rPr>
      </w:pPr>
      <w:r w:rsidRPr="00516CC9">
        <w:rPr>
          <w:rFonts w:ascii="Palatino Linotype" w:hAnsi="Palatino Linotype" w:cs="Tahoma"/>
          <w:sz w:val="22"/>
          <w:szCs w:val="22"/>
        </w:rPr>
        <w:t xml:space="preserve">Por lo expuesto, se considera que el Ayuntamiento de </w:t>
      </w:r>
      <w:r w:rsidR="007426DA">
        <w:rPr>
          <w:rFonts w:ascii="Palatino Linotype" w:hAnsi="Palatino Linotype" w:cs="Tahoma"/>
          <w:sz w:val="22"/>
          <w:szCs w:val="22"/>
        </w:rPr>
        <w:t>Atizapán de Zaragoza</w:t>
      </w:r>
      <w:r w:rsidRPr="00516CC9">
        <w:rPr>
          <w:rFonts w:ascii="Palatino Linotype" w:hAnsi="Palatino Linotype" w:cs="Tahoma"/>
          <w:sz w:val="22"/>
          <w:szCs w:val="22"/>
        </w:rPr>
        <w:t>, para atender la solicitud de información deberá proporcionar la versión pública de las Licencias de Construcción</w:t>
      </w:r>
      <w:r w:rsidR="007426DA">
        <w:rPr>
          <w:rFonts w:ascii="Palatino Linotype" w:hAnsi="Palatino Linotype" w:cs="Tahoma"/>
          <w:sz w:val="22"/>
          <w:szCs w:val="22"/>
        </w:rPr>
        <w:t xml:space="preserve"> y </w:t>
      </w:r>
      <w:r w:rsidR="008A0F47">
        <w:rPr>
          <w:rFonts w:ascii="Palatino Linotype" w:hAnsi="Palatino Linotype" w:cs="Tahoma"/>
          <w:sz w:val="22"/>
          <w:szCs w:val="22"/>
        </w:rPr>
        <w:t xml:space="preserve"> las constancias de </w:t>
      </w:r>
      <w:r w:rsidR="007426DA">
        <w:rPr>
          <w:rFonts w:ascii="Palatino Linotype" w:hAnsi="Palatino Linotype" w:cs="Tahoma"/>
          <w:sz w:val="22"/>
          <w:szCs w:val="22"/>
        </w:rPr>
        <w:t xml:space="preserve">terminación de obra </w:t>
      </w:r>
      <w:r w:rsidRPr="00516CC9">
        <w:rPr>
          <w:rFonts w:ascii="Palatino Linotype" w:hAnsi="Palatino Linotype" w:cs="Tahoma"/>
          <w:sz w:val="22"/>
          <w:szCs w:val="22"/>
        </w:rPr>
        <w:t xml:space="preserve">que haya expedido </w:t>
      </w:r>
      <w:r w:rsidR="007426DA">
        <w:rPr>
          <w:rFonts w:ascii="Palatino Linotype" w:hAnsi="Palatino Linotype" w:cs="Tahoma"/>
          <w:sz w:val="22"/>
          <w:szCs w:val="22"/>
        </w:rPr>
        <w:t>del primero de enero al once de febrero de dos mil diecinueve</w:t>
      </w:r>
      <w:r w:rsidRPr="00516CC9">
        <w:rPr>
          <w:rFonts w:ascii="Palatino Linotype" w:hAnsi="Palatino Linotype" w:cs="Tahoma"/>
          <w:sz w:val="22"/>
          <w:szCs w:val="22"/>
        </w:rPr>
        <w:t>, en las cuales no podrá clasificar como confidencial el número de licencia, el nombre del solicitante (persona física representante legal la Sociedad Anónima o de la persona jurídico colectiva), ubicación del predio o inmueble, clave catastral, uso de suelo, información relacionada con el proyecto (densidad de la vivienda, altura máxima, cajones de estacionamiento, normatividad y obligaciones), vigencia de la licencia, lugar y fecha en que se expide y el nombre, cargo y firma del servidor público que autoriza la misma.</w:t>
      </w:r>
    </w:p>
    <w:p w:rsidR="005208D3" w:rsidRDefault="005208D3" w:rsidP="00516CC9">
      <w:pPr>
        <w:spacing w:line="360" w:lineRule="auto"/>
        <w:ind w:right="-93"/>
        <w:jc w:val="both"/>
        <w:rPr>
          <w:rFonts w:ascii="Palatino Linotype" w:hAnsi="Palatino Linotype" w:cs="Tahoma"/>
          <w:sz w:val="22"/>
          <w:szCs w:val="22"/>
          <w:lang w:val="es-ES"/>
        </w:rPr>
      </w:pPr>
    </w:p>
    <w:p w:rsidR="008A0F47" w:rsidRDefault="008A0F47" w:rsidP="008A0F47">
      <w:pPr>
        <w:spacing w:line="360" w:lineRule="auto"/>
        <w:ind w:right="-93"/>
        <w:jc w:val="both"/>
        <w:rPr>
          <w:rFonts w:ascii="Palatino Linotype" w:hAnsi="Palatino Linotype" w:cs="Tahoma"/>
          <w:b/>
          <w:sz w:val="22"/>
          <w:szCs w:val="22"/>
        </w:rPr>
      </w:pPr>
      <w:r w:rsidRPr="003B7F55">
        <w:rPr>
          <w:rFonts w:ascii="Palatino Linotype" w:hAnsi="Palatino Linotype" w:cs="Tahoma"/>
          <w:b/>
          <w:sz w:val="22"/>
          <w:szCs w:val="22"/>
        </w:rPr>
        <w:t xml:space="preserve">SEXTO. </w:t>
      </w:r>
      <w:r w:rsidRPr="00264223">
        <w:rPr>
          <w:rFonts w:ascii="Palatino Linotype" w:hAnsi="Palatino Linotype" w:cs="Tahoma"/>
          <w:b/>
          <w:sz w:val="22"/>
          <w:szCs w:val="22"/>
        </w:rPr>
        <w:t xml:space="preserve">Vista a la Contraloría Interna y </w:t>
      </w:r>
      <w:r w:rsidRPr="00264223">
        <w:rPr>
          <w:rFonts w:ascii="Palatino Linotype" w:eastAsia="Calibri" w:hAnsi="Palatino Linotype" w:cs="Tahoma"/>
          <w:b/>
          <w:bCs/>
          <w:sz w:val="22"/>
          <w:szCs w:val="22"/>
          <w:lang w:val="es-ES_tradnl" w:eastAsia="en-US"/>
        </w:rPr>
        <w:t>Órgano de Control y Vigilancia</w:t>
      </w:r>
      <w:r w:rsidRPr="00264223">
        <w:rPr>
          <w:rFonts w:ascii="Palatino Linotype" w:hAnsi="Palatino Linotype" w:cs="Tahoma"/>
          <w:b/>
          <w:sz w:val="22"/>
          <w:szCs w:val="22"/>
        </w:rPr>
        <w:t xml:space="preserve">. </w:t>
      </w:r>
    </w:p>
    <w:p w:rsidR="008A0F47" w:rsidRDefault="008A0F47" w:rsidP="008A0F47">
      <w:pPr>
        <w:spacing w:line="360" w:lineRule="auto"/>
        <w:ind w:right="-93"/>
        <w:jc w:val="both"/>
        <w:rPr>
          <w:rFonts w:ascii="Palatino Linotype" w:hAnsi="Palatino Linotype" w:cs="Tahoma"/>
          <w:b/>
          <w:sz w:val="22"/>
          <w:szCs w:val="22"/>
        </w:rPr>
      </w:pPr>
    </w:p>
    <w:p w:rsidR="008A0F47" w:rsidRPr="00264223" w:rsidRDefault="008A0F47" w:rsidP="008A0F47">
      <w:pPr>
        <w:spacing w:line="360" w:lineRule="auto"/>
        <w:ind w:right="-93"/>
        <w:jc w:val="both"/>
        <w:rPr>
          <w:rFonts w:ascii="Palatino Linotype" w:hAnsi="Palatino Linotype" w:cs="Tahoma"/>
          <w:sz w:val="22"/>
          <w:szCs w:val="22"/>
        </w:rPr>
      </w:pPr>
      <w:r>
        <w:rPr>
          <w:rFonts w:ascii="Palatino Linotype" w:eastAsia="Calibri" w:hAnsi="Palatino Linotype" w:cs="Tahoma"/>
          <w:bCs/>
          <w:sz w:val="22"/>
          <w:szCs w:val="22"/>
          <w:lang w:eastAsia="en-US"/>
        </w:rPr>
        <w:t>E</w:t>
      </w:r>
      <w:r>
        <w:rPr>
          <w:rFonts w:ascii="Palatino Linotype" w:hAnsi="Palatino Linotype" w:cs="Tahoma"/>
          <w:sz w:val="22"/>
          <w:szCs w:val="22"/>
        </w:rPr>
        <w:t xml:space="preserve">n el caso en estudio y como ha quedado señalado el nombre de los Particulares en las licencias de construcción es considerado como confidencial y de la revisión que se realizó a la propia página proporcionada por el Sujeto Obligado en Informe Justificado se advierte que los nombres de personas físicas se encuentran visibles por lo que </w:t>
      </w:r>
      <w:r w:rsidR="00786748">
        <w:rPr>
          <w:rFonts w:ascii="Palatino Linotype" w:hAnsi="Palatino Linotype" w:cs="Tahoma"/>
          <w:sz w:val="22"/>
          <w:szCs w:val="22"/>
        </w:rPr>
        <w:t xml:space="preserve">atendiendo lo señalado por </w:t>
      </w:r>
      <w:r>
        <w:rPr>
          <w:rFonts w:ascii="Palatino Linotype" w:hAnsi="Palatino Linotype" w:cs="Tahoma"/>
          <w:sz w:val="22"/>
          <w:szCs w:val="22"/>
        </w:rPr>
        <w:t>e</w:t>
      </w:r>
      <w:r w:rsidRPr="00264223">
        <w:rPr>
          <w:rFonts w:ascii="Palatino Linotype" w:hAnsi="Palatino Linotype" w:cs="Tahoma"/>
          <w:sz w:val="22"/>
          <w:szCs w:val="22"/>
        </w:rPr>
        <w:t>l artículo 36, fracción X, de</w:t>
      </w:r>
      <w:r w:rsidR="00786748">
        <w:rPr>
          <w:rFonts w:ascii="Palatino Linotype" w:hAnsi="Palatino Linotype" w:cs="Tahoma"/>
          <w:sz w:val="22"/>
          <w:szCs w:val="22"/>
        </w:rPr>
        <w:t xml:space="preserve"> </w:t>
      </w:r>
      <w:r w:rsidRPr="00264223">
        <w:rPr>
          <w:rFonts w:ascii="Palatino Linotype" w:hAnsi="Palatino Linotype" w:cs="Tahoma"/>
          <w:sz w:val="22"/>
          <w:szCs w:val="22"/>
        </w:rPr>
        <w:t>l</w:t>
      </w:r>
      <w:r w:rsidR="00786748">
        <w:rPr>
          <w:rFonts w:ascii="Palatino Linotype" w:hAnsi="Palatino Linotype" w:cs="Tahoma"/>
          <w:sz w:val="22"/>
          <w:szCs w:val="22"/>
        </w:rPr>
        <w:t>a Ley de Transparencia y Acceso a la Información Pública del Estado de México y Municipios</w:t>
      </w:r>
      <w:r w:rsidRPr="00264223">
        <w:rPr>
          <w:rFonts w:ascii="Palatino Linotype" w:hAnsi="Palatino Linotype" w:cs="Tahoma"/>
          <w:sz w:val="22"/>
          <w:szCs w:val="22"/>
        </w:rPr>
        <w:t xml:space="preserve">, </w:t>
      </w:r>
      <w:r w:rsidR="00786748">
        <w:rPr>
          <w:rFonts w:ascii="Palatino Linotype" w:hAnsi="Palatino Linotype" w:cs="Tahoma"/>
          <w:sz w:val="22"/>
          <w:szCs w:val="22"/>
        </w:rPr>
        <w:t xml:space="preserve">en el que </w:t>
      </w:r>
      <w:r w:rsidRPr="00264223">
        <w:rPr>
          <w:rFonts w:ascii="Palatino Linotype" w:hAnsi="Palatino Linotype" w:cs="Tahoma"/>
          <w:sz w:val="22"/>
          <w:szCs w:val="22"/>
        </w:rPr>
        <w:t>se establece que es atribución de este Instituto hacer del conocimiento del Órgano Interno de Control o equivalente de cada Sujeto Obligado las infracciones a esta Ley.</w:t>
      </w:r>
    </w:p>
    <w:p w:rsidR="008A0F47" w:rsidRPr="00264223" w:rsidRDefault="008A0F47" w:rsidP="008A0F47">
      <w:pPr>
        <w:spacing w:line="360" w:lineRule="auto"/>
        <w:ind w:right="-93"/>
        <w:jc w:val="both"/>
        <w:rPr>
          <w:rFonts w:ascii="Palatino Linotype" w:hAnsi="Palatino Linotype" w:cs="Tahoma"/>
          <w:sz w:val="22"/>
          <w:szCs w:val="22"/>
        </w:rPr>
      </w:pPr>
    </w:p>
    <w:p w:rsidR="008A0F47" w:rsidRPr="003B7F55" w:rsidRDefault="008A0F47" w:rsidP="008A0F47">
      <w:pPr>
        <w:tabs>
          <w:tab w:val="left" w:pos="4962"/>
        </w:tabs>
        <w:spacing w:line="360" w:lineRule="auto"/>
        <w:jc w:val="both"/>
        <w:rPr>
          <w:rFonts w:ascii="Palatino Linotype" w:hAnsi="Palatino Linotype" w:cs="Tahoma"/>
          <w:b/>
          <w:sz w:val="22"/>
          <w:szCs w:val="22"/>
        </w:rPr>
      </w:pPr>
      <w:r w:rsidRPr="00264223">
        <w:rPr>
          <w:rFonts w:ascii="Palatino Linotype" w:eastAsia="Calibri" w:hAnsi="Palatino Linotype" w:cs="Tahoma"/>
          <w:bCs/>
          <w:sz w:val="22"/>
          <w:szCs w:val="22"/>
          <w:lang w:eastAsia="en-US"/>
        </w:rPr>
        <w:lastRenderedPageBreak/>
        <w:t xml:space="preserve">Sobre el particular,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rsidR="008A0F47" w:rsidRPr="00516CC9" w:rsidRDefault="008A0F47" w:rsidP="00516CC9">
      <w:pPr>
        <w:spacing w:line="360" w:lineRule="auto"/>
        <w:ind w:right="-93"/>
        <w:jc w:val="both"/>
        <w:rPr>
          <w:rFonts w:ascii="Palatino Linotype" w:hAnsi="Palatino Linotype" w:cs="Tahoma"/>
          <w:sz w:val="22"/>
          <w:szCs w:val="22"/>
          <w:lang w:val="es-ES"/>
        </w:rPr>
      </w:pPr>
    </w:p>
    <w:p w:rsidR="009E6916" w:rsidRPr="00516CC9" w:rsidRDefault="00786748" w:rsidP="00516CC9">
      <w:pPr>
        <w:spacing w:line="360" w:lineRule="auto"/>
        <w:ind w:right="-93"/>
        <w:jc w:val="both"/>
        <w:rPr>
          <w:rFonts w:ascii="Palatino Linotype" w:hAnsi="Palatino Linotype" w:cs="Tahoma"/>
          <w:b/>
          <w:sz w:val="22"/>
          <w:szCs w:val="22"/>
          <w:lang w:val="es-ES"/>
        </w:rPr>
      </w:pPr>
      <w:r>
        <w:rPr>
          <w:rFonts w:ascii="Palatino Linotype" w:hAnsi="Palatino Linotype" w:cs="Tahoma"/>
          <w:b/>
          <w:sz w:val="22"/>
          <w:szCs w:val="22"/>
          <w:lang w:val="es-ES"/>
        </w:rPr>
        <w:t>SÉPTIMO</w:t>
      </w:r>
      <w:r w:rsidR="003F0CAE" w:rsidRPr="00516CC9">
        <w:rPr>
          <w:rFonts w:ascii="Palatino Linotype" w:hAnsi="Palatino Linotype" w:cs="Tahoma"/>
          <w:b/>
          <w:caps/>
          <w:sz w:val="22"/>
          <w:szCs w:val="22"/>
          <w:lang w:val="es-ES"/>
        </w:rPr>
        <w:t xml:space="preserve">. </w:t>
      </w:r>
      <w:r w:rsidR="009E6916" w:rsidRPr="00516CC9">
        <w:rPr>
          <w:rFonts w:ascii="Palatino Linotype" w:hAnsi="Palatino Linotype" w:cs="Tahoma"/>
          <w:b/>
          <w:sz w:val="22"/>
          <w:szCs w:val="22"/>
          <w:lang w:val="es-ES"/>
        </w:rPr>
        <w:t>Decisión</w:t>
      </w:r>
    </w:p>
    <w:p w:rsidR="003F0CAE" w:rsidRPr="00516CC9" w:rsidRDefault="003F0CAE" w:rsidP="00516CC9">
      <w:pPr>
        <w:spacing w:line="360" w:lineRule="auto"/>
        <w:ind w:right="-93"/>
        <w:jc w:val="both"/>
        <w:rPr>
          <w:rFonts w:ascii="Palatino Linotype" w:hAnsi="Palatino Linotype" w:cs="Tahoma"/>
          <w:sz w:val="22"/>
          <w:szCs w:val="22"/>
          <w:lang w:val="es-ES"/>
        </w:rPr>
      </w:pPr>
    </w:p>
    <w:p w:rsidR="00E13723" w:rsidRDefault="003F0CAE" w:rsidP="00E13723">
      <w:pPr>
        <w:spacing w:line="360" w:lineRule="auto"/>
        <w:ind w:right="-93"/>
        <w:jc w:val="both"/>
        <w:rPr>
          <w:rFonts w:ascii="Palatino Linotype" w:hAnsi="Palatino Linotype" w:cs="Tahoma"/>
          <w:bCs/>
          <w:sz w:val="22"/>
          <w:szCs w:val="22"/>
        </w:rPr>
      </w:pPr>
      <w:r w:rsidRPr="00516CC9">
        <w:rPr>
          <w:rFonts w:ascii="Palatino Linotype" w:hAnsi="Palatino Linotype" w:cs="Tahoma"/>
          <w:sz w:val="22"/>
          <w:szCs w:val="22"/>
          <w:lang w:val="es-ES"/>
        </w:rPr>
        <w:t>Toda vez que</w:t>
      </w:r>
      <w:r w:rsidR="00D47A95" w:rsidRPr="00516CC9">
        <w:rPr>
          <w:rFonts w:ascii="Palatino Linotype" w:hAnsi="Palatino Linotype" w:cs="Tahoma"/>
          <w:sz w:val="22"/>
          <w:szCs w:val="22"/>
          <w:lang w:val="es-ES"/>
        </w:rPr>
        <w:t xml:space="preserve"> los motivos de inconformidad del Recurrente resultan </w:t>
      </w:r>
      <w:r w:rsidR="00AC584A" w:rsidRPr="00516CC9">
        <w:rPr>
          <w:rFonts w:ascii="Palatino Linotype" w:hAnsi="Palatino Linotype" w:cs="Tahoma"/>
          <w:sz w:val="22"/>
          <w:szCs w:val="22"/>
          <w:lang w:val="es-ES"/>
        </w:rPr>
        <w:t>fundados</w:t>
      </w:r>
      <w:r w:rsidR="009E6916" w:rsidRPr="00516CC9">
        <w:rPr>
          <w:rFonts w:ascii="Palatino Linotype" w:hAnsi="Palatino Linotype" w:cs="Tahoma"/>
          <w:sz w:val="22"/>
          <w:szCs w:val="22"/>
          <w:lang w:val="es-ES"/>
        </w:rPr>
        <w:t xml:space="preserve">; </w:t>
      </w:r>
      <w:r w:rsidRPr="00516CC9">
        <w:rPr>
          <w:rFonts w:ascii="Palatino Linotype" w:hAnsi="Palatino Linotype" w:cs="Tahoma"/>
          <w:sz w:val="22"/>
          <w:szCs w:val="22"/>
          <w:lang w:val="es-ES"/>
        </w:rPr>
        <w:t>de conformidad con</w:t>
      </w:r>
      <w:r w:rsidR="00D47A95" w:rsidRPr="00516CC9">
        <w:rPr>
          <w:rFonts w:ascii="Palatino Linotype" w:hAnsi="Palatino Linotype" w:cs="Tahoma"/>
          <w:sz w:val="22"/>
          <w:szCs w:val="22"/>
        </w:rPr>
        <w:t xml:space="preserve"> en el artículo 186, fracción </w:t>
      </w:r>
      <w:r w:rsidR="009E6916" w:rsidRPr="00516CC9">
        <w:rPr>
          <w:rFonts w:ascii="Palatino Linotype" w:hAnsi="Palatino Linotype" w:cs="Tahoma"/>
          <w:sz w:val="22"/>
          <w:szCs w:val="22"/>
        </w:rPr>
        <w:t>I</w:t>
      </w:r>
      <w:r w:rsidR="00D47A95" w:rsidRPr="00516CC9">
        <w:rPr>
          <w:rFonts w:ascii="Palatino Linotype" w:hAnsi="Palatino Linotype" w:cs="Tahoma"/>
          <w:sz w:val="22"/>
          <w:szCs w:val="22"/>
        </w:rPr>
        <w:t xml:space="preserve">II, de la Ley de Transparencia y Acceso a la Información Pública del Estado de México y Municipios, este Instituto considera procedente </w:t>
      </w:r>
      <w:r w:rsidR="00786748">
        <w:rPr>
          <w:rFonts w:ascii="Palatino Linotype" w:hAnsi="Palatino Linotype" w:cs="Tahoma"/>
          <w:b/>
          <w:sz w:val="22"/>
          <w:szCs w:val="22"/>
        </w:rPr>
        <w:t xml:space="preserve">REVOCAR </w:t>
      </w:r>
      <w:r w:rsidR="00D47A95" w:rsidRPr="00516CC9">
        <w:rPr>
          <w:rFonts w:ascii="Palatino Linotype" w:hAnsi="Palatino Linotype" w:cs="Tahoma"/>
          <w:sz w:val="22"/>
          <w:szCs w:val="22"/>
        </w:rPr>
        <w:t xml:space="preserve">la respuesta a la solicitud de información pública </w:t>
      </w:r>
      <w:r w:rsidR="00ED74A3" w:rsidRPr="00516CC9">
        <w:rPr>
          <w:rFonts w:ascii="Palatino Linotype" w:hAnsi="Palatino Linotype" w:cs="Tahoma"/>
          <w:b/>
          <w:bCs/>
          <w:sz w:val="22"/>
          <w:szCs w:val="22"/>
        </w:rPr>
        <w:t>00</w:t>
      </w:r>
      <w:r w:rsidR="00786748">
        <w:rPr>
          <w:rFonts w:ascii="Palatino Linotype" w:hAnsi="Palatino Linotype" w:cs="Tahoma"/>
          <w:b/>
          <w:bCs/>
          <w:sz w:val="22"/>
          <w:szCs w:val="22"/>
        </w:rPr>
        <w:t>1</w:t>
      </w:r>
      <w:r w:rsidR="00ED74A3" w:rsidRPr="00516CC9">
        <w:rPr>
          <w:rFonts w:ascii="Palatino Linotype" w:hAnsi="Palatino Linotype" w:cs="Tahoma"/>
          <w:b/>
          <w:bCs/>
          <w:sz w:val="22"/>
          <w:szCs w:val="22"/>
        </w:rPr>
        <w:t xml:space="preserve">50/ATIZARA/IP/2019 </w:t>
      </w:r>
      <w:r w:rsidRPr="00516CC9">
        <w:rPr>
          <w:rFonts w:ascii="Palatino Linotype" w:hAnsi="Palatino Linotype" w:cs="Tahoma"/>
          <w:bCs/>
          <w:sz w:val="22"/>
          <w:szCs w:val="22"/>
        </w:rPr>
        <w:t xml:space="preserve">del Sujeto Obligado, a efecto de </w:t>
      </w:r>
      <w:r w:rsidR="009E6916" w:rsidRPr="00516CC9">
        <w:rPr>
          <w:rFonts w:ascii="Palatino Linotype" w:hAnsi="Palatino Linotype" w:cs="Tahoma"/>
          <w:bCs/>
          <w:sz w:val="22"/>
          <w:szCs w:val="22"/>
        </w:rPr>
        <w:t xml:space="preserve">que </w:t>
      </w:r>
      <w:r w:rsidRPr="00516CC9">
        <w:rPr>
          <w:rFonts w:ascii="Palatino Linotype" w:hAnsi="Palatino Linotype" w:cs="Tahoma"/>
          <w:bCs/>
          <w:sz w:val="22"/>
          <w:szCs w:val="22"/>
        </w:rPr>
        <w:t xml:space="preserve">realice la búsqueda exhaustiva y razonable </w:t>
      </w:r>
      <w:r w:rsidR="000D4A9F" w:rsidRPr="00516CC9">
        <w:rPr>
          <w:rFonts w:ascii="Palatino Linotype" w:hAnsi="Palatino Linotype" w:cs="Tahoma"/>
          <w:bCs/>
          <w:sz w:val="22"/>
          <w:szCs w:val="22"/>
        </w:rPr>
        <w:t xml:space="preserve">de la información </w:t>
      </w:r>
      <w:r w:rsidRPr="00516CC9">
        <w:rPr>
          <w:rFonts w:ascii="Palatino Linotype" w:hAnsi="Palatino Linotype" w:cs="Tahoma"/>
          <w:bCs/>
          <w:sz w:val="22"/>
          <w:szCs w:val="22"/>
        </w:rPr>
        <w:t>y</w:t>
      </w:r>
      <w:r w:rsidR="000D4A9F">
        <w:rPr>
          <w:rFonts w:ascii="Palatino Linotype" w:hAnsi="Palatino Linotype" w:cs="Tahoma"/>
          <w:bCs/>
          <w:sz w:val="22"/>
          <w:szCs w:val="22"/>
        </w:rPr>
        <w:t xml:space="preserve"> haga entrega </w:t>
      </w:r>
      <w:r w:rsidR="00E13723" w:rsidRPr="00516CC9">
        <w:rPr>
          <w:rFonts w:ascii="Palatino Linotype" w:hAnsi="Palatino Linotype" w:cs="Tahoma"/>
          <w:bCs/>
          <w:sz w:val="22"/>
          <w:szCs w:val="22"/>
        </w:rPr>
        <w:t xml:space="preserve">Sistema de Acceso a la Información Mexiquense (SAIMEX), </w:t>
      </w:r>
      <w:r w:rsidR="00E13723">
        <w:rPr>
          <w:rFonts w:ascii="Palatino Linotype" w:hAnsi="Palatino Linotype" w:cs="Tahoma"/>
          <w:bCs/>
          <w:sz w:val="22"/>
          <w:szCs w:val="22"/>
        </w:rPr>
        <w:t xml:space="preserve">en versión pública de las Licencias de Construcción y </w:t>
      </w:r>
      <w:r w:rsidR="00E13723" w:rsidRPr="00E13723">
        <w:rPr>
          <w:rFonts w:ascii="Palatino Linotype" w:hAnsi="Palatino Linotype" w:cs="Tahoma"/>
          <w:bCs/>
          <w:sz w:val="22"/>
          <w:szCs w:val="22"/>
        </w:rPr>
        <w:t>Con</w:t>
      </w:r>
      <w:r w:rsidR="00E13723">
        <w:rPr>
          <w:rFonts w:ascii="Palatino Linotype" w:hAnsi="Palatino Linotype" w:cs="Tahoma"/>
          <w:bCs/>
          <w:sz w:val="22"/>
          <w:szCs w:val="22"/>
        </w:rPr>
        <w:t xml:space="preserve">stancias de Terminación de Obra, expedidas del </w:t>
      </w:r>
      <w:r w:rsidR="00E13723" w:rsidRPr="000D4A9F">
        <w:rPr>
          <w:rFonts w:ascii="Palatino Linotype" w:hAnsi="Palatino Linotype" w:cs="Tahoma"/>
          <w:bCs/>
          <w:sz w:val="22"/>
          <w:szCs w:val="22"/>
        </w:rPr>
        <w:t>primero de enero al once de febrero de dos mil diecinueve</w:t>
      </w:r>
      <w:r w:rsidR="00E13723">
        <w:rPr>
          <w:rFonts w:ascii="Palatino Linotype" w:hAnsi="Palatino Linotype" w:cs="Tahoma"/>
          <w:bCs/>
          <w:sz w:val="22"/>
          <w:szCs w:val="22"/>
        </w:rPr>
        <w:t>.</w:t>
      </w:r>
    </w:p>
    <w:p w:rsidR="000D4A9F" w:rsidRDefault="000D4A9F" w:rsidP="00E13723">
      <w:pPr>
        <w:spacing w:line="360" w:lineRule="auto"/>
        <w:ind w:right="-93"/>
        <w:jc w:val="both"/>
        <w:rPr>
          <w:rFonts w:ascii="Palatino Linotype" w:hAnsi="Palatino Linotype" w:cs="Tahoma"/>
          <w:szCs w:val="22"/>
          <w:lang w:val="es-ES"/>
        </w:rPr>
      </w:pPr>
    </w:p>
    <w:p w:rsidR="00D47A95" w:rsidRDefault="00E13723" w:rsidP="00E13723">
      <w:pPr>
        <w:spacing w:line="360" w:lineRule="auto"/>
        <w:ind w:right="-93"/>
        <w:jc w:val="both"/>
        <w:rPr>
          <w:rFonts w:ascii="Palatino Linotype" w:hAnsi="Palatino Linotype" w:cs="Tahoma"/>
          <w:bCs/>
          <w:sz w:val="22"/>
          <w:szCs w:val="22"/>
        </w:rPr>
      </w:pPr>
      <w:r w:rsidRPr="00E13723">
        <w:rPr>
          <w:rFonts w:ascii="Palatino Linotype" w:hAnsi="Palatino Linotype" w:cs="Tahoma"/>
          <w:bCs/>
          <w:sz w:val="22"/>
          <w:szCs w:val="22"/>
        </w:rPr>
        <w:t>Junto con la versión pública, se deberá proporcionar el Acuerdo de Clasificación donde el Comité de Transparencia, confirme la eliminación de los datos en las versiones públicas, de conformidad con los artículos 49, fracciones II y VIII, 143, fracción I y 149 de la  Ley de Transparencia y Acceso a la Información Pública del Estado de México y Municipios.</w:t>
      </w:r>
    </w:p>
    <w:p w:rsidR="00E13723" w:rsidRPr="00516CC9" w:rsidRDefault="00E13723" w:rsidP="000D4A9F">
      <w:pPr>
        <w:spacing w:line="360" w:lineRule="auto"/>
        <w:ind w:right="-93"/>
        <w:rPr>
          <w:rFonts w:ascii="Palatino Linotype" w:eastAsia="Calibri" w:hAnsi="Palatino Linotype" w:cs="Tahoma"/>
          <w:b/>
          <w:bCs/>
          <w:sz w:val="22"/>
          <w:szCs w:val="22"/>
          <w:lang w:eastAsia="en-US"/>
        </w:rPr>
      </w:pPr>
    </w:p>
    <w:p w:rsidR="00D47A95" w:rsidRPr="00516CC9" w:rsidRDefault="00D47A95" w:rsidP="00516CC9">
      <w:pPr>
        <w:spacing w:line="360" w:lineRule="auto"/>
        <w:jc w:val="both"/>
        <w:rPr>
          <w:rFonts w:ascii="Palatino Linotype" w:eastAsia="Calibri" w:hAnsi="Palatino Linotype" w:cs="Tahoma"/>
          <w:bCs/>
          <w:sz w:val="22"/>
          <w:szCs w:val="22"/>
          <w:lang w:eastAsia="en-US"/>
        </w:rPr>
      </w:pPr>
      <w:r w:rsidRPr="00516CC9">
        <w:rPr>
          <w:rFonts w:ascii="Palatino Linotype" w:eastAsia="Calibri" w:hAnsi="Palatino Linotype" w:cs="Tahoma"/>
          <w:bCs/>
          <w:sz w:val="22"/>
          <w:szCs w:val="22"/>
          <w:lang w:eastAsia="en-US"/>
        </w:rPr>
        <w:t>Por lo expuesto y fundado, este Pleno:</w:t>
      </w:r>
    </w:p>
    <w:p w:rsidR="00ED74A3" w:rsidRPr="00516CC9" w:rsidRDefault="00ED74A3" w:rsidP="00516CC9">
      <w:pPr>
        <w:spacing w:line="360" w:lineRule="auto"/>
        <w:jc w:val="both"/>
        <w:rPr>
          <w:rFonts w:ascii="Palatino Linotype" w:eastAsia="Calibri" w:hAnsi="Palatino Linotype" w:cs="Tahoma"/>
          <w:bCs/>
          <w:sz w:val="22"/>
          <w:szCs w:val="22"/>
          <w:lang w:eastAsia="en-US"/>
        </w:rPr>
      </w:pPr>
    </w:p>
    <w:p w:rsidR="00ED74A3" w:rsidRPr="00516CC9" w:rsidRDefault="00ED74A3" w:rsidP="00516CC9">
      <w:pPr>
        <w:spacing w:line="360" w:lineRule="auto"/>
        <w:jc w:val="center"/>
        <w:rPr>
          <w:rFonts w:ascii="Palatino Linotype" w:hAnsi="Palatino Linotype" w:cs="Tahoma"/>
          <w:b/>
          <w:bCs/>
          <w:sz w:val="22"/>
          <w:szCs w:val="22"/>
          <w:lang w:val="es-ES_tradnl"/>
        </w:rPr>
      </w:pPr>
      <w:r w:rsidRPr="00516CC9">
        <w:rPr>
          <w:rFonts w:ascii="Palatino Linotype" w:hAnsi="Palatino Linotype" w:cs="Tahoma"/>
          <w:b/>
          <w:bCs/>
          <w:sz w:val="22"/>
          <w:szCs w:val="22"/>
          <w:lang w:val="es-ES_tradnl"/>
        </w:rPr>
        <w:t>R E S U E L V E</w:t>
      </w:r>
    </w:p>
    <w:p w:rsidR="00ED74A3" w:rsidRPr="00516CC9" w:rsidRDefault="00ED74A3" w:rsidP="00516CC9">
      <w:pPr>
        <w:spacing w:line="360" w:lineRule="auto"/>
        <w:jc w:val="both"/>
        <w:rPr>
          <w:rFonts w:ascii="Palatino Linotype" w:eastAsia="Calibri" w:hAnsi="Palatino Linotype" w:cs="Tahoma"/>
          <w:bCs/>
          <w:sz w:val="22"/>
          <w:szCs w:val="22"/>
          <w:lang w:eastAsia="en-US"/>
        </w:rPr>
      </w:pPr>
    </w:p>
    <w:p w:rsidR="00ED74A3" w:rsidRPr="00516CC9" w:rsidRDefault="00ED74A3" w:rsidP="00516CC9">
      <w:pPr>
        <w:spacing w:line="360" w:lineRule="auto"/>
        <w:jc w:val="both"/>
        <w:rPr>
          <w:rFonts w:ascii="Palatino Linotype" w:hAnsi="Palatino Linotype"/>
          <w:sz w:val="22"/>
          <w:szCs w:val="22"/>
        </w:rPr>
      </w:pPr>
      <w:r w:rsidRPr="00516CC9">
        <w:rPr>
          <w:rFonts w:ascii="Palatino Linotype" w:hAnsi="Palatino Linotype"/>
          <w:b/>
          <w:sz w:val="22"/>
          <w:szCs w:val="22"/>
        </w:rPr>
        <w:t xml:space="preserve">PRIMERO. </w:t>
      </w:r>
      <w:r w:rsidRPr="00516CC9">
        <w:rPr>
          <w:rFonts w:ascii="Palatino Linotype" w:hAnsi="Palatino Linotype"/>
          <w:sz w:val="22"/>
          <w:szCs w:val="22"/>
        </w:rPr>
        <w:t xml:space="preserve">Se </w:t>
      </w:r>
      <w:r w:rsidR="00E13723">
        <w:rPr>
          <w:rFonts w:ascii="Palatino Linotype" w:hAnsi="Palatino Linotype"/>
          <w:b/>
          <w:sz w:val="22"/>
          <w:szCs w:val="22"/>
        </w:rPr>
        <w:t>REVOCA</w:t>
      </w:r>
      <w:r w:rsidR="00E45786" w:rsidRPr="00516CC9">
        <w:rPr>
          <w:rFonts w:ascii="Palatino Linotype" w:hAnsi="Palatino Linotype"/>
          <w:sz w:val="22"/>
          <w:szCs w:val="22"/>
        </w:rPr>
        <w:t xml:space="preserve"> </w:t>
      </w:r>
      <w:r w:rsidRPr="00516CC9">
        <w:rPr>
          <w:rFonts w:ascii="Palatino Linotype" w:hAnsi="Palatino Linotype"/>
          <w:sz w:val="22"/>
          <w:szCs w:val="22"/>
        </w:rPr>
        <w:t>la respuesta del Sujeto Obligado</w:t>
      </w:r>
      <w:r w:rsidRPr="00516CC9">
        <w:rPr>
          <w:rFonts w:ascii="Palatino Linotype" w:hAnsi="Palatino Linotype"/>
          <w:b/>
          <w:sz w:val="22"/>
          <w:szCs w:val="22"/>
        </w:rPr>
        <w:t xml:space="preserve"> </w:t>
      </w:r>
      <w:r w:rsidRPr="00516CC9">
        <w:rPr>
          <w:rFonts w:ascii="Palatino Linotype" w:hAnsi="Palatino Linotype"/>
          <w:bCs/>
          <w:sz w:val="22"/>
          <w:szCs w:val="22"/>
        </w:rPr>
        <w:t xml:space="preserve">a la solicitud de información </w:t>
      </w:r>
      <w:r w:rsidR="00E13723">
        <w:rPr>
          <w:rFonts w:ascii="Palatino Linotype" w:hAnsi="Palatino Linotype" w:cs="Tahoma"/>
          <w:b/>
          <w:bCs/>
          <w:sz w:val="22"/>
          <w:szCs w:val="22"/>
        </w:rPr>
        <w:t>001</w:t>
      </w:r>
      <w:r w:rsidRPr="00516CC9">
        <w:rPr>
          <w:rFonts w:ascii="Palatino Linotype" w:hAnsi="Palatino Linotype" w:cs="Tahoma"/>
          <w:b/>
          <w:bCs/>
          <w:sz w:val="22"/>
          <w:szCs w:val="22"/>
        </w:rPr>
        <w:t xml:space="preserve">50/ATIZARA/IP/2019, </w:t>
      </w:r>
      <w:r w:rsidRPr="00516CC9">
        <w:rPr>
          <w:rFonts w:ascii="Palatino Linotype" w:hAnsi="Palatino Linotype"/>
          <w:sz w:val="22"/>
          <w:szCs w:val="22"/>
        </w:rPr>
        <w:t xml:space="preserve">por resultar </w:t>
      </w:r>
      <w:r w:rsidR="007D4493" w:rsidRPr="00516CC9">
        <w:rPr>
          <w:rFonts w:ascii="Palatino Linotype" w:hAnsi="Palatino Linotype"/>
          <w:sz w:val="22"/>
          <w:szCs w:val="22"/>
        </w:rPr>
        <w:t xml:space="preserve">fundadas </w:t>
      </w:r>
      <w:r w:rsidRPr="00516CC9">
        <w:rPr>
          <w:rFonts w:ascii="Palatino Linotype" w:hAnsi="Palatino Linotype"/>
          <w:sz w:val="22"/>
          <w:szCs w:val="22"/>
        </w:rPr>
        <w:t xml:space="preserve">las razones o motivos de inconformidad hechos </w:t>
      </w:r>
      <w:r w:rsidRPr="00516CC9">
        <w:rPr>
          <w:rFonts w:ascii="Palatino Linotype" w:hAnsi="Palatino Linotype" w:cs="Tahoma"/>
          <w:sz w:val="22"/>
          <w:szCs w:val="22"/>
        </w:rPr>
        <w:t>valer</w:t>
      </w:r>
      <w:r w:rsidRPr="00516CC9">
        <w:rPr>
          <w:rFonts w:ascii="Palatino Linotype" w:hAnsi="Palatino Linotype"/>
          <w:sz w:val="22"/>
          <w:szCs w:val="22"/>
        </w:rPr>
        <w:t xml:space="preserve"> por el Recurrente, en términos </w:t>
      </w:r>
      <w:r w:rsidR="007D4493" w:rsidRPr="00516CC9">
        <w:rPr>
          <w:rFonts w:ascii="Palatino Linotype" w:hAnsi="Palatino Linotype"/>
          <w:sz w:val="22"/>
          <w:szCs w:val="22"/>
        </w:rPr>
        <w:t xml:space="preserve">de los </w:t>
      </w:r>
      <w:r w:rsidRPr="00516CC9">
        <w:rPr>
          <w:rFonts w:ascii="Palatino Linotype" w:hAnsi="Palatino Linotype"/>
          <w:sz w:val="22"/>
          <w:szCs w:val="22"/>
        </w:rPr>
        <w:t>Considerando</w:t>
      </w:r>
      <w:r w:rsidR="007D4493" w:rsidRPr="00516CC9">
        <w:rPr>
          <w:rFonts w:ascii="Palatino Linotype" w:hAnsi="Palatino Linotype"/>
          <w:sz w:val="22"/>
          <w:szCs w:val="22"/>
        </w:rPr>
        <w:t>s</w:t>
      </w:r>
      <w:r w:rsidRPr="00516CC9">
        <w:rPr>
          <w:rFonts w:ascii="Palatino Linotype" w:hAnsi="Palatino Linotype"/>
          <w:sz w:val="22"/>
          <w:szCs w:val="22"/>
        </w:rPr>
        <w:t xml:space="preserve"> </w:t>
      </w:r>
      <w:r w:rsidRPr="00516CC9">
        <w:rPr>
          <w:rFonts w:ascii="Palatino Linotype" w:hAnsi="Palatino Linotype"/>
          <w:b/>
          <w:sz w:val="22"/>
          <w:szCs w:val="22"/>
        </w:rPr>
        <w:t>QUINTO</w:t>
      </w:r>
      <w:r w:rsidR="00E13723">
        <w:rPr>
          <w:rFonts w:ascii="Palatino Linotype" w:hAnsi="Palatino Linotype"/>
          <w:b/>
          <w:sz w:val="22"/>
          <w:szCs w:val="22"/>
        </w:rPr>
        <w:t xml:space="preserve"> y SÉPTIMO</w:t>
      </w:r>
      <w:r w:rsidR="00E13723" w:rsidRPr="00516CC9">
        <w:rPr>
          <w:rFonts w:ascii="Palatino Linotype" w:hAnsi="Palatino Linotype"/>
          <w:b/>
          <w:sz w:val="22"/>
          <w:szCs w:val="22"/>
        </w:rPr>
        <w:t xml:space="preserve"> </w:t>
      </w:r>
      <w:r w:rsidRPr="00516CC9">
        <w:rPr>
          <w:rFonts w:ascii="Palatino Linotype" w:hAnsi="Palatino Linotype"/>
          <w:sz w:val="22"/>
          <w:szCs w:val="22"/>
        </w:rPr>
        <w:t>de esta Resolución.</w:t>
      </w:r>
    </w:p>
    <w:p w:rsidR="00ED74A3" w:rsidRPr="00516CC9" w:rsidRDefault="00ED74A3" w:rsidP="00516CC9">
      <w:pPr>
        <w:spacing w:line="360" w:lineRule="auto"/>
        <w:jc w:val="both"/>
        <w:rPr>
          <w:rFonts w:ascii="Palatino Linotype" w:hAnsi="Palatino Linotype" w:cs="Arial"/>
          <w:sz w:val="22"/>
          <w:szCs w:val="22"/>
        </w:rPr>
      </w:pPr>
    </w:p>
    <w:p w:rsidR="00E13723" w:rsidRDefault="007D4493" w:rsidP="00E13723">
      <w:pPr>
        <w:spacing w:line="360" w:lineRule="auto"/>
        <w:ind w:right="-93"/>
        <w:jc w:val="both"/>
        <w:rPr>
          <w:rFonts w:ascii="Palatino Linotype" w:hAnsi="Palatino Linotype" w:cs="Tahoma"/>
          <w:bCs/>
          <w:sz w:val="22"/>
          <w:szCs w:val="22"/>
        </w:rPr>
      </w:pPr>
      <w:r w:rsidRPr="00516CC9">
        <w:rPr>
          <w:rFonts w:ascii="Palatino Linotype" w:hAnsi="Palatino Linotype" w:cs="Tahoma"/>
          <w:b/>
          <w:sz w:val="22"/>
          <w:szCs w:val="22"/>
        </w:rPr>
        <w:t xml:space="preserve">SEGUNDO. </w:t>
      </w:r>
      <w:r w:rsidRPr="00516CC9">
        <w:rPr>
          <w:rFonts w:ascii="Palatino Linotype" w:hAnsi="Palatino Linotype" w:cs="Tahoma"/>
          <w:sz w:val="22"/>
          <w:szCs w:val="22"/>
        </w:rPr>
        <w:t xml:space="preserve">Se </w:t>
      </w:r>
      <w:r w:rsidRPr="00516CC9">
        <w:rPr>
          <w:rFonts w:ascii="Palatino Linotype" w:hAnsi="Palatino Linotype" w:cs="Tahoma"/>
          <w:b/>
          <w:sz w:val="22"/>
          <w:szCs w:val="22"/>
        </w:rPr>
        <w:t>ORDENA</w:t>
      </w:r>
      <w:r w:rsidRPr="00516CC9">
        <w:rPr>
          <w:rFonts w:ascii="Palatino Linotype" w:hAnsi="Palatino Linotype" w:cs="Tahoma"/>
          <w:sz w:val="22"/>
          <w:szCs w:val="22"/>
        </w:rPr>
        <w:t xml:space="preserve"> al Ayuntamiento de Atizapán de Zaragoza, realice una búsqueda exhaustiva y razonable </w:t>
      </w:r>
      <w:r w:rsidR="00E13723">
        <w:rPr>
          <w:rFonts w:ascii="Palatino Linotype" w:hAnsi="Palatino Linotype" w:cs="Tahoma"/>
          <w:sz w:val="22"/>
          <w:szCs w:val="22"/>
        </w:rPr>
        <w:t xml:space="preserve">de la información </w:t>
      </w:r>
      <w:r w:rsidR="00E13723" w:rsidRPr="00516CC9">
        <w:rPr>
          <w:rFonts w:ascii="Palatino Linotype" w:hAnsi="Palatino Linotype" w:cs="Tahoma"/>
          <w:bCs/>
          <w:sz w:val="22"/>
          <w:szCs w:val="22"/>
        </w:rPr>
        <w:t>y</w:t>
      </w:r>
      <w:r w:rsidR="00E13723">
        <w:rPr>
          <w:rFonts w:ascii="Palatino Linotype" w:hAnsi="Palatino Linotype" w:cs="Tahoma"/>
          <w:bCs/>
          <w:sz w:val="22"/>
          <w:szCs w:val="22"/>
        </w:rPr>
        <w:t xml:space="preserve"> haga entrega </w:t>
      </w:r>
      <w:r w:rsidR="00E13723" w:rsidRPr="00516CC9">
        <w:rPr>
          <w:rFonts w:ascii="Palatino Linotype" w:hAnsi="Palatino Linotype" w:cs="Tahoma"/>
          <w:bCs/>
          <w:sz w:val="22"/>
          <w:szCs w:val="22"/>
        </w:rPr>
        <w:t xml:space="preserve">vía el Sistema de Acceso a la Información Mexiquense (SAIMEX), </w:t>
      </w:r>
      <w:r w:rsidR="00E13723">
        <w:rPr>
          <w:rFonts w:ascii="Palatino Linotype" w:hAnsi="Palatino Linotype" w:cs="Tahoma"/>
          <w:bCs/>
          <w:sz w:val="22"/>
          <w:szCs w:val="22"/>
        </w:rPr>
        <w:t xml:space="preserve">en versión pública de las Licencias de Construcción y </w:t>
      </w:r>
      <w:r w:rsidR="00E13723" w:rsidRPr="00E13723">
        <w:rPr>
          <w:rFonts w:ascii="Palatino Linotype" w:hAnsi="Palatino Linotype" w:cs="Tahoma"/>
          <w:bCs/>
          <w:sz w:val="22"/>
          <w:szCs w:val="22"/>
        </w:rPr>
        <w:t>Con</w:t>
      </w:r>
      <w:r w:rsidR="00E13723">
        <w:rPr>
          <w:rFonts w:ascii="Palatino Linotype" w:hAnsi="Palatino Linotype" w:cs="Tahoma"/>
          <w:bCs/>
          <w:sz w:val="22"/>
          <w:szCs w:val="22"/>
        </w:rPr>
        <w:t xml:space="preserve">stancias de Terminación de Obra, expedidas del </w:t>
      </w:r>
      <w:r w:rsidR="00E13723" w:rsidRPr="000D4A9F">
        <w:rPr>
          <w:rFonts w:ascii="Palatino Linotype" w:hAnsi="Palatino Linotype" w:cs="Tahoma"/>
          <w:bCs/>
          <w:sz w:val="22"/>
          <w:szCs w:val="22"/>
        </w:rPr>
        <w:t>primero de enero al once de febrero de dos mil diecinueve</w:t>
      </w:r>
      <w:r w:rsidR="00E13723">
        <w:rPr>
          <w:rFonts w:ascii="Palatino Linotype" w:hAnsi="Palatino Linotype" w:cs="Tahoma"/>
          <w:bCs/>
          <w:sz w:val="22"/>
          <w:szCs w:val="22"/>
        </w:rPr>
        <w:t>.</w:t>
      </w:r>
    </w:p>
    <w:p w:rsidR="00E13723" w:rsidRDefault="00E13723" w:rsidP="00E13723">
      <w:pPr>
        <w:spacing w:line="360" w:lineRule="auto"/>
        <w:ind w:right="-93"/>
        <w:jc w:val="both"/>
        <w:rPr>
          <w:rFonts w:ascii="Palatino Linotype" w:hAnsi="Palatino Linotype" w:cs="Tahoma"/>
          <w:szCs w:val="22"/>
          <w:lang w:val="es-ES"/>
        </w:rPr>
      </w:pPr>
    </w:p>
    <w:p w:rsidR="00E13723" w:rsidRDefault="00E13723" w:rsidP="00E13723">
      <w:pPr>
        <w:spacing w:line="360" w:lineRule="auto"/>
        <w:ind w:right="-93"/>
        <w:jc w:val="both"/>
        <w:rPr>
          <w:rFonts w:ascii="Palatino Linotype" w:hAnsi="Palatino Linotype" w:cs="Tahoma"/>
          <w:bCs/>
          <w:sz w:val="22"/>
          <w:szCs w:val="22"/>
        </w:rPr>
      </w:pPr>
      <w:r w:rsidRPr="00E13723">
        <w:rPr>
          <w:rFonts w:ascii="Palatino Linotype" w:hAnsi="Palatino Linotype" w:cs="Tahoma"/>
          <w:bCs/>
          <w:sz w:val="22"/>
          <w:szCs w:val="22"/>
        </w:rPr>
        <w:t>Junto con la versión pública, se deberá proporcionar el Acuerdo de Clasificación donde el Comité de Transparencia, confirme la eliminación de los datos</w:t>
      </w:r>
      <w:r w:rsidR="0012742D">
        <w:rPr>
          <w:rFonts w:ascii="Palatino Linotype" w:hAnsi="Palatino Linotype" w:cs="Tahoma"/>
          <w:bCs/>
          <w:sz w:val="22"/>
          <w:szCs w:val="22"/>
        </w:rPr>
        <w:t xml:space="preserve"> personales</w:t>
      </w:r>
      <w:r w:rsidRPr="00E13723">
        <w:rPr>
          <w:rFonts w:ascii="Palatino Linotype" w:hAnsi="Palatino Linotype" w:cs="Tahoma"/>
          <w:bCs/>
          <w:sz w:val="22"/>
          <w:szCs w:val="22"/>
        </w:rPr>
        <w:t xml:space="preserve"> en las versiones públicas, de conformidad con los artículos 49, fracciones II y VIII, 143, fracción I y 149 de la Ley de Transparencia y Acceso a la Información Pública del Estado de México y Municipios.</w:t>
      </w:r>
    </w:p>
    <w:p w:rsidR="007D4493" w:rsidRPr="00516CC9" w:rsidRDefault="007D4493" w:rsidP="00516CC9">
      <w:pPr>
        <w:spacing w:line="360" w:lineRule="auto"/>
        <w:ind w:right="-93"/>
        <w:jc w:val="both"/>
        <w:rPr>
          <w:rFonts w:ascii="Palatino Linotype" w:hAnsi="Palatino Linotype" w:cs="Tahoma"/>
          <w:bCs/>
          <w:sz w:val="22"/>
          <w:szCs w:val="22"/>
        </w:rPr>
      </w:pPr>
    </w:p>
    <w:p w:rsidR="007D4493" w:rsidRPr="00516CC9" w:rsidRDefault="007D4493" w:rsidP="00516CC9">
      <w:pPr>
        <w:spacing w:line="360" w:lineRule="auto"/>
        <w:ind w:right="-93"/>
        <w:jc w:val="both"/>
        <w:rPr>
          <w:rFonts w:ascii="Palatino Linotype" w:hAnsi="Palatino Linotype" w:cs="Tahoma"/>
          <w:i/>
          <w:sz w:val="22"/>
          <w:szCs w:val="22"/>
        </w:rPr>
      </w:pPr>
      <w:r w:rsidRPr="00516CC9">
        <w:rPr>
          <w:rFonts w:ascii="Palatino Linotype" w:hAnsi="Palatino Linotype" w:cs="Tahoma"/>
          <w:b/>
          <w:sz w:val="22"/>
          <w:szCs w:val="22"/>
        </w:rPr>
        <w:t xml:space="preserve">TERCERO. NOTIFÍQUESE </w:t>
      </w:r>
      <w:r w:rsidRPr="00516CC9">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516CC9">
        <w:rPr>
          <w:rFonts w:ascii="Palatino Linotype" w:hAnsi="Palatino Linotype" w:cs="Tahoma"/>
          <w:bCs/>
          <w:sz w:val="22"/>
          <w:szCs w:val="22"/>
        </w:rPr>
        <w:t>ordenado</w:t>
      </w:r>
      <w:r w:rsidRPr="00516CC9">
        <w:rPr>
          <w:rFonts w:ascii="Palatino Linotype" w:hAnsi="Palatino Linotype" w:cs="Tahoma"/>
          <w:sz w:val="22"/>
          <w:szCs w:val="22"/>
        </w:rPr>
        <w:t xml:space="preserve"> dentro del plazo de diez días hábiles, e informe a este Instituto en un plazo de tres días hábiles siguientes sobre el cumplimiento dado a la presente.</w:t>
      </w:r>
    </w:p>
    <w:p w:rsidR="007D4493" w:rsidRPr="00516CC9" w:rsidRDefault="007D4493" w:rsidP="00516CC9">
      <w:pPr>
        <w:spacing w:line="360" w:lineRule="auto"/>
        <w:jc w:val="both"/>
        <w:rPr>
          <w:rFonts w:ascii="Palatino Linotype" w:hAnsi="Palatino Linotype" w:cs="Tahoma"/>
          <w:sz w:val="22"/>
          <w:szCs w:val="22"/>
        </w:rPr>
      </w:pPr>
    </w:p>
    <w:p w:rsidR="007D4493" w:rsidRPr="00516CC9" w:rsidRDefault="007D4493" w:rsidP="00516CC9">
      <w:pPr>
        <w:spacing w:line="360" w:lineRule="auto"/>
        <w:ind w:right="-93"/>
        <w:jc w:val="both"/>
        <w:rPr>
          <w:rFonts w:ascii="Palatino Linotype" w:hAnsi="Palatino Linotype" w:cs="Tahoma"/>
          <w:sz w:val="22"/>
          <w:szCs w:val="22"/>
        </w:rPr>
      </w:pPr>
      <w:r w:rsidRPr="00516CC9">
        <w:rPr>
          <w:rFonts w:ascii="Palatino Linotype" w:hAnsi="Palatino Linotype" w:cs="Tahoma"/>
          <w:b/>
          <w:sz w:val="22"/>
          <w:szCs w:val="22"/>
        </w:rPr>
        <w:t>CUARTO.</w:t>
      </w:r>
      <w:r w:rsidRPr="00516CC9">
        <w:rPr>
          <w:rFonts w:ascii="Palatino Linotype" w:hAnsi="Palatino Linotype" w:cs="Tahoma"/>
          <w:sz w:val="22"/>
          <w:szCs w:val="22"/>
        </w:rPr>
        <w:t xml:space="preserve"> </w:t>
      </w:r>
      <w:r w:rsidRPr="00516CC9">
        <w:rPr>
          <w:rFonts w:ascii="Palatino Linotype" w:hAnsi="Palatino Linotype" w:cs="Tahoma"/>
          <w:b/>
          <w:sz w:val="22"/>
          <w:szCs w:val="22"/>
        </w:rPr>
        <w:t xml:space="preserve">NOTIFÍQUESE </w:t>
      </w:r>
      <w:r w:rsidRPr="00516CC9">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D47A95" w:rsidRDefault="00D47A95" w:rsidP="00516CC9">
      <w:pPr>
        <w:spacing w:line="360" w:lineRule="auto"/>
        <w:ind w:right="-93"/>
        <w:jc w:val="both"/>
        <w:rPr>
          <w:rFonts w:ascii="Palatino Linotype" w:eastAsia="Calibri" w:hAnsi="Palatino Linotype" w:cs="Tahoma"/>
          <w:bCs/>
          <w:sz w:val="22"/>
          <w:szCs w:val="22"/>
          <w:lang w:eastAsia="en-US"/>
        </w:rPr>
      </w:pPr>
    </w:p>
    <w:p w:rsidR="00E13723" w:rsidRPr="00B223FD" w:rsidRDefault="00E13723" w:rsidP="00E13723">
      <w:pPr>
        <w:shd w:val="clear" w:color="auto" w:fill="FFFFFF" w:themeFill="background1"/>
        <w:spacing w:line="360" w:lineRule="auto"/>
        <w:jc w:val="both"/>
        <w:rPr>
          <w:rFonts w:ascii="Palatino Linotype" w:hAnsi="Palatino Linotype" w:cs="Tahoma"/>
          <w:b/>
          <w:sz w:val="22"/>
          <w:szCs w:val="22"/>
        </w:rPr>
      </w:pPr>
      <w:r w:rsidRPr="00B223FD">
        <w:rPr>
          <w:rFonts w:ascii="Palatino Linotype" w:hAnsi="Palatino Linotype" w:cs="Tahoma"/>
          <w:b/>
          <w:sz w:val="22"/>
          <w:szCs w:val="22"/>
        </w:rPr>
        <w:t xml:space="preserve">QUINTO. </w:t>
      </w:r>
      <w:r w:rsidRPr="00777411">
        <w:rPr>
          <w:rFonts w:ascii="Palatino Linotype" w:eastAsia="Calibri" w:hAnsi="Palatino Linotype" w:cs="Tahoma"/>
          <w:bCs/>
          <w:sz w:val="22"/>
          <w:szCs w:val="22"/>
          <w:lang w:val="es-ES_tradnl" w:eastAsia="en-US"/>
        </w:rPr>
        <w:t xml:space="preserve">Con fundamento </w:t>
      </w:r>
      <w:r>
        <w:rPr>
          <w:rFonts w:ascii="Palatino Linotype" w:eastAsia="Calibri" w:hAnsi="Palatino Linotype" w:cs="Tahoma"/>
          <w:bCs/>
          <w:sz w:val="22"/>
          <w:szCs w:val="22"/>
          <w:lang w:val="es-ES_tradnl" w:eastAsia="en-US"/>
        </w:rPr>
        <w:t>en lo dispuesto en los artículo</w:t>
      </w:r>
      <w:r w:rsidRPr="00777411">
        <w:rPr>
          <w:rFonts w:ascii="Palatino Linotype" w:eastAsia="Calibri" w:hAnsi="Palatino Linotype" w:cs="Tahoma"/>
          <w:bCs/>
          <w:sz w:val="22"/>
          <w:szCs w:val="22"/>
          <w:lang w:val="es-ES_tradnl" w:eastAsia="en-US"/>
        </w:rPr>
        <w:t xml:space="preserve"> 190 de la Ley de Transparencia y Acceso a la Información Pública del Estado de México y Municipios, gírese oficio al Contralor Interno y Titular del Órgano de Control y Vigilancia de este Instituto con la finalidad de que </w:t>
      </w:r>
      <w:r w:rsidRPr="00777411">
        <w:rPr>
          <w:rFonts w:ascii="Palatino Linotype" w:eastAsia="Calibri" w:hAnsi="Palatino Linotype" w:cs="Tahoma"/>
          <w:bCs/>
          <w:sz w:val="22"/>
          <w:szCs w:val="22"/>
          <w:lang w:val="es-ES_tradnl" w:eastAsia="en-US"/>
        </w:rPr>
        <w:lastRenderedPageBreak/>
        <w:t xml:space="preserve">actúe en razón de su competencia, en términos de lo dispuesto en el Considerando </w:t>
      </w:r>
      <w:r>
        <w:rPr>
          <w:rFonts w:ascii="Palatino Linotype" w:eastAsia="Calibri" w:hAnsi="Palatino Linotype" w:cs="Tahoma"/>
          <w:b/>
          <w:bCs/>
          <w:caps/>
          <w:sz w:val="22"/>
          <w:szCs w:val="22"/>
          <w:lang w:val="es-ES_tradnl" w:eastAsia="en-US"/>
        </w:rPr>
        <w:t xml:space="preserve">SEXTO </w:t>
      </w:r>
      <w:r w:rsidRPr="00777411">
        <w:rPr>
          <w:rFonts w:ascii="Palatino Linotype" w:eastAsia="Calibri" w:hAnsi="Palatino Linotype" w:cs="Tahoma"/>
          <w:bCs/>
          <w:sz w:val="22"/>
          <w:szCs w:val="22"/>
          <w:lang w:val="es-ES_tradnl" w:eastAsia="en-US"/>
        </w:rPr>
        <w:t xml:space="preserve">de la presente </w:t>
      </w:r>
      <w:r>
        <w:rPr>
          <w:rFonts w:ascii="Palatino Linotype" w:eastAsia="Calibri" w:hAnsi="Palatino Linotype" w:cs="Tahoma"/>
          <w:bCs/>
          <w:sz w:val="22"/>
          <w:szCs w:val="22"/>
          <w:lang w:val="es-ES_tradnl" w:eastAsia="en-US"/>
        </w:rPr>
        <w:t>R</w:t>
      </w:r>
      <w:r w:rsidRPr="00777411">
        <w:rPr>
          <w:rFonts w:ascii="Palatino Linotype" w:eastAsia="Calibri" w:hAnsi="Palatino Linotype" w:cs="Tahoma"/>
          <w:bCs/>
          <w:sz w:val="22"/>
          <w:szCs w:val="22"/>
          <w:lang w:val="es-ES_tradnl" w:eastAsia="en-US"/>
        </w:rPr>
        <w:t>esolución.</w:t>
      </w:r>
    </w:p>
    <w:p w:rsidR="00E13723" w:rsidRPr="00516CC9" w:rsidRDefault="00E13723" w:rsidP="00516CC9">
      <w:pPr>
        <w:spacing w:line="360" w:lineRule="auto"/>
        <w:ind w:right="-93"/>
        <w:jc w:val="both"/>
        <w:rPr>
          <w:rFonts w:ascii="Palatino Linotype" w:eastAsia="Calibri" w:hAnsi="Palatino Linotype" w:cs="Tahoma"/>
          <w:bCs/>
          <w:sz w:val="22"/>
          <w:szCs w:val="22"/>
          <w:lang w:eastAsia="en-US"/>
        </w:rPr>
      </w:pPr>
    </w:p>
    <w:p w:rsidR="00DA25CF" w:rsidRPr="00516CC9" w:rsidRDefault="00DA25CF" w:rsidP="00516CC9">
      <w:pPr>
        <w:spacing w:line="360" w:lineRule="auto"/>
        <w:jc w:val="both"/>
        <w:rPr>
          <w:rFonts w:ascii="Palatino Linotype" w:hAnsi="Palatino Linotype" w:cs="Tahoma"/>
          <w:sz w:val="22"/>
          <w:szCs w:val="22"/>
        </w:rPr>
      </w:pPr>
      <w:r w:rsidRPr="00516CC9">
        <w:rPr>
          <w:rFonts w:ascii="Palatino Linotype" w:hAnsi="Palatino Linotype" w:cs="Tahoma"/>
          <w:sz w:val="22"/>
          <w:szCs w:val="22"/>
        </w:rPr>
        <w:t xml:space="preserve">ASÍ LO RESUELVE, POR </w:t>
      </w:r>
      <w:r w:rsidRPr="00516CC9">
        <w:rPr>
          <w:rFonts w:ascii="Palatino Linotype" w:hAnsi="Palatino Linotype" w:cs="Tahoma"/>
          <w:b/>
          <w:sz w:val="22"/>
          <w:szCs w:val="22"/>
        </w:rPr>
        <w:t>UNANIMIDAD</w:t>
      </w:r>
      <w:r w:rsidRPr="00516CC9">
        <w:rPr>
          <w:rFonts w:ascii="Palatino Linotype" w:hAnsi="Palatino Linotype" w:cs="Tahoma"/>
          <w:sz w:val="22"/>
          <w:szCs w:val="22"/>
        </w:rPr>
        <w:t xml:space="preserve"> DE VOTOS EL PLENO DEL INSTITUTO DE TRANSPARENCIA, ACCESO A LA INFORMACIÓN PÚBLICA Y PROTECCIÓN DE DATOS PERSONALES DEL ESTADO DE MÉXICO Y MUNICIPIOS, CONFORMADO POR LOS COMISIONADOS ZULEMA MARTÍNEZ SÁNCHEZ</w:t>
      </w:r>
      <w:r w:rsidR="00F86240">
        <w:rPr>
          <w:rFonts w:ascii="Palatino Linotype" w:hAnsi="Palatino Linotype" w:cs="Tahoma"/>
          <w:sz w:val="22"/>
          <w:szCs w:val="22"/>
        </w:rPr>
        <w:t xml:space="preserve"> </w:t>
      </w:r>
      <w:r w:rsidR="00F86240">
        <w:rPr>
          <w:rFonts w:ascii="Palatino Linotype" w:hAnsi="Palatino Linotype" w:cs="Tahoma"/>
          <w:sz w:val="22"/>
          <w:szCs w:val="22"/>
          <w:lang w:eastAsia="es-MX"/>
        </w:rPr>
        <w:t>CON VOTO PARTICULAR CONCURRENTE</w:t>
      </w:r>
      <w:r w:rsidRPr="00516CC9">
        <w:rPr>
          <w:rFonts w:ascii="Palatino Linotype" w:hAnsi="Palatino Linotype" w:cs="Tahoma"/>
          <w:sz w:val="22"/>
          <w:szCs w:val="22"/>
        </w:rPr>
        <w:t>, EVA ABAID YAPUR</w:t>
      </w:r>
      <w:r w:rsidR="00F86240">
        <w:rPr>
          <w:rFonts w:ascii="Palatino Linotype" w:hAnsi="Palatino Linotype" w:cs="Tahoma"/>
          <w:sz w:val="22"/>
          <w:szCs w:val="22"/>
        </w:rPr>
        <w:t xml:space="preserve"> </w:t>
      </w:r>
      <w:r w:rsidR="00F86240">
        <w:rPr>
          <w:rFonts w:ascii="Palatino Linotype" w:hAnsi="Palatino Linotype" w:cs="Tahoma"/>
          <w:sz w:val="22"/>
          <w:szCs w:val="22"/>
          <w:lang w:eastAsia="es-MX"/>
        </w:rPr>
        <w:t>CON VOTO PARTICULAR CONCURRENTE</w:t>
      </w:r>
      <w:r w:rsidRPr="00516CC9">
        <w:rPr>
          <w:rFonts w:ascii="Palatino Linotype" w:hAnsi="Palatino Linotype" w:cs="Tahoma"/>
          <w:sz w:val="22"/>
          <w:szCs w:val="22"/>
        </w:rPr>
        <w:t>, JOSÉ GUADALUPE LUNA HERNÁNDEZ</w:t>
      </w:r>
      <w:r w:rsidR="00103206">
        <w:rPr>
          <w:rFonts w:ascii="Palatino Linotype" w:hAnsi="Palatino Linotype" w:cs="Tahoma"/>
          <w:sz w:val="22"/>
          <w:szCs w:val="22"/>
        </w:rPr>
        <w:t xml:space="preserve"> </w:t>
      </w:r>
      <w:r w:rsidR="00103206" w:rsidRPr="00103206">
        <w:rPr>
          <w:rFonts w:ascii="Palatino Linotype" w:hAnsi="Palatino Linotype" w:cs="Tahoma"/>
          <w:sz w:val="22"/>
          <w:szCs w:val="22"/>
        </w:rPr>
        <w:t>(AUSENCIA JUSTIFICADA)</w:t>
      </w:r>
      <w:r w:rsidRPr="00516CC9">
        <w:rPr>
          <w:rFonts w:ascii="Palatino Linotype" w:hAnsi="Palatino Linotype" w:cs="Tahoma"/>
          <w:sz w:val="22"/>
          <w:szCs w:val="22"/>
        </w:rPr>
        <w:t>, JAVIER MARTÍNEZ CRUZ</w:t>
      </w:r>
      <w:r w:rsidR="00F86240">
        <w:rPr>
          <w:rFonts w:ascii="Palatino Linotype" w:hAnsi="Palatino Linotype" w:cs="Tahoma"/>
          <w:sz w:val="22"/>
          <w:szCs w:val="22"/>
        </w:rPr>
        <w:t xml:space="preserve"> </w:t>
      </w:r>
      <w:r w:rsidR="00F86240">
        <w:rPr>
          <w:rFonts w:ascii="Palatino Linotype" w:hAnsi="Palatino Linotype" w:cs="Tahoma"/>
          <w:sz w:val="22"/>
          <w:szCs w:val="22"/>
          <w:lang w:eastAsia="es-MX"/>
        </w:rPr>
        <w:t xml:space="preserve">CON VOTO PARTICULAR CONCURRENTE </w:t>
      </w:r>
      <w:r w:rsidRPr="00516CC9">
        <w:rPr>
          <w:rFonts w:ascii="Palatino Linotype" w:hAnsi="Palatino Linotype" w:cs="Tahoma"/>
          <w:sz w:val="22"/>
          <w:szCs w:val="22"/>
        </w:rPr>
        <w:t xml:space="preserve">Y LUIS GUSTAVO PARRA NORIEGA, EN LA </w:t>
      </w:r>
      <w:r w:rsidR="003602B2" w:rsidRPr="00516CC9">
        <w:rPr>
          <w:rFonts w:ascii="Palatino Linotype" w:hAnsi="Palatino Linotype" w:cs="Tahoma"/>
          <w:sz w:val="22"/>
          <w:szCs w:val="22"/>
        </w:rPr>
        <w:t xml:space="preserve">DÉCIMA </w:t>
      </w:r>
      <w:r w:rsidR="00E13723">
        <w:rPr>
          <w:rFonts w:ascii="Palatino Linotype" w:hAnsi="Palatino Linotype" w:cs="Tahoma"/>
          <w:sz w:val="22"/>
          <w:szCs w:val="22"/>
        </w:rPr>
        <w:t>OCTAVA</w:t>
      </w:r>
      <w:r w:rsidR="007D4493" w:rsidRPr="00516CC9">
        <w:rPr>
          <w:rFonts w:ascii="Palatino Linotype" w:hAnsi="Palatino Linotype" w:cs="Tahoma"/>
          <w:sz w:val="22"/>
          <w:szCs w:val="22"/>
        </w:rPr>
        <w:t xml:space="preserve"> </w:t>
      </w:r>
      <w:r w:rsidRPr="00516CC9">
        <w:rPr>
          <w:rFonts w:ascii="Palatino Linotype" w:hAnsi="Palatino Linotype" w:cs="Tahoma"/>
          <w:sz w:val="22"/>
          <w:szCs w:val="22"/>
        </w:rPr>
        <w:t xml:space="preserve">SESIÓN ORDINARIA CELEBRADA EL </w:t>
      </w:r>
      <w:r w:rsidR="00E13723">
        <w:rPr>
          <w:rFonts w:ascii="Palatino Linotype" w:hAnsi="Palatino Linotype" w:cs="Tahoma"/>
          <w:sz w:val="22"/>
          <w:szCs w:val="22"/>
        </w:rPr>
        <w:t>CATORCE</w:t>
      </w:r>
      <w:r w:rsidR="00E13723" w:rsidRPr="00516CC9">
        <w:rPr>
          <w:rFonts w:ascii="Palatino Linotype" w:hAnsi="Palatino Linotype" w:cs="Tahoma"/>
          <w:sz w:val="22"/>
          <w:szCs w:val="22"/>
        </w:rPr>
        <w:t xml:space="preserve"> </w:t>
      </w:r>
      <w:r w:rsidR="003602B2" w:rsidRPr="00516CC9">
        <w:rPr>
          <w:rFonts w:ascii="Palatino Linotype" w:hAnsi="Palatino Linotype" w:cs="Tahoma"/>
          <w:sz w:val="22"/>
          <w:szCs w:val="22"/>
        </w:rPr>
        <w:t xml:space="preserve">DE </w:t>
      </w:r>
      <w:r w:rsidR="00E13723">
        <w:rPr>
          <w:rFonts w:ascii="Palatino Linotype" w:hAnsi="Palatino Linotype" w:cs="Tahoma"/>
          <w:sz w:val="22"/>
          <w:szCs w:val="22"/>
        </w:rPr>
        <w:t xml:space="preserve">MAYO </w:t>
      </w:r>
      <w:r w:rsidRPr="00516CC9">
        <w:rPr>
          <w:rFonts w:ascii="Palatino Linotype" w:hAnsi="Palatino Linotype" w:cs="Tahoma"/>
          <w:sz w:val="22"/>
          <w:szCs w:val="22"/>
        </w:rPr>
        <w:t>DE DOS MIL DIECINUEVE, ANTE EL SECRETARIO TÉCNICO DEL PLENO, ALEXIS TAPIA RAMÍREZ.</w:t>
      </w:r>
    </w:p>
    <w:tbl>
      <w:tblPr>
        <w:tblW w:w="9072" w:type="dxa"/>
        <w:tblInd w:w="137" w:type="dxa"/>
        <w:tblLook w:val="04A0" w:firstRow="1" w:lastRow="0" w:firstColumn="1" w:lastColumn="0" w:noHBand="0" w:noVBand="1"/>
      </w:tblPr>
      <w:tblGrid>
        <w:gridCol w:w="4536"/>
        <w:gridCol w:w="4536"/>
      </w:tblGrid>
      <w:tr w:rsidR="00DA25CF" w:rsidRPr="00516CC9" w:rsidTr="00D47A95">
        <w:tc>
          <w:tcPr>
            <w:tcW w:w="9072" w:type="dxa"/>
            <w:gridSpan w:val="2"/>
          </w:tcPr>
          <w:p w:rsidR="00DA25CF" w:rsidRDefault="00DA25CF" w:rsidP="00516CC9">
            <w:pPr>
              <w:spacing w:line="360" w:lineRule="auto"/>
              <w:jc w:val="center"/>
              <w:rPr>
                <w:rFonts w:ascii="Palatino Linotype" w:eastAsia="Calibri" w:hAnsi="Palatino Linotype" w:cs="Tahoma"/>
                <w:b/>
                <w:sz w:val="22"/>
                <w:szCs w:val="22"/>
                <w:lang w:eastAsia="es-MX"/>
              </w:rPr>
            </w:pPr>
          </w:p>
          <w:p w:rsidR="00F86240" w:rsidRPr="00516CC9" w:rsidRDefault="00F86240" w:rsidP="00516CC9">
            <w:pPr>
              <w:spacing w:line="360" w:lineRule="auto"/>
              <w:jc w:val="center"/>
              <w:rPr>
                <w:rFonts w:ascii="Palatino Linotype" w:eastAsia="Calibri" w:hAnsi="Palatino Linotype" w:cs="Tahoma"/>
                <w:b/>
                <w:sz w:val="22"/>
                <w:szCs w:val="22"/>
                <w:lang w:eastAsia="es-MX"/>
              </w:rPr>
            </w:pPr>
          </w:p>
          <w:p w:rsidR="00DA25CF" w:rsidRPr="00516CC9" w:rsidRDefault="00DA25CF" w:rsidP="00516CC9">
            <w:pPr>
              <w:tabs>
                <w:tab w:val="left" w:pos="2445"/>
                <w:tab w:val="center" w:pos="4428"/>
              </w:tabs>
              <w:spacing w:line="360" w:lineRule="auto"/>
              <w:jc w:val="center"/>
              <w:rPr>
                <w:rFonts w:ascii="Palatino Linotype" w:eastAsia="Calibri" w:hAnsi="Palatino Linotype" w:cs="Tahoma"/>
                <w:b/>
                <w:sz w:val="22"/>
                <w:szCs w:val="22"/>
                <w:lang w:eastAsia="es-MX"/>
              </w:rPr>
            </w:pPr>
            <w:r w:rsidRPr="00516CC9">
              <w:rPr>
                <w:rFonts w:ascii="Palatino Linotype" w:eastAsia="Calibri" w:hAnsi="Palatino Linotype" w:cs="Tahoma"/>
                <w:b/>
                <w:sz w:val="22"/>
                <w:szCs w:val="22"/>
                <w:lang w:eastAsia="es-MX"/>
              </w:rPr>
              <w:t>Zulema Martínez Sánchez</w:t>
            </w:r>
          </w:p>
          <w:p w:rsidR="00DA25CF" w:rsidRPr="00516CC9" w:rsidRDefault="00DA25CF" w:rsidP="00516CC9">
            <w:pPr>
              <w:spacing w:line="360" w:lineRule="auto"/>
              <w:ind w:right="-108"/>
              <w:jc w:val="center"/>
              <w:rPr>
                <w:rFonts w:ascii="Palatino Linotype" w:eastAsia="Calibri" w:hAnsi="Palatino Linotype" w:cs="Tahoma"/>
                <w:sz w:val="22"/>
                <w:szCs w:val="22"/>
                <w:lang w:eastAsia="es-MX"/>
              </w:rPr>
            </w:pPr>
            <w:r w:rsidRPr="00516CC9">
              <w:rPr>
                <w:rFonts w:ascii="Palatino Linotype" w:eastAsia="Calibri" w:hAnsi="Palatino Linotype" w:cs="Tahoma"/>
                <w:sz w:val="22"/>
                <w:szCs w:val="22"/>
                <w:lang w:eastAsia="es-MX"/>
              </w:rPr>
              <w:t>Comisionada Presidenta</w:t>
            </w:r>
          </w:p>
          <w:p w:rsidR="00DA25CF" w:rsidRPr="00516CC9" w:rsidRDefault="00DA25CF" w:rsidP="00516CC9">
            <w:pPr>
              <w:spacing w:line="360" w:lineRule="auto"/>
              <w:jc w:val="center"/>
              <w:rPr>
                <w:rFonts w:ascii="Palatino Linotype" w:eastAsia="Calibri" w:hAnsi="Palatino Linotype" w:cs="Tahoma"/>
                <w:b/>
                <w:sz w:val="22"/>
                <w:szCs w:val="22"/>
                <w:lang w:eastAsia="es-MX"/>
              </w:rPr>
            </w:pPr>
            <w:r w:rsidRPr="00516CC9">
              <w:rPr>
                <w:rFonts w:ascii="Palatino Linotype" w:eastAsia="Calibri" w:hAnsi="Palatino Linotype" w:cs="Tahoma"/>
                <w:b/>
                <w:sz w:val="22"/>
                <w:szCs w:val="22"/>
                <w:lang w:eastAsia="es-MX"/>
              </w:rPr>
              <w:t>(Rúbrica)</w:t>
            </w:r>
          </w:p>
          <w:p w:rsidR="00063A56" w:rsidRPr="00516CC9" w:rsidRDefault="00063A56" w:rsidP="00516CC9">
            <w:pPr>
              <w:spacing w:line="360" w:lineRule="auto"/>
              <w:ind w:right="-108"/>
              <w:rPr>
                <w:rFonts w:ascii="Palatino Linotype" w:eastAsia="Calibri" w:hAnsi="Palatino Linotype" w:cs="Tahoma"/>
                <w:b/>
                <w:sz w:val="22"/>
                <w:szCs w:val="22"/>
              </w:rPr>
            </w:pPr>
          </w:p>
        </w:tc>
      </w:tr>
      <w:tr w:rsidR="00DA25CF" w:rsidRPr="00516CC9" w:rsidTr="00D47A95">
        <w:trPr>
          <w:trHeight w:val="2797"/>
        </w:trPr>
        <w:tc>
          <w:tcPr>
            <w:tcW w:w="4536" w:type="dxa"/>
          </w:tcPr>
          <w:p w:rsidR="00DA25CF" w:rsidRDefault="00DA25CF" w:rsidP="00516CC9">
            <w:pPr>
              <w:spacing w:line="360" w:lineRule="auto"/>
              <w:ind w:right="-108"/>
              <w:jc w:val="center"/>
              <w:rPr>
                <w:rFonts w:ascii="Palatino Linotype" w:eastAsia="Calibri" w:hAnsi="Palatino Linotype" w:cs="Tahoma"/>
                <w:b/>
                <w:sz w:val="22"/>
                <w:szCs w:val="22"/>
              </w:rPr>
            </w:pPr>
          </w:p>
          <w:p w:rsidR="00103206" w:rsidRPr="00516CC9" w:rsidRDefault="00103206" w:rsidP="00516CC9">
            <w:pPr>
              <w:spacing w:line="360" w:lineRule="auto"/>
              <w:ind w:right="-108"/>
              <w:jc w:val="center"/>
              <w:rPr>
                <w:rFonts w:ascii="Palatino Linotype" w:eastAsia="Calibri" w:hAnsi="Palatino Linotype" w:cs="Tahoma"/>
                <w:b/>
                <w:sz w:val="22"/>
                <w:szCs w:val="22"/>
              </w:rPr>
            </w:pPr>
          </w:p>
          <w:p w:rsidR="00DA25CF" w:rsidRPr="00516CC9" w:rsidRDefault="00DA25CF" w:rsidP="00516CC9">
            <w:pPr>
              <w:spacing w:line="360" w:lineRule="auto"/>
              <w:ind w:right="-108"/>
              <w:jc w:val="center"/>
              <w:rPr>
                <w:rFonts w:ascii="Palatino Linotype" w:eastAsia="Calibri" w:hAnsi="Palatino Linotype" w:cs="Tahoma"/>
                <w:b/>
                <w:sz w:val="22"/>
                <w:szCs w:val="22"/>
              </w:rPr>
            </w:pPr>
            <w:r w:rsidRPr="00516CC9">
              <w:rPr>
                <w:rFonts w:ascii="Palatino Linotype" w:eastAsia="Calibri" w:hAnsi="Palatino Linotype" w:cs="Tahoma"/>
                <w:b/>
                <w:sz w:val="22"/>
                <w:szCs w:val="22"/>
              </w:rPr>
              <w:t xml:space="preserve">Eva Abaid Yapur </w:t>
            </w:r>
          </w:p>
          <w:p w:rsidR="00DA25CF" w:rsidRPr="00516CC9" w:rsidRDefault="00DA25CF" w:rsidP="00516CC9">
            <w:pPr>
              <w:spacing w:line="360" w:lineRule="auto"/>
              <w:ind w:right="-108"/>
              <w:jc w:val="center"/>
              <w:rPr>
                <w:rFonts w:ascii="Palatino Linotype" w:eastAsia="Calibri" w:hAnsi="Palatino Linotype" w:cs="Tahoma"/>
                <w:sz w:val="22"/>
                <w:szCs w:val="22"/>
              </w:rPr>
            </w:pPr>
            <w:r w:rsidRPr="00516CC9">
              <w:rPr>
                <w:rFonts w:ascii="Palatino Linotype" w:eastAsia="Calibri" w:hAnsi="Palatino Linotype" w:cs="Tahoma"/>
                <w:sz w:val="22"/>
                <w:szCs w:val="22"/>
              </w:rPr>
              <w:t>Comisionada</w:t>
            </w:r>
          </w:p>
          <w:p w:rsidR="00DA25CF" w:rsidRPr="00516CC9" w:rsidRDefault="00DA25CF" w:rsidP="00516CC9">
            <w:pPr>
              <w:spacing w:line="360" w:lineRule="auto"/>
              <w:jc w:val="center"/>
              <w:rPr>
                <w:rFonts w:ascii="Palatino Linotype" w:eastAsia="Calibri" w:hAnsi="Palatino Linotype" w:cs="Tahoma"/>
                <w:b/>
                <w:sz w:val="22"/>
                <w:szCs w:val="22"/>
                <w:lang w:eastAsia="es-MX"/>
              </w:rPr>
            </w:pPr>
            <w:r w:rsidRPr="00516CC9">
              <w:rPr>
                <w:rFonts w:ascii="Palatino Linotype" w:eastAsia="Calibri" w:hAnsi="Palatino Linotype" w:cs="Tahoma"/>
                <w:b/>
                <w:sz w:val="22"/>
                <w:szCs w:val="22"/>
                <w:lang w:eastAsia="es-MX"/>
              </w:rPr>
              <w:t>(Rúbrica)</w:t>
            </w:r>
          </w:p>
          <w:p w:rsidR="00DA25CF" w:rsidRPr="00516CC9" w:rsidRDefault="00DA25CF" w:rsidP="00516CC9">
            <w:pPr>
              <w:spacing w:line="360" w:lineRule="auto"/>
              <w:rPr>
                <w:rFonts w:ascii="Palatino Linotype" w:eastAsia="Calibri" w:hAnsi="Palatino Linotype" w:cs="Tahoma"/>
                <w:sz w:val="22"/>
                <w:szCs w:val="22"/>
                <w:lang w:eastAsia="es-MX"/>
              </w:rPr>
            </w:pPr>
          </w:p>
          <w:p w:rsidR="00DA25CF" w:rsidRPr="00516CC9" w:rsidRDefault="00DA25CF" w:rsidP="00516CC9">
            <w:pPr>
              <w:spacing w:line="360" w:lineRule="auto"/>
              <w:rPr>
                <w:rFonts w:ascii="Palatino Linotype" w:eastAsia="Calibri" w:hAnsi="Palatino Linotype" w:cs="Tahoma"/>
                <w:sz w:val="22"/>
                <w:szCs w:val="22"/>
                <w:lang w:eastAsia="es-MX"/>
              </w:rPr>
            </w:pPr>
          </w:p>
        </w:tc>
        <w:tc>
          <w:tcPr>
            <w:tcW w:w="4536" w:type="dxa"/>
          </w:tcPr>
          <w:p w:rsidR="00DA25CF" w:rsidRDefault="00DA25CF" w:rsidP="00516CC9">
            <w:pPr>
              <w:spacing w:line="360" w:lineRule="auto"/>
              <w:ind w:right="-108"/>
              <w:rPr>
                <w:rFonts w:ascii="Palatino Linotype" w:eastAsia="Calibri" w:hAnsi="Palatino Linotype" w:cs="Tahoma"/>
                <w:b/>
                <w:sz w:val="22"/>
                <w:szCs w:val="22"/>
              </w:rPr>
            </w:pPr>
          </w:p>
          <w:p w:rsidR="00103206" w:rsidRDefault="00103206" w:rsidP="00516CC9">
            <w:pPr>
              <w:spacing w:line="360" w:lineRule="auto"/>
              <w:ind w:right="-108"/>
              <w:rPr>
                <w:rFonts w:ascii="Palatino Linotype" w:eastAsia="Calibri" w:hAnsi="Palatino Linotype" w:cs="Tahoma"/>
                <w:b/>
                <w:sz w:val="22"/>
                <w:szCs w:val="22"/>
              </w:rPr>
            </w:pPr>
          </w:p>
          <w:p w:rsidR="00DA25CF" w:rsidRPr="00516CC9" w:rsidRDefault="00DA25CF" w:rsidP="00516CC9">
            <w:pPr>
              <w:spacing w:line="360" w:lineRule="auto"/>
              <w:ind w:right="-108"/>
              <w:jc w:val="center"/>
              <w:rPr>
                <w:rFonts w:ascii="Palatino Linotype" w:eastAsia="Calibri" w:hAnsi="Palatino Linotype" w:cs="Tahoma"/>
                <w:b/>
                <w:sz w:val="22"/>
                <w:szCs w:val="22"/>
                <w:lang w:eastAsia="es-MX"/>
              </w:rPr>
            </w:pPr>
            <w:r w:rsidRPr="00516CC9">
              <w:rPr>
                <w:rFonts w:ascii="Palatino Linotype" w:eastAsia="Calibri" w:hAnsi="Palatino Linotype" w:cs="Tahoma"/>
                <w:b/>
                <w:sz w:val="22"/>
                <w:szCs w:val="22"/>
                <w:lang w:eastAsia="es-MX"/>
              </w:rPr>
              <w:t>José Guadalupe Luna Hernández</w:t>
            </w:r>
          </w:p>
          <w:p w:rsidR="00DA25CF" w:rsidRPr="00516CC9" w:rsidRDefault="00DA25CF" w:rsidP="00516CC9">
            <w:pPr>
              <w:spacing w:line="360" w:lineRule="auto"/>
              <w:ind w:right="-108"/>
              <w:jc w:val="center"/>
              <w:rPr>
                <w:rFonts w:ascii="Palatino Linotype" w:eastAsia="Calibri" w:hAnsi="Palatino Linotype" w:cs="Tahoma"/>
                <w:sz w:val="22"/>
                <w:szCs w:val="22"/>
                <w:lang w:eastAsia="es-MX"/>
              </w:rPr>
            </w:pPr>
            <w:r w:rsidRPr="00516CC9">
              <w:rPr>
                <w:rFonts w:ascii="Palatino Linotype" w:eastAsia="Calibri" w:hAnsi="Palatino Linotype" w:cs="Tahoma"/>
                <w:sz w:val="22"/>
                <w:szCs w:val="22"/>
                <w:lang w:eastAsia="es-MX"/>
              </w:rPr>
              <w:t>Comisionado</w:t>
            </w:r>
          </w:p>
          <w:p w:rsidR="00DA25CF" w:rsidRPr="00516CC9" w:rsidRDefault="00103206" w:rsidP="00516CC9">
            <w:pPr>
              <w:spacing w:line="360" w:lineRule="auto"/>
              <w:jc w:val="center"/>
              <w:rPr>
                <w:rFonts w:ascii="Palatino Linotype" w:eastAsia="Calibri" w:hAnsi="Palatino Linotype" w:cs="Tahoma"/>
                <w:b/>
                <w:sz w:val="22"/>
                <w:szCs w:val="22"/>
                <w:lang w:eastAsia="es-MX"/>
              </w:rPr>
            </w:pPr>
            <w:r w:rsidRPr="00103206">
              <w:rPr>
                <w:rFonts w:ascii="Palatino Linotype" w:eastAsia="Calibri" w:hAnsi="Palatino Linotype" w:cs="Tahoma"/>
                <w:b/>
                <w:sz w:val="22"/>
                <w:szCs w:val="22"/>
                <w:lang w:eastAsia="es-MX"/>
              </w:rPr>
              <w:t>(AUSENCIA JUSTIFICADA)</w:t>
            </w:r>
          </w:p>
        </w:tc>
      </w:tr>
      <w:tr w:rsidR="00DA25CF" w:rsidRPr="00516CC9" w:rsidTr="00D47A95">
        <w:trPr>
          <w:trHeight w:val="2519"/>
        </w:trPr>
        <w:tc>
          <w:tcPr>
            <w:tcW w:w="4536" w:type="dxa"/>
          </w:tcPr>
          <w:p w:rsidR="00063A56" w:rsidRDefault="00063A56" w:rsidP="00516CC9">
            <w:pPr>
              <w:spacing w:line="360" w:lineRule="auto"/>
              <w:jc w:val="center"/>
              <w:rPr>
                <w:rFonts w:ascii="Palatino Linotype" w:eastAsia="Calibri" w:hAnsi="Palatino Linotype" w:cs="Tahoma"/>
                <w:b/>
                <w:sz w:val="22"/>
                <w:szCs w:val="22"/>
                <w:lang w:val="es-ES_tradnl"/>
              </w:rPr>
            </w:pPr>
          </w:p>
          <w:p w:rsidR="00063A56" w:rsidRDefault="00063A56" w:rsidP="00516CC9">
            <w:pPr>
              <w:spacing w:line="360" w:lineRule="auto"/>
              <w:jc w:val="center"/>
              <w:rPr>
                <w:rFonts w:ascii="Palatino Linotype" w:eastAsia="Calibri" w:hAnsi="Palatino Linotype" w:cs="Tahoma"/>
                <w:b/>
                <w:sz w:val="22"/>
                <w:szCs w:val="22"/>
                <w:lang w:val="es-ES_tradnl"/>
              </w:rPr>
            </w:pPr>
          </w:p>
          <w:p w:rsidR="00F86240" w:rsidRDefault="00F86240" w:rsidP="00516CC9">
            <w:pPr>
              <w:spacing w:line="360" w:lineRule="auto"/>
              <w:jc w:val="center"/>
              <w:rPr>
                <w:rFonts w:ascii="Palatino Linotype" w:eastAsia="Calibri" w:hAnsi="Palatino Linotype" w:cs="Tahoma"/>
                <w:b/>
                <w:sz w:val="22"/>
                <w:szCs w:val="22"/>
                <w:lang w:val="es-ES_tradnl"/>
              </w:rPr>
            </w:pPr>
          </w:p>
          <w:p w:rsidR="00F86240" w:rsidRDefault="00F86240" w:rsidP="00516CC9">
            <w:pPr>
              <w:spacing w:line="360" w:lineRule="auto"/>
              <w:jc w:val="center"/>
              <w:rPr>
                <w:rFonts w:ascii="Palatino Linotype" w:eastAsia="Calibri" w:hAnsi="Palatino Linotype" w:cs="Tahoma"/>
                <w:b/>
                <w:sz w:val="22"/>
                <w:szCs w:val="22"/>
                <w:lang w:val="es-ES_tradnl"/>
              </w:rPr>
            </w:pPr>
          </w:p>
          <w:p w:rsidR="00DA25CF" w:rsidRPr="00516CC9" w:rsidRDefault="00DA25CF" w:rsidP="00516CC9">
            <w:pPr>
              <w:spacing w:line="360" w:lineRule="auto"/>
              <w:jc w:val="center"/>
              <w:rPr>
                <w:rFonts w:ascii="Palatino Linotype" w:eastAsia="Calibri" w:hAnsi="Palatino Linotype" w:cs="Tahoma"/>
                <w:b/>
                <w:sz w:val="22"/>
                <w:szCs w:val="22"/>
                <w:lang w:val="es-ES_tradnl"/>
              </w:rPr>
            </w:pPr>
            <w:r w:rsidRPr="00516CC9">
              <w:rPr>
                <w:rFonts w:ascii="Palatino Linotype" w:eastAsia="Calibri" w:hAnsi="Palatino Linotype" w:cs="Tahoma"/>
                <w:b/>
                <w:sz w:val="22"/>
                <w:szCs w:val="22"/>
                <w:lang w:val="es-ES_tradnl"/>
              </w:rPr>
              <w:t xml:space="preserve">Javier Martínez Cruz </w:t>
            </w:r>
          </w:p>
          <w:p w:rsidR="00DA25CF" w:rsidRPr="00516CC9" w:rsidRDefault="00DA25CF" w:rsidP="00516CC9">
            <w:pPr>
              <w:spacing w:line="360" w:lineRule="auto"/>
              <w:jc w:val="center"/>
              <w:rPr>
                <w:rFonts w:ascii="Palatino Linotype" w:eastAsia="Calibri" w:hAnsi="Palatino Linotype" w:cs="Tahoma"/>
                <w:b/>
                <w:sz w:val="22"/>
                <w:szCs w:val="22"/>
              </w:rPr>
            </w:pPr>
            <w:r w:rsidRPr="00516CC9">
              <w:rPr>
                <w:rFonts w:ascii="Palatino Linotype" w:eastAsia="Calibri" w:hAnsi="Palatino Linotype" w:cs="Tahoma"/>
                <w:sz w:val="22"/>
                <w:szCs w:val="22"/>
              </w:rPr>
              <w:t>Comisionado</w:t>
            </w:r>
          </w:p>
          <w:p w:rsidR="00DA25CF" w:rsidRPr="00516CC9" w:rsidRDefault="00DA25CF" w:rsidP="00516CC9">
            <w:pPr>
              <w:spacing w:line="360" w:lineRule="auto"/>
              <w:jc w:val="center"/>
              <w:rPr>
                <w:rFonts w:ascii="Palatino Linotype" w:eastAsia="Calibri" w:hAnsi="Palatino Linotype" w:cs="Tahoma"/>
                <w:b/>
                <w:sz w:val="22"/>
                <w:szCs w:val="22"/>
                <w:lang w:eastAsia="es-MX"/>
              </w:rPr>
            </w:pPr>
            <w:r w:rsidRPr="00516CC9">
              <w:rPr>
                <w:rFonts w:ascii="Palatino Linotype" w:eastAsia="Calibri" w:hAnsi="Palatino Linotype" w:cs="Tahoma"/>
                <w:b/>
                <w:sz w:val="22"/>
                <w:szCs w:val="22"/>
                <w:lang w:eastAsia="es-MX"/>
              </w:rPr>
              <w:t>(Rúbrica)</w:t>
            </w:r>
          </w:p>
        </w:tc>
        <w:tc>
          <w:tcPr>
            <w:tcW w:w="4536" w:type="dxa"/>
          </w:tcPr>
          <w:p w:rsidR="00063A56" w:rsidRDefault="00063A56" w:rsidP="00516CC9">
            <w:pPr>
              <w:spacing w:line="360" w:lineRule="auto"/>
              <w:ind w:right="-108"/>
              <w:jc w:val="center"/>
              <w:rPr>
                <w:rFonts w:ascii="Palatino Linotype" w:eastAsia="Calibri" w:hAnsi="Palatino Linotype" w:cs="Tahoma"/>
                <w:b/>
                <w:sz w:val="22"/>
                <w:szCs w:val="22"/>
                <w:lang w:val="es-ES_tradnl"/>
              </w:rPr>
            </w:pPr>
          </w:p>
          <w:p w:rsidR="00063A56" w:rsidRDefault="00063A56" w:rsidP="00516CC9">
            <w:pPr>
              <w:spacing w:line="360" w:lineRule="auto"/>
              <w:ind w:right="-108"/>
              <w:jc w:val="center"/>
              <w:rPr>
                <w:rFonts w:ascii="Palatino Linotype" w:eastAsia="Calibri" w:hAnsi="Palatino Linotype" w:cs="Tahoma"/>
                <w:b/>
                <w:sz w:val="22"/>
                <w:szCs w:val="22"/>
                <w:lang w:val="es-ES_tradnl"/>
              </w:rPr>
            </w:pPr>
          </w:p>
          <w:p w:rsidR="00F86240" w:rsidRDefault="00F86240" w:rsidP="00516CC9">
            <w:pPr>
              <w:spacing w:line="360" w:lineRule="auto"/>
              <w:ind w:right="-108"/>
              <w:jc w:val="center"/>
              <w:rPr>
                <w:rFonts w:ascii="Palatino Linotype" w:eastAsia="Calibri" w:hAnsi="Palatino Linotype" w:cs="Tahoma"/>
                <w:b/>
                <w:sz w:val="22"/>
                <w:szCs w:val="22"/>
                <w:lang w:val="es-ES_tradnl"/>
              </w:rPr>
            </w:pPr>
          </w:p>
          <w:p w:rsidR="00F86240" w:rsidRDefault="00F86240" w:rsidP="00516CC9">
            <w:pPr>
              <w:spacing w:line="360" w:lineRule="auto"/>
              <w:ind w:right="-108"/>
              <w:jc w:val="center"/>
              <w:rPr>
                <w:rFonts w:ascii="Palatino Linotype" w:eastAsia="Calibri" w:hAnsi="Palatino Linotype" w:cs="Tahoma"/>
                <w:b/>
                <w:sz w:val="22"/>
                <w:szCs w:val="22"/>
                <w:lang w:val="es-ES_tradnl"/>
              </w:rPr>
            </w:pPr>
          </w:p>
          <w:p w:rsidR="00DA25CF" w:rsidRPr="00516CC9" w:rsidRDefault="00DA25CF" w:rsidP="00516CC9">
            <w:pPr>
              <w:spacing w:line="360" w:lineRule="auto"/>
              <w:ind w:right="-108"/>
              <w:jc w:val="center"/>
              <w:rPr>
                <w:rFonts w:ascii="Palatino Linotype" w:eastAsia="Calibri" w:hAnsi="Palatino Linotype" w:cs="Tahoma"/>
                <w:b/>
                <w:sz w:val="22"/>
                <w:szCs w:val="22"/>
              </w:rPr>
            </w:pPr>
            <w:r w:rsidRPr="00516CC9">
              <w:rPr>
                <w:rFonts w:ascii="Palatino Linotype" w:eastAsia="Calibri" w:hAnsi="Palatino Linotype" w:cs="Tahoma"/>
                <w:b/>
                <w:sz w:val="22"/>
                <w:szCs w:val="22"/>
                <w:lang w:val="es-ES_tradnl"/>
              </w:rPr>
              <w:t>Luis Gustavo Parra Noriega</w:t>
            </w:r>
          </w:p>
          <w:p w:rsidR="00DA25CF" w:rsidRPr="00516CC9" w:rsidRDefault="00DA25CF" w:rsidP="00516CC9">
            <w:pPr>
              <w:spacing w:line="360" w:lineRule="auto"/>
              <w:ind w:right="-108"/>
              <w:jc w:val="center"/>
              <w:rPr>
                <w:rFonts w:ascii="Palatino Linotype" w:eastAsia="Calibri" w:hAnsi="Palatino Linotype" w:cs="Tahoma"/>
                <w:sz w:val="22"/>
                <w:szCs w:val="22"/>
              </w:rPr>
            </w:pPr>
            <w:r w:rsidRPr="00516CC9">
              <w:rPr>
                <w:rFonts w:ascii="Palatino Linotype" w:eastAsia="Calibri" w:hAnsi="Palatino Linotype" w:cs="Tahoma"/>
                <w:sz w:val="22"/>
                <w:szCs w:val="22"/>
              </w:rPr>
              <w:t>Comisionado</w:t>
            </w:r>
          </w:p>
          <w:p w:rsidR="00DA25CF" w:rsidRPr="00516CC9" w:rsidRDefault="00DA25CF" w:rsidP="00516CC9">
            <w:pPr>
              <w:spacing w:line="360" w:lineRule="auto"/>
              <w:jc w:val="center"/>
              <w:rPr>
                <w:rFonts w:ascii="Palatino Linotype" w:eastAsia="Calibri" w:hAnsi="Palatino Linotype" w:cs="Tahoma"/>
                <w:b/>
                <w:sz w:val="22"/>
                <w:szCs w:val="22"/>
                <w:lang w:eastAsia="es-MX"/>
              </w:rPr>
            </w:pPr>
            <w:r w:rsidRPr="00516CC9">
              <w:rPr>
                <w:rFonts w:ascii="Palatino Linotype" w:eastAsia="Calibri" w:hAnsi="Palatino Linotype" w:cs="Tahoma"/>
                <w:b/>
                <w:sz w:val="22"/>
                <w:szCs w:val="22"/>
                <w:lang w:eastAsia="es-MX"/>
              </w:rPr>
              <w:t>(Rúbrica)</w:t>
            </w:r>
          </w:p>
          <w:p w:rsidR="00DA25CF" w:rsidRPr="00516CC9" w:rsidRDefault="00DA25CF" w:rsidP="00516CC9">
            <w:pPr>
              <w:spacing w:line="360" w:lineRule="auto"/>
              <w:ind w:right="-108"/>
              <w:jc w:val="center"/>
              <w:rPr>
                <w:rFonts w:ascii="Palatino Linotype" w:eastAsia="Batang" w:hAnsi="Palatino Linotype" w:cs="Tahoma"/>
                <w:b/>
                <w:sz w:val="22"/>
                <w:szCs w:val="22"/>
              </w:rPr>
            </w:pPr>
          </w:p>
          <w:p w:rsidR="00DA25CF" w:rsidRDefault="00DA25CF" w:rsidP="00516CC9">
            <w:pPr>
              <w:spacing w:line="360" w:lineRule="auto"/>
              <w:ind w:right="-108"/>
              <w:jc w:val="center"/>
              <w:rPr>
                <w:rFonts w:ascii="Palatino Linotype" w:eastAsia="Batang" w:hAnsi="Palatino Linotype" w:cs="Tahoma"/>
                <w:b/>
                <w:sz w:val="22"/>
                <w:szCs w:val="22"/>
              </w:rPr>
            </w:pPr>
          </w:p>
          <w:p w:rsidR="00F86240" w:rsidRDefault="00F86240" w:rsidP="00516CC9">
            <w:pPr>
              <w:spacing w:line="360" w:lineRule="auto"/>
              <w:ind w:right="-108"/>
              <w:jc w:val="center"/>
              <w:rPr>
                <w:rFonts w:ascii="Palatino Linotype" w:eastAsia="Batang" w:hAnsi="Palatino Linotype" w:cs="Tahoma"/>
                <w:b/>
                <w:sz w:val="22"/>
                <w:szCs w:val="22"/>
              </w:rPr>
            </w:pPr>
          </w:p>
          <w:p w:rsidR="00F86240" w:rsidRDefault="00F86240" w:rsidP="00516CC9">
            <w:pPr>
              <w:spacing w:line="360" w:lineRule="auto"/>
              <w:ind w:right="-108"/>
              <w:jc w:val="center"/>
              <w:rPr>
                <w:rFonts w:ascii="Palatino Linotype" w:eastAsia="Batang" w:hAnsi="Palatino Linotype" w:cs="Tahoma"/>
                <w:b/>
                <w:sz w:val="22"/>
                <w:szCs w:val="22"/>
              </w:rPr>
            </w:pPr>
          </w:p>
          <w:p w:rsidR="00063A56" w:rsidRPr="00516CC9" w:rsidRDefault="00063A56" w:rsidP="00516CC9">
            <w:pPr>
              <w:spacing w:line="360" w:lineRule="auto"/>
              <w:ind w:right="-108"/>
              <w:jc w:val="center"/>
              <w:rPr>
                <w:rFonts w:ascii="Palatino Linotype" w:eastAsia="Batang" w:hAnsi="Palatino Linotype" w:cs="Tahoma"/>
                <w:b/>
                <w:sz w:val="22"/>
                <w:szCs w:val="22"/>
              </w:rPr>
            </w:pPr>
          </w:p>
          <w:p w:rsidR="00DA25CF" w:rsidRPr="00516CC9" w:rsidRDefault="00DA25CF" w:rsidP="00516CC9">
            <w:pPr>
              <w:spacing w:line="360" w:lineRule="auto"/>
              <w:ind w:right="-108"/>
              <w:jc w:val="center"/>
              <w:rPr>
                <w:rFonts w:ascii="Palatino Linotype" w:eastAsia="Batang" w:hAnsi="Palatino Linotype" w:cs="Tahoma"/>
                <w:b/>
                <w:sz w:val="22"/>
                <w:szCs w:val="22"/>
              </w:rPr>
            </w:pPr>
          </w:p>
        </w:tc>
      </w:tr>
      <w:tr w:rsidR="00DA25CF" w:rsidRPr="00516CC9" w:rsidTr="00D47A95">
        <w:tc>
          <w:tcPr>
            <w:tcW w:w="9072" w:type="dxa"/>
            <w:gridSpan w:val="2"/>
          </w:tcPr>
          <w:p w:rsidR="00DA25CF" w:rsidRPr="00516CC9" w:rsidRDefault="00DA25CF" w:rsidP="00516CC9">
            <w:pPr>
              <w:spacing w:line="360" w:lineRule="auto"/>
              <w:jc w:val="center"/>
              <w:rPr>
                <w:rFonts w:ascii="Palatino Linotype" w:eastAsia="Calibri" w:hAnsi="Palatino Linotype" w:cs="Tahoma"/>
                <w:b/>
                <w:sz w:val="22"/>
                <w:szCs w:val="22"/>
              </w:rPr>
            </w:pPr>
            <w:r w:rsidRPr="00516CC9">
              <w:rPr>
                <w:rFonts w:ascii="Palatino Linotype" w:eastAsia="Calibri" w:hAnsi="Palatino Linotype" w:cs="Tahoma"/>
                <w:b/>
                <w:sz w:val="22"/>
                <w:szCs w:val="22"/>
              </w:rPr>
              <w:t>Alexis Tapia Ramírez</w:t>
            </w:r>
          </w:p>
          <w:p w:rsidR="00DA25CF" w:rsidRPr="00516CC9" w:rsidRDefault="00DA25CF" w:rsidP="00516CC9">
            <w:pPr>
              <w:spacing w:line="360" w:lineRule="auto"/>
              <w:jc w:val="center"/>
              <w:rPr>
                <w:rFonts w:ascii="Palatino Linotype" w:eastAsia="Calibri" w:hAnsi="Palatino Linotype" w:cs="Tahoma"/>
                <w:sz w:val="22"/>
                <w:szCs w:val="22"/>
              </w:rPr>
            </w:pPr>
            <w:r w:rsidRPr="00516CC9">
              <w:rPr>
                <w:rFonts w:ascii="Palatino Linotype" w:eastAsia="Calibri" w:hAnsi="Palatino Linotype" w:cs="Tahoma"/>
                <w:sz w:val="22"/>
                <w:szCs w:val="22"/>
              </w:rPr>
              <w:t>Secretario Técnico del Pleno</w:t>
            </w:r>
          </w:p>
          <w:p w:rsidR="00DA25CF" w:rsidRPr="00516CC9" w:rsidRDefault="00DA25CF" w:rsidP="00516CC9">
            <w:pPr>
              <w:spacing w:line="360" w:lineRule="auto"/>
              <w:jc w:val="center"/>
              <w:rPr>
                <w:rFonts w:ascii="Palatino Linotype" w:eastAsia="Calibri" w:hAnsi="Palatino Linotype" w:cs="Tahoma"/>
                <w:b/>
                <w:sz w:val="22"/>
                <w:szCs w:val="22"/>
                <w:lang w:eastAsia="es-MX"/>
              </w:rPr>
            </w:pPr>
            <w:r w:rsidRPr="00516CC9">
              <w:rPr>
                <w:rFonts w:ascii="Palatino Linotype" w:eastAsia="Calibri" w:hAnsi="Palatino Linotype" w:cs="Tahoma"/>
                <w:b/>
                <w:sz w:val="22"/>
                <w:szCs w:val="22"/>
                <w:lang w:eastAsia="es-MX"/>
              </w:rPr>
              <w:t>(Rúbrica)</w:t>
            </w:r>
          </w:p>
          <w:p w:rsidR="00DA25CF" w:rsidRPr="00516CC9" w:rsidRDefault="00DA25CF" w:rsidP="00516CC9">
            <w:pPr>
              <w:spacing w:line="360" w:lineRule="auto"/>
              <w:jc w:val="center"/>
              <w:rPr>
                <w:rFonts w:ascii="Palatino Linotype" w:eastAsia="Calibri" w:hAnsi="Palatino Linotype" w:cs="Tahoma"/>
                <w:color w:val="000000"/>
                <w:sz w:val="22"/>
                <w:szCs w:val="22"/>
              </w:rPr>
            </w:pPr>
          </w:p>
        </w:tc>
      </w:tr>
    </w:tbl>
    <w:p w:rsidR="00DA25CF" w:rsidRPr="00516CC9" w:rsidRDefault="00DA25CF" w:rsidP="00516CC9">
      <w:pPr>
        <w:spacing w:line="360" w:lineRule="auto"/>
        <w:jc w:val="both"/>
        <w:rPr>
          <w:rFonts w:ascii="Palatino Linotype" w:eastAsia="Calibri" w:hAnsi="Palatino Linotype" w:cs="Tahoma"/>
          <w:sz w:val="22"/>
          <w:szCs w:val="22"/>
          <w:lang w:eastAsia="en-US"/>
        </w:rPr>
      </w:pPr>
      <w:r w:rsidRPr="00516CC9">
        <w:rPr>
          <w:rFonts w:ascii="Palatino Linotype" w:eastAsia="Calibri" w:hAnsi="Palatino Linotype" w:cs="Tahoma"/>
          <w:sz w:val="22"/>
          <w:szCs w:val="22"/>
          <w:lang w:eastAsia="en-US"/>
        </w:rPr>
        <w:t xml:space="preserve">Esta foja corresponde a la </w:t>
      </w:r>
      <w:r w:rsidR="00E20118" w:rsidRPr="00516CC9">
        <w:rPr>
          <w:rFonts w:ascii="Palatino Linotype" w:eastAsia="Calibri" w:hAnsi="Palatino Linotype" w:cs="Tahoma"/>
          <w:sz w:val="22"/>
          <w:szCs w:val="22"/>
          <w:lang w:eastAsia="en-US"/>
        </w:rPr>
        <w:t xml:space="preserve">Resolución </w:t>
      </w:r>
      <w:r w:rsidRPr="00516CC9">
        <w:rPr>
          <w:rFonts w:ascii="Palatino Linotype" w:eastAsia="Calibri" w:hAnsi="Palatino Linotype" w:cs="Tahoma"/>
          <w:sz w:val="22"/>
          <w:szCs w:val="22"/>
          <w:lang w:eastAsia="en-US"/>
        </w:rPr>
        <w:t xml:space="preserve">de fecha </w:t>
      </w:r>
      <w:r w:rsidR="00E13723">
        <w:rPr>
          <w:rFonts w:ascii="Palatino Linotype" w:eastAsia="Calibri" w:hAnsi="Palatino Linotype" w:cs="Tahoma"/>
          <w:sz w:val="22"/>
          <w:szCs w:val="22"/>
          <w:lang w:eastAsia="en-US"/>
        </w:rPr>
        <w:t xml:space="preserve">catorce de mayo </w:t>
      </w:r>
      <w:r w:rsidRPr="00516CC9">
        <w:rPr>
          <w:rFonts w:ascii="Palatino Linotype" w:eastAsia="Calibri" w:hAnsi="Palatino Linotype" w:cs="Tahoma"/>
          <w:sz w:val="22"/>
          <w:szCs w:val="22"/>
          <w:lang w:eastAsia="en-US"/>
        </w:rPr>
        <w:t>de dos mil diecinueve, emitida en el Recurso de Revisión número 0</w:t>
      </w:r>
      <w:r w:rsidR="00E13723">
        <w:rPr>
          <w:rFonts w:ascii="Palatino Linotype" w:eastAsia="Calibri" w:hAnsi="Palatino Linotype" w:cs="Tahoma"/>
          <w:sz w:val="22"/>
          <w:szCs w:val="22"/>
          <w:lang w:eastAsia="en-US"/>
        </w:rPr>
        <w:t>1341</w:t>
      </w:r>
      <w:r w:rsidR="00F94C45" w:rsidRPr="00516CC9">
        <w:rPr>
          <w:rFonts w:ascii="Palatino Linotype" w:eastAsia="Calibri" w:hAnsi="Palatino Linotype" w:cs="Tahoma"/>
          <w:sz w:val="22"/>
          <w:szCs w:val="22"/>
          <w:lang w:eastAsia="en-US"/>
        </w:rPr>
        <w:t>/INFOEM/IP/RR/2019.</w:t>
      </w:r>
    </w:p>
    <w:p w:rsidR="00DA25CF" w:rsidRPr="00516CC9" w:rsidRDefault="00DA25CF" w:rsidP="00516CC9">
      <w:pPr>
        <w:shd w:val="clear" w:color="auto" w:fill="FFFFFF" w:themeFill="background1"/>
        <w:spacing w:line="360" w:lineRule="auto"/>
        <w:jc w:val="both"/>
        <w:rPr>
          <w:rFonts w:ascii="Palatino Linotype" w:hAnsi="Palatino Linotype" w:cs="Tahoma"/>
          <w:sz w:val="22"/>
          <w:szCs w:val="22"/>
        </w:rPr>
      </w:pPr>
    </w:p>
    <w:sectPr w:rsidR="00DA25CF" w:rsidRPr="00516CC9" w:rsidSect="00DB7E5F">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D21" w:rsidRDefault="00990D21" w:rsidP="00B31222">
      <w:r>
        <w:separator/>
      </w:r>
    </w:p>
  </w:endnote>
  <w:endnote w:type="continuationSeparator" w:id="0">
    <w:p w:rsidR="00990D21" w:rsidRDefault="00990D2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00E13723" w:rsidRDefault="00E1372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F2150">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F2150">
              <w:rPr>
                <w:b/>
                <w:bCs/>
                <w:noProof/>
              </w:rPr>
              <w:t>35</w:t>
            </w:r>
            <w:r>
              <w:rPr>
                <w:b/>
                <w:bCs/>
                <w:sz w:val="24"/>
                <w:szCs w:val="24"/>
              </w:rPr>
              <w:fldChar w:fldCharType="end"/>
            </w:r>
          </w:p>
        </w:sdtContent>
      </w:sdt>
    </w:sdtContent>
  </w:sdt>
  <w:p w:rsidR="00E13723" w:rsidRDefault="00E1372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E13723" w:rsidRDefault="00E1372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06B9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06B9E">
              <w:rPr>
                <w:b/>
                <w:bCs/>
                <w:noProof/>
              </w:rPr>
              <w:t>35</w:t>
            </w:r>
            <w:r>
              <w:rPr>
                <w:b/>
                <w:bCs/>
                <w:sz w:val="24"/>
                <w:szCs w:val="24"/>
              </w:rPr>
              <w:fldChar w:fldCharType="end"/>
            </w:r>
          </w:p>
        </w:sdtContent>
      </w:sdt>
    </w:sdtContent>
  </w:sdt>
  <w:p w:rsidR="00E13723" w:rsidRDefault="00E137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D21" w:rsidRDefault="00990D21" w:rsidP="00B31222">
      <w:r>
        <w:separator/>
      </w:r>
    </w:p>
  </w:footnote>
  <w:footnote w:type="continuationSeparator" w:id="0">
    <w:p w:rsidR="00990D21" w:rsidRDefault="00990D21"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E13723" w:rsidRPr="005C106F" w:rsidTr="00202DB8">
      <w:trPr>
        <w:trHeight w:val="1435"/>
      </w:trPr>
      <w:tc>
        <w:tcPr>
          <w:tcW w:w="2835" w:type="dxa"/>
          <w:shd w:val="clear" w:color="auto" w:fill="auto"/>
        </w:tcPr>
        <w:p w:rsidR="00E13723" w:rsidRPr="005C106F" w:rsidRDefault="00E13723" w:rsidP="00EF4A64">
          <w:pPr>
            <w:tabs>
              <w:tab w:val="right" w:pos="4273"/>
            </w:tabs>
            <w:rPr>
              <w:rFonts w:ascii="Garamond" w:eastAsia="Calibri" w:hAnsi="Garamond"/>
              <w:sz w:val="16"/>
              <w:szCs w:val="16"/>
              <w:lang w:eastAsia="en-US"/>
            </w:rPr>
          </w:pPr>
        </w:p>
      </w:tc>
      <w:tc>
        <w:tcPr>
          <w:tcW w:w="6733" w:type="dxa"/>
          <w:shd w:val="clear" w:color="auto" w:fill="auto"/>
        </w:tcPr>
        <w:p w:rsidR="00E13723" w:rsidRDefault="00E13723" w:rsidP="005743D2"/>
        <w:tbl>
          <w:tblPr>
            <w:tblStyle w:val="Tablaconcuadrcula"/>
            <w:tblW w:w="6521"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4111"/>
          </w:tblGrid>
          <w:tr w:rsidR="00E13723" w:rsidTr="000A24C9">
            <w:trPr>
              <w:trHeight w:val="144"/>
            </w:trPr>
            <w:tc>
              <w:tcPr>
                <w:tcW w:w="2410" w:type="dxa"/>
              </w:tcPr>
              <w:p w:rsidR="00E13723" w:rsidRPr="00026EBB" w:rsidRDefault="00E13723"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4111" w:type="dxa"/>
              </w:tcPr>
              <w:p w:rsidR="00E13723" w:rsidRPr="00026EBB" w:rsidRDefault="00E13723" w:rsidP="001E2CC9">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01341</w:t>
                </w:r>
                <w:r w:rsidRPr="00026EBB">
                  <w:rPr>
                    <w:rFonts w:ascii="Palatino Linotype" w:eastAsia="Calibri" w:hAnsi="Palatino Linotype" w:cs="Tahoma"/>
                    <w:bCs/>
                    <w:sz w:val="22"/>
                    <w:szCs w:val="22"/>
                    <w:lang w:eastAsia="en-US"/>
                  </w:rPr>
                  <w:t>/INFOEM/IP/RR/201</w:t>
                </w:r>
                <w:r>
                  <w:rPr>
                    <w:rFonts w:ascii="Palatino Linotype" w:eastAsia="Calibri" w:hAnsi="Palatino Linotype" w:cs="Tahoma"/>
                    <w:bCs/>
                    <w:sz w:val="22"/>
                    <w:szCs w:val="22"/>
                    <w:lang w:eastAsia="en-US"/>
                  </w:rPr>
                  <w:t xml:space="preserve">9 </w:t>
                </w:r>
              </w:p>
            </w:tc>
          </w:tr>
          <w:tr w:rsidR="00E13723" w:rsidTr="000A24C9">
            <w:trPr>
              <w:trHeight w:val="138"/>
            </w:trPr>
            <w:tc>
              <w:tcPr>
                <w:tcW w:w="2410" w:type="dxa"/>
              </w:tcPr>
              <w:p w:rsidR="00E13723" w:rsidRPr="00026EBB" w:rsidRDefault="00E13723"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4111" w:type="dxa"/>
              </w:tcPr>
              <w:p w:rsidR="00E13723" w:rsidRPr="00026EBB" w:rsidRDefault="00E13723" w:rsidP="00F1692B">
                <w:pPr>
                  <w:tabs>
                    <w:tab w:val="right" w:pos="8838"/>
                  </w:tabs>
                  <w:ind w:right="171"/>
                  <w:jc w:val="both"/>
                  <w:rPr>
                    <w:rFonts w:ascii="Palatino Linotype" w:eastAsia="Calibri" w:hAnsi="Palatino Linotype" w:cs="Tahoma"/>
                    <w:b/>
                    <w:sz w:val="22"/>
                    <w:szCs w:val="22"/>
                    <w:lang w:val="es-MX" w:eastAsia="en-US"/>
                  </w:rPr>
                </w:pPr>
                <w:r w:rsidRPr="00E95BD6">
                  <w:rPr>
                    <w:rFonts w:ascii="Palatino Linotype" w:eastAsia="Calibri" w:hAnsi="Palatino Linotype" w:cs="Tahoma"/>
                    <w:sz w:val="22"/>
                    <w:szCs w:val="22"/>
                    <w:lang w:val="es-MX" w:eastAsia="en-US"/>
                  </w:rPr>
                  <w:t>Ayuntamiento de Atizapán de Zaragoza</w:t>
                </w:r>
              </w:p>
            </w:tc>
          </w:tr>
          <w:tr w:rsidR="00E13723" w:rsidTr="000A24C9">
            <w:trPr>
              <w:trHeight w:val="283"/>
            </w:trPr>
            <w:tc>
              <w:tcPr>
                <w:tcW w:w="2410" w:type="dxa"/>
              </w:tcPr>
              <w:p w:rsidR="00E13723" w:rsidRPr="00026EBB" w:rsidRDefault="00E13723"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111" w:type="dxa"/>
              </w:tcPr>
              <w:p w:rsidR="00E13723" w:rsidRPr="00026EBB" w:rsidRDefault="00E13723"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rsidR="00E13723" w:rsidRPr="005C106F" w:rsidRDefault="00E13723" w:rsidP="005743D2">
          <w:pPr>
            <w:tabs>
              <w:tab w:val="right" w:pos="8838"/>
            </w:tabs>
            <w:ind w:left="-28"/>
            <w:jc w:val="both"/>
            <w:rPr>
              <w:rFonts w:ascii="Arial" w:eastAsia="Calibri" w:hAnsi="Arial" w:cs="Arial"/>
              <w:b/>
              <w:sz w:val="22"/>
              <w:szCs w:val="22"/>
              <w:lang w:eastAsia="en-US"/>
            </w:rPr>
          </w:pPr>
        </w:p>
      </w:tc>
    </w:tr>
  </w:tbl>
  <w:p w:rsidR="00E13723" w:rsidRPr="00443C6B" w:rsidRDefault="00E13723"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E13723" w:rsidRPr="005C106F" w:rsidTr="003B165A">
      <w:trPr>
        <w:trHeight w:val="1435"/>
      </w:trPr>
      <w:tc>
        <w:tcPr>
          <w:tcW w:w="2835" w:type="dxa"/>
          <w:shd w:val="clear" w:color="auto" w:fill="auto"/>
        </w:tcPr>
        <w:p w:rsidR="00E13723" w:rsidRPr="005C106F" w:rsidRDefault="00E13723" w:rsidP="00DB7E5F">
          <w:pPr>
            <w:tabs>
              <w:tab w:val="right" w:pos="4273"/>
            </w:tabs>
            <w:rPr>
              <w:rFonts w:ascii="Garamond" w:eastAsia="Calibri" w:hAnsi="Garamond"/>
              <w:sz w:val="16"/>
              <w:szCs w:val="16"/>
              <w:lang w:eastAsia="en-US"/>
            </w:rPr>
          </w:pPr>
        </w:p>
      </w:tc>
      <w:tc>
        <w:tcPr>
          <w:tcW w:w="6733" w:type="dxa"/>
          <w:shd w:val="clear" w:color="auto" w:fill="auto"/>
        </w:tcPr>
        <w:p w:rsidR="00E13723" w:rsidRPr="005C106F" w:rsidRDefault="00E13723" w:rsidP="00DB7E5F">
          <w:pPr>
            <w:tabs>
              <w:tab w:val="right" w:pos="8838"/>
            </w:tabs>
            <w:ind w:left="-28"/>
            <w:jc w:val="both"/>
            <w:rPr>
              <w:rFonts w:ascii="Arial" w:eastAsia="Calibri" w:hAnsi="Arial" w:cs="Arial"/>
              <w:b/>
              <w:sz w:val="22"/>
              <w:szCs w:val="22"/>
              <w:lang w:eastAsia="en-US"/>
            </w:rPr>
          </w:pPr>
        </w:p>
      </w:tc>
    </w:tr>
  </w:tbl>
  <w:p w:rsidR="00E13723" w:rsidRDefault="00E13723"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30C446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15C37D8C"/>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7C413B"/>
    <w:multiLevelType w:val="hybridMultilevel"/>
    <w:tmpl w:val="78D4FF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5B0A49"/>
    <w:multiLevelType w:val="hybridMultilevel"/>
    <w:tmpl w:val="6D5A8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1B168B"/>
    <w:multiLevelType w:val="hybridMultilevel"/>
    <w:tmpl w:val="073252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161E09"/>
    <w:multiLevelType w:val="hybridMultilevel"/>
    <w:tmpl w:val="AFC6DF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8F7893"/>
    <w:multiLevelType w:val="hybridMultilevel"/>
    <w:tmpl w:val="E8406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094B8D"/>
    <w:multiLevelType w:val="hybridMultilevel"/>
    <w:tmpl w:val="53E26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011AE1"/>
    <w:multiLevelType w:val="hybridMultilevel"/>
    <w:tmpl w:val="AFC6DF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5D06FD"/>
    <w:multiLevelType w:val="hybridMultilevel"/>
    <w:tmpl w:val="944825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52960965"/>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442A69"/>
    <w:multiLevelType w:val="hybridMultilevel"/>
    <w:tmpl w:val="6DAE0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1A643C1"/>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8"/>
  </w:num>
  <w:num w:numId="4">
    <w:abstractNumId w:val="10"/>
  </w:num>
  <w:num w:numId="5">
    <w:abstractNumId w:val="14"/>
  </w:num>
  <w:num w:numId="6">
    <w:abstractNumId w:val="17"/>
  </w:num>
  <w:num w:numId="7">
    <w:abstractNumId w:val="1"/>
  </w:num>
  <w:num w:numId="8">
    <w:abstractNumId w:val="2"/>
  </w:num>
  <w:num w:numId="9">
    <w:abstractNumId w:val="11"/>
  </w:num>
  <w:num w:numId="10">
    <w:abstractNumId w:val="16"/>
  </w:num>
  <w:num w:numId="11">
    <w:abstractNumId w:val="3"/>
  </w:num>
  <w:num w:numId="12">
    <w:abstractNumId w:val="7"/>
  </w:num>
  <w:num w:numId="13">
    <w:abstractNumId w:val="9"/>
  </w:num>
  <w:num w:numId="14">
    <w:abstractNumId w:val="6"/>
  </w:num>
  <w:num w:numId="15">
    <w:abstractNumId w:val="15"/>
  </w:num>
  <w:num w:numId="16">
    <w:abstractNumId w:val="4"/>
  </w:num>
  <w:num w:numId="17">
    <w:abstractNumId w:val="13"/>
  </w:num>
  <w:num w:numId="18">
    <w:abstractNumId w:val="12"/>
  </w:num>
  <w:num w:numId="1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C00"/>
    <w:rsid w:val="000027EB"/>
    <w:rsid w:val="000044DB"/>
    <w:rsid w:val="0000485A"/>
    <w:rsid w:val="00006543"/>
    <w:rsid w:val="0001068E"/>
    <w:rsid w:val="00013A19"/>
    <w:rsid w:val="00014465"/>
    <w:rsid w:val="00014920"/>
    <w:rsid w:val="000169F6"/>
    <w:rsid w:val="00017019"/>
    <w:rsid w:val="00020D0B"/>
    <w:rsid w:val="000212E5"/>
    <w:rsid w:val="00021C64"/>
    <w:rsid w:val="000237D8"/>
    <w:rsid w:val="000241C5"/>
    <w:rsid w:val="0002463D"/>
    <w:rsid w:val="00026A38"/>
    <w:rsid w:val="00026EBB"/>
    <w:rsid w:val="000313A7"/>
    <w:rsid w:val="00031B16"/>
    <w:rsid w:val="00032F5B"/>
    <w:rsid w:val="00034E9D"/>
    <w:rsid w:val="00035486"/>
    <w:rsid w:val="00036DD1"/>
    <w:rsid w:val="000373BC"/>
    <w:rsid w:val="000375E0"/>
    <w:rsid w:val="00037B34"/>
    <w:rsid w:val="00037F4B"/>
    <w:rsid w:val="0004168D"/>
    <w:rsid w:val="00043868"/>
    <w:rsid w:val="00043C4B"/>
    <w:rsid w:val="00046167"/>
    <w:rsid w:val="0004646B"/>
    <w:rsid w:val="000477E7"/>
    <w:rsid w:val="00047D67"/>
    <w:rsid w:val="000528E6"/>
    <w:rsid w:val="00056128"/>
    <w:rsid w:val="0006017B"/>
    <w:rsid w:val="00063A56"/>
    <w:rsid w:val="0006419A"/>
    <w:rsid w:val="0006462F"/>
    <w:rsid w:val="000664DA"/>
    <w:rsid w:val="000813B0"/>
    <w:rsid w:val="0008148B"/>
    <w:rsid w:val="0008165E"/>
    <w:rsid w:val="000829DA"/>
    <w:rsid w:val="0008330E"/>
    <w:rsid w:val="00091753"/>
    <w:rsid w:val="00091E18"/>
    <w:rsid w:val="00094124"/>
    <w:rsid w:val="00097211"/>
    <w:rsid w:val="00097753"/>
    <w:rsid w:val="000A20A4"/>
    <w:rsid w:val="000A238F"/>
    <w:rsid w:val="000A24C9"/>
    <w:rsid w:val="000A5EA8"/>
    <w:rsid w:val="000A7211"/>
    <w:rsid w:val="000B1D37"/>
    <w:rsid w:val="000B28D1"/>
    <w:rsid w:val="000B2C93"/>
    <w:rsid w:val="000B36DD"/>
    <w:rsid w:val="000B40D0"/>
    <w:rsid w:val="000B5711"/>
    <w:rsid w:val="000B6020"/>
    <w:rsid w:val="000B6883"/>
    <w:rsid w:val="000B691A"/>
    <w:rsid w:val="000C0C9E"/>
    <w:rsid w:val="000C14D6"/>
    <w:rsid w:val="000C2283"/>
    <w:rsid w:val="000C27CA"/>
    <w:rsid w:val="000C5940"/>
    <w:rsid w:val="000C59CB"/>
    <w:rsid w:val="000C766E"/>
    <w:rsid w:val="000D02A0"/>
    <w:rsid w:val="000D0B08"/>
    <w:rsid w:val="000D4A9F"/>
    <w:rsid w:val="000D5918"/>
    <w:rsid w:val="000D6EDE"/>
    <w:rsid w:val="000E0BEA"/>
    <w:rsid w:val="000E67E4"/>
    <w:rsid w:val="000F17A9"/>
    <w:rsid w:val="000F239A"/>
    <w:rsid w:val="000F24C8"/>
    <w:rsid w:val="000F2C3D"/>
    <w:rsid w:val="000F3DA0"/>
    <w:rsid w:val="000F4876"/>
    <w:rsid w:val="000F4921"/>
    <w:rsid w:val="000F555D"/>
    <w:rsid w:val="000F7A45"/>
    <w:rsid w:val="000F7FD8"/>
    <w:rsid w:val="00100BAC"/>
    <w:rsid w:val="001017B7"/>
    <w:rsid w:val="00103206"/>
    <w:rsid w:val="001034C6"/>
    <w:rsid w:val="001049B0"/>
    <w:rsid w:val="00104ADB"/>
    <w:rsid w:val="00104B27"/>
    <w:rsid w:val="001057BC"/>
    <w:rsid w:val="00107D2F"/>
    <w:rsid w:val="001133D5"/>
    <w:rsid w:val="00114068"/>
    <w:rsid w:val="001150E9"/>
    <w:rsid w:val="0012742D"/>
    <w:rsid w:val="001276D0"/>
    <w:rsid w:val="00127757"/>
    <w:rsid w:val="00130CF3"/>
    <w:rsid w:val="00130F33"/>
    <w:rsid w:val="00132A80"/>
    <w:rsid w:val="00132F95"/>
    <w:rsid w:val="001426E4"/>
    <w:rsid w:val="0014307A"/>
    <w:rsid w:val="00143CFC"/>
    <w:rsid w:val="00144D0B"/>
    <w:rsid w:val="00145463"/>
    <w:rsid w:val="00147566"/>
    <w:rsid w:val="00151053"/>
    <w:rsid w:val="00151FBB"/>
    <w:rsid w:val="0015211F"/>
    <w:rsid w:val="00155F96"/>
    <w:rsid w:val="00156408"/>
    <w:rsid w:val="00156A6B"/>
    <w:rsid w:val="00160AAF"/>
    <w:rsid w:val="00160AD2"/>
    <w:rsid w:val="00161DF9"/>
    <w:rsid w:val="001621D1"/>
    <w:rsid w:val="00162CCE"/>
    <w:rsid w:val="0016310B"/>
    <w:rsid w:val="00165891"/>
    <w:rsid w:val="00167281"/>
    <w:rsid w:val="00170545"/>
    <w:rsid w:val="00171ADD"/>
    <w:rsid w:val="00173688"/>
    <w:rsid w:val="0017459B"/>
    <w:rsid w:val="00182F0F"/>
    <w:rsid w:val="00183D24"/>
    <w:rsid w:val="001851A6"/>
    <w:rsid w:val="001875A7"/>
    <w:rsid w:val="001879E1"/>
    <w:rsid w:val="00191EE7"/>
    <w:rsid w:val="0019389B"/>
    <w:rsid w:val="00193B6B"/>
    <w:rsid w:val="00194582"/>
    <w:rsid w:val="001A1B94"/>
    <w:rsid w:val="001A22F5"/>
    <w:rsid w:val="001A7FD2"/>
    <w:rsid w:val="001B107D"/>
    <w:rsid w:val="001B2CD9"/>
    <w:rsid w:val="001B62A0"/>
    <w:rsid w:val="001C282F"/>
    <w:rsid w:val="001C3257"/>
    <w:rsid w:val="001C5506"/>
    <w:rsid w:val="001C6180"/>
    <w:rsid w:val="001D0086"/>
    <w:rsid w:val="001D0094"/>
    <w:rsid w:val="001D3ABF"/>
    <w:rsid w:val="001D7012"/>
    <w:rsid w:val="001D7BD2"/>
    <w:rsid w:val="001E093D"/>
    <w:rsid w:val="001E2A4D"/>
    <w:rsid w:val="001E2CC9"/>
    <w:rsid w:val="001E3BA6"/>
    <w:rsid w:val="001E53C2"/>
    <w:rsid w:val="001F0E9C"/>
    <w:rsid w:val="001F1540"/>
    <w:rsid w:val="001F54F6"/>
    <w:rsid w:val="001F652C"/>
    <w:rsid w:val="001F739F"/>
    <w:rsid w:val="001F78D9"/>
    <w:rsid w:val="00202DB8"/>
    <w:rsid w:val="00203535"/>
    <w:rsid w:val="00206F55"/>
    <w:rsid w:val="00207736"/>
    <w:rsid w:val="00212460"/>
    <w:rsid w:val="0021401A"/>
    <w:rsid w:val="00215D0D"/>
    <w:rsid w:val="0021653D"/>
    <w:rsid w:val="00217A1F"/>
    <w:rsid w:val="00217AEF"/>
    <w:rsid w:val="00221C27"/>
    <w:rsid w:val="00221EC9"/>
    <w:rsid w:val="00222757"/>
    <w:rsid w:val="00223ECD"/>
    <w:rsid w:val="002241A6"/>
    <w:rsid w:val="002241E8"/>
    <w:rsid w:val="00224774"/>
    <w:rsid w:val="002247B0"/>
    <w:rsid w:val="00224F7A"/>
    <w:rsid w:val="00225152"/>
    <w:rsid w:val="00226709"/>
    <w:rsid w:val="00230E81"/>
    <w:rsid w:val="00232673"/>
    <w:rsid w:val="002354A9"/>
    <w:rsid w:val="00235612"/>
    <w:rsid w:val="00236863"/>
    <w:rsid w:val="00237C1F"/>
    <w:rsid w:val="00237D0D"/>
    <w:rsid w:val="00240764"/>
    <w:rsid w:val="002433A4"/>
    <w:rsid w:val="002435DC"/>
    <w:rsid w:val="002459FB"/>
    <w:rsid w:val="00245A7B"/>
    <w:rsid w:val="00245C11"/>
    <w:rsid w:val="002477F2"/>
    <w:rsid w:val="00247B17"/>
    <w:rsid w:val="00250389"/>
    <w:rsid w:val="002513F4"/>
    <w:rsid w:val="00252669"/>
    <w:rsid w:val="00254209"/>
    <w:rsid w:val="00254288"/>
    <w:rsid w:val="0025469C"/>
    <w:rsid w:val="00257903"/>
    <w:rsid w:val="002579CE"/>
    <w:rsid w:val="00260FEC"/>
    <w:rsid w:val="00261D18"/>
    <w:rsid w:val="00261DD6"/>
    <w:rsid w:val="00264223"/>
    <w:rsid w:val="002642EC"/>
    <w:rsid w:val="002657E2"/>
    <w:rsid w:val="002705D2"/>
    <w:rsid w:val="002727CC"/>
    <w:rsid w:val="00273679"/>
    <w:rsid w:val="002739E6"/>
    <w:rsid w:val="002743B3"/>
    <w:rsid w:val="00281A35"/>
    <w:rsid w:val="00283748"/>
    <w:rsid w:val="00283DDD"/>
    <w:rsid w:val="00283E90"/>
    <w:rsid w:val="00284486"/>
    <w:rsid w:val="00284CB1"/>
    <w:rsid w:val="00285644"/>
    <w:rsid w:val="0028581E"/>
    <w:rsid w:val="00286505"/>
    <w:rsid w:val="00290395"/>
    <w:rsid w:val="00291209"/>
    <w:rsid w:val="00293491"/>
    <w:rsid w:val="00293A8C"/>
    <w:rsid w:val="00293E0D"/>
    <w:rsid w:val="00295B6A"/>
    <w:rsid w:val="00295BA6"/>
    <w:rsid w:val="00296C5E"/>
    <w:rsid w:val="002A0FB8"/>
    <w:rsid w:val="002A3B3C"/>
    <w:rsid w:val="002A5BE5"/>
    <w:rsid w:val="002A6193"/>
    <w:rsid w:val="002A7BD4"/>
    <w:rsid w:val="002A7D0D"/>
    <w:rsid w:val="002A7F32"/>
    <w:rsid w:val="002B20A1"/>
    <w:rsid w:val="002B226E"/>
    <w:rsid w:val="002B3619"/>
    <w:rsid w:val="002B425F"/>
    <w:rsid w:val="002B46D4"/>
    <w:rsid w:val="002B54CF"/>
    <w:rsid w:val="002B6436"/>
    <w:rsid w:val="002B6A09"/>
    <w:rsid w:val="002C5695"/>
    <w:rsid w:val="002C57F8"/>
    <w:rsid w:val="002D1BE4"/>
    <w:rsid w:val="002D2209"/>
    <w:rsid w:val="002D263D"/>
    <w:rsid w:val="002D5DDD"/>
    <w:rsid w:val="002D7C33"/>
    <w:rsid w:val="002E12B1"/>
    <w:rsid w:val="002E2047"/>
    <w:rsid w:val="002E5015"/>
    <w:rsid w:val="002E6811"/>
    <w:rsid w:val="002E75A1"/>
    <w:rsid w:val="002E7ACF"/>
    <w:rsid w:val="002F01CF"/>
    <w:rsid w:val="002F0CE9"/>
    <w:rsid w:val="002F199F"/>
    <w:rsid w:val="002F3BD0"/>
    <w:rsid w:val="002F5B6A"/>
    <w:rsid w:val="00300A0B"/>
    <w:rsid w:val="00301F46"/>
    <w:rsid w:val="0030322E"/>
    <w:rsid w:val="003039A4"/>
    <w:rsid w:val="00303CAD"/>
    <w:rsid w:val="003042C3"/>
    <w:rsid w:val="00306418"/>
    <w:rsid w:val="003070FA"/>
    <w:rsid w:val="003100F3"/>
    <w:rsid w:val="00310C11"/>
    <w:rsid w:val="00311B3D"/>
    <w:rsid w:val="003121BB"/>
    <w:rsid w:val="003130CA"/>
    <w:rsid w:val="00315492"/>
    <w:rsid w:val="00316600"/>
    <w:rsid w:val="003172EC"/>
    <w:rsid w:val="003201BA"/>
    <w:rsid w:val="00320AE5"/>
    <w:rsid w:val="00321439"/>
    <w:rsid w:val="0032170B"/>
    <w:rsid w:val="00321A39"/>
    <w:rsid w:val="00323325"/>
    <w:rsid w:val="003243B0"/>
    <w:rsid w:val="00324AB4"/>
    <w:rsid w:val="00325D31"/>
    <w:rsid w:val="00325EC0"/>
    <w:rsid w:val="00325F1D"/>
    <w:rsid w:val="003338FA"/>
    <w:rsid w:val="00333CF5"/>
    <w:rsid w:val="003340EC"/>
    <w:rsid w:val="003350FF"/>
    <w:rsid w:val="0034057C"/>
    <w:rsid w:val="00345698"/>
    <w:rsid w:val="00350142"/>
    <w:rsid w:val="003530F8"/>
    <w:rsid w:val="003533CE"/>
    <w:rsid w:val="00353B6D"/>
    <w:rsid w:val="00354920"/>
    <w:rsid w:val="00355DC6"/>
    <w:rsid w:val="003602B2"/>
    <w:rsid w:val="003604D7"/>
    <w:rsid w:val="0036351E"/>
    <w:rsid w:val="003635D7"/>
    <w:rsid w:val="00364521"/>
    <w:rsid w:val="00365026"/>
    <w:rsid w:val="0036792A"/>
    <w:rsid w:val="00367F82"/>
    <w:rsid w:val="0037045D"/>
    <w:rsid w:val="003738D2"/>
    <w:rsid w:val="003756AF"/>
    <w:rsid w:val="00375815"/>
    <w:rsid w:val="00380441"/>
    <w:rsid w:val="003808CC"/>
    <w:rsid w:val="00381D7F"/>
    <w:rsid w:val="00382696"/>
    <w:rsid w:val="00382C59"/>
    <w:rsid w:val="0038438A"/>
    <w:rsid w:val="00385C6B"/>
    <w:rsid w:val="003864D2"/>
    <w:rsid w:val="00386A93"/>
    <w:rsid w:val="00390249"/>
    <w:rsid w:val="00390ABC"/>
    <w:rsid w:val="00390BF8"/>
    <w:rsid w:val="003916E4"/>
    <w:rsid w:val="00392877"/>
    <w:rsid w:val="00392C66"/>
    <w:rsid w:val="00392E12"/>
    <w:rsid w:val="00394D7E"/>
    <w:rsid w:val="003956E9"/>
    <w:rsid w:val="003965EC"/>
    <w:rsid w:val="00396BA0"/>
    <w:rsid w:val="003A0E17"/>
    <w:rsid w:val="003A0EC2"/>
    <w:rsid w:val="003A357E"/>
    <w:rsid w:val="003A67E6"/>
    <w:rsid w:val="003A6E62"/>
    <w:rsid w:val="003A78B5"/>
    <w:rsid w:val="003A7BE8"/>
    <w:rsid w:val="003A7C85"/>
    <w:rsid w:val="003A7FBE"/>
    <w:rsid w:val="003B0BEE"/>
    <w:rsid w:val="003B0D09"/>
    <w:rsid w:val="003B165A"/>
    <w:rsid w:val="003B2140"/>
    <w:rsid w:val="003B35EA"/>
    <w:rsid w:val="003C2478"/>
    <w:rsid w:val="003C28B8"/>
    <w:rsid w:val="003C41BB"/>
    <w:rsid w:val="003C4CEF"/>
    <w:rsid w:val="003C6934"/>
    <w:rsid w:val="003C6EAE"/>
    <w:rsid w:val="003C7287"/>
    <w:rsid w:val="003C74F9"/>
    <w:rsid w:val="003C7FD0"/>
    <w:rsid w:val="003D0268"/>
    <w:rsid w:val="003D1A43"/>
    <w:rsid w:val="003D1A64"/>
    <w:rsid w:val="003D5A22"/>
    <w:rsid w:val="003D678E"/>
    <w:rsid w:val="003E13A6"/>
    <w:rsid w:val="003E1F86"/>
    <w:rsid w:val="003E25BF"/>
    <w:rsid w:val="003E31E5"/>
    <w:rsid w:val="003E32ED"/>
    <w:rsid w:val="003E3A39"/>
    <w:rsid w:val="003E3CBF"/>
    <w:rsid w:val="003E58C9"/>
    <w:rsid w:val="003F0CAE"/>
    <w:rsid w:val="003F131E"/>
    <w:rsid w:val="003F2F91"/>
    <w:rsid w:val="003F578D"/>
    <w:rsid w:val="003F650B"/>
    <w:rsid w:val="003F67B8"/>
    <w:rsid w:val="003F6E2E"/>
    <w:rsid w:val="004004E9"/>
    <w:rsid w:val="00400FDE"/>
    <w:rsid w:val="0040227F"/>
    <w:rsid w:val="00402595"/>
    <w:rsid w:val="004042D9"/>
    <w:rsid w:val="004052C5"/>
    <w:rsid w:val="004100AA"/>
    <w:rsid w:val="00411603"/>
    <w:rsid w:val="00412203"/>
    <w:rsid w:val="004130A2"/>
    <w:rsid w:val="0041563A"/>
    <w:rsid w:val="00415C2A"/>
    <w:rsid w:val="00417929"/>
    <w:rsid w:val="00417D45"/>
    <w:rsid w:val="00417DE3"/>
    <w:rsid w:val="00420B07"/>
    <w:rsid w:val="00420D57"/>
    <w:rsid w:val="00422869"/>
    <w:rsid w:val="00426448"/>
    <w:rsid w:val="0043257A"/>
    <w:rsid w:val="00436FD3"/>
    <w:rsid w:val="004402AC"/>
    <w:rsid w:val="004406CF"/>
    <w:rsid w:val="004409B7"/>
    <w:rsid w:val="00441804"/>
    <w:rsid w:val="004435B4"/>
    <w:rsid w:val="0044428C"/>
    <w:rsid w:val="0045066C"/>
    <w:rsid w:val="0045478C"/>
    <w:rsid w:val="004553CE"/>
    <w:rsid w:val="0046048A"/>
    <w:rsid w:val="00460D9E"/>
    <w:rsid w:val="00461690"/>
    <w:rsid w:val="00465AC6"/>
    <w:rsid w:val="00466346"/>
    <w:rsid w:val="00470619"/>
    <w:rsid w:val="0047089C"/>
    <w:rsid w:val="00470AC2"/>
    <w:rsid w:val="0047334E"/>
    <w:rsid w:val="0047461F"/>
    <w:rsid w:val="004751D6"/>
    <w:rsid w:val="00477DBA"/>
    <w:rsid w:val="00477E20"/>
    <w:rsid w:val="00480BB8"/>
    <w:rsid w:val="00481674"/>
    <w:rsid w:val="00481D51"/>
    <w:rsid w:val="00484192"/>
    <w:rsid w:val="0048505E"/>
    <w:rsid w:val="0048519E"/>
    <w:rsid w:val="00485EC7"/>
    <w:rsid w:val="004860BD"/>
    <w:rsid w:val="00487430"/>
    <w:rsid w:val="00487AE9"/>
    <w:rsid w:val="00490B5A"/>
    <w:rsid w:val="00492DCA"/>
    <w:rsid w:val="00493797"/>
    <w:rsid w:val="004A038C"/>
    <w:rsid w:val="004A0A7B"/>
    <w:rsid w:val="004A0BB0"/>
    <w:rsid w:val="004A26CD"/>
    <w:rsid w:val="004A3584"/>
    <w:rsid w:val="004A4D3B"/>
    <w:rsid w:val="004A5121"/>
    <w:rsid w:val="004A577A"/>
    <w:rsid w:val="004A74B3"/>
    <w:rsid w:val="004A7990"/>
    <w:rsid w:val="004B017A"/>
    <w:rsid w:val="004B1796"/>
    <w:rsid w:val="004B40F3"/>
    <w:rsid w:val="004B4D49"/>
    <w:rsid w:val="004B4F49"/>
    <w:rsid w:val="004B591D"/>
    <w:rsid w:val="004B6A23"/>
    <w:rsid w:val="004B7070"/>
    <w:rsid w:val="004B7443"/>
    <w:rsid w:val="004B7542"/>
    <w:rsid w:val="004C3363"/>
    <w:rsid w:val="004C4ACC"/>
    <w:rsid w:val="004C7E83"/>
    <w:rsid w:val="004D5DB3"/>
    <w:rsid w:val="004D65B7"/>
    <w:rsid w:val="004E1A57"/>
    <w:rsid w:val="004E1AD9"/>
    <w:rsid w:val="004E345F"/>
    <w:rsid w:val="004E41C7"/>
    <w:rsid w:val="004F1F98"/>
    <w:rsid w:val="004F2D88"/>
    <w:rsid w:val="004F41A2"/>
    <w:rsid w:val="00502664"/>
    <w:rsid w:val="00503E67"/>
    <w:rsid w:val="0050449E"/>
    <w:rsid w:val="005070C3"/>
    <w:rsid w:val="005124DC"/>
    <w:rsid w:val="00514036"/>
    <w:rsid w:val="00515CEB"/>
    <w:rsid w:val="00516CC9"/>
    <w:rsid w:val="005208D3"/>
    <w:rsid w:val="00520EE4"/>
    <w:rsid w:val="0052167E"/>
    <w:rsid w:val="005220BE"/>
    <w:rsid w:val="00534975"/>
    <w:rsid w:val="005400D1"/>
    <w:rsid w:val="00542D5F"/>
    <w:rsid w:val="005435DE"/>
    <w:rsid w:val="005448BD"/>
    <w:rsid w:val="00544C28"/>
    <w:rsid w:val="00546BAE"/>
    <w:rsid w:val="005472B9"/>
    <w:rsid w:val="00551964"/>
    <w:rsid w:val="00552EBD"/>
    <w:rsid w:val="00553827"/>
    <w:rsid w:val="00554856"/>
    <w:rsid w:val="00554FF1"/>
    <w:rsid w:val="00555F71"/>
    <w:rsid w:val="00560241"/>
    <w:rsid w:val="005613B8"/>
    <w:rsid w:val="00562A54"/>
    <w:rsid w:val="0057338D"/>
    <w:rsid w:val="005740F6"/>
    <w:rsid w:val="005743D2"/>
    <w:rsid w:val="00575D47"/>
    <w:rsid w:val="00575DE3"/>
    <w:rsid w:val="00576ABF"/>
    <w:rsid w:val="00576C93"/>
    <w:rsid w:val="00576F74"/>
    <w:rsid w:val="005802BD"/>
    <w:rsid w:val="0058389F"/>
    <w:rsid w:val="00586FA8"/>
    <w:rsid w:val="00587F23"/>
    <w:rsid w:val="00591E3A"/>
    <w:rsid w:val="00593A79"/>
    <w:rsid w:val="00593CB4"/>
    <w:rsid w:val="00594BDF"/>
    <w:rsid w:val="005A1803"/>
    <w:rsid w:val="005A3131"/>
    <w:rsid w:val="005A4FE8"/>
    <w:rsid w:val="005B0D7C"/>
    <w:rsid w:val="005B0E86"/>
    <w:rsid w:val="005B12BD"/>
    <w:rsid w:val="005B2BC6"/>
    <w:rsid w:val="005B2BE4"/>
    <w:rsid w:val="005B5DCF"/>
    <w:rsid w:val="005B5DEE"/>
    <w:rsid w:val="005B6854"/>
    <w:rsid w:val="005C0DBE"/>
    <w:rsid w:val="005C4034"/>
    <w:rsid w:val="005C465F"/>
    <w:rsid w:val="005C4D52"/>
    <w:rsid w:val="005C5344"/>
    <w:rsid w:val="005C651C"/>
    <w:rsid w:val="005C6DA6"/>
    <w:rsid w:val="005D1427"/>
    <w:rsid w:val="005D2B62"/>
    <w:rsid w:val="005D30BF"/>
    <w:rsid w:val="005D3391"/>
    <w:rsid w:val="005D49C8"/>
    <w:rsid w:val="005D4DD4"/>
    <w:rsid w:val="005D5607"/>
    <w:rsid w:val="005E1D9A"/>
    <w:rsid w:val="005E37E9"/>
    <w:rsid w:val="005E3922"/>
    <w:rsid w:val="005E3B81"/>
    <w:rsid w:val="005F03DB"/>
    <w:rsid w:val="005F1701"/>
    <w:rsid w:val="005F5BC9"/>
    <w:rsid w:val="00603A46"/>
    <w:rsid w:val="00605414"/>
    <w:rsid w:val="00611A49"/>
    <w:rsid w:val="0061200B"/>
    <w:rsid w:val="00613017"/>
    <w:rsid w:val="00613A54"/>
    <w:rsid w:val="00614839"/>
    <w:rsid w:val="006155F8"/>
    <w:rsid w:val="00616189"/>
    <w:rsid w:val="00621211"/>
    <w:rsid w:val="00621760"/>
    <w:rsid w:val="00621785"/>
    <w:rsid w:val="006217BB"/>
    <w:rsid w:val="00623A31"/>
    <w:rsid w:val="00625BD5"/>
    <w:rsid w:val="00625CAE"/>
    <w:rsid w:val="00625DFB"/>
    <w:rsid w:val="00626F66"/>
    <w:rsid w:val="00632987"/>
    <w:rsid w:val="00634777"/>
    <w:rsid w:val="00634CEB"/>
    <w:rsid w:val="00637179"/>
    <w:rsid w:val="006407C9"/>
    <w:rsid w:val="00642893"/>
    <w:rsid w:val="00646100"/>
    <w:rsid w:val="006476CA"/>
    <w:rsid w:val="006552AE"/>
    <w:rsid w:val="00655773"/>
    <w:rsid w:val="006563CA"/>
    <w:rsid w:val="006578FC"/>
    <w:rsid w:val="006607B2"/>
    <w:rsid w:val="006608AB"/>
    <w:rsid w:val="00660DBF"/>
    <w:rsid w:val="00664587"/>
    <w:rsid w:val="006653BF"/>
    <w:rsid w:val="00666E62"/>
    <w:rsid w:val="00666F25"/>
    <w:rsid w:val="00667C1C"/>
    <w:rsid w:val="006713F7"/>
    <w:rsid w:val="00671885"/>
    <w:rsid w:val="00673DD4"/>
    <w:rsid w:val="00674AEB"/>
    <w:rsid w:val="006753B0"/>
    <w:rsid w:val="00681656"/>
    <w:rsid w:val="00683CB5"/>
    <w:rsid w:val="0068455C"/>
    <w:rsid w:val="006851C1"/>
    <w:rsid w:val="00685328"/>
    <w:rsid w:val="006910B0"/>
    <w:rsid w:val="00691615"/>
    <w:rsid w:val="0069333E"/>
    <w:rsid w:val="00693C8E"/>
    <w:rsid w:val="00695210"/>
    <w:rsid w:val="00695D4F"/>
    <w:rsid w:val="006969BA"/>
    <w:rsid w:val="006A026A"/>
    <w:rsid w:val="006A0425"/>
    <w:rsid w:val="006A1D62"/>
    <w:rsid w:val="006A3EA8"/>
    <w:rsid w:val="006A507A"/>
    <w:rsid w:val="006A5829"/>
    <w:rsid w:val="006A6D7F"/>
    <w:rsid w:val="006B0298"/>
    <w:rsid w:val="006B0E83"/>
    <w:rsid w:val="006B112B"/>
    <w:rsid w:val="006B344A"/>
    <w:rsid w:val="006B5493"/>
    <w:rsid w:val="006B67F1"/>
    <w:rsid w:val="006C10C0"/>
    <w:rsid w:val="006C1B1D"/>
    <w:rsid w:val="006C2B1F"/>
    <w:rsid w:val="006C32BB"/>
    <w:rsid w:val="006C3747"/>
    <w:rsid w:val="006C4A68"/>
    <w:rsid w:val="006C70C0"/>
    <w:rsid w:val="006C7760"/>
    <w:rsid w:val="006C7EEA"/>
    <w:rsid w:val="006D3A39"/>
    <w:rsid w:val="006D522C"/>
    <w:rsid w:val="006D56AA"/>
    <w:rsid w:val="006D7795"/>
    <w:rsid w:val="006D7ACB"/>
    <w:rsid w:val="006E00EF"/>
    <w:rsid w:val="006E1A7A"/>
    <w:rsid w:val="006E3288"/>
    <w:rsid w:val="006E7216"/>
    <w:rsid w:val="006E76AC"/>
    <w:rsid w:val="006E7EB5"/>
    <w:rsid w:val="006F01E7"/>
    <w:rsid w:val="006F1F3A"/>
    <w:rsid w:val="006F2150"/>
    <w:rsid w:val="006F76DD"/>
    <w:rsid w:val="006F7EB8"/>
    <w:rsid w:val="00702A38"/>
    <w:rsid w:val="00702DD7"/>
    <w:rsid w:val="00703B8D"/>
    <w:rsid w:val="007043BE"/>
    <w:rsid w:val="007047D3"/>
    <w:rsid w:val="007049C8"/>
    <w:rsid w:val="00705C3A"/>
    <w:rsid w:val="00705C40"/>
    <w:rsid w:val="007066E2"/>
    <w:rsid w:val="0070683A"/>
    <w:rsid w:val="0071060D"/>
    <w:rsid w:val="0071087E"/>
    <w:rsid w:val="007128E9"/>
    <w:rsid w:val="0071645E"/>
    <w:rsid w:val="00720AB6"/>
    <w:rsid w:val="007229A1"/>
    <w:rsid w:val="00722DA9"/>
    <w:rsid w:val="007235AA"/>
    <w:rsid w:val="00724858"/>
    <w:rsid w:val="00730319"/>
    <w:rsid w:val="007319E6"/>
    <w:rsid w:val="00732289"/>
    <w:rsid w:val="00732EAF"/>
    <w:rsid w:val="0073402E"/>
    <w:rsid w:val="00735915"/>
    <w:rsid w:val="00735C21"/>
    <w:rsid w:val="0073614A"/>
    <w:rsid w:val="00736FF2"/>
    <w:rsid w:val="00740C8C"/>
    <w:rsid w:val="00741AC4"/>
    <w:rsid w:val="007426DA"/>
    <w:rsid w:val="0074285B"/>
    <w:rsid w:val="00744E0C"/>
    <w:rsid w:val="00745D0A"/>
    <w:rsid w:val="007515BC"/>
    <w:rsid w:val="0075399D"/>
    <w:rsid w:val="00753ABF"/>
    <w:rsid w:val="00755EC9"/>
    <w:rsid w:val="007573B2"/>
    <w:rsid w:val="007574BB"/>
    <w:rsid w:val="0075764C"/>
    <w:rsid w:val="00762198"/>
    <w:rsid w:val="00763CE8"/>
    <w:rsid w:val="00764E7C"/>
    <w:rsid w:val="00770792"/>
    <w:rsid w:val="00771404"/>
    <w:rsid w:val="00771963"/>
    <w:rsid w:val="007736F9"/>
    <w:rsid w:val="00774184"/>
    <w:rsid w:val="00774FFE"/>
    <w:rsid w:val="00775638"/>
    <w:rsid w:val="00775677"/>
    <w:rsid w:val="0077599A"/>
    <w:rsid w:val="00777108"/>
    <w:rsid w:val="00777353"/>
    <w:rsid w:val="00780CD6"/>
    <w:rsid w:val="00782EA4"/>
    <w:rsid w:val="0078322E"/>
    <w:rsid w:val="00785461"/>
    <w:rsid w:val="00786748"/>
    <w:rsid w:val="00786FF3"/>
    <w:rsid w:val="007876CF"/>
    <w:rsid w:val="00787778"/>
    <w:rsid w:val="00793090"/>
    <w:rsid w:val="007943A2"/>
    <w:rsid w:val="00795A4C"/>
    <w:rsid w:val="00796F2A"/>
    <w:rsid w:val="007A0176"/>
    <w:rsid w:val="007A2F67"/>
    <w:rsid w:val="007A3918"/>
    <w:rsid w:val="007B0E7E"/>
    <w:rsid w:val="007B0E89"/>
    <w:rsid w:val="007B1652"/>
    <w:rsid w:val="007B2C38"/>
    <w:rsid w:val="007B2E54"/>
    <w:rsid w:val="007B31A3"/>
    <w:rsid w:val="007B5620"/>
    <w:rsid w:val="007B6F5A"/>
    <w:rsid w:val="007B7498"/>
    <w:rsid w:val="007B7AEE"/>
    <w:rsid w:val="007B7DA3"/>
    <w:rsid w:val="007C1830"/>
    <w:rsid w:val="007C33EC"/>
    <w:rsid w:val="007C3800"/>
    <w:rsid w:val="007C4BDC"/>
    <w:rsid w:val="007C51C9"/>
    <w:rsid w:val="007C66F4"/>
    <w:rsid w:val="007C6E6C"/>
    <w:rsid w:val="007C76D2"/>
    <w:rsid w:val="007C7EB6"/>
    <w:rsid w:val="007D1032"/>
    <w:rsid w:val="007D290E"/>
    <w:rsid w:val="007D2F75"/>
    <w:rsid w:val="007D3C0E"/>
    <w:rsid w:val="007D4493"/>
    <w:rsid w:val="007D46D1"/>
    <w:rsid w:val="007D4D1B"/>
    <w:rsid w:val="007D6255"/>
    <w:rsid w:val="007E0F76"/>
    <w:rsid w:val="007E22E7"/>
    <w:rsid w:val="007E4232"/>
    <w:rsid w:val="007E69BB"/>
    <w:rsid w:val="007E6AB8"/>
    <w:rsid w:val="007F2109"/>
    <w:rsid w:val="007F21C5"/>
    <w:rsid w:val="007F3EF1"/>
    <w:rsid w:val="00801BCE"/>
    <w:rsid w:val="00802515"/>
    <w:rsid w:val="00805DD4"/>
    <w:rsid w:val="00805E96"/>
    <w:rsid w:val="0081054F"/>
    <w:rsid w:val="0081283F"/>
    <w:rsid w:val="00813AA1"/>
    <w:rsid w:val="0081480A"/>
    <w:rsid w:val="008202EB"/>
    <w:rsid w:val="008207DD"/>
    <w:rsid w:val="008240D3"/>
    <w:rsid w:val="00824BC1"/>
    <w:rsid w:val="00826C09"/>
    <w:rsid w:val="00827F88"/>
    <w:rsid w:val="0083049D"/>
    <w:rsid w:val="00830693"/>
    <w:rsid w:val="008336A5"/>
    <w:rsid w:val="00835474"/>
    <w:rsid w:val="008373C0"/>
    <w:rsid w:val="0084145F"/>
    <w:rsid w:val="00841DA2"/>
    <w:rsid w:val="00844A2F"/>
    <w:rsid w:val="008458F6"/>
    <w:rsid w:val="00845AED"/>
    <w:rsid w:val="0084708E"/>
    <w:rsid w:val="00851AE4"/>
    <w:rsid w:val="008526F9"/>
    <w:rsid w:val="00853876"/>
    <w:rsid w:val="0085598D"/>
    <w:rsid w:val="00855C21"/>
    <w:rsid w:val="00862771"/>
    <w:rsid w:val="0086682F"/>
    <w:rsid w:val="008708DB"/>
    <w:rsid w:val="0087095E"/>
    <w:rsid w:val="00870D9B"/>
    <w:rsid w:val="00872A6D"/>
    <w:rsid w:val="00876F54"/>
    <w:rsid w:val="00877292"/>
    <w:rsid w:val="0087754A"/>
    <w:rsid w:val="00877558"/>
    <w:rsid w:val="0087766C"/>
    <w:rsid w:val="00880330"/>
    <w:rsid w:val="00880552"/>
    <w:rsid w:val="008839DA"/>
    <w:rsid w:val="00884EE8"/>
    <w:rsid w:val="00885168"/>
    <w:rsid w:val="0089173B"/>
    <w:rsid w:val="00891E76"/>
    <w:rsid w:val="0089220F"/>
    <w:rsid w:val="0089328B"/>
    <w:rsid w:val="008935AA"/>
    <w:rsid w:val="008963F0"/>
    <w:rsid w:val="00896DC7"/>
    <w:rsid w:val="00897C84"/>
    <w:rsid w:val="008A03A5"/>
    <w:rsid w:val="008A0DF3"/>
    <w:rsid w:val="008A0F47"/>
    <w:rsid w:val="008A4138"/>
    <w:rsid w:val="008A4358"/>
    <w:rsid w:val="008A4950"/>
    <w:rsid w:val="008A5D96"/>
    <w:rsid w:val="008A74A2"/>
    <w:rsid w:val="008B5C93"/>
    <w:rsid w:val="008B60FB"/>
    <w:rsid w:val="008B64DB"/>
    <w:rsid w:val="008B6848"/>
    <w:rsid w:val="008C2FA1"/>
    <w:rsid w:val="008C357C"/>
    <w:rsid w:val="008C6E8B"/>
    <w:rsid w:val="008D1069"/>
    <w:rsid w:val="008D1275"/>
    <w:rsid w:val="008D2C41"/>
    <w:rsid w:val="008D2C4C"/>
    <w:rsid w:val="008D366D"/>
    <w:rsid w:val="008D5FF7"/>
    <w:rsid w:val="008D76CD"/>
    <w:rsid w:val="008D7E0D"/>
    <w:rsid w:val="008D7EDB"/>
    <w:rsid w:val="008E14AF"/>
    <w:rsid w:val="008E1829"/>
    <w:rsid w:val="008E2327"/>
    <w:rsid w:val="008E5077"/>
    <w:rsid w:val="008E5D51"/>
    <w:rsid w:val="008E64F0"/>
    <w:rsid w:val="008E6FF3"/>
    <w:rsid w:val="008E7B05"/>
    <w:rsid w:val="008F18ED"/>
    <w:rsid w:val="008F3EA1"/>
    <w:rsid w:val="008F46C2"/>
    <w:rsid w:val="009001FC"/>
    <w:rsid w:val="00900BEE"/>
    <w:rsid w:val="009020A8"/>
    <w:rsid w:val="00903D37"/>
    <w:rsid w:val="0091023A"/>
    <w:rsid w:val="0091055D"/>
    <w:rsid w:val="00914C61"/>
    <w:rsid w:val="00916F03"/>
    <w:rsid w:val="00917D6F"/>
    <w:rsid w:val="0092075F"/>
    <w:rsid w:val="00921B1A"/>
    <w:rsid w:val="00921DDA"/>
    <w:rsid w:val="00922F3B"/>
    <w:rsid w:val="0092600D"/>
    <w:rsid w:val="00927D70"/>
    <w:rsid w:val="00927D80"/>
    <w:rsid w:val="0093039D"/>
    <w:rsid w:val="00931E4F"/>
    <w:rsid w:val="009330F9"/>
    <w:rsid w:val="0093364D"/>
    <w:rsid w:val="00934693"/>
    <w:rsid w:val="00936574"/>
    <w:rsid w:val="00942BF8"/>
    <w:rsid w:val="00943BCE"/>
    <w:rsid w:val="00955268"/>
    <w:rsid w:val="0095568C"/>
    <w:rsid w:val="00956793"/>
    <w:rsid w:val="009570C0"/>
    <w:rsid w:val="00960346"/>
    <w:rsid w:val="009617D3"/>
    <w:rsid w:val="0096463B"/>
    <w:rsid w:val="0096693C"/>
    <w:rsid w:val="00967869"/>
    <w:rsid w:val="00971F54"/>
    <w:rsid w:val="009725C5"/>
    <w:rsid w:val="00972FA1"/>
    <w:rsid w:val="00973F40"/>
    <w:rsid w:val="00973FDF"/>
    <w:rsid w:val="00975569"/>
    <w:rsid w:val="00975FC1"/>
    <w:rsid w:val="00976201"/>
    <w:rsid w:val="00983AA1"/>
    <w:rsid w:val="009849EF"/>
    <w:rsid w:val="00984F18"/>
    <w:rsid w:val="00985849"/>
    <w:rsid w:val="00986C01"/>
    <w:rsid w:val="00986DB7"/>
    <w:rsid w:val="0098795A"/>
    <w:rsid w:val="00990D21"/>
    <w:rsid w:val="0099200F"/>
    <w:rsid w:val="00992DBD"/>
    <w:rsid w:val="009934CF"/>
    <w:rsid w:val="00993DCF"/>
    <w:rsid w:val="009A0C8C"/>
    <w:rsid w:val="009A0D75"/>
    <w:rsid w:val="009A0EA5"/>
    <w:rsid w:val="009A261A"/>
    <w:rsid w:val="009A347A"/>
    <w:rsid w:val="009A521D"/>
    <w:rsid w:val="009A620E"/>
    <w:rsid w:val="009B116D"/>
    <w:rsid w:val="009B548D"/>
    <w:rsid w:val="009B5B27"/>
    <w:rsid w:val="009B5F8C"/>
    <w:rsid w:val="009B6A6F"/>
    <w:rsid w:val="009C10B3"/>
    <w:rsid w:val="009C1AFE"/>
    <w:rsid w:val="009C4081"/>
    <w:rsid w:val="009C4521"/>
    <w:rsid w:val="009C5F24"/>
    <w:rsid w:val="009C6FAD"/>
    <w:rsid w:val="009C7DD9"/>
    <w:rsid w:val="009D048B"/>
    <w:rsid w:val="009D0858"/>
    <w:rsid w:val="009D1681"/>
    <w:rsid w:val="009D4DD5"/>
    <w:rsid w:val="009D69C6"/>
    <w:rsid w:val="009E0686"/>
    <w:rsid w:val="009E20CD"/>
    <w:rsid w:val="009E2EDB"/>
    <w:rsid w:val="009E5419"/>
    <w:rsid w:val="009E5A6E"/>
    <w:rsid w:val="009E6916"/>
    <w:rsid w:val="009E6D87"/>
    <w:rsid w:val="009F2047"/>
    <w:rsid w:val="009F46DC"/>
    <w:rsid w:val="009F67B2"/>
    <w:rsid w:val="009F714F"/>
    <w:rsid w:val="00A01C00"/>
    <w:rsid w:val="00A0439D"/>
    <w:rsid w:val="00A105D2"/>
    <w:rsid w:val="00A10F9F"/>
    <w:rsid w:val="00A112F7"/>
    <w:rsid w:val="00A11CAD"/>
    <w:rsid w:val="00A1206F"/>
    <w:rsid w:val="00A13AA9"/>
    <w:rsid w:val="00A13D97"/>
    <w:rsid w:val="00A143CD"/>
    <w:rsid w:val="00A1620D"/>
    <w:rsid w:val="00A16AC0"/>
    <w:rsid w:val="00A22E26"/>
    <w:rsid w:val="00A23D31"/>
    <w:rsid w:val="00A24C9B"/>
    <w:rsid w:val="00A27D2B"/>
    <w:rsid w:val="00A301A7"/>
    <w:rsid w:val="00A30BD7"/>
    <w:rsid w:val="00A30C34"/>
    <w:rsid w:val="00A30FD3"/>
    <w:rsid w:val="00A33D15"/>
    <w:rsid w:val="00A35E2F"/>
    <w:rsid w:val="00A35EFA"/>
    <w:rsid w:val="00A37891"/>
    <w:rsid w:val="00A37B60"/>
    <w:rsid w:val="00A40A51"/>
    <w:rsid w:val="00A47916"/>
    <w:rsid w:val="00A50EAF"/>
    <w:rsid w:val="00A50FAD"/>
    <w:rsid w:val="00A536DA"/>
    <w:rsid w:val="00A55625"/>
    <w:rsid w:val="00A558CA"/>
    <w:rsid w:val="00A55CDF"/>
    <w:rsid w:val="00A56159"/>
    <w:rsid w:val="00A56C76"/>
    <w:rsid w:val="00A571CD"/>
    <w:rsid w:val="00A57C3D"/>
    <w:rsid w:val="00A63E05"/>
    <w:rsid w:val="00A65983"/>
    <w:rsid w:val="00A6697B"/>
    <w:rsid w:val="00A74C2D"/>
    <w:rsid w:val="00A76B34"/>
    <w:rsid w:val="00A83487"/>
    <w:rsid w:val="00A854FF"/>
    <w:rsid w:val="00A866F3"/>
    <w:rsid w:val="00A87035"/>
    <w:rsid w:val="00A8745D"/>
    <w:rsid w:val="00A9024A"/>
    <w:rsid w:val="00A90F9B"/>
    <w:rsid w:val="00A92694"/>
    <w:rsid w:val="00A93072"/>
    <w:rsid w:val="00A9629C"/>
    <w:rsid w:val="00A9748C"/>
    <w:rsid w:val="00AA35D5"/>
    <w:rsid w:val="00AA417B"/>
    <w:rsid w:val="00AA533F"/>
    <w:rsid w:val="00AA5A86"/>
    <w:rsid w:val="00AA70FB"/>
    <w:rsid w:val="00AA7BBF"/>
    <w:rsid w:val="00AB010D"/>
    <w:rsid w:val="00AB0749"/>
    <w:rsid w:val="00AB5901"/>
    <w:rsid w:val="00AB76D8"/>
    <w:rsid w:val="00AB7E6A"/>
    <w:rsid w:val="00AC0ABB"/>
    <w:rsid w:val="00AC1A92"/>
    <w:rsid w:val="00AC1B61"/>
    <w:rsid w:val="00AC2C6E"/>
    <w:rsid w:val="00AC584A"/>
    <w:rsid w:val="00AC5EE6"/>
    <w:rsid w:val="00AC6BBF"/>
    <w:rsid w:val="00AC76CA"/>
    <w:rsid w:val="00AD0D24"/>
    <w:rsid w:val="00AD0DD4"/>
    <w:rsid w:val="00AD1923"/>
    <w:rsid w:val="00AD2611"/>
    <w:rsid w:val="00AD29FD"/>
    <w:rsid w:val="00AD3979"/>
    <w:rsid w:val="00AD3AC5"/>
    <w:rsid w:val="00AD3D57"/>
    <w:rsid w:val="00AD4480"/>
    <w:rsid w:val="00AD5489"/>
    <w:rsid w:val="00AD7301"/>
    <w:rsid w:val="00AE0733"/>
    <w:rsid w:val="00AE47BF"/>
    <w:rsid w:val="00AF06EE"/>
    <w:rsid w:val="00AF148D"/>
    <w:rsid w:val="00AF3218"/>
    <w:rsid w:val="00AF34D0"/>
    <w:rsid w:val="00AF6432"/>
    <w:rsid w:val="00AF682E"/>
    <w:rsid w:val="00AF79BD"/>
    <w:rsid w:val="00B00F32"/>
    <w:rsid w:val="00B01BE6"/>
    <w:rsid w:val="00B04421"/>
    <w:rsid w:val="00B078D9"/>
    <w:rsid w:val="00B07F12"/>
    <w:rsid w:val="00B1415B"/>
    <w:rsid w:val="00B15278"/>
    <w:rsid w:val="00B21BEE"/>
    <w:rsid w:val="00B22846"/>
    <w:rsid w:val="00B234EC"/>
    <w:rsid w:val="00B25504"/>
    <w:rsid w:val="00B274AE"/>
    <w:rsid w:val="00B274BF"/>
    <w:rsid w:val="00B31222"/>
    <w:rsid w:val="00B334E9"/>
    <w:rsid w:val="00B35682"/>
    <w:rsid w:val="00B36D17"/>
    <w:rsid w:val="00B37CF8"/>
    <w:rsid w:val="00B42E81"/>
    <w:rsid w:val="00B4329D"/>
    <w:rsid w:val="00B443F5"/>
    <w:rsid w:val="00B50220"/>
    <w:rsid w:val="00B517D5"/>
    <w:rsid w:val="00B520F9"/>
    <w:rsid w:val="00B52812"/>
    <w:rsid w:val="00B54716"/>
    <w:rsid w:val="00B5495A"/>
    <w:rsid w:val="00B54E04"/>
    <w:rsid w:val="00B55669"/>
    <w:rsid w:val="00B571CD"/>
    <w:rsid w:val="00B577A3"/>
    <w:rsid w:val="00B6258B"/>
    <w:rsid w:val="00B64641"/>
    <w:rsid w:val="00B67D38"/>
    <w:rsid w:val="00B7262F"/>
    <w:rsid w:val="00B727C5"/>
    <w:rsid w:val="00B73823"/>
    <w:rsid w:val="00B73FD4"/>
    <w:rsid w:val="00B74FC5"/>
    <w:rsid w:val="00B75A6C"/>
    <w:rsid w:val="00B75DE3"/>
    <w:rsid w:val="00B81035"/>
    <w:rsid w:val="00B82F2D"/>
    <w:rsid w:val="00B8342E"/>
    <w:rsid w:val="00B83E2A"/>
    <w:rsid w:val="00B83E38"/>
    <w:rsid w:val="00B83E3F"/>
    <w:rsid w:val="00B84C77"/>
    <w:rsid w:val="00B85DF3"/>
    <w:rsid w:val="00B86C19"/>
    <w:rsid w:val="00B92EDF"/>
    <w:rsid w:val="00B93510"/>
    <w:rsid w:val="00B93E33"/>
    <w:rsid w:val="00B950D8"/>
    <w:rsid w:val="00B954F3"/>
    <w:rsid w:val="00B95BCD"/>
    <w:rsid w:val="00B95CDC"/>
    <w:rsid w:val="00B95CE5"/>
    <w:rsid w:val="00B961D7"/>
    <w:rsid w:val="00BA0CE7"/>
    <w:rsid w:val="00BA0D0B"/>
    <w:rsid w:val="00BA0ED5"/>
    <w:rsid w:val="00BA1A16"/>
    <w:rsid w:val="00BA3B4C"/>
    <w:rsid w:val="00BA3B91"/>
    <w:rsid w:val="00BA454D"/>
    <w:rsid w:val="00BA4DCA"/>
    <w:rsid w:val="00BB0220"/>
    <w:rsid w:val="00BB375D"/>
    <w:rsid w:val="00BB49A0"/>
    <w:rsid w:val="00BB515F"/>
    <w:rsid w:val="00BB530D"/>
    <w:rsid w:val="00BB66FD"/>
    <w:rsid w:val="00BC1085"/>
    <w:rsid w:val="00BC11E7"/>
    <w:rsid w:val="00BC1FA5"/>
    <w:rsid w:val="00BC2C0C"/>
    <w:rsid w:val="00BC4A77"/>
    <w:rsid w:val="00BC5753"/>
    <w:rsid w:val="00BC732A"/>
    <w:rsid w:val="00BC758B"/>
    <w:rsid w:val="00BD04B0"/>
    <w:rsid w:val="00BD0C28"/>
    <w:rsid w:val="00BD181B"/>
    <w:rsid w:val="00BD28B5"/>
    <w:rsid w:val="00BD2EAC"/>
    <w:rsid w:val="00BD4BB3"/>
    <w:rsid w:val="00BD5CDF"/>
    <w:rsid w:val="00BD631F"/>
    <w:rsid w:val="00BE17C6"/>
    <w:rsid w:val="00BE27B1"/>
    <w:rsid w:val="00BE2BD3"/>
    <w:rsid w:val="00BE474A"/>
    <w:rsid w:val="00BE4865"/>
    <w:rsid w:val="00BE69BF"/>
    <w:rsid w:val="00BE725A"/>
    <w:rsid w:val="00BE7430"/>
    <w:rsid w:val="00BE7B48"/>
    <w:rsid w:val="00BF23B6"/>
    <w:rsid w:val="00BF3381"/>
    <w:rsid w:val="00C027E3"/>
    <w:rsid w:val="00C07852"/>
    <w:rsid w:val="00C1036F"/>
    <w:rsid w:val="00C105B6"/>
    <w:rsid w:val="00C105BE"/>
    <w:rsid w:val="00C10649"/>
    <w:rsid w:val="00C10FCF"/>
    <w:rsid w:val="00C121D0"/>
    <w:rsid w:val="00C13F61"/>
    <w:rsid w:val="00C16B4B"/>
    <w:rsid w:val="00C1708D"/>
    <w:rsid w:val="00C17427"/>
    <w:rsid w:val="00C17885"/>
    <w:rsid w:val="00C20C00"/>
    <w:rsid w:val="00C210FD"/>
    <w:rsid w:val="00C21EB2"/>
    <w:rsid w:val="00C22901"/>
    <w:rsid w:val="00C22F6B"/>
    <w:rsid w:val="00C24F48"/>
    <w:rsid w:val="00C25238"/>
    <w:rsid w:val="00C253EA"/>
    <w:rsid w:val="00C305F2"/>
    <w:rsid w:val="00C3345C"/>
    <w:rsid w:val="00C3396A"/>
    <w:rsid w:val="00C33B8D"/>
    <w:rsid w:val="00C3515C"/>
    <w:rsid w:val="00C35258"/>
    <w:rsid w:val="00C407E5"/>
    <w:rsid w:val="00C42DAC"/>
    <w:rsid w:val="00C4342B"/>
    <w:rsid w:val="00C459A9"/>
    <w:rsid w:val="00C502A5"/>
    <w:rsid w:val="00C51651"/>
    <w:rsid w:val="00C521F7"/>
    <w:rsid w:val="00C53008"/>
    <w:rsid w:val="00C54866"/>
    <w:rsid w:val="00C55151"/>
    <w:rsid w:val="00C558FF"/>
    <w:rsid w:val="00C560FA"/>
    <w:rsid w:val="00C5640E"/>
    <w:rsid w:val="00C56AE3"/>
    <w:rsid w:val="00C570C5"/>
    <w:rsid w:val="00C57FF9"/>
    <w:rsid w:val="00C6034B"/>
    <w:rsid w:val="00C64434"/>
    <w:rsid w:val="00C7063C"/>
    <w:rsid w:val="00C73C57"/>
    <w:rsid w:val="00C74D43"/>
    <w:rsid w:val="00C753AA"/>
    <w:rsid w:val="00C75CA7"/>
    <w:rsid w:val="00C76B5E"/>
    <w:rsid w:val="00C8079B"/>
    <w:rsid w:val="00C80BD1"/>
    <w:rsid w:val="00C81961"/>
    <w:rsid w:val="00C832E5"/>
    <w:rsid w:val="00C83C1D"/>
    <w:rsid w:val="00C901BB"/>
    <w:rsid w:val="00C90CD3"/>
    <w:rsid w:val="00C92552"/>
    <w:rsid w:val="00C93F1B"/>
    <w:rsid w:val="00C976D1"/>
    <w:rsid w:val="00CA02BB"/>
    <w:rsid w:val="00CA39B2"/>
    <w:rsid w:val="00CA654E"/>
    <w:rsid w:val="00CA71D4"/>
    <w:rsid w:val="00CB4844"/>
    <w:rsid w:val="00CB5D29"/>
    <w:rsid w:val="00CB6461"/>
    <w:rsid w:val="00CB675A"/>
    <w:rsid w:val="00CB68B1"/>
    <w:rsid w:val="00CB782B"/>
    <w:rsid w:val="00CC0529"/>
    <w:rsid w:val="00CC0E77"/>
    <w:rsid w:val="00CC1935"/>
    <w:rsid w:val="00CC2092"/>
    <w:rsid w:val="00CC23A0"/>
    <w:rsid w:val="00CC5E76"/>
    <w:rsid w:val="00CC7B01"/>
    <w:rsid w:val="00CD0E7F"/>
    <w:rsid w:val="00CD2546"/>
    <w:rsid w:val="00CD3A5D"/>
    <w:rsid w:val="00CD5FD4"/>
    <w:rsid w:val="00CD7B62"/>
    <w:rsid w:val="00CE0DCE"/>
    <w:rsid w:val="00CE1BC9"/>
    <w:rsid w:val="00CE1ED1"/>
    <w:rsid w:val="00CE27C1"/>
    <w:rsid w:val="00CE33C1"/>
    <w:rsid w:val="00CE4DD6"/>
    <w:rsid w:val="00CE4E77"/>
    <w:rsid w:val="00CE50C0"/>
    <w:rsid w:val="00CE5F04"/>
    <w:rsid w:val="00CE76FF"/>
    <w:rsid w:val="00CF204F"/>
    <w:rsid w:val="00CF4012"/>
    <w:rsid w:val="00CF4515"/>
    <w:rsid w:val="00CF57BB"/>
    <w:rsid w:val="00CF5C25"/>
    <w:rsid w:val="00D02BC6"/>
    <w:rsid w:val="00D0310D"/>
    <w:rsid w:val="00D048D4"/>
    <w:rsid w:val="00D05803"/>
    <w:rsid w:val="00D05C7C"/>
    <w:rsid w:val="00D06906"/>
    <w:rsid w:val="00D07742"/>
    <w:rsid w:val="00D10B4D"/>
    <w:rsid w:val="00D1276A"/>
    <w:rsid w:val="00D12DF2"/>
    <w:rsid w:val="00D14721"/>
    <w:rsid w:val="00D14DB7"/>
    <w:rsid w:val="00D15ED5"/>
    <w:rsid w:val="00D17446"/>
    <w:rsid w:val="00D21110"/>
    <w:rsid w:val="00D22B6A"/>
    <w:rsid w:val="00D266B9"/>
    <w:rsid w:val="00D26C49"/>
    <w:rsid w:val="00D348F7"/>
    <w:rsid w:val="00D36AC2"/>
    <w:rsid w:val="00D3703D"/>
    <w:rsid w:val="00D40BC3"/>
    <w:rsid w:val="00D434EC"/>
    <w:rsid w:val="00D44E9D"/>
    <w:rsid w:val="00D472A7"/>
    <w:rsid w:val="00D47945"/>
    <w:rsid w:val="00D47A95"/>
    <w:rsid w:val="00D47F59"/>
    <w:rsid w:val="00D5077B"/>
    <w:rsid w:val="00D51986"/>
    <w:rsid w:val="00D52E13"/>
    <w:rsid w:val="00D54864"/>
    <w:rsid w:val="00D554D3"/>
    <w:rsid w:val="00D575C9"/>
    <w:rsid w:val="00D578B2"/>
    <w:rsid w:val="00D600E7"/>
    <w:rsid w:val="00D61A0E"/>
    <w:rsid w:val="00D64DB3"/>
    <w:rsid w:val="00D66B35"/>
    <w:rsid w:val="00D71CF9"/>
    <w:rsid w:val="00D75FF9"/>
    <w:rsid w:val="00D76D53"/>
    <w:rsid w:val="00D80F9D"/>
    <w:rsid w:val="00D81BAE"/>
    <w:rsid w:val="00D81D3B"/>
    <w:rsid w:val="00D82250"/>
    <w:rsid w:val="00D822E4"/>
    <w:rsid w:val="00D82681"/>
    <w:rsid w:val="00D849DD"/>
    <w:rsid w:val="00D84B17"/>
    <w:rsid w:val="00D8507D"/>
    <w:rsid w:val="00D86735"/>
    <w:rsid w:val="00D870C7"/>
    <w:rsid w:val="00D8718E"/>
    <w:rsid w:val="00D871FB"/>
    <w:rsid w:val="00D905E7"/>
    <w:rsid w:val="00D90C9D"/>
    <w:rsid w:val="00D90E57"/>
    <w:rsid w:val="00D91910"/>
    <w:rsid w:val="00D91AA8"/>
    <w:rsid w:val="00D931D4"/>
    <w:rsid w:val="00D944A6"/>
    <w:rsid w:val="00D95B92"/>
    <w:rsid w:val="00D95C7A"/>
    <w:rsid w:val="00D96B0B"/>
    <w:rsid w:val="00D96BF1"/>
    <w:rsid w:val="00D96FC3"/>
    <w:rsid w:val="00DA07D5"/>
    <w:rsid w:val="00DA12C3"/>
    <w:rsid w:val="00DA2571"/>
    <w:rsid w:val="00DA25CF"/>
    <w:rsid w:val="00DA495D"/>
    <w:rsid w:val="00DA7BA0"/>
    <w:rsid w:val="00DB0920"/>
    <w:rsid w:val="00DB38AE"/>
    <w:rsid w:val="00DB469A"/>
    <w:rsid w:val="00DB52C3"/>
    <w:rsid w:val="00DB5DA3"/>
    <w:rsid w:val="00DB7937"/>
    <w:rsid w:val="00DB7E5F"/>
    <w:rsid w:val="00DC10B0"/>
    <w:rsid w:val="00DC1594"/>
    <w:rsid w:val="00DC4BCD"/>
    <w:rsid w:val="00DC5AF4"/>
    <w:rsid w:val="00DC6961"/>
    <w:rsid w:val="00DC6B8A"/>
    <w:rsid w:val="00DD1107"/>
    <w:rsid w:val="00DD178F"/>
    <w:rsid w:val="00DD1804"/>
    <w:rsid w:val="00DD1FE4"/>
    <w:rsid w:val="00DD2303"/>
    <w:rsid w:val="00DD53DC"/>
    <w:rsid w:val="00DD598D"/>
    <w:rsid w:val="00DE2966"/>
    <w:rsid w:val="00DE4107"/>
    <w:rsid w:val="00DE6AB6"/>
    <w:rsid w:val="00DE6B36"/>
    <w:rsid w:val="00DF0B5E"/>
    <w:rsid w:val="00DF0ED5"/>
    <w:rsid w:val="00DF12BC"/>
    <w:rsid w:val="00DF72D9"/>
    <w:rsid w:val="00DF7EC8"/>
    <w:rsid w:val="00E01A81"/>
    <w:rsid w:val="00E028ED"/>
    <w:rsid w:val="00E0417F"/>
    <w:rsid w:val="00E04A38"/>
    <w:rsid w:val="00E06B9E"/>
    <w:rsid w:val="00E104F6"/>
    <w:rsid w:val="00E10748"/>
    <w:rsid w:val="00E12F57"/>
    <w:rsid w:val="00E13723"/>
    <w:rsid w:val="00E14282"/>
    <w:rsid w:val="00E16E9E"/>
    <w:rsid w:val="00E20118"/>
    <w:rsid w:val="00E24D87"/>
    <w:rsid w:val="00E255E3"/>
    <w:rsid w:val="00E27DDF"/>
    <w:rsid w:val="00E27E01"/>
    <w:rsid w:val="00E30A90"/>
    <w:rsid w:val="00E32DBA"/>
    <w:rsid w:val="00E350F4"/>
    <w:rsid w:val="00E360D1"/>
    <w:rsid w:val="00E36323"/>
    <w:rsid w:val="00E366C2"/>
    <w:rsid w:val="00E42ED4"/>
    <w:rsid w:val="00E43469"/>
    <w:rsid w:val="00E445DA"/>
    <w:rsid w:val="00E45379"/>
    <w:rsid w:val="00E45786"/>
    <w:rsid w:val="00E46195"/>
    <w:rsid w:val="00E47EBE"/>
    <w:rsid w:val="00E5009B"/>
    <w:rsid w:val="00E50B22"/>
    <w:rsid w:val="00E51E18"/>
    <w:rsid w:val="00E533BD"/>
    <w:rsid w:val="00E53706"/>
    <w:rsid w:val="00E54FC8"/>
    <w:rsid w:val="00E55246"/>
    <w:rsid w:val="00E571B5"/>
    <w:rsid w:val="00E573C6"/>
    <w:rsid w:val="00E577FA"/>
    <w:rsid w:val="00E57CE2"/>
    <w:rsid w:val="00E617BD"/>
    <w:rsid w:val="00E70503"/>
    <w:rsid w:val="00E705B4"/>
    <w:rsid w:val="00E72084"/>
    <w:rsid w:val="00E72967"/>
    <w:rsid w:val="00E8107F"/>
    <w:rsid w:val="00E8155D"/>
    <w:rsid w:val="00E84B29"/>
    <w:rsid w:val="00E861C3"/>
    <w:rsid w:val="00E86361"/>
    <w:rsid w:val="00E86A80"/>
    <w:rsid w:val="00E90C37"/>
    <w:rsid w:val="00E9571C"/>
    <w:rsid w:val="00E95BD6"/>
    <w:rsid w:val="00EA0E04"/>
    <w:rsid w:val="00EA220D"/>
    <w:rsid w:val="00EA3156"/>
    <w:rsid w:val="00EA40A2"/>
    <w:rsid w:val="00EA4CD5"/>
    <w:rsid w:val="00EA5D2C"/>
    <w:rsid w:val="00EA5D8E"/>
    <w:rsid w:val="00EA68DA"/>
    <w:rsid w:val="00EB07CF"/>
    <w:rsid w:val="00EB3B88"/>
    <w:rsid w:val="00EB76D3"/>
    <w:rsid w:val="00EC32A1"/>
    <w:rsid w:val="00EC3B8F"/>
    <w:rsid w:val="00EC5CA0"/>
    <w:rsid w:val="00EC7187"/>
    <w:rsid w:val="00EC7372"/>
    <w:rsid w:val="00ED2C39"/>
    <w:rsid w:val="00ED30E8"/>
    <w:rsid w:val="00ED3B69"/>
    <w:rsid w:val="00ED4F62"/>
    <w:rsid w:val="00ED669A"/>
    <w:rsid w:val="00ED6CD1"/>
    <w:rsid w:val="00ED729D"/>
    <w:rsid w:val="00ED74A3"/>
    <w:rsid w:val="00EE3577"/>
    <w:rsid w:val="00EE5F2E"/>
    <w:rsid w:val="00EE7F2F"/>
    <w:rsid w:val="00EF3750"/>
    <w:rsid w:val="00EF4A64"/>
    <w:rsid w:val="00F00407"/>
    <w:rsid w:val="00F01854"/>
    <w:rsid w:val="00F02171"/>
    <w:rsid w:val="00F033EF"/>
    <w:rsid w:val="00F061A6"/>
    <w:rsid w:val="00F107AF"/>
    <w:rsid w:val="00F11AB3"/>
    <w:rsid w:val="00F143EA"/>
    <w:rsid w:val="00F14D63"/>
    <w:rsid w:val="00F15D77"/>
    <w:rsid w:val="00F16441"/>
    <w:rsid w:val="00F1692B"/>
    <w:rsid w:val="00F20633"/>
    <w:rsid w:val="00F218DA"/>
    <w:rsid w:val="00F23E81"/>
    <w:rsid w:val="00F24317"/>
    <w:rsid w:val="00F25CFE"/>
    <w:rsid w:val="00F35243"/>
    <w:rsid w:val="00F36AD0"/>
    <w:rsid w:val="00F36DFE"/>
    <w:rsid w:val="00F400D7"/>
    <w:rsid w:val="00F4018F"/>
    <w:rsid w:val="00F43E6E"/>
    <w:rsid w:val="00F44282"/>
    <w:rsid w:val="00F44423"/>
    <w:rsid w:val="00F479BF"/>
    <w:rsid w:val="00F51236"/>
    <w:rsid w:val="00F512DF"/>
    <w:rsid w:val="00F5374C"/>
    <w:rsid w:val="00F538C9"/>
    <w:rsid w:val="00F541B8"/>
    <w:rsid w:val="00F56CC2"/>
    <w:rsid w:val="00F574B7"/>
    <w:rsid w:val="00F60BC0"/>
    <w:rsid w:val="00F61B7F"/>
    <w:rsid w:val="00F62370"/>
    <w:rsid w:val="00F628D3"/>
    <w:rsid w:val="00F62A4B"/>
    <w:rsid w:val="00F63A08"/>
    <w:rsid w:val="00F63B42"/>
    <w:rsid w:val="00F6497E"/>
    <w:rsid w:val="00F658D2"/>
    <w:rsid w:val="00F677E2"/>
    <w:rsid w:val="00F67D0E"/>
    <w:rsid w:val="00F70B8D"/>
    <w:rsid w:val="00F73751"/>
    <w:rsid w:val="00F75EAD"/>
    <w:rsid w:val="00F77154"/>
    <w:rsid w:val="00F80010"/>
    <w:rsid w:val="00F80F33"/>
    <w:rsid w:val="00F846D6"/>
    <w:rsid w:val="00F86240"/>
    <w:rsid w:val="00F9173A"/>
    <w:rsid w:val="00F91800"/>
    <w:rsid w:val="00F9499D"/>
    <w:rsid w:val="00F94C45"/>
    <w:rsid w:val="00F94E99"/>
    <w:rsid w:val="00F9650A"/>
    <w:rsid w:val="00F967C7"/>
    <w:rsid w:val="00FA0437"/>
    <w:rsid w:val="00FA233F"/>
    <w:rsid w:val="00FA294C"/>
    <w:rsid w:val="00FA2E05"/>
    <w:rsid w:val="00FA31E7"/>
    <w:rsid w:val="00FA4111"/>
    <w:rsid w:val="00FA53E0"/>
    <w:rsid w:val="00FA7D57"/>
    <w:rsid w:val="00FB0008"/>
    <w:rsid w:val="00FB071C"/>
    <w:rsid w:val="00FB3EA0"/>
    <w:rsid w:val="00FB4127"/>
    <w:rsid w:val="00FB55F4"/>
    <w:rsid w:val="00FB574B"/>
    <w:rsid w:val="00FB5FC7"/>
    <w:rsid w:val="00FB609C"/>
    <w:rsid w:val="00FB66FA"/>
    <w:rsid w:val="00FC0B63"/>
    <w:rsid w:val="00FC1333"/>
    <w:rsid w:val="00FC2209"/>
    <w:rsid w:val="00FC293B"/>
    <w:rsid w:val="00FC5AA8"/>
    <w:rsid w:val="00FC6E5D"/>
    <w:rsid w:val="00FC7531"/>
    <w:rsid w:val="00FC7EAA"/>
    <w:rsid w:val="00FD2D96"/>
    <w:rsid w:val="00FD4FA5"/>
    <w:rsid w:val="00FD5166"/>
    <w:rsid w:val="00FD635D"/>
    <w:rsid w:val="00FE5235"/>
    <w:rsid w:val="00FE5410"/>
    <w:rsid w:val="00FE5ED9"/>
    <w:rsid w:val="00FE6151"/>
    <w:rsid w:val="00FF131E"/>
    <w:rsid w:val="00FF37FF"/>
    <w:rsid w:val="00FF456A"/>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75EF009"/>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paragraph" w:styleId="Listaconvietas">
    <w:name w:val="List Bullet"/>
    <w:basedOn w:val="Normal"/>
    <w:uiPriority w:val="99"/>
    <w:unhideWhenUsed/>
    <w:rsid w:val="00554856"/>
    <w:pPr>
      <w:numPr>
        <w:numId w:val="7"/>
      </w:numPr>
      <w:contextualSpacing/>
    </w:pPr>
  </w:style>
  <w:style w:type="paragraph" w:styleId="Revisin">
    <w:name w:val="Revision"/>
    <w:hidden/>
    <w:uiPriority w:val="99"/>
    <w:semiHidden/>
    <w:rsid w:val="000C766E"/>
    <w:pPr>
      <w:spacing w:after="0" w:line="240" w:lineRule="auto"/>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omex.org.mx/ipo3/lgt/indice/ATIZAPANDEZARAGOZA/art_94_i_f7/1.web"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gecem.edomex.gob.mx/faq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pomex.org.mx/ipo3/lgt/indice/ATIZAPANDEZARAGOZA/art_94_i_f7/1.web"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E3CB8-115D-4DC8-A820-8097B3B83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35</Pages>
  <Words>8961</Words>
  <Characters>49286</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 INFOEM</cp:lastModifiedBy>
  <cp:revision>10</cp:revision>
  <cp:lastPrinted>2019-05-17T16:21:00Z</cp:lastPrinted>
  <dcterms:created xsi:type="dcterms:W3CDTF">2019-05-09T20:43:00Z</dcterms:created>
  <dcterms:modified xsi:type="dcterms:W3CDTF">2019-06-11T18:27:00Z</dcterms:modified>
</cp:coreProperties>
</file>