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C8035B" w:rsidRDefault="00DC5C4E" w:rsidP="00AA6CFE">
      <w:pPr>
        <w:widowControl w:val="0"/>
        <w:spacing w:before="100" w:beforeAutospacing="1" w:after="100" w:afterAutospacing="1" w:line="360" w:lineRule="auto"/>
        <w:ind w:right="49"/>
        <w:jc w:val="both"/>
        <w:rPr>
          <w:rFonts w:ascii="Palatino Linotype" w:eastAsia="Calibri" w:hAnsi="Palatino Linotype" w:cs="Arial"/>
          <w:b/>
          <w:color w:val="000000"/>
        </w:rPr>
      </w:pPr>
      <w:r w:rsidRPr="00C8035B">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D60AE">
        <w:rPr>
          <w:rFonts w:ascii="Palatino Linotype" w:hAnsi="Palatino Linotype" w:cs="Arial"/>
          <w:b/>
        </w:rPr>
        <w:t xml:space="preserve">CUADRAGÉSIMA </w:t>
      </w:r>
      <w:r w:rsidR="00E9264A">
        <w:rPr>
          <w:rFonts w:ascii="Palatino Linotype" w:hAnsi="Palatino Linotype" w:cs="Arial"/>
          <w:b/>
        </w:rPr>
        <w:t>CUARTA</w:t>
      </w:r>
      <w:r w:rsidR="00144EF8">
        <w:rPr>
          <w:rFonts w:ascii="Palatino Linotype" w:hAnsi="Palatino Linotype" w:cs="Arial"/>
          <w:b/>
        </w:rPr>
        <w:t xml:space="preserve"> </w:t>
      </w:r>
      <w:r w:rsidRPr="00C8035B">
        <w:rPr>
          <w:rFonts w:ascii="Palatino Linotype" w:hAnsi="Palatino Linotype" w:cs="Arial"/>
          <w:b/>
        </w:rPr>
        <w:t>SESIÓN ORDINARIA DE</w:t>
      </w:r>
      <w:r w:rsidR="004A2D78">
        <w:rPr>
          <w:rFonts w:ascii="Palatino Linotype" w:hAnsi="Palatino Linotype" w:cs="Arial"/>
          <w:b/>
        </w:rPr>
        <w:t xml:space="preserve"> </w:t>
      </w:r>
      <w:r w:rsidR="00E9264A">
        <w:rPr>
          <w:rFonts w:ascii="Palatino Linotype" w:hAnsi="Palatino Linotype" w:cs="Arial"/>
          <w:b/>
        </w:rPr>
        <w:t xml:space="preserve">VEINTISIETE </w:t>
      </w:r>
      <w:r w:rsidR="003C7A79">
        <w:rPr>
          <w:rFonts w:ascii="Palatino Linotype" w:hAnsi="Palatino Linotype" w:cs="Arial"/>
          <w:b/>
        </w:rPr>
        <w:t xml:space="preserve">DE </w:t>
      </w:r>
      <w:r w:rsidR="00144EF8">
        <w:rPr>
          <w:rFonts w:ascii="Palatino Linotype" w:hAnsi="Palatino Linotype" w:cs="Arial"/>
          <w:b/>
        </w:rPr>
        <w:t xml:space="preserve">NOVIEMBRE </w:t>
      </w:r>
      <w:r w:rsidR="003C7A79">
        <w:rPr>
          <w:rFonts w:ascii="Palatino Linotype" w:hAnsi="Palatino Linotype" w:cs="Arial"/>
          <w:b/>
        </w:rPr>
        <w:t>DE DOS MIL DIECINUEVE</w:t>
      </w:r>
      <w:r w:rsidRPr="00C8035B">
        <w:rPr>
          <w:rFonts w:ascii="Palatino Linotype" w:hAnsi="Palatino Linotype" w:cs="Arial"/>
          <w:b/>
        </w:rPr>
        <w:t xml:space="preserve">, EN EL RECURSO DE REVISIÓN </w:t>
      </w:r>
      <w:r w:rsidR="00E9264A">
        <w:rPr>
          <w:rFonts w:ascii="Palatino Linotype" w:hAnsi="Palatino Linotype" w:cs="Arial"/>
          <w:b/>
        </w:rPr>
        <w:t>07613</w:t>
      </w:r>
      <w:r w:rsidR="003C7A79" w:rsidRPr="003C7A79">
        <w:rPr>
          <w:rFonts w:ascii="Palatino Linotype" w:hAnsi="Palatino Linotype" w:cs="Arial"/>
          <w:b/>
        </w:rPr>
        <w:t>/INFOEM/IP/RR/2019</w:t>
      </w:r>
      <w:r w:rsidRPr="00C8035B">
        <w:rPr>
          <w:rFonts w:ascii="Palatino Linotype" w:eastAsia="Calibri" w:hAnsi="Palatino Linotype" w:cs="Arial"/>
          <w:b/>
          <w:color w:val="000000"/>
        </w:rPr>
        <w:t>.</w:t>
      </w:r>
    </w:p>
    <w:p w:rsidR="00DC5C4E" w:rsidRPr="00C8035B" w:rsidRDefault="00DC5C4E"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Con fundamento en lo dispuesto por el artículo 14</w:t>
      </w:r>
      <w:r w:rsidR="0008792F">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00E9264A">
        <w:rPr>
          <w:rFonts w:ascii="Palatino Linotype" w:eastAsia="Calibri" w:hAnsi="Palatino Linotype" w:cs="Arial"/>
          <w:b/>
          <w:color w:val="000000"/>
        </w:rPr>
        <w:t>07613</w:t>
      </w:r>
      <w:r w:rsidR="003C7A79" w:rsidRPr="003C7A79">
        <w:rPr>
          <w:rFonts w:ascii="Palatino Linotype" w:eastAsia="Calibri" w:hAnsi="Palatino Linotype" w:cs="Arial"/>
          <w:b/>
          <w:color w:val="000000"/>
        </w:rPr>
        <w:t>/INFOEM/IP/RR/2019</w:t>
      </w:r>
      <w:r w:rsidRPr="00C8035B">
        <w:rPr>
          <w:rFonts w:ascii="Palatino Linotype" w:hAnsi="Palatino Linotype" w:cs="Arial"/>
        </w:rPr>
        <w:t>, pronunciada por el Pleno de este Instituto a</w:t>
      </w:r>
      <w:r w:rsidR="00C70E10">
        <w:rPr>
          <w:rFonts w:ascii="Palatino Linotype" w:hAnsi="Palatino Linotype" w:cs="Arial"/>
        </w:rPr>
        <w:t xml:space="preserve">nte el proyecto presentado por </w:t>
      </w:r>
      <w:r w:rsidR="003C7A79">
        <w:rPr>
          <w:rFonts w:ascii="Palatino Linotype" w:hAnsi="Palatino Linotype" w:cs="Arial"/>
        </w:rPr>
        <w:t>el</w:t>
      </w:r>
      <w:r w:rsidR="00C70E10">
        <w:rPr>
          <w:rFonts w:ascii="Palatino Linotype" w:hAnsi="Palatino Linotype" w:cs="Arial"/>
        </w:rPr>
        <w:t xml:space="preserve"> Comisionad</w:t>
      </w:r>
      <w:r w:rsidR="003C7A79">
        <w:rPr>
          <w:rFonts w:ascii="Palatino Linotype" w:hAnsi="Palatino Linotype" w:cs="Arial"/>
        </w:rPr>
        <w:t>o</w:t>
      </w:r>
      <w:r w:rsidR="00C81447">
        <w:rPr>
          <w:rFonts w:ascii="Palatino Linotype" w:hAnsi="Palatino Linotype" w:cs="Arial"/>
        </w:rPr>
        <w:t xml:space="preserve"> </w:t>
      </w:r>
      <w:r w:rsidR="006D60AE">
        <w:rPr>
          <w:rFonts w:ascii="Palatino Linotype" w:hAnsi="Palatino Linotype" w:cs="Arial"/>
          <w:b/>
        </w:rPr>
        <w:t>JOSÉ GUADALUPE LUNA HERNÁNDEZ</w:t>
      </w:r>
      <w:r w:rsidR="00135DAD">
        <w:rPr>
          <w:rFonts w:ascii="Palatino Linotype" w:hAnsi="Palatino Linotype" w:cs="Arial"/>
        </w:rPr>
        <w:t>, que es del tenor siguiente.</w:t>
      </w:r>
    </w:p>
    <w:p w:rsidR="00DC5C4E" w:rsidRPr="00C8035B" w:rsidRDefault="00DC5C4E" w:rsidP="00AA6CFE">
      <w:pPr>
        <w:spacing w:before="100" w:beforeAutospacing="1" w:after="100" w:afterAutospacing="1" w:line="360" w:lineRule="auto"/>
        <w:ind w:right="49"/>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sidR="0008792F">
        <w:rPr>
          <w:rFonts w:ascii="Palatino Linotype" w:hAnsi="Palatino Linotype"/>
        </w:rPr>
        <w:t>estimo</w:t>
      </w:r>
      <w:r w:rsidRPr="00C8035B">
        <w:rPr>
          <w:rFonts w:ascii="Palatino Linotype" w:hAnsi="Palatino Linotype"/>
        </w:rPr>
        <w:t xml:space="preserve"> necesario precisar algunas consideraciones de hecho y de derecho, tocante a</w:t>
      </w:r>
      <w:r w:rsidR="00BE59EA">
        <w:rPr>
          <w:rFonts w:ascii="Palatino Linotype" w:hAnsi="Palatino Linotype"/>
        </w:rPr>
        <w:t xml:space="preserve"> parte del análisis y</w:t>
      </w:r>
      <w:r w:rsidR="00135DAD">
        <w:rPr>
          <w:rFonts w:ascii="Palatino Linotype" w:hAnsi="Palatino Linotype"/>
        </w:rPr>
        <w:t xml:space="preserve"> lo que se ordena en </w:t>
      </w:r>
      <w:r w:rsidRPr="00C8035B">
        <w:rPr>
          <w:rFonts w:ascii="Palatino Linotype" w:hAnsi="Palatino Linotype"/>
        </w:rPr>
        <w:t>la resolución correspondiente.</w:t>
      </w:r>
    </w:p>
    <w:p w:rsidR="006D60AE" w:rsidRPr="006D60AE" w:rsidRDefault="00DC5C4E" w:rsidP="00AA6CFE">
      <w:pPr>
        <w:spacing w:before="100" w:beforeAutospacing="1" w:after="100" w:afterAutospacing="1" w:line="360" w:lineRule="auto"/>
        <w:ind w:right="49"/>
        <w:jc w:val="both"/>
        <w:rPr>
          <w:rFonts w:ascii="Palatino Linotype" w:hAnsi="Palatino Linotype"/>
        </w:rPr>
      </w:pPr>
      <w:r w:rsidRPr="00C8035B">
        <w:rPr>
          <w:rFonts w:ascii="Palatino Linotype" w:hAnsi="Palatino Linotype"/>
        </w:rPr>
        <w:t xml:space="preserve">Al respecto, tal y como quedó debidamente asentado en la resolución materia del presente voto, el particular </w:t>
      </w:r>
      <w:r w:rsidR="00B51260" w:rsidRPr="00C8035B">
        <w:rPr>
          <w:rFonts w:ascii="Palatino Linotype" w:hAnsi="Palatino Linotype"/>
        </w:rPr>
        <w:t>requirió del</w:t>
      </w:r>
      <w:r w:rsidR="00017A8B" w:rsidRPr="00C8035B">
        <w:rPr>
          <w:rFonts w:ascii="Palatino Linotype" w:hAnsi="Palatino Linotype"/>
        </w:rPr>
        <w:t xml:space="preserve"> </w:t>
      </w:r>
      <w:r w:rsidR="00E9264A">
        <w:rPr>
          <w:rFonts w:ascii="Palatino Linotype" w:hAnsi="Palatino Linotype"/>
          <w:b/>
        </w:rPr>
        <w:t>Ayuntamiento de Ixtapan de la Sal</w:t>
      </w:r>
      <w:r w:rsidR="003C7A79">
        <w:rPr>
          <w:rFonts w:ascii="Palatino Linotype" w:hAnsi="Palatino Linotype"/>
          <w:b/>
        </w:rPr>
        <w:t>,</w:t>
      </w:r>
      <w:r w:rsidR="003C7A79" w:rsidRPr="003C7A79">
        <w:rPr>
          <w:rFonts w:ascii="Palatino Linotype" w:hAnsi="Palatino Linotype"/>
          <w:b/>
        </w:rPr>
        <w:t xml:space="preserve"> </w:t>
      </w:r>
      <w:r w:rsidR="00C70E10" w:rsidRPr="00C70E10">
        <w:rPr>
          <w:rFonts w:ascii="Palatino Linotype" w:hAnsi="Palatino Linotype"/>
        </w:rPr>
        <w:t xml:space="preserve">en lo subsecuente </w:t>
      </w:r>
      <w:r w:rsidR="00C70E10">
        <w:rPr>
          <w:rFonts w:ascii="Palatino Linotype" w:hAnsi="Palatino Linotype"/>
          <w:b/>
        </w:rPr>
        <w:t>EL</w:t>
      </w:r>
      <w:r w:rsidR="00C70E10" w:rsidRPr="00C70E10">
        <w:rPr>
          <w:rFonts w:ascii="Palatino Linotype" w:hAnsi="Palatino Linotype"/>
        </w:rPr>
        <w:t xml:space="preserve"> </w:t>
      </w:r>
      <w:r w:rsidRPr="00C8035B">
        <w:rPr>
          <w:rFonts w:ascii="Palatino Linotype" w:hAnsi="Palatino Linotype"/>
          <w:b/>
        </w:rPr>
        <w:t>SUJETO OBLIGADO</w:t>
      </w:r>
      <w:r w:rsidR="00C70E10">
        <w:rPr>
          <w:rFonts w:ascii="Palatino Linotype" w:hAnsi="Palatino Linotype"/>
          <w:b/>
        </w:rPr>
        <w:t>,</w:t>
      </w:r>
      <w:r w:rsidR="00135DAD">
        <w:rPr>
          <w:rFonts w:ascii="Palatino Linotype" w:hAnsi="Palatino Linotype"/>
        </w:rPr>
        <w:t xml:space="preserve"> </w:t>
      </w:r>
      <w:r w:rsidR="00E9264A">
        <w:rPr>
          <w:rFonts w:ascii="Palatino Linotype" w:hAnsi="Palatino Linotype"/>
        </w:rPr>
        <w:t>las a</w:t>
      </w:r>
      <w:r w:rsidR="00E9264A" w:rsidRPr="00E9264A">
        <w:rPr>
          <w:rFonts w:ascii="Palatino Linotype" w:hAnsi="Palatino Linotype"/>
        </w:rPr>
        <w:t xml:space="preserve">cciones tomadas por las áreas de </w:t>
      </w:r>
      <w:r w:rsidR="00E9264A" w:rsidRPr="00E9264A">
        <w:rPr>
          <w:rFonts w:ascii="Palatino Linotype" w:hAnsi="Palatino Linotype"/>
        </w:rPr>
        <w:lastRenderedPageBreak/>
        <w:t xml:space="preserve">Contraloría, Jurídico y Presidencia sobre las dos denuncias por nepotismo que se han presentado en la Contraloría del Poder Legislativo, en contra de servidores públicos del Ayuntamiento de </w:t>
      </w:r>
      <w:r w:rsidR="00E9264A">
        <w:rPr>
          <w:rFonts w:ascii="Palatino Linotype" w:hAnsi="Palatino Linotype"/>
        </w:rPr>
        <w:t>Ixtapan de la Sal, i</w:t>
      </w:r>
      <w:r w:rsidR="00E9264A" w:rsidRPr="00E9264A">
        <w:rPr>
          <w:rFonts w:ascii="Palatino Linotype" w:hAnsi="Palatino Linotype"/>
        </w:rPr>
        <w:t xml:space="preserve">nmerso en su solicitud de información, </w:t>
      </w:r>
      <w:r w:rsidR="00E9264A">
        <w:rPr>
          <w:rFonts w:ascii="Palatino Linotype" w:hAnsi="Palatino Linotype"/>
        </w:rPr>
        <w:t xml:space="preserve">compartió una liga de internet </w:t>
      </w:r>
      <w:r w:rsidR="00E9264A" w:rsidRPr="00E9264A">
        <w:rPr>
          <w:rFonts w:ascii="Palatino Linotype" w:hAnsi="Palatino Linotype"/>
        </w:rPr>
        <w:t xml:space="preserve">que dirige a la consulta de una nota periodística del periódico </w:t>
      </w:r>
      <w:r w:rsidR="00E9264A" w:rsidRPr="00E9264A">
        <w:rPr>
          <w:rFonts w:ascii="Palatino Linotype" w:hAnsi="Palatino Linotype"/>
          <w:i/>
        </w:rPr>
        <w:t>El Sol de Toluca</w:t>
      </w:r>
      <w:r w:rsidR="00E9264A" w:rsidRPr="00E9264A">
        <w:rPr>
          <w:rFonts w:ascii="Palatino Linotype" w:hAnsi="Palatino Linotype"/>
        </w:rPr>
        <w:t xml:space="preserve">, titulada </w:t>
      </w:r>
      <w:r w:rsidR="00E9264A">
        <w:rPr>
          <w:rFonts w:ascii="Palatino Linotype" w:hAnsi="Palatino Linotype"/>
        </w:rPr>
        <w:t>“</w:t>
      </w:r>
      <w:r w:rsidR="00E9264A" w:rsidRPr="00E9264A">
        <w:rPr>
          <w:rFonts w:ascii="Palatino Linotype" w:hAnsi="Palatino Linotype"/>
          <w:i/>
        </w:rPr>
        <w:t xml:space="preserve">Suman 53 denuncias por nepotismo en municipios del </w:t>
      </w:r>
      <w:proofErr w:type="spellStart"/>
      <w:r w:rsidR="00E9264A" w:rsidRPr="00E9264A">
        <w:rPr>
          <w:rFonts w:ascii="Palatino Linotype" w:hAnsi="Palatino Linotype"/>
          <w:i/>
        </w:rPr>
        <w:t>Edomex</w:t>
      </w:r>
      <w:proofErr w:type="spellEnd"/>
      <w:r w:rsidR="00E9264A">
        <w:rPr>
          <w:rFonts w:ascii="Palatino Linotype" w:hAnsi="Palatino Linotype"/>
          <w:i/>
        </w:rPr>
        <w:t xml:space="preserve">”. </w:t>
      </w:r>
    </w:p>
    <w:p w:rsidR="00E9264A" w:rsidRDefault="00B51260"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BE59EA">
        <w:rPr>
          <w:rFonts w:ascii="Palatino Linotype" w:hAnsi="Palatino Linotype" w:cs="Arial"/>
        </w:rPr>
        <w:t>,</w:t>
      </w:r>
      <w:r w:rsidR="00767B65" w:rsidRPr="00C8035B">
        <w:rPr>
          <w:rFonts w:ascii="Palatino Linotype" w:hAnsi="Palatino Linotype" w:cs="Arial"/>
        </w:rPr>
        <w:t xml:space="preserve"> en lo </w:t>
      </w:r>
      <w:r w:rsidR="00BE59EA">
        <w:rPr>
          <w:rFonts w:ascii="Palatino Linotype" w:hAnsi="Palatino Linotype" w:cs="Arial"/>
        </w:rPr>
        <w:t>sucesivo</w:t>
      </w:r>
      <w:r w:rsidR="00767B65" w:rsidRPr="00C8035B">
        <w:rPr>
          <w:rFonts w:ascii="Palatino Linotype" w:hAnsi="Palatino Linotype" w:cs="Arial"/>
        </w:rPr>
        <w:t xml:space="preserv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DC5C4E" w:rsidRPr="00C8035B">
        <w:rPr>
          <w:rFonts w:ascii="Palatino Linotype" w:hAnsi="Palatino Linotype" w:cs="Arial"/>
          <w:b/>
        </w:rPr>
        <w:t>EL SUJETO OBLIGADO</w:t>
      </w:r>
      <w:r w:rsidR="00DC5C4E" w:rsidRPr="000479A9">
        <w:rPr>
          <w:rFonts w:ascii="Palatino Linotype" w:hAnsi="Palatino Linotype" w:cs="Arial"/>
        </w:rPr>
        <w:t>,</w:t>
      </w:r>
      <w:r w:rsidR="00674996" w:rsidRPr="000479A9">
        <w:rPr>
          <w:rFonts w:ascii="Palatino Linotype" w:hAnsi="Palatino Linotype" w:cs="Arial"/>
        </w:rPr>
        <w:t xml:space="preserve"> </w:t>
      </w:r>
      <w:r w:rsidR="00E9264A" w:rsidRPr="00E9264A">
        <w:rPr>
          <w:rFonts w:ascii="Palatino Linotype" w:hAnsi="Palatino Linotype" w:cs="Arial"/>
        </w:rPr>
        <w:t>dio contestación a la solicitud de información promovida por el particular mediante los siguientes pronunciamientos:</w:t>
      </w:r>
    </w:p>
    <w:p w:rsidR="00E9264A" w:rsidRDefault="00E9264A" w:rsidP="00E9264A">
      <w:pPr>
        <w:pStyle w:val="Prrafodelista"/>
        <w:numPr>
          <w:ilvl w:val="1"/>
          <w:numId w:val="1"/>
        </w:numPr>
        <w:tabs>
          <w:tab w:val="left" w:pos="993"/>
        </w:tabs>
        <w:spacing w:before="240" w:after="240" w:line="360" w:lineRule="auto"/>
        <w:ind w:left="567" w:right="49" w:firstLine="0"/>
        <w:jc w:val="both"/>
        <w:rPr>
          <w:rFonts w:ascii="Palatino Linotype" w:hAnsi="Palatino Linotype" w:cs="Arial"/>
          <w:noProof/>
          <w:lang w:eastAsia="es-MX"/>
        </w:rPr>
      </w:pPr>
      <w:r>
        <w:rPr>
          <w:rFonts w:ascii="Palatino Linotype" w:hAnsi="Palatino Linotype" w:cs="Arial"/>
        </w:rPr>
        <w:t>No se ha tomado acción alguna en relación a las denuncias por nepotismo referidas en la nota periodística, ya que no existe ninguna denuncia presentada al respecto ante el Órgano de Control Interno Municipal.</w:t>
      </w:r>
    </w:p>
    <w:p w:rsidR="00E9264A" w:rsidRDefault="00E9264A" w:rsidP="00E9264A">
      <w:pPr>
        <w:pStyle w:val="Prrafodelista"/>
        <w:tabs>
          <w:tab w:val="left" w:pos="993"/>
        </w:tabs>
        <w:spacing w:before="240" w:after="240" w:line="360" w:lineRule="auto"/>
        <w:ind w:left="567" w:right="49"/>
        <w:jc w:val="both"/>
        <w:rPr>
          <w:rFonts w:ascii="Palatino Linotype" w:hAnsi="Palatino Linotype" w:cs="Arial"/>
          <w:noProof/>
          <w:lang w:eastAsia="es-MX"/>
        </w:rPr>
      </w:pPr>
    </w:p>
    <w:p w:rsidR="00E9264A" w:rsidRDefault="00E9264A" w:rsidP="00E9264A">
      <w:pPr>
        <w:pStyle w:val="Prrafodelista"/>
        <w:numPr>
          <w:ilvl w:val="1"/>
          <w:numId w:val="1"/>
        </w:numPr>
        <w:tabs>
          <w:tab w:val="left" w:pos="993"/>
        </w:tabs>
        <w:spacing w:before="240" w:after="240" w:line="360" w:lineRule="auto"/>
        <w:ind w:left="567" w:right="49" w:firstLine="0"/>
        <w:jc w:val="both"/>
        <w:rPr>
          <w:rFonts w:ascii="Palatino Linotype" w:hAnsi="Palatino Linotype" w:cs="Arial"/>
          <w:noProof/>
          <w:lang w:eastAsia="es-MX"/>
        </w:rPr>
      </w:pPr>
      <w:r>
        <w:rPr>
          <w:rFonts w:ascii="Palatino Linotype" w:hAnsi="Palatino Linotype" w:cs="Arial"/>
        </w:rPr>
        <w:t>Se desconoce de qué denuncias se trate, ya que la autoridad encargada de sustanciar las investigaciones pertinentes es la Contraloría del Poder Legislativo.</w:t>
      </w:r>
    </w:p>
    <w:p w:rsidR="00E9264A" w:rsidRDefault="00E9264A" w:rsidP="00E9264A">
      <w:pPr>
        <w:pStyle w:val="Prrafodelista"/>
        <w:tabs>
          <w:tab w:val="left" w:pos="993"/>
        </w:tabs>
        <w:spacing w:before="240" w:after="240" w:line="360" w:lineRule="auto"/>
        <w:ind w:left="567" w:right="49"/>
        <w:jc w:val="both"/>
        <w:rPr>
          <w:rFonts w:ascii="Palatino Linotype" w:hAnsi="Palatino Linotype" w:cs="Arial"/>
          <w:noProof/>
          <w:lang w:eastAsia="es-MX"/>
        </w:rPr>
      </w:pPr>
    </w:p>
    <w:p w:rsidR="00E9264A" w:rsidRDefault="00E9264A" w:rsidP="00E9264A">
      <w:pPr>
        <w:pStyle w:val="Prrafodelista"/>
        <w:numPr>
          <w:ilvl w:val="1"/>
          <w:numId w:val="1"/>
        </w:numPr>
        <w:tabs>
          <w:tab w:val="left" w:pos="993"/>
        </w:tabs>
        <w:spacing w:before="240" w:after="240" w:line="360" w:lineRule="auto"/>
        <w:ind w:left="567" w:right="49" w:firstLine="0"/>
        <w:jc w:val="both"/>
        <w:rPr>
          <w:rFonts w:ascii="Palatino Linotype" w:hAnsi="Palatino Linotype" w:cs="Arial"/>
          <w:noProof/>
          <w:lang w:eastAsia="es-MX"/>
        </w:rPr>
      </w:pPr>
      <w:r>
        <w:rPr>
          <w:rFonts w:ascii="Palatino Linotype" w:hAnsi="Palatino Linotype" w:cs="Arial"/>
        </w:rPr>
        <w:t xml:space="preserve">Derivado de que el </w:t>
      </w:r>
      <w:r>
        <w:rPr>
          <w:rFonts w:ascii="Palatino Linotype" w:hAnsi="Palatino Linotype" w:cs="Arial"/>
          <w:i/>
        </w:rPr>
        <w:t>nepotismo</w:t>
      </w:r>
      <w:r>
        <w:rPr>
          <w:rFonts w:ascii="Palatino Linotype" w:hAnsi="Palatino Linotype" w:cs="Arial"/>
        </w:rPr>
        <w:t xml:space="preserve"> no se encuentra tipificado como una falta administrativa, cualquier asunto de esa naturaleza sería competencia del Órgano de Control Interno de la Legislatura, al tratarse de actos que solo pueden ser atribuidos a quien tenga la facultad de realizar y emitir nombramientos.</w:t>
      </w:r>
    </w:p>
    <w:p w:rsidR="00E9264A" w:rsidRDefault="00144EF8" w:rsidP="00AA6CFE">
      <w:pPr>
        <w:spacing w:before="100" w:beforeAutospacing="1" w:after="100" w:afterAutospacing="1" w:line="360" w:lineRule="auto"/>
        <w:ind w:right="49"/>
        <w:jc w:val="both"/>
        <w:rPr>
          <w:rFonts w:ascii="Palatino Linotype" w:hAnsi="Palatino Linotype" w:cs="Arial"/>
        </w:rPr>
      </w:pPr>
      <w:r w:rsidRPr="00144EF8">
        <w:rPr>
          <w:rFonts w:ascii="Palatino Linotype" w:hAnsi="Palatino Linotype" w:cs="Arial"/>
        </w:rPr>
        <w:lastRenderedPageBreak/>
        <w:t xml:space="preserve">Inconforme con la respuesta otorgada por parte del </w:t>
      </w:r>
      <w:r w:rsidRPr="00AF4000">
        <w:rPr>
          <w:rFonts w:ascii="Palatino Linotype" w:hAnsi="Palatino Linotype" w:cs="Arial"/>
          <w:b/>
        </w:rPr>
        <w:t>SUJETO OBLIGADO</w:t>
      </w:r>
      <w:r w:rsidRPr="00144EF8">
        <w:rPr>
          <w:rFonts w:ascii="Palatino Linotype" w:hAnsi="Palatino Linotype" w:cs="Arial"/>
        </w:rPr>
        <w:t xml:space="preserve">, </w:t>
      </w:r>
      <w:r w:rsidRPr="00AF4000">
        <w:rPr>
          <w:rFonts w:ascii="Palatino Linotype" w:hAnsi="Palatino Linotype" w:cs="Arial"/>
          <w:b/>
        </w:rPr>
        <w:t>EL</w:t>
      </w:r>
      <w:r w:rsidRPr="00144EF8">
        <w:rPr>
          <w:rFonts w:ascii="Palatino Linotype" w:hAnsi="Palatino Linotype" w:cs="Arial"/>
        </w:rPr>
        <w:t xml:space="preserve"> </w:t>
      </w:r>
      <w:r w:rsidRPr="00AF4000">
        <w:rPr>
          <w:rFonts w:ascii="Palatino Linotype" w:hAnsi="Palatino Linotype" w:cs="Arial"/>
          <w:b/>
        </w:rPr>
        <w:t>RECURRENTE</w:t>
      </w:r>
      <w:r w:rsidRPr="00144EF8">
        <w:rPr>
          <w:rFonts w:ascii="Palatino Linotype" w:hAnsi="Palatino Linotype" w:cs="Arial"/>
        </w:rPr>
        <w:t xml:space="preserve"> interpuso el recurso de revisión de mérito, </w:t>
      </w:r>
      <w:r w:rsidR="00AF4000">
        <w:rPr>
          <w:rFonts w:ascii="Palatino Linotype" w:hAnsi="Palatino Linotype" w:cs="Arial"/>
        </w:rPr>
        <w:t xml:space="preserve">adoleciéndose de </w:t>
      </w:r>
      <w:r w:rsidR="002F054E">
        <w:rPr>
          <w:rFonts w:ascii="Palatino Linotype" w:hAnsi="Palatino Linotype" w:cs="Arial"/>
        </w:rPr>
        <w:t>q</w:t>
      </w:r>
      <w:r w:rsidR="002F054E" w:rsidRPr="002F054E">
        <w:rPr>
          <w:rFonts w:ascii="Palatino Linotype" w:hAnsi="Palatino Linotype" w:cs="Arial"/>
        </w:rPr>
        <w:t>ue no hubo contestación de parte de las áreas administrativas de Jurídico ni Presidencia.</w:t>
      </w:r>
    </w:p>
    <w:p w:rsidR="000A7F22" w:rsidRDefault="00B51260"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AF4000">
        <w:rPr>
          <w:rFonts w:ascii="Palatino Linotype" w:hAnsi="Palatino Linotype" w:cs="Arial"/>
          <w:b/>
        </w:rPr>
        <w:t xml:space="preserve">MODIFICAR </w:t>
      </w:r>
      <w:r w:rsidR="007F1F51" w:rsidRPr="007F1F51">
        <w:rPr>
          <w:rFonts w:ascii="Palatino Linotype" w:hAnsi="Palatino Linotype" w:cs="Arial"/>
        </w:rPr>
        <w:t xml:space="preserve">la respuesta emitida por </w:t>
      </w:r>
      <w:r w:rsidR="00C70E10">
        <w:rPr>
          <w:rFonts w:ascii="Palatino Linotype" w:hAnsi="Palatino Linotype" w:cs="Arial"/>
          <w:b/>
        </w:rPr>
        <w:t>EL SUJETO OBLIGADO,</w:t>
      </w:r>
      <w:r w:rsidR="007F1F51" w:rsidRPr="007F1F51">
        <w:rPr>
          <w:rFonts w:ascii="Palatino Linotype" w:hAnsi="Palatino Linotype" w:cs="Arial"/>
        </w:rPr>
        <w:t xml:space="preserve"> </w:t>
      </w:r>
      <w:r w:rsidR="007F1F51">
        <w:rPr>
          <w:rFonts w:ascii="Palatino Linotype" w:hAnsi="Palatino Linotype" w:cs="Arial"/>
        </w:rPr>
        <w:t>ordenándole entregar,</w:t>
      </w:r>
      <w:r w:rsidR="00AF4000">
        <w:rPr>
          <w:rFonts w:ascii="Palatino Linotype" w:hAnsi="Palatino Linotype" w:cs="Arial"/>
        </w:rPr>
        <w:t xml:space="preserve"> previa búsqueda exhaustiva y razonable,</w:t>
      </w:r>
      <w:r w:rsidR="002F054E">
        <w:rPr>
          <w:rFonts w:ascii="Palatino Linotype" w:hAnsi="Palatino Linotype" w:cs="Arial"/>
        </w:rPr>
        <w:t xml:space="preserve"> de ser procedente</w:t>
      </w:r>
      <w:r w:rsidR="00AF4000">
        <w:rPr>
          <w:rFonts w:ascii="Palatino Linotype" w:hAnsi="Palatino Linotype" w:cs="Arial"/>
        </w:rPr>
        <w:t xml:space="preserve"> </w:t>
      </w:r>
      <w:r w:rsidR="000D1151">
        <w:rPr>
          <w:rFonts w:ascii="Palatino Linotype" w:hAnsi="Palatino Linotype" w:cs="Arial"/>
        </w:rPr>
        <w:t xml:space="preserve">en versión pública, </w:t>
      </w:r>
      <w:r w:rsidR="002F054E">
        <w:rPr>
          <w:rFonts w:ascii="Palatino Linotype" w:hAnsi="Palatino Linotype" w:cs="Arial"/>
        </w:rPr>
        <w:t>los documentos donde conste lo siguiente</w:t>
      </w:r>
      <w:r w:rsidR="006E7D4B">
        <w:rPr>
          <w:rFonts w:ascii="Palatino Linotype" w:hAnsi="Palatino Linotype" w:cs="Arial"/>
        </w:rPr>
        <w:t xml:space="preserve">: </w:t>
      </w:r>
    </w:p>
    <w:p w:rsidR="002F054E" w:rsidRPr="002F054E" w:rsidRDefault="002F054E" w:rsidP="002F054E">
      <w:pPr>
        <w:pStyle w:val="Prrafodelista"/>
        <w:numPr>
          <w:ilvl w:val="0"/>
          <w:numId w:val="14"/>
        </w:numPr>
        <w:tabs>
          <w:tab w:val="left" w:pos="709"/>
        </w:tabs>
        <w:ind w:left="851" w:right="902" w:firstLine="0"/>
        <w:jc w:val="both"/>
        <w:rPr>
          <w:rFonts w:ascii="Palatino Linotype" w:hAnsi="Palatino Linotype" w:cs="Arial"/>
          <w:b/>
          <w:i/>
          <w:sz w:val="22"/>
        </w:rPr>
      </w:pPr>
      <w:r w:rsidRPr="002F054E">
        <w:rPr>
          <w:rFonts w:ascii="Palatino Linotype" w:hAnsi="Palatino Linotype" w:cs="Arial"/>
          <w:b/>
          <w:i/>
          <w:sz w:val="22"/>
        </w:rPr>
        <w:t>Acciones o procedimientos que se han iniciado por parte de la Coordinación Jurídica y Presidencia derivado de las dos denuncias por nepotismo presentadas ante la Contraloría del Poder Legislativo.</w:t>
      </w:r>
    </w:p>
    <w:p w:rsidR="002F054E" w:rsidRPr="002F054E" w:rsidRDefault="002F054E" w:rsidP="002F054E">
      <w:pPr>
        <w:tabs>
          <w:tab w:val="left" w:pos="709"/>
        </w:tabs>
        <w:ind w:left="851" w:right="902"/>
        <w:jc w:val="both"/>
        <w:rPr>
          <w:rFonts w:ascii="Palatino Linotype" w:eastAsiaTheme="minorEastAsia" w:hAnsi="Palatino Linotype" w:cs="Arial"/>
          <w:i/>
          <w:sz w:val="22"/>
          <w:lang w:val="es-ES_tradnl"/>
        </w:rPr>
      </w:pPr>
    </w:p>
    <w:p w:rsidR="002F054E" w:rsidRPr="002F054E" w:rsidRDefault="002F054E" w:rsidP="002F054E">
      <w:pPr>
        <w:tabs>
          <w:tab w:val="left" w:pos="709"/>
        </w:tabs>
        <w:ind w:left="851" w:right="902"/>
        <w:jc w:val="both"/>
        <w:rPr>
          <w:rFonts w:ascii="Palatino Linotype" w:eastAsiaTheme="minorEastAsia" w:hAnsi="Palatino Linotype" w:cs="Arial"/>
          <w:i/>
          <w:sz w:val="22"/>
          <w:lang w:val="es-ES_tradnl"/>
        </w:rPr>
      </w:pPr>
      <w:r w:rsidRPr="002F054E">
        <w:rPr>
          <w:rFonts w:ascii="Palatino Linotype" w:eastAsiaTheme="minorEastAsia" w:hAnsi="Palatino Linotype" w:cs="Arial"/>
          <w:i/>
          <w:sz w:val="22"/>
          <w:lang w:val="es-ES_tradnl"/>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2F054E" w:rsidRPr="002F054E" w:rsidRDefault="002F054E" w:rsidP="002F054E">
      <w:pPr>
        <w:tabs>
          <w:tab w:val="left" w:pos="709"/>
        </w:tabs>
        <w:ind w:left="851" w:right="902"/>
        <w:jc w:val="both"/>
        <w:rPr>
          <w:rFonts w:ascii="Palatino Linotype" w:eastAsiaTheme="minorEastAsia" w:hAnsi="Palatino Linotype" w:cs="Arial"/>
          <w:i/>
          <w:sz w:val="22"/>
          <w:lang w:val="es-ES_tradnl"/>
        </w:rPr>
      </w:pPr>
    </w:p>
    <w:p w:rsidR="006E7D4B" w:rsidRPr="00AF4000" w:rsidRDefault="002F054E" w:rsidP="002F054E">
      <w:pPr>
        <w:tabs>
          <w:tab w:val="left" w:pos="709"/>
        </w:tabs>
        <w:ind w:left="851" w:right="902"/>
        <w:jc w:val="both"/>
        <w:rPr>
          <w:rFonts w:ascii="Palatino Linotype" w:eastAsia="Calibri" w:hAnsi="Palatino Linotype" w:cs="Arial"/>
          <w:i/>
        </w:rPr>
      </w:pPr>
      <w:r w:rsidRPr="002F054E">
        <w:rPr>
          <w:rFonts w:ascii="Palatino Linotype" w:eastAsiaTheme="minorEastAsia" w:hAnsi="Palatino Linotype" w:cs="Arial"/>
          <w:i/>
          <w:sz w:val="22"/>
          <w:lang w:val="es-ES_tradnl"/>
        </w:rPr>
        <w:t xml:space="preserve">Por otro lado, en caso de que la información que se ordena entregar no haya sido generada, poseída o administrada, el </w:t>
      </w:r>
      <w:r w:rsidRPr="002F054E">
        <w:rPr>
          <w:rFonts w:ascii="Palatino Linotype" w:eastAsiaTheme="minorEastAsia" w:hAnsi="Palatino Linotype" w:cs="Arial"/>
          <w:b/>
          <w:i/>
          <w:sz w:val="22"/>
          <w:lang w:val="es-ES_tradnl"/>
        </w:rPr>
        <w:t>SUJETO OBLIGADO</w:t>
      </w:r>
      <w:r w:rsidRPr="002F054E">
        <w:rPr>
          <w:rFonts w:ascii="Palatino Linotype" w:eastAsiaTheme="minorEastAsia" w:hAnsi="Palatino Linotype" w:cs="Arial"/>
          <w:i/>
          <w:sz w:val="22"/>
          <w:lang w:val="es-ES_tradnl"/>
        </w:rPr>
        <w:t xml:space="preserve"> deberá manifestar de manera clara y precisa las razones que expliquen las causas por las cuales no se cuente con la información.</w:t>
      </w:r>
    </w:p>
    <w:p w:rsidR="00975327" w:rsidRDefault="000A7F22" w:rsidP="00AA6CFE">
      <w:pPr>
        <w:spacing w:before="100" w:beforeAutospacing="1" w:after="100" w:afterAutospacing="1" w:line="360" w:lineRule="auto"/>
        <w:ind w:right="49"/>
        <w:jc w:val="both"/>
        <w:rPr>
          <w:rFonts w:ascii="Palatino Linotype" w:hAnsi="Palatino Linotype" w:cs="Arial"/>
          <w:lang w:val="es-MX"/>
        </w:rPr>
      </w:pPr>
      <w:r>
        <w:rPr>
          <w:rFonts w:ascii="Palatino Linotype" w:hAnsi="Palatino Linotype" w:cs="Arial"/>
          <w:lang w:val="es-MX"/>
        </w:rPr>
        <w:t>E</w:t>
      </w:r>
      <w:r w:rsidR="00DC5C4E" w:rsidRPr="00C8035B">
        <w:rPr>
          <w:rFonts w:ascii="Palatino Linotype" w:hAnsi="Palatino Linotype" w:cs="Arial"/>
          <w:lang w:val="es-MX"/>
        </w:rPr>
        <w:t xml:space="preserve">n ese sentido, la que suscribe reitera, que si bien coincide en términos generales con el estudio de la resolución en comento, </w:t>
      </w:r>
      <w:r w:rsidR="0008792F">
        <w:rPr>
          <w:rFonts w:ascii="Palatino Linotype" w:hAnsi="Palatino Linotype" w:cs="Arial"/>
          <w:lang w:val="es-MX"/>
        </w:rPr>
        <w:t xml:space="preserve">considero importante resaltar que </w:t>
      </w:r>
      <w:r w:rsidR="006428A3">
        <w:rPr>
          <w:rFonts w:ascii="Palatino Linotype" w:hAnsi="Palatino Linotype" w:cs="Arial"/>
          <w:lang w:val="es-MX"/>
        </w:rPr>
        <w:t xml:space="preserve">de </w:t>
      </w:r>
      <w:r w:rsidR="00801526" w:rsidRPr="00801526">
        <w:rPr>
          <w:rFonts w:ascii="Palatino Linotype" w:hAnsi="Palatino Linotype" w:cs="Arial"/>
          <w:lang w:val="es-MX"/>
        </w:rPr>
        <w:t xml:space="preserve">la información </w:t>
      </w:r>
      <w:r w:rsidR="005C181A">
        <w:rPr>
          <w:rFonts w:ascii="Palatino Linotype" w:hAnsi="Palatino Linotype" w:cs="Arial"/>
          <w:lang w:val="es-MX"/>
        </w:rPr>
        <w:t xml:space="preserve">que </w:t>
      </w:r>
      <w:r w:rsidR="00BF425E">
        <w:rPr>
          <w:rFonts w:ascii="Palatino Linotype" w:hAnsi="Palatino Linotype" w:cs="Arial"/>
          <w:lang w:val="es-MX"/>
        </w:rPr>
        <w:t xml:space="preserve">se </w:t>
      </w:r>
      <w:r w:rsidR="006428A3">
        <w:rPr>
          <w:rFonts w:ascii="Palatino Linotype" w:hAnsi="Palatino Linotype" w:cs="Arial"/>
          <w:lang w:val="es-MX"/>
        </w:rPr>
        <w:t xml:space="preserve">ordena haga entrega </w:t>
      </w:r>
      <w:r w:rsidR="00837EFD" w:rsidRPr="00D80DD5">
        <w:rPr>
          <w:rFonts w:ascii="Palatino Linotype" w:hAnsi="Palatino Linotype" w:cs="Arial"/>
          <w:b/>
          <w:lang w:val="es-MX"/>
        </w:rPr>
        <w:t>EL SUJETO OBLIGADO</w:t>
      </w:r>
      <w:r w:rsidR="00D80DD5">
        <w:rPr>
          <w:rFonts w:ascii="Palatino Linotype" w:hAnsi="Palatino Linotype" w:cs="Arial"/>
          <w:b/>
          <w:lang w:val="es-MX"/>
        </w:rPr>
        <w:t>,</w:t>
      </w:r>
      <w:r w:rsidR="00837EFD">
        <w:rPr>
          <w:rFonts w:ascii="Palatino Linotype" w:hAnsi="Palatino Linotype" w:cs="Arial"/>
          <w:lang w:val="es-MX"/>
        </w:rPr>
        <w:t xml:space="preserve"> </w:t>
      </w:r>
      <w:r w:rsidR="00975327">
        <w:rPr>
          <w:rFonts w:ascii="Palatino Linotype" w:hAnsi="Palatino Linotype" w:cs="Arial"/>
          <w:lang w:val="es-MX"/>
        </w:rPr>
        <w:t xml:space="preserve">lo procedente era ordenar que para el caso de que existan Acciones o procedimientos que no hayan </w:t>
      </w:r>
      <w:r w:rsidR="00975327">
        <w:rPr>
          <w:rFonts w:ascii="Palatino Linotype" w:hAnsi="Palatino Linotype" w:cs="Arial"/>
          <w:lang w:val="es-MX"/>
        </w:rPr>
        <w:lastRenderedPageBreak/>
        <w:t xml:space="preserve">causado estado, esto es que se encuentren pendientes de resolución definitiva deberá emitir el Acuerdo de Clasificación de la información como reservada. </w:t>
      </w:r>
    </w:p>
    <w:p w:rsidR="006A22D8" w:rsidRDefault="00DC566E" w:rsidP="00AA6CFE">
      <w:pPr>
        <w:spacing w:before="100" w:beforeAutospacing="1" w:after="100" w:afterAutospacing="1" w:line="360" w:lineRule="auto"/>
        <w:ind w:right="49"/>
        <w:jc w:val="both"/>
        <w:rPr>
          <w:rFonts w:ascii="Palatino Linotype" w:eastAsia="Arial Unicode MS" w:hAnsi="Palatino Linotype" w:cs="Arial"/>
        </w:rPr>
      </w:pPr>
      <w:r>
        <w:rPr>
          <w:rFonts w:ascii="Palatino Linotype" w:eastAsia="Calibri" w:hAnsi="Palatino Linotype" w:cs="Arial"/>
        </w:rPr>
        <w:t xml:space="preserve">Lo anterior obedece a que </w:t>
      </w:r>
      <w:r w:rsidR="00DC6647">
        <w:rPr>
          <w:rFonts w:ascii="Palatino Linotype" w:eastAsia="Calibri" w:hAnsi="Palatino Linotype" w:cs="Arial"/>
        </w:rPr>
        <w:t xml:space="preserve">si bien </w:t>
      </w:r>
      <w:r w:rsidR="0006223A">
        <w:rPr>
          <w:rFonts w:ascii="Palatino Linotype" w:eastAsia="Calibri" w:hAnsi="Palatino Linotype" w:cs="Arial"/>
        </w:rPr>
        <w:t xml:space="preserve">para el caso que nos ocupa el derecho a la información en posesión de las autoridades, </w:t>
      </w:r>
      <w:r w:rsidR="006A22D8" w:rsidRPr="00531684">
        <w:rPr>
          <w:rFonts w:ascii="Palatino Linotype" w:eastAsia="Arial Unicode MS" w:hAnsi="Palatino Linotype" w:cs="Arial"/>
        </w:rPr>
        <w:t>podrá restringirse excepcion</w:t>
      </w:r>
      <w:r w:rsidR="006A22D8">
        <w:rPr>
          <w:rFonts w:ascii="Palatino Linotype" w:eastAsia="Arial Unicode MS" w:hAnsi="Palatino Linotype" w:cs="Arial"/>
        </w:rPr>
        <w:t>al</w:t>
      </w:r>
      <w:r w:rsidR="006A22D8" w:rsidRPr="00531684">
        <w:rPr>
          <w:rFonts w:ascii="Palatino Linotype" w:eastAsia="Arial Unicode MS" w:hAnsi="Palatino Linotype" w:cs="Arial"/>
        </w:rPr>
        <w:t>mente</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por caus</w:t>
      </w:r>
      <w:r w:rsidR="006A22D8">
        <w:rPr>
          <w:rFonts w:ascii="Palatino Linotype" w:eastAsia="Arial Unicode MS" w:hAnsi="Palatino Linotype" w:cs="Arial"/>
        </w:rPr>
        <w:t>as espec</w:t>
      </w:r>
      <w:r w:rsidR="00BE59EA">
        <w:rPr>
          <w:rFonts w:ascii="Palatino Linotype" w:eastAsia="Arial Unicode MS" w:hAnsi="Palatino Linotype" w:cs="Arial"/>
        </w:rPr>
        <w:t>í</w:t>
      </w:r>
      <w:r w:rsidR="006A22D8">
        <w:rPr>
          <w:rFonts w:ascii="Palatino Linotype" w:eastAsia="Arial Unicode MS" w:hAnsi="Palatino Linotype" w:cs="Arial"/>
        </w:rPr>
        <w:t>ficas contempladas en el</w:t>
      </w:r>
      <w:r w:rsidR="006A22D8" w:rsidRPr="00531684">
        <w:rPr>
          <w:rFonts w:ascii="Palatino Linotype" w:eastAsia="Arial Unicode MS" w:hAnsi="Palatino Linotype" w:cs="Arial"/>
        </w:rPr>
        <w:t xml:space="preserve"> catálogo de hipótesis previst</w:t>
      </w:r>
      <w:r w:rsidR="006A22D8">
        <w:rPr>
          <w:rFonts w:ascii="Palatino Linotype" w:eastAsia="Arial Unicode MS" w:hAnsi="Palatino Linotype" w:cs="Arial"/>
        </w:rPr>
        <w:t>a</w:t>
      </w:r>
      <w:r w:rsidR="006A22D8" w:rsidRPr="00531684">
        <w:rPr>
          <w:rFonts w:ascii="Palatino Linotype" w:eastAsia="Arial Unicode MS" w:hAnsi="Palatino Linotype" w:cs="Arial"/>
        </w:rPr>
        <w:t>s, entre e</w:t>
      </w:r>
      <w:r w:rsidR="006A22D8">
        <w:rPr>
          <w:rFonts w:ascii="Palatino Linotype" w:eastAsia="Arial Unicode MS" w:hAnsi="Palatino Linotype" w:cs="Arial"/>
        </w:rPr>
        <w:t>ll</w:t>
      </w:r>
      <w:r w:rsidR="006A22D8" w:rsidRPr="00531684">
        <w:rPr>
          <w:rFonts w:ascii="Palatino Linotype" w:eastAsia="Arial Unicode MS" w:hAnsi="Palatino Linotype" w:cs="Arial"/>
        </w:rPr>
        <w:t xml:space="preserve">as, </w:t>
      </w:r>
      <w:r w:rsidR="006A22D8" w:rsidRPr="0006223A">
        <w:rPr>
          <w:rFonts w:ascii="Palatino Linotype" w:eastAsia="Arial Unicode MS" w:hAnsi="Palatino Linotype" w:cs="Arial"/>
          <w:u w:val="single"/>
        </w:rPr>
        <w:t>que la</w:t>
      </w:r>
      <w:r w:rsidR="006A22D8" w:rsidRPr="00531684">
        <w:rPr>
          <w:rFonts w:ascii="Palatino Linotype" w:eastAsia="Arial Unicode MS" w:hAnsi="Palatino Linotype" w:cs="Arial"/>
        </w:rPr>
        <w:t xml:space="preserve"> </w:t>
      </w:r>
      <w:r w:rsidR="006A22D8" w:rsidRPr="0006223A">
        <w:rPr>
          <w:rFonts w:ascii="Palatino Linotype" w:eastAsia="Arial Unicode MS" w:hAnsi="Palatino Linotype" w:cs="Arial"/>
          <w:u w:val="single"/>
        </w:rPr>
        <w:t>información solicitada corresponda a actuaciones, diligencias o constancias</w:t>
      </w:r>
      <w:r w:rsidR="006A22D8" w:rsidRPr="00531684">
        <w:rPr>
          <w:rFonts w:ascii="Palatino Linotype" w:eastAsia="Arial Unicode MS" w:hAnsi="Palatino Linotype" w:cs="Arial"/>
        </w:rPr>
        <w:t xml:space="preserve"> propias un ju</w:t>
      </w:r>
      <w:r w:rsidR="006A22D8">
        <w:rPr>
          <w:rFonts w:ascii="Palatino Linotype" w:eastAsia="Arial Unicode MS" w:hAnsi="Palatino Linotype" w:cs="Arial"/>
        </w:rPr>
        <w:t>i</w:t>
      </w:r>
      <w:r w:rsidR="006A22D8" w:rsidRPr="00531684">
        <w:rPr>
          <w:rFonts w:ascii="Palatino Linotype" w:eastAsia="Arial Unicode MS" w:hAnsi="Palatino Linotype" w:cs="Arial"/>
        </w:rPr>
        <w:t xml:space="preserve">cio o </w:t>
      </w:r>
      <w:r w:rsidR="006A22D8">
        <w:rPr>
          <w:rFonts w:ascii="Palatino Linotype" w:eastAsia="Arial Unicode MS" w:hAnsi="Palatino Linotype" w:cs="Arial"/>
        </w:rPr>
        <w:t>pro</w:t>
      </w:r>
      <w:r w:rsidR="006A22D8" w:rsidRPr="00531684">
        <w:rPr>
          <w:rFonts w:ascii="Palatino Linotype" w:eastAsia="Arial Unicode MS" w:hAnsi="Palatino Linotype" w:cs="Arial"/>
        </w:rPr>
        <w:t>cedimiento administrativo materi</w:t>
      </w:r>
      <w:r w:rsidR="006A22D8">
        <w:rPr>
          <w:rFonts w:ascii="Palatino Linotype" w:eastAsia="Arial Unicode MS" w:hAnsi="Palatino Linotype" w:cs="Arial"/>
        </w:rPr>
        <w:t>al</w:t>
      </w:r>
      <w:r w:rsidR="006A22D8" w:rsidRPr="00531684">
        <w:rPr>
          <w:rFonts w:ascii="Palatino Linotype" w:eastAsia="Arial Unicode MS" w:hAnsi="Palatino Linotype" w:cs="Arial"/>
        </w:rPr>
        <w:t xml:space="preserve">mente jurisdiccional, </w:t>
      </w:r>
      <w:r w:rsidR="006A22D8" w:rsidRPr="0006223A">
        <w:rPr>
          <w:rFonts w:ascii="Palatino Linotype" w:eastAsia="Arial Unicode MS" w:hAnsi="Palatino Linotype" w:cs="Arial"/>
          <w:u w:val="single"/>
        </w:rPr>
        <w:t>que se encuentre en trámite y que la publicación de las mismas vulnere la conducción del expediente de que se trate</w:t>
      </w:r>
      <w:r w:rsidR="00BE59EA">
        <w:rPr>
          <w:rFonts w:ascii="Palatino Linotype" w:eastAsia="Arial Unicode MS" w:hAnsi="Palatino Linotype" w:cs="Arial"/>
        </w:rPr>
        <w:t>.</w:t>
      </w:r>
    </w:p>
    <w:p w:rsidR="006A22D8" w:rsidRDefault="006A22D8" w:rsidP="00AA6CFE">
      <w:p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Bajo la </w:t>
      </w:r>
      <w:r w:rsidRPr="002A46A6">
        <w:rPr>
          <w:rFonts w:ascii="Palatino Linotype" w:eastAsia="Arial Unicode MS" w:hAnsi="Palatino Linotype" w:cs="Arial"/>
        </w:rPr>
        <w:t xml:space="preserve">óptica del principio constitucional de </w:t>
      </w:r>
      <w:r>
        <w:rPr>
          <w:rFonts w:ascii="Palatino Linotype" w:eastAsia="Arial Unicode MS" w:hAnsi="Palatino Linotype" w:cs="Arial"/>
        </w:rPr>
        <w:t xml:space="preserve">máxima publicidad </w:t>
      </w:r>
      <w:r w:rsidRPr="002A46A6">
        <w:rPr>
          <w:rFonts w:ascii="Palatino Linotype" w:eastAsia="Arial Unicode MS" w:hAnsi="Palatino Linotype" w:cs="Arial"/>
        </w:rPr>
        <w:t xml:space="preserve">en contraste con las excepciones legales </w:t>
      </w:r>
      <w:r>
        <w:rPr>
          <w:rFonts w:ascii="Palatino Linotype" w:eastAsia="Arial Unicode MS" w:hAnsi="Palatino Linotype" w:cs="Arial"/>
        </w:rPr>
        <w:t>aplicables al mismo</w:t>
      </w:r>
      <w:r w:rsidRPr="002A46A6">
        <w:rPr>
          <w:rFonts w:ascii="Palatino Linotype" w:eastAsia="Arial Unicode MS" w:hAnsi="Palatino Linotype" w:cs="Arial"/>
        </w:rPr>
        <w:t xml:space="preserve">, se deduce que el objetivo del supuesto jurídico que se actualiza, trasciende al eficaz </w:t>
      </w:r>
      <w:r>
        <w:rPr>
          <w:rFonts w:ascii="Palatino Linotype" w:eastAsia="Arial Unicode MS" w:hAnsi="Palatino Linotype" w:cs="Arial"/>
        </w:rPr>
        <w:t xml:space="preserve">mantenimiento de los </w:t>
      </w:r>
      <w:r w:rsidRPr="002A46A6">
        <w:rPr>
          <w:rFonts w:ascii="Palatino Linotype" w:eastAsia="Arial Unicode MS" w:hAnsi="Palatino Linotype" w:cs="Arial"/>
        </w:rPr>
        <w:t>procesos jurisdiccionales</w:t>
      </w:r>
      <w:r>
        <w:rPr>
          <w:rFonts w:ascii="Palatino Linotype" w:eastAsia="Arial Unicode MS" w:hAnsi="Palatino Linotype" w:cs="Arial"/>
        </w:rPr>
        <w:t xml:space="preserve"> </w:t>
      </w:r>
      <w:r w:rsidRPr="002A46A6">
        <w:rPr>
          <w:rFonts w:ascii="Palatino Linotype" w:eastAsia="Arial Unicode MS" w:hAnsi="Palatino Linotype" w:cs="Arial"/>
        </w:rPr>
        <w:t xml:space="preserve">desde el </w:t>
      </w:r>
      <w:r>
        <w:rPr>
          <w:rFonts w:ascii="Palatino Linotype" w:eastAsia="Arial Unicode MS" w:hAnsi="Palatino Linotype" w:cs="Arial"/>
        </w:rPr>
        <w:t>ámbito formal c</w:t>
      </w:r>
      <w:r w:rsidRPr="002A46A6">
        <w:rPr>
          <w:rFonts w:ascii="Palatino Linotype" w:eastAsia="Arial Unicode MS" w:hAnsi="Palatino Linotype" w:cs="Arial"/>
        </w:rPr>
        <w:t xml:space="preserve">on la integración de un expediente que </w:t>
      </w:r>
      <w:r>
        <w:rPr>
          <w:rFonts w:ascii="Palatino Linotype" w:eastAsia="Arial Unicode MS" w:hAnsi="Palatino Linotype" w:cs="Arial"/>
        </w:rPr>
        <w:t xml:space="preserve">contenga </w:t>
      </w:r>
      <w:r w:rsidRPr="002A46A6">
        <w:rPr>
          <w:rFonts w:ascii="Palatino Linotype" w:eastAsia="Arial Unicode MS" w:hAnsi="Palatino Linotype" w:cs="Arial"/>
        </w:rPr>
        <w:t xml:space="preserve">la </w:t>
      </w:r>
      <w:r>
        <w:rPr>
          <w:rFonts w:ascii="Palatino Linotype" w:eastAsia="Arial Unicode MS" w:hAnsi="Palatino Linotype" w:cs="Arial"/>
        </w:rPr>
        <w:t>documentación relativa</w:t>
      </w:r>
      <w:r w:rsidRPr="002A46A6">
        <w:rPr>
          <w:rFonts w:ascii="Palatino Linotype" w:eastAsia="Arial Unicode MS" w:hAnsi="Palatino Linotype" w:cs="Arial"/>
        </w:rPr>
        <w:t xml:space="preserve"> a los actos procesales, y desde </w:t>
      </w:r>
      <w:r>
        <w:rPr>
          <w:rFonts w:ascii="Palatino Linotype" w:eastAsia="Arial Unicode MS" w:hAnsi="Palatino Linotype" w:cs="Arial"/>
        </w:rPr>
        <w:t>el ámbito material con</w:t>
      </w:r>
      <w:r w:rsidRPr="002A46A6">
        <w:rPr>
          <w:rFonts w:ascii="Palatino Linotype" w:eastAsia="Arial Unicode MS" w:hAnsi="Palatino Linotype" w:cs="Arial"/>
        </w:rPr>
        <w:t xml:space="preserve"> el </w:t>
      </w:r>
      <w:r>
        <w:rPr>
          <w:rFonts w:ascii="Palatino Linotype" w:eastAsia="Arial Unicode MS" w:hAnsi="Palatino Linotype" w:cs="Arial"/>
        </w:rPr>
        <w:t>cumplimiento</w:t>
      </w:r>
      <w:r w:rsidRPr="002A46A6">
        <w:rPr>
          <w:rFonts w:ascii="Palatino Linotype" w:eastAsia="Arial Unicode MS" w:hAnsi="Palatino Linotype" w:cs="Arial"/>
        </w:rPr>
        <w:t xml:space="preserve"> de las decisiones </w:t>
      </w:r>
      <w:r>
        <w:rPr>
          <w:rFonts w:ascii="Palatino Linotype" w:eastAsia="Arial Unicode MS" w:hAnsi="Palatino Linotype" w:cs="Arial"/>
        </w:rPr>
        <w:t>judiciales.</w:t>
      </w:r>
    </w:p>
    <w:p w:rsidR="006A22D8" w:rsidRDefault="006A22D8" w:rsidP="00AA6CFE">
      <w:pPr>
        <w:spacing w:before="100" w:beforeAutospacing="1" w:after="100" w:afterAutospacing="1" w:line="360" w:lineRule="auto"/>
        <w:jc w:val="both"/>
        <w:rPr>
          <w:rFonts w:ascii="Palatino Linotype" w:hAnsi="Palatino Linotype"/>
        </w:rPr>
      </w:pPr>
      <w:r>
        <w:rPr>
          <w:rFonts w:ascii="Palatino Linotype" w:hAnsi="Palatino Linotype"/>
        </w:rPr>
        <w:t xml:space="preserve">Concluyendo de ello, la imposibilidad de remitir la información </w:t>
      </w:r>
      <w:r w:rsidRPr="00500126">
        <w:rPr>
          <w:rFonts w:ascii="Palatino Linotype" w:hAnsi="Palatino Linotype"/>
        </w:rPr>
        <w:t xml:space="preserve">solicitada </w:t>
      </w:r>
      <w:r w:rsidR="00DC6647">
        <w:rPr>
          <w:rFonts w:ascii="Palatino Linotype" w:hAnsi="Palatino Linotype"/>
        </w:rPr>
        <w:t xml:space="preserve">por ser reservada hasta </w:t>
      </w:r>
      <w:r>
        <w:rPr>
          <w:rFonts w:ascii="Palatino Linotype" w:hAnsi="Palatino Linotype"/>
        </w:rPr>
        <w:t xml:space="preserve">por cinco años o en tanto </w:t>
      </w:r>
      <w:r w:rsidR="00DC6647">
        <w:rPr>
          <w:rFonts w:ascii="Palatino Linotype" w:hAnsi="Palatino Linotype"/>
        </w:rPr>
        <w:t>dejen</w:t>
      </w:r>
      <w:r>
        <w:rPr>
          <w:rFonts w:ascii="Palatino Linotype" w:hAnsi="Palatino Linotype"/>
        </w:rPr>
        <w:t xml:space="preserve"> de subsistir las causales </w:t>
      </w:r>
      <w:r w:rsidR="005C181A">
        <w:rPr>
          <w:rFonts w:ascii="Palatino Linotype" w:hAnsi="Palatino Linotype"/>
        </w:rPr>
        <w:t xml:space="preserve">que motivaron la </w:t>
      </w:r>
      <w:r>
        <w:rPr>
          <w:rFonts w:ascii="Palatino Linotype" w:hAnsi="Palatino Linotype"/>
        </w:rPr>
        <w:t>reserva.</w:t>
      </w:r>
    </w:p>
    <w:p w:rsidR="006A22D8" w:rsidRDefault="006A22D8" w:rsidP="00AA6CF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Una vez establecido ello, lo conveniente es el análisis de las premisas que podemos obtener de lo manifestado por </w:t>
      </w:r>
      <w:r w:rsidRPr="00BE7DCE">
        <w:rPr>
          <w:rFonts w:ascii="Palatino Linotype" w:eastAsia="Arial Unicode MS" w:hAnsi="Palatino Linotype" w:cs="Arial"/>
          <w:b/>
        </w:rPr>
        <w:t>EL SUJETO OBLIGADO</w:t>
      </w:r>
      <w:r>
        <w:rPr>
          <w:rFonts w:ascii="Palatino Linotype" w:eastAsia="Arial Unicode MS" w:hAnsi="Palatino Linotype" w:cs="Arial"/>
        </w:rPr>
        <w:t xml:space="preserve"> a través de su respuesta</w:t>
      </w:r>
      <w:r w:rsidR="00DC6647">
        <w:rPr>
          <w:rFonts w:ascii="Palatino Linotype" w:eastAsia="Arial Unicode MS" w:hAnsi="Palatino Linotype" w:cs="Arial"/>
        </w:rPr>
        <w:t xml:space="preserve"> e </w:t>
      </w:r>
      <w:r w:rsidR="00DC6647">
        <w:rPr>
          <w:rFonts w:ascii="Palatino Linotype" w:eastAsia="Arial Unicode MS" w:hAnsi="Palatino Linotype" w:cs="Arial"/>
        </w:rPr>
        <w:lastRenderedPageBreak/>
        <w:t xml:space="preserve">Informe Justificado </w:t>
      </w:r>
      <w:r>
        <w:rPr>
          <w:rFonts w:ascii="Palatino Linotype" w:eastAsia="Arial Unicode MS" w:hAnsi="Palatino Linotype" w:cs="Arial"/>
        </w:rPr>
        <w:t xml:space="preserve">y de las constancias que integra </w:t>
      </w:r>
      <w:r w:rsidR="00D80DD5">
        <w:rPr>
          <w:rFonts w:ascii="Palatino Linotype" w:eastAsia="Arial Unicode MS" w:hAnsi="Palatino Linotype" w:cs="Arial"/>
        </w:rPr>
        <w:t xml:space="preserve">el </w:t>
      </w:r>
      <w:r>
        <w:rPr>
          <w:rFonts w:ascii="Palatino Linotype" w:eastAsia="Arial Unicode MS" w:hAnsi="Palatino Linotype" w:cs="Arial"/>
        </w:rPr>
        <w:t>expediente electrónico de</w:t>
      </w:r>
      <w:r w:rsidR="00D80DD5">
        <w:rPr>
          <w:rFonts w:ascii="Palatino Linotype" w:eastAsia="Arial Unicode MS" w:hAnsi="Palatino Linotype" w:cs="Arial"/>
        </w:rPr>
        <w:t>l</w:t>
      </w:r>
      <w:r>
        <w:rPr>
          <w:rFonts w:ascii="Palatino Linotype" w:eastAsia="Arial Unicode MS" w:hAnsi="Palatino Linotype" w:cs="Arial"/>
        </w:rPr>
        <w:t xml:space="preserve"> recurso de revisión:</w:t>
      </w:r>
    </w:p>
    <w:p w:rsidR="00975327" w:rsidRDefault="006A22D8" w:rsidP="00AA6CFE">
      <w:pPr>
        <w:pStyle w:val="Prrafodelista"/>
        <w:widowControl w:val="0"/>
        <w:numPr>
          <w:ilvl w:val="0"/>
          <w:numId w:val="10"/>
        </w:numPr>
        <w:autoSpaceDE w:val="0"/>
        <w:autoSpaceDN w:val="0"/>
        <w:adjustRightInd w:val="0"/>
        <w:spacing w:before="100" w:beforeAutospacing="1" w:after="100" w:afterAutospacing="1" w:line="360" w:lineRule="auto"/>
        <w:ind w:right="757"/>
        <w:contextualSpacing w:val="0"/>
        <w:jc w:val="both"/>
        <w:rPr>
          <w:rFonts w:ascii="Palatino Linotype" w:eastAsia="Arial Unicode MS" w:hAnsi="Palatino Linotype" w:cs="Arial"/>
        </w:rPr>
      </w:pPr>
      <w:r w:rsidRPr="00975327">
        <w:rPr>
          <w:rFonts w:ascii="Palatino Linotype" w:eastAsia="Arial Unicode MS" w:hAnsi="Palatino Linotype" w:cs="Arial"/>
        </w:rPr>
        <w:t xml:space="preserve">Que toda la información requerida por el particular es la relacionada con </w:t>
      </w:r>
      <w:r w:rsidR="00975327" w:rsidRPr="00975327">
        <w:rPr>
          <w:rFonts w:ascii="Palatino Linotype" w:hAnsi="Palatino Linotype"/>
        </w:rPr>
        <w:t>las acciones tomadas por las áreas de Contraloría, Jurídico y Presidencia sobre las dos denuncias por nepotismo que se han presentado en la Contraloría del Poder Legislativo, en contra de servidores públicos del Ayuntamiento de Ixtapan de la Sal</w:t>
      </w:r>
      <w:r w:rsidR="00975327">
        <w:rPr>
          <w:rFonts w:ascii="Palatino Linotype" w:eastAsia="Arial Unicode MS" w:hAnsi="Palatino Linotype" w:cs="Arial"/>
        </w:rPr>
        <w:t xml:space="preserve">. </w:t>
      </w:r>
    </w:p>
    <w:p w:rsidR="006A22D8" w:rsidRPr="00975327" w:rsidRDefault="006A22D8" w:rsidP="00AA6CFE">
      <w:pPr>
        <w:pStyle w:val="Prrafodelista"/>
        <w:widowControl w:val="0"/>
        <w:numPr>
          <w:ilvl w:val="0"/>
          <w:numId w:val="10"/>
        </w:numPr>
        <w:autoSpaceDE w:val="0"/>
        <w:autoSpaceDN w:val="0"/>
        <w:adjustRightInd w:val="0"/>
        <w:spacing w:before="100" w:beforeAutospacing="1" w:after="100" w:afterAutospacing="1" w:line="360" w:lineRule="auto"/>
        <w:ind w:right="757"/>
        <w:contextualSpacing w:val="0"/>
        <w:jc w:val="both"/>
        <w:rPr>
          <w:rFonts w:ascii="Palatino Linotype" w:eastAsia="Arial Unicode MS" w:hAnsi="Palatino Linotype" w:cs="Arial"/>
        </w:rPr>
      </w:pPr>
      <w:r w:rsidRPr="00975327">
        <w:rPr>
          <w:rFonts w:ascii="Palatino Linotype" w:eastAsia="Arial Unicode MS" w:hAnsi="Palatino Linotype" w:cs="Arial"/>
        </w:rPr>
        <w:t xml:space="preserve">Que </w:t>
      </w:r>
      <w:r w:rsidR="00642959" w:rsidRPr="00975327">
        <w:rPr>
          <w:rFonts w:ascii="Palatino Linotype" w:eastAsia="Arial Unicode MS" w:hAnsi="Palatino Linotype" w:cs="Arial"/>
        </w:rPr>
        <w:t xml:space="preserve">para el caso en que </w:t>
      </w:r>
      <w:r w:rsidR="0006223A" w:rsidRPr="00975327">
        <w:rPr>
          <w:rFonts w:ascii="Palatino Linotype" w:eastAsia="Arial Unicode MS" w:hAnsi="Palatino Linotype" w:cs="Arial"/>
        </w:rPr>
        <w:t>ya se hubiese llevado a cabo la</w:t>
      </w:r>
      <w:r w:rsidR="00975327">
        <w:rPr>
          <w:rFonts w:ascii="Palatino Linotype" w:eastAsia="Arial Unicode MS" w:hAnsi="Palatino Linotype" w:cs="Arial"/>
        </w:rPr>
        <w:t>s denuncias y acciones por nepotismo</w:t>
      </w:r>
      <w:r w:rsidR="00642959" w:rsidRPr="00975327">
        <w:rPr>
          <w:rFonts w:ascii="Palatino Linotype" w:eastAsia="Arial Unicode MS" w:hAnsi="Palatino Linotype" w:cs="Arial"/>
        </w:rPr>
        <w:t>, ello no implica que estas</w:t>
      </w:r>
      <w:r w:rsidR="00DC6647" w:rsidRPr="00975327">
        <w:rPr>
          <w:rFonts w:ascii="Palatino Linotype" w:eastAsia="Arial Unicode MS" w:hAnsi="Palatino Linotype" w:cs="Arial"/>
        </w:rPr>
        <w:t xml:space="preserve"> han quedado firme</w:t>
      </w:r>
      <w:r w:rsidR="00BE59EA" w:rsidRPr="00975327">
        <w:rPr>
          <w:rFonts w:ascii="Palatino Linotype" w:eastAsia="Arial Unicode MS" w:hAnsi="Palatino Linotype" w:cs="Arial"/>
        </w:rPr>
        <w:t>s</w:t>
      </w:r>
      <w:r w:rsidR="000D202B" w:rsidRPr="00975327">
        <w:rPr>
          <w:rFonts w:ascii="Palatino Linotype" w:eastAsia="Arial Unicode MS" w:hAnsi="Palatino Linotype" w:cs="Arial"/>
        </w:rPr>
        <w:t xml:space="preserve"> pues recae en ella</w:t>
      </w:r>
      <w:r w:rsidR="00DC6647" w:rsidRPr="00975327">
        <w:rPr>
          <w:rFonts w:ascii="Palatino Linotype" w:eastAsia="Arial Unicode MS" w:hAnsi="Palatino Linotype" w:cs="Arial"/>
        </w:rPr>
        <w:t>s figuras de impugnación</w:t>
      </w:r>
      <w:r w:rsidRPr="00975327">
        <w:rPr>
          <w:rFonts w:ascii="Palatino Linotype" w:eastAsia="Arial Unicode MS" w:hAnsi="Palatino Linotype" w:cs="Arial"/>
        </w:rPr>
        <w:t>.</w:t>
      </w:r>
    </w:p>
    <w:p w:rsidR="001215B7" w:rsidRPr="001215B7" w:rsidRDefault="006A22D8" w:rsidP="001215B7">
      <w:pPr>
        <w:pStyle w:val="Prrafodelista"/>
        <w:widowControl w:val="0"/>
        <w:numPr>
          <w:ilvl w:val="0"/>
          <w:numId w:val="10"/>
        </w:numPr>
        <w:autoSpaceDE w:val="0"/>
        <w:autoSpaceDN w:val="0"/>
        <w:adjustRightInd w:val="0"/>
        <w:spacing w:before="100" w:beforeAutospacing="1" w:after="100" w:afterAutospacing="1" w:line="360" w:lineRule="auto"/>
        <w:ind w:right="757"/>
        <w:contextualSpacing w:val="0"/>
        <w:jc w:val="both"/>
        <w:rPr>
          <w:rFonts w:ascii="Palatino Linotype" w:eastAsia="Arial Unicode MS" w:hAnsi="Palatino Linotype" w:cs="Arial"/>
          <w:sz w:val="22"/>
        </w:rPr>
      </w:pPr>
      <w:r w:rsidRPr="00CF22B8">
        <w:rPr>
          <w:rFonts w:ascii="Palatino Linotype" w:eastAsia="Arial Unicode MS" w:hAnsi="Palatino Linotype" w:cs="Arial"/>
        </w:rPr>
        <w:t xml:space="preserve">Que </w:t>
      </w:r>
      <w:r w:rsidR="001E2E77" w:rsidRPr="00CF22B8">
        <w:rPr>
          <w:rFonts w:ascii="Palatino Linotype" w:eastAsia="Arial Unicode MS" w:hAnsi="Palatino Linotype" w:cs="Arial"/>
        </w:rPr>
        <w:t>suponiendo sin conceder que todo el expediente generado con motivo de la</w:t>
      </w:r>
      <w:r w:rsidR="00975327" w:rsidRPr="00CF22B8">
        <w:rPr>
          <w:rFonts w:ascii="Palatino Linotype" w:eastAsia="Arial Unicode MS" w:hAnsi="Palatino Linotype" w:cs="Arial"/>
        </w:rPr>
        <w:t>s</w:t>
      </w:r>
      <w:r w:rsidR="0006223A" w:rsidRPr="00CF22B8">
        <w:rPr>
          <w:rFonts w:ascii="Palatino Linotype" w:eastAsia="Arial Unicode MS" w:hAnsi="Palatino Linotype" w:cs="Arial"/>
        </w:rPr>
        <w:t xml:space="preserve"> </w:t>
      </w:r>
      <w:r w:rsidR="00975327" w:rsidRPr="00CF22B8">
        <w:rPr>
          <w:rFonts w:ascii="Palatino Linotype" w:eastAsia="Arial Unicode MS" w:hAnsi="Palatino Linotype" w:cs="Arial"/>
        </w:rPr>
        <w:t>denuncias p</w:t>
      </w:r>
      <w:r w:rsidR="00975327" w:rsidRPr="00CF22B8">
        <w:rPr>
          <w:rFonts w:ascii="Palatino Linotype" w:hAnsi="Palatino Linotype"/>
        </w:rPr>
        <w:t xml:space="preserve">or nepotismo </w:t>
      </w:r>
      <w:r w:rsidR="00CF22B8" w:rsidRPr="00CF22B8">
        <w:rPr>
          <w:rFonts w:ascii="Palatino Linotype" w:hAnsi="Palatino Linotype"/>
        </w:rPr>
        <w:t xml:space="preserve">presentadas ante </w:t>
      </w:r>
      <w:r w:rsidR="00975327" w:rsidRPr="00CF22B8">
        <w:rPr>
          <w:rFonts w:ascii="Palatino Linotype" w:hAnsi="Palatino Linotype"/>
        </w:rPr>
        <w:t>la Contraloría del Poder Legislativo</w:t>
      </w:r>
      <w:r w:rsidR="00CF22B8" w:rsidRPr="00CF22B8">
        <w:rPr>
          <w:rFonts w:ascii="Palatino Linotype" w:hAnsi="Palatino Linotype"/>
        </w:rPr>
        <w:t xml:space="preserve"> </w:t>
      </w:r>
      <w:r w:rsidR="001E2E77" w:rsidRPr="00CF22B8">
        <w:rPr>
          <w:rFonts w:ascii="Palatino Linotype" w:eastAsia="Arial Unicode MS" w:hAnsi="Palatino Linotype" w:cs="Arial"/>
        </w:rPr>
        <w:t>se encuentre</w:t>
      </w:r>
      <w:r w:rsidR="00CF22B8">
        <w:rPr>
          <w:rFonts w:ascii="Palatino Linotype" w:eastAsia="Arial Unicode MS" w:hAnsi="Palatino Linotype" w:cs="Arial"/>
        </w:rPr>
        <w:t>n</w:t>
      </w:r>
      <w:r w:rsidR="001E2E77" w:rsidRPr="00CF22B8">
        <w:rPr>
          <w:rFonts w:ascii="Palatino Linotype" w:eastAsia="Arial Unicode MS" w:hAnsi="Palatino Linotype" w:cs="Arial"/>
        </w:rPr>
        <w:t xml:space="preserve"> inmerso</w:t>
      </w:r>
      <w:r w:rsidR="00CF22B8">
        <w:rPr>
          <w:rFonts w:ascii="Palatino Linotype" w:eastAsia="Arial Unicode MS" w:hAnsi="Palatino Linotype" w:cs="Arial"/>
        </w:rPr>
        <w:t>s</w:t>
      </w:r>
      <w:r w:rsidR="001E2E77" w:rsidRPr="00CF22B8">
        <w:rPr>
          <w:rFonts w:ascii="Palatino Linotype" w:eastAsia="Arial Unicode MS" w:hAnsi="Palatino Linotype" w:cs="Arial"/>
        </w:rPr>
        <w:t xml:space="preserve"> en un procedimiento administrativo que a la fecha de la resolución no haya quedado firme, el Comité de Transparencia deberá emitir un acuerdo de reserva de la información y confidencialidad en caso de contener datos personales pero con las formalidades exigidas por la normatividad aplicable en la materia.</w:t>
      </w:r>
    </w:p>
    <w:p w:rsidR="001215B7" w:rsidRPr="001215B7" w:rsidRDefault="001215B7" w:rsidP="001215B7">
      <w:pPr>
        <w:pStyle w:val="Prrafodelista"/>
        <w:widowControl w:val="0"/>
        <w:numPr>
          <w:ilvl w:val="0"/>
          <w:numId w:val="10"/>
        </w:numPr>
        <w:autoSpaceDE w:val="0"/>
        <w:autoSpaceDN w:val="0"/>
        <w:adjustRightInd w:val="0"/>
        <w:spacing w:before="100" w:beforeAutospacing="1" w:after="100" w:afterAutospacing="1" w:line="360" w:lineRule="auto"/>
        <w:ind w:right="757"/>
        <w:contextualSpacing w:val="0"/>
        <w:jc w:val="both"/>
        <w:rPr>
          <w:rFonts w:ascii="Palatino Linotype" w:eastAsia="Arial Unicode MS" w:hAnsi="Palatino Linotype" w:cs="Arial"/>
          <w:sz w:val="22"/>
        </w:rPr>
      </w:pPr>
      <w:r>
        <w:rPr>
          <w:rFonts w:ascii="Palatino Linotype" w:eastAsia="Arial Unicode MS" w:hAnsi="Palatino Linotype" w:cs="Arial"/>
        </w:rPr>
        <w:t xml:space="preserve">Que si no encuadra con alguna excepción prevista por la ley, la información debe ser pública. </w:t>
      </w:r>
    </w:p>
    <w:p w:rsidR="006A22D8" w:rsidRPr="005606EB" w:rsidRDefault="006A22D8" w:rsidP="00AA6CFE">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Arial Unicode MS" w:hAnsi="Palatino Linotype" w:cs="Arial"/>
        </w:rPr>
        <w:t xml:space="preserve">Al respecto, la Ley de Transparencia y Acceso a la Información Pública del Estado de </w:t>
      </w:r>
      <w:r>
        <w:rPr>
          <w:rFonts w:ascii="Palatino Linotype" w:eastAsia="Arial Unicode MS" w:hAnsi="Palatino Linotype" w:cs="Arial"/>
        </w:rPr>
        <w:lastRenderedPageBreak/>
        <w:t xml:space="preserve">México y Municipios señala que para la clasificación </w:t>
      </w:r>
      <w:r w:rsidRPr="005606EB">
        <w:rPr>
          <w:rFonts w:ascii="Palatino Linotype" w:hAnsi="Palatino Linotype" w:cs="Arial"/>
        </w:rPr>
        <w:t>formal</w:t>
      </w:r>
      <w:r>
        <w:rPr>
          <w:rFonts w:ascii="Palatino Linotype" w:hAnsi="Palatino Linotype" w:cs="Arial"/>
        </w:rPr>
        <w:t xml:space="preserve"> de </w:t>
      </w:r>
      <w:r w:rsidRPr="005606EB">
        <w:rPr>
          <w:rFonts w:ascii="Palatino Linotype" w:hAnsi="Palatino Linotype" w:cs="Arial"/>
        </w:rPr>
        <w:t xml:space="preserve">la información solicitada </w:t>
      </w:r>
      <w:r w:rsidRPr="005606EB">
        <w:rPr>
          <w:rFonts w:ascii="Palatino Linotype" w:hAnsi="Palatino Linotype" w:cs="Arial"/>
          <w:b/>
        </w:rPr>
        <w:t>EL SUJETO OBLIGADO</w:t>
      </w:r>
      <w:r>
        <w:rPr>
          <w:rFonts w:ascii="Palatino Linotype" w:hAnsi="Palatino Linotype" w:cs="Arial"/>
        </w:rPr>
        <w:t xml:space="preserve"> deberá remitir el debido</w:t>
      </w:r>
      <w:r w:rsidRPr="005606EB">
        <w:rPr>
          <w:rFonts w:ascii="Palatino Linotype" w:hAnsi="Palatino Linotype" w:cs="Arial"/>
        </w:rPr>
        <w:t xml:space="preserve"> Acuerdo de clasificación </w:t>
      </w:r>
      <w:r>
        <w:rPr>
          <w:rFonts w:ascii="Palatino Linotype" w:hAnsi="Palatino Linotype" w:cs="Arial"/>
        </w:rPr>
        <w:t xml:space="preserve">fundado y motivado donde determine la clasificación de </w:t>
      </w:r>
      <w:r w:rsidRPr="005606EB">
        <w:rPr>
          <w:rFonts w:ascii="Palatino Linotype" w:hAnsi="Palatino Linotype" w:cs="Arial"/>
        </w:rPr>
        <w:t xml:space="preserve">la información como reservada, </w:t>
      </w:r>
      <w:r>
        <w:rPr>
          <w:rFonts w:ascii="Palatino Linotype" w:hAnsi="Palatino Linotype" w:cs="Arial"/>
        </w:rPr>
        <w:t xml:space="preserve">de conformidad con lo dispuesto </w:t>
      </w:r>
      <w:r w:rsidRPr="005606EB">
        <w:rPr>
          <w:rFonts w:ascii="Palatino Linotype" w:hAnsi="Palatino Linotype" w:cs="Arial"/>
        </w:rPr>
        <w:t>en los numerales 49</w:t>
      </w:r>
      <w:r w:rsidR="00BE59EA">
        <w:rPr>
          <w:rFonts w:ascii="Palatino Linotype" w:hAnsi="Palatino Linotype" w:cs="Arial"/>
        </w:rPr>
        <w:t>,</w:t>
      </w:r>
      <w:r w:rsidRPr="005606EB">
        <w:rPr>
          <w:rFonts w:ascii="Palatino Linotype" w:hAnsi="Palatino Linotype" w:cs="Arial"/>
        </w:rPr>
        <w:t xml:space="preserve"> fracción VIII y 132 fracciones </w:t>
      </w:r>
      <w:r>
        <w:rPr>
          <w:rFonts w:ascii="Palatino Linotype" w:hAnsi="Palatino Linotype" w:cs="Arial"/>
        </w:rPr>
        <w:t xml:space="preserve">I, </w:t>
      </w:r>
      <w:r w:rsidRPr="005606EB">
        <w:rPr>
          <w:rFonts w:ascii="Palatino Linotype" w:hAnsi="Palatino Linotype" w:cs="Arial"/>
        </w:rPr>
        <w:t>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 xml:space="preserve">“Artículo 49. </w:t>
      </w:r>
      <w:r w:rsidRPr="005606EB">
        <w:rPr>
          <w:rFonts w:ascii="Palatino Linotype" w:hAnsi="Palatino Linotype" w:cs="Arial"/>
          <w:i/>
          <w:sz w:val="22"/>
          <w:szCs w:val="22"/>
          <w:lang w:eastAsia="es-MX"/>
        </w:rPr>
        <w:t>Los Comités de Transparencia tendrán las siguientes atribuciones: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VIII.</w:t>
      </w:r>
      <w:r w:rsidRPr="005606EB">
        <w:rPr>
          <w:rFonts w:ascii="Palatino Linotype" w:hAnsi="Palatino Linotype" w:cs="Arial"/>
          <w:i/>
          <w:sz w:val="22"/>
          <w:szCs w:val="22"/>
          <w:lang w:eastAsia="es-MX"/>
        </w:rPr>
        <w:t xml:space="preserve"> Aprobar, modificar o revocar la clasificación de la información;</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Artículo 132.</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AA6CFE">
      <w:pPr>
        <w:ind w:left="709" w:right="760"/>
        <w:jc w:val="both"/>
        <w:rPr>
          <w:rFonts w:ascii="Palatino Linotype" w:hAnsi="Palatino Linotype" w:cs="Arial"/>
          <w:i/>
          <w:sz w:val="22"/>
          <w:szCs w:val="22"/>
          <w:lang w:eastAsia="es-MX"/>
        </w:rPr>
      </w:pP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6A22D8" w:rsidRDefault="006A22D8" w:rsidP="00AA6CFE">
      <w:pPr>
        <w:ind w:left="709" w:right="760"/>
        <w:jc w:val="both"/>
        <w:rPr>
          <w:rFonts w:ascii="Palatino Linotype" w:hAnsi="Palatino Linotype" w:cs="Arial"/>
          <w:b/>
          <w:i/>
          <w:sz w:val="22"/>
          <w:szCs w:val="22"/>
          <w:lang w:eastAsia="es-MX"/>
        </w:rPr>
      </w:pPr>
      <w:r w:rsidRPr="005606EB">
        <w:rPr>
          <w:rFonts w:ascii="Palatino Linotype" w:hAnsi="Palatino Linotype" w:cs="Arial"/>
          <w:i/>
          <w:sz w:val="22"/>
          <w:szCs w:val="22"/>
          <w:lang w:eastAsia="es-MX"/>
        </w:rPr>
        <w:t>III. Se generen versiones públicas para dar cumplimiento a las obligaciones de transparencia previstas en esta Ley.</w:t>
      </w:r>
      <w:r w:rsidRPr="005606EB">
        <w:rPr>
          <w:rFonts w:ascii="Palatino Linotype" w:hAnsi="Palatino Linotype" w:cs="Arial"/>
          <w:b/>
          <w:i/>
          <w:sz w:val="22"/>
          <w:szCs w:val="22"/>
          <w:lang w:eastAsia="es-MX"/>
        </w:rPr>
        <w:t>”</w:t>
      </w:r>
    </w:p>
    <w:p w:rsidR="006A22D8" w:rsidRPr="005606EB" w:rsidRDefault="006A22D8" w:rsidP="00AA6CFE">
      <w:pPr>
        <w:ind w:left="709" w:right="760"/>
        <w:jc w:val="both"/>
        <w:rPr>
          <w:rFonts w:ascii="Palatino Linotype" w:hAnsi="Palatino Linotype" w:cs="Arial"/>
          <w:b/>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Cuarto.</w:t>
      </w:r>
      <w:r w:rsidRPr="005606EB">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lastRenderedPageBreak/>
        <w:t>Quinto.</w:t>
      </w:r>
      <w:r w:rsidRPr="005606E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Sexto.</w:t>
      </w:r>
      <w:r w:rsidRPr="005606E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Séptimo.</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AA6CFE">
      <w:pPr>
        <w:ind w:left="709" w:right="760"/>
        <w:jc w:val="both"/>
        <w:rPr>
          <w:rFonts w:ascii="Palatino Linotype" w:hAnsi="Palatino Linotype" w:cs="Arial"/>
          <w:i/>
          <w:sz w:val="22"/>
          <w:szCs w:val="22"/>
          <w:lang w:eastAsia="es-MX"/>
        </w:rPr>
      </w:pP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III.</w:t>
      </w:r>
      <w:r w:rsidRPr="005606E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Octavo.</w:t>
      </w:r>
      <w:r w:rsidRPr="005606E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rsidR="000D202B" w:rsidRDefault="000D202B"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A3262E" w:rsidRPr="005606EB" w:rsidRDefault="00A3262E"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Noveno.</w:t>
      </w:r>
      <w:r w:rsidRPr="005606E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Décimo.</w:t>
      </w:r>
      <w:r w:rsidRPr="005606E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6A22D8" w:rsidRPr="005606EB" w:rsidRDefault="006A22D8" w:rsidP="00AA6CFE">
      <w:pPr>
        <w:ind w:left="709" w:right="760"/>
        <w:jc w:val="both"/>
        <w:rPr>
          <w:rFonts w:ascii="Palatino Linotype" w:hAnsi="Palatino Linotype" w:cs="Arial"/>
          <w:i/>
          <w:sz w:val="22"/>
          <w:szCs w:val="22"/>
          <w:lang w:eastAsia="es-MX"/>
        </w:rPr>
      </w:pPr>
    </w:p>
    <w:p w:rsidR="006A22D8" w:rsidRPr="005606EB" w:rsidRDefault="006A22D8" w:rsidP="00AA6CFE">
      <w:pPr>
        <w:ind w:left="709" w:right="760"/>
        <w:jc w:val="both"/>
        <w:rPr>
          <w:rFonts w:ascii="Palatino Linotype" w:hAnsi="Palatino Linotype" w:cs="Arial"/>
          <w:b/>
          <w:i/>
          <w:sz w:val="22"/>
          <w:szCs w:val="22"/>
          <w:lang w:eastAsia="es-MX"/>
        </w:rPr>
      </w:pPr>
      <w:r w:rsidRPr="005606EB">
        <w:rPr>
          <w:rFonts w:ascii="Palatino Linotype" w:hAnsi="Palatino Linotype" w:cs="Arial"/>
          <w:b/>
          <w:i/>
          <w:sz w:val="22"/>
          <w:szCs w:val="22"/>
          <w:lang w:eastAsia="es-MX"/>
        </w:rPr>
        <w:t>Décimo primero.</w:t>
      </w:r>
      <w:r w:rsidRPr="005606E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06EB">
        <w:rPr>
          <w:rFonts w:ascii="Palatino Linotype" w:hAnsi="Palatino Linotype" w:cs="Arial"/>
          <w:b/>
          <w:i/>
          <w:sz w:val="22"/>
          <w:szCs w:val="22"/>
          <w:lang w:eastAsia="es-MX"/>
        </w:rPr>
        <w:t>”</w:t>
      </w:r>
    </w:p>
    <w:p w:rsidR="006A22D8" w:rsidRDefault="006A22D8" w:rsidP="00AA6CFE">
      <w:pPr>
        <w:spacing w:before="100" w:beforeAutospacing="1" w:after="100" w:afterAutospacing="1" w:line="360" w:lineRule="auto"/>
        <w:ind w:right="49"/>
        <w:jc w:val="both"/>
        <w:rPr>
          <w:rFonts w:ascii="Palatino Linotype" w:hAnsi="Palatino Linotype" w:cs="Arial"/>
        </w:rPr>
      </w:pPr>
      <w:r>
        <w:rPr>
          <w:rFonts w:ascii="Palatino Linotype" w:eastAsia="Arial Unicode MS" w:hAnsi="Palatino Linotype" w:cs="Arial"/>
        </w:rPr>
        <w:t xml:space="preserve">Ahora bien, en </w:t>
      </w:r>
      <w:r>
        <w:rPr>
          <w:rFonts w:ascii="Palatino Linotype" w:hAnsi="Palatino Linotype" w:cs="Arial"/>
        </w:rPr>
        <w:t>dicho</w:t>
      </w:r>
      <w:r w:rsidRPr="00FF4450">
        <w:rPr>
          <w:rFonts w:ascii="Palatino Linotype" w:hAnsi="Palatino Linotype" w:cs="Arial"/>
        </w:rPr>
        <w:t xml:space="preserve"> Acuerdo de Clasificación de la Información </w:t>
      </w:r>
      <w:r>
        <w:rPr>
          <w:rFonts w:ascii="Palatino Linotype" w:hAnsi="Palatino Linotype" w:cs="Arial"/>
        </w:rPr>
        <w:t>no debe realizarse un</w:t>
      </w:r>
      <w:r w:rsidRPr="00FF4450">
        <w:rPr>
          <w:rFonts w:ascii="Palatino Linotype" w:hAnsi="Palatino Linotype" w:cs="Arial"/>
        </w:rPr>
        <w:t xml:space="preserve"> pr</w:t>
      </w:r>
      <w:r>
        <w:rPr>
          <w:rFonts w:ascii="Palatino Linotype" w:hAnsi="Palatino Linotype" w:cs="Arial"/>
        </w:rPr>
        <w:t xml:space="preserve">onunciamiento de manera general, sino que debe demostrar que la entrega de la información </w:t>
      </w:r>
      <w:r w:rsidRPr="00FF4450">
        <w:rPr>
          <w:rFonts w:ascii="Palatino Linotype" w:hAnsi="Palatino Linotype" w:cs="Arial"/>
        </w:rPr>
        <w:t xml:space="preserve">constituye un riesgo, real, demostrable e identificable, determinación que </w:t>
      </w:r>
      <w:r w:rsidR="00BE59EA">
        <w:rPr>
          <w:rFonts w:ascii="Palatino Linotype" w:hAnsi="Palatino Linotype" w:cs="Arial"/>
        </w:rPr>
        <w:lastRenderedPageBreak/>
        <w:t xml:space="preserve">se </w:t>
      </w:r>
      <w:r>
        <w:rPr>
          <w:rFonts w:ascii="Palatino Linotype" w:hAnsi="Palatino Linotype" w:cs="Arial"/>
        </w:rPr>
        <w:t xml:space="preserve">hará </w:t>
      </w:r>
      <w:r w:rsidRPr="00FF4450">
        <w:rPr>
          <w:rFonts w:ascii="Palatino Linotype" w:hAnsi="Palatino Linotype" w:cs="Arial"/>
        </w:rPr>
        <w:t xml:space="preserve">con precisión, </w:t>
      </w:r>
      <w:r w:rsidR="005C181A">
        <w:rPr>
          <w:rFonts w:ascii="Palatino Linotype" w:hAnsi="Palatino Linotype" w:cs="Arial"/>
        </w:rPr>
        <w:t xml:space="preserve">aunado </w:t>
      </w:r>
      <w:r w:rsidRPr="00FF4450">
        <w:rPr>
          <w:rFonts w:ascii="Palatino Linotype" w:hAnsi="Palatino Linotype" w:cs="Arial"/>
        </w:rPr>
        <w:t>motiv</w:t>
      </w:r>
      <w:r>
        <w:rPr>
          <w:rFonts w:ascii="Palatino Linotype" w:hAnsi="Palatino Linotype" w:cs="Arial"/>
        </w:rPr>
        <w:t>ar</w:t>
      </w:r>
      <w:r w:rsidRPr="00FF4450">
        <w:rPr>
          <w:rFonts w:ascii="Palatino Linotype" w:hAnsi="Palatino Linotype" w:cs="Arial"/>
        </w:rPr>
        <w:t xml:space="preserve"> las razones o circunstancias especiales por las que el caso particular se ajusta al supuesto previsto por la norma legal invocada, fund</w:t>
      </w:r>
      <w:r>
        <w:rPr>
          <w:rFonts w:ascii="Palatino Linotype" w:hAnsi="Palatino Linotype" w:cs="Arial"/>
        </w:rPr>
        <w:t>ando</w:t>
      </w:r>
      <w:r w:rsidRPr="00FF4450">
        <w:rPr>
          <w:rFonts w:ascii="Palatino Linotype" w:hAnsi="Palatino Linotype" w:cs="Arial"/>
        </w:rPr>
        <w:t xml:space="preserve"> la prueba de daño y causales de reserva con las disposiciones señaladas en los artículos 129, 140 y 141 de la Ley de Transparencia y Acceso a la Información Pública del Estado de México y Municipios</w:t>
      </w:r>
      <w:r>
        <w:rPr>
          <w:rFonts w:ascii="Palatino Linotype" w:hAnsi="Palatino Linotype" w:cs="Arial"/>
        </w:rPr>
        <w:t>, que a la letra dicta:</w:t>
      </w:r>
    </w:p>
    <w:p w:rsidR="006A22D8" w:rsidRDefault="006A22D8" w:rsidP="00AA6CFE">
      <w:pPr>
        <w:ind w:left="709" w:right="760"/>
        <w:jc w:val="both"/>
        <w:rPr>
          <w:rFonts w:ascii="Palatino Linotype" w:hAnsi="Palatino Linotype" w:cs="Arial"/>
          <w:i/>
          <w:sz w:val="22"/>
        </w:rPr>
      </w:pPr>
      <w:r>
        <w:rPr>
          <w:rFonts w:ascii="Palatino Linotype" w:hAnsi="Palatino Linotype" w:cs="Arial"/>
          <w:i/>
          <w:sz w:val="22"/>
        </w:rPr>
        <w:t>“</w:t>
      </w:r>
      <w:r w:rsidRPr="000501DB">
        <w:rPr>
          <w:rFonts w:ascii="Palatino Linotype" w:hAnsi="Palatino Linotype" w:cs="Arial"/>
          <w:b/>
          <w:i/>
          <w:sz w:val="22"/>
        </w:rPr>
        <w:t>Artículo 129</w:t>
      </w:r>
      <w:r w:rsidRPr="000501DB">
        <w:rPr>
          <w:rFonts w:ascii="Palatino Linotype" w:hAnsi="Palatino Linotype" w:cs="Arial"/>
          <w:i/>
          <w:sz w:val="22"/>
        </w:rPr>
        <w:t>. En la aplicación de la prueba de daño, el sujeto obligado deberá precisar las razones objetivas por las que la</w:t>
      </w:r>
      <w:r>
        <w:rPr>
          <w:rFonts w:ascii="Palatino Linotype" w:hAnsi="Palatino Linotype" w:cs="Arial"/>
          <w:i/>
          <w:sz w:val="22"/>
        </w:rPr>
        <w:t xml:space="preserve"> </w:t>
      </w:r>
      <w:r w:rsidRPr="000501DB">
        <w:rPr>
          <w:rFonts w:ascii="Palatino Linotype" w:hAnsi="Palatino Linotype" w:cs="Arial"/>
          <w:i/>
          <w:sz w:val="22"/>
        </w:rPr>
        <w:t>apertura de la información generaría una afectación, justificando que:</w:t>
      </w:r>
    </w:p>
    <w:p w:rsidR="006A22D8" w:rsidRPr="000501DB"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I</w:t>
      </w:r>
      <w:r w:rsidRPr="000501DB">
        <w:rPr>
          <w:rFonts w:ascii="Palatino Linotype" w:hAnsi="Palatino Linotype" w:cs="Arial"/>
          <w:i/>
          <w:sz w:val="22"/>
        </w:rPr>
        <w:t>. La divulgación de la información representa un riesgo real, demostrable e identificable del perjuicio significativo al interés</w:t>
      </w:r>
      <w:r>
        <w:rPr>
          <w:rFonts w:ascii="Palatino Linotype" w:hAnsi="Palatino Linotype" w:cs="Arial"/>
          <w:i/>
          <w:sz w:val="22"/>
        </w:rPr>
        <w:t xml:space="preserve"> </w:t>
      </w:r>
      <w:r w:rsidRPr="000501DB">
        <w:rPr>
          <w:rFonts w:ascii="Palatino Linotype" w:hAnsi="Palatino Linotype" w:cs="Arial"/>
          <w:i/>
          <w:sz w:val="22"/>
        </w:rPr>
        <w:t>público o a la seguridad pública;</w:t>
      </w: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II</w:t>
      </w:r>
      <w:r w:rsidRPr="000501DB">
        <w:rPr>
          <w:rFonts w:ascii="Palatino Linotype" w:hAnsi="Palatino Linotype" w:cs="Arial"/>
          <w:i/>
          <w:sz w:val="22"/>
        </w:rPr>
        <w:t>. El riesgo de perjuicio que supondría la divulgación supera el interés público general de que se difunda; y</w:t>
      </w:r>
      <w:r>
        <w:rPr>
          <w:rFonts w:ascii="Palatino Linotype" w:hAnsi="Palatino Linotype" w:cs="Arial"/>
          <w:i/>
          <w:sz w:val="22"/>
        </w:rPr>
        <w:t xml:space="preserve"> </w:t>
      </w:r>
    </w:p>
    <w:p w:rsidR="006A22D8"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III</w:t>
      </w:r>
      <w:r w:rsidRPr="000501DB">
        <w:rPr>
          <w:rFonts w:ascii="Palatino Linotype" w:hAnsi="Palatino Linotype" w:cs="Arial"/>
          <w:i/>
          <w:sz w:val="22"/>
        </w:rPr>
        <w:t>. La limitación se adecua al principio de proporcionalidad y representa el medio menos restrictivo disponible representa el</w:t>
      </w:r>
      <w:r>
        <w:rPr>
          <w:rFonts w:ascii="Palatino Linotype" w:hAnsi="Palatino Linotype" w:cs="Arial"/>
          <w:i/>
          <w:sz w:val="22"/>
        </w:rPr>
        <w:t xml:space="preserve"> </w:t>
      </w:r>
      <w:r w:rsidRPr="000501DB">
        <w:rPr>
          <w:rFonts w:ascii="Palatino Linotype" w:hAnsi="Palatino Linotype" w:cs="Arial"/>
          <w:i/>
          <w:sz w:val="22"/>
        </w:rPr>
        <w:t>medio menos restrictivo disponible para evitar el perjuicio.</w:t>
      </w:r>
    </w:p>
    <w:p w:rsidR="000D202B" w:rsidRDefault="000D202B" w:rsidP="00AA6CFE">
      <w:pPr>
        <w:ind w:left="709" w:right="760"/>
        <w:jc w:val="both"/>
        <w:rPr>
          <w:rFonts w:ascii="Palatino Linotype" w:hAnsi="Palatino Linotype" w:cs="Arial"/>
          <w:b/>
          <w:i/>
          <w:sz w:val="22"/>
        </w:rPr>
      </w:pPr>
    </w:p>
    <w:p w:rsidR="006A22D8"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Artículo 140</w:t>
      </w:r>
      <w:r w:rsidRPr="000501DB">
        <w:rPr>
          <w:rFonts w:ascii="Palatino Linotype" w:hAnsi="Palatino Linotype" w:cs="Arial"/>
          <w:i/>
          <w:sz w:val="22"/>
        </w:rPr>
        <w:t>. El acceso a la información pública será restringido excepcionalmente, cuando por razones de interés público,</w:t>
      </w:r>
      <w:r>
        <w:rPr>
          <w:rFonts w:ascii="Palatino Linotype" w:hAnsi="Palatino Linotype" w:cs="Arial"/>
          <w:i/>
          <w:sz w:val="22"/>
        </w:rPr>
        <w:t xml:space="preserve"> </w:t>
      </w:r>
      <w:r w:rsidRPr="000501DB">
        <w:rPr>
          <w:rFonts w:ascii="Palatino Linotype" w:hAnsi="Palatino Linotype" w:cs="Arial"/>
          <w:i/>
          <w:sz w:val="22"/>
        </w:rPr>
        <w:t>ésta sea clasificada como reservada, conforme a los criterios siguientes:</w:t>
      </w:r>
    </w:p>
    <w:p w:rsidR="006A22D8" w:rsidRPr="000501DB"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 Comprometa la seguridad pública y cuente con un propósito genuino y un efecto demostrable;</w:t>
      </w:r>
    </w:p>
    <w:p w:rsidR="006A22D8"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II. Pueda menoscabar la conducción de las negociaciones y relaciones internacionales;</w:t>
      </w:r>
    </w:p>
    <w:p w:rsidR="006A22D8"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III. Se entregue a la Entidad expresamente con ese caráct</w:t>
      </w:r>
      <w:r>
        <w:rPr>
          <w:rFonts w:ascii="Palatino Linotype" w:hAnsi="Palatino Linotype" w:cs="Arial"/>
          <w:i/>
          <w:sz w:val="22"/>
        </w:rPr>
        <w:t xml:space="preserve">er o el de confidencialidad por otro u otros sujetos de derecho </w:t>
      </w:r>
      <w:r w:rsidRPr="000501DB">
        <w:rPr>
          <w:rFonts w:ascii="Palatino Linotype" w:hAnsi="Palatino Linotype" w:cs="Arial"/>
          <w:i/>
          <w:sz w:val="22"/>
        </w:rPr>
        <w:t>internacional, excepto cuando se trate de violaciones graves de derechos humanos o delitos de lesa humanidad de</w:t>
      </w:r>
      <w:r>
        <w:rPr>
          <w:rFonts w:ascii="Palatino Linotype" w:hAnsi="Palatino Linotype" w:cs="Arial"/>
          <w:i/>
          <w:sz w:val="22"/>
        </w:rPr>
        <w:t xml:space="preserve"> </w:t>
      </w:r>
      <w:r w:rsidRPr="000501DB">
        <w:rPr>
          <w:rFonts w:ascii="Palatino Linotype" w:hAnsi="Palatino Linotype" w:cs="Arial"/>
          <w:i/>
          <w:sz w:val="22"/>
        </w:rPr>
        <w:t>conformidad con el derecho internacional;</w:t>
      </w:r>
    </w:p>
    <w:p w:rsidR="006A22D8"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IV. Ponga en riesgo la vida, la seguridad o la salud de una persona física;</w:t>
      </w:r>
    </w:p>
    <w:p w:rsidR="006A22D8" w:rsidRDefault="006A22D8" w:rsidP="00AA6CFE">
      <w:pPr>
        <w:ind w:left="709" w:right="760"/>
        <w:jc w:val="both"/>
        <w:rPr>
          <w:rFonts w:ascii="Palatino Linotype" w:hAnsi="Palatino Linotype" w:cs="Arial"/>
          <w:i/>
          <w:sz w:val="22"/>
        </w:rPr>
      </w:pPr>
    </w:p>
    <w:p w:rsidR="006A22D8" w:rsidRPr="0076646A" w:rsidRDefault="006A22D8" w:rsidP="00AA6CFE">
      <w:pPr>
        <w:ind w:left="709" w:right="760"/>
        <w:jc w:val="both"/>
        <w:rPr>
          <w:rFonts w:ascii="Palatino Linotype" w:hAnsi="Palatino Linotype" w:cs="Arial"/>
          <w:i/>
          <w:sz w:val="22"/>
        </w:rPr>
      </w:pPr>
      <w:r w:rsidRPr="0076646A">
        <w:rPr>
          <w:rFonts w:ascii="Palatino Linotype" w:hAnsi="Palatino Linotype" w:cs="Arial"/>
          <w:i/>
          <w:sz w:val="22"/>
        </w:rPr>
        <w:t>V. Aquella cuya divulgación obstruya o pueda causar un serio perjuicio a:</w:t>
      </w:r>
    </w:p>
    <w:p w:rsidR="006A22D8" w:rsidRPr="0076646A" w:rsidRDefault="006A22D8" w:rsidP="00AA6CFE">
      <w:pPr>
        <w:ind w:left="709" w:right="760"/>
        <w:jc w:val="both"/>
        <w:rPr>
          <w:rFonts w:ascii="Palatino Linotype" w:hAnsi="Palatino Linotype" w:cs="Arial"/>
          <w:i/>
          <w:sz w:val="22"/>
        </w:rPr>
      </w:pPr>
    </w:p>
    <w:p w:rsidR="006A22D8" w:rsidRPr="0076646A" w:rsidRDefault="006A22D8" w:rsidP="00AA6CFE">
      <w:pPr>
        <w:ind w:left="1416" w:right="760"/>
        <w:jc w:val="both"/>
        <w:rPr>
          <w:rFonts w:ascii="Palatino Linotype" w:hAnsi="Palatino Linotype" w:cs="Arial"/>
          <w:i/>
          <w:sz w:val="22"/>
        </w:rPr>
      </w:pPr>
      <w:r w:rsidRPr="0076646A">
        <w:rPr>
          <w:rFonts w:ascii="Palatino Linotype" w:hAnsi="Palatino Linotype" w:cs="Arial"/>
          <w:i/>
          <w:sz w:val="22"/>
        </w:rPr>
        <w:t>1. Las actividades de fiscalización, verificación, inspección, comprobación y auditoría sobre el cumplimiento de las Leyes; o</w:t>
      </w:r>
    </w:p>
    <w:p w:rsidR="006A22D8" w:rsidRDefault="006A22D8" w:rsidP="00AA6CFE">
      <w:pPr>
        <w:ind w:left="709" w:right="760" w:firstLine="707"/>
        <w:jc w:val="both"/>
        <w:rPr>
          <w:rFonts w:ascii="Palatino Linotype" w:hAnsi="Palatino Linotype" w:cs="Arial"/>
          <w:i/>
          <w:sz w:val="22"/>
        </w:rPr>
      </w:pPr>
      <w:r w:rsidRPr="000501DB">
        <w:rPr>
          <w:rFonts w:ascii="Palatino Linotype" w:hAnsi="Palatino Linotype" w:cs="Arial"/>
          <w:i/>
          <w:sz w:val="22"/>
        </w:rPr>
        <w:t>2. La recaudación de las contribuciones.</w:t>
      </w:r>
    </w:p>
    <w:p w:rsidR="006A22D8" w:rsidRDefault="006A22D8" w:rsidP="00AA6CFE">
      <w:pPr>
        <w:ind w:left="709" w:right="760" w:firstLine="707"/>
        <w:jc w:val="both"/>
        <w:rPr>
          <w:rFonts w:ascii="Palatino Linotype" w:hAnsi="Palatino Linotype" w:cs="Arial"/>
          <w:i/>
          <w:sz w:val="22"/>
        </w:rPr>
      </w:pPr>
    </w:p>
    <w:p w:rsidR="006A22D8" w:rsidRDefault="006A22D8" w:rsidP="00AA6CFE">
      <w:pPr>
        <w:ind w:left="705" w:right="760"/>
        <w:jc w:val="both"/>
        <w:rPr>
          <w:rFonts w:ascii="Palatino Linotype" w:hAnsi="Palatino Linotype" w:cs="Arial"/>
          <w:i/>
          <w:sz w:val="22"/>
        </w:rPr>
      </w:pPr>
      <w:r w:rsidRPr="005C181A">
        <w:rPr>
          <w:rFonts w:ascii="Palatino Linotype" w:hAnsi="Palatino Linotype" w:cs="Arial"/>
          <w:i/>
          <w:sz w:val="22"/>
        </w:rPr>
        <w:t>VI. Pueda causar daño u obstruya la prevención o persecución</w:t>
      </w:r>
      <w:r w:rsidRPr="0076646A">
        <w:rPr>
          <w:rFonts w:ascii="Palatino Linotype" w:hAnsi="Palatino Linotype" w:cs="Arial"/>
          <w:i/>
          <w:sz w:val="22"/>
        </w:rPr>
        <w:t xml:space="preserve"> de los delitos, altere el proceso de investigación de las</w:t>
      </w:r>
      <w:r>
        <w:rPr>
          <w:rFonts w:ascii="Palatino Linotype" w:hAnsi="Palatino Linotype" w:cs="Arial"/>
          <w:i/>
          <w:sz w:val="22"/>
        </w:rPr>
        <w:t xml:space="preserve"> </w:t>
      </w:r>
      <w:r w:rsidRPr="0076646A">
        <w:rPr>
          <w:rFonts w:ascii="Palatino Linotype" w:hAnsi="Palatino Linotype" w:cs="Arial"/>
          <w:i/>
          <w:sz w:val="22"/>
        </w:rPr>
        <w:t xml:space="preserve">carpetas de investigación, afecte o vulnere la conducción o los derechos del debido proceso en los </w:t>
      </w:r>
      <w:r w:rsidRPr="0076646A">
        <w:rPr>
          <w:rFonts w:ascii="Palatino Linotype" w:hAnsi="Palatino Linotype" w:cs="Arial"/>
          <w:b/>
          <w:i/>
          <w:sz w:val="22"/>
        </w:rPr>
        <w:t>procedimientos</w:t>
      </w:r>
      <w:r w:rsidRPr="0076646A">
        <w:rPr>
          <w:rFonts w:ascii="Palatino Linotype" w:hAnsi="Palatino Linotype" w:cs="Arial"/>
          <w:i/>
          <w:sz w:val="22"/>
        </w:rPr>
        <w:t xml:space="preserve"> judiciales</w:t>
      </w:r>
      <w:r>
        <w:rPr>
          <w:rFonts w:ascii="Palatino Linotype" w:hAnsi="Palatino Linotype" w:cs="Arial"/>
          <w:i/>
          <w:sz w:val="22"/>
        </w:rPr>
        <w:t xml:space="preserve"> </w:t>
      </w:r>
      <w:r w:rsidRPr="0076646A">
        <w:rPr>
          <w:rFonts w:ascii="Palatino Linotype" w:hAnsi="Palatino Linotype" w:cs="Arial"/>
          <w:i/>
          <w:sz w:val="22"/>
        </w:rPr>
        <w:t xml:space="preserve">o </w:t>
      </w:r>
      <w:r w:rsidRPr="0076646A">
        <w:rPr>
          <w:rFonts w:ascii="Palatino Linotype" w:hAnsi="Palatino Linotype" w:cs="Arial"/>
          <w:b/>
          <w:i/>
          <w:sz w:val="22"/>
        </w:rPr>
        <w:t>administrativos</w:t>
      </w:r>
      <w:r w:rsidRPr="0076646A">
        <w:rPr>
          <w:rFonts w:ascii="Palatino Linotype" w:hAnsi="Palatino Linotype" w:cs="Arial"/>
          <w:i/>
          <w:sz w:val="22"/>
        </w:rPr>
        <w:t>, incluidos los de quejas, denuncias, inconformidades, responsabilidades administrativas y resarcitorias en</w:t>
      </w:r>
      <w:r>
        <w:rPr>
          <w:rFonts w:ascii="Palatino Linotype" w:hAnsi="Palatino Linotype" w:cs="Arial"/>
          <w:i/>
          <w:sz w:val="22"/>
        </w:rPr>
        <w:t xml:space="preserve"> </w:t>
      </w:r>
      <w:r w:rsidRPr="0076646A">
        <w:rPr>
          <w:rFonts w:ascii="Palatino Linotype" w:hAnsi="Palatino Linotype" w:cs="Arial"/>
          <w:i/>
          <w:sz w:val="22"/>
        </w:rPr>
        <w:t>tanto no hayan quedado firmes o afecte la administración de justicia o la seguridad de un denunciante, querellante o testigo,</w:t>
      </w:r>
      <w:r>
        <w:rPr>
          <w:rFonts w:ascii="Palatino Linotype" w:hAnsi="Palatino Linotype" w:cs="Arial"/>
          <w:i/>
          <w:sz w:val="22"/>
        </w:rPr>
        <w:t xml:space="preserve"> </w:t>
      </w:r>
      <w:r w:rsidRPr="0076646A">
        <w:rPr>
          <w:rFonts w:ascii="Palatino Linotype" w:hAnsi="Palatino Linotype" w:cs="Arial"/>
          <w:i/>
          <w:sz w:val="22"/>
        </w:rPr>
        <w:t>así como sus familias, en los términos de las disposiciones jurídicas aplicables;</w:t>
      </w:r>
    </w:p>
    <w:p w:rsidR="006A22D8" w:rsidRDefault="006A22D8" w:rsidP="00AA6CFE">
      <w:pPr>
        <w:ind w:right="760" w:firstLine="705"/>
        <w:jc w:val="both"/>
        <w:rPr>
          <w:rFonts w:ascii="Palatino Linotype" w:hAnsi="Palatino Linotype" w:cs="Arial"/>
          <w:i/>
          <w:sz w:val="22"/>
        </w:rPr>
      </w:pPr>
    </w:p>
    <w:p w:rsidR="006A22D8" w:rsidRPr="00D80DD5" w:rsidRDefault="006A22D8" w:rsidP="00AA6CFE">
      <w:pPr>
        <w:ind w:left="705" w:right="760"/>
        <w:jc w:val="both"/>
        <w:rPr>
          <w:rFonts w:ascii="Palatino Linotype" w:hAnsi="Palatino Linotype" w:cs="Arial"/>
          <w:b/>
          <w:i/>
          <w:sz w:val="22"/>
        </w:rPr>
      </w:pPr>
      <w:r w:rsidRPr="00D80DD5">
        <w:rPr>
          <w:rFonts w:ascii="Palatino Linotype" w:hAnsi="Palatino Linotype" w:cs="Arial"/>
          <w:b/>
          <w:i/>
          <w:sz w:val="22"/>
        </w:rPr>
        <w:t>VII. La que contengan las opiniones, recomendaciones o puntos de vista que formen parte del proceso deliberativo de los servidores públicos, hasta en tanto sea adoptada la decisión definitiva, la cual deberá estar documentada;</w:t>
      </w:r>
    </w:p>
    <w:p w:rsidR="006A22D8" w:rsidRDefault="006A22D8" w:rsidP="00AA6CFE">
      <w:pPr>
        <w:ind w:right="760" w:firstLine="705"/>
        <w:jc w:val="both"/>
        <w:rPr>
          <w:rFonts w:ascii="Palatino Linotype" w:hAnsi="Palatino Linotype" w:cs="Arial"/>
          <w:i/>
          <w:sz w:val="22"/>
        </w:rPr>
      </w:pPr>
    </w:p>
    <w:p w:rsidR="006A22D8" w:rsidRPr="00D80DD5" w:rsidRDefault="006A22D8" w:rsidP="00AA6CFE">
      <w:pPr>
        <w:ind w:left="705" w:right="760"/>
        <w:jc w:val="both"/>
        <w:rPr>
          <w:rFonts w:ascii="Palatino Linotype" w:hAnsi="Palatino Linotype" w:cs="Arial"/>
          <w:i/>
          <w:sz w:val="22"/>
        </w:rPr>
      </w:pPr>
      <w:r w:rsidRPr="00D80DD5">
        <w:rPr>
          <w:rFonts w:ascii="Palatino Linotype" w:hAnsi="Palatino Linotype" w:cs="Arial"/>
          <w:i/>
          <w:sz w:val="22"/>
        </w:rPr>
        <w:t>VIII. Vulnere la conducción de los expedientes judiciales o de los procedimientos administrativos seguidos en forma de juicio, en tanto no hayan quedado firmes;</w:t>
      </w:r>
    </w:p>
    <w:p w:rsidR="00A3262E" w:rsidRDefault="00A3262E" w:rsidP="00AA6CFE">
      <w:pPr>
        <w:ind w:left="705" w:right="760"/>
        <w:jc w:val="both"/>
        <w:rPr>
          <w:rFonts w:ascii="Palatino Linotype" w:hAnsi="Palatino Linotype" w:cs="Arial"/>
          <w:b/>
          <w:i/>
          <w:sz w:val="22"/>
        </w:rPr>
      </w:pPr>
    </w:p>
    <w:p w:rsidR="006A22D8" w:rsidRDefault="006A22D8" w:rsidP="00AA6CFE">
      <w:pPr>
        <w:ind w:left="709" w:right="760"/>
        <w:jc w:val="both"/>
        <w:rPr>
          <w:rFonts w:ascii="Palatino Linotype" w:hAnsi="Palatino Linotype" w:cs="Arial"/>
          <w:i/>
          <w:sz w:val="22"/>
        </w:rPr>
      </w:pPr>
      <w:r w:rsidRPr="00AC5BDF">
        <w:rPr>
          <w:rFonts w:ascii="Palatino Linotype" w:hAnsi="Palatino Linotype" w:cs="Arial"/>
          <w:b/>
          <w:i/>
          <w:sz w:val="22"/>
        </w:rPr>
        <w:t>Artículo 141</w:t>
      </w:r>
      <w:r w:rsidRPr="000501DB">
        <w:rPr>
          <w:rFonts w:ascii="Palatino Linotype" w:hAnsi="Palatino Linotype" w:cs="Arial"/>
          <w:i/>
          <w:sz w:val="22"/>
        </w:rPr>
        <w:t>. Las causales de reserva previstas en este Capítulo se deberán fundar y motivar, a través de la aplicación de</w:t>
      </w:r>
      <w:r>
        <w:rPr>
          <w:rFonts w:ascii="Palatino Linotype" w:hAnsi="Palatino Linotype" w:cs="Arial"/>
          <w:i/>
          <w:sz w:val="22"/>
        </w:rPr>
        <w:t xml:space="preserve"> </w:t>
      </w:r>
      <w:r w:rsidRPr="000501DB">
        <w:rPr>
          <w:rFonts w:ascii="Palatino Linotype" w:hAnsi="Palatino Linotype" w:cs="Arial"/>
          <w:i/>
          <w:sz w:val="22"/>
        </w:rPr>
        <w:t>la prueba de daño a la que se hace referencia en el presente Título.</w:t>
      </w:r>
      <w:r>
        <w:rPr>
          <w:rFonts w:ascii="Palatino Linotype" w:hAnsi="Palatino Linotype" w:cs="Arial"/>
          <w:i/>
          <w:sz w:val="22"/>
        </w:rPr>
        <w:t>”</w:t>
      </w:r>
    </w:p>
    <w:p w:rsidR="006C7DF8" w:rsidRPr="00BF3FFC" w:rsidRDefault="006C7DF8" w:rsidP="00AA6CFE">
      <w:pPr>
        <w:spacing w:before="100" w:beforeAutospacing="1" w:after="100" w:afterAutospacing="1" w:line="360" w:lineRule="auto"/>
        <w:jc w:val="both"/>
        <w:rPr>
          <w:rFonts w:ascii="Palatino Linotype" w:hAnsi="Palatino Linotype"/>
        </w:rPr>
      </w:pPr>
      <w:r w:rsidRPr="00BF3FFC">
        <w:rPr>
          <w:rFonts w:ascii="Palatino Linotype" w:hAnsi="Palatino Linotype" w:cs="Arial"/>
        </w:rPr>
        <w:t xml:space="preserve">En adición a lo anterior, </w:t>
      </w:r>
      <w:r w:rsidRPr="006C7DF8">
        <w:rPr>
          <w:rFonts w:ascii="Palatino Linotype" w:hAnsi="Palatino Linotype" w:cs="Arial"/>
        </w:rPr>
        <w:t>de ser el caso</w:t>
      </w:r>
      <w:r w:rsidRPr="00BF3FFC">
        <w:rPr>
          <w:rFonts w:ascii="Palatino Linotype" w:hAnsi="Palatino Linotype" w:cs="Arial"/>
        </w:rPr>
        <w:t xml:space="preserve">, en el Acuerdo de Clasificación deberá constar la realización de la </w:t>
      </w:r>
      <w:r w:rsidRPr="00BF3FFC">
        <w:rPr>
          <w:rFonts w:ascii="Palatino Linotype" w:hAnsi="Palatino Linotype" w:cs="Arial"/>
          <w:b/>
        </w:rPr>
        <w:t>prueba de daño</w:t>
      </w:r>
      <w:r w:rsidRPr="00BF3FFC">
        <w:rPr>
          <w:rFonts w:ascii="Palatino Linotype" w:hAnsi="Palatino Linotype" w:cs="Arial"/>
        </w:rPr>
        <w:t xml:space="preserve">, </w:t>
      </w:r>
      <w:r w:rsidRPr="00BF3FFC">
        <w:rPr>
          <w:rFonts w:ascii="Palatino Linotype" w:hAnsi="Palatino Linotype"/>
        </w:rPr>
        <w:t xml:space="preserve">en la que se justifiquen las razones, motivos y circunstancias que avalen que la divulgación de la información representa un </w:t>
      </w:r>
      <w:r w:rsidRPr="00BF3FFC">
        <w:rPr>
          <w:rFonts w:ascii="Palatino Linotype" w:hAnsi="Palatino Linotype"/>
          <w:b/>
        </w:rPr>
        <w:t>riesgo real, demostrable e identificable</w:t>
      </w:r>
      <w:r w:rsidRPr="00BF3FFC">
        <w:rPr>
          <w:rFonts w:ascii="Palatino Linotype" w:hAnsi="Palatino Linotype"/>
        </w:rPr>
        <w:t xml:space="preserve"> de perjuicio significativo al interés público; que el riesgo de perjuicio que supondría la divulgación supera el interés público general de </w:t>
      </w:r>
      <w:r w:rsidRPr="00BF3FFC">
        <w:rPr>
          <w:rFonts w:ascii="Palatino Linotype" w:hAnsi="Palatino Linotype" w:cs="Arial"/>
        </w:rPr>
        <w:t>que</w:t>
      </w:r>
      <w:r w:rsidRPr="00BF3FFC">
        <w:rPr>
          <w:rFonts w:ascii="Palatino Linotype" w:hAnsi="Palatino Linotype"/>
        </w:rPr>
        <w:t xml:space="preserve"> se difunda, y que la limitación se adecúa al principio de proporcionalidad y representa el medio menos restrictivo disponible para evitar el perjuicio. En ese tenor, </w:t>
      </w:r>
      <w:r w:rsidRPr="00BF3FFC">
        <w:rPr>
          <w:rFonts w:ascii="Palatino Linotype" w:hAnsi="Palatino Linotype"/>
        </w:rPr>
        <w:lastRenderedPageBreak/>
        <w:t xml:space="preserve">los artículos 114 de la Ley General de Transparencia y Acceso a la Información Pública, 128 de la Ley de Transparencia y Acceso a la Información Pública del Estado de México y Municipios, los cuales se transcriben a </w:t>
      </w:r>
      <w:r w:rsidRPr="00BF3FFC">
        <w:rPr>
          <w:rFonts w:ascii="Palatino Linotype" w:hAnsi="Palatino Linotype" w:cs="Arial"/>
        </w:rPr>
        <w:t>continuación</w:t>
      </w:r>
      <w:r w:rsidRPr="00BF3FFC">
        <w:rPr>
          <w:rFonts w:ascii="Palatino Linotype" w:hAnsi="Palatino Linotype"/>
        </w:rPr>
        <w:t xml:space="preserve"> para mejor ilustración:</w:t>
      </w:r>
    </w:p>
    <w:p w:rsidR="006C7DF8" w:rsidRDefault="006C7DF8" w:rsidP="00AA6CFE">
      <w:pPr>
        <w:tabs>
          <w:tab w:val="left" w:pos="7938"/>
        </w:tabs>
        <w:ind w:left="851" w:right="1185"/>
        <w:jc w:val="center"/>
        <w:rPr>
          <w:rFonts w:ascii="Palatino Linotype" w:hAnsi="Palatino Linotype" w:cs="Arial"/>
          <w:b/>
          <w:bCs/>
          <w:i/>
        </w:rPr>
      </w:pPr>
      <w:r w:rsidRPr="00E267F2">
        <w:rPr>
          <w:rFonts w:ascii="Palatino Linotype" w:hAnsi="Palatino Linotype" w:cs="Arial"/>
          <w:b/>
          <w:bCs/>
          <w:i/>
        </w:rPr>
        <w:t>Ley General de Transparencia y Acceso a la Información Pública</w:t>
      </w:r>
    </w:p>
    <w:p w:rsidR="006C7DF8" w:rsidRPr="00E267F2" w:rsidRDefault="006C7DF8" w:rsidP="00AA6CFE">
      <w:pPr>
        <w:tabs>
          <w:tab w:val="left" w:pos="7938"/>
        </w:tabs>
        <w:ind w:left="851" w:right="1185"/>
        <w:jc w:val="both"/>
        <w:rPr>
          <w:rFonts w:ascii="Palatino Linotype" w:hAnsi="Palatino Linotype" w:cs="Arial"/>
          <w:bCs/>
          <w:i/>
        </w:rPr>
      </w:pPr>
      <w:r w:rsidRPr="00E267F2">
        <w:rPr>
          <w:rFonts w:ascii="Palatino Linotype" w:hAnsi="Palatino Linotype" w:cs="Arial"/>
          <w:b/>
          <w:bCs/>
          <w:i/>
        </w:rPr>
        <w:t>Artículo 114</w:t>
      </w:r>
      <w:r w:rsidRPr="00E267F2">
        <w:rPr>
          <w:rFonts w:ascii="Palatino Linotype" w:hAnsi="Palatino Linotype" w:cs="Arial"/>
          <w:bCs/>
          <w:i/>
        </w:rPr>
        <w:t xml:space="preserve">. </w:t>
      </w:r>
      <w:r w:rsidRPr="006C7DF8">
        <w:rPr>
          <w:rFonts w:ascii="Palatino Linotype" w:hAnsi="Palatino Linotype" w:cs="Arial"/>
          <w:bCs/>
          <w:i/>
          <w:u w:val="single"/>
        </w:rPr>
        <w:t xml:space="preserve">Las causales de reserva previstas en el artículo anterior se deberán fundar y motivar, a través de la aplicación de la prueba de daño </w:t>
      </w:r>
      <w:r w:rsidRPr="00E267F2">
        <w:rPr>
          <w:rFonts w:ascii="Palatino Linotype" w:hAnsi="Palatino Linotype" w:cs="Arial"/>
          <w:bCs/>
          <w:i/>
        </w:rPr>
        <w:t>a la que se hace referencia en el presente Título.</w:t>
      </w:r>
    </w:p>
    <w:p w:rsidR="006C7DF8" w:rsidRPr="00E267F2" w:rsidRDefault="006C7DF8" w:rsidP="00AA6CFE">
      <w:pPr>
        <w:tabs>
          <w:tab w:val="left" w:pos="7938"/>
        </w:tabs>
        <w:ind w:left="851" w:right="1185"/>
        <w:jc w:val="center"/>
        <w:rPr>
          <w:rFonts w:ascii="Palatino Linotype" w:hAnsi="Palatino Linotype" w:cs="Arial"/>
          <w:b/>
          <w:bCs/>
          <w:i/>
        </w:rPr>
      </w:pPr>
      <w:r w:rsidRPr="00E267F2">
        <w:rPr>
          <w:rFonts w:ascii="Palatino Linotype" w:hAnsi="Palatino Linotype" w:cs="Arial"/>
          <w:b/>
          <w:bCs/>
          <w:i/>
        </w:rPr>
        <w:t>Ley de Transparencia y Acceso a la Información Pública del Estado de México y Municipios</w:t>
      </w:r>
    </w:p>
    <w:p w:rsidR="006C7DF8" w:rsidRPr="00E267F2" w:rsidRDefault="006C7DF8" w:rsidP="00AA6CFE">
      <w:pPr>
        <w:tabs>
          <w:tab w:val="left" w:pos="7938"/>
        </w:tabs>
        <w:ind w:left="851" w:right="1185"/>
        <w:jc w:val="both"/>
        <w:rPr>
          <w:rFonts w:ascii="Palatino Linotype" w:hAnsi="Palatino Linotype" w:cs="Arial"/>
          <w:bCs/>
          <w:i/>
        </w:rPr>
      </w:pPr>
      <w:r w:rsidRPr="00E267F2">
        <w:rPr>
          <w:rFonts w:ascii="Palatino Linotype" w:hAnsi="Palatino Linotype" w:cs="Arial"/>
          <w:b/>
          <w:bCs/>
          <w:i/>
        </w:rPr>
        <w:t>Artículo 128</w:t>
      </w:r>
      <w:r w:rsidRPr="00E267F2">
        <w:rPr>
          <w:rFonts w:ascii="Palatino Linotype" w:hAnsi="Palatino Linotype" w:cs="Arial"/>
          <w:bCs/>
          <w:i/>
        </w:rPr>
        <w:t xml:space="preserve">. En los casos en que se niegue el acceso a la información, por actualizarse alguno de los supuestos de clasificación, el Comité de Transparencia deberá confirmar, modificar o revocar la decisión. </w:t>
      </w:r>
    </w:p>
    <w:p w:rsidR="006C7DF8" w:rsidRPr="00E267F2" w:rsidRDefault="006C7DF8" w:rsidP="00AA6CFE">
      <w:pPr>
        <w:tabs>
          <w:tab w:val="left" w:pos="7938"/>
        </w:tabs>
        <w:ind w:left="851" w:right="1185"/>
        <w:jc w:val="both"/>
        <w:rPr>
          <w:rFonts w:ascii="Palatino Linotype" w:hAnsi="Palatino Linotype" w:cs="Arial"/>
          <w:bCs/>
          <w:i/>
        </w:rPr>
      </w:pPr>
      <w:r w:rsidRPr="006C7DF8">
        <w:rPr>
          <w:rFonts w:ascii="Palatino Linotype" w:hAnsi="Palatino Linotype" w:cs="Arial"/>
          <w:bCs/>
          <w:i/>
          <w:u w:val="single"/>
        </w:rPr>
        <w:t>Para motivar la clasificación de la información</w:t>
      </w:r>
      <w:r w:rsidRPr="00E267F2">
        <w:rPr>
          <w:rFonts w:ascii="Palatino Linotype" w:hAnsi="Palatino Linotype" w:cs="Arial"/>
          <w:bCs/>
          <w:i/>
        </w:rPr>
        <w:t xml:space="preserve"> y la ampliación del plazo de reserva, </w:t>
      </w:r>
      <w:r w:rsidRPr="006C7DF8">
        <w:rPr>
          <w:rFonts w:ascii="Palatino Linotype" w:hAnsi="Palatino Linotype" w:cs="Arial"/>
          <w:bCs/>
          <w:i/>
          <w:u w:val="single"/>
        </w:rPr>
        <w:t>se deberán señalar las razones, motivos o circunstancias especiales que llevaron al sujeto obligado a concluir que el caso particular se ajusta al supuesto previsto por la norma legal invocada</w:t>
      </w:r>
      <w:r w:rsidRPr="00E267F2">
        <w:rPr>
          <w:rFonts w:ascii="Palatino Linotype" w:hAnsi="Palatino Linotype" w:cs="Arial"/>
          <w:bCs/>
          <w:i/>
        </w:rPr>
        <w:t xml:space="preserve"> como fundamento. Además, </w:t>
      </w:r>
      <w:r w:rsidRPr="00E267F2">
        <w:rPr>
          <w:rFonts w:ascii="Palatino Linotype" w:hAnsi="Palatino Linotype" w:cs="Arial"/>
          <w:b/>
          <w:bCs/>
          <w:i/>
        </w:rPr>
        <w:t>el sujeto obligado deberá, en todo momento, aplicar una prueba de daño</w:t>
      </w:r>
      <w:r w:rsidRPr="00E267F2">
        <w:rPr>
          <w:rFonts w:ascii="Palatino Linotype" w:hAnsi="Palatino Linotype" w:cs="Arial"/>
          <w:bCs/>
          <w:i/>
        </w:rPr>
        <w:t xml:space="preserve">. </w:t>
      </w:r>
    </w:p>
    <w:p w:rsidR="006C7DF8" w:rsidRPr="00E267F2" w:rsidRDefault="006C7DF8" w:rsidP="00AA6CFE">
      <w:pPr>
        <w:tabs>
          <w:tab w:val="left" w:pos="7938"/>
        </w:tabs>
        <w:ind w:left="851" w:right="1185"/>
        <w:jc w:val="both"/>
        <w:rPr>
          <w:rFonts w:ascii="Palatino Linotype" w:hAnsi="Palatino Linotype" w:cs="Arial"/>
          <w:bCs/>
          <w:i/>
        </w:rPr>
      </w:pPr>
      <w:r w:rsidRPr="00E267F2">
        <w:rPr>
          <w:rFonts w:ascii="Palatino Linotype" w:hAnsi="Palatino Linotype" w:cs="Arial"/>
          <w:bCs/>
          <w:i/>
        </w:rPr>
        <w:t xml:space="preserve">Tratándose de aquélla información que actualice los supuestos de clasificación, deberá señalarse el plazo al que estará sujeto la reserva. </w:t>
      </w:r>
    </w:p>
    <w:p w:rsidR="006C7DF8" w:rsidRPr="00E267F2" w:rsidRDefault="006C7DF8" w:rsidP="00AA6CFE">
      <w:pPr>
        <w:tabs>
          <w:tab w:val="left" w:pos="7938"/>
        </w:tabs>
        <w:ind w:left="851" w:right="1185"/>
        <w:jc w:val="both"/>
        <w:rPr>
          <w:rFonts w:ascii="Palatino Linotype" w:hAnsi="Palatino Linotype" w:cs="Arial"/>
          <w:bCs/>
        </w:rPr>
      </w:pPr>
      <w:r w:rsidRPr="00E267F2">
        <w:rPr>
          <w:rFonts w:ascii="Palatino Linotype" w:hAnsi="Palatino Linotype" w:cs="Arial"/>
          <w:bCs/>
        </w:rPr>
        <w:t>(Énfasis añadido)</w:t>
      </w:r>
    </w:p>
    <w:p w:rsidR="001215B7" w:rsidRDefault="001215B7" w:rsidP="001215B7">
      <w:pPr>
        <w:spacing w:before="100" w:beforeAutospacing="1" w:after="100" w:afterAutospacing="1" w:line="360" w:lineRule="auto"/>
        <w:jc w:val="both"/>
        <w:rPr>
          <w:rFonts w:ascii="Palatino Linotype" w:hAnsi="Palatino Linotype" w:cs="Arial"/>
          <w:lang w:val="es-ES_tradnl"/>
        </w:rPr>
      </w:pPr>
      <w:r>
        <w:rPr>
          <w:rFonts w:ascii="Palatino Linotype" w:hAnsi="Palatino Linotype"/>
          <w:color w:val="000000"/>
        </w:rPr>
        <w:t xml:space="preserve">Ahora bien, en términos del artículo 140 de la Ley de Transparencia y Acceso a la Información Pública del Estado de México y Municipios, se debe proceder a clasificar la información requerida </w:t>
      </w:r>
      <w:r>
        <w:rPr>
          <w:rFonts w:ascii="Palatino Linotype" w:hAnsi="Palatino Linotype" w:cs="Arial"/>
          <w:lang w:val="es-ES_tradnl"/>
        </w:rPr>
        <w:t>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fracción II de la Ley de Transparencia y Acceso a la Información </w:t>
      </w:r>
      <w:r>
        <w:rPr>
          <w:rFonts w:ascii="Palatino Linotype" w:hAnsi="Palatino Linotype" w:cs="Arial"/>
          <w:lang w:val="es-ES_tradnl"/>
        </w:rPr>
        <w:lastRenderedPageBreak/>
        <w:t>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1215B7" w:rsidRDefault="001215B7" w:rsidP="001215B7">
      <w:pPr>
        <w:ind w:left="709" w:right="709"/>
        <w:jc w:val="center"/>
        <w:rPr>
          <w:rFonts w:ascii="Palatino Linotype" w:hAnsi="Palatino Linotype" w:cs="Arial"/>
          <w:b/>
          <w:i/>
          <w:sz w:val="22"/>
          <w:szCs w:val="22"/>
          <w:lang w:val="es-MX"/>
        </w:rPr>
      </w:pPr>
      <w:r>
        <w:rPr>
          <w:rFonts w:ascii="Palatino Linotype" w:hAnsi="Palatino Linotype" w:cs="Arial"/>
          <w:b/>
          <w:i/>
          <w:sz w:val="22"/>
          <w:szCs w:val="22"/>
        </w:rPr>
        <w:t>Ley de Transparencia y Acceso a la Información Pública del Estado de México y Municipios</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w:t>
      </w:r>
      <w:r>
        <w:rPr>
          <w:rFonts w:ascii="Palatino Linotype" w:hAnsi="Palatino Linotype" w:cs="Arial"/>
          <w:b/>
          <w:i/>
          <w:sz w:val="22"/>
          <w:szCs w:val="22"/>
          <w:u w:val="single"/>
          <w:lang w:eastAsia="es-MX"/>
        </w:rPr>
        <w:t>la clasificación de la información</w:t>
      </w:r>
      <w:r>
        <w:rPr>
          <w:rFonts w:ascii="Palatino Linotype" w:hAnsi="Palatino Linotype" w:cs="Arial"/>
          <w:i/>
          <w:sz w:val="22"/>
          <w:szCs w:val="22"/>
          <w:lang w:eastAsia="es-MX"/>
        </w:rPr>
        <w:t>;</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clasificación de la información se llevará a cabo en el momento en que:</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Se determine mediante resolución de autoridad competente</w:t>
      </w:r>
      <w:r>
        <w:rPr>
          <w:rFonts w:ascii="Palatino Linotype" w:hAnsi="Palatino Linotype" w:cs="Arial"/>
          <w:i/>
          <w:sz w:val="22"/>
          <w:szCs w:val="22"/>
          <w:lang w:eastAsia="es-MX"/>
        </w:rPr>
        <w:t xml:space="preserve">; </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ind w:left="709" w:right="709"/>
        <w:jc w:val="center"/>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1215B7" w:rsidRDefault="001215B7" w:rsidP="001215B7">
      <w:pPr>
        <w:ind w:left="709" w:right="709"/>
        <w:jc w:val="center"/>
        <w:rPr>
          <w:rFonts w:ascii="Palatino Linotype" w:hAnsi="Palatino Linotype" w:cs="Arial"/>
          <w:b/>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Para clasificar la información como</w:t>
      </w:r>
      <w:r>
        <w:rPr>
          <w:rFonts w:ascii="Palatino Linotype" w:hAnsi="Palatino Linotype" w:cs="Arial"/>
          <w:i/>
          <w:sz w:val="22"/>
          <w:szCs w:val="22"/>
          <w:lang w:eastAsia="es-MX"/>
        </w:rPr>
        <w:t xml:space="preserve"> </w:t>
      </w:r>
      <w:r w:rsidRPr="00FB363E">
        <w:rPr>
          <w:rFonts w:ascii="Palatino Linotype" w:hAnsi="Palatino Linotype" w:cs="Arial"/>
          <w:b/>
          <w:i/>
          <w:sz w:val="22"/>
          <w:szCs w:val="22"/>
          <w:u w:val="single"/>
          <w:lang w:eastAsia="es-MX"/>
        </w:rPr>
        <w:t xml:space="preserve">reservada </w:t>
      </w:r>
      <w:r>
        <w:rPr>
          <w:rFonts w:ascii="Palatino Linotype" w:hAnsi="Palatino Linotype" w:cs="Arial"/>
          <w:i/>
          <w:sz w:val="22"/>
          <w:szCs w:val="22"/>
          <w:lang w:eastAsia="es-MX"/>
        </w:rPr>
        <w:t xml:space="preserve">o </w:t>
      </w:r>
      <w:r w:rsidRPr="00FB363E">
        <w:rPr>
          <w:rFonts w:ascii="Palatino Linotype" w:hAnsi="Palatino Linotype" w:cs="Arial"/>
          <w:i/>
          <w:sz w:val="22"/>
          <w:szCs w:val="22"/>
          <w:lang w:eastAsia="es-MX"/>
        </w:rPr>
        <w:t>confidencial,</w:t>
      </w:r>
      <w:r>
        <w:rPr>
          <w:rFonts w:ascii="Palatino Linotype" w:hAnsi="Palatino Linotype" w:cs="Arial"/>
          <w:b/>
          <w:i/>
          <w:sz w:val="22"/>
          <w:szCs w:val="22"/>
          <w:u w:val="single"/>
          <w:lang w:eastAsia="es-MX"/>
        </w:rPr>
        <w:t xml:space="preserve"> de manera </w:t>
      </w:r>
      <w:r w:rsidRPr="00FB363E">
        <w:rPr>
          <w:rFonts w:ascii="Palatino Linotype" w:hAnsi="Palatino Linotype" w:cs="Arial"/>
          <w:b/>
          <w:i/>
          <w:sz w:val="22"/>
          <w:szCs w:val="22"/>
          <w:u w:val="single"/>
          <w:lang w:eastAsia="es-MX"/>
        </w:rPr>
        <w:t>total o parcial</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el titular del </w:t>
      </w:r>
      <w:r>
        <w:rPr>
          <w:rFonts w:ascii="Palatino Linotype" w:hAnsi="Palatino Linotype" w:cs="Arial"/>
          <w:b/>
          <w:bCs/>
          <w:i/>
          <w:noProof/>
          <w:sz w:val="22"/>
          <w:szCs w:val="22"/>
          <w:u w:val="single"/>
        </w:rPr>
        <w:t>área</w:t>
      </w:r>
      <w:r>
        <w:rPr>
          <w:rFonts w:ascii="Palatino Linotype" w:hAnsi="Palatino Linotype" w:cs="Arial"/>
          <w:b/>
          <w:i/>
          <w:sz w:val="22"/>
          <w:szCs w:val="22"/>
          <w:u w:val="single"/>
          <w:lang w:eastAsia="es-MX"/>
        </w:rPr>
        <w:t xml:space="preserve"> del sujeto </w:t>
      </w:r>
      <w:r>
        <w:rPr>
          <w:rFonts w:ascii="Palatino Linotype" w:hAnsi="Palatino Linotype" w:cs="Arial"/>
          <w:b/>
          <w:i/>
          <w:sz w:val="22"/>
          <w:szCs w:val="22"/>
          <w:u w:val="single"/>
        </w:rPr>
        <w:t>obligado</w:t>
      </w:r>
      <w:r>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Pr>
          <w:rFonts w:ascii="Palatino Linotype" w:hAnsi="Palatino Linotype" w:cs="Arial"/>
          <w:i/>
          <w:sz w:val="22"/>
          <w:szCs w:val="22"/>
          <w:lang w:eastAsia="es-MX"/>
        </w:rPr>
        <w:t xml:space="preserve"> la Ley General, la Ley Federal y </w:t>
      </w:r>
      <w:r>
        <w:rPr>
          <w:rFonts w:ascii="Palatino Linotype" w:hAnsi="Palatino Linotype" w:cs="Arial"/>
          <w:b/>
          <w:i/>
          <w:sz w:val="22"/>
          <w:szCs w:val="22"/>
          <w:u w:val="single"/>
          <w:lang w:eastAsia="es-MX"/>
        </w:rPr>
        <w:t xml:space="preserve">leyes estatales, </w:t>
      </w:r>
      <w:r>
        <w:rPr>
          <w:rFonts w:ascii="Palatino Linotype" w:hAnsi="Palatino Linotype" w:cs="Arial"/>
          <w:b/>
          <w:i/>
          <w:sz w:val="22"/>
          <w:szCs w:val="22"/>
          <w:u w:val="single"/>
        </w:rPr>
        <w:t>corresponderá</w:t>
      </w:r>
      <w:r>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Pr>
          <w:rFonts w:ascii="Palatino Linotype" w:hAnsi="Palatino Linotype" w:cs="Arial"/>
          <w:i/>
          <w:sz w:val="22"/>
          <w:szCs w:val="22"/>
          <w:lang w:eastAsia="es-MX"/>
        </w:rPr>
        <w:t xml:space="preserve"> o al momento en que </w:t>
      </w:r>
      <w:r>
        <w:rPr>
          <w:rFonts w:ascii="Palatino Linotype" w:hAnsi="Palatino Linotype" w:cs="Arial"/>
          <w:i/>
          <w:sz w:val="22"/>
          <w:szCs w:val="22"/>
          <w:lang w:eastAsia="es-MX"/>
        </w:rPr>
        <w:lastRenderedPageBreak/>
        <w:t>generen versiones públicas para dar cumplimiento a las obligaciones de transparencia, observando lo dispuesto en la Ley General y las demás disposiciones aplicables en la materia.</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Los sujetos obligados no podrán emitir acuerdos de carácter general</w:t>
      </w:r>
      <w:r>
        <w:rPr>
          <w:rFonts w:ascii="Palatino Linotype" w:hAnsi="Palatino Linotype" w:cs="Arial"/>
          <w:i/>
          <w:sz w:val="22"/>
          <w:szCs w:val="22"/>
          <w:lang w:eastAsia="es-MX"/>
        </w:rPr>
        <w:t xml:space="preserve">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ind w:left="709" w:right="709"/>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La clasificación de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realizará conforme a un análisis caso por caso</w:t>
      </w:r>
      <w:r>
        <w:rPr>
          <w:rFonts w:ascii="Palatino Linotype" w:hAnsi="Palatino Linotype" w:cs="Arial"/>
          <w:i/>
          <w:sz w:val="22"/>
          <w:szCs w:val="22"/>
          <w:lang w:eastAsia="es-MX"/>
        </w:rPr>
        <w:t xml:space="preserve">,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1215B7" w:rsidRDefault="001215B7" w:rsidP="001215B7">
      <w:pPr>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La clasificación </w:t>
      </w:r>
      <w:r>
        <w:rPr>
          <w:rFonts w:ascii="Palatino Linotype" w:hAnsi="Palatino Linotype" w:cs="Arial"/>
          <w:b/>
          <w:bCs/>
          <w:i/>
          <w:noProof/>
          <w:sz w:val="22"/>
          <w:szCs w:val="22"/>
          <w:u w:val="single"/>
        </w:rPr>
        <w:t>de</w:t>
      </w:r>
      <w:r>
        <w:rPr>
          <w:rFonts w:ascii="Palatino Linotype" w:hAnsi="Palatino Linotype" w:cs="Arial"/>
          <w:b/>
          <w:i/>
          <w:sz w:val="22"/>
          <w:szCs w:val="22"/>
          <w:u w:val="single"/>
          <w:lang w:eastAsia="es-MX"/>
        </w:rPr>
        <w:t xml:space="preserve"> la </w:t>
      </w:r>
      <w:r>
        <w:rPr>
          <w:rFonts w:ascii="Palatino Linotype" w:hAnsi="Palatino Linotype" w:cs="Arial"/>
          <w:b/>
          <w:i/>
          <w:sz w:val="22"/>
          <w:szCs w:val="22"/>
          <w:u w:val="single"/>
        </w:rPr>
        <w:t>información</w:t>
      </w:r>
      <w:r>
        <w:rPr>
          <w:rFonts w:ascii="Palatino Linotype" w:hAnsi="Palatino Linotype" w:cs="Arial"/>
          <w:b/>
          <w:i/>
          <w:sz w:val="22"/>
          <w:szCs w:val="22"/>
          <w:u w:val="single"/>
          <w:lang w:eastAsia="es-MX"/>
        </w:rPr>
        <w:t xml:space="preserve"> se llevará a cabo en el momento en que</w:t>
      </w:r>
      <w:r>
        <w:rPr>
          <w:rFonts w:ascii="Palatino Linotype" w:hAnsi="Palatino Linotype" w:cs="Arial"/>
          <w:i/>
          <w:sz w:val="22"/>
          <w:szCs w:val="22"/>
          <w:lang w:eastAsia="es-MX"/>
        </w:rPr>
        <w:t>:</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Se determine </w:t>
      </w:r>
      <w:r>
        <w:rPr>
          <w:rFonts w:ascii="Palatino Linotype" w:hAnsi="Palatino Linotype" w:cs="Arial"/>
          <w:b/>
          <w:bCs/>
          <w:i/>
          <w:noProof/>
          <w:sz w:val="22"/>
          <w:szCs w:val="22"/>
          <w:u w:val="single"/>
        </w:rPr>
        <w:t>mediante</w:t>
      </w:r>
      <w:r>
        <w:rPr>
          <w:rFonts w:ascii="Palatino Linotype" w:hAnsi="Palatino Linotype" w:cs="Arial"/>
          <w:b/>
          <w:i/>
          <w:sz w:val="22"/>
          <w:szCs w:val="22"/>
          <w:u w:val="single"/>
          <w:lang w:eastAsia="es-MX"/>
        </w:rPr>
        <w:t xml:space="preserve"> resolución de autoridad competente</w:t>
      </w:r>
      <w:r>
        <w:rPr>
          <w:rFonts w:ascii="Palatino Linotype" w:hAnsi="Palatino Linotype" w:cs="Arial"/>
          <w:i/>
          <w:sz w:val="22"/>
          <w:szCs w:val="22"/>
          <w:lang w:eastAsia="es-MX"/>
        </w:rPr>
        <w:t>, o</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Pr>
          <w:rFonts w:ascii="Palatino Linotype" w:hAnsi="Palatino Linotype" w:cs="Arial"/>
          <w:b/>
          <w:bCs/>
          <w:i/>
          <w:noProof/>
          <w:sz w:val="22"/>
          <w:szCs w:val="22"/>
          <w:u w:val="single"/>
        </w:rPr>
        <w:t>expresamente</w:t>
      </w:r>
      <w:r>
        <w:rPr>
          <w:rFonts w:ascii="Palatino Linotype" w:hAnsi="Palatino Linotype" w:cs="Arial"/>
          <w:b/>
          <w:i/>
          <w:sz w:val="22"/>
          <w:szCs w:val="22"/>
          <w:u w:val="single"/>
          <w:lang w:eastAsia="es-MX"/>
        </w:rPr>
        <w:t xml:space="preserve"> le otorga el carácter de</w:t>
      </w:r>
      <w:r>
        <w:rPr>
          <w:rFonts w:ascii="Palatino Linotype" w:hAnsi="Palatino Linotype" w:cs="Arial"/>
          <w:i/>
          <w:sz w:val="22"/>
          <w:szCs w:val="22"/>
          <w:lang w:eastAsia="es-MX"/>
        </w:rPr>
        <w:t xml:space="preserve"> reservada o </w:t>
      </w:r>
      <w:r>
        <w:rPr>
          <w:rFonts w:ascii="Palatino Linotype" w:hAnsi="Palatino Linotype" w:cs="Arial"/>
          <w:b/>
          <w:i/>
          <w:sz w:val="22"/>
          <w:szCs w:val="22"/>
          <w:u w:val="single"/>
          <w:lang w:eastAsia="es-MX"/>
        </w:rPr>
        <w:t>confidencial</w:t>
      </w:r>
      <w:r>
        <w:rPr>
          <w:rFonts w:ascii="Palatino Linotype" w:hAnsi="Palatino Linotype" w:cs="Arial"/>
          <w:i/>
          <w:sz w:val="22"/>
          <w:szCs w:val="22"/>
          <w:lang w:eastAsia="es-MX"/>
        </w:rPr>
        <w:t>.</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bCs/>
          <w:i/>
          <w:noProof/>
          <w:sz w:val="22"/>
          <w:szCs w:val="22"/>
        </w:rPr>
      </w:pPr>
      <w:r>
        <w:rPr>
          <w:rFonts w:ascii="Palatino Linotype" w:hAnsi="Palatino Linotype" w:cs="Arial"/>
          <w:b/>
          <w:i/>
          <w:sz w:val="22"/>
          <w:szCs w:val="22"/>
          <w:u w:val="single"/>
          <w:lang w:eastAsia="es-MX"/>
        </w:rPr>
        <w:t xml:space="preserve">Para </w:t>
      </w:r>
      <w:r>
        <w:rPr>
          <w:rFonts w:ascii="Palatino Linotype" w:hAnsi="Palatino Linotype" w:cs="Arial"/>
          <w:b/>
          <w:bCs/>
          <w:i/>
          <w:noProof/>
          <w:sz w:val="22"/>
          <w:szCs w:val="22"/>
          <w:u w:val="single"/>
        </w:rPr>
        <w:t xml:space="preserve">motivar la clasificación se deberán señalar las razones o circunstancias especiales que lo </w:t>
      </w:r>
      <w:r>
        <w:rPr>
          <w:rFonts w:ascii="Palatino Linotype" w:hAnsi="Palatino Linotype" w:cs="Arial"/>
          <w:b/>
          <w:i/>
          <w:sz w:val="22"/>
          <w:szCs w:val="22"/>
          <w:u w:val="single"/>
          <w:lang w:eastAsia="es-MX"/>
        </w:rPr>
        <w:t>llevaron</w:t>
      </w:r>
      <w:r>
        <w:rPr>
          <w:rFonts w:ascii="Palatino Linotype" w:hAnsi="Palatino Linotype" w:cs="Arial"/>
          <w:b/>
          <w:bCs/>
          <w:i/>
          <w:noProof/>
          <w:sz w:val="22"/>
          <w:szCs w:val="22"/>
          <w:u w:val="single"/>
        </w:rPr>
        <w:t xml:space="preserve"> a concluir que el caso particular se ajusta al supuesto previsto por la norma legal invocada </w:t>
      </w:r>
      <w:r>
        <w:rPr>
          <w:rFonts w:ascii="Palatino Linotype" w:hAnsi="Palatino Linotype" w:cs="Arial"/>
          <w:bCs/>
          <w:i/>
          <w:noProof/>
          <w:sz w:val="22"/>
          <w:szCs w:val="22"/>
        </w:rPr>
        <w:t>como fundamento.</w:t>
      </w:r>
    </w:p>
    <w:p w:rsidR="001215B7" w:rsidRDefault="001215B7" w:rsidP="001215B7">
      <w:pPr>
        <w:autoSpaceDE w:val="0"/>
        <w:autoSpaceDN w:val="0"/>
        <w:adjustRightInd w:val="0"/>
        <w:ind w:left="709" w:right="709"/>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1215B7" w:rsidRDefault="001215B7" w:rsidP="001215B7">
      <w:pPr>
        <w:autoSpaceDE w:val="0"/>
        <w:autoSpaceDN w:val="0"/>
        <w:adjustRightInd w:val="0"/>
        <w:ind w:left="709" w:right="709"/>
        <w:jc w:val="both"/>
        <w:rPr>
          <w:rFonts w:ascii="Palatino Linotype" w:hAnsi="Palatino Linotype" w:cs="Arial"/>
          <w:bCs/>
          <w:i/>
          <w:noProof/>
          <w:sz w:val="22"/>
          <w:szCs w:val="22"/>
        </w:rPr>
      </w:pPr>
    </w:p>
    <w:p w:rsidR="001215B7" w:rsidRDefault="001215B7" w:rsidP="001215B7">
      <w:pPr>
        <w:autoSpaceDE w:val="0"/>
        <w:autoSpaceDN w:val="0"/>
        <w:adjustRightInd w:val="0"/>
        <w:ind w:left="709" w:right="709"/>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1215B7" w:rsidRDefault="001215B7" w:rsidP="001215B7">
      <w:pPr>
        <w:autoSpaceDE w:val="0"/>
        <w:autoSpaceDN w:val="0"/>
        <w:adjustRightInd w:val="0"/>
        <w:ind w:left="709" w:right="709"/>
        <w:jc w:val="both"/>
        <w:rPr>
          <w:rFonts w:ascii="Palatino Linotype" w:hAnsi="Palatino Linotype" w:cs="Arial"/>
          <w:bCs/>
          <w:i/>
          <w:noProof/>
          <w:sz w:val="22"/>
          <w:szCs w:val="22"/>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Pr>
          <w:rFonts w:ascii="Palatino Linotype" w:hAnsi="Palatino Linotype" w:cs="Arial"/>
          <w:b/>
          <w:i/>
          <w:sz w:val="22"/>
          <w:szCs w:val="22"/>
          <w:u w:val="single"/>
        </w:rPr>
        <w:t>documentos</w:t>
      </w:r>
      <w:r>
        <w:rPr>
          <w:rFonts w:ascii="Palatino Linotype" w:hAnsi="Palatino Linotype" w:cs="Arial"/>
          <w:b/>
          <w:i/>
          <w:sz w:val="22"/>
          <w:szCs w:val="22"/>
          <w:u w:val="single"/>
          <w:lang w:eastAsia="es-MX"/>
        </w:rPr>
        <w:t xml:space="preserve"> clasificados</w:t>
      </w:r>
      <w:r>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w:t>
      </w:r>
      <w:r>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Pr>
          <w:rFonts w:ascii="Palatino Linotype" w:hAnsi="Palatino Linotype" w:cs="Arial"/>
          <w:i/>
          <w:sz w:val="22"/>
          <w:szCs w:val="22"/>
          <w:lang w:eastAsia="es-MX"/>
        </w:rPr>
        <w:t xml:space="preserve"> de conformidad con lo dispuesto en el Capítulo VIII de los presentes lineamientos.</w:t>
      </w:r>
    </w:p>
    <w:p w:rsidR="001215B7" w:rsidRDefault="001215B7" w:rsidP="001215B7">
      <w:pPr>
        <w:autoSpaceDE w:val="0"/>
        <w:autoSpaceDN w:val="0"/>
        <w:adjustRightInd w:val="0"/>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1215B7" w:rsidRDefault="001215B7" w:rsidP="001215B7">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1215B7" w:rsidRDefault="001215B7" w:rsidP="001215B7">
      <w:pPr>
        <w:ind w:left="709" w:right="709"/>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1215B7" w:rsidRDefault="001215B7" w:rsidP="001215B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1215B7" w:rsidRDefault="001215B7" w:rsidP="001215B7">
      <w:pPr>
        <w:ind w:left="709" w:right="70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1215B7" w:rsidRDefault="001215B7" w:rsidP="001215B7">
      <w:pPr>
        <w:ind w:left="709" w:right="709"/>
        <w:jc w:val="both"/>
        <w:rPr>
          <w:rFonts w:ascii="Palatino Linotype" w:hAnsi="Palatino Linotype" w:cs="Arial"/>
          <w:i/>
          <w:sz w:val="22"/>
          <w:szCs w:val="22"/>
          <w:lang w:eastAsia="es-MX"/>
        </w:rPr>
      </w:pPr>
    </w:p>
    <w:p w:rsidR="001215B7" w:rsidRDefault="001215B7" w:rsidP="001215B7">
      <w:pPr>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1215B7" w:rsidRDefault="001215B7" w:rsidP="001215B7">
      <w:pPr>
        <w:ind w:left="709" w:right="709"/>
        <w:jc w:val="both"/>
        <w:rPr>
          <w:rFonts w:ascii="Palatino Linotype" w:hAnsi="Palatino Linotype" w:cs="Arial"/>
          <w:i/>
          <w:sz w:val="22"/>
          <w:szCs w:val="22"/>
          <w:lang w:eastAsia="es-MX"/>
        </w:rPr>
      </w:pPr>
    </w:p>
    <w:tbl>
      <w:tblPr>
        <w:tblStyle w:val="Tablaconcuadrcula11"/>
        <w:tblW w:w="0" w:type="auto"/>
        <w:jc w:val="center"/>
        <w:tblInd w:w="0" w:type="dxa"/>
        <w:tblLook w:val="04A0" w:firstRow="1" w:lastRow="0" w:firstColumn="1" w:lastColumn="0" w:noHBand="0" w:noVBand="1"/>
      </w:tblPr>
      <w:tblGrid>
        <w:gridCol w:w="1129"/>
        <w:gridCol w:w="1990"/>
        <w:gridCol w:w="4531"/>
      </w:tblGrid>
      <w:tr w:rsidR="001215B7" w:rsidTr="001215B7">
        <w:trPr>
          <w:jc w:val="center"/>
        </w:trPr>
        <w:tc>
          <w:tcPr>
            <w:tcW w:w="1129" w:type="dxa"/>
            <w:tcBorders>
              <w:top w:val="nil"/>
              <w:left w:val="nil"/>
              <w:bottom w:val="single" w:sz="4" w:space="0" w:color="auto"/>
              <w:right w:val="single" w:sz="4" w:space="0" w:color="auto"/>
            </w:tcBorders>
          </w:tcPr>
          <w:p w:rsidR="001215B7" w:rsidRDefault="001215B7">
            <w:pPr>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b/>
                <w:i/>
                <w:sz w:val="22"/>
                <w:szCs w:val="22"/>
                <w:lang w:eastAsia="en-US"/>
              </w:rPr>
            </w:pPr>
            <w:r>
              <w:rPr>
                <w:rFonts w:ascii="Palatino Linotype" w:hAnsi="Palatino Linotype"/>
                <w:b/>
                <w:i/>
                <w:sz w:val="22"/>
                <w:szCs w:val="22"/>
                <w:lang w:eastAsia="en-US"/>
              </w:rPr>
              <w:t>Concepto</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b/>
                <w:i/>
                <w:sz w:val="22"/>
                <w:szCs w:val="22"/>
                <w:lang w:eastAsia="en-US"/>
              </w:rPr>
            </w:pPr>
            <w:r>
              <w:rPr>
                <w:rFonts w:ascii="Palatino Linotype" w:hAnsi="Palatino Linotype"/>
                <w:b/>
                <w:i/>
                <w:sz w:val="22"/>
                <w:szCs w:val="22"/>
                <w:lang w:eastAsia="en-US"/>
              </w:rPr>
              <w:t>Dónde:</w:t>
            </w:r>
          </w:p>
        </w:tc>
      </w:tr>
      <w:tr w:rsidR="001215B7" w:rsidTr="001215B7">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1215B7" w:rsidRDefault="001215B7">
            <w:pPr>
              <w:jc w:val="center"/>
              <w:rPr>
                <w:rFonts w:ascii="Palatino Linotype" w:hAnsi="Palatino Linotype" w:cs="Arial"/>
                <w:b/>
                <w:i/>
                <w:sz w:val="22"/>
                <w:szCs w:val="22"/>
                <w:lang w:eastAsia="es-MX"/>
              </w:rPr>
            </w:pPr>
            <w:r>
              <w:rPr>
                <w:rFonts w:ascii="Palatino Linotype" w:hAnsi="Palatino Linotype" w:cs="Arial"/>
                <w:b/>
                <w:i/>
                <w:sz w:val="22"/>
                <w:szCs w:val="22"/>
                <w:lang w:eastAsia="es-MX"/>
              </w:rPr>
              <w:lastRenderedPageBreak/>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b/>
                <w:i/>
                <w:sz w:val="22"/>
                <w:szCs w:val="22"/>
                <w:lang w:eastAsia="es-MX"/>
              </w:rPr>
            </w:pPr>
            <w:r>
              <w:rPr>
                <w:rFonts w:ascii="Palatino Linotype" w:hAnsi="Palatino Linotype" w:cs="Arial"/>
                <w:b/>
                <w:i/>
                <w:sz w:val="22"/>
                <w:szCs w:val="22"/>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w:t>
            </w:r>
            <w:r w:rsidRPr="00FB363E">
              <w:rPr>
                <w:rFonts w:ascii="Palatino Linotype" w:hAnsi="Palatino Linotype" w:cs="Arial"/>
                <w:b/>
                <w:i/>
                <w:sz w:val="22"/>
                <w:szCs w:val="22"/>
                <w:u w:val="single"/>
                <w:lang w:eastAsia="es-MX"/>
              </w:rPr>
              <w:t xml:space="preserve">las partes o páginas del documento que se clasifican como reservadas. Si el documento fuera reservado en su totalidad, se </w:t>
            </w:r>
            <w:proofErr w:type="gramStart"/>
            <w:r w:rsidRPr="00FB363E">
              <w:rPr>
                <w:rFonts w:ascii="Palatino Linotype" w:hAnsi="Palatino Linotype" w:cs="Arial"/>
                <w:b/>
                <w:i/>
                <w:sz w:val="22"/>
                <w:szCs w:val="22"/>
                <w:u w:val="single"/>
                <w:lang w:eastAsia="es-MX"/>
              </w:rPr>
              <w:t>anotarán</w:t>
            </w:r>
            <w:proofErr w:type="gramEnd"/>
            <w:r w:rsidRPr="00FB363E">
              <w:rPr>
                <w:rFonts w:ascii="Palatino Linotype" w:hAnsi="Palatino Linotype" w:cs="Arial"/>
                <w:b/>
                <w:i/>
                <w:sz w:val="22"/>
                <w:szCs w:val="22"/>
                <w:u w:val="single"/>
                <w:lang w:eastAsia="es-MX"/>
              </w:rPr>
              <w:t xml:space="preserve"> todas las páginas que lo conforman. </w:t>
            </w:r>
            <w:r w:rsidRPr="00FB363E">
              <w:rPr>
                <w:rFonts w:ascii="Palatino Linotype" w:hAnsi="Palatino Linotype" w:cs="Arial"/>
                <w:i/>
                <w:sz w:val="22"/>
                <w:szCs w:val="22"/>
                <w:lang w:eastAsia="es-MX"/>
              </w:rPr>
              <w:t>Si el documento no contiene información reservada, se tachará este apartado.</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Pr="00FB363E" w:rsidRDefault="001215B7">
            <w:pPr>
              <w:jc w:val="center"/>
              <w:rPr>
                <w:rFonts w:ascii="Palatino Linotype" w:hAnsi="Palatino Linotype" w:cs="Arial"/>
                <w:i/>
                <w:sz w:val="22"/>
                <w:szCs w:val="22"/>
                <w:lang w:eastAsia="es-MX"/>
              </w:rPr>
            </w:pPr>
            <w:r w:rsidRPr="00FB363E">
              <w:rPr>
                <w:rFonts w:ascii="Palatino Linotype" w:hAnsi="Palatino Linotype" w:cs="Arial"/>
                <w:i/>
                <w:sz w:val="22"/>
                <w:szCs w:val="22"/>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w:t>
            </w:r>
            <w:r w:rsidRPr="00FB363E">
              <w:rPr>
                <w:rFonts w:ascii="Palatino Linotype" w:hAnsi="Palatino Linotype" w:cs="Arial"/>
                <w:i/>
                <w:sz w:val="22"/>
                <w:szCs w:val="22"/>
                <w:lang w:eastAsia="es-MX"/>
              </w:rPr>
              <w:t>las partes o páginas del documento que se clasifica como confidencial. Si el documento fuera confidencial en su totalidad, se anotarán todas las páginas que lo conforman.</w:t>
            </w:r>
            <w:r>
              <w:rPr>
                <w:rFonts w:ascii="Palatino Linotype" w:hAnsi="Palatino Linotype" w:cs="Arial"/>
                <w:i/>
                <w:sz w:val="22"/>
                <w:szCs w:val="22"/>
                <w:lang w:eastAsia="es-MX"/>
              </w:rPr>
              <w:t xml:space="preserve"> Si el documento no contiene información confidencial, se tachará este apartado.</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1215B7" w:rsidTr="001215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1215B7" w:rsidRDefault="001215B7">
            <w:pPr>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1215B7" w:rsidRDefault="001215B7">
            <w:pPr>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1215B7" w:rsidRDefault="001215B7" w:rsidP="001215B7">
      <w:pPr>
        <w:spacing w:before="100" w:beforeAutospacing="1" w:after="100" w:afterAutospacing="1"/>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5C0FCA" w:rsidRPr="005C181A" w:rsidRDefault="00440036" w:rsidP="00AA6CFE">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sidR="00857D87">
        <w:rPr>
          <w:rFonts w:ascii="Palatino Linotype" w:hAnsi="Palatino Linotype" w:cs="Arial"/>
        </w:rPr>
        <w:t xml:space="preserve">respecto de </w:t>
      </w:r>
      <w:r w:rsidR="00A3262E">
        <w:rPr>
          <w:rFonts w:ascii="Palatino Linotype" w:hAnsi="Palatino Linotype" w:cs="Arial"/>
        </w:rPr>
        <w:t xml:space="preserve">la información que se ordena, </w:t>
      </w:r>
      <w:r w:rsidR="0008792F">
        <w:rPr>
          <w:rFonts w:ascii="Palatino Linotype" w:hAnsi="Palatino Linotype" w:cs="Arial"/>
        </w:rPr>
        <w:t xml:space="preserve">debe ser únicamente de aquellos que </w:t>
      </w:r>
      <w:r w:rsidR="005C181A">
        <w:rPr>
          <w:rFonts w:ascii="Palatino Linotype" w:hAnsi="Palatino Linotype" w:cs="Arial"/>
        </w:rPr>
        <w:t>no afecten o generen un riesgo de perjuicio</w:t>
      </w:r>
      <w:r w:rsidR="0008792F">
        <w:rPr>
          <w:rFonts w:ascii="Palatino Linotype" w:hAnsi="Palatino Linotype" w:cs="Arial"/>
        </w:rPr>
        <w:t>, puesto que los procedimientos en trámite son</w:t>
      </w:r>
      <w:r w:rsidR="00682AA1">
        <w:rPr>
          <w:rFonts w:ascii="Palatino Linotype" w:hAnsi="Palatino Linotype" w:cs="Arial"/>
        </w:rPr>
        <w:t xml:space="preserve"> susceptible</w:t>
      </w:r>
      <w:r w:rsidR="0008792F">
        <w:rPr>
          <w:rFonts w:ascii="Palatino Linotype" w:hAnsi="Palatino Linotype" w:cs="Arial"/>
        </w:rPr>
        <w:t>s</w:t>
      </w:r>
      <w:r w:rsidR="00682AA1">
        <w:rPr>
          <w:rFonts w:ascii="Palatino Linotype" w:hAnsi="Palatino Linotype" w:cs="Arial"/>
        </w:rPr>
        <w:t xml:space="preserve"> de ser clasificad</w:t>
      </w:r>
      <w:r w:rsidR="0008792F">
        <w:rPr>
          <w:rFonts w:ascii="Palatino Linotype" w:hAnsi="Palatino Linotype" w:cs="Arial"/>
        </w:rPr>
        <w:t>os</w:t>
      </w:r>
      <w:r w:rsidR="00682AA1">
        <w:rPr>
          <w:rFonts w:ascii="Palatino Linotype" w:hAnsi="Palatino Linotype" w:cs="Arial"/>
        </w:rPr>
        <w:t xml:space="preserve"> como información</w:t>
      </w:r>
      <w:r w:rsidR="00857D87">
        <w:rPr>
          <w:rFonts w:ascii="Palatino Linotype" w:hAnsi="Palatino Linotype" w:cs="Arial"/>
        </w:rPr>
        <w:t xml:space="preserve"> reservada</w:t>
      </w:r>
      <w:r w:rsidR="005C181A">
        <w:rPr>
          <w:rFonts w:ascii="Palatino Linotype" w:hAnsi="Palatino Linotype" w:cs="Arial"/>
        </w:rPr>
        <w:t>, respecto de la información que vulnere la conducción de los procedimientos administrativos</w:t>
      </w:r>
      <w:r w:rsidR="00682AA1">
        <w:rPr>
          <w:rFonts w:ascii="Palatino Linotype" w:hAnsi="Palatino Linotype" w:cs="Arial"/>
        </w:rPr>
        <w:t xml:space="preserve">, </w:t>
      </w:r>
      <w:r w:rsidR="0008792F">
        <w:rPr>
          <w:rFonts w:ascii="Palatino Linotype" w:hAnsi="Palatino Linotype" w:cs="Arial"/>
        </w:rPr>
        <w:t>al</w:t>
      </w:r>
      <w:r w:rsidR="00857D87">
        <w:rPr>
          <w:rFonts w:ascii="Palatino Linotype" w:hAnsi="Palatino Linotype" w:cs="Arial"/>
        </w:rPr>
        <w:t xml:space="preserve"> actualizar las causal</w:t>
      </w:r>
      <w:r w:rsidR="0008792F">
        <w:rPr>
          <w:rFonts w:ascii="Palatino Linotype" w:hAnsi="Palatino Linotype" w:cs="Arial"/>
        </w:rPr>
        <w:t>es</w:t>
      </w:r>
      <w:r w:rsidR="00857D87">
        <w:rPr>
          <w:rFonts w:ascii="Palatino Linotype" w:hAnsi="Palatino Linotype" w:cs="Arial"/>
        </w:rPr>
        <w:t xml:space="preserve"> previstas en el ordinal 140 de la Ley de Transparencia, Acceso a la Información Pública de</w:t>
      </w:r>
      <w:r w:rsidR="005C181A">
        <w:rPr>
          <w:rFonts w:ascii="Palatino Linotype" w:hAnsi="Palatino Linotype" w:cs="Arial"/>
        </w:rPr>
        <w:t>l Estado de México y Municipios</w:t>
      </w:r>
      <w:r w:rsidR="00A3262E">
        <w:rPr>
          <w:rFonts w:ascii="Palatino Linotype" w:hAnsi="Palatino Linotype" w:cs="Arial"/>
        </w:rPr>
        <w:t xml:space="preserve">. </w:t>
      </w:r>
    </w:p>
    <w:p w:rsidR="005C0FCA" w:rsidRPr="00682AA1" w:rsidRDefault="005C0FCA" w:rsidP="00AA6CFE">
      <w:pPr>
        <w:spacing w:before="100" w:beforeAutospacing="1" w:after="100" w:afterAutospacing="1" w:line="360" w:lineRule="auto"/>
        <w:ind w:right="49"/>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CF22B8" w:rsidRDefault="00CF22B8" w:rsidP="00AA6CFE">
            <w:pPr>
              <w:ind w:right="51"/>
              <w:jc w:val="center"/>
              <w:rPr>
                <w:rFonts w:ascii="Palatino Linotype" w:hAnsi="Palatino Linotype"/>
                <w:b/>
              </w:rPr>
            </w:pPr>
          </w:p>
          <w:p w:rsidR="00CF22B8" w:rsidRDefault="00CF22B8" w:rsidP="00AA6CFE">
            <w:pPr>
              <w:ind w:right="51"/>
              <w:jc w:val="center"/>
              <w:rPr>
                <w:rFonts w:ascii="Palatino Linotype" w:hAnsi="Palatino Linotype"/>
                <w:b/>
              </w:rPr>
            </w:pPr>
          </w:p>
          <w:p w:rsidR="00CF22B8" w:rsidRDefault="00CF22B8" w:rsidP="00AA6CFE">
            <w:pPr>
              <w:ind w:right="51"/>
              <w:jc w:val="center"/>
              <w:rPr>
                <w:rFonts w:ascii="Palatino Linotype" w:hAnsi="Palatino Linotype"/>
                <w:b/>
              </w:rPr>
            </w:pPr>
          </w:p>
          <w:p w:rsidR="00CF22B8" w:rsidRDefault="00CF22B8" w:rsidP="00AA6CFE">
            <w:pPr>
              <w:ind w:right="51"/>
              <w:jc w:val="center"/>
              <w:rPr>
                <w:rFonts w:ascii="Palatino Linotype" w:hAnsi="Palatino Linotype"/>
                <w:b/>
              </w:rPr>
            </w:pPr>
          </w:p>
          <w:p w:rsidR="00CF22B8" w:rsidRDefault="00CF22B8" w:rsidP="00AA6CFE">
            <w:pPr>
              <w:ind w:right="51"/>
              <w:jc w:val="center"/>
              <w:rPr>
                <w:rFonts w:ascii="Palatino Linotype" w:hAnsi="Palatino Linotype"/>
                <w:b/>
              </w:rPr>
            </w:pPr>
          </w:p>
          <w:p w:rsidR="00712947" w:rsidRDefault="00712947" w:rsidP="00AA6CFE">
            <w:pPr>
              <w:ind w:right="51"/>
              <w:jc w:val="center"/>
              <w:rPr>
                <w:rFonts w:ascii="Palatino Linotype" w:hAnsi="Palatino Linotype"/>
                <w:b/>
              </w:rPr>
            </w:pPr>
          </w:p>
          <w:p w:rsidR="009701AB" w:rsidRPr="00C8035B" w:rsidRDefault="009701AB" w:rsidP="00AA6CFE">
            <w:pPr>
              <w:ind w:right="51"/>
              <w:jc w:val="center"/>
              <w:rPr>
                <w:rFonts w:ascii="Palatino Linotype" w:hAnsi="Palatino Linotype"/>
                <w:b/>
              </w:rPr>
            </w:pPr>
            <w:r w:rsidRPr="00C8035B">
              <w:rPr>
                <w:rFonts w:ascii="Palatino Linotype" w:hAnsi="Palatino Linotype"/>
                <w:b/>
              </w:rPr>
              <w:t>EVA ABAID YAPUR</w:t>
            </w:r>
          </w:p>
          <w:p w:rsidR="001E2E77" w:rsidRDefault="009701AB" w:rsidP="00712947">
            <w:pPr>
              <w:ind w:right="51"/>
              <w:jc w:val="center"/>
              <w:rPr>
                <w:rFonts w:ascii="Palatino Linotype" w:hAnsi="Palatino Linotype"/>
                <w:b/>
              </w:rPr>
            </w:pPr>
            <w:r w:rsidRPr="00C8035B">
              <w:rPr>
                <w:rFonts w:ascii="Palatino Linotype" w:hAnsi="Palatino Linotype"/>
                <w:b/>
              </w:rPr>
              <w:t>COMIS</w:t>
            </w:r>
            <w:bookmarkStart w:id="0" w:name="_GoBack"/>
            <w:bookmarkEnd w:id="0"/>
            <w:r w:rsidRPr="00C8035B">
              <w:rPr>
                <w:rFonts w:ascii="Palatino Linotype" w:hAnsi="Palatino Linotype"/>
                <w:b/>
              </w:rPr>
              <w:t>IONADA</w:t>
            </w:r>
          </w:p>
          <w:p w:rsidR="00CF302A" w:rsidRPr="00C8035B" w:rsidRDefault="00CF302A" w:rsidP="00CF302A">
            <w:pPr>
              <w:jc w:val="center"/>
              <w:rPr>
                <w:rFonts w:ascii="Palatino Linotype" w:hAnsi="Palatino Linotype"/>
                <w:b/>
              </w:rPr>
            </w:pPr>
            <w:r>
              <w:rPr>
                <w:rFonts w:ascii="Palatino Linotype" w:hAnsi="Palatino Linotype" w:cs="Arial"/>
                <w:b/>
              </w:rPr>
              <w:t>(RÚBRICA)</w:t>
            </w:r>
          </w:p>
        </w:tc>
      </w:tr>
    </w:tbl>
    <w:p w:rsidR="00BE619B" w:rsidRPr="00BE619B" w:rsidRDefault="00BE619B" w:rsidP="00AA6CFE">
      <w:pPr>
        <w:ind w:right="51"/>
        <w:jc w:val="both"/>
        <w:rPr>
          <w:rFonts w:ascii="Palatino Linotype" w:eastAsia="Calibri" w:hAnsi="Palatino Linotype" w:cs="Arial"/>
          <w:color w:val="000000" w:themeColor="text1"/>
          <w:sz w:val="4"/>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712947" w:rsidRDefault="00712947" w:rsidP="00AA6CFE">
      <w:pPr>
        <w:ind w:right="51"/>
        <w:jc w:val="both"/>
        <w:rPr>
          <w:rFonts w:ascii="Palatino Linotype" w:eastAsia="Calibri" w:hAnsi="Palatino Linotype" w:cs="Arial"/>
          <w:color w:val="000000" w:themeColor="text1"/>
          <w:sz w:val="20"/>
          <w:szCs w:val="22"/>
        </w:rPr>
      </w:pPr>
    </w:p>
    <w:p w:rsidR="00D80DD5" w:rsidRDefault="00D80DD5" w:rsidP="00AA6CFE">
      <w:pPr>
        <w:ind w:right="51"/>
        <w:jc w:val="both"/>
        <w:rPr>
          <w:rFonts w:ascii="Palatino Linotype" w:eastAsia="Calibri" w:hAnsi="Palatino Linotype" w:cs="Arial"/>
          <w:color w:val="000000" w:themeColor="text1"/>
          <w:sz w:val="20"/>
          <w:szCs w:val="22"/>
        </w:rPr>
      </w:pPr>
    </w:p>
    <w:p w:rsidR="00BE619B" w:rsidRDefault="009701AB" w:rsidP="00AA6CFE">
      <w:pPr>
        <w:ind w:right="51"/>
        <w:jc w:val="both"/>
        <w:rPr>
          <w:rFonts w:ascii="Palatino Linotype" w:eastAsia="Calibri" w:hAnsi="Palatino Linotype" w:cs="Arial"/>
          <w:color w:val="000000" w:themeColor="text1"/>
          <w:sz w:val="20"/>
          <w:szCs w:val="22"/>
        </w:rPr>
      </w:pPr>
      <w:r w:rsidRPr="00BE619B">
        <w:rPr>
          <w:rFonts w:ascii="Palatino Linotype" w:eastAsia="Calibri" w:hAnsi="Palatino Linotype" w:cs="Arial"/>
          <w:color w:val="000000" w:themeColor="text1"/>
          <w:sz w:val="20"/>
          <w:szCs w:val="22"/>
        </w:rPr>
        <w:t xml:space="preserve">Esta hoja corresponde al voto particular emitido en </w:t>
      </w:r>
      <w:r w:rsidR="00A3262E" w:rsidRPr="00BE619B">
        <w:rPr>
          <w:rFonts w:ascii="Palatino Linotype" w:eastAsia="Calibri" w:hAnsi="Palatino Linotype" w:cs="Arial"/>
          <w:color w:val="000000" w:themeColor="text1"/>
          <w:sz w:val="20"/>
          <w:szCs w:val="22"/>
        </w:rPr>
        <w:t xml:space="preserve">la resolución del </w:t>
      </w:r>
      <w:r w:rsidR="005C0FCA" w:rsidRPr="00BE619B">
        <w:rPr>
          <w:rFonts w:ascii="Palatino Linotype" w:eastAsia="Calibri" w:hAnsi="Palatino Linotype" w:cs="Arial"/>
          <w:color w:val="000000" w:themeColor="text1"/>
          <w:sz w:val="20"/>
          <w:szCs w:val="22"/>
        </w:rPr>
        <w:t>recurso de revisión 0</w:t>
      </w:r>
      <w:r w:rsidR="00CF22B8">
        <w:rPr>
          <w:rFonts w:ascii="Palatino Linotype" w:eastAsia="Calibri" w:hAnsi="Palatino Linotype" w:cs="Arial"/>
          <w:color w:val="000000" w:themeColor="text1"/>
          <w:sz w:val="20"/>
          <w:szCs w:val="22"/>
        </w:rPr>
        <w:t>7613</w:t>
      </w:r>
      <w:r w:rsidR="005C0FCA" w:rsidRPr="00BE619B">
        <w:rPr>
          <w:rFonts w:ascii="Palatino Linotype" w:eastAsia="Calibri" w:hAnsi="Palatino Linotype" w:cs="Arial"/>
          <w:color w:val="000000" w:themeColor="text1"/>
          <w:sz w:val="20"/>
          <w:szCs w:val="22"/>
        </w:rPr>
        <w:t>/INFOEM/IP/RR/201</w:t>
      </w:r>
      <w:r w:rsidR="000D202B" w:rsidRPr="00BE619B">
        <w:rPr>
          <w:rFonts w:ascii="Palatino Linotype" w:eastAsia="Calibri" w:hAnsi="Palatino Linotype" w:cs="Arial"/>
          <w:color w:val="000000" w:themeColor="text1"/>
          <w:sz w:val="20"/>
          <w:szCs w:val="22"/>
        </w:rPr>
        <w:t>9</w:t>
      </w:r>
      <w:r w:rsidRPr="00BE619B">
        <w:rPr>
          <w:rFonts w:ascii="Palatino Linotype" w:eastAsia="Calibri" w:hAnsi="Palatino Linotype" w:cs="Arial"/>
          <w:color w:val="000000" w:themeColor="text1"/>
          <w:sz w:val="20"/>
          <w:szCs w:val="22"/>
        </w:rPr>
        <w:t>, aprobad</w:t>
      </w:r>
      <w:r w:rsidR="00A3262E" w:rsidRPr="00BE619B">
        <w:rPr>
          <w:rFonts w:ascii="Palatino Linotype" w:eastAsia="Calibri" w:hAnsi="Palatino Linotype" w:cs="Arial"/>
          <w:color w:val="000000" w:themeColor="text1"/>
          <w:sz w:val="20"/>
          <w:szCs w:val="22"/>
        </w:rPr>
        <w:t>a</w:t>
      </w:r>
      <w:r w:rsidRPr="00BE619B">
        <w:rPr>
          <w:rFonts w:ascii="Palatino Linotype" w:eastAsia="Calibri" w:hAnsi="Palatino Linotype" w:cs="Arial"/>
          <w:color w:val="000000" w:themeColor="text1"/>
          <w:sz w:val="20"/>
          <w:szCs w:val="22"/>
        </w:rPr>
        <w:t xml:space="preserve"> el</w:t>
      </w:r>
      <w:r w:rsidR="00101AC9" w:rsidRPr="00BE619B">
        <w:rPr>
          <w:rFonts w:ascii="Palatino Linotype" w:eastAsia="Calibri" w:hAnsi="Palatino Linotype" w:cs="Arial"/>
          <w:color w:val="000000" w:themeColor="text1"/>
          <w:sz w:val="20"/>
          <w:szCs w:val="22"/>
        </w:rPr>
        <w:t xml:space="preserve"> </w:t>
      </w:r>
      <w:r w:rsidR="00CF22B8">
        <w:rPr>
          <w:rFonts w:ascii="Palatino Linotype" w:eastAsia="Calibri" w:hAnsi="Palatino Linotype" w:cs="Arial"/>
          <w:color w:val="000000" w:themeColor="text1"/>
          <w:sz w:val="20"/>
          <w:szCs w:val="22"/>
        </w:rPr>
        <w:t>veintisiete</w:t>
      </w:r>
      <w:r w:rsidR="000D202B" w:rsidRPr="00BE619B">
        <w:rPr>
          <w:rFonts w:ascii="Palatino Linotype" w:eastAsia="Calibri" w:hAnsi="Palatino Linotype" w:cs="Arial"/>
          <w:color w:val="000000" w:themeColor="text1"/>
          <w:sz w:val="20"/>
          <w:szCs w:val="22"/>
        </w:rPr>
        <w:t xml:space="preserve"> </w:t>
      </w:r>
      <w:r w:rsidR="00A3262E" w:rsidRPr="00BE619B">
        <w:rPr>
          <w:rFonts w:ascii="Palatino Linotype" w:eastAsia="Calibri" w:hAnsi="Palatino Linotype" w:cs="Arial"/>
          <w:color w:val="000000" w:themeColor="text1"/>
          <w:sz w:val="20"/>
          <w:szCs w:val="22"/>
        </w:rPr>
        <w:t xml:space="preserve">de </w:t>
      </w:r>
      <w:r w:rsidR="0006223A">
        <w:rPr>
          <w:rFonts w:ascii="Palatino Linotype" w:eastAsia="Calibri" w:hAnsi="Palatino Linotype" w:cs="Arial"/>
          <w:color w:val="000000" w:themeColor="text1"/>
          <w:sz w:val="20"/>
          <w:szCs w:val="22"/>
        </w:rPr>
        <w:t xml:space="preserve">noviembre </w:t>
      </w:r>
      <w:r w:rsidR="000D202B" w:rsidRPr="00BE619B">
        <w:rPr>
          <w:rFonts w:ascii="Palatino Linotype" w:eastAsia="Calibri" w:hAnsi="Palatino Linotype" w:cs="Arial"/>
          <w:color w:val="000000" w:themeColor="text1"/>
          <w:sz w:val="20"/>
          <w:szCs w:val="22"/>
        </w:rPr>
        <w:t xml:space="preserve">de dos mil diecinueve. </w:t>
      </w:r>
    </w:p>
    <w:p w:rsidR="00AA6CFE" w:rsidRPr="00AA6CFE" w:rsidRDefault="00AA6CFE" w:rsidP="00AA6CFE">
      <w:pPr>
        <w:ind w:right="51"/>
        <w:jc w:val="both"/>
        <w:rPr>
          <w:rFonts w:ascii="Palatino Linotype" w:eastAsia="Calibri" w:hAnsi="Palatino Linotype" w:cs="Arial"/>
          <w:color w:val="000000" w:themeColor="text1"/>
          <w:sz w:val="8"/>
          <w:szCs w:val="8"/>
        </w:rPr>
      </w:pPr>
    </w:p>
    <w:p w:rsidR="00A272FC" w:rsidRPr="00BE619B" w:rsidRDefault="00FB363E" w:rsidP="00AA6CFE">
      <w:pPr>
        <w:ind w:right="51"/>
        <w:jc w:val="both"/>
        <w:rPr>
          <w:sz w:val="20"/>
          <w:szCs w:val="22"/>
        </w:rPr>
      </w:pPr>
      <w:r>
        <w:rPr>
          <w:rFonts w:ascii="Palatino Linotype" w:eastAsia="Calibri" w:hAnsi="Palatino Linotype" w:cs="Arial"/>
          <w:color w:val="000000" w:themeColor="text1"/>
          <w:sz w:val="20"/>
          <w:szCs w:val="22"/>
        </w:rPr>
        <w:t>YSM</w:t>
      </w:r>
      <w:r w:rsidR="001E2E77">
        <w:rPr>
          <w:rFonts w:ascii="Palatino Linotype" w:eastAsia="Calibri" w:hAnsi="Palatino Linotype" w:cs="Arial"/>
          <w:color w:val="000000" w:themeColor="text1"/>
          <w:sz w:val="20"/>
          <w:szCs w:val="22"/>
        </w:rPr>
        <w:t>/IAHA</w:t>
      </w:r>
    </w:p>
    <w:sectPr w:rsidR="00A272FC" w:rsidRPr="00BE619B" w:rsidSect="004A2D7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16B" w:rsidRDefault="00B6416B" w:rsidP="00E41B3B">
      <w:r>
        <w:separator/>
      </w:r>
    </w:p>
  </w:endnote>
  <w:endnote w:type="continuationSeparator" w:id="0">
    <w:p w:rsidR="00B6416B" w:rsidRDefault="00B6416B"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CF22B8" w:rsidRDefault="00CF22B8"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F302A">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F302A">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16B" w:rsidRDefault="00B6416B" w:rsidP="00E41B3B">
      <w:r>
        <w:separator/>
      </w:r>
    </w:p>
  </w:footnote>
  <w:footnote w:type="continuationSeparator" w:id="0">
    <w:p w:rsidR="00B6416B" w:rsidRDefault="00B6416B"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F30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Pr="00BE619B" w:rsidRDefault="005C7C8F" w:rsidP="00DC5C4E">
    <w:pPr>
      <w:pStyle w:val="Encabezado"/>
      <w:tabs>
        <w:tab w:val="clear" w:pos="4252"/>
        <w:tab w:val="clear" w:pos="8504"/>
        <w:tab w:val="left" w:pos="2326"/>
      </w:tabs>
      <w:jc w:val="right"/>
      <w:rPr>
        <w:rFonts w:ascii="Palatino Linotype" w:hAnsi="Palatino Linotype"/>
        <w:sz w:val="22"/>
      </w:rPr>
    </w:pPr>
  </w:p>
  <w:p w:rsidR="00C81447" w:rsidRDefault="00C81447" w:rsidP="00C81447">
    <w:pPr>
      <w:pStyle w:val="Encabezado"/>
      <w:tabs>
        <w:tab w:val="clear" w:pos="4252"/>
        <w:tab w:val="clear" w:pos="8504"/>
        <w:tab w:val="left" w:pos="2326"/>
      </w:tabs>
      <w:jc w:val="right"/>
      <w:rPr>
        <w:rFonts w:ascii="Palatino Linotype" w:hAnsi="Palatino Linotype" w:cs="Arial"/>
        <w:sz w:val="20"/>
        <w:szCs w:val="20"/>
      </w:rPr>
    </w:pP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E9264A">
      <w:rPr>
        <w:rFonts w:ascii="Palatino Linotype" w:hAnsi="Palatino Linotype" w:cs="Arial"/>
        <w:sz w:val="20"/>
        <w:szCs w:val="20"/>
      </w:rPr>
      <w:t>0761</w:t>
    </w:r>
    <w:r w:rsidR="00144EF8">
      <w:rPr>
        <w:rFonts w:ascii="Palatino Linotype" w:hAnsi="Palatino Linotype" w:cs="Arial"/>
        <w:sz w:val="20"/>
        <w:szCs w:val="20"/>
      </w:rPr>
      <w:t>3</w:t>
    </w:r>
    <w:r w:rsidRPr="003C7A79">
      <w:rPr>
        <w:rFonts w:ascii="Palatino Linotype" w:hAnsi="Palatino Linotype" w:cs="Arial"/>
        <w:sz w:val="20"/>
        <w:szCs w:val="20"/>
      </w:rPr>
      <w:t>/INFOEM/IP/RR/2019</w:t>
    </w:r>
  </w:p>
  <w:p w:rsidR="003C7A79" w:rsidRDefault="00CF302A"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5.1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F30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67D"/>
    <w:multiLevelType w:val="hybridMultilevel"/>
    <w:tmpl w:val="41864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42D02"/>
    <w:multiLevelType w:val="hybridMultilevel"/>
    <w:tmpl w:val="B0202EF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2A361AEB"/>
    <w:multiLevelType w:val="hybridMultilevel"/>
    <w:tmpl w:val="E438D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1120A"/>
    <w:multiLevelType w:val="hybridMultilevel"/>
    <w:tmpl w:val="9AA6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4008B9"/>
    <w:multiLevelType w:val="hybridMultilevel"/>
    <w:tmpl w:val="E1BA3AA4"/>
    <w:lvl w:ilvl="0" w:tplc="95767C3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E8039C2"/>
    <w:multiLevelType w:val="hybridMultilevel"/>
    <w:tmpl w:val="B0984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EA192B"/>
    <w:multiLevelType w:val="hybridMultilevel"/>
    <w:tmpl w:val="A6FE0B12"/>
    <w:lvl w:ilvl="0" w:tplc="F516F6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B36770C"/>
    <w:multiLevelType w:val="hybridMultilevel"/>
    <w:tmpl w:val="99BC60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F10B9D"/>
    <w:multiLevelType w:val="hybridMultilevel"/>
    <w:tmpl w:val="46DA7ADA"/>
    <w:lvl w:ilvl="0" w:tplc="DA0A6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770136A0"/>
    <w:multiLevelType w:val="hybridMultilevel"/>
    <w:tmpl w:val="14508E8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4"/>
  </w:num>
  <w:num w:numId="5">
    <w:abstractNumId w:val="10"/>
  </w:num>
  <w:num w:numId="6">
    <w:abstractNumId w:val="9"/>
  </w:num>
  <w:num w:numId="7">
    <w:abstractNumId w:val="3"/>
  </w:num>
  <w:num w:numId="8">
    <w:abstractNumId w:val="7"/>
  </w:num>
  <w:num w:numId="9">
    <w:abstractNumId w:val="0"/>
  </w:num>
  <w:num w:numId="10">
    <w:abstractNumId w:val="1"/>
  </w:num>
  <w:num w:numId="11">
    <w:abstractNumId w:val="13"/>
  </w:num>
  <w:num w:numId="12">
    <w:abstractNumId w:val="12"/>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9A9"/>
    <w:rsid w:val="0006223A"/>
    <w:rsid w:val="00080305"/>
    <w:rsid w:val="0008792F"/>
    <w:rsid w:val="00090AAC"/>
    <w:rsid w:val="000A7F22"/>
    <w:rsid w:val="000C77C5"/>
    <w:rsid w:val="000D1151"/>
    <w:rsid w:val="000D202B"/>
    <w:rsid w:val="00101AC9"/>
    <w:rsid w:val="001215B7"/>
    <w:rsid w:val="00122242"/>
    <w:rsid w:val="00135DAD"/>
    <w:rsid w:val="00141D1C"/>
    <w:rsid w:val="00144EF8"/>
    <w:rsid w:val="00146755"/>
    <w:rsid w:val="00164D8A"/>
    <w:rsid w:val="00174F2A"/>
    <w:rsid w:val="0019398B"/>
    <w:rsid w:val="0019638D"/>
    <w:rsid w:val="001A7CEE"/>
    <w:rsid w:val="001B45FD"/>
    <w:rsid w:val="001C3DCD"/>
    <w:rsid w:val="001D4114"/>
    <w:rsid w:val="001E2E77"/>
    <w:rsid w:val="001F2929"/>
    <w:rsid w:val="001F6251"/>
    <w:rsid w:val="00216380"/>
    <w:rsid w:val="00270A69"/>
    <w:rsid w:val="00296C85"/>
    <w:rsid w:val="002C22D6"/>
    <w:rsid w:val="002C638A"/>
    <w:rsid w:val="002F054E"/>
    <w:rsid w:val="0031149D"/>
    <w:rsid w:val="0032320E"/>
    <w:rsid w:val="00324EBE"/>
    <w:rsid w:val="003343CD"/>
    <w:rsid w:val="00343A89"/>
    <w:rsid w:val="003948FF"/>
    <w:rsid w:val="003A6D28"/>
    <w:rsid w:val="003C2F6A"/>
    <w:rsid w:val="003C6346"/>
    <w:rsid w:val="003C7A79"/>
    <w:rsid w:val="00420511"/>
    <w:rsid w:val="004320EF"/>
    <w:rsid w:val="00433B82"/>
    <w:rsid w:val="00437359"/>
    <w:rsid w:val="00440036"/>
    <w:rsid w:val="00446B28"/>
    <w:rsid w:val="00463EE4"/>
    <w:rsid w:val="0046519A"/>
    <w:rsid w:val="0048476A"/>
    <w:rsid w:val="004A2D78"/>
    <w:rsid w:val="004D1499"/>
    <w:rsid w:val="004E6C48"/>
    <w:rsid w:val="00506BBC"/>
    <w:rsid w:val="0053148C"/>
    <w:rsid w:val="00537CDD"/>
    <w:rsid w:val="005A4D7F"/>
    <w:rsid w:val="005C0FCA"/>
    <w:rsid w:val="005C181A"/>
    <w:rsid w:val="005C7C8F"/>
    <w:rsid w:val="005F3E71"/>
    <w:rsid w:val="006428A3"/>
    <w:rsid w:val="00642959"/>
    <w:rsid w:val="0065035B"/>
    <w:rsid w:val="00654FE9"/>
    <w:rsid w:val="00672FC7"/>
    <w:rsid w:val="00674996"/>
    <w:rsid w:val="006801D4"/>
    <w:rsid w:val="00682AA1"/>
    <w:rsid w:val="006838B2"/>
    <w:rsid w:val="00690CB5"/>
    <w:rsid w:val="00697966"/>
    <w:rsid w:val="006A1C64"/>
    <w:rsid w:val="006A22D8"/>
    <w:rsid w:val="006A78C2"/>
    <w:rsid w:val="006B109D"/>
    <w:rsid w:val="006B30CD"/>
    <w:rsid w:val="006C7DF8"/>
    <w:rsid w:val="006D4AD6"/>
    <w:rsid w:val="006D60AE"/>
    <w:rsid w:val="006E7D4B"/>
    <w:rsid w:val="00712947"/>
    <w:rsid w:val="00712C80"/>
    <w:rsid w:val="007170C1"/>
    <w:rsid w:val="007226C9"/>
    <w:rsid w:val="00725B3B"/>
    <w:rsid w:val="00732411"/>
    <w:rsid w:val="00733C54"/>
    <w:rsid w:val="00756313"/>
    <w:rsid w:val="00767B65"/>
    <w:rsid w:val="00782E9A"/>
    <w:rsid w:val="007B7A6A"/>
    <w:rsid w:val="007C0272"/>
    <w:rsid w:val="007C3451"/>
    <w:rsid w:val="007C7A0C"/>
    <w:rsid w:val="007D1FFB"/>
    <w:rsid w:val="007F1F51"/>
    <w:rsid w:val="00801526"/>
    <w:rsid w:val="00810DE3"/>
    <w:rsid w:val="00811B0B"/>
    <w:rsid w:val="00820D1B"/>
    <w:rsid w:val="00826D09"/>
    <w:rsid w:val="00837EFD"/>
    <w:rsid w:val="00842E34"/>
    <w:rsid w:val="008457D1"/>
    <w:rsid w:val="008542C4"/>
    <w:rsid w:val="00857D87"/>
    <w:rsid w:val="00864D3F"/>
    <w:rsid w:val="008A35FA"/>
    <w:rsid w:val="008B0732"/>
    <w:rsid w:val="008C16DF"/>
    <w:rsid w:val="008E5C82"/>
    <w:rsid w:val="008F0D8C"/>
    <w:rsid w:val="008F34EF"/>
    <w:rsid w:val="00907C80"/>
    <w:rsid w:val="009339ED"/>
    <w:rsid w:val="0095790A"/>
    <w:rsid w:val="009661C8"/>
    <w:rsid w:val="009701AB"/>
    <w:rsid w:val="00972394"/>
    <w:rsid w:val="00975327"/>
    <w:rsid w:val="00990B93"/>
    <w:rsid w:val="009B3920"/>
    <w:rsid w:val="009B519C"/>
    <w:rsid w:val="009D1CB5"/>
    <w:rsid w:val="00A272FC"/>
    <w:rsid w:val="00A3262E"/>
    <w:rsid w:val="00A37BF2"/>
    <w:rsid w:val="00A502D2"/>
    <w:rsid w:val="00A66652"/>
    <w:rsid w:val="00A956B4"/>
    <w:rsid w:val="00A96975"/>
    <w:rsid w:val="00A97455"/>
    <w:rsid w:val="00AA6CFE"/>
    <w:rsid w:val="00AE18DA"/>
    <w:rsid w:val="00AE2464"/>
    <w:rsid w:val="00AE7810"/>
    <w:rsid w:val="00AF4000"/>
    <w:rsid w:val="00B17086"/>
    <w:rsid w:val="00B51260"/>
    <w:rsid w:val="00B6416B"/>
    <w:rsid w:val="00B64194"/>
    <w:rsid w:val="00B716F8"/>
    <w:rsid w:val="00BD4FD3"/>
    <w:rsid w:val="00BE59EA"/>
    <w:rsid w:val="00BE619B"/>
    <w:rsid w:val="00BF425E"/>
    <w:rsid w:val="00C07CE2"/>
    <w:rsid w:val="00C33AE1"/>
    <w:rsid w:val="00C52D7C"/>
    <w:rsid w:val="00C60EC0"/>
    <w:rsid w:val="00C70E10"/>
    <w:rsid w:val="00C8035B"/>
    <w:rsid w:val="00C81447"/>
    <w:rsid w:val="00CB63A8"/>
    <w:rsid w:val="00CB71BF"/>
    <w:rsid w:val="00CC453C"/>
    <w:rsid w:val="00CC4E44"/>
    <w:rsid w:val="00CD7154"/>
    <w:rsid w:val="00CE0D21"/>
    <w:rsid w:val="00CE1537"/>
    <w:rsid w:val="00CE70C8"/>
    <w:rsid w:val="00CF22B8"/>
    <w:rsid w:val="00CF302A"/>
    <w:rsid w:val="00D22D52"/>
    <w:rsid w:val="00D450FE"/>
    <w:rsid w:val="00D724F4"/>
    <w:rsid w:val="00D80DD5"/>
    <w:rsid w:val="00D909EF"/>
    <w:rsid w:val="00DB01A5"/>
    <w:rsid w:val="00DC0116"/>
    <w:rsid w:val="00DC566E"/>
    <w:rsid w:val="00DC5C4E"/>
    <w:rsid w:val="00DC6647"/>
    <w:rsid w:val="00DC6C4E"/>
    <w:rsid w:val="00DF4164"/>
    <w:rsid w:val="00E001DD"/>
    <w:rsid w:val="00E041ED"/>
    <w:rsid w:val="00E15CE2"/>
    <w:rsid w:val="00E20B21"/>
    <w:rsid w:val="00E415A4"/>
    <w:rsid w:val="00E41B3B"/>
    <w:rsid w:val="00E441F3"/>
    <w:rsid w:val="00E44E5C"/>
    <w:rsid w:val="00E55769"/>
    <w:rsid w:val="00E64666"/>
    <w:rsid w:val="00E77C64"/>
    <w:rsid w:val="00E9264A"/>
    <w:rsid w:val="00EA0656"/>
    <w:rsid w:val="00ED3750"/>
    <w:rsid w:val="00ED78BB"/>
    <w:rsid w:val="00F04176"/>
    <w:rsid w:val="00F26150"/>
    <w:rsid w:val="00F4326E"/>
    <w:rsid w:val="00F452C7"/>
    <w:rsid w:val="00F50C10"/>
    <w:rsid w:val="00F64CC1"/>
    <w:rsid w:val="00F9070F"/>
    <w:rsid w:val="00FA0BF5"/>
    <w:rsid w:val="00FB363E"/>
    <w:rsid w:val="00FC2815"/>
    <w:rsid w:val="00FC32B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 w:type="table" w:styleId="Tablaconcuadrcula">
    <w:name w:val="Table Grid"/>
    <w:basedOn w:val="Tablanormal"/>
    <w:uiPriority w:val="39"/>
    <w:rsid w:val="004A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44EF8"/>
    <w:rPr>
      <w:color w:val="0563C1" w:themeColor="hyperlink"/>
      <w:u w:val="single"/>
    </w:rPr>
  </w:style>
  <w:style w:type="table" w:customStyle="1" w:styleId="Tablaconcuadrcula11">
    <w:name w:val="Tabla con cuadrícula11"/>
    <w:basedOn w:val="Tablanormal"/>
    <w:uiPriority w:val="39"/>
    <w:rsid w:val="001215B7"/>
    <w:pPr>
      <w:spacing w:after="0" w:line="240" w:lineRule="auto"/>
    </w:pPr>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8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105C-5788-45E0-BDD9-A96818C9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4138</Words>
  <Characters>22759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6</cp:revision>
  <cp:lastPrinted>2019-11-04T23:01:00Z</cp:lastPrinted>
  <dcterms:created xsi:type="dcterms:W3CDTF">2019-12-02T16:49:00Z</dcterms:created>
  <dcterms:modified xsi:type="dcterms:W3CDTF">2019-12-18T02:01:00Z</dcterms:modified>
</cp:coreProperties>
</file>