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C99" w:rsidRDefault="00077C99"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w:t>
      </w:r>
      <w:r w:rsidR="008113E8">
        <w:rPr>
          <w:rFonts w:ascii="Palatino Linotype" w:eastAsia="Times New Roman" w:hAnsi="Palatino Linotype" w:cs="Arial"/>
          <w:color w:val="000000"/>
          <w:sz w:val="24"/>
          <w:szCs w:val="24"/>
          <w:lang w:eastAsia="es-MX"/>
        </w:rPr>
        <w:t>a treinta de octubre de dos mil diecinueve.</w:t>
      </w: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002251">
      <w:pPr>
        <w:shd w:val="clear" w:color="auto" w:fill="FFFFFF"/>
        <w:spacing w:after="0" w:line="360" w:lineRule="auto"/>
        <w:jc w:val="both"/>
        <w:rPr>
          <w:rFonts w:ascii="Palatino Linotype" w:hAnsi="Palatino Linotype" w:cs="Arial"/>
          <w:b/>
          <w:sz w:val="24"/>
          <w:szCs w:val="24"/>
        </w:rPr>
      </w:pPr>
      <w:r w:rsidRPr="00002251">
        <w:rPr>
          <w:rFonts w:ascii="Palatino Linotype" w:eastAsia="Times New Roman" w:hAnsi="Palatino Linotype" w:cs="Arial"/>
          <w:b/>
          <w:color w:val="000000"/>
          <w:sz w:val="24"/>
          <w:szCs w:val="24"/>
          <w:lang w:eastAsia="es-MX"/>
        </w:rPr>
        <w:t>VISTO</w:t>
      </w:r>
      <w:r w:rsidRPr="00002251">
        <w:rPr>
          <w:rFonts w:ascii="Palatino Linotype" w:eastAsia="Times New Roman" w:hAnsi="Palatino Linotype" w:cs="Arial"/>
          <w:color w:val="000000"/>
          <w:sz w:val="24"/>
          <w:szCs w:val="24"/>
          <w:lang w:eastAsia="es-MX"/>
        </w:rPr>
        <w:t xml:space="preserve"> el expediente electrónico formado con motivo del recurso de revisión número 0</w:t>
      </w:r>
      <w:r w:rsidR="007C092F" w:rsidRPr="00002251">
        <w:rPr>
          <w:rFonts w:ascii="Palatino Linotype" w:eastAsia="Times New Roman" w:hAnsi="Palatino Linotype" w:cs="Arial"/>
          <w:color w:val="000000"/>
          <w:sz w:val="24"/>
          <w:szCs w:val="24"/>
          <w:lang w:eastAsia="es-MX"/>
        </w:rPr>
        <w:t>6</w:t>
      </w:r>
      <w:r w:rsidR="00002251">
        <w:rPr>
          <w:rFonts w:ascii="Palatino Linotype" w:eastAsia="Times New Roman" w:hAnsi="Palatino Linotype" w:cs="Arial"/>
          <w:color w:val="000000"/>
          <w:sz w:val="24"/>
          <w:szCs w:val="24"/>
          <w:lang w:eastAsia="es-MX"/>
        </w:rPr>
        <w:t>920</w:t>
      </w:r>
      <w:r w:rsidRPr="00002251">
        <w:rPr>
          <w:rFonts w:ascii="Palatino Linotype" w:eastAsia="Times New Roman" w:hAnsi="Palatino Linotype" w:cs="Arial"/>
          <w:color w:val="000000"/>
          <w:sz w:val="24"/>
          <w:szCs w:val="24"/>
          <w:lang w:eastAsia="es-MX"/>
        </w:rPr>
        <w:t xml:space="preserve">/INFOEM/IP/RR/2019, interpuesto por </w:t>
      </w:r>
      <w:r w:rsidR="00994F7A" w:rsidRPr="00002251">
        <w:rPr>
          <w:rFonts w:ascii="Palatino Linotype" w:eastAsia="Times New Roman" w:hAnsi="Palatino Linotype" w:cs="Arial"/>
          <w:color w:val="000000"/>
          <w:sz w:val="24"/>
          <w:szCs w:val="24"/>
          <w:lang w:eastAsia="es-MX"/>
        </w:rPr>
        <w:t>e</w:t>
      </w:r>
      <w:r w:rsidRPr="00002251">
        <w:rPr>
          <w:rFonts w:ascii="Palatino Linotype" w:eastAsia="Times New Roman" w:hAnsi="Palatino Linotype" w:cs="Arial"/>
          <w:color w:val="000000"/>
          <w:sz w:val="24"/>
          <w:szCs w:val="24"/>
          <w:lang w:eastAsia="es-MX"/>
        </w:rPr>
        <w:t xml:space="preserve">l </w:t>
      </w:r>
      <w:r w:rsidRPr="00002251">
        <w:rPr>
          <w:rFonts w:ascii="Palatino Linotype" w:eastAsia="Times New Roman" w:hAnsi="Palatino Linotype" w:cs="Arial"/>
          <w:b/>
          <w:color w:val="000000"/>
          <w:sz w:val="24"/>
          <w:szCs w:val="24"/>
          <w:lang w:eastAsia="es-MX"/>
        </w:rPr>
        <w:t xml:space="preserve">C. </w:t>
      </w:r>
      <w:r w:rsidR="00053596">
        <w:rPr>
          <w:rFonts w:ascii="Palatino Linotype" w:eastAsia="Times New Roman" w:hAnsi="Palatino Linotype" w:cs="Arial"/>
          <w:b/>
          <w:color w:val="000000"/>
          <w:sz w:val="24"/>
          <w:szCs w:val="24"/>
          <w:lang w:eastAsia="es-MX"/>
        </w:rPr>
        <w:t>xxxxxxxxxxxxxxxxxxxxxxxxx</w:t>
      </w:r>
      <w:bookmarkStart w:id="0" w:name="_GoBack"/>
      <w:bookmarkEnd w:id="0"/>
      <w:r w:rsidRPr="00002251">
        <w:rPr>
          <w:rFonts w:ascii="Palatino Linotype" w:eastAsia="Times New Roman" w:hAnsi="Palatino Linotype" w:cs="Arial"/>
          <w:color w:val="000000"/>
          <w:sz w:val="24"/>
          <w:szCs w:val="24"/>
          <w:lang w:eastAsia="es-MX"/>
        </w:rPr>
        <w:t xml:space="preserve">, en lo sucesivo la Recurrente, en contra de la </w:t>
      </w:r>
      <w:r w:rsidR="0029403C" w:rsidRPr="00002251">
        <w:rPr>
          <w:rFonts w:ascii="Palatino Linotype" w:eastAsia="Times New Roman" w:hAnsi="Palatino Linotype" w:cs="Arial"/>
          <w:color w:val="000000"/>
          <w:sz w:val="24"/>
          <w:szCs w:val="24"/>
          <w:lang w:eastAsia="es-MX"/>
        </w:rPr>
        <w:t xml:space="preserve">falta </w:t>
      </w:r>
      <w:r w:rsidRPr="00002251">
        <w:rPr>
          <w:rFonts w:ascii="Palatino Linotype" w:eastAsia="Times New Roman" w:hAnsi="Palatino Linotype" w:cs="Arial"/>
          <w:color w:val="000000"/>
          <w:sz w:val="24"/>
          <w:szCs w:val="24"/>
          <w:lang w:eastAsia="es-MX"/>
        </w:rPr>
        <w:t xml:space="preserve">respuesta del </w:t>
      </w:r>
      <w:r w:rsidR="00002251" w:rsidRPr="00002251">
        <w:rPr>
          <w:rFonts w:ascii="Palatino Linotype" w:eastAsia="Times New Roman" w:hAnsi="Palatino Linotype" w:cs="Arial"/>
          <w:b/>
          <w:color w:val="000000"/>
          <w:sz w:val="24"/>
          <w:szCs w:val="24"/>
          <w:lang w:eastAsia="es-MX"/>
        </w:rPr>
        <w:t>Sistema de Transporte Masivo y Teleférico del Estado de México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FA08FC" w:rsidRPr="00AD2A55" w:rsidRDefault="00FA08FC" w:rsidP="00FA08FC">
      <w:pPr>
        <w:tabs>
          <w:tab w:val="left" w:pos="1701"/>
        </w:tabs>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0735F">
        <w:rPr>
          <w:rFonts w:ascii="Palatino Linotype" w:hAnsi="Palatino Linotype" w:cs="Arial"/>
          <w:sz w:val="24"/>
          <w:szCs w:val="24"/>
        </w:rPr>
        <w:t>seis</w:t>
      </w:r>
      <w:r w:rsidR="00E6268E">
        <w:rPr>
          <w:rFonts w:ascii="Palatino Linotype" w:hAnsi="Palatino Linotype" w:cs="Arial"/>
          <w:sz w:val="24"/>
          <w:szCs w:val="24"/>
        </w:rPr>
        <w:t xml:space="preserve"> </w:t>
      </w:r>
      <w:r>
        <w:rPr>
          <w:rFonts w:ascii="Palatino Linotype" w:hAnsi="Palatino Linotype" w:cs="Arial"/>
          <w:sz w:val="24"/>
          <w:szCs w:val="24"/>
        </w:rPr>
        <w:t xml:space="preserve">de </w:t>
      </w:r>
      <w:r w:rsidR="00E0735F">
        <w:rPr>
          <w:rFonts w:ascii="Palatino Linotype" w:hAnsi="Palatino Linotype" w:cs="Arial"/>
          <w:sz w:val="24"/>
          <w:szCs w:val="24"/>
        </w:rPr>
        <w:t>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00AD1C73" w:rsidRPr="00AD1C73">
        <w:rPr>
          <w:rFonts w:ascii="Palatino Linotype" w:hAnsi="Palatino Linotype" w:cs="Arial"/>
          <w:b/>
          <w:sz w:val="24"/>
          <w:szCs w:val="24"/>
        </w:rPr>
        <w:t>0</w:t>
      </w:r>
      <w:r w:rsidR="00E0735F">
        <w:rPr>
          <w:rFonts w:ascii="Palatino Linotype" w:hAnsi="Palatino Linotype" w:cs="Arial"/>
          <w:b/>
          <w:sz w:val="24"/>
          <w:szCs w:val="24"/>
        </w:rPr>
        <w:t>0</w:t>
      </w:r>
      <w:r w:rsidR="00AD1C73" w:rsidRPr="00AD1C73">
        <w:rPr>
          <w:rFonts w:ascii="Palatino Linotype" w:hAnsi="Palatino Linotype" w:cs="Arial"/>
          <w:b/>
          <w:sz w:val="24"/>
          <w:szCs w:val="24"/>
        </w:rPr>
        <w:t>0</w:t>
      </w:r>
      <w:r w:rsidR="007C092F">
        <w:rPr>
          <w:rFonts w:ascii="Palatino Linotype" w:hAnsi="Palatino Linotype" w:cs="Arial"/>
          <w:b/>
          <w:sz w:val="24"/>
          <w:szCs w:val="24"/>
        </w:rPr>
        <w:t>4</w:t>
      </w:r>
      <w:r w:rsidR="00E0735F">
        <w:rPr>
          <w:rFonts w:ascii="Palatino Linotype" w:hAnsi="Palatino Linotype" w:cs="Arial"/>
          <w:b/>
          <w:sz w:val="24"/>
          <w:szCs w:val="24"/>
        </w:rPr>
        <w:t>9</w:t>
      </w:r>
      <w:r w:rsidR="00AD1C73" w:rsidRPr="00AD1C73">
        <w:rPr>
          <w:rFonts w:ascii="Palatino Linotype" w:hAnsi="Palatino Linotype" w:cs="Arial"/>
          <w:b/>
          <w:sz w:val="24"/>
          <w:szCs w:val="24"/>
        </w:rPr>
        <w:t>/</w:t>
      </w:r>
      <w:r w:rsidR="00E0735F">
        <w:rPr>
          <w:rFonts w:ascii="Palatino Linotype" w:hAnsi="Palatino Linotype" w:cs="Arial"/>
          <w:b/>
          <w:sz w:val="24"/>
          <w:szCs w:val="24"/>
        </w:rPr>
        <w:t>STMEM</w:t>
      </w:r>
      <w:r w:rsidR="00AD1C73" w:rsidRPr="00AD1C73">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A08FC" w:rsidRPr="00C47D87" w:rsidRDefault="00FA08FC" w:rsidP="00C47D87">
      <w:pPr>
        <w:ind w:left="851" w:right="850"/>
        <w:jc w:val="both"/>
        <w:rPr>
          <w:rFonts w:ascii="Palatino Linotype" w:hAnsi="Palatino Linotype"/>
          <w:i/>
          <w:color w:val="000000"/>
          <w:sz w:val="24"/>
          <w:szCs w:val="24"/>
        </w:rPr>
      </w:pPr>
    </w:p>
    <w:p w:rsidR="00FA08FC" w:rsidRPr="00E0735F" w:rsidRDefault="00FA08FC" w:rsidP="00077C99">
      <w:pPr>
        <w:spacing w:after="0" w:line="360" w:lineRule="auto"/>
        <w:ind w:left="851" w:right="851"/>
        <w:jc w:val="both"/>
        <w:rPr>
          <w:rFonts w:ascii="Palatino Linotype" w:eastAsia="Times New Roman" w:hAnsi="Palatino Linotype" w:cs="Times New Roman"/>
          <w:i/>
          <w:sz w:val="24"/>
          <w:szCs w:val="24"/>
          <w:lang w:val="es-ES_tradnl" w:eastAsia="es-ES"/>
        </w:rPr>
      </w:pPr>
      <w:r w:rsidRPr="00E0735F">
        <w:rPr>
          <w:rFonts w:ascii="Palatino Linotype" w:eastAsia="Times New Roman" w:hAnsi="Palatino Linotype" w:cs="Times New Roman"/>
          <w:i/>
          <w:sz w:val="24"/>
          <w:szCs w:val="24"/>
          <w:lang w:val="es-ES_tradnl" w:eastAsia="es-ES"/>
        </w:rPr>
        <w:t>“</w:t>
      </w:r>
      <w:r w:rsidR="00E0735F" w:rsidRPr="00E0735F">
        <w:rPr>
          <w:rFonts w:ascii="Palatino Linotype" w:eastAsia="Times New Roman" w:hAnsi="Palatino Linotype" w:cs="Times New Roman"/>
          <w:i/>
          <w:sz w:val="24"/>
          <w:szCs w:val="24"/>
          <w:lang w:val="es-ES_tradnl" w:eastAsia="es-ES"/>
        </w:rPr>
        <w:t xml:space="preserve">Por este conducto se informa que se tiene conocimiento del Convenio de Transacción entre el Gobierno del Estado de México y la empresa Situsa, en el que se resuelve la terminación de la Concesión del Mexibús 3, por lo que se </w:t>
      </w:r>
      <w:r w:rsidR="00E0735F" w:rsidRPr="00E0735F">
        <w:rPr>
          <w:rFonts w:ascii="Palatino Linotype" w:eastAsia="Times New Roman" w:hAnsi="Palatino Linotype" w:cs="Times New Roman"/>
          <w:i/>
          <w:sz w:val="24"/>
          <w:szCs w:val="24"/>
          <w:lang w:val="es-ES_tradnl" w:eastAsia="es-ES"/>
        </w:rPr>
        <w:lastRenderedPageBreak/>
        <w:t>solicita lo siguiente: 1) Convenio de Transacción 2) Anexos, si es el caso 3) Desglose de pagos con monto, descripción y fecha</w:t>
      </w:r>
      <w:r w:rsidR="007C092F" w:rsidRPr="00E0735F">
        <w:rPr>
          <w:rFonts w:ascii="Palatino Linotype" w:eastAsia="Times New Roman" w:hAnsi="Palatino Linotype" w:cs="Times New Roman"/>
          <w:i/>
          <w:sz w:val="24"/>
          <w:szCs w:val="24"/>
          <w:lang w:val="es-ES_tradnl" w:eastAsia="es-ES"/>
        </w:rPr>
        <w:t>.</w:t>
      </w:r>
      <w:r w:rsidRPr="00E0735F">
        <w:rPr>
          <w:rFonts w:ascii="Palatino Linotype" w:eastAsia="Times New Roman" w:hAnsi="Palatino Linotype" w:cs="Times New Roman"/>
          <w:i/>
          <w:sz w:val="24"/>
          <w:szCs w:val="24"/>
          <w:lang w:val="es-ES_tradnl" w:eastAsia="es-ES"/>
        </w:rPr>
        <w:t>”</w:t>
      </w:r>
      <w:r w:rsidRPr="00BE7124">
        <w:rPr>
          <w:rFonts w:ascii="Palatino Linotype" w:eastAsia="Times New Roman" w:hAnsi="Palatino Linotype" w:cs="Times New Roman"/>
          <w:i/>
          <w:sz w:val="24"/>
          <w:szCs w:val="24"/>
          <w:lang w:val="es-ES_tradnl" w:eastAsia="es-ES"/>
        </w:rPr>
        <w:t xml:space="preserve"> (Sic).</w:t>
      </w:r>
    </w:p>
    <w:p w:rsidR="00FA08FC" w:rsidRPr="00CE6940" w:rsidRDefault="00FA08FC" w:rsidP="00CE6940">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Haciéndose constar que del acuse de solicitud de información contenida en el expediente electrónico del SAIMEX, se aprecia que </w:t>
      </w:r>
      <w:r w:rsidR="00FD1403">
        <w:rPr>
          <w:rFonts w:ascii="Palatino Linotype" w:hAnsi="Palatino Linotype" w:cs="Arial"/>
          <w:sz w:val="24"/>
          <w:szCs w:val="24"/>
        </w:rPr>
        <w:t>el</w:t>
      </w:r>
      <w:r w:rsidRPr="00201765">
        <w:rPr>
          <w:rFonts w:ascii="Palatino Linotype" w:hAnsi="Palatino Linotype" w:cs="Arial"/>
          <w:sz w:val="24"/>
          <w:szCs w:val="24"/>
        </w:rPr>
        <w:t xml:space="preserve">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43037F" w:rsidRDefault="0043037F"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 la respuesta del sujeto obligado. </w:t>
      </w:r>
    </w:p>
    <w:p w:rsidR="00257204" w:rsidRPr="00257204" w:rsidRDefault="00FA08FC" w:rsidP="00EA25E6">
      <w:pPr>
        <w:spacing w:after="0" w:line="360" w:lineRule="auto"/>
        <w:jc w:val="both"/>
        <w:rPr>
          <w:rFonts w:ascii="Palatino Linotype" w:hAnsi="Palatino Linotype"/>
          <w:i/>
          <w:color w:val="000000"/>
          <w:sz w:val="24"/>
          <w:szCs w:val="24"/>
        </w:rPr>
      </w:pPr>
      <w:r w:rsidRPr="009763E3">
        <w:rPr>
          <w:rFonts w:ascii="Palatino Linotype" w:hAnsi="Palatino Linotype"/>
          <w:sz w:val="24"/>
          <w:szCs w:val="24"/>
        </w:rPr>
        <w:t xml:space="preserve">De las constancias que obran en el expediente electrónico del SAIMEX, se advierte que el Sujeto Obligado </w:t>
      </w:r>
      <w:r w:rsidR="00EA25E6">
        <w:rPr>
          <w:rFonts w:ascii="Palatino Linotype" w:hAnsi="Palatino Linotype"/>
          <w:sz w:val="24"/>
          <w:szCs w:val="24"/>
        </w:rPr>
        <w:t>omitió dar respuesta</w:t>
      </w:r>
      <w:r w:rsidR="0016162B">
        <w:rPr>
          <w:rFonts w:ascii="Palatino Linotype" w:hAnsi="Palatino Linotype"/>
          <w:sz w:val="24"/>
          <w:szCs w:val="24"/>
        </w:rPr>
        <w:t xml:space="preserve"> dentro del término legal que estipula la Ley de la materia.</w:t>
      </w:r>
    </w:p>
    <w:p w:rsidR="00257204" w:rsidRDefault="00257204"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0E327E">
        <w:rPr>
          <w:rFonts w:ascii="Palatino Linotype" w:hAnsi="Palatino Linotype" w:cs="Arial"/>
          <w:sz w:val="24"/>
          <w:szCs w:val="24"/>
        </w:rPr>
        <w:t>veintinueve</w:t>
      </w:r>
      <w:r>
        <w:rPr>
          <w:rFonts w:ascii="Palatino Linotype" w:hAnsi="Palatino Linotype" w:cs="Arial"/>
          <w:sz w:val="24"/>
          <w:szCs w:val="24"/>
        </w:rPr>
        <w:t xml:space="preserve"> de </w:t>
      </w:r>
      <w:r w:rsidR="000E327E">
        <w:rPr>
          <w:rFonts w:ascii="Palatino Linotype" w:hAnsi="Palatino Linotype" w:cs="Arial"/>
          <w:sz w:val="24"/>
          <w:szCs w:val="24"/>
        </w:rPr>
        <w:t>agosto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 el cual fue registrado</w:t>
      </w:r>
      <w:r w:rsidRPr="00C3617C">
        <w:rPr>
          <w:rFonts w:ascii="Palatino Linotype" w:hAnsi="Palatino Linotype" w:cs="Arial"/>
          <w:sz w:val="24"/>
          <w:szCs w:val="24"/>
        </w:rPr>
        <w:t xml:space="preserve"> </w:t>
      </w:r>
      <w:r w:rsidRPr="00AD2A55">
        <w:rPr>
          <w:rFonts w:ascii="Palatino Linotype" w:hAnsi="Palatino Linotype" w:cs="Arial"/>
          <w:sz w:val="24"/>
          <w:szCs w:val="24"/>
        </w:rPr>
        <w:t xml:space="preserve">en el sistema electrónico con el expediente número </w:t>
      </w:r>
      <w:r w:rsidRPr="00C3617C">
        <w:rPr>
          <w:rFonts w:ascii="Palatino Linotype" w:hAnsi="Palatino Linotype" w:cs="Arial"/>
          <w:sz w:val="24"/>
          <w:szCs w:val="24"/>
        </w:rPr>
        <w:t>0</w:t>
      </w:r>
      <w:r w:rsidR="00C3617C" w:rsidRPr="00C3617C">
        <w:rPr>
          <w:rFonts w:ascii="Palatino Linotype" w:hAnsi="Palatino Linotype" w:cs="Arial"/>
          <w:sz w:val="24"/>
          <w:szCs w:val="24"/>
        </w:rPr>
        <w:t>6</w:t>
      </w:r>
      <w:r w:rsidR="000E327E">
        <w:rPr>
          <w:rFonts w:ascii="Palatino Linotype" w:hAnsi="Palatino Linotype" w:cs="Arial"/>
          <w:sz w:val="24"/>
          <w:szCs w:val="24"/>
        </w:rPr>
        <w:t>920</w:t>
      </w:r>
      <w:r w:rsidRPr="00C3617C">
        <w:rPr>
          <w:rFonts w:ascii="Palatino Linotype" w:hAnsi="Palatino Linotype" w:cs="Arial"/>
          <w:sz w:val="24"/>
          <w:szCs w:val="24"/>
        </w:rPr>
        <w:t>/INFOEM/IP/RR/2019</w:t>
      </w:r>
      <w:r w:rsidRPr="00AD2A55">
        <w:rPr>
          <w:rFonts w:ascii="Palatino Linotype" w:hAnsi="Palatino Linotype" w:cs="Arial"/>
          <w:sz w:val="24"/>
          <w:szCs w:val="24"/>
        </w:rPr>
        <w:t>, en el cual aduce,</w:t>
      </w:r>
      <w:r w:rsidR="00614B42">
        <w:rPr>
          <w:rFonts w:ascii="Palatino Linotype" w:hAnsi="Palatino Linotype" w:cs="Arial"/>
          <w:sz w:val="24"/>
          <w:szCs w:val="24"/>
        </w:rPr>
        <w:t xml:space="preserve"> las siguientes manifestaciones como </w:t>
      </w:r>
      <w:r w:rsidR="00614B42" w:rsidRPr="00614B42">
        <w:rPr>
          <w:rFonts w:ascii="Palatino Linotype" w:hAnsi="Palatino Linotype" w:cs="Arial"/>
          <w:sz w:val="24"/>
          <w:szCs w:val="24"/>
        </w:rPr>
        <w:t>a</w:t>
      </w:r>
      <w:r w:rsidRPr="00614B42">
        <w:rPr>
          <w:rFonts w:ascii="Palatino Linotype" w:hAnsi="Palatino Linotype" w:cs="Arial"/>
          <w:sz w:val="24"/>
          <w:szCs w:val="24"/>
        </w:rPr>
        <w:t xml:space="preserve">cto </w:t>
      </w:r>
      <w:r w:rsidR="00614B42" w:rsidRPr="00614B42">
        <w:rPr>
          <w:rFonts w:ascii="Palatino Linotype" w:hAnsi="Palatino Linotype" w:cs="Arial"/>
          <w:sz w:val="24"/>
          <w:szCs w:val="24"/>
        </w:rPr>
        <w:t>i</w:t>
      </w:r>
      <w:r w:rsidRPr="00614B42">
        <w:rPr>
          <w:rFonts w:ascii="Palatino Linotype" w:hAnsi="Palatino Linotype" w:cs="Arial"/>
          <w:sz w:val="24"/>
          <w:szCs w:val="24"/>
        </w:rPr>
        <w:t>mpugnado:</w:t>
      </w:r>
      <w:r w:rsidR="00614B42" w:rsidRPr="00614B42">
        <w:rPr>
          <w:rFonts w:ascii="Palatino Linotype" w:hAnsi="Palatino Linotype" w:cs="Arial"/>
          <w:sz w:val="24"/>
          <w:szCs w:val="24"/>
        </w:rPr>
        <w:t xml:space="preserve"> “</w:t>
      </w:r>
      <w:r w:rsidR="000E327E" w:rsidRPr="000E327E">
        <w:rPr>
          <w:rFonts w:ascii="Palatino Linotype" w:hAnsi="Palatino Linotype" w:cs="Arial"/>
          <w:i/>
          <w:sz w:val="24"/>
          <w:szCs w:val="24"/>
        </w:rPr>
        <w:t>No se contestó la solicitud</w:t>
      </w:r>
      <w:r w:rsidR="00614B42">
        <w:rPr>
          <w:rFonts w:ascii="Palatino Linotype" w:hAnsi="Palatino Linotype" w:cs="Arial"/>
          <w:sz w:val="24"/>
          <w:szCs w:val="24"/>
        </w:rPr>
        <w:t xml:space="preserve">”; y como </w:t>
      </w:r>
      <w:r w:rsidRPr="00614B42">
        <w:rPr>
          <w:rFonts w:ascii="Palatino Linotype" w:hAnsi="Palatino Linotype" w:cs="Arial"/>
          <w:sz w:val="24"/>
          <w:szCs w:val="24"/>
        </w:rPr>
        <w:t>Razones o Motivos de Inconformidad</w:t>
      </w:r>
      <w:r w:rsidR="00C033D6">
        <w:rPr>
          <w:rFonts w:ascii="Palatino Linotype" w:hAnsi="Palatino Linotype" w:cs="Arial"/>
          <w:sz w:val="24"/>
          <w:szCs w:val="24"/>
        </w:rPr>
        <w:t>:</w:t>
      </w:r>
      <w:r w:rsidR="00614B42">
        <w:rPr>
          <w:rFonts w:ascii="Palatino Linotype" w:hAnsi="Palatino Linotype" w:cs="Arial"/>
          <w:sz w:val="24"/>
          <w:szCs w:val="24"/>
        </w:rPr>
        <w:t xml:space="preserve"> “</w:t>
      </w:r>
      <w:r w:rsidR="000E327E" w:rsidRPr="000E327E">
        <w:rPr>
          <w:rFonts w:ascii="Palatino Linotype" w:hAnsi="Palatino Linotype" w:cs="Arial"/>
          <w:i/>
          <w:sz w:val="24"/>
          <w:szCs w:val="24"/>
        </w:rPr>
        <w:t>No se dio respuesta a la solicitud</w:t>
      </w:r>
      <w:r w:rsidR="00614B42" w:rsidRPr="00614B42">
        <w:rPr>
          <w:rFonts w:ascii="Palatino Linotype" w:hAnsi="Palatino Linotype" w:cs="Arial"/>
          <w:sz w:val="24"/>
          <w:szCs w:val="24"/>
        </w:rPr>
        <w:t>.” (</w:t>
      </w:r>
      <w:r w:rsidR="006916C7" w:rsidRPr="00614B42">
        <w:rPr>
          <w:rFonts w:ascii="Palatino Linotype" w:hAnsi="Palatino Linotype" w:cs="Arial"/>
          <w:sz w:val="24"/>
          <w:szCs w:val="24"/>
        </w:rPr>
        <w:t>Sic</w:t>
      </w:r>
      <w:r w:rsidR="00614B42" w:rsidRPr="00614B42">
        <w:rPr>
          <w:rFonts w:ascii="Palatino Linotype" w:hAnsi="Palatino Linotype" w:cs="Arial"/>
          <w:sz w:val="24"/>
          <w:szCs w:val="24"/>
        </w:rPr>
        <w:t>)</w:t>
      </w:r>
    </w:p>
    <w:p w:rsidR="008A3CFC" w:rsidRDefault="008A3C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AD2A55">
        <w:rPr>
          <w:rFonts w:ascii="Palatino Linotype" w:hAnsi="Palatino Linotype" w:cs="Arial"/>
          <w:sz w:val="24"/>
          <w:szCs w:val="24"/>
        </w:rPr>
        <w:lastRenderedPageBreak/>
        <w:t xml:space="preserve">Municipios, del cual recayó acuerdo de admisión en fecha </w:t>
      </w:r>
      <w:r w:rsidR="00F971F7">
        <w:rPr>
          <w:rFonts w:ascii="Palatino Linotype" w:hAnsi="Palatino Linotype" w:cs="Arial"/>
          <w:sz w:val="24"/>
          <w:szCs w:val="24"/>
        </w:rPr>
        <w:t>cuatro</w:t>
      </w:r>
      <w:r>
        <w:rPr>
          <w:rFonts w:ascii="Palatino Linotype" w:hAnsi="Palatino Linotype" w:cs="Arial"/>
          <w:sz w:val="24"/>
          <w:szCs w:val="24"/>
        </w:rPr>
        <w:t xml:space="preserve"> de </w:t>
      </w:r>
      <w:r w:rsidR="00F971F7">
        <w:rPr>
          <w:rFonts w:ascii="Palatino Linotype" w:hAnsi="Palatino Linotype" w:cs="Arial"/>
          <w:sz w:val="24"/>
          <w:szCs w:val="24"/>
        </w:rPr>
        <w:t>septiembre</w:t>
      </w:r>
      <w:r>
        <w:rPr>
          <w:rFonts w:ascii="Palatino Linotype" w:hAnsi="Palatino Linotype" w:cs="Arial"/>
          <w:sz w:val="24"/>
          <w:szCs w:val="24"/>
        </w:rPr>
        <w:t xml:space="preserve"> </w:t>
      </w:r>
      <w:r w:rsidRPr="00AD2A55">
        <w:rPr>
          <w:rFonts w:ascii="Palatino Linotype" w:hAnsi="Palatino Linotype" w:cs="Arial"/>
          <w:sz w:val="24"/>
          <w:szCs w:val="24"/>
        </w:rPr>
        <w:t xml:space="preserve">del </w:t>
      </w:r>
      <w:r w:rsidR="00143551">
        <w:rPr>
          <w:rFonts w:ascii="Palatino Linotype" w:hAnsi="Palatino Linotype" w:cs="Arial"/>
          <w:sz w:val="24"/>
          <w:szCs w:val="24"/>
        </w:rPr>
        <w:t>año dos mil diecinueve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FA08FC" w:rsidRPr="00AD2A55" w:rsidRDefault="00FA08FC" w:rsidP="00FA08FC">
      <w:pPr>
        <w:spacing w:after="0" w:line="360" w:lineRule="auto"/>
        <w:jc w:val="both"/>
        <w:rPr>
          <w:rFonts w:ascii="Palatino Linotype" w:hAnsi="Palatino Linotype" w:cs="Arial"/>
          <w:sz w:val="24"/>
          <w:szCs w:val="24"/>
        </w:rPr>
      </w:pPr>
    </w:p>
    <w:p w:rsidR="00FA08FC" w:rsidRPr="00D23F59" w:rsidRDefault="00FA08FC" w:rsidP="00FA08FC">
      <w:pPr>
        <w:spacing w:after="0" w:line="360" w:lineRule="auto"/>
        <w:jc w:val="both"/>
        <w:rPr>
          <w:rFonts w:ascii="Palatino Linotype" w:hAnsi="Palatino Linotype" w:cs="Arial"/>
          <w:b/>
          <w:sz w:val="24"/>
          <w:szCs w:val="24"/>
        </w:rPr>
      </w:pPr>
      <w:r w:rsidRPr="00D23F59">
        <w:rPr>
          <w:rFonts w:ascii="Palatino Linotype" w:hAnsi="Palatino Linotype" w:cs="Arial"/>
          <w:b/>
          <w:sz w:val="24"/>
          <w:szCs w:val="24"/>
        </w:rPr>
        <w:t xml:space="preserve">QUINTO. De la etapa de </w:t>
      </w:r>
      <w:r w:rsidR="00D23F59">
        <w:rPr>
          <w:rFonts w:ascii="Palatino Linotype" w:hAnsi="Palatino Linotype" w:cs="Arial"/>
          <w:b/>
          <w:sz w:val="24"/>
          <w:szCs w:val="24"/>
        </w:rPr>
        <w:t>instrucción</w:t>
      </w:r>
      <w:r w:rsidRPr="00D23F59">
        <w:rPr>
          <w:rFonts w:ascii="Palatino Linotype" w:hAnsi="Palatino Linotype" w:cs="Arial"/>
          <w:b/>
          <w:sz w:val="24"/>
          <w:szCs w:val="24"/>
        </w:rPr>
        <w:t>.</w:t>
      </w:r>
    </w:p>
    <w:p w:rsidR="00FA08FC" w:rsidRDefault="00FA08FC" w:rsidP="00FA08FC">
      <w:pPr>
        <w:spacing w:after="0" w:line="360" w:lineRule="auto"/>
        <w:jc w:val="both"/>
        <w:rPr>
          <w:rFonts w:ascii="Palatino Linotype" w:hAnsi="Palatino Linotype" w:cs="Arial"/>
          <w:sz w:val="24"/>
          <w:szCs w:val="24"/>
        </w:rPr>
      </w:pPr>
      <w:r w:rsidRPr="00D23F59">
        <w:rPr>
          <w:rFonts w:ascii="Palatino Linotype" w:hAnsi="Palatino Linotype" w:cs="Arial"/>
          <w:sz w:val="24"/>
          <w:szCs w:val="24"/>
        </w:rPr>
        <w:t>Así, una vez transcurrido el término legal referido se destaca que el Sujeto Obligado</w:t>
      </w:r>
      <w:r w:rsidR="00D23F59" w:rsidRPr="00D23F59">
        <w:rPr>
          <w:rFonts w:ascii="Palatino Linotype" w:hAnsi="Palatino Linotype" w:cs="Arial"/>
          <w:sz w:val="24"/>
          <w:szCs w:val="24"/>
        </w:rPr>
        <w:t xml:space="preserve"> </w:t>
      </w:r>
      <w:r w:rsidR="008F532E">
        <w:rPr>
          <w:rFonts w:ascii="Palatino Linotype" w:hAnsi="Palatino Linotype" w:cs="Arial"/>
          <w:sz w:val="24"/>
          <w:szCs w:val="24"/>
        </w:rPr>
        <w:t>no ofreció prueba ni manifestó lo que a su derecho conviniera</w:t>
      </w:r>
      <w:r w:rsidR="00D23F59">
        <w:rPr>
          <w:rFonts w:ascii="Palatino Linotype" w:hAnsi="Palatino Linotype" w:cs="Arial"/>
          <w:sz w:val="24"/>
          <w:szCs w:val="24"/>
        </w:rPr>
        <w:t xml:space="preserve">, también se hizo constar que </w:t>
      </w:r>
      <w:r>
        <w:rPr>
          <w:rFonts w:ascii="Palatino Linotype" w:hAnsi="Palatino Linotype" w:cs="Arial"/>
          <w:sz w:val="24"/>
          <w:szCs w:val="24"/>
        </w:rPr>
        <w:t>el Recurrente no emiti</w:t>
      </w:r>
      <w:r w:rsidR="00D23F59">
        <w:rPr>
          <w:rFonts w:ascii="Palatino Linotype" w:hAnsi="Palatino Linotype" w:cs="Arial"/>
          <w:sz w:val="24"/>
          <w:szCs w:val="24"/>
        </w:rPr>
        <w:t>ó</w:t>
      </w:r>
      <w:r>
        <w:rPr>
          <w:rFonts w:ascii="Palatino Linotype" w:hAnsi="Palatino Linotype" w:cs="Arial"/>
          <w:sz w:val="24"/>
          <w:szCs w:val="24"/>
        </w:rPr>
        <w:t xml:space="preserve"> manifestaciones,</w:t>
      </w:r>
      <w:r w:rsidR="00D23F59">
        <w:rPr>
          <w:rFonts w:ascii="Palatino Linotype" w:hAnsi="Palatino Linotype" w:cs="Arial"/>
          <w:sz w:val="24"/>
          <w:szCs w:val="24"/>
        </w:rPr>
        <w:t xml:space="preserve"> ni ofreció pruebas de su parte.</w:t>
      </w:r>
    </w:p>
    <w:p w:rsidR="00FA08FC" w:rsidRDefault="00FA08FC" w:rsidP="00FA08FC">
      <w:pPr>
        <w:tabs>
          <w:tab w:val="left" w:pos="3206"/>
        </w:tabs>
        <w:spacing w:after="0" w:line="360" w:lineRule="auto"/>
        <w:jc w:val="both"/>
        <w:rPr>
          <w:rFonts w:ascii="Palatino Linotype" w:hAnsi="Palatino Linotype" w:cs="Arial"/>
          <w:b/>
          <w:sz w:val="24"/>
          <w:szCs w:val="24"/>
        </w:rPr>
      </w:pPr>
    </w:p>
    <w:p w:rsidR="00FA08FC" w:rsidRPr="00AD2A55" w:rsidRDefault="00D23F59" w:rsidP="00FA08FC">
      <w:pPr>
        <w:tabs>
          <w:tab w:val="left" w:pos="3206"/>
        </w:tabs>
        <w:spacing w:after="0" w:line="360" w:lineRule="auto"/>
        <w:jc w:val="both"/>
        <w:rPr>
          <w:rFonts w:ascii="Palatino Linotype" w:hAnsi="Palatino Linotype" w:cs="Arial"/>
          <w:b/>
          <w:sz w:val="24"/>
          <w:szCs w:val="24"/>
        </w:rPr>
      </w:pPr>
      <w:r>
        <w:rPr>
          <w:rFonts w:ascii="Palatino Linotype" w:hAnsi="Palatino Linotype" w:cs="Arial"/>
          <w:b/>
          <w:sz w:val="24"/>
          <w:szCs w:val="24"/>
        </w:rPr>
        <w:t>Del cierre de instrucción.</w:t>
      </w:r>
    </w:p>
    <w:p w:rsidR="00077C99"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sidR="00D23F59">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F971F7">
        <w:rPr>
          <w:rFonts w:ascii="Palatino Linotype" w:hAnsi="Palatino Linotype" w:cs="Arial"/>
          <w:sz w:val="24"/>
          <w:szCs w:val="24"/>
        </w:rPr>
        <w:t xml:space="preserve">dieciocho </w:t>
      </w:r>
      <w:r>
        <w:rPr>
          <w:rFonts w:ascii="Palatino Linotype" w:hAnsi="Palatino Linotype" w:cs="Arial"/>
          <w:sz w:val="24"/>
          <w:szCs w:val="24"/>
        </w:rPr>
        <w:t xml:space="preserve">de </w:t>
      </w:r>
      <w:r w:rsidR="00F971F7">
        <w:rPr>
          <w:rFonts w:ascii="Palatino Linotype" w:hAnsi="Palatino Linotype" w:cs="Arial"/>
          <w:sz w:val="24"/>
          <w:szCs w:val="24"/>
        </w:rPr>
        <w:t>septiembre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w:t>
      </w:r>
      <w:r w:rsidR="00860EDE">
        <w:rPr>
          <w:rFonts w:ascii="Palatino Linotype" w:hAnsi="Palatino Linotype" w:cs="Arial"/>
          <w:sz w:val="24"/>
          <w:szCs w:val="24"/>
        </w:rPr>
        <w:t xml:space="preserve"> en el cual se hizo constar que ni el sujeto obligado ni el hoy recurrente presentaron manifestaciones de su parte, ni ofrecieron pruebas o alegatos que estimaran convenientes, por lo que se</w:t>
      </w:r>
      <w:r w:rsidRPr="00AD2A55">
        <w:rPr>
          <w:rFonts w:ascii="Palatino Linotype" w:hAnsi="Palatino Linotype" w:cs="Arial"/>
          <w:sz w:val="24"/>
          <w:szCs w:val="24"/>
        </w:rPr>
        <w:t xml:space="preserve"> </w:t>
      </w:r>
      <w:r w:rsidR="00860EDE">
        <w:rPr>
          <w:rFonts w:ascii="Palatino Linotype" w:hAnsi="Palatino Linotype" w:cs="Arial"/>
          <w:sz w:val="24"/>
          <w:szCs w:val="24"/>
        </w:rPr>
        <w:t xml:space="preserve">inició </w:t>
      </w:r>
      <w:r w:rsidRPr="00AD2A55">
        <w:rPr>
          <w:rFonts w:ascii="Palatino Linotype" w:hAnsi="Palatino Linotype" w:cs="Arial"/>
          <w:sz w:val="24"/>
          <w:szCs w:val="24"/>
        </w:rPr>
        <w:t>el término legal para dictar r</w:t>
      </w:r>
      <w:r w:rsidR="0043037F">
        <w:rPr>
          <w:rFonts w:ascii="Palatino Linotype" w:hAnsi="Palatino Linotype" w:cs="Arial"/>
          <w:sz w:val="24"/>
          <w:szCs w:val="24"/>
        </w:rPr>
        <w:t>esolución definitiva del asunto</w:t>
      </w:r>
      <w:r w:rsidR="00077C99">
        <w:rPr>
          <w:rFonts w:ascii="Palatino Linotype" w:hAnsi="Palatino Linotype" w:cs="Arial"/>
          <w:sz w:val="24"/>
          <w:szCs w:val="24"/>
        </w:rPr>
        <w:t>.</w:t>
      </w:r>
    </w:p>
    <w:p w:rsidR="00077C99" w:rsidRDefault="00077C99" w:rsidP="00FA08FC">
      <w:pPr>
        <w:spacing w:after="0" w:line="360" w:lineRule="auto"/>
        <w:jc w:val="both"/>
        <w:rPr>
          <w:rFonts w:ascii="Palatino Linotype" w:hAnsi="Palatino Linotype" w:cs="Arial"/>
          <w:sz w:val="24"/>
          <w:szCs w:val="24"/>
        </w:rPr>
      </w:pPr>
    </w:p>
    <w:p w:rsidR="00FA08FC" w:rsidRDefault="00077C99" w:rsidP="00FA08FC">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43037F">
        <w:rPr>
          <w:rFonts w:ascii="Palatino Linotype" w:hAnsi="Palatino Linotype" w:cs="Arial"/>
          <w:sz w:val="24"/>
          <w:szCs w:val="24"/>
        </w:rPr>
        <w:t>simismo, e</w:t>
      </w:r>
      <w:r w:rsidR="00FA08FC" w:rsidRPr="00A96462">
        <w:rPr>
          <w:rFonts w:ascii="Palatino Linotype" w:hAnsi="Palatino Linotype" w:cs="Arial"/>
          <w:sz w:val="24"/>
          <w:szCs w:val="24"/>
        </w:rPr>
        <w:t xml:space="preserve">n fecha </w:t>
      </w:r>
      <w:r w:rsidR="00B35275">
        <w:rPr>
          <w:rFonts w:ascii="Palatino Linotype" w:hAnsi="Palatino Linotype" w:cs="Arial"/>
          <w:sz w:val="24"/>
          <w:szCs w:val="24"/>
        </w:rPr>
        <w:t xml:space="preserve">diecisiete </w:t>
      </w:r>
      <w:r w:rsidR="00FA08FC">
        <w:rPr>
          <w:rFonts w:ascii="Palatino Linotype" w:hAnsi="Palatino Linotype" w:cs="Arial"/>
          <w:sz w:val="24"/>
          <w:szCs w:val="24"/>
        </w:rPr>
        <w:t xml:space="preserve">de </w:t>
      </w:r>
      <w:r w:rsidR="00B35275">
        <w:rPr>
          <w:rFonts w:ascii="Palatino Linotype" w:hAnsi="Palatino Linotype" w:cs="Arial"/>
          <w:sz w:val="24"/>
          <w:szCs w:val="24"/>
        </w:rPr>
        <w:t>octubre</w:t>
      </w:r>
      <w:r w:rsidR="00FA08FC">
        <w:rPr>
          <w:rFonts w:ascii="Palatino Linotype" w:hAnsi="Palatino Linotype" w:cs="Arial"/>
          <w:sz w:val="24"/>
          <w:szCs w:val="24"/>
        </w:rPr>
        <w:t xml:space="preserve"> de </w:t>
      </w:r>
      <w:r w:rsidR="00FA08FC" w:rsidRPr="00A96462">
        <w:rPr>
          <w:rFonts w:ascii="Palatino Linotype" w:hAnsi="Palatino Linotype" w:cs="Arial"/>
          <w:sz w:val="24"/>
          <w:szCs w:val="24"/>
        </w:rPr>
        <w:t>dos mil diecinueve, se remitió a las partes el acuerdo de ampliación del plazo para resolver el presente recurso de revisión en términos del artículo 181 de la Ley de Transparencia y Acceso a la Información Pública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rsidR="00FA08FC" w:rsidRPr="00AD2A55" w:rsidRDefault="00FA08FC" w:rsidP="00FA08FC">
      <w:pPr>
        <w:spacing w:after="0" w:line="360" w:lineRule="auto"/>
        <w:jc w:val="center"/>
        <w:rPr>
          <w:rFonts w:ascii="Palatino Linotype" w:hAnsi="Palatino Linotype" w:cs="Arial"/>
          <w:b/>
          <w:sz w:val="24"/>
          <w:szCs w:val="24"/>
        </w:rPr>
      </w:pP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C033D6">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sidR="00C033D6">
        <w:rPr>
          <w:rFonts w:ascii="Palatino Linotype" w:hAnsi="Palatino Linotype" w:cs="Arial"/>
          <w:sz w:val="24"/>
          <w:szCs w:val="24"/>
        </w:rPr>
        <w:t>tercero</w:t>
      </w:r>
      <w:r w:rsidRPr="00AD2A55">
        <w:rPr>
          <w:rFonts w:ascii="Palatino Linotype" w:hAnsi="Palatino Linotype" w:cs="Arial"/>
          <w:sz w:val="24"/>
          <w:szCs w:val="24"/>
        </w:rPr>
        <w:t xml:space="preserve"> y vigésimo </w:t>
      </w:r>
      <w:r w:rsidR="00C033D6">
        <w:rPr>
          <w:rFonts w:ascii="Palatino Linotype" w:hAnsi="Palatino Linotype" w:cs="Arial"/>
          <w:sz w:val="24"/>
          <w:szCs w:val="24"/>
        </w:rPr>
        <w:t>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TERCERO. Del estudio de las causas de improcedencia.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A08FC" w:rsidRPr="00AD2A55" w:rsidRDefault="00FA08FC" w:rsidP="00FA08F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AD2A55">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A08FC" w:rsidRPr="00AD2A55" w:rsidRDefault="00FA08FC" w:rsidP="00FA08FC">
      <w:pPr>
        <w:pStyle w:val="Prrafodelista"/>
        <w:autoSpaceDE w:val="0"/>
        <w:autoSpaceDN w:val="0"/>
        <w:adjustRightInd w:val="0"/>
        <w:spacing w:line="360" w:lineRule="auto"/>
        <w:ind w:right="850"/>
        <w:jc w:val="both"/>
        <w:rPr>
          <w:rFonts w:ascii="Palatino Linotype" w:hAnsi="Palatino Linotype" w:cs="Arial"/>
          <w:i/>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lastRenderedPageBreak/>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FA08FC" w:rsidRPr="00F64316"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A08FC" w:rsidRPr="002E35AF" w:rsidRDefault="00FA08FC" w:rsidP="00FA08FC">
      <w:pPr>
        <w:spacing w:after="0" w:line="360" w:lineRule="auto"/>
        <w:jc w:val="both"/>
        <w:rPr>
          <w:rFonts w:ascii="Palatino Linotype" w:hAnsi="Palatino Linotype" w:cs="Arial"/>
          <w:color w:val="000000" w:themeColor="text1"/>
          <w:sz w:val="24"/>
          <w:szCs w:val="24"/>
        </w:rPr>
      </w:pP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registro que </w:t>
      </w:r>
      <w:r w:rsidRPr="002E35AF">
        <w:rPr>
          <w:rFonts w:ascii="Palatino Linotype" w:hAnsi="Palatino Linotype" w:cs="Arial"/>
          <w:i/>
          <w:color w:val="000000" w:themeColor="text1"/>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FA08FC" w:rsidRPr="002E35AF" w:rsidRDefault="00FA08FC" w:rsidP="00FA08F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FA08FC" w:rsidRPr="002E35AF" w:rsidRDefault="00FA08FC" w:rsidP="00FA08F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FA08FC" w:rsidRPr="002E35AF" w:rsidRDefault="00FA08FC" w:rsidP="00FA08FC">
      <w:pPr>
        <w:spacing w:after="0" w:line="360" w:lineRule="auto"/>
        <w:ind w:left="851" w:right="851"/>
        <w:jc w:val="both"/>
        <w:rPr>
          <w:rFonts w:ascii="Palatino Linotype" w:hAnsi="Palatino Linotype" w:cs="Arial"/>
          <w:i/>
          <w:color w:val="000000" w:themeColor="text1"/>
        </w:rPr>
      </w:pPr>
    </w:p>
    <w:p w:rsidR="00FA08FC" w:rsidRPr="00FE2D6D" w:rsidRDefault="00FA08FC" w:rsidP="00FE2D6D">
      <w:pPr>
        <w:spacing w:after="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A08FC" w:rsidRDefault="00FA08FC" w:rsidP="00FA08FC">
      <w:pPr>
        <w:spacing w:after="0" w:line="360" w:lineRule="auto"/>
        <w:jc w:val="both"/>
        <w:rPr>
          <w:rFonts w:ascii="Palatino Linotype" w:hAnsi="Palatino Linotype" w:cs="Arial"/>
          <w:color w:val="000000" w:themeColor="text1"/>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FA08FC" w:rsidRPr="00A25E45" w:rsidRDefault="00FA08FC" w:rsidP="00A25E45">
      <w:pPr>
        <w:spacing w:after="0" w:line="360" w:lineRule="auto"/>
        <w:jc w:val="both"/>
        <w:rPr>
          <w:rFonts w:ascii="Palatino Linotype" w:hAnsi="Palatino Linotype" w:cs="Arial"/>
          <w:color w:val="000000" w:themeColor="text1"/>
          <w:sz w:val="24"/>
          <w:szCs w:val="24"/>
        </w:rPr>
      </w:pPr>
    </w:p>
    <w:p w:rsidR="00FA08FC" w:rsidRPr="00A25E45" w:rsidRDefault="00FA08FC" w:rsidP="00A25E45">
      <w:pPr>
        <w:spacing w:after="0" w:line="360" w:lineRule="auto"/>
        <w:jc w:val="both"/>
        <w:rPr>
          <w:rFonts w:ascii="Palatino Linotype" w:hAnsi="Palatino Linotype" w:cs="Arial"/>
          <w:color w:val="000000" w:themeColor="text1"/>
          <w:sz w:val="24"/>
          <w:szCs w:val="24"/>
        </w:rPr>
      </w:pPr>
      <w:r w:rsidRPr="00A25E45">
        <w:rPr>
          <w:rFonts w:ascii="Palatino Linotype" w:hAnsi="Palatino Linotype" w:cs="Arial"/>
          <w:color w:val="000000" w:themeColor="text1"/>
          <w:sz w:val="24"/>
          <w:szCs w:val="24"/>
        </w:rPr>
        <w:t>Acotado lo anterior, nuestro estudio versará en determinar si el Sujeto obligado cuenta con las atribuciones de generar, poseer o admini</w:t>
      </w:r>
      <w:r w:rsidR="00812913" w:rsidRPr="00A25E45">
        <w:rPr>
          <w:rFonts w:ascii="Palatino Linotype" w:hAnsi="Palatino Linotype" w:cs="Arial"/>
          <w:color w:val="000000" w:themeColor="text1"/>
          <w:sz w:val="24"/>
          <w:szCs w:val="24"/>
        </w:rPr>
        <w:t>strar la información solicitada, consistente en:</w:t>
      </w:r>
    </w:p>
    <w:p w:rsidR="00812913" w:rsidRPr="00A25E45" w:rsidRDefault="00812913" w:rsidP="00A25E45">
      <w:pPr>
        <w:spacing w:after="0" w:line="360" w:lineRule="auto"/>
        <w:jc w:val="both"/>
        <w:rPr>
          <w:rFonts w:ascii="Palatino Linotype" w:hAnsi="Palatino Linotype" w:cs="Arial"/>
          <w:color w:val="000000" w:themeColor="text1"/>
          <w:sz w:val="24"/>
          <w:szCs w:val="24"/>
        </w:rPr>
      </w:pPr>
    </w:p>
    <w:p w:rsidR="00812913" w:rsidRPr="00300A68" w:rsidRDefault="00A25E45" w:rsidP="00300A68">
      <w:pPr>
        <w:spacing w:after="0" w:line="360" w:lineRule="auto"/>
        <w:ind w:left="851" w:right="851"/>
        <w:jc w:val="both"/>
        <w:rPr>
          <w:rFonts w:ascii="Palatino Linotype" w:hAnsi="Palatino Linotype" w:cs="Arial"/>
          <w:color w:val="000000" w:themeColor="text1"/>
          <w:sz w:val="24"/>
          <w:szCs w:val="24"/>
        </w:rPr>
      </w:pPr>
      <w:r w:rsidRPr="00300A68">
        <w:rPr>
          <w:rFonts w:ascii="Palatino Linotype" w:hAnsi="Palatino Linotype" w:cs="Arial"/>
          <w:color w:val="000000" w:themeColor="text1"/>
          <w:sz w:val="24"/>
          <w:szCs w:val="24"/>
        </w:rPr>
        <w:t>“</w:t>
      </w:r>
      <w:r w:rsidR="00E85A63" w:rsidRPr="00300A68">
        <w:rPr>
          <w:rFonts w:ascii="Palatino Linotype" w:eastAsia="Times New Roman" w:hAnsi="Palatino Linotype" w:cs="Times New Roman"/>
          <w:i/>
          <w:sz w:val="24"/>
          <w:szCs w:val="24"/>
          <w:lang w:val="es-ES_tradnl" w:eastAsia="es-ES"/>
        </w:rPr>
        <w:t xml:space="preserve">Por este conducto se informa que se tiene conocimiento del Convenio de Transacción entre el Gobierno del Estado de México y la empresa Situsa, en el que se resuelve la terminación de la Concesión del Mexibús 3, por lo que se </w:t>
      </w:r>
      <w:r w:rsidR="00E85A63" w:rsidRPr="00300A68">
        <w:rPr>
          <w:rFonts w:ascii="Palatino Linotype" w:eastAsia="Times New Roman" w:hAnsi="Palatino Linotype" w:cs="Times New Roman"/>
          <w:i/>
          <w:sz w:val="24"/>
          <w:szCs w:val="24"/>
          <w:lang w:val="es-ES_tradnl" w:eastAsia="es-ES"/>
        </w:rPr>
        <w:lastRenderedPageBreak/>
        <w:t>solicita lo siguiente: 1) Convenio de Transacción 2) Anexos, si es el caso 3) Desglose de pagos con monto, descripción y fecha</w:t>
      </w:r>
      <w:r w:rsidR="00E85A63" w:rsidRPr="00300A68">
        <w:rPr>
          <w:rFonts w:ascii="Palatino Linotype" w:hAnsi="Palatino Linotype"/>
          <w:i/>
          <w:sz w:val="24"/>
          <w:szCs w:val="24"/>
        </w:rPr>
        <w:t xml:space="preserve">.” </w:t>
      </w:r>
      <w:r w:rsidRPr="00300A68">
        <w:rPr>
          <w:rFonts w:ascii="Palatino Linotype" w:hAnsi="Palatino Linotype" w:cs="Arial"/>
          <w:color w:val="000000" w:themeColor="text1"/>
          <w:sz w:val="24"/>
          <w:szCs w:val="24"/>
        </w:rPr>
        <w:t xml:space="preserve"> (Sic)</w:t>
      </w: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6B0E94" w:rsidRDefault="00FD3D80" w:rsidP="00FD3D80">
      <w:pPr>
        <w:autoSpaceDE w:val="0"/>
        <w:autoSpaceDN w:val="0"/>
        <w:adjustRightInd w:val="0"/>
        <w:spacing w:after="0" w:line="360" w:lineRule="auto"/>
        <w:jc w:val="both"/>
        <w:rPr>
          <w:rFonts w:ascii="Palatino Linotype" w:hAnsi="Palatino Linotype" w:cs="Arial"/>
          <w:sz w:val="24"/>
          <w:szCs w:val="24"/>
        </w:rPr>
      </w:pPr>
      <w:r w:rsidRPr="006B0E94">
        <w:rPr>
          <w:rFonts w:ascii="Palatino Linotype" w:hAnsi="Palatino Linotype" w:cs="Arial"/>
          <w:sz w:val="24"/>
          <w:szCs w:val="24"/>
        </w:rPr>
        <w:t xml:space="preserve">Para lo cual el sujeto obligado a través de la Unidad de Transparencia </w:t>
      </w:r>
      <w:r w:rsidR="006B0E94">
        <w:rPr>
          <w:rFonts w:ascii="Palatino Linotype" w:hAnsi="Palatino Linotype" w:cs="Arial"/>
          <w:sz w:val="24"/>
          <w:szCs w:val="24"/>
        </w:rPr>
        <w:t>remitió dicha solicitud de información, como se aprecia a continuación:</w:t>
      </w:r>
    </w:p>
    <w:p w:rsidR="006B0E94" w:rsidRDefault="006B0E94" w:rsidP="00FD3D80">
      <w:pPr>
        <w:autoSpaceDE w:val="0"/>
        <w:autoSpaceDN w:val="0"/>
        <w:adjustRightInd w:val="0"/>
        <w:spacing w:after="0" w:line="360" w:lineRule="auto"/>
        <w:jc w:val="both"/>
        <w:rPr>
          <w:rFonts w:ascii="Palatino Linotype" w:hAnsi="Palatino Linotype" w:cs="Arial"/>
          <w:sz w:val="24"/>
          <w:szCs w:val="24"/>
        </w:rPr>
      </w:pPr>
    </w:p>
    <w:p w:rsidR="006B0E94" w:rsidRDefault="006B0E94" w:rsidP="00FD3D80">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3DE9CAA4" wp14:editId="380074E2">
            <wp:extent cx="5819775" cy="34194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10" t="30570" r="2778" b="35332"/>
                    <a:stretch/>
                  </pic:blipFill>
                  <pic:spPr bwMode="auto">
                    <a:xfrm>
                      <a:off x="0" y="0"/>
                      <a:ext cx="5819775" cy="3419475"/>
                    </a:xfrm>
                    <a:prstGeom prst="rect">
                      <a:avLst/>
                    </a:prstGeom>
                    <a:ln>
                      <a:noFill/>
                    </a:ln>
                    <a:extLst>
                      <a:ext uri="{53640926-AAD7-44D8-BBD7-CCE9431645EC}">
                        <a14:shadowObscured xmlns:a14="http://schemas.microsoft.com/office/drawing/2010/main"/>
                      </a:ext>
                    </a:extLst>
                  </pic:spPr>
                </pic:pic>
              </a:graphicData>
            </a:graphic>
          </wp:inline>
        </w:drawing>
      </w:r>
    </w:p>
    <w:p w:rsidR="006B0E94" w:rsidRDefault="006B0E94" w:rsidP="00FD3D80">
      <w:pPr>
        <w:autoSpaceDE w:val="0"/>
        <w:autoSpaceDN w:val="0"/>
        <w:adjustRightInd w:val="0"/>
        <w:spacing w:after="0" w:line="360" w:lineRule="auto"/>
        <w:jc w:val="both"/>
        <w:rPr>
          <w:rFonts w:ascii="Palatino Linotype" w:hAnsi="Palatino Linotype" w:cs="Arial"/>
          <w:sz w:val="24"/>
          <w:szCs w:val="24"/>
        </w:rPr>
      </w:pPr>
    </w:p>
    <w:p w:rsidR="006B0E94" w:rsidRDefault="006B0E94" w:rsidP="00FD3D8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puede apreciar la solicitud de información se turnó al Lic. Ricardo Delgado Reynoso, quien de acuerdo al </w:t>
      </w:r>
      <w:r w:rsidR="00300A68">
        <w:rPr>
          <w:rFonts w:ascii="Palatino Linotype" w:hAnsi="Palatino Linotype" w:cs="Arial"/>
          <w:sz w:val="24"/>
          <w:szCs w:val="24"/>
        </w:rPr>
        <w:t xml:space="preserve">Directorio de Servidores públicos del Gobierno del Estado de México </w:t>
      </w:r>
      <w:r>
        <w:rPr>
          <w:rFonts w:ascii="Palatino Linotype" w:hAnsi="Palatino Linotype" w:cs="Arial"/>
          <w:sz w:val="24"/>
          <w:szCs w:val="24"/>
        </w:rPr>
        <w:t xml:space="preserve">es el </w:t>
      </w:r>
      <w:r w:rsidR="00300A68">
        <w:rPr>
          <w:rFonts w:ascii="Palatino Linotype" w:hAnsi="Palatino Linotype" w:cs="Arial"/>
          <w:sz w:val="24"/>
          <w:szCs w:val="24"/>
        </w:rPr>
        <w:t>Director de Supervisión y Control, como se aprecia a continuación:</w:t>
      </w: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6B0E94" w:rsidRDefault="00300A68" w:rsidP="00FD3D80">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7696" behindDoc="0" locked="0" layoutInCell="1" allowOverlap="1" wp14:anchorId="2B38B69A" wp14:editId="614B7238">
                <wp:simplePos x="0" y="0"/>
                <wp:positionH relativeFrom="column">
                  <wp:posOffset>-6445</wp:posOffset>
                </wp:positionH>
                <wp:positionV relativeFrom="paragraph">
                  <wp:posOffset>5743575</wp:posOffset>
                </wp:positionV>
                <wp:extent cx="828675" cy="228600"/>
                <wp:effectExtent l="19050" t="19050" r="28575" b="38100"/>
                <wp:wrapNone/>
                <wp:docPr id="12" name="Flecha a la derecha con muesca 12"/>
                <wp:cNvGraphicFramePr/>
                <a:graphic xmlns:a="http://schemas.openxmlformats.org/drawingml/2006/main">
                  <a:graphicData uri="http://schemas.microsoft.com/office/word/2010/wordprocessingShape">
                    <wps:wsp>
                      <wps:cNvSpPr/>
                      <wps:spPr>
                        <a:xfrm>
                          <a:off x="0" y="0"/>
                          <a:ext cx="828675" cy="2286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C78E8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12" o:spid="_x0000_s1026" type="#_x0000_t94" style="position:absolute;margin-left:-.5pt;margin-top:452.25pt;width:65.25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" adj="18621" fillcolor="#5b9bd5 [3204]" strokecolor="#1f4d78 [1604]" strokeweight="1pt"/>
            </w:pict>
          </mc:Fallback>
        </mc:AlternateContent>
      </w:r>
      <w:r>
        <w:rPr>
          <w:noProof/>
          <w:lang w:eastAsia="es-MX"/>
        </w:rPr>
        <mc:AlternateContent>
          <mc:Choice Requires="wps">
            <w:drawing>
              <wp:anchor distT="0" distB="0" distL="114300" distR="114300" simplePos="0" relativeHeight="251675648" behindDoc="0" locked="0" layoutInCell="1" allowOverlap="1">
                <wp:simplePos x="0" y="0"/>
                <wp:positionH relativeFrom="column">
                  <wp:posOffset>680426</wp:posOffset>
                </wp:positionH>
                <wp:positionV relativeFrom="paragraph">
                  <wp:posOffset>5385416</wp:posOffset>
                </wp:positionV>
                <wp:extent cx="2469913" cy="1235833"/>
                <wp:effectExtent l="19050" t="19050" r="45085" b="40640"/>
                <wp:wrapNone/>
                <wp:docPr id="6" name="Rectángulo 6"/>
                <wp:cNvGraphicFramePr/>
                <a:graphic xmlns:a="http://schemas.openxmlformats.org/drawingml/2006/main">
                  <a:graphicData uri="http://schemas.microsoft.com/office/word/2010/wordprocessingShape">
                    <wps:wsp>
                      <wps:cNvSpPr/>
                      <wps:spPr>
                        <a:xfrm>
                          <a:off x="0" y="0"/>
                          <a:ext cx="2469913" cy="1235833"/>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7FDFB" id="Rectángulo 6" o:spid="_x0000_s1026" style="position:absolute;margin-left:53.6pt;margin-top:424.05pt;width:194.5pt;height:9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" filled="f" strokecolor="red" strokeweight="4.5pt"/>
            </w:pict>
          </mc:Fallback>
        </mc:AlternateContent>
      </w:r>
      <w:r>
        <w:rPr>
          <w:noProof/>
          <w:lang w:eastAsia="es-MX"/>
        </w:rPr>
        <w:drawing>
          <wp:inline distT="0" distB="0" distL="0" distR="0" wp14:anchorId="4FED1ADC" wp14:editId="6C5B37F3">
            <wp:extent cx="5753100" cy="6619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779" t="4409" r="19147" b="4762"/>
                    <a:stretch/>
                  </pic:blipFill>
                  <pic:spPr bwMode="auto">
                    <a:xfrm>
                      <a:off x="0" y="0"/>
                      <a:ext cx="5753100" cy="6619875"/>
                    </a:xfrm>
                    <a:prstGeom prst="rect">
                      <a:avLst/>
                    </a:prstGeom>
                    <a:ln>
                      <a:noFill/>
                    </a:ln>
                    <a:extLst>
                      <a:ext uri="{53640926-AAD7-44D8-BBD7-CCE9431645EC}">
                        <a14:shadowObscured xmlns:a14="http://schemas.microsoft.com/office/drawing/2010/main"/>
                      </a:ext>
                    </a:extLst>
                  </pic:spPr>
                </pic:pic>
              </a:graphicData>
            </a:graphic>
          </wp:inline>
        </w:drawing>
      </w: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300A68" w:rsidRDefault="00300A68" w:rsidP="00FD3D80">
      <w:pPr>
        <w:autoSpaceDE w:val="0"/>
        <w:autoSpaceDN w:val="0"/>
        <w:adjustRightInd w:val="0"/>
        <w:spacing w:after="0" w:line="360" w:lineRule="auto"/>
        <w:jc w:val="both"/>
        <w:rPr>
          <w:rFonts w:ascii="Palatino Linotype" w:hAnsi="Palatino Linotype" w:cs="Arial"/>
          <w:sz w:val="24"/>
          <w:szCs w:val="24"/>
        </w:rPr>
      </w:pPr>
    </w:p>
    <w:p w:rsidR="00FD3D80" w:rsidRPr="005B7B2A" w:rsidRDefault="00C31FB5" w:rsidP="00FD3D8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Como se puede apreciar sólo se giró a una unidad administrativa, la cual no dio atención a la solicitud de información</w:t>
      </w:r>
      <w:r w:rsidR="00FD3D80">
        <w:rPr>
          <w:rFonts w:ascii="Palatino Linotype" w:hAnsi="Palatino Linotype" w:cs="Arial"/>
          <w:sz w:val="24"/>
          <w:szCs w:val="24"/>
        </w:rPr>
        <w:t xml:space="preserve">; ahora </w:t>
      </w:r>
      <w:r w:rsidR="00FD3D80" w:rsidRPr="00216CCE">
        <w:rPr>
          <w:rFonts w:ascii="Palatino Linotype" w:hAnsi="Palatino Linotype" w:cs="Arial"/>
          <w:sz w:val="24"/>
          <w:szCs w:val="24"/>
        </w:rPr>
        <w:t>bi</w:t>
      </w:r>
      <w:r w:rsidR="00FD3D80">
        <w:rPr>
          <w:rFonts w:ascii="Palatino Linotype" w:hAnsi="Palatino Linotype" w:cs="Arial"/>
          <w:sz w:val="24"/>
          <w:szCs w:val="24"/>
        </w:rPr>
        <w:t xml:space="preserve">en, </w:t>
      </w:r>
      <w:r w:rsidR="00FD3D80" w:rsidRPr="00A25E45">
        <w:rPr>
          <w:rFonts w:ascii="Palatino Linotype" w:hAnsi="Palatino Linotype" w:cs="Arial"/>
          <w:sz w:val="24"/>
          <w:szCs w:val="24"/>
        </w:rPr>
        <w:t>es cierto que la Unidad de</w:t>
      </w:r>
      <w:r w:rsidR="00FD3D80" w:rsidRPr="005B7B2A">
        <w:rPr>
          <w:rFonts w:ascii="Palatino Linotype" w:hAnsi="Palatino Linotype" w:cs="Arial"/>
          <w:sz w:val="24"/>
          <w:szCs w:val="24"/>
        </w:rPr>
        <w:t xml:space="preserv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y </w:t>
      </w:r>
      <w:r w:rsidR="00B700C4">
        <w:rPr>
          <w:rFonts w:ascii="Palatino Linotype" w:hAnsi="Palatino Linotype" w:cs="Arial"/>
          <w:sz w:val="24"/>
          <w:szCs w:val="24"/>
        </w:rPr>
        <w:t>11 fracción XXVIII, 13 y 14 fracción XIII</w:t>
      </w:r>
      <w:r w:rsidR="00FD3D80" w:rsidRPr="005B7B2A">
        <w:rPr>
          <w:rFonts w:ascii="Palatino Linotype" w:hAnsi="Palatino Linotype" w:cs="Arial"/>
          <w:sz w:val="24"/>
          <w:szCs w:val="24"/>
        </w:rPr>
        <w:t xml:space="preserve"> del </w:t>
      </w:r>
      <w:r w:rsidR="00216CCE">
        <w:rPr>
          <w:rFonts w:ascii="Palatino Linotype" w:hAnsi="Palatino Linotype" w:cs="Arial"/>
          <w:sz w:val="24"/>
          <w:szCs w:val="24"/>
        </w:rPr>
        <w:t xml:space="preserve">Reglamento Interior del </w:t>
      </w:r>
      <w:r w:rsidR="00216CCE" w:rsidRPr="00216CCE">
        <w:rPr>
          <w:rFonts w:ascii="Palatino Linotype" w:hAnsi="Palatino Linotype" w:cs="Arial"/>
          <w:sz w:val="24"/>
          <w:szCs w:val="24"/>
        </w:rPr>
        <w:t>Sistema de Transporte Masivo y Teleférico del Estado de México</w:t>
      </w:r>
      <w:r w:rsidR="00FD3D80" w:rsidRPr="005B7B2A">
        <w:rPr>
          <w:rFonts w:ascii="Palatino Linotype" w:hAnsi="Palatino Linotype" w:cs="Arial"/>
          <w:sz w:val="24"/>
          <w:szCs w:val="24"/>
        </w:rPr>
        <w:t>, que refieren:</w:t>
      </w:r>
    </w:p>
    <w:p w:rsidR="00216CCE" w:rsidRPr="005B7B2A" w:rsidRDefault="00216CCE" w:rsidP="005B7B2A">
      <w:pPr>
        <w:autoSpaceDE w:val="0"/>
        <w:autoSpaceDN w:val="0"/>
        <w:adjustRightInd w:val="0"/>
        <w:spacing w:after="0" w:line="360" w:lineRule="auto"/>
        <w:jc w:val="both"/>
        <w:rPr>
          <w:rFonts w:ascii="Palatino Linotype" w:hAnsi="Palatino Linotype" w:cs="Arial"/>
          <w:sz w:val="24"/>
          <w:szCs w:val="24"/>
        </w:rPr>
      </w:pPr>
    </w:p>
    <w:p w:rsidR="00FD3D80" w:rsidRPr="005B7B2A" w:rsidRDefault="00FD3D80" w:rsidP="005B7B2A">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lastRenderedPageBreak/>
        <w:t xml:space="preserve">II. Recibir, tramitar y dar respuesta a las solicitudes de acceso a la información; </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FD3D80" w:rsidRPr="005B7B2A" w:rsidRDefault="00FD3D80" w:rsidP="005B7B2A">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rsidR="00FD3D80" w:rsidRPr="005B7B2A" w:rsidRDefault="00FD3D80" w:rsidP="005B7B2A">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rsidR="00FD3D80" w:rsidRPr="005B7B2A" w:rsidRDefault="00FD3D80" w:rsidP="005B7B2A">
      <w:pPr>
        <w:tabs>
          <w:tab w:val="left" w:pos="709"/>
        </w:tabs>
        <w:spacing w:after="0" w:line="240" w:lineRule="auto"/>
        <w:ind w:left="851" w:right="760"/>
        <w:jc w:val="center"/>
        <w:rPr>
          <w:rFonts w:ascii="Palatino Linotype" w:hAnsi="Palatino Linotype" w:cs="Arial"/>
          <w:b/>
        </w:rPr>
      </w:pPr>
    </w:p>
    <w:p w:rsidR="00FD3D80" w:rsidRPr="00B700C4" w:rsidRDefault="00B700C4" w:rsidP="005B7B2A">
      <w:pPr>
        <w:tabs>
          <w:tab w:val="left" w:pos="709"/>
        </w:tabs>
        <w:spacing w:after="0" w:line="240" w:lineRule="auto"/>
        <w:ind w:left="851" w:right="760"/>
        <w:jc w:val="center"/>
        <w:rPr>
          <w:rFonts w:ascii="Palatino Linotype" w:hAnsi="Palatino Linotype" w:cs="Arial"/>
          <w:b/>
        </w:rPr>
      </w:pPr>
      <w:r w:rsidRPr="00B700C4">
        <w:rPr>
          <w:rFonts w:ascii="Palatino Linotype" w:hAnsi="Palatino Linotype" w:cs="Arial"/>
          <w:b/>
        </w:rPr>
        <w:t>Reglamento Interior del Sistema de Transporte Masivo y Teleférico del Estado de México</w:t>
      </w:r>
    </w:p>
    <w:p w:rsidR="00214670" w:rsidRPr="005B7B2A" w:rsidRDefault="00214670" w:rsidP="005B7B2A">
      <w:pPr>
        <w:tabs>
          <w:tab w:val="left" w:pos="709"/>
        </w:tabs>
        <w:spacing w:after="0" w:line="240" w:lineRule="auto"/>
        <w:ind w:left="851" w:right="760"/>
        <w:jc w:val="center"/>
        <w:rPr>
          <w:rFonts w:ascii="Palatino Linotype" w:hAnsi="Palatino Linotype" w:cs="Arial"/>
          <w:b/>
        </w:rPr>
      </w:pPr>
    </w:p>
    <w:p w:rsidR="00B700C4" w:rsidRPr="00B700C4" w:rsidRDefault="00B700C4" w:rsidP="00B700C4">
      <w:pPr>
        <w:tabs>
          <w:tab w:val="left" w:pos="709"/>
        </w:tabs>
        <w:spacing w:after="0" w:line="240" w:lineRule="auto"/>
        <w:ind w:left="851" w:right="760"/>
        <w:jc w:val="center"/>
        <w:rPr>
          <w:rFonts w:ascii="Palatino Linotype" w:hAnsi="Palatino Linotype" w:cs="Arial"/>
          <w:b/>
          <w:i/>
          <w:lang w:eastAsia="es-MX"/>
        </w:rPr>
      </w:pPr>
      <w:r w:rsidRPr="00B700C4">
        <w:rPr>
          <w:rFonts w:ascii="Palatino Linotype" w:hAnsi="Palatino Linotype" w:cs="Arial"/>
          <w:b/>
          <w:i/>
          <w:lang w:eastAsia="es-MX"/>
        </w:rPr>
        <w:t>SECCIÓN SEGUNDA</w:t>
      </w:r>
    </w:p>
    <w:p w:rsidR="00B700C4" w:rsidRPr="00B700C4" w:rsidRDefault="00B700C4" w:rsidP="00B700C4">
      <w:pPr>
        <w:tabs>
          <w:tab w:val="left" w:pos="709"/>
        </w:tabs>
        <w:spacing w:after="0" w:line="240" w:lineRule="auto"/>
        <w:ind w:left="851" w:right="760"/>
        <w:jc w:val="center"/>
        <w:rPr>
          <w:rFonts w:ascii="Palatino Linotype" w:hAnsi="Palatino Linotype" w:cs="Arial"/>
          <w:b/>
          <w:i/>
          <w:lang w:eastAsia="es-MX"/>
        </w:rPr>
      </w:pPr>
      <w:r w:rsidRPr="00B700C4">
        <w:rPr>
          <w:rFonts w:ascii="Palatino Linotype" w:hAnsi="Palatino Linotype" w:cs="Arial"/>
          <w:b/>
          <w:i/>
          <w:lang w:eastAsia="es-MX"/>
        </w:rPr>
        <w:t>DEL DIRECTOR GENERAL</w:t>
      </w:r>
    </w:p>
    <w:p w:rsidR="00B42B2F" w:rsidRDefault="00B700C4" w:rsidP="00B700C4">
      <w:pPr>
        <w:tabs>
          <w:tab w:val="left" w:pos="709"/>
        </w:tabs>
        <w:spacing w:after="0" w:line="240" w:lineRule="auto"/>
        <w:ind w:left="851" w:right="760"/>
        <w:jc w:val="both"/>
        <w:rPr>
          <w:rFonts w:ascii="Palatino Linotype" w:hAnsi="Palatino Linotype" w:cs="Arial"/>
          <w:i/>
          <w:lang w:eastAsia="es-MX"/>
        </w:rPr>
      </w:pPr>
      <w:r w:rsidRPr="00B700C4">
        <w:rPr>
          <w:rFonts w:ascii="Palatino Linotype" w:hAnsi="Palatino Linotype" w:cs="Arial"/>
          <w:i/>
          <w:lang w:eastAsia="es-MX"/>
        </w:rPr>
        <w:t>Artículo 11. Al frente del Sistema habrá un Director General, quien tendrá las atribuciones siguientes:</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sidRPr="00B700C4">
        <w:rPr>
          <w:rFonts w:ascii="Palatino Linotype" w:hAnsi="Palatino Linotype" w:cs="Arial"/>
          <w:i/>
          <w:lang w:eastAsia="es-MX"/>
        </w:rPr>
        <w:t>XXVIII. Cumplir con las disposiciones en materia de transparencia, acceso a la información pública y protección de datos personales, en términos de las disposiciones jurídicas aplicables;</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sidRPr="00B700C4">
        <w:rPr>
          <w:rFonts w:ascii="Palatino Linotype" w:hAnsi="Palatino Linotype" w:cs="Arial"/>
          <w:i/>
          <w:lang w:eastAsia="es-MX"/>
        </w:rPr>
        <w:t>Artículo 13. Al frente de cada Dirección y de la Unidad, habrá una o un titular, quien se auxiliará de los servidores públicos que las necesidades del servicio requieran. Artículo 14. Corresponde a las y los Directores y a la Jefa o Jefe de Unidad, las atribuciones siguientes:</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B700C4" w:rsidRDefault="00B700C4" w:rsidP="00B700C4">
      <w:pPr>
        <w:tabs>
          <w:tab w:val="left" w:pos="709"/>
        </w:tabs>
        <w:spacing w:after="0" w:line="240" w:lineRule="auto"/>
        <w:ind w:left="851" w:right="760"/>
        <w:jc w:val="both"/>
        <w:rPr>
          <w:rFonts w:ascii="Palatino Linotype" w:hAnsi="Palatino Linotype" w:cs="Arial"/>
          <w:i/>
          <w:lang w:eastAsia="es-MX"/>
        </w:rPr>
      </w:pPr>
      <w:r w:rsidRPr="00B700C4">
        <w:rPr>
          <w:rFonts w:ascii="Palatino Linotype" w:hAnsi="Palatino Linotype" w:cs="Arial"/>
          <w:i/>
          <w:lang w:eastAsia="es-MX"/>
        </w:rPr>
        <w:t>XIII. Cumplir con las disposiciones en materia de transparencia, acceso a la información pública y protección de datos personales, en términos de la normatividad aplicable;</w:t>
      </w:r>
      <w:r>
        <w:rPr>
          <w:rFonts w:ascii="Palatino Linotype" w:hAnsi="Palatino Linotype" w:cs="Arial"/>
          <w:i/>
          <w:lang w:eastAsia="es-MX"/>
        </w:rPr>
        <w:t>”</w:t>
      </w:r>
    </w:p>
    <w:p w:rsidR="00B700C4" w:rsidRPr="005B7B2A" w:rsidRDefault="00B700C4" w:rsidP="005B7B2A">
      <w:pPr>
        <w:autoSpaceDE w:val="0"/>
        <w:autoSpaceDN w:val="0"/>
        <w:adjustRightInd w:val="0"/>
        <w:spacing w:after="0" w:line="360" w:lineRule="auto"/>
        <w:jc w:val="both"/>
        <w:rPr>
          <w:rFonts w:ascii="Palatino Linotype" w:hAnsi="Palatino Linotype" w:cs="Arial"/>
          <w:sz w:val="24"/>
          <w:szCs w:val="24"/>
        </w:rPr>
      </w:pPr>
    </w:p>
    <w:p w:rsidR="00FD3D80" w:rsidRDefault="00FD3D80" w:rsidP="00A22D58">
      <w:pPr>
        <w:autoSpaceDE w:val="0"/>
        <w:autoSpaceDN w:val="0"/>
        <w:adjustRightInd w:val="0"/>
        <w:spacing w:after="0" w:line="360" w:lineRule="auto"/>
        <w:jc w:val="both"/>
        <w:rPr>
          <w:rFonts w:ascii="Palatino Linotype" w:hAnsi="Palatino Linotype" w:cs="Arial"/>
        </w:rPr>
      </w:pPr>
      <w:r w:rsidRPr="005B7B2A">
        <w:rPr>
          <w:rFonts w:ascii="Palatino Linotype" w:hAnsi="Palatino Linotype" w:cs="Arial"/>
          <w:sz w:val="24"/>
          <w:szCs w:val="24"/>
        </w:rPr>
        <w:t xml:space="preserve">Lo anterior es así ya que derivado de la solicitud número </w:t>
      </w:r>
      <w:r w:rsidR="00A22D58">
        <w:rPr>
          <w:rFonts w:ascii="Palatino Linotype" w:hAnsi="Palatino Linotype" w:cs="Arial"/>
          <w:b/>
          <w:sz w:val="24"/>
          <w:szCs w:val="24"/>
        </w:rPr>
        <w:t>00049/STMEM/IP/2019</w:t>
      </w:r>
      <w:r w:rsidRPr="005B7B2A">
        <w:rPr>
          <w:rFonts w:ascii="Palatino Linotype" w:hAnsi="Palatino Linotype" w:cs="Arial"/>
          <w:sz w:val="24"/>
          <w:szCs w:val="24"/>
        </w:rPr>
        <w:t xml:space="preserve"> (en la que se resuelve), se aprecia en el sistema SAIMEX, que la </w:t>
      </w:r>
      <w:r w:rsidR="00385633">
        <w:rPr>
          <w:rFonts w:ascii="Palatino Linotype" w:hAnsi="Palatino Linotype" w:cs="Arial"/>
          <w:sz w:val="24"/>
          <w:szCs w:val="24"/>
        </w:rPr>
        <w:t xml:space="preserve">Unidad de Transparencia </w:t>
      </w:r>
      <w:r w:rsidR="00385633" w:rsidRPr="00385633">
        <w:rPr>
          <w:rFonts w:ascii="Palatino Linotype" w:hAnsi="Palatino Linotype" w:cs="Arial"/>
          <w:sz w:val="24"/>
          <w:szCs w:val="24"/>
        </w:rPr>
        <w:t>y Acceso a la Información Pública</w:t>
      </w:r>
      <w:r w:rsidR="00385633">
        <w:rPr>
          <w:rFonts w:ascii="Palatino Linotype" w:hAnsi="Palatino Linotype" w:cs="Arial"/>
          <w:sz w:val="24"/>
          <w:szCs w:val="24"/>
        </w:rPr>
        <w:t xml:space="preserve"> </w:t>
      </w:r>
      <w:r w:rsidRPr="005B7B2A">
        <w:rPr>
          <w:rFonts w:ascii="Palatino Linotype" w:hAnsi="Palatino Linotype" w:cs="Arial"/>
          <w:sz w:val="24"/>
          <w:szCs w:val="24"/>
        </w:rPr>
        <w:t xml:space="preserve">en comento, no tramitó ante las instancias del </w:t>
      </w:r>
      <w:r w:rsidR="00A22D58">
        <w:rPr>
          <w:rFonts w:ascii="Palatino Linotype" w:hAnsi="Palatino Linotype" w:cs="Arial"/>
          <w:sz w:val="24"/>
          <w:szCs w:val="24"/>
        </w:rPr>
        <w:t>Sistema de Transporte Masivo y Teleférico del Estado de México</w:t>
      </w:r>
      <w:r w:rsidRPr="005B7B2A">
        <w:rPr>
          <w:rFonts w:ascii="Palatino Linotype" w:hAnsi="Palatino Linotype" w:cs="Arial"/>
          <w:sz w:val="24"/>
          <w:szCs w:val="24"/>
        </w:rPr>
        <w:t xml:space="preserve">, que pudieran tener lo solicitado (derivado de sus funciones) por el particular, </w:t>
      </w:r>
      <w:r w:rsidR="00A22D58">
        <w:rPr>
          <w:rFonts w:ascii="Palatino Linotype" w:hAnsi="Palatino Linotype" w:cs="Arial"/>
          <w:sz w:val="24"/>
          <w:szCs w:val="24"/>
        </w:rPr>
        <w:t>como ya se evidenció anteriormente.</w:t>
      </w:r>
    </w:p>
    <w:p w:rsidR="00FD3D80" w:rsidRPr="00385633" w:rsidRDefault="00FD3D80" w:rsidP="00385633">
      <w:pPr>
        <w:tabs>
          <w:tab w:val="left" w:pos="7938"/>
        </w:tabs>
        <w:spacing w:after="0" w:line="360" w:lineRule="auto"/>
        <w:jc w:val="both"/>
        <w:rPr>
          <w:rFonts w:ascii="Palatino Linotype" w:hAnsi="Palatino Linotype" w:cs="Arial"/>
          <w:sz w:val="24"/>
          <w:szCs w:val="24"/>
        </w:rPr>
      </w:pPr>
    </w:p>
    <w:p w:rsidR="00FD3D80" w:rsidRPr="00385633" w:rsidRDefault="00FD3D80" w:rsidP="00385633">
      <w:pPr>
        <w:tabs>
          <w:tab w:val="left" w:pos="7938"/>
        </w:tabs>
        <w:spacing w:after="0" w:line="360" w:lineRule="auto"/>
        <w:jc w:val="both"/>
        <w:rPr>
          <w:rFonts w:ascii="Palatino Linotype" w:hAnsi="Palatino Linotype" w:cs="Arial"/>
          <w:sz w:val="24"/>
          <w:szCs w:val="24"/>
        </w:rPr>
      </w:pPr>
      <w:r w:rsidRPr="0084578F">
        <w:rPr>
          <w:rFonts w:ascii="Palatino Linotype" w:hAnsi="Palatino Linotype" w:cs="Arial"/>
          <w:sz w:val="24"/>
          <w:szCs w:val="24"/>
        </w:rPr>
        <w:lastRenderedPageBreak/>
        <w:t>De la anterior, se advierte el hecho de que no se generó algún requerimiento o tramite interno por parte de la Unidad de</w:t>
      </w:r>
      <w:r w:rsidRPr="00385633">
        <w:rPr>
          <w:rFonts w:ascii="Palatino Linotype" w:hAnsi="Palatino Linotype" w:cs="Arial"/>
          <w:sz w:val="24"/>
          <w:szCs w:val="24"/>
        </w:rPr>
        <w:t xml:space="preserve"> Transparencia que se haya dirigido a alguna otra dependencia del ayuntamiento</w:t>
      </w:r>
      <w:r w:rsidR="007E247C">
        <w:rPr>
          <w:rFonts w:ascii="Palatino Linotype" w:hAnsi="Palatino Linotype" w:cs="Arial"/>
          <w:sz w:val="24"/>
          <w:szCs w:val="24"/>
        </w:rPr>
        <w:t xml:space="preserve"> y que estas hubiesen atendido</w:t>
      </w:r>
      <w:r w:rsidRPr="00385633">
        <w:rPr>
          <w:rFonts w:ascii="Palatino Linotype" w:hAnsi="Palatino Linotype" w:cs="Arial"/>
          <w:sz w:val="24"/>
          <w:szCs w:val="24"/>
        </w:rPr>
        <w:t>, ya que no se adjuntó archivo electrónico alguno, ni se aprecia alguna comunicación interna en el sistema que haya quedado registrada.</w:t>
      </w:r>
    </w:p>
    <w:p w:rsidR="00FD3D80" w:rsidRDefault="00FD3D80" w:rsidP="00385633">
      <w:pPr>
        <w:tabs>
          <w:tab w:val="left" w:pos="7938"/>
        </w:tabs>
        <w:spacing w:after="0" w:line="360" w:lineRule="auto"/>
        <w:jc w:val="both"/>
        <w:rPr>
          <w:rFonts w:ascii="Palatino Linotype" w:hAnsi="Palatino Linotype" w:cs="Arial"/>
          <w:sz w:val="24"/>
          <w:szCs w:val="24"/>
        </w:rPr>
      </w:pPr>
    </w:p>
    <w:p w:rsidR="0053338A" w:rsidRDefault="0053338A" w:rsidP="007E247C">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Máxime que la información solicitada es susceptible de ser generada por el sujeto obligado, ya que se solicitó:</w:t>
      </w:r>
      <w:r w:rsidR="007E247C">
        <w:rPr>
          <w:rFonts w:ascii="Palatino Linotype" w:hAnsi="Palatino Linotype" w:cs="Arial"/>
          <w:sz w:val="24"/>
          <w:szCs w:val="24"/>
        </w:rPr>
        <w:t xml:space="preserve"> </w:t>
      </w:r>
      <w:r w:rsidR="007E247C">
        <w:rPr>
          <w:rFonts w:ascii="Palatino Linotype" w:hAnsi="Palatino Linotype"/>
          <w:i/>
          <w:color w:val="000000"/>
          <w:sz w:val="24"/>
          <w:szCs w:val="24"/>
        </w:rPr>
        <w:t>D</w:t>
      </w:r>
      <w:r w:rsidR="007E247C">
        <w:rPr>
          <w:rFonts w:ascii="Palatino Linotype" w:eastAsia="Times New Roman" w:hAnsi="Palatino Linotype" w:cs="Times New Roman"/>
          <w:i/>
          <w:sz w:val="24"/>
          <w:szCs w:val="24"/>
          <w:lang w:val="es-ES_tradnl" w:eastAsia="es-ES"/>
        </w:rPr>
        <w:t>el Convenio de Transacción entre el Gobierno del Estado de México y la empresa Situsa, en el que se resuelve la terminación de la Concesión del Mexibús 3, por lo que se solicita lo siguiente: 1) Convenio de Transacción 2) Anexos, si es el caso 3) Desglose de pagos con monto, descripción y fecha</w:t>
      </w:r>
      <w:r w:rsidR="007E247C">
        <w:rPr>
          <w:i/>
        </w:rPr>
        <w:t>.”</w:t>
      </w:r>
    </w:p>
    <w:p w:rsidR="0053338A" w:rsidRDefault="0053338A" w:rsidP="00385633">
      <w:pPr>
        <w:tabs>
          <w:tab w:val="left" w:pos="7938"/>
        </w:tabs>
        <w:spacing w:after="0" w:line="360" w:lineRule="auto"/>
        <w:jc w:val="both"/>
        <w:rPr>
          <w:rFonts w:ascii="Palatino Linotype" w:hAnsi="Palatino Linotype" w:cs="Arial"/>
          <w:sz w:val="24"/>
          <w:szCs w:val="24"/>
        </w:rPr>
      </w:pPr>
    </w:p>
    <w:p w:rsidR="0053338A" w:rsidRDefault="0053338A" w:rsidP="0053338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Información que </w:t>
      </w:r>
      <w:r w:rsidR="00992B27">
        <w:rPr>
          <w:rFonts w:ascii="Palatino Linotype" w:hAnsi="Palatino Linotype" w:cs="Arial"/>
          <w:sz w:val="24"/>
          <w:szCs w:val="24"/>
        </w:rPr>
        <w:t>de acuerdo a las funciones de las áreas del sujeto obligado según el propio Reglamento Interior, antes mencionado establece:</w:t>
      </w:r>
    </w:p>
    <w:p w:rsidR="0053338A" w:rsidRDefault="0053338A" w:rsidP="00385633">
      <w:pPr>
        <w:tabs>
          <w:tab w:val="left" w:pos="7938"/>
        </w:tabs>
        <w:spacing w:after="0" w:line="360" w:lineRule="auto"/>
        <w:jc w:val="both"/>
        <w:rPr>
          <w:rFonts w:ascii="Palatino Linotype" w:hAnsi="Palatino Linotype" w:cs="Arial"/>
          <w:sz w:val="24"/>
          <w:szCs w:val="24"/>
        </w:rPr>
      </w:pPr>
    </w:p>
    <w:p w:rsidR="00B51EBE"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Artículo 10. Corresponde al Consejo Directivo, las atribuciones siguientes:</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IV. Aprobar y modificar los proyectos de los programas para la planeación, construcción, conservación, rehabilitación y mantenimiento de los sistemas de transporte masivo o de alta capacidad, teleférico, las estaciones de transferencia modal y las de origen-destino e intermedias, incluyendo aquellos que el Sistema lleve a cabo directamente, los que deberán someterse a la autorización de la Secretaría;</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Artículo 11. Al frente del Sistema habrá un Director General, quien tendrá las atribuciones siguientes:</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 xml:space="preserve">XV. Otorgar y declarar la terminación de permisos para el aprovechamiento y explotación de la infraestructura y operación del derecho de vía de los Sistemas de transporte masivo o de alta capacidad, teleférico, las estaciones de transferencia modal </w:t>
      </w:r>
      <w:r w:rsidRPr="00004A1A">
        <w:rPr>
          <w:rFonts w:ascii="Palatino Linotype" w:hAnsi="Palatino Linotype" w:cs="Arial"/>
          <w:i/>
          <w:lang w:eastAsia="es-MX"/>
        </w:rPr>
        <w:lastRenderedPageBreak/>
        <w:t>y las de origen-destino e intermedias de su competencia; así como vigilar y supervisar el cumplimiento de las obligaciones derivadas de los mismos;</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Artículo 15. Corresponde a la Dirección de Planeación, Proyectos y Construcción:</w:t>
      </w:r>
    </w:p>
    <w:p w:rsidR="00004A1A" w:rsidRDefault="00004A1A" w:rsidP="00004A1A">
      <w:pPr>
        <w:tabs>
          <w:tab w:val="left" w:pos="709"/>
        </w:tabs>
        <w:spacing w:after="0" w:line="240" w:lineRule="auto"/>
        <w:ind w:left="851" w:right="760"/>
        <w:jc w:val="both"/>
      </w:pPr>
      <w:r>
        <w:t>…</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III. Determinar las características y ubicación de las obras de infraestructura de transporte masivo o de alta capacidad, teleférico, las estaciones de transferencia modal y las de origendestino e intermedias;</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IV. Diseñar proyectos de obra civil para la instalación de equipos de las líneas de transporte masivo o de alta capacidad, teleférico, las estaciones de transferencia modal y las de origendestino e intermedias en la entidad y, en su caso, realizar las modificaciones necesarias;</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Artículo 16. Corresponde a la Dirección de Supervisión y Control:</w:t>
      </w:r>
    </w:p>
    <w:p w:rsidR="00004A1A" w:rsidRPr="00004A1A" w:rsidRDefault="00004A1A" w:rsidP="00004A1A">
      <w:pPr>
        <w:tabs>
          <w:tab w:val="left" w:pos="709"/>
        </w:tabs>
        <w:spacing w:after="0" w:line="240" w:lineRule="auto"/>
        <w:ind w:left="851" w:right="760"/>
        <w:jc w:val="both"/>
        <w:rPr>
          <w:rFonts w:ascii="Palatino Linotype" w:hAnsi="Palatino Linotype" w:cs="Arial"/>
          <w:i/>
          <w:lang w:eastAsia="es-MX"/>
        </w:rPr>
      </w:pPr>
      <w:r w:rsidRPr="00004A1A">
        <w:rPr>
          <w:rFonts w:ascii="Palatino Linotype" w:hAnsi="Palatino Linotype" w:cs="Arial"/>
          <w:i/>
          <w:lang w:eastAsia="es-MX"/>
        </w:rPr>
        <w:t>…</w:t>
      </w:r>
    </w:p>
    <w:p w:rsidR="00004A1A" w:rsidRPr="00E60DDF" w:rsidRDefault="00E60DDF" w:rsidP="00004A1A">
      <w:pPr>
        <w:tabs>
          <w:tab w:val="left" w:pos="709"/>
        </w:tabs>
        <w:spacing w:after="0" w:line="240" w:lineRule="auto"/>
        <w:ind w:left="851" w:right="760"/>
        <w:jc w:val="both"/>
        <w:rPr>
          <w:rFonts w:ascii="Palatino Linotype" w:hAnsi="Palatino Linotype" w:cs="Arial"/>
          <w:i/>
          <w:lang w:eastAsia="es-MX"/>
        </w:rPr>
      </w:pPr>
      <w:r w:rsidRPr="00E60DDF">
        <w:rPr>
          <w:rFonts w:ascii="Palatino Linotype" w:hAnsi="Palatino Linotype" w:cs="Arial"/>
          <w:i/>
          <w:lang w:eastAsia="es-MX"/>
        </w:rPr>
        <w:t>II. Vigilar el cumplimiento de las reglas de operación del servicio de transporte masivo o de alta capacidad, teleférico, centros de control, estaciones de transferencia modal, de origen-destino e intermedias establecidas en los títulos de concesión y reglamentos respectivamente;</w:t>
      </w:r>
    </w:p>
    <w:p w:rsidR="00E60DDF" w:rsidRPr="00E60DDF" w:rsidRDefault="00E60DDF" w:rsidP="00004A1A">
      <w:pPr>
        <w:tabs>
          <w:tab w:val="left" w:pos="709"/>
        </w:tabs>
        <w:spacing w:after="0" w:line="240" w:lineRule="auto"/>
        <w:ind w:left="851" w:right="760"/>
        <w:jc w:val="both"/>
        <w:rPr>
          <w:rFonts w:ascii="Palatino Linotype" w:hAnsi="Palatino Linotype" w:cs="Arial"/>
          <w:i/>
          <w:lang w:eastAsia="es-MX"/>
        </w:rPr>
      </w:pPr>
      <w:r w:rsidRPr="00E60DDF">
        <w:rPr>
          <w:rFonts w:ascii="Palatino Linotype" w:hAnsi="Palatino Linotype" w:cs="Arial"/>
          <w:i/>
          <w:lang w:eastAsia="es-MX"/>
        </w:rPr>
        <w:t>…</w:t>
      </w:r>
    </w:p>
    <w:p w:rsidR="00E60DDF" w:rsidRPr="00E60DDF" w:rsidRDefault="00E60DDF" w:rsidP="00004A1A">
      <w:pPr>
        <w:tabs>
          <w:tab w:val="left" w:pos="709"/>
        </w:tabs>
        <w:spacing w:after="0" w:line="240" w:lineRule="auto"/>
        <w:ind w:left="851" w:right="760"/>
        <w:jc w:val="both"/>
        <w:rPr>
          <w:rFonts w:ascii="Palatino Linotype" w:hAnsi="Palatino Linotype" w:cs="Arial"/>
          <w:i/>
          <w:lang w:eastAsia="es-MX"/>
        </w:rPr>
      </w:pPr>
      <w:r w:rsidRPr="00E60DDF">
        <w:rPr>
          <w:rFonts w:ascii="Palatino Linotype" w:hAnsi="Palatino Linotype" w:cs="Arial"/>
          <w:i/>
          <w:lang w:eastAsia="es-MX"/>
        </w:rPr>
        <w:t xml:space="preserve">IV. Calificar las infracciones de los concesionarios en los rubros de operación del transporte, material rodante y mantenimiento de su infraestructura; </w:t>
      </w:r>
    </w:p>
    <w:p w:rsidR="00E60DDF" w:rsidRDefault="00E60DDF" w:rsidP="00004A1A">
      <w:pPr>
        <w:tabs>
          <w:tab w:val="left" w:pos="709"/>
        </w:tabs>
        <w:spacing w:after="0" w:line="240" w:lineRule="auto"/>
        <w:ind w:left="851" w:right="760"/>
        <w:jc w:val="both"/>
        <w:rPr>
          <w:rFonts w:ascii="Palatino Linotype" w:hAnsi="Palatino Linotype" w:cs="Arial"/>
          <w:i/>
          <w:lang w:eastAsia="es-MX"/>
        </w:rPr>
      </w:pPr>
      <w:r w:rsidRPr="00E60DDF">
        <w:rPr>
          <w:rFonts w:ascii="Palatino Linotype" w:hAnsi="Palatino Linotype" w:cs="Arial"/>
          <w:i/>
          <w:lang w:eastAsia="es-MX"/>
        </w:rPr>
        <w:t>V. Aprobar los programas de mantenimiento y conservación del estado físico, mecánico y operativo de los componentes de los corredores de transporte masivo o de alta capacidad y teleférico; así como verificar su cumplimiento;</w:t>
      </w:r>
    </w:p>
    <w:p w:rsidR="00E60DDF" w:rsidRDefault="00E60DDF"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DD71C9" w:rsidRPr="00DD71C9" w:rsidRDefault="00DD71C9" w:rsidP="00004A1A">
      <w:pPr>
        <w:tabs>
          <w:tab w:val="left" w:pos="709"/>
        </w:tabs>
        <w:spacing w:after="0" w:line="240" w:lineRule="auto"/>
        <w:ind w:left="851" w:right="760"/>
        <w:jc w:val="both"/>
        <w:rPr>
          <w:rFonts w:ascii="Palatino Linotype" w:hAnsi="Palatino Linotype" w:cs="Arial"/>
          <w:i/>
          <w:lang w:eastAsia="es-MX"/>
        </w:rPr>
      </w:pPr>
      <w:r w:rsidRPr="00DD71C9">
        <w:rPr>
          <w:rFonts w:ascii="Palatino Linotype" w:hAnsi="Palatino Linotype" w:cs="Arial"/>
          <w:i/>
          <w:lang w:eastAsia="es-MX"/>
        </w:rPr>
        <w:t xml:space="preserve">VII. Intervenir en la actualización del Programa Especial de Transporte Masivo o de alta capacidad, teleférico y las estaciones de transferencia modal; </w:t>
      </w:r>
    </w:p>
    <w:p w:rsidR="00E60DDF" w:rsidRDefault="00DD71C9" w:rsidP="00004A1A">
      <w:pPr>
        <w:tabs>
          <w:tab w:val="left" w:pos="709"/>
        </w:tabs>
        <w:spacing w:after="0" w:line="240" w:lineRule="auto"/>
        <w:ind w:left="851" w:right="760"/>
        <w:jc w:val="both"/>
        <w:rPr>
          <w:rFonts w:ascii="Palatino Linotype" w:hAnsi="Palatino Linotype" w:cs="Arial"/>
          <w:i/>
          <w:lang w:eastAsia="es-MX"/>
        </w:rPr>
      </w:pPr>
      <w:r w:rsidRPr="00DD71C9">
        <w:rPr>
          <w:rFonts w:ascii="Palatino Linotype" w:hAnsi="Palatino Linotype" w:cs="Arial"/>
          <w:i/>
          <w:lang w:eastAsia="es-MX"/>
        </w:rPr>
        <w:t>VIII. Autorizar y vigilar el cumplimiento del Programa de Atención de Contingencias de los Corredores de transporte masivo o de alta capacidad, teleférico, y estaciones de trasferencia modal, coadyuvando en su aplicación con las instancias correspondientes;</w:t>
      </w:r>
    </w:p>
    <w:p w:rsidR="00DD71C9" w:rsidRDefault="00DD71C9"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DD71C9" w:rsidRDefault="00DD71C9" w:rsidP="00004A1A">
      <w:pPr>
        <w:tabs>
          <w:tab w:val="left" w:pos="709"/>
        </w:tabs>
        <w:spacing w:after="0" w:line="240" w:lineRule="auto"/>
        <w:ind w:left="851" w:right="760"/>
        <w:jc w:val="both"/>
        <w:rPr>
          <w:rFonts w:ascii="Palatino Linotype" w:hAnsi="Palatino Linotype" w:cs="Arial"/>
          <w:i/>
          <w:lang w:eastAsia="es-MX"/>
        </w:rPr>
      </w:pPr>
      <w:r w:rsidRPr="00DD71C9">
        <w:rPr>
          <w:rFonts w:ascii="Palatino Linotype" w:hAnsi="Palatino Linotype" w:cs="Arial"/>
          <w:i/>
          <w:lang w:eastAsia="es-MX"/>
        </w:rPr>
        <w:t>Artículo 17. Corresponde a la Dirección Jurídica, Financiera y de Igualdad de Género:</w:t>
      </w:r>
    </w:p>
    <w:p w:rsidR="00DD71C9" w:rsidRDefault="00DD71C9"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DD71C9" w:rsidRDefault="003F3C00" w:rsidP="00004A1A">
      <w:pPr>
        <w:tabs>
          <w:tab w:val="left" w:pos="709"/>
        </w:tabs>
        <w:spacing w:after="0" w:line="240" w:lineRule="auto"/>
        <w:ind w:left="851" w:right="760"/>
        <w:jc w:val="both"/>
        <w:rPr>
          <w:rFonts w:ascii="Palatino Linotype" w:hAnsi="Palatino Linotype" w:cs="Arial"/>
          <w:i/>
          <w:lang w:eastAsia="es-MX"/>
        </w:rPr>
      </w:pPr>
      <w:r w:rsidRPr="003F3C00">
        <w:rPr>
          <w:rFonts w:ascii="Palatino Linotype" w:hAnsi="Palatino Linotype" w:cs="Arial"/>
          <w:i/>
          <w:lang w:eastAsia="es-MX"/>
        </w:rPr>
        <w:t>VII. Desarrollar esquemas financieros en los proyectos de transportación masiva o de alta capacidad, teleférico y estaciones de transferencia modal;</w:t>
      </w:r>
    </w:p>
    <w:p w:rsidR="003F3C00" w:rsidRDefault="003F3C00"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t>…</w:t>
      </w:r>
    </w:p>
    <w:p w:rsidR="003F3C00" w:rsidRDefault="003F3C00" w:rsidP="00004A1A">
      <w:pPr>
        <w:tabs>
          <w:tab w:val="left" w:pos="709"/>
        </w:tabs>
        <w:spacing w:after="0" w:line="240" w:lineRule="auto"/>
        <w:ind w:left="851" w:right="760"/>
        <w:jc w:val="both"/>
        <w:rPr>
          <w:rFonts w:ascii="Palatino Linotype" w:hAnsi="Palatino Linotype" w:cs="Arial"/>
          <w:i/>
          <w:lang w:eastAsia="es-MX"/>
        </w:rPr>
      </w:pPr>
      <w:r w:rsidRPr="003F3C00">
        <w:rPr>
          <w:rFonts w:ascii="Palatino Linotype" w:hAnsi="Palatino Linotype" w:cs="Arial"/>
          <w:i/>
          <w:lang w:eastAsia="es-MX"/>
        </w:rPr>
        <w:t>VIII. Verificar que el desarrollo de los proyectos se apegue a lo establecido en los contratos y concesiones;</w:t>
      </w:r>
    </w:p>
    <w:p w:rsidR="003F3C00" w:rsidRDefault="003F3C00" w:rsidP="00004A1A">
      <w:pPr>
        <w:tabs>
          <w:tab w:val="left" w:pos="709"/>
        </w:tabs>
        <w:spacing w:after="0" w:line="240" w:lineRule="auto"/>
        <w:ind w:left="851" w:right="760"/>
        <w:jc w:val="both"/>
        <w:rPr>
          <w:rFonts w:ascii="Palatino Linotype" w:hAnsi="Palatino Linotype" w:cs="Arial"/>
          <w:i/>
          <w:lang w:eastAsia="es-MX"/>
        </w:rPr>
      </w:pPr>
      <w:r>
        <w:rPr>
          <w:rFonts w:ascii="Palatino Linotype" w:hAnsi="Palatino Linotype" w:cs="Arial"/>
          <w:i/>
          <w:lang w:eastAsia="es-MX"/>
        </w:rPr>
        <w:lastRenderedPageBreak/>
        <w:t>…</w:t>
      </w:r>
    </w:p>
    <w:p w:rsidR="003F3C00" w:rsidRPr="003F3C00" w:rsidRDefault="003F3C00" w:rsidP="00004A1A">
      <w:pPr>
        <w:tabs>
          <w:tab w:val="left" w:pos="709"/>
        </w:tabs>
        <w:spacing w:after="0" w:line="240" w:lineRule="auto"/>
        <w:ind w:left="851" w:right="760"/>
        <w:jc w:val="both"/>
        <w:rPr>
          <w:rFonts w:ascii="Palatino Linotype" w:hAnsi="Palatino Linotype" w:cs="Arial"/>
          <w:i/>
          <w:lang w:eastAsia="es-MX"/>
        </w:rPr>
      </w:pPr>
      <w:r w:rsidRPr="003F3C00">
        <w:rPr>
          <w:rFonts w:ascii="Palatino Linotype" w:hAnsi="Palatino Linotype" w:cs="Arial"/>
          <w:i/>
          <w:lang w:eastAsia="es-MX"/>
        </w:rPr>
        <w:t>Artículo 18. Corresponde a la Unidad de Apoyo Administrativo:</w:t>
      </w:r>
    </w:p>
    <w:p w:rsidR="003F3C00" w:rsidRPr="003F3C00" w:rsidRDefault="003F3C00" w:rsidP="00004A1A">
      <w:pPr>
        <w:tabs>
          <w:tab w:val="left" w:pos="709"/>
        </w:tabs>
        <w:spacing w:after="0" w:line="240" w:lineRule="auto"/>
        <w:ind w:left="851" w:right="760"/>
        <w:jc w:val="both"/>
        <w:rPr>
          <w:rFonts w:ascii="Palatino Linotype" w:hAnsi="Palatino Linotype" w:cs="Arial"/>
          <w:i/>
          <w:lang w:eastAsia="es-MX"/>
        </w:rPr>
      </w:pPr>
      <w:r w:rsidRPr="003F3C00">
        <w:rPr>
          <w:rFonts w:ascii="Palatino Linotype" w:hAnsi="Palatino Linotype" w:cs="Arial"/>
          <w:i/>
          <w:lang w:eastAsia="es-MX"/>
        </w:rPr>
        <w:t>…</w:t>
      </w:r>
    </w:p>
    <w:p w:rsidR="003F3C00" w:rsidRPr="00004A1A" w:rsidRDefault="003F3C00" w:rsidP="00004A1A">
      <w:pPr>
        <w:tabs>
          <w:tab w:val="left" w:pos="709"/>
        </w:tabs>
        <w:spacing w:after="0" w:line="240" w:lineRule="auto"/>
        <w:ind w:left="851" w:right="760"/>
        <w:jc w:val="both"/>
        <w:rPr>
          <w:rFonts w:ascii="Palatino Linotype" w:hAnsi="Palatino Linotype" w:cs="Arial"/>
          <w:i/>
          <w:lang w:eastAsia="es-MX"/>
        </w:rPr>
      </w:pPr>
      <w:r w:rsidRPr="003F3C00">
        <w:rPr>
          <w:rFonts w:ascii="Palatino Linotype" w:hAnsi="Palatino Linotype" w:cs="Arial"/>
          <w:i/>
          <w:lang w:eastAsia="es-MX"/>
        </w:rPr>
        <w:t>III. Integrar el anteproyecto de presupuesto anual de ingresos y egresos del Sistema, y someterlo a consideración del Director General, así como realizar la calendarización de los recursos del presupuesto autorizado y tramitar las modificaciones y ampliaciones presupuestales;</w:t>
      </w:r>
    </w:p>
    <w:p w:rsidR="00B51EBE" w:rsidRDefault="00B51EBE" w:rsidP="0039115D">
      <w:pPr>
        <w:tabs>
          <w:tab w:val="left" w:pos="7938"/>
        </w:tabs>
        <w:spacing w:after="0" w:line="360" w:lineRule="auto"/>
        <w:jc w:val="both"/>
        <w:rPr>
          <w:rFonts w:ascii="Palatino Linotype" w:hAnsi="Palatino Linotype" w:cs="Arial"/>
          <w:sz w:val="24"/>
          <w:szCs w:val="24"/>
        </w:rPr>
      </w:pPr>
    </w:p>
    <w:p w:rsidR="0039115D" w:rsidRPr="00385633" w:rsidRDefault="0039115D" w:rsidP="0039115D">
      <w:pPr>
        <w:tabs>
          <w:tab w:val="left" w:pos="7938"/>
        </w:tabs>
        <w:spacing w:after="0" w:line="360" w:lineRule="auto"/>
        <w:jc w:val="both"/>
        <w:rPr>
          <w:rFonts w:ascii="Palatino Linotype" w:hAnsi="Palatino Linotype" w:cs="Arial"/>
          <w:sz w:val="24"/>
          <w:szCs w:val="24"/>
        </w:rPr>
      </w:pPr>
      <w:r w:rsidRPr="00CE1D10">
        <w:rPr>
          <w:rFonts w:ascii="Palatino Linotype" w:hAnsi="Palatino Linotype" w:cs="Arial"/>
          <w:sz w:val="24"/>
          <w:szCs w:val="24"/>
        </w:rPr>
        <w:t xml:space="preserve">Como podemos apreciar el </w:t>
      </w:r>
      <w:r w:rsidR="00CE1D10">
        <w:rPr>
          <w:rFonts w:ascii="Palatino Linotype" w:hAnsi="Palatino Linotype" w:cs="Arial"/>
          <w:sz w:val="24"/>
          <w:szCs w:val="24"/>
        </w:rPr>
        <w:t>Sistema de Transporte Masivo y Teleférico del Estado de México</w:t>
      </w:r>
      <w:r w:rsidRPr="00CE1D10">
        <w:rPr>
          <w:rFonts w:ascii="Palatino Linotype" w:hAnsi="Palatino Linotype" w:cs="Arial"/>
          <w:sz w:val="24"/>
          <w:szCs w:val="24"/>
        </w:rPr>
        <w:t xml:space="preserve">, </w:t>
      </w:r>
      <w:r w:rsidR="00154F4F">
        <w:rPr>
          <w:rFonts w:ascii="Palatino Linotype" w:hAnsi="Palatino Linotype" w:cs="Arial"/>
          <w:sz w:val="24"/>
          <w:szCs w:val="24"/>
        </w:rPr>
        <w:t xml:space="preserve">tiene entre otras atribuciones la de </w:t>
      </w:r>
      <w:r w:rsidR="00154F4F" w:rsidRPr="00154F4F">
        <w:rPr>
          <w:rFonts w:ascii="Palatino Linotype" w:hAnsi="Palatino Linotype" w:cs="Arial"/>
          <w:sz w:val="24"/>
          <w:szCs w:val="24"/>
        </w:rPr>
        <w:t>vigilar el cumplimiento de las reglas de operación del servicio de transporte masivo o de alta capacidad, teleférico, centros de control, estaciones de transferencia modal, de origen-destino e intermedias establecidas en los títulos de concesión y reglamentos respectivamente</w:t>
      </w:r>
      <w:r w:rsidRPr="00CE1D10">
        <w:rPr>
          <w:rFonts w:ascii="Palatino Linotype" w:hAnsi="Palatino Linotype" w:cs="Arial"/>
          <w:sz w:val="24"/>
          <w:szCs w:val="24"/>
        </w:rPr>
        <w:t>,</w:t>
      </w:r>
      <w:r>
        <w:rPr>
          <w:rFonts w:ascii="Palatino Linotype" w:hAnsi="Palatino Linotype" w:cs="Arial"/>
          <w:sz w:val="24"/>
          <w:szCs w:val="24"/>
        </w:rPr>
        <w:t xml:space="preserve"> </w:t>
      </w:r>
      <w:r w:rsidR="00154F4F" w:rsidRPr="00154F4F">
        <w:rPr>
          <w:rFonts w:ascii="Palatino Linotype" w:hAnsi="Palatino Linotype" w:cs="Arial"/>
          <w:sz w:val="24"/>
          <w:szCs w:val="24"/>
        </w:rPr>
        <w:t>Otorgar y declarar la terminación de permisos para el aprovechamiento y explotación de la infraestructura y operación del derecho de vía de los Sistemas de transporte masivo o de alta capacidad, teleférico, las estaciones de transferencia modal y las de origen-destino e intermedias de su competencia; así como vigilar y supervisar el cumplimiento de las obligaciones derivadas de los mismos, etc.</w:t>
      </w:r>
      <w:r w:rsidR="00154F4F">
        <w:rPr>
          <w:rFonts w:ascii="Palatino Linotype" w:hAnsi="Palatino Linotype" w:cs="Arial"/>
          <w:sz w:val="24"/>
          <w:szCs w:val="24"/>
        </w:rPr>
        <w:t>,</w:t>
      </w:r>
      <w:r w:rsidR="00154F4F" w:rsidRPr="00154F4F">
        <w:rPr>
          <w:rFonts w:ascii="Palatino Linotype" w:hAnsi="Palatino Linotype" w:cs="Arial"/>
          <w:sz w:val="24"/>
          <w:szCs w:val="24"/>
        </w:rPr>
        <w:t xml:space="preserve"> </w:t>
      </w:r>
      <w:r>
        <w:rPr>
          <w:rFonts w:ascii="Palatino Linotype" w:hAnsi="Palatino Linotype" w:cs="Arial"/>
          <w:sz w:val="24"/>
          <w:szCs w:val="24"/>
        </w:rPr>
        <w:t xml:space="preserve">no obstante ello, la Unidad de Transparencia omitió girar la solicitud a las unidades administrativas que por sus funciones </w:t>
      </w:r>
      <w:r w:rsidR="00D85090">
        <w:rPr>
          <w:rFonts w:ascii="Palatino Linotype" w:hAnsi="Palatino Linotype" w:cs="Arial"/>
          <w:sz w:val="24"/>
          <w:szCs w:val="24"/>
        </w:rPr>
        <w:t>pudieran</w:t>
      </w:r>
      <w:r>
        <w:rPr>
          <w:rFonts w:ascii="Palatino Linotype" w:hAnsi="Palatino Linotype" w:cs="Arial"/>
          <w:sz w:val="24"/>
          <w:szCs w:val="24"/>
        </w:rPr>
        <w:t xml:space="preserve"> contar con</w:t>
      </w:r>
      <w:r w:rsidR="004A2B1B">
        <w:rPr>
          <w:rFonts w:ascii="Palatino Linotype" w:hAnsi="Palatino Linotype" w:cs="Arial"/>
          <w:sz w:val="24"/>
          <w:szCs w:val="24"/>
        </w:rPr>
        <w:t xml:space="preserve"> </w:t>
      </w:r>
      <w:r w:rsidR="00D85090">
        <w:rPr>
          <w:rFonts w:ascii="Palatino Linotype" w:hAnsi="Palatino Linotype" w:cs="Arial"/>
          <w:sz w:val="24"/>
          <w:szCs w:val="24"/>
        </w:rPr>
        <w:t>la información solicitada</w:t>
      </w:r>
      <w:r>
        <w:rPr>
          <w:rFonts w:ascii="Palatino Linotype" w:hAnsi="Palatino Linotype" w:cs="Arial"/>
          <w:sz w:val="24"/>
          <w:szCs w:val="24"/>
        </w:rPr>
        <w:t>.</w:t>
      </w:r>
    </w:p>
    <w:p w:rsidR="0053338A" w:rsidRPr="00385633" w:rsidRDefault="0053338A" w:rsidP="00385633">
      <w:pPr>
        <w:tabs>
          <w:tab w:val="left" w:pos="7938"/>
        </w:tabs>
        <w:spacing w:after="0" w:line="360" w:lineRule="auto"/>
        <w:jc w:val="both"/>
        <w:rPr>
          <w:rFonts w:ascii="Palatino Linotype" w:hAnsi="Palatino Linotype" w:cs="Arial"/>
          <w:sz w:val="24"/>
          <w:szCs w:val="24"/>
        </w:rPr>
      </w:pPr>
    </w:p>
    <w:p w:rsidR="00FD3D80" w:rsidRPr="005D781A" w:rsidRDefault="00A91471" w:rsidP="005D781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Es decir,</w:t>
      </w:r>
      <w:r w:rsidR="00FD3D80" w:rsidRPr="005D781A">
        <w:rPr>
          <w:rFonts w:ascii="Palatino Linotype" w:hAnsi="Palatino Linotype" w:cs="Arial"/>
          <w:sz w:val="24"/>
          <w:szCs w:val="24"/>
        </w:rPr>
        <w:t xml:space="preserve"> </w:t>
      </w:r>
      <w:r>
        <w:rPr>
          <w:rFonts w:ascii="Palatino Linotype" w:hAnsi="Palatino Linotype" w:cs="Arial"/>
          <w:sz w:val="24"/>
          <w:szCs w:val="24"/>
        </w:rPr>
        <w:t xml:space="preserve">la Unidad de Transparencia </w:t>
      </w:r>
      <w:r w:rsidR="00FD3D80" w:rsidRPr="005D781A">
        <w:rPr>
          <w:rFonts w:ascii="Palatino Linotype" w:hAnsi="Palatino Linotype" w:cs="Arial"/>
          <w:sz w:val="24"/>
          <w:szCs w:val="24"/>
        </w:rPr>
        <w:t>inobserv</w:t>
      </w:r>
      <w:r>
        <w:rPr>
          <w:rFonts w:ascii="Palatino Linotype" w:hAnsi="Palatino Linotype" w:cs="Arial"/>
          <w:sz w:val="24"/>
          <w:szCs w:val="24"/>
        </w:rPr>
        <w:t>ó</w:t>
      </w:r>
      <w:r w:rsidR="00FD3D80" w:rsidRPr="005D781A">
        <w:rPr>
          <w:rFonts w:ascii="Palatino Linotype" w:hAnsi="Palatino Linotype" w:cs="Arial"/>
          <w:sz w:val="24"/>
          <w:szCs w:val="24"/>
        </w:rPr>
        <w:t xml:space="preserve"> el procedimiento de acceso a la información </w:t>
      </w:r>
      <w:r>
        <w:rPr>
          <w:rFonts w:ascii="Palatino Linotype" w:hAnsi="Palatino Linotype" w:cs="Arial"/>
          <w:sz w:val="24"/>
          <w:szCs w:val="24"/>
        </w:rPr>
        <w:t>lo cual es parte de sus</w:t>
      </w:r>
      <w:r w:rsidR="00FD3D80" w:rsidRPr="005D781A">
        <w:rPr>
          <w:rFonts w:ascii="Palatino Linotype" w:hAnsi="Palatino Linotype" w:cs="Arial"/>
          <w:sz w:val="24"/>
          <w:szCs w:val="24"/>
        </w:rPr>
        <w:t xml:space="preserve"> funciones </w:t>
      </w:r>
      <w:r>
        <w:rPr>
          <w:rFonts w:ascii="Palatino Linotype" w:hAnsi="Palatino Linotype" w:cs="Arial"/>
          <w:sz w:val="24"/>
          <w:szCs w:val="24"/>
        </w:rPr>
        <w:t xml:space="preserve">sustantivas </w:t>
      </w:r>
      <w:r w:rsidR="00FD3D80" w:rsidRPr="005D781A">
        <w:rPr>
          <w:rFonts w:ascii="Palatino Linotype" w:hAnsi="Palatino Linotype" w:cs="Arial"/>
          <w:sz w:val="24"/>
          <w:szCs w:val="24"/>
        </w:rPr>
        <w:t>de acuerdo a los artículos 50 y 53 fracciones II, V y VI de la Ley en la materia antes citada.</w:t>
      </w:r>
    </w:p>
    <w:p w:rsidR="00FD3D80" w:rsidRPr="005D781A" w:rsidRDefault="00FD3D80" w:rsidP="005D781A">
      <w:pPr>
        <w:tabs>
          <w:tab w:val="left" w:pos="7938"/>
        </w:tabs>
        <w:spacing w:after="0" w:line="360" w:lineRule="auto"/>
        <w:jc w:val="both"/>
        <w:rPr>
          <w:rFonts w:ascii="Palatino Linotype" w:hAnsi="Palatino Linotype" w:cs="Arial"/>
          <w:sz w:val="24"/>
          <w:szCs w:val="24"/>
        </w:rPr>
      </w:pPr>
    </w:p>
    <w:p w:rsidR="00FD3D80" w:rsidRPr="00A91471" w:rsidRDefault="00FD3D80" w:rsidP="00A91471">
      <w:pPr>
        <w:tabs>
          <w:tab w:val="left" w:pos="7938"/>
        </w:tabs>
        <w:spacing w:after="0" w:line="360" w:lineRule="auto"/>
        <w:jc w:val="both"/>
        <w:rPr>
          <w:rFonts w:ascii="Palatino Linotype" w:hAnsi="Palatino Linotype" w:cs="Arial"/>
          <w:sz w:val="24"/>
          <w:szCs w:val="24"/>
        </w:rPr>
      </w:pPr>
      <w:r w:rsidRPr="00A91471">
        <w:rPr>
          <w:rFonts w:ascii="Palatino Linotype" w:hAnsi="Palatino Linotype" w:cs="Arial"/>
          <w:sz w:val="24"/>
          <w:szCs w:val="24"/>
        </w:rPr>
        <w:t xml:space="preserve">Por ello es que se reitera, que la Titular de la Unidad de Transparencia debió llevar a cabo los pasos que le conmina sus funciones, de acuerdo con la Ley de Transparencia </w:t>
      </w:r>
      <w:r w:rsidRPr="00A91471">
        <w:rPr>
          <w:rFonts w:ascii="Palatino Linotype" w:hAnsi="Palatino Linotype" w:cs="Arial"/>
          <w:sz w:val="24"/>
          <w:szCs w:val="24"/>
        </w:rPr>
        <w:lastRenderedPageBreak/>
        <w:t>y Acceso a la Información Pública del Estado de México y Municipios, es decir, solicitar la información a la unidad administrativa que por obligación le corresponden dar atención a la misma.</w:t>
      </w:r>
    </w:p>
    <w:p w:rsidR="00FD3D80" w:rsidRPr="00A91471" w:rsidRDefault="00FD3D80" w:rsidP="00A91471">
      <w:pPr>
        <w:tabs>
          <w:tab w:val="left" w:pos="7938"/>
        </w:tabs>
        <w:spacing w:after="0" w:line="360" w:lineRule="auto"/>
        <w:jc w:val="both"/>
        <w:rPr>
          <w:rFonts w:ascii="Palatino Linotype" w:hAnsi="Palatino Linotype" w:cs="Arial"/>
          <w:sz w:val="24"/>
          <w:szCs w:val="24"/>
        </w:rPr>
      </w:pPr>
    </w:p>
    <w:p w:rsidR="00A91471" w:rsidRDefault="00FD3D80" w:rsidP="00A91471">
      <w:pPr>
        <w:tabs>
          <w:tab w:val="left" w:pos="7938"/>
        </w:tabs>
        <w:spacing w:after="0" w:line="360" w:lineRule="auto"/>
        <w:jc w:val="both"/>
        <w:rPr>
          <w:rFonts w:ascii="Palatino Linotype" w:hAnsi="Palatino Linotype" w:cs="Arial"/>
          <w:sz w:val="24"/>
          <w:szCs w:val="24"/>
        </w:rPr>
      </w:pPr>
      <w:r w:rsidRPr="00A91471">
        <w:rPr>
          <w:rFonts w:ascii="Palatino Linotype" w:hAnsi="Palatino Linotype" w:cs="Arial"/>
          <w:sz w:val="24"/>
          <w:szCs w:val="24"/>
        </w:rPr>
        <w:t xml:space="preserve">Por otro lado es necesario referir </w:t>
      </w:r>
      <w:r w:rsidR="00A91471">
        <w:rPr>
          <w:rFonts w:ascii="Palatino Linotype" w:hAnsi="Palatino Linotype" w:cs="Arial"/>
          <w:sz w:val="24"/>
          <w:szCs w:val="24"/>
        </w:rPr>
        <w:t xml:space="preserve">que la Ley de Transparencia </w:t>
      </w:r>
      <w:r w:rsidR="00F24371">
        <w:rPr>
          <w:rFonts w:ascii="Palatino Linotype" w:hAnsi="Palatino Linotype" w:cs="Arial"/>
          <w:sz w:val="24"/>
          <w:szCs w:val="24"/>
        </w:rPr>
        <w:t xml:space="preserve">y Acceso a la Información Pública del Estado de México y Municipios </w:t>
      </w:r>
      <w:r w:rsidR="0086489F">
        <w:rPr>
          <w:rFonts w:ascii="Palatino Linotype" w:hAnsi="Palatino Linotype" w:cs="Arial"/>
          <w:sz w:val="24"/>
          <w:szCs w:val="24"/>
        </w:rPr>
        <w:t xml:space="preserve">prevé un procedimiento </w:t>
      </w:r>
      <w:r w:rsidR="00BD5A7A">
        <w:rPr>
          <w:rFonts w:ascii="Palatino Linotype" w:hAnsi="Palatino Linotype" w:cs="Arial"/>
          <w:sz w:val="24"/>
          <w:szCs w:val="24"/>
        </w:rPr>
        <w:t>específico</w:t>
      </w:r>
      <w:r w:rsidR="0086489F">
        <w:rPr>
          <w:rFonts w:ascii="Palatino Linotype" w:hAnsi="Palatino Linotype" w:cs="Arial"/>
          <w:sz w:val="24"/>
          <w:szCs w:val="24"/>
        </w:rPr>
        <w:t xml:space="preserve"> para solicitar aclaraciones a los peticionarios de información cuando de la lectura de la solicitud de información exista duda respecto de lo que se requiere</w:t>
      </w:r>
      <w:r w:rsidR="00BD5A7A">
        <w:rPr>
          <w:rFonts w:ascii="Palatino Linotype" w:hAnsi="Palatino Linotype" w:cs="Arial"/>
          <w:sz w:val="24"/>
          <w:szCs w:val="24"/>
        </w:rPr>
        <w:t xml:space="preserve">, tal y como lo establece el artículo </w:t>
      </w:r>
      <w:r w:rsidR="00C64F28">
        <w:rPr>
          <w:rFonts w:ascii="Palatino Linotype" w:hAnsi="Palatino Linotype" w:cs="Arial"/>
          <w:sz w:val="24"/>
          <w:szCs w:val="24"/>
        </w:rPr>
        <w:t xml:space="preserve">159, por lo que solicitar aclaración en la </w:t>
      </w:r>
      <w:r w:rsidR="00DF4503">
        <w:rPr>
          <w:rFonts w:ascii="Palatino Linotype" w:hAnsi="Palatino Linotype" w:cs="Arial"/>
          <w:sz w:val="24"/>
          <w:szCs w:val="24"/>
        </w:rPr>
        <w:t>contestación</w:t>
      </w:r>
      <w:r w:rsidR="00C64F28">
        <w:rPr>
          <w:rFonts w:ascii="Palatino Linotype" w:hAnsi="Palatino Linotype" w:cs="Arial"/>
          <w:sz w:val="24"/>
          <w:szCs w:val="24"/>
        </w:rPr>
        <w:t xml:space="preserve">, también supone de una </w:t>
      </w:r>
      <w:r w:rsidR="00DF4503">
        <w:rPr>
          <w:rFonts w:ascii="Palatino Linotype" w:hAnsi="Palatino Linotype" w:cs="Arial"/>
          <w:sz w:val="24"/>
          <w:szCs w:val="24"/>
        </w:rPr>
        <w:t>inobservancia</w:t>
      </w:r>
      <w:r w:rsidR="00C64F28">
        <w:rPr>
          <w:rFonts w:ascii="Palatino Linotype" w:hAnsi="Palatino Linotype" w:cs="Arial"/>
          <w:sz w:val="24"/>
          <w:szCs w:val="24"/>
        </w:rPr>
        <w:t xml:space="preserve"> a la Ley de </w:t>
      </w:r>
      <w:r w:rsidR="00DF4503">
        <w:rPr>
          <w:rFonts w:ascii="Palatino Linotype" w:hAnsi="Palatino Linotype" w:cs="Arial"/>
          <w:sz w:val="24"/>
          <w:szCs w:val="24"/>
        </w:rPr>
        <w:t>Transparencia</w:t>
      </w:r>
      <w:r w:rsidR="00C64F28">
        <w:rPr>
          <w:rFonts w:ascii="Palatino Linotype" w:hAnsi="Palatino Linotype" w:cs="Arial"/>
          <w:sz w:val="24"/>
          <w:szCs w:val="24"/>
        </w:rPr>
        <w:t xml:space="preserve"> en comento.</w:t>
      </w:r>
    </w:p>
    <w:p w:rsidR="00A91471" w:rsidRDefault="00A91471" w:rsidP="00A91471">
      <w:pPr>
        <w:tabs>
          <w:tab w:val="left" w:pos="7938"/>
        </w:tabs>
        <w:spacing w:after="0" w:line="360" w:lineRule="auto"/>
        <w:jc w:val="both"/>
        <w:rPr>
          <w:rFonts w:ascii="Palatino Linotype" w:hAnsi="Palatino Linotype" w:cs="Arial"/>
          <w:sz w:val="24"/>
          <w:szCs w:val="24"/>
        </w:rPr>
      </w:pPr>
    </w:p>
    <w:p w:rsidR="00FD3D80" w:rsidRDefault="00FD3D80" w:rsidP="00FD3D80">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w:t>
      </w:r>
      <w:r w:rsidRPr="00B77281">
        <w:rPr>
          <w:rFonts w:ascii="Palatino Linotype" w:eastAsiaTheme="minorHAnsi" w:hAnsi="Palatino Linotype" w:cs="Arial"/>
          <w:lang w:val="es-MX" w:eastAsia="en-US"/>
        </w:rPr>
        <w:t xml:space="preserve">respuesta del sujeto obligado a efecto que dé atención a la solitud de información número </w:t>
      </w:r>
      <w:r w:rsidR="00B77281" w:rsidRPr="00B77281">
        <w:rPr>
          <w:rFonts w:ascii="Palatino Linotype" w:eastAsiaTheme="minorHAnsi" w:hAnsi="Palatino Linotype" w:cs="Arial"/>
          <w:b/>
          <w:lang w:val="es-MX" w:eastAsia="en-US"/>
        </w:rPr>
        <w:t>00049/STMEM/IP/2019</w:t>
      </w:r>
      <w:r w:rsidRPr="00B77281">
        <w:rPr>
          <w:rFonts w:ascii="Palatino Linotype" w:eastAsiaTheme="minorHAnsi" w:hAnsi="Palatino Linotype" w:cs="Arial"/>
          <w:lang w:val="es-MX" w:eastAsia="en-US"/>
        </w:rPr>
        <w:t>, con fundamento en los artículos 50, 51, 53 fracción IV, 162 y 165, de la Ley</w:t>
      </w:r>
      <w:r>
        <w:rPr>
          <w:rFonts w:ascii="Palatino Linotype" w:hAnsi="Palatino Linotype" w:cs="Arial"/>
        </w:rPr>
        <w:t xml:space="preserve"> de Transparencia y Acceso a la Información Pública del Estado de México y Municipios, el artículo 162 es muy categórico al establecer: </w:t>
      </w:r>
    </w:p>
    <w:p w:rsidR="00FD3D80" w:rsidRDefault="00FD3D80" w:rsidP="00FD3D80">
      <w:pPr>
        <w:pStyle w:val="Prrafodelista"/>
        <w:spacing w:line="360" w:lineRule="auto"/>
        <w:ind w:left="0"/>
        <w:jc w:val="both"/>
        <w:rPr>
          <w:rFonts w:ascii="Palatino Linotype" w:hAnsi="Palatino Linotype" w:cs="Arial"/>
        </w:rPr>
      </w:pPr>
    </w:p>
    <w:p w:rsidR="00FD3D80" w:rsidRPr="00941C69" w:rsidRDefault="00FD3D80" w:rsidP="00620984">
      <w:pPr>
        <w:tabs>
          <w:tab w:val="left" w:pos="7938"/>
        </w:tabs>
        <w:spacing w:after="0" w:line="360" w:lineRule="auto"/>
        <w:ind w:left="851" w:right="902"/>
        <w:jc w:val="both"/>
        <w:rPr>
          <w:rFonts w:ascii="Palatino Linotype" w:hAnsi="Palatino Linotype"/>
          <w:i/>
        </w:rPr>
      </w:pPr>
      <w:r>
        <w:rPr>
          <w:rFonts w:ascii="Palatino Linotype" w:hAnsi="Palatino Linotype"/>
          <w:i/>
        </w:rPr>
        <w:t>“</w:t>
      </w:r>
      <w:r w:rsidRPr="00941C69">
        <w:rPr>
          <w:rFonts w:ascii="Palatino Linotype" w:hAnsi="Palatino Linotype"/>
          <w:i/>
        </w:rPr>
        <w:t xml:space="preserve">Artículo 162. Las unidades de transparencia deberán garantizar que las solicitudes </w:t>
      </w:r>
      <w:r w:rsidRPr="006064F2">
        <w:rPr>
          <w:rFonts w:ascii="Palatino Linotype" w:hAnsi="Palatino Linotype"/>
          <w:b/>
          <w:i/>
          <w:u w:val="single"/>
        </w:rPr>
        <w:t>se turnen a todas las Áreas</w:t>
      </w:r>
      <w:r w:rsidRPr="00941C69">
        <w:rPr>
          <w:rFonts w:ascii="Palatino Linotype" w:hAnsi="Palatino Linotype"/>
          <w:i/>
        </w:rPr>
        <w:t xml:space="preserve"> competentes que cuenten con la información o deban tenerla de acuerdo a sus facultades, competencias y funciones, </w:t>
      </w:r>
      <w:r w:rsidRPr="006064F2">
        <w:rPr>
          <w:rFonts w:ascii="Palatino Linotype" w:hAnsi="Palatino Linotype"/>
          <w:b/>
          <w:i/>
          <w:u w:val="single"/>
        </w:rPr>
        <w:t>con el objeto de que realicen una búsqueda exhaustiva y razonable</w:t>
      </w:r>
      <w:r w:rsidRPr="00941C69">
        <w:rPr>
          <w:rFonts w:ascii="Palatino Linotype" w:hAnsi="Palatino Linotype"/>
          <w:i/>
        </w:rPr>
        <w:t xml:space="preserve"> de la información solicitada.</w:t>
      </w:r>
      <w:r>
        <w:rPr>
          <w:rFonts w:ascii="Palatino Linotype" w:hAnsi="Palatino Linotype"/>
          <w:i/>
        </w:rPr>
        <w:t>”(Énfasis añadido)</w:t>
      </w:r>
    </w:p>
    <w:p w:rsidR="00FD3D80" w:rsidRDefault="00FD3D80" w:rsidP="00FD3D80">
      <w:pPr>
        <w:pStyle w:val="Prrafodelista"/>
        <w:spacing w:line="360" w:lineRule="auto"/>
        <w:ind w:left="0"/>
        <w:jc w:val="both"/>
        <w:rPr>
          <w:rFonts w:ascii="Palatino Linotype" w:hAnsi="Palatino Linotype" w:cs="Arial"/>
          <w:lang w:eastAsia="es-MX"/>
        </w:rPr>
      </w:pPr>
    </w:p>
    <w:p w:rsidR="00FD3D80" w:rsidRDefault="00FD3D80" w:rsidP="00FD3D80">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 xml:space="preserve">que </w:t>
      </w:r>
      <w:r w:rsidRPr="006064F2">
        <w:rPr>
          <w:rFonts w:ascii="Palatino Linotype" w:hAnsi="Palatino Linotype" w:cs="Arial"/>
          <w:lang w:eastAsia="es-MX"/>
        </w:rPr>
        <w:lastRenderedPageBreak/>
        <w:t>cuenten con la información o deban tenerla de acuerdo a sus facultades, competencias y funciones</w:t>
      </w:r>
      <w:r>
        <w:rPr>
          <w:rFonts w:ascii="Palatino Linotype" w:hAnsi="Palatino Linotype" w:cs="Arial"/>
          <w:lang w:eastAsia="es-MX"/>
        </w:rPr>
        <w:t>, quienes a su vez deberán realizar una búsqueda exhaustiva y razonable de la información solicitada en los archivos de las unidades administrativas de las que formen parte.</w:t>
      </w:r>
    </w:p>
    <w:p w:rsidR="00F207BC" w:rsidRDefault="00F207BC" w:rsidP="000A59D7">
      <w:pPr>
        <w:pStyle w:val="Prrafodelista"/>
        <w:spacing w:line="360" w:lineRule="auto"/>
        <w:ind w:left="0"/>
        <w:jc w:val="both"/>
        <w:rPr>
          <w:rFonts w:ascii="Palatino Linotype" w:hAnsi="Palatino Linotype" w:cs="Arial"/>
          <w:lang w:eastAsia="es-MX"/>
        </w:rPr>
      </w:pPr>
    </w:p>
    <w:p w:rsidR="00FD3D80" w:rsidRPr="00620984" w:rsidRDefault="00FD3D80" w:rsidP="00620984">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FD3D80" w:rsidRPr="00620984" w:rsidRDefault="00FD3D80" w:rsidP="00620984">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w:t>
      </w:r>
      <w:r w:rsidR="007E4CCA" w:rsidRPr="007E4CCA">
        <w:rPr>
          <w:rFonts w:ascii="Palatino Linotype" w:eastAsia="Arial Unicode MS" w:hAnsi="Palatino Linotype" w:cs="Arial"/>
          <w:sz w:val="24"/>
        </w:rPr>
        <w:t>la calidad de servidor público</w:t>
      </w:r>
      <w:r w:rsidRPr="007E4CCA">
        <w:rPr>
          <w:rFonts w:ascii="Palatino Linotype" w:eastAsia="Arial Unicode MS" w:hAnsi="Palatino Linotype" w:cs="Arial"/>
          <w:sz w:val="24"/>
        </w:rPr>
        <w:t>, entre otros considerados como datos personales en términos de la normatividad aplicable.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rsidR="00FD3D80" w:rsidRPr="005A0459" w:rsidRDefault="00FD3D80" w:rsidP="00FD3D8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7E4CCA">
        <w:rPr>
          <w:rFonts w:ascii="Palatino Linotype" w:eastAsia="Arial Unicode MS" w:hAnsi="Palatino Linotype" w:cs="Arial"/>
          <w:sz w:val="24"/>
        </w:rPr>
        <w:lastRenderedPageBreak/>
        <w:t>que éste constituye un dato personal que concierne a una persona física identificada e identificable.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alcriterio número 18/17 de la segunda época, el cual refiere: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FD3D80" w:rsidRPr="005A0459" w:rsidRDefault="00FD3D80" w:rsidP="007E4CCA">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84. </w:t>
      </w:r>
      <w:r w:rsidRPr="005A0459">
        <w:rPr>
          <w:rFonts w:ascii="Palatino Linotype" w:hAnsi="Palatino Linotype"/>
          <w:i/>
          <w:iCs/>
          <w:color w:val="222222"/>
          <w:lang w:eastAsia="es-MX"/>
        </w:rPr>
        <w:t>Sólo podrán hacerse retenciones, descuentos o deducciones al sueldo de los servidores públicos por concepto de:</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 Gravámenes fiscales relacionados con el sueldo;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 Deudas contraídas con las instituciones públicas o dependencias por concepto de anticipos de sueldo, pagos hechos con exceso, errores o pérdidas debidamente comprobados;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III. Cuotas sindicales;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IV. Cuotas de aportación a fondos para la constitución de cooperativas y de cajas de ahorro, siempre que el servidor público hubiese manifestado previamente, de manera expresa, su conformidad;</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 Descuentos ordenados por el Instituto de Seguridad Social del Estado de México y Municipios, con motivo de cuotas y obligaciones contraídas con éste por los servidores públicos;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VI. Obligaciones a cargo del servidor público con las que haya consentido, derivadas de la adquisición o del uso de habitaciones consideradas como de interés social;</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VII. Faltas de puntualidad o de asistencia injustificadas;</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VIII. Pensiones alimenticias ordenadas por la autoridad judicial;</w:t>
      </w:r>
      <w:r w:rsidRPr="005A0459">
        <w:rPr>
          <w:rFonts w:ascii="Palatino Linotype" w:hAnsi="Palatino Linotype"/>
          <w:i/>
          <w:iCs/>
          <w:color w:val="222222"/>
          <w:lang w:eastAsia="es-MX"/>
        </w:rPr>
        <w:t> 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Cualquier otro convenido con instituciones de servicios y aceptado por el servidor público.</w:t>
      </w:r>
    </w:p>
    <w:p w:rsidR="00FD3D80" w:rsidRPr="005A0459" w:rsidRDefault="00FD3D80" w:rsidP="00FD3D8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D3D80" w:rsidRPr="005A0459" w:rsidRDefault="00FD3D80" w:rsidP="00FD3D80">
      <w:pPr>
        <w:shd w:val="clear" w:color="auto" w:fill="FFFFFF"/>
        <w:spacing w:line="360" w:lineRule="auto"/>
        <w:ind w:left="567" w:right="567"/>
        <w:rPr>
          <w:rFonts w:ascii="Palatino Linotype" w:hAnsi="Palatino Linotype"/>
          <w:color w:val="222222"/>
          <w:lang w:eastAsia="es-MX"/>
        </w:rPr>
      </w:pPr>
      <w:r w:rsidRPr="005A0459">
        <w:rPr>
          <w:rFonts w:ascii="Palatino Linotype" w:hAnsi="Palatino Linotype"/>
          <w:color w:val="222222"/>
          <w:lang w:eastAsia="es-MX"/>
        </w:rPr>
        <w:t>(Énfasis añadido)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olor w:val="222222"/>
          <w:lang w:eastAsia="es-MX"/>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Los acuerdos de clasificación deberán contener un razonamiento lógico en que se demuestre que la información se encuentra en una de las hipótesis previstas en la ley, </w:t>
      </w:r>
      <w:r w:rsidRPr="007E4CCA">
        <w:rPr>
          <w:rFonts w:ascii="Palatino Linotype" w:eastAsia="Arial Unicode MS" w:hAnsi="Palatino Linotype" w:cs="Arial"/>
          <w:sz w:val="24"/>
        </w:rPr>
        <w:lastRenderedPageBreak/>
        <w:t>si bien es cierto cuenta con los requisitos mínimos que debe contener un acuerdo de clasificación, también es cierto que debe estar debidamente fundado y motivado, sirve de apoyo lo siguiente:</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FD3D80" w:rsidRPr="005A0459" w:rsidRDefault="00FD3D80" w:rsidP="00FD3D8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lastRenderedPageBreak/>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FD3D80" w:rsidRDefault="00FD3D80" w:rsidP="007E4CCA">
      <w:pPr>
        <w:tabs>
          <w:tab w:val="left" w:pos="7938"/>
        </w:tabs>
        <w:spacing w:after="0" w:line="360" w:lineRule="auto"/>
        <w:jc w:val="both"/>
        <w:rPr>
          <w:rFonts w:ascii="Palatino Linotype" w:eastAsia="Arial Unicode MS" w:hAnsi="Palatino Linotype" w:cs="Arial"/>
          <w:sz w:val="24"/>
        </w:rPr>
      </w:pPr>
    </w:p>
    <w:p w:rsidR="006B63B1" w:rsidRDefault="006B63B1" w:rsidP="006B63B1">
      <w:pPr>
        <w:pStyle w:val="Prrafodelista"/>
        <w:tabs>
          <w:tab w:val="left" w:pos="7938"/>
        </w:tabs>
        <w:spacing w:line="360" w:lineRule="auto"/>
        <w:ind w:left="1080"/>
        <w:jc w:val="both"/>
        <w:rPr>
          <w:rFonts w:ascii="Palatino Linotype" w:eastAsia="Arial Unicode MS" w:hAnsi="Palatino Linotype" w:cs="Arial"/>
          <w:b/>
        </w:rPr>
      </w:pPr>
      <w:r>
        <w:rPr>
          <w:rFonts w:ascii="Palatino Linotype" w:eastAsia="Arial Unicode MS" w:hAnsi="Palatino Linotype" w:cs="Arial"/>
          <w:b/>
        </w:rPr>
        <w:t xml:space="preserve">De la </w:t>
      </w:r>
      <w:r w:rsidRPr="00692A88">
        <w:rPr>
          <w:rFonts w:ascii="Palatino Linotype" w:eastAsia="Arial Unicode MS" w:hAnsi="Palatino Linotype" w:cs="Arial"/>
          <w:b/>
        </w:rPr>
        <w:t>Vista al Órgano de Control Interno</w:t>
      </w:r>
    </w:p>
    <w:p w:rsidR="006B63B1"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lastRenderedPageBreak/>
        <w:t>II. La falta de respuesta a las solicitudes de información en los plazos señalados en la normatividad aplicable;</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F6B42" w:rsidRDefault="007F6B42" w:rsidP="007E4CCA">
      <w:pPr>
        <w:tabs>
          <w:tab w:val="left" w:pos="7938"/>
        </w:tabs>
        <w:spacing w:after="0" w:line="360" w:lineRule="auto"/>
        <w:jc w:val="both"/>
        <w:rPr>
          <w:rFonts w:ascii="Palatino Linotype" w:eastAsia="Arial Unicode MS" w:hAnsi="Palatino Linotype" w:cs="Arial"/>
          <w:sz w:val="24"/>
        </w:rPr>
      </w:pP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Por último, hemos de decir que las razones o motivos de inconformidad son fundadas por las razones y motivos anteriormente expuestos en el cuerpo de la presente resolución.</w:t>
      </w:r>
    </w:p>
    <w:p w:rsidR="00F207BC" w:rsidRDefault="00F207BC" w:rsidP="00DB673C">
      <w:pPr>
        <w:spacing w:after="0" w:line="360" w:lineRule="auto"/>
        <w:ind w:right="51"/>
        <w:jc w:val="both"/>
        <w:rPr>
          <w:rFonts w:ascii="Palatino Linotype" w:eastAsia="Times New Roman" w:hAnsi="Palatino Linotype" w:cs="Times New Roman"/>
          <w:sz w:val="24"/>
          <w:szCs w:val="24"/>
          <w:lang w:val="es-ES_tradnl" w:eastAsia="es-ES"/>
        </w:rPr>
      </w:pPr>
    </w:p>
    <w:p w:rsidR="00526ADB" w:rsidRPr="00DB673C" w:rsidRDefault="00526ADB" w:rsidP="00526ADB">
      <w:pPr>
        <w:spacing w:after="0" w:line="360" w:lineRule="auto"/>
        <w:ind w:right="51"/>
        <w:jc w:val="both"/>
        <w:rPr>
          <w:rFonts w:ascii="Palatino Linotype" w:eastAsia="Calibri" w:hAnsi="Palatino Linotype" w:cs="Arial"/>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B77281">
        <w:rPr>
          <w:rFonts w:ascii="Palatino Linotype" w:hAnsi="Palatino Linotype" w:cs="Arial"/>
          <w:b/>
        </w:rPr>
        <w:t>00049/STMEM/IP/2019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526ADB" w:rsidRPr="00DB673C" w:rsidRDefault="00526ADB" w:rsidP="00526ADB">
      <w:pPr>
        <w:spacing w:after="0" w:line="360" w:lineRule="auto"/>
        <w:ind w:right="51"/>
        <w:jc w:val="both"/>
        <w:rPr>
          <w:rFonts w:ascii="Palatino Linotype" w:eastAsia="Calibri" w:hAnsi="Palatino Linotype" w:cs="Arial"/>
          <w:sz w:val="24"/>
          <w:szCs w:val="24"/>
        </w:rPr>
      </w:pPr>
    </w:p>
    <w:p w:rsidR="00526ADB" w:rsidRDefault="00526ADB" w:rsidP="00526AD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526ADB" w:rsidRPr="00526ADB" w:rsidRDefault="00526ADB" w:rsidP="00526ADB">
      <w:pPr>
        <w:spacing w:after="0" w:line="360" w:lineRule="auto"/>
        <w:jc w:val="center"/>
        <w:rPr>
          <w:rFonts w:ascii="Palatino Linotype" w:eastAsia="Times New Roman" w:hAnsi="Palatino Linotype"/>
          <w:b/>
          <w:bCs/>
          <w:spacing w:val="60"/>
          <w:sz w:val="24"/>
          <w:szCs w:val="24"/>
          <w:lang w:val="es-ES_tradnl"/>
        </w:rPr>
      </w:pPr>
    </w:p>
    <w:p w:rsidR="00526ADB" w:rsidRPr="00526ADB" w:rsidRDefault="00526ADB" w:rsidP="00526ADB">
      <w:pPr>
        <w:spacing w:after="0" w:line="360" w:lineRule="auto"/>
        <w:jc w:val="both"/>
        <w:rPr>
          <w:rFonts w:ascii="Palatino Linotype" w:hAnsi="Palatino Linotype" w:cs="Arial"/>
          <w:b/>
          <w:bCs/>
          <w:sz w:val="24"/>
          <w:szCs w:val="24"/>
          <w:shd w:val="clear" w:color="auto" w:fill="FFFFFF"/>
        </w:rPr>
      </w:pPr>
      <w:r w:rsidRPr="00526ADB">
        <w:rPr>
          <w:rFonts w:ascii="Palatino Linotype" w:hAnsi="Palatino Linotype" w:cs="Arial"/>
          <w:b/>
          <w:sz w:val="24"/>
          <w:szCs w:val="24"/>
        </w:rPr>
        <w:t>PRIMERO</w:t>
      </w:r>
      <w:r w:rsidRPr="00526ADB">
        <w:rPr>
          <w:rFonts w:ascii="Palatino Linotype" w:hAnsi="Palatino Linotype" w:cs="Arial"/>
          <w:sz w:val="24"/>
          <w:szCs w:val="24"/>
        </w:rPr>
        <w:t xml:space="preserve">. </w:t>
      </w:r>
      <w:r w:rsidRPr="00526ADB">
        <w:rPr>
          <w:rFonts w:ascii="Palatino Linotype" w:eastAsia="Times New Roman" w:hAnsi="Palatino Linotype" w:cs="Arial"/>
          <w:sz w:val="24"/>
          <w:szCs w:val="24"/>
        </w:rPr>
        <w:t>Resultan fundadas las razones o motivos de inconformidad hechos valer por el Recurrente en términos del considerando cuarto de la presente resolución.</w:t>
      </w:r>
    </w:p>
    <w:p w:rsidR="001A7F5D" w:rsidRPr="00526ADB" w:rsidRDefault="001A7F5D" w:rsidP="001A7F5D">
      <w:pPr>
        <w:spacing w:after="0" w:line="360" w:lineRule="auto"/>
        <w:jc w:val="both"/>
        <w:rPr>
          <w:rFonts w:ascii="Palatino Linotype" w:hAnsi="Palatino Linotype" w:cs="Arial"/>
          <w:b/>
          <w:bCs/>
          <w:sz w:val="24"/>
          <w:szCs w:val="24"/>
          <w:shd w:val="clear" w:color="auto" w:fill="FFFFFF"/>
        </w:rPr>
      </w:pPr>
    </w:p>
    <w:p w:rsidR="001A7F5D" w:rsidRPr="00526ADB" w:rsidRDefault="001A7F5D" w:rsidP="001A7F5D">
      <w:pPr>
        <w:spacing w:after="0" w:line="360" w:lineRule="auto"/>
        <w:jc w:val="both"/>
        <w:rPr>
          <w:rFonts w:ascii="Palatino Linotype" w:hAnsi="Palatino Linotype"/>
          <w:sz w:val="24"/>
          <w:szCs w:val="24"/>
        </w:rPr>
      </w:pPr>
      <w:r w:rsidRPr="00526ADB">
        <w:rPr>
          <w:rFonts w:ascii="Palatino Linotype" w:hAnsi="Palatino Linotype" w:cs="Arial"/>
          <w:b/>
          <w:sz w:val="24"/>
          <w:szCs w:val="24"/>
        </w:rPr>
        <w:t xml:space="preserve">SEGUNDO. </w:t>
      </w:r>
      <w:r w:rsidRPr="00526ADB">
        <w:rPr>
          <w:rFonts w:ascii="Palatino Linotype" w:hAnsi="Palatino Linotype" w:cs="Arial"/>
          <w:sz w:val="24"/>
          <w:szCs w:val="24"/>
        </w:rPr>
        <w:t>Se</w:t>
      </w:r>
      <w:r w:rsidRPr="00526ADB">
        <w:rPr>
          <w:rFonts w:ascii="Palatino Linotype" w:hAnsi="Palatino Linotype" w:cs="Arial"/>
          <w:b/>
          <w:sz w:val="24"/>
          <w:szCs w:val="24"/>
        </w:rPr>
        <w:t xml:space="preserve"> ordena </w:t>
      </w:r>
      <w:r w:rsidRPr="00526ADB">
        <w:rPr>
          <w:rFonts w:ascii="Palatino Linotype" w:hAnsi="Palatino Linotype" w:cs="Arial"/>
          <w:sz w:val="24"/>
          <w:szCs w:val="24"/>
        </w:rPr>
        <w:t>al Sujeto Obligado</w:t>
      </w:r>
      <w:r w:rsidRPr="00526ADB">
        <w:rPr>
          <w:rFonts w:ascii="Palatino Linotype" w:eastAsia="Times New Roman" w:hAnsi="Palatino Linotype" w:cs="Arial"/>
          <w:sz w:val="24"/>
          <w:szCs w:val="24"/>
        </w:rPr>
        <w:t>, atienda la solicitud de información número</w:t>
      </w:r>
      <w:r w:rsidRPr="00526ADB">
        <w:rPr>
          <w:rFonts w:ascii="Palatino Linotype" w:hAnsi="Palatino Linotype" w:cs="Arial"/>
          <w:b/>
          <w:sz w:val="24"/>
          <w:szCs w:val="24"/>
        </w:rPr>
        <w:t xml:space="preserve"> </w:t>
      </w:r>
      <w:r w:rsidR="00AA34C4" w:rsidRPr="00526ADB">
        <w:rPr>
          <w:rFonts w:ascii="Palatino Linotype" w:hAnsi="Palatino Linotype" w:cs="Arial"/>
          <w:b/>
          <w:sz w:val="24"/>
          <w:szCs w:val="24"/>
        </w:rPr>
        <w:t>00049/STMEM/IP/2019</w:t>
      </w:r>
      <w:r w:rsidRPr="00526ADB">
        <w:rPr>
          <w:rFonts w:ascii="Palatino Linotype" w:eastAsia="Times New Roman" w:hAnsi="Palatino Linotype" w:cs="Arial"/>
          <w:sz w:val="24"/>
          <w:szCs w:val="24"/>
        </w:rPr>
        <w:t xml:space="preserve">, en términos del considerando cuarto de esta resolución y haga entrega </w:t>
      </w:r>
      <w:r w:rsidRPr="00526ADB">
        <w:rPr>
          <w:rFonts w:ascii="Palatino Linotype" w:eastAsia="Times New Roman" w:hAnsi="Palatino Linotype" w:cs="Arial"/>
          <w:b/>
          <w:sz w:val="24"/>
          <w:szCs w:val="24"/>
        </w:rPr>
        <w:t>vía SAIMEX,</w:t>
      </w:r>
      <w:r w:rsidRPr="00526ADB">
        <w:rPr>
          <w:rFonts w:ascii="Palatino Linotype" w:eastAsia="Times New Roman" w:hAnsi="Palatino Linotype" w:cs="Arial"/>
          <w:sz w:val="24"/>
          <w:szCs w:val="24"/>
        </w:rPr>
        <w:t xml:space="preserve"> en versión pública de ser procedente,</w:t>
      </w:r>
      <w:r w:rsidR="00526ADB">
        <w:rPr>
          <w:rFonts w:ascii="Palatino Linotype" w:eastAsia="Times New Roman" w:hAnsi="Palatino Linotype" w:cs="Arial"/>
          <w:sz w:val="24"/>
          <w:szCs w:val="24"/>
        </w:rPr>
        <w:t xml:space="preserve"> de</w:t>
      </w:r>
      <w:r w:rsidRPr="00526ADB">
        <w:rPr>
          <w:rFonts w:ascii="Palatino Linotype" w:eastAsia="Times New Roman" w:hAnsi="Palatino Linotype" w:cs="Arial"/>
          <w:sz w:val="24"/>
          <w:szCs w:val="24"/>
        </w:rPr>
        <w:t xml:space="preserve"> </w:t>
      </w:r>
      <w:r w:rsidRPr="00526ADB">
        <w:rPr>
          <w:rFonts w:ascii="Palatino Linotype" w:hAnsi="Palatino Linotype"/>
          <w:sz w:val="24"/>
          <w:szCs w:val="24"/>
        </w:rPr>
        <w:t>lo siguiente:</w:t>
      </w:r>
    </w:p>
    <w:p w:rsidR="00DB673C" w:rsidRDefault="00DB673C" w:rsidP="0042512C">
      <w:pPr>
        <w:spacing w:after="0" w:line="360" w:lineRule="auto"/>
        <w:jc w:val="both"/>
        <w:rPr>
          <w:rFonts w:ascii="Palatino Linotype" w:eastAsia="Times New Roman" w:hAnsi="Palatino Linotype" w:cs="Arial"/>
          <w:sz w:val="24"/>
          <w:szCs w:val="24"/>
          <w:lang w:val="es-ES" w:eastAsia="es-ES"/>
        </w:rPr>
      </w:pPr>
    </w:p>
    <w:p w:rsidR="00526ADB" w:rsidRPr="00526ADB" w:rsidRDefault="00526ADB" w:rsidP="0038586A">
      <w:pPr>
        <w:pStyle w:val="Prrafodelista"/>
        <w:numPr>
          <w:ilvl w:val="0"/>
          <w:numId w:val="4"/>
        </w:numPr>
        <w:spacing w:line="360" w:lineRule="auto"/>
        <w:jc w:val="both"/>
        <w:rPr>
          <w:rFonts w:ascii="Palatino Linotype" w:hAnsi="Palatino Linotype"/>
          <w:color w:val="000000"/>
        </w:rPr>
      </w:pPr>
      <w:r w:rsidRPr="00526ADB">
        <w:rPr>
          <w:rFonts w:ascii="Palatino Linotype" w:hAnsi="Palatino Linotype"/>
          <w:lang w:val="es-ES_tradnl"/>
        </w:rPr>
        <w:lastRenderedPageBreak/>
        <w:t>D</w:t>
      </w:r>
      <w:r w:rsidR="00AA34C4" w:rsidRPr="00526ADB">
        <w:rPr>
          <w:rFonts w:ascii="Palatino Linotype" w:hAnsi="Palatino Linotype"/>
          <w:lang w:val="es-ES_tradnl"/>
        </w:rPr>
        <w:t>el Convenio de Transacción entre el Gobierno del Estado de México y la empresa Situsa, en el que se resuelve la terminación de la Concesión del Mexibús 3,</w:t>
      </w:r>
      <w:r>
        <w:rPr>
          <w:rFonts w:ascii="Palatino Linotype" w:hAnsi="Palatino Linotype"/>
          <w:lang w:val="es-ES_tradnl"/>
        </w:rPr>
        <w:t xml:space="preserve"> se deberá entregar </w:t>
      </w:r>
      <w:r w:rsidR="00004211">
        <w:rPr>
          <w:rFonts w:ascii="Palatino Linotype" w:hAnsi="Palatino Linotype"/>
          <w:lang w:val="es-ES_tradnl"/>
        </w:rPr>
        <w:t>lo siguiente:</w:t>
      </w:r>
    </w:p>
    <w:p w:rsidR="00526ADB" w:rsidRPr="00526ADB" w:rsidRDefault="00AA34C4" w:rsidP="00526ADB">
      <w:pPr>
        <w:pStyle w:val="Prrafodelista"/>
        <w:numPr>
          <w:ilvl w:val="0"/>
          <w:numId w:val="6"/>
        </w:numPr>
        <w:spacing w:line="360" w:lineRule="auto"/>
        <w:jc w:val="both"/>
        <w:rPr>
          <w:rFonts w:ascii="Palatino Linotype" w:hAnsi="Palatino Linotype"/>
          <w:color w:val="000000"/>
        </w:rPr>
      </w:pPr>
      <w:r w:rsidRPr="00526ADB">
        <w:rPr>
          <w:rFonts w:ascii="Palatino Linotype" w:hAnsi="Palatino Linotype"/>
          <w:lang w:val="es-ES_tradnl"/>
        </w:rPr>
        <w:t xml:space="preserve">Convenio de Transacción </w:t>
      </w:r>
      <w:r w:rsidR="00526ADB">
        <w:rPr>
          <w:rFonts w:ascii="Palatino Linotype" w:hAnsi="Palatino Linotype"/>
          <w:lang w:val="es-ES_tradnl"/>
        </w:rPr>
        <w:t>y sus anexos.</w:t>
      </w:r>
    </w:p>
    <w:p w:rsidR="00AA34C4" w:rsidRPr="00526ADB" w:rsidRDefault="00526ADB" w:rsidP="00526ADB">
      <w:pPr>
        <w:pStyle w:val="Prrafodelista"/>
        <w:numPr>
          <w:ilvl w:val="0"/>
          <w:numId w:val="6"/>
        </w:numPr>
        <w:spacing w:line="360" w:lineRule="auto"/>
        <w:jc w:val="both"/>
        <w:rPr>
          <w:rFonts w:ascii="Palatino Linotype" w:hAnsi="Palatino Linotype"/>
          <w:color w:val="000000"/>
        </w:rPr>
      </w:pPr>
      <w:r>
        <w:rPr>
          <w:rFonts w:ascii="Palatino Linotype" w:hAnsi="Palatino Linotype"/>
          <w:lang w:val="es-ES_tradnl"/>
        </w:rPr>
        <w:t>Documento</w:t>
      </w:r>
      <w:r w:rsidR="00004211">
        <w:rPr>
          <w:rFonts w:ascii="Palatino Linotype" w:hAnsi="Palatino Linotype"/>
          <w:lang w:val="es-ES_tradnl"/>
        </w:rPr>
        <w:t xml:space="preserve"> o documentos</w:t>
      </w:r>
      <w:r>
        <w:rPr>
          <w:rFonts w:ascii="Palatino Linotype" w:hAnsi="Palatino Linotype"/>
          <w:lang w:val="es-ES_tradnl"/>
        </w:rPr>
        <w:t xml:space="preserve"> donde conste</w:t>
      </w:r>
      <w:r w:rsidR="00004211">
        <w:rPr>
          <w:rFonts w:ascii="Palatino Linotype" w:hAnsi="Palatino Linotype"/>
          <w:lang w:val="es-ES_tradnl"/>
        </w:rPr>
        <w:t>n,</w:t>
      </w:r>
      <w:r>
        <w:rPr>
          <w:rFonts w:ascii="Palatino Linotype" w:hAnsi="Palatino Linotype"/>
          <w:lang w:val="es-ES_tradnl"/>
        </w:rPr>
        <w:t xml:space="preserve"> el d</w:t>
      </w:r>
      <w:r w:rsidR="00AA34C4" w:rsidRPr="00526ADB">
        <w:rPr>
          <w:rFonts w:ascii="Palatino Linotype" w:hAnsi="Palatino Linotype"/>
          <w:lang w:val="es-ES_tradnl"/>
        </w:rPr>
        <w:t>esglose de pagos con monto, descripción y fecha</w:t>
      </w:r>
      <w:r>
        <w:rPr>
          <w:rFonts w:ascii="Palatino Linotype" w:hAnsi="Palatino Linotype"/>
          <w:lang w:val="es-ES_tradnl"/>
        </w:rPr>
        <w:t>s.</w:t>
      </w:r>
    </w:p>
    <w:p w:rsidR="0038586A" w:rsidRDefault="0038586A" w:rsidP="00526ADB">
      <w:pPr>
        <w:pStyle w:val="Prrafodelista"/>
        <w:spacing w:line="360" w:lineRule="auto"/>
        <w:ind w:left="720"/>
        <w:jc w:val="both"/>
        <w:rPr>
          <w:rFonts w:ascii="Palatino Linotype" w:hAnsi="Palatino Linotype"/>
          <w:color w:val="000000"/>
        </w:rPr>
      </w:pPr>
    </w:p>
    <w:p w:rsidR="00DC7D89" w:rsidRDefault="00DC7D89" w:rsidP="00DC7D89">
      <w:pPr>
        <w:pStyle w:val="Prrafodelista"/>
        <w:spacing w:line="360" w:lineRule="auto"/>
        <w:ind w:left="720"/>
        <w:jc w:val="both"/>
        <w:rPr>
          <w:rFonts w:ascii="Palatino Linotype" w:hAnsi="Palatino Linotype"/>
          <w:color w:val="000000"/>
        </w:rPr>
      </w:pPr>
      <w:r w:rsidRPr="00DC7D89">
        <w:rPr>
          <w:rFonts w:ascii="Palatino Linotype" w:hAnsi="Palatino Linotype"/>
          <w:color w:val="000000"/>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E0559B" w:rsidRDefault="00E0559B" w:rsidP="00DC7D89">
      <w:pPr>
        <w:pStyle w:val="Prrafodelista"/>
        <w:spacing w:line="360" w:lineRule="auto"/>
        <w:ind w:left="720"/>
        <w:jc w:val="both"/>
        <w:rPr>
          <w:rFonts w:ascii="Palatino Linotype" w:hAnsi="Palatino Linotype"/>
          <w:color w:val="000000"/>
        </w:rPr>
      </w:pPr>
    </w:p>
    <w:p w:rsidR="00FA08FC" w:rsidRPr="004209CE" w:rsidRDefault="00FA08FC" w:rsidP="0042512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08FC" w:rsidRDefault="00FA08FC" w:rsidP="00FA08FC">
      <w:pPr>
        <w:spacing w:after="0" w:line="360" w:lineRule="auto"/>
        <w:jc w:val="both"/>
        <w:rPr>
          <w:rFonts w:ascii="Palatino Linotype" w:eastAsia="Times New Roman" w:hAnsi="Palatino Linotype" w:cs="Arial"/>
        </w:rPr>
      </w:pPr>
    </w:p>
    <w:p w:rsidR="00FA08FC" w:rsidRDefault="00FA08FC" w:rsidP="00FA08F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08FC" w:rsidRDefault="00FA08FC" w:rsidP="00FA08FC">
      <w:pPr>
        <w:spacing w:after="0" w:line="360" w:lineRule="auto"/>
        <w:jc w:val="both"/>
        <w:rPr>
          <w:rFonts w:ascii="Palatino Linotype" w:hAnsi="Palatino Linotype" w:cs="Arial"/>
          <w:bCs/>
          <w:sz w:val="24"/>
          <w:szCs w:val="24"/>
        </w:rPr>
      </w:pPr>
    </w:p>
    <w:p w:rsidR="006B63B1" w:rsidRDefault="006B63B1" w:rsidP="006B63B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6B63B1" w:rsidRDefault="006B63B1" w:rsidP="00FA08FC">
      <w:pPr>
        <w:spacing w:after="0" w:line="360" w:lineRule="auto"/>
        <w:jc w:val="both"/>
        <w:rPr>
          <w:rFonts w:ascii="Palatino Linotype" w:hAnsi="Palatino Linotype" w:cs="Arial"/>
          <w:bCs/>
          <w:sz w:val="24"/>
          <w:szCs w:val="24"/>
        </w:rPr>
      </w:pPr>
    </w:p>
    <w:p w:rsidR="00FA08FC" w:rsidRDefault="00FA08FC" w:rsidP="00FA08FC">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xml:space="preserve">, CONFORMADO POR </w:t>
      </w:r>
      <w:r w:rsidRPr="007E4715">
        <w:rPr>
          <w:rFonts w:ascii="Palatino Linotype" w:eastAsia="Arial Unicode MS" w:hAnsi="Palatino Linotype" w:cs="Arial"/>
          <w:sz w:val="24"/>
          <w:szCs w:val="24"/>
        </w:rPr>
        <w:t xml:space="preserve">LOS COMISIONADOS ZULEMA MARTÍNEZ SÁNCHEZ, EVA ABAID YAPUR, JOSÉ GUADALUPE LUNA HERNÁNDEZ, JAVIER MARTÍNEZ CRUZ Y LUIS GUSTAVO PARRA NORIEGA, </w:t>
      </w:r>
      <w:r w:rsidR="00F739A0">
        <w:rPr>
          <w:rFonts w:ascii="Palatino Linotype" w:hAnsi="Palatino Linotype" w:cs="Arial"/>
          <w:sz w:val="24"/>
          <w:szCs w:val="24"/>
        </w:rPr>
        <w:t>EN LA CUADRAGÉSIMA SESIÓN ORDINARIA CELEBRADA EL TREINTA DE OCTUBRE DE DOS MIL DIECINUEVE</w:t>
      </w:r>
      <w:r w:rsidRPr="007E4715">
        <w:rPr>
          <w:rFonts w:ascii="Palatino Linotype" w:eastAsia="Arial Unicode MS" w:hAnsi="Palatino Linotype" w:cs="Arial"/>
          <w:sz w:val="24"/>
          <w:szCs w:val="24"/>
        </w:rPr>
        <w:t xml:space="preserve">, ANTE EL SECRETARIO TÉCNICO </w:t>
      </w:r>
      <w:r w:rsidRPr="00AD2A55">
        <w:rPr>
          <w:rFonts w:ascii="Palatino Linotype" w:hAnsi="Palatino Linotype" w:cs="Arial"/>
          <w:sz w:val="24"/>
          <w:szCs w:val="24"/>
        </w:rPr>
        <w:t xml:space="preserve">DEL PLENO, </w:t>
      </w:r>
      <w:r>
        <w:rPr>
          <w:rFonts w:ascii="Palatino Linotype" w:hAnsi="Palatino Linotype" w:cs="Arial"/>
          <w:sz w:val="24"/>
          <w:szCs w:val="24"/>
        </w:rPr>
        <w:t>ALEXIS TAPIA RAMÍREZ. ----------------------------------------------------------------------------------------------------------------------------------------------------------------------------------------------------------------------------------------------------------------------------------------------------------------------------------------------------------------------------------------------------------</w:t>
      </w:r>
      <w:r w:rsidR="00F739A0">
        <w:rPr>
          <w:rFonts w:ascii="Palatino Linotype" w:hAnsi="Palatino Linotype" w:cs="Arial"/>
          <w:sz w:val="24"/>
          <w:szCs w:val="24"/>
        </w:rPr>
        <w:t>----------</w:t>
      </w:r>
      <w:r>
        <w:rPr>
          <w:rFonts w:ascii="Palatino Linotype" w:hAnsi="Palatino Linotype" w:cs="Arial"/>
          <w:sz w:val="24"/>
          <w:szCs w:val="24"/>
        </w:rPr>
        <w:t>------------------------------------------------------------------------------------------</w:t>
      </w:r>
      <w:r w:rsidR="007E4715">
        <w:rPr>
          <w:rFonts w:ascii="Palatino Linotype" w:hAnsi="Palatino Linotype" w:cs="Arial"/>
          <w:sz w:val="24"/>
          <w:szCs w:val="24"/>
        </w:rPr>
        <w:t>------------</w:t>
      </w:r>
      <w:r>
        <w:rPr>
          <w:rFonts w:ascii="Palatino Linotype" w:hAnsi="Palatino Linotype" w:cs="Arial"/>
          <w:sz w:val="24"/>
          <w:szCs w:val="24"/>
        </w:rPr>
        <w:t>--------------------------------------------</w:t>
      </w:r>
    </w:p>
    <w:p w:rsidR="00FA08FC" w:rsidRPr="00F739A0" w:rsidRDefault="00FA08FC" w:rsidP="00FA08FC">
      <w:pPr>
        <w:spacing w:after="0" w:line="360" w:lineRule="auto"/>
        <w:jc w:val="both"/>
        <w:rPr>
          <w:rFonts w:ascii="Palatino Linotype" w:hAnsi="Palatino Linotype"/>
          <w:szCs w:val="24"/>
        </w:rPr>
      </w:pPr>
    </w:p>
    <w:p w:rsidR="00FA08FC" w:rsidRDefault="00FA08FC"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887275D" wp14:editId="63FDD8D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016AF3" w:rsidRDefault="00FA08FC" w:rsidP="00FA08F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275D"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016AF3" w:rsidRDefault="00FA08FC" w:rsidP="00FA08FC">
                      <w:pPr>
                        <w:spacing w:line="240" w:lineRule="auto"/>
                        <w:jc w:val="center"/>
                        <w:rPr>
                          <w:rFonts w:ascii="Palatino Linotype" w:hAnsi="Palatino Linotype"/>
                          <w:b/>
                          <w:sz w:val="24"/>
                          <w:szCs w:val="24"/>
                        </w:rPr>
                      </w:pPr>
                    </w:p>
                  </w:txbxContent>
                </v:textbox>
                <w10:wrap anchorx="page"/>
              </v:shape>
            </w:pict>
          </mc:Fallback>
        </mc:AlternateContent>
      </w:r>
    </w:p>
    <w:p w:rsidR="00FA08FC" w:rsidRPr="00AD2A55" w:rsidRDefault="00FA08FC" w:rsidP="00FA08FC">
      <w:pPr>
        <w:spacing w:after="0" w:line="360" w:lineRule="auto"/>
        <w:jc w:val="center"/>
        <w:rPr>
          <w:rFonts w:ascii="Palatino Linotype" w:hAnsi="Palatino Linotype"/>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546882" w:rsidRDefault="00FA08FC" w:rsidP="00FA08FC">
      <w:pPr>
        <w:spacing w:after="0" w:line="360" w:lineRule="auto"/>
        <w:rPr>
          <w:rFonts w:ascii="Palatino Linotype" w:hAnsi="Palatino Linotype"/>
          <w:b/>
          <w:sz w:val="20"/>
          <w:szCs w:val="24"/>
        </w:rPr>
      </w:pPr>
    </w:p>
    <w:p w:rsidR="00FA08FC"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C73FFC7" wp14:editId="2928491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8FC"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797B31" w:rsidRDefault="00FA08FC" w:rsidP="00FA08F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C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A08FC"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Pr="00797B31" w:rsidRDefault="00FA08FC" w:rsidP="00FA08FC">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87C781" wp14:editId="38FD476D">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781"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FA08FC" w:rsidRPr="00EF2FC0" w:rsidRDefault="00FA08FC" w:rsidP="00FA08F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pPr>
                    </w:p>
                  </w:txbxContent>
                </v:textbox>
                <w10:wrap anchorx="margin"/>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0"/>
          <w:szCs w:val="24"/>
        </w:rPr>
      </w:pPr>
    </w:p>
    <w:p w:rsidR="00FA08FC" w:rsidRPr="00D701CA" w:rsidRDefault="00FA08FC" w:rsidP="00FA08FC">
      <w:pPr>
        <w:spacing w:after="0" w:line="360" w:lineRule="auto"/>
        <w:rPr>
          <w:rFonts w:ascii="Palatino Linotype" w:hAnsi="Palatino Linotype"/>
          <w:b/>
          <w:sz w:val="20"/>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7A9F6D7" wp14:editId="7E6F7290">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F6D7"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48B0410" wp14:editId="34279621">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0410"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rsidR="00FA08FC" w:rsidRPr="00EF2FC0" w:rsidRDefault="00FA08F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A08FC" w:rsidRPr="00EF2FC0" w:rsidRDefault="00FA08F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txbxContent>
                </v:textbox>
                <w10:wrap anchorx="page"/>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sz w:val="24"/>
          <w:szCs w:val="24"/>
        </w:rPr>
      </w:pPr>
    </w:p>
    <w:p w:rsidR="00FA08FC" w:rsidRPr="00546882" w:rsidRDefault="00FA08FC" w:rsidP="00FA08FC">
      <w:pPr>
        <w:spacing w:after="0" w:line="360" w:lineRule="auto"/>
        <w:rPr>
          <w:rFonts w:ascii="Palatino Linotype" w:hAnsi="Palatino Linotype"/>
          <w:sz w:val="20"/>
          <w:szCs w:val="24"/>
        </w:rPr>
      </w:pPr>
    </w:p>
    <w:p w:rsidR="00FA08FC" w:rsidRPr="00AD2A55" w:rsidRDefault="00FA08FC" w:rsidP="00FA08F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DB7524B" wp14:editId="2CDCED13">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A08FC" w:rsidRPr="007F6133" w:rsidRDefault="00FA08F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rPr>
                                <w:rFonts w:ascii="Palatino Linotype" w:hAnsi="Palatino Linotype"/>
                                <w:sz w:val="24"/>
                                <w:szCs w:val="24"/>
                              </w:rPr>
                            </w:pPr>
                          </w:p>
                          <w:p w:rsidR="00FA08FC" w:rsidRPr="00EF2FC0" w:rsidRDefault="00FA08FC" w:rsidP="00FA08FC">
                            <w:pPr>
                              <w:jc w:val="center"/>
                              <w:rPr>
                                <w:rFonts w:ascii="Palatino Linotype" w:hAnsi="Palatino Linotype"/>
                                <w:sz w:val="24"/>
                                <w:szCs w:val="24"/>
                              </w:rPr>
                            </w:pPr>
                          </w:p>
                          <w:p w:rsidR="00FA08FC" w:rsidRDefault="00FA08F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524B"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rsidR="00FA08FC" w:rsidRPr="007F6133" w:rsidRDefault="00FA08F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FA08FC" w:rsidRDefault="00FA08F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A08FC" w:rsidRDefault="00FA08FC" w:rsidP="00FA08F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A08FC" w:rsidRDefault="00FA08FC" w:rsidP="00FA08FC">
                      <w:pPr>
                        <w:jc w:val="center"/>
                        <w:rPr>
                          <w:rFonts w:ascii="Palatino Linotype" w:hAnsi="Palatino Linotype"/>
                          <w:sz w:val="24"/>
                          <w:szCs w:val="24"/>
                        </w:rPr>
                      </w:pPr>
                    </w:p>
                    <w:p w:rsidR="00FA08FC" w:rsidRPr="00EF2FC0" w:rsidRDefault="00FA08FC" w:rsidP="00FA08FC">
                      <w:pPr>
                        <w:jc w:val="center"/>
                        <w:rPr>
                          <w:rFonts w:ascii="Palatino Linotype" w:hAnsi="Palatino Linotype"/>
                          <w:sz w:val="24"/>
                          <w:szCs w:val="24"/>
                        </w:rPr>
                      </w:pPr>
                    </w:p>
                    <w:p w:rsidR="00FA08FC" w:rsidRDefault="00FA08FC" w:rsidP="00FA08FC"/>
                  </w:txbxContent>
                </v:textbox>
                <w10:wrap anchorx="page"/>
              </v:shape>
            </w:pict>
          </mc:Fallback>
        </mc:AlternateConten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sz w:val="24"/>
          <w:szCs w:val="24"/>
        </w:rPr>
      </w:pPr>
    </w:p>
    <w:p w:rsidR="00FA08FC" w:rsidRPr="00546882" w:rsidRDefault="00FA08FC" w:rsidP="00FA08FC">
      <w:pPr>
        <w:spacing w:after="0" w:line="360" w:lineRule="auto"/>
        <w:jc w:val="both"/>
        <w:rPr>
          <w:rFonts w:ascii="Palatino Linotype" w:hAnsi="Palatino Linotype" w:cs="Arial"/>
          <w:sz w:val="18"/>
          <w:szCs w:val="24"/>
        </w:rPr>
      </w:pPr>
    </w:p>
    <w:p w:rsidR="00FA08FC" w:rsidRDefault="00FA08FC" w:rsidP="00FA08FC">
      <w:pPr>
        <w:spacing w:after="0" w:line="240" w:lineRule="auto"/>
        <w:jc w:val="both"/>
        <w:rPr>
          <w:rFonts w:ascii="Palatino Linotype" w:hAnsi="Palatino Linotype" w:cs="Arial"/>
          <w:sz w:val="20"/>
          <w:szCs w:val="20"/>
        </w:rPr>
      </w:pPr>
    </w:p>
    <w:p w:rsidR="00FA08FC" w:rsidRPr="00D701CA" w:rsidRDefault="00FA08FC" w:rsidP="00FA08FC">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F739A0">
        <w:rPr>
          <w:rFonts w:ascii="Palatino Linotype" w:hAnsi="Palatino Linotype" w:cs="Arial"/>
          <w:sz w:val="20"/>
          <w:szCs w:val="20"/>
        </w:rPr>
        <w:t>treinta de octubre</w:t>
      </w:r>
      <w:r w:rsidR="00F739A0">
        <w:rPr>
          <w:rFonts w:ascii="Palatino Linotype" w:eastAsia="Times New Roman" w:hAnsi="Palatino Linotype" w:cs="Arial"/>
          <w:color w:val="000000"/>
          <w:sz w:val="20"/>
          <w:szCs w:val="20"/>
          <w:lang w:eastAsia="es-MX"/>
        </w:rPr>
        <w:t xml:space="preserve"> </w:t>
      </w:r>
      <w:r w:rsidR="00F739A0">
        <w:rPr>
          <w:rFonts w:ascii="Palatino Linotype" w:hAnsi="Palatino Linotype" w:cs="Arial"/>
          <w:sz w:val="20"/>
          <w:szCs w:val="20"/>
        </w:rPr>
        <w:t>dos mil diecinueve</w:t>
      </w:r>
      <w:r w:rsidRPr="00D701CA">
        <w:rPr>
          <w:rFonts w:ascii="Palatino Linotype" w:hAnsi="Palatino Linotype" w:cs="Arial"/>
          <w:sz w:val="20"/>
          <w:szCs w:val="20"/>
        </w:rPr>
        <w:t xml:space="preserve">, emitida en el recurso de revisión </w:t>
      </w:r>
      <w:r w:rsidRPr="007E4715">
        <w:rPr>
          <w:rFonts w:ascii="Palatino Linotype" w:hAnsi="Palatino Linotype" w:cs="Arial"/>
          <w:sz w:val="20"/>
          <w:szCs w:val="20"/>
        </w:rPr>
        <w:t>0</w:t>
      </w:r>
      <w:r w:rsidR="00F739A0">
        <w:rPr>
          <w:rFonts w:ascii="Palatino Linotype" w:hAnsi="Palatino Linotype" w:cs="Arial"/>
          <w:sz w:val="20"/>
          <w:szCs w:val="20"/>
        </w:rPr>
        <w:t>6920</w:t>
      </w:r>
      <w:r w:rsidRPr="007E4715">
        <w:rPr>
          <w:rFonts w:ascii="Palatino Linotype" w:hAnsi="Palatino Linotype" w:cs="Arial"/>
          <w:sz w:val="20"/>
          <w:szCs w:val="20"/>
        </w:rPr>
        <w:t>/INFOEM/IP/RR/2019</w:t>
      </w:r>
      <w:r w:rsidRPr="00D701CA">
        <w:rPr>
          <w:rFonts w:ascii="Palatino Linotype" w:hAnsi="Palatino Linotype" w:cs="Arial"/>
          <w:sz w:val="20"/>
          <w:szCs w:val="20"/>
        </w:rPr>
        <w:t>.</w:t>
      </w:r>
    </w:p>
    <w:p w:rsidR="00FA08FC" w:rsidRPr="007E4715" w:rsidRDefault="00FA08FC" w:rsidP="007E4715">
      <w:pPr>
        <w:spacing w:after="0" w:line="240" w:lineRule="auto"/>
        <w:jc w:val="both"/>
        <w:rPr>
          <w:rFonts w:ascii="Palatino Linotype" w:hAnsi="Palatino Linotype" w:cs="Arial"/>
          <w:sz w:val="20"/>
          <w:szCs w:val="20"/>
        </w:rPr>
      </w:pPr>
      <w:r w:rsidRPr="007E4715">
        <w:rPr>
          <w:rFonts w:ascii="Palatino Linotype" w:hAnsi="Palatino Linotype" w:cs="Arial"/>
          <w:sz w:val="20"/>
          <w:szCs w:val="20"/>
        </w:rPr>
        <w:t>OSAM/</w:t>
      </w:r>
      <w:r w:rsidR="007E4715">
        <w:rPr>
          <w:rFonts w:ascii="Palatino Linotype" w:hAnsi="Palatino Linotype" w:cs="Arial"/>
          <w:sz w:val="20"/>
          <w:szCs w:val="20"/>
        </w:rPr>
        <w:t>ROA</w:t>
      </w:r>
    </w:p>
    <w:sectPr w:rsidR="00FA08FC" w:rsidRPr="007E4715"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238" w:rsidRDefault="00874238" w:rsidP="00FA08FC">
      <w:pPr>
        <w:spacing w:after="0" w:line="240" w:lineRule="auto"/>
      </w:pPr>
      <w:r>
        <w:separator/>
      </w:r>
    </w:p>
  </w:endnote>
  <w:endnote w:type="continuationSeparator" w:id="0">
    <w:p w:rsidR="00874238" w:rsidRDefault="00874238" w:rsidP="00FA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842FF" w:rsidRPr="002D6DD8" w:rsidRDefault="00DA28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542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75421">
              <w:rPr>
                <w:rFonts w:ascii="Palatino Linotype" w:hAnsi="Palatino Linotype"/>
                <w:bCs/>
                <w:noProof/>
                <w:sz w:val="20"/>
              </w:rPr>
              <w:t>30</w:t>
            </w:r>
            <w:r>
              <w:rPr>
                <w:rFonts w:ascii="Palatino Linotype" w:hAnsi="Palatino Linotype"/>
                <w:bCs/>
                <w:noProof/>
                <w:sz w:val="20"/>
              </w:rPr>
              <w:fldChar w:fldCharType="end"/>
            </w:r>
          </w:p>
        </w:sdtContent>
      </w:sdt>
    </w:sdtContent>
  </w:sdt>
  <w:p w:rsidR="004842FF" w:rsidRDefault="005754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F" w:rsidRPr="000B69FA" w:rsidRDefault="00DA28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54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75421">
      <w:rPr>
        <w:rFonts w:ascii="Palatino Linotype" w:hAnsi="Palatino Linotype"/>
        <w:bCs/>
        <w:noProof/>
        <w:sz w:val="20"/>
      </w:rPr>
      <w:t>30</w:t>
    </w:r>
    <w:r>
      <w:rPr>
        <w:rFonts w:ascii="Palatino Linotype" w:hAnsi="Palatino Linotype"/>
        <w:bCs/>
        <w:noProof/>
        <w:sz w:val="20"/>
      </w:rPr>
      <w:fldChar w:fldCharType="end"/>
    </w:r>
  </w:p>
  <w:p w:rsidR="004842FF" w:rsidRDefault="005754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238" w:rsidRDefault="00874238" w:rsidP="00FA08FC">
      <w:pPr>
        <w:spacing w:after="0" w:line="240" w:lineRule="auto"/>
      </w:pPr>
      <w:r>
        <w:separator/>
      </w:r>
    </w:p>
  </w:footnote>
  <w:footnote w:type="continuationSeparator" w:id="0">
    <w:p w:rsidR="00874238" w:rsidRDefault="00874238" w:rsidP="00FA0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2" w:type="dxa"/>
      <w:tblInd w:w="-851" w:type="dxa"/>
      <w:tblCellMar>
        <w:left w:w="70" w:type="dxa"/>
        <w:right w:w="70" w:type="dxa"/>
      </w:tblCellMar>
      <w:tblLook w:val="04A0" w:firstRow="1" w:lastRow="0" w:firstColumn="1" w:lastColumn="0" w:noHBand="0" w:noVBand="1"/>
    </w:tblPr>
    <w:tblGrid>
      <w:gridCol w:w="6805"/>
      <w:gridCol w:w="3407"/>
    </w:tblGrid>
    <w:tr w:rsidR="004842FF" w:rsidTr="00014B9D">
      <w:trPr>
        <w:trHeight w:val="227"/>
      </w:trPr>
      <w:tc>
        <w:tcPr>
          <w:tcW w:w="6805" w:type="dxa"/>
          <w:hideMark/>
        </w:tcPr>
        <w:p w:rsidR="004842FF" w:rsidRDefault="00DA2845" w:rsidP="000300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7" w:type="dxa"/>
          <w:hideMark/>
        </w:tcPr>
        <w:p w:rsidR="004842FF" w:rsidRDefault="00DA2845" w:rsidP="00002251">
          <w:pPr>
            <w:spacing w:after="120" w:line="256" w:lineRule="auto"/>
            <w:ind w:left="-207" w:right="214" w:firstLine="207"/>
            <w:jc w:val="right"/>
            <w:rPr>
              <w:rFonts w:ascii="Palatino Linotype" w:hAnsi="Palatino Linotype" w:cs="Arial"/>
              <w:szCs w:val="20"/>
            </w:rPr>
          </w:pPr>
          <w:r>
            <w:rPr>
              <w:rFonts w:ascii="Palatino Linotype" w:hAnsi="Palatino Linotype" w:cs="Arial"/>
              <w:bCs/>
              <w:sz w:val="24"/>
              <w:lang w:eastAsia="es-MX"/>
            </w:rPr>
            <w:t>0</w:t>
          </w:r>
          <w:r w:rsidR="00451F5D">
            <w:rPr>
              <w:rFonts w:ascii="Palatino Linotype" w:hAnsi="Palatino Linotype" w:cs="Arial"/>
              <w:bCs/>
              <w:sz w:val="24"/>
              <w:lang w:eastAsia="es-MX"/>
            </w:rPr>
            <w:t>6</w:t>
          </w:r>
          <w:r w:rsidR="00002251">
            <w:rPr>
              <w:rFonts w:ascii="Palatino Linotype" w:hAnsi="Palatino Linotype" w:cs="Arial"/>
              <w:bCs/>
              <w:sz w:val="24"/>
              <w:lang w:eastAsia="es-MX"/>
            </w:rPr>
            <w:t>920</w:t>
          </w:r>
          <w:r>
            <w:rPr>
              <w:rFonts w:ascii="Palatino Linotype" w:hAnsi="Palatino Linotype" w:cs="Arial"/>
              <w:bCs/>
              <w:sz w:val="24"/>
              <w:lang w:eastAsia="es-MX"/>
            </w:rPr>
            <w:t>/INFOEM/IP/RR/2019</w:t>
          </w:r>
        </w:p>
      </w:tc>
    </w:tr>
    <w:tr w:rsidR="00002251" w:rsidTr="008113E8">
      <w:trPr>
        <w:trHeight w:val="242"/>
      </w:trPr>
      <w:tc>
        <w:tcPr>
          <w:tcW w:w="6805" w:type="dxa"/>
          <w:vAlign w:val="center"/>
          <w:hideMark/>
        </w:tcPr>
        <w:p w:rsidR="00002251" w:rsidRDefault="00002251" w:rsidP="000022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7" w:type="dxa"/>
          <w:hideMark/>
        </w:tcPr>
        <w:p w:rsidR="00002251" w:rsidRPr="00002251" w:rsidRDefault="00002251" w:rsidP="00002251">
          <w:pPr>
            <w:spacing w:after="120" w:line="256" w:lineRule="auto"/>
            <w:ind w:left="-486" w:right="214" w:firstLine="486"/>
            <w:jc w:val="right"/>
            <w:rPr>
              <w:rFonts w:ascii="Palatino Linotype" w:hAnsi="Palatino Linotype" w:cs="Arial"/>
            </w:rPr>
          </w:pPr>
          <w:r w:rsidRPr="00002251">
            <w:rPr>
              <w:rFonts w:ascii="Palatino Linotype" w:hAnsi="Palatino Linotype" w:cs="Arial"/>
            </w:rPr>
            <w:t xml:space="preserve">Sistema de </w:t>
          </w:r>
          <w:r w:rsidR="008113E8">
            <w:rPr>
              <w:rFonts w:ascii="Palatino Linotype" w:hAnsi="Palatino Linotype" w:cs="Arial"/>
            </w:rPr>
            <w:t>Transporte Masivo y</w:t>
          </w:r>
          <w:r w:rsidRPr="00002251">
            <w:rPr>
              <w:rFonts w:ascii="Palatino Linotype" w:hAnsi="Palatino Linotype" w:cs="Arial"/>
            </w:rPr>
            <w:t>Teleférico del Estado de México</w:t>
          </w:r>
        </w:p>
      </w:tc>
    </w:tr>
    <w:tr w:rsidR="00002251" w:rsidTr="00014B9D">
      <w:trPr>
        <w:trHeight w:val="342"/>
      </w:trPr>
      <w:tc>
        <w:tcPr>
          <w:tcW w:w="6805" w:type="dxa"/>
          <w:hideMark/>
        </w:tcPr>
        <w:p w:rsidR="00002251" w:rsidRDefault="00002251" w:rsidP="000022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7" w:type="dxa"/>
          <w:hideMark/>
        </w:tcPr>
        <w:p w:rsidR="00002251" w:rsidRDefault="00002251" w:rsidP="00002251">
          <w:pPr>
            <w:spacing w:after="120" w:line="256" w:lineRule="auto"/>
            <w:ind w:left="-207" w:right="214" w:firstLine="207"/>
            <w:jc w:val="right"/>
            <w:rPr>
              <w:rFonts w:ascii="Palatino Linotype" w:hAnsi="Palatino Linotype" w:cs="Arial"/>
              <w:szCs w:val="20"/>
            </w:rPr>
          </w:pPr>
          <w:r>
            <w:rPr>
              <w:rFonts w:ascii="Palatino Linotype" w:hAnsi="Palatino Linotype" w:cs="Arial"/>
              <w:szCs w:val="20"/>
            </w:rPr>
            <w:t>Zulema Martínez Sánchez</w:t>
          </w:r>
        </w:p>
      </w:tc>
    </w:tr>
  </w:tbl>
  <w:p w:rsidR="004842FF" w:rsidRDefault="00DA2845"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947"/>
      <w:gridCol w:w="3543"/>
    </w:tblGrid>
    <w:tr w:rsidR="004842FF" w:rsidTr="00044747">
      <w:trPr>
        <w:trHeight w:val="227"/>
      </w:trPr>
      <w:tc>
        <w:tcPr>
          <w:tcW w:w="6947" w:type="dxa"/>
          <w:hideMark/>
        </w:tcPr>
        <w:p w:rsidR="004842FF" w:rsidRDefault="00DA2845" w:rsidP="00044747">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543" w:type="dxa"/>
          <w:hideMark/>
        </w:tcPr>
        <w:p w:rsidR="004842FF" w:rsidRDefault="00DA2845" w:rsidP="00002251">
          <w:pPr>
            <w:spacing w:after="120" w:line="256" w:lineRule="auto"/>
            <w:ind w:left="-486" w:right="214" w:firstLine="486"/>
            <w:jc w:val="right"/>
            <w:rPr>
              <w:rFonts w:ascii="Palatino Linotype" w:hAnsi="Palatino Linotype" w:cs="Arial"/>
              <w:szCs w:val="20"/>
            </w:rPr>
          </w:pPr>
          <w:r>
            <w:rPr>
              <w:rFonts w:ascii="Palatino Linotype" w:hAnsi="Palatino Linotype" w:cs="Arial"/>
              <w:bCs/>
              <w:sz w:val="24"/>
              <w:lang w:eastAsia="es-MX"/>
            </w:rPr>
            <w:t>0</w:t>
          </w:r>
          <w:r w:rsidR="007C092F">
            <w:rPr>
              <w:rFonts w:ascii="Palatino Linotype" w:hAnsi="Palatino Linotype" w:cs="Arial"/>
              <w:bCs/>
              <w:sz w:val="24"/>
              <w:lang w:eastAsia="es-MX"/>
            </w:rPr>
            <w:t>6</w:t>
          </w:r>
          <w:r w:rsidR="00002251">
            <w:rPr>
              <w:rFonts w:ascii="Palatino Linotype" w:hAnsi="Palatino Linotype" w:cs="Arial"/>
              <w:bCs/>
              <w:sz w:val="24"/>
              <w:lang w:eastAsia="es-MX"/>
            </w:rPr>
            <w:t>920</w:t>
          </w:r>
          <w:r>
            <w:rPr>
              <w:rFonts w:ascii="Palatino Linotype" w:hAnsi="Palatino Linotype" w:cs="Arial"/>
              <w:bCs/>
              <w:sz w:val="24"/>
              <w:lang w:eastAsia="es-MX"/>
            </w:rPr>
            <w:t>/INFOEM/IP/RR/2019</w:t>
          </w:r>
        </w:p>
      </w:tc>
    </w:tr>
    <w:tr w:rsidR="004842FF" w:rsidTr="008113E8">
      <w:trPr>
        <w:trHeight w:val="242"/>
      </w:trPr>
      <w:tc>
        <w:tcPr>
          <w:tcW w:w="6947" w:type="dxa"/>
          <w:vAlign w:val="center"/>
          <w:hideMark/>
        </w:tcPr>
        <w:p w:rsidR="004842FF" w:rsidRDefault="00DA2845" w:rsidP="00044747">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543" w:type="dxa"/>
          <w:hideMark/>
        </w:tcPr>
        <w:p w:rsidR="004842FF" w:rsidRPr="00002251" w:rsidRDefault="00002251" w:rsidP="007C092F">
          <w:pPr>
            <w:spacing w:after="120" w:line="256" w:lineRule="auto"/>
            <w:ind w:left="-486" w:right="214" w:firstLine="486"/>
            <w:jc w:val="right"/>
            <w:rPr>
              <w:rFonts w:ascii="Palatino Linotype" w:hAnsi="Palatino Linotype" w:cs="Arial"/>
            </w:rPr>
          </w:pPr>
          <w:r w:rsidRPr="00002251">
            <w:rPr>
              <w:rFonts w:ascii="Palatino Linotype" w:hAnsi="Palatino Linotype" w:cs="Arial"/>
            </w:rPr>
            <w:t>Sistema de Transporte Masivo y Teleférico del Estado de México</w:t>
          </w:r>
        </w:p>
      </w:tc>
    </w:tr>
    <w:tr w:rsidR="004842FF" w:rsidTr="00044747">
      <w:trPr>
        <w:trHeight w:val="342"/>
      </w:trPr>
      <w:tc>
        <w:tcPr>
          <w:tcW w:w="6947" w:type="dxa"/>
        </w:tcPr>
        <w:p w:rsidR="004842FF" w:rsidRDefault="00DA2845" w:rsidP="00044747">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Recurrente:</w:t>
          </w:r>
        </w:p>
      </w:tc>
      <w:tc>
        <w:tcPr>
          <w:tcW w:w="3543" w:type="dxa"/>
        </w:tcPr>
        <w:p w:rsidR="004842FF" w:rsidRPr="003D23D7" w:rsidRDefault="00053596" w:rsidP="000561F4">
          <w:pPr>
            <w:spacing w:after="120" w:line="256" w:lineRule="auto"/>
            <w:ind w:left="-486" w:right="214" w:firstLine="486"/>
            <w:jc w:val="right"/>
            <w:rPr>
              <w:rFonts w:ascii="Palatino Linotype" w:hAnsi="Palatino Linotype" w:cs="Arial"/>
            </w:rPr>
          </w:pPr>
          <w:r>
            <w:rPr>
              <w:rFonts w:ascii="Palatino Linotype" w:hAnsi="Palatino Linotype" w:cs="Arial"/>
            </w:rPr>
            <w:t>xxxxxxxxxxxxxxxxxxxxxxxx</w:t>
          </w:r>
        </w:p>
      </w:tc>
    </w:tr>
    <w:tr w:rsidR="004842FF" w:rsidTr="00044747">
      <w:trPr>
        <w:trHeight w:val="342"/>
      </w:trPr>
      <w:tc>
        <w:tcPr>
          <w:tcW w:w="6947" w:type="dxa"/>
        </w:tcPr>
        <w:p w:rsidR="004842FF" w:rsidRDefault="00DA2845" w:rsidP="00044747">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543" w:type="dxa"/>
        </w:tcPr>
        <w:p w:rsidR="004842FF" w:rsidRDefault="00DA2845" w:rsidP="00044747">
          <w:pPr>
            <w:spacing w:after="120" w:line="256" w:lineRule="auto"/>
            <w:ind w:left="-486" w:right="214" w:firstLine="486"/>
            <w:jc w:val="right"/>
            <w:rPr>
              <w:rFonts w:ascii="Palatino Linotype" w:hAnsi="Palatino Linotype" w:cs="Arial"/>
              <w:szCs w:val="20"/>
            </w:rPr>
          </w:pPr>
          <w:r>
            <w:rPr>
              <w:rFonts w:ascii="Palatino Linotype" w:hAnsi="Palatino Linotype" w:cs="Arial"/>
              <w:szCs w:val="20"/>
            </w:rPr>
            <w:t>Zulema Martínez Sánchez</w:t>
          </w:r>
        </w:p>
      </w:tc>
    </w:tr>
  </w:tbl>
  <w:p w:rsidR="004842FF" w:rsidRDefault="005754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45A7"/>
    <w:multiLevelType w:val="hybridMultilevel"/>
    <w:tmpl w:val="403C8ACA"/>
    <w:lvl w:ilvl="0" w:tplc="38187C3A">
      <w:start w:val="1"/>
      <w:numFmt w:val="lowerLetter"/>
      <w:lvlText w:val="%1."/>
      <w:lvlJc w:val="left"/>
      <w:pPr>
        <w:ind w:left="1440" w:hanging="360"/>
      </w:pPr>
      <w:rPr>
        <w:rFonts w:hint="default"/>
        <w:i/>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BEA767F"/>
    <w:multiLevelType w:val="hybridMultilevel"/>
    <w:tmpl w:val="8C6EC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415023"/>
    <w:multiLevelType w:val="hybridMultilevel"/>
    <w:tmpl w:val="D400BB0A"/>
    <w:lvl w:ilvl="0" w:tplc="78DE4DF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C"/>
    <w:rsid w:val="00002251"/>
    <w:rsid w:val="00004211"/>
    <w:rsid w:val="00004A1A"/>
    <w:rsid w:val="00004FD9"/>
    <w:rsid w:val="000112B2"/>
    <w:rsid w:val="000379CA"/>
    <w:rsid w:val="00046592"/>
    <w:rsid w:val="000532DA"/>
    <w:rsid w:val="00053596"/>
    <w:rsid w:val="000561F4"/>
    <w:rsid w:val="00064F36"/>
    <w:rsid w:val="00073EB5"/>
    <w:rsid w:val="00077C99"/>
    <w:rsid w:val="00082BAE"/>
    <w:rsid w:val="000A59D7"/>
    <w:rsid w:val="000D4AF2"/>
    <w:rsid w:val="000E1CDD"/>
    <w:rsid w:val="000E31E8"/>
    <w:rsid w:val="000E327E"/>
    <w:rsid w:val="000E6CDE"/>
    <w:rsid w:val="00100FB9"/>
    <w:rsid w:val="00143551"/>
    <w:rsid w:val="00144D35"/>
    <w:rsid w:val="001464F9"/>
    <w:rsid w:val="00154F4F"/>
    <w:rsid w:val="0016162B"/>
    <w:rsid w:val="001647D3"/>
    <w:rsid w:val="00187FA6"/>
    <w:rsid w:val="001A3E01"/>
    <w:rsid w:val="001A487F"/>
    <w:rsid w:val="001A7F5D"/>
    <w:rsid w:val="001C486E"/>
    <w:rsid w:val="001D3E7D"/>
    <w:rsid w:val="001E03CE"/>
    <w:rsid w:val="00214670"/>
    <w:rsid w:val="00216CCE"/>
    <w:rsid w:val="00225915"/>
    <w:rsid w:val="00234599"/>
    <w:rsid w:val="00252670"/>
    <w:rsid w:val="00257204"/>
    <w:rsid w:val="0029403C"/>
    <w:rsid w:val="002E3E3F"/>
    <w:rsid w:val="00300A68"/>
    <w:rsid w:val="003138FF"/>
    <w:rsid w:val="00340F98"/>
    <w:rsid w:val="003549C5"/>
    <w:rsid w:val="0037015F"/>
    <w:rsid w:val="003712D2"/>
    <w:rsid w:val="00385633"/>
    <w:rsid w:val="0038586A"/>
    <w:rsid w:val="0039115D"/>
    <w:rsid w:val="003F3C00"/>
    <w:rsid w:val="0042512C"/>
    <w:rsid w:val="0043037F"/>
    <w:rsid w:val="00433567"/>
    <w:rsid w:val="00434359"/>
    <w:rsid w:val="00443C43"/>
    <w:rsid w:val="00451F5D"/>
    <w:rsid w:val="00491B96"/>
    <w:rsid w:val="004A2B1B"/>
    <w:rsid w:val="004F2BC7"/>
    <w:rsid w:val="00526ADB"/>
    <w:rsid w:val="00532895"/>
    <w:rsid w:val="0053338A"/>
    <w:rsid w:val="005345B3"/>
    <w:rsid w:val="00534C2A"/>
    <w:rsid w:val="00536B3F"/>
    <w:rsid w:val="005411E0"/>
    <w:rsid w:val="00575421"/>
    <w:rsid w:val="005A63A0"/>
    <w:rsid w:val="005B5C28"/>
    <w:rsid w:val="005B7B2A"/>
    <w:rsid w:val="005C45E7"/>
    <w:rsid w:val="005D781A"/>
    <w:rsid w:val="005F56E4"/>
    <w:rsid w:val="00614B42"/>
    <w:rsid w:val="00617AB9"/>
    <w:rsid w:val="00620984"/>
    <w:rsid w:val="00623558"/>
    <w:rsid w:val="00631459"/>
    <w:rsid w:val="00650800"/>
    <w:rsid w:val="0065243F"/>
    <w:rsid w:val="0067359C"/>
    <w:rsid w:val="00675993"/>
    <w:rsid w:val="006916C7"/>
    <w:rsid w:val="006A78AC"/>
    <w:rsid w:val="006A7C2D"/>
    <w:rsid w:val="006B0E94"/>
    <w:rsid w:val="006B62BF"/>
    <w:rsid w:val="006B63B1"/>
    <w:rsid w:val="006D7593"/>
    <w:rsid w:val="00752D14"/>
    <w:rsid w:val="00771F78"/>
    <w:rsid w:val="007813F8"/>
    <w:rsid w:val="007B2C00"/>
    <w:rsid w:val="007C092F"/>
    <w:rsid w:val="007D5176"/>
    <w:rsid w:val="007E247C"/>
    <w:rsid w:val="007E4715"/>
    <w:rsid w:val="007E4CCA"/>
    <w:rsid w:val="007F6B42"/>
    <w:rsid w:val="008041C1"/>
    <w:rsid w:val="008113E8"/>
    <w:rsid w:val="00812913"/>
    <w:rsid w:val="00822864"/>
    <w:rsid w:val="00825761"/>
    <w:rsid w:val="00830E3E"/>
    <w:rsid w:val="0084578F"/>
    <w:rsid w:val="008528A2"/>
    <w:rsid w:val="00860EDE"/>
    <w:rsid w:val="0086489F"/>
    <w:rsid w:val="00874238"/>
    <w:rsid w:val="00875665"/>
    <w:rsid w:val="008A2582"/>
    <w:rsid w:val="008A3CFC"/>
    <w:rsid w:val="008B0DFA"/>
    <w:rsid w:val="008F532E"/>
    <w:rsid w:val="00903865"/>
    <w:rsid w:val="009157D8"/>
    <w:rsid w:val="00925698"/>
    <w:rsid w:val="009313FE"/>
    <w:rsid w:val="00937D5D"/>
    <w:rsid w:val="00947B70"/>
    <w:rsid w:val="00952D51"/>
    <w:rsid w:val="00961CD8"/>
    <w:rsid w:val="00971912"/>
    <w:rsid w:val="00992B27"/>
    <w:rsid w:val="00994F7A"/>
    <w:rsid w:val="009A2B89"/>
    <w:rsid w:val="009A3B3C"/>
    <w:rsid w:val="009D22D1"/>
    <w:rsid w:val="009E7B5A"/>
    <w:rsid w:val="009F3CEC"/>
    <w:rsid w:val="00A22D58"/>
    <w:rsid w:val="00A2527E"/>
    <w:rsid w:val="00A25E45"/>
    <w:rsid w:val="00A43D30"/>
    <w:rsid w:val="00A64808"/>
    <w:rsid w:val="00A75E8B"/>
    <w:rsid w:val="00A76551"/>
    <w:rsid w:val="00A91471"/>
    <w:rsid w:val="00A94118"/>
    <w:rsid w:val="00AA1EFD"/>
    <w:rsid w:val="00AA34C4"/>
    <w:rsid w:val="00AD1C73"/>
    <w:rsid w:val="00AE3708"/>
    <w:rsid w:val="00AF56E6"/>
    <w:rsid w:val="00B34EDE"/>
    <w:rsid w:val="00B35275"/>
    <w:rsid w:val="00B426E3"/>
    <w:rsid w:val="00B42B2F"/>
    <w:rsid w:val="00B51EBE"/>
    <w:rsid w:val="00B60DE2"/>
    <w:rsid w:val="00B700C4"/>
    <w:rsid w:val="00B77281"/>
    <w:rsid w:val="00BA5929"/>
    <w:rsid w:val="00BA7FF6"/>
    <w:rsid w:val="00BB2946"/>
    <w:rsid w:val="00BC1017"/>
    <w:rsid w:val="00BD5A7A"/>
    <w:rsid w:val="00BE1A08"/>
    <w:rsid w:val="00BE42C2"/>
    <w:rsid w:val="00BE7124"/>
    <w:rsid w:val="00BF1476"/>
    <w:rsid w:val="00C033D6"/>
    <w:rsid w:val="00C31FB5"/>
    <w:rsid w:val="00C33547"/>
    <w:rsid w:val="00C3617C"/>
    <w:rsid w:val="00C36E50"/>
    <w:rsid w:val="00C37936"/>
    <w:rsid w:val="00C47D87"/>
    <w:rsid w:val="00C51E57"/>
    <w:rsid w:val="00C52404"/>
    <w:rsid w:val="00C64F28"/>
    <w:rsid w:val="00CC2CA5"/>
    <w:rsid w:val="00CC4A5D"/>
    <w:rsid w:val="00CD450F"/>
    <w:rsid w:val="00CE1D10"/>
    <w:rsid w:val="00CE3752"/>
    <w:rsid w:val="00CE6940"/>
    <w:rsid w:val="00CE74E2"/>
    <w:rsid w:val="00D20308"/>
    <w:rsid w:val="00D23F59"/>
    <w:rsid w:val="00D57606"/>
    <w:rsid w:val="00D85090"/>
    <w:rsid w:val="00DA2845"/>
    <w:rsid w:val="00DB673C"/>
    <w:rsid w:val="00DC322A"/>
    <w:rsid w:val="00DC7D89"/>
    <w:rsid w:val="00DD0B83"/>
    <w:rsid w:val="00DD61C4"/>
    <w:rsid w:val="00DD71C9"/>
    <w:rsid w:val="00DF4503"/>
    <w:rsid w:val="00E0559B"/>
    <w:rsid w:val="00E0735F"/>
    <w:rsid w:val="00E10555"/>
    <w:rsid w:val="00E60DDF"/>
    <w:rsid w:val="00E6268E"/>
    <w:rsid w:val="00E812EF"/>
    <w:rsid w:val="00E85A63"/>
    <w:rsid w:val="00E85FE1"/>
    <w:rsid w:val="00EA25E6"/>
    <w:rsid w:val="00EA53DB"/>
    <w:rsid w:val="00EB44C3"/>
    <w:rsid w:val="00EC27C6"/>
    <w:rsid w:val="00EC543F"/>
    <w:rsid w:val="00EE1D86"/>
    <w:rsid w:val="00EE396B"/>
    <w:rsid w:val="00F207BC"/>
    <w:rsid w:val="00F24371"/>
    <w:rsid w:val="00F4017F"/>
    <w:rsid w:val="00F40AB7"/>
    <w:rsid w:val="00F739A0"/>
    <w:rsid w:val="00F8582E"/>
    <w:rsid w:val="00F913A9"/>
    <w:rsid w:val="00F971F7"/>
    <w:rsid w:val="00FA08FC"/>
    <w:rsid w:val="00FA26C9"/>
    <w:rsid w:val="00FD1403"/>
    <w:rsid w:val="00FD3D80"/>
    <w:rsid w:val="00FE2D6D"/>
    <w:rsid w:val="00FE35AD"/>
    <w:rsid w:val="00FF0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7796-CBD2-487A-880E-F43E80E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0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0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0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08F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A08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A08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A0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08FC"/>
    <w:rPr>
      <w:color w:val="0563C1" w:themeColor="hyperlink"/>
      <w:u w:val="single"/>
    </w:rPr>
  </w:style>
  <w:style w:type="character" w:styleId="Refdecomentario">
    <w:name w:val="annotation reference"/>
    <w:basedOn w:val="Fuentedeprrafopredeter"/>
    <w:uiPriority w:val="99"/>
    <w:semiHidden/>
    <w:unhideWhenUsed/>
    <w:rsid w:val="00FA08FC"/>
    <w:rPr>
      <w:sz w:val="16"/>
      <w:szCs w:val="16"/>
    </w:rPr>
  </w:style>
  <w:style w:type="paragraph" w:styleId="Textocomentario">
    <w:name w:val="annotation text"/>
    <w:basedOn w:val="Normal"/>
    <w:link w:val="TextocomentarioCar"/>
    <w:uiPriority w:val="99"/>
    <w:semiHidden/>
    <w:unhideWhenUsed/>
    <w:rsid w:val="00FA08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08FC"/>
    <w:rPr>
      <w:sz w:val="20"/>
      <w:szCs w:val="20"/>
    </w:rPr>
  </w:style>
  <w:style w:type="paragraph" w:styleId="Textodeglobo">
    <w:name w:val="Balloon Text"/>
    <w:basedOn w:val="Normal"/>
    <w:link w:val="TextodegloboCar"/>
    <w:uiPriority w:val="99"/>
    <w:semiHidden/>
    <w:unhideWhenUsed/>
    <w:rsid w:val="00FA08F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A08F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4372">
      <w:bodyDiv w:val="1"/>
      <w:marLeft w:val="0"/>
      <w:marRight w:val="0"/>
      <w:marTop w:val="0"/>
      <w:marBottom w:val="0"/>
      <w:divBdr>
        <w:top w:val="none" w:sz="0" w:space="0" w:color="auto"/>
        <w:left w:val="none" w:sz="0" w:space="0" w:color="auto"/>
        <w:bottom w:val="none" w:sz="0" w:space="0" w:color="auto"/>
        <w:right w:val="none" w:sz="0" w:space="0" w:color="auto"/>
      </w:divBdr>
    </w:div>
    <w:div w:id="218053361">
      <w:bodyDiv w:val="1"/>
      <w:marLeft w:val="0"/>
      <w:marRight w:val="0"/>
      <w:marTop w:val="0"/>
      <w:marBottom w:val="0"/>
      <w:divBdr>
        <w:top w:val="none" w:sz="0" w:space="0" w:color="auto"/>
        <w:left w:val="none" w:sz="0" w:space="0" w:color="auto"/>
        <w:bottom w:val="none" w:sz="0" w:space="0" w:color="auto"/>
        <w:right w:val="none" w:sz="0" w:space="0" w:color="auto"/>
      </w:divBdr>
    </w:div>
    <w:div w:id="405614612">
      <w:bodyDiv w:val="1"/>
      <w:marLeft w:val="0"/>
      <w:marRight w:val="0"/>
      <w:marTop w:val="0"/>
      <w:marBottom w:val="0"/>
      <w:divBdr>
        <w:top w:val="none" w:sz="0" w:space="0" w:color="auto"/>
        <w:left w:val="none" w:sz="0" w:space="0" w:color="auto"/>
        <w:bottom w:val="none" w:sz="0" w:space="0" w:color="auto"/>
        <w:right w:val="none" w:sz="0" w:space="0" w:color="auto"/>
      </w:divBdr>
    </w:div>
    <w:div w:id="480317785">
      <w:bodyDiv w:val="1"/>
      <w:marLeft w:val="0"/>
      <w:marRight w:val="0"/>
      <w:marTop w:val="0"/>
      <w:marBottom w:val="0"/>
      <w:divBdr>
        <w:top w:val="none" w:sz="0" w:space="0" w:color="auto"/>
        <w:left w:val="none" w:sz="0" w:space="0" w:color="auto"/>
        <w:bottom w:val="none" w:sz="0" w:space="0" w:color="auto"/>
        <w:right w:val="none" w:sz="0" w:space="0" w:color="auto"/>
      </w:divBdr>
    </w:div>
    <w:div w:id="1779182163">
      <w:bodyDiv w:val="1"/>
      <w:marLeft w:val="0"/>
      <w:marRight w:val="0"/>
      <w:marTop w:val="0"/>
      <w:marBottom w:val="0"/>
      <w:divBdr>
        <w:top w:val="none" w:sz="0" w:space="0" w:color="auto"/>
        <w:left w:val="none" w:sz="0" w:space="0" w:color="auto"/>
        <w:bottom w:val="none" w:sz="0" w:space="0" w:color="auto"/>
        <w:right w:val="none" w:sz="0" w:space="0" w:color="auto"/>
      </w:divBdr>
    </w:div>
    <w:div w:id="1970043391">
      <w:bodyDiv w:val="1"/>
      <w:marLeft w:val="0"/>
      <w:marRight w:val="0"/>
      <w:marTop w:val="0"/>
      <w:marBottom w:val="0"/>
      <w:divBdr>
        <w:top w:val="none" w:sz="0" w:space="0" w:color="auto"/>
        <w:left w:val="none" w:sz="0" w:space="0" w:color="auto"/>
        <w:bottom w:val="none" w:sz="0" w:space="0" w:color="auto"/>
        <w:right w:val="none" w:sz="0" w:space="0" w:color="auto"/>
      </w:divBdr>
    </w:div>
    <w:div w:id="20769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798B-512F-4E99-BDD8-D9CBB6DC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6921</Words>
  <Characters>38069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2019-09-05T16:16:00Z</cp:lastPrinted>
  <dcterms:created xsi:type="dcterms:W3CDTF">2019-11-14T19:25:00Z</dcterms:created>
  <dcterms:modified xsi:type="dcterms:W3CDTF">2019-11-14T19:25:00Z</dcterms:modified>
</cp:coreProperties>
</file>