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32321A">
        <w:rPr>
          <w:rFonts w:ascii="Palatino Linotype" w:eastAsia="Times New Roman" w:hAnsi="Palatino Linotype" w:cs="Arial"/>
          <w:color w:val="000000"/>
          <w:sz w:val="24"/>
          <w:szCs w:val="24"/>
          <w:lang w:eastAsia="es-MX"/>
        </w:rPr>
        <w:t>cuatro de julio</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9A6D1C">
        <w:rPr>
          <w:rFonts w:ascii="Palatino Linotype" w:hAnsi="Palatino Linotype" w:cs="Arial"/>
          <w:b/>
          <w:bCs/>
          <w:sz w:val="24"/>
          <w:lang w:eastAsia="es-MX"/>
        </w:rPr>
        <w:t>3035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BC5E09">
        <w:rPr>
          <w:rFonts w:ascii="Palatino Linotype" w:hAnsi="Palatino Linotype" w:cs="Arial"/>
          <w:sz w:val="24"/>
        </w:rPr>
        <w:t xml:space="preserve">el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C537F2" w:rsidRPr="00C537F2">
        <w:rPr>
          <w:rFonts w:ascii="Palatino Linotype" w:hAnsi="Palatino Linotype" w:cs="Arial"/>
          <w:b/>
          <w:bCs/>
          <w:color w:val="333333"/>
          <w:sz w:val="24"/>
          <w:szCs w:val="15"/>
        </w:rPr>
        <w:t>XXXXXXXXXXXXXXX</w:t>
      </w:r>
      <w:r w:rsidR="009A6D1C" w:rsidRPr="009A6D1C">
        <w:rPr>
          <w:rFonts w:ascii="Palatino Linotype" w:hAnsi="Palatino Linotype" w:cs="Arial"/>
          <w:b/>
          <w:bCs/>
          <w:color w:val="333333"/>
          <w:sz w:val="24"/>
          <w:szCs w:val="15"/>
        </w:rPr>
        <w:tab/>
      </w:r>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9A6D1C" w:rsidRPr="009A6D1C">
        <w:rPr>
          <w:rFonts w:ascii="Palatino Linotype" w:hAnsi="Palatino Linotype" w:cs="Arial"/>
          <w:b/>
          <w:sz w:val="24"/>
          <w:szCs w:val="24"/>
        </w:rPr>
        <w:t>Ayuntamiento de Morelos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9A6D1C">
        <w:rPr>
          <w:rFonts w:ascii="Palatino Linotype" w:hAnsi="Palatino Linotype" w:cs="Arial"/>
          <w:sz w:val="24"/>
        </w:rPr>
        <w:t>diecinueve de marzo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9A6D1C" w:rsidRPr="009A6D1C">
        <w:rPr>
          <w:rFonts w:ascii="Palatino Linotype" w:hAnsi="Palatino Linotype" w:cs="Arial"/>
          <w:b/>
          <w:sz w:val="24"/>
        </w:rPr>
        <w:t>00027/MORELOS/IP/2019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9A6D1C" w:rsidRPr="009A6D1C">
        <w:rPr>
          <w:rFonts w:ascii="Palatino Linotype" w:hAnsi="Palatino Linotype"/>
          <w:i/>
          <w:color w:val="000000"/>
        </w:rPr>
        <w:t xml:space="preserve">solicito los recibos de </w:t>
      </w:r>
      <w:proofErr w:type="spellStart"/>
      <w:r w:rsidR="009A6D1C" w:rsidRPr="009A6D1C">
        <w:rPr>
          <w:rFonts w:ascii="Palatino Linotype" w:hAnsi="Palatino Linotype"/>
          <w:i/>
          <w:color w:val="000000"/>
        </w:rPr>
        <w:t>nomina</w:t>
      </w:r>
      <w:proofErr w:type="spellEnd"/>
      <w:r w:rsidR="009A6D1C" w:rsidRPr="009A6D1C">
        <w:rPr>
          <w:rFonts w:ascii="Palatino Linotype" w:hAnsi="Palatino Linotype"/>
          <w:i/>
          <w:color w:val="000000"/>
        </w:rPr>
        <w:t xml:space="preserve"> de la 1ra quincena de enero a la 1er quincena de marzo 2019, tabulador de sueldos y salarios en formato </w:t>
      </w:r>
      <w:proofErr w:type="spellStart"/>
      <w:r w:rsidR="009A6D1C" w:rsidRPr="009A6D1C">
        <w:rPr>
          <w:rFonts w:ascii="Palatino Linotype" w:hAnsi="Palatino Linotype"/>
          <w:i/>
          <w:color w:val="000000"/>
        </w:rPr>
        <w:t>pdf</w:t>
      </w:r>
      <w:proofErr w:type="spellEnd"/>
      <w:r w:rsidR="009A6D1C" w:rsidRPr="009A6D1C">
        <w:rPr>
          <w:rFonts w:ascii="Palatino Linotype" w:hAnsi="Palatino Linotype"/>
          <w:i/>
          <w:color w:val="000000"/>
        </w:rPr>
        <w:t xml:space="preserve"> abierto</w:t>
      </w:r>
      <w:r w:rsidR="009A6D1C">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 xml:space="preserve">fue omiso en dar respuesta a la solicitud </w:t>
      </w:r>
      <w:bookmarkStart w:id="0" w:name="_GoBack"/>
      <w:bookmarkEnd w:id="0"/>
      <w:r w:rsidR="00BA65E0">
        <w:rPr>
          <w:rFonts w:ascii="Palatino Linotype" w:hAnsi="Palatino Linotype" w:cs="Arial"/>
          <w:sz w:val="24"/>
        </w:rPr>
        <w:t>de información dentro del plazo establecido en la Ley de la materia.</w:t>
      </w:r>
    </w:p>
    <w:p w:rsidR="00F84AE2" w:rsidRDefault="00F84AE2" w:rsidP="002B7CD8">
      <w:pPr>
        <w:spacing w:before="240" w:line="360" w:lineRule="auto"/>
        <w:jc w:val="both"/>
        <w:rPr>
          <w:rFonts w:ascii="Palatino Linotype" w:hAnsi="Palatino Linotype" w:cs="Arial"/>
          <w:sz w:val="24"/>
        </w:rPr>
      </w:pP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9A6D1C">
        <w:rPr>
          <w:rFonts w:ascii="Palatino Linotype" w:hAnsi="Palatino Linotype" w:cs="Arial"/>
          <w:sz w:val="24"/>
          <w:szCs w:val="24"/>
        </w:rPr>
        <w:t>veinticuatro de abril</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9A6D1C">
        <w:rPr>
          <w:rFonts w:ascii="Palatino Linotype" w:hAnsi="Palatino Linotype" w:cs="Arial"/>
          <w:b/>
          <w:bCs/>
          <w:sz w:val="24"/>
          <w:szCs w:val="24"/>
          <w:lang w:eastAsia="es-MX"/>
        </w:rPr>
        <w:t>3035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9A6D1C" w:rsidRPr="009A6D1C">
        <w:rPr>
          <w:rFonts w:ascii="Palatino Linotype" w:hAnsi="Palatino Linotype"/>
          <w:i/>
          <w:color w:val="000000"/>
        </w:rPr>
        <w:t xml:space="preserve">solicito los recibos de </w:t>
      </w:r>
      <w:proofErr w:type="spellStart"/>
      <w:r w:rsidR="009A6D1C" w:rsidRPr="009A6D1C">
        <w:rPr>
          <w:rFonts w:ascii="Palatino Linotype" w:hAnsi="Palatino Linotype"/>
          <w:i/>
          <w:color w:val="000000"/>
        </w:rPr>
        <w:t>nomina</w:t>
      </w:r>
      <w:proofErr w:type="spellEnd"/>
      <w:r w:rsidR="009A6D1C" w:rsidRPr="009A6D1C">
        <w:rPr>
          <w:rFonts w:ascii="Palatino Linotype" w:hAnsi="Palatino Linotype"/>
          <w:i/>
          <w:color w:val="000000"/>
        </w:rPr>
        <w:t xml:space="preserve"> de la 1ra quincena de enero a la 1er quincena de marzo 2019, tabulador de sueldos y salarios en formato </w:t>
      </w:r>
      <w:proofErr w:type="spellStart"/>
      <w:r w:rsidR="009A6D1C" w:rsidRPr="009A6D1C">
        <w:rPr>
          <w:rFonts w:ascii="Palatino Linotype" w:hAnsi="Palatino Linotype"/>
          <w:i/>
          <w:color w:val="000000"/>
        </w:rPr>
        <w:t>pdf</w:t>
      </w:r>
      <w:proofErr w:type="spellEnd"/>
      <w:r w:rsidR="009A6D1C" w:rsidRPr="009A6D1C">
        <w:rPr>
          <w:rFonts w:ascii="Palatino Linotype" w:hAnsi="Palatino Linotype"/>
          <w:i/>
          <w:color w:val="000000"/>
        </w:rPr>
        <w:t xml:space="preserve"> abierto</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9A6D1C" w:rsidRPr="009A6D1C">
        <w:rPr>
          <w:rFonts w:ascii="Palatino Linotype" w:hAnsi="Palatino Linotype" w:cs="Arial"/>
          <w:i/>
        </w:rPr>
        <w:t xml:space="preserve">ya paso la fecha </w:t>
      </w:r>
      <w:proofErr w:type="spellStart"/>
      <w:r w:rsidR="009A6D1C" w:rsidRPr="009A6D1C">
        <w:rPr>
          <w:rFonts w:ascii="Palatino Linotype" w:hAnsi="Palatino Linotype" w:cs="Arial"/>
          <w:i/>
        </w:rPr>
        <w:t>limite</w:t>
      </w:r>
      <w:proofErr w:type="spellEnd"/>
      <w:r w:rsidR="009A6D1C" w:rsidRPr="009A6D1C">
        <w:rPr>
          <w:rFonts w:ascii="Palatino Linotype" w:hAnsi="Palatino Linotype" w:cs="Arial"/>
          <w:i/>
        </w:rPr>
        <w:t xml:space="preserve"> y no han entregado la información solicitada</w:t>
      </w:r>
      <w:r w:rsidR="00BA65E0" w:rsidRPr="00BA65E0">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BA65E0">
        <w:rPr>
          <w:rFonts w:ascii="Palatino Linotype" w:hAnsi="Palatino Linotype" w:cs="Arial"/>
          <w:sz w:val="24"/>
          <w:szCs w:val="24"/>
        </w:rPr>
        <w:t>veintiuno de marzo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9A6D1C" w:rsidRDefault="009A6D1C"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A6D1C"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el recurrente en fecha trece de mayo de los corrientes presento sus alegatos aludiendo que no entregaron respuesta y anexando una captura de pantalla.</w:t>
      </w:r>
    </w:p>
    <w:p w:rsidR="00E15E85" w:rsidRDefault="009A6D1C"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pues,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en fecha </w:t>
      </w:r>
      <w:r>
        <w:rPr>
          <w:rFonts w:ascii="Palatino Linotype" w:hAnsi="Palatino Linotype" w:cs="Arial"/>
          <w:sz w:val="24"/>
          <w:szCs w:val="24"/>
        </w:rPr>
        <w:t>catorce de mayo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 xml:space="preserve">trece de </w:t>
      </w:r>
      <w:r w:rsidR="009A6D1C">
        <w:rPr>
          <w:rFonts w:ascii="Palatino Linotype" w:hAnsi="Palatino Linotype" w:cs="Arial"/>
          <w:sz w:val="24"/>
          <w:szCs w:val="24"/>
        </w:rPr>
        <w:t>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Pr="009572B3"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w:t>
      </w:r>
      <w:r>
        <w:rPr>
          <w:rFonts w:ascii="Palatino Linotype" w:hAnsi="Palatino Linotype"/>
          <w:sz w:val="24"/>
          <w:szCs w:val="24"/>
        </w:rPr>
        <w:lastRenderedPageBreak/>
        <w:t xml:space="preserve">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w:t>
      </w:r>
      <w:r>
        <w:rPr>
          <w:rFonts w:ascii="Palatino Linotype" w:hAnsi="Palatino Linotype"/>
          <w:sz w:val="24"/>
          <w:szCs w:val="24"/>
        </w:rPr>
        <w:lastRenderedPageBreak/>
        <w:t>previstos para tal efecto, la presentación del recurso de revisión podrá ser presentado en cualquier momento y que a la letra reza: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w:t>
      </w:r>
      <w:r w:rsidRPr="00A147CA">
        <w:rPr>
          <w:rFonts w:ascii="Palatino Linotype" w:hAnsi="Palatino Linotype" w:cs="Arial"/>
          <w:i/>
          <w:iCs/>
        </w:rPr>
        <w:lastRenderedPageBreak/>
        <w:t>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B0008F" w:rsidRDefault="00B0008F" w:rsidP="00B04652">
      <w:pPr>
        <w:tabs>
          <w:tab w:val="left" w:pos="709"/>
        </w:tabs>
        <w:spacing w:before="240" w:line="360" w:lineRule="auto"/>
        <w:ind w:right="51"/>
        <w:jc w:val="both"/>
        <w:rPr>
          <w:rFonts w:ascii="Palatino Linotype" w:hAnsi="Palatino Linotype" w:cs="Arial"/>
          <w:sz w:val="24"/>
          <w:szCs w:val="24"/>
        </w:rPr>
      </w:pP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 </w:t>
      </w:r>
      <w:r w:rsidR="00BA65E0">
        <w:rPr>
          <w:rFonts w:ascii="Palatino Linotype" w:hAnsi="Palatino Linotype" w:cs="Arial"/>
          <w:i/>
          <w:sz w:val="24"/>
          <w:szCs w:val="24"/>
        </w:rPr>
        <w:t>la falta de respuesta a la solicitud de información.</w:t>
      </w:r>
    </w:p>
    <w:p w:rsidR="001F295E" w:rsidRDefault="00BA65E0" w:rsidP="001F295E">
      <w:pPr>
        <w:spacing w:before="240" w:after="240" w:line="360" w:lineRule="auto"/>
        <w:jc w:val="both"/>
        <w:rPr>
          <w:rFonts w:ascii="Palatino Linotype" w:hAnsi="Palatino Linotype" w:cs="Arial"/>
          <w:sz w:val="24"/>
          <w:szCs w:val="24"/>
        </w:rPr>
      </w:pPr>
      <w:r w:rsidRPr="00BC5E09">
        <w:rPr>
          <w:rFonts w:ascii="Palatino Linotype" w:hAnsi="Palatino Linotype" w:cs="Arial"/>
          <w:sz w:val="24"/>
          <w:szCs w:val="24"/>
        </w:rPr>
        <w:t>Por tanto, el hoy recurrente</w:t>
      </w:r>
      <w:r w:rsidR="001F295E">
        <w:rPr>
          <w:rFonts w:ascii="Palatino Linotype" w:hAnsi="Palatino Linotype" w:cs="Arial"/>
          <w:sz w:val="24"/>
          <w:szCs w:val="24"/>
        </w:rPr>
        <w:t xml:space="preserve"> tuvo a bien solicitar información en el tenor siguiente:</w:t>
      </w:r>
    </w:p>
    <w:p w:rsidR="00BA65E0" w:rsidRPr="001F295E" w:rsidRDefault="008E1581" w:rsidP="001F295E">
      <w:pPr>
        <w:pStyle w:val="Prrafodelista"/>
        <w:numPr>
          <w:ilvl w:val="0"/>
          <w:numId w:val="21"/>
        </w:numPr>
        <w:spacing w:before="240" w:after="240" w:line="360" w:lineRule="auto"/>
        <w:jc w:val="both"/>
        <w:rPr>
          <w:rFonts w:ascii="Palatino Linotype" w:hAnsi="Palatino Linotype" w:cs="Arial"/>
          <w:szCs w:val="20"/>
        </w:rPr>
      </w:pPr>
      <w:r>
        <w:rPr>
          <w:rFonts w:ascii="Palatino Linotype" w:hAnsi="Palatino Linotype" w:cs="Arial"/>
        </w:rPr>
        <w:t>Recibos de n</w:t>
      </w:r>
      <w:r w:rsidR="00EE28A5">
        <w:rPr>
          <w:rFonts w:ascii="Palatino Linotype" w:hAnsi="Palatino Linotype" w:cs="Arial"/>
        </w:rPr>
        <w:t>ó</w:t>
      </w:r>
      <w:r w:rsidR="00EE28A5" w:rsidRPr="001F295E">
        <w:rPr>
          <w:rFonts w:ascii="Palatino Linotype" w:hAnsi="Palatino Linotype" w:cs="Arial"/>
        </w:rPr>
        <w:t>mina</w:t>
      </w:r>
      <w:r w:rsidR="001F295E" w:rsidRPr="001F295E">
        <w:rPr>
          <w:rFonts w:ascii="Palatino Linotype" w:hAnsi="Palatino Linotype" w:cs="Arial"/>
        </w:rPr>
        <w:t xml:space="preserve"> de la primera quincena de enero a la primera de marzo de 2019</w:t>
      </w:r>
      <w:r w:rsidR="001F295E">
        <w:rPr>
          <w:rFonts w:ascii="Palatino Linotype" w:hAnsi="Palatino Linotype" w:cs="Arial"/>
        </w:rPr>
        <w:t>.</w:t>
      </w:r>
    </w:p>
    <w:p w:rsidR="001F295E" w:rsidRPr="001F295E" w:rsidRDefault="001F295E" w:rsidP="001F295E">
      <w:pPr>
        <w:pStyle w:val="Prrafodelista"/>
        <w:numPr>
          <w:ilvl w:val="0"/>
          <w:numId w:val="21"/>
        </w:numPr>
        <w:spacing w:before="240" w:after="240" w:line="360" w:lineRule="auto"/>
        <w:jc w:val="both"/>
        <w:rPr>
          <w:rFonts w:ascii="Palatino Linotype" w:hAnsi="Palatino Linotype" w:cs="Arial"/>
          <w:szCs w:val="20"/>
        </w:rPr>
      </w:pPr>
      <w:r>
        <w:rPr>
          <w:rFonts w:ascii="Palatino Linotype" w:hAnsi="Palatino Linotype" w:cs="Arial"/>
        </w:rPr>
        <w:t xml:space="preserve">Tabulador de sueldos y salarios en formato </w:t>
      </w:r>
      <w:proofErr w:type="spellStart"/>
      <w:r>
        <w:rPr>
          <w:rFonts w:ascii="Palatino Linotype" w:hAnsi="Palatino Linotype" w:cs="Arial"/>
        </w:rPr>
        <w:t>pdf</w:t>
      </w:r>
      <w:proofErr w:type="spellEnd"/>
      <w:r>
        <w:rPr>
          <w:rFonts w:ascii="Palatino Linotype" w:hAnsi="Palatino Linotype" w:cs="Arial"/>
        </w:rPr>
        <w:t xml:space="preserve"> abierto.</w:t>
      </w:r>
    </w:p>
    <w:p w:rsidR="00EE28A5" w:rsidRPr="0052294F" w:rsidRDefault="00EE28A5" w:rsidP="00EE28A5">
      <w:pPr>
        <w:spacing w:line="360" w:lineRule="auto"/>
        <w:jc w:val="both"/>
        <w:rPr>
          <w:rFonts w:ascii="Palatino Linotype" w:hAnsi="Palatino Linotype" w:cs="Arial"/>
          <w:color w:val="000000" w:themeColor="text1"/>
          <w:sz w:val="24"/>
          <w:szCs w:val="24"/>
        </w:rPr>
      </w:pPr>
      <w:r>
        <w:rPr>
          <w:rFonts w:ascii="Palatino Linotype" w:hAnsi="Palatino Linotype" w:cs="Arial"/>
          <w:bCs/>
        </w:rPr>
        <w:t xml:space="preserve">Así pues, ante la negativa de la información, es oportuno resaltar que el ciudadano tiene la oportunidad de inconformarse  </w:t>
      </w:r>
      <w:r w:rsidRPr="0052294F">
        <w:rPr>
          <w:rFonts w:ascii="Palatino Linotype" w:hAnsi="Palatino Linotype" w:cs="Arial"/>
          <w:sz w:val="24"/>
          <w:szCs w:val="24"/>
        </w:rPr>
        <w:t xml:space="preserve">en los casos en que estime violentado su derecho; en consecuencia, </w:t>
      </w:r>
      <w:r w:rsidRPr="0052294F">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EE28A5" w:rsidRPr="00A27566" w:rsidRDefault="00EE28A5" w:rsidP="00EE28A5">
      <w:pPr>
        <w:spacing w:after="0" w:line="360" w:lineRule="auto"/>
        <w:jc w:val="both"/>
        <w:rPr>
          <w:rFonts w:ascii="Palatino Linotype" w:hAnsi="Palatino Linotype" w:cs="Arial"/>
          <w:color w:val="000000" w:themeColor="text1"/>
          <w:sz w:val="6"/>
          <w:szCs w:val="24"/>
        </w:rPr>
      </w:pPr>
    </w:p>
    <w:p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 xml:space="preserve">Toda la información generada, obtenida, adquirida, transformada, administrada o en posesión de los sujetos obligados es pública y accesible </w:t>
      </w:r>
      <w:r w:rsidRPr="007B167F">
        <w:rPr>
          <w:rFonts w:ascii="Palatino Linotype" w:hAnsi="Palatino Linotype" w:cs="Arial"/>
          <w:b/>
          <w:i/>
          <w:color w:val="000000" w:themeColor="text1"/>
          <w:u w:val="single"/>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lastRenderedPageBreak/>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rsidR="00EE28A5" w:rsidRPr="00A27566" w:rsidRDefault="00EE28A5" w:rsidP="00EE28A5">
      <w:pPr>
        <w:spacing w:after="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Pr>
          <w:rFonts w:ascii="Palatino Linotype" w:hAnsi="Palatino Linotype" w:cs="Arial"/>
          <w:i/>
          <w:color w:val="000000" w:themeColor="text1"/>
        </w:rPr>
        <w:t>.</w:t>
      </w:r>
    </w:p>
    <w:p w:rsidR="00EE28A5" w:rsidRPr="005C729F" w:rsidRDefault="00EE28A5" w:rsidP="00EE28A5">
      <w:pPr>
        <w:spacing w:after="0" w:line="360" w:lineRule="auto"/>
        <w:ind w:left="851" w:right="851"/>
        <w:jc w:val="both"/>
        <w:rPr>
          <w:rFonts w:ascii="Palatino Linotype" w:hAnsi="Palatino Linotype" w:cs="Arial"/>
          <w:i/>
          <w:color w:val="000000" w:themeColor="text1"/>
        </w:rPr>
      </w:pPr>
    </w:p>
    <w:p w:rsidR="00EE28A5" w:rsidRDefault="00EE28A5" w:rsidP="00EE28A5">
      <w:pPr>
        <w:spacing w:after="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w:t>
      </w:r>
      <w:proofErr w:type="gramStart"/>
      <w:r w:rsidRPr="005C729F">
        <w:rPr>
          <w:rFonts w:ascii="Palatino Linotype" w:hAnsi="Palatino Linotype" w:cs="Arial"/>
          <w:color w:val="000000" w:themeColor="text1"/>
          <w:sz w:val="24"/>
          <w:szCs w:val="24"/>
        </w:rPr>
        <w:t>administren</w:t>
      </w:r>
      <w:proofErr w:type="gramEnd"/>
      <w:r w:rsidRPr="005C729F">
        <w:rPr>
          <w:rFonts w:ascii="Palatino Linotype" w:hAnsi="Palatino Linotype" w:cs="Arial"/>
          <w:color w:val="000000" w:themeColor="text1"/>
          <w:sz w:val="24"/>
          <w:szCs w:val="24"/>
        </w:rPr>
        <w:t xml:space="preserve">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lastRenderedPageBreak/>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EE28A5" w:rsidRDefault="00EE28A5" w:rsidP="00470C7E">
      <w:pPr>
        <w:pStyle w:val="Prrafodelista"/>
        <w:spacing w:line="360" w:lineRule="auto"/>
        <w:ind w:left="0"/>
        <w:jc w:val="both"/>
        <w:rPr>
          <w:rFonts w:ascii="Palatino Linotype" w:hAnsi="Palatino Linotype" w:cs="Arial"/>
          <w:bCs/>
        </w:rPr>
      </w:pPr>
    </w:p>
    <w:p w:rsidR="00EE28A5" w:rsidRDefault="00EE28A5" w:rsidP="00470C7E">
      <w:pPr>
        <w:pStyle w:val="Prrafodelista"/>
        <w:spacing w:line="360" w:lineRule="auto"/>
        <w:ind w:left="0"/>
        <w:jc w:val="both"/>
        <w:rPr>
          <w:rFonts w:ascii="Palatino Linotype" w:hAnsi="Palatino Linotype" w:cs="Arial"/>
          <w:bCs/>
          <w:i/>
          <w:iCs/>
        </w:rPr>
      </w:pPr>
      <w:r>
        <w:rPr>
          <w:rFonts w:ascii="Palatino Linotype" w:hAnsi="Palatino Linotype" w:cs="Arial"/>
          <w:bCs/>
        </w:rPr>
        <w:t xml:space="preserve">Por lo anterior, este órgano garante considera fundadas las razones o motivos de inconformidad del hoy recurrente respecto a </w:t>
      </w:r>
      <w:r w:rsidR="00BF5825" w:rsidRPr="00BF5825">
        <w:rPr>
          <w:rFonts w:ascii="Palatino Linotype" w:hAnsi="Palatino Linotype" w:cs="Arial"/>
          <w:bCs/>
          <w:i/>
          <w:iCs/>
        </w:rPr>
        <w:t xml:space="preserve">“ya paso la fecha </w:t>
      </w:r>
      <w:proofErr w:type="spellStart"/>
      <w:r w:rsidR="00BF5825" w:rsidRPr="00BF5825">
        <w:rPr>
          <w:rFonts w:ascii="Palatino Linotype" w:hAnsi="Palatino Linotype" w:cs="Arial"/>
          <w:bCs/>
          <w:i/>
          <w:iCs/>
        </w:rPr>
        <w:t>limite</w:t>
      </w:r>
      <w:proofErr w:type="spellEnd"/>
      <w:r w:rsidR="00BF5825" w:rsidRPr="00BF5825">
        <w:rPr>
          <w:rFonts w:ascii="Palatino Linotype" w:hAnsi="Palatino Linotype" w:cs="Arial"/>
          <w:bCs/>
          <w:i/>
          <w:iCs/>
        </w:rPr>
        <w:t xml:space="preserve"> y no han entregado la información solicitada.” [Sic]</w:t>
      </w:r>
      <w:r w:rsidR="00BF5825">
        <w:rPr>
          <w:rFonts w:ascii="Palatino Linotype" w:hAnsi="Palatino Linotype" w:cs="Arial"/>
          <w:bCs/>
          <w:i/>
          <w:iCs/>
        </w:rPr>
        <w:t>.</w:t>
      </w:r>
    </w:p>
    <w:p w:rsidR="00BF5825" w:rsidRPr="00BF5825" w:rsidRDefault="00BF5825" w:rsidP="00BF5825">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Ahora bien, respecto al punto </w:t>
      </w:r>
      <w:proofErr w:type="spellStart"/>
      <w:r>
        <w:rPr>
          <w:rFonts w:ascii="Palatino Linotype" w:hAnsi="Palatino Linotype" w:cs="Arial"/>
          <w:bCs/>
        </w:rPr>
        <w:t>numero</w:t>
      </w:r>
      <w:proofErr w:type="spellEnd"/>
      <w:r>
        <w:rPr>
          <w:rFonts w:ascii="Palatino Linotype" w:hAnsi="Palatino Linotype" w:cs="Arial"/>
          <w:bCs/>
        </w:rPr>
        <w:t xml:space="preserve"> 1 de la solicitud de información, el hoy recurrente solicito los recibos de </w:t>
      </w:r>
      <w:proofErr w:type="spellStart"/>
      <w:r>
        <w:rPr>
          <w:rFonts w:ascii="Palatino Linotype" w:hAnsi="Palatino Linotype" w:cs="Arial"/>
          <w:bCs/>
        </w:rPr>
        <w:t>nomina</w:t>
      </w:r>
      <w:proofErr w:type="spellEnd"/>
      <w:r>
        <w:rPr>
          <w:rFonts w:ascii="Palatino Linotype" w:hAnsi="Palatino Linotype" w:cs="Arial"/>
          <w:bCs/>
        </w:rPr>
        <w:t xml:space="preserve"> del 1 de enero al 15 de marzo de 2019, así pues, se entiende que solicita de toda la administración pública municipal.</w:t>
      </w:r>
    </w:p>
    <w:p w:rsidR="00BF5825" w:rsidRPr="00A00D5E" w:rsidRDefault="00BF5825" w:rsidP="00BF5825">
      <w:pPr>
        <w:spacing w:before="240" w:line="360" w:lineRule="auto"/>
        <w:jc w:val="both"/>
        <w:rPr>
          <w:rFonts w:ascii="Palatino Linotype" w:hAnsi="Palatino Linotype" w:cs="Arial"/>
          <w:sz w:val="24"/>
          <w:szCs w:val="24"/>
          <w:lang w:val="es-ES"/>
        </w:rPr>
      </w:pPr>
      <w:r w:rsidRPr="00A00D5E">
        <w:rPr>
          <w:rFonts w:ascii="Palatino Linotype" w:hAnsi="Palatino Linotype" w:cs="Arial"/>
          <w:color w:val="000000" w:themeColor="text1"/>
          <w:sz w:val="24"/>
          <w:szCs w:val="24"/>
        </w:rPr>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A00D5E">
        <w:rPr>
          <w:rFonts w:ascii="Palatino Linotype" w:hAnsi="Palatino Linotype" w:cs="Arial"/>
          <w:b/>
          <w:color w:val="000000" w:themeColor="text1"/>
          <w:sz w:val="24"/>
          <w:szCs w:val="24"/>
        </w:rPr>
        <w:t>“</w:t>
      </w:r>
      <w:r w:rsidRPr="00A00D5E">
        <w:rPr>
          <w:rFonts w:ascii="Palatino Linotype" w:hAnsi="Palatino Linotype" w:cs="Arial"/>
          <w:b/>
          <w:color w:val="000000" w:themeColor="text1"/>
          <w:sz w:val="24"/>
          <w:szCs w:val="24"/>
          <w:u w:val="single"/>
        </w:rPr>
        <w:t>nómina</w:t>
      </w:r>
      <w:r w:rsidRPr="00A00D5E">
        <w:rPr>
          <w:rFonts w:ascii="Palatino Linotype" w:hAnsi="Palatino Linotype" w:cs="Arial"/>
          <w:b/>
          <w:color w:val="000000" w:themeColor="text1"/>
          <w:sz w:val="24"/>
          <w:szCs w:val="24"/>
        </w:rPr>
        <w:t>”</w:t>
      </w:r>
      <w:r w:rsidRPr="00A00D5E">
        <w:rPr>
          <w:rFonts w:ascii="Palatino Linotype" w:hAnsi="Palatino Linotype" w:cs="Arial"/>
          <w:color w:val="000000" w:themeColor="text1"/>
          <w:sz w:val="24"/>
          <w:szCs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A00D5E">
        <w:rPr>
          <w:rFonts w:ascii="Palatino Linotype" w:hAnsi="Palatino Linotype" w:cs="Arial"/>
          <w:color w:val="000000" w:themeColor="text1"/>
          <w:sz w:val="24"/>
          <w:szCs w:val="24"/>
        </w:rPr>
        <w:lastRenderedPageBreak/>
        <w:t>Funcionarios Fiscales del Instituto para el Desarrollo Técnico de las Haciendas Públicas (INDETEC) señalan la siguiente definición de la palabra nómina:</w:t>
      </w:r>
    </w:p>
    <w:p w:rsidR="00BF5825" w:rsidRDefault="00BF5825" w:rsidP="00BF5825">
      <w:pPr>
        <w:spacing w:before="240" w:after="240" w:line="240" w:lineRule="auto"/>
        <w:ind w:left="851" w:right="851"/>
        <w:jc w:val="both"/>
        <w:rPr>
          <w:rFonts w:ascii="Palatino Linotype" w:hAnsi="Palatino Linotype" w:cs="Arial"/>
          <w:b/>
          <w:i/>
          <w:lang w:val="es-ES"/>
        </w:rPr>
      </w:pPr>
      <w:r>
        <w:rPr>
          <w:rFonts w:ascii="Palatino Linotype" w:hAnsi="Palatino Linotype" w:cs="Arial"/>
          <w:b/>
          <w:bCs/>
          <w:i/>
          <w:lang w:val="es-ES"/>
        </w:rPr>
        <w:t xml:space="preserve">“NÓMINA </w:t>
      </w:r>
      <w:r>
        <w:rPr>
          <w:rFonts w:ascii="Palatino Linotype" w:hAnsi="Palatino Linotype" w:cs="Arial"/>
          <w:i/>
          <w:lang w:val="es-ES"/>
        </w:rPr>
        <w:t>Listado general de los trabajadores de una institución, en</w:t>
      </w:r>
      <w:r>
        <w:rPr>
          <w:rFonts w:ascii="Palatino Linotype" w:hAnsi="Palatino Linotype" w:cs="Arial"/>
          <w:b/>
          <w:bCs/>
          <w:i/>
          <w:lang w:val="es-ES"/>
        </w:rPr>
        <w:t xml:space="preserve"> </w:t>
      </w:r>
      <w:r>
        <w:rPr>
          <w:rFonts w:ascii="Palatino Linotype" w:hAnsi="Palatino Linotype" w:cs="Arial"/>
          <w:i/>
          <w:lang w:val="es-ES"/>
        </w:rPr>
        <w:t>el cual se asientan las percepciones brutas, deducciones y</w:t>
      </w:r>
      <w:r>
        <w:rPr>
          <w:rFonts w:ascii="Palatino Linotype" w:hAnsi="Palatino Linotype" w:cs="Arial"/>
          <w:b/>
          <w:bCs/>
          <w:i/>
          <w:lang w:val="es-ES"/>
        </w:rPr>
        <w:t xml:space="preserve"> </w:t>
      </w:r>
      <w:r>
        <w:rPr>
          <w:rFonts w:ascii="Palatino Linotype" w:hAnsi="Palatino Linotype" w:cs="Arial"/>
          <w:i/>
          <w:lang w:val="es-ES"/>
        </w:rPr>
        <w:t xml:space="preserve">alcance neto </w:t>
      </w:r>
      <w:r>
        <w:rPr>
          <w:rFonts w:ascii="Palatino Linotype" w:hAnsi="Palatino Linotype" w:cs="Arial"/>
          <w:i/>
          <w:color w:val="000000"/>
          <w:lang w:val="es-ES"/>
        </w:rPr>
        <w:t>de</w:t>
      </w:r>
      <w:r>
        <w:rPr>
          <w:rFonts w:ascii="Palatino Linotype" w:hAnsi="Palatino Linotype" w:cs="Arial"/>
          <w:i/>
          <w:lang w:val="es-ES"/>
        </w:rPr>
        <w:t xml:space="preserve"> las mismas; la nómina es utilizada para</w:t>
      </w:r>
      <w:r>
        <w:rPr>
          <w:rFonts w:ascii="Palatino Linotype" w:hAnsi="Palatino Linotype" w:cs="Arial"/>
          <w:b/>
          <w:bCs/>
          <w:i/>
          <w:lang w:val="es-ES"/>
        </w:rPr>
        <w:t xml:space="preserve"> </w:t>
      </w:r>
      <w:r>
        <w:rPr>
          <w:rFonts w:ascii="Palatino Linotype" w:hAnsi="Palatino Linotype" w:cs="Arial"/>
          <w:i/>
          <w:lang w:val="es-ES"/>
        </w:rPr>
        <w:t>efectuar los pagos periódicos (semanales, quincenales o</w:t>
      </w:r>
      <w:r>
        <w:rPr>
          <w:rFonts w:ascii="Palatino Linotype" w:hAnsi="Palatino Linotype" w:cs="Arial"/>
          <w:b/>
          <w:bCs/>
          <w:i/>
          <w:lang w:val="es-ES"/>
        </w:rPr>
        <w:t xml:space="preserve"> </w:t>
      </w:r>
      <w:r>
        <w:rPr>
          <w:rFonts w:ascii="Palatino Linotype" w:hAnsi="Palatino Linotype" w:cs="Arial"/>
          <w:i/>
          <w:lang w:val="es-ES"/>
        </w:rPr>
        <w:t>mensuales) a los trabajadores por concepto de sueldos y</w:t>
      </w:r>
      <w:r>
        <w:rPr>
          <w:rFonts w:ascii="Palatino Linotype" w:hAnsi="Palatino Linotype" w:cs="Arial"/>
          <w:b/>
          <w:bCs/>
          <w:i/>
          <w:lang w:val="es-ES"/>
        </w:rPr>
        <w:t xml:space="preserve"> </w:t>
      </w:r>
      <w:r>
        <w:rPr>
          <w:rFonts w:ascii="Palatino Linotype" w:hAnsi="Palatino Linotype" w:cs="Arial"/>
          <w:i/>
          <w:lang w:val="es-ES"/>
        </w:rPr>
        <w:t xml:space="preserve">salarios.” </w:t>
      </w:r>
      <w:r>
        <w:rPr>
          <w:rFonts w:ascii="Palatino Linotype" w:hAnsi="Palatino Linotype" w:cs="Arial"/>
          <w:b/>
          <w:i/>
          <w:lang w:val="es-ES"/>
        </w:rPr>
        <w:t>[Sic]</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 Presentar anualmente al ayuntamiento un informe de la situación contable financiera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XII. Intervenir en la elaboración del programa financiero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 Solicitar a las instancias competentes, la práctica de revisiones circunstanciadas, de conformidad con las normas que rigen en materia de control y evaluación gubernamental en el ámbito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XX. Dar cumplimiento a las leyes, convenios de coordinación fiscal y demás que en materia hacendaria celebre el Ayuntamiento con el Estado;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rsidR="00BF5825" w:rsidRPr="00A00D5E" w:rsidRDefault="00BF5825" w:rsidP="00BF5825">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t xml:space="preserve">XXII. </w:t>
      </w:r>
      <w:r w:rsidRPr="00A00D5E">
        <w:rPr>
          <w:rFonts w:ascii="Palatino Linotype" w:eastAsia="Times New Roman" w:hAnsi="Palatino Linotype" w:cs="Arial"/>
          <w:b/>
          <w:i/>
          <w:u w:val="single"/>
          <w:lang w:eastAsia="es-ES"/>
        </w:rPr>
        <w:t>Las que les señalen las demás disposiciones legales y el ayuntamiento.</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Es así que, al no encontrarse una disposición específica en el artículo 95 de la Ley en cita que faculte al Tesorero Municipal a elaborar los recibos de nómina, se debe remitir a otros ordenamientos.</w:t>
      </w:r>
    </w:p>
    <w:p w:rsidR="00BF5825" w:rsidRDefault="00BF5825" w:rsidP="00BF5825">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w:t>
      </w:r>
      <w:r>
        <w:rPr>
          <w:rFonts w:ascii="Palatino Linotype" w:hAnsi="Palatino Linotype" w:cs="Arial"/>
          <w:i/>
          <w:szCs w:val="20"/>
          <w:lang w:eastAsia="es-MX"/>
        </w:rPr>
        <w:lastRenderedPageBreak/>
        <w:t xml:space="preserve">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BF5825" w:rsidRPr="00347D2A" w:rsidRDefault="00BF5825" w:rsidP="00BF5825">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F5825" w:rsidRPr="00347D2A" w:rsidRDefault="00BF5825" w:rsidP="00BF5825">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rsidR="00BF5825" w:rsidRPr="00347D2A" w:rsidRDefault="00BF5825" w:rsidP="00BF5825">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rsidR="00470C7E" w:rsidRPr="009235AB" w:rsidRDefault="00BF5825" w:rsidP="00470C7E">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00470C7E" w:rsidRPr="009235AB">
        <w:rPr>
          <w:rFonts w:ascii="Palatino Linotype" w:hAnsi="Palatino Linotype" w:cs="Arial"/>
          <w:bCs/>
        </w:rPr>
        <w:t xml:space="preserve">, el </w:t>
      </w:r>
      <w:r w:rsidR="00470C7E" w:rsidRPr="009235AB">
        <w:rPr>
          <w:rFonts w:ascii="Palatino Linotype" w:hAnsi="Palatino Linotype" w:cs="Arial"/>
        </w:rPr>
        <w:t xml:space="preserve">artículo 3, fracción XXXII del </w:t>
      </w:r>
      <w:r w:rsidR="00470C7E" w:rsidRPr="009235AB">
        <w:rPr>
          <w:rFonts w:ascii="Palatino Linotype" w:hAnsi="Palatino Linotype" w:cs="Arial"/>
          <w:b/>
        </w:rPr>
        <w:t xml:space="preserve">Código Financiero del Estado de México y Municipios </w:t>
      </w:r>
      <w:r w:rsidR="00470C7E" w:rsidRPr="009235AB">
        <w:rPr>
          <w:rFonts w:ascii="Palatino Linotype" w:hAnsi="Palatino Linotype" w:cs="Arial"/>
        </w:rPr>
        <w:t>establece lo siguiente:</w:t>
      </w:r>
    </w:p>
    <w:p w:rsidR="00470C7E" w:rsidRPr="009235AB" w:rsidRDefault="00470C7E" w:rsidP="00470C7E">
      <w:pPr>
        <w:pStyle w:val="Prrafodelista"/>
        <w:spacing w:line="360" w:lineRule="auto"/>
        <w:ind w:left="567" w:right="567"/>
        <w:jc w:val="both"/>
        <w:rPr>
          <w:rFonts w:ascii="Palatino Linotype" w:hAnsi="Palatino Linotype" w:cs="Arial"/>
        </w:rPr>
      </w:pP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 xml:space="preserve">XXXII. Remuneración: A los pagos hechos por concepto de sueldo, compensaciones, gratificaciones, habitación, primas, comisiones, prestaciones en especie y cualquier otra percepción o prestación que se entregue al servidor público por su trabajo. Esta definición no será </w:t>
      </w:r>
      <w:r w:rsidRPr="009235AB">
        <w:rPr>
          <w:rFonts w:ascii="Palatino Linotype" w:hAnsi="Palatino Linotype"/>
          <w:b/>
          <w:i/>
        </w:rPr>
        <w:lastRenderedPageBreak/>
        <w:t>aplicable para los efectos del Impuesto sobre Erogaciones por Remuneraciones al Trabajo Personal;</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w:t>
      </w:r>
    </w:p>
    <w:p w:rsidR="00470C7E" w:rsidRPr="009235AB" w:rsidRDefault="00470C7E" w:rsidP="00470C7E">
      <w:pPr>
        <w:pStyle w:val="Prrafodelista"/>
        <w:spacing w:line="360" w:lineRule="auto"/>
        <w:ind w:left="0"/>
        <w:jc w:val="both"/>
        <w:rPr>
          <w:rFonts w:ascii="Palatino Linotype" w:hAnsi="Palatino Linotype" w:cs="Arial"/>
        </w:rPr>
      </w:pPr>
    </w:p>
    <w:p w:rsidR="00470C7E" w:rsidRPr="009235AB"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 xml:space="preserve">Recibos o las constancias de depósito o del medio de información magnética o electrónica que sean utilizadas para el pago de salarios, </w:t>
      </w:r>
      <w:r w:rsidRPr="009235AB">
        <w:rPr>
          <w:rFonts w:ascii="Palatino Linotype" w:eastAsia="Times New Roman" w:hAnsi="Palatino Linotype"/>
          <w:b/>
          <w:bCs/>
          <w:i/>
          <w:sz w:val="24"/>
          <w:szCs w:val="24"/>
        </w:rPr>
        <w:lastRenderedPageBreak/>
        <w:t>prima vacacional, aguinaldo y demás prestaciones establecidas en la presente ley; y</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w:t>
      </w:r>
      <w:r w:rsidRPr="009235AB">
        <w:rPr>
          <w:rFonts w:ascii="Palatino Linotype" w:hAnsi="Palatino Linotype" w:cs="Arial"/>
        </w:rPr>
        <w:lastRenderedPageBreak/>
        <w:t>laboral a través de los sistemas de digitalización o de información magnética o electrónica.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rsidR="007E1AE4" w:rsidRPr="00347D2A" w:rsidRDefault="007E1AE4" w:rsidP="007E1AE4">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rsidR="007E1AE4" w:rsidRPr="007E1AE4" w:rsidRDefault="007E1AE4" w:rsidP="0009633E">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 xml:space="preserve">erramienta para elaborar y presentar los Informes Mensuales por </w:t>
      </w:r>
      <w:r w:rsidRPr="007E1AE4">
        <w:rPr>
          <w:rFonts w:ascii="Palatino Linotype" w:eastAsia="MS Mincho" w:hAnsi="Palatino Linotype" w:cs="Tahoma"/>
          <w:sz w:val="24"/>
          <w:szCs w:val="24"/>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09633E" w:rsidRPr="00713A19" w:rsidRDefault="0009633E" w:rsidP="0009633E">
      <w:pPr>
        <w:widowControl w:val="0"/>
        <w:autoSpaceDE w:val="0"/>
        <w:autoSpaceDN w:val="0"/>
        <w:adjustRightInd w:val="0"/>
        <w:spacing w:before="240" w:line="360" w:lineRule="auto"/>
        <w:jc w:val="both"/>
        <w:rPr>
          <w:rFonts w:ascii="Palatino Linotype" w:hAnsi="Palatino Linotype"/>
          <w:i/>
        </w:rPr>
      </w:pPr>
      <w:r>
        <w:rPr>
          <w:rFonts w:ascii="Palatino Linotype" w:eastAsia="MS Mincho" w:hAnsi="Palatino Linotype" w:cs="Tahoma"/>
          <w:noProof/>
          <w:sz w:val="24"/>
          <w:szCs w:val="24"/>
          <w:lang w:val="es-ES_tradnl"/>
        </w:rPr>
        <mc:AlternateContent>
          <mc:Choice Requires="wps">
            <w:drawing>
              <wp:anchor distT="0" distB="0" distL="114300" distR="114300" simplePos="0" relativeHeight="251666432" behindDoc="0" locked="0" layoutInCell="1" allowOverlap="1">
                <wp:simplePos x="0" y="0"/>
                <wp:positionH relativeFrom="column">
                  <wp:posOffset>40999</wp:posOffset>
                </wp:positionH>
                <wp:positionV relativeFrom="paragraph">
                  <wp:posOffset>3092642</wp:posOffset>
                </wp:positionV>
                <wp:extent cx="5526156" cy="2528515"/>
                <wp:effectExtent l="0" t="0" r="36830" b="24765"/>
                <wp:wrapNone/>
                <wp:docPr id="5" name="Conector recto 5"/>
                <wp:cNvGraphicFramePr/>
                <a:graphic xmlns:a="http://schemas.openxmlformats.org/drawingml/2006/main">
                  <a:graphicData uri="http://schemas.microsoft.com/office/word/2010/wordprocessingShape">
                    <wps:wsp>
                      <wps:cNvCnPr/>
                      <wps:spPr>
                        <a:xfrm>
                          <a:off x="0" y="0"/>
                          <a:ext cx="5526156" cy="2528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44533"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5pt,243.5pt" to="438.4pt,4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" strokecolor="#5b9bd5 [3204]" strokeweight=".5pt">
                <v:stroke joinstyle="miter"/>
              </v:line>
            </w:pict>
          </mc:Fallback>
        </mc:AlternateContent>
      </w:r>
      <w:r w:rsidRPr="00347D2A">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347D2A">
        <w:rPr>
          <w:rFonts w:ascii="Palatino Linotype" w:eastAsia="Calibri" w:hAnsi="Palatino Linotype" w:cs="Arial"/>
          <w:sz w:val="24"/>
          <w:szCs w:val="24"/>
        </w:rPr>
        <w:t>presentar</w:t>
      </w:r>
      <w:r w:rsidRPr="00347D2A">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347D2A">
        <w:rPr>
          <w:rFonts w:ascii="Palatino Linotype" w:eastAsia="MS Mincho" w:hAnsi="Palatino Linotype" w:cs="Tahoma"/>
          <w:b/>
          <w:i/>
          <w:sz w:val="24"/>
          <w:szCs w:val="24"/>
          <w:lang w:val="es-ES_tradnl"/>
        </w:rPr>
        <w:t>Información de Nómina</w:t>
      </w:r>
      <w:r w:rsidRPr="00347D2A">
        <w:rPr>
          <w:rFonts w:ascii="Palatino Linotype" w:eastAsia="MS Mincho" w:hAnsi="Palatino Linotype" w:cs="Tahoma"/>
          <w:sz w:val="24"/>
          <w:szCs w:val="24"/>
          <w:lang w:val="es-ES_tradnl"/>
        </w:rPr>
        <w:t xml:space="preserve">, el cual, se integra por documentos tales como los </w:t>
      </w:r>
      <w:r w:rsidRPr="00347D2A">
        <w:rPr>
          <w:rFonts w:ascii="Palatino Linotype" w:eastAsia="MS Mincho" w:hAnsi="Palatino Linotype" w:cs="Tahoma"/>
          <w:b/>
          <w:sz w:val="24"/>
          <w:szCs w:val="24"/>
          <w:lang w:val="es-ES_tradnl"/>
        </w:rPr>
        <w:t xml:space="preserve">Comprobantes Fiscales Digitales por Internet (CFDI), </w:t>
      </w:r>
      <w:r w:rsidRPr="00347D2A">
        <w:rPr>
          <w:rFonts w:ascii="Palatino Linotype" w:eastAsia="Calibri" w:hAnsi="Palatino Linotype" w:cs="Times New Roman"/>
          <w:sz w:val="24"/>
          <w:szCs w:val="24"/>
        </w:rPr>
        <w:t>correspondiente al</w:t>
      </w:r>
      <w:r w:rsidRPr="00347D2A">
        <w:rPr>
          <w:rFonts w:ascii="Palatino Linotype" w:eastAsia="Calibri" w:hAnsi="Palatino Linotype" w:cs="Arial"/>
          <w:sz w:val="24"/>
          <w:szCs w:val="24"/>
        </w:rPr>
        <w:t xml:space="preserve"> Disco 4 de los informes mensuales correspondientes, los cuales son enviados por el Tesorero Municipal al OSFEM, en términos del </w:t>
      </w:r>
      <w:r w:rsidRPr="00347D2A">
        <w:rPr>
          <w:rFonts w:ascii="Palatino Linotype" w:eastAsia="Calibri" w:hAnsi="Palatino Linotype" w:cs="Arial"/>
          <w:sz w:val="24"/>
          <w:szCs w:val="24"/>
          <w:lang w:eastAsia="es-MX"/>
        </w:rPr>
        <w:t>artículo 2 fracción XI de la Ley de Fiscalización Superior del Estado de México,</w:t>
      </w:r>
      <w:r w:rsidRPr="00347D2A">
        <w:rPr>
          <w:rFonts w:ascii="Palatino Linotype" w:eastAsia="Calibri" w:hAnsi="Palatino Linotype" w:cs="Arial"/>
          <w:sz w:val="24"/>
          <w:szCs w:val="24"/>
        </w:rPr>
        <w:t xml:space="preserve"> acorde a lo establecido en los </w:t>
      </w:r>
      <w:r w:rsidRPr="00347D2A">
        <w:rPr>
          <w:rFonts w:ascii="Palatino Linotype" w:eastAsia="Calibri" w:hAnsi="Palatino Linotype" w:cs="Times New Roman"/>
          <w:sz w:val="24"/>
          <w:szCs w:val="24"/>
        </w:rPr>
        <w:t>Lineamientos para la Integración del Informe Mensual del año 2019, para lo cual se insertan las siguiente imágenes:</w:t>
      </w:r>
    </w:p>
    <w:p w:rsidR="00807D14" w:rsidRDefault="0032321A" w:rsidP="00B0008F">
      <w:pPr>
        <w:spacing w:before="240" w:after="240" w:line="360" w:lineRule="auto"/>
        <w:jc w:val="both"/>
        <w:rPr>
          <w:rFonts w:ascii="Palatino Linotype" w:hAnsi="Palatino Linotype"/>
          <w:i/>
        </w:rPr>
      </w:pPr>
      <w:r>
        <w:rPr>
          <w:rFonts w:ascii="Palatino Linotype" w:eastAsia="MS Mincho" w:hAnsi="Palatino Linotype" w:cs="Tahoma"/>
          <w:noProof/>
          <w:sz w:val="24"/>
          <w:szCs w:val="24"/>
          <w:lang w:val="es-ES_tradnl"/>
        </w:rPr>
        <w:lastRenderedPageBreak/>
        <mc:AlternateContent>
          <mc:Choice Requires="wps">
            <w:drawing>
              <wp:anchor distT="0" distB="0" distL="114300" distR="114300" simplePos="0" relativeHeight="251668480" behindDoc="0" locked="0" layoutInCell="1" allowOverlap="1" wp14:anchorId="15137256" wp14:editId="26160F2E">
                <wp:simplePos x="0" y="0"/>
                <wp:positionH relativeFrom="margin">
                  <wp:align>right</wp:align>
                </wp:positionH>
                <wp:positionV relativeFrom="paragraph">
                  <wp:posOffset>4136286</wp:posOffset>
                </wp:positionV>
                <wp:extent cx="5732060" cy="3330053"/>
                <wp:effectExtent l="0" t="0" r="21590" b="22860"/>
                <wp:wrapNone/>
                <wp:docPr id="13" name="Conector recto 13"/>
                <wp:cNvGraphicFramePr/>
                <a:graphic xmlns:a="http://schemas.openxmlformats.org/drawingml/2006/main">
                  <a:graphicData uri="http://schemas.microsoft.com/office/word/2010/wordprocessingShape">
                    <wps:wsp>
                      <wps:cNvCnPr/>
                      <wps:spPr>
                        <a:xfrm>
                          <a:off x="0" y="0"/>
                          <a:ext cx="5732060" cy="33300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C1B02" id="Conector recto 13"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5pt,325.7pt" to="851.5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" strokecolor="#5b9bd5 [3204]" strokeweight=".5pt">
                <v:stroke joinstyle="miter"/>
                <w10:wrap anchorx="margin"/>
              </v:line>
            </w:pict>
          </mc:Fallback>
        </mc:AlternateContent>
      </w:r>
      <w:r w:rsidR="00B0008F" w:rsidRPr="00713A19">
        <w:rPr>
          <w:rFonts w:ascii="Palatino Linotype" w:hAnsi="Palatino Linotype"/>
          <w:i/>
        </w:rPr>
        <w:t xml:space="preserve"> </w:t>
      </w:r>
      <w:r w:rsidR="00ED735A">
        <w:rPr>
          <w:noProof/>
          <w:lang w:eastAsia="es-MX"/>
        </w:rPr>
        <w:drawing>
          <wp:inline distT="0" distB="0" distL="0" distR="0" wp14:anchorId="6FA30362" wp14:editId="55B868F5">
            <wp:extent cx="5524500" cy="397216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770" t="12052" r="31217" b="36802"/>
                    <a:stretch/>
                  </pic:blipFill>
                  <pic:spPr bwMode="auto">
                    <a:xfrm>
                      <a:off x="0" y="0"/>
                      <a:ext cx="5528887" cy="3975315"/>
                    </a:xfrm>
                    <a:prstGeom prst="rect">
                      <a:avLst/>
                    </a:prstGeom>
                    <a:ln>
                      <a:noFill/>
                    </a:ln>
                    <a:extLst>
                      <a:ext uri="{53640926-AAD7-44D8-BBD7-CCE9431645EC}">
                        <a14:shadowObscured xmlns:a14="http://schemas.microsoft.com/office/drawing/2010/main"/>
                      </a:ext>
                    </a:extLst>
                  </pic:spPr>
                </pic:pic>
              </a:graphicData>
            </a:graphic>
          </wp:inline>
        </w:drawing>
      </w:r>
    </w:p>
    <w:p w:rsidR="003E3297" w:rsidRDefault="003E3297" w:rsidP="00B0008F">
      <w:pPr>
        <w:spacing w:before="240" w:after="240" w:line="360" w:lineRule="auto"/>
        <w:jc w:val="both"/>
        <w:rPr>
          <w:noProof/>
        </w:rPr>
      </w:pPr>
      <w:r>
        <w:rPr>
          <w:noProof/>
        </w:rPr>
        <w:lastRenderedPageBreak/>
        <w:drawing>
          <wp:inline distT="0" distB="0" distL="0" distR="0" wp14:anchorId="1FC73880" wp14:editId="5C336D68">
            <wp:extent cx="5510254" cy="65902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12" t="11778" r="32774" b="14838"/>
                    <a:stretch/>
                  </pic:blipFill>
                  <pic:spPr bwMode="auto">
                    <a:xfrm>
                      <a:off x="0" y="0"/>
                      <a:ext cx="5518435" cy="6600048"/>
                    </a:xfrm>
                    <a:prstGeom prst="rect">
                      <a:avLst/>
                    </a:prstGeom>
                    <a:ln>
                      <a:noFill/>
                    </a:ln>
                    <a:extLst>
                      <a:ext uri="{53640926-AAD7-44D8-BBD7-CCE9431645EC}">
                        <a14:shadowObscured xmlns:a14="http://schemas.microsoft.com/office/drawing/2010/main"/>
                      </a:ext>
                    </a:extLst>
                  </pic:spPr>
                </pic:pic>
              </a:graphicData>
            </a:graphic>
          </wp:inline>
        </w:drawing>
      </w:r>
      <w:r w:rsidRPr="003E3297">
        <w:rPr>
          <w:noProof/>
        </w:rPr>
        <w:t xml:space="preserve"> </w:t>
      </w:r>
      <w:r w:rsidR="0032321A">
        <w:rPr>
          <w:rFonts w:ascii="Palatino Linotype" w:hAnsi="Palatino Linotype"/>
          <w:noProof/>
          <w:sz w:val="24"/>
          <w:lang w:eastAsia="es-MX"/>
        </w:rPr>
        <w:lastRenderedPageBreak/>
        <mc:AlternateContent>
          <mc:Choice Requires="wps">
            <w:drawing>
              <wp:anchor distT="0" distB="0" distL="114300" distR="114300" simplePos="0" relativeHeight="251670528" behindDoc="0" locked="0" layoutInCell="1" allowOverlap="1" wp14:anchorId="4E8D0EB7" wp14:editId="147A532E">
                <wp:simplePos x="0" y="0"/>
                <wp:positionH relativeFrom="margin">
                  <wp:align>right</wp:align>
                </wp:positionH>
                <wp:positionV relativeFrom="paragraph">
                  <wp:posOffset>4805026</wp:posOffset>
                </wp:positionV>
                <wp:extent cx="5704764" cy="2661313"/>
                <wp:effectExtent l="0" t="0" r="29845" b="24765"/>
                <wp:wrapNone/>
                <wp:docPr id="15" name="Conector recto 15"/>
                <wp:cNvGraphicFramePr/>
                <a:graphic xmlns:a="http://schemas.openxmlformats.org/drawingml/2006/main">
                  <a:graphicData uri="http://schemas.microsoft.com/office/word/2010/wordprocessingShape">
                    <wps:wsp>
                      <wps:cNvCnPr/>
                      <wps:spPr>
                        <a:xfrm>
                          <a:off x="0" y="0"/>
                          <a:ext cx="5704764" cy="2661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8FB2" id="Conector recto 15"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pt,378.35pt" to="847.2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" strokecolor="#5b9bd5 [3204]" strokeweight=".5pt">
                <v:stroke joinstyle="miter"/>
                <w10:wrap anchorx="margin"/>
              </v:line>
            </w:pict>
          </mc:Fallback>
        </mc:AlternateContent>
      </w:r>
      <w:r>
        <w:rPr>
          <w:noProof/>
        </w:rPr>
        <w:drawing>
          <wp:inline distT="0" distB="0" distL="0" distR="0" wp14:anchorId="76A33F7A" wp14:editId="76934CDE">
            <wp:extent cx="5661329" cy="4604235"/>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88" t="26746" r="33741" b="25150"/>
                    <a:stretch/>
                  </pic:blipFill>
                  <pic:spPr bwMode="auto">
                    <a:xfrm>
                      <a:off x="0" y="0"/>
                      <a:ext cx="5678010" cy="4617801"/>
                    </a:xfrm>
                    <a:prstGeom prst="rect">
                      <a:avLst/>
                    </a:prstGeom>
                    <a:ln>
                      <a:noFill/>
                    </a:ln>
                    <a:extLst>
                      <a:ext uri="{53640926-AAD7-44D8-BBD7-CCE9431645EC}">
                        <a14:shadowObscured xmlns:a14="http://schemas.microsoft.com/office/drawing/2010/main"/>
                      </a:ext>
                    </a:extLst>
                  </pic:spPr>
                </pic:pic>
              </a:graphicData>
            </a:graphic>
          </wp:inline>
        </w:drawing>
      </w:r>
    </w:p>
    <w:p w:rsidR="003E3297" w:rsidRDefault="003E3297" w:rsidP="00B0008F">
      <w:pPr>
        <w:spacing w:before="240" w:after="240" w:line="360" w:lineRule="auto"/>
        <w:jc w:val="both"/>
        <w:rPr>
          <w:rFonts w:ascii="Palatino Linotype" w:hAnsi="Palatino Linotype"/>
          <w:i/>
        </w:rPr>
      </w:pPr>
      <w:r>
        <w:rPr>
          <w:noProof/>
        </w:rPr>
        <w:lastRenderedPageBreak/>
        <w:drawing>
          <wp:inline distT="0" distB="0" distL="0" distR="0" wp14:anchorId="5817D6F8" wp14:editId="491CBEA5">
            <wp:extent cx="5732891" cy="44209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67" t="15949" r="28502" b="23685"/>
                    <a:stretch/>
                  </pic:blipFill>
                  <pic:spPr bwMode="auto">
                    <a:xfrm>
                      <a:off x="0" y="0"/>
                      <a:ext cx="5737085" cy="4424209"/>
                    </a:xfrm>
                    <a:prstGeom prst="rect">
                      <a:avLst/>
                    </a:prstGeom>
                    <a:ln>
                      <a:noFill/>
                    </a:ln>
                    <a:extLst>
                      <a:ext uri="{53640926-AAD7-44D8-BBD7-CCE9431645EC}">
                        <a14:shadowObscured xmlns:a14="http://schemas.microsoft.com/office/drawing/2010/main"/>
                      </a:ext>
                    </a:extLst>
                  </pic:spPr>
                </pic:pic>
              </a:graphicData>
            </a:graphic>
          </wp:inline>
        </w:drawing>
      </w:r>
    </w:p>
    <w:p w:rsidR="00ED735A" w:rsidRDefault="00ED735A" w:rsidP="0009633E">
      <w:pPr>
        <w:spacing w:before="24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De la imagen antes referida, podemos advertir que el Sujeto Obligado tiene la obligación de entregar al</w:t>
      </w:r>
      <w:r w:rsidRPr="00FB1CCD">
        <w:rPr>
          <w:rFonts w:ascii="Palatino Linotype" w:eastAsia="MS Mincho" w:hAnsi="Palatino Linotype"/>
          <w:sz w:val="24"/>
          <w:szCs w:val="24"/>
          <w:lang w:val="es-ES_tradnl"/>
        </w:rPr>
        <w:t xml:space="preserve"> Órgano Superior de Fiscalización del Estado de México</w:t>
      </w:r>
      <w:r>
        <w:rPr>
          <w:rFonts w:ascii="Palatino Linotype" w:eastAsia="MS Mincho" w:hAnsi="Palatino Linotype"/>
          <w:sz w:val="24"/>
          <w:szCs w:val="24"/>
          <w:lang w:val="es-ES_tradnl"/>
        </w:rPr>
        <w:t xml:space="preserve">, informes mensuales, en los cuales se incluye </w:t>
      </w:r>
      <w:r w:rsidR="0009633E">
        <w:rPr>
          <w:rFonts w:ascii="Palatino Linotype" w:eastAsia="MS Mincho" w:hAnsi="Palatino Linotype"/>
          <w:sz w:val="24"/>
          <w:szCs w:val="24"/>
          <w:lang w:val="es-ES_tradnl"/>
        </w:rPr>
        <w:t xml:space="preserve">la nómina general y </w:t>
      </w:r>
      <w:r>
        <w:rPr>
          <w:rFonts w:ascii="Palatino Linotype" w:eastAsia="MS Mincho" w:hAnsi="Palatino Linotype"/>
          <w:sz w:val="24"/>
          <w:szCs w:val="24"/>
          <w:lang w:val="es-ES_tradnl"/>
        </w:rPr>
        <w:t>el Tabulador de Sueldos 2019, es por ello que la información solicitada por el hoy Recurrente debe obrar en los archivos del Sujeto Obligado.</w:t>
      </w:r>
    </w:p>
    <w:p w:rsidR="00ED735A" w:rsidRDefault="00ED735A" w:rsidP="0009633E">
      <w:pPr>
        <w:spacing w:before="24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Así también, los mismo Lineamientos establecen l</w:t>
      </w:r>
      <w:r w:rsidR="003E3297">
        <w:rPr>
          <w:rFonts w:ascii="Palatino Linotype" w:eastAsia="MS Mincho" w:hAnsi="Palatino Linotype"/>
          <w:sz w:val="24"/>
          <w:szCs w:val="24"/>
          <w:lang w:val="es-ES_tradnl"/>
        </w:rPr>
        <w:t>a</w:t>
      </w:r>
      <w:r>
        <w:rPr>
          <w:rFonts w:ascii="Palatino Linotype" w:eastAsia="MS Mincho" w:hAnsi="Palatino Linotype"/>
          <w:sz w:val="24"/>
          <w:szCs w:val="24"/>
          <w:lang w:val="es-ES_tradnl"/>
        </w:rPr>
        <w:t xml:space="preserve"> clasificación de firmas que deberán de contener los formatos emitidos y los cuales para </w:t>
      </w:r>
      <w:r w:rsidR="003E3297">
        <w:rPr>
          <w:rFonts w:ascii="Palatino Linotype" w:eastAsia="MS Mincho" w:hAnsi="Palatino Linotype"/>
          <w:sz w:val="24"/>
          <w:szCs w:val="24"/>
          <w:lang w:val="es-ES_tradnl"/>
        </w:rPr>
        <w:t xml:space="preserve">el caso de la </w:t>
      </w:r>
      <w:r w:rsidR="007B2103">
        <w:rPr>
          <w:rFonts w:ascii="Palatino Linotype" w:eastAsia="MS Mincho" w:hAnsi="Palatino Linotype"/>
          <w:sz w:val="24"/>
          <w:szCs w:val="24"/>
          <w:lang w:val="es-ES_tradnl"/>
        </w:rPr>
        <w:t>nómina</w:t>
      </w:r>
      <w:r w:rsidR="003E3297">
        <w:rPr>
          <w:rFonts w:ascii="Palatino Linotype" w:eastAsia="MS Mincho" w:hAnsi="Palatino Linotype"/>
          <w:sz w:val="24"/>
          <w:szCs w:val="24"/>
          <w:lang w:val="es-ES_tradnl"/>
        </w:rPr>
        <w:t xml:space="preserve"> general únicamente deberá de llevar la firma del Tesorero Municipal y para </w:t>
      </w:r>
      <w:r w:rsidR="007B2103">
        <w:rPr>
          <w:rFonts w:ascii="Palatino Linotype" w:eastAsia="MS Mincho" w:hAnsi="Palatino Linotype"/>
          <w:sz w:val="24"/>
          <w:szCs w:val="24"/>
          <w:lang w:val="es-ES_tradnl"/>
        </w:rPr>
        <w:t>el caso d</w:t>
      </w:r>
      <w:r>
        <w:rPr>
          <w:rFonts w:ascii="Palatino Linotype" w:eastAsia="MS Mincho" w:hAnsi="Palatino Linotype"/>
          <w:sz w:val="24"/>
          <w:szCs w:val="24"/>
          <w:lang w:val="es-ES_tradnl"/>
        </w:rPr>
        <w:t xml:space="preserve">el </w:t>
      </w:r>
      <w:r>
        <w:rPr>
          <w:rFonts w:ascii="Palatino Linotype" w:eastAsia="MS Mincho" w:hAnsi="Palatino Linotype"/>
          <w:sz w:val="24"/>
          <w:szCs w:val="24"/>
          <w:lang w:val="es-ES_tradnl"/>
        </w:rPr>
        <w:lastRenderedPageBreak/>
        <w:t xml:space="preserve">Tabulador de Sueldos, deberá de contar con las firmas del </w:t>
      </w:r>
      <w:proofErr w:type="gramStart"/>
      <w:r>
        <w:rPr>
          <w:rFonts w:ascii="Palatino Linotype" w:eastAsia="MS Mincho" w:hAnsi="Palatino Linotype"/>
          <w:sz w:val="24"/>
          <w:szCs w:val="24"/>
          <w:lang w:val="es-ES_tradnl"/>
        </w:rPr>
        <w:t>Presidente</w:t>
      </w:r>
      <w:proofErr w:type="gramEnd"/>
      <w:r>
        <w:rPr>
          <w:rFonts w:ascii="Palatino Linotype" w:eastAsia="MS Mincho" w:hAnsi="Palatino Linotype"/>
          <w:sz w:val="24"/>
          <w:szCs w:val="24"/>
          <w:lang w:val="es-ES_tradnl"/>
        </w:rPr>
        <w:t xml:space="preserve">, Tesorero, Sindico y Secretario, como se desprende de la siguiente imagen. </w:t>
      </w:r>
    </w:p>
    <w:p w:rsidR="00ED735A" w:rsidRDefault="00ED735A" w:rsidP="00B0008F">
      <w:pPr>
        <w:spacing w:before="240" w:after="240" w:line="360" w:lineRule="auto"/>
        <w:jc w:val="both"/>
        <w:rPr>
          <w:rFonts w:ascii="Palatino Linotype" w:hAnsi="Palatino Linotype"/>
          <w:i/>
        </w:rPr>
      </w:pPr>
      <w:r>
        <w:rPr>
          <w:noProof/>
          <w:lang w:eastAsia="es-MX"/>
        </w:rPr>
        <w:drawing>
          <wp:inline distT="0" distB="0" distL="0" distR="0" wp14:anchorId="4BE59310" wp14:editId="62F65E4D">
            <wp:extent cx="5495925" cy="347943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24" t="23516" r="27910" b="24750"/>
                    <a:stretch/>
                  </pic:blipFill>
                  <pic:spPr bwMode="auto">
                    <a:xfrm>
                      <a:off x="0" y="0"/>
                      <a:ext cx="5504637" cy="3484950"/>
                    </a:xfrm>
                    <a:prstGeom prst="rect">
                      <a:avLst/>
                    </a:prstGeom>
                    <a:ln>
                      <a:noFill/>
                    </a:ln>
                    <a:extLst>
                      <a:ext uri="{53640926-AAD7-44D8-BBD7-CCE9431645EC}">
                        <a14:shadowObscured xmlns:a14="http://schemas.microsoft.com/office/drawing/2010/main"/>
                      </a:ext>
                    </a:extLst>
                  </pic:spPr>
                </pic:pic>
              </a:graphicData>
            </a:graphic>
          </wp:inline>
        </w:drawing>
      </w:r>
    </w:p>
    <w:p w:rsidR="00ED735A" w:rsidRDefault="007C56AB" w:rsidP="00B0008F">
      <w:pPr>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1677177</wp:posOffset>
                </wp:positionV>
                <wp:extent cx="5731804" cy="1296102"/>
                <wp:effectExtent l="0" t="0" r="21590" b="37465"/>
                <wp:wrapNone/>
                <wp:docPr id="9" name="Conector recto 9"/>
                <wp:cNvGraphicFramePr/>
                <a:graphic xmlns:a="http://schemas.openxmlformats.org/drawingml/2006/main">
                  <a:graphicData uri="http://schemas.microsoft.com/office/word/2010/wordprocessingShape">
                    <wps:wsp>
                      <wps:cNvCnPr/>
                      <wps:spPr>
                        <a:xfrm>
                          <a:off x="0" y="0"/>
                          <a:ext cx="5731804" cy="1296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1C093" id="Conector recto 9"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pt,132.05pt" to="851.4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" strokecolor="#5b9bd5 [3204]" strokeweight=".5pt">
                <v:stroke joinstyle="miter"/>
                <w10:wrap anchorx="margin"/>
              </v:line>
            </w:pict>
          </mc:Fallback>
        </mc:AlternateContent>
      </w:r>
      <w:r w:rsidR="00ED735A" w:rsidRPr="00ED735A">
        <w:rPr>
          <w:rFonts w:ascii="Palatino Linotype" w:hAnsi="Palatino Linotype"/>
          <w:sz w:val="24"/>
        </w:rPr>
        <w:t>R</w:t>
      </w:r>
      <w:r w:rsidR="00ED735A">
        <w:rPr>
          <w:rFonts w:ascii="Palatino Linotype" w:hAnsi="Palatino Linotype"/>
          <w:sz w:val="24"/>
        </w:rPr>
        <w:t xml:space="preserve">obustece lo anterior, el </w:t>
      </w:r>
      <w:r w:rsidR="00052D39">
        <w:rPr>
          <w:rFonts w:ascii="Palatino Linotype" w:hAnsi="Palatino Linotype"/>
          <w:sz w:val="24"/>
        </w:rPr>
        <w:t xml:space="preserve">Tabulador de Sueldos formato </w:t>
      </w:r>
      <w:proofErr w:type="spellStart"/>
      <w:r w:rsidR="00052D39">
        <w:rPr>
          <w:rFonts w:ascii="Palatino Linotype" w:hAnsi="Palatino Linotype"/>
          <w:sz w:val="24"/>
        </w:rPr>
        <w:t>PbRM</w:t>
      </w:r>
      <w:proofErr w:type="spellEnd"/>
      <w:r w:rsidR="00052D39">
        <w:rPr>
          <w:rFonts w:ascii="Palatino Linotype" w:hAnsi="Palatino Linotype"/>
          <w:sz w:val="24"/>
        </w:rPr>
        <w:t xml:space="preserve"> 05, en cual se pueden apreciar todos los conceptos que abarcan las remuneraciones de los servidores públicos, los cuales se integraran para el caso que nos ocupa, Dietas, Sueldo Base, Compensación, Gratificación, Otras Percepciones, Aguinaldo, Prima Vacacional y el Total.</w:t>
      </w:r>
    </w:p>
    <w:p w:rsidR="00052D39" w:rsidRDefault="00052D39" w:rsidP="00B0008F">
      <w:pPr>
        <w:spacing w:before="240" w:after="240" w:line="360" w:lineRule="auto"/>
        <w:jc w:val="both"/>
        <w:rPr>
          <w:rFonts w:ascii="Palatino Linotype" w:hAnsi="Palatino Linotype"/>
          <w:sz w:val="28"/>
        </w:rPr>
      </w:pPr>
      <w:r>
        <w:rPr>
          <w:noProof/>
          <w:lang w:eastAsia="es-MX"/>
        </w:rPr>
        <w:lastRenderedPageBreak/>
        <w:drawing>
          <wp:inline distT="0" distB="0" distL="0" distR="0" wp14:anchorId="43581F2B" wp14:editId="03FA1F18">
            <wp:extent cx="5734050" cy="6781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65" t="20282" r="34027" b="15932"/>
                    <a:stretch/>
                  </pic:blipFill>
                  <pic:spPr bwMode="auto">
                    <a:xfrm>
                      <a:off x="0" y="0"/>
                      <a:ext cx="5734050" cy="6781800"/>
                    </a:xfrm>
                    <a:prstGeom prst="rect">
                      <a:avLst/>
                    </a:prstGeom>
                    <a:ln>
                      <a:noFill/>
                    </a:ln>
                    <a:extLst>
                      <a:ext uri="{53640926-AAD7-44D8-BBD7-CCE9431645EC}">
                        <a14:shadowObscured xmlns:a14="http://schemas.microsoft.com/office/drawing/2010/main"/>
                      </a:ext>
                    </a:extLst>
                  </pic:spPr>
                </pic:pic>
              </a:graphicData>
            </a:graphic>
          </wp:inline>
        </w:drawing>
      </w:r>
    </w:p>
    <w:p w:rsidR="00052D39" w:rsidRDefault="00052D39" w:rsidP="00B0008F">
      <w:pPr>
        <w:spacing w:before="240" w:after="240" w:line="360" w:lineRule="auto"/>
        <w:jc w:val="both"/>
        <w:rPr>
          <w:rFonts w:ascii="Palatino Linotype" w:hAnsi="Palatino Linotype"/>
          <w:sz w:val="28"/>
        </w:rPr>
      </w:pPr>
      <w:r>
        <w:rPr>
          <w:noProof/>
          <w:lang w:eastAsia="es-MX"/>
        </w:rPr>
        <w:lastRenderedPageBreak/>
        <w:drawing>
          <wp:inline distT="0" distB="0" distL="0" distR="0" wp14:anchorId="68D1E628" wp14:editId="1017CCF1">
            <wp:extent cx="5724525" cy="320548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34" t="25279" r="34359" b="41799"/>
                    <a:stretch/>
                  </pic:blipFill>
                  <pic:spPr bwMode="auto">
                    <a:xfrm>
                      <a:off x="0" y="0"/>
                      <a:ext cx="5731686" cy="3209490"/>
                    </a:xfrm>
                    <a:prstGeom prst="rect">
                      <a:avLst/>
                    </a:prstGeom>
                    <a:ln>
                      <a:noFill/>
                    </a:ln>
                    <a:extLst>
                      <a:ext uri="{53640926-AAD7-44D8-BBD7-CCE9431645EC}">
                        <a14:shadowObscured xmlns:a14="http://schemas.microsoft.com/office/drawing/2010/main"/>
                      </a:ext>
                    </a:extLst>
                  </pic:spPr>
                </pic:pic>
              </a:graphicData>
            </a:graphic>
          </wp:inline>
        </w:drawing>
      </w:r>
    </w:p>
    <w:p w:rsidR="00052D39" w:rsidRDefault="00052D39" w:rsidP="0040048F">
      <w:pPr>
        <w:spacing w:before="240" w:after="240" w:line="360" w:lineRule="auto"/>
        <w:ind w:left="708" w:hanging="708"/>
        <w:jc w:val="both"/>
        <w:rPr>
          <w:rFonts w:ascii="Palatino Linotype" w:hAnsi="Palatino Linotype"/>
          <w:sz w:val="28"/>
        </w:rPr>
      </w:pPr>
      <w:r>
        <w:rPr>
          <w:noProof/>
          <w:lang w:eastAsia="es-MX"/>
        </w:rPr>
        <w:drawing>
          <wp:inline distT="0" distB="0" distL="0" distR="0" wp14:anchorId="6289AD53" wp14:editId="0714FBF2">
            <wp:extent cx="5724525" cy="3724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35" t="21752" r="30721" b="30629"/>
                    <a:stretch/>
                  </pic:blipFill>
                  <pic:spPr bwMode="auto">
                    <a:xfrm>
                      <a:off x="0" y="0"/>
                      <a:ext cx="5737598" cy="3732780"/>
                    </a:xfrm>
                    <a:prstGeom prst="rect">
                      <a:avLst/>
                    </a:prstGeom>
                    <a:ln>
                      <a:noFill/>
                    </a:ln>
                    <a:extLst>
                      <a:ext uri="{53640926-AAD7-44D8-BBD7-CCE9431645EC}">
                        <a14:shadowObscured xmlns:a14="http://schemas.microsoft.com/office/drawing/2010/main"/>
                      </a:ext>
                    </a:extLst>
                  </pic:spPr>
                </pic:pic>
              </a:graphicData>
            </a:graphic>
          </wp:inline>
        </w:drawing>
      </w:r>
    </w:p>
    <w:p w:rsidR="00A27459" w:rsidRPr="009D1CEC" w:rsidRDefault="00A27459" w:rsidP="00A27459">
      <w:pPr>
        <w:pStyle w:val="Prrafodelista"/>
        <w:numPr>
          <w:ilvl w:val="0"/>
          <w:numId w:val="17"/>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lastRenderedPageBreak/>
        <w:t xml:space="preserve">De la Versión Pública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B2103" w:rsidRPr="00347D2A" w:rsidRDefault="007B2103" w:rsidP="007B2103">
      <w:pPr>
        <w:spacing w:after="0" w:line="360" w:lineRule="auto"/>
        <w:jc w:val="both"/>
        <w:rPr>
          <w:rFonts w:ascii="Palatino Linotype" w:eastAsia="Times New Roman" w:hAnsi="Palatino Linotype" w:cs="Times New Roman"/>
          <w:b/>
          <w:bCs/>
          <w:i/>
          <w:noProof/>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w:t>
      </w:r>
      <w:r w:rsidRPr="00347D2A">
        <w:rPr>
          <w:rFonts w:ascii="Palatino Linotype" w:eastAsia="Times New Roman" w:hAnsi="Palatino Linotype" w:cs="Arial"/>
          <w:b/>
          <w:i/>
          <w:lang w:eastAsia="es-ES"/>
        </w:rPr>
        <w:lastRenderedPageBreak/>
        <w:t xml:space="preserve">responsabilidad de verificar en cada caso que la misma no sea confidencial o 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B2103" w:rsidRPr="00347D2A" w:rsidRDefault="007B2103" w:rsidP="007B2103">
      <w:pPr>
        <w:spacing w:after="0" w:line="240" w:lineRule="auto"/>
        <w:ind w:left="567" w:right="616"/>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347D2A">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B2103" w:rsidRPr="00347D2A" w:rsidRDefault="007B2103" w:rsidP="007B2103">
      <w:pPr>
        <w:spacing w:after="0" w:line="360" w:lineRule="auto"/>
        <w:jc w:val="both"/>
        <w:rPr>
          <w:rFonts w:ascii="Palatino Linotype" w:eastAsia="Arial Unicode MS"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w:t>
      </w:r>
      <w:r w:rsidRPr="00347D2A">
        <w:rPr>
          <w:rFonts w:ascii="Palatino Linotype" w:eastAsia="Times New Roman" w:hAnsi="Palatino Linotype" w:cs="Times New Roman"/>
          <w:sz w:val="24"/>
          <w:szCs w:val="24"/>
          <w:lang w:val="es-ES_tradnl" w:eastAsia="es-ES"/>
        </w:rPr>
        <w:lastRenderedPageBreak/>
        <w:t xml:space="preserve">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rsidR="007B2103" w:rsidRPr="00347D2A" w:rsidRDefault="007B2103" w:rsidP="007B2103">
      <w:pPr>
        <w:spacing w:after="0" w:line="360" w:lineRule="auto"/>
        <w:jc w:val="both"/>
        <w:rPr>
          <w:rFonts w:ascii="Palatino Linotype" w:eastAsia="Times New Roman" w:hAnsi="Palatino Linotype" w:cs="Times New Roman"/>
          <w:sz w:val="24"/>
          <w:szCs w:val="24"/>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w:t>
      </w:r>
      <w:r w:rsidRPr="00347D2A">
        <w:rPr>
          <w:rFonts w:ascii="Palatino Linotype" w:eastAsia="Times New Roman" w:hAnsi="Palatino Linotype" w:cs="Times New Roman"/>
          <w:sz w:val="24"/>
          <w:szCs w:val="24"/>
          <w:lang w:val="es-ES" w:eastAsia="es-MX"/>
        </w:rPr>
        <w:lastRenderedPageBreak/>
        <w:t>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finalmente la </w:t>
      </w:r>
      <w:proofErr w:type="spellStart"/>
      <w:r w:rsidRPr="00347D2A">
        <w:rPr>
          <w:rFonts w:ascii="Palatino Linotype" w:eastAsia="Times New Roman" w:hAnsi="Palatino Linotype" w:cs="Times New Roman"/>
          <w:sz w:val="24"/>
          <w:szCs w:val="24"/>
          <w:lang w:val="es-ES" w:eastAsia="es-ES"/>
        </w:rPr>
        <w:t>homoclave</w:t>
      </w:r>
      <w:proofErr w:type="spellEnd"/>
      <w:r w:rsidRPr="00347D2A">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B2103" w:rsidRPr="00347D2A" w:rsidRDefault="007B2103" w:rsidP="007B2103">
      <w:pPr>
        <w:spacing w:after="0" w:line="360" w:lineRule="auto"/>
        <w:jc w:val="both"/>
        <w:rPr>
          <w:rFonts w:ascii="Palatino Linotype" w:eastAsia="Times New Roman" w:hAnsi="Palatino Linotype" w:cs="Times New Roman"/>
          <w:b/>
          <w:bCs/>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347D2A">
        <w:rPr>
          <w:rFonts w:ascii="Palatino Linotype" w:eastAsia="Times New Roman" w:hAnsi="Palatino Linotype" w:cs="Times New Roman"/>
          <w:sz w:val="24"/>
          <w:szCs w:val="24"/>
          <w:lang w:eastAsia="es-MX"/>
        </w:rPr>
        <w:t>homoclave</w:t>
      </w:r>
      <w:proofErr w:type="spellEnd"/>
      <w:r w:rsidRPr="00347D2A">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7B2103" w:rsidRPr="00347D2A" w:rsidRDefault="007B2103" w:rsidP="007B2103">
      <w:pPr>
        <w:spacing w:after="0" w:line="360" w:lineRule="auto"/>
        <w:jc w:val="both"/>
        <w:rPr>
          <w:rFonts w:ascii="Palatino Linotype" w:eastAsia="Times New Roman" w:hAnsi="Palatino Linotype" w:cs="Arial"/>
          <w:sz w:val="24"/>
          <w:szCs w:val="24"/>
          <w:lang w:val="es-ES" w:eastAsia="es-MX"/>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347D2A">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7B2103" w:rsidRPr="00347D2A" w:rsidRDefault="007B2103" w:rsidP="007B2103">
      <w:pPr>
        <w:spacing w:after="0" w:line="240" w:lineRule="auto"/>
        <w:ind w:left="567" w:right="616"/>
        <w:jc w:val="both"/>
        <w:rPr>
          <w:rFonts w:ascii="Palatino Linotype" w:eastAsia="Times New Roman" w:hAnsi="Palatino Linotype" w:cs="Arial"/>
          <w:bCs/>
          <w:i/>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347D2A">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w:t>
      </w:r>
      <w:proofErr w:type="gramStart"/>
      <w:r w:rsidRPr="00347D2A">
        <w:rPr>
          <w:rFonts w:ascii="Palatino Linotype" w:eastAsia="Times New Roman" w:hAnsi="Palatino Linotype" w:cs="Times New Roman"/>
          <w:sz w:val="24"/>
          <w:szCs w:val="24"/>
          <w:lang w:val="es-ES" w:eastAsia="es-ES"/>
        </w:rPr>
        <w:t>de  no</w:t>
      </w:r>
      <w:proofErr w:type="gramEnd"/>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w:t>
      </w:r>
      <w:r w:rsidRPr="00347D2A">
        <w:rPr>
          <w:rFonts w:ascii="Palatino Linotype" w:eastAsia="Times New Roman" w:hAnsi="Palatino Linotype" w:cs="Times New Roman"/>
          <w:i/>
          <w:noProof/>
          <w:sz w:val="24"/>
          <w:szCs w:val="24"/>
          <w:lang w:val="es-ES"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numPr>
          <w:ilvl w:val="0"/>
          <w:numId w:val="14"/>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lastRenderedPageBreak/>
        <w:t>La mención de que se expiden como tales. Tratándose de certificados de sellos digitales, se deberán especificar las limitantes que tengan para su uso.</w:t>
      </w:r>
    </w:p>
    <w:p w:rsidR="007B2103" w:rsidRPr="00347D2A" w:rsidRDefault="007B2103" w:rsidP="007B2103">
      <w:pPr>
        <w:spacing w:after="0" w:line="240" w:lineRule="auto"/>
        <w:ind w:left="1422"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w:t>
      </w:r>
      <w:proofErr w:type="gramStart"/>
      <w:r w:rsidRPr="00347D2A">
        <w:rPr>
          <w:rFonts w:ascii="Times New Roman" w:eastAsia="Times New Roman" w:hAnsi="Times New Roman" w:cs="Times New Roman"/>
          <w:b/>
          <w:i/>
          <w:lang w:eastAsia="es-MX"/>
        </w:rPr>
        <w:t>Segundo.-</w:t>
      </w:r>
      <w:proofErr w:type="gramEnd"/>
      <w:r w:rsidRPr="00347D2A">
        <w:rPr>
          <w:rFonts w:ascii="Times New Roman" w:eastAsia="Times New Roman" w:hAnsi="Times New Roman" w:cs="Times New Roman"/>
          <w:i/>
          <w:lang w:eastAsia="es-MX"/>
        </w:rPr>
        <w:t xml:space="preserve"> Para efectos de los presentes Lineamientos Generales, se entenderá por:</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347D2A">
        <w:rPr>
          <w:rFonts w:ascii="Times New Roman" w:eastAsia="Times New Roman" w:hAnsi="Times New Roman" w:cs="Times New Roman"/>
          <w:i/>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w:t>
      </w:r>
      <w:r w:rsidRPr="00347D2A">
        <w:rPr>
          <w:rFonts w:ascii="Times New Roman" w:eastAsia="Times New Roman" w:hAnsi="Times New Roman"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rsidR="007B2103" w:rsidRPr="00347D2A" w:rsidRDefault="007B2103" w:rsidP="007B2103">
      <w:pPr>
        <w:spacing w:after="0" w:line="360" w:lineRule="auto"/>
        <w:jc w:val="both"/>
        <w:rPr>
          <w:rFonts w:ascii="Palatino Linotype" w:eastAsia="Times New Roman" w:hAnsi="Palatino Linotype" w:cs="Arial"/>
          <w:i/>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w:t>
      </w:r>
      <w:proofErr w:type="spellStart"/>
      <w:r w:rsidRPr="00347D2A">
        <w:rPr>
          <w:rFonts w:ascii="Palatino Linotype" w:eastAsia="Times New Roman" w:hAnsi="Palatino Linotype" w:cs="Times New Roman"/>
          <w:sz w:val="24"/>
          <w:szCs w:val="24"/>
          <w:lang w:eastAsia="es-ES"/>
        </w:rPr>
        <w:t>hipótesis</w:t>
      </w:r>
      <w:proofErr w:type="spellEnd"/>
      <w:r w:rsidRPr="00347D2A">
        <w:rPr>
          <w:rFonts w:ascii="Palatino Linotype" w:eastAsia="Times New Roman" w:hAnsi="Palatino Linotype" w:cs="Times New Roman"/>
          <w:sz w:val="24"/>
          <w:szCs w:val="24"/>
          <w:lang w:eastAsia="es-ES"/>
        </w:rPr>
        <w:t xml:space="preserve"> de clasificación y no hacerlas valer de manera general. Es importante señalar que, para acreditar dichos supuestos jurídicos se debe fundar y motivar correctamente la categorización de la información.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347D2A">
        <w:rPr>
          <w:rFonts w:ascii="Palatino Linotype" w:eastAsia="Times New Roman" w:hAnsi="Palatino Linotype" w:cs="Times New Roman"/>
          <w:i/>
          <w:lang w:eastAsia="es-ES"/>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En consecuencia, la fundamentación y motivación implica </w:t>
      </w:r>
      <w:proofErr w:type="gramStart"/>
      <w:r w:rsidRPr="00347D2A">
        <w:rPr>
          <w:rFonts w:ascii="Palatino Linotype" w:eastAsia="Times New Roman" w:hAnsi="Palatino Linotype" w:cs="Times New Roman"/>
          <w:sz w:val="24"/>
          <w:szCs w:val="24"/>
          <w:lang w:eastAsia="es-ES"/>
        </w:rPr>
        <w:t>que</w:t>
      </w:r>
      <w:proofErr w:type="gramEnd"/>
      <w:r w:rsidRPr="00347D2A">
        <w:rPr>
          <w:rFonts w:ascii="Palatino Linotype" w:eastAsia="Times New Roman" w:hAnsi="Palatino Linotype" w:cs="Times New Roman"/>
          <w:sz w:val="24"/>
          <w:szCs w:val="24"/>
          <w:lang w:eastAsia="es-ES"/>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w:t>
      </w:r>
      <w:r w:rsidRPr="00347D2A">
        <w:rPr>
          <w:rFonts w:ascii="Palatino Linotype" w:eastAsia="Times New Roman" w:hAnsi="Palatino Linotype" w:cs="Arial"/>
          <w:bCs/>
          <w:sz w:val="24"/>
          <w:szCs w:val="24"/>
          <w:lang w:eastAsia="es-ES"/>
        </w:rPr>
        <w:lastRenderedPageBreak/>
        <w:t xml:space="preserve">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w:t>
      </w:r>
      <w:r w:rsidRPr="006010FE">
        <w:rPr>
          <w:rFonts w:ascii="Palatino Linotype" w:eastAsia="MS Mincho" w:hAnsi="Palatino Linotype"/>
          <w:sz w:val="24"/>
        </w:rPr>
        <w:lastRenderedPageBreak/>
        <w:t xml:space="preserve">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w:t>
      </w:r>
      <w:r w:rsidRPr="00C77DFD">
        <w:rPr>
          <w:rFonts w:ascii="Palatino Linotype" w:hAnsi="Palatino Linotype"/>
          <w:sz w:val="24"/>
        </w:rPr>
        <w:lastRenderedPageBreak/>
        <w:t>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Pr="00A27459">
        <w:rPr>
          <w:rFonts w:ascii="Palatino Linotype" w:hAnsi="Palatino Linotype" w:cs="Arial"/>
          <w:b/>
          <w:bCs/>
          <w:sz w:val="24"/>
        </w:rPr>
        <w:t>00034/CHICOLOA/IP/2019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A27459" w:rsidRDefault="00A27459"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27459" w:rsidRDefault="00A27459" w:rsidP="00A27459">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rsidR="00A27459" w:rsidRDefault="00A27459" w:rsidP="00A27459">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6F001B" w:rsidRPr="009A6D1C">
        <w:rPr>
          <w:rFonts w:ascii="Palatino Linotype" w:hAnsi="Palatino Linotype" w:cs="Arial"/>
          <w:b/>
          <w:sz w:val="24"/>
        </w:rPr>
        <w:t>00027/MORELOS/IP/2019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en versión pública</w:t>
      </w:r>
      <w:r w:rsidR="00D87D47">
        <w:rPr>
          <w:rFonts w:ascii="Palatino Linotype" w:hAnsi="Palatino Linotype" w:cs="Arial"/>
          <w:sz w:val="24"/>
          <w:lang w:eastAsia="es-MX"/>
        </w:rPr>
        <w:t xml:space="preserve"> de ser procedente,</w:t>
      </w:r>
      <w:r>
        <w:rPr>
          <w:rFonts w:ascii="Palatino Linotype" w:hAnsi="Palatino Linotype" w:cs="Arial"/>
          <w:sz w:val="24"/>
          <w:lang w:eastAsia="es-MX"/>
        </w:rPr>
        <w:t xml:space="preserve"> a través del SAIMEX, de lo siguiente:</w:t>
      </w:r>
    </w:p>
    <w:p w:rsidR="00A65C79" w:rsidRPr="00A65C79" w:rsidRDefault="0032321A" w:rsidP="00A27459">
      <w:pPr>
        <w:numPr>
          <w:ilvl w:val="0"/>
          <w:numId w:val="20"/>
        </w:numPr>
        <w:autoSpaceDE w:val="0"/>
        <w:autoSpaceDN w:val="0"/>
        <w:adjustRightInd w:val="0"/>
        <w:spacing w:before="240" w:after="0" w:line="360" w:lineRule="auto"/>
        <w:ind w:left="1416" w:right="49" w:hanging="1056"/>
        <w:jc w:val="both"/>
        <w:rPr>
          <w:rFonts w:ascii="Palatino Linotype" w:eastAsia="Times New Roman" w:hAnsi="Palatino Linotype" w:cs="Arial"/>
          <w:i/>
          <w:sz w:val="24"/>
          <w:szCs w:val="24"/>
          <w:lang w:val="es-ES" w:eastAsia="es-ES"/>
        </w:rPr>
      </w:pPr>
      <w:r>
        <w:rPr>
          <w:rFonts w:ascii="Palatino Linotype" w:eastAsia="MS Mincho" w:hAnsi="Palatino Linotype" w:cs="Times New Roman"/>
          <w:i/>
          <w:sz w:val="24"/>
          <w:szCs w:val="24"/>
          <w:lang w:val="es-ES" w:eastAsia="es-ES"/>
        </w:rPr>
        <w:t>Nómina General</w:t>
      </w:r>
      <w:r w:rsidR="00A65C79">
        <w:rPr>
          <w:rFonts w:ascii="Palatino Linotype" w:eastAsia="MS Mincho" w:hAnsi="Palatino Linotype" w:cs="Times New Roman"/>
          <w:i/>
          <w:sz w:val="24"/>
          <w:szCs w:val="24"/>
          <w:lang w:val="es-ES" w:eastAsia="es-ES"/>
        </w:rPr>
        <w:t xml:space="preserve"> del 1 de enero al 15 de marzo de 2019</w:t>
      </w:r>
      <w:r w:rsidR="00BC5E09">
        <w:rPr>
          <w:rFonts w:ascii="Palatino Linotype" w:eastAsia="MS Mincho" w:hAnsi="Palatino Linotype" w:cs="Times New Roman"/>
          <w:i/>
          <w:sz w:val="24"/>
          <w:szCs w:val="24"/>
          <w:lang w:val="es-ES" w:eastAsia="es-ES"/>
        </w:rPr>
        <w:t>.</w:t>
      </w:r>
    </w:p>
    <w:p w:rsidR="00A27459" w:rsidRPr="00A65C79" w:rsidRDefault="00A65C79" w:rsidP="007928E0">
      <w:pPr>
        <w:numPr>
          <w:ilvl w:val="0"/>
          <w:numId w:val="20"/>
        </w:numPr>
        <w:autoSpaceDE w:val="0"/>
        <w:autoSpaceDN w:val="0"/>
        <w:adjustRightInd w:val="0"/>
        <w:spacing w:before="240" w:after="0" w:line="360" w:lineRule="auto"/>
        <w:ind w:left="1416" w:right="49" w:hanging="1056"/>
        <w:jc w:val="both"/>
        <w:rPr>
          <w:rFonts w:ascii="Palatino Linotype" w:eastAsia="Times New Roman" w:hAnsi="Palatino Linotype" w:cs="Arial"/>
          <w:i/>
          <w:sz w:val="24"/>
          <w:szCs w:val="24"/>
          <w:lang w:val="es-ES" w:eastAsia="es-ES"/>
        </w:rPr>
      </w:pPr>
      <w:r w:rsidRPr="00A65C79">
        <w:rPr>
          <w:rFonts w:ascii="Palatino Linotype" w:eastAsia="MS Mincho" w:hAnsi="Palatino Linotype" w:cs="Times New Roman"/>
          <w:i/>
          <w:sz w:val="24"/>
          <w:szCs w:val="24"/>
          <w:lang w:val="es-ES" w:eastAsia="es-ES"/>
        </w:rPr>
        <w:t>Tabulador de sueldos en formato abierto</w:t>
      </w:r>
      <w:r w:rsidR="006F001B">
        <w:rPr>
          <w:rFonts w:ascii="Palatino Linotype" w:eastAsia="MS Mincho" w:hAnsi="Palatino Linotype" w:cs="Times New Roman"/>
          <w:i/>
          <w:sz w:val="24"/>
          <w:szCs w:val="24"/>
          <w:lang w:val="es-ES" w:eastAsia="es-ES"/>
        </w:rPr>
        <w:t xml:space="preserve"> o en el formato que lo genere.</w:t>
      </w:r>
    </w:p>
    <w:p w:rsidR="00A27459" w:rsidRDefault="00A27459" w:rsidP="00A27459">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A65C79" w:rsidRDefault="00A65C79" w:rsidP="00A27459">
      <w:pPr>
        <w:spacing w:before="240" w:after="0" w:line="360" w:lineRule="auto"/>
        <w:ind w:left="720"/>
        <w:jc w:val="both"/>
        <w:rPr>
          <w:rFonts w:ascii="Palatino Linotype" w:eastAsia="Times New Roman" w:hAnsi="Palatino Linotype" w:cs="Arial"/>
          <w:i/>
          <w:sz w:val="24"/>
          <w:szCs w:val="24"/>
          <w:lang w:val="es-ES" w:eastAsia="es-ES"/>
        </w:rPr>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27459" w:rsidRDefault="00A27459"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w:t>
      </w:r>
      <w:r>
        <w:rPr>
          <w:rFonts w:ascii="Palatino Linotype" w:hAnsi="Palatino Linotype" w:cs="Arial"/>
          <w:sz w:val="24"/>
          <w:szCs w:val="24"/>
        </w:rPr>
        <w:lastRenderedPageBreak/>
        <w:t xml:space="preserve">Pública del Estado de México y Municipios, en caso de que considere que la resolución le cause algún perjuicio podrá impugnarla vía juicio de amparo en los términos de las leyes aplicables. </w:t>
      </w: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p>
    <w:p w:rsidR="00A27459" w:rsidRDefault="00A27459" w:rsidP="00A2745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32321A" w:rsidRDefault="0032321A" w:rsidP="0032321A">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w:t>
      </w:r>
      <w:r w:rsidR="00C21D7E" w:rsidRPr="00C21D7E">
        <w:rPr>
          <w:rFonts w:ascii="Palatino Linotype" w:hAnsi="Palatino Linotype" w:cs="Arial"/>
          <w:sz w:val="24"/>
          <w:szCs w:val="24"/>
        </w:rPr>
        <w:t xml:space="preserve"> </w:t>
      </w:r>
      <w:r w:rsidR="00C21D7E">
        <w:rPr>
          <w:rFonts w:ascii="Palatino Linotype" w:hAnsi="Palatino Linotype" w:cs="Arial"/>
          <w:sz w:val="24"/>
          <w:szCs w:val="24"/>
        </w:rPr>
        <w:t>EMITIENDO VOTO PARTICULAR</w:t>
      </w:r>
      <w:r>
        <w:rPr>
          <w:rFonts w:ascii="Palatino Linotype" w:hAnsi="Palatino Linotype" w:cs="Arial"/>
          <w:sz w:val="24"/>
          <w:szCs w:val="24"/>
        </w:rPr>
        <w:t>, EN LA VIGÉSIMO QUINTA SESIÓN ORDINARIA CELEBRADA EL CUATRO DE JULIO DE DOS MIL DIECINUEVE, ANTE EL SECRETARIO TÉCNICO DEL PLENO, ALEXIS TAPIA RAMÍREZ.--------------------------------------------------------------------------------------------------------------------------------------------------------------------------------------------------------------------------------------------------------------------------------------------------------------------------------------------------------------------------------------------------------------</w:t>
      </w:r>
    </w:p>
    <w:p w:rsidR="00C21D7E" w:rsidRDefault="00C21D7E" w:rsidP="0032321A">
      <w:pPr>
        <w:spacing w:after="0" w:line="360" w:lineRule="auto"/>
        <w:jc w:val="both"/>
        <w:rPr>
          <w:rFonts w:ascii="Palatino Linotype" w:hAnsi="Palatino Linotype" w:cs="Arial"/>
          <w:sz w:val="24"/>
          <w:szCs w:val="24"/>
        </w:rPr>
      </w:pPr>
    </w:p>
    <w:p w:rsidR="0032321A" w:rsidRDefault="0032321A" w:rsidP="0032321A">
      <w:pPr>
        <w:spacing w:after="0" w:line="360" w:lineRule="auto"/>
        <w:jc w:val="both"/>
        <w:rPr>
          <w:rFonts w:ascii="Palatino Linotype" w:hAnsi="Palatino Linotype"/>
        </w:rPr>
      </w:pPr>
    </w:p>
    <w:p w:rsidR="0032321A" w:rsidRDefault="0032321A" w:rsidP="0032321A">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E24F232" wp14:editId="5A6C2FF2">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E24F232"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pPr>
                        <w:spacing w:line="240" w:lineRule="auto"/>
                        <w:jc w:val="center"/>
                        <w:rPr>
                          <w:rFonts w:ascii="Palatino Linotype" w:hAnsi="Palatino Linotype"/>
                          <w:sz w:val="24"/>
                          <w:szCs w:val="24"/>
                        </w:rPr>
                      </w:pPr>
                    </w:p>
                  </w:txbxContent>
                </v:textbox>
                <w10:wrap type="square" anchorx="page"/>
              </v:shape>
            </w:pict>
          </mc:Fallback>
        </mc:AlternateContent>
      </w:r>
    </w:p>
    <w:p w:rsidR="0032321A" w:rsidRPr="00D54B7D" w:rsidRDefault="0032321A" w:rsidP="0032321A">
      <w:pPr>
        <w:spacing w:before="240"/>
        <w:jc w:val="both"/>
        <w:rPr>
          <w:rFonts w:ascii="Palatino Linotype" w:hAnsi="Palatino Linotype"/>
        </w:rPr>
      </w:pPr>
    </w:p>
    <w:p w:rsidR="0032321A" w:rsidRPr="00D54B7D" w:rsidRDefault="0032321A" w:rsidP="0032321A">
      <w:pPr>
        <w:spacing w:before="240"/>
        <w:jc w:val="center"/>
        <w:rPr>
          <w:rFonts w:ascii="Palatino Linotype" w:hAnsi="Palatino Linotype"/>
        </w:rPr>
      </w:pPr>
    </w:p>
    <w:p w:rsidR="0032321A" w:rsidRDefault="0032321A" w:rsidP="0032321A">
      <w:pPr>
        <w:spacing w:before="240"/>
        <w:rPr>
          <w:rFonts w:ascii="Palatino Linotype" w:hAnsi="Palatino Linotype"/>
          <w:b/>
        </w:rPr>
      </w:pPr>
    </w:p>
    <w:p w:rsidR="0032321A" w:rsidRDefault="0032321A" w:rsidP="0032321A">
      <w:pPr>
        <w:spacing w:before="240"/>
        <w:rPr>
          <w:rFonts w:ascii="Palatino Linotype" w:hAnsi="Palatino Linotype"/>
          <w:b/>
        </w:rPr>
      </w:pPr>
    </w:p>
    <w:p w:rsidR="0032321A" w:rsidRDefault="0032321A" w:rsidP="0032321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3783135" wp14:editId="35046D03">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Pr="00797B31" w:rsidRDefault="0032321A" w:rsidP="0032321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3135"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Pr="00797B31" w:rsidRDefault="0032321A" w:rsidP="0032321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5D6CCC2" wp14:editId="1C79D897">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CCC2"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pPr>
                        <w:jc w:val="center"/>
                      </w:pPr>
                    </w:p>
                  </w:txbxContent>
                </v:textbox>
                <w10:wrap anchorx="margin"/>
              </v:shape>
            </w:pict>
          </mc:Fallback>
        </mc:AlternateContent>
      </w:r>
    </w:p>
    <w:p w:rsidR="0032321A" w:rsidRPr="00D54B7D" w:rsidRDefault="0032321A" w:rsidP="0032321A">
      <w:pPr>
        <w:spacing w:before="240"/>
        <w:rPr>
          <w:rFonts w:ascii="Palatino Linotype" w:hAnsi="Palatino Linotype"/>
          <w:b/>
        </w:rPr>
      </w:pPr>
    </w:p>
    <w:p w:rsidR="0032321A" w:rsidRPr="00D54B7D" w:rsidRDefault="0032321A" w:rsidP="0032321A">
      <w:pPr>
        <w:spacing w:before="240"/>
        <w:rPr>
          <w:rFonts w:ascii="Palatino Linotype" w:hAnsi="Palatino Linotype"/>
          <w:b/>
        </w:rPr>
      </w:pPr>
    </w:p>
    <w:p w:rsidR="0032321A" w:rsidRDefault="0032321A" w:rsidP="0032321A">
      <w:pPr>
        <w:spacing w:before="240"/>
        <w:rPr>
          <w:rFonts w:ascii="Palatino Linotype" w:hAnsi="Palatino Linotype"/>
          <w:b/>
        </w:rPr>
      </w:pPr>
    </w:p>
    <w:p w:rsidR="0032321A" w:rsidRPr="00B93570" w:rsidRDefault="0032321A" w:rsidP="0032321A">
      <w:pPr>
        <w:spacing w:before="240"/>
        <w:rPr>
          <w:rFonts w:ascii="Palatino Linotype" w:hAnsi="Palatino Linotype"/>
          <w:b/>
          <w:sz w:val="18"/>
          <w:szCs w:val="18"/>
        </w:rPr>
      </w:pPr>
    </w:p>
    <w:p w:rsidR="0032321A" w:rsidRPr="00B93570" w:rsidRDefault="0032321A" w:rsidP="0032321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0976CF7B" wp14:editId="2E02651F">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CF7B"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2CEE1C05" wp14:editId="45B5C9C7">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1C05" 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(Rúbrica).</w:t>
                      </w:r>
                    </w:p>
                    <w:p w:rsidR="0032321A" w:rsidRDefault="0032321A" w:rsidP="0032321A"/>
                  </w:txbxContent>
                </v:textbox>
                <w10:wrap anchorx="page"/>
              </v:shape>
            </w:pict>
          </mc:Fallback>
        </mc:AlternateContent>
      </w:r>
    </w:p>
    <w:p w:rsidR="0032321A" w:rsidRDefault="0032321A" w:rsidP="0032321A">
      <w:pPr>
        <w:spacing w:before="240"/>
        <w:rPr>
          <w:rFonts w:ascii="Palatino Linotype" w:hAnsi="Palatino Linotype"/>
          <w:b/>
        </w:rPr>
      </w:pPr>
    </w:p>
    <w:p w:rsidR="0032321A" w:rsidRDefault="0032321A" w:rsidP="0032321A">
      <w:pPr>
        <w:spacing w:before="240"/>
        <w:rPr>
          <w:rFonts w:ascii="Palatino Linotype" w:hAnsi="Palatino Linotype"/>
          <w:b/>
        </w:rPr>
      </w:pPr>
    </w:p>
    <w:p w:rsidR="0032321A" w:rsidRDefault="0032321A" w:rsidP="0032321A">
      <w:pPr>
        <w:spacing w:before="240"/>
        <w:rPr>
          <w:rFonts w:ascii="Palatino Linotype" w:hAnsi="Palatino Linotype" w:cs="Arial"/>
          <w:szCs w:val="20"/>
        </w:rPr>
      </w:pPr>
    </w:p>
    <w:p w:rsidR="0032321A" w:rsidRDefault="0032321A" w:rsidP="0032321A">
      <w:pPr>
        <w:spacing w:before="240"/>
        <w:rPr>
          <w:rFonts w:ascii="Palatino Linotype" w:hAnsi="Palatino Linotype" w:cs="Arial"/>
          <w:szCs w:val="20"/>
        </w:rPr>
      </w:pPr>
    </w:p>
    <w:p w:rsidR="0032321A" w:rsidRDefault="0032321A" w:rsidP="0032321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A0AA897" wp14:editId="35F285C4">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2321A" w:rsidRDefault="0032321A" w:rsidP="0032321A">
                            <w:pPr>
                              <w:jc w:val="center"/>
                              <w:rPr>
                                <w:rFonts w:ascii="Palatino Linotype" w:hAnsi="Palatino Linotype"/>
                                <w:sz w:val="24"/>
                                <w:szCs w:val="24"/>
                              </w:rPr>
                            </w:pPr>
                          </w:p>
                          <w:p w:rsidR="0032321A" w:rsidRPr="00EF2FC0" w:rsidRDefault="0032321A" w:rsidP="0032321A">
                            <w:pPr>
                              <w:jc w:val="center"/>
                              <w:rPr>
                                <w:rFonts w:ascii="Palatino Linotype" w:hAnsi="Palatino Linotype"/>
                                <w:sz w:val="24"/>
                                <w:szCs w:val="24"/>
                              </w:rPr>
                            </w:pPr>
                          </w:p>
                          <w:p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A897" id="Cuadro de texto 24" o:spid="_x0000_s1031" type="#_x0000_t202" style="position:absolute;margin-left:190.25pt;margin-top:2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2321A" w:rsidRDefault="0032321A" w:rsidP="0032321A">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2321A" w:rsidRDefault="0032321A" w:rsidP="0032321A">
                      <w:pPr>
                        <w:jc w:val="center"/>
                        <w:rPr>
                          <w:rFonts w:ascii="Palatino Linotype" w:hAnsi="Palatino Linotype"/>
                          <w:sz w:val="24"/>
                          <w:szCs w:val="24"/>
                        </w:rPr>
                      </w:pPr>
                    </w:p>
                    <w:p w:rsidR="0032321A" w:rsidRPr="00EF2FC0" w:rsidRDefault="0032321A" w:rsidP="0032321A">
                      <w:pPr>
                        <w:jc w:val="center"/>
                        <w:rPr>
                          <w:rFonts w:ascii="Palatino Linotype" w:hAnsi="Palatino Linotype"/>
                          <w:sz w:val="24"/>
                          <w:szCs w:val="24"/>
                        </w:rPr>
                      </w:pPr>
                    </w:p>
                    <w:p w:rsidR="0032321A" w:rsidRDefault="0032321A" w:rsidP="0032321A"/>
                  </w:txbxContent>
                </v:textbox>
                <w10:wrap anchorx="page"/>
              </v:shape>
            </w:pict>
          </mc:Fallback>
        </mc:AlternateContent>
      </w:r>
    </w:p>
    <w:p w:rsidR="0032321A" w:rsidRDefault="0032321A" w:rsidP="0032321A">
      <w:pPr>
        <w:spacing w:before="240"/>
        <w:rPr>
          <w:rFonts w:ascii="Palatino Linotype" w:hAnsi="Palatino Linotype" w:cs="Arial"/>
          <w:sz w:val="18"/>
          <w:szCs w:val="18"/>
        </w:rPr>
      </w:pPr>
    </w:p>
    <w:p w:rsidR="0032321A" w:rsidRDefault="0032321A" w:rsidP="0032321A">
      <w:pPr>
        <w:spacing w:before="240"/>
        <w:jc w:val="both"/>
        <w:rPr>
          <w:rFonts w:ascii="Palatino Linotype" w:hAnsi="Palatino Linotype" w:cs="Arial"/>
          <w:sz w:val="18"/>
          <w:szCs w:val="18"/>
        </w:rPr>
      </w:pPr>
    </w:p>
    <w:p w:rsidR="0032321A" w:rsidRDefault="0032321A" w:rsidP="0032321A">
      <w:pPr>
        <w:spacing w:before="240" w:line="240" w:lineRule="auto"/>
        <w:jc w:val="both"/>
        <w:rPr>
          <w:rFonts w:ascii="Palatino Linotype" w:hAnsi="Palatino Linotype" w:cs="Arial"/>
          <w:sz w:val="14"/>
          <w:szCs w:val="14"/>
        </w:rPr>
      </w:pPr>
    </w:p>
    <w:p w:rsidR="0032321A" w:rsidRPr="002052F6" w:rsidRDefault="0032321A" w:rsidP="0032321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cuatro de julio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03035/INFOEM/IP/RR/2019</w:t>
      </w:r>
      <w:r w:rsidRPr="002052F6">
        <w:rPr>
          <w:rFonts w:ascii="Palatino Linotype" w:hAnsi="Palatino Linotype" w:cs="Arial"/>
          <w:sz w:val="16"/>
          <w:szCs w:val="16"/>
        </w:rPr>
        <w:t>.</w:t>
      </w:r>
    </w:p>
    <w:p w:rsidR="0032321A" w:rsidRDefault="0032321A" w:rsidP="0032321A">
      <w:pPr>
        <w:spacing w:after="0"/>
      </w:pPr>
      <w:r w:rsidRPr="002052F6">
        <w:t>ZMS/OSAM/MAEM</w:t>
      </w:r>
    </w:p>
    <w:sectPr w:rsidR="0032321A" w:rsidSect="00E15E8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373" w:rsidRDefault="00657373" w:rsidP="00E15E85">
      <w:pPr>
        <w:spacing w:after="0" w:line="240" w:lineRule="auto"/>
      </w:pPr>
      <w:r>
        <w:separator/>
      </w:r>
    </w:p>
  </w:endnote>
  <w:endnote w:type="continuationSeparator" w:id="0">
    <w:p w:rsidR="00657373" w:rsidRDefault="0065737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373" w:rsidRDefault="00657373" w:rsidP="00E15E85">
      <w:pPr>
        <w:spacing w:after="0" w:line="240" w:lineRule="auto"/>
      </w:pPr>
      <w:r>
        <w:separator/>
      </w:r>
    </w:p>
  </w:footnote>
  <w:footnote w:type="continuationSeparator" w:id="0">
    <w:p w:rsidR="00657373" w:rsidRDefault="00657373"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0008F" w:rsidRPr="00B92BC3" w:rsidRDefault="00B0008F"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B0008F" w:rsidRDefault="00B0008F"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E15E85" w:rsidRPr="00D56BC3" w:rsidRDefault="00BA65E0"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9A6D1C">
            <w:rPr>
              <w:rFonts w:ascii="Palatino Linotype" w:hAnsi="Palatino Linotype" w:cs="Arial"/>
              <w:bCs/>
              <w:sz w:val="24"/>
              <w:lang w:eastAsia="es-MX"/>
            </w:rPr>
            <w:t>303</w:t>
          </w:r>
          <w:r>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9A6D1C" w:rsidP="00BA65E0">
          <w:pPr>
            <w:spacing w:after="120" w:line="256" w:lineRule="auto"/>
            <w:ind w:left="-486" w:right="214" w:firstLine="284"/>
            <w:jc w:val="right"/>
            <w:rPr>
              <w:rFonts w:ascii="Palatino Linotype" w:hAnsi="Palatino Linotype" w:cs="Arial"/>
              <w:szCs w:val="20"/>
            </w:rPr>
          </w:pPr>
          <w:r w:rsidRPr="009A6D1C">
            <w:rPr>
              <w:rFonts w:ascii="Palatino Linotype" w:hAnsi="Palatino Linotype" w:cs="Arial"/>
              <w:szCs w:val="20"/>
            </w:rPr>
            <w:t>Ayuntamiento de Morelos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E15E85" w:rsidRPr="00B4142F" w:rsidRDefault="00BA65E0"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9A6D1C">
            <w:rPr>
              <w:rFonts w:ascii="Palatino Linotype" w:hAnsi="Palatino Linotype" w:cs="Arial"/>
              <w:bCs/>
              <w:sz w:val="24"/>
              <w:lang w:eastAsia="es-MX"/>
            </w:rPr>
            <w:t>3035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C537F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9A6D1C" w:rsidP="0015550A">
          <w:pPr>
            <w:spacing w:after="120" w:line="256" w:lineRule="auto"/>
            <w:ind w:left="-495" w:right="214" w:firstLine="567"/>
            <w:jc w:val="right"/>
            <w:rPr>
              <w:rFonts w:ascii="Palatino Linotype" w:hAnsi="Palatino Linotype" w:cs="Arial"/>
              <w:szCs w:val="20"/>
            </w:rPr>
          </w:pPr>
          <w:r w:rsidRPr="009A6D1C">
            <w:rPr>
              <w:rFonts w:ascii="Palatino Linotype" w:hAnsi="Palatino Linotype" w:cs="Arial"/>
              <w:szCs w:val="20"/>
            </w:rPr>
            <w:t>Ayuntamiento de Morelos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57DB9"/>
    <w:multiLevelType w:val="hybridMultilevel"/>
    <w:tmpl w:val="18640776"/>
    <w:numStyleLink w:val="Estiloimportado2"/>
  </w:abstractNum>
  <w:abstractNum w:abstractNumId="16"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9"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
  </w:num>
  <w:num w:numId="3">
    <w:abstractNumId w:val="14"/>
  </w:num>
  <w:num w:numId="4">
    <w:abstractNumId w:val="9"/>
  </w:num>
  <w:num w:numId="5">
    <w:abstractNumId w:val="15"/>
  </w:num>
  <w:num w:numId="6">
    <w:abstractNumId w:val="4"/>
  </w:num>
  <w:num w:numId="7">
    <w:abstractNumId w:val="20"/>
  </w:num>
  <w:num w:numId="8">
    <w:abstractNumId w:val="12"/>
  </w:num>
  <w:num w:numId="9">
    <w:abstractNumId w:val="5"/>
  </w:num>
  <w:num w:numId="10">
    <w:abstractNumId w:val="19"/>
  </w:num>
  <w:num w:numId="11">
    <w:abstractNumId w:val="8"/>
  </w:num>
  <w:num w:numId="12">
    <w:abstractNumId w:val="11"/>
  </w:num>
  <w:num w:numId="13">
    <w:abstractNumId w:val="1"/>
  </w:num>
  <w:num w:numId="14">
    <w:abstractNumId w:val="6"/>
  </w:num>
  <w:num w:numId="15">
    <w:abstractNumId w:val="13"/>
  </w:num>
  <w:num w:numId="16">
    <w:abstractNumId w:val="16"/>
  </w:num>
  <w:num w:numId="17">
    <w:abstractNumId w:val="17"/>
  </w:num>
  <w:num w:numId="18">
    <w:abstractNumId w:val="0"/>
  </w:num>
  <w:num w:numId="19">
    <w:abstractNumId w:val="2"/>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062B0"/>
    <w:rsid w:val="00026904"/>
    <w:rsid w:val="0003050E"/>
    <w:rsid w:val="00035F8F"/>
    <w:rsid w:val="00041425"/>
    <w:rsid w:val="00046E4C"/>
    <w:rsid w:val="0004795A"/>
    <w:rsid w:val="00052A02"/>
    <w:rsid w:val="00052B19"/>
    <w:rsid w:val="00052D39"/>
    <w:rsid w:val="00053ED1"/>
    <w:rsid w:val="00061BA0"/>
    <w:rsid w:val="00062CBD"/>
    <w:rsid w:val="00073973"/>
    <w:rsid w:val="00074A99"/>
    <w:rsid w:val="00076643"/>
    <w:rsid w:val="00082DF3"/>
    <w:rsid w:val="00091D98"/>
    <w:rsid w:val="0009633E"/>
    <w:rsid w:val="000C22EC"/>
    <w:rsid w:val="000C59EE"/>
    <w:rsid w:val="000F019E"/>
    <w:rsid w:val="0011750A"/>
    <w:rsid w:val="0012266D"/>
    <w:rsid w:val="00130D58"/>
    <w:rsid w:val="00142F61"/>
    <w:rsid w:val="00152B26"/>
    <w:rsid w:val="0015550A"/>
    <w:rsid w:val="00171BD5"/>
    <w:rsid w:val="00183623"/>
    <w:rsid w:val="001B066D"/>
    <w:rsid w:val="001B3E5E"/>
    <w:rsid w:val="001C28D0"/>
    <w:rsid w:val="001C3E01"/>
    <w:rsid w:val="001C3F41"/>
    <w:rsid w:val="001C7069"/>
    <w:rsid w:val="001F295E"/>
    <w:rsid w:val="001F5D0E"/>
    <w:rsid w:val="002052F6"/>
    <w:rsid w:val="00217E99"/>
    <w:rsid w:val="0022069E"/>
    <w:rsid w:val="00223C2F"/>
    <w:rsid w:val="00224181"/>
    <w:rsid w:val="00226E44"/>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E3702"/>
    <w:rsid w:val="002F478E"/>
    <w:rsid w:val="003011A8"/>
    <w:rsid w:val="003034F4"/>
    <w:rsid w:val="00307041"/>
    <w:rsid w:val="00317B8A"/>
    <w:rsid w:val="0032321A"/>
    <w:rsid w:val="00330A95"/>
    <w:rsid w:val="003341B0"/>
    <w:rsid w:val="00334E11"/>
    <w:rsid w:val="00342A59"/>
    <w:rsid w:val="003452FA"/>
    <w:rsid w:val="0034696E"/>
    <w:rsid w:val="003470B1"/>
    <w:rsid w:val="003474F2"/>
    <w:rsid w:val="0035772D"/>
    <w:rsid w:val="00357BFC"/>
    <w:rsid w:val="00366F7E"/>
    <w:rsid w:val="0037311B"/>
    <w:rsid w:val="00384AC7"/>
    <w:rsid w:val="00385299"/>
    <w:rsid w:val="0039084D"/>
    <w:rsid w:val="003B465B"/>
    <w:rsid w:val="003C5897"/>
    <w:rsid w:val="003E3297"/>
    <w:rsid w:val="0040048F"/>
    <w:rsid w:val="004254FE"/>
    <w:rsid w:val="00437C82"/>
    <w:rsid w:val="00470C7E"/>
    <w:rsid w:val="00492244"/>
    <w:rsid w:val="004A2BFB"/>
    <w:rsid w:val="004C3693"/>
    <w:rsid w:val="004E6DB3"/>
    <w:rsid w:val="004F05B2"/>
    <w:rsid w:val="00523067"/>
    <w:rsid w:val="00526CB4"/>
    <w:rsid w:val="00527856"/>
    <w:rsid w:val="00527C6A"/>
    <w:rsid w:val="005329E8"/>
    <w:rsid w:val="005733EB"/>
    <w:rsid w:val="0057576D"/>
    <w:rsid w:val="00576C26"/>
    <w:rsid w:val="005820BF"/>
    <w:rsid w:val="005C7580"/>
    <w:rsid w:val="00611799"/>
    <w:rsid w:val="00614FDD"/>
    <w:rsid w:val="00616784"/>
    <w:rsid w:val="00631B59"/>
    <w:rsid w:val="00653B08"/>
    <w:rsid w:val="00654B56"/>
    <w:rsid w:val="00657373"/>
    <w:rsid w:val="00673CFD"/>
    <w:rsid w:val="006A08BA"/>
    <w:rsid w:val="006B2E10"/>
    <w:rsid w:val="006B7C59"/>
    <w:rsid w:val="006C1A4F"/>
    <w:rsid w:val="006F001B"/>
    <w:rsid w:val="006F2EA8"/>
    <w:rsid w:val="00707CD8"/>
    <w:rsid w:val="00713A19"/>
    <w:rsid w:val="0071620F"/>
    <w:rsid w:val="00740AC8"/>
    <w:rsid w:val="00755099"/>
    <w:rsid w:val="007654BC"/>
    <w:rsid w:val="0079194D"/>
    <w:rsid w:val="007A0267"/>
    <w:rsid w:val="007A1183"/>
    <w:rsid w:val="007A3D09"/>
    <w:rsid w:val="007B2103"/>
    <w:rsid w:val="007C1445"/>
    <w:rsid w:val="007C56AB"/>
    <w:rsid w:val="007C64C1"/>
    <w:rsid w:val="007D276C"/>
    <w:rsid w:val="007D48FA"/>
    <w:rsid w:val="007D62B3"/>
    <w:rsid w:val="007E1AE4"/>
    <w:rsid w:val="007E2959"/>
    <w:rsid w:val="00807D14"/>
    <w:rsid w:val="00845C1C"/>
    <w:rsid w:val="00856325"/>
    <w:rsid w:val="00872278"/>
    <w:rsid w:val="00875499"/>
    <w:rsid w:val="0087560D"/>
    <w:rsid w:val="00881D0D"/>
    <w:rsid w:val="008A12F6"/>
    <w:rsid w:val="008A5E77"/>
    <w:rsid w:val="008B34EC"/>
    <w:rsid w:val="008D6D31"/>
    <w:rsid w:val="008E0E21"/>
    <w:rsid w:val="008E1581"/>
    <w:rsid w:val="008E5141"/>
    <w:rsid w:val="008E7408"/>
    <w:rsid w:val="008F7A52"/>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E3B36"/>
    <w:rsid w:val="009F7948"/>
    <w:rsid w:val="00A27459"/>
    <w:rsid w:val="00A459D0"/>
    <w:rsid w:val="00A45C8D"/>
    <w:rsid w:val="00A65C79"/>
    <w:rsid w:val="00A70873"/>
    <w:rsid w:val="00A92C85"/>
    <w:rsid w:val="00A948EF"/>
    <w:rsid w:val="00A94BCE"/>
    <w:rsid w:val="00AA2CB1"/>
    <w:rsid w:val="00AC1D5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A2458"/>
    <w:rsid w:val="00BA65E0"/>
    <w:rsid w:val="00BA68FA"/>
    <w:rsid w:val="00BC1280"/>
    <w:rsid w:val="00BC1C0A"/>
    <w:rsid w:val="00BC4EF7"/>
    <w:rsid w:val="00BC59B2"/>
    <w:rsid w:val="00BC5E09"/>
    <w:rsid w:val="00BF5825"/>
    <w:rsid w:val="00C16071"/>
    <w:rsid w:val="00C203E8"/>
    <w:rsid w:val="00C21D7E"/>
    <w:rsid w:val="00C23151"/>
    <w:rsid w:val="00C25BA8"/>
    <w:rsid w:val="00C3114B"/>
    <w:rsid w:val="00C4657C"/>
    <w:rsid w:val="00C537F2"/>
    <w:rsid w:val="00C56C4E"/>
    <w:rsid w:val="00C61C1C"/>
    <w:rsid w:val="00C6478B"/>
    <w:rsid w:val="00C64C22"/>
    <w:rsid w:val="00C66E70"/>
    <w:rsid w:val="00C80AEF"/>
    <w:rsid w:val="00CA6DA1"/>
    <w:rsid w:val="00D120B9"/>
    <w:rsid w:val="00D24D6B"/>
    <w:rsid w:val="00D30286"/>
    <w:rsid w:val="00D5302E"/>
    <w:rsid w:val="00D56BC3"/>
    <w:rsid w:val="00D67629"/>
    <w:rsid w:val="00D70FE3"/>
    <w:rsid w:val="00D8485C"/>
    <w:rsid w:val="00D87D47"/>
    <w:rsid w:val="00D9010D"/>
    <w:rsid w:val="00D95936"/>
    <w:rsid w:val="00DB2787"/>
    <w:rsid w:val="00DB584E"/>
    <w:rsid w:val="00DC3B85"/>
    <w:rsid w:val="00DD13E2"/>
    <w:rsid w:val="00DF6F40"/>
    <w:rsid w:val="00E10DEE"/>
    <w:rsid w:val="00E11EFA"/>
    <w:rsid w:val="00E158AD"/>
    <w:rsid w:val="00E15E85"/>
    <w:rsid w:val="00E16AC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D735A"/>
    <w:rsid w:val="00EE28A5"/>
    <w:rsid w:val="00EE5CB5"/>
    <w:rsid w:val="00EF2AE9"/>
    <w:rsid w:val="00EF2F87"/>
    <w:rsid w:val="00F21A2E"/>
    <w:rsid w:val="00F433DC"/>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2360</TotalTime>
  <Pages>52</Pages>
  <Words>11316</Words>
  <Characters>62241</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29</cp:revision>
  <cp:lastPrinted>2019-07-04T16:10:00Z</cp:lastPrinted>
  <dcterms:created xsi:type="dcterms:W3CDTF">2019-01-22T19:49:00Z</dcterms:created>
  <dcterms:modified xsi:type="dcterms:W3CDTF">2019-08-21T16:41:00Z</dcterms:modified>
</cp:coreProperties>
</file>