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A597750" w:rsidR="00BF3214" w:rsidRPr="00AD2A55" w:rsidRDefault="006E2343" w:rsidP="005057E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BF3214"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BF3214" w:rsidRPr="00AD2A55">
        <w:rPr>
          <w:rFonts w:ascii="Palatino Linotype" w:eastAsia="Times New Roman" w:hAnsi="Palatino Linotype" w:cs="Arial"/>
          <w:color w:val="000000"/>
          <w:sz w:val="24"/>
          <w:szCs w:val="24"/>
          <w:lang w:eastAsia="es-MX"/>
        </w:rPr>
        <w:t xml:space="preserve">México, a </w:t>
      </w:r>
      <w:r w:rsidR="003F789B">
        <w:rPr>
          <w:rFonts w:ascii="Palatino Linotype" w:eastAsia="Times New Roman" w:hAnsi="Palatino Linotype" w:cs="Arial"/>
          <w:color w:val="000000"/>
          <w:sz w:val="24"/>
          <w:szCs w:val="24"/>
          <w:lang w:eastAsia="es-MX"/>
        </w:rPr>
        <w:t>dos de diciembre</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00BF3214"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6A33D4D1" w:rsidR="00BF3214" w:rsidRPr="004107C0"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4107C0">
        <w:rPr>
          <w:rFonts w:ascii="Palatino Linotype" w:hAnsi="Palatino Linotype" w:cs="Arial"/>
          <w:b/>
          <w:bCs/>
          <w:sz w:val="24"/>
          <w:szCs w:val="24"/>
          <w:lang w:eastAsia="es-MX"/>
        </w:rPr>
        <w:t>327</w:t>
      </w:r>
      <w:r w:rsidR="004676AF">
        <w:rPr>
          <w:rFonts w:ascii="Palatino Linotype" w:hAnsi="Palatino Linotype" w:cs="Arial"/>
          <w:b/>
          <w:bCs/>
          <w:sz w:val="24"/>
          <w:szCs w:val="24"/>
          <w:lang w:eastAsia="es-MX"/>
        </w:rPr>
        <w:t>0</w:t>
      </w:r>
      <w:r w:rsidR="000654AE">
        <w:rPr>
          <w:rFonts w:ascii="Palatino Linotype" w:hAnsi="Palatino Linotype" w:cs="Arial"/>
          <w:b/>
          <w:bCs/>
          <w:sz w:val="24"/>
          <w:szCs w:val="24"/>
          <w:lang w:eastAsia="es-MX"/>
        </w:rPr>
        <w:t>/INFOEM/IP/RR/2020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l</w:t>
      </w:r>
      <w:r w:rsidR="004107C0">
        <w:rPr>
          <w:rFonts w:ascii="Palatino Linotype" w:hAnsi="Palatino Linotype" w:cs="Arial"/>
          <w:sz w:val="24"/>
          <w:szCs w:val="24"/>
        </w:rPr>
        <w:t>a</w:t>
      </w:r>
      <w:r w:rsidR="00284B55">
        <w:rPr>
          <w:rFonts w:ascii="Palatino Linotype" w:hAnsi="Palatino Linotype" w:cs="Arial"/>
          <w:sz w:val="24"/>
          <w:szCs w:val="24"/>
        </w:rPr>
        <w:t xml:space="preserve"> </w:t>
      </w:r>
      <w:r w:rsidR="00284B55">
        <w:rPr>
          <w:rFonts w:ascii="Palatino Linotype" w:hAnsi="Palatino Linotype" w:cs="Arial"/>
          <w:b/>
          <w:sz w:val="24"/>
          <w:szCs w:val="24"/>
        </w:rPr>
        <w:t xml:space="preserve">C. </w:t>
      </w:r>
      <w:r w:rsidR="00D222E9">
        <w:rPr>
          <w:rFonts w:ascii="Palatino Linotype" w:hAnsi="Palatino Linotype" w:cs="Arial"/>
          <w:b/>
          <w:sz w:val="24"/>
          <w:szCs w:val="24"/>
        </w:rPr>
        <w:t>xxxxxxxxxxxxxxxxxxxxxxxx</w:t>
      </w:r>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l</w:t>
      </w:r>
      <w:r w:rsidR="004107C0">
        <w:rPr>
          <w:rFonts w:ascii="Palatino Linotype" w:hAnsi="Palatino Linotype" w:cs="Arial"/>
          <w:b/>
          <w:sz w:val="24"/>
          <w:szCs w:val="24"/>
        </w:rPr>
        <w:t>a</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3E407F">
        <w:rPr>
          <w:rFonts w:ascii="Palatino Linotype" w:hAnsi="Palatino Linotype" w:cs="Arial"/>
          <w:b/>
          <w:sz w:val="24"/>
          <w:szCs w:val="24"/>
        </w:rPr>
        <w:t>Ayuntamiento de Ixtapan de la Sal</w:t>
      </w:r>
      <w:r w:rsidR="004676AF">
        <w:rPr>
          <w:rFonts w:ascii="Palatino Linotype" w:hAnsi="Palatino Linotype" w:cs="Arial"/>
          <w:b/>
          <w:sz w:val="24"/>
          <w:szCs w:val="24"/>
        </w:rPr>
        <w:t>,</w:t>
      </w:r>
      <w:r w:rsidR="003E407F">
        <w:rPr>
          <w:rFonts w:ascii="Palatino Linotype" w:hAnsi="Palatino Linotype" w:cs="Arial"/>
          <w:b/>
          <w:sz w:val="24"/>
          <w:szCs w:val="24"/>
        </w:rPr>
        <w:t xml:space="preserve"> </w:t>
      </w:r>
      <w:r w:rsidR="003E407F">
        <w:rPr>
          <w:rFonts w:ascii="Palatino Linotype" w:hAnsi="Palatino Linotype" w:cs="Arial"/>
          <w:sz w:val="24"/>
          <w:szCs w:val="24"/>
        </w:rPr>
        <w:t xml:space="preserve">que en </w:t>
      </w:r>
      <w:r w:rsidRPr="00AD2A55">
        <w:rPr>
          <w:rFonts w:ascii="Palatino Linotype" w:hAnsi="Palatino Linotype" w:cs="Arial"/>
          <w:sz w:val="24"/>
          <w:szCs w:val="24"/>
        </w:rPr>
        <w:t>lo subsecuente</w:t>
      </w:r>
      <w:r w:rsidR="003E407F">
        <w:rPr>
          <w:rFonts w:ascii="Palatino Linotype" w:hAnsi="Palatino Linotype" w:cs="Arial"/>
          <w:sz w:val="24"/>
          <w:szCs w:val="24"/>
        </w:rPr>
        <w:t xml:space="preserve"> se le denominara, </w:t>
      </w:r>
      <w:r w:rsidR="00E468E5" w:rsidRPr="00AD2A55">
        <w:rPr>
          <w:rFonts w:ascii="Palatino Linotype" w:hAnsi="Palatino Linotype" w:cs="Arial"/>
          <w:b/>
          <w:sz w:val="24"/>
          <w:szCs w:val="24"/>
        </w:rPr>
        <w:t>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72380DD"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4107C0">
        <w:rPr>
          <w:rFonts w:ascii="Palatino Linotype" w:hAnsi="Palatino Linotype" w:cs="Arial"/>
          <w:sz w:val="24"/>
          <w:szCs w:val="24"/>
        </w:rPr>
        <w:t>veintisiete de abril</w:t>
      </w:r>
      <w:r w:rsidR="00906098">
        <w:rPr>
          <w:rFonts w:ascii="Palatino Linotype" w:hAnsi="Palatino Linotype" w:cs="Arial"/>
          <w:sz w:val="24"/>
          <w:szCs w:val="24"/>
        </w:rPr>
        <w:t xml:space="preserve"> de dos mil </w:t>
      </w:r>
      <w:r w:rsidR="004107C0">
        <w:rPr>
          <w:rFonts w:ascii="Palatino Linotype" w:hAnsi="Palatino Linotype" w:cs="Arial"/>
          <w:sz w:val="24"/>
          <w:szCs w:val="24"/>
        </w:rPr>
        <w:t>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4107C0" w:rsidRPr="004107C0">
        <w:rPr>
          <w:rFonts w:ascii="Palatino Linotype" w:hAnsi="Palatino Linotype" w:cs="Arial"/>
          <w:b/>
          <w:sz w:val="24"/>
          <w:szCs w:val="24"/>
        </w:rPr>
        <w:t>00392/IXTASAL/IP/2020</w:t>
      </w:r>
      <w:r w:rsidR="003A2B07" w:rsidRPr="003A2B07">
        <w:rPr>
          <w:rFonts w:ascii="Verdana" w:hAnsi="Verdana"/>
          <w:b/>
          <w:bCs/>
        </w:rPr>
        <w:t>,</w:t>
      </w:r>
      <w:r w:rsidRPr="003A2B07">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53B850AE"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4107C0" w:rsidRPr="004107C0">
        <w:rPr>
          <w:rFonts w:ascii="Palatino Linotype" w:hAnsi="Palatino Linotype" w:cs="Arial"/>
          <w:b/>
          <w:sz w:val="24"/>
          <w:szCs w:val="24"/>
        </w:rPr>
        <w:t>00392/IXTASAL/IP/2020</w:t>
      </w:r>
      <w:r w:rsidR="00B46138">
        <w:rPr>
          <w:rFonts w:ascii="Palatino Linotype" w:hAnsi="Palatino Linotype"/>
          <w:i/>
          <w:color w:val="000000"/>
        </w:rPr>
        <w:t>.</w:t>
      </w:r>
    </w:p>
    <w:p w14:paraId="042F8C77" w14:textId="791DC89F" w:rsidR="00947259" w:rsidRPr="004107C0"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4107C0">
        <w:rPr>
          <w:rFonts w:ascii="Palatino Linotype" w:hAnsi="Palatino Linotype"/>
          <w:i/>
          <w:color w:val="000000"/>
        </w:rPr>
        <w:t>“</w:t>
      </w:r>
      <w:r w:rsidR="004107C0" w:rsidRPr="004107C0">
        <w:rPr>
          <w:rFonts w:ascii="Palatino Linotype" w:hAnsi="Palatino Linotype"/>
          <w:i/>
          <w:color w:val="000000"/>
        </w:rPr>
        <w:t>Las contrataciones de servicios profesionales por honorarios, señalando los nombres de los prestadores de servicios, los servicios contratados, el monto de los honorarios y el periodo de contratación</w:t>
      </w:r>
      <w:r w:rsidR="0033748A" w:rsidRPr="004107C0">
        <w:rPr>
          <w:rFonts w:ascii="Palatino Linotype" w:hAnsi="Palatino Linotype"/>
          <w:i/>
          <w:color w:val="000000"/>
        </w:rPr>
        <w:t>.</w:t>
      </w:r>
      <w:r w:rsidR="00BF3214" w:rsidRPr="004107C0">
        <w:rPr>
          <w:rFonts w:ascii="Palatino Linotype" w:eastAsia="Times New Roman" w:hAnsi="Palatino Linotype" w:cs="Times New Roman"/>
          <w:i/>
          <w:lang w:eastAsia="es-ES"/>
        </w:rPr>
        <w:t>”</w:t>
      </w:r>
      <w:r w:rsidR="00BF3214" w:rsidRPr="004107C0">
        <w:rPr>
          <w:rFonts w:ascii="Palatino Linotype" w:eastAsia="Times New Roman" w:hAnsi="Palatino Linotype" w:cs="Times New Roman"/>
          <w:i/>
          <w:lang w:val="es-ES_tradnl" w:eastAsia="es-ES"/>
        </w:rPr>
        <w:t xml:space="preserve"> </w:t>
      </w:r>
      <w:r w:rsidR="00EA51DC" w:rsidRPr="004107C0">
        <w:rPr>
          <w:rFonts w:ascii="Palatino Linotype" w:eastAsia="Times New Roman" w:hAnsi="Palatino Linotype" w:cs="Times New Roman"/>
          <w:i/>
          <w:lang w:val="es-ES_tradnl" w:eastAsia="es-ES"/>
        </w:rPr>
        <w:t>(Sic).</w:t>
      </w:r>
    </w:p>
    <w:p w14:paraId="788DFD11" w14:textId="388084D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C217AD">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2972673B"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C217AD">
        <w:rPr>
          <w:rFonts w:ascii="Palatino Linotype" w:hAnsi="Palatino Linotype"/>
          <w:sz w:val="24"/>
          <w:szCs w:val="24"/>
        </w:rPr>
        <w:t xml:space="preserve"> el </w:t>
      </w:r>
      <w:r w:rsidR="004107C0">
        <w:rPr>
          <w:rFonts w:ascii="Palatino Linotype" w:hAnsi="Palatino Linotype"/>
          <w:sz w:val="24"/>
          <w:szCs w:val="24"/>
        </w:rPr>
        <w:t>tres de julio</w:t>
      </w:r>
      <w:r w:rsidR="00C217AD">
        <w:rPr>
          <w:rFonts w:ascii="Palatino Linotype" w:hAnsi="Palatino Linotype"/>
          <w:sz w:val="24"/>
          <w:szCs w:val="24"/>
        </w:rPr>
        <w:t xml:space="preserve"> de dos mil veinte</w:t>
      </w:r>
      <w:r w:rsidRPr="009763E3">
        <w:rPr>
          <w:rFonts w:ascii="Palatino Linotype" w:hAnsi="Palatino Linotype"/>
          <w:sz w:val="24"/>
          <w:szCs w:val="24"/>
        </w:rPr>
        <w:t>, el Sujeto Obligado,</w:t>
      </w:r>
      <w:r w:rsidR="00702BEF">
        <w:rPr>
          <w:rFonts w:ascii="Palatino Linotype" w:hAnsi="Palatino Linotype"/>
          <w:sz w:val="24"/>
          <w:szCs w:val="24"/>
        </w:rPr>
        <w:t xml:space="preserve"> remitió respuesta</w:t>
      </w:r>
      <w:r w:rsidR="00C217AD">
        <w:rPr>
          <w:rFonts w:ascii="Palatino Linotype" w:hAnsi="Palatino Linotype"/>
          <w:sz w:val="24"/>
          <w:szCs w:val="24"/>
        </w:rPr>
        <w:t xml:space="preserve"> en los siguientes </w:t>
      </w:r>
      <w:r w:rsidR="00D0237B">
        <w:rPr>
          <w:rFonts w:ascii="Palatino Linotype" w:hAnsi="Palatino Linotype"/>
          <w:sz w:val="24"/>
          <w:szCs w:val="24"/>
        </w:rPr>
        <w:t>términos</w:t>
      </w:r>
      <w:r w:rsidR="00702BEF">
        <w:rPr>
          <w:rFonts w:ascii="Palatino Linotype" w:hAnsi="Palatino Linotype"/>
          <w:sz w:val="24"/>
          <w:szCs w:val="24"/>
        </w:rPr>
        <w:t>:</w:t>
      </w:r>
    </w:p>
    <w:p w14:paraId="7A3EF1FC" w14:textId="4752D6E1" w:rsidR="00D0237B" w:rsidRPr="0033748A" w:rsidRDefault="00D0237B" w:rsidP="00D0237B">
      <w:pPr>
        <w:spacing w:after="0" w:line="240" w:lineRule="auto"/>
        <w:ind w:left="851" w:right="850"/>
        <w:jc w:val="right"/>
        <w:rPr>
          <w:rFonts w:ascii="Palatino Linotype" w:hAnsi="Palatino Linotype"/>
          <w:i/>
          <w:color w:val="000000"/>
        </w:rPr>
      </w:pPr>
      <w:r w:rsidRPr="00D0237B">
        <w:rPr>
          <w:rFonts w:ascii="Palatino Linotype" w:hAnsi="Palatino Linotype"/>
          <w:i/>
          <w:color w:val="000000"/>
        </w:rPr>
        <w:t>Folio de la so</w:t>
      </w:r>
      <w:r w:rsidRPr="0033748A">
        <w:rPr>
          <w:rFonts w:ascii="Palatino Linotype" w:hAnsi="Palatino Linotype"/>
          <w:i/>
          <w:color w:val="000000"/>
        </w:rPr>
        <w:t xml:space="preserve">licitud: </w:t>
      </w:r>
      <w:r w:rsidR="0033748A" w:rsidRPr="0033748A">
        <w:rPr>
          <w:rFonts w:ascii="Palatino Linotype" w:hAnsi="Palatino Linotype"/>
          <w:i/>
          <w:color w:val="000000"/>
        </w:rPr>
        <w:t>00025/IXTASAL/IP/2020</w:t>
      </w:r>
    </w:p>
    <w:p w14:paraId="082A00AC" w14:textId="77777777" w:rsidR="00D0237B" w:rsidRPr="0033748A" w:rsidRDefault="00D0237B" w:rsidP="00D0237B">
      <w:pPr>
        <w:spacing w:after="0" w:line="240" w:lineRule="auto"/>
        <w:ind w:left="851" w:right="850"/>
        <w:jc w:val="right"/>
        <w:rPr>
          <w:rFonts w:ascii="Palatino Linotype" w:hAnsi="Palatino Linotype"/>
          <w:i/>
          <w:color w:val="000000"/>
        </w:rPr>
      </w:pPr>
    </w:p>
    <w:p w14:paraId="6BF3D614" w14:textId="77777777" w:rsidR="0033748A" w:rsidRPr="0033748A" w:rsidRDefault="0033748A" w:rsidP="00D0237B">
      <w:pPr>
        <w:spacing w:after="0" w:line="240" w:lineRule="auto"/>
        <w:ind w:left="851" w:right="850"/>
        <w:jc w:val="both"/>
        <w:rPr>
          <w:rFonts w:ascii="Palatino Linotype" w:hAnsi="Palatino Linotype"/>
          <w:i/>
          <w:color w:val="000000"/>
        </w:rPr>
      </w:pPr>
      <w:r w:rsidRPr="0033748A">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1D708E" w14:textId="1CBE36AB" w:rsidR="00DA2C41" w:rsidRPr="0033748A" w:rsidRDefault="0033748A" w:rsidP="00D0237B">
      <w:pPr>
        <w:spacing w:after="0" w:line="240" w:lineRule="auto"/>
        <w:ind w:left="851" w:right="850"/>
        <w:jc w:val="both"/>
        <w:rPr>
          <w:rFonts w:ascii="Palatino Linotype" w:hAnsi="Palatino Linotype"/>
          <w:i/>
          <w:color w:val="000000"/>
        </w:rPr>
      </w:pPr>
      <w:r w:rsidRPr="0033748A">
        <w:rPr>
          <w:rFonts w:ascii="Palatino Linotype" w:hAnsi="Palatino Linotype"/>
          <w:i/>
          <w:color w:val="000000"/>
        </w:rPr>
        <w:t>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00025/IXTASAL/IP/2020, presentada mediante el Sistema de Acceso a la Información Mexiquense (SAIMEX), adjunto al presente, se servirá encontrar respuesta a su solicitud proporcionada por el Servidor Público Habilitado de la Presidencia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Ixtapita, cp. 51907, Ixtapan de la Sal, México, oficina en el interior de Tesorería Municipal, de lunes a viernes en un horario de 09:00 a 17:00 horas, para cualquier solicitud, aclaración, duda, sugerencia o asesoría.</w:t>
      </w:r>
    </w:p>
    <w:p w14:paraId="40574BB3" w14:textId="77777777" w:rsidR="00DA2C41" w:rsidRPr="0033748A" w:rsidRDefault="00DA2C41" w:rsidP="00D0237B">
      <w:pPr>
        <w:spacing w:after="0" w:line="240" w:lineRule="auto"/>
        <w:ind w:left="851" w:right="850"/>
        <w:jc w:val="both"/>
        <w:rPr>
          <w:rFonts w:ascii="Palatino Linotype" w:hAnsi="Palatino Linotype"/>
          <w:i/>
          <w:color w:val="000000"/>
        </w:rPr>
      </w:pPr>
    </w:p>
    <w:p w14:paraId="4E687D08" w14:textId="77777777" w:rsidR="00D0237B" w:rsidRPr="0033748A" w:rsidRDefault="00D0237B" w:rsidP="00D0237B">
      <w:pPr>
        <w:spacing w:after="0" w:line="240" w:lineRule="auto"/>
        <w:ind w:left="851" w:right="850"/>
        <w:jc w:val="both"/>
        <w:rPr>
          <w:rFonts w:ascii="Palatino Linotype" w:hAnsi="Palatino Linotype"/>
          <w:i/>
          <w:color w:val="000000"/>
        </w:rPr>
      </w:pPr>
    </w:p>
    <w:p w14:paraId="29948AD4" w14:textId="40910E4E" w:rsidR="00D0237B" w:rsidRPr="0033748A" w:rsidRDefault="00D0237B" w:rsidP="00D0237B">
      <w:pPr>
        <w:spacing w:after="0" w:line="240" w:lineRule="auto"/>
        <w:ind w:left="851" w:right="850"/>
        <w:jc w:val="both"/>
        <w:rPr>
          <w:rFonts w:ascii="Palatino Linotype" w:hAnsi="Palatino Linotype"/>
          <w:i/>
          <w:color w:val="000000"/>
        </w:rPr>
      </w:pPr>
      <w:r w:rsidRPr="0033748A">
        <w:rPr>
          <w:rFonts w:ascii="Palatino Linotype" w:hAnsi="Palatino Linotype"/>
          <w:i/>
          <w:color w:val="000000"/>
        </w:rPr>
        <w:t>ATENTAMENTE</w:t>
      </w:r>
    </w:p>
    <w:p w14:paraId="705FCD9C" w14:textId="13C0271E" w:rsidR="0033748A" w:rsidRPr="004107C0" w:rsidRDefault="004107C0" w:rsidP="004107C0">
      <w:pPr>
        <w:spacing w:after="0" w:line="360" w:lineRule="auto"/>
        <w:ind w:left="851"/>
        <w:jc w:val="both"/>
        <w:rPr>
          <w:rFonts w:ascii="Palatino Linotype" w:hAnsi="Palatino Linotype"/>
          <w:i/>
          <w:color w:val="000000"/>
        </w:rPr>
      </w:pPr>
      <w:r w:rsidRPr="004107C0">
        <w:rPr>
          <w:rFonts w:ascii="Palatino Linotype" w:hAnsi="Palatino Linotype"/>
          <w:i/>
          <w:color w:val="000000"/>
        </w:rPr>
        <w:t>L. EN D. MARICELA RAMIREZ COTERO</w:t>
      </w:r>
    </w:p>
    <w:p w14:paraId="465BA195" w14:textId="26AB148A" w:rsidR="00D0237B" w:rsidRPr="00D0237B" w:rsidRDefault="00D0237B" w:rsidP="003F5C59">
      <w:pPr>
        <w:spacing w:after="0" w:line="360" w:lineRule="auto"/>
        <w:jc w:val="both"/>
        <w:rPr>
          <w:rFonts w:ascii="Palatino Linotype" w:hAnsi="Palatino Linotype"/>
          <w:color w:val="000000"/>
          <w:sz w:val="24"/>
          <w:szCs w:val="24"/>
        </w:rPr>
      </w:pPr>
      <w:r w:rsidRPr="00D0237B">
        <w:rPr>
          <w:rFonts w:ascii="Palatino Linotype" w:hAnsi="Palatino Linotype"/>
          <w:color w:val="000000"/>
          <w:sz w:val="24"/>
          <w:szCs w:val="24"/>
        </w:rPr>
        <w:lastRenderedPageBreak/>
        <w:t xml:space="preserve">Cabe resaltar que el Sujeto Obligado remitió </w:t>
      </w:r>
      <w:r w:rsidR="0033748A">
        <w:rPr>
          <w:rFonts w:ascii="Palatino Linotype" w:hAnsi="Palatino Linotype"/>
          <w:color w:val="000000"/>
          <w:sz w:val="24"/>
          <w:szCs w:val="24"/>
        </w:rPr>
        <w:t xml:space="preserve">un archivo </w:t>
      </w:r>
      <w:r w:rsidR="0020012C">
        <w:rPr>
          <w:rFonts w:ascii="Palatino Linotype" w:hAnsi="Palatino Linotype"/>
          <w:color w:val="000000"/>
          <w:sz w:val="24"/>
          <w:szCs w:val="24"/>
        </w:rPr>
        <w:t>a su respuesta, mismo</w:t>
      </w:r>
      <w:r w:rsidRPr="00D0237B">
        <w:rPr>
          <w:rFonts w:ascii="Palatino Linotype" w:hAnsi="Palatino Linotype"/>
          <w:color w:val="000000"/>
          <w:sz w:val="24"/>
          <w:szCs w:val="24"/>
        </w:rPr>
        <w:t xml:space="preserve"> que no se insertan e</w:t>
      </w:r>
      <w:r w:rsidR="0020012C">
        <w:rPr>
          <w:rFonts w:ascii="Palatino Linotype" w:hAnsi="Palatino Linotype"/>
          <w:color w:val="000000"/>
          <w:sz w:val="24"/>
          <w:szCs w:val="24"/>
        </w:rPr>
        <w:t>n e</w:t>
      </w:r>
      <w:r w:rsidRPr="00D0237B">
        <w:rPr>
          <w:rFonts w:ascii="Palatino Linotype" w:hAnsi="Palatino Linotype"/>
          <w:color w:val="000000"/>
          <w:sz w:val="24"/>
          <w:szCs w:val="24"/>
        </w:rPr>
        <w:t>l presente apartado por ser del conocimiento de las partes, sin embargo se describe su contenido:</w:t>
      </w:r>
    </w:p>
    <w:p w14:paraId="43D2CF16" w14:textId="354962A7" w:rsidR="00D0237B" w:rsidRDefault="00C20CD3" w:rsidP="003F5C59">
      <w:pPr>
        <w:spacing w:after="0" w:line="360" w:lineRule="auto"/>
        <w:jc w:val="both"/>
        <w:rPr>
          <w:rFonts w:ascii="Palatino Linotype" w:hAnsi="Palatino Linotype"/>
          <w:b/>
          <w:sz w:val="24"/>
          <w:szCs w:val="24"/>
        </w:rPr>
      </w:pPr>
      <w:hyperlink r:id="rId8" w:tgtFrame="_blank" w:history="1">
        <w:r w:rsidR="0020012C" w:rsidRPr="0020012C">
          <w:rPr>
            <w:rStyle w:val="Hipervnculo"/>
            <w:rFonts w:ascii="Palatino Linotype" w:hAnsi="Palatino Linotype" w:cs="Arial"/>
            <w:b/>
            <w:bCs/>
            <w:color w:val="auto"/>
            <w:sz w:val="24"/>
            <w:szCs w:val="24"/>
            <w:u w:val="none"/>
          </w:rPr>
          <w:t xml:space="preserve">Contestacion </w:t>
        </w:r>
        <w:r w:rsidR="004107C0">
          <w:rPr>
            <w:rStyle w:val="Hipervnculo"/>
            <w:rFonts w:ascii="Palatino Linotype" w:hAnsi="Palatino Linotype" w:cs="Arial"/>
            <w:b/>
            <w:bCs/>
            <w:color w:val="auto"/>
            <w:sz w:val="24"/>
            <w:szCs w:val="24"/>
            <w:u w:val="none"/>
          </w:rPr>
          <w:t>Administración 392</w:t>
        </w:r>
        <w:r w:rsidR="0020012C" w:rsidRPr="0020012C">
          <w:rPr>
            <w:rStyle w:val="Hipervnculo"/>
            <w:rFonts w:ascii="Palatino Linotype" w:hAnsi="Palatino Linotype" w:cs="Arial"/>
            <w:b/>
            <w:bCs/>
            <w:color w:val="auto"/>
            <w:sz w:val="24"/>
            <w:szCs w:val="24"/>
            <w:u w:val="none"/>
          </w:rPr>
          <w:t>.pdf</w:t>
        </w:r>
      </w:hyperlink>
      <w:r w:rsidR="00DA2C41">
        <w:rPr>
          <w:rStyle w:val="Hipervnculo"/>
          <w:rFonts w:ascii="Palatino Linotype" w:hAnsi="Palatino Linotype" w:cs="Arial"/>
          <w:b/>
          <w:bCs/>
          <w:color w:val="auto"/>
          <w:sz w:val="24"/>
          <w:szCs w:val="24"/>
          <w:u w:val="none"/>
        </w:rPr>
        <w:t xml:space="preserve">, </w:t>
      </w:r>
      <w:r w:rsidR="00DA2C41">
        <w:rPr>
          <w:rStyle w:val="Hipervnculo"/>
          <w:rFonts w:ascii="Palatino Linotype" w:hAnsi="Palatino Linotype" w:cs="Arial"/>
          <w:bCs/>
          <w:color w:val="auto"/>
          <w:sz w:val="24"/>
          <w:szCs w:val="24"/>
          <w:u w:val="none"/>
        </w:rPr>
        <w:t xml:space="preserve">archivo que contiene el oficio </w:t>
      </w:r>
      <w:r w:rsidR="004107C0">
        <w:rPr>
          <w:rStyle w:val="Hipervnculo"/>
          <w:rFonts w:ascii="Palatino Linotype" w:hAnsi="Palatino Linotype" w:cs="Arial"/>
          <w:bCs/>
          <w:color w:val="auto"/>
          <w:sz w:val="24"/>
          <w:szCs w:val="24"/>
          <w:u w:val="none"/>
        </w:rPr>
        <w:t>DA/211/2020,</w:t>
      </w:r>
      <w:r w:rsidR="00DA2C41">
        <w:rPr>
          <w:rStyle w:val="Hipervnculo"/>
          <w:rFonts w:ascii="Palatino Linotype" w:hAnsi="Palatino Linotype" w:cs="Arial"/>
          <w:bCs/>
          <w:color w:val="auto"/>
          <w:sz w:val="24"/>
          <w:szCs w:val="24"/>
          <w:u w:val="none"/>
        </w:rPr>
        <w:t xml:space="preserve"> de fecha </w:t>
      </w:r>
      <w:r w:rsidR="004107C0">
        <w:rPr>
          <w:rStyle w:val="Hipervnculo"/>
          <w:rFonts w:ascii="Palatino Linotype" w:hAnsi="Palatino Linotype" w:cs="Arial"/>
          <w:bCs/>
          <w:color w:val="auto"/>
          <w:sz w:val="24"/>
          <w:szCs w:val="24"/>
          <w:u w:val="none"/>
        </w:rPr>
        <w:t>veintinueve de mayo</w:t>
      </w:r>
      <w:r w:rsidR="0020012C">
        <w:rPr>
          <w:rStyle w:val="Hipervnculo"/>
          <w:rFonts w:ascii="Palatino Linotype" w:hAnsi="Palatino Linotype" w:cs="Arial"/>
          <w:bCs/>
          <w:color w:val="auto"/>
          <w:sz w:val="24"/>
          <w:szCs w:val="24"/>
          <w:u w:val="none"/>
        </w:rPr>
        <w:t xml:space="preserve"> de</w:t>
      </w:r>
      <w:r w:rsidR="00DA2C41">
        <w:rPr>
          <w:rStyle w:val="Hipervnculo"/>
          <w:rFonts w:ascii="Palatino Linotype" w:hAnsi="Palatino Linotype" w:cs="Arial"/>
          <w:bCs/>
          <w:color w:val="auto"/>
          <w:sz w:val="24"/>
          <w:szCs w:val="24"/>
          <w:u w:val="none"/>
        </w:rPr>
        <w:t xml:space="preserve"> dos mil veinte en donde el </w:t>
      </w:r>
      <w:r w:rsidR="0020012C">
        <w:rPr>
          <w:rStyle w:val="Hipervnculo"/>
          <w:rFonts w:ascii="Palatino Linotype" w:hAnsi="Palatino Linotype" w:cs="Arial"/>
          <w:bCs/>
          <w:color w:val="auto"/>
          <w:sz w:val="24"/>
          <w:szCs w:val="24"/>
          <w:u w:val="none"/>
        </w:rPr>
        <w:t xml:space="preserve">Servidor Público Habilitado de </w:t>
      </w:r>
      <w:r w:rsidR="004107C0">
        <w:rPr>
          <w:rStyle w:val="Hipervnculo"/>
          <w:rFonts w:ascii="Palatino Linotype" w:hAnsi="Palatino Linotype" w:cs="Arial"/>
          <w:bCs/>
          <w:color w:val="auto"/>
          <w:sz w:val="24"/>
          <w:szCs w:val="24"/>
          <w:u w:val="none"/>
        </w:rPr>
        <w:t>la Dirección de Administración</w:t>
      </w:r>
      <w:r w:rsidR="0020012C">
        <w:rPr>
          <w:rStyle w:val="Hipervnculo"/>
          <w:rFonts w:ascii="Palatino Linotype" w:hAnsi="Palatino Linotype" w:cs="Arial"/>
          <w:bCs/>
          <w:color w:val="auto"/>
          <w:sz w:val="24"/>
          <w:szCs w:val="24"/>
          <w:u w:val="none"/>
        </w:rPr>
        <w:t xml:space="preserve">, </w:t>
      </w:r>
      <w:r w:rsidR="00406198">
        <w:rPr>
          <w:rStyle w:val="Hipervnculo"/>
          <w:rFonts w:ascii="Palatino Linotype" w:hAnsi="Palatino Linotype" w:cs="Arial"/>
          <w:bCs/>
          <w:color w:val="auto"/>
          <w:sz w:val="24"/>
          <w:szCs w:val="24"/>
          <w:u w:val="none"/>
        </w:rPr>
        <w:t>en donde informa que se</w:t>
      </w:r>
      <w:r w:rsidR="004107C0">
        <w:rPr>
          <w:rStyle w:val="Hipervnculo"/>
          <w:rFonts w:ascii="Palatino Linotype" w:hAnsi="Palatino Linotype" w:cs="Arial"/>
          <w:bCs/>
          <w:color w:val="auto"/>
          <w:sz w:val="24"/>
          <w:szCs w:val="24"/>
          <w:u w:val="none"/>
        </w:rPr>
        <w:t xml:space="preserve"> después de realizar una búsqueda exhaustiva en el archivo de la Dirección de Administración no se encontró información al respecto.</w:t>
      </w:r>
      <w:r w:rsidR="0045637C">
        <w:rPr>
          <w:rFonts w:ascii="Palatino Linotype" w:hAnsi="Palatino Linotype"/>
          <w:b/>
          <w:sz w:val="24"/>
          <w:szCs w:val="24"/>
        </w:rPr>
        <w:t xml:space="preserve"> </w:t>
      </w:r>
    </w:p>
    <w:p w14:paraId="0C22610A" w14:textId="77777777" w:rsidR="00367C2E" w:rsidRDefault="00367C2E" w:rsidP="003F5C59">
      <w:pPr>
        <w:spacing w:after="0" w:line="360" w:lineRule="auto"/>
        <w:jc w:val="both"/>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4A1F12DF"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C9547B">
        <w:rPr>
          <w:rFonts w:ascii="Palatino Linotype" w:hAnsi="Palatino Linotype" w:cs="Arial"/>
          <w:sz w:val="24"/>
          <w:szCs w:val="24"/>
        </w:rPr>
        <w:t xml:space="preserve"> remitida</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2978CB">
        <w:rPr>
          <w:rFonts w:ascii="Palatino Linotype" w:hAnsi="Palatino Linotype" w:cs="Arial"/>
          <w:sz w:val="24"/>
          <w:szCs w:val="24"/>
        </w:rPr>
        <w:t>veintiuno de agosto</w:t>
      </w:r>
      <w:r w:rsidR="00803D97">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 xml:space="preserve">l ahora Recurrente interpone recurso de revisión </w:t>
      </w:r>
      <w:r w:rsidR="00367C2E">
        <w:rPr>
          <w:rFonts w:ascii="Palatino Linotype" w:hAnsi="Palatino Linotype" w:cs="Arial"/>
          <w:sz w:val="24"/>
          <w:szCs w:val="24"/>
        </w:rPr>
        <w:t>e</w:t>
      </w:r>
      <w:r w:rsidR="00DD5650" w:rsidRPr="00AD2A55">
        <w:rPr>
          <w:rFonts w:ascii="Palatino Linotype" w:hAnsi="Palatino Linotype" w:cs="Arial"/>
          <w:sz w:val="24"/>
          <w:szCs w:val="24"/>
        </w:rPr>
        <w:t>l cual fue registrado</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2978CB">
        <w:rPr>
          <w:rFonts w:ascii="Palatino Linotype" w:hAnsi="Palatino Linotype" w:cs="Arial"/>
          <w:b/>
          <w:bCs/>
          <w:sz w:val="24"/>
          <w:szCs w:val="24"/>
          <w:lang w:eastAsia="es-MX"/>
        </w:rPr>
        <w:t>327</w:t>
      </w:r>
      <w:r w:rsidR="00367C2E">
        <w:rPr>
          <w:rFonts w:ascii="Palatino Linotype" w:hAnsi="Palatino Linotype" w:cs="Arial"/>
          <w:b/>
          <w:bCs/>
          <w:sz w:val="24"/>
          <w:szCs w:val="24"/>
          <w:lang w:eastAsia="es-MX"/>
        </w:rPr>
        <w:t>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6A12DD9B"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C9547B">
        <w:rPr>
          <w:rFonts w:ascii="Palatino Linotype" w:hAnsi="Palatino Linotype" w:cs="Arial"/>
          <w:b/>
          <w:bCs/>
          <w:sz w:val="24"/>
          <w:szCs w:val="24"/>
          <w:lang w:eastAsia="es-MX"/>
        </w:rPr>
        <w:t>0</w:t>
      </w:r>
      <w:r w:rsidR="002978CB">
        <w:rPr>
          <w:rFonts w:ascii="Palatino Linotype" w:hAnsi="Palatino Linotype" w:cs="Arial"/>
          <w:b/>
          <w:bCs/>
          <w:sz w:val="24"/>
          <w:szCs w:val="24"/>
          <w:lang w:eastAsia="es-MX"/>
        </w:rPr>
        <w:t>327</w:t>
      </w:r>
      <w:r w:rsidR="004F2B2F">
        <w:rPr>
          <w:rFonts w:ascii="Palatino Linotype" w:hAnsi="Palatino Linotype" w:cs="Arial"/>
          <w:b/>
          <w:bCs/>
          <w:sz w:val="24"/>
          <w:szCs w:val="24"/>
          <w:lang w:eastAsia="es-MX"/>
        </w:rPr>
        <w:t>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5221EDF9" w:rsidR="00BD12EB" w:rsidRPr="002978CB" w:rsidRDefault="00BD12EB" w:rsidP="00C9547B">
      <w:pPr>
        <w:ind w:left="851" w:right="850"/>
        <w:jc w:val="both"/>
        <w:rPr>
          <w:rFonts w:ascii="Palatino Linotype" w:eastAsia="Times New Roman" w:hAnsi="Palatino Linotype" w:cs="Times New Roman"/>
          <w:i/>
          <w:lang w:eastAsia="es-MX"/>
        </w:rPr>
      </w:pPr>
      <w:r w:rsidRPr="002978CB">
        <w:rPr>
          <w:rFonts w:ascii="Palatino Linotype" w:hAnsi="Palatino Linotype"/>
          <w:i/>
          <w:color w:val="000000"/>
        </w:rPr>
        <w:t>“</w:t>
      </w:r>
      <w:r w:rsidR="002978CB" w:rsidRPr="002978CB">
        <w:rPr>
          <w:rFonts w:ascii="Palatino Linotype" w:hAnsi="Palatino Linotype"/>
          <w:i/>
          <w:color w:val="000000"/>
        </w:rPr>
        <w:t>La respuesta del sujeto obligado, a través de una infundada acta del comité de transparencia.</w:t>
      </w:r>
      <w:r w:rsidRPr="002978CB">
        <w:rPr>
          <w:rFonts w:ascii="Palatino Linotype" w:hAnsi="Palatino Linotype"/>
          <w:i/>
          <w:color w:val="000000"/>
        </w:rPr>
        <w:t>”(Sic).</w:t>
      </w:r>
    </w:p>
    <w:p w14:paraId="06F46787" w14:textId="77777777" w:rsidR="00877F20" w:rsidRPr="00C9547B" w:rsidRDefault="00877F20" w:rsidP="00C9547B">
      <w:pPr>
        <w:spacing w:after="0" w:line="360" w:lineRule="auto"/>
        <w:ind w:left="851" w:right="850"/>
        <w:jc w:val="both"/>
        <w:rPr>
          <w:rFonts w:ascii="Palatino Linotype" w:hAnsi="Palatino Linotype" w:cs="Arial"/>
          <w:b/>
          <w:i/>
        </w:rPr>
      </w:pPr>
    </w:p>
    <w:p w14:paraId="5DD7AFE8" w14:textId="77777777" w:rsidR="00BD12EB" w:rsidRPr="00406198" w:rsidRDefault="00BD12EB" w:rsidP="00BD4516">
      <w:pPr>
        <w:spacing w:after="0" w:line="360" w:lineRule="auto"/>
        <w:jc w:val="both"/>
        <w:rPr>
          <w:rFonts w:ascii="Palatino Linotype" w:hAnsi="Palatino Linotype" w:cs="Arial"/>
          <w:i/>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A287870" w:rsidR="009F6F65" w:rsidRPr="002978CB" w:rsidRDefault="00BD12EB" w:rsidP="00C9547B">
      <w:pPr>
        <w:ind w:left="851" w:right="850"/>
        <w:jc w:val="both"/>
        <w:rPr>
          <w:rFonts w:ascii="Palatino Linotype" w:eastAsia="Times New Roman" w:hAnsi="Palatino Linotype" w:cs="Times New Roman"/>
          <w:i/>
          <w:lang w:eastAsia="es-MX"/>
        </w:rPr>
      </w:pPr>
      <w:r w:rsidRPr="002978CB">
        <w:rPr>
          <w:rFonts w:ascii="Palatino Linotype" w:hAnsi="Palatino Linotype" w:cs="Arial"/>
          <w:i/>
        </w:rPr>
        <w:t>“</w:t>
      </w:r>
      <w:r w:rsidR="002978CB" w:rsidRPr="002978CB">
        <w:rPr>
          <w:rFonts w:ascii="Palatino Linotype" w:hAnsi="Palatino Linotype"/>
          <w:i/>
          <w:color w:val="000000"/>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w:t>
      </w:r>
      <w:r w:rsidR="002978CB" w:rsidRPr="002978CB">
        <w:rPr>
          <w:rFonts w:ascii="Palatino Linotype" w:hAnsi="Palatino Linotype"/>
          <w:i/>
          <w:color w:val="000000"/>
        </w:rPr>
        <w:lastRenderedPageBreak/>
        <w:t xml:space="preserve">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w:t>
      </w:r>
      <w:r w:rsidR="002978CB" w:rsidRPr="002978CB">
        <w:rPr>
          <w:rFonts w:ascii="Palatino Linotype" w:hAnsi="Palatino Linotype"/>
          <w:i/>
          <w:color w:val="000000"/>
        </w:rPr>
        <w:lastRenderedPageBreak/>
        <w:t>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F944FB">
        <w:rPr>
          <w:rFonts w:ascii="Palatino Linotype" w:hAnsi="Palatino Linotype"/>
          <w:i/>
          <w:color w:val="000000"/>
        </w:rPr>
        <w:t>xxxxxxxxxxxxx</w:t>
      </w:r>
      <w:bookmarkStart w:id="0" w:name="_GoBack"/>
      <w:bookmarkEnd w:id="0"/>
      <w:r w:rsidR="002978CB" w:rsidRPr="002978CB">
        <w:rPr>
          <w:rFonts w:ascii="Palatino Linotype" w:hAnsi="Palatino Linotype"/>
          <w:i/>
          <w:color w:val="000000"/>
        </w:rPr>
        <w:t>”,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w:t>
      </w:r>
      <w:r w:rsidR="009763E3" w:rsidRPr="002978CB">
        <w:rPr>
          <w:rFonts w:ascii="Palatino Linotype" w:hAnsi="Palatino Linotype"/>
          <w:i/>
          <w:color w:val="000000"/>
        </w:rPr>
        <w:t>” (S</w:t>
      </w:r>
      <w:r w:rsidRPr="002978CB">
        <w:rPr>
          <w:rFonts w:ascii="Palatino Linotype" w:hAnsi="Palatino Linotype"/>
          <w:i/>
          <w:color w:val="000000"/>
        </w:rPr>
        <w:t>ic)</w:t>
      </w:r>
      <w:r w:rsidR="006A3E42" w:rsidRPr="002978CB">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56249963" w:rsidR="00F80D24" w:rsidRPr="00576384"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C9547B">
        <w:rPr>
          <w:rFonts w:ascii="Palatino Linotype" w:hAnsi="Palatino Linotype" w:cs="Arial"/>
          <w:b/>
          <w:sz w:val="24"/>
          <w:szCs w:val="24"/>
        </w:rPr>
        <w:t>0</w:t>
      </w:r>
      <w:r w:rsidR="002978CB">
        <w:rPr>
          <w:rFonts w:ascii="Palatino Linotype" w:hAnsi="Palatino Linotype" w:cs="Arial"/>
          <w:b/>
          <w:sz w:val="24"/>
          <w:szCs w:val="24"/>
        </w:rPr>
        <w:t>327</w:t>
      </w:r>
      <w:r w:rsidR="00B42E6A">
        <w:rPr>
          <w:rFonts w:ascii="Palatino Linotype" w:hAnsi="Palatino Linotype" w:cs="Arial"/>
          <w:b/>
          <w:sz w:val="24"/>
          <w:szCs w:val="24"/>
        </w:rPr>
        <w:t>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E12A9E">
        <w:rPr>
          <w:rFonts w:ascii="Palatino Linotype" w:hAnsi="Palatino Linotype" w:cs="Arial"/>
          <w:sz w:val="24"/>
          <w:szCs w:val="24"/>
        </w:rPr>
        <w:t xml:space="preserve"> </w:t>
      </w:r>
      <w:r w:rsidR="002978CB">
        <w:rPr>
          <w:rFonts w:ascii="Palatino Linotype" w:hAnsi="Palatino Linotype" w:cs="Arial"/>
          <w:sz w:val="24"/>
          <w:szCs w:val="24"/>
        </w:rPr>
        <w:t>veintisiete de agosto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xml:space="preserve">, determinándose en él, un plazo de siete días para que las </w:t>
      </w:r>
      <w:r w:rsidR="00F80D24" w:rsidRPr="00152075">
        <w:rPr>
          <w:rFonts w:ascii="Palatino Linotype" w:hAnsi="Palatino Linotype" w:cs="Arial"/>
          <w:sz w:val="24"/>
          <w:szCs w:val="24"/>
        </w:rPr>
        <w:lastRenderedPageBreak/>
        <w:t xml:space="preserve">partes </w:t>
      </w:r>
      <w:r w:rsidR="00F80D24" w:rsidRPr="00576384">
        <w:rPr>
          <w:rFonts w:ascii="Palatino Linotype" w:hAnsi="Palatino Linotype" w:cs="Arial"/>
          <w:sz w:val="24"/>
          <w:szCs w:val="24"/>
        </w:rPr>
        <w:t>manifestaran lo que a su derecho corresponda en términos del numeral ya citado.</w:t>
      </w:r>
    </w:p>
    <w:p w14:paraId="0D60DF78" w14:textId="1F4A80EA" w:rsidR="006A3E42" w:rsidRPr="00576384" w:rsidRDefault="006A3E42" w:rsidP="006A3E42">
      <w:pPr>
        <w:spacing w:after="0" w:line="360" w:lineRule="auto"/>
        <w:jc w:val="both"/>
        <w:rPr>
          <w:rFonts w:ascii="Palatino Linotype" w:hAnsi="Palatino Linotype" w:cs="Arial"/>
          <w:b/>
          <w:sz w:val="18"/>
          <w:szCs w:val="24"/>
        </w:rPr>
      </w:pPr>
    </w:p>
    <w:p w14:paraId="665015D4" w14:textId="77777777" w:rsidR="00BC106F" w:rsidRPr="00576384" w:rsidRDefault="003116CC" w:rsidP="00AD2A55">
      <w:pPr>
        <w:spacing w:after="0" w:line="360" w:lineRule="auto"/>
        <w:jc w:val="both"/>
        <w:rPr>
          <w:rFonts w:ascii="Palatino Linotype" w:hAnsi="Palatino Linotype" w:cs="Arial"/>
          <w:b/>
          <w:sz w:val="24"/>
          <w:szCs w:val="24"/>
        </w:rPr>
      </w:pPr>
      <w:r w:rsidRPr="00576384">
        <w:rPr>
          <w:rFonts w:ascii="Palatino Linotype" w:hAnsi="Palatino Linotype" w:cs="Arial"/>
          <w:b/>
          <w:sz w:val="28"/>
          <w:szCs w:val="28"/>
        </w:rPr>
        <w:t>QUINT</w:t>
      </w:r>
      <w:r w:rsidR="007D0B6C" w:rsidRPr="00576384">
        <w:rPr>
          <w:rFonts w:ascii="Palatino Linotype" w:hAnsi="Palatino Linotype" w:cs="Arial"/>
          <w:b/>
          <w:sz w:val="28"/>
          <w:szCs w:val="28"/>
        </w:rPr>
        <w:t>O</w:t>
      </w:r>
      <w:r w:rsidR="00BF3214" w:rsidRPr="00576384">
        <w:rPr>
          <w:rFonts w:ascii="Palatino Linotype" w:hAnsi="Palatino Linotype" w:cs="Arial"/>
          <w:b/>
          <w:sz w:val="28"/>
          <w:szCs w:val="28"/>
        </w:rPr>
        <w:t>.</w:t>
      </w:r>
      <w:r w:rsidR="00BF3214" w:rsidRPr="00576384">
        <w:rPr>
          <w:rFonts w:ascii="Palatino Linotype" w:hAnsi="Palatino Linotype" w:cs="Arial"/>
          <w:b/>
          <w:sz w:val="24"/>
          <w:szCs w:val="24"/>
        </w:rPr>
        <w:t xml:space="preserve"> </w:t>
      </w:r>
      <w:r w:rsidR="00BC106F" w:rsidRPr="00576384">
        <w:rPr>
          <w:rFonts w:ascii="Palatino Linotype" w:hAnsi="Palatino Linotype" w:cs="Arial"/>
          <w:b/>
          <w:sz w:val="24"/>
          <w:szCs w:val="24"/>
        </w:rPr>
        <w:t>De la etapa de manifestaciones y/o alegatos.</w:t>
      </w:r>
    </w:p>
    <w:p w14:paraId="4DF5B869" w14:textId="25EB6A93" w:rsidR="00D47517" w:rsidRPr="00576384" w:rsidRDefault="00D9651B" w:rsidP="00DD5650">
      <w:pPr>
        <w:spacing w:after="0" w:line="360" w:lineRule="auto"/>
        <w:jc w:val="both"/>
        <w:rPr>
          <w:rFonts w:ascii="Palatino Linotype" w:hAnsi="Palatino Linotype" w:cs="Arial"/>
          <w:sz w:val="24"/>
          <w:szCs w:val="24"/>
        </w:rPr>
      </w:pPr>
      <w:r w:rsidRPr="00576384">
        <w:rPr>
          <w:rFonts w:ascii="Palatino Linotype" w:hAnsi="Palatino Linotype" w:cs="Arial"/>
          <w:sz w:val="24"/>
          <w:szCs w:val="24"/>
        </w:rPr>
        <w:t xml:space="preserve">Que de los autos electrónicos que obran en el expediente </w:t>
      </w:r>
      <w:r w:rsidR="005A62C9" w:rsidRPr="00576384">
        <w:rPr>
          <w:rFonts w:ascii="Palatino Linotype" w:hAnsi="Palatino Linotype" w:cs="Arial"/>
          <w:sz w:val="24"/>
          <w:szCs w:val="24"/>
        </w:rPr>
        <w:t xml:space="preserve">del recurso de revisión </w:t>
      </w:r>
      <w:r w:rsidR="00C9547B" w:rsidRPr="00576384">
        <w:rPr>
          <w:rFonts w:ascii="Palatino Linotype" w:hAnsi="Palatino Linotype" w:cs="Arial"/>
          <w:b/>
          <w:sz w:val="24"/>
          <w:szCs w:val="24"/>
        </w:rPr>
        <w:t>0</w:t>
      </w:r>
      <w:r w:rsidR="002978CB">
        <w:rPr>
          <w:rFonts w:ascii="Palatino Linotype" w:hAnsi="Palatino Linotype" w:cs="Arial"/>
          <w:b/>
          <w:sz w:val="24"/>
          <w:szCs w:val="24"/>
        </w:rPr>
        <w:t>327</w:t>
      </w:r>
      <w:r w:rsidR="00CF5089" w:rsidRPr="00576384">
        <w:rPr>
          <w:rFonts w:ascii="Palatino Linotype" w:hAnsi="Palatino Linotype" w:cs="Arial"/>
          <w:b/>
          <w:sz w:val="24"/>
          <w:szCs w:val="24"/>
        </w:rPr>
        <w:t>0</w:t>
      </w:r>
      <w:r w:rsidR="00753CE8" w:rsidRPr="00576384">
        <w:rPr>
          <w:rFonts w:ascii="Palatino Linotype" w:hAnsi="Palatino Linotype" w:cs="Arial"/>
          <w:b/>
          <w:sz w:val="24"/>
          <w:szCs w:val="24"/>
        </w:rPr>
        <w:t>/</w:t>
      </w:r>
      <w:r w:rsidR="00803D97" w:rsidRPr="00576384">
        <w:rPr>
          <w:rFonts w:ascii="Palatino Linotype" w:hAnsi="Palatino Linotype" w:cs="Arial"/>
          <w:b/>
          <w:sz w:val="24"/>
          <w:szCs w:val="24"/>
        </w:rPr>
        <w:t>INFOEM/IP/RR/2020</w:t>
      </w:r>
      <w:r w:rsidR="005A62C9" w:rsidRPr="00576384">
        <w:rPr>
          <w:rFonts w:ascii="Palatino Linotype" w:hAnsi="Palatino Linotype" w:cs="Arial"/>
          <w:sz w:val="24"/>
          <w:szCs w:val="24"/>
        </w:rPr>
        <w:t>,</w:t>
      </w:r>
      <w:r w:rsidRPr="00576384">
        <w:rPr>
          <w:rFonts w:ascii="Palatino Linotype" w:hAnsi="Palatino Linotype" w:cs="Arial"/>
          <w:sz w:val="24"/>
          <w:szCs w:val="24"/>
        </w:rPr>
        <w:t xml:space="preserve"> se aprecia que </w:t>
      </w:r>
      <w:r w:rsidR="00FE2D30" w:rsidRPr="00576384">
        <w:rPr>
          <w:rFonts w:ascii="Palatino Linotype" w:hAnsi="Palatino Linotype" w:cs="Arial"/>
          <w:sz w:val="24"/>
          <w:szCs w:val="24"/>
        </w:rPr>
        <w:t xml:space="preserve">tanto </w:t>
      </w:r>
      <w:r w:rsidRPr="00576384">
        <w:rPr>
          <w:rFonts w:ascii="Palatino Linotype" w:hAnsi="Palatino Linotype" w:cs="Arial"/>
          <w:sz w:val="24"/>
          <w:szCs w:val="24"/>
        </w:rPr>
        <w:t>e</w:t>
      </w:r>
      <w:r w:rsidR="00FE2D30" w:rsidRPr="00576384">
        <w:rPr>
          <w:rFonts w:ascii="Palatino Linotype" w:hAnsi="Palatino Linotype" w:cs="Arial"/>
          <w:sz w:val="24"/>
          <w:szCs w:val="24"/>
        </w:rPr>
        <w:t>l Sujeto Obligado, como el Recurrente n</w:t>
      </w:r>
      <w:r w:rsidR="006F681C" w:rsidRPr="00576384">
        <w:rPr>
          <w:rFonts w:ascii="Palatino Linotype" w:hAnsi="Palatino Linotype" w:cs="Arial"/>
          <w:sz w:val="24"/>
          <w:szCs w:val="24"/>
        </w:rPr>
        <w:t>o remitieron información alguna, como se muestra a continuación:</w:t>
      </w:r>
    </w:p>
    <w:p w14:paraId="2C007FA5" w14:textId="72A2068F" w:rsidR="006F681C" w:rsidRPr="00576384" w:rsidRDefault="002978CB"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4CE287B2" wp14:editId="380B0F50">
            <wp:extent cx="5537729" cy="1533525"/>
            <wp:effectExtent l="190500" t="190500" r="19685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738" t="39389" r="13029" b="23574"/>
                    <a:stretch/>
                  </pic:blipFill>
                  <pic:spPr bwMode="auto">
                    <a:xfrm>
                      <a:off x="0" y="0"/>
                      <a:ext cx="5540617" cy="15343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576384" w:rsidRDefault="00BC106F" w:rsidP="00AD2A55">
      <w:pPr>
        <w:tabs>
          <w:tab w:val="left" w:pos="3206"/>
        </w:tabs>
        <w:spacing w:after="0" w:line="360" w:lineRule="auto"/>
        <w:jc w:val="both"/>
        <w:rPr>
          <w:rFonts w:ascii="Palatino Linotype" w:hAnsi="Palatino Linotype" w:cs="Arial"/>
          <w:b/>
          <w:sz w:val="24"/>
          <w:szCs w:val="24"/>
        </w:rPr>
      </w:pPr>
      <w:r w:rsidRPr="00576384">
        <w:rPr>
          <w:rFonts w:ascii="Palatino Linotype" w:hAnsi="Palatino Linotype" w:cs="Arial"/>
          <w:b/>
          <w:sz w:val="24"/>
          <w:szCs w:val="24"/>
        </w:rPr>
        <w:t>Del cierre de instrucción.</w:t>
      </w:r>
      <w:r w:rsidRPr="00576384">
        <w:rPr>
          <w:rFonts w:ascii="Palatino Linotype" w:hAnsi="Palatino Linotype" w:cs="Arial"/>
          <w:b/>
          <w:sz w:val="24"/>
          <w:szCs w:val="24"/>
        </w:rPr>
        <w:tab/>
      </w:r>
    </w:p>
    <w:p w14:paraId="05097FC3" w14:textId="63AA3807" w:rsidR="00BC106F" w:rsidRDefault="00BC106F" w:rsidP="00AD2A55">
      <w:pPr>
        <w:spacing w:after="0" w:line="360" w:lineRule="auto"/>
        <w:jc w:val="both"/>
        <w:rPr>
          <w:rFonts w:ascii="Palatino Linotype" w:hAnsi="Palatino Linotype" w:cs="Arial"/>
          <w:sz w:val="24"/>
          <w:szCs w:val="24"/>
        </w:rPr>
      </w:pPr>
      <w:r w:rsidRPr="00576384">
        <w:rPr>
          <w:rFonts w:ascii="Palatino Linotype" w:hAnsi="Palatino Linotype" w:cs="Arial"/>
          <w:sz w:val="24"/>
          <w:szCs w:val="24"/>
        </w:rPr>
        <w:t>Así, una vez transcurrido el término legal, se decreta el cierre de instrucción</w:t>
      </w:r>
      <w:r w:rsidR="00461648" w:rsidRPr="00576384">
        <w:rPr>
          <w:rFonts w:ascii="Palatino Linotype" w:hAnsi="Palatino Linotype" w:cs="Arial"/>
          <w:sz w:val="24"/>
          <w:szCs w:val="24"/>
        </w:rPr>
        <w:t xml:space="preserve"> del recurso</w:t>
      </w:r>
      <w:r w:rsidR="00F32FBF" w:rsidRPr="00576384">
        <w:rPr>
          <w:rFonts w:ascii="Palatino Linotype" w:hAnsi="Palatino Linotype" w:cs="Arial"/>
          <w:sz w:val="24"/>
          <w:szCs w:val="24"/>
        </w:rPr>
        <w:t>s</w:t>
      </w:r>
      <w:r w:rsidR="00461648" w:rsidRPr="00576384">
        <w:rPr>
          <w:rFonts w:ascii="Palatino Linotype" w:hAnsi="Palatino Linotype" w:cs="Arial"/>
          <w:sz w:val="24"/>
          <w:szCs w:val="24"/>
        </w:rPr>
        <w:t xml:space="preserve"> de revisión</w:t>
      </w:r>
      <w:r w:rsidR="00F32FBF" w:rsidRPr="00576384">
        <w:rPr>
          <w:rFonts w:ascii="Palatino Linotype" w:hAnsi="Palatino Linotype" w:cs="Arial"/>
          <w:sz w:val="24"/>
          <w:szCs w:val="24"/>
        </w:rPr>
        <w:t xml:space="preserve"> se realizó</w:t>
      </w:r>
      <w:r w:rsidR="00F32FBF" w:rsidRPr="00576384">
        <w:rPr>
          <w:rFonts w:ascii="Palatino Linotype" w:hAnsi="Palatino Linotype" w:cs="Arial"/>
          <w:b/>
          <w:sz w:val="24"/>
          <w:szCs w:val="24"/>
        </w:rPr>
        <w:t xml:space="preserve"> </w:t>
      </w:r>
      <w:r w:rsidRPr="00576384">
        <w:rPr>
          <w:rFonts w:ascii="Palatino Linotype" w:hAnsi="Palatino Linotype" w:cs="Arial"/>
          <w:sz w:val="24"/>
          <w:szCs w:val="24"/>
        </w:rPr>
        <w:t xml:space="preserve">en fecha </w:t>
      </w:r>
      <w:r w:rsidR="00F11A2A">
        <w:rPr>
          <w:rFonts w:ascii="Palatino Linotype" w:hAnsi="Palatino Linotype" w:cs="Arial"/>
          <w:sz w:val="24"/>
          <w:szCs w:val="24"/>
        </w:rPr>
        <w:t>veintitrés de noviembre</w:t>
      </w:r>
      <w:r w:rsidR="00F80D24" w:rsidRPr="00576384">
        <w:rPr>
          <w:rFonts w:ascii="Palatino Linotype" w:hAnsi="Palatino Linotype" w:cs="Arial"/>
          <w:sz w:val="24"/>
          <w:szCs w:val="24"/>
        </w:rPr>
        <w:t xml:space="preserve"> de dos mil veinte</w:t>
      </w:r>
      <w:r w:rsidRPr="0057638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94A97FE" w14:textId="77777777" w:rsidR="00F11A2A" w:rsidRDefault="00F11A2A" w:rsidP="00AD2A55">
      <w:pPr>
        <w:spacing w:after="0" w:line="360" w:lineRule="auto"/>
        <w:jc w:val="both"/>
        <w:rPr>
          <w:rFonts w:ascii="Palatino Linotype" w:hAnsi="Palatino Linotype" w:cs="Arial"/>
          <w:sz w:val="24"/>
          <w:szCs w:val="24"/>
        </w:rPr>
      </w:pPr>
    </w:p>
    <w:p w14:paraId="09089ECE" w14:textId="77777777" w:rsidR="00F11A2A" w:rsidRPr="00054B1D" w:rsidRDefault="00F11A2A" w:rsidP="00F11A2A">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14:paraId="2AC100DB" w14:textId="447674CF" w:rsidR="00F11A2A" w:rsidRPr="00037272" w:rsidRDefault="00F11A2A" w:rsidP="00F11A2A">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w:t>
      </w:r>
      <w:r w:rsidRPr="003F789B">
        <w:rPr>
          <w:rFonts w:ascii="Palatino Linotype" w:eastAsiaTheme="minorEastAsia" w:hAnsi="Palatino Linotype"/>
          <w:sz w:val="24"/>
          <w:szCs w:val="24"/>
          <w:lang w:val="es-ES_tradnl" w:eastAsia="es-ES"/>
        </w:rPr>
        <w:t>fecha veintic</w:t>
      </w:r>
      <w:r w:rsidR="003F789B">
        <w:rPr>
          <w:rFonts w:ascii="Palatino Linotype" w:eastAsiaTheme="minorEastAsia" w:hAnsi="Palatino Linotype"/>
          <w:sz w:val="24"/>
          <w:szCs w:val="24"/>
          <w:lang w:val="es-ES_tradnl" w:eastAsia="es-ES"/>
        </w:rPr>
        <w:t>inco</w:t>
      </w:r>
      <w:r w:rsidRPr="003F789B">
        <w:rPr>
          <w:rFonts w:ascii="Palatino Linotype" w:eastAsiaTheme="minorEastAsia" w:hAnsi="Palatino Linotype"/>
          <w:sz w:val="24"/>
          <w:szCs w:val="24"/>
          <w:lang w:val="es-ES_tradnl" w:eastAsia="es-ES"/>
        </w:rPr>
        <w:t xml:space="preserve"> de noviembre se notificó</w:t>
      </w:r>
      <w:r w:rsidRPr="008217BC">
        <w:rPr>
          <w:rFonts w:ascii="Palatino Linotype" w:eastAsiaTheme="minorEastAsia" w:hAnsi="Palatino Linotype"/>
          <w:sz w:val="24"/>
          <w:szCs w:val="24"/>
          <w:lang w:val="es-ES_tradnl" w:eastAsia="es-ES"/>
        </w:rPr>
        <w:t xml:space="preserve"> el acuerdo de fecha trece de octubre de dos mil veinte, en el cual se acord</w:t>
      </w:r>
      <w:r w:rsidRPr="00054B1D">
        <w:rPr>
          <w:rFonts w:ascii="Palatino Linotype" w:eastAsiaTheme="minorEastAsia" w:hAnsi="Palatino Linotype"/>
          <w:sz w:val="24"/>
          <w:szCs w:val="24"/>
          <w:lang w:val="es-ES_tradnl" w:eastAsia="es-ES"/>
        </w:rPr>
        <w:t xml:space="preserve">ó ampliar por el plazo de quince días hábiles más, los términos de ley para emitir la resolución respectiva en el recurso de revisión citado </w:t>
      </w:r>
      <w:r w:rsidRPr="00054B1D">
        <w:rPr>
          <w:rFonts w:ascii="Palatino Linotype" w:eastAsiaTheme="minorEastAsia" w:hAnsi="Palatino Linotype"/>
          <w:sz w:val="24"/>
          <w:szCs w:val="24"/>
          <w:lang w:val="es-ES_tradnl" w:eastAsia="es-ES"/>
        </w:rPr>
        <w:lastRenderedPageBreak/>
        <w:t>al rubro, en términos del artículo 181, tercer párrafo, de la Ley de Transparencia y Acceso a la Información Pública del Estado de México y Municipios.</w:t>
      </w:r>
    </w:p>
    <w:p w14:paraId="143440DC" w14:textId="77777777" w:rsidR="00F11A2A" w:rsidRPr="00576384" w:rsidRDefault="00F11A2A" w:rsidP="00AD2A55">
      <w:pPr>
        <w:spacing w:after="0" w:line="360" w:lineRule="auto"/>
        <w:jc w:val="both"/>
        <w:rPr>
          <w:rFonts w:ascii="Palatino Linotype" w:hAnsi="Palatino Linotype" w:cs="Arial"/>
          <w:sz w:val="24"/>
          <w:szCs w:val="24"/>
        </w:rPr>
      </w:pP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06C4653" w14:textId="77777777" w:rsidR="00CF5089" w:rsidRPr="00A80539" w:rsidRDefault="00CF5089" w:rsidP="009A65FE">
      <w:pPr>
        <w:spacing w:after="0" w:line="360" w:lineRule="auto"/>
        <w:jc w:val="both"/>
        <w:rPr>
          <w:rFonts w:ascii="Palatino Linotype" w:hAnsi="Palatino Linotype" w:cs="Arial"/>
          <w:sz w:val="24"/>
          <w:szCs w:val="24"/>
        </w:rPr>
      </w:pPr>
    </w:p>
    <w:p w14:paraId="7CB52BFD" w14:textId="3ABAEEE9" w:rsidR="00EE326A" w:rsidRPr="00AD2A55" w:rsidRDefault="00BF3214" w:rsidP="00CF5089">
      <w:pPr>
        <w:tabs>
          <w:tab w:val="left" w:pos="7650"/>
        </w:tabs>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r w:rsidR="00CF5089">
        <w:rPr>
          <w:rFonts w:ascii="Palatino Linotype" w:hAnsi="Palatino Linotype" w:cs="Arial"/>
          <w:b/>
          <w:sz w:val="24"/>
          <w:szCs w:val="24"/>
        </w:rPr>
        <w:tab/>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AD2A55">
        <w:rPr>
          <w:rFonts w:ascii="Palatino Linotype" w:hAnsi="Palatino Linotype"/>
          <w:i/>
          <w:sz w:val="22"/>
          <w:szCs w:val="22"/>
        </w:rPr>
        <w:lastRenderedPageBreak/>
        <w:t>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041D53D4" w14:textId="43DE301D" w:rsidR="00CD1DD1" w:rsidRDefault="00392D20" w:rsidP="00CD1DD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 xml:space="preserve">En primera instancia, al referirnos </w:t>
      </w:r>
      <w:r w:rsidR="0095294B" w:rsidRPr="00226C6A">
        <w:rPr>
          <w:rFonts w:ascii="Palatino Linotype" w:hAnsi="Palatino Linotype" w:cs="Arial"/>
        </w:rPr>
        <w:t>al acto impugnad</w:t>
      </w:r>
      <w:r w:rsidR="0095294B" w:rsidRPr="00C27225">
        <w:rPr>
          <w:rFonts w:ascii="Palatino Linotype" w:hAnsi="Palatino Linotype" w:cs="Arial"/>
        </w:rPr>
        <w:t>o emitido</w:t>
      </w:r>
      <w:r w:rsidRPr="00226C6A">
        <w:rPr>
          <w:rFonts w:ascii="Palatino Linotype" w:hAnsi="Palatino Linotype" w:cs="Arial"/>
        </w:rPr>
        <w:t xml:space="preserve">, se distingue que se adolece, de forma toral, </w:t>
      </w:r>
      <w:r w:rsidR="005057E7">
        <w:rPr>
          <w:rFonts w:ascii="Palatino Linotype" w:hAnsi="Palatino Linotype" w:cs="Arial"/>
        </w:rPr>
        <w:t xml:space="preserve">por </w:t>
      </w:r>
      <w:r w:rsidR="0095294B">
        <w:rPr>
          <w:rFonts w:ascii="Palatino Linotype" w:hAnsi="Palatino Linotype" w:cs="Arial"/>
        </w:rPr>
        <w:t>el supuesto cambio de modalidad que el Sujeto Obligado refirió en respuesta.</w:t>
      </w:r>
    </w:p>
    <w:p w14:paraId="60E90784" w14:textId="77777777" w:rsidR="00CD1DD1" w:rsidRPr="009B122E" w:rsidRDefault="00CD1DD1" w:rsidP="00CD1DD1">
      <w:pPr>
        <w:pStyle w:val="Prrafodelista"/>
        <w:autoSpaceDE w:val="0"/>
        <w:autoSpaceDN w:val="0"/>
        <w:adjustRightInd w:val="0"/>
        <w:spacing w:line="360" w:lineRule="auto"/>
        <w:ind w:left="0"/>
        <w:jc w:val="both"/>
        <w:rPr>
          <w:rFonts w:ascii="Palatino Linotype" w:hAnsi="Palatino Linotype" w:cs="Arial"/>
        </w:rPr>
      </w:pPr>
    </w:p>
    <w:p w14:paraId="1A76C110" w14:textId="1E48F219" w:rsidR="009B122E" w:rsidRPr="009B122E" w:rsidRDefault="009B122E" w:rsidP="009B122E">
      <w:pPr>
        <w:autoSpaceDE w:val="0"/>
        <w:autoSpaceDN w:val="0"/>
        <w:adjustRightInd w:val="0"/>
        <w:spacing w:before="100" w:beforeAutospacing="1" w:after="100" w:afterAutospacing="1" w:line="360" w:lineRule="auto"/>
        <w:jc w:val="both"/>
        <w:rPr>
          <w:rFonts w:ascii="Palatino Linotype" w:hAnsi="Palatino Linotype" w:cs="Arial"/>
          <w:sz w:val="24"/>
          <w:szCs w:val="24"/>
        </w:rPr>
      </w:pPr>
      <w:r w:rsidRPr="009B122E">
        <w:rPr>
          <w:rFonts w:ascii="Palatino Linotype" w:hAnsi="Palatino Linotype" w:cs="Arial"/>
          <w:sz w:val="24"/>
          <w:szCs w:val="24"/>
        </w:rPr>
        <w:t xml:space="preserve">Para efecto de ilustrar lo anterior, se advierte que la Recurrente en su solicitud de acceso a información pública, requirió conocer </w:t>
      </w:r>
      <w:r>
        <w:rPr>
          <w:rFonts w:ascii="Palatino Linotype" w:hAnsi="Palatino Linotype"/>
          <w:color w:val="000000"/>
          <w:sz w:val="24"/>
          <w:szCs w:val="24"/>
        </w:rPr>
        <w:t>l</w:t>
      </w:r>
      <w:r w:rsidRPr="009B122E">
        <w:rPr>
          <w:rFonts w:ascii="Palatino Linotype" w:hAnsi="Palatino Linotype"/>
          <w:color w:val="000000"/>
          <w:sz w:val="24"/>
          <w:szCs w:val="24"/>
        </w:rPr>
        <w:t xml:space="preserve">as contrataciones de servicios profesionales por honorarios, señalando los nombres de los prestadores de servicios, los servicios contratados, el monto de los honorarios y el periodo de </w:t>
      </w:r>
      <w:r>
        <w:rPr>
          <w:rFonts w:ascii="Palatino Linotype" w:hAnsi="Palatino Linotype"/>
          <w:color w:val="000000"/>
          <w:sz w:val="24"/>
          <w:szCs w:val="24"/>
        </w:rPr>
        <w:t>contratación.</w:t>
      </w:r>
    </w:p>
    <w:p w14:paraId="24C4517C" w14:textId="77777777" w:rsidR="009B122E" w:rsidRDefault="009B122E" w:rsidP="00CD1DD1">
      <w:pPr>
        <w:pStyle w:val="Prrafodelista"/>
        <w:autoSpaceDE w:val="0"/>
        <w:autoSpaceDN w:val="0"/>
        <w:adjustRightInd w:val="0"/>
        <w:spacing w:line="360" w:lineRule="auto"/>
        <w:ind w:left="0"/>
        <w:jc w:val="both"/>
        <w:rPr>
          <w:rFonts w:ascii="Palatino Linotype" w:hAnsi="Palatino Linotype" w:cs="Arial"/>
        </w:rPr>
      </w:pPr>
    </w:p>
    <w:p w14:paraId="7A3D5C7E" w14:textId="22BB7A1B" w:rsidR="0028134C" w:rsidRDefault="005057E7" w:rsidP="00CD1DD1">
      <w:pPr>
        <w:pStyle w:val="Prrafodelista"/>
        <w:autoSpaceDE w:val="0"/>
        <w:autoSpaceDN w:val="0"/>
        <w:adjustRightInd w:val="0"/>
        <w:spacing w:line="360" w:lineRule="auto"/>
        <w:ind w:left="0"/>
        <w:jc w:val="both"/>
        <w:rPr>
          <w:rFonts w:ascii="Palatino Linotype" w:hAnsi="Palatino Linotype"/>
          <w:lang w:eastAsia="es-MX"/>
        </w:rPr>
      </w:pPr>
      <w:r w:rsidRPr="0028134C">
        <w:rPr>
          <w:rFonts w:ascii="Palatino Linotype" w:hAnsi="Palatino Linotype"/>
          <w:lang w:eastAsia="es-MX"/>
        </w:rPr>
        <w:t xml:space="preserve">Ahora bien por parte del Sujeto Obligado, es de señalar que si </w:t>
      </w:r>
      <w:r w:rsidR="009B122E" w:rsidRPr="0028134C">
        <w:rPr>
          <w:rFonts w:ascii="Palatino Linotype" w:hAnsi="Palatino Linotype"/>
          <w:lang w:eastAsia="es-MX"/>
        </w:rPr>
        <w:t xml:space="preserve">da </w:t>
      </w:r>
      <w:r w:rsidRPr="0028134C">
        <w:rPr>
          <w:rFonts w:ascii="Palatino Linotype" w:hAnsi="Palatino Linotype"/>
          <w:lang w:eastAsia="es-MX"/>
        </w:rPr>
        <w:t>respuesta</w:t>
      </w:r>
      <w:r w:rsidR="009B122E" w:rsidRPr="0028134C">
        <w:rPr>
          <w:rFonts w:ascii="Palatino Linotype" w:hAnsi="Palatino Linotype"/>
          <w:lang w:eastAsia="es-MX"/>
        </w:rPr>
        <w:t xml:space="preserve"> relacionada con la solicitud de información, </w:t>
      </w:r>
      <w:r w:rsidR="00560E87" w:rsidRPr="0028134C">
        <w:rPr>
          <w:rFonts w:ascii="Palatino Linotype" w:hAnsi="Palatino Linotype"/>
          <w:lang w:eastAsia="es-MX"/>
        </w:rPr>
        <w:t>ya que</w:t>
      </w:r>
      <w:r w:rsidR="009B122E" w:rsidRPr="0028134C">
        <w:rPr>
          <w:rFonts w:ascii="Palatino Linotype" w:hAnsi="Palatino Linotype"/>
          <w:lang w:eastAsia="es-MX"/>
        </w:rPr>
        <w:t xml:space="preserve"> informa</w:t>
      </w:r>
      <w:r w:rsidR="009B122E">
        <w:rPr>
          <w:rFonts w:ascii="Palatino Linotype" w:hAnsi="Palatino Linotype"/>
          <w:lang w:eastAsia="es-MX"/>
        </w:rPr>
        <w:t xml:space="preserve"> que se realizó una búsqueda de información en los archivos de la Dirección de Administración</w:t>
      </w:r>
      <w:r w:rsidR="0028134C">
        <w:rPr>
          <w:rFonts w:ascii="Palatino Linotype" w:hAnsi="Palatino Linotype"/>
          <w:lang w:eastAsia="es-MX"/>
        </w:rPr>
        <w:t xml:space="preserve">  no se encontró información relacionada con la información solicitada.</w:t>
      </w:r>
    </w:p>
    <w:p w14:paraId="2447071A" w14:textId="77777777" w:rsidR="0028134C" w:rsidRPr="00C0597F" w:rsidRDefault="0028134C" w:rsidP="0028134C">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lastRenderedPageBreak/>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53E83E4B" w14:textId="77777777" w:rsidR="0028134C" w:rsidRPr="00183325" w:rsidRDefault="0028134C" w:rsidP="0028134C">
      <w:pPr>
        <w:spacing w:line="360" w:lineRule="auto"/>
        <w:jc w:val="both"/>
        <w:rPr>
          <w:rFonts w:ascii="Palatino Linotype" w:hAnsi="Palatino Linotype" w:cs="Arial"/>
          <w:sz w:val="12"/>
        </w:rPr>
      </w:pPr>
    </w:p>
    <w:p w14:paraId="0FAAB8E3" w14:textId="77777777" w:rsidR="0028134C" w:rsidRPr="009454DD" w:rsidRDefault="0028134C" w:rsidP="0028134C">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8396B0" w14:textId="77777777" w:rsidR="0028134C" w:rsidRDefault="0028134C" w:rsidP="0028134C"/>
    <w:p w14:paraId="0D482884" w14:textId="52292641" w:rsidR="0028134C" w:rsidRPr="0028134C" w:rsidRDefault="0028134C" w:rsidP="0028134C">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Aunado a ello, debemos señalar que el área que dio respuesta al requerimiento </w:t>
      </w:r>
      <w:r w:rsidRPr="0028134C">
        <w:rPr>
          <w:rFonts w:ascii="Palatino Linotype" w:hAnsi="Palatino Linotype"/>
          <w:lang w:eastAsia="es-MX"/>
        </w:rPr>
        <w:t>solicitado es la correspondiente para poseer, administrar o generar la información solicitada.</w:t>
      </w:r>
    </w:p>
    <w:p w14:paraId="222074AF" w14:textId="77777777" w:rsidR="0028134C" w:rsidRPr="0028134C" w:rsidRDefault="0028134C" w:rsidP="0028134C">
      <w:pPr>
        <w:pStyle w:val="Prrafodelista"/>
        <w:autoSpaceDE w:val="0"/>
        <w:autoSpaceDN w:val="0"/>
        <w:adjustRightInd w:val="0"/>
        <w:spacing w:line="360" w:lineRule="auto"/>
        <w:ind w:left="0"/>
        <w:jc w:val="both"/>
        <w:rPr>
          <w:rFonts w:ascii="Palatino Linotype" w:hAnsi="Palatino Linotype"/>
          <w:lang w:eastAsia="es-MX"/>
        </w:rPr>
      </w:pPr>
    </w:p>
    <w:p w14:paraId="1AC71256" w14:textId="7EB59BBD" w:rsidR="0028134C" w:rsidRPr="0028134C" w:rsidRDefault="0028134C" w:rsidP="0028134C">
      <w:pPr>
        <w:spacing w:after="0" w:line="360" w:lineRule="auto"/>
        <w:jc w:val="both"/>
        <w:rPr>
          <w:rFonts w:ascii="Palatino Linotype" w:hAnsi="Palatino Linotype" w:cs="Arial"/>
          <w:sz w:val="24"/>
          <w:szCs w:val="24"/>
        </w:rPr>
      </w:pPr>
      <w:r w:rsidRPr="0028134C">
        <w:rPr>
          <w:rFonts w:ascii="Palatino Linotype" w:hAnsi="Palatino Linotype" w:cs="Arial"/>
          <w:sz w:val="24"/>
          <w:szCs w:val="24"/>
        </w:rPr>
        <w:t>Inconforme con dicha respuesta,</w:t>
      </w:r>
      <w:r w:rsidRPr="0028134C">
        <w:rPr>
          <w:rFonts w:ascii="Palatino Linotype" w:hAnsi="Palatino Linotype" w:cs="Arial"/>
          <w:b/>
          <w:sz w:val="24"/>
          <w:szCs w:val="24"/>
        </w:rPr>
        <w:t xml:space="preserve"> </w:t>
      </w:r>
      <w:r w:rsidRPr="0028134C">
        <w:rPr>
          <w:rFonts w:ascii="Palatino Linotype" w:hAnsi="Palatino Linotype" w:cs="Arial"/>
          <w:sz w:val="24"/>
          <w:szCs w:val="24"/>
        </w:rPr>
        <w:t xml:space="preserve">la Recurrente procedió a interponer el presente recurso de revisión, señalando como acto impugnado </w:t>
      </w:r>
      <w:r>
        <w:rPr>
          <w:rFonts w:ascii="Palatino Linotype" w:hAnsi="Palatino Linotype" w:cs="Arial"/>
          <w:sz w:val="24"/>
          <w:szCs w:val="24"/>
        </w:rPr>
        <w:t xml:space="preserve">a groso modo </w:t>
      </w:r>
      <w:r w:rsidRPr="0028134C">
        <w:rPr>
          <w:rFonts w:ascii="Palatino Linotype" w:hAnsi="Palatino Linotype" w:cs="Arial"/>
          <w:sz w:val="24"/>
          <w:szCs w:val="24"/>
        </w:rPr>
        <w:t xml:space="preserve">lo siguiente: </w:t>
      </w:r>
    </w:p>
    <w:p w14:paraId="62173848" w14:textId="5A6188D8" w:rsidR="0028134C" w:rsidRPr="00F14045" w:rsidRDefault="0028134C" w:rsidP="0028134C">
      <w:pPr>
        <w:pStyle w:val="Prrafodelista"/>
        <w:ind w:left="851" w:right="899"/>
        <w:jc w:val="both"/>
        <w:rPr>
          <w:rFonts w:ascii="Palatino Linotype" w:hAnsi="Palatino Linotype" w:cs="Arial"/>
          <w:i/>
          <w:sz w:val="22"/>
          <w:szCs w:val="22"/>
          <w:lang w:val="es-ES_tradnl"/>
        </w:rPr>
      </w:pPr>
      <w:r>
        <w:rPr>
          <w:rFonts w:ascii="Palatino Linotype" w:hAnsi="Palatino Linotype" w:cs="Arial"/>
          <w:i/>
          <w:sz w:val="22"/>
          <w:szCs w:val="22"/>
          <w:lang w:val="es-ES_tradnl"/>
        </w:rPr>
        <w:lastRenderedPageBreak/>
        <w:t>“…</w:t>
      </w:r>
      <w:r w:rsidRPr="002978CB">
        <w:rPr>
          <w:rFonts w:ascii="Palatino Linotype" w:hAnsi="Palatino Linotype"/>
          <w:i/>
          <w:color w:val="000000"/>
          <w:sz w:val="22"/>
          <w:szCs w:val="22"/>
        </w:rPr>
        <w:t>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w:t>
      </w:r>
      <w:r>
        <w:rPr>
          <w:rFonts w:ascii="Palatino Linotype" w:hAnsi="Palatino Linotype"/>
          <w:i/>
          <w:color w:val="000000"/>
          <w:sz w:val="22"/>
          <w:szCs w:val="22"/>
        </w:rPr>
        <w:t xml:space="preserve">s </w:t>
      </w:r>
      <w:r w:rsidRPr="002978CB">
        <w:rPr>
          <w:rFonts w:ascii="Palatino Linotype" w:hAnsi="Palatino Linotype"/>
          <w:i/>
          <w:color w:val="000000"/>
          <w:sz w:val="22"/>
          <w:szCs w:val="22"/>
        </w:rPr>
        <w:t>, que es lo que pretende el sujeto obligado, tal y como lo manifestó expresamente el presidente municipal Juan Antonio Pérez Quintero, al verter expresamente en sesión de cabildo, “ahí está la información, pero si la quieren, que vengan”</w:t>
      </w:r>
      <w:r>
        <w:rPr>
          <w:rFonts w:ascii="Palatino Linotype" w:hAnsi="Palatino Linotype"/>
          <w:i/>
          <w:color w:val="000000"/>
          <w:sz w:val="22"/>
          <w:szCs w:val="22"/>
        </w:rPr>
        <w:t>…</w:t>
      </w:r>
      <w:r w:rsidRPr="0028134C">
        <w:rPr>
          <w:rFonts w:ascii="Palatino Linotype" w:hAnsi="Palatino Linotype"/>
          <w:i/>
          <w:color w:val="000000"/>
          <w:sz w:val="22"/>
          <w:szCs w:val="22"/>
        </w:rPr>
        <w:t xml:space="preserve"> </w:t>
      </w:r>
      <w:r w:rsidRPr="002978CB">
        <w:rPr>
          <w:rFonts w:ascii="Palatino Linotype" w:hAnsi="Palatino Linotype"/>
          <w:i/>
          <w:color w:val="000000"/>
          <w:sz w:val="22"/>
          <w:szCs w:val="22"/>
        </w:rPr>
        <w:t>ante tal abuso de autoridad, solicito se imponga multa al presidente municipal y a cada uno de los integrantes del comité de transparencia por pretender identificarme e intimidarme por realizar solicitudes</w:t>
      </w:r>
      <w:r>
        <w:rPr>
          <w:rFonts w:ascii="Palatino Linotype" w:hAnsi="Palatino Linotype"/>
          <w:i/>
          <w:color w:val="000000"/>
          <w:sz w:val="22"/>
          <w:szCs w:val="22"/>
        </w:rPr>
        <w:t>…</w:t>
      </w:r>
      <w:r w:rsidRPr="00F14045">
        <w:rPr>
          <w:rFonts w:ascii="Palatino Linotype" w:hAnsi="Palatino Linotype" w:cs="Arial"/>
          <w:i/>
          <w:sz w:val="22"/>
          <w:szCs w:val="22"/>
          <w:lang w:val="es-ES_tradnl"/>
        </w:rPr>
        <w:t>”</w:t>
      </w:r>
      <w:r>
        <w:rPr>
          <w:rFonts w:ascii="Palatino Linotype" w:hAnsi="Palatino Linotype" w:cs="Arial"/>
          <w:i/>
          <w:sz w:val="22"/>
          <w:szCs w:val="22"/>
          <w:lang w:val="es-ES_tradnl"/>
        </w:rPr>
        <w:t xml:space="preserve"> (Sic)</w:t>
      </w:r>
    </w:p>
    <w:p w14:paraId="121BD76A" w14:textId="6F340A73" w:rsidR="0028134C" w:rsidRPr="00214585" w:rsidRDefault="0028134C" w:rsidP="0028134C">
      <w:pPr>
        <w:spacing w:before="100" w:beforeAutospacing="1" w:after="100" w:afterAutospacing="1" w:line="360" w:lineRule="auto"/>
        <w:jc w:val="both"/>
        <w:rPr>
          <w:rFonts w:ascii="Palatino Linotype" w:hAnsi="Palatino Linotype"/>
          <w:bCs/>
          <w:sz w:val="24"/>
          <w:szCs w:val="24"/>
        </w:rPr>
      </w:pPr>
      <w:r w:rsidRPr="00214585">
        <w:rPr>
          <w:rFonts w:ascii="Palatino Linotype" w:hAnsi="Palatino Linotype"/>
          <w:bCs/>
          <w:sz w:val="24"/>
          <w:szCs w:val="24"/>
        </w:rPr>
        <w:t xml:space="preserve">De los argumentos vertidos por el particular es claro que las manifestaciones </w:t>
      </w:r>
      <w:r w:rsidR="00214585" w:rsidRPr="00214585">
        <w:rPr>
          <w:rFonts w:ascii="Palatino Linotype" w:hAnsi="Palatino Linotype"/>
          <w:bCs/>
          <w:sz w:val="24"/>
          <w:szCs w:val="24"/>
        </w:rPr>
        <w:t>mencionadas</w:t>
      </w:r>
      <w:r w:rsidRPr="00214585">
        <w:rPr>
          <w:rFonts w:ascii="Palatino Linotype" w:hAnsi="Palatino Linotype"/>
          <w:bCs/>
          <w:sz w:val="24"/>
          <w:szCs w:val="24"/>
        </w:rPr>
        <w:t xml:space="preserve"> versan en torno a información diversa a la solicitada y</w:t>
      </w:r>
      <w:r w:rsidR="00214585" w:rsidRPr="00214585">
        <w:rPr>
          <w:rFonts w:ascii="Palatino Linotype" w:hAnsi="Palatino Linotype"/>
          <w:bCs/>
          <w:sz w:val="24"/>
          <w:szCs w:val="24"/>
        </w:rPr>
        <w:t>a que el Sujeto Obligado no respondió en el sentido de realizar un cambio de modalidad, únicamente menciono que después de una búsqueda no se encontró información al respecto.</w:t>
      </w:r>
    </w:p>
    <w:p w14:paraId="5123B986" w14:textId="77777777" w:rsidR="0028134C" w:rsidRPr="00214585" w:rsidRDefault="0028134C" w:rsidP="0028134C">
      <w:pPr>
        <w:spacing w:before="100" w:beforeAutospacing="1" w:after="100" w:afterAutospacing="1" w:line="360" w:lineRule="auto"/>
        <w:jc w:val="both"/>
        <w:rPr>
          <w:rFonts w:ascii="Palatino Linotype" w:hAnsi="Palatino Linotype"/>
          <w:bCs/>
          <w:sz w:val="24"/>
          <w:szCs w:val="24"/>
        </w:rPr>
      </w:pPr>
      <w:r w:rsidRPr="00214585">
        <w:rPr>
          <w:rFonts w:ascii="Palatino Linotype" w:hAnsi="Palatino Linotype" w:cs="Arial"/>
          <w:sz w:val="24"/>
          <w:szCs w:val="24"/>
        </w:rPr>
        <w:t>Al respecto,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62913679"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w:t>
      </w:r>
      <w:r w:rsidRPr="004F364E">
        <w:rPr>
          <w:rFonts w:ascii="Palatino Linotype" w:hAnsi="Palatino Linotype" w:cs="Arial"/>
          <w:b/>
          <w:i/>
        </w:rPr>
        <w:t>Artículo 179</w:t>
      </w:r>
      <w:r w:rsidRPr="004F364E">
        <w:rPr>
          <w:rFonts w:ascii="Palatino Linotype" w:hAnsi="Palatino Linotype" w:cs="Arial"/>
          <w:i/>
        </w:rPr>
        <w:t>. El recurso de revisión es un medio de protección que la Ley otorga a los particulares, para hacer valer su derecho de acceso a la información pública, y procederá en contra de las siguientes causas:</w:t>
      </w:r>
    </w:p>
    <w:p w14:paraId="77E3B644" w14:textId="77777777" w:rsidR="0028134C" w:rsidRPr="004F364E" w:rsidRDefault="0028134C" w:rsidP="0028134C">
      <w:pPr>
        <w:ind w:left="709" w:right="757"/>
        <w:jc w:val="both"/>
        <w:rPr>
          <w:rFonts w:ascii="Palatino Linotype" w:hAnsi="Palatino Linotype" w:cs="Arial"/>
          <w:i/>
        </w:rPr>
      </w:pPr>
    </w:p>
    <w:p w14:paraId="75D447A2"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I. La negativa a la información solicitada;</w:t>
      </w:r>
    </w:p>
    <w:p w14:paraId="6BCD18A5"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II. La clasificación de la información;</w:t>
      </w:r>
    </w:p>
    <w:p w14:paraId="36376974"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III. La declaración de inexistencia de la información;</w:t>
      </w:r>
    </w:p>
    <w:p w14:paraId="06D55632"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lastRenderedPageBreak/>
        <w:t>IV. La declaración de incompetencia por el sujeto obligado;</w:t>
      </w:r>
    </w:p>
    <w:p w14:paraId="4158617B"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V. La entrega de información incompleta;</w:t>
      </w:r>
    </w:p>
    <w:p w14:paraId="76A070B1"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VI. La entrega de información que no corresponda con lo solicitado;</w:t>
      </w:r>
    </w:p>
    <w:p w14:paraId="04101B4F"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VII. La falta de respuesta a una solicitud de acceso a la información;</w:t>
      </w:r>
    </w:p>
    <w:p w14:paraId="78F4537A"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VIII. La notificación, entrega o puesta a disposición de información en una modalidad o formato distinto al solicitado;</w:t>
      </w:r>
    </w:p>
    <w:p w14:paraId="50336ED9"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IX. La entrega o puesta a disposición de información en un formato incomprensible y/o no accesible para el solicitante;</w:t>
      </w:r>
    </w:p>
    <w:p w14:paraId="60305AAA"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X. Los costos o tiempos de entrega de la información;</w:t>
      </w:r>
    </w:p>
    <w:p w14:paraId="3A1311D0"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XI. La falta de trámite a una solicitud;</w:t>
      </w:r>
    </w:p>
    <w:p w14:paraId="089F1B2D"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XII. La negativa a permitir la consulta directa de la información;</w:t>
      </w:r>
    </w:p>
    <w:p w14:paraId="5AE2532E"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XIII. La falta, deficiencia o insuficiencia de la fundamentación y/o motivación en la respuesta; y</w:t>
      </w:r>
    </w:p>
    <w:p w14:paraId="379DF0A4" w14:textId="77777777" w:rsidR="0028134C" w:rsidRPr="004F364E" w:rsidRDefault="0028134C" w:rsidP="0028134C">
      <w:pPr>
        <w:ind w:left="709" w:right="757"/>
        <w:jc w:val="both"/>
        <w:rPr>
          <w:rFonts w:ascii="Palatino Linotype" w:hAnsi="Palatino Linotype" w:cs="Arial"/>
          <w:i/>
        </w:rPr>
      </w:pPr>
      <w:r w:rsidRPr="004F364E">
        <w:rPr>
          <w:rFonts w:ascii="Palatino Linotype" w:hAnsi="Palatino Linotype" w:cs="Arial"/>
          <w:i/>
        </w:rPr>
        <w:t>XIV. La orientación a un trámite específico.</w:t>
      </w:r>
    </w:p>
    <w:p w14:paraId="412590C1" w14:textId="77777777" w:rsidR="0028134C" w:rsidRDefault="0028134C" w:rsidP="0028134C">
      <w:pPr>
        <w:ind w:left="709" w:right="757"/>
        <w:jc w:val="both"/>
        <w:rPr>
          <w:rFonts w:ascii="Palatino Linotype" w:hAnsi="Palatino Linotype" w:cs="Arial"/>
          <w:i/>
        </w:rPr>
      </w:pPr>
      <w:r w:rsidRPr="004F364E">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92F1966" w14:textId="3C185A40" w:rsidR="0028134C" w:rsidRPr="00214585" w:rsidRDefault="0028134C" w:rsidP="0028134C">
      <w:pPr>
        <w:spacing w:before="100" w:beforeAutospacing="1" w:after="100" w:afterAutospacing="1" w:line="360" w:lineRule="auto"/>
        <w:ind w:right="51"/>
        <w:jc w:val="both"/>
        <w:rPr>
          <w:rFonts w:ascii="Palatino Linotype" w:hAnsi="Palatino Linotype" w:cs="Arial"/>
          <w:sz w:val="24"/>
          <w:szCs w:val="24"/>
        </w:rPr>
      </w:pPr>
      <w:r w:rsidRPr="00214585">
        <w:rPr>
          <w:rFonts w:ascii="Palatino Linotype" w:hAnsi="Palatino Linotype" w:cs="Arial"/>
          <w:sz w:val="24"/>
          <w:szCs w:val="24"/>
        </w:rPr>
        <w:t xml:space="preserve">En tal virtud, al no actualizarse ninguno de los supuestos aludidos, este Instituto no tiene atribuciones para pronunciarse respecto a la petición formulada por </w:t>
      </w:r>
      <w:r w:rsidR="00214585" w:rsidRPr="00214585">
        <w:rPr>
          <w:rFonts w:ascii="Palatino Linotype" w:hAnsi="Palatino Linotype" w:cs="Arial"/>
          <w:sz w:val="24"/>
          <w:szCs w:val="24"/>
        </w:rPr>
        <w:t>la recurrente</w:t>
      </w:r>
      <w:r w:rsidRPr="00214585">
        <w:rPr>
          <w:rFonts w:ascii="Palatino Linotype" w:hAnsi="Palatino Linotype" w:cs="Arial"/>
          <w:sz w:val="24"/>
          <w:szCs w:val="24"/>
        </w:rPr>
        <w:t>, máxime que las razones y motivos de inconformidad no guardan relación con la naturaleza de la información que de origen fue requerida por el particular, lo anterior se refuerza con el criterio Jurisprudencial que se cita a continuación:</w:t>
      </w:r>
    </w:p>
    <w:p w14:paraId="7EEE3D5C" w14:textId="77777777" w:rsidR="0028134C" w:rsidRPr="004F364E" w:rsidRDefault="0028134C" w:rsidP="0028134C">
      <w:pPr>
        <w:ind w:left="851" w:right="899"/>
        <w:rPr>
          <w:rFonts w:ascii="Palatino Linotype" w:hAnsi="Palatino Linotype" w:cs="Arial"/>
          <w:i/>
        </w:rPr>
      </w:pPr>
      <w:r w:rsidRPr="004F364E">
        <w:rPr>
          <w:rFonts w:ascii="Palatino Linotype" w:hAnsi="Palatino Linotype" w:cs="Arial"/>
          <w:i/>
        </w:rPr>
        <w:t>Décima Época</w:t>
      </w:r>
      <w:r w:rsidRPr="004F364E">
        <w:rPr>
          <w:rFonts w:ascii="Palatino Linotype" w:hAnsi="Palatino Linotype" w:cs="Arial"/>
          <w:i/>
        </w:rPr>
        <w:tab/>
        <w:t>Núm. de Registro: 2011937</w:t>
      </w:r>
    </w:p>
    <w:p w14:paraId="14B4F46D" w14:textId="77777777" w:rsidR="0028134C" w:rsidRPr="004F364E" w:rsidRDefault="0028134C" w:rsidP="0028134C">
      <w:pPr>
        <w:ind w:left="851" w:right="899"/>
        <w:rPr>
          <w:rFonts w:ascii="Palatino Linotype" w:hAnsi="Palatino Linotype" w:cs="Arial"/>
          <w:i/>
        </w:rPr>
      </w:pPr>
      <w:r w:rsidRPr="004F364E">
        <w:rPr>
          <w:rFonts w:ascii="Palatino Linotype" w:hAnsi="Palatino Linotype" w:cs="Arial"/>
          <w:i/>
        </w:rPr>
        <w:t>Instancia: Primera Sala Jurisprudencia</w:t>
      </w:r>
    </w:p>
    <w:p w14:paraId="7D11B2C4" w14:textId="77777777" w:rsidR="0028134C" w:rsidRPr="004F364E" w:rsidRDefault="0028134C" w:rsidP="0028134C">
      <w:pPr>
        <w:ind w:left="851" w:right="899"/>
        <w:rPr>
          <w:rFonts w:ascii="Palatino Linotype" w:hAnsi="Palatino Linotype" w:cs="Arial"/>
          <w:i/>
        </w:rPr>
      </w:pPr>
      <w:r w:rsidRPr="004F364E">
        <w:rPr>
          <w:rFonts w:ascii="Palatino Linotype" w:hAnsi="Palatino Linotype" w:cs="Arial"/>
          <w:i/>
        </w:rPr>
        <w:t>Fuente: Gaceta del Semanario Judicial de la Federación</w:t>
      </w:r>
    </w:p>
    <w:p w14:paraId="2B03F9BF" w14:textId="77777777" w:rsidR="0028134C" w:rsidRPr="004F364E" w:rsidRDefault="0028134C" w:rsidP="0028134C">
      <w:pPr>
        <w:ind w:left="851" w:right="899"/>
        <w:rPr>
          <w:rFonts w:ascii="Palatino Linotype" w:hAnsi="Palatino Linotype" w:cs="Arial"/>
          <w:i/>
        </w:rPr>
      </w:pPr>
      <w:r w:rsidRPr="004F364E">
        <w:rPr>
          <w:rFonts w:ascii="Palatino Linotype" w:hAnsi="Palatino Linotype" w:cs="Arial"/>
          <w:i/>
        </w:rPr>
        <w:lastRenderedPageBreak/>
        <w:t>Libro 31, Junio de 2016, Tomo I</w:t>
      </w:r>
      <w:r w:rsidRPr="004F364E">
        <w:rPr>
          <w:rFonts w:ascii="Palatino Linotype" w:hAnsi="Palatino Linotype" w:cs="Arial"/>
          <w:i/>
        </w:rPr>
        <w:tab/>
        <w:t>Materia(s): Común</w:t>
      </w:r>
    </w:p>
    <w:p w14:paraId="5290E7A2" w14:textId="77777777" w:rsidR="0028134C" w:rsidRPr="004F364E" w:rsidRDefault="0028134C" w:rsidP="0028134C">
      <w:pPr>
        <w:ind w:left="851" w:right="899"/>
        <w:rPr>
          <w:rFonts w:ascii="Palatino Linotype" w:hAnsi="Palatino Linotype" w:cs="Arial"/>
          <w:i/>
        </w:rPr>
      </w:pPr>
      <w:r w:rsidRPr="004F364E">
        <w:rPr>
          <w:rFonts w:ascii="Palatino Linotype" w:hAnsi="Palatino Linotype" w:cs="Arial"/>
          <w:i/>
        </w:rPr>
        <w:t>Tesis:</w:t>
      </w:r>
      <w:r w:rsidRPr="004F364E">
        <w:rPr>
          <w:rFonts w:ascii="Palatino Linotype" w:hAnsi="Palatino Linotype" w:cs="Arial"/>
          <w:i/>
        </w:rPr>
        <w:tab/>
        <w:t>1a./J. 30/2016 (10a.)</w:t>
      </w:r>
    </w:p>
    <w:p w14:paraId="1C130420" w14:textId="77777777" w:rsidR="0028134C" w:rsidRPr="004F364E" w:rsidRDefault="0028134C" w:rsidP="0028134C">
      <w:pPr>
        <w:ind w:left="851" w:right="899"/>
        <w:rPr>
          <w:rFonts w:ascii="Palatino Linotype" w:hAnsi="Palatino Linotype" w:cs="Arial"/>
          <w:i/>
        </w:rPr>
      </w:pPr>
      <w:r w:rsidRPr="004F364E">
        <w:rPr>
          <w:rFonts w:ascii="Palatino Linotype" w:hAnsi="Palatino Linotype" w:cs="Arial"/>
          <w:i/>
        </w:rPr>
        <w:t>Página 558</w:t>
      </w:r>
    </w:p>
    <w:p w14:paraId="20920409" w14:textId="77777777" w:rsidR="0028134C" w:rsidRPr="004F364E" w:rsidRDefault="0028134C" w:rsidP="0028134C">
      <w:pPr>
        <w:ind w:left="851" w:right="899"/>
        <w:jc w:val="both"/>
        <w:rPr>
          <w:rFonts w:ascii="Palatino Linotype" w:hAnsi="Palatino Linotype" w:cs="Arial"/>
          <w:i/>
        </w:rPr>
      </w:pPr>
    </w:p>
    <w:p w14:paraId="1CB1A0E4" w14:textId="77777777" w:rsidR="0028134C" w:rsidRPr="004F364E" w:rsidRDefault="0028134C" w:rsidP="0028134C">
      <w:pPr>
        <w:ind w:left="851" w:right="899"/>
        <w:jc w:val="both"/>
        <w:rPr>
          <w:rFonts w:ascii="Palatino Linotype" w:hAnsi="Palatino Linotype" w:cs="Arial"/>
          <w:b/>
          <w:i/>
        </w:rPr>
      </w:pPr>
      <w:r w:rsidRPr="004F364E">
        <w:rPr>
          <w:rFonts w:ascii="Palatino Linotype" w:hAnsi="Palatino Linotype" w:cs="Arial"/>
          <w:b/>
          <w:i/>
        </w:rPr>
        <w:t>REVISIÓN EN AMPARO DIRECTO. ES IMPROCEDENTE ESTE RECURSO CUANDO LOS AGRAVIOS FORMULADOS POR EL RECURRENTE SON INOPERANTES.</w:t>
      </w:r>
    </w:p>
    <w:p w14:paraId="65761993"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Conforme a los artículos 107, fracción IX, de la Constitución Política de los Estados Unidos Mexicanos, 81, fracción II, de la Ley de Amparo, y 21, fracción III, inciso a), de la Ley Orgánica del Poder Judicial de la Federación, así como al Acuerdo General Número 9/2015, del Pleno de la Suprema Corte de Justicia de la Nación, la procedencia del recurso de revisión en amparo directo tiene un carácter excepcional, esto es, sólo procede si existe alguna cuestión de constitucionalidad y, además, si ésta entraña la fijación de un criterio de importancia y trascendencia, es decir, cuando: i) se trate de la fijación de un criterio novedoso o de relevancia para el orden jurídico nacional; o, ii) lo decidido en la sentencia recurrida pudiera implicar el desconocimiento u omisión de un criterio sostenido por este alto tribunal. De ahí que el recurso de revisión en amparo directo es improcedente cuando los agravios formulados por el recurrente sean inoperantes, toda vez que no se fijará un criterio de relevancia para el orden jurídico nacional.</w:t>
      </w:r>
    </w:p>
    <w:p w14:paraId="7EC018EE"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 xml:space="preserve">Amparo directo en revisión 398/2015. Bronceados de Chihuahua, S.A. 8 de julio de 2015. Cinco votos de los Ministros Arturo Zaldívar Lelo de Larrea, José Ramón Cossío Díaz, Jorge Mario Pardo Rebolledo, Olga Sánchez Cordero de García Villegas y Alfredo Gutiérrez Ortiz Mena. Ponente: José Ramón Cossío Díaz. Secretaria: Dolores Rueda Aguilar. </w:t>
      </w:r>
    </w:p>
    <w:p w14:paraId="2A895E52"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 xml:space="preserve">Amparo directo en revisión 3250/2015. General Products, S.A. de C.V. 2 de diciembre de 2015. Unanimidad de cuatro votos de los Ministros Arturo Zaldívar Lelo de Larrea, José Ramón Cossío Díaz, Jorge Mario Pardo Rebolledo y Alfredo Gutiérrez Ortiz Mena. Ponente: Arturo Zaldívar Lelo de Larrea. Secretario: Carlos Enrique Mendoza Ponce. </w:t>
      </w:r>
    </w:p>
    <w:p w14:paraId="72F42D01"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 xml:space="preserve">Amparo directo en revisión 2411/2015. Kamikaze Lab, S.A. de C.V. 2 de diciembre de 2015. Unanimidad de cuatro votos de los Ministros Arturo Zaldívar Lelo de Larrea, José Ramón Cossío Díaz, Jorge Mario Pardo Rebolledo y Alfredo Gutiérrez </w:t>
      </w:r>
      <w:r w:rsidRPr="004F364E">
        <w:rPr>
          <w:rFonts w:ascii="Palatino Linotype" w:hAnsi="Palatino Linotype" w:cs="Arial"/>
          <w:i/>
        </w:rPr>
        <w:lastRenderedPageBreak/>
        <w:t xml:space="preserve">Ortiz Mena. Ponente: Arturo Zaldívar Lelo de Larrea. Secretario: Carlos Enrique Mendoza Ponce. </w:t>
      </w:r>
    </w:p>
    <w:p w14:paraId="1C6F6891"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 xml:space="preserve">Amparo directo en revisión 2549/2015. Jesús Flores Hernández y otros. 3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790B370C"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 xml:space="preserve">Amparo directo en revisión 2737/2015. 24 de febrero de 2016. Cinco votos de los Ministros Arturo Zaldívar Lelo de Larrea, José Ramón Cossío Díaz, Jorge Mario Pardo Rebolledo, Norma Lucía Piña Hernández y Alfredo Gutiérrez Ortiz Mena. Ponente: Arturo Zaldívar Lelo de Larrea. Secretario: Arturo Guerrero Zazueta. </w:t>
      </w:r>
    </w:p>
    <w:p w14:paraId="3E4BC64A"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 xml:space="preserve">Nota: El Acuerdo General Número 9/2015, de ocho de junio de dos mil quince, del Pleno de la Suprema Corte de Justicia de la Nación, que establece las bases generales para la procedencia y tramitación de los recursos de revisión en amparo directo citado, aparece publicado en la Gaceta del Semanario Judicial de la Federación, Décima Época, Libro 19, Tomo III, junio de 2015, página 2483. </w:t>
      </w:r>
    </w:p>
    <w:p w14:paraId="7C02D354"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Tesis de jurisprudencia 30/2016 (10a.). Aprobada por la Primera Sala de este Alto Tribunal en sesión de ocho de junio de dos mil dieciséis.</w:t>
      </w:r>
    </w:p>
    <w:p w14:paraId="1372448A" w14:textId="77777777" w:rsidR="0028134C" w:rsidRPr="004F364E" w:rsidRDefault="0028134C" w:rsidP="0028134C">
      <w:pPr>
        <w:ind w:left="851" w:right="899"/>
        <w:jc w:val="both"/>
        <w:rPr>
          <w:rFonts w:ascii="Palatino Linotype" w:hAnsi="Palatino Linotype" w:cs="Arial"/>
          <w:i/>
        </w:rPr>
      </w:pPr>
      <w:r w:rsidRPr="004F364E">
        <w:rPr>
          <w:rFonts w:ascii="Palatino Linotype" w:hAnsi="Palatino Linotype" w:cs="Arial"/>
          <w:i/>
        </w:rPr>
        <w:t>Esta tesis se publicó el viernes 24 de junio de 2016 a las 10:24 horas en el Semanario Judicial de la Federación y, por ende, se considera de aplicación obligatoria a partir del lunes 27 de junio de 2016, para los efectos previstos en el punto séptimo del Acuerdo General Plenario 19/2013.” (Sic)</w:t>
      </w:r>
    </w:p>
    <w:p w14:paraId="3B28B717" w14:textId="761E3EFE" w:rsidR="00BC68F5" w:rsidRPr="00BC68F5" w:rsidRDefault="00BC68F5" w:rsidP="00BC68F5">
      <w:pPr>
        <w:spacing w:line="360" w:lineRule="auto"/>
        <w:ind w:right="757"/>
        <w:jc w:val="both"/>
        <w:rPr>
          <w:rFonts w:ascii="Palatino Linotype" w:hAnsi="Palatino Linotype" w:cs="Arial"/>
          <w:sz w:val="24"/>
          <w:szCs w:val="24"/>
        </w:rPr>
      </w:pPr>
      <w:r w:rsidRPr="00BC68F5">
        <w:rPr>
          <w:rFonts w:ascii="Palatino Linotype" w:hAnsi="Palatino Linotype" w:cs="Arial"/>
          <w:sz w:val="24"/>
          <w:szCs w:val="24"/>
        </w:rPr>
        <w:t>Por tal motivo el presente recurso de revisión actualiza la hipótesis jurídica establecida en el artículo 192 de la Ley de Transparencia y Acceso a la Información Pública del Estado de México y Municipios, como a continuación se señala.</w:t>
      </w:r>
    </w:p>
    <w:p w14:paraId="2404B0B8" w14:textId="77777777" w:rsidR="00BC68F5" w:rsidRDefault="00BC68F5" w:rsidP="00BC68F5">
      <w:pPr>
        <w:ind w:left="709" w:right="757"/>
        <w:jc w:val="both"/>
        <w:rPr>
          <w:rFonts w:ascii="Palatino Linotype" w:hAnsi="Palatino Linotype" w:cs="Arial"/>
          <w:i/>
        </w:rPr>
      </w:pPr>
    </w:p>
    <w:p w14:paraId="28ECC1B3" w14:textId="77777777" w:rsidR="00BC68F5" w:rsidRPr="007B0A9A" w:rsidRDefault="00BC68F5" w:rsidP="00BC68F5">
      <w:pPr>
        <w:ind w:left="709" w:right="757"/>
        <w:jc w:val="both"/>
        <w:rPr>
          <w:rFonts w:ascii="Palatino Linotype" w:hAnsi="Palatino Linotype" w:cs="Arial"/>
          <w:i/>
        </w:rPr>
      </w:pPr>
      <w:r w:rsidRPr="007B0A9A">
        <w:rPr>
          <w:rFonts w:ascii="Palatino Linotype" w:hAnsi="Palatino Linotype" w:cs="Arial"/>
          <w:i/>
        </w:rPr>
        <w:t xml:space="preserve">Artículo 192. El recurso será sobreseído, en todo o en parte, cuando una vez admitido, se actualicen alguno de los siguientes supuestos: </w:t>
      </w:r>
    </w:p>
    <w:p w14:paraId="1DCFBE1B" w14:textId="77777777" w:rsidR="00BC68F5" w:rsidRPr="007B0A9A" w:rsidRDefault="00BC68F5" w:rsidP="00BC68F5">
      <w:pPr>
        <w:ind w:left="709" w:right="757"/>
        <w:jc w:val="both"/>
        <w:rPr>
          <w:rFonts w:ascii="Palatino Linotype" w:hAnsi="Palatino Linotype" w:cs="Arial"/>
          <w:i/>
        </w:rPr>
      </w:pPr>
      <w:r w:rsidRPr="007B0A9A">
        <w:rPr>
          <w:rFonts w:ascii="Palatino Linotype" w:hAnsi="Palatino Linotype" w:cs="Arial"/>
          <w:i/>
        </w:rPr>
        <w:t xml:space="preserve">I. El recurrente se desista expresamente del recurso; </w:t>
      </w:r>
    </w:p>
    <w:p w14:paraId="45BCCFA0" w14:textId="77777777" w:rsidR="00BC68F5" w:rsidRPr="007B0A9A" w:rsidRDefault="00BC68F5" w:rsidP="00BC68F5">
      <w:pPr>
        <w:ind w:left="709" w:right="757"/>
        <w:jc w:val="both"/>
        <w:rPr>
          <w:rFonts w:ascii="Palatino Linotype" w:hAnsi="Palatino Linotype" w:cs="Arial"/>
          <w:i/>
        </w:rPr>
      </w:pPr>
      <w:r w:rsidRPr="007B0A9A">
        <w:rPr>
          <w:rFonts w:ascii="Palatino Linotype" w:hAnsi="Palatino Linotype" w:cs="Arial"/>
          <w:i/>
        </w:rPr>
        <w:lastRenderedPageBreak/>
        <w:t>II. El recurrente fallezca o, tratándose de personas jurídicas colectivas, se disuelva;</w:t>
      </w:r>
    </w:p>
    <w:p w14:paraId="77760157" w14:textId="77777777" w:rsidR="00BC68F5" w:rsidRPr="007B0A9A" w:rsidRDefault="00BC68F5" w:rsidP="00BC68F5">
      <w:pPr>
        <w:ind w:left="709" w:right="757"/>
        <w:jc w:val="both"/>
        <w:rPr>
          <w:rFonts w:ascii="Palatino Linotype" w:hAnsi="Palatino Linotype" w:cs="Arial"/>
          <w:i/>
        </w:rPr>
      </w:pPr>
      <w:r w:rsidRPr="007B0A9A">
        <w:rPr>
          <w:rFonts w:ascii="Palatino Linotype" w:hAnsi="Palatino Linotype" w:cs="Arial"/>
          <w:i/>
        </w:rPr>
        <w:t xml:space="preserve">III. El sujeto obligado responsable del acto lo modifique o revoque de tal manera que el recurso de revisión quede sin materia; </w:t>
      </w:r>
    </w:p>
    <w:p w14:paraId="051E6D1B" w14:textId="77777777" w:rsidR="00BC68F5" w:rsidRPr="007B0A9A" w:rsidRDefault="00BC68F5" w:rsidP="00BC68F5">
      <w:pPr>
        <w:ind w:left="709" w:right="757"/>
        <w:jc w:val="both"/>
        <w:rPr>
          <w:rFonts w:ascii="Palatino Linotype" w:hAnsi="Palatino Linotype" w:cs="Arial"/>
          <w:i/>
        </w:rPr>
      </w:pPr>
      <w:r w:rsidRPr="007B0A9A">
        <w:rPr>
          <w:rFonts w:ascii="Palatino Linotype" w:hAnsi="Palatino Linotype" w:cs="Arial"/>
          <w:i/>
        </w:rPr>
        <w:t xml:space="preserve">IV. Admitido el recurso de revisión, aparezca alguna causal de improcedencia en los términos de la presente Ley; y </w:t>
      </w:r>
    </w:p>
    <w:p w14:paraId="7B4C5A14" w14:textId="77777777" w:rsidR="00BC68F5" w:rsidRPr="004F364E" w:rsidRDefault="00BC68F5" w:rsidP="00BC68F5">
      <w:pPr>
        <w:ind w:left="709" w:right="757"/>
        <w:jc w:val="both"/>
        <w:rPr>
          <w:rFonts w:ascii="Palatino Linotype" w:hAnsi="Palatino Linotype" w:cs="Arial"/>
          <w:i/>
        </w:rPr>
      </w:pPr>
      <w:r w:rsidRPr="007B0A9A">
        <w:rPr>
          <w:rFonts w:ascii="Palatino Linotype" w:hAnsi="Palatino Linotype" w:cs="Arial"/>
          <w:i/>
        </w:rPr>
        <w:t>V. Cuando por cualquier motivo quede sin materia el recurso.</w:t>
      </w:r>
    </w:p>
    <w:p w14:paraId="21BC21E6" w14:textId="188EBB57" w:rsidR="0028134C" w:rsidRPr="007B0A9A" w:rsidRDefault="0028134C" w:rsidP="0028134C">
      <w:pPr>
        <w:spacing w:before="100" w:beforeAutospacing="1" w:after="100" w:afterAutospacing="1" w:line="360" w:lineRule="auto"/>
        <w:ind w:right="49"/>
        <w:jc w:val="both"/>
        <w:rPr>
          <w:rFonts w:ascii="Palatino Linotype" w:hAnsi="Palatino Linotype" w:cs="Arial"/>
          <w:sz w:val="24"/>
          <w:szCs w:val="24"/>
        </w:rPr>
      </w:pPr>
      <w:r w:rsidRPr="007B0A9A">
        <w:rPr>
          <w:rFonts w:ascii="Palatino Linotype" w:hAnsi="Palatino Linotype" w:cs="Arial"/>
          <w:sz w:val="24"/>
          <w:szCs w:val="24"/>
        </w:rPr>
        <w:t xml:space="preserve">Es así que, los argumentos expuestos permiten a este Órgano Garante determinar que lo solicitado por </w:t>
      </w:r>
      <w:r w:rsidR="007B0A9A" w:rsidRPr="007B0A9A">
        <w:rPr>
          <w:rFonts w:ascii="Palatino Linotype" w:hAnsi="Palatino Linotype" w:cs="Arial"/>
          <w:sz w:val="24"/>
          <w:szCs w:val="24"/>
        </w:rPr>
        <w:t xml:space="preserve">la Recurrente </w:t>
      </w:r>
      <w:r w:rsidRPr="007B0A9A">
        <w:rPr>
          <w:rFonts w:ascii="Palatino Linotype" w:hAnsi="Palatino Linotype" w:cs="Arial"/>
          <w:sz w:val="24"/>
          <w:szCs w:val="24"/>
        </w:rPr>
        <w:t xml:space="preserve">no es materia del presente recurso de revisión, motivo por el cual resulta procedente </w:t>
      </w:r>
      <w:r w:rsidR="007B0A9A" w:rsidRPr="007B0A9A">
        <w:rPr>
          <w:rFonts w:ascii="Palatino Linotype" w:hAnsi="Palatino Linotype" w:cs="Arial"/>
          <w:b/>
          <w:sz w:val="24"/>
          <w:szCs w:val="24"/>
        </w:rPr>
        <w:t>sobreseer</w:t>
      </w:r>
      <w:r w:rsidRPr="007B0A9A">
        <w:rPr>
          <w:rFonts w:ascii="Palatino Linotype" w:hAnsi="Palatino Linotype" w:cs="Arial"/>
          <w:sz w:val="24"/>
          <w:szCs w:val="24"/>
        </w:rPr>
        <w:t xml:space="preserve"> el recurso de revisión número </w:t>
      </w:r>
      <w:r w:rsidRPr="007B0A9A">
        <w:rPr>
          <w:rFonts w:ascii="Palatino Linotype" w:hAnsi="Palatino Linotype" w:cs="Arial"/>
          <w:b/>
          <w:sz w:val="24"/>
          <w:szCs w:val="24"/>
        </w:rPr>
        <w:t>0</w:t>
      </w:r>
      <w:r w:rsidR="007B0A9A" w:rsidRPr="007B0A9A">
        <w:rPr>
          <w:rFonts w:ascii="Palatino Linotype" w:hAnsi="Palatino Linotype" w:cs="Arial"/>
          <w:b/>
          <w:sz w:val="24"/>
          <w:szCs w:val="24"/>
        </w:rPr>
        <w:t>3270</w:t>
      </w:r>
      <w:r w:rsidRPr="007B0A9A">
        <w:rPr>
          <w:rFonts w:ascii="Palatino Linotype" w:hAnsi="Palatino Linotype" w:cs="Arial"/>
          <w:b/>
          <w:sz w:val="24"/>
          <w:szCs w:val="24"/>
        </w:rPr>
        <w:t>/INFOEM/IP/RR/2020</w:t>
      </w:r>
      <w:r w:rsidRPr="007B0A9A">
        <w:rPr>
          <w:rFonts w:ascii="Palatino Linotype" w:hAnsi="Palatino Linotype" w:cs="Arial"/>
          <w:sz w:val="24"/>
          <w:szCs w:val="24"/>
        </w:rPr>
        <w:t xml:space="preserve"> por improcedente.</w:t>
      </w:r>
    </w:p>
    <w:p w14:paraId="2C9CE9EE" w14:textId="77777777" w:rsidR="0028134C" w:rsidRDefault="0028134C" w:rsidP="00D117F9">
      <w:pPr>
        <w:spacing w:after="0" w:line="360" w:lineRule="auto"/>
        <w:jc w:val="both"/>
        <w:rPr>
          <w:rFonts w:ascii="Palatino Linotype" w:hAnsi="Palatino Linotype" w:cs="Arial"/>
          <w:sz w:val="24"/>
          <w:szCs w:val="24"/>
          <w:lang w:eastAsia="es-MX"/>
        </w:rPr>
      </w:pPr>
    </w:p>
    <w:p w14:paraId="1CFB6FE9" w14:textId="53DD8DA6" w:rsidR="00D117F9" w:rsidRDefault="00BC68F5" w:rsidP="00D117F9">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14:paraId="7590098B" w14:textId="77777777" w:rsidR="00BC68F5" w:rsidRPr="00E07DF5" w:rsidRDefault="00BC68F5"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29BC621B" w14:textId="20EFA821" w:rsidR="00BC68F5" w:rsidRPr="00BC68F5" w:rsidRDefault="00816CE9" w:rsidP="00BC68F5">
      <w:pPr>
        <w:pStyle w:val="Sinespaciado"/>
        <w:spacing w:line="360" w:lineRule="auto"/>
        <w:jc w:val="both"/>
        <w:rPr>
          <w:rFonts w:ascii="Palatino Linotype" w:hAnsi="Palatino Linotype"/>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rPr>
        <w:t xml:space="preserve"> </w:t>
      </w:r>
      <w:r w:rsidR="00BC68F5" w:rsidRPr="00BC68F5">
        <w:rPr>
          <w:rFonts w:ascii="Palatino Linotype" w:hAnsi="Palatino Linotype"/>
        </w:rPr>
        <w:t>Se sobresee el recurso de revisión número 03270/INFOEM/IP/RR/2020 por quedarse sin materia</w:t>
      </w:r>
      <w:r w:rsidR="00BC68F5" w:rsidRPr="00BC68F5">
        <w:rPr>
          <w:rFonts w:ascii="Palatino Linotype" w:hAnsi="Palatino Linotype"/>
          <w:b/>
        </w:rPr>
        <w:t xml:space="preserve"> </w:t>
      </w:r>
      <w:r w:rsidR="00BC68F5" w:rsidRPr="00BC68F5">
        <w:rPr>
          <w:rFonts w:ascii="Palatino Linotype" w:hAnsi="Palatino Linotype"/>
        </w:rPr>
        <w:t>en términos del Considerando CUARTO de la presente resolución.</w:t>
      </w:r>
    </w:p>
    <w:p w14:paraId="36311072" w14:textId="3F57E36B" w:rsidR="006E2343" w:rsidRPr="0086170F" w:rsidRDefault="006E2343" w:rsidP="00816CE9">
      <w:pPr>
        <w:spacing w:after="0" w:line="360" w:lineRule="auto"/>
        <w:jc w:val="both"/>
        <w:rPr>
          <w:rFonts w:ascii="Palatino Linotype" w:hAnsi="Palatino Linotype" w:cs="Arial"/>
          <w:sz w:val="24"/>
          <w:szCs w:val="24"/>
        </w:rPr>
      </w:pPr>
    </w:p>
    <w:p w14:paraId="3521A66B" w14:textId="77777777" w:rsidR="00BC68F5" w:rsidRPr="007E3CA5" w:rsidRDefault="00BC68F5" w:rsidP="00BC68F5">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Notifíquese la presente resolución al Titular de la Unidad de Transparencia del Sujeto Obligado mediante el SAIMEX.</w:t>
      </w:r>
    </w:p>
    <w:p w14:paraId="66FA2432" w14:textId="77777777" w:rsidR="00BC68F5" w:rsidRPr="007E3CA5" w:rsidRDefault="00BC68F5" w:rsidP="00BC68F5">
      <w:pPr>
        <w:autoSpaceDE w:val="0"/>
        <w:autoSpaceDN w:val="0"/>
        <w:adjustRightInd w:val="0"/>
        <w:spacing w:after="0" w:line="360" w:lineRule="auto"/>
        <w:jc w:val="both"/>
        <w:rPr>
          <w:rFonts w:ascii="Palatino Linotype" w:hAnsi="Palatino Linotype" w:cs="Arial"/>
          <w:sz w:val="24"/>
        </w:rPr>
      </w:pPr>
    </w:p>
    <w:p w14:paraId="254B7D63" w14:textId="77777777" w:rsidR="00BC68F5" w:rsidRDefault="00BC68F5" w:rsidP="00BC68F5">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Pr="007E3CA5">
        <w:rPr>
          <w:rFonts w:ascii="Palatino Linotype" w:hAnsi="Palatino Linotype" w:cs="Arial"/>
          <w:b/>
          <w:sz w:val="24"/>
          <w:szCs w:val="24"/>
        </w:rPr>
        <w:t xml:space="preserve"> </w:t>
      </w:r>
      <w:r w:rsidRPr="007E3CA5">
        <w:rPr>
          <w:rFonts w:ascii="Palatino Linotype" w:hAnsi="Palatino Linotype" w:cs="Arial"/>
          <w:sz w:val="24"/>
          <w:szCs w:val="24"/>
        </w:rPr>
        <w:t>Notifíquese la presente resolución al Recurrente mediante el SAIMEX y hágase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3B8C7E4F" w14:textId="6E0D133A"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w:t>
      </w:r>
      <w:r w:rsidR="003F789B">
        <w:rPr>
          <w:rFonts w:ascii="Palatino Linotype" w:hAnsi="Palatino Linotype" w:cs="Arial"/>
          <w:sz w:val="24"/>
          <w:szCs w:val="24"/>
        </w:rPr>
        <w:t xml:space="preserve"> EMITIENDO VOTO PARTICULAR</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3F789B">
        <w:rPr>
          <w:rFonts w:ascii="Palatino Linotype" w:hAnsi="Palatino Linotype" w:cs="Arial"/>
          <w:sz w:val="24"/>
          <w:szCs w:val="24"/>
        </w:rPr>
        <w:t xml:space="preserve">VIGÉSIMA NOVENA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3F789B">
        <w:rPr>
          <w:rFonts w:ascii="Palatino Linotype" w:hAnsi="Palatino Linotype" w:cs="Arial"/>
          <w:sz w:val="24"/>
          <w:szCs w:val="24"/>
        </w:rPr>
        <w:t>DOS DE DICIEMBRE</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6E2343">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3A2B07" w:rsidRPr="00EF2FC0" w:rsidRDefault="003A2B07"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A2B07" w:rsidRDefault="003A2B07"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A2B07" w:rsidRPr="00016AF3" w:rsidRDefault="003A2B07"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3A2B07" w:rsidRPr="00EF2FC0" w:rsidRDefault="003A2B07"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A2B07" w:rsidRDefault="003A2B07"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A2B07" w:rsidRPr="00016AF3" w:rsidRDefault="003A2B07"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3A2B07" w:rsidRPr="00EF2FC0" w:rsidRDefault="003A2B07"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A2B07"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A2B07" w:rsidRPr="00797B31" w:rsidRDefault="003A2B07"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3A2B07" w:rsidRPr="00EF2FC0" w:rsidRDefault="003A2B07"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A2B07"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A2B07" w:rsidRPr="00797B31" w:rsidRDefault="003A2B07"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3A2B07" w:rsidRPr="00EF2FC0" w:rsidRDefault="003A2B07"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A2B07" w:rsidRDefault="003A2B07"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3A2B07" w:rsidRPr="00EF2FC0" w:rsidRDefault="003A2B07"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A2B07" w:rsidRDefault="003A2B07"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3A2B07" w:rsidRPr="00EF2FC0" w:rsidRDefault="003A2B07"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3A2B07" w:rsidRPr="00EF2FC0" w:rsidRDefault="003A2B07"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3A2B07" w:rsidRDefault="003A2B07"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3A2B07" w:rsidRDefault="003A2B07"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3A2B07" w:rsidRPr="00EF2FC0" w:rsidRDefault="003A2B07"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3A2B07" w:rsidRPr="00EF2FC0" w:rsidRDefault="003A2B07"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3A2B07" w:rsidRDefault="003A2B07"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3A2B07" w:rsidRDefault="003A2B07"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3A2B07" w:rsidRPr="00EF2FC0" w:rsidRDefault="003A2B07"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A2B07" w:rsidRDefault="003A2B07"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3A2B07" w:rsidRPr="00EF2FC0" w:rsidRDefault="003A2B07"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3A2B07" w:rsidRPr="00EF2FC0" w:rsidRDefault="003A2B07"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A2B07" w:rsidRDefault="003A2B07"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A2B07" w:rsidRDefault="003A2B07"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3A2B07" w:rsidRPr="007F6133" w:rsidRDefault="003A2B07"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3A2B07" w:rsidRDefault="003A2B07"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A2B07" w:rsidRDefault="003A2B07"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A2B07" w:rsidRDefault="003A2B07" w:rsidP="00BF3214">
                            <w:pPr>
                              <w:jc w:val="center"/>
                              <w:rPr>
                                <w:rFonts w:ascii="Palatino Linotype" w:hAnsi="Palatino Linotype"/>
                                <w:sz w:val="24"/>
                                <w:szCs w:val="24"/>
                              </w:rPr>
                            </w:pPr>
                          </w:p>
                          <w:p w14:paraId="01412AD8" w14:textId="77777777" w:rsidR="003A2B07" w:rsidRPr="00EF2FC0" w:rsidRDefault="003A2B07" w:rsidP="00BF3214">
                            <w:pPr>
                              <w:jc w:val="center"/>
                              <w:rPr>
                                <w:rFonts w:ascii="Palatino Linotype" w:hAnsi="Palatino Linotype"/>
                                <w:sz w:val="24"/>
                                <w:szCs w:val="24"/>
                              </w:rPr>
                            </w:pPr>
                          </w:p>
                          <w:p w14:paraId="3C1552D2" w14:textId="77777777" w:rsidR="003A2B07" w:rsidRDefault="003A2B07"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3A2B07" w:rsidRPr="007F6133" w:rsidRDefault="003A2B07"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3A2B07" w:rsidRDefault="003A2B07"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A2B07" w:rsidRDefault="003A2B07"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A2B07" w:rsidRDefault="003A2B07" w:rsidP="00BF3214">
                      <w:pPr>
                        <w:jc w:val="center"/>
                        <w:rPr>
                          <w:rFonts w:ascii="Palatino Linotype" w:hAnsi="Palatino Linotype"/>
                          <w:sz w:val="24"/>
                          <w:szCs w:val="24"/>
                        </w:rPr>
                      </w:pPr>
                    </w:p>
                    <w:p w14:paraId="01412AD8" w14:textId="77777777" w:rsidR="003A2B07" w:rsidRPr="00EF2FC0" w:rsidRDefault="003A2B07" w:rsidP="00BF3214">
                      <w:pPr>
                        <w:jc w:val="center"/>
                        <w:rPr>
                          <w:rFonts w:ascii="Palatino Linotype" w:hAnsi="Palatino Linotype"/>
                          <w:sz w:val="24"/>
                          <w:szCs w:val="24"/>
                        </w:rPr>
                      </w:pPr>
                    </w:p>
                    <w:p w14:paraId="3C1552D2" w14:textId="77777777" w:rsidR="003A2B07" w:rsidRDefault="003A2B07"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EB6F7C3"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fecha</w:t>
      </w:r>
      <w:r w:rsidR="003F789B">
        <w:rPr>
          <w:rFonts w:ascii="Palatino Linotype" w:hAnsi="Palatino Linotype" w:cs="Arial"/>
          <w:sz w:val="20"/>
          <w:szCs w:val="20"/>
        </w:rPr>
        <w:t xml:space="preserve"> dos de </w:t>
      </w:r>
      <w:r w:rsidR="004F3754">
        <w:rPr>
          <w:rFonts w:ascii="Palatino Linotype" w:hAnsi="Palatino Linotype" w:cs="Arial"/>
          <w:sz w:val="20"/>
          <w:szCs w:val="20"/>
        </w:rPr>
        <w:t>d</w:t>
      </w:r>
      <w:r w:rsidR="003F789B">
        <w:rPr>
          <w:rFonts w:ascii="Palatino Linotype" w:hAnsi="Palatino Linotype" w:cs="Arial"/>
          <w:sz w:val="20"/>
          <w:szCs w:val="20"/>
        </w:rPr>
        <w:t>iciembre</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BC68F5">
        <w:rPr>
          <w:rFonts w:ascii="Palatino Linotype" w:hAnsi="Palatino Linotype" w:cs="Arial"/>
          <w:bCs/>
          <w:sz w:val="20"/>
          <w:szCs w:val="20"/>
          <w:lang w:eastAsia="es-MX"/>
        </w:rPr>
        <w:t>3270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3858A42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AC5235">
        <w:rPr>
          <w:rFonts w:ascii="Palatino Linotype" w:hAnsi="Palatino Linotype"/>
          <w:sz w:val="20"/>
          <w:szCs w:val="20"/>
        </w:rPr>
        <w:t>MO</w:t>
      </w:r>
      <w:r w:rsidR="003F789B">
        <w:rPr>
          <w:rFonts w:ascii="Palatino Linotype" w:hAnsi="Palatino Linotype"/>
          <w:sz w:val="20"/>
          <w:szCs w:val="20"/>
        </w:rPr>
        <w:t>C</w:t>
      </w: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B6230" w14:textId="77777777" w:rsidR="00C20CD3" w:rsidRDefault="00C20CD3" w:rsidP="00BF3214">
      <w:pPr>
        <w:spacing w:after="0" w:line="240" w:lineRule="auto"/>
      </w:pPr>
      <w:r>
        <w:separator/>
      </w:r>
    </w:p>
  </w:endnote>
  <w:endnote w:type="continuationSeparator" w:id="0">
    <w:p w14:paraId="35B8613C" w14:textId="77777777" w:rsidR="00C20CD3" w:rsidRDefault="00C20CD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3A2B07" w:rsidRPr="002D6DD8" w:rsidRDefault="003A2B07"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44FB">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44FB">
              <w:rPr>
                <w:rFonts w:ascii="Palatino Linotype" w:hAnsi="Palatino Linotype"/>
                <w:bCs/>
                <w:noProof/>
                <w:sz w:val="20"/>
              </w:rPr>
              <w:t>18</w:t>
            </w:r>
            <w:r>
              <w:rPr>
                <w:rFonts w:ascii="Palatino Linotype" w:hAnsi="Palatino Linotype"/>
                <w:bCs/>
                <w:noProof/>
                <w:sz w:val="20"/>
              </w:rPr>
              <w:fldChar w:fldCharType="end"/>
            </w:r>
          </w:p>
        </w:sdtContent>
      </w:sdt>
    </w:sdtContent>
  </w:sdt>
  <w:p w14:paraId="1002C619" w14:textId="77777777" w:rsidR="003A2B07" w:rsidRDefault="003A2B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3A2B07" w:rsidRPr="000B69FA" w:rsidRDefault="003A2B07"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44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44FB">
      <w:rPr>
        <w:rFonts w:ascii="Palatino Linotype" w:hAnsi="Palatino Linotype"/>
        <w:bCs/>
        <w:noProof/>
        <w:sz w:val="20"/>
      </w:rPr>
      <w:t>18</w:t>
    </w:r>
    <w:r>
      <w:rPr>
        <w:rFonts w:ascii="Palatino Linotype" w:hAnsi="Palatino Linotype"/>
        <w:bCs/>
        <w:noProof/>
        <w:sz w:val="20"/>
      </w:rPr>
      <w:fldChar w:fldCharType="end"/>
    </w:r>
  </w:p>
  <w:p w14:paraId="1DC90981" w14:textId="77777777" w:rsidR="003A2B07" w:rsidRDefault="003A2B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12370" w14:textId="77777777" w:rsidR="00C20CD3" w:rsidRDefault="00C20CD3" w:rsidP="00BF3214">
      <w:pPr>
        <w:spacing w:after="0" w:line="240" w:lineRule="auto"/>
      </w:pPr>
      <w:r>
        <w:separator/>
      </w:r>
    </w:p>
  </w:footnote>
  <w:footnote w:type="continuationSeparator" w:id="0">
    <w:p w14:paraId="2937D6CC" w14:textId="77777777" w:rsidR="00C20CD3" w:rsidRDefault="00C20CD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C497" w14:textId="20658856" w:rsidR="00CA18B5" w:rsidRDefault="00C20CD3">
    <w:pPr>
      <w:pStyle w:val="Encabezado"/>
    </w:pPr>
    <w:r>
      <w:rPr>
        <w:noProof/>
        <w:lang w:val="es-MX" w:eastAsia="es-MX"/>
      </w:rPr>
      <w:pict w14:anchorId="722C1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562140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3A2B07" w14:paraId="35E5EC0A" w14:textId="77777777" w:rsidTr="00C217AD">
      <w:trPr>
        <w:trHeight w:val="227"/>
      </w:trPr>
      <w:tc>
        <w:tcPr>
          <w:tcW w:w="6091" w:type="dxa"/>
          <w:hideMark/>
        </w:tcPr>
        <w:p w14:paraId="7BC472F9" w14:textId="77777777" w:rsidR="003A2B07" w:rsidRDefault="003A2B07" w:rsidP="003E407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5D274C30" w:rsidR="003A2B07" w:rsidRDefault="004107C0" w:rsidP="003E407F">
          <w:pPr>
            <w:spacing w:after="120" w:line="256" w:lineRule="auto"/>
            <w:ind w:left="-486" w:right="214"/>
            <w:jc w:val="right"/>
            <w:rPr>
              <w:rFonts w:ascii="Palatino Linotype" w:hAnsi="Palatino Linotype" w:cs="Arial"/>
              <w:szCs w:val="20"/>
            </w:rPr>
          </w:pPr>
          <w:r w:rsidRPr="00C217AD">
            <w:rPr>
              <w:rFonts w:ascii="Palatino Linotype" w:hAnsi="Palatino Linotype" w:cs="Arial"/>
              <w:b/>
              <w:sz w:val="21"/>
              <w:szCs w:val="21"/>
            </w:rPr>
            <w:t>0</w:t>
          </w:r>
          <w:r>
            <w:rPr>
              <w:rFonts w:ascii="Palatino Linotype" w:hAnsi="Palatino Linotype" w:cs="Arial"/>
              <w:b/>
              <w:sz w:val="21"/>
              <w:szCs w:val="21"/>
            </w:rPr>
            <w:t>3270</w:t>
          </w:r>
          <w:r w:rsidRPr="00C217AD">
            <w:rPr>
              <w:rFonts w:ascii="Palatino Linotype" w:hAnsi="Palatino Linotype" w:cs="Arial"/>
              <w:b/>
              <w:sz w:val="21"/>
              <w:szCs w:val="21"/>
            </w:rPr>
            <w:t>/INFOEM/IP/RR/2020</w:t>
          </w:r>
          <w:r>
            <w:rPr>
              <w:rFonts w:ascii="Palatino Linotype" w:hAnsi="Palatino Linotype" w:cs="Arial"/>
              <w:b/>
              <w:sz w:val="21"/>
              <w:szCs w:val="21"/>
            </w:rPr>
            <w:t>.</w:t>
          </w:r>
        </w:p>
      </w:tc>
    </w:tr>
    <w:tr w:rsidR="003A2B07" w14:paraId="0482DFAC" w14:textId="77777777" w:rsidTr="00C217AD">
      <w:trPr>
        <w:trHeight w:val="242"/>
      </w:trPr>
      <w:tc>
        <w:tcPr>
          <w:tcW w:w="6091" w:type="dxa"/>
          <w:hideMark/>
        </w:tcPr>
        <w:p w14:paraId="509D07E9" w14:textId="77777777" w:rsidR="003A2B07" w:rsidRDefault="003A2B07" w:rsidP="003E407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37849BE7" w:rsidR="003A2B07" w:rsidRDefault="003A2B07" w:rsidP="003E407F">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Ixtapan de la Sal.</w:t>
          </w:r>
        </w:p>
      </w:tc>
    </w:tr>
    <w:tr w:rsidR="003A2B07" w14:paraId="7B7E63F5" w14:textId="77777777" w:rsidTr="00C217AD">
      <w:trPr>
        <w:trHeight w:val="342"/>
      </w:trPr>
      <w:tc>
        <w:tcPr>
          <w:tcW w:w="6091" w:type="dxa"/>
          <w:hideMark/>
        </w:tcPr>
        <w:p w14:paraId="2BCB7A44" w14:textId="77777777" w:rsidR="003A2B07" w:rsidRDefault="003A2B07" w:rsidP="004676A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3A2B07" w:rsidRPr="00035DB8" w:rsidRDefault="003A2B07" w:rsidP="004676AF">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218C1455" w:rsidR="003A2B07" w:rsidRDefault="00C20CD3" w:rsidP="00B935D1">
    <w:pPr>
      <w:pStyle w:val="Encabezado"/>
      <w:tabs>
        <w:tab w:val="clear" w:pos="4419"/>
        <w:tab w:val="clear" w:pos="8838"/>
        <w:tab w:val="left" w:pos="6005"/>
      </w:tabs>
    </w:pPr>
    <w:r>
      <w:rPr>
        <w:noProof/>
        <w:lang w:val="es-MX" w:eastAsia="es-MX"/>
      </w:rPr>
      <w:pict w14:anchorId="15F4B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5621409"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r w:rsidR="003A2B0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CellMar>
        <w:left w:w="70" w:type="dxa"/>
        <w:right w:w="70" w:type="dxa"/>
      </w:tblCellMar>
      <w:tblLook w:val="04A0" w:firstRow="1" w:lastRow="0" w:firstColumn="1" w:lastColumn="0" w:noHBand="0" w:noVBand="1"/>
    </w:tblPr>
    <w:tblGrid>
      <w:gridCol w:w="6091"/>
      <w:gridCol w:w="4253"/>
    </w:tblGrid>
    <w:tr w:rsidR="003A2B07" w:rsidRPr="00D26364" w14:paraId="25A37BB4" w14:textId="77777777" w:rsidTr="00C217AD">
      <w:trPr>
        <w:trHeight w:val="227"/>
      </w:trPr>
      <w:tc>
        <w:tcPr>
          <w:tcW w:w="6091" w:type="dxa"/>
          <w:hideMark/>
        </w:tcPr>
        <w:p w14:paraId="3B7407D3" w14:textId="77777777" w:rsidR="003A2B07" w:rsidRPr="00D26364" w:rsidRDefault="003A2B07"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0F07DAD8" w:rsidR="003A2B07" w:rsidRPr="00C217AD" w:rsidRDefault="003A2B07" w:rsidP="004107C0">
          <w:pPr>
            <w:tabs>
              <w:tab w:val="left" w:pos="644"/>
            </w:tabs>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0</w:t>
          </w:r>
          <w:r w:rsidR="004107C0">
            <w:rPr>
              <w:rFonts w:ascii="Palatino Linotype" w:hAnsi="Palatino Linotype" w:cs="Arial"/>
              <w:b/>
              <w:sz w:val="21"/>
              <w:szCs w:val="21"/>
            </w:rPr>
            <w:t>327</w:t>
          </w:r>
          <w:r>
            <w:rPr>
              <w:rFonts w:ascii="Palatino Linotype" w:hAnsi="Palatino Linotype" w:cs="Arial"/>
              <w:b/>
              <w:sz w:val="21"/>
              <w:szCs w:val="21"/>
            </w:rPr>
            <w:t>0</w:t>
          </w:r>
          <w:r w:rsidRPr="00C217AD">
            <w:rPr>
              <w:rFonts w:ascii="Palatino Linotype" w:hAnsi="Palatino Linotype" w:cs="Arial"/>
              <w:b/>
              <w:sz w:val="21"/>
              <w:szCs w:val="21"/>
            </w:rPr>
            <w:t>/INFOEM/IP/RR/2020.</w:t>
          </w:r>
        </w:p>
      </w:tc>
    </w:tr>
    <w:tr w:rsidR="003A2B07" w:rsidRPr="00D26364" w14:paraId="480BC2A1" w14:textId="77777777" w:rsidTr="00C217AD">
      <w:trPr>
        <w:trHeight w:val="242"/>
      </w:trPr>
      <w:tc>
        <w:tcPr>
          <w:tcW w:w="6091" w:type="dxa"/>
          <w:hideMark/>
        </w:tcPr>
        <w:p w14:paraId="0BCD7858" w14:textId="77777777" w:rsidR="003A2B07" w:rsidRPr="00D26364" w:rsidRDefault="003A2B07"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3D4559BB" w:rsidR="003A2B07" w:rsidRPr="00C217AD" w:rsidRDefault="003A2B07" w:rsidP="003E407F">
          <w:pPr>
            <w:tabs>
              <w:tab w:val="left" w:pos="644"/>
            </w:tabs>
            <w:spacing w:after="120" w:line="256" w:lineRule="auto"/>
            <w:ind w:left="-486" w:right="72" w:firstLine="486"/>
            <w:jc w:val="right"/>
            <w:rPr>
              <w:rFonts w:ascii="Palatino Linotype" w:hAnsi="Palatino Linotype" w:cs="Arial"/>
              <w:b/>
              <w:sz w:val="21"/>
              <w:szCs w:val="21"/>
            </w:rPr>
          </w:pPr>
          <w:r>
            <w:rPr>
              <w:rFonts w:ascii="Palatino Linotype" w:hAnsi="Palatino Linotype" w:cs="Arial"/>
              <w:b/>
              <w:sz w:val="21"/>
              <w:szCs w:val="21"/>
            </w:rPr>
            <w:t>Ayuntamiento de Ixtapan de la Sal.</w:t>
          </w:r>
        </w:p>
      </w:tc>
    </w:tr>
    <w:tr w:rsidR="003A2B07" w:rsidRPr="00D26364" w14:paraId="60A059F9" w14:textId="77777777" w:rsidTr="00C217AD">
      <w:trPr>
        <w:trHeight w:val="342"/>
      </w:trPr>
      <w:tc>
        <w:tcPr>
          <w:tcW w:w="6091" w:type="dxa"/>
        </w:tcPr>
        <w:p w14:paraId="063683FE" w14:textId="77777777" w:rsidR="003A2B07" w:rsidRPr="00D26364" w:rsidRDefault="003A2B07"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1BDC917D" w:rsidR="003A2B07" w:rsidRPr="00C217AD" w:rsidRDefault="00D222E9" w:rsidP="00C217A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sz w:val="21"/>
              <w:szCs w:val="21"/>
            </w:rPr>
            <w:t>xxxxxxxxxxxxxxxxxxxxxxxxx</w:t>
          </w:r>
          <w:r w:rsidR="003A2B07">
            <w:rPr>
              <w:rFonts w:ascii="Palatino Linotype" w:hAnsi="Palatino Linotype" w:cs="Arial"/>
              <w:b/>
              <w:sz w:val="21"/>
              <w:szCs w:val="21"/>
            </w:rPr>
            <w:t xml:space="preserve">                      </w:t>
          </w:r>
        </w:p>
      </w:tc>
    </w:tr>
    <w:tr w:rsidR="003A2B07" w:rsidRPr="00D26364" w14:paraId="7854C9FF" w14:textId="77777777" w:rsidTr="00C217AD">
      <w:trPr>
        <w:trHeight w:val="342"/>
      </w:trPr>
      <w:tc>
        <w:tcPr>
          <w:tcW w:w="6091" w:type="dxa"/>
        </w:tcPr>
        <w:p w14:paraId="02A89BC6" w14:textId="77777777" w:rsidR="003A2B07" w:rsidRPr="00D26364" w:rsidRDefault="003A2B07"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3A2B07" w:rsidRPr="00C217AD" w:rsidRDefault="003A2B07" w:rsidP="00C217AD">
          <w:pPr>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Zulema Martínez Sánchez</w:t>
          </w:r>
        </w:p>
      </w:tc>
    </w:tr>
  </w:tbl>
  <w:p w14:paraId="67D63C23" w14:textId="6F45F479" w:rsidR="003A2B07" w:rsidRDefault="00C20CD3">
    <w:pPr>
      <w:pStyle w:val="Encabezado"/>
    </w:pPr>
    <w:r>
      <w:rPr>
        <w:noProof/>
        <w:lang w:val="es-MX" w:eastAsia="es-MX"/>
      </w:rPr>
      <w:pict w14:anchorId="69C0B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5621407"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1E7457"/>
    <w:multiLevelType w:val="hybridMultilevel"/>
    <w:tmpl w:val="6A302BD0"/>
    <w:lvl w:ilvl="0" w:tplc="37C4CA3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3F08FB"/>
    <w:multiLevelType w:val="hybridMultilevel"/>
    <w:tmpl w:val="95EE7496"/>
    <w:lvl w:ilvl="0" w:tplc="09FC71FE">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7">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46415C2C"/>
    <w:multiLevelType w:val="hybridMultilevel"/>
    <w:tmpl w:val="FFA85470"/>
    <w:lvl w:ilvl="0" w:tplc="AA7492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8FB0505"/>
    <w:multiLevelType w:val="hybridMultilevel"/>
    <w:tmpl w:val="1FE262A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9"/>
  </w:num>
  <w:num w:numId="4">
    <w:abstractNumId w:val="7"/>
  </w:num>
  <w:num w:numId="5">
    <w:abstractNumId w:val="5"/>
  </w:num>
  <w:num w:numId="6">
    <w:abstractNumId w:val="0"/>
  </w:num>
  <w:num w:numId="7">
    <w:abstractNumId w:val="11"/>
  </w:num>
  <w:num w:numId="8">
    <w:abstractNumId w:val="8"/>
  </w:num>
  <w:num w:numId="9">
    <w:abstractNumId w:val="1"/>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3CE"/>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54AE"/>
    <w:rsid w:val="000664A5"/>
    <w:rsid w:val="0006794C"/>
    <w:rsid w:val="00067C02"/>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C29"/>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9B7"/>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BD5"/>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320"/>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538"/>
    <w:rsid w:val="001F4B8F"/>
    <w:rsid w:val="001F4C8B"/>
    <w:rsid w:val="001F5AFA"/>
    <w:rsid w:val="001F6DB3"/>
    <w:rsid w:val="001F7790"/>
    <w:rsid w:val="0020012C"/>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4585"/>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64F0"/>
    <w:rsid w:val="0027720C"/>
    <w:rsid w:val="002776EF"/>
    <w:rsid w:val="00277CB9"/>
    <w:rsid w:val="0028034A"/>
    <w:rsid w:val="002805E6"/>
    <w:rsid w:val="0028134C"/>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8CB"/>
    <w:rsid w:val="0029794D"/>
    <w:rsid w:val="002A0120"/>
    <w:rsid w:val="002A0EF1"/>
    <w:rsid w:val="002A1955"/>
    <w:rsid w:val="002A26B8"/>
    <w:rsid w:val="002A2AC3"/>
    <w:rsid w:val="002A2D36"/>
    <w:rsid w:val="002A312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3748A"/>
    <w:rsid w:val="003401FE"/>
    <w:rsid w:val="00340233"/>
    <w:rsid w:val="00340B32"/>
    <w:rsid w:val="00340BB9"/>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7C2E"/>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2B07"/>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07F"/>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3F789B"/>
    <w:rsid w:val="0040097A"/>
    <w:rsid w:val="00403981"/>
    <w:rsid w:val="00403BCC"/>
    <w:rsid w:val="00404210"/>
    <w:rsid w:val="00405306"/>
    <w:rsid w:val="00405622"/>
    <w:rsid w:val="00405687"/>
    <w:rsid w:val="00406198"/>
    <w:rsid w:val="00406545"/>
    <w:rsid w:val="00407BB7"/>
    <w:rsid w:val="00407E4D"/>
    <w:rsid w:val="0041067B"/>
    <w:rsid w:val="004107C0"/>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2C89"/>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37C"/>
    <w:rsid w:val="004568B2"/>
    <w:rsid w:val="00457643"/>
    <w:rsid w:val="0045764C"/>
    <w:rsid w:val="00460E4B"/>
    <w:rsid w:val="00461648"/>
    <w:rsid w:val="004619EA"/>
    <w:rsid w:val="00463933"/>
    <w:rsid w:val="00463E3D"/>
    <w:rsid w:val="00464935"/>
    <w:rsid w:val="004655A5"/>
    <w:rsid w:val="00465FA5"/>
    <w:rsid w:val="00466305"/>
    <w:rsid w:val="00466B99"/>
    <w:rsid w:val="00466FDC"/>
    <w:rsid w:val="004670A5"/>
    <w:rsid w:val="004674DB"/>
    <w:rsid w:val="004676AF"/>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390"/>
    <w:rsid w:val="004E26BE"/>
    <w:rsid w:val="004E33F1"/>
    <w:rsid w:val="004E3C70"/>
    <w:rsid w:val="004E47A4"/>
    <w:rsid w:val="004E53F0"/>
    <w:rsid w:val="004E608C"/>
    <w:rsid w:val="004E76C2"/>
    <w:rsid w:val="004F0300"/>
    <w:rsid w:val="004F1AF6"/>
    <w:rsid w:val="004F2094"/>
    <w:rsid w:val="004F28A7"/>
    <w:rsid w:val="004F2B2F"/>
    <w:rsid w:val="004F3754"/>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7E7"/>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E6D"/>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0E87"/>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384"/>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4D68"/>
    <w:rsid w:val="005B5E92"/>
    <w:rsid w:val="005B71C4"/>
    <w:rsid w:val="005B7211"/>
    <w:rsid w:val="005B7871"/>
    <w:rsid w:val="005B7D38"/>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343"/>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6375"/>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0A9A"/>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4D2"/>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6CE9"/>
    <w:rsid w:val="00817C7C"/>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B17"/>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6A6"/>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76A"/>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294B"/>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2F3"/>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16AD"/>
    <w:rsid w:val="009A2161"/>
    <w:rsid w:val="009A29D1"/>
    <w:rsid w:val="009A2F81"/>
    <w:rsid w:val="009A393E"/>
    <w:rsid w:val="009A5286"/>
    <w:rsid w:val="009A65FE"/>
    <w:rsid w:val="009A69A1"/>
    <w:rsid w:val="009A714C"/>
    <w:rsid w:val="009A7777"/>
    <w:rsid w:val="009A7DEB"/>
    <w:rsid w:val="009B0C83"/>
    <w:rsid w:val="009B0F24"/>
    <w:rsid w:val="009B10F4"/>
    <w:rsid w:val="009B122E"/>
    <w:rsid w:val="009B1811"/>
    <w:rsid w:val="009B1D7F"/>
    <w:rsid w:val="009B2701"/>
    <w:rsid w:val="009B2AB2"/>
    <w:rsid w:val="009B30DA"/>
    <w:rsid w:val="009B31D6"/>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22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235"/>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95D"/>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591"/>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27E3D"/>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6A"/>
    <w:rsid w:val="00B42EA2"/>
    <w:rsid w:val="00B4389C"/>
    <w:rsid w:val="00B45895"/>
    <w:rsid w:val="00B46138"/>
    <w:rsid w:val="00B47BE3"/>
    <w:rsid w:val="00B5065D"/>
    <w:rsid w:val="00B52358"/>
    <w:rsid w:val="00B526FC"/>
    <w:rsid w:val="00B52C58"/>
    <w:rsid w:val="00B545DC"/>
    <w:rsid w:val="00B546AA"/>
    <w:rsid w:val="00B56931"/>
    <w:rsid w:val="00B57D5C"/>
    <w:rsid w:val="00B601B9"/>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8C1"/>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C68F5"/>
    <w:rsid w:val="00BD0EC9"/>
    <w:rsid w:val="00BD12EB"/>
    <w:rsid w:val="00BD178B"/>
    <w:rsid w:val="00BD269E"/>
    <w:rsid w:val="00BD3334"/>
    <w:rsid w:val="00BD34B7"/>
    <w:rsid w:val="00BD4516"/>
    <w:rsid w:val="00BD4CC4"/>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665"/>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0CD3"/>
    <w:rsid w:val="00C21134"/>
    <w:rsid w:val="00C2175F"/>
    <w:rsid w:val="00C217AD"/>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25B7"/>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547B"/>
    <w:rsid w:val="00C96673"/>
    <w:rsid w:val="00C96716"/>
    <w:rsid w:val="00C967C2"/>
    <w:rsid w:val="00C978D9"/>
    <w:rsid w:val="00CA01D2"/>
    <w:rsid w:val="00CA0806"/>
    <w:rsid w:val="00CA18AC"/>
    <w:rsid w:val="00CA18B5"/>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DD1"/>
    <w:rsid w:val="00CD1F47"/>
    <w:rsid w:val="00CD28C4"/>
    <w:rsid w:val="00CD3387"/>
    <w:rsid w:val="00CD3514"/>
    <w:rsid w:val="00CD42CC"/>
    <w:rsid w:val="00CD44C7"/>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089"/>
    <w:rsid w:val="00CF5EB6"/>
    <w:rsid w:val="00D00DD0"/>
    <w:rsid w:val="00D01980"/>
    <w:rsid w:val="00D0237B"/>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64E"/>
    <w:rsid w:val="00D16C05"/>
    <w:rsid w:val="00D17367"/>
    <w:rsid w:val="00D1761A"/>
    <w:rsid w:val="00D17ADF"/>
    <w:rsid w:val="00D20AA3"/>
    <w:rsid w:val="00D21323"/>
    <w:rsid w:val="00D215DE"/>
    <w:rsid w:val="00D2226B"/>
    <w:rsid w:val="00D222E9"/>
    <w:rsid w:val="00D23670"/>
    <w:rsid w:val="00D23A4B"/>
    <w:rsid w:val="00D24BF0"/>
    <w:rsid w:val="00D25F09"/>
    <w:rsid w:val="00D26364"/>
    <w:rsid w:val="00D26607"/>
    <w:rsid w:val="00D2708C"/>
    <w:rsid w:val="00D30B07"/>
    <w:rsid w:val="00D30D9C"/>
    <w:rsid w:val="00D310CF"/>
    <w:rsid w:val="00D31B73"/>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33E9"/>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C41"/>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2A9E"/>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BF8"/>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3414"/>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1F33"/>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1A2A"/>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271"/>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753"/>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44FB"/>
    <w:rsid w:val="00F953B0"/>
    <w:rsid w:val="00F95D56"/>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68509017">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7319850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9604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C6DC2-CCD8-43EF-A009-40C15080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18</Pages>
  <Words>4972</Words>
  <Characters>27352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2020-03-13T16:37:00Z</cp:lastPrinted>
  <dcterms:created xsi:type="dcterms:W3CDTF">2020-09-10T00:08:00Z</dcterms:created>
  <dcterms:modified xsi:type="dcterms:W3CDTF">2021-04-21T20:01:00Z</dcterms:modified>
</cp:coreProperties>
</file>