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43349B" w:rsidRDefault="001B26AA" w:rsidP="004E1461">
      <w:pPr>
        <w:tabs>
          <w:tab w:val="left" w:pos="567"/>
        </w:tabs>
        <w:spacing w:line="360" w:lineRule="auto"/>
        <w:jc w:val="center"/>
        <w:rPr>
          <w:rFonts w:ascii="Palatino Linotype" w:eastAsia="Times New Roman" w:hAnsi="Palatino Linotype" w:cs="Times New Roman"/>
          <w:b/>
        </w:rPr>
      </w:pPr>
      <w:r w:rsidRPr="0043349B">
        <w:rPr>
          <w:rFonts w:ascii="Palatino Linotype" w:eastAsia="Times New Roman" w:hAnsi="Palatino Linotype" w:cs="Times New Roman"/>
          <w:b/>
        </w:rPr>
        <w:t>LÍNEAS ARGUMENTATIVAS</w:t>
      </w:r>
    </w:p>
    <w:p w14:paraId="105E3145" w14:textId="77777777" w:rsidR="004C3391" w:rsidRPr="0043349B" w:rsidRDefault="004C3391" w:rsidP="004C3391">
      <w:pPr>
        <w:spacing w:line="360" w:lineRule="auto"/>
        <w:jc w:val="both"/>
        <w:rPr>
          <w:rFonts w:ascii="Palatino Linotype" w:hAnsi="Palatino Linotype"/>
          <w:b/>
        </w:rPr>
      </w:pPr>
      <w:bookmarkStart w:id="0" w:name="_Toc466418172"/>
      <w:bookmarkStart w:id="1" w:name="_Toc462402153"/>
      <w:bookmarkStart w:id="2" w:name="_Toc458528990"/>
      <w:bookmarkStart w:id="3" w:name="_Toc473812227"/>
    </w:p>
    <w:p w14:paraId="09C9D25E" w14:textId="77777777" w:rsidR="00C24965" w:rsidRPr="0043349B" w:rsidRDefault="00C24965" w:rsidP="00C24965">
      <w:pPr>
        <w:spacing w:line="360" w:lineRule="auto"/>
        <w:jc w:val="both"/>
        <w:rPr>
          <w:rFonts w:ascii="Palatino Linotype" w:eastAsia="MS Mincho" w:hAnsi="Palatino Linotype" w:cs="Times New Roman"/>
          <w:color w:val="000000" w:themeColor="text1"/>
          <w:sz w:val="22"/>
        </w:rPr>
      </w:pPr>
    </w:p>
    <w:p w14:paraId="1E9813C7" w14:textId="77777777" w:rsidR="00C24965" w:rsidRPr="0043349B" w:rsidRDefault="00C24965" w:rsidP="00C24965">
      <w:pPr>
        <w:tabs>
          <w:tab w:val="left" w:pos="0"/>
        </w:tabs>
        <w:spacing w:line="360" w:lineRule="auto"/>
        <w:jc w:val="both"/>
        <w:rPr>
          <w:rFonts w:ascii="Palatino Linotype" w:eastAsia="Arial Unicode MS" w:hAnsi="Palatino Linotype" w:cs="Arial"/>
          <w:color w:val="000000" w:themeColor="text1"/>
        </w:rPr>
      </w:pPr>
      <w:r w:rsidRPr="0043349B">
        <w:rPr>
          <w:rFonts w:ascii="Palatino Linotype" w:eastAsia="Arial Unicode MS" w:hAnsi="Palatino Linotype" w:cs="Arial"/>
          <w:b/>
          <w:color w:val="000000" w:themeColor="text1"/>
        </w:rPr>
        <w:t>DEBERES DE LAS AUTORIDADES</w:t>
      </w:r>
      <w:r w:rsidRPr="0043349B">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0894CD35" w14:textId="77777777" w:rsidR="004C3391" w:rsidRPr="0043349B" w:rsidRDefault="004C3391" w:rsidP="004C3391">
      <w:pPr>
        <w:spacing w:line="360" w:lineRule="auto"/>
        <w:jc w:val="both"/>
        <w:rPr>
          <w:rFonts w:ascii="Palatino Linotype" w:hAnsi="Palatino Linotype"/>
          <w:b/>
        </w:rPr>
      </w:pPr>
    </w:p>
    <w:p w14:paraId="4F911304" w14:textId="59314CC6" w:rsidR="004C3391" w:rsidRPr="0043349B" w:rsidRDefault="0043349B" w:rsidP="004C3391">
      <w:pPr>
        <w:spacing w:line="360" w:lineRule="auto"/>
        <w:jc w:val="both"/>
        <w:rPr>
          <w:rFonts w:ascii="Palatino Linotype" w:hAnsi="Palatino Linotype"/>
          <w:b/>
        </w:rPr>
      </w:pPr>
      <w:r w:rsidRPr="0043349B">
        <w:rPr>
          <w:rFonts w:ascii="Palatino Linotype" w:hAnsi="Palatino Linotype"/>
          <w:b/>
          <w:noProof/>
          <w:lang w:val="es-MX" w:eastAsia="es-MX"/>
        </w:rPr>
        <mc:AlternateContent>
          <mc:Choice Requires="wps">
            <w:drawing>
              <wp:anchor distT="0" distB="0" distL="114300" distR="114300" simplePos="0" relativeHeight="251665408" behindDoc="0" locked="0" layoutInCell="1" allowOverlap="1" wp14:anchorId="535B3C71" wp14:editId="231F82D7">
                <wp:simplePos x="0" y="0"/>
                <wp:positionH relativeFrom="column">
                  <wp:posOffset>148589</wp:posOffset>
                </wp:positionH>
                <wp:positionV relativeFrom="paragraph">
                  <wp:posOffset>57149</wp:posOffset>
                </wp:positionV>
                <wp:extent cx="5286375" cy="44100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286375" cy="4410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70E116"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7pt,4.5pt" to="427.9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" strokecolor="#4f81bd [3204]" strokeweight="2pt">
                <v:shadow on="t" color="black" opacity="24903f" origin=",.5" offset="0,.55556mm"/>
              </v:line>
            </w:pict>
          </mc:Fallback>
        </mc:AlternateContent>
      </w:r>
    </w:p>
    <w:p w14:paraId="0B93531A" w14:textId="77777777" w:rsidR="004C3391" w:rsidRPr="0043349B" w:rsidRDefault="004C3391" w:rsidP="004C3391">
      <w:pPr>
        <w:spacing w:line="360" w:lineRule="auto"/>
        <w:jc w:val="both"/>
        <w:rPr>
          <w:rFonts w:ascii="Palatino Linotype" w:hAnsi="Palatino Linotype"/>
          <w:b/>
        </w:rPr>
      </w:pPr>
    </w:p>
    <w:p w14:paraId="2DE7CD56" w14:textId="77777777" w:rsidR="004C3391" w:rsidRPr="0043349B" w:rsidRDefault="004C3391" w:rsidP="004C3391">
      <w:pPr>
        <w:spacing w:line="360" w:lineRule="auto"/>
        <w:jc w:val="both"/>
        <w:rPr>
          <w:rFonts w:ascii="Palatino Linotype" w:hAnsi="Palatino Linotype"/>
          <w:b/>
        </w:rPr>
      </w:pPr>
    </w:p>
    <w:p w14:paraId="30BD1B42" w14:textId="77777777" w:rsidR="004C3391" w:rsidRPr="0043349B" w:rsidRDefault="004C3391" w:rsidP="004C3391">
      <w:pPr>
        <w:spacing w:line="360" w:lineRule="auto"/>
        <w:jc w:val="both"/>
        <w:rPr>
          <w:rFonts w:ascii="Palatino Linotype" w:hAnsi="Palatino Linotype"/>
          <w:b/>
        </w:rPr>
      </w:pPr>
    </w:p>
    <w:p w14:paraId="61CB8399" w14:textId="77777777" w:rsidR="004C3391" w:rsidRPr="0043349B" w:rsidRDefault="004C3391" w:rsidP="004C3391">
      <w:pPr>
        <w:rPr>
          <w:rFonts w:ascii="Palatino Linotype" w:hAnsi="Palatino Linotype"/>
          <w:b/>
        </w:rPr>
      </w:pPr>
      <w:r w:rsidRPr="0043349B">
        <w:rPr>
          <w:rFonts w:ascii="Palatino Linotype" w:hAnsi="Palatino Linotype"/>
          <w:b/>
        </w:rPr>
        <w:br w:type="page"/>
      </w: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43349B" w:rsidRDefault="004C3391" w:rsidP="004C3391">
          <w:pPr>
            <w:pStyle w:val="TtulodeTDC"/>
            <w:jc w:val="center"/>
            <w:rPr>
              <w:szCs w:val="24"/>
              <w:lang w:val="es-ES"/>
            </w:rPr>
          </w:pPr>
          <w:r w:rsidRPr="0043349B">
            <w:rPr>
              <w:szCs w:val="24"/>
              <w:lang w:val="es-ES"/>
            </w:rPr>
            <w:t>ÍNDICE</w:t>
          </w:r>
        </w:p>
        <w:p w14:paraId="0EB6896C" w14:textId="77777777" w:rsidR="004C3391" w:rsidRPr="0043349B" w:rsidRDefault="004C3391" w:rsidP="004C3391">
          <w:pPr>
            <w:rPr>
              <w:rFonts w:ascii="Palatino Linotype" w:hAnsi="Palatino Linotype"/>
              <w:lang w:val="es-ES" w:eastAsia="es-MX"/>
            </w:rPr>
          </w:pPr>
        </w:p>
        <w:p w14:paraId="3EB7AEDF" w14:textId="77777777" w:rsidR="00154A05" w:rsidRPr="0043349B" w:rsidRDefault="004C3391">
          <w:pPr>
            <w:pStyle w:val="TDC1"/>
            <w:rPr>
              <w:rFonts w:ascii="Palatino Linotype" w:hAnsi="Palatino Linotype"/>
              <w:noProof/>
              <w:sz w:val="22"/>
              <w:szCs w:val="22"/>
              <w:lang w:val="es-MX" w:eastAsia="es-MX"/>
            </w:rPr>
          </w:pPr>
          <w:r w:rsidRPr="0043349B">
            <w:rPr>
              <w:rFonts w:ascii="Palatino Linotype" w:hAnsi="Palatino Linotype"/>
            </w:rPr>
            <w:fldChar w:fldCharType="begin"/>
          </w:r>
          <w:r w:rsidRPr="0043349B">
            <w:rPr>
              <w:rFonts w:ascii="Palatino Linotype" w:hAnsi="Palatino Linotype"/>
            </w:rPr>
            <w:instrText xml:space="preserve"> TOC \o "1-3" \h \z \u </w:instrText>
          </w:r>
          <w:r w:rsidRPr="0043349B">
            <w:rPr>
              <w:rFonts w:ascii="Palatino Linotype" w:hAnsi="Palatino Linotype"/>
            </w:rPr>
            <w:fldChar w:fldCharType="separate"/>
          </w:r>
          <w:hyperlink w:anchor="_Toc48151950" w:history="1">
            <w:r w:rsidR="00154A05" w:rsidRPr="0043349B">
              <w:rPr>
                <w:rStyle w:val="Hipervnculo"/>
                <w:rFonts w:ascii="Palatino Linotype" w:hAnsi="Palatino Linotype"/>
                <w:noProof/>
              </w:rPr>
              <w:t>ANTECEDENTES</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_Toc48151950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3</w:t>
            </w:r>
            <w:r w:rsidR="00154A05" w:rsidRPr="0043349B">
              <w:rPr>
                <w:rFonts w:ascii="Palatino Linotype" w:hAnsi="Palatino Linotype"/>
                <w:noProof/>
                <w:webHidden/>
              </w:rPr>
              <w:fldChar w:fldCharType="end"/>
            </w:r>
          </w:hyperlink>
        </w:p>
        <w:p w14:paraId="27BC7588" w14:textId="77777777" w:rsidR="00154A05" w:rsidRPr="0043349B" w:rsidRDefault="005E0D0C">
          <w:pPr>
            <w:pStyle w:val="TDC2"/>
            <w:rPr>
              <w:rFonts w:ascii="Palatino Linotype" w:hAnsi="Palatino Linotype"/>
              <w:noProof/>
              <w:sz w:val="22"/>
              <w:szCs w:val="22"/>
              <w:lang w:val="es-MX" w:eastAsia="es-MX"/>
            </w:rPr>
          </w:pPr>
          <w:hyperlink w:anchor="_Toc48151951" w:history="1">
            <w:r w:rsidR="00154A05" w:rsidRPr="0043349B">
              <w:rPr>
                <w:rStyle w:val="Hipervnculo"/>
                <w:rFonts w:ascii="Palatino Linotype" w:hAnsi="Palatino Linotype"/>
                <w:noProof/>
                <w:lang w:val="es-ES"/>
              </w:rPr>
              <w:t>a) Acto impugnado:</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_Toc48151951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6</w:t>
            </w:r>
            <w:r w:rsidR="00154A05" w:rsidRPr="0043349B">
              <w:rPr>
                <w:rFonts w:ascii="Palatino Linotype" w:hAnsi="Palatino Linotype"/>
                <w:noProof/>
                <w:webHidden/>
              </w:rPr>
              <w:fldChar w:fldCharType="end"/>
            </w:r>
          </w:hyperlink>
        </w:p>
        <w:p w14:paraId="03F5B80E" w14:textId="77777777" w:rsidR="00154A05" w:rsidRPr="0043349B" w:rsidRDefault="005E0D0C">
          <w:pPr>
            <w:pStyle w:val="TDC2"/>
            <w:rPr>
              <w:rFonts w:ascii="Palatino Linotype" w:hAnsi="Palatino Linotype"/>
              <w:noProof/>
              <w:sz w:val="22"/>
              <w:szCs w:val="22"/>
              <w:lang w:val="es-MX" w:eastAsia="es-MX"/>
            </w:rPr>
          </w:pPr>
          <w:hyperlink w:anchor="_Toc48151952" w:history="1">
            <w:r w:rsidR="00154A05" w:rsidRPr="0043349B">
              <w:rPr>
                <w:rStyle w:val="Hipervnculo"/>
                <w:rFonts w:ascii="Palatino Linotype" w:hAnsi="Palatino Linotype"/>
                <w:noProof/>
                <w:lang w:val="es-ES"/>
              </w:rPr>
              <w:t>b) Razones o Motivos de inconformidad:</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_Toc48151952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7</w:t>
            </w:r>
            <w:r w:rsidR="00154A05" w:rsidRPr="0043349B">
              <w:rPr>
                <w:rFonts w:ascii="Palatino Linotype" w:hAnsi="Palatino Linotype"/>
                <w:noProof/>
                <w:webHidden/>
              </w:rPr>
              <w:fldChar w:fldCharType="end"/>
            </w:r>
          </w:hyperlink>
        </w:p>
        <w:p w14:paraId="04A295CE" w14:textId="77777777" w:rsidR="00154A05" w:rsidRPr="0043349B" w:rsidRDefault="005E0D0C">
          <w:pPr>
            <w:pStyle w:val="TDC1"/>
            <w:rPr>
              <w:rFonts w:ascii="Palatino Linotype" w:hAnsi="Palatino Linotype"/>
              <w:noProof/>
              <w:sz w:val="22"/>
              <w:szCs w:val="22"/>
              <w:lang w:val="es-MX" w:eastAsia="es-MX"/>
            </w:rPr>
          </w:pPr>
          <w:hyperlink w:anchor="_Toc48151953" w:history="1">
            <w:r w:rsidR="00154A05" w:rsidRPr="0043349B">
              <w:rPr>
                <w:rStyle w:val="Hipervnculo"/>
                <w:rFonts w:ascii="Palatino Linotype" w:hAnsi="Palatino Linotype"/>
                <w:noProof/>
              </w:rPr>
              <w:t>CONSIDERANDO</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_Toc48151953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9</w:t>
            </w:r>
            <w:r w:rsidR="00154A05" w:rsidRPr="0043349B">
              <w:rPr>
                <w:rFonts w:ascii="Palatino Linotype" w:hAnsi="Palatino Linotype"/>
                <w:noProof/>
                <w:webHidden/>
              </w:rPr>
              <w:fldChar w:fldCharType="end"/>
            </w:r>
          </w:hyperlink>
        </w:p>
        <w:p w14:paraId="6C59B376" w14:textId="77777777" w:rsidR="00154A05" w:rsidRPr="0043349B" w:rsidRDefault="005E0D0C">
          <w:pPr>
            <w:pStyle w:val="TDC1"/>
            <w:rPr>
              <w:rFonts w:ascii="Palatino Linotype" w:hAnsi="Palatino Linotype"/>
              <w:noProof/>
              <w:sz w:val="22"/>
              <w:szCs w:val="22"/>
              <w:lang w:val="es-MX" w:eastAsia="es-MX"/>
            </w:rPr>
          </w:pPr>
          <w:hyperlink w:anchor="_Toc48151954" w:history="1">
            <w:r w:rsidR="00154A05" w:rsidRPr="0043349B">
              <w:rPr>
                <w:rStyle w:val="Hipervnculo"/>
                <w:rFonts w:ascii="Palatino Linotype" w:hAnsi="Palatino Linotype"/>
                <w:noProof/>
              </w:rPr>
              <w:t>PRIMERO. De la competencia</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_Toc48151954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9</w:t>
            </w:r>
            <w:r w:rsidR="00154A05" w:rsidRPr="0043349B">
              <w:rPr>
                <w:rFonts w:ascii="Palatino Linotype" w:hAnsi="Palatino Linotype"/>
                <w:noProof/>
                <w:webHidden/>
              </w:rPr>
              <w:fldChar w:fldCharType="end"/>
            </w:r>
          </w:hyperlink>
        </w:p>
        <w:p w14:paraId="4846957A" w14:textId="77777777" w:rsidR="00154A05" w:rsidRPr="0043349B" w:rsidRDefault="005E0D0C">
          <w:pPr>
            <w:pStyle w:val="TDC1"/>
            <w:rPr>
              <w:rFonts w:ascii="Palatino Linotype" w:hAnsi="Palatino Linotype"/>
              <w:noProof/>
              <w:sz w:val="22"/>
              <w:szCs w:val="22"/>
              <w:lang w:val="es-MX" w:eastAsia="es-MX"/>
            </w:rPr>
          </w:pPr>
          <w:hyperlink w:anchor="_Toc48151955" w:history="1">
            <w:r w:rsidR="00154A05" w:rsidRPr="0043349B">
              <w:rPr>
                <w:rStyle w:val="Hipervnculo"/>
                <w:rFonts w:ascii="Palatino Linotype" w:hAnsi="Palatino Linotype"/>
                <w:noProof/>
              </w:rPr>
              <w:t>SEGUNDO. De la oportunidad y procedencia.</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_Toc48151955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10</w:t>
            </w:r>
            <w:r w:rsidR="00154A05" w:rsidRPr="0043349B">
              <w:rPr>
                <w:rFonts w:ascii="Palatino Linotype" w:hAnsi="Palatino Linotype"/>
                <w:noProof/>
                <w:webHidden/>
              </w:rPr>
              <w:fldChar w:fldCharType="end"/>
            </w:r>
          </w:hyperlink>
        </w:p>
        <w:p w14:paraId="56E13A77" w14:textId="77777777" w:rsidR="00154A05" w:rsidRPr="0043349B" w:rsidRDefault="005E0D0C">
          <w:pPr>
            <w:pStyle w:val="TDC2"/>
            <w:rPr>
              <w:rFonts w:ascii="Palatino Linotype" w:hAnsi="Palatino Linotype"/>
              <w:noProof/>
              <w:sz w:val="22"/>
              <w:szCs w:val="22"/>
              <w:lang w:val="es-MX" w:eastAsia="es-MX"/>
            </w:rPr>
          </w:pPr>
          <w:hyperlink w:anchor="_Toc48151956" w:history="1">
            <w:r w:rsidR="00154A05" w:rsidRPr="0043349B">
              <w:rPr>
                <w:rStyle w:val="Hipervnculo"/>
                <w:rFonts w:ascii="Palatino Linotype" w:hAnsi="Palatino Linotype"/>
                <w:noProof/>
              </w:rPr>
              <w:t>TERCERO. Del planteamiento de la litis.</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_Toc48151956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11</w:t>
            </w:r>
            <w:r w:rsidR="00154A05" w:rsidRPr="0043349B">
              <w:rPr>
                <w:rFonts w:ascii="Palatino Linotype" w:hAnsi="Palatino Linotype"/>
                <w:noProof/>
                <w:webHidden/>
              </w:rPr>
              <w:fldChar w:fldCharType="end"/>
            </w:r>
          </w:hyperlink>
        </w:p>
        <w:p w14:paraId="198CDC92" w14:textId="77777777" w:rsidR="00154A05" w:rsidRPr="0043349B" w:rsidRDefault="005E0D0C">
          <w:pPr>
            <w:pStyle w:val="TDC1"/>
            <w:rPr>
              <w:rFonts w:ascii="Palatino Linotype" w:hAnsi="Palatino Linotype"/>
              <w:noProof/>
              <w:sz w:val="22"/>
              <w:szCs w:val="22"/>
              <w:lang w:val="es-MX" w:eastAsia="es-MX"/>
            </w:rPr>
          </w:pPr>
          <w:hyperlink w:anchor="_Toc48151957" w:history="1">
            <w:r w:rsidR="00154A05" w:rsidRPr="0043349B">
              <w:rPr>
                <w:rStyle w:val="Hipervnculo"/>
                <w:rFonts w:ascii="Palatino Linotype" w:hAnsi="Palatino Linotype"/>
                <w:noProof/>
              </w:rPr>
              <w:t>CUARTO. Del estudio y resolución del asunto.</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_Toc48151957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13</w:t>
            </w:r>
            <w:r w:rsidR="00154A05" w:rsidRPr="0043349B">
              <w:rPr>
                <w:rFonts w:ascii="Palatino Linotype" w:hAnsi="Palatino Linotype"/>
                <w:noProof/>
                <w:webHidden/>
              </w:rPr>
              <w:fldChar w:fldCharType="end"/>
            </w:r>
          </w:hyperlink>
        </w:p>
        <w:p w14:paraId="4BF691BF" w14:textId="77777777" w:rsidR="00154A05" w:rsidRPr="0043349B" w:rsidRDefault="005E0D0C">
          <w:pPr>
            <w:pStyle w:val="TDC2"/>
            <w:tabs>
              <w:tab w:val="left" w:pos="660"/>
            </w:tabs>
            <w:rPr>
              <w:rFonts w:ascii="Palatino Linotype" w:hAnsi="Palatino Linotype"/>
              <w:noProof/>
              <w:sz w:val="22"/>
              <w:szCs w:val="22"/>
              <w:lang w:val="es-MX" w:eastAsia="es-MX"/>
            </w:rPr>
          </w:pPr>
          <w:hyperlink w:anchor="_Toc48151958" w:history="1">
            <w:r w:rsidR="00154A05" w:rsidRPr="0043349B">
              <w:rPr>
                <w:rStyle w:val="Hipervnculo"/>
                <w:rFonts w:ascii="Palatino Linotype" w:hAnsi="Palatino Linotype"/>
                <w:noProof/>
              </w:rPr>
              <w:t>I.</w:t>
            </w:r>
            <w:r w:rsidR="00154A05" w:rsidRPr="0043349B">
              <w:rPr>
                <w:rFonts w:ascii="Palatino Linotype" w:hAnsi="Palatino Linotype"/>
                <w:noProof/>
                <w:sz w:val="22"/>
                <w:szCs w:val="22"/>
                <w:lang w:val="es-MX" w:eastAsia="es-MX"/>
              </w:rPr>
              <w:tab/>
            </w:r>
            <w:r w:rsidR="00154A05" w:rsidRPr="0043349B">
              <w:rPr>
                <w:rStyle w:val="Hipervnculo"/>
                <w:rFonts w:ascii="Palatino Linotype" w:hAnsi="Palatino Linotype"/>
                <w:noProof/>
              </w:rPr>
              <w:t>Del Derecho de Acceso a la Información Pública (DAI).</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_Toc48151958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13</w:t>
            </w:r>
            <w:r w:rsidR="00154A05" w:rsidRPr="0043349B">
              <w:rPr>
                <w:rFonts w:ascii="Palatino Linotype" w:hAnsi="Palatino Linotype"/>
                <w:noProof/>
                <w:webHidden/>
              </w:rPr>
              <w:fldChar w:fldCharType="end"/>
            </w:r>
          </w:hyperlink>
        </w:p>
        <w:p w14:paraId="4D423BE1" w14:textId="77777777" w:rsidR="00154A05" w:rsidRPr="0043349B" w:rsidRDefault="005E0D0C">
          <w:pPr>
            <w:pStyle w:val="TDC2"/>
            <w:rPr>
              <w:rFonts w:ascii="Palatino Linotype" w:hAnsi="Palatino Linotype"/>
              <w:noProof/>
              <w:sz w:val="22"/>
              <w:szCs w:val="22"/>
              <w:lang w:val="es-MX" w:eastAsia="es-MX"/>
            </w:rPr>
          </w:pPr>
          <w:hyperlink w:anchor="_Toc48151959" w:history="1">
            <w:r w:rsidR="00154A05" w:rsidRPr="0043349B">
              <w:rPr>
                <w:rStyle w:val="Hipervnculo"/>
                <w:rFonts w:ascii="Palatino Linotype" w:hAnsi="Palatino Linotype"/>
                <w:noProof/>
              </w:rPr>
              <w:t>I.I. De la importancia de respetar el DAI.</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_Toc48151959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13</w:t>
            </w:r>
            <w:r w:rsidR="00154A05" w:rsidRPr="0043349B">
              <w:rPr>
                <w:rFonts w:ascii="Palatino Linotype" w:hAnsi="Palatino Linotype"/>
                <w:noProof/>
                <w:webHidden/>
              </w:rPr>
              <w:fldChar w:fldCharType="end"/>
            </w:r>
          </w:hyperlink>
        </w:p>
        <w:p w14:paraId="01000B5F" w14:textId="77777777" w:rsidR="00154A05" w:rsidRPr="0043349B" w:rsidRDefault="005E0D0C">
          <w:pPr>
            <w:pStyle w:val="TDC1"/>
            <w:rPr>
              <w:rFonts w:ascii="Palatino Linotype" w:hAnsi="Palatino Linotype"/>
              <w:noProof/>
              <w:sz w:val="22"/>
              <w:szCs w:val="22"/>
              <w:lang w:val="es-MX" w:eastAsia="es-MX"/>
            </w:rPr>
          </w:pPr>
          <w:hyperlink w:anchor="_Toc48151960" w:history="1">
            <w:r w:rsidR="00154A05" w:rsidRPr="0043349B">
              <w:rPr>
                <w:rStyle w:val="Hipervnculo"/>
                <w:rFonts w:ascii="Palatino Linotype" w:hAnsi="Palatino Linotype"/>
                <w:noProof/>
              </w:rPr>
              <w:t>II. De las atribuciones del SUJETO OBLIGADO.</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_Toc48151960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18</w:t>
            </w:r>
            <w:r w:rsidR="00154A05" w:rsidRPr="0043349B">
              <w:rPr>
                <w:rFonts w:ascii="Palatino Linotype" w:hAnsi="Palatino Linotype"/>
                <w:noProof/>
                <w:webHidden/>
              </w:rPr>
              <w:fldChar w:fldCharType="end"/>
            </w:r>
          </w:hyperlink>
        </w:p>
        <w:p w14:paraId="79C0ECD0" w14:textId="77777777" w:rsidR="00154A05" w:rsidRPr="0043349B" w:rsidRDefault="005E0D0C">
          <w:pPr>
            <w:pStyle w:val="TDC1"/>
            <w:rPr>
              <w:rFonts w:ascii="Palatino Linotype" w:hAnsi="Palatino Linotype"/>
              <w:noProof/>
              <w:sz w:val="22"/>
              <w:szCs w:val="22"/>
              <w:lang w:val="es-MX" w:eastAsia="es-MX"/>
            </w:rPr>
          </w:pPr>
          <w:hyperlink w:anchor="_Toc48151961" w:history="1">
            <w:r w:rsidR="00154A05" w:rsidRPr="0043349B">
              <w:rPr>
                <w:rStyle w:val="Hipervnculo"/>
                <w:rFonts w:ascii="Palatino Linotype" w:hAnsi="Palatino Linotype"/>
                <w:noProof/>
              </w:rPr>
              <w:t>II.I. De la Averiguación Previa o Investigación Penal.</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_Toc48151961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21</w:t>
            </w:r>
            <w:r w:rsidR="00154A05" w:rsidRPr="0043349B">
              <w:rPr>
                <w:rFonts w:ascii="Palatino Linotype" w:hAnsi="Palatino Linotype"/>
                <w:noProof/>
                <w:webHidden/>
              </w:rPr>
              <w:fldChar w:fldCharType="end"/>
            </w:r>
          </w:hyperlink>
        </w:p>
        <w:p w14:paraId="7949D555" w14:textId="77777777" w:rsidR="00154A05" w:rsidRPr="0043349B" w:rsidRDefault="005E0D0C">
          <w:pPr>
            <w:pStyle w:val="TDC1"/>
            <w:rPr>
              <w:rFonts w:ascii="Palatino Linotype" w:hAnsi="Palatino Linotype"/>
              <w:noProof/>
              <w:sz w:val="22"/>
              <w:szCs w:val="22"/>
              <w:lang w:val="es-MX" w:eastAsia="es-MX"/>
            </w:rPr>
          </w:pPr>
          <w:hyperlink w:anchor="_Toc48151962" w:history="1">
            <w:r w:rsidR="00154A05" w:rsidRPr="0043349B">
              <w:rPr>
                <w:rStyle w:val="Hipervnculo"/>
                <w:rFonts w:ascii="Palatino Linotype" w:hAnsi="Palatino Linotype"/>
                <w:noProof/>
              </w:rPr>
              <w:t>II.II. De la averiguación previa y la clasificación de la información.</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_Toc48151962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29</w:t>
            </w:r>
            <w:r w:rsidR="00154A05" w:rsidRPr="0043349B">
              <w:rPr>
                <w:rFonts w:ascii="Palatino Linotype" w:hAnsi="Palatino Linotype"/>
                <w:noProof/>
                <w:webHidden/>
              </w:rPr>
              <w:fldChar w:fldCharType="end"/>
            </w:r>
          </w:hyperlink>
        </w:p>
        <w:p w14:paraId="208A074E" w14:textId="77777777" w:rsidR="00154A05" w:rsidRPr="0043349B" w:rsidRDefault="005E0D0C">
          <w:pPr>
            <w:pStyle w:val="TDC3"/>
            <w:tabs>
              <w:tab w:val="left" w:pos="1100"/>
              <w:tab w:val="right" w:leader="dot" w:pos="8779"/>
            </w:tabs>
            <w:rPr>
              <w:rFonts w:ascii="Palatino Linotype" w:hAnsi="Palatino Linotype"/>
              <w:noProof/>
              <w:sz w:val="22"/>
              <w:szCs w:val="22"/>
              <w:lang w:val="es-MX" w:eastAsia="es-MX"/>
            </w:rPr>
          </w:pPr>
          <w:hyperlink w:anchor="_Toc48151963" w:history="1">
            <w:r w:rsidR="00154A05" w:rsidRPr="0043349B">
              <w:rPr>
                <w:rStyle w:val="Hipervnculo"/>
                <w:rFonts w:ascii="Palatino Linotype" w:hAnsi="Palatino Linotype"/>
                <w:noProof/>
              </w:rPr>
              <w:t></w:t>
            </w:r>
            <w:r w:rsidR="00154A05" w:rsidRPr="0043349B">
              <w:rPr>
                <w:rFonts w:ascii="Palatino Linotype" w:hAnsi="Palatino Linotype"/>
                <w:noProof/>
                <w:sz w:val="22"/>
                <w:szCs w:val="22"/>
                <w:lang w:val="es-MX" w:eastAsia="es-MX"/>
              </w:rPr>
              <w:tab/>
            </w:r>
            <w:r w:rsidR="00154A05" w:rsidRPr="0043349B">
              <w:rPr>
                <w:rStyle w:val="Hipervnculo"/>
                <w:rFonts w:ascii="Palatino Linotype" w:hAnsi="Palatino Linotype"/>
                <w:noProof/>
              </w:rPr>
              <w:t>La prueba de daño.</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_Toc48151963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38</w:t>
            </w:r>
            <w:r w:rsidR="00154A05" w:rsidRPr="0043349B">
              <w:rPr>
                <w:rFonts w:ascii="Palatino Linotype" w:hAnsi="Palatino Linotype"/>
                <w:noProof/>
                <w:webHidden/>
              </w:rPr>
              <w:fldChar w:fldCharType="end"/>
            </w:r>
          </w:hyperlink>
        </w:p>
        <w:p w14:paraId="6A4704B0" w14:textId="77777777" w:rsidR="00154A05" w:rsidRPr="0043349B" w:rsidRDefault="005E0D0C">
          <w:pPr>
            <w:pStyle w:val="TDC1"/>
            <w:rPr>
              <w:rFonts w:ascii="Palatino Linotype" w:hAnsi="Palatino Linotype"/>
              <w:noProof/>
              <w:sz w:val="22"/>
              <w:szCs w:val="22"/>
              <w:lang w:val="es-MX" w:eastAsia="es-MX"/>
            </w:rPr>
          </w:pPr>
          <w:hyperlink w:anchor="_Toc48151964" w:history="1">
            <w:r w:rsidR="00154A05" w:rsidRPr="0043349B">
              <w:rPr>
                <w:rStyle w:val="Hipervnculo"/>
                <w:rFonts w:ascii="Palatino Linotype" w:hAnsi="Palatino Linotype"/>
                <w:noProof/>
              </w:rPr>
              <w:t>III. De la modalidad de entrega elegida.</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_Toc48151964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41</w:t>
            </w:r>
            <w:r w:rsidR="00154A05" w:rsidRPr="0043349B">
              <w:rPr>
                <w:rFonts w:ascii="Palatino Linotype" w:hAnsi="Palatino Linotype"/>
                <w:noProof/>
                <w:webHidden/>
              </w:rPr>
              <w:fldChar w:fldCharType="end"/>
            </w:r>
          </w:hyperlink>
        </w:p>
        <w:p w14:paraId="418BCD79" w14:textId="77777777" w:rsidR="00154A05" w:rsidRPr="0043349B" w:rsidRDefault="005E0D0C">
          <w:pPr>
            <w:pStyle w:val="TDC1"/>
            <w:rPr>
              <w:rFonts w:ascii="Palatino Linotype" w:hAnsi="Palatino Linotype"/>
              <w:noProof/>
              <w:sz w:val="22"/>
              <w:szCs w:val="22"/>
              <w:lang w:val="es-MX" w:eastAsia="es-MX"/>
            </w:rPr>
          </w:pPr>
          <w:hyperlink w:anchor="_Toc48151965" w:history="1">
            <w:r w:rsidR="00154A05" w:rsidRPr="0043349B">
              <w:rPr>
                <w:rStyle w:val="Hipervnculo"/>
                <w:rFonts w:ascii="Palatino Linotype" w:eastAsia="Calibri" w:hAnsi="Palatino Linotype"/>
                <w:noProof/>
                <w:lang w:val="es-ES"/>
              </w:rPr>
              <w:t>R E S O L U T I V O S</w:t>
            </w:r>
            <w:r w:rsidR="00154A05" w:rsidRPr="0043349B">
              <w:rPr>
                <w:rFonts w:ascii="Palatino Linotype" w:hAnsi="Palatino Linotype"/>
                <w:noProof/>
                <w:webHidden/>
              </w:rPr>
              <w:tab/>
            </w:r>
            <w:r w:rsidR="00154A05" w:rsidRPr="0043349B">
              <w:rPr>
                <w:rFonts w:ascii="Palatino Linotype" w:hAnsi="Palatino Linotype"/>
                <w:noProof/>
                <w:webHidden/>
              </w:rPr>
              <w:fldChar w:fldCharType="begin"/>
            </w:r>
            <w:r w:rsidR="00154A05" w:rsidRPr="0043349B">
              <w:rPr>
                <w:rFonts w:ascii="Palatino Linotype" w:hAnsi="Palatino Linotype"/>
                <w:noProof/>
                <w:webHidden/>
              </w:rPr>
              <w:instrText xml:space="preserve"> PAGEREF _Toc48151965 \h </w:instrText>
            </w:r>
            <w:r w:rsidR="00154A05" w:rsidRPr="0043349B">
              <w:rPr>
                <w:rFonts w:ascii="Palatino Linotype" w:hAnsi="Palatino Linotype"/>
                <w:noProof/>
                <w:webHidden/>
              </w:rPr>
            </w:r>
            <w:r w:rsidR="00154A05" w:rsidRPr="0043349B">
              <w:rPr>
                <w:rFonts w:ascii="Palatino Linotype" w:hAnsi="Palatino Linotype"/>
                <w:noProof/>
                <w:webHidden/>
              </w:rPr>
              <w:fldChar w:fldCharType="separate"/>
            </w:r>
            <w:r w:rsidR="00145216" w:rsidRPr="0043349B">
              <w:rPr>
                <w:rFonts w:ascii="Palatino Linotype" w:hAnsi="Palatino Linotype"/>
                <w:noProof/>
                <w:webHidden/>
              </w:rPr>
              <w:t>47</w:t>
            </w:r>
            <w:r w:rsidR="00154A05" w:rsidRPr="0043349B">
              <w:rPr>
                <w:rFonts w:ascii="Palatino Linotype" w:hAnsi="Palatino Linotype"/>
                <w:noProof/>
                <w:webHidden/>
              </w:rPr>
              <w:fldChar w:fldCharType="end"/>
            </w:r>
          </w:hyperlink>
        </w:p>
        <w:p w14:paraId="4F899B0E" w14:textId="77777777" w:rsidR="004C3391" w:rsidRPr="0043349B" w:rsidRDefault="004C3391" w:rsidP="004C3391">
          <w:pPr>
            <w:rPr>
              <w:rFonts w:ascii="Palatino Linotype" w:hAnsi="Palatino Linotype"/>
              <w:bCs/>
              <w:sz w:val="22"/>
              <w:szCs w:val="22"/>
              <w:lang w:val="es-ES"/>
            </w:rPr>
          </w:pPr>
          <w:r w:rsidRPr="0043349B">
            <w:rPr>
              <w:rFonts w:ascii="Palatino Linotype" w:hAnsi="Palatino Linotype"/>
              <w:bCs/>
              <w:lang w:val="es-ES"/>
            </w:rPr>
            <w:fldChar w:fldCharType="end"/>
          </w:r>
        </w:p>
        <w:p w14:paraId="6D0E388E" w14:textId="77777777" w:rsidR="004C3391" w:rsidRPr="0043349B" w:rsidRDefault="004C3391" w:rsidP="004C3391">
          <w:pPr>
            <w:rPr>
              <w:rFonts w:ascii="Palatino Linotype" w:hAnsi="Palatino Linotype"/>
              <w:bCs/>
              <w:sz w:val="22"/>
              <w:szCs w:val="22"/>
              <w:lang w:val="es-ES"/>
            </w:rPr>
          </w:pPr>
        </w:p>
        <w:p w14:paraId="716CAE62" w14:textId="77777777" w:rsidR="004C3391" w:rsidRPr="0043349B" w:rsidRDefault="004C3391" w:rsidP="004C3391">
          <w:pPr>
            <w:rPr>
              <w:rFonts w:ascii="Palatino Linotype" w:hAnsi="Palatino Linotype"/>
              <w:bCs/>
              <w:sz w:val="22"/>
              <w:szCs w:val="22"/>
              <w:lang w:val="es-ES"/>
            </w:rPr>
          </w:pPr>
        </w:p>
        <w:p w14:paraId="716AEC52" w14:textId="77777777" w:rsidR="004C3391" w:rsidRPr="0043349B" w:rsidRDefault="004C3391" w:rsidP="004C3391">
          <w:pPr>
            <w:rPr>
              <w:rFonts w:ascii="Palatino Linotype" w:hAnsi="Palatino Linotype"/>
              <w:bCs/>
              <w:sz w:val="22"/>
              <w:szCs w:val="22"/>
              <w:lang w:val="es-ES"/>
            </w:rPr>
          </w:pPr>
        </w:p>
        <w:p w14:paraId="2DF8F668" w14:textId="77777777" w:rsidR="004C3391" w:rsidRPr="0043349B" w:rsidRDefault="004C3391" w:rsidP="004C3391">
          <w:pPr>
            <w:rPr>
              <w:rFonts w:ascii="Palatino Linotype" w:hAnsi="Palatino Linotype"/>
              <w:bCs/>
              <w:sz w:val="22"/>
              <w:szCs w:val="22"/>
              <w:lang w:val="es-ES"/>
            </w:rPr>
          </w:pPr>
        </w:p>
        <w:p w14:paraId="4A8320D4" w14:textId="77777777" w:rsidR="004C3391" w:rsidRPr="0043349B" w:rsidRDefault="004C3391" w:rsidP="004C3391">
          <w:pPr>
            <w:rPr>
              <w:rFonts w:ascii="Palatino Linotype" w:hAnsi="Palatino Linotype"/>
              <w:bCs/>
              <w:lang w:val="es-ES"/>
            </w:rPr>
          </w:pPr>
        </w:p>
        <w:p w14:paraId="238F4D65" w14:textId="77777777" w:rsidR="004C3391" w:rsidRPr="0043349B" w:rsidRDefault="004C3391" w:rsidP="004C3391">
          <w:pPr>
            <w:rPr>
              <w:rFonts w:ascii="Palatino Linotype" w:hAnsi="Palatino Linotype"/>
              <w:bCs/>
              <w:lang w:val="es-ES"/>
            </w:rPr>
          </w:pPr>
          <w:r w:rsidRPr="0043349B">
            <w:rPr>
              <w:rFonts w:ascii="Palatino Linotype" w:hAnsi="Palatino Linotype"/>
              <w:bCs/>
              <w:lang w:val="es-ES"/>
            </w:rPr>
            <w:br w:type="page"/>
          </w:r>
        </w:p>
      </w:sdtContent>
    </w:sdt>
    <w:p w14:paraId="4B98D024" w14:textId="24294BE6" w:rsidR="004C3391" w:rsidRPr="0043349B" w:rsidRDefault="004C3391" w:rsidP="004C3391">
      <w:pPr>
        <w:tabs>
          <w:tab w:val="left" w:pos="567"/>
        </w:tabs>
        <w:spacing w:before="240" w:after="240" w:line="360" w:lineRule="auto"/>
        <w:jc w:val="both"/>
        <w:rPr>
          <w:rFonts w:ascii="Palatino Linotype" w:hAnsi="Palatino Linotype"/>
          <w:lang w:val="es-MX"/>
        </w:rPr>
      </w:pPr>
      <w:r w:rsidRPr="0043349B">
        <w:rPr>
          <w:rFonts w:ascii="Palatino Linotype" w:hAnsi="Palatino Linotype"/>
        </w:rPr>
        <w:lastRenderedPageBreak/>
        <w:t>R</w:t>
      </w:r>
      <w:proofErr w:type="spellStart"/>
      <w:r w:rsidRPr="0043349B">
        <w:rPr>
          <w:rFonts w:ascii="Palatino Linotype" w:hAnsi="Palatino Linotype"/>
          <w:lang w:val="es-MX"/>
        </w:rPr>
        <w:t>esolución</w:t>
      </w:r>
      <w:proofErr w:type="spellEnd"/>
      <w:r w:rsidRPr="0043349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43349B" w:rsidRPr="0043349B">
        <w:rPr>
          <w:rFonts w:ascii="Palatino Linotype" w:hAnsi="Palatino Linotype"/>
          <w:sz w:val="22"/>
          <w:szCs w:val="22"/>
        </w:rPr>
        <w:t>diecinueve (19) de agosto de dos mil veinte</w:t>
      </w:r>
    </w:p>
    <w:p w14:paraId="4075D49D" w14:textId="623A19DB" w:rsidR="004C3391" w:rsidRPr="0043349B" w:rsidRDefault="004C3391" w:rsidP="004C3391">
      <w:pPr>
        <w:pStyle w:val="Encabezado"/>
        <w:spacing w:line="360" w:lineRule="auto"/>
        <w:jc w:val="both"/>
        <w:rPr>
          <w:rFonts w:ascii="Palatino Linotype" w:eastAsia="Times New Roman" w:hAnsi="Palatino Linotype" w:cs="Times New Roman"/>
          <w:b/>
        </w:rPr>
      </w:pPr>
      <w:r w:rsidRPr="0043349B">
        <w:rPr>
          <w:rFonts w:ascii="Palatino Linotype" w:eastAsia="Times New Roman" w:hAnsi="Palatino Linotype" w:cs="Times New Roman"/>
          <w:b/>
        </w:rPr>
        <w:t>VISTO</w:t>
      </w:r>
      <w:r w:rsidRPr="0043349B">
        <w:rPr>
          <w:rFonts w:ascii="Palatino Linotype" w:eastAsia="Times New Roman" w:hAnsi="Palatino Linotype" w:cs="Times New Roman"/>
        </w:rPr>
        <w:t xml:space="preserve"> el expediente electrónico formado con motivo del recurso de revisión número </w:t>
      </w:r>
      <w:r w:rsidRPr="0043349B">
        <w:rPr>
          <w:rFonts w:ascii="Palatino Linotype" w:hAnsi="Palatino Linotype" w:cs="Arial"/>
          <w:b/>
          <w:bCs/>
          <w:lang w:eastAsia="es-MX"/>
        </w:rPr>
        <w:t>00888/INFOEM/IP/RR/2020</w:t>
      </w:r>
      <w:r w:rsidRPr="0043349B">
        <w:rPr>
          <w:rFonts w:ascii="Palatino Linotype" w:eastAsia="Times New Roman" w:hAnsi="Palatino Linotype" w:cs="Arial"/>
          <w:bCs/>
        </w:rPr>
        <w:t xml:space="preserve">, </w:t>
      </w:r>
      <w:r w:rsidRPr="0043349B">
        <w:rPr>
          <w:rFonts w:ascii="Palatino Linotype" w:eastAsia="Times New Roman" w:hAnsi="Palatino Linotype" w:cs="Times New Roman"/>
        </w:rPr>
        <w:t>promovido por</w:t>
      </w:r>
      <w:r w:rsidRPr="0043349B">
        <w:rPr>
          <w:rFonts w:ascii="Palatino Linotype" w:eastAsia="Times New Roman" w:hAnsi="Palatino Linotype" w:cs="Times New Roman"/>
          <w:b/>
        </w:rPr>
        <w:t xml:space="preserve"> </w:t>
      </w:r>
      <w:r w:rsidR="00740420" w:rsidRPr="00740420">
        <w:rPr>
          <w:rFonts w:ascii="Palatino Linotype" w:eastAsia="Times New Roman" w:hAnsi="Palatino Linotype" w:cs="Times New Roman"/>
          <w:b/>
          <w:highlight w:val="black"/>
        </w:rPr>
        <w:t>----------------------------</w:t>
      </w:r>
      <w:r w:rsidRPr="0043349B">
        <w:rPr>
          <w:rFonts w:ascii="Palatino Linotype" w:eastAsia="Times New Roman" w:hAnsi="Palatino Linotype" w:cs="Times New Roman"/>
        </w:rPr>
        <w:t xml:space="preserve"> </w:t>
      </w:r>
      <w:r w:rsidRPr="0043349B">
        <w:rPr>
          <w:rFonts w:ascii="Palatino Linotype" w:eastAsia="Times New Roman" w:hAnsi="Palatino Linotype" w:cs="Arial"/>
        </w:rPr>
        <w:t xml:space="preserve">en su calidad de </w:t>
      </w:r>
      <w:r w:rsidRPr="0043349B">
        <w:rPr>
          <w:rFonts w:ascii="Palatino Linotype" w:eastAsia="Times New Roman" w:hAnsi="Palatino Linotype" w:cs="Arial"/>
          <w:b/>
        </w:rPr>
        <w:t>RECURRENTE</w:t>
      </w:r>
      <w:r w:rsidRPr="0043349B">
        <w:rPr>
          <w:rFonts w:ascii="Palatino Linotype" w:eastAsia="Times New Roman" w:hAnsi="Palatino Linotype" w:cs="Arial"/>
        </w:rPr>
        <w:t xml:space="preserve">, en contra de la respuesta de la </w:t>
      </w:r>
      <w:r w:rsidRPr="0043349B">
        <w:rPr>
          <w:rFonts w:ascii="Palatino Linotype" w:hAnsi="Palatino Linotype"/>
          <w:b/>
          <w:bCs/>
          <w:color w:val="000000"/>
        </w:rPr>
        <w:t>Fiscalía General de Justicia del Estado de México</w:t>
      </w:r>
      <w:r w:rsidRPr="0043349B">
        <w:rPr>
          <w:rFonts w:ascii="Palatino Linotype" w:eastAsia="Calibri" w:hAnsi="Palatino Linotype" w:cs="Arial"/>
          <w:lang w:val="es-ES"/>
        </w:rPr>
        <w:t xml:space="preserve">, </w:t>
      </w:r>
      <w:r w:rsidRPr="0043349B">
        <w:rPr>
          <w:rFonts w:ascii="Palatino Linotype" w:eastAsia="Times New Roman" w:hAnsi="Palatino Linotype" w:cs="Times New Roman"/>
        </w:rPr>
        <w:t>en lo sucesivo el</w:t>
      </w:r>
      <w:r w:rsidRPr="0043349B">
        <w:rPr>
          <w:rFonts w:ascii="Palatino Linotype" w:eastAsia="Times New Roman" w:hAnsi="Palatino Linotype" w:cs="Times New Roman"/>
          <w:b/>
        </w:rPr>
        <w:t xml:space="preserve"> SUJETO OBLIGADO, </w:t>
      </w:r>
      <w:r w:rsidRPr="0043349B">
        <w:rPr>
          <w:rFonts w:ascii="Palatino Linotype" w:eastAsia="Times New Roman" w:hAnsi="Palatino Linotype" w:cs="Times New Roman"/>
        </w:rPr>
        <w:t>se procede a dictar la presente resolución, con base en los siguientes:</w:t>
      </w:r>
    </w:p>
    <w:p w14:paraId="036A5538" w14:textId="77777777" w:rsidR="004C3391" w:rsidRPr="0043349B" w:rsidRDefault="004C3391" w:rsidP="004C3391">
      <w:pPr>
        <w:pStyle w:val="Ttulo1"/>
        <w:tabs>
          <w:tab w:val="left" w:pos="567"/>
        </w:tabs>
        <w:jc w:val="center"/>
        <w:rPr>
          <w:b w:val="0"/>
          <w:color w:val="auto"/>
        </w:rPr>
      </w:pPr>
      <w:bookmarkStart w:id="4" w:name="_Toc48151950"/>
      <w:r w:rsidRPr="0043349B">
        <w:rPr>
          <w:color w:val="auto"/>
        </w:rPr>
        <w:t>ANTECEDENTES</w:t>
      </w:r>
      <w:bookmarkEnd w:id="4"/>
    </w:p>
    <w:p w14:paraId="2153F214" w14:textId="77777777" w:rsidR="004C3391" w:rsidRPr="0043349B" w:rsidRDefault="004C3391" w:rsidP="004C3391">
      <w:pPr>
        <w:tabs>
          <w:tab w:val="left" w:pos="567"/>
        </w:tabs>
        <w:rPr>
          <w:rFonts w:ascii="Palatino Linotype" w:hAnsi="Palatino Linotype"/>
          <w:lang w:val="es-MX" w:eastAsia="en-US"/>
        </w:rPr>
      </w:pPr>
    </w:p>
    <w:p w14:paraId="2C7AAD9A" w14:textId="77777777" w:rsidR="004C3391" w:rsidRPr="0043349B"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3349B">
        <w:rPr>
          <w:rFonts w:ascii="Palatino Linotype" w:eastAsia="Calibri" w:hAnsi="Palatino Linotype" w:cs="Arial"/>
          <w:color w:val="000000" w:themeColor="text1"/>
          <w:lang w:val="es-ES"/>
        </w:rPr>
        <w:t>El día catorce (14) de enero de dos mil veinte,</w:t>
      </w:r>
      <w:r w:rsidRPr="0043349B">
        <w:rPr>
          <w:rFonts w:ascii="Palatino Linotype" w:eastAsia="Calibri" w:hAnsi="Palatino Linotype" w:cs="Times New Roman"/>
          <w:color w:val="000000" w:themeColor="text1"/>
          <w:lang w:val="es-ES"/>
        </w:rPr>
        <w:t xml:space="preserve"> </w:t>
      </w:r>
      <w:r w:rsidRPr="0043349B">
        <w:rPr>
          <w:rFonts w:ascii="Palatino Linotype" w:eastAsia="Calibri" w:hAnsi="Palatino Linotype" w:cs="Arial"/>
          <w:lang w:val="es-ES"/>
        </w:rPr>
        <w:t>se</w:t>
      </w:r>
      <w:r w:rsidRPr="0043349B">
        <w:rPr>
          <w:rFonts w:ascii="Palatino Linotype" w:eastAsia="Calibri" w:hAnsi="Palatino Linotype" w:cs="Arial"/>
          <w:b/>
          <w:lang w:val="es-ES"/>
        </w:rPr>
        <w:t xml:space="preserve"> </w:t>
      </w:r>
      <w:r w:rsidRPr="0043349B">
        <w:rPr>
          <w:rFonts w:ascii="Palatino Linotype" w:hAnsi="Palatino Linotype"/>
          <w:color w:val="000000" w:themeColor="text1"/>
        </w:rPr>
        <w:t>presentó</w:t>
      </w:r>
      <w:r w:rsidRPr="0043349B">
        <w:rPr>
          <w:rFonts w:ascii="Palatino Linotype" w:hAnsi="Palatino Linotype"/>
          <w:b/>
          <w:color w:val="000000" w:themeColor="text1"/>
        </w:rPr>
        <w:t xml:space="preserve"> </w:t>
      </w:r>
      <w:r w:rsidRPr="0043349B">
        <w:rPr>
          <w:rFonts w:ascii="Palatino Linotype" w:eastAsia="Calibri" w:hAnsi="Palatino Linotype" w:cs="Arial"/>
          <w:color w:val="000000" w:themeColor="text1"/>
        </w:rPr>
        <w:t xml:space="preserve">vía </w:t>
      </w:r>
      <w:r w:rsidRPr="0043349B">
        <w:rPr>
          <w:rFonts w:ascii="Palatino Linotype" w:eastAsia="Calibri" w:hAnsi="Palatino Linotype" w:cs="Arial"/>
          <w:color w:val="000000" w:themeColor="text1"/>
          <w:lang w:val="es-ES"/>
        </w:rPr>
        <w:t xml:space="preserve">Sistema de Acceso a la Información Mexiquense </w:t>
      </w:r>
      <w:r w:rsidRPr="0043349B">
        <w:rPr>
          <w:rFonts w:ascii="Palatino Linotype" w:eastAsia="Calibri" w:hAnsi="Palatino Linotype" w:cs="Arial"/>
          <w:b/>
          <w:color w:val="000000" w:themeColor="text1"/>
          <w:lang w:val="es-ES"/>
        </w:rPr>
        <w:t>(SAIMEX)</w:t>
      </w:r>
      <w:r w:rsidRPr="0043349B">
        <w:rPr>
          <w:rFonts w:ascii="Palatino Linotype" w:eastAsia="Calibri" w:hAnsi="Palatino Linotype" w:cs="Arial"/>
          <w:color w:val="000000" w:themeColor="text1"/>
          <w:lang w:val="es-ES"/>
        </w:rPr>
        <w:t>, la solicitud de información pública registrada con el número</w:t>
      </w:r>
      <w:r w:rsidRPr="0043349B">
        <w:rPr>
          <w:rFonts w:ascii="Palatino Linotype" w:eastAsia="Calibri" w:hAnsi="Palatino Linotype" w:cs="Arial"/>
          <w:b/>
          <w:color w:val="000000" w:themeColor="text1"/>
          <w:lang w:val="es-ES"/>
        </w:rPr>
        <w:t xml:space="preserve"> 00047/FGJ/IP/2020</w:t>
      </w:r>
      <w:r w:rsidRPr="0043349B">
        <w:rPr>
          <w:rFonts w:ascii="Palatino Linotype" w:hAnsi="Palatino Linotype"/>
          <w:b/>
          <w:bCs/>
          <w:color w:val="000000" w:themeColor="text1"/>
        </w:rPr>
        <w:t>,</w:t>
      </w:r>
      <w:r w:rsidRPr="0043349B">
        <w:rPr>
          <w:rFonts w:ascii="Palatino Linotype" w:eastAsia="Calibri" w:hAnsi="Palatino Linotype" w:cs="Arial"/>
          <w:color w:val="000000" w:themeColor="text1"/>
          <w:lang w:val="es-ES"/>
        </w:rPr>
        <w:t xml:space="preserve"> mediante la cual se requirió:</w:t>
      </w:r>
    </w:p>
    <w:p w14:paraId="7962B998" w14:textId="77777777" w:rsidR="004C3391" w:rsidRPr="0043349B"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53CF0B88" w:rsidR="004C3391" w:rsidRPr="0043349B"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43349B">
        <w:rPr>
          <w:rFonts w:ascii="Palatino Linotype" w:hAnsi="Palatino Linotype"/>
          <w:i/>
          <w:color w:val="000000"/>
          <w:sz w:val="22"/>
          <w:szCs w:val="22"/>
        </w:rPr>
        <w:t xml:space="preserve">“Soy propietario de un </w:t>
      </w:r>
      <w:proofErr w:type="spellStart"/>
      <w:r w:rsidRPr="0043349B">
        <w:rPr>
          <w:rFonts w:ascii="Palatino Linotype" w:hAnsi="Palatino Linotype"/>
          <w:i/>
          <w:color w:val="000000"/>
          <w:sz w:val="22"/>
          <w:szCs w:val="22"/>
        </w:rPr>
        <w:t>vehiculo</w:t>
      </w:r>
      <w:proofErr w:type="spellEnd"/>
      <w:r w:rsidRPr="0043349B">
        <w:rPr>
          <w:rFonts w:ascii="Palatino Linotype" w:hAnsi="Palatino Linotype"/>
          <w:i/>
          <w:color w:val="000000"/>
          <w:sz w:val="22"/>
          <w:szCs w:val="22"/>
        </w:rPr>
        <w:t xml:space="preserve"> </w:t>
      </w:r>
      <w:r w:rsidR="00740420" w:rsidRPr="00740420">
        <w:rPr>
          <w:rFonts w:ascii="Palatino Linotype" w:hAnsi="Palatino Linotype"/>
          <w:i/>
          <w:color w:val="000000"/>
          <w:sz w:val="22"/>
          <w:szCs w:val="22"/>
          <w:highlight w:val="black"/>
        </w:rPr>
        <w:t>---------</w:t>
      </w:r>
      <w:r w:rsidRPr="0043349B">
        <w:rPr>
          <w:rFonts w:ascii="Palatino Linotype" w:hAnsi="Palatino Linotype"/>
          <w:i/>
          <w:color w:val="000000"/>
          <w:sz w:val="22"/>
          <w:szCs w:val="22"/>
        </w:rPr>
        <w:t xml:space="preserve"> con </w:t>
      </w:r>
      <w:proofErr w:type="spellStart"/>
      <w:r w:rsidRPr="0043349B">
        <w:rPr>
          <w:rFonts w:ascii="Palatino Linotype" w:hAnsi="Palatino Linotype"/>
          <w:i/>
          <w:color w:val="000000"/>
          <w:sz w:val="22"/>
          <w:szCs w:val="22"/>
        </w:rPr>
        <w:t>con</w:t>
      </w:r>
      <w:proofErr w:type="spellEnd"/>
      <w:r w:rsidRPr="0043349B">
        <w:rPr>
          <w:rFonts w:ascii="Palatino Linotype" w:hAnsi="Palatino Linotype"/>
          <w:i/>
          <w:color w:val="000000"/>
          <w:sz w:val="22"/>
          <w:szCs w:val="22"/>
        </w:rPr>
        <w:t xml:space="preserve"> </w:t>
      </w:r>
      <w:r w:rsidR="00740420" w:rsidRPr="00740420">
        <w:rPr>
          <w:rFonts w:ascii="Palatino Linotype" w:hAnsi="Palatino Linotype"/>
          <w:i/>
          <w:color w:val="000000"/>
          <w:sz w:val="22"/>
          <w:szCs w:val="22"/>
          <w:highlight w:val="black"/>
        </w:rPr>
        <w:t xml:space="preserve">---   </w:t>
      </w:r>
      <w:r w:rsidRPr="00740420">
        <w:rPr>
          <w:rFonts w:ascii="Palatino Linotype" w:hAnsi="Palatino Linotype"/>
          <w:i/>
          <w:color w:val="000000"/>
          <w:sz w:val="22"/>
          <w:szCs w:val="22"/>
          <w:highlight w:val="black"/>
        </w:rPr>
        <w:t xml:space="preserve"> </w:t>
      </w:r>
      <w:r w:rsidR="00740420" w:rsidRPr="00740420">
        <w:rPr>
          <w:rFonts w:ascii="Palatino Linotype" w:hAnsi="Palatino Linotype"/>
          <w:i/>
          <w:color w:val="000000"/>
          <w:sz w:val="22"/>
          <w:szCs w:val="22"/>
          <w:highlight w:val="black"/>
        </w:rPr>
        <w:t>-------------------------------</w:t>
      </w:r>
      <w:r w:rsidRPr="0043349B">
        <w:rPr>
          <w:rFonts w:ascii="Palatino Linotype" w:hAnsi="Palatino Linotype"/>
          <w:i/>
          <w:color w:val="000000"/>
          <w:sz w:val="22"/>
          <w:szCs w:val="22"/>
        </w:rPr>
        <w:t xml:space="preserve"> y número de motor </w:t>
      </w:r>
      <w:r w:rsidR="00740420" w:rsidRPr="00740420">
        <w:rPr>
          <w:rFonts w:ascii="Palatino Linotype" w:hAnsi="Palatino Linotype"/>
          <w:i/>
          <w:color w:val="000000"/>
          <w:sz w:val="22"/>
          <w:szCs w:val="22"/>
          <w:highlight w:val="black"/>
        </w:rPr>
        <w:t>----------------------</w:t>
      </w:r>
      <w:r w:rsidRPr="0043349B">
        <w:rPr>
          <w:rFonts w:ascii="Palatino Linotype" w:hAnsi="Palatino Linotype"/>
          <w:i/>
          <w:color w:val="000000"/>
          <w:sz w:val="22"/>
          <w:szCs w:val="22"/>
        </w:rPr>
        <w:t xml:space="preserve"> (acompaño </w:t>
      </w:r>
      <w:proofErr w:type="spellStart"/>
      <w:r w:rsidRPr="0043349B">
        <w:rPr>
          <w:rFonts w:ascii="Palatino Linotype" w:hAnsi="Palatino Linotype"/>
          <w:i/>
          <w:color w:val="000000"/>
          <w:sz w:val="22"/>
          <w:szCs w:val="22"/>
        </w:rPr>
        <w:t>pdf</w:t>
      </w:r>
      <w:proofErr w:type="spellEnd"/>
      <w:r w:rsidRPr="0043349B">
        <w:rPr>
          <w:rFonts w:ascii="Palatino Linotype" w:hAnsi="Palatino Linotype"/>
          <w:i/>
          <w:color w:val="000000"/>
          <w:sz w:val="22"/>
          <w:szCs w:val="22"/>
        </w:rPr>
        <w:t xml:space="preserve"> de factura original), denuncie el delito </w:t>
      </w:r>
      <w:proofErr w:type="spellStart"/>
      <w:r w:rsidRPr="0043349B">
        <w:rPr>
          <w:rFonts w:ascii="Palatino Linotype" w:hAnsi="Palatino Linotype"/>
          <w:i/>
          <w:color w:val="000000"/>
          <w:sz w:val="22"/>
          <w:szCs w:val="22"/>
        </w:rPr>
        <w:t>e</w:t>
      </w:r>
      <w:proofErr w:type="spellEnd"/>
      <w:r w:rsidRPr="0043349B">
        <w:rPr>
          <w:rFonts w:ascii="Palatino Linotype" w:hAnsi="Palatino Linotype"/>
          <w:i/>
          <w:color w:val="000000"/>
          <w:sz w:val="22"/>
          <w:szCs w:val="22"/>
        </w:rPr>
        <w:t xml:space="preserve"> abuso de confianza en la alcaldía de Azcapotzalco sobre dicho </w:t>
      </w:r>
      <w:proofErr w:type="spellStart"/>
      <w:r w:rsidRPr="0043349B">
        <w:rPr>
          <w:rFonts w:ascii="Palatino Linotype" w:hAnsi="Palatino Linotype"/>
          <w:i/>
          <w:color w:val="000000"/>
          <w:sz w:val="22"/>
          <w:szCs w:val="22"/>
        </w:rPr>
        <w:t>vehiculo</w:t>
      </w:r>
      <w:proofErr w:type="spellEnd"/>
      <w:r w:rsidRPr="0043349B">
        <w:rPr>
          <w:rFonts w:ascii="Palatino Linotype" w:hAnsi="Palatino Linotype"/>
          <w:i/>
          <w:color w:val="000000"/>
          <w:sz w:val="22"/>
          <w:szCs w:val="22"/>
        </w:rPr>
        <w:t xml:space="preserve"> ya que tengo conocimiento de que fue vendido por una persona ajena a </w:t>
      </w:r>
      <w:proofErr w:type="spellStart"/>
      <w:r w:rsidRPr="0043349B">
        <w:rPr>
          <w:rFonts w:ascii="Palatino Linotype" w:hAnsi="Palatino Linotype"/>
          <w:i/>
          <w:color w:val="000000"/>
          <w:sz w:val="22"/>
          <w:szCs w:val="22"/>
        </w:rPr>
        <w:t>mi</w:t>
      </w:r>
      <w:proofErr w:type="spellEnd"/>
      <w:r w:rsidRPr="0043349B">
        <w:rPr>
          <w:rFonts w:ascii="Palatino Linotype" w:hAnsi="Palatino Linotype"/>
          <w:i/>
          <w:color w:val="000000"/>
          <w:sz w:val="22"/>
          <w:szCs w:val="22"/>
        </w:rPr>
        <w:t xml:space="preserve">, mediante una factura falsa. El coche le fue robado a la persona que compró el coche y denunció el robo el 7 de agosto de 2019, en Ecatepec. La información que solicitó es el folio de averiguación previa o número de expediente con que </w:t>
      </w:r>
      <w:proofErr w:type="spellStart"/>
      <w:r w:rsidRPr="0043349B">
        <w:rPr>
          <w:rFonts w:ascii="Palatino Linotype" w:hAnsi="Palatino Linotype"/>
          <w:i/>
          <w:color w:val="000000"/>
          <w:sz w:val="22"/>
          <w:szCs w:val="22"/>
        </w:rPr>
        <w:t>esta</w:t>
      </w:r>
      <w:proofErr w:type="spellEnd"/>
      <w:r w:rsidRPr="0043349B">
        <w:rPr>
          <w:rFonts w:ascii="Palatino Linotype" w:hAnsi="Palatino Linotype"/>
          <w:i/>
          <w:color w:val="000000"/>
          <w:sz w:val="22"/>
          <w:szCs w:val="22"/>
        </w:rPr>
        <w:t xml:space="preserve"> controlada la denuncia de robo levantada respecto de mi </w:t>
      </w:r>
      <w:proofErr w:type="spellStart"/>
      <w:r w:rsidRPr="0043349B">
        <w:rPr>
          <w:rFonts w:ascii="Palatino Linotype" w:hAnsi="Palatino Linotype"/>
          <w:i/>
          <w:color w:val="000000"/>
          <w:sz w:val="22"/>
          <w:szCs w:val="22"/>
        </w:rPr>
        <w:t>vehiculo</w:t>
      </w:r>
      <w:proofErr w:type="spellEnd"/>
      <w:r w:rsidRPr="0043349B">
        <w:rPr>
          <w:rFonts w:ascii="Palatino Linotype" w:hAnsi="Palatino Linotype"/>
          <w:i/>
          <w:color w:val="000000"/>
          <w:sz w:val="22"/>
          <w:szCs w:val="22"/>
        </w:rPr>
        <w:t>, ya que eso acelerará la tramitación de mi denuncia.” (Sic)</w:t>
      </w:r>
    </w:p>
    <w:p w14:paraId="7DB33914" w14:textId="77777777" w:rsidR="004C3391" w:rsidRPr="0043349B"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FA1C194" w14:textId="77777777" w:rsidR="004C3391" w:rsidRPr="0043349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3349B">
        <w:rPr>
          <w:rFonts w:ascii="Palatino Linotype" w:hAnsi="Palatino Linotype" w:cs="Arial"/>
          <w:color w:val="000000" w:themeColor="text1"/>
        </w:rPr>
        <w:lastRenderedPageBreak/>
        <w:t>Cabe señalar que el particular adjuntó a su solicitud el archivo electrónico “</w:t>
      </w:r>
      <w:r w:rsidRPr="0043349B">
        <w:rPr>
          <w:rFonts w:ascii="Palatino Linotype" w:hAnsi="Palatino Linotype" w:cs="Arial"/>
          <w:i/>
          <w:color w:val="000000" w:themeColor="text1"/>
        </w:rPr>
        <w:t>factura original.pdf</w:t>
      </w:r>
      <w:r w:rsidRPr="0043349B">
        <w:rPr>
          <w:rFonts w:ascii="Palatino Linotype" w:hAnsi="Palatino Linotype" w:cs="Arial"/>
          <w:color w:val="000000" w:themeColor="text1"/>
        </w:rPr>
        <w:t>” en cuyo contenido se aprecia una factura vehicular.</w:t>
      </w:r>
    </w:p>
    <w:p w14:paraId="5B8C3AC8" w14:textId="77777777" w:rsidR="004C3391" w:rsidRPr="0043349B"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DB7F9B4" w14:textId="77777777" w:rsidR="004C3391" w:rsidRPr="0043349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3349B">
        <w:rPr>
          <w:rFonts w:ascii="Palatino Linotype" w:hAnsi="Palatino Linotype" w:cs="Arial"/>
          <w:color w:val="000000" w:themeColor="text1"/>
        </w:rPr>
        <w:t xml:space="preserve">Se hace constar que </w:t>
      </w:r>
      <w:r w:rsidRPr="0043349B">
        <w:rPr>
          <w:rFonts w:ascii="Palatino Linotype" w:eastAsia="Times New Roman" w:hAnsi="Palatino Linotype" w:cs="Arial"/>
          <w:color w:val="000000" w:themeColor="text1"/>
          <w:lang w:val="es-ES"/>
        </w:rPr>
        <w:t>se señaló como modalidad de entrega de la información</w:t>
      </w:r>
      <w:r w:rsidRPr="0043349B">
        <w:rPr>
          <w:rFonts w:ascii="Palatino Linotype" w:eastAsia="Times New Roman" w:hAnsi="Palatino Linotype" w:cs="Arial"/>
          <w:b/>
          <w:color w:val="000000" w:themeColor="text1"/>
          <w:lang w:val="es-ES"/>
        </w:rPr>
        <w:t>:</w:t>
      </w:r>
      <w:r w:rsidRPr="0043349B">
        <w:rPr>
          <w:rFonts w:ascii="Palatino Linotype" w:eastAsia="Times New Roman" w:hAnsi="Palatino Linotype" w:cs="Arial"/>
          <w:color w:val="000000" w:themeColor="text1"/>
          <w:lang w:val="es-ES"/>
        </w:rPr>
        <w:t xml:space="preserve"> a través </w:t>
      </w:r>
      <w:r w:rsidRPr="0043349B">
        <w:rPr>
          <w:rFonts w:ascii="Palatino Linotype" w:hAnsi="Palatino Linotype"/>
          <w:color w:val="000000" w:themeColor="text1"/>
        </w:rPr>
        <w:t xml:space="preserve">del </w:t>
      </w:r>
      <w:r w:rsidRPr="0043349B">
        <w:rPr>
          <w:rFonts w:ascii="Palatino Linotype" w:eastAsia="Calibri" w:hAnsi="Palatino Linotype" w:cs="Arial"/>
          <w:color w:val="000000" w:themeColor="text1"/>
          <w:lang w:val="es-ES"/>
        </w:rPr>
        <w:t xml:space="preserve">Sistema de Acceso a la Información Mexiquense </w:t>
      </w:r>
      <w:r w:rsidRPr="0043349B">
        <w:rPr>
          <w:rFonts w:ascii="Palatino Linotype" w:eastAsia="Calibri" w:hAnsi="Palatino Linotype" w:cs="Arial"/>
          <w:b/>
          <w:color w:val="000000" w:themeColor="text1"/>
          <w:lang w:val="es-ES"/>
        </w:rPr>
        <w:t>(SAIMEX).</w:t>
      </w:r>
    </w:p>
    <w:p w14:paraId="05F32937" w14:textId="77777777" w:rsidR="004C3391" w:rsidRPr="0043349B"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C80C6A5" w14:textId="77777777" w:rsidR="004C3391" w:rsidRPr="0043349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3349B">
        <w:rPr>
          <w:rFonts w:ascii="Palatino Linotype" w:eastAsia="Calibri" w:hAnsi="Palatino Linotype" w:cs="Arial"/>
          <w:lang w:val="es-AR"/>
        </w:rPr>
        <w:t>El día cinco (05</w:t>
      </w:r>
      <w:r w:rsidRPr="0043349B">
        <w:rPr>
          <w:rFonts w:ascii="Palatino Linotype" w:hAnsi="Palatino Linotype"/>
          <w:i/>
        </w:rPr>
        <w:t xml:space="preserve">) </w:t>
      </w:r>
      <w:r w:rsidRPr="0043349B">
        <w:rPr>
          <w:rFonts w:ascii="Palatino Linotype" w:hAnsi="Palatino Linotype"/>
        </w:rPr>
        <w:t>de febrero de dos mil veinte</w:t>
      </w:r>
      <w:r w:rsidRPr="0043349B">
        <w:rPr>
          <w:rFonts w:ascii="Palatino Linotype" w:eastAsia="Times New Roman" w:hAnsi="Palatino Linotype" w:cs="Arial"/>
          <w:lang w:val="es-ES"/>
        </w:rPr>
        <w:t xml:space="preserve">, el </w:t>
      </w:r>
      <w:r w:rsidRPr="0043349B">
        <w:rPr>
          <w:rFonts w:ascii="Palatino Linotype" w:eastAsia="Times New Roman" w:hAnsi="Palatino Linotype" w:cs="Arial"/>
          <w:b/>
          <w:lang w:val="es-ES"/>
        </w:rPr>
        <w:t xml:space="preserve">SUJETO OBLIGADO </w:t>
      </w:r>
      <w:r w:rsidRPr="0043349B">
        <w:rPr>
          <w:rFonts w:ascii="Palatino Linotype" w:eastAsia="Times New Roman" w:hAnsi="Palatino Linotype" w:cs="Arial"/>
          <w:color w:val="000000" w:themeColor="text1"/>
          <w:lang w:val="es-ES"/>
        </w:rPr>
        <w:t>respondió a la solicitud de información en los términos siguientes:</w:t>
      </w:r>
    </w:p>
    <w:p w14:paraId="53519376" w14:textId="77777777" w:rsidR="004C3391" w:rsidRPr="0043349B"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B9308CE" w14:textId="77777777" w:rsidR="004C3391" w:rsidRPr="0043349B" w:rsidRDefault="004C3391" w:rsidP="004C339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szCs w:val="22"/>
          <w:lang w:val="es-MX" w:eastAsia="es-MX"/>
        </w:rPr>
      </w:pPr>
      <w:r w:rsidRPr="0043349B">
        <w:rPr>
          <w:rFonts w:ascii="Palatino Linotype" w:eastAsia="Calibri" w:hAnsi="Palatino Linotype" w:cs="Arial"/>
          <w:i/>
          <w:sz w:val="22"/>
          <w:szCs w:val="22"/>
          <w:lang w:val="es-AR"/>
        </w:rPr>
        <w:t>“</w:t>
      </w:r>
      <w:r w:rsidRPr="0043349B">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C5B91A" w14:textId="77777777" w:rsidR="004C3391" w:rsidRPr="0043349B" w:rsidRDefault="004C3391" w:rsidP="004C339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p>
    <w:p w14:paraId="065AF470" w14:textId="70FBF452" w:rsidR="004C3391" w:rsidRPr="0043349B" w:rsidRDefault="004C3391" w:rsidP="004C339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r w:rsidRPr="0043349B">
        <w:rPr>
          <w:rFonts w:ascii="Palatino Linotype" w:eastAsia="Times New Roman" w:hAnsi="Palatino Linotype" w:cs="Times New Roman"/>
          <w:i/>
          <w:sz w:val="22"/>
          <w:szCs w:val="22"/>
          <w:lang w:val="es-MX" w:eastAsia="es-MX"/>
        </w:rPr>
        <w:t xml:space="preserve">Toluca de Lerdo, Estado de México; a 5 de febrero de 2020. Número de oficio: 0217/MAIP/FGJ/2020 </w:t>
      </w:r>
      <w:r w:rsidR="00C6542C" w:rsidRPr="00C6542C">
        <w:rPr>
          <w:rFonts w:ascii="Palatino Linotype" w:eastAsia="Times New Roman" w:hAnsi="Palatino Linotype" w:cs="Times New Roman"/>
          <w:i/>
          <w:sz w:val="22"/>
          <w:szCs w:val="22"/>
          <w:highlight w:val="black"/>
          <w:lang w:val="es-MX" w:eastAsia="es-MX"/>
        </w:rPr>
        <w:t>-------------------------------------</w:t>
      </w:r>
      <w:r w:rsidR="00C6542C">
        <w:rPr>
          <w:rFonts w:ascii="Palatino Linotype" w:eastAsia="Times New Roman" w:hAnsi="Palatino Linotype" w:cs="Times New Roman"/>
          <w:i/>
          <w:sz w:val="22"/>
          <w:szCs w:val="22"/>
          <w:lang w:val="es-MX" w:eastAsia="es-MX"/>
        </w:rPr>
        <w:t xml:space="preserve"> </w:t>
      </w:r>
      <w:r w:rsidRPr="0043349B">
        <w:rPr>
          <w:rFonts w:ascii="Palatino Linotype" w:eastAsia="Times New Roman" w:hAnsi="Palatino Linotype" w:cs="Times New Roman"/>
          <w:i/>
          <w:sz w:val="22"/>
          <w:szCs w:val="22"/>
          <w:lang w:val="es-MX" w:eastAsia="es-MX"/>
        </w:rPr>
        <w:t xml:space="preserve">Hago referencia al contenido de su solicitud de información pública, presentada el 14 de enero del año 2020, ante el Módulo de Transparencia y Acceso a la Información Pública de la Fiscalía General de Justicia del Estado de México, misma que fue registrada en el Sistema de Acceso a la Información Mexiquense (SAIMEX), bajo el folio 00047/FGJ/IP/2020, en la que pide lo </w:t>
      </w:r>
      <w:bookmarkStart w:id="5" w:name="_GoBack"/>
      <w:bookmarkEnd w:id="5"/>
      <w:r w:rsidRPr="0043349B">
        <w:rPr>
          <w:rFonts w:ascii="Palatino Linotype" w:eastAsia="Times New Roman" w:hAnsi="Palatino Linotype" w:cs="Times New Roman"/>
          <w:i/>
          <w:sz w:val="22"/>
          <w:szCs w:val="22"/>
          <w:lang w:val="es-MX" w:eastAsia="es-MX"/>
        </w:rPr>
        <w:t xml:space="preserve">siguiente: “Soy propietario de un </w:t>
      </w:r>
      <w:proofErr w:type="spellStart"/>
      <w:r w:rsidRPr="0043349B">
        <w:rPr>
          <w:rFonts w:ascii="Palatino Linotype" w:eastAsia="Times New Roman" w:hAnsi="Palatino Linotype" w:cs="Times New Roman"/>
          <w:i/>
          <w:sz w:val="22"/>
          <w:szCs w:val="22"/>
          <w:lang w:val="es-MX" w:eastAsia="es-MX"/>
        </w:rPr>
        <w:t>vehiculo</w:t>
      </w:r>
      <w:proofErr w:type="spellEnd"/>
      <w:r w:rsidRPr="0043349B">
        <w:rPr>
          <w:rFonts w:ascii="Palatino Linotype" w:eastAsia="Times New Roman" w:hAnsi="Palatino Linotype" w:cs="Times New Roman"/>
          <w:i/>
          <w:sz w:val="22"/>
          <w:szCs w:val="22"/>
          <w:lang w:val="es-MX" w:eastAsia="es-MX"/>
        </w:rPr>
        <w:t xml:space="preserve"> </w:t>
      </w:r>
      <w:r w:rsidR="00C6542C" w:rsidRPr="00C6542C">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con </w:t>
      </w:r>
      <w:proofErr w:type="spellStart"/>
      <w:r w:rsidRPr="0043349B">
        <w:rPr>
          <w:rFonts w:ascii="Palatino Linotype" w:eastAsia="Times New Roman" w:hAnsi="Palatino Linotype" w:cs="Times New Roman"/>
          <w:i/>
          <w:sz w:val="22"/>
          <w:szCs w:val="22"/>
          <w:lang w:val="es-MX" w:eastAsia="es-MX"/>
        </w:rPr>
        <w:t>con</w:t>
      </w:r>
      <w:proofErr w:type="spellEnd"/>
      <w:r w:rsidRPr="0043349B">
        <w:rPr>
          <w:rFonts w:ascii="Palatino Linotype" w:eastAsia="Times New Roman" w:hAnsi="Palatino Linotype" w:cs="Times New Roman"/>
          <w:i/>
          <w:sz w:val="22"/>
          <w:szCs w:val="22"/>
          <w:lang w:val="es-MX" w:eastAsia="es-MX"/>
        </w:rPr>
        <w:t xml:space="preserve"> </w:t>
      </w:r>
      <w:r w:rsidR="00707DEE" w:rsidRPr="00707DEE">
        <w:rPr>
          <w:rFonts w:ascii="Palatino Linotype" w:eastAsia="Times New Roman" w:hAnsi="Palatino Linotype" w:cs="Times New Roman"/>
          <w:i/>
          <w:sz w:val="22"/>
          <w:szCs w:val="22"/>
          <w:highlight w:val="black"/>
          <w:lang w:val="es-MX" w:eastAsia="es-MX"/>
        </w:rPr>
        <w:t>----</w:t>
      </w:r>
      <w:r w:rsidR="00C6542C" w:rsidRPr="00707DEE">
        <w:rPr>
          <w:rFonts w:ascii="Palatino Linotype" w:eastAsia="Times New Roman" w:hAnsi="Palatino Linotype" w:cs="Times New Roman"/>
          <w:i/>
          <w:sz w:val="22"/>
          <w:szCs w:val="22"/>
          <w:highlight w:val="black"/>
          <w:lang w:val="es-MX" w:eastAsia="es-MX"/>
        </w:rPr>
        <w:t>-</w:t>
      </w:r>
      <w:r w:rsidR="00C6542C" w:rsidRPr="00C6542C">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y número de motor </w:t>
      </w:r>
      <w:r w:rsidR="00C6542C" w:rsidRPr="00C6542C">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(acompaño </w:t>
      </w:r>
      <w:proofErr w:type="spellStart"/>
      <w:r w:rsidRPr="0043349B">
        <w:rPr>
          <w:rFonts w:ascii="Palatino Linotype" w:eastAsia="Times New Roman" w:hAnsi="Palatino Linotype" w:cs="Times New Roman"/>
          <w:i/>
          <w:sz w:val="22"/>
          <w:szCs w:val="22"/>
          <w:lang w:val="es-MX" w:eastAsia="es-MX"/>
        </w:rPr>
        <w:t>pdf</w:t>
      </w:r>
      <w:proofErr w:type="spellEnd"/>
      <w:r w:rsidRPr="0043349B">
        <w:rPr>
          <w:rFonts w:ascii="Palatino Linotype" w:eastAsia="Times New Roman" w:hAnsi="Palatino Linotype" w:cs="Times New Roman"/>
          <w:i/>
          <w:sz w:val="22"/>
          <w:szCs w:val="22"/>
          <w:lang w:val="es-MX" w:eastAsia="es-MX"/>
        </w:rPr>
        <w:t xml:space="preserve"> de factura original), denuncie el delito </w:t>
      </w:r>
      <w:proofErr w:type="spellStart"/>
      <w:r w:rsidRPr="0043349B">
        <w:rPr>
          <w:rFonts w:ascii="Palatino Linotype" w:eastAsia="Times New Roman" w:hAnsi="Palatino Linotype" w:cs="Times New Roman"/>
          <w:i/>
          <w:sz w:val="22"/>
          <w:szCs w:val="22"/>
          <w:lang w:val="es-MX" w:eastAsia="es-MX"/>
        </w:rPr>
        <w:t>e</w:t>
      </w:r>
      <w:proofErr w:type="spellEnd"/>
      <w:r w:rsidRPr="0043349B">
        <w:rPr>
          <w:rFonts w:ascii="Palatino Linotype" w:eastAsia="Times New Roman" w:hAnsi="Palatino Linotype" w:cs="Times New Roman"/>
          <w:i/>
          <w:sz w:val="22"/>
          <w:szCs w:val="22"/>
          <w:lang w:val="es-MX" w:eastAsia="es-MX"/>
        </w:rPr>
        <w:t xml:space="preserve"> abuso de confianza en la alcaldía de Azcapotzalco sobre dicho </w:t>
      </w:r>
      <w:proofErr w:type="spellStart"/>
      <w:r w:rsidRPr="0043349B">
        <w:rPr>
          <w:rFonts w:ascii="Palatino Linotype" w:eastAsia="Times New Roman" w:hAnsi="Palatino Linotype" w:cs="Times New Roman"/>
          <w:i/>
          <w:sz w:val="22"/>
          <w:szCs w:val="22"/>
          <w:lang w:val="es-MX" w:eastAsia="es-MX"/>
        </w:rPr>
        <w:t>vehiculo</w:t>
      </w:r>
      <w:proofErr w:type="spellEnd"/>
      <w:r w:rsidRPr="0043349B">
        <w:rPr>
          <w:rFonts w:ascii="Palatino Linotype" w:eastAsia="Times New Roman" w:hAnsi="Palatino Linotype" w:cs="Times New Roman"/>
          <w:i/>
          <w:sz w:val="22"/>
          <w:szCs w:val="22"/>
          <w:lang w:val="es-MX" w:eastAsia="es-MX"/>
        </w:rPr>
        <w:t xml:space="preserve"> ya que tengo conocimiento de que fue vendido por una persona ajena a </w:t>
      </w:r>
      <w:proofErr w:type="spellStart"/>
      <w:r w:rsidRPr="0043349B">
        <w:rPr>
          <w:rFonts w:ascii="Palatino Linotype" w:eastAsia="Times New Roman" w:hAnsi="Palatino Linotype" w:cs="Times New Roman"/>
          <w:i/>
          <w:sz w:val="22"/>
          <w:szCs w:val="22"/>
          <w:lang w:val="es-MX" w:eastAsia="es-MX"/>
        </w:rPr>
        <w:t>mi</w:t>
      </w:r>
      <w:proofErr w:type="spellEnd"/>
      <w:r w:rsidRPr="0043349B">
        <w:rPr>
          <w:rFonts w:ascii="Palatino Linotype" w:eastAsia="Times New Roman" w:hAnsi="Palatino Linotype" w:cs="Times New Roman"/>
          <w:i/>
          <w:sz w:val="22"/>
          <w:szCs w:val="22"/>
          <w:lang w:val="es-MX" w:eastAsia="es-MX"/>
        </w:rPr>
        <w:t xml:space="preserve">, mediante una factura falsa. El coche le fue robado a la persona que compró el coche y denunció el robo el 7 de agosto de 2019, en Ecatepec. La información que </w:t>
      </w:r>
      <w:r w:rsidRPr="0043349B">
        <w:rPr>
          <w:rFonts w:ascii="Palatino Linotype" w:eastAsia="Times New Roman" w:hAnsi="Palatino Linotype" w:cs="Times New Roman"/>
          <w:i/>
          <w:sz w:val="22"/>
          <w:szCs w:val="22"/>
          <w:lang w:val="es-MX" w:eastAsia="es-MX"/>
        </w:rPr>
        <w:lastRenderedPageBreak/>
        <w:t xml:space="preserve">solicitó es el folio de averiguación previa o número de expediente con que </w:t>
      </w:r>
      <w:proofErr w:type="spellStart"/>
      <w:r w:rsidRPr="0043349B">
        <w:rPr>
          <w:rFonts w:ascii="Palatino Linotype" w:eastAsia="Times New Roman" w:hAnsi="Palatino Linotype" w:cs="Times New Roman"/>
          <w:i/>
          <w:sz w:val="22"/>
          <w:szCs w:val="22"/>
          <w:lang w:val="es-MX" w:eastAsia="es-MX"/>
        </w:rPr>
        <w:t>esta</w:t>
      </w:r>
      <w:proofErr w:type="spellEnd"/>
      <w:r w:rsidRPr="0043349B">
        <w:rPr>
          <w:rFonts w:ascii="Palatino Linotype" w:eastAsia="Times New Roman" w:hAnsi="Palatino Linotype" w:cs="Times New Roman"/>
          <w:i/>
          <w:sz w:val="22"/>
          <w:szCs w:val="22"/>
          <w:lang w:val="es-MX" w:eastAsia="es-MX"/>
        </w:rPr>
        <w:t xml:space="preserve"> controlada la denuncia de robo levantada respecto de mi </w:t>
      </w:r>
      <w:proofErr w:type="spellStart"/>
      <w:r w:rsidRPr="0043349B">
        <w:rPr>
          <w:rFonts w:ascii="Palatino Linotype" w:eastAsia="Times New Roman" w:hAnsi="Palatino Linotype" w:cs="Times New Roman"/>
          <w:i/>
          <w:sz w:val="22"/>
          <w:szCs w:val="22"/>
          <w:lang w:val="es-MX" w:eastAsia="es-MX"/>
        </w:rPr>
        <w:t>vehiculo</w:t>
      </w:r>
      <w:proofErr w:type="spellEnd"/>
      <w:r w:rsidRPr="0043349B">
        <w:rPr>
          <w:rFonts w:ascii="Palatino Linotype" w:eastAsia="Times New Roman" w:hAnsi="Palatino Linotype" w:cs="Times New Roman"/>
          <w:i/>
          <w:sz w:val="22"/>
          <w:szCs w:val="22"/>
          <w:lang w:val="es-MX" w:eastAsia="es-MX"/>
        </w:rPr>
        <w:t>, ya que eso acelerará la tramitación de mi denuncia.” (</w:t>
      </w:r>
      <w:proofErr w:type="gramStart"/>
      <w:r w:rsidRPr="0043349B">
        <w:rPr>
          <w:rFonts w:ascii="Palatino Linotype" w:eastAsia="Times New Roman" w:hAnsi="Palatino Linotype" w:cs="Times New Roman"/>
          <w:i/>
          <w:sz w:val="22"/>
          <w:szCs w:val="22"/>
          <w:lang w:val="es-MX" w:eastAsia="es-MX"/>
        </w:rPr>
        <w:t>sic</w:t>
      </w:r>
      <w:proofErr w:type="gramEnd"/>
      <w:r w:rsidRPr="0043349B">
        <w:rPr>
          <w:rFonts w:ascii="Palatino Linotype" w:eastAsia="Times New Roman" w:hAnsi="Palatino Linotype" w:cs="Times New Roman"/>
          <w:i/>
          <w:sz w:val="22"/>
          <w:szCs w:val="22"/>
          <w:lang w:val="es-MX" w:eastAsia="es-MX"/>
        </w:rPr>
        <w:t xml:space="preserve">) Al respecto, esta Fiscalía General de Justicia del Estado de México, con fundamento en los artículos 1, 4 y 163 de la Ley de Transparencia y Acceso a la Información Pública del Estado de México y Municipios, hace de su conocimiento que después de analizar la solicitud de información que refiere, y con el objeto de verificar los datos proporcionados, y estar en posibilidades de orientarlo respecto de los medios legales y procedentes a su requerimiento; este sujeto obligado, procedió a girar el oficio correspondiente al Servidor Público Habilitado, siendo éste el Fiscal Especializado en la Investigación del Delito de Robo de Vehículo del Valle de México Zona Nororiente, quien señaló que dentro de las partes que integran la carpeta de investigación relacionada con el vehículo marca </w:t>
      </w:r>
      <w:r w:rsidR="00A975B4" w:rsidRPr="00A975B4">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Tipo </w:t>
      </w:r>
      <w:r w:rsidR="00050305" w:rsidRPr="00050305">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Número de </w:t>
      </w:r>
      <w:r w:rsidR="00050305" w:rsidRPr="00050305">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y número de motor </w:t>
      </w:r>
      <w:r w:rsidR="00050305" w:rsidRPr="00050305">
        <w:rPr>
          <w:rFonts w:ascii="Palatino Linotype" w:eastAsia="Times New Roman" w:hAnsi="Palatino Linotype" w:cs="Times New Roman"/>
          <w:i/>
          <w:sz w:val="22"/>
          <w:szCs w:val="22"/>
          <w:highlight w:val="black"/>
          <w:lang w:val="es-MX" w:eastAsia="es-MX"/>
        </w:rPr>
        <w:t>---------------------</w:t>
      </w:r>
      <w:r w:rsidRPr="0043349B">
        <w:rPr>
          <w:rFonts w:ascii="Palatino Linotype" w:eastAsia="Times New Roman" w:hAnsi="Palatino Linotype" w:cs="Times New Roman"/>
          <w:i/>
          <w:sz w:val="22"/>
          <w:szCs w:val="22"/>
          <w:lang w:val="es-MX" w:eastAsia="es-MX"/>
        </w:rPr>
        <w:t xml:space="preserve">, que refirió; Usted no es parte de la misma por lo que existe imposibilidad para informarle el número de carpeta de investigación, al actualizarse los supuestos previstos en los artículos 15 y 106 del Código Nacional de Procedimientos Penales, que a la letra establecen lo siguiente: “Artículo 15. Derecho a la intimidad y a la privacidad.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 Artículo 106. Reserva sobre la identidad En ningún caso se podrá hacer referencia o comunicar a terceros no legitimados la información confidencial relativa a los datos personales de los sujetos del procedimiento penal o de cualquier persona relacionada o mencionada en éste. Toda violación al deber de reserva por parte de los servidores públicos, será sancionada por la legislación aplicable. En los casos de personas sustraídas de la acción de la justicia, se admitirá la publicación de los datos que permitan </w:t>
      </w:r>
      <w:r w:rsidRPr="0043349B">
        <w:rPr>
          <w:rFonts w:ascii="Palatino Linotype" w:eastAsia="Times New Roman" w:hAnsi="Palatino Linotype" w:cs="Times New Roman"/>
          <w:i/>
          <w:sz w:val="22"/>
          <w:szCs w:val="22"/>
          <w:lang w:val="es-MX" w:eastAsia="es-MX"/>
        </w:rPr>
        <w:lastRenderedPageBreak/>
        <w:t xml:space="preserve">la identificación del imputado para ejecutar la orden judicial de aprehensión o de comparecencia. ...” Por lo que, del contenido de los preceptos antes transcritos, se advierte que en ningún caso se podrá hacer referencia o comunicar a terceros, no legitimados, la información confidencial relativa a una investigación y sujetos del procedimiento penal al ser estrictamente reservados. Por lo que se le invita a que acuda a la Agencia del Ministerio Público donde realizó su denuncia y ejerza su derecho procesal penal de defensa y debido proceso, que se encuentran estipulados en los artículos 20 constitucional, 17, 50 y 218 del Código Nacional de Procedimientos Penales, para que en coordinación con la Fiscalía Especializada en la Investigación del Delito de Robo de Vehículo del Valle de México Zona Nororiente, ubicada en Avenida Central s/n, casi esquina con Primero de Mayo, Colonia </w:t>
      </w:r>
      <w:proofErr w:type="spellStart"/>
      <w:r w:rsidRPr="0043349B">
        <w:rPr>
          <w:rFonts w:ascii="Palatino Linotype" w:eastAsia="Times New Roman" w:hAnsi="Palatino Linotype" w:cs="Times New Roman"/>
          <w:i/>
          <w:sz w:val="22"/>
          <w:szCs w:val="22"/>
          <w:lang w:val="es-MX" w:eastAsia="es-MX"/>
        </w:rPr>
        <w:t>Jajalpa</w:t>
      </w:r>
      <w:proofErr w:type="spellEnd"/>
      <w:r w:rsidRPr="0043349B">
        <w:rPr>
          <w:rFonts w:ascii="Palatino Linotype" w:eastAsia="Times New Roman" w:hAnsi="Palatino Linotype" w:cs="Times New Roman"/>
          <w:i/>
          <w:sz w:val="22"/>
          <w:szCs w:val="22"/>
          <w:lang w:val="es-MX" w:eastAsia="es-MX"/>
        </w:rPr>
        <w:t>, Municipio de Ecatepec de Morelos, Estado de México, C.P. 55070, se esclarezcan los hechos denunciados, en virtud, de que el Sistema de Acceso a la Información Mexiquense (SAIMEX) y el Sistema de Acceso Rectificación, Cancelación y Oposición de Datos Personales del Estado de México (SARCOEM), no son la vía para tener acceso a indagatorias, y sólo puede ser ejercido ante el Agente del Ministerio Público correspondiente, previa acreditación de personalidad jurídica que se haga constar en autos. Sin otro particular, le reitero la seguridad de mi distinguida consideración. A T E N T A M E N T E YAMILIT LEYVA GUTIÉRREZ TITULAR DE LA UNIDAD DE TRANSPARENCIA YLG/MEJJ</w:t>
      </w:r>
      <w:r w:rsidRPr="0043349B">
        <w:rPr>
          <w:rFonts w:ascii="Palatino Linotype" w:eastAsia="Calibri" w:hAnsi="Palatino Linotype" w:cs="Arial"/>
          <w:lang w:val="es-AR"/>
        </w:rPr>
        <w:t>” (Sic)</w:t>
      </w:r>
    </w:p>
    <w:p w14:paraId="6A6025EE" w14:textId="77777777" w:rsidR="004C3391" w:rsidRPr="0043349B" w:rsidRDefault="004C3391" w:rsidP="004C3391">
      <w:pPr>
        <w:pStyle w:val="Prrafodelista"/>
        <w:tabs>
          <w:tab w:val="left" w:pos="426"/>
          <w:tab w:val="left" w:pos="567"/>
        </w:tabs>
        <w:spacing w:line="360" w:lineRule="auto"/>
        <w:ind w:left="0"/>
        <w:jc w:val="both"/>
        <w:rPr>
          <w:rFonts w:ascii="Palatino Linotype" w:hAnsi="Palatino Linotype" w:cs="Arial"/>
          <w:color w:val="000000" w:themeColor="text1"/>
        </w:rPr>
      </w:pPr>
    </w:p>
    <w:p w14:paraId="059C12FA" w14:textId="77777777" w:rsidR="004C3391" w:rsidRPr="0043349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3349B">
        <w:rPr>
          <w:rFonts w:ascii="Palatino Linotype" w:eastAsia="Times New Roman" w:hAnsi="Palatino Linotype" w:cs="Arial"/>
          <w:lang w:val="es-ES"/>
        </w:rPr>
        <w:t xml:space="preserve">El día </w:t>
      </w:r>
      <w:r w:rsidRPr="0043349B">
        <w:rPr>
          <w:rFonts w:ascii="Palatino Linotype" w:eastAsia="Calibri" w:hAnsi="Palatino Linotype" w:cs="Arial"/>
          <w:lang w:val="es-AR"/>
        </w:rPr>
        <w:t>cinco (05</w:t>
      </w:r>
      <w:r w:rsidRPr="0043349B">
        <w:rPr>
          <w:rFonts w:ascii="Palatino Linotype" w:hAnsi="Palatino Linotype"/>
          <w:i/>
        </w:rPr>
        <w:t xml:space="preserve">) </w:t>
      </w:r>
      <w:r w:rsidRPr="0043349B">
        <w:rPr>
          <w:rFonts w:ascii="Palatino Linotype" w:hAnsi="Palatino Linotype"/>
        </w:rPr>
        <w:t>de febrero de dos mil veinte</w:t>
      </w:r>
      <w:r w:rsidRPr="0043349B">
        <w:rPr>
          <w:rFonts w:ascii="Palatino Linotype" w:eastAsia="Times New Roman" w:hAnsi="Palatino Linotype" w:cs="Arial"/>
          <w:lang w:val="es-ES"/>
        </w:rPr>
        <w:t xml:space="preserve">, </w:t>
      </w:r>
      <w:r w:rsidRPr="0043349B">
        <w:rPr>
          <w:rFonts w:ascii="Palatino Linotype" w:hAnsi="Palatino Linotype"/>
          <w:color w:val="000000"/>
        </w:rPr>
        <w:t xml:space="preserve">se </w:t>
      </w:r>
      <w:r w:rsidRPr="0043349B">
        <w:rPr>
          <w:rFonts w:ascii="Palatino Linotype" w:eastAsia="Times New Roman" w:hAnsi="Palatino Linotype" w:cs="Arial"/>
          <w:lang w:val="es-ES"/>
        </w:rPr>
        <w:t xml:space="preserve">interpuso el recurso de revisión, en contra de la respuesta emitida por el </w:t>
      </w:r>
      <w:r w:rsidRPr="0043349B">
        <w:rPr>
          <w:rFonts w:ascii="Palatino Linotype" w:eastAsia="Times New Roman" w:hAnsi="Palatino Linotype" w:cs="Arial"/>
          <w:b/>
          <w:lang w:val="es-ES"/>
        </w:rPr>
        <w:t>SUJETO OBLIGADO</w:t>
      </w:r>
      <w:r w:rsidRPr="0043349B">
        <w:rPr>
          <w:rFonts w:ascii="Palatino Linotype" w:eastAsia="Times New Roman" w:hAnsi="Palatino Linotype" w:cs="Arial"/>
          <w:lang w:val="es-ES"/>
        </w:rPr>
        <w:t>, señalando como:</w:t>
      </w:r>
    </w:p>
    <w:p w14:paraId="4F90A96E" w14:textId="77777777" w:rsidR="004C3391" w:rsidRPr="0043349B" w:rsidRDefault="004C3391" w:rsidP="004C3391">
      <w:pPr>
        <w:pStyle w:val="Prrafodelista"/>
        <w:tabs>
          <w:tab w:val="left" w:pos="567"/>
        </w:tabs>
        <w:spacing w:line="360" w:lineRule="auto"/>
        <w:ind w:left="0"/>
        <w:jc w:val="both"/>
        <w:rPr>
          <w:rFonts w:ascii="Palatino Linotype" w:hAnsi="Palatino Linotype"/>
        </w:rPr>
      </w:pPr>
    </w:p>
    <w:p w14:paraId="7BC0CC08" w14:textId="77777777" w:rsidR="004C3391" w:rsidRPr="0043349B" w:rsidRDefault="004C3391" w:rsidP="004C3391">
      <w:pPr>
        <w:tabs>
          <w:tab w:val="left" w:pos="5454"/>
        </w:tabs>
        <w:spacing w:line="360" w:lineRule="auto"/>
        <w:ind w:left="567" w:right="567"/>
        <w:jc w:val="both"/>
        <w:rPr>
          <w:rStyle w:val="Ttulo2Car"/>
          <w:color w:val="auto"/>
          <w:sz w:val="22"/>
          <w:szCs w:val="22"/>
          <w:lang w:val="es-ES"/>
        </w:rPr>
      </w:pPr>
      <w:bookmarkStart w:id="6" w:name="_Toc48151951"/>
      <w:r w:rsidRPr="0043349B">
        <w:rPr>
          <w:rStyle w:val="Ttulo2Car"/>
          <w:color w:val="auto"/>
          <w:sz w:val="22"/>
          <w:szCs w:val="22"/>
          <w:lang w:val="es-ES"/>
        </w:rPr>
        <w:t>a) Acto impugnado:</w:t>
      </w:r>
      <w:bookmarkEnd w:id="6"/>
      <w:r w:rsidRPr="0043349B">
        <w:rPr>
          <w:rStyle w:val="Ttulo2Car"/>
          <w:color w:val="auto"/>
          <w:sz w:val="22"/>
          <w:szCs w:val="22"/>
          <w:lang w:val="es-ES"/>
        </w:rPr>
        <w:t xml:space="preserve"> </w:t>
      </w:r>
    </w:p>
    <w:p w14:paraId="2E603E67" w14:textId="77777777" w:rsidR="004C3391" w:rsidRPr="0043349B" w:rsidRDefault="004C3391" w:rsidP="004C3391">
      <w:pPr>
        <w:tabs>
          <w:tab w:val="left" w:pos="5454"/>
        </w:tabs>
        <w:spacing w:line="360" w:lineRule="auto"/>
        <w:ind w:left="567" w:right="567"/>
        <w:jc w:val="both"/>
        <w:rPr>
          <w:rFonts w:ascii="Palatino Linotype" w:hAnsi="Palatino Linotype"/>
          <w:i/>
          <w:color w:val="000000"/>
          <w:sz w:val="22"/>
          <w:szCs w:val="22"/>
        </w:rPr>
      </w:pPr>
      <w:r w:rsidRPr="0043349B">
        <w:rPr>
          <w:rFonts w:ascii="Palatino Linotype" w:hAnsi="Palatino Linotype"/>
          <w:i/>
          <w:sz w:val="22"/>
          <w:szCs w:val="22"/>
        </w:rPr>
        <w:lastRenderedPageBreak/>
        <w:t>“</w:t>
      </w:r>
      <w:r w:rsidRPr="0043349B">
        <w:rPr>
          <w:rFonts w:ascii="Palatino Linotype" w:hAnsi="Palatino Linotype"/>
          <w:i/>
          <w:color w:val="000000"/>
          <w:sz w:val="22"/>
          <w:szCs w:val="22"/>
        </w:rPr>
        <w:t>Respuesta de 5 de febrero de 2020, a la solicitud con número de folio 00047/FGJ/IP/2020.</w:t>
      </w:r>
      <w:r w:rsidRPr="0043349B">
        <w:rPr>
          <w:rFonts w:ascii="Palatino Linotype" w:eastAsia="Times New Roman" w:hAnsi="Palatino Linotype" w:cs="Times New Roman"/>
          <w:i/>
          <w:sz w:val="22"/>
          <w:szCs w:val="22"/>
          <w:lang w:val="es-MX" w:eastAsia="es-MX"/>
        </w:rPr>
        <w:t>"</w:t>
      </w:r>
      <w:r w:rsidRPr="0043349B">
        <w:rPr>
          <w:rFonts w:ascii="Palatino Linotype" w:eastAsia="Calibri" w:hAnsi="Palatino Linotype" w:cs="Arial"/>
          <w:i/>
          <w:sz w:val="22"/>
          <w:szCs w:val="22"/>
          <w:lang w:val="es-ES"/>
        </w:rPr>
        <w:t xml:space="preserve"> (Sic)</w:t>
      </w:r>
    </w:p>
    <w:p w14:paraId="3D46B3AF" w14:textId="77777777" w:rsidR="004C3391" w:rsidRPr="0043349B" w:rsidRDefault="004C3391" w:rsidP="004C3391">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43349B" w:rsidRDefault="004C3391" w:rsidP="004C3391">
      <w:pPr>
        <w:spacing w:line="360" w:lineRule="auto"/>
        <w:ind w:left="567" w:right="567"/>
        <w:jc w:val="both"/>
        <w:rPr>
          <w:rFonts w:ascii="Palatino Linotype" w:hAnsi="Palatino Linotype"/>
          <w:i/>
          <w:sz w:val="22"/>
          <w:szCs w:val="22"/>
        </w:rPr>
      </w:pPr>
      <w:bookmarkStart w:id="7" w:name="_Toc48151952"/>
      <w:r w:rsidRPr="0043349B">
        <w:rPr>
          <w:rStyle w:val="Ttulo2Car"/>
          <w:color w:val="auto"/>
          <w:sz w:val="22"/>
          <w:szCs w:val="22"/>
          <w:lang w:val="es-ES"/>
        </w:rPr>
        <w:t>b) Razones o Motivos de inconformidad:</w:t>
      </w:r>
      <w:bookmarkEnd w:id="7"/>
      <w:r w:rsidRPr="0043349B">
        <w:rPr>
          <w:rFonts w:ascii="Palatino Linotype" w:hAnsi="Palatino Linotype"/>
          <w:i/>
          <w:sz w:val="22"/>
          <w:szCs w:val="22"/>
        </w:rPr>
        <w:t xml:space="preserve"> </w:t>
      </w:r>
    </w:p>
    <w:p w14:paraId="2076C9EF" w14:textId="77777777" w:rsidR="004C3391" w:rsidRPr="0043349B" w:rsidRDefault="004C3391" w:rsidP="004C3391">
      <w:pPr>
        <w:spacing w:line="360" w:lineRule="auto"/>
        <w:ind w:left="567" w:right="567"/>
        <w:jc w:val="both"/>
        <w:rPr>
          <w:rFonts w:ascii="Palatino Linotype" w:hAnsi="Palatino Linotype"/>
          <w:i/>
          <w:color w:val="000000"/>
          <w:sz w:val="22"/>
          <w:szCs w:val="22"/>
        </w:rPr>
      </w:pPr>
      <w:r w:rsidRPr="0043349B">
        <w:rPr>
          <w:rFonts w:ascii="Palatino Linotype" w:hAnsi="Palatino Linotype"/>
          <w:i/>
          <w:sz w:val="22"/>
          <w:szCs w:val="22"/>
        </w:rPr>
        <w:t>“</w:t>
      </w:r>
      <w:r w:rsidRPr="0043349B">
        <w:rPr>
          <w:rFonts w:ascii="Palatino Linotype" w:hAnsi="Palatino Linotype"/>
          <w:i/>
          <w:color w:val="000000"/>
          <w:sz w:val="22"/>
          <w:szCs w:val="22"/>
        </w:rPr>
        <w:t xml:space="preserve">La respuesta se fundamenta en los artículos 15 y 106 del Código Nacional de Procedimientos Penales, que estipulan que bajo ningún caso se proporcionarán los datos personales de los sujetos dentro de un procedimiento penal; sin embargo, se omite analizar el hecho de que la información que solicite en la solicitud de información 00047/FGJ/IP/2020, era la concerniente al folio de averiguación previa o número de expediente con que </w:t>
      </w:r>
      <w:proofErr w:type="spellStart"/>
      <w:r w:rsidRPr="0043349B">
        <w:rPr>
          <w:rFonts w:ascii="Palatino Linotype" w:hAnsi="Palatino Linotype"/>
          <w:i/>
          <w:color w:val="000000"/>
          <w:sz w:val="22"/>
          <w:szCs w:val="22"/>
        </w:rPr>
        <w:t>esta</w:t>
      </w:r>
      <w:proofErr w:type="spellEnd"/>
      <w:r w:rsidRPr="0043349B">
        <w:rPr>
          <w:rFonts w:ascii="Palatino Linotype" w:hAnsi="Palatino Linotype"/>
          <w:i/>
          <w:color w:val="000000"/>
          <w:sz w:val="22"/>
          <w:szCs w:val="22"/>
        </w:rPr>
        <w:t xml:space="preserve"> controlada la denuncia de robo levantada respecto de mi </w:t>
      </w:r>
      <w:proofErr w:type="spellStart"/>
      <w:r w:rsidRPr="0043349B">
        <w:rPr>
          <w:rFonts w:ascii="Palatino Linotype" w:hAnsi="Palatino Linotype"/>
          <w:i/>
          <w:color w:val="000000"/>
          <w:sz w:val="22"/>
          <w:szCs w:val="22"/>
        </w:rPr>
        <w:t>vehiculo</w:t>
      </w:r>
      <w:proofErr w:type="spellEnd"/>
      <w:r w:rsidRPr="0043349B">
        <w:rPr>
          <w:rFonts w:ascii="Palatino Linotype" w:hAnsi="Palatino Linotype"/>
          <w:i/>
          <w:color w:val="000000"/>
          <w:sz w:val="22"/>
          <w:szCs w:val="22"/>
        </w:rPr>
        <w:t>. Lo anterior evidencia la falta de estudio de mi solicitud y sobre todo la carencia de fundamentación para negar la entrega de dicha información, ya que no se trata de información confidencial ni personal, al corresponder únicamente al número de averiguación previa o de expediente.” (Sic)</w:t>
      </w:r>
    </w:p>
    <w:p w14:paraId="082D8D46" w14:textId="77777777" w:rsidR="004C3391" w:rsidRPr="0043349B" w:rsidRDefault="004C3391" w:rsidP="004C3391">
      <w:pPr>
        <w:spacing w:line="360" w:lineRule="auto"/>
        <w:ind w:right="567"/>
        <w:jc w:val="both"/>
        <w:rPr>
          <w:rFonts w:ascii="Palatino Linotype" w:eastAsia="Times New Roman" w:hAnsi="Palatino Linotype" w:cs="Times New Roman"/>
          <w:lang w:val="es-MX" w:eastAsia="es-MX"/>
        </w:rPr>
      </w:pPr>
    </w:p>
    <w:p w14:paraId="569179CA" w14:textId="77777777" w:rsidR="004C3391" w:rsidRPr="0043349B" w:rsidRDefault="004C3391" w:rsidP="004C33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43349B">
        <w:rPr>
          <w:rFonts w:ascii="Palatino Linotype" w:eastAsia="Times New Roman" w:hAnsi="Palatino Linotype" w:cs="Arial"/>
          <w:lang w:val="es-ES"/>
        </w:rPr>
        <w:t xml:space="preserve">Se registró el recurso de revisión bajo el número de expediente </w:t>
      </w:r>
      <w:r w:rsidRPr="0043349B">
        <w:rPr>
          <w:rFonts w:ascii="Palatino Linotype" w:hAnsi="Palatino Linotype" w:cs="Arial"/>
          <w:bCs/>
        </w:rPr>
        <w:t xml:space="preserve">al rubro indicado, así mismo con fundamento en lo dispuesto por el </w:t>
      </w:r>
      <w:r w:rsidRPr="0043349B">
        <w:rPr>
          <w:rFonts w:ascii="Palatino Linotype" w:eastAsia="Calibri" w:hAnsi="Palatino Linotype" w:cs="Arial"/>
          <w:lang w:val="es-ES"/>
        </w:rPr>
        <w:t xml:space="preserve">artículo 185 fracción I de la </w:t>
      </w:r>
      <w:r w:rsidRPr="0043349B">
        <w:rPr>
          <w:rFonts w:ascii="Palatino Linotype" w:eastAsia="Calibri" w:hAnsi="Palatino Linotype" w:cs="Arial"/>
          <w:b/>
          <w:lang w:val="es-ES"/>
        </w:rPr>
        <w:t xml:space="preserve">Ley de Transparencia y Acceso a la Información Pública del Estado de México y Municipios </w:t>
      </w:r>
      <w:r w:rsidRPr="0043349B">
        <w:rPr>
          <w:rFonts w:ascii="Palatino Linotype" w:eastAsia="Times New Roman" w:hAnsi="Palatino Linotype" w:cs="Arial"/>
          <w:lang w:val="es-ES"/>
        </w:rPr>
        <w:t xml:space="preserve">se turnó al </w:t>
      </w:r>
      <w:r w:rsidRPr="0043349B">
        <w:rPr>
          <w:rFonts w:ascii="Palatino Linotype" w:eastAsia="Times New Roman" w:hAnsi="Palatino Linotype" w:cs="Arial"/>
          <w:b/>
          <w:lang w:val="es-ES"/>
        </w:rPr>
        <w:t xml:space="preserve">Comisionado José Guadalupe Luna Hernández, </w:t>
      </w:r>
      <w:r w:rsidRPr="0043349B">
        <w:rPr>
          <w:rFonts w:ascii="Palatino Linotype" w:eastAsia="Times New Roman" w:hAnsi="Palatino Linotype" w:cs="Arial"/>
          <w:lang w:val="es-ES"/>
        </w:rPr>
        <w:t xml:space="preserve">con el objeto de </w:t>
      </w:r>
      <w:r w:rsidRPr="0043349B">
        <w:rPr>
          <w:rFonts w:ascii="Palatino Linotype" w:eastAsia="Times New Roman" w:hAnsi="Palatino Linotype" w:cs="Arial"/>
          <w:lang w:val="es-MX"/>
        </w:rPr>
        <w:t>su análisis.</w:t>
      </w:r>
    </w:p>
    <w:p w14:paraId="25FA1F8A" w14:textId="77777777" w:rsidR="004C3391" w:rsidRPr="0043349B" w:rsidRDefault="004C3391" w:rsidP="004C3391">
      <w:pPr>
        <w:spacing w:line="360" w:lineRule="auto"/>
        <w:ind w:right="567"/>
        <w:jc w:val="both"/>
        <w:rPr>
          <w:rFonts w:ascii="Palatino Linotype" w:eastAsia="Times New Roman" w:hAnsi="Palatino Linotype" w:cs="Times New Roman"/>
          <w:sz w:val="22"/>
          <w:szCs w:val="22"/>
          <w:lang w:val="es-MX" w:eastAsia="es-MX"/>
        </w:rPr>
      </w:pPr>
    </w:p>
    <w:p w14:paraId="0798ACDB" w14:textId="77777777" w:rsidR="004C3391" w:rsidRPr="0043349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43349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once (11) </w:t>
      </w:r>
      <w:r w:rsidRPr="0043349B">
        <w:rPr>
          <w:rFonts w:ascii="Palatino Linotype" w:eastAsia="Times New Roman" w:hAnsi="Palatino Linotype" w:cs="Arial"/>
          <w:lang w:val="es-ES"/>
        </w:rPr>
        <w:t>de febrero de dos mil veinte</w:t>
      </w:r>
      <w:r w:rsidRPr="0043349B">
        <w:rPr>
          <w:rFonts w:ascii="Palatino Linotype" w:eastAsia="Calibri" w:hAnsi="Palatino Linotype" w:cs="Arial"/>
          <w:lang w:val="es-ES"/>
        </w:rPr>
        <w:t xml:space="preserve">, puso a disposición de las partes el expediente </w:t>
      </w:r>
      <w:r w:rsidRPr="0043349B">
        <w:rPr>
          <w:rFonts w:ascii="Palatino Linotype" w:eastAsia="Calibri" w:hAnsi="Palatino Linotype" w:cs="Arial"/>
          <w:lang w:val="es-ES"/>
        </w:rPr>
        <w:lastRenderedPageBreak/>
        <w:t xml:space="preserve">electrónico </w:t>
      </w:r>
      <w:r w:rsidRPr="0043349B">
        <w:rPr>
          <w:rFonts w:ascii="Palatino Linotype" w:eastAsia="Calibri" w:hAnsi="Palatino Linotype" w:cs="Arial"/>
        </w:rPr>
        <w:t xml:space="preserve">vía </w:t>
      </w:r>
      <w:r w:rsidRPr="0043349B">
        <w:rPr>
          <w:rFonts w:ascii="Palatino Linotype" w:eastAsia="Calibri" w:hAnsi="Palatino Linotype" w:cs="Arial"/>
          <w:lang w:val="es-ES"/>
        </w:rPr>
        <w:t xml:space="preserve">Sistema de Acceso a la Información Mexiquense </w:t>
      </w:r>
      <w:r w:rsidRPr="0043349B">
        <w:rPr>
          <w:rFonts w:ascii="Palatino Linotype" w:eastAsia="Calibri" w:hAnsi="Palatino Linotype" w:cs="Arial"/>
          <w:b/>
          <w:lang w:val="es-ES"/>
        </w:rPr>
        <w:t xml:space="preserve">(SAIMEX) </w:t>
      </w:r>
      <w:r w:rsidRPr="0043349B">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072BF81F" w14:textId="77777777" w:rsidR="004C3391" w:rsidRPr="0043349B" w:rsidRDefault="004C3391" w:rsidP="004C3391">
      <w:pPr>
        <w:spacing w:line="360" w:lineRule="auto"/>
        <w:ind w:right="567"/>
        <w:jc w:val="both"/>
        <w:rPr>
          <w:rFonts w:ascii="Palatino Linotype" w:eastAsia="Times New Roman" w:hAnsi="Palatino Linotype" w:cs="Times New Roman"/>
          <w:sz w:val="22"/>
          <w:szCs w:val="22"/>
          <w:lang w:val="es-MX" w:eastAsia="es-MX"/>
        </w:rPr>
      </w:pPr>
    </w:p>
    <w:p w14:paraId="3CDA7755" w14:textId="030A7058" w:rsidR="004C3391" w:rsidRPr="0043349B" w:rsidRDefault="004C3391" w:rsidP="004C3391">
      <w:pPr>
        <w:pStyle w:val="Prrafodelista"/>
        <w:numPr>
          <w:ilvl w:val="0"/>
          <w:numId w:val="1"/>
        </w:numPr>
        <w:tabs>
          <w:tab w:val="left" w:pos="426"/>
          <w:tab w:val="left" w:pos="567"/>
        </w:tabs>
        <w:spacing w:after="240" w:line="360" w:lineRule="auto"/>
        <w:ind w:left="0" w:firstLine="0"/>
        <w:jc w:val="both"/>
        <w:rPr>
          <w:rStyle w:val="Hipervnculo"/>
          <w:rFonts w:ascii="Palatino Linotype" w:hAnsi="Palatino Linotype" w:cs="Arial"/>
          <w:b/>
          <w:bCs/>
          <w:i/>
          <w:color w:val="000000" w:themeColor="text1"/>
          <w:u w:val="none"/>
        </w:rPr>
      </w:pPr>
      <w:r w:rsidRPr="0043349B">
        <w:rPr>
          <w:rFonts w:ascii="Palatino Linotype" w:eastAsia="Calibri" w:hAnsi="Palatino Linotype" w:cs="Arial"/>
          <w:lang w:val="es-ES"/>
        </w:rPr>
        <w:t xml:space="preserve">El día diecinueve (19) </w:t>
      </w:r>
      <w:r w:rsidRPr="0043349B">
        <w:rPr>
          <w:rFonts w:ascii="Palatino Linotype" w:eastAsia="Times New Roman" w:hAnsi="Palatino Linotype" w:cs="Arial"/>
          <w:lang w:val="es-ES"/>
        </w:rPr>
        <w:t>de febrero de dos mil veinte</w:t>
      </w:r>
      <w:r w:rsidRPr="0043349B">
        <w:rPr>
          <w:rFonts w:ascii="Palatino Linotype" w:eastAsia="Calibri" w:hAnsi="Palatino Linotype" w:cs="Arial"/>
          <w:lang w:val="es-ES"/>
        </w:rPr>
        <w:t xml:space="preserve">, el </w:t>
      </w:r>
      <w:r w:rsidRPr="0043349B">
        <w:rPr>
          <w:rFonts w:ascii="Palatino Linotype" w:eastAsia="Calibri" w:hAnsi="Palatino Linotype" w:cs="Arial"/>
          <w:b/>
          <w:lang w:val="es-ES"/>
        </w:rPr>
        <w:t xml:space="preserve">SUJETO OBLIGADO </w:t>
      </w:r>
      <w:r w:rsidRPr="0043349B">
        <w:rPr>
          <w:rFonts w:ascii="Palatino Linotype" w:eastAsia="Calibri" w:hAnsi="Palatino Linotype" w:cs="Arial"/>
          <w:lang w:val="es-ES"/>
        </w:rPr>
        <w:t>rindió un informe</w:t>
      </w:r>
      <w:r w:rsidRPr="0043349B">
        <w:rPr>
          <w:rFonts w:ascii="Palatino Linotype" w:eastAsia="Calibri" w:hAnsi="Palatino Linotype" w:cs="Arial"/>
          <w:b/>
          <w:lang w:val="es-ES"/>
        </w:rPr>
        <w:t xml:space="preserve"> </w:t>
      </w:r>
      <w:r w:rsidRPr="0043349B">
        <w:rPr>
          <w:rFonts w:ascii="Palatino Linotype" w:eastAsia="Calibri" w:hAnsi="Palatino Linotype" w:cs="Arial"/>
          <w:lang w:val="es-ES"/>
        </w:rPr>
        <w:t>justificado mediante los archivos electrónicos “</w:t>
      </w:r>
      <w:hyperlink r:id="rId8" w:history="1">
        <w:r w:rsidRPr="0043349B">
          <w:rPr>
            <w:rStyle w:val="Hipervnculo"/>
            <w:rFonts w:ascii="Palatino Linotype" w:hAnsi="Palatino Linotype" w:cs="Arial"/>
            <w:b/>
            <w:bCs/>
            <w:i/>
            <w:color w:val="000000" w:themeColor="text1"/>
            <w:u w:val="none"/>
          </w:rPr>
          <w:t xml:space="preserve">OF. DE REMISIÓN. RR00888-2020 </w:t>
        </w:r>
        <w:r w:rsidR="00050305" w:rsidRPr="00050305">
          <w:rPr>
            <w:rStyle w:val="Hipervnculo"/>
            <w:rFonts w:ascii="Palatino Linotype" w:hAnsi="Palatino Linotype" w:cs="Arial"/>
            <w:b/>
            <w:bCs/>
            <w:i/>
            <w:color w:val="000000" w:themeColor="text1"/>
            <w:highlight w:val="black"/>
            <w:u w:val="none"/>
          </w:rPr>
          <w:t>-------------------------</w:t>
        </w:r>
        <w:r w:rsidRPr="0043349B">
          <w:rPr>
            <w:rStyle w:val="Hipervnculo"/>
            <w:rFonts w:ascii="Palatino Linotype" w:hAnsi="Palatino Linotype" w:cs="Arial"/>
            <w:b/>
            <w:bCs/>
            <w:i/>
            <w:color w:val="000000" w:themeColor="text1"/>
            <w:u w:val="none"/>
          </w:rPr>
          <w:t>.</w:t>
        </w:r>
        <w:proofErr w:type="spellStart"/>
        <w:r w:rsidRPr="0043349B">
          <w:rPr>
            <w:rStyle w:val="Hipervnculo"/>
            <w:rFonts w:ascii="Palatino Linotype" w:hAnsi="Palatino Linotype" w:cs="Arial"/>
            <w:b/>
            <w:bCs/>
            <w:i/>
            <w:color w:val="000000" w:themeColor="text1"/>
            <w:u w:val="none"/>
          </w:rPr>
          <w:t>pdf</w:t>
        </w:r>
        <w:proofErr w:type="spellEnd"/>
      </w:hyperlink>
      <w:r w:rsidRPr="0043349B">
        <w:rPr>
          <w:rStyle w:val="Hipervnculo"/>
          <w:rFonts w:ascii="Palatino Linotype" w:hAnsi="Palatino Linotype"/>
          <w:bCs/>
          <w:color w:val="000000" w:themeColor="text1"/>
          <w:u w:val="none"/>
        </w:rPr>
        <w:t xml:space="preserve">” </w:t>
      </w:r>
      <w:r w:rsidRPr="0043349B">
        <w:rPr>
          <w:rFonts w:ascii="Palatino Linotype" w:hAnsi="Palatino Linotype" w:cs="Arial"/>
          <w:color w:val="000000" w:themeColor="text1"/>
        </w:rPr>
        <w:t xml:space="preserve">con el </w:t>
      </w:r>
      <w:r w:rsidRPr="0043349B">
        <w:rPr>
          <w:rFonts w:ascii="Palatino Linotype" w:hAnsi="Palatino Linotype"/>
        </w:rPr>
        <w:t>oficio número 0332/MAIP/FGJ/2020</w:t>
      </w:r>
      <w:r w:rsidRPr="0043349B">
        <w:t xml:space="preserve"> </w:t>
      </w:r>
      <w:r w:rsidRPr="0043349B">
        <w:rPr>
          <w:rFonts w:ascii="Palatino Linotype" w:hAnsi="Palatino Linotype"/>
        </w:rPr>
        <w:t xml:space="preserve">mediante el cual el Titular de la Unidad de Transparencia remite a ésta Ponencia su informe Justificado </w:t>
      </w:r>
      <w:r w:rsidRPr="0043349B">
        <w:rPr>
          <w:rStyle w:val="Hipervnculo"/>
          <w:rFonts w:ascii="Palatino Linotype" w:hAnsi="Palatino Linotype"/>
          <w:bCs/>
          <w:color w:val="000000" w:themeColor="text1"/>
          <w:u w:val="none"/>
        </w:rPr>
        <w:t xml:space="preserve">y </w:t>
      </w:r>
      <w:r w:rsidRPr="0043349B">
        <w:rPr>
          <w:rStyle w:val="Hipervnculo"/>
          <w:rFonts w:ascii="Palatino Linotype" w:hAnsi="Palatino Linotype" w:cs="Arial"/>
          <w:b/>
          <w:bCs/>
          <w:i/>
          <w:color w:val="000000" w:themeColor="text1"/>
          <w:u w:val="none"/>
        </w:rPr>
        <w:t>“</w:t>
      </w:r>
      <w:hyperlink r:id="rId9" w:history="1">
        <w:r w:rsidRPr="0043349B">
          <w:rPr>
            <w:rStyle w:val="Hipervnculo"/>
            <w:rFonts w:ascii="Palatino Linotype" w:hAnsi="Palatino Linotype" w:cs="Arial"/>
            <w:b/>
            <w:bCs/>
            <w:i/>
            <w:color w:val="000000" w:themeColor="text1"/>
            <w:u w:val="none"/>
          </w:rPr>
          <w:t xml:space="preserve">INF. JUST. RR00888 </w:t>
        </w:r>
        <w:r w:rsidR="00050305" w:rsidRPr="00050305">
          <w:rPr>
            <w:rStyle w:val="Hipervnculo"/>
            <w:rFonts w:ascii="Palatino Linotype" w:hAnsi="Palatino Linotype" w:cs="Arial"/>
            <w:b/>
            <w:bCs/>
            <w:i/>
            <w:color w:val="000000" w:themeColor="text1"/>
            <w:highlight w:val="black"/>
            <w:u w:val="none"/>
          </w:rPr>
          <w:t>-------------------------------</w:t>
        </w:r>
        <w:r w:rsidRPr="0043349B">
          <w:rPr>
            <w:rStyle w:val="Hipervnculo"/>
            <w:rFonts w:ascii="Palatino Linotype" w:hAnsi="Palatino Linotype" w:cs="Arial"/>
            <w:b/>
            <w:bCs/>
            <w:i/>
            <w:color w:val="000000" w:themeColor="text1"/>
            <w:u w:val="none"/>
          </w:rPr>
          <w:t xml:space="preserve"> REL SOL. 00047</w:t>
        </w:r>
        <w:proofErr w:type="gramStart"/>
        <w:r w:rsidRPr="0043349B">
          <w:rPr>
            <w:rStyle w:val="Hipervnculo"/>
            <w:rFonts w:ascii="Palatino Linotype" w:hAnsi="Palatino Linotype" w:cs="Arial"/>
            <w:b/>
            <w:bCs/>
            <w:i/>
            <w:color w:val="000000" w:themeColor="text1"/>
            <w:u w:val="none"/>
          </w:rPr>
          <w:t>..pdf</w:t>
        </w:r>
        <w:proofErr w:type="gramEnd"/>
      </w:hyperlink>
      <w:r w:rsidRPr="0043349B">
        <w:rPr>
          <w:rStyle w:val="Hipervnculo"/>
          <w:b/>
          <w:bCs/>
          <w:color w:val="000000" w:themeColor="text1"/>
          <w:u w:val="none"/>
        </w:rPr>
        <w:t>”</w:t>
      </w:r>
      <w:r w:rsidRPr="0043349B">
        <w:rPr>
          <w:rFonts w:ascii="Palatino Linotype" w:hAnsi="Palatino Linotype" w:cs="Arial"/>
          <w:i/>
          <w:color w:val="000000" w:themeColor="text1"/>
        </w:rPr>
        <w:t xml:space="preserve"> </w:t>
      </w:r>
      <w:r w:rsidRPr="0043349B">
        <w:rPr>
          <w:rFonts w:ascii="Palatino Linotype" w:hAnsi="Palatino Linotype" w:cs="Arial"/>
          <w:color w:val="000000" w:themeColor="text1"/>
        </w:rPr>
        <w:t>constante en cuatro hojas</w:t>
      </w:r>
      <w:r w:rsidRPr="0043349B">
        <w:rPr>
          <w:rFonts w:ascii="Palatino Linotype" w:hAnsi="Palatino Linotype" w:cs="Arial"/>
          <w:i/>
          <w:color w:val="000000" w:themeColor="text1"/>
        </w:rPr>
        <w:t xml:space="preserve"> </w:t>
      </w:r>
      <w:r w:rsidRPr="0043349B">
        <w:rPr>
          <w:rStyle w:val="Hipervnculo"/>
          <w:rFonts w:ascii="Palatino Linotype" w:hAnsi="Palatino Linotype"/>
          <w:bCs/>
          <w:color w:val="000000" w:themeColor="text1"/>
          <w:u w:val="none"/>
        </w:rPr>
        <w:t>con el informe justificado rendido, sin embargo éste ratifica la respuesta inicial, motivo por el cual no fue puesto a disposición del particular.</w:t>
      </w:r>
    </w:p>
    <w:p w14:paraId="2420C8F4" w14:textId="77777777" w:rsidR="004C3391" w:rsidRPr="0043349B" w:rsidRDefault="004C3391" w:rsidP="004C3391">
      <w:pPr>
        <w:spacing w:line="360" w:lineRule="auto"/>
        <w:ind w:right="567"/>
        <w:jc w:val="both"/>
        <w:rPr>
          <w:rFonts w:ascii="Palatino Linotype" w:eastAsia="Times New Roman" w:hAnsi="Palatino Linotype" w:cs="Times New Roman"/>
          <w:lang w:val="es-MX" w:eastAsia="es-MX"/>
        </w:rPr>
      </w:pPr>
    </w:p>
    <w:p w14:paraId="18CA00A6" w14:textId="77777777" w:rsidR="004C3391" w:rsidRPr="0043349B" w:rsidRDefault="004C3391" w:rsidP="004C3391">
      <w:pPr>
        <w:pStyle w:val="Prrafodelista"/>
        <w:numPr>
          <w:ilvl w:val="0"/>
          <w:numId w:val="1"/>
        </w:numPr>
        <w:tabs>
          <w:tab w:val="left" w:pos="426"/>
          <w:tab w:val="left" w:pos="567"/>
        </w:tabs>
        <w:spacing w:after="240" w:line="360" w:lineRule="auto"/>
        <w:ind w:left="0" w:firstLine="0"/>
        <w:jc w:val="both"/>
        <w:rPr>
          <w:rFonts w:ascii="Palatino Linotype" w:hAnsi="Palatino Linotype" w:cs="Arial"/>
          <w:b/>
          <w:bCs/>
          <w:i/>
          <w:color w:val="000000" w:themeColor="text1"/>
        </w:rPr>
      </w:pPr>
      <w:r w:rsidRPr="0043349B">
        <w:rPr>
          <w:rFonts w:ascii="Palatino Linotype" w:hAnsi="Palatino Linotype"/>
        </w:rPr>
        <w:t xml:space="preserve">El veintitrés (23) de marzo, uno (01) de abril, siete (07) y veintisiete (27) de mayo, cinco (5) y veinticuatro (24) de junio del año en curso se publicaron en el Periódico Oficial “Gaceta del Gobierno” del Estado de México los Acuerdos del Pleno del Instituto derivados de las disposiciones de la autoridad sanitaria Federal y Estatal, en los que se acordó la suspensión de los plazos para el trámite y desahogo de los procedimientos establecidos en la </w:t>
      </w:r>
      <w:r w:rsidRPr="0043349B">
        <w:rPr>
          <w:rFonts w:ascii="Palatino Linotype" w:hAnsi="Palatino Linotype"/>
          <w:b/>
        </w:rPr>
        <w:t>Ley de Transparencia y Acceso a la Información Pública del Estado de México y Municipios, y la Ley de Protección de Datos Personales en Posesión de Sujetos Obligados del Estado de México y Municipios</w:t>
      </w:r>
      <w:r w:rsidRPr="0043349B">
        <w:rPr>
          <w:rFonts w:ascii="Palatino Linotype" w:hAnsi="Palatino Linotype"/>
        </w:rPr>
        <w:t>, así como la suspensión de las sesiones ordinarias del Pleno al 17 de julio de 2020.</w:t>
      </w:r>
    </w:p>
    <w:p w14:paraId="1887A923" w14:textId="77777777" w:rsidR="004C3391" w:rsidRPr="0043349B" w:rsidRDefault="004C3391" w:rsidP="004C3391">
      <w:pPr>
        <w:spacing w:line="360" w:lineRule="auto"/>
        <w:ind w:right="567"/>
        <w:jc w:val="both"/>
        <w:rPr>
          <w:rFonts w:ascii="Palatino Linotype" w:eastAsia="Times New Roman" w:hAnsi="Palatino Linotype" w:cs="Times New Roman"/>
          <w:lang w:val="es-MX" w:eastAsia="es-MX"/>
        </w:rPr>
      </w:pPr>
    </w:p>
    <w:p w14:paraId="27706C79" w14:textId="77777777" w:rsidR="004C3391" w:rsidRPr="0043349B"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43349B">
        <w:rPr>
          <w:rFonts w:ascii="Palatino Linotype" w:hAnsi="Palatino Linotype"/>
        </w:rPr>
        <w:lastRenderedPageBreak/>
        <w:t xml:space="preserve">  El día tres (03) de agosto </w:t>
      </w:r>
      <w:r w:rsidRPr="0043349B">
        <w:rPr>
          <w:rFonts w:ascii="Palatino Linotype" w:eastAsia="Calibri" w:hAnsi="Palatino Linotype" w:cs="Arial"/>
          <w:lang w:val="es-ES"/>
        </w:rPr>
        <w:t xml:space="preserve">de dos mil veinte, </w:t>
      </w:r>
      <w:r w:rsidRPr="0043349B">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EFE1FBF" w14:textId="77777777" w:rsidR="004C3391" w:rsidRPr="0043349B" w:rsidRDefault="004C3391" w:rsidP="004C3391">
      <w:pPr>
        <w:pStyle w:val="Prrafodelista"/>
        <w:tabs>
          <w:tab w:val="left" w:pos="426"/>
        </w:tabs>
        <w:spacing w:before="240" w:after="240" w:line="360" w:lineRule="auto"/>
        <w:ind w:left="0"/>
        <w:jc w:val="both"/>
        <w:rPr>
          <w:rFonts w:ascii="Palatino Linotype" w:hAnsi="Palatino Linotype"/>
        </w:rPr>
      </w:pPr>
    </w:p>
    <w:p w14:paraId="1614A84C" w14:textId="77777777" w:rsidR="004C3391" w:rsidRPr="0043349B"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43349B">
        <w:rPr>
          <w:rFonts w:ascii="Palatino Linotype" w:hAnsi="Palatino Linotype"/>
        </w:rPr>
        <w:t>El Comisionado Ponente decretó el cierre de instrucción</w:t>
      </w:r>
      <w:r w:rsidRPr="0043349B">
        <w:rPr>
          <w:rFonts w:ascii="Palatino Linotype" w:hAnsi="Palatino Linotype" w:cs="Arial"/>
        </w:rPr>
        <w:t xml:space="preserve"> </w:t>
      </w:r>
      <w:r w:rsidRPr="0043349B">
        <w:rPr>
          <w:rFonts w:ascii="Palatino Linotype" w:hAnsi="Palatino Linotype"/>
        </w:rPr>
        <w:t xml:space="preserve">mediante acuerdo de fecha cuatro (04) de marzo </w:t>
      </w:r>
      <w:r w:rsidRPr="0043349B">
        <w:rPr>
          <w:rFonts w:ascii="Palatino Linotype" w:eastAsia="Calibri" w:hAnsi="Palatino Linotype" w:cs="Arial"/>
          <w:lang w:val="es-ES"/>
        </w:rPr>
        <w:t>de dos mil veinte</w:t>
      </w:r>
      <w:r w:rsidRPr="0043349B">
        <w:rPr>
          <w:rFonts w:ascii="Palatino Linotype" w:hAnsi="Palatino Linotype"/>
        </w:rPr>
        <w:t xml:space="preserve">, </w:t>
      </w:r>
      <w:r w:rsidRPr="0043349B">
        <w:rPr>
          <w:rFonts w:ascii="Palatino Linotype" w:hAnsi="Palatino Linotype" w:cs="Arial"/>
        </w:rPr>
        <w:t>por lo que ordenó turnar el expediente a resolución, misma que ahora se pronuncia.</w:t>
      </w:r>
    </w:p>
    <w:p w14:paraId="31893125" w14:textId="77777777" w:rsidR="004C3391" w:rsidRPr="0043349B" w:rsidRDefault="004C3391" w:rsidP="004C3391">
      <w:pPr>
        <w:pStyle w:val="Prrafodelista"/>
        <w:ind w:left="0"/>
        <w:rPr>
          <w:rFonts w:ascii="Palatino Linotype" w:hAnsi="Palatino Linotype"/>
        </w:rPr>
      </w:pPr>
    </w:p>
    <w:p w14:paraId="772F217E" w14:textId="77777777" w:rsidR="004C3391" w:rsidRPr="0043349B" w:rsidRDefault="004C3391" w:rsidP="004C3391">
      <w:pPr>
        <w:pStyle w:val="Ttulo1"/>
        <w:tabs>
          <w:tab w:val="left" w:pos="567"/>
        </w:tabs>
        <w:jc w:val="center"/>
        <w:rPr>
          <w:b w:val="0"/>
          <w:szCs w:val="24"/>
        </w:rPr>
      </w:pPr>
      <w:bookmarkStart w:id="8" w:name="_Toc48151953"/>
      <w:r w:rsidRPr="0043349B">
        <w:rPr>
          <w:szCs w:val="24"/>
        </w:rPr>
        <w:t>CONSIDERANDO</w:t>
      </w:r>
      <w:bookmarkEnd w:id="8"/>
    </w:p>
    <w:p w14:paraId="6624E2CC" w14:textId="77777777" w:rsidR="004C3391" w:rsidRPr="0043349B" w:rsidRDefault="004C3391" w:rsidP="004C3391">
      <w:pPr>
        <w:pStyle w:val="Ttulo1"/>
        <w:tabs>
          <w:tab w:val="left" w:pos="567"/>
        </w:tabs>
        <w:rPr>
          <w:b w:val="0"/>
          <w:bCs/>
          <w:spacing w:val="60"/>
        </w:rPr>
      </w:pPr>
      <w:bookmarkStart w:id="9" w:name="_Toc48151954"/>
      <w:r w:rsidRPr="0043349B">
        <w:t>PRIMERO. De la competencia</w:t>
      </w:r>
      <w:bookmarkEnd w:id="9"/>
    </w:p>
    <w:p w14:paraId="301D880C" w14:textId="77777777" w:rsidR="004C3391" w:rsidRPr="0043349B"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43349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43349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3349B">
        <w:rPr>
          <w:rFonts w:ascii="Palatino Linotype" w:eastAsia="Calibri" w:hAnsi="Palatino Linotype" w:cs="Times New Roman"/>
          <w:b/>
          <w:lang w:val="es-ES"/>
        </w:rPr>
        <w:t>Constitución Política de los Estados Unidos Mexicanos</w:t>
      </w:r>
      <w:r w:rsidRPr="0043349B">
        <w:rPr>
          <w:rFonts w:ascii="Palatino Linotype" w:eastAsia="Calibri" w:hAnsi="Palatino Linotype" w:cs="Times New Roman"/>
          <w:lang w:val="es-ES"/>
        </w:rPr>
        <w:t xml:space="preserve">; 5, párrafos </w:t>
      </w:r>
      <w:r w:rsidRPr="0043349B">
        <w:rPr>
          <w:rFonts w:ascii="Palatino Linotype" w:eastAsia="Calibri" w:hAnsi="Palatino Linotype" w:cs="Times New Roman"/>
          <w:color w:val="000000" w:themeColor="text1"/>
          <w:lang w:val="es-ES"/>
        </w:rPr>
        <w:t xml:space="preserve">vigésimo segundo, vigésimo tercero y vigésimo cuarto </w:t>
      </w:r>
      <w:r w:rsidRPr="0043349B">
        <w:rPr>
          <w:rFonts w:ascii="Palatino Linotype" w:eastAsia="Calibri" w:hAnsi="Palatino Linotype" w:cs="Times New Roman"/>
          <w:lang w:val="es-ES"/>
        </w:rPr>
        <w:t xml:space="preserve">fracciones IV y V de la </w:t>
      </w:r>
      <w:r w:rsidRPr="0043349B">
        <w:rPr>
          <w:rFonts w:ascii="Palatino Linotype" w:eastAsia="Calibri" w:hAnsi="Palatino Linotype" w:cs="Times New Roman"/>
          <w:b/>
          <w:lang w:val="es-ES"/>
        </w:rPr>
        <w:t>Constitución Política del Estado Libre y Soberano de México</w:t>
      </w:r>
      <w:r w:rsidRPr="0043349B">
        <w:rPr>
          <w:rFonts w:ascii="Palatino Linotype" w:eastAsia="Calibri" w:hAnsi="Palatino Linotype" w:cs="Times New Roman"/>
          <w:lang w:val="es-ES"/>
        </w:rPr>
        <w:t xml:space="preserve">; artículos 1, 2 fracción II, 13, 29, 36 fracciones I y II, 176, 178, 179, 181 párrafo tercero y 185 </w:t>
      </w:r>
      <w:r w:rsidRPr="0043349B">
        <w:rPr>
          <w:rFonts w:ascii="Palatino Linotype" w:eastAsia="Calibri" w:hAnsi="Palatino Linotype" w:cs="Arial"/>
          <w:lang w:val="es-ES"/>
        </w:rPr>
        <w:t xml:space="preserve">de la </w:t>
      </w:r>
      <w:r w:rsidRPr="0043349B">
        <w:rPr>
          <w:rFonts w:ascii="Palatino Linotype" w:eastAsia="Calibri" w:hAnsi="Palatino Linotype" w:cs="Arial"/>
          <w:b/>
          <w:lang w:val="es-ES"/>
        </w:rPr>
        <w:t>Ley de Transparencia y Acceso a la Información Pública del Estado de México y Municipios</w:t>
      </w:r>
      <w:r w:rsidRPr="0043349B">
        <w:rPr>
          <w:rFonts w:ascii="Palatino Linotype" w:eastAsia="Calibri" w:hAnsi="Palatino Linotype" w:cs="Arial"/>
          <w:lang w:val="es-ES"/>
        </w:rPr>
        <w:t xml:space="preserve">; y 10, 7, 9 fracciones I y XXIV, y 11 del </w:t>
      </w:r>
      <w:r w:rsidRPr="0043349B">
        <w:rPr>
          <w:rFonts w:ascii="Palatino Linotype" w:eastAsia="Calibri" w:hAnsi="Palatino Linotype" w:cs="Arial"/>
          <w:b/>
          <w:lang w:val="es-ES"/>
        </w:rPr>
        <w:t xml:space="preserve">Reglamento Interior del </w:t>
      </w:r>
      <w:r w:rsidRPr="0043349B">
        <w:rPr>
          <w:rFonts w:ascii="Palatino Linotype" w:eastAsia="Calibri" w:hAnsi="Palatino Linotype" w:cs="Arial"/>
          <w:b/>
          <w:lang w:val="es-ES"/>
        </w:rPr>
        <w:lastRenderedPageBreak/>
        <w:t>Instituto de Transparencia, Acceso a la Información Pública y Protección de Datos Personales del Estado de México y Municipios</w:t>
      </w:r>
      <w:r w:rsidRPr="0043349B">
        <w:rPr>
          <w:rFonts w:ascii="Palatino Linotype" w:hAnsi="Palatino Linotype"/>
        </w:rPr>
        <w:t>.</w:t>
      </w:r>
    </w:p>
    <w:p w14:paraId="27E7B49B" w14:textId="77777777" w:rsidR="004C3391" w:rsidRPr="0043349B" w:rsidRDefault="004C3391"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43349B" w:rsidRDefault="004C3391" w:rsidP="004C3391">
      <w:pPr>
        <w:pStyle w:val="Ttulo1"/>
        <w:tabs>
          <w:tab w:val="left" w:pos="567"/>
        </w:tabs>
        <w:spacing w:before="0"/>
      </w:pPr>
      <w:bookmarkStart w:id="10" w:name="_Toc48151955"/>
      <w:r w:rsidRPr="0043349B">
        <w:t>SEGUNDO. De la oportunidad y procedencia.</w:t>
      </w:r>
      <w:bookmarkEnd w:id="10"/>
    </w:p>
    <w:p w14:paraId="02CDDD4B" w14:textId="77777777" w:rsidR="004C3391" w:rsidRPr="0043349B"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2EAF263E" w14:textId="77777777" w:rsidR="004C3391" w:rsidRPr="0043349B" w:rsidRDefault="004C3391" w:rsidP="004C3391">
      <w:pPr>
        <w:pStyle w:val="gmail-msolistparagraph"/>
        <w:numPr>
          <w:ilvl w:val="0"/>
          <w:numId w:val="1"/>
        </w:numPr>
        <w:spacing w:before="240" w:beforeAutospacing="0" w:after="240" w:afterAutospacing="0" w:line="360" w:lineRule="auto"/>
        <w:ind w:left="0" w:firstLine="0"/>
        <w:jc w:val="both"/>
        <w:rPr>
          <w:rFonts w:ascii="Cambria" w:hAnsi="Cambria"/>
        </w:rPr>
      </w:pPr>
      <w:r w:rsidRPr="0043349B">
        <w:rPr>
          <w:rFonts w:ascii="Palatino Linotype" w:eastAsia="Calibri" w:hAnsi="Palatino Linotype" w:cs="Arial"/>
        </w:rPr>
        <w:t>El medio de impugnación fue presentado a través del Sistema de Acceso a la Información Mexiquense (SAIMEX)</w:t>
      </w:r>
      <w:r w:rsidRPr="0043349B">
        <w:rPr>
          <w:rFonts w:ascii="Palatino Linotype" w:eastAsia="Calibri" w:hAnsi="Palatino Linotype" w:cs="Arial"/>
          <w:b/>
        </w:rPr>
        <w:t>,</w:t>
      </w:r>
      <w:r w:rsidRPr="0043349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43349B">
        <w:rPr>
          <w:rFonts w:ascii="Palatino Linotype" w:eastAsia="Calibri" w:hAnsi="Palatino Linotype" w:cs="Arial"/>
          <w:b/>
        </w:rPr>
        <w:t>SUJETO OBLIGADO</w:t>
      </w:r>
      <w:r w:rsidRPr="0043349B">
        <w:rPr>
          <w:rFonts w:ascii="Palatino Linotype" w:eastAsia="Calibri" w:hAnsi="Palatino Linotype" w:cs="Arial"/>
        </w:rPr>
        <w:t xml:space="preserve"> entregó respuesta el día </w:t>
      </w:r>
      <w:r w:rsidRPr="0043349B">
        <w:rPr>
          <w:rFonts w:ascii="Palatino Linotype" w:eastAsia="Calibri" w:hAnsi="Palatino Linotype" w:cs="Arial"/>
          <w:lang w:val="es-AR"/>
        </w:rPr>
        <w:t>cinco (05</w:t>
      </w:r>
      <w:r w:rsidRPr="0043349B">
        <w:rPr>
          <w:rFonts w:ascii="Palatino Linotype" w:hAnsi="Palatino Linotype"/>
          <w:i/>
        </w:rPr>
        <w:t xml:space="preserve">) </w:t>
      </w:r>
      <w:r w:rsidRPr="0043349B">
        <w:rPr>
          <w:rFonts w:ascii="Palatino Linotype" w:hAnsi="Palatino Linotype"/>
        </w:rPr>
        <w:t>de febrero de dos mil veinte</w:t>
      </w:r>
      <w:r w:rsidRPr="0043349B">
        <w:rPr>
          <w:rFonts w:ascii="Palatino Linotype" w:eastAsia="Calibri" w:hAnsi="Palatino Linotype" w:cs="Arial"/>
        </w:rPr>
        <w:t xml:space="preserve">, </w:t>
      </w:r>
      <w:r w:rsidRPr="0043349B">
        <w:rPr>
          <w:rFonts w:ascii="Palatino Linotype" w:hAnsi="Palatino Linotype" w:cs="Arial"/>
        </w:rPr>
        <w:t xml:space="preserve">de tal forma que el plazo para interponer el recurso de revisión transcurrió del día </w:t>
      </w:r>
      <w:r w:rsidRPr="0043349B">
        <w:rPr>
          <w:rFonts w:ascii="Palatino Linotype" w:eastAsia="Calibri" w:hAnsi="Palatino Linotype" w:cs="Arial"/>
          <w:lang w:val="es-AR"/>
        </w:rPr>
        <w:t>seis (06</w:t>
      </w:r>
      <w:r w:rsidRPr="0043349B">
        <w:rPr>
          <w:rFonts w:ascii="Palatino Linotype" w:hAnsi="Palatino Linotype"/>
          <w:i/>
        </w:rPr>
        <w:t xml:space="preserve">) </w:t>
      </w:r>
      <w:r w:rsidRPr="0043349B">
        <w:rPr>
          <w:rFonts w:ascii="Palatino Linotype" w:hAnsi="Palatino Linotype"/>
        </w:rPr>
        <w:t>de febrero</w:t>
      </w:r>
      <w:r w:rsidRPr="0043349B">
        <w:rPr>
          <w:rFonts w:ascii="Palatino Linotype" w:hAnsi="Palatino Linotype"/>
          <w:i/>
        </w:rPr>
        <w:t xml:space="preserve"> </w:t>
      </w:r>
      <w:r w:rsidRPr="0043349B">
        <w:rPr>
          <w:rFonts w:ascii="Palatino Linotype" w:hAnsi="Palatino Linotype" w:cs="Arial"/>
        </w:rPr>
        <w:t xml:space="preserve">al veintiséis (26) </w:t>
      </w:r>
      <w:r w:rsidRPr="0043349B">
        <w:rPr>
          <w:rFonts w:ascii="Palatino Linotype" w:hAnsi="Palatino Linotype"/>
        </w:rPr>
        <w:t xml:space="preserve">de febrero </w:t>
      </w:r>
      <w:r w:rsidRPr="0043349B">
        <w:rPr>
          <w:rFonts w:ascii="Palatino Linotype" w:hAnsi="Palatino Linotype" w:cs="Arial"/>
        </w:rPr>
        <w:t>de dos mil veinte;</w:t>
      </w:r>
      <w:r w:rsidRPr="0043349B">
        <w:rPr>
          <w:rFonts w:ascii="Palatino Linotype" w:eastAsia="Calibri" w:hAnsi="Palatino Linotype" w:cs="Arial"/>
        </w:rPr>
        <w:t xml:space="preserve"> </w:t>
      </w:r>
      <w:r w:rsidRPr="0043349B">
        <w:rPr>
          <w:rFonts w:ascii="Palatino Linotype" w:hAnsi="Palatino Linotype" w:cs="Arial"/>
        </w:rPr>
        <w:t xml:space="preserve">por lo que si presentó su inconformidad el día </w:t>
      </w:r>
      <w:r w:rsidRPr="0043349B">
        <w:rPr>
          <w:rFonts w:ascii="Palatino Linotype" w:eastAsia="Calibri" w:hAnsi="Palatino Linotype" w:cs="Arial"/>
          <w:lang w:val="es-AR"/>
        </w:rPr>
        <w:t>(05</w:t>
      </w:r>
      <w:r w:rsidRPr="0043349B">
        <w:rPr>
          <w:rFonts w:ascii="Palatino Linotype" w:hAnsi="Palatino Linotype"/>
          <w:i/>
        </w:rPr>
        <w:t xml:space="preserve">) </w:t>
      </w:r>
      <w:r w:rsidRPr="0043349B">
        <w:rPr>
          <w:rFonts w:ascii="Palatino Linotype" w:hAnsi="Palatino Linotype"/>
        </w:rPr>
        <w:t>de febrero de dos mil veinte</w:t>
      </w:r>
      <w:r w:rsidRPr="0043349B">
        <w:rPr>
          <w:rFonts w:ascii="Palatino Linotype" w:hAnsi="Palatino Linotype" w:cs="Arial"/>
        </w:rPr>
        <w:t>,</w:t>
      </w:r>
      <w:r w:rsidRPr="0043349B">
        <w:rPr>
          <w:rFonts w:ascii="Palatino Linotype" w:hAnsi="Palatino Linotype" w:cs="Arial"/>
          <w:color w:val="000000" w:themeColor="text1"/>
        </w:rPr>
        <w:t xml:space="preserve"> </w:t>
      </w:r>
      <w:r w:rsidRPr="0043349B">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105AE182" w14:textId="77777777" w:rsidR="004C3391" w:rsidRPr="0043349B" w:rsidRDefault="004C3391" w:rsidP="004C3391">
      <w:pPr>
        <w:pStyle w:val="gmail-msolistparagraph"/>
        <w:numPr>
          <w:ilvl w:val="0"/>
          <w:numId w:val="1"/>
        </w:numPr>
        <w:spacing w:before="240" w:beforeAutospacing="0" w:after="240" w:afterAutospacing="0" w:line="360" w:lineRule="auto"/>
        <w:ind w:left="0" w:firstLine="0"/>
        <w:jc w:val="both"/>
        <w:rPr>
          <w:rFonts w:ascii="Cambria" w:hAnsi="Cambria"/>
        </w:rPr>
      </w:pPr>
      <w:r w:rsidRPr="0043349B">
        <w:rPr>
          <w:rFonts w:ascii="Palatino Linotype" w:hAnsi="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989FF90" w14:textId="77777777" w:rsidR="004C3391" w:rsidRPr="0043349B" w:rsidRDefault="004C3391" w:rsidP="004C3391">
      <w:pPr>
        <w:spacing w:line="360" w:lineRule="auto"/>
        <w:ind w:left="567" w:right="616"/>
        <w:jc w:val="both"/>
        <w:rPr>
          <w:rFonts w:ascii="Cambria" w:eastAsia="Times New Roman" w:hAnsi="Cambria" w:cs="Times New Roman"/>
          <w:lang w:val="es-MX" w:eastAsia="es-MX"/>
        </w:rPr>
      </w:pPr>
      <w:r w:rsidRPr="0043349B">
        <w:rPr>
          <w:rFonts w:ascii="Palatino Linotype" w:eastAsia="Times New Roman" w:hAnsi="Palatino Linotype" w:cs="Times New Roman"/>
          <w:b/>
          <w:bCs/>
          <w:i/>
          <w:iCs/>
          <w:sz w:val="22"/>
          <w:szCs w:val="22"/>
          <w:lang w:eastAsia="es-MX"/>
        </w:rPr>
        <w:t>RECURSO DE RECLAMACIÓN. SU INTERPOSICIÓN NO ES EXTEMPORÁNEA SI SE REALIZA ANTES DE QUE INICIE EL PLAZO PARA HACERLO.</w:t>
      </w:r>
      <w:r w:rsidRPr="0043349B">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w:t>
      </w:r>
      <w:r w:rsidRPr="0043349B">
        <w:rPr>
          <w:rFonts w:ascii="Palatino Linotype" w:eastAsia="Times New Roman" w:hAnsi="Palatino Linotype" w:cs="Times New Roman"/>
          <w:i/>
          <w:iCs/>
          <w:sz w:val="22"/>
          <w:szCs w:val="22"/>
          <w:lang w:eastAsia="es-MX"/>
        </w:rPr>
        <w:lastRenderedPageBreak/>
        <w:t>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E1DE7CB" w14:textId="77777777" w:rsidR="004C3391" w:rsidRPr="0043349B" w:rsidRDefault="004C3391" w:rsidP="004C3391">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3349B">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43349B">
        <w:rPr>
          <w:rFonts w:ascii="Palatino Linotype" w:eastAsia="Times New Roman" w:hAnsi="Palatino Linotype" w:cs="Times New Roman"/>
          <w:b/>
          <w:bCs/>
          <w:lang w:eastAsia="es-MX"/>
        </w:rPr>
        <w:t>SUJETO OBLIGADO</w:t>
      </w:r>
      <w:r w:rsidRPr="0043349B">
        <w:rPr>
          <w:rFonts w:ascii="Palatino Linotype" w:eastAsia="Times New Roman" w:hAnsi="Palatino Linotype" w:cs="Times New Roman"/>
          <w:lang w:eastAsia="es-MX"/>
        </w:rPr>
        <w:t>.</w:t>
      </w:r>
    </w:p>
    <w:p w14:paraId="2C521E3B" w14:textId="77777777" w:rsidR="004C3391" w:rsidRPr="0043349B"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655E7BD9" w14:textId="77777777" w:rsidR="004C3391" w:rsidRPr="0043349B" w:rsidRDefault="004C3391" w:rsidP="004C339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43349B">
        <w:rPr>
          <w:rFonts w:ascii="Palatino Linotype" w:eastAsia="Calibri" w:hAnsi="Palatino Linotype" w:cs="Arial"/>
          <w:color w:val="000000" w:themeColor="text1"/>
        </w:rPr>
        <w:t xml:space="preserve">Por otro lado, el escrito contiene las formalidades previstas por el artículo 180 último párrafo de la </w:t>
      </w:r>
      <w:r w:rsidRPr="0043349B">
        <w:rPr>
          <w:rFonts w:ascii="Palatino Linotype" w:hAnsi="Palatino Linotype" w:cs="Arial"/>
          <w:b/>
          <w:color w:val="000000" w:themeColor="text1"/>
        </w:rPr>
        <w:t>Ley de Transparencia y Acceso a la Información Pública del Estado de México y Municipios</w:t>
      </w:r>
      <w:r w:rsidRPr="0043349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74C2196F" w14:textId="77777777" w:rsidR="004C3391" w:rsidRPr="0043349B"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55569CDA" w14:textId="5884798D" w:rsidR="004C3391" w:rsidRPr="0043349B" w:rsidRDefault="004C3391" w:rsidP="004C3391">
      <w:pPr>
        <w:pStyle w:val="Ttulo2"/>
        <w:spacing w:before="0"/>
        <w:rPr>
          <w:szCs w:val="24"/>
        </w:rPr>
      </w:pPr>
      <w:r w:rsidRPr="0043349B">
        <w:rPr>
          <w:szCs w:val="24"/>
        </w:rPr>
        <w:t xml:space="preserve"> </w:t>
      </w:r>
      <w:bookmarkStart w:id="11" w:name="_Toc48151956"/>
      <w:r w:rsidRPr="0043349B">
        <w:rPr>
          <w:szCs w:val="24"/>
        </w:rPr>
        <w:t xml:space="preserve">TERCERO. </w:t>
      </w:r>
      <w:r w:rsidR="00CA1EBC" w:rsidRPr="0043349B">
        <w:rPr>
          <w:szCs w:val="24"/>
        </w:rPr>
        <w:t>D</w:t>
      </w:r>
      <w:r w:rsidRPr="0043349B">
        <w:rPr>
          <w:szCs w:val="24"/>
        </w:rPr>
        <w:t xml:space="preserve">el planteamiento de la </w:t>
      </w:r>
      <w:proofErr w:type="spellStart"/>
      <w:r w:rsidRPr="0043349B">
        <w:rPr>
          <w:szCs w:val="24"/>
        </w:rPr>
        <w:t>litis</w:t>
      </w:r>
      <w:proofErr w:type="spellEnd"/>
      <w:r w:rsidRPr="0043349B">
        <w:rPr>
          <w:szCs w:val="24"/>
        </w:rPr>
        <w:t>.</w:t>
      </w:r>
      <w:bookmarkEnd w:id="11"/>
    </w:p>
    <w:p w14:paraId="76CC35D4" w14:textId="77777777" w:rsidR="004C3391" w:rsidRPr="0043349B" w:rsidRDefault="004C3391" w:rsidP="004C3391">
      <w:pPr>
        <w:rPr>
          <w:lang w:val="es-MX" w:eastAsia="en-US"/>
        </w:rPr>
      </w:pPr>
    </w:p>
    <w:p w14:paraId="30AC2B18" w14:textId="6A36CC75" w:rsidR="004C3391" w:rsidRPr="0043349B" w:rsidRDefault="00CA1EBC" w:rsidP="00C748E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43349B">
        <w:rPr>
          <w:rFonts w:ascii="Palatino Linotype" w:hAnsi="Palatino Linotype"/>
          <w:color w:val="000000" w:themeColor="text1"/>
        </w:rPr>
        <w:t>El particular manifestó su inconformidad</w:t>
      </w:r>
      <w:r w:rsidRPr="0043349B">
        <w:rPr>
          <w:rFonts w:ascii="Palatino Linotype" w:hAnsi="Palatino Linotype"/>
          <w:b/>
          <w:color w:val="000000" w:themeColor="text1"/>
        </w:rPr>
        <w:t xml:space="preserve"> </w:t>
      </w:r>
      <w:r w:rsidRPr="0043349B">
        <w:rPr>
          <w:rFonts w:ascii="Palatino Linotype" w:hAnsi="Palatino Linotype"/>
          <w:color w:val="000000" w:themeColor="text1"/>
        </w:rPr>
        <w:t xml:space="preserve">porque no se entregó la información solicitada, toda vez que a consideración del </w:t>
      </w:r>
      <w:r w:rsidRPr="0043349B">
        <w:rPr>
          <w:rFonts w:ascii="Palatino Linotype" w:hAnsi="Palatino Linotype"/>
          <w:b/>
          <w:color w:val="000000" w:themeColor="text1"/>
        </w:rPr>
        <w:t>SUJETO OBLIGADO</w:t>
      </w:r>
      <w:r w:rsidRPr="0043349B">
        <w:rPr>
          <w:rFonts w:ascii="Palatino Linotype" w:hAnsi="Palatino Linotype"/>
          <w:color w:val="000000" w:themeColor="text1"/>
        </w:rPr>
        <w:t xml:space="preserve"> “</w:t>
      </w:r>
      <w:r w:rsidRPr="0043349B">
        <w:rPr>
          <w:rFonts w:ascii="Palatino Linotype" w:hAnsi="Palatino Linotype"/>
          <w:i/>
        </w:rPr>
        <w:t xml:space="preserve">se advierte que en ningún caso se podrá hacer referencia o comunicar a terceros, no legitimados, la información confidencial relativa a una investigación y sujetos del procedimiento penal al </w:t>
      </w:r>
      <w:r w:rsidRPr="0043349B">
        <w:rPr>
          <w:rFonts w:ascii="Palatino Linotype" w:hAnsi="Palatino Linotype"/>
          <w:i/>
        </w:rPr>
        <w:lastRenderedPageBreak/>
        <w:t>ser estrictamente reservados</w:t>
      </w:r>
      <w:r w:rsidRPr="0043349B">
        <w:rPr>
          <w:rFonts w:ascii="Palatino Linotype" w:hAnsi="Palatino Linotype"/>
          <w:color w:val="000000" w:themeColor="text1"/>
        </w:rPr>
        <w:t>” y que “</w:t>
      </w:r>
      <w:r w:rsidRPr="0043349B">
        <w:rPr>
          <w:rFonts w:ascii="Palatino Linotype" w:hAnsi="Palatino Linotype"/>
          <w:i/>
          <w:sz w:val="22"/>
          <w:szCs w:val="22"/>
        </w:rPr>
        <w:t>el Sistema de Acceso a la Información Mexiquense (SAIMEX) y el Sistema de Acceso Rectificación, Cancelación y Oposición de Datos Personales del Estado de México (SARCOEM), no son la vía para tener acceso a indagatorias, y sólo puede ser ejercido ante el Agente del Ministerio Público correspondiente, previa acreditación de personalidad jurídica que se haga constar en autos</w:t>
      </w:r>
      <w:r w:rsidR="00524CD7" w:rsidRPr="0043349B">
        <w:rPr>
          <w:rFonts w:ascii="Palatino Linotype" w:hAnsi="Palatino Linotype"/>
          <w:i/>
          <w:sz w:val="22"/>
          <w:szCs w:val="22"/>
        </w:rPr>
        <w:t>”.</w:t>
      </w:r>
    </w:p>
    <w:p w14:paraId="259BEF44" w14:textId="77777777" w:rsidR="00524CD7" w:rsidRPr="0043349B" w:rsidRDefault="00524CD7" w:rsidP="00524CD7">
      <w:pPr>
        <w:pStyle w:val="Prrafodelista"/>
        <w:tabs>
          <w:tab w:val="left" w:pos="567"/>
        </w:tabs>
        <w:spacing w:before="240" w:after="240" w:line="360" w:lineRule="auto"/>
        <w:ind w:left="0"/>
        <w:jc w:val="both"/>
        <w:rPr>
          <w:rFonts w:ascii="Palatino Linotype" w:hAnsi="Palatino Linotype"/>
          <w:b/>
          <w:color w:val="000000" w:themeColor="text1"/>
        </w:rPr>
      </w:pPr>
    </w:p>
    <w:p w14:paraId="69F7BC16" w14:textId="04EDA884" w:rsidR="00524CD7" w:rsidRPr="0043349B" w:rsidRDefault="004C0E27" w:rsidP="00524CD7">
      <w:pPr>
        <w:pStyle w:val="Prrafodelista"/>
        <w:numPr>
          <w:ilvl w:val="0"/>
          <w:numId w:val="1"/>
        </w:numPr>
        <w:spacing w:before="240" w:after="240" w:line="360" w:lineRule="auto"/>
        <w:ind w:left="0" w:firstLine="0"/>
        <w:jc w:val="both"/>
        <w:rPr>
          <w:rFonts w:ascii="Palatino Linotype" w:eastAsia="MS Mincho" w:hAnsi="Palatino Linotype" w:cs="Times New Roman"/>
          <w:i/>
          <w:color w:val="000000" w:themeColor="text1"/>
        </w:rPr>
      </w:pPr>
      <w:r w:rsidRPr="0043349B">
        <w:rPr>
          <w:rFonts w:ascii="Palatino Linotype" w:hAnsi="Palatino Linotype"/>
        </w:rPr>
        <w:t>En atención a lo anterior cabe señalar que el artículo 11 en</w:t>
      </w:r>
      <w:r w:rsidR="00524CD7" w:rsidRPr="0043349B">
        <w:rPr>
          <w:rFonts w:ascii="Palatino Linotype" w:hAnsi="Palatino Linotype"/>
        </w:rPr>
        <w:t xml:space="preserve"> su primer párrafo dispone que </w:t>
      </w:r>
      <w:r w:rsidR="00524CD7" w:rsidRPr="0043349B">
        <w:rPr>
          <w:rFonts w:ascii="Palatino Linotype" w:hAnsi="Palatino Linotype"/>
          <w:i/>
        </w:rPr>
        <w:t xml:space="preserve">en la generación, publicación y entrega de información se deberá garantizar que ésta sea </w:t>
      </w:r>
      <w:r w:rsidR="00524CD7" w:rsidRPr="0043349B">
        <w:rPr>
          <w:rFonts w:ascii="Palatino Linotype" w:hAnsi="Palatino Linotype"/>
          <w:b/>
          <w:i/>
          <w:u w:val="single"/>
        </w:rPr>
        <w:t>accesible</w:t>
      </w:r>
      <w:r w:rsidR="00524CD7" w:rsidRPr="0043349B">
        <w:rPr>
          <w:rFonts w:ascii="Palatino Linotype" w:hAnsi="Palatino Linotype"/>
          <w:i/>
        </w:rPr>
        <w:t xml:space="preserve">, actualizada, completa, congruente, confiable, verificable, veraz, integral, oportuna y expedita, </w:t>
      </w:r>
      <w:r w:rsidR="00524CD7" w:rsidRPr="0043349B">
        <w:rPr>
          <w:rFonts w:ascii="Palatino Linotype" w:hAnsi="Palatino Linotype"/>
          <w:b/>
          <w:i/>
          <w:u w:val="single"/>
        </w:rPr>
        <w:t>sujeta a un claro régimen de excepciones que deberá estar definido</w:t>
      </w:r>
      <w:r w:rsidR="00524CD7" w:rsidRPr="0043349B">
        <w:rPr>
          <w:rFonts w:ascii="Palatino Linotype" w:hAnsi="Palatino Linotype"/>
          <w:i/>
        </w:rPr>
        <w:t xml:space="preserve"> y ser además legítima y estrictamente necesaria en una sociedad democrática, por lo que atenderá las necesidades del derecho de acceso a la información de toda persona.</w:t>
      </w:r>
    </w:p>
    <w:p w14:paraId="5FF79964" w14:textId="77777777" w:rsidR="00524CD7" w:rsidRPr="0043349B" w:rsidRDefault="00524CD7" w:rsidP="00524CD7">
      <w:pPr>
        <w:pStyle w:val="Prrafodelista"/>
        <w:spacing w:before="240" w:after="240" w:line="360" w:lineRule="auto"/>
        <w:ind w:left="0"/>
        <w:jc w:val="both"/>
        <w:rPr>
          <w:rFonts w:ascii="Palatino Linotype" w:eastAsia="MS Mincho" w:hAnsi="Palatino Linotype" w:cs="Times New Roman"/>
          <w:color w:val="000000" w:themeColor="text1"/>
        </w:rPr>
      </w:pPr>
    </w:p>
    <w:p w14:paraId="38C485C4" w14:textId="77777777" w:rsidR="00524CD7" w:rsidRPr="0043349B" w:rsidRDefault="00524CD7" w:rsidP="00524CD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43349B">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43349B">
        <w:rPr>
          <w:rFonts w:ascii="Palatino Linotype" w:hAnsi="Palatino Linotype"/>
        </w:rPr>
        <w:t>confiable, accesible, verificable, veraz, integral</w:t>
      </w:r>
      <w:r w:rsidRPr="0043349B">
        <w:rPr>
          <w:rFonts w:ascii="Palatino Linotype" w:eastAsia="MS Mincho" w:hAnsi="Palatino Linotype" w:cs="Times New Roman"/>
        </w:rPr>
        <w:t xml:space="preserve"> y congruente con lo requerido, de lo contrario se contravendría el artículo 11 de la Ley de Transparencia Local.</w:t>
      </w:r>
    </w:p>
    <w:p w14:paraId="664C9461" w14:textId="77777777" w:rsidR="00524CD7" w:rsidRPr="0043349B" w:rsidRDefault="00524CD7" w:rsidP="00524CD7">
      <w:pPr>
        <w:pStyle w:val="Prrafodelista"/>
        <w:spacing w:before="240" w:after="240" w:line="360" w:lineRule="auto"/>
        <w:ind w:left="0" w:right="49"/>
        <w:jc w:val="both"/>
        <w:rPr>
          <w:rFonts w:ascii="Palatino Linotype" w:eastAsia="Calibri" w:hAnsi="Palatino Linotype" w:cs="Arial"/>
          <w:u w:val="single"/>
          <w:lang w:val="es-ES"/>
        </w:rPr>
      </w:pPr>
    </w:p>
    <w:p w14:paraId="22E547D3" w14:textId="77777777" w:rsidR="00524CD7" w:rsidRPr="0043349B" w:rsidRDefault="00524CD7" w:rsidP="00524CD7">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43349B">
        <w:rPr>
          <w:rFonts w:ascii="Palatino Linotype" w:hAnsi="Palatino Linotype"/>
          <w:lang w:eastAsia="es-MX"/>
        </w:rPr>
        <w:t>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generan una afectación inicial susceptible de ser reparada mediante el recurso de revisión.</w:t>
      </w:r>
    </w:p>
    <w:p w14:paraId="5101236C" w14:textId="77777777" w:rsidR="00524CD7" w:rsidRPr="0043349B" w:rsidRDefault="00524CD7" w:rsidP="00524CD7">
      <w:pPr>
        <w:pStyle w:val="Prrafodelista"/>
        <w:spacing w:before="240" w:after="240" w:line="360" w:lineRule="auto"/>
        <w:ind w:left="0"/>
        <w:jc w:val="both"/>
        <w:rPr>
          <w:rFonts w:ascii="Palatino Linotype" w:eastAsia="MS Mincho" w:hAnsi="Palatino Linotype" w:cs="Times New Roman"/>
          <w:color w:val="000000" w:themeColor="text1"/>
        </w:rPr>
      </w:pPr>
    </w:p>
    <w:p w14:paraId="01E24A0D" w14:textId="61D24C83" w:rsidR="00524CD7" w:rsidRPr="0043349B" w:rsidRDefault="00524CD7" w:rsidP="00524CD7">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43349B">
        <w:rPr>
          <w:rFonts w:ascii="Palatino Linotype" w:hAnsi="Palatino Linotype" w:cs="Arial"/>
          <w:color w:val="000000" w:themeColor="text1"/>
        </w:rPr>
        <w:lastRenderedPageBreak/>
        <w:t xml:space="preserve">Visto lo anterior se </w:t>
      </w:r>
      <w:r w:rsidR="001446E8" w:rsidRPr="0043349B">
        <w:rPr>
          <w:rFonts w:ascii="Palatino Linotype" w:hAnsi="Palatino Linotype" w:cs="Arial"/>
          <w:color w:val="000000" w:themeColor="text1"/>
        </w:rPr>
        <w:t xml:space="preserve">observó </w:t>
      </w:r>
      <w:r w:rsidR="001446E8" w:rsidRPr="0043349B">
        <w:rPr>
          <w:rFonts w:ascii="Palatino Linotype" w:hAnsi="Palatino Linotype"/>
          <w:color w:val="000000" w:themeColor="text1"/>
        </w:rPr>
        <w:t xml:space="preserve">que el </w:t>
      </w:r>
      <w:r w:rsidR="001446E8" w:rsidRPr="0043349B">
        <w:rPr>
          <w:rFonts w:ascii="Palatino Linotype" w:hAnsi="Palatino Linotype"/>
          <w:b/>
          <w:color w:val="000000" w:themeColor="text1"/>
        </w:rPr>
        <w:t>SUJETO OBLIGADO</w:t>
      </w:r>
      <w:r w:rsidR="001446E8" w:rsidRPr="0043349B">
        <w:rPr>
          <w:rFonts w:ascii="Palatino Linotype" w:hAnsi="Palatino Linotype"/>
          <w:color w:val="000000" w:themeColor="text1"/>
        </w:rPr>
        <w:t xml:space="preserve"> al emitir su respuesta está contraviniendo el </w:t>
      </w:r>
      <w:r w:rsidR="001446E8" w:rsidRPr="0043349B">
        <w:rPr>
          <w:rFonts w:ascii="Palatino Linotype" w:hAnsi="Palatino Linotype"/>
        </w:rPr>
        <w:t xml:space="preserve">artículo 11, por lo que se </w:t>
      </w:r>
      <w:r w:rsidRPr="0043349B">
        <w:rPr>
          <w:rFonts w:ascii="Palatino Linotype" w:hAnsi="Palatino Linotype" w:cs="Arial"/>
          <w:color w:val="000000" w:themeColor="text1"/>
        </w:rPr>
        <w:t xml:space="preserve">actualizan las causas de procedencia del recurso de revisión establecidas en el artículo 179 </w:t>
      </w:r>
      <w:r w:rsidRPr="0043349B">
        <w:rPr>
          <w:rFonts w:ascii="Palatino Linotype" w:hAnsi="Palatino Linotype" w:cs="Arial"/>
        </w:rPr>
        <w:t>fracciones I</w:t>
      </w:r>
      <w:r w:rsidRPr="0043349B">
        <w:rPr>
          <w:rFonts w:ascii="Palatino Linotype" w:hAnsi="Palatino Linotype" w:cs="Arial"/>
          <w:color w:val="000000" w:themeColor="text1"/>
        </w:rPr>
        <w:t xml:space="preserve"> y II de la </w:t>
      </w:r>
      <w:r w:rsidRPr="0043349B">
        <w:rPr>
          <w:rFonts w:ascii="Palatino Linotype" w:hAnsi="Palatino Linotype" w:cs="Arial"/>
          <w:b/>
          <w:color w:val="000000" w:themeColor="text1"/>
        </w:rPr>
        <w:t>Ley de Transparencia y Acceso a la Información Pública del Estado de México y Municipios.</w:t>
      </w:r>
    </w:p>
    <w:p w14:paraId="0710836A" w14:textId="77777777" w:rsidR="00524CD7" w:rsidRPr="0043349B" w:rsidRDefault="00524CD7" w:rsidP="00524CD7">
      <w:pPr>
        <w:pStyle w:val="Prrafodelista"/>
        <w:tabs>
          <w:tab w:val="left" w:pos="567"/>
        </w:tabs>
        <w:spacing w:before="240" w:after="240" w:line="360" w:lineRule="auto"/>
        <w:ind w:left="0" w:right="49"/>
        <w:jc w:val="both"/>
        <w:rPr>
          <w:rFonts w:ascii="Palatino Linotype" w:hAnsi="Palatino Linotype"/>
          <w:b/>
          <w:color w:val="000000" w:themeColor="text1"/>
        </w:rPr>
      </w:pPr>
    </w:p>
    <w:p w14:paraId="09AF50C2" w14:textId="42BDF0C4" w:rsidR="004C3391" w:rsidRPr="0043349B" w:rsidRDefault="004C3391" w:rsidP="004C3391">
      <w:pPr>
        <w:pStyle w:val="Prrafodelista"/>
        <w:numPr>
          <w:ilvl w:val="0"/>
          <w:numId w:val="1"/>
        </w:numPr>
        <w:tabs>
          <w:tab w:val="left" w:pos="567"/>
        </w:tabs>
        <w:spacing w:before="240" w:after="240" w:line="360" w:lineRule="auto"/>
        <w:ind w:left="0" w:right="49" w:firstLine="0"/>
        <w:jc w:val="both"/>
        <w:rPr>
          <w:rFonts w:ascii="Palatino Linotype" w:hAnsi="Palatino Linotype"/>
          <w:b/>
          <w:color w:val="000000" w:themeColor="text1"/>
        </w:rPr>
      </w:pPr>
      <w:r w:rsidRPr="0043349B">
        <w:rPr>
          <w:rFonts w:ascii="Palatino Linotype" w:eastAsia="Times New Roman" w:hAnsi="Palatino Linotype" w:cs="Arial"/>
          <w:color w:val="000000" w:themeColor="text1"/>
        </w:rPr>
        <w:t xml:space="preserve">En dichas condiciones, la </w:t>
      </w:r>
      <w:proofErr w:type="spellStart"/>
      <w:r w:rsidRPr="0043349B">
        <w:rPr>
          <w:rFonts w:ascii="Palatino Linotype" w:eastAsia="Times New Roman" w:hAnsi="Palatino Linotype" w:cs="Arial"/>
          <w:i/>
          <w:color w:val="000000" w:themeColor="text1"/>
        </w:rPr>
        <w:t>litis</w:t>
      </w:r>
      <w:proofErr w:type="spellEnd"/>
      <w:r w:rsidRPr="0043349B">
        <w:rPr>
          <w:rFonts w:ascii="Palatino Linotype" w:eastAsia="Times New Roman" w:hAnsi="Palatino Linotype" w:cs="Arial"/>
          <w:color w:val="000000" w:themeColor="text1"/>
        </w:rPr>
        <w:t xml:space="preserve"> a resolver en este recurso se circunscribe a determinar si </w:t>
      </w:r>
      <w:r w:rsidR="006F0271" w:rsidRPr="0043349B">
        <w:rPr>
          <w:rFonts w:ascii="Palatino Linotype" w:eastAsia="Times New Roman" w:hAnsi="Palatino Linotype" w:cs="Arial"/>
          <w:color w:val="000000" w:themeColor="text1"/>
        </w:rPr>
        <w:t>el Derecho de Acceso a la Información Pública puede ser el medio para que cualquier persona acceda a la Información en posesión del SUJETO OBLIGADO relacionada con sus facultades sustantivas, si el número de averiguación previa o denuncia es un dato personal;</w:t>
      </w:r>
      <w:r w:rsidR="00CF4F8C" w:rsidRPr="0043349B">
        <w:rPr>
          <w:rFonts w:ascii="Palatino Linotype" w:eastAsia="Times New Roman" w:hAnsi="Palatino Linotype" w:cs="Arial"/>
          <w:color w:val="000000" w:themeColor="text1"/>
        </w:rPr>
        <w:t xml:space="preserve"> y</w:t>
      </w:r>
      <w:r w:rsidR="006F0271" w:rsidRPr="0043349B">
        <w:rPr>
          <w:rFonts w:ascii="Palatino Linotype" w:eastAsia="Times New Roman" w:hAnsi="Palatino Linotype" w:cs="Arial"/>
          <w:color w:val="000000" w:themeColor="text1"/>
        </w:rPr>
        <w:t>, si dicha información es susceptible de ser protegida mediante el procedimiento de clasificación de la información.</w:t>
      </w:r>
    </w:p>
    <w:p w14:paraId="25B9DAC0" w14:textId="77777777" w:rsidR="004C3391" w:rsidRPr="0043349B" w:rsidRDefault="004C3391" w:rsidP="004C3391">
      <w:pPr>
        <w:pStyle w:val="Ttulo1"/>
        <w:rPr>
          <w:szCs w:val="24"/>
        </w:rPr>
      </w:pPr>
      <w:bookmarkStart w:id="12" w:name="_Toc48151957"/>
      <w:r w:rsidRPr="0043349B">
        <w:rPr>
          <w:szCs w:val="24"/>
        </w:rPr>
        <w:t>CUARTO. Del estudio y resolución del asunto.</w:t>
      </w:r>
      <w:bookmarkEnd w:id="12"/>
    </w:p>
    <w:p w14:paraId="6609BB09" w14:textId="77777777" w:rsidR="004C3391" w:rsidRPr="0043349B" w:rsidRDefault="004C3391" w:rsidP="004C3391">
      <w:pPr>
        <w:pStyle w:val="Prrafodelista"/>
        <w:tabs>
          <w:tab w:val="left" w:pos="567"/>
        </w:tabs>
        <w:spacing w:line="360" w:lineRule="auto"/>
        <w:ind w:left="0"/>
        <w:jc w:val="both"/>
        <w:rPr>
          <w:rFonts w:ascii="Palatino Linotype" w:hAnsi="Palatino Linotype"/>
        </w:rPr>
      </w:pPr>
    </w:p>
    <w:p w14:paraId="1E592675" w14:textId="461F6E9F" w:rsidR="004C3391" w:rsidRPr="0043349B" w:rsidRDefault="006F0271" w:rsidP="004C3391">
      <w:pPr>
        <w:pStyle w:val="Ttulo2"/>
        <w:numPr>
          <w:ilvl w:val="2"/>
          <w:numId w:val="1"/>
        </w:numPr>
        <w:ind w:left="0" w:firstLine="0"/>
      </w:pPr>
      <w:bookmarkStart w:id="13" w:name="_Toc48151958"/>
      <w:r w:rsidRPr="0043349B">
        <w:t>Del Derecho de Acceso a la Información Pública (DAI).</w:t>
      </w:r>
      <w:bookmarkEnd w:id="13"/>
    </w:p>
    <w:p w14:paraId="5D251657" w14:textId="009E1EC2" w:rsidR="004C3391" w:rsidRPr="0043349B" w:rsidRDefault="004C3391" w:rsidP="004C3391">
      <w:pPr>
        <w:pStyle w:val="Ttulo2"/>
      </w:pPr>
      <w:bookmarkStart w:id="14" w:name="_Toc48151959"/>
      <w:r w:rsidRPr="0043349B">
        <w:t>I.I. De</w:t>
      </w:r>
      <w:r w:rsidR="006F0271" w:rsidRPr="0043349B">
        <w:t xml:space="preserve"> la importancia de respetar el DAI</w:t>
      </w:r>
      <w:r w:rsidRPr="0043349B">
        <w:t>.</w:t>
      </w:r>
      <w:bookmarkEnd w:id="14"/>
    </w:p>
    <w:p w14:paraId="72D6FE84" w14:textId="77777777" w:rsidR="004C3391" w:rsidRPr="0043349B" w:rsidRDefault="004C3391" w:rsidP="004C3391">
      <w:pPr>
        <w:pStyle w:val="Prrafodelista"/>
        <w:tabs>
          <w:tab w:val="left" w:pos="567"/>
        </w:tabs>
        <w:spacing w:line="360" w:lineRule="auto"/>
        <w:ind w:left="0"/>
        <w:jc w:val="both"/>
        <w:rPr>
          <w:rFonts w:ascii="Palatino Linotype" w:hAnsi="Palatino Linotype"/>
        </w:rPr>
      </w:pPr>
    </w:p>
    <w:p w14:paraId="4DC78C66" w14:textId="74124E7B" w:rsidR="00873348" w:rsidRPr="0043349B" w:rsidRDefault="004C3391" w:rsidP="0087334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43349B">
        <w:rPr>
          <w:rFonts w:ascii="Palatino Linotype" w:hAnsi="Palatino Linotype"/>
          <w:color w:val="000000" w:themeColor="text1"/>
        </w:rPr>
        <w:t xml:space="preserve">Antes de analizar este tema, es menester precisar que </w:t>
      </w:r>
      <w:r w:rsidR="00873348" w:rsidRPr="0043349B">
        <w:rPr>
          <w:rFonts w:ascii="Palatino Linotype" w:hAnsi="Palatino Linotype"/>
          <w:color w:val="000000" w:themeColor="text1"/>
        </w:rPr>
        <w:t xml:space="preserve">el artículo 1 de </w:t>
      </w:r>
      <w:r w:rsidR="00873348" w:rsidRPr="0043349B">
        <w:rPr>
          <w:rFonts w:ascii="Palatino Linotype" w:eastAsia="MS Mincho" w:hAnsi="Palatino Linotype" w:cs="Times New Roman"/>
          <w:color w:val="000000" w:themeColor="text1"/>
        </w:rPr>
        <w:t xml:space="preserve">la </w:t>
      </w:r>
      <w:r w:rsidR="00873348" w:rsidRPr="0043349B">
        <w:rPr>
          <w:rFonts w:ascii="Palatino Linotype" w:eastAsia="MS Mincho" w:hAnsi="Palatino Linotype" w:cs="Times New Roman"/>
          <w:b/>
          <w:color w:val="000000" w:themeColor="text1"/>
        </w:rPr>
        <w:t>Constitución Política de los Estados Unidos Mexicanos</w:t>
      </w:r>
      <w:r w:rsidR="00873348" w:rsidRPr="0043349B">
        <w:rPr>
          <w:rFonts w:ascii="Palatino Linotype" w:eastAsia="MS Mincho" w:hAnsi="Palatino Linotype" w:cs="Times New Roman"/>
          <w:color w:val="000000" w:themeColor="text1"/>
        </w:rPr>
        <w:t xml:space="preserve"> señala que </w:t>
      </w:r>
      <w:r w:rsidR="00873348" w:rsidRPr="0043349B">
        <w:rPr>
          <w:rFonts w:ascii="Palatino Linotype" w:hAnsi="Palatino Linotype"/>
        </w:rPr>
        <w:t xml:space="preserve">todas las personas gozarán de los derechos humanos </w:t>
      </w:r>
      <w:r w:rsidR="00873348" w:rsidRPr="0043349B">
        <w:rPr>
          <w:rFonts w:ascii="Palatino Linotype" w:hAnsi="Palatino Linotype"/>
          <w:b/>
          <w:u w:val="single"/>
        </w:rPr>
        <w:t>reconocidos en la Constitución y en los tratados internacionales</w:t>
      </w:r>
      <w:r w:rsidR="00873348" w:rsidRPr="0043349B">
        <w:rPr>
          <w:rFonts w:ascii="Palatino Linotype" w:hAnsi="Palatino Linotype"/>
        </w:rPr>
        <w:t xml:space="preserve"> de los que el Estado Mexicano sea parte, así como de las garantías para su protección, cuyo ejercicio no podrá restringirse ni suspenderse, salvo en los casos y bajo las condiciones que </w:t>
      </w:r>
      <w:r w:rsidR="00565407" w:rsidRPr="0043349B">
        <w:rPr>
          <w:rFonts w:ascii="Palatino Linotype" w:hAnsi="Palatino Linotype"/>
        </w:rPr>
        <w:t>la propia</w:t>
      </w:r>
      <w:r w:rsidR="00873348" w:rsidRPr="0043349B">
        <w:rPr>
          <w:rFonts w:ascii="Palatino Linotype" w:hAnsi="Palatino Linotype"/>
        </w:rPr>
        <w:t xml:space="preserve"> Constitución establece.</w:t>
      </w:r>
    </w:p>
    <w:p w14:paraId="3E8E339F" w14:textId="77777777" w:rsidR="00873348" w:rsidRPr="0043349B" w:rsidRDefault="00873348" w:rsidP="00565407">
      <w:pPr>
        <w:pStyle w:val="Prrafodelista"/>
        <w:spacing w:before="240" w:after="240" w:line="360" w:lineRule="auto"/>
        <w:ind w:left="0"/>
        <w:jc w:val="both"/>
        <w:rPr>
          <w:rFonts w:ascii="Palatino Linotype" w:eastAsia="MS Mincho" w:hAnsi="Palatino Linotype" w:cs="Times New Roman"/>
          <w:color w:val="000000" w:themeColor="text1"/>
        </w:rPr>
      </w:pPr>
    </w:p>
    <w:p w14:paraId="35C3371C" w14:textId="7E8822FB" w:rsidR="004C3391" w:rsidRPr="0043349B" w:rsidRDefault="00206EBF" w:rsidP="0061722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themeColor="text1"/>
        </w:rPr>
      </w:pPr>
      <w:r w:rsidRPr="0043349B">
        <w:rPr>
          <w:rFonts w:ascii="Palatino Linotype" w:hAnsi="Palatino Linotype"/>
          <w:color w:val="000000" w:themeColor="text1"/>
        </w:rPr>
        <w:t>E</w:t>
      </w:r>
      <w:r w:rsidR="004C3391" w:rsidRPr="0043349B">
        <w:rPr>
          <w:rFonts w:ascii="Palatino Linotype" w:hAnsi="Palatino Linotype"/>
          <w:color w:val="000000" w:themeColor="text1"/>
        </w:rPr>
        <w:t xml:space="preserve">ste </w:t>
      </w:r>
      <w:r w:rsidR="004C3391" w:rsidRPr="0043349B">
        <w:rPr>
          <w:rFonts w:ascii="Palatino Linotype" w:eastAsia="MS Mincho" w:hAnsi="Palatino Linotype" w:cs="Times New Roman"/>
          <w:color w:val="000000" w:themeColor="text1"/>
        </w:rPr>
        <w:t xml:space="preserve">Órgano Garante parte de que </w:t>
      </w:r>
      <w:r w:rsidR="004C3391" w:rsidRPr="0043349B">
        <w:rPr>
          <w:rFonts w:ascii="Palatino Linotype" w:eastAsia="Times New Roman" w:hAnsi="Palatino Linotype" w:cs="Arial"/>
          <w:color w:val="000000" w:themeColor="text1"/>
          <w:lang w:eastAsia="es-MX"/>
        </w:rPr>
        <w:t xml:space="preserve">el Derecho de Acceso a la Información Pública, </w:t>
      </w:r>
      <w:r w:rsidR="004C3391" w:rsidRPr="0043349B">
        <w:rPr>
          <w:rFonts w:ascii="Palatino Linotype" w:eastAsia="Times New Roman" w:hAnsi="Palatino Linotype" w:cs="Arial"/>
          <w:b/>
          <w:color w:val="000000" w:themeColor="text1"/>
          <w:lang w:eastAsia="es-MX"/>
        </w:rPr>
        <w:t>es un derecho humano</w:t>
      </w:r>
      <w:r w:rsidR="004C3391" w:rsidRPr="0043349B">
        <w:rPr>
          <w:rFonts w:ascii="Palatino Linotype" w:eastAsia="Times New Roman" w:hAnsi="Palatino Linotype" w:cs="Arial"/>
          <w:color w:val="000000" w:themeColor="text1"/>
          <w:lang w:eastAsia="es-MX"/>
        </w:rPr>
        <w:t xml:space="preserve">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4C3391" w:rsidRPr="0043349B">
        <w:rPr>
          <w:rFonts w:ascii="Palatino Linotype" w:eastAsia="Times New Roman" w:hAnsi="Palatino Linotype" w:cs="Arial"/>
          <w:color w:val="000000" w:themeColor="text1"/>
        </w:rPr>
        <w:t xml:space="preserve"> </w:t>
      </w:r>
      <w:r w:rsidR="004C3391" w:rsidRPr="0043349B">
        <w:rPr>
          <w:rFonts w:ascii="Palatino Linotype" w:eastAsia="Times New Roman" w:hAnsi="Palatino Linotype" w:cs="Arial"/>
          <w:b/>
          <w:color w:val="000000" w:themeColor="text1"/>
        </w:rPr>
        <w:t>SUJETO OBLIGADO</w:t>
      </w:r>
      <w:r w:rsidR="004C3391" w:rsidRPr="0043349B">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4C3391" w:rsidRPr="0043349B">
        <w:rPr>
          <w:rFonts w:ascii="Palatino Linotype" w:eastAsia="Times New Roman" w:hAnsi="Palatino Linotype" w:cs="Arial"/>
          <w:b/>
          <w:color w:val="000000" w:themeColor="text1"/>
        </w:rPr>
        <w:t xml:space="preserve">Constitución Política de los Estados Unidos Mexicanos </w:t>
      </w:r>
      <w:r w:rsidR="004C3391" w:rsidRPr="0043349B">
        <w:rPr>
          <w:rFonts w:ascii="Palatino Linotype" w:eastAsia="Times New Roman" w:hAnsi="Palatino Linotype" w:cs="Arial"/>
          <w:color w:val="000000" w:themeColor="text1"/>
        </w:rPr>
        <w:t xml:space="preserve">al señalar la obligación de “promover, </w:t>
      </w:r>
      <w:r w:rsidR="004C3391" w:rsidRPr="0043349B">
        <w:rPr>
          <w:rFonts w:ascii="Palatino Linotype" w:eastAsia="Times New Roman" w:hAnsi="Palatino Linotype" w:cs="Arial"/>
          <w:b/>
          <w:color w:val="000000" w:themeColor="text1"/>
        </w:rPr>
        <w:t>respetar</w:t>
      </w:r>
      <w:r w:rsidR="004C3391" w:rsidRPr="0043349B">
        <w:rPr>
          <w:rFonts w:ascii="Palatino Linotype" w:eastAsia="Times New Roman" w:hAnsi="Palatino Linotype" w:cs="Arial"/>
          <w:color w:val="000000" w:themeColor="text1"/>
        </w:rPr>
        <w:t xml:space="preserve">, proteger y </w:t>
      </w:r>
      <w:r w:rsidR="004C3391" w:rsidRPr="0043349B">
        <w:rPr>
          <w:rFonts w:ascii="Palatino Linotype" w:eastAsia="Times New Roman" w:hAnsi="Palatino Linotype" w:cs="Arial"/>
          <w:b/>
          <w:color w:val="000000" w:themeColor="text1"/>
        </w:rPr>
        <w:t>garantizar</w:t>
      </w:r>
      <w:r w:rsidR="004C3391" w:rsidRPr="0043349B">
        <w:rPr>
          <w:rFonts w:ascii="Palatino Linotype" w:eastAsia="Times New Roman" w:hAnsi="Palatino Linotype" w:cs="Arial"/>
          <w:color w:val="000000" w:themeColor="text1"/>
        </w:rPr>
        <w:t xml:space="preserve"> los derechos humanos”, entre los cua</w:t>
      </w:r>
      <w:r w:rsidR="0061722C" w:rsidRPr="0043349B">
        <w:rPr>
          <w:rFonts w:ascii="Palatino Linotype" w:eastAsia="Times New Roman" w:hAnsi="Palatino Linotype" w:cs="Arial"/>
          <w:color w:val="000000" w:themeColor="text1"/>
        </w:rPr>
        <w:t>les se encuentra dicho derecho.</w:t>
      </w:r>
    </w:p>
    <w:p w14:paraId="1D26013E" w14:textId="77777777" w:rsidR="004C3391" w:rsidRPr="0043349B" w:rsidRDefault="004C3391" w:rsidP="004C3391">
      <w:pPr>
        <w:numPr>
          <w:ilvl w:val="0"/>
          <w:numId w:val="1"/>
        </w:numPr>
        <w:spacing w:before="240" w:line="360" w:lineRule="auto"/>
        <w:ind w:left="0" w:firstLine="0"/>
        <w:contextualSpacing/>
        <w:jc w:val="both"/>
        <w:rPr>
          <w:rFonts w:ascii="Palatino Linotype" w:eastAsia="Times New Roman" w:hAnsi="Palatino Linotype"/>
          <w:color w:val="000000" w:themeColor="text1"/>
        </w:rPr>
      </w:pPr>
      <w:r w:rsidRPr="0043349B">
        <w:rPr>
          <w:rFonts w:ascii="Palatino Linotype" w:eastAsia="Times New Roman" w:hAnsi="Palatino Linotype"/>
          <w:color w:val="000000" w:themeColor="text1"/>
        </w:rPr>
        <w:t xml:space="preserve">Definiendo el Derecho de Acceso a la Información Pública como: </w:t>
      </w:r>
      <w:r w:rsidRPr="0043349B">
        <w:rPr>
          <w:rFonts w:ascii="Palatino Linotype" w:hAnsi="Palatino Linotype"/>
          <w:i/>
          <w:color w:val="000000" w:themeColor="text1"/>
        </w:rPr>
        <w:t xml:space="preserve">La igualdad de oportunidades para recibir, </w:t>
      </w:r>
      <w:r w:rsidRPr="0043349B">
        <w:rPr>
          <w:rFonts w:ascii="Palatino Linotype" w:hAnsi="Palatino Linotype"/>
          <w:b/>
          <w:i/>
          <w:color w:val="000000" w:themeColor="text1"/>
          <w:u w:val="single"/>
        </w:rPr>
        <w:t>buscar e impartir información</w:t>
      </w:r>
      <w:r w:rsidRPr="0043349B">
        <w:rPr>
          <w:rFonts w:ascii="Palatino Linotype" w:hAnsi="Palatino Linotype"/>
          <w:i/>
          <w:color w:val="000000" w:themeColor="text1"/>
          <w:vertAlign w:val="superscript"/>
        </w:rPr>
        <w:footnoteReference w:id="1"/>
      </w:r>
      <w:r w:rsidRPr="0043349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349B">
        <w:rPr>
          <w:rFonts w:ascii="Palatino Linotype" w:hAnsi="Palatino Linotype"/>
          <w:i/>
          <w:color w:val="000000" w:themeColor="text1"/>
          <w:vertAlign w:val="superscript"/>
        </w:rPr>
        <w:footnoteReference w:id="2"/>
      </w:r>
      <w:r w:rsidRPr="0043349B">
        <w:rPr>
          <w:rFonts w:ascii="Palatino Linotype" w:hAnsi="Palatino Linotype"/>
          <w:color w:val="000000" w:themeColor="text1"/>
        </w:rPr>
        <w:t>que se constituye como una herramienta fundamental para ejercer</w:t>
      </w:r>
      <w:r w:rsidRPr="0043349B">
        <w:rPr>
          <w:rFonts w:ascii="Palatino Linotype" w:hAnsi="Palatino Linotype"/>
          <w:i/>
          <w:color w:val="000000" w:themeColor="text1"/>
        </w:rPr>
        <w:t xml:space="preserve"> el control democrático de las gestiones estatales, </w:t>
      </w:r>
      <w:r w:rsidRPr="0043349B">
        <w:rPr>
          <w:rFonts w:ascii="Palatino Linotype" w:hAnsi="Palatino Linotype"/>
          <w:i/>
          <w:color w:val="000000" w:themeColor="text1"/>
        </w:rPr>
        <w:lastRenderedPageBreak/>
        <w:t>de forma tal que puedan cuestionar, indagar y considerar si se está dando un adecuado cumplimiento a las funciones públicas,</w:t>
      </w:r>
      <w:r w:rsidRPr="0043349B">
        <w:rPr>
          <w:rFonts w:ascii="Palatino Linotype" w:hAnsi="Palatino Linotype"/>
          <w:i/>
          <w:color w:val="000000" w:themeColor="text1"/>
          <w:vertAlign w:val="superscript"/>
        </w:rPr>
        <w:footnoteReference w:id="3"/>
      </w:r>
      <w:r w:rsidRPr="0043349B">
        <w:rPr>
          <w:rFonts w:ascii="Palatino Linotype" w:hAnsi="Palatino Linotype"/>
          <w:color w:val="000000" w:themeColor="text1"/>
        </w:rPr>
        <w:t>fomentando</w:t>
      </w:r>
      <w:r w:rsidRPr="0043349B">
        <w:rPr>
          <w:rFonts w:ascii="Palatino Linotype" w:hAnsi="Palatino Linotype"/>
          <w:i/>
          <w:color w:val="000000" w:themeColor="text1"/>
        </w:rPr>
        <w:t xml:space="preserve"> la transparencia de las actividades estatales y </w:t>
      </w:r>
      <w:r w:rsidRPr="0043349B">
        <w:rPr>
          <w:rFonts w:ascii="Palatino Linotype" w:hAnsi="Palatino Linotype"/>
          <w:color w:val="000000" w:themeColor="text1"/>
        </w:rPr>
        <w:t>promoviendo</w:t>
      </w:r>
      <w:r w:rsidRPr="0043349B">
        <w:rPr>
          <w:rFonts w:ascii="Palatino Linotype" w:hAnsi="Palatino Linotype"/>
          <w:i/>
          <w:color w:val="000000" w:themeColor="text1"/>
        </w:rPr>
        <w:t xml:space="preserve"> la responsabilidad de los funcionarios sobre su gestión pública,</w:t>
      </w:r>
      <w:r w:rsidRPr="0043349B">
        <w:rPr>
          <w:rFonts w:ascii="Palatino Linotype" w:hAnsi="Palatino Linotype"/>
          <w:i/>
          <w:color w:val="000000" w:themeColor="text1"/>
          <w:vertAlign w:val="superscript"/>
        </w:rPr>
        <w:footnoteReference w:id="4"/>
      </w:r>
      <w:r w:rsidRPr="0043349B">
        <w:rPr>
          <w:rFonts w:ascii="Palatino Linotype" w:hAnsi="Palatino Linotype"/>
          <w:color w:val="000000" w:themeColor="text1"/>
        </w:rPr>
        <w:t>que permite</w:t>
      </w:r>
      <w:r w:rsidRPr="0043349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47B2F7E9" w14:textId="77777777" w:rsidR="0061722C" w:rsidRPr="0043349B" w:rsidRDefault="0061722C" w:rsidP="004C3391">
      <w:pPr>
        <w:numPr>
          <w:ilvl w:val="0"/>
          <w:numId w:val="1"/>
        </w:numPr>
        <w:spacing w:before="240" w:line="360" w:lineRule="auto"/>
        <w:ind w:left="0" w:firstLine="0"/>
        <w:contextualSpacing/>
        <w:jc w:val="both"/>
        <w:rPr>
          <w:rFonts w:ascii="Palatino Linotype" w:eastAsia="Times New Roman" w:hAnsi="Palatino Linotype"/>
          <w:color w:val="000000" w:themeColor="text1"/>
        </w:rPr>
      </w:pPr>
    </w:p>
    <w:p w14:paraId="560A79B8" w14:textId="77777777" w:rsidR="004C3391" w:rsidRPr="0043349B" w:rsidRDefault="004C3391" w:rsidP="004C3391">
      <w:pPr>
        <w:pStyle w:val="Prrafodelista"/>
        <w:rPr>
          <w:rFonts w:ascii="Palatino Linotype" w:hAnsi="Palatino Linotype"/>
          <w:color w:val="000000" w:themeColor="text1"/>
        </w:rPr>
      </w:pPr>
    </w:p>
    <w:p w14:paraId="6AEC6BA5" w14:textId="77777777" w:rsidR="004C3391" w:rsidRPr="0043349B" w:rsidRDefault="004C3391" w:rsidP="004C3391">
      <w:pPr>
        <w:pStyle w:val="paragraph"/>
        <w:numPr>
          <w:ilvl w:val="0"/>
          <w:numId w:val="1"/>
        </w:numPr>
        <w:spacing w:before="0" w:beforeAutospacing="0" w:after="240" w:afterAutospacing="0" w:line="360" w:lineRule="auto"/>
        <w:ind w:left="0" w:right="-150" w:firstLine="0"/>
        <w:jc w:val="both"/>
        <w:textAlignment w:val="baseline"/>
        <w:rPr>
          <w:rFonts w:ascii="Palatino Linotype" w:hAnsi="Palatino Linotype" w:cs="Arial"/>
        </w:rPr>
      </w:pPr>
      <w:r w:rsidRPr="0043349B">
        <w:rPr>
          <w:rFonts w:ascii="Palatino Linotype" w:hAnsi="Palatino Linotype"/>
          <w:color w:val="000000" w:themeColor="text1"/>
        </w:rPr>
        <w:t xml:space="preserve">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 pues en el derecho de acceso a la información pública </w:t>
      </w:r>
      <w:r w:rsidRPr="0043349B">
        <w:rPr>
          <w:rFonts w:ascii="Palatino Linotype" w:hAnsi="Palatino Linotype" w:cs="Arial"/>
        </w:rPr>
        <w:t>la pretensión radica en que se permita el acceso a datos y todo tipo de documentación que tenga el carácter de información pública, que sea generada, administrada o se encuentre en posesión de los considerados sujetos obligados por la ley de la materia.</w:t>
      </w:r>
    </w:p>
    <w:p w14:paraId="0AEA970D" w14:textId="77777777" w:rsidR="004C3391" w:rsidRPr="0043349B" w:rsidRDefault="004C3391" w:rsidP="004C3391">
      <w:pPr>
        <w:pStyle w:val="paragraph"/>
        <w:numPr>
          <w:ilvl w:val="0"/>
          <w:numId w:val="1"/>
        </w:numPr>
        <w:spacing w:before="0" w:beforeAutospacing="0" w:after="240" w:afterAutospacing="0" w:line="360" w:lineRule="auto"/>
        <w:ind w:left="0" w:right="-150" w:firstLine="0"/>
        <w:jc w:val="both"/>
        <w:textAlignment w:val="baseline"/>
        <w:rPr>
          <w:rFonts w:ascii="Palatino Linotype" w:hAnsi="Palatino Linotype" w:cs="Arial"/>
        </w:rPr>
      </w:pPr>
      <w:r w:rsidRPr="0043349B">
        <w:rPr>
          <w:rFonts w:ascii="Palatino Linotype" w:hAnsi="Palatino Linotype" w:cs="Arial"/>
        </w:rPr>
        <w:t xml:space="preserve">Para robustecer lo antes expuesto resulta conveniente citar a José Guadalupe Robles, quien conceptualiza el derecho a la información como “un derecho fundamental tanto de carácter individual como colectivo, cuyas limitaciones deben estar establecidas en la ley, así como una garantía de que la información sea tramitada con claridad y objetividad, por cuanto a que es un ben jurídico que coadyuva al </w:t>
      </w:r>
      <w:r w:rsidRPr="0043349B">
        <w:rPr>
          <w:rFonts w:ascii="Palatino Linotype" w:hAnsi="Palatino Linotype" w:cs="Arial"/>
        </w:rPr>
        <w:lastRenderedPageBreak/>
        <w:t>desarrollo de las personas y a la formación de opinión pública de calidad para poder participar y luego influir en la vida pública.</w:t>
      </w:r>
      <w:r w:rsidRPr="0043349B">
        <w:rPr>
          <w:rStyle w:val="Refdenotaalpie"/>
          <w:rFonts w:ascii="Palatino Linotype" w:hAnsi="Palatino Linotype" w:cs="Arial"/>
        </w:rPr>
        <w:footnoteReference w:id="5"/>
      </w:r>
      <w:r w:rsidRPr="0043349B">
        <w:rPr>
          <w:rFonts w:ascii="Palatino Linotype" w:hAnsi="Palatino Linotype" w:cs="Arial"/>
        </w:rPr>
        <w:t>”</w:t>
      </w:r>
    </w:p>
    <w:p w14:paraId="64B175CF" w14:textId="77777777" w:rsidR="004C3391" w:rsidRPr="0043349B" w:rsidRDefault="004C3391" w:rsidP="004C3391">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3349B">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43349B">
        <w:rPr>
          <w:rFonts w:ascii="Palatino Linotype" w:hAnsi="Palatino Linotype"/>
          <w:color w:val="000000" w:themeColor="text1"/>
        </w:rPr>
        <w:t>Villanueva</w:t>
      </w:r>
      <w:proofErr w:type="spellEnd"/>
      <w:r w:rsidRPr="0043349B">
        <w:rPr>
          <w:rFonts w:ascii="Palatino Linotype" w:hAnsi="Palatino Linotype"/>
          <w:color w:val="000000" w:themeColor="text1"/>
        </w:rPr>
        <w:t xml:space="preserve"> que dice: “</w:t>
      </w:r>
      <w:r w:rsidRPr="0043349B">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43349B">
        <w:rPr>
          <w:rStyle w:val="Refdenotaalpie"/>
          <w:rFonts w:ascii="Palatino Linotype" w:hAnsi="Palatino Linotype"/>
          <w:i/>
          <w:iCs/>
          <w:color w:val="000000" w:themeColor="text1"/>
        </w:rPr>
        <w:footnoteReference w:id="6"/>
      </w:r>
      <w:r w:rsidRPr="0043349B">
        <w:rPr>
          <w:rFonts w:ascii="Palatino Linotype" w:hAnsi="Palatino Linotype"/>
          <w:i/>
          <w:iCs/>
          <w:color w:val="000000" w:themeColor="text1"/>
        </w:rPr>
        <w:t>.</w:t>
      </w:r>
    </w:p>
    <w:p w14:paraId="070166DC" w14:textId="77777777" w:rsidR="004C3391" w:rsidRPr="0043349B" w:rsidRDefault="004C3391" w:rsidP="004C3391">
      <w:pPr>
        <w:pStyle w:val="Prrafodelista"/>
        <w:spacing w:before="240" w:after="360"/>
        <w:ind w:left="0"/>
        <w:jc w:val="both"/>
        <w:rPr>
          <w:rFonts w:ascii="Palatino Linotype" w:hAnsi="Palatino Linotype" w:cs="Arial"/>
          <w:lang w:val="es-MX"/>
        </w:rPr>
      </w:pPr>
    </w:p>
    <w:p w14:paraId="5BD3C589" w14:textId="77777777" w:rsidR="004C3391" w:rsidRPr="0043349B" w:rsidRDefault="004C3391" w:rsidP="004C3391">
      <w:pPr>
        <w:pStyle w:val="Prrafodelista"/>
        <w:numPr>
          <w:ilvl w:val="0"/>
          <w:numId w:val="1"/>
        </w:numPr>
        <w:spacing w:line="360" w:lineRule="auto"/>
        <w:ind w:left="0" w:right="49" w:firstLine="0"/>
        <w:jc w:val="both"/>
        <w:rPr>
          <w:rFonts w:ascii="Palatino Linotype" w:eastAsia="Calibri" w:hAnsi="Palatino Linotype" w:cs="Arial"/>
          <w:lang w:val="es-ES"/>
        </w:rPr>
      </w:pPr>
      <w:r w:rsidRPr="0043349B">
        <w:rPr>
          <w:rFonts w:ascii="Palatino Linotype" w:hAnsi="Palatino Linotype"/>
          <w:color w:val="000000" w:themeColor="text1"/>
        </w:rPr>
        <w:t xml:space="preserve">Robustece lo anterior expuesto el primer párrafo del artículo 160 de la </w:t>
      </w:r>
      <w:r w:rsidRPr="0043349B">
        <w:rPr>
          <w:rFonts w:ascii="Palatino Linotype" w:hAnsi="Palatino Linotype"/>
          <w:b/>
        </w:rPr>
        <w:t xml:space="preserve">Ley de Transparencia y Acceso a la Información Pública del Estado de México y Municipios, </w:t>
      </w:r>
      <w:r w:rsidRPr="0043349B">
        <w:rPr>
          <w:rFonts w:ascii="Palatino Linotype" w:hAnsi="Palatino Linotype" w:cs="Tahoma"/>
        </w:rPr>
        <w:t>que a la letra dispone:</w:t>
      </w:r>
    </w:p>
    <w:p w14:paraId="664DFAC6" w14:textId="77777777" w:rsidR="004C3391" w:rsidRPr="0043349B" w:rsidRDefault="004C3391" w:rsidP="004C3391">
      <w:pPr>
        <w:pStyle w:val="Prrafodelista"/>
        <w:spacing w:before="240" w:after="360"/>
        <w:ind w:left="0"/>
        <w:jc w:val="both"/>
        <w:rPr>
          <w:rFonts w:ascii="Palatino Linotype" w:hAnsi="Palatino Linotype" w:cs="Arial"/>
          <w:lang w:val="es-MX"/>
        </w:rPr>
      </w:pPr>
    </w:p>
    <w:p w14:paraId="589A6E3F" w14:textId="77777777" w:rsidR="004C3391" w:rsidRPr="0043349B" w:rsidRDefault="004C3391" w:rsidP="004C3391">
      <w:pPr>
        <w:pStyle w:val="Prrafodelista"/>
        <w:spacing w:before="240" w:after="360" w:line="360" w:lineRule="auto"/>
        <w:ind w:left="567" w:right="567"/>
        <w:jc w:val="both"/>
        <w:rPr>
          <w:rFonts w:ascii="Palatino Linotype" w:hAnsi="Palatino Linotype" w:cs="Arial"/>
          <w:i/>
          <w:sz w:val="22"/>
          <w:szCs w:val="22"/>
          <w:lang w:val="es-MX"/>
        </w:rPr>
      </w:pPr>
      <w:r w:rsidRPr="0043349B">
        <w:rPr>
          <w:rFonts w:ascii="Palatino Linotype" w:hAnsi="Palatino Linotype"/>
          <w:b/>
          <w:i/>
          <w:sz w:val="22"/>
          <w:szCs w:val="22"/>
        </w:rPr>
        <w:t>Artículo 160.</w:t>
      </w:r>
      <w:r w:rsidRPr="0043349B">
        <w:rPr>
          <w:rFonts w:ascii="Palatino Linotype" w:hAnsi="Palatino Linotype"/>
          <w:i/>
          <w:sz w:val="22"/>
          <w:szCs w:val="22"/>
        </w:rPr>
        <w:t xml:space="preserve"> Los sujetos obligados deberán otorgar acceso a los </w:t>
      </w:r>
      <w:r w:rsidRPr="0043349B">
        <w:rPr>
          <w:rFonts w:ascii="Palatino Linotype" w:hAnsi="Palatino Linotype"/>
          <w:b/>
          <w:i/>
          <w:sz w:val="22"/>
          <w:szCs w:val="22"/>
          <w:u w:val="single"/>
        </w:rPr>
        <w:t xml:space="preserve">documentos </w:t>
      </w:r>
      <w:r w:rsidRPr="0043349B">
        <w:rPr>
          <w:rFonts w:ascii="Palatino Linotype" w:hAnsi="Palatino Linotype"/>
          <w:i/>
          <w:sz w:val="22"/>
          <w:szCs w:val="22"/>
        </w:rPr>
        <w:t>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844B71" w14:textId="77777777" w:rsidR="004C3391" w:rsidRPr="0043349B" w:rsidRDefault="004C3391" w:rsidP="004C3391">
      <w:pPr>
        <w:pStyle w:val="Prrafodelista"/>
        <w:tabs>
          <w:tab w:val="left" w:pos="0"/>
        </w:tabs>
        <w:spacing w:line="360" w:lineRule="auto"/>
        <w:ind w:left="0"/>
        <w:jc w:val="both"/>
        <w:rPr>
          <w:rFonts w:ascii="Palatino Linotype" w:eastAsia="Times New Roman" w:hAnsi="Palatino Linotype" w:cs="Arial"/>
          <w:color w:val="000000" w:themeColor="text1"/>
        </w:rPr>
      </w:pPr>
    </w:p>
    <w:p w14:paraId="694EFEBF" w14:textId="60AD5636" w:rsidR="004C3391" w:rsidRPr="0043349B" w:rsidRDefault="004C3391" w:rsidP="004C3391">
      <w:pPr>
        <w:pStyle w:val="Prrafodelista"/>
        <w:numPr>
          <w:ilvl w:val="0"/>
          <w:numId w:val="1"/>
        </w:numPr>
        <w:spacing w:before="240" w:after="360" w:line="360" w:lineRule="auto"/>
        <w:ind w:left="0" w:firstLine="0"/>
        <w:jc w:val="both"/>
        <w:rPr>
          <w:rFonts w:ascii="Palatino Linotype" w:hAnsi="Palatino Linotype" w:cs="Arial"/>
          <w:lang w:val="es-MX"/>
        </w:rPr>
      </w:pPr>
      <w:r w:rsidRPr="0043349B">
        <w:rPr>
          <w:rFonts w:ascii="Palatino Linotype" w:hAnsi="Palatino Linotype"/>
          <w:color w:val="000000" w:themeColor="text1"/>
        </w:rPr>
        <w:lastRenderedPageBreak/>
        <w:t>En esa virtud, -se reitera-</w:t>
      </w:r>
      <w:r w:rsidR="0002189F" w:rsidRPr="0043349B">
        <w:rPr>
          <w:rFonts w:ascii="Palatino Linotype" w:hAnsi="Palatino Linotype"/>
          <w:color w:val="000000" w:themeColor="text1"/>
        </w:rPr>
        <w:t>el SUJETO OBLIGADO</w:t>
      </w:r>
      <w:r w:rsidR="00206EBF" w:rsidRPr="0043349B">
        <w:rPr>
          <w:rStyle w:val="apple-converted-space"/>
          <w:rFonts w:ascii="Palatino Linotype" w:hAnsi="Palatino Linotype"/>
          <w:color w:val="000000" w:themeColor="text1"/>
        </w:rPr>
        <w:t xml:space="preserve">, </w:t>
      </w:r>
      <w:r w:rsidR="0002189F" w:rsidRPr="0043349B">
        <w:rPr>
          <w:rFonts w:ascii="Palatino Linotype" w:hAnsi="Palatino Linotype"/>
          <w:color w:val="000000" w:themeColor="text1"/>
        </w:rPr>
        <w:t>está constreñido</w:t>
      </w:r>
      <w:r w:rsidRPr="0043349B">
        <w:rPr>
          <w:rFonts w:ascii="Palatino Linotype" w:hAnsi="Palatino Linotype"/>
          <w:color w:val="000000" w:themeColor="text1"/>
        </w:rPr>
        <w:t xml:space="preserve"> a entregar los documentos en los que conste la información que sea generada, poseída o administrada </w:t>
      </w:r>
      <w:r w:rsidRPr="0043349B">
        <w:rPr>
          <w:rFonts w:ascii="Palatino Linotype" w:hAnsi="Palatino Linotype"/>
          <w:b/>
          <w:color w:val="000000" w:themeColor="text1"/>
          <w:u w:val="single"/>
        </w:rPr>
        <w:t>en el ejercicio de sus atribuciones</w:t>
      </w:r>
      <w:r w:rsidRPr="0043349B">
        <w:rPr>
          <w:rFonts w:ascii="Palatino Linotype" w:hAnsi="Palatino Linotype"/>
          <w:color w:val="000000" w:themeColor="text1"/>
        </w:rPr>
        <w:t xml:space="preserve">, como son: </w:t>
      </w:r>
      <w:r w:rsidRPr="0043349B">
        <w:rPr>
          <w:rFonts w:ascii="Palatino Linotype" w:hAnsi="Palatino Linotyp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r w:rsidRPr="0043349B">
        <w:rPr>
          <w:rStyle w:val="Refdenotaalpie"/>
          <w:rFonts w:ascii="Palatino Linotype" w:hAnsi="Palatino Linotype"/>
        </w:rPr>
        <w:footnoteReference w:id="7"/>
      </w:r>
      <w:r w:rsidRPr="0043349B">
        <w:rPr>
          <w:rFonts w:ascii="Palatino Linotype" w:hAnsi="Palatino Linotype"/>
          <w:color w:val="000000" w:themeColor="text1"/>
        </w:rPr>
        <w:t>, etc.</w:t>
      </w:r>
    </w:p>
    <w:p w14:paraId="31EB9145" w14:textId="77777777" w:rsidR="00206EBF" w:rsidRPr="0043349B" w:rsidRDefault="00206EBF" w:rsidP="00206EBF">
      <w:pPr>
        <w:pStyle w:val="Prrafodelista"/>
        <w:spacing w:before="240" w:after="360" w:line="360" w:lineRule="auto"/>
        <w:ind w:left="0"/>
        <w:jc w:val="both"/>
        <w:rPr>
          <w:rFonts w:ascii="Palatino Linotype" w:hAnsi="Palatino Linotype" w:cs="Arial"/>
          <w:lang w:val="es-MX"/>
        </w:rPr>
      </w:pPr>
    </w:p>
    <w:p w14:paraId="0A637B6A" w14:textId="6102A373" w:rsidR="0002189F" w:rsidRPr="0043349B" w:rsidRDefault="0002189F" w:rsidP="00696880">
      <w:pPr>
        <w:pStyle w:val="paragraph"/>
        <w:numPr>
          <w:ilvl w:val="0"/>
          <w:numId w:val="1"/>
        </w:numPr>
        <w:spacing w:before="0" w:beforeAutospacing="0" w:after="0" w:afterAutospacing="0" w:line="360" w:lineRule="auto"/>
        <w:ind w:left="0" w:right="-150" w:firstLine="0"/>
        <w:jc w:val="both"/>
        <w:textAlignment w:val="baseline"/>
        <w:rPr>
          <w:rFonts w:ascii="Palatino Linotype" w:hAnsi="Palatino Linotype" w:cs="Arial"/>
          <w:b/>
        </w:rPr>
      </w:pPr>
      <w:r w:rsidRPr="0043349B">
        <w:rPr>
          <w:rFonts w:ascii="Palatino Linotype" w:hAnsi="Palatino Linotype"/>
          <w:color w:val="000000"/>
        </w:rPr>
        <w:t xml:space="preserve">De lo apuntado hasta aquí se advierte que se deberá dar </w:t>
      </w:r>
      <w:r w:rsidR="00696880" w:rsidRPr="0043349B">
        <w:rPr>
          <w:rFonts w:ascii="Palatino Linotype" w:hAnsi="Palatino Linotype"/>
          <w:color w:val="000000"/>
        </w:rPr>
        <w:t>acceso</w:t>
      </w:r>
      <w:r w:rsidRPr="0043349B">
        <w:rPr>
          <w:rFonts w:ascii="Palatino Linotype" w:hAnsi="Palatino Linotype"/>
          <w:color w:val="000000"/>
        </w:rPr>
        <w:t xml:space="preserve"> a toda la información que se</w:t>
      </w:r>
      <w:r w:rsidR="00696880" w:rsidRPr="0043349B">
        <w:rPr>
          <w:rFonts w:ascii="Palatino Linotype" w:hAnsi="Palatino Linotype"/>
          <w:color w:val="000000"/>
        </w:rPr>
        <w:t>a generada o bien se</w:t>
      </w:r>
      <w:r w:rsidRPr="0043349B">
        <w:rPr>
          <w:rFonts w:ascii="Palatino Linotype" w:hAnsi="Palatino Linotype" w:cs="Arial"/>
        </w:rPr>
        <w:t xml:space="preserve"> encuentre en posesión de los considerados sujetos obligados por la ley de la materia, siendo la </w:t>
      </w:r>
      <w:r w:rsidRPr="0043349B">
        <w:rPr>
          <w:rFonts w:ascii="Palatino Linotype" w:hAnsi="Palatino Linotype" w:cs="Arial"/>
          <w:b/>
        </w:rPr>
        <w:t>Fiscalía General de Justicia del Estado de México</w:t>
      </w:r>
      <w:r w:rsidRPr="0043349B">
        <w:rPr>
          <w:rFonts w:ascii="Palatino Linotype" w:hAnsi="Palatino Linotype" w:cs="Arial"/>
        </w:rPr>
        <w:t xml:space="preserve"> un </w:t>
      </w:r>
      <w:r w:rsidRPr="0043349B">
        <w:rPr>
          <w:rFonts w:ascii="Palatino Linotype" w:hAnsi="Palatino Linotype" w:cs="Arial"/>
          <w:b/>
        </w:rPr>
        <w:t>SUJETO OBLIGADO</w:t>
      </w:r>
      <w:r w:rsidR="000522F6" w:rsidRPr="0043349B">
        <w:rPr>
          <w:rStyle w:val="Refdenotaalpie"/>
          <w:rFonts w:ascii="Palatino Linotype" w:hAnsi="Palatino Linotype" w:cs="Arial"/>
          <w:b/>
        </w:rPr>
        <w:footnoteReference w:id="8"/>
      </w:r>
      <w:r w:rsidRPr="0043349B">
        <w:rPr>
          <w:rFonts w:ascii="Palatino Linotype" w:hAnsi="Palatino Linotype" w:cs="Arial"/>
        </w:rPr>
        <w:t xml:space="preserve"> </w:t>
      </w:r>
      <w:r w:rsidR="00696880" w:rsidRPr="0043349B">
        <w:rPr>
          <w:rFonts w:ascii="Palatino Linotype" w:hAnsi="Palatino Linotype" w:cs="Arial"/>
        </w:rPr>
        <w:t xml:space="preserve">en materia de transparencia de conformidad con el numeral 112 del </w:t>
      </w:r>
      <w:r w:rsidR="00696880" w:rsidRPr="0043349B">
        <w:rPr>
          <w:rFonts w:ascii="Palatino Linotype" w:hAnsi="Palatino Linotype"/>
          <w:b/>
        </w:rPr>
        <w:t>Acuerdo mediante el cual se aprueba el padrón de Sujetos Obligados en materia de Transparencia y Acceso a la Información Pública del Estado de México y Municipios.</w:t>
      </w:r>
    </w:p>
    <w:p w14:paraId="3C98CB9E" w14:textId="77777777" w:rsidR="00206EBF" w:rsidRPr="0043349B" w:rsidRDefault="00206EBF" w:rsidP="0002189F">
      <w:pPr>
        <w:pStyle w:val="Prrafodelista"/>
        <w:spacing w:line="360" w:lineRule="auto"/>
        <w:ind w:left="0"/>
        <w:jc w:val="both"/>
        <w:rPr>
          <w:rFonts w:ascii="Palatino Linotype" w:hAnsi="Palatino Linotype" w:cs="Arial"/>
          <w:lang w:val="es-MX"/>
        </w:rPr>
      </w:pPr>
    </w:p>
    <w:p w14:paraId="168FD748" w14:textId="77777777" w:rsidR="004C3391" w:rsidRPr="0043349B" w:rsidRDefault="004C3391" w:rsidP="004C3391">
      <w:pPr>
        <w:pStyle w:val="Ttulo1"/>
      </w:pPr>
      <w:bookmarkStart w:id="15" w:name="_Toc48151960"/>
      <w:r w:rsidRPr="0043349B">
        <w:lastRenderedPageBreak/>
        <w:t>II. De las atribuciones del SUJETO OBLIGADO.</w:t>
      </w:r>
      <w:bookmarkEnd w:id="15"/>
    </w:p>
    <w:p w14:paraId="27429C3B" w14:textId="77777777" w:rsidR="004C3391" w:rsidRPr="0043349B" w:rsidRDefault="004C3391" w:rsidP="004C3391">
      <w:pPr>
        <w:pStyle w:val="Prrafodelista"/>
        <w:spacing w:before="240" w:after="360" w:line="360" w:lineRule="auto"/>
        <w:ind w:left="0"/>
        <w:jc w:val="both"/>
        <w:rPr>
          <w:rFonts w:ascii="Palatino Linotype" w:hAnsi="Palatino Linotype" w:cs="Arial"/>
          <w:lang w:val="es-MX"/>
        </w:rPr>
      </w:pPr>
    </w:p>
    <w:p w14:paraId="41704A51"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Como es sabido </w:t>
      </w:r>
      <w:r w:rsidRPr="0043349B">
        <w:rPr>
          <w:rFonts w:ascii="Palatino Linotype" w:hAnsi="Palatino Linotype"/>
        </w:rPr>
        <w:t>nuestra Carta Magna y nuestra Constitución local disponen que “</w:t>
      </w:r>
      <w:r w:rsidRPr="0043349B">
        <w:rPr>
          <w:rFonts w:ascii="Palatino Linotype" w:hAnsi="Palatino Linotype"/>
          <w:i/>
        </w:rPr>
        <w:t>La investigación de los delitos corresponde al Ministerio Público y a las policías, las cuales actuarán bajo la conducción y mando de aquél en el ejercicio de esta función</w:t>
      </w:r>
      <w:r w:rsidRPr="0043349B">
        <w:rPr>
          <w:rFonts w:ascii="Palatino Linotype" w:hAnsi="Palatino Linotype"/>
        </w:rPr>
        <w:t>”</w:t>
      </w:r>
      <w:r w:rsidRPr="0043349B">
        <w:rPr>
          <w:rStyle w:val="Refdenotaalpie"/>
          <w:rFonts w:ascii="Palatino Linotype" w:hAnsi="Palatino Linotype"/>
        </w:rPr>
        <w:footnoteReference w:id="9"/>
      </w:r>
    </w:p>
    <w:p w14:paraId="0BDFD8D3"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258DD080"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Asimismo de conformidad con el artículo 127 del </w:t>
      </w:r>
      <w:r w:rsidRPr="0043349B">
        <w:rPr>
          <w:rFonts w:ascii="Palatino Linotype" w:hAnsi="Palatino Linotype"/>
          <w:b/>
        </w:rPr>
        <w:t>Código Nacional de Procedimientos Penales</w:t>
      </w:r>
      <w:r w:rsidRPr="0043349B">
        <w:rPr>
          <w:rFonts w:ascii="Palatino Linotype" w:hAnsi="Palatino Linotype"/>
        </w:rPr>
        <w:t xml:space="preserve"> compete al Ministerio Público conducir la investigación,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14:paraId="4C847AAB" w14:textId="77777777" w:rsidR="004C3391" w:rsidRPr="0043349B" w:rsidRDefault="004C3391" w:rsidP="004C3391">
      <w:pPr>
        <w:pStyle w:val="Prrafodelista"/>
        <w:rPr>
          <w:rFonts w:ascii="Palatino Linotype" w:hAnsi="Palatino Linotype"/>
          <w:color w:val="000000"/>
        </w:rPr>
      </w:pPr>
    </w:p>
    <w:p w14:paraId="1162C67E"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El Ministerio Público </w:t>
      </w:r>
      <w:r w:rsidRPr="0043349B">
        <w:rPr>
          <w:rFonts w:ascii="Palatino Linotype" w:hAnsi="Palatino Linotype"/>
        </w:rPr>
        <w:t>se integra en una Fiscalía General de Justicia</w:t>
      </w:r>
      <w:r w:rsidRPr="0043349B">
        <w:rPr>
          <w:rFonts w:ascii="Palatino Linotype" w:hAnsi="Palatino Linotype"/>
          <w:i/>
        </w:rPr>
        <w:t xml:space="preserve"> </w:t>
      </w:r>
      <w:r w:rsidRPr="0043349B">
        <w:rPr>
          <w:rFonts w:ascii="Palatino Linotype" w:hAnsi="Palatino Linotype"/>
        </w:rPr>
        <w:t>dependencia que de acuerdo a</w:t>
      </w:r>
      <w:r w:rsidRPr="0043349B">
        <w:rPr>
          <w:rFonts w:ascii="Palatino Linotype" w:hAnsi="Palatino Linotype"/>
          <w:i/>
        </w:rPr>
        <w:t xml:space="preserve"> </w:t>
      </w:r>
      <w:r w:rsidRPr="0043349B">
        <w:rPr>
          <w:rFonts w:ascii="Palatino Linotype" w:hAnsi="Palatino Linotype"/>
        </w:rPr>
        <w:t>la Constitución local es un</w:t>
      </w:r>
      <w:r w:rsidRPr="0043349B">
        <w:rPr>
          <w:rFonts w:ascii="Palatino Linotype" w:hAnsi="Palatino Linotype"/>
          <w:i/>
        </w:rPr>
        <w:t xml:space="preserve"> “ órgano público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w:t>
      </w:r>
      <w:r w:rsidRPr="0043349B">
        <w:t>”</w:t>
      </w:r>
      <w:r w:rsidRPr="0043349B">
        <w:rPr>
          <w:rStyle w:val="Refdenotaalpie"/>
        </w:rPr>
        <w:footnoteReference w:id="10"/>
      </w:r>
      <w:r w:rsidRPr="0043349B">
        <w:t>.</w:t>
      </w:r>
    </w:p>
    <w:p w14:paraId="1565977C" w14:textId="77777777" w:rsidR="004C3391" w:rsidRPr="0043349B" w:rsidRDefault="004C3391" w:rsidP="004C3391">
      <w:pPr>
        <w:pStyle w:val="Prrafodelista"/>
        <w:rPr>
          <w:rFonts w:ascii="Palatino Linotype" w:hAnsi="Palatino Linotype"/>
          <w:color w:val="000000"/>
        </w:rPr>
      </w:pPr>
    </w:p>
    <w:p w14:paraId="75711D00"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lastRenderedPageBreak/>
        <w:t xml:space="preserve">Por su parte la </w:t>
      </w:r>
      <w:r w:rsidRPr="0043349B">
        <w:rPr>
          <w:rFonts w:ascii="Palatino Linotype" w:hAnsi="Palatino Linotype"/>
          <w:b/>
        </w:rPr>
        <w:t>Ley de la Fiscalía General de Justicia del Estado de México</w:t>
      </w:r>
      <w:r w:rsidRPr="0043349B">
        <w:rPr>
          <w:rFonts w:ascii="Palatino Linotype" w:hAnsi="Palatino Linotype"/>
        </w:rPr>
        <w:t xml:space="preserve"> establece en su artículo 33 que el Ministerio Público es una institución única e indivisible, que funge como representante social en los intereses de quienes sean lesionadas o lesionados en sus derechos, a través de la investigación y persecución de los delitos y el ejercicio de la acción penal ante los tribunales competentes. Solo en los casos establecidos en la Constitución Federal y el Código Nacional, las y los particulares podrán ejercitar acción penal directamente.</w:t>
      </w:r>
    </w:p>
    <w:p w14:paraId="0F72889B" w14:textId="77777777" w:rsidR="004C3391" w:rsidRPr="0043349B" w:rsidRDefault="004C3391" w:rsidP="004C3391">
      <w:pPr>
        <w:pStyle w:val="Prrafodelista"/>
        <w:rPr>
          <w:rFonts w:ascii="Palatino Linotype" w:hAnsi="Palatino Linotype"/>
          <w:color w:val="000000"/>
        </w:rPr>
      </w:pPr>
    </w:p>
    <w:p w14:paraId="37EF62AC"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Correlativo a ello el </w:t>
      </w:r>
      <w:r w:rsidRPr="0043349B">
        <w:rPr>
          <w:rFonts w:ascii="Palatino Linotype" w:hAnsi="Palatino Linotype"/>
          <w:b/>
        </w:rPr>
        <w:t>Código Nacional de Procedimientos Penales</w:t>
      </w:r>
      <w:r w:rsidRPr="0043349B">
        <w:rPr>
          <w:rFonts w:ascii="Palatino Linotype" w:hAnsi="Palatino Linotype"/>
        </w:rPr>
        <w:t xml:space="preserve"> en su artículo 128 dispone que el Ministerio Público </w:t>
      </w:r>
      <w:r w:rsidRPr="0043349B">
        <w:rPr>
          <w:rFonts w:ascii="Palatino Linotype" w:hAnsi="Palatino Linotype"/>
          <w:b/>
          <w:u w:val="single"/>
        </w:rPr>
        <w:t>deberá proporcionar información veraz sobre los hechos, sobre los hallazgos en la investigación</w:t>
      </w:r>
      <w:r w:rsidRPr="0043349B">
        <w:rPr>
          <w:rFonts w:ascii="Palatino Linotype" w:hAnsi="Palatino Linotype"/>
        </w:rPr>
        <w:t xml:space="preserve"> y tendrá el deber de no ocultar a los intervinientes elemento alguno que pudiera resultar favorable para la posición que ellos asumen, sobre todo cuando resuelva no incorporar alguno de esos elementos al procedimiento, salvo la reserva que en determinados casos la ley autorice en las investigaciones.</w:t>
      </w:r>
    </w:p>
    <w:p w14:paraId="75A93B72" w14:textId="77777777" w:rsidR="004C3391" w:rsidRPr="0043349B" w:rsidRDefault="004C3391" w:rsidP="004C3391">
      <w:pPr>
        <w:pStyle w:val="Prrafodelista"/>
        <w:rPr>
          <w:rFonts w:ascii="Palatino Linotype" w:hAnsi="Palatino Linotype" w:cs="Arial"/>
          <w:color w:val="000000"/>
          <w:lang w:val="es-MX"/>
        </w:rPr>
      </w:pPr>
    </w:p>
    <w:p w14:paraId="785A71E2"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i/>
          <w:color w:val="000000"/>
        </w:rPr>
      </w:pPr>
      <w:r w:rsidRPr="0043349B">
        <w:rPr>
          <w:rFonts w:ascii="Palatino Linotype" w:hAnsi="Palatino Linotype" w:cs="Arial"/>
          <w:color w:val="000000"/>
          <w:lang w:val="es-MX"/>
        </w:rPr>
        <w:t>El Código Nacional también establece que la investigación que el Ministerio público realice debe ser “</w:t>
      </w:r>
      <w:r w:rsidRPr="0043349B">
        <w:rPr>
          <w:rFonts w:ascii="Palatino Linotype" w:hAnsi="Palatino Linotype" w:cs="Arial"/>
          <w:i/>
          <w:color w:val="000000"/>
          <w:lang w:val="es-MX"/>
        </w:rPr>
        <w:t>objetiva y referirse tanto a los elementos de cargo como de descargo y conducida con la debida diligencia, a efecto de garantizar el respeto de los derechos de las partes y el debido proceso</w:t>
      </w:r>
      <w:r w:rsidRPr="0043349B">
        <w:rPr>
          <w:rFonts w:ascii="Palatino Linotype" w:hAnsi="Palatino Linotype" w:cs="Arial"/>
          <w:color w:val="000000"/>
          <w:lang w:val="es-MX"/>
        </w:rPr>
        <w:t>” y que “</w:t>
      </w:r>
      <w:r w:rsidRPr="0043349B">
        <w:rPr>
          <w:rFonts w:ascii="Palatino Linotype" w:hAnsi="Palatino Linotype" w:cs="Arial"/>
          <w:i/>
          <w:color w:val="000000"/>
          <w:lang w:val="es-MX"/>
        </w:rPr>
        <w:t xml:space="preserve">durante la investigación, tanto el imputado como su Defensor, así como la víctima o el ofendido, </w:t>
      </w:r>
      <w:r w:rsidRPr="0043349B">
        <w:rPr>
          <w:rFonts w:ascii="Palatino Linotype" w:hAnsi="Palatino Linotype" w:cs="Arial"/>
          <w:b/>
          <w:i/>
          <w:color w:val="000000"/>
          <w:u w:val="single"/>
          <w:lang w:val="es-MX"/>
        </w:rPr>
        <w:t xml:space="preserve">podrán solicitar al Ministerio Público </w:t>
      </w:r>
      <w:r w:rsidRPr="0043349B">
        <w:rPr>
          <w:rFonts w:ascii="Palatino Linotype" w:hAnsi="Palatino Linotype" w:cs="Arial"/>
          <w:b/>
          <w:i/>
          <w:color w:val="000000"/>
          <w:u w:val="single"/>
          <w:lang w:val="es-MX"/>
        </w:rPr>
        <w:lastRenderedPageBreak/>
        <w:t>todos aquellos actos de investigación que consideraren pertinentes y útiles para el esclarecimiento de los hechos</w:t>
      </w:r>
      <w:r w:rsidRPr="0043349B">
        <w:rPr>
          <w:rFonts w:ascii="Palatino Linotype" w:hAnsi="Palatino Linotype" w:cs="Arial"/>
          <w:color w:val="000000"/>
          <w:lang w:val="es-MX"/>
        </w:rPr>
        <w:t>…”</w:t>
      </w:r>
      <w:r w:rsidRPr="0043349B">
        <w:rPr>
          <w:rStyle w:val="Refdenotaalpie"/>
          <w:rFonts w:ascii="Palatino Linotype" w:hAnsi="Palatino Linotype" w:cs="Arial"/>
          <w:color w:val="000000"/>
          <w:lang w:val="es-MX"/>
        </w:rPr>
        <w:footnoteReference w:id="11"/>
      </w:r>
      <w:r w:rsidRPr="0043349B">
        <w:rPr>
          <w:rFonts w:ascii="Palatino Linotype" w:hAnsi="Palatino Linotype" w:cs="Arial"/>
          <w:color w:val="000000"/>
          <w:lang w:val="es-MX"/>
        </w:rPr>
        <w:t xml:space="preserve"> </w:t>
      </w:r>
      <w:r w:rsidRPr="0043349B">
        <w:rPr>
          <w:rFonts w:ascii="Palatino Linotype" w:hAnsi="Palatino Linotype" w:cs="Arial"/>
          <w:i/>
          <w:color w:val="000000"/>
          <w:lang w:val="es-MX"/>
        </w:rPr>
        <w:t>(Énfasis añadido)</w:t>
      </w:r>
    </w:p>
    <w:p w14:paraId="40CFD37A"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7FF0CA34"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Además entre de los derechos de la víctima u ofendido se encuentra el acceso a </w:t>
      </w:r>
      <w:r w:rsidRPr="0043349B">
        <w:rPr>
          <w:rFonts w:ascii="Palatino Linotype" w:hAnsi="Palatino Linotype"/>
        </w:rPr>
        <w:t xml:space="preserve">que el Ministerio Público y sus auxiliares así como el Órgano jurisdiccional les faciliten el acceso a la justicia y les presten los servicios que constitucionalmente tienen encomendados, además de ser informado, cuando así lo solicite, del desarrollo del procedimiento penal por su Asesor jurídico, el Ministerio Público y/o, en su caso, por el Juez o Tribunal, así como a </w:t>
      </w:r>
      <w:r w:rsidRPr="0043349B">
        <w:rPr>
          <w:rFonts w:ascii="Palatino Linotype" w:hAnsi="Palatino Linotype"/>
          <w:b/>
          <w:u w:val="single"/>
        </w:rPr>
        <w:t>tener acceso a los registros de la investigación durante el procedimiento, y a obtener copia gratuita de éstos, pero también al resguardo de su identidad y demás datos personales</w:t>
      </w:r>
      <w:r w:rsidRPr="0043349B">
        <w:rPr>
          <w:rFonts w:ascii="Palatino Linotype" w:hAnsi="Palatino Linotype"/>
        </w:rPr>
        <w:t xml:space="preserve">; lo anterior de conformidad con el artículo 109 del </w:t>
      </w:r>
      <w:r w:rsidRPr="0043349B">
        <w:rPr>
          <w:rFonts w:ascii="Palatino Linotype" w:hAnsi="Palatino Linotype"/>
          <w:b/>
        </w:rPr>
        <w:t>Código Nacional de Procedimientos Penales.</w:t>
      </w:r>
    </w:p>
    <w:p w14:paraId="538A39C1"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78D68D88"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De la misma forma el </w:t>
      </w:r>
      <w:r w:rsidRPr="0043349B">
        <w:rPr>
          <w:rFonts w:ascii="Palatino Linotype" w:hAnsi="Palatino Linotype"/>
          <w:b/>
        </w:rPr>
        <w:t>Código Nacional de Procedimientos Penales</w:t>
      </w:r>
      <w:r w:rsidRPr="0043349B">
        <w:rPr>
          <w:rFonts w:ascii="Palatino Linotype" w:hAnsi="Palatino Linotype"/>
        </w:rPr>
        <w:t xml:space="preserve"> en el artículo 113 fracción VIII también contempla derechos al imputado y entre ellos el de tener acceso él y su defensa</w:t>
      </w:r>
      <w:r w:rsidRPr="0043349B">
        <w:rPr>
          <w:rFonts w:ascii="Palatino Linotype" w:hAnsi="Palatino Linotype"/>
          <w:b/>
          <w:u w:val="single"/>
        </w:rPr>
        <w:t>, a los registros de la investigación, así como a obtener copia gratuita, registro fotográfico o electrónico de los mismos</w:t>
      </w:r>
      <w:r w:rsidRPr="0043349B">
        <w:rPr>
          <w:rFonts w:ascii="Palatino Linotype" w:hAnsi="Palatino Linotype"/>
        </w:rPr>
        <w:t>, en términos de los artículos 218 y 219 del mismo Código.</w:t>
      </w:r>
    </w:p>
    <w:p w14:paraId="5A00943D"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6343CF7C"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Además para efectos de acceso a la información pública gubernamental, el multicitado Código dispone que el Ministerio Público únicamente deberá </w:t>
      </w:r>
      <w:r w:rsidRPr="0043349B">
        <w:rPr>
          <w:rFonts w:ascii="Palatino Linotype" w:hAnsi="Palatino Linotype"/>
        </w:rPr>
        <w:lastRenderedPageBreak/>
        <w:t xml:space="preserve">proporcionar </w:t>
      </w:r>
      <w:r w:rsidRPr="0043349B">
        <w:rPr>
          <w:rFonts w:ascii="Palatino Linotype" w:hAnsi="Palatino Linotype"/>
          <w:b/>
          <w:u w:val="single"/>
        </w:rPr>
        <w:t>una versión pública</w:t>
      </w:r>
      <w:r w:rsidRPr="0043349B">
        <w:rPr>
          <w:rFonts w:ascii="Palatino Linotype" w:hAnsi="Palatino Linotype"/>
        </w:rPr>
        <w:t xml:space="preserve"> de las determinaciones de no ejercicio de la acción penal, archivo temporal o de aplicación de un criterio de oportunidad, siempre que haya transcurrido un plazo igual al de prescripción de los delitos de que se trate, sin que pueda ser menor de tres años, ni mayor de doce años, </w:t>
      </w:r>
      <w:r w:rsidRPr="0043349B">
        <w:rPr>
          <w:rFonts w:ascii="Palatino Linotype" w:hAnsi="Palatino Linotype"/>
          <w:b/>
          <w:u w:val="single"/>
        </w:rPr>
        <w:t>contado a partir de que dicha determinación haya quedado firme</w:t>
      </w:r>
      <w:r w:rsidRPr="0043349B">
        <w:rPr>
          <w:rFonts w:ascii="Palatino Linotype" w:hAnsi="Palatino Linotype"/>
        </w:rPr>
        <w:t>.</w:t>
      </w:r>
    </w:p>
    <w:p w14:paraId="3B7BB465" w14:textId="77777777" w:rsidR="004C3391" w:rsidRPr="0043349B" w:rsidRDefault="004C3391" w:rsidP="004C3391">
      <w:pPr>
        <w:pStyle w:val="Prrafodelista"/>
        <w:rPr>
          <w:rFonts w:ascii="Palatino Linotype" w:hAnsi="Palatino Linotype"/>
          <w:color w:val="000000"/>
        </w:rPr>
      </w:pPr>
    </w:p>
    <w:p w14:paraId="13C45332"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Entonces, de lo señalado hasta aquí se puede concluir que las partes </w:t>
      </w:r>
      <w:r w:rsidRPr="0043349B">
        <w:rPr>
          <w:rFonts w:ascii="Palatino Linotype" w:hAnsi="Palatino Linotype"/>
        </w:rPr>
        <w:t>tienen derecho a tener acceso a los registros de la investigación durante el procedimiento, y a obtener copia gratuita de éstos, pero también al resguardo de su identidad y demás datos personales, ahora bien ¿Qué sucede con la personas que no son parte?, tema que será abordado en el siguiente apartado.</w:t>
      </w:r>
    </w:p>
    <w:p w14:paraId="6DB86A18" w14:textId="77777777" w:rsidR="004C3391" w:rsidRPr="0043349B" w:rsidRDefault="004C3391" w:rsidP="004C3391">
      <w:pPr>
        <w:pStyle w:val="Ttulo1"/>
      </w:pPr>
      <w:bookmarkStart w:id="16" w:name="_Toc48151961"/>
      <w:r w:rsidRPr="0043349B">
        <w:t>II.I. De la Averiguación Previa o Investigación Penal.</w:t>
      </w:r>
      <w:bookmarkEnd w:id="16"/>
    </w:p>
    <w:p w14:paraId="50BCEBB1" w14:textId="77777777" w:rsidR="00C748E7" w:rsidRPr="0043349B" w:rsidRDefault="00C748E7" w:rsidP="00C748E7">
      <w:pPr>
        <w:pStyle w:val="Prrafodelista"/>
        <w:spacing w:line="360" w:lineRule="auto"/>
        <w:ind w:left="0"/>
        <w:jc w:val="both"/>
        <w:rPr>
          <w:rFonts w:ascii="Palatino Linotype" w:hAnsi="Palatino Linotype"/>
          <w:i/>
          <w:color w:val="000000"/>
          <w:sz w:val="22"/>
          <w:szCs w:val="22"/>
        </w:rPr>
      </w:pPr>
    </w:p>
    <w:p w14:paraId="263568FA" w14:textId="7F4F5BA6" w:rsidR="005E74E2" w:rsidRPr="0043349B" w:rsidRDefault="00C748E7" w:rsidP="0061722C">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Ahora bien, atendiendo lo expuesto por el </w:t>
      </w:r>
      <w:r w:rsidRPr="0043349B">
        <w:rPr>
          <w:rFonts w:ascii="Palatino Linotype" w:hAnsi="Palatino Linotype"/>
          <w:b/>
          <w:color w:val="000000"/>
        </w:rPr>
        <w:t>SUJETO OBLIGADO</w:t>
      </w:r>
      <w:r w:rsidRPr="0043349B">
        <w:rPr>
          <w:rFonts w:ascii="Palatino Linotype" w:hAnsi="Palatino Linotype"/>
          <w:color w:val="000000"/>
        </w:rPr>
        <w:t>, al referir que “</w:t>
      </w:r>
      <w:r w:rsidRPr="0043349B">
        <w:rPr>
          <w:rFonts w:ascii="Palatino Linotype" w:hAnsi="Palatino Linotype"/>
          <w:i/>
          <w:color w:val="000000"/>
        </w:rPr>
        <w:t xml:space="preserve">en ningún caso se podrá hacer referencia o comunicar a terceros, no legitimados, </w:t>
      </w:r>
      <w:r w:rsidRPr="0043349B">
        <w:rPr>
          <w:rFonts w:ascii="Palatino Linotype" w:hAnsi="Palatino Linotype"/>
          <w:b/>
          <w:i/>
          <w:color w:val="000000"/>
          <w:u w:val="single"/>
        </w:rPr>
        <w:t>la información confidencial relativa a una investigación y sujetos del procedimiento penal al ser estrictamente reservados</w:t>
      </w:r>
      <w:r w:rsidRPr="0043349B">
        <w:rPr>
          <w:rFonts w:ascii="Palatino Linotype" w:hAnsi="Palatino Linotype"/>
          <w:i/>
          <w:color w:val="000000"/>
        </w:rPr>
        <w:t>. Por lo que se le invita a que acuda a la Agencia del Ministerio Público donde realizó su denuncia y ejerza su derecho procesal penal de defensa y debido proceso, que se encuentran estipulados en los artículos 20 constitucional, 17, 50 y 218 del Código Nacional de Procedimientos Penales, para que en coordinación con la Fiscalía Especializada en la Investigación del Delito de Robo de Vehículo del Valle de México …se esclarezcan los hechos denunciados</w:t>
      </w:r>
      <w:r w:rsidRPr="0043349B">
        <w:rPr>
          <w:rFonts w:ascii="Palatino Linotype" w:hAnsi="Palatino Linotype"/>
          <w:color w:val="000000"/>
        </w:rPr>
        <w:t>”</w:t>
      </w:r>
      <w:r w:rsidR="005E74E2" w:rsidRPr="0043349B">
        <w:rPr>
          <w:rFonts w:ascii="Palatino Linotype" w:hAnsi="Palatino Linotype"/>
          <w:color w:val="000000"/>
        </w:rPr>
        <w:t xml:space="preserve"> </w:t>
      </w:r>
      <w:r w:rsidR="005E74E2" w:rsidRPr="0043349B">
        <w:rPr>
          <w:rFonts w:ascii="Palatino Linotype" w:hAnsi="Palatino Linotype"/>
          <w:i/>
          <w:color w:val="000000"/>
        </w:rPr>
        <w:t>(Énfasis añadido)</w:t>
      </w:r>
      <w:r w:rsidRPr="0043349B">
        <w:rPr>
          <w:rFonts w:ascii="Palatino Linotype" w:hAnsi="Palatino Linotype"/>
          <w:color w:val="000000"/>
        </w:rPr>
        <w:t xml:space="preserve">, es esencial </w:t>
      </w:r>
      <w:r w:rsidR="005E74E2" w:rsidRPr="0043349B">
        <w:rPr>
          <w:rFonts w:ascii="Palatino Linotype" w:hAnsi="Palatino Linotype"/>
          <w:color w:val="000000"/>
        </w:rPr>
        <w:t>dejar en claro la naturaleza jurídica de una investigación inicial y el tipo de información que existe en ella.</w:t>
      </w:r>
    </w:p>
    <w:p w14:paraId="227BEB03" w14:textId="77777777" w:rsidR="0061722C" w:rsidRPr="0043349B" w:rsidRDefault="0061722C" w:rsidP="0061722C">
      <w:pPr>
        <w:pStyle w:val="Prrafodelista"/>
        <w:spacing w:line="360" w:lineRule="auto"/>
        <w:ind w:left="0"/>
        <w:jc w:val="both"/>
        <w:rPr>
          <w:rFonts w:ascii="Palatino Linotype" w:hAnsi="Palatino Linotype"/>
          <w:color w:val="000000"/>
        </w:rPr>
      </w:pPr>
    </w:p>
    <w:p w14:paraId="49759A3D" w14:textId="012726D9"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De acuerdo con </w:t>
      </w:r>
      <w:r w:rsidR="004376EA" w:rsidRPr="0043349B">
        <w:rPr>
          <w:rFonts w:ascii="Palatino Linotype" w:hAnsi="Palatino Linotype"/>
        </w:rPr>
        <w:t xml:space="preserve">la Consultora </w:t>
      </w:r>
      <w:r w:rsidRPr="0043349B">
        <w:rPr>
          <w:rFonts w:ascii="Palatino Linotype" w:hAnsi="Palatino Linotype"/>
        </w:rPr>
        <w:t xml:space="preserve">Tania Luna una etapa compleja dentro del nuevo sistema acusatorio y oral es </w:t>
      </w:r>
      <w:r w:rsidRPr="0043349B">
        <w:rPr>
          <w:rFonts w:ascii="Palatino Linotype" w:hAnsi="Palatino Linotype"/>
          <w:b/>
          <w:u w:val="single"/>
        </w:rPr>
        <w:t>la de investigación</w:t>
      </w:r>
      <w:r w:rsidRPr="0043349B">
        <w:rPr>
          <w:rFonts w:ascii="Palatino Linotype" w:hAnsi="Palatino Linotype"/>
        </w:rPr>
        <w:t xml:space="preserve"> que, grosso modo </w:t>
      </w:r>
      <w:r w:rsidRPr="0043349B">
        <w:rPr>
          <w:rFonts w:ascii="Palatino Linotype" w:hAnsi="Palatino Linotype"/>
          <w:b/>
          <w:i/>
          <w:u w:val="single"/>
        </w:rPr>
        <w:t>” sustituye a la depuesta averiguación previa</w:t>
      </w:r>
      <w:r w:rsidRPr="0043349B">
        <w:rPr>
          <w:rFonts w:ascii="Palatino Linotype" w:hAnsi="Palatino Linotype"/>
          <w:i/>
        </w:rPr>
        <w:t>, pero con importantes diferencias como son que, cuando hay una persona detenida, ésta puede quedar sujeta a prisión preventiva antes de la acusación por todo el tiempo que dure la investigación, previa solicitud del MP y con la respectiva vigilancia de un juez de control de garantías</w:t>
      </w:r>
      <w:r w:rsidRPr="0043349B">
        <w:rPr>
          <w:rFonts w:ascii="Palatino Linotype" w:hAnsi="Palatino Linotype"/>
        </w:rPr>
        <w:t>”</w:t>
      </w:r>
      <w:r w:rsidRPr="0043349B">
        <w:rPr>
          <w:rStyle w:val="Refdenotaalpie"/>
          <w:rFonts w:ascii="Palatino Linotype" w:hAnsi="Palatino Linotype"/>
        </w:rPr>
        <w:footnoteReference w:id="12"/>
      </w:r>
    </w:p>
    <w:p w14:paraId="3FAAF5EB"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1CA91775"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La etapa de investigación a que se hace referencia en el párrafo anterior se encuentra previsto en el artículo 211 del </w:t>
      </w:r>
      <w:r w:rsidRPr="0043349B">
        <w:rPr>
          <w:rFonts w:ascii="Palatino Linotype" w:hAnsi="Palatino Linotype"/>
          <w:b/>
          <w:color w:val="000000"/>
        </w:rPr>
        <w:t>Código Nacional de Procedimientos Penales</w:t>
      </w:r>
      <w:r w:rsidRPr="0043349B">
        <w:rPr>
          <w:rFonts w:ascii="Palatino Linotype" w:hAnsi="Palatino Linotype"/>
          <w:color w:val="000000"/>
        </w:rPr>
        <w:t>, misma que -a su vez-  se conforma por las fases que se resaltan a continuación:</w:t>
      </w:r>
    </w:p>
    <w:p w14:paraId="1DF5AA3D"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7490AB9E" w14:textId="77777777" w:rsidR="004C3391" w:rsidRPr="0043349B" w:rsidRDefault="004C3391" w:rsidP="004C3391">
      <w:pPr>
        <w:pStyle w:val="Prrafodelista"/>
        <w:spacing w:line="360" w:lineRule="auto"/>
        <w:ind w:left="567" w:right="567"/>
        <w:jc w:val="both"/>
        <w:rPr>
          <w:rFonts w:ascii="Palatino Linotype" w:hAnsi="Palatino Linotype"/>
          <w:b/>
          <w:i/>
          <w:sz w:val="22"/>
          <w:szCs w:val="22"/>
        </w:rPr>
      </w:pPr>
      <w:r w:rsidRPr="0043349B">
        <w:rPr>
          <w:rFonts w:ascii="Palatino Linotype" w:hAnsi="Palatino Linotype"/>
          <w:b/>
          <w:i/>
          <w:sz w:val="22"/>
          <w:szCs w:val="22"/>
        </w:rPr>
        <w:t xml:space="preserve">Artículo 211. Etapas del procedimiento penal </w:t>
      </w:r>
    </w:p>
    <w:p w14:paraId="6D14B4D9" w14:textId="77777777" w:rsidR="004C3391" w:rsidRPr="0043349B" w:rsidRDefault="004C3391" w:rsidP="004C3391">
      <w:pPr>
        <w:pStyle w:val="Prrafodelista"/>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El procedimiento penal comprende las siguientes etapas: </w:t>
      </w:r>
    </w:p>
    <w:p w14:paraId="4E6ACAC3" w14:textId="77777777" w:rsidR="004C3391" w:rsidRPr="0043349B" w:rsidRDefault="004C3391" w:rsidP="004C3391">
      <w:pPr>
        <w:pStyle w:val="Prrafodelista"/>
        <w:numPr>
          <w:ilvl w:val="0"/>
          <w:numId w:val="15"/>
        </w:numPr>
        <w:spacing w:line="360" w:lineRule="auto"/>
        <w:ind w:right="567"/>
        <w:jc w:val="both"/>
        <w:rPr>
          <w:rFonts w:ascii="Palatino Linotype" w:hAnsi="Palatino Linotype"/>
          <w:b/>
          <w:i/>
          <w:sz w:val="22"/>
          <w:szCs w:val="22"/>
        </w:rPr>
      </w:pPr>
      <w:r w:rsidRPr="0043349B">
        <w:rPr>
          <w:rFonts w:ascii="Palatino Linotype" w:hAnsi="Palatino Linotype"/>
          <w:b/>
          <w:i/>
          <w:sz w:val="22"/>
          <w:szCs w:val="22"/>
        </w:rPr>
        <w:t>La de investigación, que comprende las siguientes fases:</w:t>
      </w:r>
    </w:p>
    <w:p w14:paraId="71F18443" w14:textId="77777777" w:rsidR="004C3391" w:rsidRPr="0043349B" w:rsidRDefault="004C3391" w:rsidP="004C3391">
      <w:pPr>
        <w:pStyle w:val="Prrafodelista"/>
        <w:spacing w:line="360" w:lineRule="auto"/>
        <w:ind w:left="567" w:right="567"/>
        <w:jc w:val="both"/>
        <w:rPr>
          <w:rFonts w:ascii="Palatino Linotype" w:hAnsi="Palatino Linotype"/>
          <w:color w:val="000000"/>
        </w:rPr>
      </w:pPr>
    </w:p>
    <w:p w14:paraId="596BEDFB" w14:textId="77777777" w:rsidR="004C3391" w:rsidRPr="0043349B" w:rsidRDefault="004C3391" w:rsidP="004C3391">
      <w:pPr>
        <w:pStyle w:val="Prrafodelista"/>
        <w:spacing w:line="360" w:lineRule="auto"/>
        <w:ind w:left="567" w:right="567"/>
        <w:jc w:val="both"/>
        <w:rPr>
          <w:rFonts w:ascii="Palatino Linotype" w:hAnsi="Palatino Linotype"/>
          <w:b/>
          <w:i/>
          <w:sz w:val="22"/>
          <w:szCs w:val="22"/>
        </w:rPr>
      </w:pPr>
      <w:r w:rsidRPr="0043349B">
        <w:rPr>
          <w:rFonts w:ascii="Palatino Linotype" w:hAnsi="Palatino Linotype"/>
          <w:b/>
          <w:i/>
          <w:sz w:val="22"/>
          <w:szCs w:val="22"/>
        </w:rPr>
        <w:t xml:space="preserve">a) Investigación inicial, que comienza con la presentación de la denuncia, querella u otro requisito equivalente y concluye cuando el imputado queda a disposición del Juez de control para que se le formule imputación, e </w:t>
      </w:r>
    </w:p>
    <w:p w14:paraId="1C95A8E7" w14:textId="77777777" w:rsidR="004C3391" w:rsidRPr="0043349B" w:rsidRDefault="004C3391" w:rsidP="004C3391">
      <w:pPr>
        <w:pStyle w:val="Prrafodelista"/>
        <w:spacing w:line="360" w:lineRule="auto"/>
        <w:ind w:left="567" w:right="567"/>
        <w:jc w:val="both"/>
        <w:rPr>
          <w:rFonts w:ascii="Palatino Linotype" w:hAnsi="Palatino Linotype"/>
          <w:b/>
          <w:i/>
          <w:sz w:val="22"/>
          <w:szCs w:val="22"/>
        </w:rPr>
      </w:pPr>
    </w:p>
    <w:p w14:paraId="347D5CEB" w14:textId="77777777" w:rsidR="004C3391" w:rsidRPr="0043349B" w:rsidRDefault="004C3391" w:rsidP="004C3391">
      <w:pPr>
        <w:pStyle w:val="Prrafodelista"/>
        <w:spacing w:line="360" w:lineRule="auto"/>
        <w:ind w:left="567" w:right="567"/>
        <w:jc w:val="both"/>
        <w:rPr>
          <w:rFonts w:ascii="Palatino Linotype" w:hAnsi="Palatino Linotype"/>
          <w:b/>
          <w:i/>
          <w:sz w:val="22"/>
          <w:szCs w:val="22"/>
        </w:rPr>
      </w:pPr>
      <w:r w:rsidRPr="0043349B">
        <w:rPr>
          <w:rFonts w:ascii="Palatino Linotype" w:hAnsi="Palatino Linotype"/>
          <w:b/>
          <w:i/>
          <w:sz w:val="22"/>
          <w:szCs w:val="22"/>
        </w:rPr>
        <w:lastRenderedPageBreak/>
        <w:t xml:space="preserve">b) Investigación complementaria, que comprende desde la formulación de la imputación y se agota una vez que se haya cerrado la investigación; </w:t>
      </w:r>
    </w:p>
    <w:p w14:paraId="48626349" w14:textId="77777777" w:rsidR="004C3391" w:rsidRPr="0043349B" w:rsidRDefault="004C3391" w:rsidP="004C3391">
      <w:pPr>
        <w:pStyle w:val="Prrafodelista"/>
        <w:spacing w:line="360" w:lineRule="auto"/>
        <w:ind w:left="567" w:right="567"/>
        <w:jc w:val="both"/>
        <w:rPr>
          <w:rFonts w:ascii="Palatino Linotype" w:hAnsi="Palatino Linotype"/>
          <w:b/>
          <w:i/>
          <w:sz w:val="22"/>
          <w:szCs w:val="22"/>
        </w:rPr>
      </w:pPr>
    </w:p>
    <w:p w14:paraId="0187BF0A" w14:textId="77777777" w:rsidR="004C3391" w:rsidRPr="0043349B" w:rsidRDefault="004C3391" w:rsidP="004C3391">
      <w:pPr>
        <w:pStyle w:val="Prrafodelista"/>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II. La intermedia o de preparación del juicio, que comprende desde la formulación de la acusación hasta el auto de apertura del juicio, y </w:t>
      </w:r>
    </w:p>
    <w:p w14:paraId="4FB89C1A" w14:textId="77777777" w:rsidR="004C3391" w:rsidRPr="0043349B" w:rsidRDefault="004C3391" w:rsidP="004C3391">
      <w:pPr>
        <w:pStyle w:val="Prrafodelista"/>
        <w:spacing w:line="360" w:lineRule="auto"/>
        <w:ind w:left="567" w:right="567"/>
        <w:jc w:val="both"/>
        <w:rPr>
          <w:rFonts w:ascii="Palatino Linotype" w:hAnsi="Palatino Linotype"/>
          <w:i/>
          <w:sz w:val="22"/>
          <w:szCs w:val="22"/>
        </w:rPr>
      </w:pPr>
    </w:p>
    <w:p w14:paraId="7849777F" w14:textId="77777777" w:rsidR="004C3391" w:rsidRPr="0043349B" w:rsidRDefault="004C3391" w:rsidP="004C3391">
      <w:pPr>
        <w:pStyle w:val="Prrafodelista"/>
        <w:spacing w:line="360" w:lineRule="auto"/>
        <w:ind w:left="567" w:right="567"/>
        <w:jc w:val="both"/>
        <w:rPr>
          <w:rFonts w:ascii="Palatino Linotype" w:hAnsi="Palatino Linotype"/>
          <w:i/>
          <w:color w:val="000000"/>
          <w:sz w:val="22"/>
          <w:szCs w:val="22"/>
        </w:rPr>
      </w:pPr>
      <w:r w:rsidRPr="0043349B">
        <w:rPr>
          <w:rFonts w:ascii="Palatino Linotype" w:hAnsi="Palatino Linotype"/>
          <w:i/>
          <w:sz w:val="22"/>
          <w:szCs w:val="22"/>
        </w:rPr>
        <w:t>III. La de juicio, que comprende desde que se recibe el auto de apertura a juicio hasta la sentencia emitida por el Tribunal de enjuiciamiento. La investigación no se interrumpe ni se suspende durante el tiempo en que se lleve a cabo la audiencia inicial hasta su conclusión o durante la víspera de la ejecución de una orden de aprehensión. El ejercicio de la acción inicia con la solicitud de citatorio a audiencia inicial, puesta a disposición del detenido ante la autoridad judicial o cuando se solicita la orden de aprehensión o comparecencia, con lo cual el Ministerio Público no perderá la dirección de la investigación. El proceso dará inicio con la audiencia inicial, y terminará con la sentencia firme.</w:t>
      </w:r>
    </w:p>
    <w:p w14:paraId="357A3794"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2CB2E6BC"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Así mismo Tania Luna explica “</w:t>
      </w:r>
      <w:r w:rsidRPr="0043349B">
        <w:rPr>
          <w:rFonts w:ascii="Palatino Linotype" w:hAnsi="Palatino Linotype"/>
          <w:i/>
        </w:rPr>
        <w:t xml:space="preserve">La etapa de investigación comienza con la noticia criminal o noticia </w:t>
      </w:r>
      <w:proofErr w:type="spellStart"/>
      <w:r w:rsidRPr="0043349B">
        <w:rPr>
          <w:rFonts w:ascii="Palatino Linotype" w:hAnsi="Palatino Linotype"/>
          <w:i/>
        </w:rPr>
        <w:t>criminis</w:t>
      </w:r>
      <w:proofErr w:type="spellEnd"/>
      <w:r w:rsidRPr="0043349B">
        <w:rPr>
          <w:rFonts w:ascii="Palatino Linotype" w:hAnsi="Palatino Linotype"/>
          <w:i/>
        </w:rPr>
        <w:t xml:space="preserve"> (denuncia o querella) que puede ser recibida por un agente de la policía (investigadora o inclusive preventiva, de acuerdo con el artículo 21 constitucional) o bien, por el ministerio público (MP). En todo caso, en nuestro sistema, el MP será quien dicte el respectivo acuerdo de inicio. En el supuesto de que sea la policía quien reciba la denuncia, ésta será responsable de dar aviso al MP de inmediato, sin perjuicio de proporcionar auxilio y protección a la víctima y a los testigos, preservar el lugar de los hechos y las evidencias, así como recabar toda la información posible que pueda ser de utilidad para la investigación, incluyendo, en su caso, la detención de la persona sorprendida en flagrancia. </w:t>
      </w:r>
      <w:r w:rsidRPr="0043349B">
        <w:rPr>
          <w:rFonts w:ascii="Palatino Linotype" w:hAnsi="Palatino Linotype"/>
          <w:i/>
        </w:rPr>
        <w:lastRenderedPageBreak/>
        <w:t>Todo lo anterior puede conducir a que el MP dicte el acuerdo de inicio y gire las instrucciones pertinentes, según haya o no de continuarse con la investigación. En el otro supuesto, cuando es el MP quien tiene conocimiento de la comisión del hecho, deberá ordenar a la policía las diligencias de investigación iniciales con el fin de determinar si la noticia del delito justifica continuar con el desarrollo de esta etapa</w:t>
      </w:r>
      <w:r w:rsidRPr="0043349B">
        <w:rPr>
          <w:rFonts w:ascii="Palatino Linotype" w:hAnsi="Palatino Linotype"/>
          <w:color w:val="000000"/>
        </w:rPr>
        <w:t>”</w:t>
      </w:r>
      <w:r w:rsidRPr="0043349B">
        <w:rPr>
          <w:rStyle w:val="Refdenotaalpie"/>
          <w:rFonts w:ascii="Palatino Linotype" w:hAnsi="Palatino Linotype"/>
          <w:color w:val="000000"/>
        </w:rPr>
        <w:footnoteReference w:id="13"/>
      </w:r>
    </w:p>
    <w:p w14:paraId="664A7616"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51A1283F"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Como se puede observar durante la etapa de investigación (antes llamada averiguación previa) intervienen diversas personas o sujetos penales a quienes comúnmente e les denomina partes, entre las cuales se encuentra el Ministerio Publico como autoridad investigadora, el Sujeto activo del hecho presuntamente constitutivo de delito y el Sujeto pasivo del hecho posiblemente constitutivo del delito (Víctima u ofendido) y en algunas ocasiones ésta etapa no es tripartita intervienen terceros denominados testigos. </w:t>
      </w:r>
    </w:p>
    <w:p w14:paraId="2E91D533" w14:textId="77777777" w:rsidR="004C3391" w:rsidRPr="0043349B" w:rsidRDefault="004C3391" w:rsidP="004C3391">
      <w:pPr>
        <w:pStyle w:val="Prrafodelista"/>
        <w:rPr>
          <w:rFonts w:ascii="Palatino Linotype" w:hAnsi="Palatino Linotype"/>
        </w:rPr>
      </w:pPr>
    </w:p>
    <w:p w14:paraId="2BACD6FA"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Sin embargo, l</w:t>
      </w:r>
      <w:r w:rsidRPr="0043349B">
        <w:rPr>
          <w:rFonts w:ascii="Palatino Linotype" w:hAnsi="Palatino Linotype"/>
        </w:rPr>
        <w:t xml:space="preserve">os registros de la investigación, así como todos los documentos, independientemente de su contenido o naturaleza, los objetos, los registros de voz e imágenes o cosas que le estén relacionados, a que se hace referencia en el párrafo 34, de acuerdo al artículo 218 del </w:t>
      </w:r>
      <w:r w:rsidRPr="0043349B">
        <w:rPr>
          <w:rFonts w:ascii="Palatino Linotype" w:hAnsi="Palatino Linotype"/>
          <w:b/>
        </w:rPr>
        <w:t>Código Nacional de Procedimientos Penales</w:t>
      </w:r>
      <w:r w:rsidRPr="0043349B">
        <w:rPr>
          <w:rFonts w:ascii="Palatino Linotype" w:hAnsi="Palatino Linotype"/>
        </w:rPr>
        <w:t xml:space="preserve"> al que se hace referencia en el párrafo anterior, son estrictamente reservados, por lo que </w:t>
      </w:r>
      <w:r w:rsidRPr="0043349B">
        <w:rPr>
          <w:rFonts w:ascii="Palatino Linotype" w:hAnsi="Palatino Linotype"/>
          <w:b/>
          <w:u w:val="single"/>
        </w:rPr>
        <w:t>únicamente las partes, podrán tener acceso a los mismos</w:t>
      </w:r>
      <w:r w:rsidRPr="0043349B">
        <w:rPr>
          <w:rFonts w:ascii="Palatino Linotype" w:hAnsi="Palatino Linotype"/>
        </w:rPr>
        <w:t xml:space="preserve">, la víctima u ofendido y su Asesor Jurídico podrán tener acceso a los registros de la investigación en cualquier momento mientras que el imputado y su </w:t>
      </w:r>
      <w:r w:rsidRPr="0043349B">
        <w:rPr>
          <w:rFonts w:ascii="Palatino Linotype" w:hAnsi="Palatino Linotype"/>
        </w:rPr>
        <w:lastRenderedPageBreak/>
        <w:t xml:space="preserve">defensor podrán tener acceso a ellos cuando se encuentre detenido, sea citado para comparecer como imputado o sea sujeto de un acto de molestia y se pretenda recibir su entrevista, </w:t>
      </w:r>
      <w:r w:rsidRPr="0043349B">
        <w:rPr>
          <w:rFonts w:ascii="Palatino Linotype" w:hAnsi="Palatino Linotype"/>
          <w:color w:val="000000"/>
        </w:rPr>
        <w:t>pero en</w:t>
      </w:r>
      <w:r w:rsidRPr="0043349B">
        <w:rPr>
          <w:rFonts w:ascii="Palatino Linotype" w:hAnsi="Palatino Linotype"/>
        </w:rPr>
        <w:t xml:space="preserve"> ningún caso la reserva de los registros podrá hacerse valer en perjuicio del imputado y su defensor, una vez dictado el auto de vinculación a proceso.</w:t>
      </w:r>
    </w:p>
    <w:p w14:paraId="20BFF94F"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7FCBFFEC"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 Correlativo a lo anterior, el </w:t>
      </w:r>
      <w:r w:rsidRPr="0043349B">
        <w:rPr>
          <w:rFonts w:ascii="Palatino Linotype" w:hAnsi="Palatino Linotype"/>
          <w:b/>
          <w:color w:val="000000"/>
        </w:rPr>
        <w:t>Código Nacional de Procedimientos Penales</w:t>
      </w:r>
      <w:r w:rsidRPr="0043349B">
        <w:rPr>
          <w:rFonts w:ascii="Palatino Linotype" w:hAnsi="Palatino Linotype"/>
          <w:color w:val="000000"/>
        </w:rPr>
        <w:t xml:space="preserve"> en su </w:t>
      </w:r>
      <w:r w:rsidRPr="0043349B">
        <w:rPr>
          <w:rFonts w:ascii="Palatino Linotype" w:hAnsi="Palatino Linotype"/>
        </w:rPr>
        <w:t>artículo 15 promueve el respecto al Derecho a la intimidad y a la privacidad de las personas, toda vez que señala:</w:t>
      </w:r>
    </w:p>
    <w:p w14:paraId="5025F1BA"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5AB7431C" w14:textId="77777777" w:rsidR="004C3391" w:rsidRPr="0043349B" w:rsidRDefault="004C3391" w:rsidP="004C3391">
      <w:pPr>
        <w:pStyle w:val="Prrafodelista"/>
        <w:spacing w:line="360" w:lineRule="auto"/>
        <w:ind w:left="567" w:right="567"/>
        <w:jc w:val="both"/>
        <w:rPr>
          <w:rFonts w:ascii="Palatino Linotype" w:hAnsi="Palatino Linotype"/>
          <w:i/>
          <w:sz w:val="22"/>
          <w:szCs w:val="22"/>
        </w:rPr>
      </w:pPr>
      <w:r w:rsidRPr="0043349B">
        <w:rPr>
          <w:rFonts w:ascii="Palatino Linotype" w:hAnsi="Palatino Linotype"/>
          <w:b/>
          <w:i/>
          <w:sz w:val="22"/>
          <w:szCs w:val="22"/>
        </w:rPr>
        <w:t>Artículo 15.</w:t>
      </w:r>
      <w:r w:rsidRPr="0043349B">
        <w:rPr>
          <w:rFonts w:ascii="Palatino Linotype" w:hAnsi="Palatino Linotype"/>
          <w:i/>
          <w:sz w:val="22"/>
          <w:szCs w:val="22"/>
        </w:rPr>
        <w:t xml:space="preserve"> Derecho a la intimidad y a la privacidad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p>
    <w:p w14:paraId="62937AFC" w14:textId="77777777" w:rsidR="00C748E7" w:rsidRPr="0043349B" w:rsidRDefault="00C748E7" w:rsidP="00C748E7">
      <w:pPr>
        <w:pStyle w:val="Prrafodelista"/>
        <w:spacing w:line="360" w:lineRule="auto"/>
        <w:ind w:left="0"/>
        <w:jc w:val="both"/>
        <w:rPr>
          <w:rFonts w:ascii="Palatino Linotype" w:hAnsi="Palatino Linotype"/>
          <w:color w:val="000000"/>
        </w:rPr>
      </w:pPr>
    </w:p>
    <w:p w14:paraId="7FF3271F"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No obstante lo anterior no es procedente la reserva o la confidencialidad correspondiente </w:t>
      </w:r>
      <w:r w:rsidRPr="0043349B">
        <w:rPr>
          <w:rFonts w:ascii="Palatino Linotype" w:hAnsi="Palatino Linotype"/>
          <w:b/>
          <w:u w:val="single"/>
        </w:rPr>
        <w:t>al número</w:t>
      </w:r>
      <w:r w:rsidRPr="0043349B">
        <w:rPr>
          <w:rFonts w:ascii="Palatino Linotype" w:hAnsi="Palatino Linotype"/>
        </w:rPr>
        <w:t xml:space="preserve"> de averiguación previa</w:t>
      </w:r>
      <w:r w:rsidRPr="0043349B">
        <w:rPr>
          <w:rStyle w:val="Refdenotaalpie"/>
          <w:rFonts w:ascii="Palatino Linotype" w:hAnsi="Palatino Linotype"/>
        </w:rPr>
        <w:footnoteReference w:id="14"/>
      </w:r>
      <w:r w:rsidRPr="0043349B">
        <w:rPr>
          <w:rFonts w:ascii="Palatino Linotype" w:hAnsi="Palatino Linotype"/>
        </w:rPr>
        <w:t xml:space="preserve"> o número de carpeta de </w:t>
      </w:r>
      <w:r w:rsidRPr="0043349B">
        <w:rPr>
          <w:rFonts w:ascii="Palatino Linotype" w:hAnsi="Palatino Linotype"/>
        </w:rPr>
        <w:lastRenderedPageBreak/>
        <w:t>investigación</w:t>
      </w:r>
      <w:r w:rsidRPr="0043349B">
        <w:rPr>
          <w:rStyle w:val="Refdenotaalpie"/>
          <w:rFonts w:ascii="Palatino Linotype" w:hAnsi="Palatino Linotype"/>
        </w:rPr>
        <w:footnoteReference w:id="15"/>
      </w:r>
      <w:r w:rsidRPr="0043349B">
        <w:rPr>
          <w:rFonts w:ascii="Palatino Linotype" w:hAnsi="Palatino Linotype"/>
        </w:rPr>
        <w:t xml:space="preserve">, es decir </w:t>
      </w:r>
      <w:r w:rsidRPr="0043349B">
        <w:rPr>
          <w:rFonts w:ascii="Palatino Linotype" w:hAnsi="Palatino Linotype"/>
          <w:color w:val="000000"/>
        </w:rPr>
        <w:t xml:space="preserve">si bien es cierto que el expediente de las mismas podría contener datos personales susceptibles de ser considerados como confidenciales como son verbigracia características físicas, morales, creencias o convicciones religiosas, nombres, domicilios, edad, fotografías de particulares, etc. </w:t>
      </w:r>
      <w:r w:rsidRPr="0043349B">
        <w:rPr>
          <w:rFonts w:ascii="Palatino Linotype" w:hAnsi="Palatino Linotype"/>
          <w:b/>
          <w:color w:val="000000"/>
        </w:rPr>
        <w:t>También lo es</w:t>
      </w:r>
      <w:r w:rsidRPr="0043349B">
        <w:rPr>
          <w:rFonts w:ascii="Palatino Linotype" w:hAnsi="Palatino Linotype"/>
          <w:color w:val="000000"/>
        </w:rPr>
        <w:t xml:space="preserve"> que el particular únicamente desea acceder al número de éstas, no así a los </w:t>
      </w:r>
      <w:r w:rsidRPr="0043349B">
        <w:rPr>
          <w:rFonts w:ascii="Palatino Linotype" w:hAnsi="Palatino Linotype"/>
          <w:b/>
          <w:color w:val="000000"/>
        </w:rPr>
        <w:t>datos personales</w:t>
      </w:r>
      <w:r w:rsidRPr="0043349B">
        <w:rPr>
          <w:rFonts w:ascii="Palatino Linotype" w:hAnsi="Palatino Linotype"/>
          <w:color w:val="000000"/>
        </w:rPr>
        <w:t xml:space="preserve"> del imputado o el ofendido.</w:t>
      </w:r>
    </w:p>
    <w:p w14:paraId="2E30DABB"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23440530"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b/>
          <w:color w:val="000000"/>
        </w:rPr>
      </w:pPr>
      <w:r w:rsidRPr="0043349B">
        <w:rPr>
          <w:rFonts w:ascii="Palatino Linotype" w:hAnsi="Palatino Linotype"/>
          <w:color w:val="000000"/>
        </w:rPr>
        <w:t xml:space="preserve">Bajo ese tenor es preciso dar mayor claridad sobre los documentos que pueden ser considerados como confidenciales de acuerdo a la </w:t>
      </w:r>
      <w:r w:rsidRPr="0043349B">
        <w:rPr>
          <w:rFonts w:ascii="Palatino Linotype" w:hAnsi="Palatino Linotype"/>
          <w:b/>
        </w:rPr>
        <w:t>Ley General de Transparencia y Acceso a la Información Pública</w:t>
      </w:r>
      <w:r w:rsidRPr="0043349B">
        <w:rPr>
          <w:rFonts w:ascii="Palatino Linotype" w:hAnsi="Palatino Linotype"/>
          <w:b/>
          <w:color w:val="000000"/>
        </w:rPr>
        <w:t>:</w:t>
      </w:r>
    </w:p>
    <w:p w14:paraId="0387C055" w14:textId="77777777" w:rsidR="004C3391" w:rsidRPr="0043349B" w:rsidRDefault="004C3391" w:rsidP="004C3391">
      <w:pPr>
        <w:pStyle w:val="Prrafodelista"/>
        <w:spacing w:line="360" w:lineRule="auto"/>
        <w:ind w:left="0"/>
        <w:jc w:val="both"/>
        <w:rPr>
          <w:rFonts w:ascii="Palatino Linotype" w:hAnsi="Palatino Linotype"/>
          <w:b/>
          <w:color w:val="000000"/>
        </w:rPr>
      </w:pPr>
    </w:p>
    <w:p w14:paraId="09EA31B5" w14:textId="77777777" w:rsidR="004C3391" w:rsidRPr="0043349B" w:rsidRDefault="004C3391" w:rsidP="004C3391">
      <w:pPr>
        <w:pStyle w:val="Prrafodelista"/>
        <w:spacing w:line="360" w:lineRule="auto"/>
        <w:ind w:left="567" w:right="567"/>
        <w:jc w:val="both"/>
        <w:rPr>
          <w:rFonts w:ascii="Palatino Linotype" w:hAnsi="Palatino Linotype"/>
          <w:i/>
          <w:sz w:val="22"/>
          <w:szCs w:val="22"/>
        </w:rPr>
      </w:pPr>
      <w:r w:rsidRPr="0043349B">
        <w:rPr>
          <w:rFonts w:ascii="Palatino Linotype" w:hAnsi="Palatino Linotype"/>
          <w:b/>
          <w:i/>
          <w:sz w:val="22"/>
          <w:szCs w:val="22"/>
        </w:rPr>
        <w:t>Artículo 116.</w:t>
      </w:r>
      <w:r w:rsidRPr="0043349B">
        <w:rPr>
          <w:rFonts w:ascii="Palatino Linotype" w:hAnsi="Palatino Linotype"/>
          <w:i/>
          <w:sz w:val="22"/>
          <w:szCs w:val="22"/>
        </w:rPr>
        <w:t xml:space="preserve"> Se considera información </w:t>
      </w:r>
      <w:r w:rsidRPr="0043349B">
        <w:rPr>
          <w:rFonts w:ascii="Palatino Linotype" w:hAnsi="Palatino Linotype"/>
          <w:b/>
          <w:i/>
          <w:sz w:val="22"/>
          <w:szCs w:val="22"/>
        </w:rPr>
        <w:t xml:space="preserve">confidencial la que contiene datos personales concernientes a una persona identificada o identificable. </w:t>
      </w:r>
      <w:r w:rsidRPr="0043349B">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Asimismo, será información confidencial aquella que presenten los particulares a los sujetos obligados, siempre que tengan el </w:t>
      </w:r>
      <w:r w:rsidRPr="0043349B">
        <w:rPr>
          <w:rFonts w:ascii="Palatino Linotype" w:hAnsi="Palatino Linotype"/>
          <w:i/>
          <w:sz w:val="22"/>
          <w:szCs w:val="22"/>
        </w:rPr>
        <w:lastRenderedPageBreak/>
        <w:t>derecho a ello, de conformidad con lo dispuesto por las leyes o los tratados internacionales.</w:t>
      </w:r>
    </w:p>
    <w:p w14:paraId="2040255B"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57E5E91A"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Por su parte, nuestra Ley Local arriba citada es muy precisa al señalar en su artículo 143 bajo qué supuestos la información podrá ser considerada como confidencial:</w:t>
      </w:r>
    </w:p>
    <w:p w14:paraId="2A2C6A81"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04FEAB76" w14:textId="77777777" w:rsidR="004C3391" w:rsidRPr="0043349B" w:rsidRDefault="004C3391" w:rsidP="004C3391">
      <w:pPr>
        <w:pStyle w:val="Prrafodelista"/>
        <w:tabs>
          <w:tab w:val="left" w:pos="709"/>
        </w:tabs>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Artículo 143. Para los efectos de esta Ley se considera información confidencial, la clasificada como tal, de manera permanente, por su naturaleza, cuando: </w:t>
      </w:r>
    </w:p>
    <w:p w14:paraId="3904841E" w14:textId="77777777" w:rsidR="004C3391" w:rsidRPr="0043349B" w:rsidRDefault="004C3391" w:rsidP="004C3391">
      <w:pPr>
        <w:tabs>
          <w:tab w:val="left" w:pos="709"/>
        </w:tabs>
        <w:spacing w:line="360" w:lineRule="auto"/>
        <w:ind w:left="567" w:right="567"/>
        <w:jc w:val="both"/>
        <w:rPr>
          <w:rFonts w:ascii="Palatino Linotype" w:hAnsi="Palatino Linotype"/>
          <w:b/>
          <w:i/>
          <w:sz w:val="22"/>
          <w:szCs w:val="22"/>
        </w:rPr>
      </w:pPr>
      <w:r w:rsidRPr="0043349B">
        <w:rPr>
          <w:rFonts w:ascii="Palatino Linotype" w:hAnsi="Palatino Linotype"/>
          <w:b/>
          <w:i/>
          <w:sz w:val="22"/>
          <w:szCs w:val="22"/>
        </w:rPr>
        <w:t xml:space="preserve">I. Se refiera a la información privada y los datos personales concernientes a una persona física o </w:t>
      </w:r>
      <w:proofErr w:type="gramStart"/>
      <w:r w:rsidRPr="0043349B">
        <w:rPr>
          <w:rFonts w:ascii="Palatino Linotype" w:hAnsi="Palatino Linotype"/>
          <w:b/>
          <w:i/>
          <w:sz w:val="22"/>
          <w:szCs w:val="22"/>
        </w:rPr>
        <w:t>jurídico</w:t>
      </w:r>
      <w:proofErr w:type="gramEnd"/>
      <w:r w:rsidRPr="0043349B">
        <w:rPr>
          <w:rFonts w:ascii="Palatino Linotype" w:hAnsi="Palatino Linotype"/>
          <w:b/>
          <w:i/>
          <w:sz w:val="22"/>
          <w:szCs w:val="22"/>
        </w:rPr>
        <w:t xml:space="preserve"> colectiva identificada o identificable; </w:t>
      </w:r>
    </w:p>
    <w:p w14:paraId="7D4D39DA" w14:textId="77777777" w:rsidR="004C3391" w:rsidRPr="0043349B" w:rsidRDefault="004C3391" w:rsidP="004C3391">
      <w:pPr>
        <w:tabs>
          <w:tab w:val="left" w:pos="709"/>
        </w:tabs>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16B160ED" w14:textId="77777777" w:rsidR="004C3391" w:rsidRPr="0043349B" w:rsidRDefault="004C3391" w:rsidP="004C3391">
      <w:pPr>
        <w:tabs>
          <w:tab w:val="left" w:pos="709"/>
        </w:tabs>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III. La que presenten los particulares a los sujetos obligados, de conformidad con lo dispuesto por las leyes o los tratados internacionales. </w:t>
      </w:r>
    </w:p>
    <w:p w14:paraId="2DE019F9" w14:textId="77777777" w:rsidR="004C3391" w:rsidRPr="0043349B" w:rsidRDefault="004C3391" w:rsidP="004C3391">
      <w:pPr>
        <w:tabs>
          <w:tab w:val="left" w:pos="709"/>
        </w:tabs>
        <w:spacing w:line="360" w:lineRule="auto"/>
        <w:ind w:left="567" w:right="567"/>
        <w:jc w:val="both"/>
        <w:rPr>
          <w:rFonts w:ascii="Palatino Linotype" w:hAnsi="Palatino Linotype"/>
          <w:i/>
          <w:sz w:val="22"/>
          <w:szCs w:val="22"/>
        </w:rPr>
      </w:pPr>
      <w:r w:rsidRPr="0043349B">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09512FF0" w14:textId="77777777" w:rsidR="004C3391" w:rsidRPr="0043349B" w:rsidRDefault="004C3391" w:rsidP="004C3391">
      <w:pPr>
        <w:tabs>
          <w:tab w:val="left" w:pos="709"/>
        </w:tabs>
        <w:spacing w:line="360" w:lineRule="auto"/>
        <w:ind w:left="567" w:right="567"/>
        <w:jc w:val="both"/>
        <w:rPr>
          <w:rFonts w:ascii="Palatino Linotype" w:hAnsi="Palatino Linotype"/>
          <w:i/>
          <w:color w:val="000000"/>
          <w:sz w:val="22"/>
          <w:szCs w:val="22"/>
        </w:rPr>
      </w:pPr>
      <w:r w:rsidRPr="0043349B">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0AA8D2CC" w14:textId="77777777" w:rsidR="004C3391" w:rsidRPr="0043349B" w:rsidRDefault="004C3391" w:rsidP="004C3391">
      <w:pPr>
        <w:pStyle w:val="Prrafodelista"/>
        <w:rPr>
          <w:rFonts w:ascii="Palatino Linotype" w:hAnsi="Palatino Linotype"/>
          <w:color w:val="000000"/>
        </w:rPr>
      </w:pPr>
    </w:p>
    <w:p w14:paraId="09AB8FF7" w14:textId="34A5B593"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Ahora bien ¿Qué se debe</w:t>
      </w:r>
      <w:r w:rsidR="003D338E" w:rsidRPr="0043349B">
        <w:rPr>
          <w:rFonts w:ascii="Palatino Linotype" w:hAnsi="Palatino Linotype"/>
          <w:color w:val="000000"/>
        </w:rPr>
        <w:t xml:space="preserve"> entender por datos personales?</w:t>
      </w:r>
      <w:r w:rsidRPr="0043349B">
        <w:rPr>
          <w:rFonts w:ascii="Palatino Linotype" w:hAnsi="Palatino Linotype"/>
          <w:color w:val="000000"/>
        </w:rPr>
        <w:t xml:space="preserve">, de manera muy clara la </w:t>
      </w:r>
      <w:r w:rsidRPr="0043349B">
        <w:rPr>
          <w:rFonts w:ascii="Palatino Linotype" w:hAnsi="Palatino Linotype"/>
          <w:b/>
        </w:rPr>
        <w:t>Ley de Protección de Datos Personales del Estado de México</w:t>
      </w:r>
      <w:r w:rsidRPr="0043349B">
        <w:rPr>
          <w:rFonts w:ascii="Palatino Linotype" w:hAnsi="Palatino Linotype"/>
          <w:color w:val="000000"/>
        </w:rPr>
        <w:t xml:space="preserve"> en su </w:t>
      </w:r>
      <w:r w:rsidRPr="0043349B">
        <w:rPr>
          <w:rFonts w:ascii="Palatino Linotype" w:hAnsi="Palatino Linotype"/>
          <w:color w:val="000000"/>
        </w:rPr>
        <w:lastRenderedPageBreak/>
        <w:t>exposición de motivos explica que “</w:t>
      </w:r>
      <w:r w:rsidRPr="0043349B">
        <w:rPr>
          <w:rFonts w:ascii="Palatino Linotype" w:hAnsi="Palatino Linotype"/>
        </w:rPr>
        <w:t>…</w:t>
      </w:r>
      <w:r w:rsidRPr="0043349B">
        <w:rPr>
          <w:rFonts w:ascii="Palatino Linotype" w:hAnsi="Palatino Linotype"/>
          <w:i/>
        </w:rPr>
        <w:t>por datos personales se entiende cualquier información concerniente y asociada a una persona, que permite identificarla. Estos datos nos caracterizan como individuos y determinan nuestras actividades, tanto públicas como privadas. Debido a que cada dato está relacionado directamente con las personas, cada quien es dueño de sus datos personales y es quien decide si los comparte o no</w:t>
      </w:r>
      <w:r w:rsidRPr="0043349B">
        <w:rPr>
          <w:rFonts w:ascii="Palatino Linotype" w:hAnsi="Palatino Linotype"/>
          <w:color w:val="000000"/>
        </w:rPr>
        <w:t>” y que “</w:t>
      </w:r>
      <w:r w:rsidRPr="0043349B">
        <w:rPr>
          <w:rFonts w:ascii="Palatino Linotype" w:hAnsi="Palatino Linotype"/>
          <w:i/>
        </w:rPr>
        <w:t>Entre estos datos se encuentran los que identifican a la persona, o aquellos que permiten tener comunicación con su titular. También, datos relacionados con el empleo, sobre características físicas como la fisonomía, anatomía o rasgos de la persona. Además, considera información relacionada con la formación y actividades profesionales, datos relativos a sus bienes, así como información biométrica, además, describen, vida sexual, ideología, forma de pensar, entre otras</w:t>
      </w:r>
      <w:r w:rsidRPr="0043349B">
        <w:rPr>
          <w:rFonts w:ascii="Palatino Linotype" w:hAnsi="Palatino Linotype"/>
        </w:rPr>
        <w:t>”.</w:t>
      </w:r>
    </w:p>
    <w:p w14:paraId="15BE9E85"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4CD4191A"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Para sustentar lo anterior el artículo 4 fracción XI de la </w:t>
      </w:r>
      <w:r w:rsidRPr="0043349B">
        <w:rPr>
          <w:rFonts w:ascii="Palatino Linotype" w:hAnsi="Palatino Linotype"/>
          <w:b/>
        </w:rPr>
        <w:t>Ley de Protección de Datos Personales del Estado de México</w:t>
      </w:r>
      <w:r w:rsidRPr="0043349B">
        <w:rPr>
          <w:rFonts w:ascii="Palatino Linotype" w:hAnsi="Palatino Linotype"/>
          <w:color w:val="000000"/>
        </w:rPr>
        <w:t xml:space="preserve"> dispone que los datos personales son toda aquella</w:t>
      </w:r>
      <w:r w:rsidRPr="0043349B">
        <w:rPr>
          <w:rFonts w:ascii="Palatino Linotype" w:hAnsi="Palatino Linotype"/>
        </w:rPr>
        <w:t xml:space="preserve">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FD3CA8A" w14:textId="77777777" w:rsidR="004C3391" w:rsidRPr="0043349B" w:rsidRDefault="004C3391" w:rsidP="004C3391">
      <w:pPr>
        <w:pStyle w:val="Prrafodelista"/>
        <w:rPr>
          <w:rFonts w:ascii="Palatino Linotype" w:hAnsi="Palatino Linotype"/>
          <w:color w:val="000000"/>
        </w:rPr>
      </w:pPr>
    </w:p>
    <w:p w14:paraId="7B0E1700"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Por lo que un documento que contenga un número no siempre podría consistir en el documento que permita el acceso a datos personales porque el Derecho de Acceso a la Información como ya se ha señalado en párrafos anteriores </w:t>
      </w:r>
      <w:r w:rsidRPr="0043349B">
        <w:rPr>
          <w:rFonts w:ascii="Palatino Linotype" w:hAnsi="Palatino Linotype"/>
        </w:rPr>
        <w:t xml:space="preserve">permite la publicidad de toda la información generada, obtenida, adquirida, </w:t>
      </w:r>
      <w:r w:rsidRPr="0043349B">
        <w:rPr>
          <w:rFonts w:ascii="Palatino Linotype" w:hAnsi="Palatino Linotype"/>
        </w:rPr>
        <w:lastRenderedPageBreak/>
        <w:t xml:space="preserve">transformada, administrada o en posesión de los sujetos obligados en cualquier modalidad, es decir cualquier tipo de documento como son oficios, circulares, notas, memorandos, </w:t>
      </w:r>
      <w:r w:rsidRPr="0043349B">
        <w:rPr>
          <w:rFonts w:ascii="Palatino Linotype" w:hAnsi="Palatino Linotype"/>
          <w:b/>
        </w:rPr>
        <w:t>estadísticas</w:t>
      </w:r>
      <w:r w:rsidRPr="0043349B">
        <w:rPr>
          <w:rFonts w:ascii="Palatino Linotype" w:hAnsi="Palatino Linotype"/>
        </w:rPr>
        <w:t xml:space="preserve"> o cualquier otro registro que documente el ejercicio de las facultades, funciones y competencias de los sujetos obligados, sus servidores públicos e integrantes.</w:t>
      </w:r>
    </w:p>
    <w:p w14:paraId="66955967" w14:textId="77777777" w:rsidR="004C3391" w:rsidRPr="0043349B" w:rsidRDefault="004C3391" w:rsidP="004C3391">
      <w:pPr>
        <w:pStyle w:val="Prrafodelista"/>
        <w:rPr>
          <w:rFonts w:ascii="Palatino Linotype" w:hAnsi="Palatino Linotype"/>
          <w:color w:val="000000"/>
        </w:rPr>
      </w:pPr>
    </w:p>
    <w:p w14:paraId="0A93AEBF"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Por lo tanto en un ánimo por preservar el Derecho de Acceso a la Información, el principio de máxima publicidad y la Protección de datos personales el </w:t>
      </w:r>
      <w:r w:rsidRPr="0043349B">
        <w:rPr>
          <w:rFonts w:ascii="Palatino Linotype" w:hAnsi="Palatino Linotype"/>
          <w:b/>
          <w:color w:val="000000"/>
        </w:rPr>
        <w:t>SUJETO OBLIGADO</w:t>
      </w:r>
      <w:r w:rsidRPr="0043349B">
        <w:rPr>
          <w:rFonts w:ascii="Palatino Linotype" w:hAnsi="Palatino Linotype"/>
          <w:color w:val="000000"/>
        </w:rPr>
        <w:t xml:space="preserve"> pudo haber entregado un documento en el que constara el número de averiguación previa a la que desea acceder el particular </w:t>
      </w:r>
      <w:r w:rsidRPr="0043349B">
        <w:rPr>
          <w:rFonts w:ascii="Palatino Linotype" w:hAnsi="Palatino Linotype"/>
          <w:b/>
          <w:color w:val="000000"/>
          <w:u w:val="single"/>
        </w:rPr>
        <w:t>sin ventilar datos personales</w:t>
      </w:r>
      <w:r w:rsidRPr="0043349B">
        <w:rPr>
          <w:rFonts w:ascii="Palatino Linotype" w:hAnsi="Palatino Linotype"/>
          <w:b/>
          <w:color w:val="000000"/>
        </w:rPr>
        <w:t xml:space="preserve">, </w:t>
      </w:r>
      <w:r w:rsidRPr="0043349B">
        <w:rPr>
          <w:rFonts w:ascii="Palatino Linotype" w:hAnsi="Palatino Linotype"/>
          <w:color w:val="000000"/>
        </w:rPr>
        <w:t>es decir a través de un oficio, memorando, circular, carta o nota informativa o una simple estadística, situación que no ocurrió.</w:t>
      </w:r>
    </w:p>
    <w:p w14:paraId="5EA37F32" w14:textId="77777777" w:rsidR="004C3391" w:rsidRPr="0043349B" w:rsidRDefault="004C3391" w:rsidP="004C3391">
      <w:pPr>
        <w:pStyle w:val="Prrafodelista"/>
        <w:rPr>
          <w:rFonts w:ascii="Palatino Linotype" w:hAnsi="Palatino Linotype"/>
          <w:color w:val="000000"/>
        </w:rPr>
      </w:pPr>
    </w:p>
    <w:p w14:paraId="415388A4"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Finalmente como resultado de observarse la respuesta emitida por el </w:t>
      </w:r>
      <w:r w:rsidRPr="0043349B">
        <w:rPr>
          <w:rFonts w:ascii="Palatino Linotype" w:hAnsi="Palatino Linotype"/>
          <w:b/>
          <w:color w:val="000000"/>
        </w:rPr>
        <w:t>SUJETO OBLIGADO</w:t>
      </w:r>
      <w:r w:rsidRPr="0043349B">
        <w:rPr>
          <w:rFonts w:ascii="Palatino Linotype" w:hAnsi="Palatino Linotype"/>
          <w:color w:val="000000"/>
        </w:rPr>
        <w:t xml:space="preserve"> se desprende que pretendió clasificar la información como confidencial sin cumplir con las formalidades exigidas por la Ley de la materia, en la que de manera fundada y motivada se acordara por el Comité de Transparencia, tema que será abordado en un apartado posterior.</w:t>
      </w:r>
    </w:p>
    <w:p w14:paraId="3CADCF80" w14:textId="77777777" w:rsidR="004C3391" w:rsidRPr="0043349B" w:rsidRDefault="004C3391" w:rsidP="004C3391">
      <w:pPr>
        <w:rPr>
          <w:rFonts w:ascii="Palatino Linotype" w:hAnsi="Palatino Linotype"/>
          <w:color w:val="000000"/>
        </w:rPr>
      </w:pPr>
    </w:p>
    <w:p w14:paraId="72FE25C2" w14:textId="743D23FF" w:rsidR="004C3391" w:rsidRPr="0043349B" w:rsidRDefault="004C3391" w:rsidP="004C3391">
      <w:pPr>
        <w:pStyle w:val="Ttulo1"/>
      </w:pPr>
      <w:bookmarkStart w:id="17" w:name="_Toc48151962"/>
      <w:r w:rsidRPr="0043349B">
        <w:t xml:space="preserve">II.II. De la averiguación previa y la </w:t>
      </w:r>
      <w:r w:rsidR="003D338E" w:rsidRPr="0043349B">
        <w:t>clasificación de la información.</w:t>
      </w:r>
      <w:bookmarkEnd w:id="17"/>
    </w:p>
    <w:p w14:paraId="1AFB6F87" w14:textId="77777777" w:rsidR="004C3391" w:rsidRPr="0043349B" w:rsidRDefault="004C3391" w:rsidP="004C3391">
      <w:pPr>
        <w:spacing w:line="360" w:lineRule="auto"/>
        <w:jc w:val="both"/>
        <w:rPr>
          <w:rFonts w:ascii="Palatino Linotype" w:hAnsi="Palatino Linotype"/>
          <w:color w:val="000000"/>
        </w:rPr>
      </w:pPr>
    </w:p>
    <w:p w14:paraId="0AD6F7A2" w14:textId="4B16D4DB" w:rsidR="003D338E" w:rsidRPr="0043349B" w:rsidRDefault="005E74E2" w:rsidP="005E74E2">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P</w:t>
      </w:r>
      <w:r w:rsidR="0061722C" w:rsidRPr="0043349B">
        <w:rPr>
          <w:rFonts w:ascii="Palatino Linotype" w:hAnsi="Palatino Linotype"/>
          <w:color w:val="000000"/>
        </w:rPr>
        <w:t>revio a abordar este tema se hac</w:t>
      </w:r>
      <w:r w:rsidRPr="0043349B">
        <w:rPr>
          <w:rFonts w:ascii="Palatino Linotype" w:hAnsi="Palatino Linotype"/>
          <w:color w:val="000000"/>
        </w:rPr>
        <w:t xml:space="preserve">e necesario plantear las siguientes preguntas al SUJETO OBLIGADO: </w:t>
      </w:r>
      <w:r w:rsidR="003D338E" w:rsidRPr="0043349B">
        <w:rPr>
          <w:rFonts w:ascii="Palatino Linotype" w:hAnsi="Palatino Linotype"/>
          <w:color w:val="000000"/>
        </w:rPr>
        <w:t xml:space="preserve">Entregar el número de carpeta </w:t>
      </w:r>
      <w:r w:rsidRPr="0043349B">
        <w:rPr>
          <w:rFonts w:ascii="Palatino Linotype" w:hAnsi="Palatino Linotype"/>
          <w:color w:val="000000"/>
        </w:rPr>
        <w:t>¿E</w:t>
      </w:r>
      <w:r w:rsidR="003D338E" w:rsidRPr="0043349B">
        <w:rPr>
          <w:rFonts w:ascii="Palatino Linotype" w:hAnsi="Palatino Linotype"/>
          <w:color w:val="000000"/>
        </w:rPr>
        <w:t>n qué daña la in</w:t>
      </w:r>
      <w:r w:rsidRPr="0043349B">
        <w:rPr>
          <w:rFonts w:ascii="Palatino Linotype" w:hAnsi="Palatino Linotype"/>
          <w:color w:val="000000"/>
        </w:rPr>
        <w:t>vestigación? ¿</w:t>
      </w:r>
      <w:r w:rsidR="003D338E" w:rsidRPr="0043349B">
        <w:rPr>
          <w:rFonts w:ascii="Palatino Linotype" w:hAnsi="Palatino Linotype"/>
          <w:color w:val="000000"/>
        </w:rPr>
        <w:t>Existe un interés público de que se conozca</w:t>
      </w:r>
      <w:r w:rsidRPr="0043349B">
        <w:rPr>
          <w:rFonts w:ascii="Palatino Linotype" w:hAnsi="Palatino Linotype"/>
          <w:color w:val="000000"/>
        </w:rPr>
        <w:t xml:space="preserve"> el número de </w:t>
      </w:r>
      <w:r w:rsidRPr="0043349B">
        <w:rPr>
          <w:rFonts w:ascii="Palatino Linotype" w:hAnsi="Palatino Linotype"/>
          <w:color w:val="000000"/>
        </w:rPr>
        <w:lastRenderedPageBreak/>
        <w:t>averiguación previa?</w:t>
      </w:r>
      <w:r w:rsidR="003D338E" w:rsidRPr="0043349B">
        <w:rPr>
          <w:rFonts w:ascii="Palatino Linotype" w:hAnsi="Palatino Linotype"/>
          <w:color w:val="000000"/>
        </w:rPr>
        <w:t xml:space="preserve"> </w:t>
      </w:r>
      <w:r w:rsidRPr="0043349B">
        <w:rPr>
          <w:rFonts w:ascii="Palatino Linotype" w:hAnsi="Palatino Linotype"/>
          <w:color w:val="000000"/>
        </w:rPr>
        <w:t>¿</w:t>
      </w:r>
      <w:r w:rsidR="003D338E" w:rsidRPr="0043349B">
        <w:rPr>
          <w:rFonts w:ascii="Palatino Linotype" w:hAnsi="Palatino Linotype"/>
          <w:color w:val="000000"/>
        </w:rPr>
        <w:t>E</w:t>
      </w:r>
      <w:r w:rsidR="005C6DEC" w:rsidRPr="0043349B">
        <w:rPr>
          <w:rFonts w:ascii="Palatino Linotype" w:hAnsi="Palatino Linotype"/>
          <w:color w:val="000000"/>
        </w:rPr>
        <w:t>ntregar e</w:t>
      </w:r>
      <w:r w:rsidR="003D338E" w:rsidRPr="0043349B">
        <w:rPr>
          <w:rFonts w:ascii="Palatino Linotype" w:hAnsi="Palatino Linotype"/>
          <w:color w:val="000000"/>
        </w:rPr>
        <w:t xml:space="preserve">l número de </w:t>
      </w:r>
      <w:r w:rsidR="005C6DEC" w:rsidRPr="0043349B">
        <w:rPr>
          <w:rFonts w:ascii="Palatino Linotype" w:hAnsi="Palatino Linotype"/>
          <w:color w:val="000000"/>
        </w:rPr>
        <w:t>expediente</w:t>
      </w:r>
      <w:r w:rsidR="003D338E" w:rsidRPr="0043349B">
        <w:rPr>
          <w:rFonts w:ascii="Palatino Linotype" w:hAnsi="Palatino Linotype"/>
          <w:color w:val="000000"/>
        </w:rPr>
        <w:t xml:space="preserve"> permite que el </w:t>
      </w:r>
      <w:r w:rsidR="00E54FB0" w:rsidRPr="0043349B">
        <w:rPr>
          <w:rFonts w:ascii="Palatino Linotype" w:hAnsi="Palatino Linotype"/>
          <w:color w:val="000000"/>
        </w:rPr>
        <w:t>D</w:t>
      </w:r>
      <w:r w:rsidRPr="0043349B">
        <w:rPr>
          <w:rFonts w:ascii="Palatino Linotype" w:hAnsi="Palatino Linotype"/>
          <w:color w:val="000000"/>
        </w:rPr>
        <w:t>erecho de Acceso a la Información (DAI)</w:t>
      </w:r>
      <w:r w:rsidR="003D338E" w:rsidRPr="0043349B">
        <w:rPr>
          <w:rFonts w:ascii="Palatino Linotype" w:hAnsi="Palatino Linotype"/>
          <w:color w:val="000000"/>
        </w:rPr>
        <w:t xml:space="preserve"> subsista a pesar de que exista la investigación</w:t>
      </w:r>
      <w:r w:rsidRPr="0043349B">
        <w:rPr>
          <w:rFonts w:ascii="Palatino Linotype" w:hAnsi="Palatino Linotype"/>
          <w:color w:val="000000"/>
        </w:rPr>
        <w:t>? ¿Se debe entregar la información relativa al número de la carpeta de investigación generada en el ejercicio de sus atribuciones y en todo caso es posible clasificarla?</w:t>
      </w:r>
    </w:p>
    <w:p w14:paraId="5D071A80" w14:textId="77777777" w:rsidR="000522F6" w:rsidRPr="0043349B" w:rsidRDefault="000522F6" w:rsidP="000522F6">
      <w:pPr>
        <w:pStyle w:val="Prrafodelista"/>
        <w:spacing w:line="360" w:lineRule="auto"/>
        <w:ind w:left="0"/>
        <w:jc w:val="both"/>
        <w:rPr>
          <w:rFonts w:ascii="Palatino Linotype" w:hAnsi="Palatino Linotype"/>
          <w:color w:val="000000"/>
        </w:rPr>
      </w:pPr>
    </w:p>
    <w:p w14:paraId="168660A2" w14:textId="75E3AC40" w:rsidR="000522F6" w:rsidRPr="0043349B" w:rsidRDefault="000522F6" w:rsidP="000522F6">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Atendiendo a dichos cuestionamientos es necesario indicar que </w:t>
      </w:r>
      <w:r w:rsidRPr="0043349B">
        <w:rPr>
          <w:rFonts w:ascii="Palatino Linotype" w:hAnsi="Palatino Linotype"/>
        </w:rPr>
        <w:t>el Sujeto Obligado deberá realizar un adecuado Acuerdo de su Comité de Transparencia en el que funde y motive de manera exhaustiva las razones por las que haya determinado negar el derecho de acceso a la información del particular por cuanto hace al número de expediente en la carpeta de investigación inicial.</w:t>
      </w:r>
    </w:p>
    <w:p w14:paraId="45758695" w14:textId="77777777" w:rsidR="000522F6" w:rsidRPr="0043349B" w:rsidRDefault="000522F6" w:rsidP="000522F6">
      <w:pPr>
        <w:pStyle w:val="Prrafodelista"/>
        <w:rPr>
          <w:rFonts w:ascii="Palatino Linotype" w:hAnsi="Palatino Linotype"/>
          <w:color w:val="000000"/>
        </w:rPr>
      </w:pPr>
    </w:p>
    <w:p w14:paraId="7DC01812" w14:textId="1520FD60" w:rsidR="000522F6" w:rsidRPr="0043349B" w:rsidRDefault="000522F6" w:rsidP="000522F6">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Además </w:t>
      </w:r>
      <w:r w:rsidRPr="0043349B">
        <w:rPr>
          <w:rFonts w:ascii="Palatino Linotype" w:hAnsi="Palatino Linotype"/>
        </w:rPr>
        <w:t>la difusión de esta información le permitirá a la sociedad generar datos estadísticos sobre denuncias de esa naturaleza.</w:t>
      </w:r>
    </w:p>
    <w:p w14:paraId="31F8626C" w14:textId="77777777" w:rsidR="000522F6" w:rsidRPr="0043349B" w:rsidRDefault="000522F6" w:rsidP="000522F6">
      <w:pPr>
        <w:pStyle w:val="Prrafodelista"/>
        <w:rPr>
          <w:rFonts w:ascii="Palatino Linotype" w:hAnsi="Palatino Linotype"/>
          <w:color w:val="000000"/>
        </w:rPr>
      </w:pPr>
    </w:p>
    <w:p w14:paraId="6869A8D5" w14:textId="72BE4256" w:rsidR="000522F6" w:rsidRPr="0043349B" w:rsidRDefault="000522F6" w:rsidP="000522F6">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Por lo que informar el número de expediente de cada averiguación previa</w:t>
      </w:r>
      <w:r w:rsidR="00865075" w:rsidRPr="0043349B">
        <w:rPr>
          <w:rFonts w:ascii="Palatino Linotype" w:hAnsi="Palatino Linotype"/>
        </w:rPr>
        <w:t xml:space="preserve"> o bien </w:t>
      </w:r>
      <w:r w:rsidRPr="0043349B">
        <w:rPr>
          <w:rFonts w:ascii="Palatino Linotype" w:hAnsi="Palatino Linotype"/>
        </w:rPr>
        <w:t>el número de investigaciones iniciales</w:t>
      </w:r>
      <w:r w:rsidR="00865075" w:rsidRPr="0043349B">
        <w:rPr>
          <w:rFonts w:ascii="Palatino Linotype" w:hAnsi="Palatino Linotype"/>
        </w:rPr>
        <w:t xml:space="preserve"> realizadas</w:t>
      </w:r>
      <w:r w:rsidRPr="0043349B">
        <w:rPr>
          <w:rFonts w:ascii="Palatino Linotype" w:hAnsi="Palatino Linotype"/>
        </w:rPr>
        <w:t xml:space="preserve"> por robo o cualquier tipo de delito</w:t>
      </w:r>
      <w:r w:rsidR="00865075" w:rsidRPr="0043349B">
        <w:rPr>
          <w:rFonts w:ascii="Palatino Linotype" w:hAnsi="Palatino Linotype"/>
        </w:rPr>
        <w:t xml:space="preserve">, </w:t>
      </w:r>
      <w:r w:rsidRPr="0043349B">
        <w:rPr>
          <w:rFonts w:ascii="Palatino Linotype" w:hAnsi="Palatino Linotype"/>
        </w:rPr>
        <w:t>debieran ser entregadas en estricto apego al principio de máxima publicidad, puesto que hacerlos de conocimiento al público, en nada afecta su sustanciación, al contrario, favorece a la transparencia y rendición de cuentas y saber que se revuelve con apego a los principios de legalidad e imparcialidad.</w:t>
      </w:r>
    </w:p>
    <w:p w14:paraId="276D32E3" w14:textId="77777777" w:rsidR="000522F6" w:rsidRPr="0043349B" w:rsidRDefault="000522F6" w:rsidP="00865075">
      <w:pPr>
        <w:rPr>
          <w:rFonts w:ascii="Palatino Linotype" w:hAnsi="Palatino Linotype"/>
          <w:color w:val="000000"/>
        </w:rPr>
      </w:pPr>
    </w:p>
    <w:p w14:paraId="3AF23ED2" w14:textId="3F09BC45" w:rsidR="004C3391" w:rsidRPr="0043349B" w:rsidRDefault="0061722C"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E</w:t>
      </w:r>
      <w:r w:rsidR="004C3391" w:rsidRPr="0043349B">
        <w:rPr>
          <w:rFonts w:ascii="Palatino Linotype" w:hAnsi="Palatino Linotype"/>
          <w:color w:val="000000"/>
        </w:rPr>
        <w:t xml:space="preserve">n la respuesta emitida por el </w:t>
      </w:r>
      <w:r w:rsidR="004C3391" w:rsidRPr="0043349B">
        <w:rPr>
          <w:rFonts w:ascii="Palatino Linotype" w:hAnsi="Palatino Linotype"/>
          <w:b/>
          <w:color w:val="000000"/>
        </w:rPr>
        <w:t>SUJETO OBLIGADO</w:t>
      </w:r>
      <w:r w:rsidR="004C3391" w:rsidRPr="0043349B">
        <w:rPr>
          <w:rFonts w:ascii="Palatino Linotype" w:hAnsi="Palatino Linotype"/>
          <w:color w:val="000000"/>
        </w:rPr>
        <w:t xml:space="preserve"> </w:t>
      </w:r>
      <w:r w:rsidR="00E54FB0" w:rsidRPr="0043349B">
        <w:rPr>
          <w:rFonts w:ascii="Palatino Linotype" w:hAnsi="Palatino Linotype"/>
          <w:color w:val="000000"/>
        </w:rPr>
        <w:t xml:space="preserve">se observa que ésta </w:t>
      </w:r>
      <w:r w:rsidR="004C3391" w:rsidRPr="0043349B">
        <w:rPr>
          <w:rFonts w:ascii="Palatino Linotype" w:hAnsi="Palatino Linotype"/>
          <w:color w:val="000000"/>
        </w:rPr>
        <w:t>a todas luces</w:t>
      </w:r>
      <w:r w:rsidR="00E54FB0" w:rsidRPr="0043349B">
        <w:rPr>
          <w:rFonts w:ascii="Palatino Linotype" w:hAnsi="Palatino Linotype"/>
          <w:color w:val="000000"/>
        </w:rPr>
        <w:t xml:space="preserve"> hace nugatorio el Derecho de Acceso a la Información</w:t>
      </w:r>
      <w:r w:rsidR="004C3391" w:rsidRPr="0043349B">
        <w:rPr>
          <w:rFonts w:ascii="Palatino Linotype" w:hAnsi="Palatino Linotype"/>
          <w:color w:val="000000"/>
        </w:rPr>
        <w:t xml:space="preserve">, porque únicamente se está solicitando el número de averiguación previa, no así todos los </w:t>
      </w:r>
      <w:r w:rsidR="004C3391" w:rsidRPr="0043349B">
        <w:rPr>
          <w:rFonts w:ascii="Palatino Linotype" w:hAnsi="Palatino Linotype"/>
          <w:color w:val="000000"/>
        </w:rPr>
        <w:lastRenderedPageBreak/>
        <w:t xml:space="preserve">documentos que la conforman el que se establece que </w:t>
      </w:r>
      <w:r w:rsidR="004C3391" w:rsidRPr="0043349B">
        <w:rPr>
          <w:rFonts w:ascii="Palatino Linotype" w:hAnsi="Palatino Linotype"/>
        </w:rPr>
        <w:t>la información por lo que en caso de que se hubiera pretendido una reserva con el simple pronunciamiento de normas penales y sin encontrarse esta clasificación apegada a derecho ésta no hubiera procedido.</w:t>
      </w:r>
    </w:p>
    <w:p w14:paraId="7A60E1A4"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71BD4B3C" w14:textId="77777777" w:rsidR="004C3391" w:rsidRPr="0043349B" w:rsidRDefault="004C3391" w:rsidP="004C3391">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rPr>
        <w:t xml:space="preserve">Además éste tipo de investigaciones solo podrá ser clasificada excepcionalmente como reservada temporalmente por razones de interés público, en los términos de las causas legítimas y estrictamente necesarias previstas por la ley , es decir </w:t>
      </w:r>
      <w:r w:rsidRPr="0043349B">
        <w:rPr>
          <w:rFonts w:ascii="Palatino Linotype" w:hAnsi="Palatino Linotype"/>
          <w:color w:val="000000"/>
        </w:rPr>
        <w:t>toda información en poder de las autoridades es pública y sólo admite excepciones limitadas para reservar información en los términos que fijen las leyes. En este caso, la excepción de la reserva de información es la regla y no la excepción.</w:t>
      </w:r>
    </w:p>
    <w:p w14:paraId="43FCE3A9" w14:textId="77777777" w:rsidR="0061722C" w:rsidRPr="0043349B" w:rsidRDefault="0061722C" w:rsidP="0061722C">
      <w:pPr>
        <w:pStyle w:val="Prrafodelista"/>
        <w:rPr>
          <w:rFonts w:ascii="Palatino Linotype" w:hAnsi="Palatino Linotype"/>
          <w:color w:val="000000"/>
        </w:rPr>
      </w:pPr>
    </w:p>
    <w:p w14:paraId="6F428403" w14:textId="6FCDA04E" w:rsidR="0061722C" w:rsidRPr="0043349B" w:rsidRDefault="0061722C" w:rsidP="0061722C">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Robustece lo anteriormente expuesto </w:t>
      </w:r>
      <w:r w:rsidRPr="0043349B">
        <w:rPr>
          <w:rFonts w:ascii="Palatino Linotype" w:hAnsi="Palatino Linotype"/>
        </w:rPr>
        <w:t>el criterio emitido por la Primera Sala de la Suprema Corte de Justicia de la Nación en los siguientes términos:</w:t>
      </w:r>
    </w:p>
    <w:p w14:paraId="65CF6D22" w14:textId="77777777" w:rsidR="0061722C" w:rsidRPr="0043349B" w:rsidRDefault="0061722C" w:rsidP="0061722C">
      <w:pPr>
        <w:pStyle w:val="Prrafodelista"/>
        <w:rPr>
          <w:rFonts w:ascii="Palatino Linotype" w:hAnsi="Palatino Linotype"/>
        </w:rPr>
      </w:pPr>
    </w:p>
    <w:p w14:paraId="619AAFE7" w14:textId="77777777" w:rsidR="0061722C" w:rsidRPr="0043349B" w:rsidRDefault="0061722C" w:rsidP="0061722C">
      <w:pPr>
        <w:pStyle w:val="Prrafodelista"/>
        <w:tabs>
          <w:tab w:val="left" w:pos="426"/>
        </w:tabs>
        <w:spacing w:before="240" w:after="240" w:line="360" w:lineRule="auto"/>
        <w:ind w:left="851" w:right="616"/>
        <w:jc w:val="both"/>
        <w:rPr>
          <w:rFonts w:ascii="Palatino Linotype" w:hAnsi="Palatino Linotype"/>
          <w:b/>
          <w:i/>
        </w:rPr>
      </w:pPr>
      <w:r w:rsidRPr="0043349B">
        <w:rPr>
          <w:rFonts w:ascii="Palatino Linotype" w:hAnsi="Palatino Linotype"/>
          <w:i/>
        </w:rPr>
        <w:t xml:space="preserve">DERECHOS HUMANOS. REQUISITOS PARA RESTRINGIRLOS O SUSPENDERLOS CONFORME A LOS ARTÍCULOS 1o. DE LA CONSTITUCIÓN POLÍTICA DE LOS ESTADOS UNIDOS MEXICANOS Y 30 DE LA CONVENCIÓN AMERICANA SOBRE DERECHOS HUMANOS. Esta Suprema Corte de Justicia de la Nación ha sostenido que no existen derechos humanos absolutos, por ello, conforme al artículo 1o., párrafo primero, de la Constitución Política de los Estados Unidos Mexicanos, reformado mediante decreto publicado en el Diario Oficial de la Federación el 10 de junio de 2011, aquéllos pueden restringirse </w:t>
      </w:r>
      <w:r w:rsidRPr="0043349B">
        <w:rPr>
          <w:rFonts w:ascii="Palatino Linotype" w:hAnsi="Palatino Linotype"/>
          <w:i/>
        </w:rPr>
        <w:lastRenderedPageBreak/>
        <w:t xml:space="preserve">o suspenderse válidamente en los casos y con las condiciones que la misma Ley Fundamental establece. En este sentido, el artículo 30 de la Convención Americana sobre Derechos Humanos establece que las restricciones permitidas al goce y ejercicio de los derechos y las libertades reconocidas en ésta no pueden aplicarse sino conforme a las leyes dictadas en razón del interés general y de acuerdo con el propósito para el cual han sido establecidas. Sin embargo, la regulación normativa que establezca los supuestos por los cuales se restrinjan o suspendan los derechos humanos no puede ser arbitraria, sino que los límites previstos en los invocados ordenamientos sirven como elementos que el juez constitucional debe tomar en cuenta para considerarlas válidas. En ese contexto, de la interpretación armónica y sistemática de los artículos citados se concluye que </w:t>
      </w:r>
      <w:r w:rsidRPr="0043349B">
        <w:rPr>
          <w:rFonts w:ascii="Palatino Linotype" w:hAnsi="Palatino Linotype"/>
          <w:b/>
          <w:i/>
        </w:rPr>
        <w:t xml:space="preserve">los requisitos para considerar válidas las restricciones o la suspensión de derechos, son: a) que se establezcan en una ley formal y material (principio de reserva de ley) dictada en razón del interés general o público, en aras de garantizar los diversos derechos de igualdad y seguridad jurídica (requisitos formales); y, b) que superen un test de proporcionalidad, esto es, que sean necesarias; que persigan un interés o una finalidad constitucionalmente legítima y que sean razonables y ponderables en una sociedad democrática (requisitos materiales). </w:t>
      </w:r>
      <w:r w:rsidRPr="0043349B">
        <w:rPr>
          <w:rFonts w:ascii="Palatino Linotype" w:hAnsi="Palatino Linotype"/>
        </w:rPr>
        <w:t xml:space="preserve">(TA) Tesis: 1a. CCXV/2013 (10a.). Primera Sala de la SCJN,  Décima Época, Semanario Municipal de la Federación y su Gaceta, Libro XXII, Julio de 2013, Tomo 1, Página: </w:t>
      </w:r>
      <w:proofErr w:type="gramStart"/>
      <w:r w:rsidRPr="0043349B">
        <w:rPr>
          <w:rFonts w:ascii="Palatino Linotype" w:hAnsi="Palatino Linotype"/>
        </w:rPr>
        <w:t>557 .</w:t>
      </w:r>
      <w:proofErr w:type="gramEnd"/>
    </w:p>
    <w:p w14:paraId="065B291B" w14:textId="77777777" w:rsidR="0061722C" w:rsidRPr="0043349B" w:rsidRDefault="0061722C" w:rsidP="0061722C">
      <w:pPr>
        <w:pStyle w:val="Prrafodelista"/>
        <w:tabs>
          <w:tab w:val="left" w:pos="426"/>
        </w:tabs>
        <w:spacing w:before="240" w:after="240" w:line="360" w:lineRule="auto"/>
        <w:ind w:left="851" w:right="616"/>
        <w:jc w:val="both"/>
        <w:rPr>
          <w:rFonts w:ascii="Palatino Linotype" w:hAnsi="Palatino Linotype"/>
          <w:i/>
        </w:rPr>
      </w:pPr>
      <w:r w:rsidRPr="0043349B">
        <w:rPr>
          <w:rFonts w:ascii="Palatino Linotype" w:hAnsi="Palatino Linotype"/>
          <w:i/>
        </w:rPr>
        <w:lastRenderedPageBreak/>
        <w:t xml:space="preserve">Amparo en revisión 173/2012. 6 de febrero de 2013. Mayoría de tres votos. Disidentes: Alfredo Gutiérrez Ortiz Mena y Jorge Mario Pardo Rebolledo; Arturo Zaldívar Lelo de Larrea reservó su derecho para formular voto concurrente. Ponente: José Ramón Cossío Díaz. Secretario: Jorge Jiménez </w:t>
      </w:r>
      <w:proofErr w:type="spellStart"/>
      <w:r w:rsidRPr="0043349B">
        <w:rPr>
          <w:rFonts w:ascii="Palatino Linotype" w:hAnsi="Palatino Linotype"/>
          <w:i/>
        </w:rPr>
        <w:t>Jiménez</w:t>
      </w:r>
      <w:proofErr w:type="spellEnd"/>
      <w:r w:rsidRPr="0043349B">
        <w:rPr>
          <w:rFonts w:ascii="Palatino Linotype" w:hAnsi="Palatino Linotype"/>
          <w:i/>
        </w:rPr>
        <w:t>.</w:t>
      </w:r>
    </w:p>
    <w:p w14:paraId="05FC23FA" w14:textId="77777777" w:rsidR="004C3391" w:rsidRPr="0043349B" w:rsidRDefault="004C3391" w:rsidP="0061722C">
      <w:pPr>
        <w:pStyle w:val="Prrafodelista"/>
        <w:spacing w:line="360" w:lineRule="auto"/>
        <w:ind w:left="0"/>
        <w:jc w:val="both"/>
        <w:rPr>
          <w:rFonts w:ascii="Palatino Linotype" w:hAnsi="Palatino Linotype"/>
          <w:color w:val="000000"/>
        </w:rPr>
      </w:pPr>
    </w:p>
    <w:p w14:paraId="34FCE5F1" w14:textId="484FA292" w:rsidR="004C3391" w:rsidRPr="0043349B" w:rsidRDefault="004C3391" w:rsidP="004C3391">
      <w:pPr>
        <w:pStyle w:val="Prrafodelista"/>
        <w:numPr>
          <w:ilvl w:val="0"/>
          <w:numId w:val="1"/>
        </w:numPr>
        <w:spacing w:line="360" w:lineRule="auto"/>
        <w:ind w:left="0" w:firstLine="0"/>
        <w:jc w:val="both"/>
        <w:rPr>
          <w:rFonts w:ascii="Palatino Linotype" w:hAnsi="Palatino Linotype"/>
          <w:b/>
          <w:i/>
          <w:color w:val="000000"/>
          <w:sz w:val="22"/>
          <w:szCs w:val="22"/>
          <w:u w:val="single"/>
        </w:rPr>
      </w:pPr>
      <w:r w:rsidRPr="0043349B">
        <w:rPr>
          <w:rFonts w:ascii="Palatino Linotype" w:hAnsi="Palatino Linotype"/>
          <w:color w:val="000000"/>
        </w:rPr>
        <w:t xml:space="preserve">En concordancia con </w:t>
      </w:r>
      <w:r w:rsidR="0061722C" w:rsidRPr="0043349B">
        <w:rPr>
          <w:rFonts w:ascii="Palatino Linotype" w:hAnsi="Palatino Linotype"/>
          <w:color w:val="000000"/>
        </w:rPr>
        <w:t>ello</w:t>
      </w:r>
      <w:r w:rsidRPr="0043349B">
        <w:rPr>
          <w:rFonts w:ascii="Palatino Linotype" w:hAnsi="Palatino Linotype"/>
          <w:color w:val="000000"/>
        </w:rPr>
        <w:t xml:space="preserve">, el especialista </w:t>
      </w:r>
      <w:r w:rsidRPr="0043349B">
        <w:rPr>
          <w:rFonts w:ascii="Palatino Linotype" w:hAnsi="Palatino Linotype"/>
          <w:iCs/>
          <w:color w:val="000000"/>
          <w:shd w:val="clear" w:color="auto" w:fill="FFFFFF"/>
        </w:rPr>
        <w:t>Mois</w:t>
      </w:r>
      <w:r w:rsidRPr="0043349B">
        <w:rPr>
          <w:rFonts w:ascii="Palatino Linotype" w:hAnsi="Palatino Linotype"/>
          <w:iCs/>
          <w:color w:val="000000"/>
          <w:bdr w:val="none" w:sz="0" w:space="0" w:color="auto" w:frame="1"/>
          <w:shd w:val="clear" w:color="auto" w:fill="FFFFFF"/>
        </w:rPr>
        <w:t>é</w:t>
      </w:r>
      <w:r w:rsidRPr="0043349B">
        <w:rPr>
          <w:rFonts w:ascii="Palatino Linotype" w:hAnsi="Palatino Linotype"/>
          <w:iCs/>
          <w:color w:val="000000"/>
          <w:shd w:val="clear" w:color="auto" w:fill="FFFFFF"/>
        </w:rPr>
        <w:t xml:space="preserve">s Israel </w:t>
      </w:r>
      <w:r w:rsidRPr="0043349B">
        <w:rPr>
          <w:rStyle w:val="charoverride-1"/>
          <w:rFonts w:ascii="Palatino Linotype" w:hAnsi="Palatino Linotype"/>
          <w:iCs/>
          <w:color w:val="000000"/>
          <w:bdr w:val="none" w:sz="0" w:space="0" w:color="auto" w:frame="1"/>
          <w:shd w:val="clear" w:color="auto" w:fill="FFFFFF"/>
        </w:rPr>
        <w:t>Flores Pacheco señala que “</w:t>
      </w:r>
      <w:r w:rsidRPr="0043349B">
        <w:rPr>
          <w:rFonts w:ascii="Palatino Linotype" w:hAnsi="Palatino Linotype"/>
          <w:i/>
          <w:color w:val="000000"/>
        </w:rPr>
        <w:t xml:space="preserve">La información de las investigaciones criminales tiene un marco legal </w:t>
      </w:r>
      <w:r w:rsidRPr="0043349B">
        <w:rPr>
          <w:rStyle w:val="charoverride-2"/>
          <w:rFonts w:ascii="Palatino Linotype" w:hAnsi="Palatino Linotype"/>
          <w:i/>
          <w:color w:val="000000"/>
          <w:bdr w:val="none" w:sz="0" w:space="0" w:color="auto" w:frame="1"/>
        </w:rPr>
        <w:t>sui generis</w:t>
      </w:r>
      <w:r w:rsidRPr="0043349B">
        <w:rPr>
          <w:rFonts w:ascii="Palatino Linotype" w:hAnsi="Palatino Linotype"/>
          <w:i/>
          <w:color w:val="000000"/>
        </w:rPr>
        <w:t xml:space="preserve"> que la exentan de la observancia de las reglas generales de acceso a la información pública. Si bien es cierto que el artículo 218 del CNPP busca salvaguardar el sigilo necesario de toda investigación, así como los derechos e intereses de las partes, </w:t>
      </w:r>
      <w:proofErr w:type="gramStart"/>
      <w:r w:rsidRPr="0043349B">
        <w:rPr>
          <w:rFonts w:ascii="Palatino Linotype" w:hAnsi="Palatino Linotype"/>
          <w:i/>
          <w:color w:val="000000"/>
        </w:rPr>
        <w:t>éstas</w:t>
      </w:r>
      <w:proofErr w:type="gramEnd"/>
      <w:r w:rsidRPr="0043349B">
        <w:rPr>
          <w:rFonts w:ascii="Palatino Linotype" w:hAnsi="Palatino Linotype"/>
          <w:i/>
          <w:color w:val="000000"/>
        </w:rPr>
        <w:t xml:space="preserve"> restricciones sólo pueden darse al tenor de que lo establecen la CPEUM y la Ley General de Acceso a la Información Pública (LGAIP). Es válido señalar que la informaci</w:t>
      </w:r>
      <w:r w:rsidRPr="0043349B">
        <w:rPr>
          <w:rFonts w:ascii="Palatino Linotype" w:hAnsi="Palatino Linotype"/>
          <w:i/>
          <w:color w:val="000000"/>
          <w:bdr w:val="none" w:sz="0" w:space="0" w:color="auto" w:frame="1"/>
        </w:rPr>
        <w:t xml:space="preserve">ón </w:t>
      </w:r>
      <w:r w:rsidRPr="0043349B">
        <w:rPr>
          <w:rFonts w:ascii="Palatino Linotype" w:hAnsi="Palatino Linotype"/>
          <w:i/>
          <w:color w:val="000000"/>
        </w:rPr>
        <w:t xml:space="preserve">contenida en las investigaciones criminales puede ser reservada debido a que el derecho de acceso a la información </w:t>
      </w:r>
      <w:r w:rsidRPr="0043349B">
        <w:rPr>
          <w:rFonts w:ascii="Palatino Linotype" w:hAnsi="Palatino Linotype"/>
          <w:b/>
          <w:i/>
          <w:color w:val="000000"/>
          <w:u w:val="single"/>
        </w:rPr>
        <w:t>no es un derecho absoluto y admite limitaciones; sin embargo, esas reservas sólo pueden aplicarse siempre y cuando un interés público así lo justifique en cada caso concreto, y no como una regla absoluta para todas las investigaciones</w:t>
      </w:r>
      <w:r w:rsidRPr="0043349B">
        <w:rPr>
          <w:rFonts w:ascii="Palatino Linotype" w:hAnsi="Palatino Linotype"/>
          <w:b/>
          <w:i/>
          <w:color w:val="000000"/>
        </w:rPr>
        <w:t xml:space="preserve">. </w:t>
      </w:r>
      <w:r w:rsidRPr="0043349B">
        <w:rPr>
          <w:rFonts w:ascii="Palatino Linotype" w:hAnsi="Palatino Linotype"/>
          <w:b/>
          <w:i/>
          <w:color w:val="000000"/>
          <w:sz w:val="22"/>
          <w:szCs w:val="22"/>
          <w:u w:val="single"/>
        </w:rPr>
        <w:t xml:space="preserve">La reserva de información no debería ser decretada legalmente de manera generalizada, como se hace en el texto del artículo 218 del CNPP. Sería injustificado que la norma reserve toda la información contenida en la averiguación previa de todos los casos. Esa medida carece de </w:t>
      </w:r>
      <w:r w:rsidRPr="0043349B">
        <w:rPr>
          <w:rFonts w:ascii="Palatino Linotype" w:hAnsi="Palatino Linotype"/>
          <w:b/>
          <w:i/>
          <w:color w:val="000000"/>
          <w:sz w:val="22"/>
          <w:szCs w:val="22"/>
          <w:u w:val="single"/>
        </w:rPr>
        <w:lastRenderedPageBreak/>
        <w:t>razonabilidad y de proporcionalidad, de manera que no superaría un test de constitucionalidad porque no atiende a cada caso concreto.”</w:t>
      </w:r>
      <w:r w:rsidRPr="0043349B">
        <w:rPr>
          <w:rStyle w:val="Refdenotaalpie"/>
          <w:rFonts w:ascii="Palatino Linotype" w:hAnsi="Palatino Linotype"/>
          <w:b/>
          <w:i/>
          <w:color w:val="000000"/>
          <w:sz w:val="22"/>
          <w:szCs w:val="22"/>
          <w:u w:val="single"/>
        </w:rPr>
        <w:footnoteReference w:id="16"/>
      </w:r>
    </w:p>
    <w:p w14:paraId="650E2A43" w14:textId="77777777" w:rsidR="004C3391" w:rsidRPr="0043349B" w:rsidRDefault="004C3391" w:rsidP="004C3391">
      <w:pPr>
        <w:pStyle w:val="Prrafodelista"/>
        <w:spacing w:line="360" w:lineRule="auto"/>
        <w:ind w:left="0"/>
        <w:jc w:val="both"/>
        <w:rPr>
          <w:rFonts w:ascii="Palatino Linotype" w:hAnsi="Palatino Linotype"/>
          <w:b/>
          <w:color w:val="000000"/>
          <w:sz w:val="22"/>
          <w:szCs w:val="22"/>
          <w:u w:val="single"/>
        </w:rPr>
      </w:pPr>
    </w:p>
    <w:p w14:paraId="6B7832C4" w14:textId="59A90734" w:rsidR="004C3391" w:rsidRPr="0043349B" w:rsidRDefault="0061722C" w:rsidP="004C3391">
      <w:pPr>
        <w:pStyle w:val="Prrafodelista"/>
        <w:numPr>
          <w:ilvl w:val="0"/>
          <w:numId w:val="1"/>
        </w:numPr>
        <w:spacing w:line="360" w:lineRule="auto"/>
        <w:ind w:left="0" w:firstLine="0"/>
        <w:jc w:val="both"/>
        <w:rPr>
          <w:rFonts w:ascii="Palatino Linotype" w:hAnsi="Palatino Linotype"/>
          <w:i/>
          <w:color w:val="000000"/>
          <w:sz w:val="22"/>
          <w:szCs w:val="22"/>
        </w:rPr>
      </w:pPr>
      <w:r w:rsidRPr="0043349B">
        <w:rPr>
          <w:rFonts w:ascii="Palatino Linotype" w:hAnsi="Palatino Linotype"/>
          <w:color w:val="000000"/>
          <w:sz w:val="22"/>
          <w:szCs w:val="22"/>
        </w:rPr>
        <w:t>Además</w:t>
      </w:r>
      <w:r w:rsidR="004C3391" w:rsidRPr="0043349B">
        <w:rPr>
          <w:rFonts w:ascii="Palatino Linotype" w:hAnsi="Palatino Linotype"/>
          <w:color w:val="000000"/>
          <w:sz w:val="22"/>
          <w:szCs w:val="22"/>
        </w:rPr>
        <w:t xml:space="preserve"> la Tesis Aislada emitida por la Primera Sala de la Suprema Corte de Justicia de la Nación</w:t>
      </w:r>
      <w:r w:rsidR="004C3391" w:rsidRPr="0043349B">
        <w:rPr>
          <w:rStyle w:val="Refdenotaalpie"/>
          <w:rFonts w:ascii="Palatino Linotype" w:hAnsi="Palatino Linotype"/>
          <w:color w:val="000000"/>
          <w:sz w:val="22"/>
          <w:szCs w:val="22"/>
        </w:rPr>
        <w:footnoteReference w:id="17"/>
      </w:r>
      <w:r w:rsidRPr="0043349B">
        <w:rPr>
          <w:rFonts w:ascii="Palatino Linotype" w:hAnsi="Palatino Linotype"/>
          <w:color w:val="000000"/>
          <w:sz w:val="22"/>
          <w:szCs w:val="22"/>
        </w:rPr>
        <w:t>, señala:</w:t>
      </w:r>
    </w:p>
    <w:p w14:paraId="7D406EA7" w14:textId="77777777" w:rsidR="004C3391" w:rsidRPr="0043349B" w:rsidRDefault="004C3391" w:rsidP="004C3391">
      <w:pPr>
        <w:pStyle w:val="Prrafodelista"/>
        <w:spacing w:line="360" w:lineRule="auto"/>
        <w:ind w:left="0"/>
        <w:jc w:val="both"/>
        <w:rPr>
          <w:rFonts w:ascii="Palatino Linotype" w:hAnsi="Palatino Linotype"/>
          <w:b/>
          <w:color w:val="000000"/>
          <w:sz w:val="22"/>
          <w:szCs w:val="22"/>
          <w:u w:val="single"/>
        </w:rPr>
      </w:pPr>
    </w:p>
    <w:p w14:paraId="2BE1FAC6" w14:textId="77777777" w:rsidR="004C3391" w:rsidRPr="0043349B" w:rsidRDefault="004C3391" w:rsidP="004C3391">
      <w:pPr>
        <w:spacing w:line="360" w:lineRule="auto"/>
        <w:ind w:left="567" w:right="567"/>
        <w:jc w:val="both"/>
        <w:rPr>
          <w:rFonts w:ascii="Palatino Linotype" w:hAnsi="Palatino Linotype" w:cs="Calibri"/>
          <w:b/>
          <w:bCs/>
          <w:i/>
          <w:color w:val="000000" w:themeColor="text1"/>
          <w:sz w:val="22"/>
          <w:szCs w:val="22"/>
        </w:rPr>
      </w:pPr>
      <w:r w:rsidRPr="0043349B">
        <w:rPr>
          <w:rFonts w:ascii="Palatino Linotype" w:hAnsi="Palatino Linotype" w:cs="Calibri"/>
          <w:b/>
          <w:bCs/>
          <w:i/>
          <w:color w:val="000000" w:themeColor="text1"/>
          <w:sz w:val="22"/>
          <w:szCs w:val="22"/>
        </w:rPr>
        <w:t>ACCESO A LA AVERIGUACIÓN PREVIA. EL ARTÍCULO </w:t>
      </w:r>
      <w:hyperlink r:id="rId10" w:history="1">
        <w:r w:rsidRPr="0043349B">
          <w:rPr>
            <w:rStyle w:val="Hipervnculo"/>
            <w:rFonts w:ascii="Palatino Linotype" w:hAnsi="Palatino Linotype" w:cs="Calibri"/>
            <w:b/>
            <w:bCs/>
            <w:i/>
            <w:color w:val="000000" w:themeColor="text1"/>
            <w:sz w:val="22"/>
            <w:szCs w:val="22"/>
          </w:rPr>
          <w:t>16, PÁRRAFOS SEGUNDO, TERCERO Y SEXTO, DEL CÓDIGO FEDERAL DE PROCEDIMIENTOS PENALES</w:t>
        </w:r>
      </w:hyperlink>
      <w:r w:rsidRPr="0043349B">
        <w:rPr>
          <w:rFonts w:ascii="Palatino Linotype" w:hAnsi="Palatino Linotype" w:cs="Calibri"/>
          <w:b/>
          <w:bCs/>
          <w:i/>
          <w:color w:val="000000" w:themeColor="text1"/>
          <w:sz w:val="22"/>
          <w:szCs w:val="22"/>
        </w:rPr>
        <w:t>, TRANSGREDE EL DERECHO HUMANO DE ACCESO A LA INFORMACIÓN.</w:t>
      </w:r>
    </w:p>
    <w:p w14:paraId="30E0082C" w14:textId="0608D78D" w:rsidR="004C3391" w:rsidRPr="0043349B" w:rsidRDefault="004C3391" w:rsidP="004C3391">
      <w:pPr>
        <w:spacing w:line="360" w:lineRule="auto"/>
        <w:ind w:left="567" w:right="567"/>
        <w:jc w:val="both"/>
        <w:rPr>
          <w:rFonts w:ascii="Palatino Linotype" w:hAnsi="Palatino Linotype" w:cs="Calibri"/>
          <w:i/>
          <w:color w:val="000000"/>
          <w:sz w:val="22"/>
          <w:szCs w:val="22"/>
        </w:rPr>
      </w:pPr>
      <w:r w:rsidRPr="0043349B">
        <w:rPr>
          <w:rFonts w:ascii="Palatino Linotype" w:hAnsi="Palatino Linotype" w:cs="Calibri"/>
          <w:i/>
          <w:color w:val="000000"/>
          <w:sz w:val="22"/>
          <w:szCs w:val="22"/>
        </w:rPr>
        <w:t xml:space="preserve">El precepto citado establece que: a) al expediente de averiguación previa sólo tendrán acceso el inculpado, su defensor, así como la víctima u ofendido o su representante legal; b) la documentación y los objetos contenidos en ella son estrictamente reservados; c) para efectos de acceso a la información pública gubernamental únicamente deberá proporcionarse una versión pública de la resolución de no ejercicio de la acción penal, a condición de que haya transcurrido un plazo igual al de la prescripción de los delitos de que se trate, conforme al Código Penal Federal, sin que pueda ser menor de tres ni mayor de doce años, contados a partir de que dicha resolución haya quedado firme; y d) el Ministerio Público no podrá proporcionar información a quien no esté legitimado, una </w:t>
      </w:r>
      <w:r w:rsidRPr="0043349B">
        <w:rPr>
          <w:rFonts w:ascii="Palatino Linotype" w:hAnsi="Palatino Linotype" w:cs="Calibri"/>
          <w:i/>
          <w:color w:val="000000"/>
          <w:sz w:val="22"/>
          <w:szCs w:val="22"/>
        </w:rPr>
        <w:lastRenderedPageBreak/>
        <w:t xml:space="preserve">vez que haya ejercido la acción penal. Ahora bien, el derecho de acceso a la información pública no es absoluto y encuentra sus límites en el interés público, la vida privada y la información referida a los datos personales; de ahí que el precepto señalado vulnera este derecho, toda vez que prevé que toda la información contenida en la averiguación previa debe considerarse reservada sin contener criterios que permitan determinar casuísticamente cuál es la información que debe reservarse; esto es, la limitación de acceso a la información pública </w:t>
      </w:r>
      <w:r w:rsidRPr="0043349B">
        <w:rPr>
          <w:rFonts w:ascii="Palatino Linotype" w:hAnsi="Palatino Linotype" w:cs="Calibri"/>
          <w:b/>
          <w:i/>
          <w:color w:val="000000"/>
          <w:sz w:val="22"/>
          <w:szCs w:val="22"/>
          <w:u w:val="single"/>
        </w:rPr>
        <w:t>debe vincularse objetivamente con la realización de una prueba de daño</w:t>
      </w:r>
      <w:r w:rsidRPr="0043349B">
        <w:rPr>
          <w:rFonts w:ascii="Palatino Linotype" w:hAnsi="Palatino Linotype" w:cs="Calibri"/>
          <w:i/>
          <w:color w:val="000000"/>
          <w:sz w:val="22"/>
          <w:szCs w:val="22"/>
        </w:rPr>
        <w:t xml:space="preserve">, la cual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w:t>
      </w:r>
      <w:hyperlink r:id="rId11" w:history="1">
        <w:r w:rsidRPr="0043349B">
          <w:rPr>
            <w:rStyle w:val="Hipervnculo"/>
            <w:rFonts w:ascii="Palatino Linotype" w:hAnsi="Palatino Linotype" w:cs="Calibri"/>
            <w:i/>
            <w:sz w:val="22"/>
            <w:szCs w:val="22"/>
          </w:rPr>
          <w:t>6o., fracción III, de la Constitución Política de los Estados Unidos Mexicanos</w:t>
        </w:r>
      </w:hyperlink>
      <w:r w:rsidRPr="0043349B">
        <w:rPr>
          <w:rFonts w:ascii="Palatino Linotype" w:hAnsi="Palatino Linotype" w:cs="Calibri"/>
          <w:i/>
          <w:color w:val="000000"/>
          <w:sz w:val="22"/>
          <w:szCs w:val="22"/>
        </w:rPr>
        <w:t>, el cual dispone que toda persona, sin necesidad de acreditar interés alguno o justificar su utilización, tendrá acceso gratuito a la información pública.</w:t>
      </w:r>
    </w:p>
    <w:p w14:paraId="1DA63BA1" w14:textId="77777777" w:rsidR="004C3391" w:rsidRPr="0043349B" w:rsidRDefault="004C3391" w:rsidP="004C3391">
      <w:pPr>
        <w:pStyle w:val="francesa"/>
        <w:spacing w:before="0" w:beforeAutospacing="0" w:after="0" w:afterAutospacing="0" w:line="360" w:lineRule="auto"/>
        <w:ind w:left="567" w:right="567"/>
        <w:jc w:val="both"/>
        <w:rPr>
          <w:rFonts w:ascii="Palatino Linotype" w:hAnsi="Palatino Linotype" w:cs="Calibri"/>
          <w:i/>
          <w:color w:val="000000" w:themeColor="text1"/>
          <w:sz w:val="22"/>
          <w:szCs w:val="22"/>
        </w:rPr>
      </w:pPr>
      <w:r w:rsidRPr="0043349B">
        <w:rPr>
          <w:rFonts w:ascii="Palatino Linotype" w:hAnsi="Palatino Linotype" w:cs="Calibri"/>
          <w:i/>
          <w:color w:val="000000" w:themeColor="text1"/>
          <w:sz w:val="22"/>
          <w:szCs w:val="22"/>
        </w:rPr>
        <w:t xml:space="preserve">Amparo en revisión 173/2012. 6 de febrero de 2013. Mayoría de tres votos. Disidentes: Alfredo Gutiérrez Ortiz Mena y Jorge Mario Pardo Rebolledo; Arturo Zaldívar Lelo de Larrea reservó su derecho para formular voto concurrente. Ponente: José Ramón Cossío Díaz. Secretario: Jorge Jiménez </w:t>
      </w:r>
      <w:proofErr w:type="spellStart"/>
      <w:r w:rsidRPr="0043349B">
        <w:rPr>
          <w:rFonts w:ascii="Palatino Linotype" w:hAnsi="Palatino Linotype" w:cs="Calibri"/>
          <w:i/>
          <w:color w:val="000000" w:themeColor="text1"/>
          <w:sz w:val="22"/>
          <w:szCs w:val="22"/>
        </w:rPr>
        <w:t>Jiménez</w:t>
      </w:r>
      <w:proofErr w:type="spellEnd"/>
      <w:r w:rsidRPr="0043349B">
        <w:rPr>
          <w:rFonts w:ascii="Palatino Linotype" w:hAnsi="Palatino Linotype" w:cs="Calibri"/>
          <w:i/>
          <w:color w:val="000000" w:themeColor="text1"/>
          <w:sz w:val="22"/>
          <w:szCs w:val="22"/>
        </w:rPr>
        <w:t>.</w:t>
      </w:r>
    </w:p>
    <w:p w14:paraId="486D781D" w14:textId="77777777" w:rsidR="00311F9B" w:rsidRPr="0043349B" w:rsidRDefault="00311F9B" w:rsidP="00311F9B">
      <w:pPr>
        <w:tabs>
          <w:tab w:val="left" w:pos="142"/>
        </w:tabs>
        <w:spacing w:line="360" w:lineRule="auto"/>
        <w:jc w:val="both"/>
        <w:rPr>
          <w:rFonts w:ascii="Palatino Linotype" w:hAnsi="Palatino Linotype"/>
          <w:color w:val="000000"/>
          <w:lang w:val="es-MX"/>
        </w:rPr>
      </w:pPr>
    </w:p>
    <w:p w14:paraId="3F884DEB" w14:textId="5FAA07A6" w:rsidR="00311F9B" w:rsidRPr="0043349B" w:rsidRDefault="004C3391" w:rsidP="00175C90">
      <w:pPr>
        <w:pStyle w:val="Prrafodelista"/>
        <w:numPr>
          <w:ilvl w:val="0"/>
          <w:numId w:val="1"/>
        </w:numPr>
        <w:tabs>
          <w:tab w:val="left" w:pos="142"/>
        </w:tabs>
        <w:spacing w:line="360" w:lineRule="auto"/>
        <w:ind w:left="0" w:firstLine="0"/>
        <w:jc w:val="both"/>
        <w:rPr>
          <w:rFonts w:ascii="Palatino Linotype" w:hAnsi="Palatino Linotype" w:cs="Calibri"/>
          <w:color w:val="000000" w:themeColor="text1"/>
        </w:rPr>
      </w:pPr>
      <w:r w:rsidRPr="0043349B">
        <w:rPr>
          <w:rFonts w:ascii="Palatino Linotype" w:hAnsi="Palatino Linotype"/>
          <w:color w:val="000000" w:themeColor="text1"/>
        </w:rPr>
        <w:t>Es así que de todo lo</w:t>
      </w:r>
      <w:r w:rsidR="003C3F45" w:rsidRPr="0043349B">
        <w:rPr>
          <w:rFonts w:ascii="Palatino Linotype" w:hAnsi="Palatino Linotype"/>
          <w:color w:val="000000" w:themeColor="text1"/>
        </w:rPr>
        <w:t xml:space="preserve"> </w:t>
      </w:r>
      <w:r w:rsidR="0061722C" w:rsidRPr="0043349B">
        <w:rPr>
          <w:rFonts w:ascii="Palatino Linotype" w:hAnsi="Palatino Linotype"/>
          <w:color w:val="000000" w:themeColor="text1"/>
        </w:rPr>
        <w:t>anterior</w:t>
      </w:r>
      <w:r w:rsidR="003C3F45" w:rsidRPr="0043349B">
        <w:rPr>
          <w:rFonts w:ascii="Palatino Linotype" w:hAnsi="Palatino Linotype"/>
          <w:color w:val="000000" w:themeColor="text1"/>
        </w:rPr>
        <w:t xml:space="preserve"> se puede concluir que-</w:t>
      </w:r>
      <w:r w:rsidRPr="0043349B">
        <w:rPr>
          <w:rFonts w:ascii="Palatino Linotype" w:hAnsi="Palatino Linotype"/>
          <w:color w:val="000000" w:themeColor="text1"/>
        </w:rPr>
        <w:t>en efecto</w:t>
      </w:r>
      <w:r w:rsidR="00311F9B" w:rsidRPr="0043349B">
        <w:rPr>
          <w:rFonts w:ascii="Palatino Linotype" w:hAnsi="Palatino Linotype"/>
          <w:color w:val="000000" w:themeColor="text1"/>
        </w:rPr>
        <w:t>-</w:t>
      </w:r>
      <w:r w:rsidRPr="0043349B">
        <w:rPr>
          <w:rFonts w:ascii="Palatino Linotype" w:hAnsi="Palatino Linotype"/>
          <w:color w:val="000000" w:themeColor="text1"/>
        </w:rPr>
        <w:t xml:space="preserve"> una averi</w:t>
      </w:r>
      <w:r w:rsidR="00311F9B" w:rsidRPr="0043349B">
        <w:rPr>
          <w:rFonts w:ascii="Palatino Linotype" w:hAnsi="Palatino Linotype"/>
          <w:color w:val="000000" w:themeColor="text1"/>
        </w:rPr>
        <w:t xml:space="preserve">guación previa </w:t>
      </w:r>
      <w:r w:rsidR="003C3F45" w:rsidRPr="0043349B">
        <w:rPr>
          <w:rFonts w:ascii="Palatino Linotype" w:hAnsi="Palatino Linotype"/>
          <w:color w:val="000000" w:themeColor="text1"/>
        </w:rPr>
        <w:t xml:space="preserve">(en caso de haberse solicitado) </w:t>
      </w:r>
      <w:r w:rsidR="00311F9B" w:rsidRPr="0043349B">
        <w:rPr>
          <w:rFonts w:ascii="Palatino Linotype" w:hAnsi="Palatino Linotype"/>
          <w:color w:val="000000" w:themeColor="text1"/>
        </w:rPr>
        <w:t xml:space="preserve">pudiera constituir información </w:t>
      </w:r>
      <w:r w:rsidR="00311F9B" w:rsidRPr="0043349B">
        <w:rPr>
          <w:rFonts w:ascii="Palatino Linotype" w:hAnsi="Palatino Linotype"/>
          <w:color w:val="000000" w:themeColor="text1"/>
        </w:rPr>
        <w:lastRenderedPageBreak/>
        <w:t>reservada, sin embargo</w:t>
      </w:r>
      <w:r w:rsidR="00311F9B" w:rsidRPr="0043349B">
        <w:rPr>
          <w:rFonts w:ascii="Palatino Linotype" w:hAnsi="Palatino Linotype" w:cs="Calibri"/>
          <w:color w:val="000000" w:themeColor="text1"/>
        </w:rPr>
        <w:t xml:space="preserve"> previo a negar o limitar el Derecho de Acce</w:t>
      </w:r>
      <w:r w:rsidR="00175C90" w:rsidRPr="0043349B">
        <w:rPr>
          <w:rFonts w:ascii="Palatino Linotype" w:hAnsi="Palatino Linotype" w:cs="Calibri"/>
          <w:color w:val="000000" w:themeColor="text1"/>
        </w:rPr>
        <w:t>s</w:t>
      </w:r>
      <w:r w:rsidR="00311F9B" w:rsidRPr="0043349B">
        <w:rPr>
          <w:rFonts w:ascii="Palatino Linotype" w:hAnsi="Palatino Linotype" w:cs="Calibri"/>
          <w:color w:val="000000" w:themeColor="text1"/>
        </w:rPr>
        <w:t>o a la Información todas las autoridades deben realizar una prueba de daño que pondere y valore de manera fundada y motivada si ésta se proporciona o no, y si su divulgación podría causar un riesgo o perjuicio real</w:t>
      </w:r>
      <w:r w:rsidR="00175C90" w:rsidRPr="0043349B">
        <w:rPr>
          <w:rFonts w:ascii="Palatino Linotype" w:hAnsi="Palatino Linotype" w:cs="Calibri"/>
          <w:color w:val="000000" w:themeColor="text1"/>
        </w:rPr>
        <w:t xml:space="preserve">, </w:t>
      </w:r>
      <w:r w:rsidR="00175C90" w:rsidRPr="0043349B">
        <w:rPr>
          <w:rFonts w:ascii="Palatino Linotype" w:hAnsi="Palatino Linotype"/>
          <w:color w:val="000000" w:themeColor="text1"/>
        </w:rPr>
        <w:t xml:space="preserve">demostrable e identificable del perjuicio significativo al interés público o a la seguridad pública, que el riesgo de perjuicio que supondría la divulgación supera el interés público general de que se difunda; y que la limitación se adecua al principio de proporcionalidad y representa el medio menos restrictivo disponible representa el medio menos restrictivo disponible para evitar el perjuicio, es decir </w:t>
      </w:r>
      <w:r w:rsidR="00311F9B" w:rsidRPr="0043349B">
        <w:rPr>
          <w:rFonts w:ascii="Palatino Linotype" w:hAnsi="Palatino Linotype" w:cs="Calibri"/>
          <w:color w:val="000000" w:themeColor="text1"/>
        </w:rPr>
        <w:t xml:space="preserve">de manera estricta debe demostrarse que el perjuicio u objetivo reservado, resulta mayormente afectado que los beneficios que podrían lograrse con la difusión de la información. Lo anterior, </w:t>
      </w:r>
      <w:r w:rsidR="00175C90" w:rsidRPr="0043349B">
        <w:rPr>
          <w:rFonts w:ascii="Palatino Linotype" w:hAnsi="Palatino Linotype" w:cs="Calibri"/>
          <w:color w:val="000000" w:themeColor="text1"/>
        </w:rPr>
        <w:t>para lograr que de manera efectiva se respete el derecho humano establecido en el</w:t>
      </w:r>
      <w:r w:rsidR="00311F9B" w:rsidRPr="0043349B">
        <w:rPr>
          <w:rFonts w:ascii="Palatino Linotype" w:hAnsi="Palatino Linotype" w:cs="Calibri"/>
          <w:color w:val="000000" w:themeColor="text1"/>
        </w:rPr>
        <w:t xml:space="preserve"> artículo </w:t>
      </w:r>
      <w:hyperlink r:id="rId12" w:history="1">
        <w:r w:rsidR="00311F9B" w:rsidRPr="0043349B">
          <w:rPr>
            <w:rStyle w:val="Hipervnculo"/>
            <w:rFonts w:ascii="Palatino Linotype" w:hAnsi="Palatino Linotype" w:cs="Calibri"/>
            <w:color w:val="000000" w:themeColor="text1"/>
            <w:u w:val="none"/>
          </w:rPr>
          <w:t>6o., fracción III, de la Constitución Política de los Estados Unidos Mexicanos</w:t>
        </w:r>
      </w:hyperlink>
      <w:r w:rsidR="00311F9B" w:rsidRPr="0043349B">
        <w:rPr>
          <w:rFonts w:ascii="Palatino Linotype" w:hAnsi="Palatino Linotype" w:cs="Calibri"/>
          <w:color w:val="000000" w:themeColor="text1"/>
        </w:rPr>
        <w:t>, el cual dispone que toda persona, sin necesidad de acreditar interés alguno o justificar su utilización, tendrá acceso gratuito a la información pública.</w:t>
      </w:r>
    </w:p>
    <w:p w14:paraId="7263AD1B" w14:textId="77777777" w:rsidR="003C3F45" w:rsidRPr="0043349B" w:rsidRDefault="003C3F45" w:rsidP="003C3F45">
      <w:pPr>
        <w:pStyle w:val="Prrafodelista"/>
        <w:tabs>
          <w:tab w:val="left" w:pos="142"/>
        </w:tabs>
        <w:spacing w:line="360" w:lineRule="auto"/>
        <w:ind w:left="0"/>
        <w:jc w:val="both"/>
        <w:rPr>
          <w:rFonts w:ascii="Palatino Linotype" w:hAnsi="Palatino Linotype" w:cs="Calibri"/>
          <w:color w:val="000000" w:themeColor="text1"/>
        </w:rPr>
      </w:pPr>
    </w:p>
    <w:p w14:paraId="1C609302" w14:textId="01A8D955" w:rsidR="004C3391" w:rsidRPr="0043349B" w:rsidRDefault="003C3F45" w:rsidP="003C3F45">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olor w:val="000000"/>
        </w:rPr>
        <w:t xml:space="preserve">Previo a puntualizar cabe hacer precisión de que este tema fue abordado a fin de que </w:t>
      </w:r>
      <w:r w:rsidR="004C3391" w:rsidRPr="0043349B">
        <w:rPr>
          <w:rFonts w:ascii="Palatino Linotype" w:hAnsi="Palatino Linotype"/>
          <w:color w:val="000000"/>
        </w:rPr>
        <w:t xml:space="preserve">la </w:t>
      </w:r>
      <w:r w:rsidR="004C3391" w:rsidRPr="0043349B">
        <w:rPr>
          <w:rFonts w:ascii="Palatino Linotype" w:hAnsi="Palatino Linotype"/>
          <w:b/>
          <w:color w:val="000000"/>
        </w:rPr>
        <w:t>Fiscalía General de Justicia del Estado de México</w:t>
      </w:r>
      <w:r w:rsidR="004C3391" w:rsidRPr="0043349B">
        <w:rPr>
          <w:rFonts w:ascii="Palatino Linotype" w:hAnsi="Palatino Linotype"/>
          <w:color w:val="000000"/>
        </w:rPr>
        <w:t xml:space="preserve"> </w:t>
      </w:r>
      <w:r w:rsidRPr="0043349B">
        <w:rPr>
          <w:rFonts w:ascii="Palatino Linotype" w:hAnsi="Palatino Linotype"/>
          <w:color w:val="000000"/>
        </w:rPr>
        <w:t xml:space="preserve">previo a emitir una respuesta o informe justificado en el que se pretenda negar la información solicitada valore todos los elementos que debe reunir </w:t>
      </w:r>
      <w:r w:rsidRPr="0043349B">
        <w:rPr>
          <w:rFonts w:ascii="Palatino Linotype" w:hAnsi="Palatino Linotype"/>
          <w:b/>
          <w:color w:val="000000"/>
        </w:rPr>
        <w:t>una prueba de daño</w:t>
      </w:r>
      <w:r w:rsidRPr="0043349B">
        <w:rPr>
          <w:rFonts w:ascii="Palatino Linotype" w:hAnsi="Palatino Linotype"/>
          <w:color w:val="000000"/>
        </w:rPr>
        <w:t xml:space="preserve"> o bien acredite que la información solicitada contiene datos personales susceptibles de ser considerados como confidenciales para lo cual deberá analizar minuciosamente la solicitud que se le presenta, y así evitar caer en la regla que debería ser excepción.</w:t>
      </w:r>
    </w:p>
    <w:p w14:paraId="68971F21" w14:textId="77777777" w:rsidR="00865075" w:rsidRPr="0043349B" w:rsidRDefault="00865075" w:rsidP="00865075">
      <w:pPr>
        <w:pStyle w:val="Prrafodelista"/>
        <w:rPr>
          <w:rFonts w:ascii="Palatino Linotype" w:hAnsi="Palatino Linotype"/>
          <w:color w:val="000000"/>
        </w:rPr>
      </w:pPr>
    </w:p>
    <w:p w14:paraId="042C69B9" w14:textId="139B0F7E" w:rsidR="00865075" w:rsidRPr="0043349B" w:rsidRDefault="00865075" w:rsidP="00865075">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s="Arial"/>
          <w:color w:val="000000" w:themeColor="text1"/>
        </w:rPr>
        <w:t>Por lo que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995B45" w14:textId="77777777" w:rsidR="00865075" w:rsidRPr="0043349B" w:rsidRDefault="00865075" w:rsidP="00865075">
      <w:pPr>
        <w:pStyle w:val="Prrafodelista"/>
        <w:rPr>
          <w:rFonts w:ascii="Palatino Linotype" w:hAnsi="Palatino Linotype"/>
          <w:color w:val="000000"/>
        </w:rPr>
      </w:pPr>
    </w:p>
    <w:p w14:paraId="5EBAC9D5" w14:textId="77777777" w:rsidR="00865075" w:rsidRPr="0043349B" w:rsidRDefault="00865075" w:rsidP="00865075">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 del daño que puede provocar la difusión de la información.</w:t>
      </w:r>
    </w:p>
    <w:p w14:paraId="53DC0E24" w14:textId="77777777" w:rsidR="00865075" w:rsidRPr="0043349B" w:rsidRDefault="00865075" w:rsidP="00865075">
      <w:pPr>
        <w:pStyle w:val="Prrafodelista"/>
        <w:rPr>
          <w:rFonts w:ascii="Palatino Linotype" w:hAnsi="Palatino Linotype"/>
          <w:color w:val="000000"/>
        </w:rPr>
      </w:pPr>
    </w:p>
    <w:p w14:paraId="61133071" w14:textId="77777777" w:rsidR="00865075" w:rsidRPr="0043349B" w:rsidRDefault="00865075" w:rsidP="00865075">
      <w:pPr>
        <w:pStyle w:val="Prrafodelista"/>
        <w:numPr>
          <w:ilvl w:val="0"/>
          <w:numId w:val="1"/>
        </w:numPr>
        <w:spacing w:line="360" w:lineRule="auto"/>
        <w:ind w:left="0" w:firstLine="0"/>
        <w:jc w:val="both"/>
        <w:rPr>
          <w:rFonts w:ascii="Palatino Linotype" w:hAnsi="Palatino Linotype"/>
          <w:color w:val="000000"/>
        </w:rPr>
      </w:pPr>
      <w:r w:rsidRPr="0043349B">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w:t>
      </w:r>
      <w:r w:rsidRPr="0043349B">
        <w:rPr>
          <w:rFonts w:ascii="Palatino Linotype" w:hAnsi="Palatino Linotype" w:cs="Arial"/>
          <w:b/>
          <w:color w:val="000000" w:themeColor="text1"/>
          <w:u w:val="single"/>
        </w:rPr>
        <w:t>el juicio de subsunción</w:t>
      </w:r>
      <w:r w:rsidRPr="0043349B">
        <w:rPr>
          <w:rFonts w:ascii="Palatino Linotype" w:hAnsi="Palatino Linotype" w:cs="Arial"/>
          <w:color w:val="000000" w:themeColor="text1"/>
        </w:rPr>
        <w:t xml:space="preserve">, para acreditar la estricta correspondencia entre el supuesto de hecho y la hipótesis normativa, deberá señalar las razones, motivos o circunstancias que lo justifiquen, lo que no es lo mismo que repetir el supuesto de hecho y la hipótesis normativa, sino que se debe </w:t>
      </w:r>
      <w:r w:rsidRPr="0043349B">
        <w:rPr>
          <w:rFonts w:ascii="Palatino Linotype" w:hAnsi="Palatino Linotype" w:cs="Arial"/>
          <w:color w:val="000000" w:themeColor="text1"/>
        </w:rPr>
        <w:lastRenderedPageBreak/>
        <w:t>generar un juicio demostrativo, no uno auto referencial en el que primero se dice algo, después se dice lo mismo y al final exactamente lo mismo, cambiando sólo el orden de las palabras.</w:t>
      </w:r>
    </w:p>
    <w:p w14:paraId="38363D63" w14:textId="77777777" w:rsidR="00865075" w:rsidRPr="0043349B" w:rsidRDefault="00865075" w:rsidP="00865075">
      <w:pPr>
        <w:pStyle w:val="Prrafodelista"/>
        <w:spacing w:line="360" w:lineRule="auto"/>
        <w:ind w:left="0"/>
        <w:jc w:val="both"/>
        <w:rPr>
          <w:rFonts w:ascii="Palatino Linotype" w:hAnsi="Palatino Linotype" w:cs="Arial"/>
          <w:b/>
          <w:color w:val="000000" w:themeColor="text1"/>
        </w:rPr>
      </w:pPr>
    </w:p>
    <w:p w14:paraId="13DDCCBE" w14:textId="77777777" w:rsidR="00865075" w:rsidRPr="0043349B" w:rsidRDefault="00865075" w:rsidP="00865075">
      <w:pPr>
        <w:pStyle w:val="Ttulo3"/>
        <w:numPr>
          <w:ilvl w:val="0"/>
          <w:numId w:val="22"/>
        </w:numPr>
        <w:pBdr>
          <w:top w:val="nil"/>
          <w:left w:val="nil"/>
          <w:bottom w:val="nil"/>
          <w:right w:val="nil"/>
          <w:between w:val="nil"/>
          <w:bar w:val="nil"/>
        </w:pBdr>
        <w:rPr>
          <w:rFonts w:ascii="Palatino Linotype" w:hAnsi="Palatino Linotype"/>
          <w:b/>
          <w:color w:val="000000" w:themeColor="text1"/>
        </w:rPr>
      </w:pPr>
      <w:bookmarkStart w:id="18" w:name="_Toc485631708"/>
      <w:bookmarkStart w:id="19" w:name="_Toc21600981"/>
      <w:bookmarkStart w:id="20" w:name="_Toc21626018"/>
      <w:bookmarkStart w:id="21" w:name="_Toc32835492"/>
      <w:bookmarkStart w:id="22" w:name="_Toc48151963"/>
      <w:r w:rsidRPr="0043349B">
        <w:rPr>
          <w:rFonts w:ascii="Palatino Linotype" w:hAnsi="Palatino Linotype"/>
          <w:b/>
          <w:color w:val="000000" w:themeColor="text1"/>
        </w:rPr>
        <w:t>La prueba de daño.</w:t>
      </w:r>
      <w:bookmarkEnd w:id="18"/>
      <w:bookmarkEnd w:id="19"/>
      <w:bookmarkEnd w:id="20"/>
      <w:bookmarkEnd w:id="21"/>
      <w:bookmarkEnd w:id="22"/>
    </w:p>
    <w:p w14:paraId="3F045D54" w14:textId="77777777" w:rsidR="00865075" w:rsidRPr="0043349B" w:rsidRDefault="00865075" w:rsidP="00865075">
      <w:pPr>
        <w:pStyle w:val="Prrafodelista"/>
        <w:spacing w:line="360" w:lineRule="auto"/>
        <w:ind w:left="0"/>
        <w:jc w:val="both"/>
        <w:rPr>
          <w:rFonts w:ascii="Palatino Linotype" w:hAnsi="Palatino Linotype"/>
          <w:color w:val="000000" w:themeColor="text1"/>
        </w:rPr>
      </w:pPr>
    </w:p>
    <w:p w14:paraId="257D4439" w14:textId="3B7922D4" w:rsidR="00865075" w:rsidRPr="0043349B"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43349B">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1AEF6FA" w14:textId="77777777" w:rsidR="00865075" w:rsidRPr="0043349B" w:rsidRDefault="00865075" w:rsidP="00865075">
      <w:pPr>
        <w:pStyle w:val="Prrafodelista"/>
        <w:spacing w:line="360" w:lineRule="auto"/>
        <w:ind w:left="0"/>
        <w:jc w:val="both"/>
        <w:rPr>
          <w:rFonts w:ascii="Palatino Linotype" w:hAnsi="Palatino Linotype"/>
          <w:color w:val="000000" w:themeColor="text1"/>
        </w:rPr>
      </w:pPr>
    </w:p>
    <w:p w14:paraId="4045BE78" w14:textId="77777777" w:rsidR="00865075" w:rsidRPr="0043349B"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43349B">
        <w:rPr>
          <w:rFonts w:ascii="Palatino Linotype" w:hAnsi="Palatino Linotype"/>
          <w:color w:val="000000" w:themeColor="text1"/>
        </w:rPr>
        <w:t>Para aplicar la prueba de daño, se deberán de precisar la razones objetivas por las que la apertura genera una afectación, acreditando que:</w:t>
      </w:r>
    </w:p>
    <w:p w14:paraId="4EA8DFC7" w14:textId="77777777" w:rsidR="00865075" w:rsidRPr="0043349B"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3349B">
        <w:rPr>
          <w:rFonts w:ascii="Palatino Linotype" w:hAnsi="Palatino Linotype" w:cs="Bookman Old Style"/>
          <w:bCs/>
          <w:color w:val="000000" w:themeColor="text1"/>
        </w:rPr>
        <w:t xml:space="preserve">I. </w:t>
      </w:r>
      <w:r w:rsidRPr="0043349B">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3F9DBB7F" w14:textId="77777777" w:rsidR="00865075" w:rsidRPr="0043349B"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3349B">
        <w:rPr>
          <w:rFonts w:ascii="Palatino Linotype" w:hAnsi="Palatino Linotype" w:cs="Bookman Old Style"/>
          <w:bCs/>
          <w:color w:val="000000" w:themeColor="text1"/>
        </w:rPr>
        <w:t xml:space="preserve">II. </w:t>
      </w:r>
      <w:r w:rsidRPr="0043349B">
        <w:rPr>
          <w:rFonts w:ascii="Palatino Linotype" w:hAnsi="Palatino Linotype" w:cs="Bookman Old Style"/>
          <w:color w:val="000000" w:themeColor="text1"/>
        </w:rPr>
        <w:t xml:space="preserve">El riesgo de perjuicio que supondría la divulgación supera el interés </w:t>
      </w:r>
      <w:r w:rsidRPr="0043349B">
        <w:rPr>
          <w:rFonts w:ascii="Palatino Linotype" w:hAnsi="Palatino Linotype" w:cs="Bookman Old Style"/>
          <w:color w:val="000000" w:themeColor="text1"/>
        </w:rPr>
        <w:lastRenderedPageBreak/>
        <w:t xml:space="preserve">público general de que se difunda; y </w:t>
      </w:r>
    </w:p>
    <w:p w14:paraId="212EC7B0" w14:textId="77777777" w:rsidR="00865075" w:rsidRPr="0043349B" w:rsidRDefault="00865075" w:rsidP="0086507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43349B">
        <w:rPr>
          <w:rFonts w:ascii="Palatino Linotype" w:hAnsi="Palatino Linotype" w:cs="Bookman Old Style"/>
          <w:bCs/>
          <w:color w:val="000000" w:themeColor="text1"/>
        </w:rPr>
        <w:t xml:space="preserve">III. </w:t>
      </w:r>
      <w:r w:rsidRPr="0043349B">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1AAF6888" w14:textId="77777777" w:rsidR="00865075" w:rsidRPr="0043349B" w:rsidRDefault="00865075" w:rsidP="00865075">
      <w:pPr>
        <w:spacing w:line="360" w:lineRule="auto"/>
        <w:jc w:val="both"/>
        <w:rPr>
          <w:rFonts w:ascii="Palatino Linotype" w:hAnsi="Palatino Linotype"/>
          <w:color w:val="000000" w:themeColor="text1"/>
        </w:rPr>
      </w:pPr>
    </w:p>
    <w:p w14:paraId="5649E8B8" w14:textId="77777777" w:rsidR="00865075" w:rsidRPr="0043349B" w:rsidRDefault="00865075" w:rsidP="00865075">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43349B">
        <w:rPr>
          <w:rFonts w:ascii="Palatino Linotype" w:hAnsi="Palatino Linotype"/>
          <w:color w:val="000000" w:themeColor="text1"/>
        </w:rPr>
        <w:t>Sobre el primer supuesto consideremos que, según el diccionario del español jurídico, por riesgo podemos entender “la contingencia o proximidad de un daño”;</w:t>
      </w:r>
      <w:r w:rsidRPr="0043349B">
        <w:rPr>
          <w:rStyle w:val="Refdenotaalpie"/>
          <w:rFonts w:ascii="Palatino Linotype" w:hAnsi="Palatino Linotype"/>
          <w:color w:val="000000" w:themeColor="text1"/>
        </w:rPr>
        <w:footnoteReference w:id="18"/>
      </w:r>
      <w:r w:rsidRPr="0043349B">
        <w:rPr>
          <w:rFonts w:ascii="Palatino Linotype" w:hAnsi="Palatino Linotype"/>
          <w:color w:val="000000" w:themeColor="text1"/>
        </w:rPr>
        <w:t xml:space="preserve"> mientras que el daño es considerado como un “perjuicio o lesión”</w:t>
      </w:r>
      <w:r w:rsidRPr="0043349B">
        <w:rPr>
          <w:rStyle w:val="Refdenotaalpie"/>
          <w:rFonts w:ascii="Palatino Linotype" w:hAnsi="Palatino Linotype"/>
          <w:color w:val="000000" w:themeColor="text1"/>
        </w:rPr>
        <w:footnoteReference w:id="19"/>
      </w:r>
      <w:r w:rsidRPr="0043349B">
        <w:rPr>
          <w:rFonts w:ascii="Palatino Linotype" w:hAnsi="Palatino Linotype"/>
          <w:color w:val="000000" w:themeColor="text1"/>
        </w:rPr>
        <w:t>; en tanto que, según el Diccionario de la Lengua Española, lo real es</w:t>
      </w:r>
      <w:r w:rsidRPr="0043349B">
        <w:rPr>
          <w:rFonts w:ascii="Palatino Linotype" w:eastAsia="Arial Unicode MS" w:hAnsi="Palatino Linotype" w:cs="Arial Unicode MS"/>
          <w:color w:val="000000" w:themeColor="text1"/>
          <w:spacing w:val="4"/>
          <w:shd w:val="clear" w:color="auto" w:fill="FFFFFF"/>
        </w:rPr>
        <w:t xml:space="preserve"> lo “</w:t>
      </w:r>
      <w:r w:rsidRPr="0043349B">
        <w:rPr>
          <w:rFonts w:ascii="Palatino Linotype" w:hAnsi="Palatino Linotype"/>
          <w:color w:val="000000" w:themeColor="text1"/>
        </w:rPr>
        <w:t>(que</w:t>
      </w:r>
      <w:r w:rsidRPr="0043349B">
        <w:rPr>
          <w:rFonts w:ascii="Palatino Linotype" w:eastAsia="Arial Unicode MS" w:hAnsi="Palatino Linotype" w:cs="Arial Unicode MS"/>
          <w:color w:val="000000" w:themeColor="text1"/>
          <w:spacing w:val="4"/>
          <w:shd w:val="clear" w:color="auto" w:fill="FFFFFF"/>
        </w:rPr>
        <w:t xml:space="preserve"> </w:t>
      </w:r>
      <w:r w:rsidRPr="0043349B">
        <w:rPr>
          <w:rFonts w:ascii="Palatino Linotype" w:hAnsi="Palatino Linotype"/>
          <w:color w:val="000000" w:themeColor="text1"/>
        </w:rPr>
        <w:t>tiene</w:t>
      </w:r>
      <w:r w:rsidRPr="0043349B">
        <w:rPr>
          <w:rFonts w:ascii="Palatino Linotype" w:eastAsia="Arial Unicode MS" w:hAnsi="Palatino Linotype" w:cs="Arial Unicode MS"/>
          <w:color w:val="000000" w:themeColor="text1"/>
          <w:spacing w:val="4"/>
          <w:shd w:val="clear" w:color="auto" w:fill="FFFFFF"/>
        </w:rPr>
        <w:t xml:space="preserve"> </w:t>
      </w:r>
      <w:r w:rsidRPr="0043349B">
        <w:rPr>
          <w:rFonts w:ascii="Palatino Linotype" w:hAnsi="Palatino Linotype"/>
          <w:color w:val="000000" w:themeColor="text1"/>
        </w:rPr>
        <w:t>existencia</w:t>
      </w:r>
      <w:r w:rsidRPr="0043349B">
        <w:rPr>
          <w:rFonts w:ascii="Palatino Linotype" w:eastAsia="Arial Unicode MS" w:hAnsi="Palatino Linotype" w:cs="Arial Unicode MS"/>
          <w:color w:val="000000" w:themeColor="text1"/>
          <w:spacing w:val="4"/>
          <w:shd w:val="clear" w:color="auto" w:fill="FFFFFF"/>
        </w:rPr>
        <w:t xml:space="preserve"> </w:t>
      </w:r>
      <w:r w:rsidRPr="0043349B">
        <w:rPr>
          <w:rFonts w:ascii="Palatino Linotype" w:hAnsi="Palatino Linotype"/>
          <w:color w:val="000000" w:themeColor="text1"/>
        </w:rPr>
        <w:t>objetiva”;</w:t>
      </w:r>
      <w:r w:rsidRPr="0043349B">
        <w:rPr>
          <w:rStyle w:val="Refdenotaalpie"/>
          <w:rFonts w:ascii="Palatino Linotype" w:hAnsi="Palatino Linotype"/>
          <w:color w:val="000000" w:themeColor="text1"/>
        </w:rPr>
        <w:footnoteReference w:id="20"/>
      </w:r>
      <w:r w:rsidRPr="0043349B">
        <w:rPr>
          <w:rFonts w:ascii="Palatino Linotype" w:hAnsi="Palatino Linotype"/>
          <w:color w:val="000000" w:themeColor="text1"/>
        </w:rPr>
        <w:t xml:space="preserve"> </w:t>
      </w:r>
      <w:r w:rsidRPr="0043349B">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43349B">
        <w:rPr>
          <w:rStyle w:val="Refdenotaalpie"/>
          <w:rFonts w:ascii="Palatino Linotype" w:eastAsia="Arial Unicode MS" w:hAnsi="Palatino Linotype" w:cs="Arial Unicode MS"/>
          <w:color w:val="000000" w:themeColor="text1"/>
          <w:spacing w:val="4"/>
          <w:shd w:val="clear" w:color="auto" w:fill="FFFFFF"/>
        </w:rPr>
        <w:footnoteReference w:id="21"/>
      </w:r>
      <w:r w:rsidRPr="0043349B">
        <w:rPr>
          <w:rFonts w:ascii="Palatino Linotype" w:eastAsia="Arial Unicode MS" w:hAnsi="Palatino Linotype" w:cs="Arial Unicode MS"/>
          <w:color w:val="000000" w:themeColor="text1"/>
          <w:spacing w:val="4"/>
          <w:shd w:val="clear" w:color="auto" w:fill="FFFFFF"/>
        </w:rPr>
        <w:t xml:space="preserve"> es decir, </w:t>
      </w:r>
      <w:r w:rsidRPr="0043349B">
        <w:rPr>
          <w:rFonts w:ascii="Palatino Linotype" w:hAnsi="Palatino Linotype" w:cstheme="minorBidi"/>
          <w:color w:val="000000" w:themeColor="text1"/>
          <w:lang w:eastAsia="en-US"/>
        </w:rPr>
        <w:t xml:space="preserve">“(manifestar, declarar. Probar, sirviéndose de cualquier género de demostración, </w:t>
      </w:r>
      <w:hyperlink r:id="rId13" w:anchor="6nAyKjE" w:history="1">
        <w:r w:rsidRPr="0043349B">
          <w:rPr>
            <w:rFonts w:ascii="Palatino Linotype" w:hAnsi="Palatino Linotype" w:cstheme="minorBidi"/>
            <w:color w:val="000000" w:themeColor="text1"/>
            <w:lang w:eastAsia="en-US"/>
          </w:rPr>
          <w:t>enseñar</w:t>
        </w:r>
      </w:hyperlink>
      <w:r w:rsidRPr="0043349B">
        <w:rPr>
          <w:rFonts w:ascii="Palatino Linotype" w:hAnsi="Palatino Linotype" w:cstheme="minorBidi"/>
          <w:color w:val="000000" w:themeColor="text1"/>
          <w:lang w:eastAsia="en-US"/>
        </w:rPr>
        <w:t xml:space="preserve"> mostrar o exponer algo)”.</w:t>
      </w:r>
      <w:r w:rsidRPr="0043349B">
        <w:rPr>
          <w:rStyle w:val="Refdenotaalpie"/>
          <w:rFonts w:ascii="Palatino Linotype" w:hAnsi="Palatino Linotype" w:cstheme="minorBidi"/>
          <w:color w:val="000000" w:themeColor="text1"/>
          <w:lang w:eastAsia="en-US"/>
        </w:rPr>
        <w:footnoteReference w:id="22"/>
      </w:r>
      <w:r w:rsidRPr="0043349B">
        <w:rPr>
          <w:rFonts w:ascii="Palatino Linotype" w:hAnsi="Palatino Linotype" w:cstheme="minorBidi"/>
          <w:color w:val="000000" w:themeColor="text1"/>
          <w:lang w:eastAsia="en-US"/>
        </w:rPr>
        <w:t xml:space="preserve"> Mientras que lo identificable es lo que puede ser identificado,</w:t>
      </w:r>
      <w:r w:rsidRPr="0043349B">
        <w:rPr>
          <w:rStyle w:val="Refdenotaalpie"/>
          <w:rFonts w:ascii="Palatino Linotype" w:hAnsi="Palatino Linotype" w:cstheme="minorBidi"/>
          <w:color w:val="000000" w:themeColor="text1"/>
          <w:lang w:eastAsia="en-US"/>
        </w:rPr>
        <w:footnoteReference w:id="23"/>
      </w:r>
      <w:r w:rsidRPr="0043349B">
        <w:rPr>
          <w:rFonts w:ascii="Palatino Linotype" w:hAnsi="Palatino Linotype" w:cstheme="minorBidi"/>
          <w:color w:val="000000" w:themeColor="text1"/>
          <w:lang w:eastAsia="en-US"/>
        </w:rPr>
        <w:t xml:space="preserve"> esto es,</w:t>
      </w:r>
      <w:r w:rsidRPr="0043349B">
        <w:rPr>
          <w:rFonts w:ascii="Palatino Linotype" w:hAnsi="Palatino Linotype" w:cstheme="minorBidi"/>
          <w:color w:val="000000" w:themeColor="text1"/>
        </w:rPr>
        <w:t xml:space="preserve"> “(dar los datos necesarios para ser reconocido”.</w:t>
      </w:r>
      <w:r w:rsidRPr="0043349B">
        <w:rPr>
          <w:rStyle w:val="Refdenotaalpie"/>
          <w:rFonts w:ascii="Palatino Linotype" w:hAnsi="Palatino Linotype" w:cstheme="minorBidi"/>
          <w:color w:val="000000" w:themeColor="text1"/>
        </w:rPr>
        <w:footnoteReference w:id="24"/>
      </w:r>
    </w:p>
    <w:p w14:paraId="6C71C756" w14:textId="77777777" w:rsidR="00865075" w:rsidRPr="0043349B" w:rsidRDefault="00865075" w:rsidP="00865075">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63F92F0B" w14:textId="77777777" w:rsidR="00865075" w:rsidRPr="0043349B" w:rsidRDefault="00865075" w:rsidP="00865075">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43349B">
        <w:rPr>
          <w:rFonts w:ascii="Palatino Linotype" w:hAnsi="Palatino Linotype"/>
          <w:color w:val="000000" w:themeColor="text1"/>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43349B">
        <w:rPr>
          <w:rFonts w:ascii="Palatino Linotype" w:hAnsi="Palatino Linotype"/>
          <w:color w:val="000000" w:themeColor="text1"/>
        </w:rPr>
        <w:lastRenderedPageBreak/>
        <w:t>demostración a partir de proporcionar datos necesarios para reconocer el daño, perjuicio o lesión que provocaría a un interés público o a la seguridad pública. Identificado ese riesgo, se debe demostrar que el mismo supera el interés público general porque se difunda dicha información.</w:t>
      </w:r>
    </w:p>
    <w:p w14:paraId="698E9C20" w14:textId="77777777" w:rsidR="00865075" w:rsidRPr="0043349B" w:rsidRDefault="00865075" w:rsidP="00865075">
      <w:pPr>
        <w:pStyle w:val="Prrafodelista"/>
        <w:spacing w:line="360" w:lineRule="auto"/>
        <w:ind w:left="0"/>
        <w:jc w:val="both"/>
        <w:rPr>
          <w:rFonts w:ascii="Palatino Linotype" w:hAnsi="Palatino Linotype"/>
          <w:color w:val="000000" w:themeColor="text1"/>
        </w:rPr>
      </w:pPr>
    </w:p>
    <w:p w14:paraId="1F085D61" w14:textId="77777777" w:rsidR="00865075" w:rsidRPr="0043349B" w:rsidRDefault="00865075" w:rsidP="00865075">
      <w:pPr>
        <w:pStyle w:val="Prrafodelista"/>
        <w:numPr>
          <w:ilvl w:val="0"/>
          <w:numId w:val="1"/>
        </w:numPr>
        <w:spacing w:after="160" w:line="360" w:lineRule="auto"/>
        <w:ind w:left="0" w:firstLine="0"/>
        <w:jc w:val="both"/>
        <w:rPr>
          <w:rFonts w:ascii="Palatino Linotype" w:hAnsi="Palatino Linotype"/>
          <w:color w:val="000000" w:themeColor="text1"/>
        </w:rPr>
      </w:pPr>
      <w:r w:rsidRPr="0043349B">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43349B">
        <w:rPr>
          <w:rStyle w:val="Refdenotaalpie"/>
          <w:rFonts w:ascii="Palatino Linotype" w:hAnsi="Palatino Linotype"/>
          <w:color w:val="000000" w:themeColor="text1"/>
        </w:rPr>
        <w:footnoteReference w:id="25"/>
      </w:r>
      <w:r w:rsidRPr="0043349B">
        <w:rPr>
          <w:rFonts w:ascii="Palatino Linotype" w:hAnsi="Palatino Linotype"/>
          <w:color w:val="000000" w:themeColor="text1"/>
        </w:rPr>
        <w:t>, siguiendo el principio de ponderación propuesto por el Tribunal Constitucional Alemán,</w:t>
      </w:r>
      <w:r w:rsidRPr="0043349B">
        <w:rPr>
          <w:rStyle w:val="Refdenotaalpie"/>
          <w:rFonts w:ascii="Palatino Linotype" w:hAnsi="Palatino Linotype"/>
          <w:color w:val="000000" w:themeColor="text1"/>
        </w:rPr>
        <w:footnoteReference w:id="26"/>
      </w:r>
      <w:r w:rsidRPr="0043349B">
        <w:rPr>
          <w:rFonts w:ascii="Palatino Linotype" w:hAnsi="Palatino Linotype"/>
          <w:color w:val="000000" w:themeColor="text1"/>
        </w:rPr>
        <w:t xml:space="preserve"> el juicio de idoneidad, que la medida adoptada sea la idónea para el ejercicio del derecho; de necesidad, que sea </w:t>
      </w:r>
      <w:r w:rsidRPr="0043349B">
        <w:rPr>
          <w:rFonts w:ascii="Palatino Linotype" w:hAnsi="Palatino Linotype"/>
          <w:color w:val="000000" w:themeColor="text1"/>
        </w:rPr>
        <w:lastRenderedPageBreak/>
        <w:t>necearía para que el derecho que prevalece se ejerza y el de estricta proporcionalidad esto es, que el derecho que prevalezca sea en la dimensión estrictamente proporcional al derecho que retrocede.</w:t>
      </w:r>
    </w:p>
    <w:p w14:paraId="1EF31F58" w14:textId="77777777" w:rsidR="00865075" w:rsidRPr="0043349B" w:rsidRDefault="00865075" w:rsidP="00865075">
      <w:pPr>
        <w:pStyle w:val="Prrafodelista"/>
        <w:tabs>
          <w:tab w:val="left" w:pos="426"/>
        </w:tabs>
        <w:spacing w:line="360" w:lineRule="auto"/>
        <w:ind w:left="0"/>
        <w:jc w:val="both"/>
        <w:rPr>
          <w:rFonts w:ascii="Palatino Linotype" w:hAnsi="Palatino Linotype" w:cs="Arial"/>
          <w:color w:val="000000" w:themeColor="text1"/>
        </w:rPr>
      </w:pPr>
    </w:p>
    <w:p w14:paraId="7FD25623" w14:textId="6CA0DEB5" w:rsidR="00865075" w:rsidRPr="0043349B" w:rsidRDefault="00865075" w:rsidP="00865075">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43349B">
        <w:rPr>
          <w:rFonts w:ascii="Palatino Linotype" w:hAnsi="Palatino Linotype" w:cs="Arial"/>
          <w:color w:val="000000" w:themeColor="text1"/>
        </w:rPr>
        <w:t>Ahora bien no basta invocar el artículo 140 de la Ley en materia de transparencia que nos rige, pues para que dicha clasificación resulte procedente no basta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3EBB2F2D" w14:textId="06F3A7BD" w:rsidR="00247552" w:rsidRPr="0043349B" w:rsidRDefault="007F08E8" w:rsidP="007F08E8">
      <w:pPr>
        <w:pStyle w:val="Ttulo1"/>
      </w:pPr>
      <w:bookmarkStart w:id="23" w:name="_Toc48151964"/>
      <w:r w:rsidRPr="0043349B">
        <w:rPr>
          <w:color w:val="000000"/>
        </w:rPr>
        <w:t>III.</w:t>
      </w:r>
      <w:r w:rsidRPr="0043349B">
        <w:t xml:space="preserve"> </w:t>
      </w:r>
      <w:r w:rsidR="00247552" w:rsidRPr="0043349B">
        <w:t>De</w:t>
      </w:r>
      <w:r w:rsidR="0080446B" w:rsidRPr="0043349B">
        <w:t xml:space="preserve"> </w:t>
      </w:r>
      <w:r w:rsidR="00247552" w:rsidRPr="0043349B">
        <w:t>l</w:t>
      </w:r>
      <w:r w:rsidR="0080446B" w:rsidRPr="0043349B">
        <w:t xml:space="preserve">a modalidad </w:t>
      </w:r>
      <w:r w:rsidR="0061722C" w:rsidRPr="0043349B">
        <w:t xml:space="preserve">de entrega </w:t>
      </w:r>
      <w:r w:rsidR="0080446B" w:rsidRPr="0043349B">
        <w:t>elegida</w:t>
      </w:r>
      <w:r w:rsidRPr="0043349B">
        <w:t>.</w:t>
      </w:r>
      <w:bookmarkEnd w:id="23"/>
    </w:p>
    <w:p w14:paraId="3FF47F54" w14:textId="77777777" w:rsidR="004C3391" w:rsidRPr="0043349B" w:rsidRDefault="004C3391" w:rsidP="004C3391">
      <w:pPr>
        <w:pStyle w:val="Prrafodelista"/>
        <w:spacing w:line="360" w:lineRule="auto"/>
        <w:ind w:left="0"/>
        <w:jc w:val="both"/>
        <w:rPr>
          <w:rFonts w:ascii="Palatino Linotype" w:hAnsi="Palatino Linotype"/>
          <w:color w:val="000000"/>
        </w:rPr>
      </w:pPr>
    </w:p>
    <w:p w14:paraId="117F5936" w14:textId="3C4AFE68" w:rsidR="00C748E7" w:rsidRPr="0043349B" w:rsidRDefault="003C3F45" w:rsidP="00247552">
      <w:pPr>
        <w:pStyle w:val="Prrafodelista"/>
        <w:numPr>
          <w:ilvl w:val="0"/>
          <w:numId w:val="1"/>
        </w:numPr>
        <w:spacing w:line="360" w:lineRule="auto"/>
        <w:ind w:left="0" w:firstLine="0"/>
        <w:jc w:val="both"/>
        <w:rPr>
          <w:rFonts w:ascii="Palatino Linotype" w:hAnsi="Palatino Linotype"/>
          <w:color w:val="000000" w:themeColor="text1"/>
        </w:rPr>
      </w:pPr>
      <w:r w:rsidRPr="0043349B">
        <w:rPr>
          <w:rFonts w:ascii="Palatino Linotype" w:hAnsi="Palatino Linotype"/>
          <w:color w:val="000000"/>
        </w:rPr>
        <w:t xml:space="preserve">Finalmente, es necesario destacar que </w:t>
      </w:r>
      <w:r w:rsidR="00C748E7" w:rsidRPr="0043349B">
        <w:rPr>
          <w:rFonts w:ascii="Palatino Linotype" w:hAnsi="Palatino Linotype"/>
          <w:color w:val="000000"/>
        </w:rPr>
        <w:t>el sujeto obligado refirió “</w:t>
      </w:r>
      <w:r w:rsidR="00C748E7" w:rsidRPr="0043349B">
        <w:rPr>
          <w:rFonts w:ascii="Palatino Linotype" w:hAnsi="Palatino Linotype"/>
          <w:i/>
          <w:color w:val="000000"/>
        </w:rPr>
        <w:t>en virtud, de que el Sistema de Acceso a la Información Mexiquense (SAIMEX) y el Sistema de Acceso Rectificación, Cancelación y Oposición de Datos Personales del Estado de México (SARCOEM), no son la vía para tener acceso a indagatorias, y sólo puede ser ejercido ante el Agente del Ministerio Público correspondiente, previa acreditación de personalidad jurídica que se haga constar en autos…</w:t>
      </w:r>
      <w:r w:rsidR="00C748E7" w:rsidRPr="0043349B">
        <w:rPr>
          <w:rFonts w:ascii="Palatino Linotype" w:hAnsi="Palatino Linotype"/>
          <w:color w:val="000000"/>
        </w:rPr>
        <w:t>”.</w:t>
      </w:r>
    </w:p>
    <w:p w14:paraId="2EC939A2" w14:textId="77777777" w:rsidR="00C748E7" w:rsidRPr="0043349B" w:rsidRDefault="00C748E7" w:rsidP="00C748E7">
      <w:pPr>
        <w:pStyle w:val="Prrafodelista"/>
        <w:spacing w:line="360" w:lineRule="auto"/>
        <w:ind w:left="0"/>
        <w:jc w:val="both"/>
        <w:rPr>
          <w:rFonts w:ascii="Palatino Linotype" w:hAnsi="Palatino Linotype"/>
          <w:color w:val="000000" w:themeColor="text1"/>
        </w:rPr>
      </w:pPr>
    </w:p>
    <w:p w14:paraId="30B84FE9" w14:textId="77777777" w:rsidR="00C0215D" w:rsidRPr="0043349B" w:rsidRDefault="00C0215D" w:rsidP="00C0215D">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43349B">
        <w:rPr>
          <w:rFonts w:ascii="Palatino Linotype" w:hAnsi="Palatino Linotype"/>
          <w:color w:val="000000"/>
        </w:rPr>
        <w:t>Por ello se considera que</w:t>
      </w:r>
      <w:r w:rsidRPr="0043349B">
        <w:rPr>
          <w:rFonts w:ascii="Palatino Linotype" w:hAnsi="Palatino Linotype"/>
          <w:color w:val="000000" w:themeColor="text1"/>
        </w:rPr>
        <w:t xml:space="preserve"> </w:t>
      </w:r>
      <w:r w:rsidRPr="0043349B">
        <w:rPr>
          <w:rFonts w:ascii="Palatino Linotype" w:hAnsi="Palatino Linotype"/>
          <w:b/>
          <w:color w:val="000000" w:themeColor="text1"/>
          <w:u w:val="single"/>
        </w:rPr>
        <w:t>no se está respetando</w:t>
      </w:r>
      <w:r w:rsidRPr="0043349B">
        <w:rPr>
          <w:rFonts w:ascii="Palatino Linotype" w:hAnsi="Palatino Linotype"/>
          <w:color w:val="000000" w:themeColor="text1"/>
        </w:rPr>
        <w:t xml:space="preserve"> el Derecho humano de Acceso a la información toda vez que las autoridades satisfacen</w:t>
      </w:r>
      <w:r w:rsidRPr="0043349B">
        <w:rPr>
          <w:rFonts w:ascii="Palatino Linotype" w:hAnsi="Palatino Linotype"/>
        </w:rPr>
        <w:t xml:space="preserve"> ésta obligación </w:t>
      </w:r>
      <w:r w:rsidRPr="0043349B">
        <w:rPr>
          <w:rFonts w:ascii="Palatino Linotype" w:hAnsi="Palatino Linotype"/>
        </w:rPr>
        <w:lastRenderedPageBreak/>
        <w:t xml:space="preserve">cuando el solicitante tenga a su disposición la información requerida, o cuando realice la consulta de la misma en el lugar en el que ésta se localice, lo anterior de conformidad con el artículo 166 párrafo primero de la </w:t>
      </w:r>
      <w:r w:rsidRPr="0043349B">
        <w:rPr>
          <w:rFonts w:ascii="Palatino Linotype" w:eastAsia="Calibri" w:hAnsi="Palatino Linotype" w:cs="Arial"/>
          <w:b/>
          <w:lang w:val="es-ES"/>
        </w:rPr>
        <w:t>Ley de Transparencia y Acceso a la Información Pública del Estado de México y Municipios.</w:t>
      </w:r>
    </w:p>
    <w:p w14:paraId="3D760E40" w14:textId="77777777" w:rsidR="00C0215D" w:rsidRPr="0043349B" w:rsidRDefault="00C0215D" w:rsidP="00C0215D">
      <w:pPr>
        <w:pStyle w:val="Prrafodelista"/>
        <w:rPr>
          <w:rFonts w:ascii="Palatino Linotype" w:hAnsi="Palatino Linotype"/>
          <w:color w:val="000000" w:themeColor="text1"/>
        </w:rPr>
      </w:pPr>
    </w:p>
    <w:p w14:paraId="45CBFB57" w14:textId="1F53BCEF" w:rsidR="00C0215D" w:rsidRPr="0043349B" w:rsidRDefault="00C0215D" w:rsidP="00C0215D">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43349B">
        <w:rPr>
          <w:rFonts w:ascii="Palatino Linotype" w:hAnsi="Palatino Linotype" w:cs="Arial"/>
        </w:rPr>
        <w:t xml:space="preserve">Toda vez que el artículo 166 del ordenamiento jurídico citado, claramente también señala que: “La obligación de acceso a la información pública se tendrá por cumplida </w:t>
      </w:r>
      <w:r w:rsidRPr="0043349B">
        <w:rPr>
          <w:rFonts w:ascii="Palatino Linotype" w:hAnsi="Palatino Linotype" w:cs="Arial"/>
          <w:b/>
          <w:i/>
        </w:rPr>
        <w:t>cuando el solicitante tenga a su disposición la información requerida</w:t>
      </w:r>
      <w:r w:rsidRPr="0043349B">
        <w:rPr>
          <w:rFonts w:ascii="Palatino Linotype" w:hAnsi="Palatino Linotype" w:cs="Arial"/>
        </w:rPr>
        <w:t>, o cuando realice la consulta de la misma en el lugar en el que ésta se localice.</w:t>
      </w:r>
    </w:p>
    <w:p w14:paraId="2B7CE121" w14:textId="77777777" w:rsidR="00C0215D" w:rsidRPr="0043349B" w:rsidRDefault="00C0215D" w:rsidP="00C0215D">
      <w:pPr>
        <w:pStyle w:val="Prrafodelista"/>
        <w:rPr>
          <w:rFonts w:ascii="Palatino Linotype" w:hAnsi="Palatino Linotype"/>
          <w:color w:val="000000" w:themeColor="text1"/>
        </w:rPr>
      </w:pPr>
    </w:p>
    <w:p w14:paraId="0682BE05" w14:textId="2F4A83B8" w:rsidR="00C0215D" w:rsidRPr="0043349B" w:rsidRDefault="00C0215D" w:rsidP="00C0215D">
      <w:pPr>
        <w:pStyle w:val="Prrafodelista"/>
        <w:numPr>
          <w:ilvl w:val="0"/>
          <w:numId w:val="1"/>
        </w:numPr>
        <w:spacing w:line="360" w:lineRule="auto"/>
        <w:ind w:left="0" w:right="49" w:firstLine="0"/>
        <w:jc w:val="both"/>
        <w:rPr>
          <w:rFonts w:ascii="Palatino Linotype" w:hAnsi="Palatino Linotype" w:cs="Arial"/>
          <w:b/>
          <w:color w:val="000000" w:themeColor="text1"/>
        </w:rPr>
      </w:pPr>
      <w:r w:rsidRPr="0043349B">
        <w:rPr>
          <w:rFonts w:ascii="Palatino Linotype" w:hAnsi="Palatino Linotype" w:cs="Arial"/>
        </w:rPr>
        <w:t xml:space="preserve">Por lo tanto de los preceptos jurídicos citados, se colige, que si bien en un primer momento se hace referencia a una entrega in situ, también lo es que requieren que el particular previamente acredite legitimidad por lo que </w:t>
      </w:r>
      <w:r w:rsidRPr="0043349B">
        <w:rPr>
          <w:rFonts w:ascii="Palatino Linotype" w:hAnsi="Palatino Linotype" w:cs="Arial"/>
          <w:u w:val="single"/>
        </w:rPr>
        <w:t>no se tiene por cumplida la obligación de acceso a la información pública</w:t>
      </w:r>
      <w:r w:rsidRPr="0043349B">
        <w:rPr>
          <w:rFonts w:ascii="Palatino Linotype" w:hAnsi="Palatino Linotype" w:cs="Arial"/>
        </w:rPr>
        <w:t xml:space="preserve"> toda vez, que no fue entregada la información relativa al número de investigación</w:t>
      </w:r>
      <w:r w:rsidRPr="0043349B">
        <w:rPr>
          <w:rFonts w:ascii="Palatino Linotype" w:hAnsi="Palatino Linotype" w:cs="Arial"/>
          <w:color w:val="000000" w:themeColor="text1"/>
        </w:rPr>
        <w:t xml:space="preserve">, </w:t>
      </w:r>
      <w:r w:rsidRPr="0043349B">
        <w:rPr>
          <w:rFonts w:ascii="Palatino Linotype" w:hAnsi="Palatino Linotype" w:cs="Arial"/>
        </w:rPr>
        <w:t>por lo tanto el particular no tuvo a su disposición de manera expedita y sencilla la información, sino que, se vio en la necesidad de interponer el recurso de revisión.</w:t>
      </w:r>
    </w:p>
    <w:p w14:paraId="10637965" w14:textId="77777777" w:rsidR="00C0215D" w:rsidRPr="0043349B" w:rsidRDefault="00C0215D" w:rsidP="00C0215D">
      <w:pPr>
        <w:pStyle w:val="Prrafodelista"/>
        <w:rPr>
          <w:rFonts w:ascii="Palatino Linotype" w:hAnsi="Palatino Linotype" w:cs="Arial"/>
          <w:b/>
          <w:color w:val="000000" w:themeColor="text1"/>
        </w:rPr>
      </w:pPr>
    </w:p>
    <w:p w14:paraId="591EE4B6" w14:textId="1CB1452C" w:rsidR="00154A05" w:rsidRPr="0043349B" w:rsidRDefault="00154A05" w:rsidP="00154A05">
      <w:pPr>
        <w:pStyle w:val="Prrafodelista"/>
        <w:numPr>
          <w:ilvl w:val="0"/>
          <w:numId w:val="1"/>
        </w:numPr>
        <w:spacing w:line="360" w:lineRule="auto"/>
        <w:ind w:left="0" w:firstLine="0"/>
        <w:jc w:val="both"/>
        <w:rPr>
          <w:rFonts w:ascii="Palatino Linotype" w:hAnsi="Palatino Linotype"/>
          <w:color w:val="000000" w:themeColor="text1"/>
        </w:rPr>
      </w:pPr>
      <w:r w:rsidRPr="0043349B">
        <w:rPr>
          <w:rFonts w:ascii="Palatino Linotype" w:hAnsi="Palatino Linotype"/>
          <w:color w:val="000000"/>
        </w:rPr>
        <w:t>Por lo que la entrega del número de averiguación previa al que desea acceder el particular deberá ser entregado tal como lo mandata nuestra Carta Magna (</w:t>
      </w:r>
      <w:proofErr w:type="spellStart"/>
      <w:r w:rsidRPr="0043349B">
        <w:rPr>
          <w:rFonts w:ascii="Palatino Linotype" w:hAnsi="Palatino Linotype"/>
          <w:color w:val="000000"/>
        </w:rPr>
        <w:t>op</w:t>
      </w:r>
      <w:proofErr w:type="spellEnd"/>
      <w:r w:rsidRPr="0043349B">
        <w:rPr>
          <w:rFonts w:ascii="Palatino Linotype" w:hAnsi="Palatino Linotype"/>
          <w:color w:val="000000"/>
        </w:rPr>
        <w:t xml:space="preserve"> </w:t>
      </w:r>
      <w:proofErr w:type="spellStart"/>
      <w:r w:rsidRPr="0043349B">
        <w:rPr>
          <w:rFonts w:ascii="Palatino Linotype" w:hAnsi="Palatino Linotype"/>
          <w:color w:val="000000"/>
        </w:rPr>
        <w:t>cit</w:t>
      </w:r>
      <w:proofErr w:type="spellEnd"/>
      <w:r w:rsidRPr="0043349B">
        <w:rPr>
          <w:rFonts w:ascii="Palatino Linotype" w:hAnsi="Palatino Linotype"/>
          <w:color w:val="000000"/>
        </w:rPr>
        <w:t>)</w:t>
      </w:r>
      <w:r w:rsidRPr="0043349B">
        <w:rPr>
          <w:rFonts w:ascii="Palatino Linotype" w:eastAsia="Times New Roman" w:hAnsi="Palatino Linotype" w:cs="Arial"/>
          <w:color w:val="000000" w:themeColor="text1"/>
          <w:lang w:val="es-ES"/>
        </w:rPr>
        <w:t>-</w:t>
      </w:r>
      <w:r w:rsidRPr="0043349B">
        <w:rPr>
          <w:rFonts w:ascii="Palatino Linotype" w:hAnsi="Palatino Linotype" w:cs="Calibri"/>
          <w:color w:val="000000" w:themeColor="text1"/>
        </w:rPr>
        <w:t>sin necesidad de acreditar interés alguno o justificar su utilización- y en la modalidad elegida por el particular, esto es, a través del Sistema de Acceso a la Información Mexiquense (SAIMEX).</w:t>
      </w:r>
    </w:p>
    <w:p w14:paraId="1138FC47" w14:textId="77777777" w:rsidR="00154A05" w:rsidRPr="0043349B" w:rsidRDefault="00154A05" w:rsidP="00154A05">
      <w:pPr>
        <w:pStyle w:val="Prrafodelista"/>
        <w:spacing w:line="360" w:lineRule="auto"/>
        <w:ind w:left="0"/>
        <w:jc w:val="both"/>
        <w:rPr>
          <w:rFonts w:ascii="Palatino Linotype" w:hAnsi="Palatino Linotype"/>
          <w:color w:val="000000" w:themeColor="text1"/>
        </w:rPr>
      </w:pPr>
    </w:p>
    <w:p w14:paraId="5232E152" w14:textId="77777777" w:rsidR="00154A05" w:rsidRPr="0043349B" w:rsidRDefault="00154A05" w:rsidP="00154A05">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43349B">
        <w:rPr>
          <w:rFonts w:ascii="Palatino Linotype" w:eastAsia="Times New Roman" w:hAnsi="Palatino Linotype" w:cs="Arial"/>
          <w:color w:val="000000" w:themeColor="text1"/>
          <w:lang w:val="es-ES"/>
        </w:rPr>
        <w:lastRenderedPageBreak/>
        <w:t>En atención a ello y</w:t>
      </w:r>
      <w:r w:rsidRPr="0043349B">
        <w:rPr>
          <w:rFonts w:ascii="Palatino Linotype" w:hAnsi="Palatino Linotype" w:cs="Arial"/>
        </w:rPr>
        <w:t xml:space="preserve">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43349B">
        <w:rPr>
          <w:rFonts w:ascii="Palatino Linotype" w:hAnsi="Palatino Linotype" w:cs="Arial"/>
          <w:b/>
        </w:rPr>
        <w:t>SUJETOS OBLIGADOS</w:t>
      </w:r>
      <w:r w:rsidRPr="0043349B">
        <w:rPr>
          <w:rFonts w:ascii="Palatino Linotype" w:hAnsi="Palatino Linotype" w:cs="Arial"/>
        </w:rPr>
        <w:t>, el Sistema de Acceso a la Información Mexiquense (</w:t>
      </w:r>
      <w:r w:rsidRPr="0043349B">
        <w:rPr>
          <w:rFonts w:ascii="Palatino Linotype" w:hAnsi="Palatino Linotype" w:cs="Arial"/>
          <w:b/>
        </w:rPr>
        <w:t>SAIMEX</w:t>
      </w:r>
      <w:r w:rsidRPr="0043349B">
        <w:rPr>
          <w:rFonts w:ascii="Palatino Linotype" w:hAnsi="Palatino Linotype" w:cs="Arial"/>
        </w:rPr>
        <w:t>), para que de manera oportuna y gratuita se entregue la información pública solicitada.</w:t>
      </w:r>
    </w:p>
    <w:p w14:paraId="04FAE31B" w14:textId="77777777" w:rsidR="00154A05" w:rsidRPr="0043349B" w:rsidRDefault="00154A05" w:rsidP="00154A05">
      <w:pPr>
        <w:pStyle w:val="Prrafodelista"/>
        <w:spacing w:before="240" w:after="240" w:line="360" w:lineRule="auto"/>
        <w:ind w:left="0"/>
        <w:rPr>
          <w:rFonts w:ascii="Palatino Linotype" w:hAnsi="Palatino Linotype" w:cs="Arial"/>
        </w:rPr>
      </w:pPr>
    </w:p>
    <w:p w14:paraId="27E72DE5" w14:textId="77777777" w:rsidR="00154A05" w:rsidRPr="0043349B" w:rsidRDefault="00154A05" w:rsidP="00154A05">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43349B">
        <w:rPr>
          <w:rFonts w:ascii="Palatino Linotype" w:hAnsi="Palatino Linotype" w:cs="Arial"/>
        </w:rPr>
        <w:t>Así mismo es sumamente importante destacar plataformas de internet como el Sistema de Acceso a la Información Mexiquense (</w:t>
      </w:r>
      <w:r w:rsidRPr="0043349B">
        <w:rPr>
          <w:rFonts w:ascii="Palatino Linotype" w:hAnsi="Palatino Linotype" w:cs="Arial"/>
          <w:b/>
        </w:rPr>
        <w:t>SAIMEX</w:t>
      </w:r>
      <w:r w:rsidRPr="0043349B">
        <w:rPr>
          <w:rFonts w:ascii="Palatino Linotype" w:hAnsi="Palatino Linotype" w:cs="Arial"/>
        </w:rPr>
        <w:t>),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resolverá en definitiva.</w:t>
      </w:r>
    </w:p>
    <w:p w14:paraId="6AD86EAC" w14:textId="77777777" w:rsidR="00154A05" w:rsidRPr="0043349B" w:rsidRDefault="00154A05" w:rsidP="00154A05">
      <w:pPr>
        <w:pStyle w:val="Prrafodelista"/>
        <w:spacing w:before="240" w:after="240" w:line="360" w:lineRule="auto"/>
        <w:ind w:left="0"/>
        <w:jc w:val="both"/>
        <w:rPr>
          <w:rFonts w:ascii="Palatino Linotype" w:hAnsi="Palatino Linotype" w:cs="Arial"/>
        </w:rPr>
      </w:pPr>
    </w:p>
    <w:p w14:paraId="0C1ABD71" w14:textId="77777777" w:rsidR="00154A05" w:rsidRPr="0043349B" w:rsidRDefault="00154A05" w:rsidP="00154A05">
      <w:pPr>
        <w:pStyle w:val="Prrafodelista"/>
        <w:numPr>
          <w:ilvl w:val="0"/>
          <w:numId w:val="1"/>
        </w:numPr>
        <w:spacing w:before="240" w:after="240" w:line="360" w:lineRule="auto"/>
        <w:ind w:left="0" w:firstLine="0"/>
        <w:contextualSpacing w:val="0"/>
        <w:jc w:val="both"/>
        <w:rPr>
          <w:rFonts w:ascii="Palatino Linotype" w:hAnsi="Palatino Linotype" w:cs="Arial"/>
        </w:rPr>
      </w:pPr>
      <w:r w:rsidRPr="0043349B">
        <w:rPr>
          <w:rFonts w:ascii="Palatino Linotype" w:hAnsi="Palatino Linotype"/>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3349B">
        <w:rPr>
          <w:rFonts w:ascii="Palatino Linotype" w:hAnsi="Palatino Linotype" w:cs="Arial"/>
          <w:bCs/>
          <w:szCs w:val="23"/>
          <w:lang w:val="es-MX"/>
        </w:rPr>
        <w:t xml:space="preserve">Sirven de apoyo a lo anterior </w:t>
      </w:r>
      <w:r w:rsidRPr="0043349B">
        <w:rPr>
          <w:rFonts w:ascii="Palatino Linotype" w:hAnsi="Palatino Linotype" w:cs="Arial"/>
          <w:szCs w:val="23"/>
          <w:lang w:val="es-MX"/>
        </w:rPr>
        <w:t>las siguiente tesis aisladas:</w:t>
      </w:r>
      <w:r w:rsidRPr="0043349B">
        <w:rPr>
          <w:rFonts w:ascii="Palatino Linotype" w:hAnsi="Palatino Linotype" w:cs="Arial"/>
          <w:bCs/>
          <w:szCs w:val="23"/>
          <w:lang w:val="es-MX"/>
        </w:rPr>
        <w:t xml:space="preserve"> </w:t>
      </w:r>
    </w:p>
    <w:p w14:paraId="78E23C63" w14:textId="77777777" w:rsidR="00154A05" w:rsidRPr="0043349B" w:rsidRDefault="00154A05" w:rsidP="00154A05">
      <w:pPr>
        <w:pStyle w:val="Prrafodelista"/>
        <w:spacing w:line="360" w:lineRule="auto"/>
        <w:ind w:left="0"/>
        <w:jc w:val="both"/>
        <w:rPr>
          <w:rFonts w:ascii="Palatino Linotype" w:hAnsi="Palatino Linotype"/>
        </w:rPr>
      </w:pPr>
    </w:p>
    <w:p w14:paraId="1A33A5D7" w14:textId="77777777" w:rsidR="00154A05" w:rsidRPr="0043349B" w:rsidRDefault="00154A05" w:rsidP="00154A05">
      <w:pPr>
        <w:widowControl w:val="0"/>
        <w:shd w:val="clear" w:color="auto" w:fill="FFFFFF"/>
        <w:spacing w:after="120" w:line="360" w:lineRule="auto"/>
        <w:ind w:left="567" w:right="567"/>
        <w:jc w:val="both"/>
        <w:rPr>
          <w:rFonts w:ascii="Palatino Linotype" w:hAnsi="Palatino Linotype"/>
          <w:i/>
          <w:sz w:val="22"/>
          <w:szCs w:val="22"/>
        </w:rPr>
      </w:pPr>
      <w:r w:rsidRPr="0043349B">
        <w:rPr>
          <w:rFonts w:ascii="Palatino Linotype" w:hAnsi="Palatino Linotype"/>
          <w:b/>
          <w:i/>
        </w:rPr>
        <w:lastRenderedPageBreak/>
        <w:t>PÁGINAS WEB O ELECTRÓNICAS. SU CONTENIDO ES UN HECHO NOTORIO Y SUSCEPTIBLE DE SER VALORADO EN UNA DECISIÓN JUDICIAL.</w:t>
      </w:r>
      <w:r w:rsidRPr="0043349B">
        <w:t xml:space="preserve"> </w:t>
      </w:r>
      <w:r w:rsidRPr="0043349B">
        <w:rPr>
          <w:rFonts w:ascii="Palatino Linotype" w:hAnsi="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43349B">
        <w:rPr>
          <w:rFonts w:ascii="Palatino Linotype" w:hAnsi="Palatino Linotype"/>
          <w:i/>
          <w:sz w:val="22"/>
          <w:szCs w:val="22"/>
        </w:rPr>
        <w:t>Mardygras</w:t>
      </w:r>
      <w:proofErr w:type="spellEnd"/>
      <w:r w:rsidRPr="0043349B">
        <w:rPr>
          <w:rFonts w:ascii="Palatino Linotype" w:hAnsi="Palatino Linotype"/>
          <w:i/>
          <w:sz w:val="22"/>
          <w:szCs w:val="22"/>
        </w:rPr>
        <w:t xml:space="preserve">, S.A. de C.V. 7 de diciembre de 2012. Unanimidad de votos. Ponente: Neófito López Ramos. Secretaria: Ana Lilia Osorno Arroyo. </w:t>
      </w:r>
    </w:p>
    <w:p w14:paraId="4A6DF6F5" w14:textId="77777777" w:rsidR="00154A05" w:rsidRPr="0043349B" w:rsidRDefault="00154A05" w:rsidP="00154A05">
      <w:pPr>
        <w:pStyle w:val="Prrafodelista"/>
        <w:widowControl w:val="0"/>
        <w:shd w:val="clear" w:color="auto" w:fill="FFFFFF"/>
        <w:spacing w:after="120" w:line="360" w:lineRule="auto"/>
        <w:ind w:left="567" w:right="567"/>
        <w:jc w:val="both"/>
        <w:rPr>
          <w:rFonts w:ascii="Palatino Linotype" w:hAnsi="Palatino Linotype"/>
          <w:b/>
          <w:i/>
        </w:rPr>
      </w:pPr>
    </w:p>
    <w:p w14:paraId="77A7E446" w14:textId="77777777" w:rsidR="00154A05" w:rsidRPr="0043349B" w:rsidRDefault="00154A05" w:rsidP="00154A05">
      <w:pPr>
        <w:pStyle w:val="Prrafodelista"/>
        <w:widowControl w:val="0"/>
        <w:shd w:val="clear" w:color="auto" w:fill="FFFFFF"/>
        <w:spacing w:after="120" w:line="360" w:lineRule="auto"/>
        <w:ind w:left="567" w:right="567"/>
        <w:jc w:val="both"/>
        <w:rPr>
          <w:rFonts w:ascii="Palatino Linotype" w:hAnsi="Palatino Linotype"/>
          <w:i/>
          <w:sz w:val="22"/>
          <w:szCs w:val="22"/>
        </w:rPr>
      </w:pPr>
      <w:r w:rsidRPr="0043349B">
        <w:rPr>
          <w:rFonts w:ascii="Palatino Linotype" w:hAnsi="Palatino Linotype"/>
          <w:b/>
          <w:i/>
          <w:sz w:val="22"/>
          <w:szCs w:val="22"/>
        </w:rPr>
        <w:t xml:space="preserve">HECHO NOTORIO. LO CONSTITUYEN LOS DATOS QUE APARECEN EN </w:t>
      </w:r>
      <w:r w:rsidRPr="0043349B">
        <w:rPr>
          <w:rFonts w:ascii="Palatino Linotype" w:hAnsi="Palatino Linotype"/>
          <w:b/>
          <w:i/>
          <w:sz w:val="22"/>
          <w:szCs w:val="22"/>
        </w:rPr>
        <w:lastRenderedPageBreak/>
        <w:t>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3349B">
        <w:rPr>
          <w:rFonts w:ascii="Palatino Linotype" w:hAnsi="Palatino Linotype"/>
          <w:i/>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43349B">
        <w:rPr>
          <w:rFonts w:ascii="Palatino Linotype" w:hAnsi="Palatino Linotype"/>
          <w:i/>
          <w:sz w:val="22"/>
          <w:szCs w:val="22"/>
        </w:rPr>
        <w:t>Pag</w:t>
      </w:r>
      <w:proofErr w:type="spellEnd"/>
      <w:r w:rsidRPr="0043349B">
        <w:rPr>
          <w:rFonts w:ascii="Palatino Linotype" w:hAnsi="Palatino Linotype"/>
          <w:i/>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7EED585F" w14:textId="77777777" w:rsidR="00154A05" w:rsidRPr="0043349B" w:rsidRDefault="00154A05" w:rsidP="00154A05">
      <w:pPr>
        <w:pStyle w:val="Prrafodelista"/>
        <w:spacing w:line="360" w:lineRule="auto"/>
        <w:ind w:left="0"/>
        <w:jc w:val="both"/>
        <w:rPr>
          <w:rFonts w:ascii="Palatino Linotype" w:hAnsi="Palatino Linotype"/>
        </w:rPr>
      </w:pPr>
    </w:p>
    <w:p w14:paraId="726439F5" w14:textId="77777777" w:rsidR="00154A05" w:rsidRPr="0043349B" w:rsidRDefault="00154A05" w:rsidP="00154A05">
      <w:pPr>
        <w:pStyle w:val="Prrafodelista"/>
        <w:numPr>
          <w:ilvl w:val="0"/>
          <w:numId w:val="1"/>
        </w:numPr>
        <w:spacing w:line="360" w:lineRule="auto"/>
        <w:ind w:left="0" w:firstLine="0"/>
        <w:jc w:val="both"/>
        <w:rPr>
          <w:rFonts w:ascii="Palatino Linotype" w:hAnsi="Palatino Linotype"/>
          <w:color w:val="000000" w:themeColor="text1"/>
        </w:rPr>
      </w:pPr>
      <w:r w:rsidRPr="0043349B">
        <w:rPr>
          <w:rFonts w:ascii="Palatino Linotype" w:hAnsi="Palatino Linotype"/>
          <w:color w:val="000000" w:themeColor="text1"/>
        </w:rPr>
        <w:t>En ese sentido se concluye que el SUJETO OBLIGADO deberá de ser muy cuidadoso al dar cumplimiento a la presente resolución, toda vez que únicamente se informará sobre el número de averiguación previa aludida por el particular una vez que ya ha sido identificada por el servidor público habilitado, sin proporcionar datos personales susceptibles de ser considerados como confidenciales.</w:t>
      </w:r>
    </w:p>
    <w:p w14:paraId="0A10592E" w14:textId="77777777" w:rsidR="00154A05" w:rsidRPr="0043349B" w:rsidRDefault="00154A05" w:rsidP="00154A05">
      <w:pPr>
        <w:pStyle w:val="Prrafodelista"/>
        <w:spacing w:line="360" w:lineRule="auto"/>
        <w:ind w:left="0"/>
        <w:jc w:val="both"/>
        <w:rPr>
          <w:rFonts w:ascii="Palatino Linotype" w:hAnsi="Palatino Linotype"/>
          <w:color w:val="000000" w:themeColor="text1"/>
        </w:rPr>
      </w:pPr>
    </w:p>
    <w:p w14:paraId="3039DFDA" w14:textId="77777777" w:rsidR="00154A05" w:rsidRPr="0043349B" w:rsidRDefault="00154A05" w:rsidP="00154A05">
      <w:pPr>
        <w:pStyle w:val="Prrafodelista"/>
        <w:numPr>
          <w:ilvl w:val="0"/>
          <w:numId w:val="1"/>
        </w:numPr>
        <w:spacing w:line="360" w:lineRule="auto"/>
        <w:ind w:left="0" w:firstLine="0"/>
        <w:jc w:val="both"/>
        <w:rPr>
          <w:rFonts w:ascii="Palatino Linotype" w:hAnsi="Palatino Linotype"/>
          <w:color w:val="000000" w:themeColor="text1"/>
        </w:rPr>
      </w:pPr>
      <w:r w:rsidRPr="0043349B">
        <w:rPr>
          <w:rFonts w:ascii="Palatino Linotype" w:hAnsi="Palatino Linotype"/>
          <w:color w:val="000000" w:themeColor="text1"/>
        </w:rPr>
        <w:t xml:space="preserve">También es importante destacar que la entrega de éste documento deberá hacerse </w:t>
      </w:r>
      <w:r w:rsidRPr="0043349B">
        <w:rPr>
          <w:rFonts w:ascii="Palatino Linotype" w:hAnsi="Palatino Linotype" w:cs="Calibri"/>
          <w:color w:val="000000" w:themeColor="text1"/>
        </w:rPr>
        <w:t>sin necesidad de acreditar interés alguno o justificar su utilización y a través de la modalidad elegida por el particular- esto es- a través del Sistema de Acceso a la Información Mexiquense (SAIMEX).</w:t>
      </w:r>
    </w:p>
    <w:p w14:paraId="374D7321" w14:textId="77777777" w:rsidR="00154A05" w:rsidRPr="0043349B" w:rsidRDefault="00154A05" w:rsidP="00154A05">
      <w:pPr>
        <w:pStyle w:val="Prrafodelista"/>
        <w:spacing w:line="360" w:lineRule="auto"/>
        <w:ind w:left="0"/>
        <w:jc w:val="both"/>
        <w:rPr>
          <w:rFonts w:ascii="Palatino Linotype" w:hAnsi="Palatino Linotype"/>
          <w:color w:val="000000" w:themeColor="text1"/>
        </w:rPr>
      </w:pPr>
    </w:p>
    <w:p w14:paraId="31469706" w14:textId="77777777" w:rsidR="00154A05" w:rsidRPr="0043349B" w:rsidRDefault="00154A05" w:rsidP="00154A05">
      <w:pPr>
        <w:pStyle w:val="Prrafodelista"/>
        <w:numPr>
          <w:ilvl w:val="0"/>
          <w:numId w:val="1"/>
        </w:numPr>
        <w:spacing w:before="240" w:after="240" w:line="360" w:lineRule="auto"/>
        <w:ind w:left="0" w:right="49" w:firstLine="0"/>
        <w:jc w:val="both"/>
        <w:rPr>
          <w:rFonts w:ascii="Palatino Linotype" w:hAnsi="Palatino Linotype"/>
        </w:rPr>
      </w:pPr>
      <w:r w:rsidRPr="0043349B">
        <w:rPr>
          <w:rFonts w:ascii="Palatino Linotype" w:eastAsia="Times New Roman" w:hAnsi="Palatino Linotype" w:cs="Arial"/>
          <w:color w:val="222222"/>
          <w:lang w:eastAsia="es-MX"/>
        </w:rPr>
        <w:t xml:space="preserve">Por lo anteriormente expuesto y fundado, este </w:t>
      </w:r>
      <w:r w:rsidRPr="0043349B">
        <w:rPr>
          <w:rFonts w:ascii="Palatino Linotype" w:eastAsia="Times New Roman" w:hAnsi="Palatino Linotype" w:cs="Arial"/>
          <w:b/>
          <w:bCs/>
          <w:color w:val="222222"/>
          <w:lang w:eastAsia="es-MX"/>
        </w:rPr>
        <w:t>ÓRGANO GARANTE</w:t>
      </w:r>
      <w:r w:rsidRPr="0043349B">
        <w:rPr>
          <w:rFonts w:ascii="Palatino Linotype" w:eastAsia="Times New Roman" w:hAnsi="Palatino Linotype" w:cs="Arial"/>
          <w:color w:val="222222"/>
          <w:lang w:eastAsia="es-MX"/>
        </w:rPr>
        <w:t xml:space="preserve"> emite los siguientes:</w:t>
      </w:r>
    </w:p>
    <w:p w14:paraId="2BD20EF6" w14:textId="77777777" w:rsidR="004C3391" w:rsidRPr="0043349B" w:rsidRDefault="004C3391" w:rsidP="004C3391">
      <w:pPr>
        <w:rPr>
          <w:rFonts w:ascii="Palatino Linotype" w:hAnsi="Palatino Linotype"/>
          <w:color w:val="000000" w:themeColor="text1"/>
          <w:szCs w:val="20"/>
        </w:rPr>
      </w:pPr>
      <w:r w:rsidRPr="0043349B">
        <w:rPr>
          <w:rFonts w:ascii="Palatino Linotype" w:hAnsi="Palatino Linotype"/>
          <w:noProof/>
          <w:color w:val="000000" w:themeColor="text1"/>
          <w:szCs w:val="20"/>
          <w:lang w:val="es-MX" w:eastAsia="es-MX"/>
        </w:rPr>
        <mc:AlternateContent>
          <mc:Choice Requires="wps">
            <w:drawing>
              <wp:anchor distT="0" distB="0" distL="114300" distR="114300" simplePos="0" relativeHeight="251664384" behindDoc="0" locked="0" layoutInCell="1" allowOverlap="1" wp14:anchorId="57E0C974" wp14:editId="3285D46E">
                <wp:simplePos x="0" y="0"/>
                <wp:positionH relativeFrom="column">
                  <wp:posOffset>62866</wp:posOffset>
                </wp:positionH>
                <wp:positionV relativeFrom="paragraph">
                  <wp:posOffset>60324</wp:posOffset>
                </wp:positionV>
                <wp:extent cx="5314950" cy="37814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314950" cy="3781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7C92"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4.75pt" to="423.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" strokecolor="#4f81bd [3204]" strokeweight="2pt">
                <v:shadow on="t" color="black" opacity="24903f" origin=",.5" offset="0,.55556mm"/>
              </v:line>
            </w:pict>
          </mc:Fallback>
        </mc:AlternateContent>
      </w:r>
    </w:p>
    <w:p w14:paraId="3494C783" w14:textId="77777777" w:rsidR="004C3391" w:rsidRPr="0043349B" w:rsidRDefault="004C3391" w:rsidP="004C3391">
      <w:pPr>
        <w:pStyle w:val="j"/>
        <w:shd w:val="clear" w:color="auto" w:fill="FFFFFF"/>
        <w:spacing w:before="0" w:after="0" w:line="360" w:lineRule="auto"/>
        <w:jc w:val="both"/>
        <w:textAlignment w:val="baseline"/>
        <w:rPr>
          <w:rFonts w:ascii="Palatino Linotype" w:hAnsi="Palatino Linotype"/>
          <w:color w:val="000000" w:themeColor="text1"/>
          <w:szCs w:val="20"/>
        </w:rPr>
      </w:pPr>
    </w:p>
    <w:p w14:paraId="4AB6C5C1" w14:textId="77777777" w:rsidR="004C3391" w:rsidRPr="0043349B" w:rsidRDefault="004C3391" w:rsidP="004C3391">
      <w:pPr>
        <w:pStyle w:val="j"/>
        <w:shd w:val="clear" w:color="auto" w:fill="FFFFFF"/>
        <w:spacing w:before="0" w:after="0" w:line="360" w:lineRule="auto"/>
        <w:jc w:val="both"/>
        <w:textAlignment w:val="baseline"/>
        <w:rPr>
          <w:rFonts w:ascii="Palatino Linotype" w:hAnsi="Palatino Linotype"/>
          <w:color w:val="000000" w:themeColor="text1"/>
          <w:szCs w:val="20"/>
        </w:rPr>
      </w:pPr>
    </w:p>
    <w:p w14:paraId="60CD5CCC" w14:textId="77777777" w:rsidR="004C3391" w:rsidRPr="0043349B" w:rsidRDefault="004C3391" w:rsidP="004C3391">
      <w:pPr>
        <w:pStyle w:val="j"/>
        <w:shd w:val="clear" w:color="auto" w:fill="FFFFFF"/>
        <w:spacing w:before="0" w:after="0" w:line="360" w:lineRule="auto"/>
        <w:jc w:val="both"/>
        <w:textAlignment w:val="baseline"/>
        <w:rPr>
          <w:rFonts w:ascii="Palatino Linotype" w:hAnsi="Palatino Linotype"/>
          <w:color w:val="000000" w:themeColor="text1"/>
          <w:szCs w:val="20"/>
        </w:rPr>
      </w:pPr>
    </w:p>
    <w:p w14:paraId="416DD63A" w14:textId="77777777" w:rsidR="004C3391" w:rsidRPr="0043349B" w:rsidRDefault="004C3391" w:rsidP="004C3391">
      <w:pPr>
        <w:pStyle w:val="j"/>
        <w:shd w:val="clear" w:color="auto" w:fill="FFFFFF"/>
        <w:spacing w:before="0" w:after="0" w:line="360" w:lineRule="auto"/>
        <w:jc w:val="both"/>
        <w:textAlignment w:val="baseline"/>
        <w:rPr>
          <w:rFonts w:ascii="Palatino Linotype" w:hAnsi="Palatino Linotype"/>
          <w:color w:val="000000" w:themeColor="text1"/>
          <w:szCs w:val="20"/>
        </w:rPr>
      </w:pPr>
    </w:p>
    <w:p w14:paraId="2DC039ED" w14:textId="77777777" w:rsidR="004C3391" w:rsidRPr="0043349B" w:rsidRDefault="004C3391" w:rsidP="004C3391">
      <w:pPr>
        <w:pStyle w:val="Prrafodelista"/>
        <w:spacing w:before="240" w:after="240" w:line="360" w:lineRule="auto"/>
        <w:ind w:left="0" w:right="49"/>
        <w:jc w:val="both"/>
        <w:rPr>
          <w:rFonts w:ascii="Palatino Linotype" w:hAnsi="Palatino Linotype"/>
        </w:rPr>
      </w:pPr>
    </w:p>
    <w:p w14:paraId="57B77662" w14:textId="77777777" w:rsidR="00154A05" w:rsidRPr="0043349B" w:rsidRDefault="00154A05" w:rsidP="004C3391">
      <w:pPr>
        <w:pStyle w:val="Prrafodelista"/>
        <w:spacing w:before="240" w:after="240" w:line="360" w:lineRule="auto"/>
        <w:ind w:left="0" w:right="49"/>
        <w:jc w:val="both"/>
        <w:rPr>
          <w:rFonts w:ascii="Palatino Linotype" w:hAnsi="Palatino Linotype"/>
        </w:rPr>
      </w:pPr>
    </w:p>
    <w:p w14:paraId="34457FCB" w14:textId="77777777" w:rsidR="00154A05" w:rsidRPr="0043349B" w:rsidRDefault="00154A05" w:rsidP="004C3391">
      <w:pPr>
        <w:pStyle w:val="Prrafodelista"/>
        <w:spacing w:before="240" w:after="240" w:line="360" w:lineRule="auto"/>
        <w:ind w:left="0" w:right="49"/>
        <w:jc w:val="both"/>
        <w:rPr>
          <w:rFonts w:ascii="Palatino Linotype" w:hAnsi="Palatino Linotype"/>
        </w:rPr>
      </w:pPr>
    </w:p>
    <w:p w14:paraId="694461B1" w14:textId="77777777" w:rsidR="00154A05" w:rsidRPr="0043349B" w:rsidRDefault="00154A05" w:rsidP="004C3391">
      <w:pPr>
        <w:pStyle w:val="Prrafodelista"/>
        <w:spacing w:before="240" w:after="240" w:line="360" w:lineRule="auto"/>
        <w:ind w:left="0" w:right="49"/>
        <w:jc w:val="both"/>
        <w:rPr>
          <w:rFonts w:ascii="Palatino Linotype" w:hAnsi="Palatino Linotype"/>
        </w:rPr>
      </w:pPr>
    </w:p>
    <w:p w14:paraId="7F64A00F" w14:textId="77777777" w:rsidR="00154A05" w:rsidRPr="0043349B" w:rsidRDefault="00154A05" w:rsidP="004C3391">
      <w:pPr>
        <w:pStyle w:val="Prrafodelista"/>
        <w:spacing w:before="240" w:after="240" w:line="360" w:lineRule="auto"/>
        <w:ind w:left="0" w:right="49"/>
        <w:jc w:val="both"/>
        <w:rPr>
          <w:rFonts w:ascii="Palatino Linotype" w:hAnsi="Palatino Linotype"/>
        </w:rPr>
      </w:pPr>
    </w:p>
    <w:p w14:paraId="525D5AB5" w14:textId="77777777" w:rsidR="00154A05" w:rsidRPr="0043349B" w:rsidRDefault="00154A05" w:rsidP="004C3391">
      <w:pPr>
        <w:pStyle w:val="Prrafodelista"/>
        <w:spacing w:before="240" w:after="240" w:line="360" w:lineRule="auto"/>
        <w:ind w:left="0" w:right="49"/>
        <w:jc w:val="both"/>
        <w:rPr>
          <w:rFonts w:ascii="Palatino Linotype" w:hAnsi="Palatino Linotype"/>
        </w:rPr>
      </w:pPr>
    </w:p>
    <w:p w14:paraId="427AFE2F" w14:textId="77777777" w:rsidR="004C3391" w:rsidRPr="0043349B" w:rsidRDefault="004C3391" w:rsidP="004C3391">
      <w:pPr>
        <w:pStyle w:val="Ttulo1"/>
        <w:spacing w:line="360" w:lineRule="auto"/>
        <w:ind w:left="2912"/>
        <w:rPr>
          <w:rFonts w:eastAsia="Calibri"/>
          <w:b w:val="0"/>
          <w:color w:val="auto"/>
          <w:szCs w:val="24"/>
          <w:lang w:val="es-ES" w:eastAsia="es-ES"/>
        </w:rPr>
      </w:pPr>
      <w:bookmarkStart w:id="24" w:name="_Toc48151965"/>
      <w:r w:rsidRPr="0043349B">
        <w:rPr>
          <w:rFonts w:eastAsia="Calibri"/>
          <w:color w:val="auto"/>
          <w:szCs w:val="24"/>
          <w:lang w:val="es-ES" w:eastAsia="es-ES"/>
        </w:rPr>
        <w:lastRenderedPageBreak/>
        <w:t>R E S O L U T I V O S</w:t>
      </w:r>
      <w:bookmarkEnd w:id="24"/>
    </w:p>
    <w:p w14:paraId="037616B0" w14:textId="5D2BE46E" w:rsidR="004C3391" w:rsidRPr="0043349B" w:rsidRDefault="004C3391" w:rsidP="004C3391">
      <w:pPr>
        <w:spacing w:line="360" w:lineRule="auto"/>
        <w:jc w:val="both"/>
        <w:rPr>
          <w:rFonts w:ascii="Palatino Linotype" w:eastAsia="Times New Roman" w:hAnsi="Palatino Linotype" w:cs="Times New Roman"/>
        </w:rPr>
      </w:pPr>
      <w:r w:rsidRPr="0043349B">
        <w:rPr>
          <w:rFonts w:ascii="Palatino Linotype" w:eastAsia="Times New Roman" w:hAnsi="Palatino Linotype" w:cs="Arial"/>
          <w:b/>
        </w:rPr>
        <w:t xml:space="preserve">PRIMERO. </w:t>
      </w:r>
      <w:r w:rsidRPr="0043349B">
        <w:rPr>
          <w:rFonts w:ascii="Palatino Linotype" w:eastAsia="Times New Roman" w:hAnsi="Palatino Linotype" w:cs="Arial"/>
        </w:rPr>
        <w:t>Resultan parcialmente fundadas las</w:t>
      </w:r>
      <w:r w:rsidRPr="0043349B">
        <w:rPr>
          <w:rFonts w:ascii="Palatino Linotype" w:eastAsia="Times New Roman" w:hAnsi="Palatino Linotype" w:cs="Arial"/>
          <w:b/>
        </w:rPr>
        <w:t xml:space="preserve"> </w:t>
      </w:r>
      <w:r w:rsidRPr="0043349B">
        <w:rPr>
          <w:rFonts w:ascii="Palatino Linotype" w:eastAsia="Times New Roman" w:hAnsi="Palatino Linotype" w:cs="Arial"/>
          <w:lang w:val="es-ES"/>
        </w:rPr>
        <w:t xml:space="preserve">razones o motivos de inconformidad hechos valer </w:t>
      </w:r>
      <w:r w:rsidRPr="0043349B">
        <w:rPr>
          <w:rFonts w:ascii="Palatino Linotype" w:eastAsia="Calibri" w:hAnsi="Palatino Linotype" w:cs="Arial"/>
          <w:lang w:val="es-ES"/>
        </w:rPr>
        <w:t xml:space="preserve">en el recurso de revisión </w:t>
      </w:r>
      <w:r w:rsidRPr="0043349B">
        <w:rPr>
          <w:rFonts w:ascii="Palatino Linotype" w:hAnsi="Palatino Linotype" w:cs="Arial"/>
          <w:b/>
          <w:bCs/>
        </w:rPr>
        <w:t xml:space="preserve">00888/INFOEM/IP/RR/2020, </w:t>
      </w:r>
      <w:r w:rsidRPr="0043349B">
        <w:rPr>
          <w:rFonts w:ascii="Palatino Linotype" w:hAnsi="Palatino Linotype" w:cs="Arial"/>
          <w:bCs/>
        </w:rPr>
        <w:t>en términos del</w:t>
      </w:r>
      <w:r w:rsidR="00C24965" w:rsidRPr="0043349B">
        <w:rPr>
          <w:rFonts w:ascii="Palatino Linotype" w:hAnsi="Palatino Linotype" w:cs="Arial"/>
          <w:bCs/>
        </w:rPr>
        <w:t xml:space="preserve"> </w:t>
      </w:r>
      <w:r w:rsidRPr="0043349B">
        <w:rPr>
          <w:rFonts w:ascii="Palatino Linotype" w:hAnsi="Palatino Linotype" w:cs="Arial"/>
          <w:b/>
          <w:bCs/>
        </w:rPr>
        <w:t>C</w:t>
      </w:r>
      <w:r w:rsidR="00C24965" w:rsidRPr="0043349B">
        <w:rPr>
          <w:rFonts w:ascii="Palatino Linotype" w:hAnsi="Palatino Linotype" w:cs="Arial"/>
          <w:b/>
          <w:bCs/>
        </w:rPr>
        <w:t>onsiderando</w:t>
      </w:r>
      <w:r w:rsidRPr="0043349B">
        <w:rPr>
          <w:rFonts w:ascii="Palatino Linotype" w:hAnsi="Palatino Linotype" w:cs="Arial"/>
          <w:bCs/>
        </w:rPr>
        <w:t xml:space="preserve"> </w:t>
      </w:r>
      <w:r w:rsidRPr="0043349B">
        <w:rPr>
          <w:rFonts w:ascii="Palatino Linotype" w:hAnsi="Palatino Linotype" w:cs="Arial"/>
          <w:b/>
          <w:bCs/>
        </w:rPr>
        <w:t xml:space="preserve">CUARTO </w:t>
      </w:r>
      <w:r w:rsidRPr="0043349B">
        <w:rPr>
          <w:rFonts w:ascii="Palatino Linotype" w:hAnsi="Palatino Linotype" w:cs="Arial"/>
          <w:bCs/>
        </w:rPr>
        <w:t>de la presente resolución.</w:t>
      </w:r>
    </w:p>
    <w:p w14:paraId="64510799" w14:textId="77E72A63" w:rsidR="004C3391" w:rsidRPr="0043349B" w:rsidRDefault="004C3391" w:rsidP="004C3391">
      <w:pPr>
        <w:spacing w:before="240" w:after="240" w:line="360" w:lineRule="auto"/>
        <w:jc w:val="both"/>
        <w:rPr>
          <w:rFonts w:ascii="Palatino Linotype" w:eastAsia="Calibri" w:hAnsi="Palatino Linotype" w:cs="Arial"/>
          <w:b/>
          <w:lang w:val="es-ES"/>
        </w:rPr>
      </w:pPr>
      <w:r w:rsidRPr="0043349B">
        <w:rPr>
          <w:rFonts w:ascii="Palatino Linotype" w:hAnsi="Palatino Linotype"/>
          <w:b/>
        </w:rPr>
        <w:t>SEGUNDO.</w:t>
      </w:r>
      <w:r w:rsidRPr="0043349B">
        <w:rPr>
          <w:rStyle w:val="Ttulo2Car"/>
          <w:b w:val="0"/>
        </w:rPr>
        <w:t xml:space="preserve"> </w:t>
      </w:r>
      <w:r w:rsidRPr="0043349B">
        <w:rPr>
          <w:rFonts w:ascii="Palatino Linotype" w:eastAsia="Calibri" w:hAnsi="Palatino Linotype" w:cs="Arial"/>
          <w:lang w:val="es-ES"/>
        </w:rPr>
        <w:t>Se</w:t>
      </w:r>
      <w:r w:rsidRPr="0043349B">
        <w:rPr>
          <w:rFonts w:ascii="Palatino Linotype" w:eastAsia="Calibri" w:hAnsi="Palatino Linotype" w:cs="Arial"/>
          <w:b/>
          <w:lang w:val="es-ES"/>
        </w:rPr>
        <w:t xml:space="preserve"> MODIFICA </w:t>
      </w:r>
      <w:r w:rsidRPr="0043349B">
        <w:rPr>
          <w:rFonts w:ascii="Palatino Linotype" w:eastAsia="Calibri" w:hAnsi="Palatino Linotype" w:cs="Arial"/>
          <w:lang w:val="es-ES"/>
        </w:rPr>
        <w:t xml:space="preserve">la respuesta emitida por la </w:t>
      </w:r>
      <w:r w:rsidRPr="0043349B">
        <w:rPr>
          <w:rFonts w:ascii="Palatino Linotype" w:hAnsi="Palatino Linotype" w:cs="Arial"/>
          <w:b/>
        </w:rPr>
        <w:t>Fiscalía General de Justicia del Estado de México</w:t>
      </w:r>
      <w:r w:rsidRPr="0043349B">
        <w:rPr>
          <w:rFonts w:ascii="Palatino Linotype" w:eastAsia="Calibri" w:hAnsi="Palatino Linotype" w:cs="Arial"/>
          <w:lang w:val="es-ES"/>
        </w:rPr>
        <w:t xml:space="preserve"> y se</w:t>
      </w:r>
      <w:r w:rsidRPr="0043349B">
        <w:rPr>
          <w:rFonts w:ascii="Palatino Linotype" w:eastAsia="Calibri" w:hAnsi="Palatino Linotype" w:cs="Arial"/>
          <w:b/>
          <w:lang w:val="es-ES"/>
        </w:rPr>
        <w:t xml:space="preserve"> ORDENA </w:t>
      </w:r>
      <w:r w:rsidRPr="0043349B">
        <w:rPr>
          <w:rFonts w:ascii="Palatino Linotype" w:eastAsia="Times New Roman" w:hAnsi="Palatino Linotype" w:cs="Arial"/>
          <w:lang w:val="es-ES"/>
        </w:rPr>
        <w:t>entregar vía Sistema de Acceso a la Información Mexiquense (SAIMEX)</w:t>
      </w:r>
      <w:r w:rsidRPr="0043349B">
        <w:rPr>
          <w:rFonts w:ascii="Palatino Linotype" w:eastAsia="Times New Roman" w:hAnsi="Palatino Linotype" w:cs="Arial"/>
          <w:b/>
          <w:lang w:val="es-ES"/>
        </w:rPr>
        <w:t>,</w:t>
      </w:r>
      <w:r w:rsidRPr="0043349B">
        <w:rPr>
          <w:rFonts w:ascii="Palatino Linotype" w:eastAsia="Times New Roman" w:hAnsi="Palatino Linotype" w:cs="Arial"/>
          <w:lang w:val="es-ES"/>
        </w:rPr>
        <w:t xml:space="preserve"> la siguiente </w:t>
      </w:r>
      <w:r w:rsidRPr="0043349B">
        <w:rPr>
          <w:rFonts w:ascii="Palatino Linotype" w:hAnsi="Palatino Linotype" w:cs="Arial"/>
          <w:bCs/>
        </w:rPr>
        <w:t>información:</w:t>
      </w:r>
    </w:p>
    <w:p w14:paraId="139D5220" w14:textId="1D25A32E" w:rsidR="004C3391" w:rsidRPr="0043349B" w:rsidRDefault="00914A6E" w:rsidP="004C3391">
      <w:pPr>
        <w:pStyle w:val="Prrafodelista"/>
        <w:numPr>
          <w:ilvl w:val="1"/>
          <w:numId w:val="14"/>
        </w:numPr>
        <w:autoSpaceDE w:val="0"/>
        <w:autoSpaceDN w:val="0"/>
        <w:adjustRightInd w:val="0"/>
        <w:spacing w:line="360" w:lineRule="auto"/>
        <w:ind w:left="567" w:right="567" w:firstLine="0"/>
        <w:jc w:val="both"/>
        <w:rPr>
          <w:rFonts w:ascii="Palatino Linotype" w:eastAsia="Calibri" w:hAnsi="Palatino Linotype" w:cs="Arial"/>
          <w:b/>
          <w:sz w:val="22"/>
          <w:lang w:val="es-ES"/>
        </w:rPr>
      </w:pPr>
      <w:r w:rsidRPr="0043349B">
        <w:rPr>
          <w:rFonts w:ascii="Palatino Linotype" w:hAnsi="Palatino Linotype"/>
          <w:b/>
          <w:lang w:val="es-MX" w:eastAsia="en-US"/>
        </w:rPr>
        <w:t>E</w:t>
      </w:r>
      <w:r w:rsidR="00C24965" w:rsidRPr="0043349B">
        <w:rPr>
          <w:rFonts w:ascii="Palatino Linotype" w:hAnsi="Palatino Linotype"/>
          <w:b/>
          <w:lang w:val="es-MX" w:eastAsia="en-US"/>
        </w:rPr>
        <w:t xml:space="preserve">l número de </w:t>
      </w:r>
      <w:r w:rsidR="00A42C3A" w:rsidRPr="0043349B">
        <w:rPr>
          <w:rFonts w:ascii="Palatino Linotype" w:hAnsi="Palatino Linotype"/>
          <w:b/>
          <w:lang w:val="es-MX" w:eastAsia="en-US"/>
        </w:rPr>
        <w:t>carpeta de investigación</w:t>
      </w:r>
      <w:r w:rsidR="00C24965" w:rsidRPr="0043349B">
        <w:rPr>
          <w:rFonts w:ascii="Palatino Linotype" w:hAnsi="Palatino Linotype"/>
          <w:b/>
          <w:lang w:val="es-MX" w:eastAsia="en-US"/>
        </w:rPr>
        <w:t xml:space="preserve"> </w:t>
      </w:r>
      <w:r w:rsidRPr="0043349B">
        <w:rPr>
          <w:rFonts w:ascii="Palatino Linotype" w:hAnsi="Palatino Linotype"/>
          <w:b/>
          <w:lang w:val="es-MX" w:eastAsia="en-US"/>
        </w:rPr>
        <w:t xml:space="preserve">requerida </w:t>
      </w:r>
      <w:r w:rsidR="00C24965" w:rsidRPr="0043349B">
        <w:rPr>
          <w:rFonts w:ascii="Palatino Linotype" w:hAnsi="Palatino Linotype"/>
          <w:b/>
          <w:lang w:val="es-MX" w:eastAsia="en-US"/>
        </w:rPr>
        <w:t xml:space="preserve">en la solicitud </w:t>
      </w:r>
      <w:r w:rsidR="00C24965" w:rsidRPr="0043349B">
        <w:rPr>
          <w:rFonts w:ascii="Palatino Linotype" w:eastAsia="Calibri" w:hAnsi="Palatino Linotype" w:cs="Arial"/>
          <w:b/>
          <w:color w:val="000000" w:themeColor="text1"/>
          <w:lang w:val="es-ES"/>
        </w:rPr>
        <w:t>00047/FGJ/IP/2020</w:t>
      </w:r>
      <w:r w:rsidR="004C3391" w:rsidRPr="0043349B">
        <w:rPr>
          <w:rFonts w:ascii="Palatino Linotype" w:hAnsi="Palatino Linotype"/>
          <w:b/>
          <w:lang w:val="es-MX" w:eastAsia="en-US"/>
        </w:rPr>
        <w:t>.</w:t>
      </w:r>
    </w:p>
    <w:p w14:paraId="78EAAF64" w14:textId="77777777" w:rsidR="004C3391" w:rsidRPr="0043349B" w:rsidRDefault="004C3391" w:rsidP="004C3391">
      <w:pPr>
        <w:spacing w:line="360" w:lineRule="auto"/>
        <w:jc w:val="both"/>
        <w:rPr>
          <w:rFonts w:ascii="Palatino Linotype" w:eastAsia="Calibri" w:hAnsi="Palatino Linotype" w:cs="Arial"/>
          <w:lang w:val="es-ES"/>
        </w:rPr>
      </w:pPr>
    </w:p>
    <w:p w14:paraId="5E57875D" w14:textId="77777777" w:rsidR="004C3391" w:rsidRPr="0043349B" w:rsidRDefault="004C3391" w:rsidP="004C3391">
      <w:pPr>
        <w:tabs>
          <w:tab w:val="left" w:pos="8080"/>
        </w:tabs>
        <w:spacing w:line="360" w:lineRule="auto"/>
        <w:ind w:right="49"/>
        <w:contextualSpacing/>
        <w:jc w:val="both"/>
        <w:rPr>
          <w:rFonts w:ascii="Palatino Linotype" w:eastAsia="Palatino Linotype" w:hAnsi="Palatino Linotype" w:cs="Palatino Linotype"/>
          <w:b/>
        </w:rPr>
      </w:pPr>
      <w:r w:rsidRPr="0043349B">
        <w:rPr>
          <w:rFonts w:ascii="Palatino Linotype" w:eastAsia="Palatino Linotype" w:hAnsi="Palatino Linotype" w:cs="Palatino Linotype"/>
          <w:b/>
        </w:rPr>
        <w:t xml:space="preserve">TERCERO. Notifíquese </w:t>
      </w:r>
      <w:r w:rsidRPr="0043349B">
        <w:rPr>
          <w:rFonts w:ascii="Palatino Linotype" w:eastAsia="Palatino Linotype" w:hAnsi="Palatino Linotype" w:cs="Palatino Linotype"/>
        </w:rPr>
        <w:t xml:space="preserve">al Titular de la Unidad de Transparencia del </w:t>
      </w:r>
      <w:r w:rsidRPr="0043349B">
        <w:rPr>
          <w:rFonts w:ascii="Palatino Linotype" w:eastAsia="Palatino Linotype" w:hAnsi="Palatino Linotype" w:cs="Palatino Linotype"/>
          <w:b/>
        </w:rPr>
        <w:t>SUJETO OBLIGADO</w:t>
      </w:r>
      <w:r w:rsidRPr="0043349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3349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F0D453" w14:textId="77777777" w:rsidR="004C3391" w:rsidRPr="0043349B" w:rsidRDefault="004C3391" w:rsidP="004C3391">
      <w:pPr>
        <w:shd w:val="clear" w:color="auto" w:fill="FFFFFF"/>
        <w:spacing w:line="360" w:lineRule="auto"/>
        <w:jc w:val="both"/>
        <w:rPr>
          <w:rFonts w:ascii="Palatino Linotype" w:eastAsia="Times New Roman" w:hAnsi="Palatino Linotype" w:cs="Arial"/>
          <w:b/>
        </w:rPr>
      </w:pPr>
    </w:p>
    <w:p w14:paraId="580E5050" w14:textId="49E8E321" w:rsidR="004C3391" w:rsidRPr="0043349B" w:rsidRDefault="004C3391" w:rsidP="004C3391">
      <w:pPr>
        <w:shd w:val="clear" w:color="auto" w:fill="FFFFFF"/>
        <w:spacing w:line="360" w:lineRule="auto"/>
        <w:jc w:val="both"/>
        <w:rPr>
          <w:rFonts w:ascii="Palatino Linotype" w:hAnsi="Palatino Linotype"/>
          <w:b/>
        </w:rPr>
      </w:pPr>
      <w:r w:rsidRPr="0043349B">
        <w:rPr>
          <w:rFonts w:ascii="Palatino Linotype" w:eastAsia="Times New Roman" w:hAnsi="Palatino Linotype" w:cs="Arial"/>
          <w:b/>
        </w:rPr>
        <w:t xml:space="preserve">CUARTO. </w:t>
      </w:r>
      <w:r w:rsidRPr="0043349B">
        <w:rPr>
          <w:rFonts w:ascii="Palatino Linotype" w:eastAsia="Times New Roman" w:hAnsi="Palatino Linotype" w:cs="Times New Roman"/>
          <w:b/>
          <w:bCs/>
          <w:color w:val="222222"/>
          <w:lang w:val="es-ES"/>
        </w:rPr>
        <w:t>Notifíquese a</w:t>
      </w:r>
      <w:r w:rsidRPr="0043349B">
        <w:rPr>
          <w:rFonts w:ascii="Palatino Linotype" w:hAnsi="Palatino Linotype"/>
          <w:b/>
        </w:rPr>
        <w:t xml:space="preserve"> </w:t>
      </w:r>
      <w:r w:rsidR="00C601D7" w:rsidRPr="00C601D7">
        <w:rPr>
          <w:rFonts w:ascii="Palatino Linotype" w:hAnsi="Palatino Linotype"/>
          <w:b/>
          <w:highlight w:val="black"/>
        </w:rPr>
        <w:t>--------------------------------</w:t>
      </w:r>
      <w:r w:rsidRPr="0043349B">
        <w:rPr>
          <w:rFonts w:ascii="Palatino Linotype" w:hAnsi="Palatino Linotype"/>
          <w:b/>
          <w:szCs w:val="22"/>
        </w:rPr>
        <w:t xml:space="preserve"> </w:t>
      </w:r>
      <w:r w:rsidRPr="0043349B">
        <w:rPr>
          <w:rFonts w:ascii="Palatino Linotype" w:hAnsi="Palatino Linotype"/>
        </w:rPr>
        <w:t>la presente resolución y su informe justificado.</w:t>
      </w:r>
    </w:p>
    <w:p w14:paraId="382BF6F0" w14:textId="77777777" w:rsidR="004C3391" w:rsidRPr="0043349B" w:rsidRDefault="004C3391" w:rsidP="004C3391">
      <w:pPr>
        <w:shd w:val="clear" w:color="auto" w:fill="FFFFFF"/>
        <w:spacing w:line="360" w:lineRule="auto"/>
        <w:jc w:val="both"/>
        <w:rPr>
          <w:rFonts w:ascii="Palatino Linotype" w:hAnsi="Palatino Linotype"/>
        </w:rPr>
      </w:pPr>
    </w:p>
    <w:p w14:paraId="09AD21EB" w14:textId="67A4DD22" w:rsidR="004C3391" w:rsidRDefault="004C3391" w:rsidP="004C3391">
      <w:pPr>
        <w:shd w:val="clear" w:color="auto" w:fill="FFFFFF"/>
        <w:spacing w:line="360" w:lineRule="auto"/>
        <w:jc w:val="both"/>
        <w:rPr>
          <w:rFonts w:ascii="Palatino Linotype" w:eastAsia="MS Mincho" w:hAnsi="Palatino Linotype" w:cs="Times New Roman"/>
          <w:lang w:val="es-ES"/>
        </w:rPr>
      </w:pPr>
      <w:r w:rsidRPr="0043349B">
        <w:rPr>
          <w:rFonts w:ascii="Palatino Linotype" w:eastAsia="MS Mincho" w:hAnsi="Palatino Linotype" w:cs="Times New Roman"/>
          <w:b/>
          <w:lang w:val="es-MX"/>
        </w:rPr>
        <w:t>QUINTO.</w:t>
      </w:r>
      <w:r w:rsidRPr="0043349B">
        <w:rPr>
          <w:rFonts w:ascii="Palatino Linotype" w:eastAsia="MS Mincho" w:hAnsi="Palatino Linotype" w:cs="Times New Roman"/>
          <w:lang w:val="es-MX"/>
        </w:rPr>
        <w:t xml:space="preserve"> </w:t>
      </w:r>
      <w:r w:rsidRPr="0043349B">
        <w:rPr>
          <w:rFonts w:ascii="Palatino Linotype" w:eastAsia="MS Mincho" w:hAnsi="Palatino Linotype" w:cs="Times New Roman"/>
          <w:lang w:val="es-ES"/>
        </w:rPr>
        <w:t xml:space="preserve">Se hace del conocimiento de </w:t>
      </w:r>
      <w:r w:rsidR="00C601D7" w:rsidRPr="00C601D7">
        <w:rPr>
          <w:rFonts w:ascii="Palatino Linotype" w:hAnsi="Palatino Linotype"/>
          <w:b/>
          <w:highlight w:val="black"/>
        </w:rPr>
        <w:t>---------------------------------</w:t>
      </w:r>
      <w:r w:rsidRPr="0043349B">
        <w:rPr>
          <w:rFonts w:ascii="Palatino Linotype" w:hAnsi="Palatino Linotype"/>
          <w:b/>
          <w:szCs w:val="22"/>
        </w:rPr>
        <w:t xml:space="preserve"> </w:t>
      </w:r>
      <w:r w:rsidRPr="0043349B">
        <w:rPr>
          <w:rFonts w:ascii="Palatino Linotype" w:eastAsia="MS Mincho" w:hAnsi="Palatino Linotype" w:cs="Times New Roman"/>
          <w:lang w:val="es-ES"/>
        </w:rPr>
        <w:t xml:space="preserve">que, de conformidad con lo establecido en el artículo 196 de la Ley de Transparencia y </w:t>
      </w:r>
      <w:r w:rsidRPr="0043349B">
        <w:rPr>
          <w:rFonts w:ascii="Palatino Linotype" w:eastAsia="MS Mincho" w:hAnsi="Palatino Linotype" w:cs="Times New Roman"/>
          <w:lang w:val="es-ES"/>
        </w:rPr>
        <w:lastRenderedPageBreak/>
        <w:t xml:space="preserve">Acceso a la Información Pública del Estado de México y Municipios, en caso de que considere que la resolución le cause algún perjuicio podrá impugnarla </w:t>
      </w:r>
      <w:r w:rsidRPr="0043349B">
        <w:rPr>
          <w:rFonts w:ascii="Palatino Linotype" w:eastAsia="MS Mincho" w:hAnsi="Palatino Linotype" w:cs="Times New Roman"/>
          <w:bCs/>
          <w:lang w:val="es-ES"/>
        </w:rPr>
        <w:t>vía juicio de amparo</w:t>
      </w:r>
      <w:r w:rsidRPr="0043349B">
        <w:rPr>
          <w:rFonts w:ascii="Palatino Linotype" w:eastAsia="MS Mincho" w:hAnsi="Palatino Linotype" w:cs="Times New Roman"/>
          <w:lang w:val="es-ES"/>
        </w:rPr>
        <w:t> en los términos de las leyes aplicables.</w:t>
      </w:r>
    </w:p>
    <w:p w14:paraId="1E977FA5" w14:textId="77777777" w:rsidR="0043349B" w:rsidRPr="0043349B" w:rsidRDefault="0043349B" w:rsidP="004C3391">
      <w:pPr>
        <w:shd w:val="clear" w:color="auto" w:fill="FFFFFF"/>
        <w:spacing w:line="360" w:lineRule="auto"/>
        <w:jc w:val="both"/>
        <w:rPr>
          <w:rFonts w:ascii="Palatino Linotype" w:hAnsi="Palatino Linotype"/>
          <w:b/>
        </w:rPr>
      </w:pPr>
    </w:p>
    <w:bookmarkEnd w:id="0"/>
    <w:bookmarkEnd w:id="1"/>
    <w:bookmarkEnd w:id="2"/>
    <w:bookmarkEnd w:id="3"/>
    <w:p w14:paraId="1F179EB8" w14:textId="77777777" w:rsidR="0043349B" w:rsidRDefault="0043349B" w:rsidP="0043349B">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6830A8B9" w14:textId="1BB617F1" w:rsidR="0043349B" w:rsidRDefault="0043349B" w:rsidP="0043349B">
      <w:pPr>
        <w:tabs>
          <w:tab w:val="left" w:pos="0"/>
        </w:tabs>
        <w:spacing w:line="360" w:lineRule="auto"/>
        <w:ind w:right="49"/>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66432" behindDoc="0" locked="0" layoutInCell="1" allowOverlap="1" wp14:anchorId="33C132B2" wp14:editId="140AF142">
                <wp:simplePos x="0" y="0"/>
                <wp:positionH relativeFrom="column">
                  <wp:posOffset>120015</wp:posOffset>
                </wp:positionH>
                <wp:positionV relativeFrom="paragraph">
                  <wp:posOffset>147320</wp:posOffset>
                </wp:positionV>
                <wp:extent cx="5543550" cy="280035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543550" cy="2800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780C4E" id="Conector recto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45pt,11.6pt" to="445.95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" strokecolor="#4f81bd [3204]" strokeweight="2pt">
                <v:shadow on="t" color="black" opacity="24903f" origin=",.5" offset="0,.55556mm"/>
              </v:line>
            </w:pict>
          </mc:Fallback>
        </mc:AlternateContent>
      </w:r>
    </w:p>
    <w:p w14:paraId="2DC59DAC" w14:textId="77777777" w:rsidR="0043349B" w:rsidRDefault="0043349B" w:rsidP="0043349B">
      <w:pPr>
        <w:tabs>
          <w:tab w:val="left" w:pos="0"/>
        </w:tabs>
        <w:spacing w:line="360" w:lineRule="auto"/>
        <w:ind w:right="49"/>
        <w:jc w:val="both"/>
        <w:rPr>
          <w:rFonts w:ascii="Palatino Linotype" w:hAnsi="Palatino Linotype" w:cs="Arial"/>
          <w:sz w:val="22"/>
        </w:rPr>
      </w:pPr>
    </w:p>
    <w:p w14:paraId="113E8882" w14:textId="77777777" w:rsidR="0043349B" w:rsidRDefault="0043349B" w:rsidP="0043349B">
      <w:pPr>
        <w:tabs>
          <w:tab w:val="left" w:pos="0"/>
        </w:tabs>
        <w:spacing w:line="360" w:lineRule="auto"/>
        <w:ind w:right="49"/>
        <w:jc w:val="both"/>
        <w:rPr>
          <w:rFonts w:ascii="Palatino Linotype" w:hAnsi="Palatino Linotype" w:cs="Arial"/>
          <w:sz w:val="22"/>
        </w:rPr>
      </w:pPr>
    </w:p>
    <w:p w14:paraId="27079F79" w14:textId="77777777" w:rsidR="0043349B" w:rsidRDefault="0043349B" w:rsidP="0043349B">
      <w:pPr>
        <w:tabs>
          <w:tab w:val="left" w:pos="0"/>
        </w:tabs>
        <w:spacing w:line="360" w:lineRule="auto"/>
        <w:ind w:right="49"/>
        <w:jc w:val="both"/>
        <w:rPr>
          <w:rFonts w:ascii="Palatino Linotype" w:hAnsi="Palatino Linotype" w:cs="Arial"/>
          <w:sz w:val="22"/>
        </w:rPr>
      </w:pPr>
    </w:p>
    <w:p w14:paraId="6A7D99EE" w14:textId="77777777" w:rsidR="0043349B" w:rsidRDefault="0043349B" w:rsidP="0043349B">
      <w:pPr>
        <w:tabs>
          <w:tab w:val="left" w:pos="0"/>
        </w:tabs>
        <w:spacing w:line="360" w:lineRule="auto"/>
        <w:ind w:right="49"/>
        <w:jc w:val="both"/>
        <w:rPr>
          <w:rFonts w:ascii="Palatino Linotype" w:hAnsi="Palatino Linotype" w:cs="Arial"/>
          <w:sz w:val="22"/>
        </w:rPr>
      </w:pPr>
    </w:p>
    <w:p w14:paraId="6F872968" w14:textId="77777777" w:rsidR="0043349B" w:rsidRDefault="0043349B" w:rsidP="0043349B">
      <w:pPr>
        <w:tabs>
          <w:tab w:val="left" w:pos="0"/>
        </w:tabs>
        <w:spacing w:line="360" w:lineRule="auto"/>
        <w:ind w:right="49"/>
        <w:jc w:val="both"/>
        <w:rPr>
          <w:rFonts w:ascii="Palatino Linotype" w:hAnsi="Palatino Linotype" w:cs="Arial"/>
          <w:sz w:val="22"/>
        </w:rPr>
      </w:pPr>
    </w:p>
    <w:p w14:paraId="1DE5BB26" w14:textId="77777777" w:rsidR="0043349B" w:rsidRDefault="0043349B" w:rsidP="0043349B">
      <w:pPr>
        <w:tabs>
          <w:tab w:val="left" w:pos="0"/>
        </w:tabs>
        <w:spacing w:line="360" w:lineRule="auto"/>
        <w:ind w:right="49"/>
        <w:jc w:val="both"/>
        <w:rPr>
          <w:rFonts w:ascii="Palatino Linotype" w:hAnsi="Palatino Linotype" w:cs="Arial"/>
          <w:sz w:val="22"/>
        </w:rPr>
      </w:pPr>
    </w:p>
    <w:p w14:paraId="13C9DDD7" w14:textId="77777777" w:rsidR="0043349B" w:rsidRDefault="0043349B" w:rsidP="0043349B">
      <w:pPr>
        <w:tabs>
          <w:tab w:val="left" w:pos="0"/>
        </w:tabs>
        <w:spacing w:line="360" w:lineRule="auto"/>
        <w:ind w:right="49"/>
        <w:jc w:val="both"/>
        <w:rPr>
          <w:rFonts w:ascii="Palatino Linotype" w:hAnsi="Palatino Linotype" w:cs="Arial"/>
          <w:sz w:val="22"/>
        </w:rPr>
      </w:pPr>
    </w:p>
    <w:p w14:paraId="42504F42" w14:textId="77777777" w:rsidR="0043349B" w:rsidRDefault="0043349B" w:rsidP="0043349B">
      <w:pPr>
        <w:tabs>
          <w:tab w:val="left" w:pos="0"/>
        </w:tabs>
        <w:spacing w:line="360" w:lineRule="auto"/>
        <w:ind w:right="49"/>
        <w:jc w:val="both"/>
        <w:rPr>
          <w:rFonts w:ascii="Palatino Linotype" w:hAnsi="Palatino Linotype" w:cs="Arial"/>
          <w:sz w:val="22"/>
        </w:rPr>
      </w:pPr>
    </w:p>
    <w:p w14:paraId="2F4C74D7" w14:textId="77777777" w:rsidR="0043349B" w:rsidRDefault="0043349B" w:rsidP="0043349B">
      <w:pPr>
        <w:tabs>
          <w:tab w:val="left" w:pos="0"/>
        </w:tabs>
        <w:spacing w:line="360" w:lineRule="auto"/>
        <w:ind w:right="49"/>
        <w:jc w:val="both"/>
        <w:rPr>
          <w:rFonts w:ascii="Palatino Linotype" w:hAnsi="Palatino Linotype" w:cs="Arial"/>
          <w:sz w:val="22"/>
        </w:rPr>
      </w:pPr>
    </w:p>
    <w:p w14:paraId="232B31E7" w14:textId="77777777" w:rsidR="0043349B" w:rsidRDefault="0043349B" w:rsidP="0043349B">
      <w:pPr>
        <w:tabs>
          <w:tab w:val="left" w:pos="0"/>
        </w:tabs>
        <w:spacing w:line="360" w:lineRule="auto"/>
        <w:ind w:right="49"/>
        <w:jc w:val="both"/>
        <w:rPr>
          <w:rFonts w:ascii="Palatino Linotype" w:hAnsi="Palatino Linotype" w:cs="Arial"/>
          <w:sz w:val="22"/>
        </w:rPr>
      </w:pPr>
    </w:p>
    <w:p w14:paraId="4B261D92" w14:textId="77777777" w:rsidR="0043349B" w:rsidRDefault="0043349B" w:rsidP="0043349B">
      <w:pPr>
        <w:tabs>
          <w:tab w:val="left" w:pos="0"/>
        </w:tabs>
        <w:spacing w:line="360" w:lineRule="auto"/>
        <w:ind w:right="49"/>
        <w:jc w:val="both"/>
        <w:rPr>
          <w:rFonts w:ascii="Palatino Linotype" w:hAnsi="Palatino Linotype" w:cs="Arial"/>
          <w:sz w:val="22"/>
        </w:rPr>
      </w:pPr>
    </w:p>
    <w:p w14:paraId="02D61E2A" w14:textId="77777777" w:rsidR="0043349B" w:rsidRDefault="0043349B" w:rsidP="0043349B">
      <w:pPr>
        <w:tabs>
          <w:tab w:val="left" w:pos="0"/>
        </w:tabs>
        <w:spacing w:line="360" w:lineRule="auto"/>
        <w:ind w:right="49"/>
        <w:jc w:val="both"/>
        <w:rPr>
          <w:rFonts w:ascii="Palatino Linotype" w:hAnsi="Palatino Linotype" w:cs="Arial"/>
          <w:sz w:val="22"/>
        </w:rPr>
      </w:pPr>
    </w:p>
    <w:p w14:paraId="6B4FD2AC" w14:textId="77777777" w:rsidR="0043349B" w:rsidRDefault="0043349B" w:rsidP="0043349B">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43349B" w14:paraId="7EE48118" w14:textId="77777777" w:rsidTr="0043349B">
        <w:trPr>
          <w:jc w:val="center"/>
        </w:trPr>
        <w:tc>
          <w:tcPr>
            <w:tcW w:w="9918" w:type="dxa"/>
            <w:gridSpan w:val="2"/>
            <w:hideMark/>
          </w:tcPr>
          <w:p w14:paraId="10493BCA"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64876E60"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3AA24958"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43349B" w14:paraId="5AEF21B0" w14:textId="77777777" w:rsidTr="0043349B">
        <w:trPr>
          <w:jc w:val="center"/>
        </w:trPr>
        <w:tc>
          <w:tcPr>
            <w:tcW w:w="4905" w:type="dxa"/>
          </w:tcPr>
          <w:p w14:paraId="1F39648A" w14:textId="77777777" w:rsidR="0043349B" w:rsidRDefault="0043349B">
            <w:pPr>
              <w:tabs>
                <w:tab w:val="left" w:pos="0"/>
              </w:tabs>
              <w:spacing w:line="254" w:lineRule="auto"/>
              <w:rPr>
                <w:rFonts w:ascii="Palatino Linotype" w:hAnsi="Palatino Linotype" w:cs="Arial"/>
                <w:b/>
              </w:rPr>
            </w:pPr>
          </w:p>
          <w:p w14:paraId="77D2CE7B" w14:textId="77777777" w:rsidR="0043349B" w:rsidRDefault="0043349B">
            <w:pPr>
              <w:tabs>
                <w:tab w:val="left" w:pos="0"/>
              </w:tabs>
              <w:spacing w:line="254" w:lineRule="auto"/>
              <w:rPr>
                <w:rFonts w:ascii="Palatino Linotype" w:hAnsi="Palatino Linotype" w:cs="Arial"/>
                <w:b/>
              </w:rPr>
            </w:pPr>
          </w:p>
          <w:p w14:paraId="6D484868" w14:textId="77777777" w:rsidR="0043349B" w:rsidRDefault="0043349B">
            <w:pPr>
              <w:tabs>
                <w:tab w:val="left" w:pos="0"/>
              </w:tabs>
              <w:spacing w:line="254" w:lineRule="auto"/>
              <w:rPr>
                <w:rFonts w:ascii="Palatino Linotype" w:hAnsi="Palatino Linotype" w:cs="Arial"/>
                <w:b/>
              </w:rPr>
            </w:pPr>
          </w:p>
          <w:p w14:paraId="090EA436" w14:textId="77777777" w:rsidR="0043349B" w:rsidRDefault="0043349B">
            <w:pPr>
              <w:tabs>
                <w:tab w:val="left" w:pos="0"/>
              </w:tabs>
              <w:spacing w:line="254" w:lineRule="auto"/>
              <w:rPr>
                <w:rFonts w:ascii="Palatino Linotype" w:hAnsi="Palatino Linotype" w:cs="Arial"/>
                <w:b/>
              </w:rPr>
            </w:pPr>
          </w:p>
          <w:p w14:paraId="11BE6AC9"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1135937" w14:textId="77777777" w:rsidR="0043349B" w:rsidRDefault="0043349B">
            <w:pPr>
              <w:tabs>
                <w:tab w:val="left" w:pos="0"/>
              </w:tabs>
              <w:spacing w:line="254" w:lineRule="auto"/>
              <w:jc w:val="center"/>
              <w:rPr>
                <w:rFonts w:ascii="Palatino Linotype" w:hAnsi="Palatino Linotype" w:cs="Arial"/>
              </w:rPr>
            </w:pPr>
            <w:r>
              <w:rPr>
                <w:rFonts w:ascii="Palatino Linotype" w:hAnsi="Palatino Linotype" w:cs="Arial"/>
              </w:rPr>
              <w:t>Comisionada</w:t>
            </w:r>
          </w:p>
          <w:p w14:paraId="6E5275A9"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6C78B6B3" w14:textId="77777777" w:rsidR="0043349B" w:rsidRDefault="0043349B">
            <w:pPr>
              <w:tabs>
                <w:tab w:val="left" w:pos="0"/>
              </w:tabs>
              <w:spacing w:line="254" w:lineRule="auto"/>
              <w:rPr>
                <w:rFonts w:ascii="Palatino Linotype" w:hAnsi="Palatino Linotype" w:cs="Arial"/>
                <w:b/>
              </w:rPr>
            </w:pPr>
          </w:p>
          <w:p w14:paraId="6E05D6DA" w14:textId="77777777" w:rsidR="0043349B" w:rsidRDefault="0043349B">
            <w:pPr>
              <w:tabs>
                <w:tab w:val="left" w:pos="0"/>
              </w:tabs>
              <w:spacing w:line="254" w:lineRule="auto"/>
              <w:rPr>
                <w:rFonts w:ascii="Palatino Linotype" w:hAnsi="Palatino Linotype" w:cs="Arial"/>
                <w:b/>
              </w:rPr>
            </w:pPr>
          </w:p>
          <w:p w14:paraId="711063B3" w14:textId="77777777" w:rsidR="0043349B" w:rsidRDefault="0043349B">
            <w:pPr>
              <w:tabs>
                <w:tab w:val="left" w:pos="0"/>
              </w:tabs>
              <w:spacing w:line="254" w:lineRule="auto"/>
              <w:rPr>
                <w:rFonts w:ascii="Palatino Linotype" w:hAnsi="Palatino Linotype" w:cs="Arial"/>
                <w:b/>
              </w:rPr>
            </w:pPr>
          </w:p>
          <w:p w14:paraId="1CCDC9A2" w14:textId="77777777" w:rsidR="0043349B" w:rsidRDefault="0043349B">
            <w:pPr>
              <w:tabs>
                <w:tab w:val="left" w:pos="0"/>
              </w:tabs>
              <w:spacing w:line="254" w:lineRule="auto"/>
              <w:rPr>
                <w:rFonts w:ascii="Palatino Linotype" w:hAnsi="Palatino Linotype" w:cs="Arial"/>
                <w:b/>
              </w:rPr>
            </w:pPr>
          </w:p>
          <w:p w14:paraId="1DBD0C38"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788A74F1" w14:textId="77777777" w:rsidR="0043349B" w:rsidRDefault="0043349B">
            <w:pPr>
              <w:tabs>
                <w:tab w:val="left" w:pos="0"/>
              </w:tabs>
              <w:spacing w:line="254" w:lineRule="auto"/>
              <w:jc w:val="center"/>
              <w:rPr>
                <w:rFonts w:ascii="Palatino Linotype" w:hAnsi="Palatino Linotype" w:cs="Arial"/>
              </w:rPr>
            </w:pPr>
            <w:r>
              <w:rPr>
                <w:rFonts w:ascii="Palatino Linotype" w:hAnsi="Palatino Linotype" w:cs="Arial"/>
              </w:rPr>
              <w:t>Comisionado</w:t>
            </w:r>
          </w:p>
          <w:p w14:paraId="72B52F05"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2BD9BB31" w14:textId="77777777" w:rsidR="0043349B" w:rsidRDefault="0043349B">
            <w:pPr>
              <w:tabs>
                <w:tab w:val="left" w:pos="0"/>
              </w:tabs>
              <w:spacing w:line="254" w:lineRule="auto"/>
              <w:jc w:val="center"/>
              <w:rPr>
                <w:rFonts w:ascii="Palatino Linotype" w:hAnsi="Palatino Linotype" w:cs="Arial"/>
                <w:b/>
              </w:rPr>
            </w:pPr>
          </w:p>
        </w:tc>
      </w:tr>
      <w:tr w:rsidR="0043349B" w14:paraId="7811E8FE" w14:textId="77777777" w:rsidTr="0043349B">
        <w:trPr>
          <w:jc w:val="center"/>
        </w:trPr>
        <w:tc>
          <w:tcPr>
            <w:tcW w:w="4905" w:type="dxa"/>
          </w:tcPr>
          <w:p w14:paraId="22EC4371" w14:textId="77777777" w:rsidR="0043349B" w:rsidRDefault="0043349B">
            <w:pPr>
              <w:tabs>
                <w:tab w:val="left" w:pos="0"/>
              </w:tabs>
              <w:spacing w:line="254" w:lineRule="auto"/>
              <w:rPr>
                <w:rFonts w:ascii="Palatino Linotype" w:hAnsi="Palatino Linotype" w:cs="Arial"/>
                <w:b/>
              </w:rPr>
            </w:pPr>
          </w:p>
          <w:p w14:paraId="5CE40C1B" w14:textId="77777777" w:rsidR="0043349B" w:rsidRDefault="0043349B">
            <w:pPr>
              <w:tabs>
                <w:tab w:val="left" w:pos="0"/>
              </w:tabs>
              <w:spacing w:line="254" w:lineRule="auto"/>
              <w:rPr>
                <w:rFonts w:ascii="Palatino Linotype" w:hAnsi="Palatino Linotype" w:cs="Arial"/>
                <w:b/>
              </w:rPr>
            </w:pPr>
          </w:p>
          <w:p w14:paraId="33B161A5" w14:textId="77777777" w:rsidR="0043349B" w:rsidRDefault="0043349B">
            <w:pPr>
              <w:tabs>
                <w:tab w:val="left" w:pos="0"/>
              </w:tabs>
              <w:spacing w:line="254" w:lineRule="auto"/>
              <w:rPr>
                <w:rFonts w:ascii="Palatino Linotype" w:hAnsi="Palatino Linotype" w:cs="Arial"/>
                <w:b/>
              </w:rPr>
            </w:pPr>
          </w:p>
          <w:p w14:paraId="36FBB7C1" w14:textId="77777777" w:rsidR="0043349B" w:rsidRDefault="0043349B">
            <w:pPr>
              <w:tabs>
                <w:tab w:val="left" w:pos="0"/>
              </w:tabs>
              <w:spacing w:line="254" w:lineRule="auto"/>
              <w:rPr>
                <w:rFonts w:ascii="Palatino Linotype" w:hAnsi="Palatino Linotype" w:cs="Arial"/>
                <w:b/>
              </w:rPr>
            </w:pPr>
          </w:p>
          <w:p w14:paraId="71C54585"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3808FA6D" w14:textId="77777777" w:rsidR="0043349B" w:rsidRDefault="0043349B">
            <w:pPr>
              <w:tabs>
                <w:tab w:val="left" w:pos="0"/>
              </w:tabs>
              <w:spacing w:line="254" w:lineRule="auto"/>
              <w:jc w:val="center"/>
              <w:rPr>
                <w:rFonts w:ascii="Palatino Linotype" w:hAnsi="Palatino Linotype" w:cs="Arial"/>
              </w:rPr>
            </w:pPr>
            <w:r>
              <w:rPr>
                <w:rFonts w:ascii="Palatino Linotype" w:hAnsi="Palatino Linotype" w:cs="Arial"/>
              </w:rPr>
              <w:t>Comisionado</w:t>
            </w:r>
          </w:p>
          <w:p w14:paraId="4B7BEBDB"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6C141C9A" w14:textId="77777777" w:rsidR="0043349B" w:rsidRDefault="0043349B">
            <w:pPr>
              <w:tabs>
                <w:tab w:val="left" w:pos="0"/>
              </w:tabs>
              <w:spacing w:line="254" w:lineRule="auto"/>
              <w:rPr>
                <w:rFonts w:ascii="Palatino Linotype" w:hAnsi="Palatino Linotype" w:cs="Arial"/>
                <w:b/>
              </w:rPr>
            </w:pPr>
          </w:p>
          <w:p w14:paraId="5A9A3D4D" w14:textId="77777777" w:rsidR="0043349B" w:rsidRDefault="0043349B">
            <w:pPr>
              <w:tabs>
                <w:tab w:val="left" w:pos="0"/>
              </w:tabs>
              <w:spacing w:line="254" w:lineRule="auto"/>
              <w:rPr>
                <w:rFonts w:ascii="Palatino Linotype" w:hAnsi="Palatino Linotype" w:cs="Arial"/>
                <w:b/>
              </w:rPr>
            </w:pPr>
          </w:p>
          <w:p w14:paraId="6A2E8877" w14:textId="77777777" w:rsidR="0043349B" w:rsidRDefault="0043349B">
            <w:pPr>
              <w:tabs>
                <w:tab w:val="left" w:pos="0"/>
              </w:tabs>
              <w:spacing w:line="254" w:lineRule="auto"/>
              <w:rPr>
                <w:rFonts w:ascii="Palatino Linotype" w:hAnsi="Palatino Linotype" w:cs="Arial"/>
                <w:b/>
              </w:rPr>
            </w:pPr>
          </w:p>
          <w:p w14:paraId="163620BD" w14:textId="77777777" w:rsidR="0043349B" w:rsidRDefault="0043349B">
            <w:pPr>
              <w:tabs>
                <w:tab w:val="left" w:pos="0"/>
              </w:tabs>
              <w:spacing w:line="254" w:lineRule="auto"/>
              <w:jc w:val="center"/>
              <w:rPr>
                <w:rFonts w:ascii="Palatino Linotype" w:hAnsi="Palatino Linotype" w:cs="Arial"/>
                <w:b/>
              </w:rPr>
            </w:pPr>
          </w:p>
          <w:p w14:paraId="3592AE87"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573E4FE7" w14:textId="77777777" w:rsidR="0043349B" w:rsidRDefault="0043349B">
            <w:pPr>
              <w:tabs>
                <w:tab w:val="left" w:pos="0"/>
              </w:tabs>
              <w:spacing w:line="254" w:lineRule="auto"/>
              <w:jc w:val="center"/>
              <w:rPr>
                <w:rFonts w:ascii="Palatino Linotype" w:hAnsi="Palatino Linotype" w:cs="Arial"/>
              </w:rPr>
            </w:pPr>
            <w:r>
              <w:rPr>
                <w:rFonts w:ascii="Palatino Linotype" w:hAnsi="Palatino Linotype" w:cs="Arial"/>
              </w:rPr>
              <w:t>Comisionado</w:t>
            </w:r>
          </w:p>
          <w:p w14:paraId="0C8C291D"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43349B" w14:paraId="0C8D0133" w14:textId="77777777" w:rsidTr="0043349B">
        <w:trPr>
          <w:jc w:val="center"/>
        </w:trPr>
        <w:tc>
          <w:tcPr>
            <w:tcW w:w="9918" w:type="dxa"/>
            <w:gridSpan w:val="2"/>
          </w:tcPr>
          <w:p w14:paraId="62243F99" w14:textId="77777777" w:rsidR="0043349B" w:rsidRDefault="0043349B">
            <w:pPr>
              <w:tabs>
                <w:tab w:val="left" w:pos="0"/>
              </w:tabs>
              <w:spacing w:line="254" w:lineRule="auto"/>
              <w:rPr>
                <w:rFonts w:ascii="Palatino Linotype" w:hAnsi="Palatino Linotype" w:cs="Arial"/>
                <w:b/>
              </w:rPr>
            </w:pPr>
          </w:p>
          <w:p w14:paraId="23A8BD01" w14:textId="77777777" w:rsidR="0043349B" w:rsidRDefault="0043349B">
            <w:pPr>
              <w:tabs>
                <w:tab w:val="left" w:pos="0"/>
              </w:tabs>
              <w:spacing w:line="254" w:lineRule="auto"/>
              <w:jc w:val="center"/>
              <w:rPr>
                <w:rFonts w:ascii="Palatino Linotype" w:hAnsi="Palatino Linotype" w:cs="Arial"/>
                <w:b/>
              </w:rPr>
            </w:pPr>
          </w:p>
          <w:p w14:paraId="1B67A2D6" w14:textId="77777777" w:rsidR="0043349B" w:rsidRDefault="0043349B">
            <w:pPr>
              <w:tabs>
                <w:tab w:val="left" w:pos="0"/>
              </w:tabs>
              <w:spacing w:line="254" w:lineRule="auto"/>
              <w:jc w:val="center"/>
              <w:rPr>
                <w:rFonts w:ascii="Palatino Linotype" w:hAnsi="Palatino Linotype" w:cs="Arial"/>
                <w:b/>
              </w:rPr>
            </w:pPr>
          </w:p>
          <w:p w14:paraId="71DEAC8D" w14:textId="77777777" w:rsidR="0043349B" w:rsidRDefault="0043349B">
            <w:pPr>
              <w:tabs>
                <w:tab w:val="left" w:pos="0"/>
              </w:tabs>
              <w:spacing w:line="254" w:lineRule="auto"/>
              <w:jc w:val="center"/>
              <w:rPr>
                <w:rFonts w:ascii="Palatino Linotype" w:hAnsi="Palatino Linotype" w:cs="Arial"/>
                <w:b/>
              </w:rPr>
            </w:pPr>
          </w:p>
          <w:p w14:paraId="068EA200" w14:textId="77777777" w:rsidR="0043349B" w:rsidRDefault="0043349B">
            <w:pPr>
              <w:tabs>
                <w:tab w:val="left" w:pos="0"/>
              </w:tabs>
              <w:spacing w:line="254" w:lineRule="auto"/>
              <w:jc w:val="center"/>
              <w:rPr>
                <w:rFonts w:ascii="Palatino Linotype" w:hAnsi="Palatino Linotype" w:cs="Arial"/>
                <w:b/>
              </w:rPr>
            </w:pPr>
          </w:p>
          <w:p w14:paraId="28E98862"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2221DBCA" w14:textId="77777777" w:rsidR="0043349B" w:rsidRDefault="0043349B">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07F9931A" w14:textId="77777777" w:rsidR="0043349B" w:rsidRDefault="0043349B">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1873B036" w14:textId="77777777" w:rsidR="0043349B" w:rsidRDefault="0043349B" w:rsidP="0043349B">
      <w:pPr>
        <w:spacing w:line="360" w:lineRule="auto"/>
        <w:jc w:val="both"/>
        <w:rPr>
          <w:rFonts w:ascii="Palatino Linotype" w:eastAsia="MS Mincho" w:hAnsi="Palatino Linotype" w:cs="Times New Roman"/>
          <w:lang w:val="es-ES"/>
        </w:rPr>
      </w:pPr>
    </w:p>
    <w:p w14:paraId="7F123D16" w14:textId="78981DE0" w:rsidR="004C3391" w:rsidRPr="0043349B" w:rsidRDefault="0043349B" w:rsidP="0043349B">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00888/INFOEM/IP/RR/2020.</w:t>
      </w:r>
    </w:p>
    <w:sectPr w:rsidR="004C3391" w:rsidRPr="0043349B" w:rsidSect="00F801DD">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A8FA" w14:textId="77777777" w:rsidR="00310C31" w:rsidRDefault="00310C31" w:rsidP="00587366">
      <w:r>
        <w:separator/>
      </w:r>
    </w:p>
    <w:p w14:paraId="2C1D3392" w14:textId="77777777" w:rsidR="00310C31" w:rsidRDefault="00310C31"/>
  </w:endnote>
  <w:endnote w:type="continuationSeparator" w:id="0">
    <w:p w14:paraId="5C442EB0" w14:textId="77777777" w:rsidR="00310C31" w:rsidRDefault="00310C31" w:rsidP="00587366">
      <w:r>
        <w:continuationSeparator/>
      </w:r>
    </w:p>
    <w:p w14:paraId="3EBFEAAF" w14:textId="77777777" w:rsidR="00310C31" w:rsidRDefault="00310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748E7" w:rsidRDefault="00C748E7"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0D0C">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0D0C">
              <w:rPr>
                <w:rFonts w:ascii="Palatino Linotype" w:hAnsi="Palatino Linotype"/>
                <w:b/>
                <w:bCs/>
                <w:noProof/>
                <w:sz w:val="22"/>
                <w:szCs w:val="20"/>
              </w:rPr>
              <w:t>49</w:t>
            </w:r>
            <w:r w:rsidRPr="00883450">
              <w:rPr>
                <w:rFonts w:ascii="Palatino Linotype" w:hAnsi="Palatino Linotype"/>
                <w:b/>
                <w:bCs/>
                <w:sz w:val="22"/>
                <w:szCs w:val="20"/>
              </w:rPr>
              <w:fldChar w:fldCharType="end"/>
            </w:r>
          </w:p>
          <w:p w14:paraId="187818B4" w14:textId="42E0FFCB" w:rsidR="00C748E7" w:rsidRDefault="005E0D0C" w:rsidP="00985DA6">
            <w:pPr>
              <w:pStyle w:val="Piedepgina"/>
              <w:rPr>
                <w:rFonts w:ascii="Palatino Linotype" w:hAnsi="Palatino Linotype"/>
                <w:sz w:val="28"/>
              </w:rPr>
            </w:pPr>
          </w:p>
        </w:sdtContent>
      </w:sdt>
    </w:sdtContent>
  </w:sdt>
  <w:p w14:paraId="1AED78E8" w14:textId="77777777" w:rsidR="00C748E7" w:rsidRDefault="00C748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748E7" w:rsidRPr="00883450" w:rsidRDefault="00C74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7DEE" w:rsidRPr="00707D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7DEE" w:rsidRPr="00707DEE">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C748E7" w:rsidRPr="00883450" w:rsidRDefault="00C748E7">
    <w:pPr>
      <w:pStyle w:val="Piedepgina"/>
      <w:rPr>
        <w:rFonts w:ascii="Palatino Linotype" w:hAnsi="Palatino Linotype"/>
        <w:sz w:val="22"/>
        <w:szCs w:val="22"/>
      </w:rPr>
    </w:pPr>
  </w:p>
  <w:p w14:paraId="2E09EA83" w14:textId="77777777" w:rsidR="00C748E7" w:rsidRDefault="00C748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7BDE0" w14:textId="77777777" w:rsidR="00310C31" w:rsidRDefault="00310C31" w:rsidP="00587366">
      <w:r>
        <w:separator/>
      </w:r>
    </w:p>
    <w:p w14:paraId="528C3435" w14:textId="77777777" w:rsidR="00310C31" w:rsidRDefault="00310C31"/>
  </w:footnote>
  <w:footnote w:type="continuationSeparator" w:id="0">
    <w:p w14:paraId="2838A65F" w14:textId="77777777" w:rsidR="00310C31" w:rsidRDefault="00310C31" w:rsidP="00587366">
      <w:r>
        <w:continuationSeparator/>
      </w:r>
    </w:p>
    <w:p w14:paraId="20535F42" w14:textId="77777777" w:rsidR="00310C31" w:rsidRDefault="00310C31"/>
  </w:footnote>
  <w:footnote w:id="1">
    <w:p w14:paraId="5F6AB0FB" w14:textId="77777777" w:rsidR="00C748E7" w:rsidRDefault="00C748E7" w:rsidP="004C3391">
      <w:pPr>
        <w:pStyle w:val="Textonotapie"/>
      </w:pPr>
      <w:r>
        <w:rPr>
          <w:rStyle w:val="Refdenotaalpie"/>
        </w:rPr>
        <w:footnoteRef/>
      </w:r>
      <w:r>
        <w:t xml:space="preserve"> Convención Americana sobre Derechos Humanos. Artículo 13.</w:t>
      </w:r>
    </w:p>
  </w:footnote>
  <w:footnote w:id="2">
    <w:p w14:paraId="1B146DB2" w14:textId="77777777" w:rsidR="00C748E7" w:rsidRDefault="00C748E7" w:rsidP="004C3391">
      <w:pPr>
        <w:pStyle w:val="Textonotapie"/>
      </w:pPr>
      <w:r>
        <w:rPr>
          <w:rStyle w:val="Refdenotaalpie"/>
        </w:rPr>
        <w:footnoteRef/>
      </w:r>
      <w:r>
        <w:t xml:space="preserve"> Constitución Política de los Estados Unidos Mexicanos. Artículo sexto, sección A, fracción I.</w:t>
      </w:r>
    </w:p>
  </w:footnote>
  <w:footnote w:id="3">
    <w:p w14:paraId="79C0F757" w14:textId="77777777" w:rsidR="00C748E7" w:rsidRDefault="00C748E7" w:rsidP="004C339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DDAEDA" w14:textId="77777777" w:rsidR="00C748E7" w:rsidRDefault="00C748E7" w:rsidP="004C3391">
      <w:pPr>
        <w:pStyle w:val="Textonotapie"/>
      </w:pPr>
      <w:r>
        <w:rPr>
          <w:rStyle w:val="Refdenotaalpie"/>
        </w:rPr>
        <w:footnoteRef/>
      </w:r>
      <w:r>
        <w:t xml:space="preserve"> Ibídem. </w:t>
      </w:r>
      <w:proofErr w:type="spellStart"/>
      <w:r>
        <w:t>Parr</w:t>
      </w:r>
      <w:proofErr w:type="spellEnd"/>
      <w:r>
        <w:t>. 87.</w:t>
      </w:r>
    </w:p>
  </w:footnote>
  <w:footnote w:id="5">
    <w:p w14:paraId="2589D0EA" w14:textId="77777777" w:rsidR="00C748E7" w:rsidRDefault="00C748E7" w:rsidP="004C3391">
      <w:pPr>
        <w:pStyle w:val="Textonotapie"/>
      </w:pPr>
      <w:r w:rsidRPr="00F96CC2">
        <w:rPr>
          <w:rStyle w:val="Refdenotaalpie"/>
          <w:rFonts w:ascii="Palatino Linotype" w:hAnsi="Palatino Linotype"/>
        </w:rPr>
        <w:footnoteRef/>
      </w:r>
      <w:r w:rsidRPr="00F96CC2">
        <w:rPr>
          <w:rFonts w:ascii="Palatino Linotype" w:hAnsi="Palatino Linotype"/>
        </w:rPr>
        <w:t xml:space="preserve"> ROBLES HERNÁNDEZ José Guadalupe. Derecho de la Información y Comunicación Pública. Ed. Universidad de Occidente de México, 2004, pág.72.</w:t>
      </w:r>
    </w:p>
  </w:footnote>
  <w:footnote w:id="6">
    <w:p w14:paraId="33207441" w14:textId="77777777" w:rsidR="00C748E7" w:rsidRPr="001D5FB5" w:rsidRDefault="00C748E7" w:rsidP="004C3391">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7">
    <w:p w14:paraId="7F18B3E2" w14:textId="77777777" w:rsidR="00C748E7" w:rsidRDefault="00C748E7" w:rsidP="004C3391">
      <w:pPr>
        <w:pStyle w:val="Textonotapie"/>
        <w:jc w:val="both"/>
      </w:pPr>
      <w:r>
        <w:rPr>
          <w:rStyle w:val="Refdenotaalpie"/>
        </w:rPr>
        <w:footnoteRef/>
      </w:r>
      <w:r>
        <w:t xml:space="preserve"> Artículo 3 fracción XI de la </w:t>
      </w:r>
      <w:r w:rsidRPr="00182B68">
        <w:t>Ley de Transparencia y Acceso a la Información Pública del Estado de México y Municipios</w:t>
      </w:r>
      <w:r>
        <w:t>.</w:t>
      </w:r>
    </w:p>
  </w:footnote>
  <w:footnote w:id="8">
    <w:p w14:paraId="3D454B1E" w14:textId="54558963" w:rsidR="000522F6" w:rsidRDefault="000522F6" w:rsidP="000522F6">
      <w:pPr>
        <w:pStyle w:val="Textonotapie"/>
        <w:jc w:val="both"/>
      </w:pPr>
      <w:r>
        <w:rPr>
          <w:rStyle w:val="Refdenotaalpie"/>
        </w:rPr>
        <w:footnoteRef/>
      </w:r>
      <w:r>
        <w:t xml:space="preserve"> De conformidad con el artículo 3 fracción XLI de la </w:t>
      </w:r>
      <w:r w:rsidRPr="00182B68">
        <w:t>Ley de Transparencia y Acceso a la Información Pública del Estado de México y Municipios</w:t>
      </w:r>
      <w:r>
        <w:t>, un sujeto obligado es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w:t>
      </w:r>
    </w:p>
  </w:footnote>
  <w:footnote w:id="9">
    <w:p w14:paraId="71B9CFDF" w14:textId="77777777" w:rsidR="00C748E7" w:rsidRDefault="00C748E7" w:rsidP="004C3391">
      <w:pPr>
        <w:pStyle w:val="Textonotapie"/>
      </w:pPr>
      <w:r>
        <w:rPr>
          <w:rStyle w:val="Refdenotaalpie"/>
        </w:rPr>
        <w:footnoteRef/>
      </w:r>
      <w:r>
        <w:t xml:space="preserve"> Artículo 21 de la Constitución Política de los Estados Unidos Mexicanos, en correlación con el artículo 81 de la Constitución Política del Estado Libre y Soberano de México.</w:t>
      </w:r>
    </w:p>
  </w:footnote>
  <w:footnote w:id="10">
    <w:p w14:paraId="00689813" w14:textId="77777777" w:rsidR="00C748E7" w:rsidRDefault="00C748E7" w:rsidP="004C3391">
      <w:pPr>
        <w:pStyle w:val="Textonotapie"/>
      </w:pPr>
      <w:r>
        <w:rPr>
          <w:rStyle w:val="Refdenotaalpie"/>
        </w:rPr>
        <w:footnoteRef/>
      </w:r>
      <w:r>
        <w:t xml:space="preserve"> artículo 83 de la Constitución Política del Estado Libre y Soberano de México.</w:t>
      </w:r>
    </w:p>
    <w:p w14:paraId="479EC055" w14:textId="77777777" w:rsidR="00C748E7" w:rsidRDefault="00C748E7" w:rsidP="004C3391">
      <w:pPr>
        <w:pStyle w:val="Textonotapie"/>
      </w:pPr>
    </w:p>
  </w:footnote>
  <w:footnote w:id="11">
    <w:p w14:paraId="304555E5" w14:textId="77777777" w:rsidR="00C748E7" w:rsidRDefault="00C748E7" w:rsidP="004C3391">
      <w:pPr>
        <w:pStyle w:val="Textonotapie"/>
      </w:pPr>
      <w:r>
        <w:rPr>
          <w:rStyle w:val="Refdenotaalpie"/>
        </w:rPr>
        <w:footnoteRef/>
      </w:r>
      <w:r>
        <w:t xml:space="preserve"> Artículo 119 del </w:t>
      </w:r>
      <w:r w:rsidRPr="00D122F9">
        <w:rPr>
          <w:rFonts w:ascii="Palatino Linotype" w:hAnsi="Palatino Linotype"/>
          <w:b/>
        </w:rPr>
        <w:t>Código Nacional de Procedimientos Penales</w:t>
      </w:r>
      <w:r>
        <w:rPr>
          <w:rFonts w:ascii="Palatino Linotype" w:hAnsi="Palatino Linotype"/>
          <w:b/>
        </w:rPr>
        <w:t>.</w:t>
      </w:r>
    </w:p>
  </w:footnote>
  <w:footnote w:id="12">
    <w:p w14:paraId="6EFD1252" w14:textId="77777777" w:rsidR="00C748E7" w:rsidRDefault="00C748E7" w:rsidP="004C3391">
      <w:pPr>
        <w:pStyle w:val="Textonotapie"/>
        <w:jc w:val="both"/>
      </w:pPr>
      <w:r>
        <w:rPr>
          <w:rStyle w:val="Refdenotaalpie"/>
        </w:rPr>
        <w:footnoteRef/>
      </w:r>
      <w:r>
        <w:t xml:space="preserve"> LUNA Tania, REFORMA DEL SISTEMA DE JUSTICIA PENAL EN MÉXICO, “</w:t>
      </w:r>
      <w:r w:rsidRPr="009D4898">
        <w:rPr>
          <w:i/>
        </w:rPr>
        <w:t>Lo que usted siempre quiso saber acerca de LA ETAPA DE INVESTIGACIÓN</w:t>
      </w:r>
      <w:r>
        <w:t xml:space="preserve">”, Ciudad de México, 2011.Consultable en la página electrónica </w:t>
      </w:r>
      <w:hyperlink r:id="rId1" w:history="1">
        <w:r>
          <w:rPr>
            <w:rStyle w:val="Hipervnculo"/>
          </w:rPr>
          <w:t>https://www.ijf.cjf.gob.mx/Penal/biblioteca/5investigacion/Lo-que-usted-siempre-quiso-saber-sobre-la-etapa-de-investigacion.pdf</w:t>
        </w:r>
      </w:hyperlink>
      <w:r>
        <w:t>.</w:t>
      </w:r>
    </w:p>
  </w:footnote>
  <w:footnote w:id="13">
    <w:p w14:paraId="7DB4D5B6" w14:textId="77777777" w:rsidR="00C748E7" w:rsidRDefault="00C748E7" w:rsidP="004C3391">
      <w:pPr>
        <w:pStyle w:val="Textonotapie"/>
      </w:pPr>
      <w:r>
        <w:rPr>
          <w:rStyle w:val="Refdenotaalpie"/>
        </w:rPr>
        <w:footnoteRef/>
      </w:r>
      <w:r>
        <w:t xml:space="preserve"> Ídem.</w:t>
      </w:r>
    </w:p>
  </w:footnote>
  <w:footnote w:id="14">
    <w:p w14:paraId="1D77A620" w14:textId="77777777" w:rsidR="00C748E7" w:rsidRDefault="00C748E7" w:rsidP="004C3391">
      <w:pPr>
        <w:pStyle w:val="Textonotapie"/>
        <w:jc w:val="both"/>
      </w:pPr>
      <w:r>
        <w:rPr>
          <w:rStyle w:val="Refdenotaalpie"/>
        </w:rPr>
        <w:footnoteRef/>
      </w:r>
      <w:r>
        <w:t xml:space="preserve"> Es un procedimiento anterior al proceso penal, que se lleva a cabo por un órgano del Poder Ejecutivo, ya sea federal o local. Inicia a partir de que el agente del Ministerio Público, como autoridad investigadora, tiene conocimiento, mediante una denuncia o querella de hechos que pueden constituir un delito. Tiene por objeto que el agente del Ministerio Público practique todas las diligencias necesarias a fin de que pueda determinar si procede o no el ejercicio de la acción penal; en consecuencia, lleva a cabo las investigaciones debidas para acreditar el cuerpo del delito y la probable responsabilidad del inculpado. La fase de la averiguación previa comprende desde la denuncia o la querella, hasta el ejercicio de la acción penal con la consignación ante un Juez, la determinación de no ejercicio de aquélla, o bien, la resolución de la reserva.  Glosario de términos, Poder Judicial de la Ciudad de México disponible en </w:t>
      </w:r>
      <w:hyperlink r:id="rId2" w:history="1">
        <w:r>
          <w:rPr>
            <w:rStyle w:val="Hipervnculo"/>
          </w:rPr>
          <w:t>http://www.poderjudicialcdmx.gob.mx/</w:t>
        </w:r>
      </w:hyperlink>
      <w:r>
        <w:t>.</w:t>
      </w:r>
    </w:p>
  </w:footnote>
  <w:footnote w:id="15">
    <w:p w14:paraId="122CC89C" w14:textId="77777777" w:rsidR="00C748E7" w:rsidRDefault="00C748E7" w:rsidP="004C3391">
      <w:pPr>
        <w:pStyle w:val="Textonotapie"/>
      </w:pPr>
      <w:r>
        <w:rPr>
          <w:rStyle w:val="Refdenotaalpie"/>
        </w:rPr>
        <w:footnoteRef/>
      </w:r>
      <w:r>
        <w:t xml:space="preserve"> Es el antecedente de la investigación proveniente de la Procuraduría, es todo registro que sirve de sustento para aportar datos de prueba. Se entenderá por registros de la investigación, todos los documentos que integren la carpeta de investigación, así como fotografías, videos con o sin audio, grabaciones de voz, informes periciales y pruebas periciales que obren en cualquier tipo de soporte o archivo electrónico. (ídem)</w:t>
      </w:r>
    </w:p>
  </w:footnote>
  <w:footnote w:id="16">
    <w:p w14:paraId="5B18B7E0" w14:textId="77777777" w:rsidR="00C748E7" w:rsidRDefault="00C748E7" w:rsidP="004C3391">
      <w:pPr>
        <w:pStyle w:val="Textonotapie"/>
        <w:jc w:val="both"/>
      </w:pPr>
      <w:r>
        <w:rPr>
          <w:rStyle w:val="Refdenotaalpie"/>
        </w:rPr>
        <w:footnoteRef/>
      </w:r>
      <w:r>
        <w:t xml:space="preserve"> </w:t>
      </w:r>
      <w:r w:rsidRPr="00EA321C">
        <w:rPr>
          <w:b/>
        </w:rPr>
        <w:t>FLORES PACHECO</w:t>
      </w:r>
      <w:r>
        <w:t xml:space="preserve"> Moisés Israel, RESTRICCIONES DE ACCESO A LA INFORMACIÓN CONTENIDA EN LOS REGISTROS DE UNA INVESTIGACIÓN PENAL, Comentario al artículo 218 del Código Nacional de Procedimientos Penales, Revista Jurídica número 6-julio a diciembre de 2018, Instituto de Investigaciones Jurídicas, UNAM, México, consultable en la página electrónica </w:t>
      </w:r>
      <w:hyperlink r:id="rId3" w:history="1">
        <w:r>
          <w:rPr>
            <w:rStyle w:val="Hipervnculo"/>
          </w:rPr>
          <w:t>https://revistas.juridicas.unam.mx/index.php/derecho-informacion/article/view/12468/14327</w:t>
        </w:r>
      </w:hyperlink>
      <w:r>
        <w:t>.</w:t>
      </w:r>
    </w:p>
    <w:p w14:paraId="5E52F6D9" w14:textId="77777777" w:rsidR="00C748E7" w:rsidRDefault="00C748E7" w:rsidP="004C3391">
      <w:pPr>
        <w:pStyle w:val="Textonotapie"/>
      </w:pPr>
    </w:p>
  </w:footnote>
  <w:footnote w:id="17">
    <w:p w14:paraId="2FD4C0F1" w14:textId="77777777" w:rsidR="00C748E7" w:rsidRDefault="00C748E7" w:rsidP="004C3391">
      <w:pPr>
        <w:pStyle w:val="Textonotapie"/>
        <w:jc w:val="both"/>
      </w:pPr>
      <w:r>
        <w:rPr>
          <w:rStyle w:val="Refdenotaalpie"/>
        </w:rPr>
        <w:footnoteRef/>
      </w:r>
      <w:r>
        <w:t xml:space="preserve"> Tesis Aislada,</w:t>
      </w:r>
      <w:r w:rsidRPr="00B04F4F">
        <w:t xml:space="preserve"> </w:t>
      </w:r>
      <w:r>
        <w:t>Primera Sala, Décima Época, Núm. de Registro 2003906, publicada en el Semanario Judicial de la Federación y su Gaceta Libro XXII, Julio de 2013, Tomo 1, Tesis:1a. CCXVII/2013 (10a.)Página:533</w:t>
      </w:r>
    </w:p>
  </w:footnote>
  <w:footnote w:id="18">
    <w:p w14:paraId="36769B2A" w14:textId="77777777" w:rsidR="00865075" w:rsidRPr="00ED2A04" w:rsidRDefault="00865075" w:rsidP="00865075">
      <w:pPr>
        <w:pStyle w:val="Textonotapie"/>
        <w:jc w:val="both"/>
        <w:rPr>
          <w:lang w:val="es-ES"/>
        </w:rPr>
      </w:pPr>
      <w:r>
        <w:rPr>
          <w:rStyle w:val="Refdenotaalpie"/>
        </w:rPr>
        <w:footnoteRef/>
      </w:r>
      <w:r>
        <w:t xml:space="preserve"> </w:t>
      </w:r>
      <w:hyperlink r:id="rId4" w:anchor="/entry-id/E216930" w:history="1">
        <w:r w:rsidRPr="00AA2458">
          <w:rPr>
            <w:rStyle w:val="Hipervnculo"/>
          </w:rPr>
          <w:t>http://dej.rae.es/#/entry-id/E216930</w:t>
        </w:r>
      </w:hyperlink>
      <w:r>
        <w:t xml:space="preserve"> </w:t>
      </w:r>
    </w:p>
  </w:footnote>
  <w:footnote w:id="19">
    <w:p w14:paraId="7F2B7598" w14:textId="77777777" w:rsidR="00865075" w:rsidRPr="00ED2A04" w:rsidRDefault="00865075" w:rsidP="00865075">
      <w:pPr>
        <w:pStyle w:val="Textonotapie"/>
        <w:jc w:val="both"/>
        <w:rPr>
          <w:lang w:val="es-ES"/>
        </w:rPr>
      </w:pPr>
      <w:r>
        <w:rPr>
          <w:rStyle w:val="Refdenotaalpie"/>
        </w:rPr>
        <w:footnoteRef/>
      </w:r>
      <w:r>
        <w:t xml:space="preserve"> </w:t>
      </w:r>
      <w:hyperlink r:id="rId5" w:anchor="/entry-id/E87450" w:history="1">
        <w:r w:rsidRPr="00AA2458">
          <w:rPr>
            <w:rStyle w:val="Hipervnculo"/>
          </w:rPr>
          <w:t>http://dej.rae.es/#/entry-id/E87450</w:t>
        </w:r>
      </w:hyperlink>
      <w:r>
        <w:t xml:space="preserve"> </w:t>
      </w:r>
    </w:p>
  </w:footnote>
  <w:footnote w:id="20">
    <w:p w14:paraId="414B322B" w14:textId="77777777" w:rsidR="00865075" w:rsidRPr="000406A4" w:rsidRDefault="00865075" w:rsidP="00865075">
      <w:pPr>
        <w:pStyle w:val="Textonotapie"/>
        <w:jc w:val="both"/>
        <w:rPr>
          <w:lang w:val="es-ES"/>
        </w:rPr>
      </w:pPr>
      <w:r>
        <w:rPr>
          <w:rStyle w:val="Refdenotaalpie"/>
        </w:rPr>
        <w:footnoteRef/>
      </w:r>
      <w:r>
        <w:t xml:space="preserve"> </w:t>
      </w:r>
      <w:hyperlink r:id="rId6" w:history="1">
        <w:r w:rsidRPr="00AA2458">
          <w:rPr>
            <w:rStyle w:val="Hipervnculo"/>
          </w:rPr>
          <w:t>http://dle.rae.es/?id=VGqyuLj|VGtxgAo|VGuc9Wg</w:t>
        </w:r>
      </w:hyperlink>
      <w:r>
        <w:t xml:space="preserve"> </w:t>
      </w:r>
    </w:p>
  </w:footnote>
  <w:footnote w:id="21">
    <w:p w14:paraId="7CD06F76" w14:textId="77777777" w:rsidR="00865075" w:rsidRPr="000406A4" w:rsidRDefault="00865075" w:rsidP="00865075">
      <w:pPr>
        <w:pStyle w:val="Textonotapie"/>
        <w:jc w:val="both"/>
        <w:rPr>
          <w:lang w:val="es-ES"/>
        </w:rPr>
      </w:pPr>
      <w:r>
        <w:rPr>
          <w:rStyle w:val="Refdenotaalpie"/>
        </w:rPr>
        <w:footnoteRef/>
      </w:r>
      <w:r>
        <w:t xml:space="preserve"> </w:t>
      </w:r>
      <w:hyperlink r:id="rId7" w:history="1">
        <w:r w:rsidRPr="00AA2458">
          <w:rPr>
            <w:rStyle w:val="Hipervnculo"/>
          </w:rPr>
          <w:t>http://dle.rae.es/?id=CAjNzMR</w:t>
        </w:r>
      </w:hyperlink>
      <w:r>
        <w:t xml:space="preserve"> </w:t>
      </w:r>
    </w:p>
  </w:footnote>
  <w:footnote w:id="22">
    <w:p w14:paraId="63510BE2" w14:textId="77777777" w:rsidR="00865075" w:rsidRPr="000406A4" w:rsidRDefault="00865075" w:rsidP="00865075">
      <w:pPr>
        <w:pStyle w:val="Textonotapie"/>
        <w:jc w:val="both"/>
        <w:rPr>
          <w:lang w:val="es-ES"/>
        </w:rPr>
      </w:pPr>
      <w:r>
        <w:rPr>
          <w:rStyle w:val="Refdenotaalpie"/>
        </w:rPr>
        <w:footnoteRef/>
      </w:r>
      <w:r>
        <w:t xml:space="preserve"> </w:t>
      </w:r>
      <w:hyperlink r:id="rId8" w:history="1">
        <w:r w:rsidRPr="00AA2458">
          <w:rPr>
            <w:rStyle w:val="Hipervnculo"/>
          </w:rPr>
          <w:t>http://dle.rae.es/?id=CAqWkEB</w:t>
        </w:r>
      </w:hyperlink>
      <w:r>
        <w:t xml:space="preserve"> </w:t>
      </w:r>
    </w:p>
  </w:footnote>
  <w:footnote w:id="23">
    <w:p w14:paraId="3741CD6C" w14:textId="77777777" w:rsidR="00865075" w:rsidRPr="000406A4" w:rsidRDefault="00865075" w:rsidP="00865075">
      <w:pPr>
        <w:pStyle w:val="Textonotapie"/>
        <w:jc w:val="both"/>
        <w:rPr>
          <w:lang w:val="es-ES"/>
        </w:rPr>
      </w:pPr>
      <w:r>
        <w:rPr>
          <w:rStyle w:val="Refdenotaalpie"/>
        </w:rPr>
        <w:footnoteRef/>
      </w:r>
      <w:r>
        <w:t xml:space="preserve"> </w:t>
      </w:r>
      <w:hyperlink r:id="rId9" w:history="1">
        <w:r w:rsidRPr="00AA2458">
          <w:rPr>
            <w:rStyle w:val="Hipervnculo"/>
          </w:rPr>
          <w:t>http://dle.rae.es/?id=KtnHLLd</w:t>
        </w:r>
      </w:hyperlink>
      <w:r>
        <w:t xml:space="preserve"> </w:t>
      </w:r>
    </w:p>
  </w:footnote>
  <w:footnote w:id="24">
    <w:p w14:paraId="7272666C" w14:textId="77777777" w:rsidR="00865075" w:rsidRPr="000406A4" w:rsidRDefault="00865075" w:rsidP="00865075">
      <w:pPr>
        <w:pStyle w:val="Textonotapie"/>
        <w:jc w:val="both"/>
        <w:rPr>
          <w:lang w:val="es-ES"/>
        </w:rPr>
      </w:pPr>
      <w:r>
        <w:rPr>
          <w:rStyle w:val="Refdenotaalpie"/>
        </w:rPr>
        <w:footnoteRef/>
      </w:r>
      <w:r>
        <w:t xml:space="preserve"> </w:t>
      </w:r>
      <w:hyperlink r:id="rId10" w:history="1">
        <w:r w:rsidRPr="00AA2458">
          <w:rPr>
            <w:rStyle w:val="Hipervnculo"/>
          </w:rPr>
          <w:t>http://dle.rae.es/?id=KtpfgjV</w:t>
        </w:r>
      </w:hyperlink>
      <w:r>
        <w:t xml:space="preserve"> </w:t>
      </w:r>
    </w:p>
  </w:footnote>
  <w:footnote w:id="25">
    <w:p w14:paraId="29D0344C" w14:textId="77777777" w:rsidR="00865075" w:rsidRPr="00544A82" w:rsidRDefault="00865075" w:rsidP="00865075">
      <w:pPr>
        <w:jc w:val="both"/>
        <w:rPr>
          <w:rFonts w:asciiTheme="majorHAnsi" w:eastAsia="Times New Roman" w:hAnsiTheme="majorHAnsi"/>
          <w:color w:val="000000" w:themeColor="text1"/>
          <w:sz w:val="20"/>
          <w:szCs w:val="20"/>
          <w:lang w:eastAsia="es-ES_tradnl"/>
        </w:rPr>
      </w:pPr>
      <w:r>
        <w:rPr>
          <w:rStyle w:val="Refdenotaalpie"/>
        </w:rPr>
        <w:footnoteRef/>
      </w:r>
      <w:r>
        <w:t xml:space="preserve"> </w:t>
      </w:r>
      <w:r>
        <w:rPr>
          <w:lang w:val="es-ES"/>
        </w:rPr>
        <w:t>“</w:t>
      </w:r>
      <w:r w:rsidRPr="00544A82">
        <w:rPr>
          <w:rFonts w:asciiTheme="majorHAnsi" w:eastAsia="Times New Roman" w:hAnsiTheme="maj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44A82">
        <w:rPr>
          <w:rFonts w:asciiTheme="majorHAnsi" w:eastAsia="Times New Roman" w:hAnsiTheme="majorHAnsi"/>
          <w:color w:val="000000" w:themeColor="text1"/>
          <w:sz w:val="20"/>
          <w:szCs w:val="20"/>
          <w:lang w:eastAsia="es-ES_tradnl"/>
        </w:rPr>
        <w:t>tests</w:t>
      </w:r>
      <w:proofErr w:type="spellEnd"/>
      <w:r w:rsidRPr="00544A82">
        <w:rPr>
          <w:rFonts w:asciiTheme="majorHAnsi" w:eastAsia="Times New Roman" w:hAnsiTheme="majorHAnsi"/>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44A82">
        <w:rPr>
          <w:rFonts w:asciiTheme="majorHAnsi" w:eastAsia="Times New Roman" w:hAnsiTheme="majorHAnsi"/>
          <w:color w:val="000000" w:themeColor="text1"/>
          <w:sz w:val="20"/>
          <w:szCs w:val="20"/>
          <w:lang w:eastAsia="es-ES_tradnl"/>
        </w:rPr>
        <w:t>Lluy</w:t>
      </w:r>
      <w:proofErr w:type="spellEnd"/>
      <w:r w:rsidRPr="00544A82">
        <w:rPr>
          <w:rFonts w:asciiTheme="majorHAnsi" w:eastAsia="Times New Roman" w:hAnsiTheme="majorHAnsi"/>
          <w:color w:val="000000" w:themeColor="text1"/>
          <w:sz w:val="20"/>
          <w:szCs w:val="20"/>
          <w:lang w:eastAsia="es-ES_tradnl"/>
        </w:rPr>
        <w:t xml:space="preserve"> y otros contra Ecuador. Excepciones preliminares, fondo, reparaciones y costas. Sentencia del 01 de septiembre de 2015. Párr. 256. </w:t>
      </w:r>
    </w:p>
  </w:footnote>
  <w:footnote w:id="26">
    <w:p w14:paraId="33731337" w14:textId="77777777" w:rsidR="00865075" w:rsidRPr="00544A82" w:rsidRDefault="00865075" w:rsidP="00865075">
      <w:pPr>
        <w:pStyle w:val="Textonotapie"/>
        <w:rPr>
          <w:rFonts w:asciiTheme="majorHAnsi" w:hAnsiTheme="majorHAnsi"/>
          <w:lang w:val="es-ES"/>
        </w:rPr>
      </w:pPr>
      <w:r w:rsidRPr="00544A82">
        <w:rPr>
          <w:rStyle w:val="Refdenotaalpie"/>
        </w:rPr>
        <w:footnoteRef/>
      </w:r>
      <w:r w:rsidRPr="00544A82">
        <w:rPr>
          <w:rFonts w:asciiTheme="majorHAnsi" w:hAnsiTheme="majorHAnsi"/>
        </w:rPr>
        <w:t xml:space="preserve"> </w:t>
      </w:r>
      <w:r w:rsidRPr="00544A82">
        <w:rPr>
          <w:rFonts w:asciiTheme="majorHAnsi" w:hAnsiTheme="majorHAnsi"/>
          <w:lang w:val="es-ES"/>
        </w:rPr>
        <w:t>Tribunal Constitucional Alemán. Resolución sobre los soldados son asesinos, de 10 de octubre de 1995 (</w:t>
      </w:r>
      <w:proofErr w:type="spellStart"/>
      <w:r w:rsidRPr="00544A82">
        <w:rPr>
          <w:rFonts w:asciiTheme="majorHAnsi" w:hAnsiTheme="majorHAnsi"/>
          <w:lang w:val="es-ES"/>
        </w:rPr>
        <w:t>BVerfGE</w:t>
      </w:r>
      <w:proofErr w:type="spellEnd"/>
      <w:r w:rsidRPr="00544A82">
        <w:rPr>
          <w:rFonts w:asciiTheme="majorHAnsi" w:hAnsiTheme="majorHAnsi"/>
          <w:lang w:val="es-ES"/>
        </w:rPr>
        <w:t xml:space="preserve"> 93, 266). En ALÁEZ CORRAL, Benito y ÁLVAREZ </w:t>
      </w:r>
      <w:proofErr w:type="spellStart"/>
      <w:r w:rsidRPr="00544A82">
        <w:rPr>
          <w:rFonts w:asciiTheme="majorHAnsi" w:hAnsiTheme="majorHAnsi"/>
          <w:lang w:val="es-ES"/>
        </w:rPr>
        <w:t>ÁLVAREZ</w:t>
      </w:r>
      <w:proofErr w:type="spellEnd"/>
      <w:r w:rsidRPr="00544A82">
        <w:rPr>
          <w:rFonts w:asciiTheme="majorHAnsi" w:hAnsiTheme="majorHAnsi"/>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FF92" w14:textId="33C49C73" w:rsidR="0043349B" w:rsidRDefault="005E0D0C">
    <w:pPr>
      <w:pStyle w:val="Encabezado"/>
    </w:pPr>
    <w:r>
      <w:rPr>
        <w:noProof/>
        <w:lang w:val="es-MX" w:eastAsia="es-MX"/>
      </w:rPr>
      <w:pict w14:anchorId="18B2B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4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B30CDCA" w:rsidR="00C748E7" w:rsidRDefault="005E0D0C">
    <w:pPr>
      <w:pStyle w:val="Encabezado"/>
    </w:pPr>
    <w:r>
      <w:rPr>
        <w:noProof/>
        <w:lang w:val="es-MX" w:eastAsia="es-MX"/>
      </w:rPr>
      <w:pict w14:anchorId="3A538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4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748E7" w:rsidRPr="00E84957" w14:paraId="07F2896E" w14:textId="77777777" w:rsidTr="003116A6">
      <w:trPr>
        <w:trHeight w:val="138"/>
        <w:jc w:val="right"/>
      </w:trPr>
      <w:tc>
        <w:tcPr>
          <w:tcW w:w="2552" w:type="dxa"/>
          <w:vAlign w:val="center"/>
        </w:tcPr>
        <w:p w14:paraId="4A5B1974" w14:textId="77777777" w:rsidR="00C748E7" w:rsidRPr="00E84957" w:rsidRDefault="00C748E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458CF9F" w:rsidR="00C748E7" w:rsidRPr="002D0ECC" w:rsidRDefault="00C748E7" w:rsidP="00150B2F">
          <w:pPr>
            <w:pStyle w:val="Encabezado"/>
            <w:jc w:val="right"/>
            <w:rPr>
              <w:rFonts w:ascii="Palatino Linotype" w:hAnsi="Palatino Linotype"/>
              <w:b/>
              <w:sz w:val="20"/>
              <w:szCs w:val="20"/>
            </w:rPr>
          </w:pPr>
          <w:r>
            <w:rPr>
              <w:rFonts w:ascii="Palatino Linotype" w:hAnsi="Palatino Linotype" w:cs="Arial"/>
              <w:b/>
              <w:bCs/>
              <w:sz w:val="20"/>
              <w:szCs w:val="20"/>
              <w:lang w:eastAsia="es-MX"/>
            </w:rPr>
            <w:t>00888/INFOEM/IP/RR/2020</w:t>
          </w:r>
        </w:p>
      </w:tc>
    </w:tr>
    <w:tr w:rsidR="00C748E7" w:rsidRPr="00E84957" w14:paraId="095EB01B" w14:textId="77777777" w:rsidTr="003116A6">
      <w:trPr>
        <w:trHeight w:val="321"/>
        <w:jc w:val="right"/>
      </w:trPr>
      <w:tc>
        <w:tcPr>
          <w:tcW w:w="2552" w:type="dxa"/>
          <w:vAlign w:val="center"/>
        </w:tcPr>
        <w:p w14:paraId="6E000A51" w14:textId="4DA3E277" w:rsidR="00C748E7" w:rsidRPr="00E84957" w:rsidRDefault="00C748E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62E48B72" w:rsidR="00C748E7" w:rsidRDefault="00C748E7" w:rsidP="000A175B">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E45A7EF" w:rsidR="00C748E7" w:rsidRPr="00740719" w:rsidRDefault="00C748E7"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C748E7" w:rsidRPr="00E84957" w14:paraId="14F3CE0D" w14:textId="77777777" w:rsidTr="003116A6">
      <w:trPr>
        <w:trHeight w:val="321"/>
        <w:jc w:val="right"/>
      </w:trPr>
      <w:tc>
        <w:tcPr>
          <w:tcW w:w="2552" w:type="dxa"/>
          <w:vAlign w:val="center"/>
        </w:tcPr>
        <w:p w14:paraId="12248485" w14:textId="081B3348" w:rsidR="00C748E7" w:rsidRPr="00E84957" w:rsidRDefault="00C748E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748E7" w:rsidRPr="002D0ECC" w:rsidRDefault="00C748E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748E7" w:rsidRDefault="00C748E7" w:rsidP="00587366">
    <w:pPr>
      <w:pStyle w:val="Encabezado"/>
    </w:pPr>
  </w:p>
  <w:p w14:paraId="01FCACBC" w14:textId="77777777" w:rsidR="00C748E7" w:rsidRDefault="00C748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5C0D2CB" w:rsidR="00C748E7" w:rsidRDefault="005E0D0C" w:rsidP="000B5D79">
    <w:pPr>
      <w:pStyle w:val="Encabezado"/>
      <w:tabs>
        <w:tab w:val="clear" w:pos="4252"/>
        <w:tab w:val="clear" w:pos="8504"/>
        <w:tab w:val="left" w:pos="3103"/>
      </w:tabs>
    </w:pPr>
    <w:r>
      <w:rPr>
        <w:noProof/>
        <w:lang w:val="es-MX" w:eastAsia="es-MX"/>
      </w:rPr>
      <w:pict w14:anchorId="11639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4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748E7">
      <w:tab/>
    </w:r>
    <w:r w:rsidR="00C748E7">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748E7" w:rsidRPr="00182113" w14:paraId="665387B4" w14:textId="77777777" w:rsidTr="000B5D79">
      <w:trPr>
        <w:trHeight w:val="138"/>
      </w:trPr>
      <w:tc>
        <w:tcPr>
          <w:tcW w:w="2532" w:type="dxa"/>
          <w:vAlign w:val="center"/>
        </w:tcPr>
        <w:p w14:paraId="01509DD6" w14:textId="77777777" w:rsidR="00C748E7" w:rsidRPr="00182113" w:rsidRDefault="00C748E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748E7" w:rsidRPr="00182113" w:rsidRDefault="00C748E7" w:rsidP="000B5D79">
          <w:pPr>
            <w:pStyle w:val="Encabezado"/>
            <w:jc w:val="center"/>
            <w:rPr>
              <w:rFonts w:ascii="Palatino Linotype" w:hAnsi="Palatino Linotype"/>
              <w:b/>
              <w:sz w:val="22"/>
              <w:szCs w:val="22"/>
            </w:rPr>
          </w:pPr>
        </w:p>
      </w:tc>
      <w:tc>
        <w:tcPr>
          <w:tcW w:w="3261" w:type="dxa"/>
          <w:vAlign w:val="center"/>
        </w:tcPr>
        <w:p w14:paraId="4FAE21CD" w14:textId="4C43AAFB" w:rsidR="00C748E7" w:rsidRPr="00182113" w:rsidRDefault="00C748E7" w:rsidP="00150B2F">
          <w:pPr>
            <w:pStyle w:val="Encabezado"/>
            <w:rPr>
              <w:rFonts w:ascii="Palatino Linotype" w:hAnsi="Palatino Linotype"/>
              <w:b/>
              <w:sz w:val="22"/>
              <w:szCs w:val="22"/>
            </w:rPr>
          </w:pPr>
          <w:r>
            <w:rPr>
              <w:rFonts w:ascii="Palatino Linotype" w:hAnsi="Palatino Linotype" w:cs="Arial"/>
              <w:b/>
              <w:bCs/>
              <w:sz w:val="20"/>
              <w:szCs w:val="20"/>
              <w:lang w:eastAsia="es-MX"/>
            </w:rPr>
            <w:t>00888/INFOEM/IP/RR/2020</w:t>
          </w:r>
        </w:p>
      </w:tc>
    </w:tr>
    <w:tr w:rsidR="00C748E7" w:rsidRPr="00182113" w14:paraId="78C9F2F4" w14:textId="77777777" w:rsidTr="000B5D79">
      <w:trPr>
        <w:trHeight w:val="227"/>
      </w:trPr>
      <w:tc>
        <w:tcPr>
          <w:tcW w:w="2532" w:type="dxa"/>
          <w:vAlign w:val="center"/>
        </w:tcPr>
        <w:p w14:paraId="2D89FED3" w14:textId="77777777" w:rsidR="00C748E7" w:rsidRPr="00182113" w:rsidRDefault="00C748E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748E7" w:rsidRPr="00182113" w:rsidRDefault="00C748E7" w:rsidP="000B5D79">
          <w:pPr>
            <w:pStyle w:val="Encabezado"/>
            <w:jc w:val="center"/>
            <w:rPr>
              <w:rFonts w:ascii="Palatino Linotype" w:hAnsi="Palatino Linotype"/>
              <w:b/>
              <w:sz w:val="22"/>
              <w:szCs w:val="22"/>
            </w:rPr>
          </w:pPr>
        </w:p>
      </w:tc>
      <w:tc>
        <w:tcPr>
          <w:tcW w:w="3261" w:type="dxa"/>
          <w:vAlign w:val="center"/>
        </w:tcPr>
        <w:p w14:paraId="36D086A3" w14:textId="21B3B67A" w:rsidR="00C748E7" w:rsidRPr="00F801DD" w:rsidRDefault="00740420" w:rsidP="000B5D79">
          <w:pPr>
            <w:pStyle w:val="Encabezado"/>
            <w:rPr>
              <w:rFonts w:ascii="Palatino Linotype" w:hAnsi="Palatino Linotype"/>
              <w:b/>
              <w:sz w:val="20"/>
              <w:szCs w:val="20"/>
            </w:rPr>
          </w:pPr>
          <w:r w:rsidRPr="00740420">
            <w:rPr>
              <w:rFonts w:ascii="Palatino Linotype" w:hAnsi="Palatino Linotype"/>
              <w:b/>
              <w:sz w:val="20"/>
              <w:szCs w:val="20"/>
              <w:highlight w:val="black"/>
            </w:rPr>
            <w:t>-------------------------------------</w:t>
          </w:r>
        </w:p>
      </w:tc>
    </w:tr>
    <w:tr w:rsidR="00C748E7" w:rsidRPr="00182113" w14:paraId="1A862673" w14:textId="77777777" w:rsidTr="000B5D79">
      <w:trPr>
        <w:trHeight w:val="232"/>
      </w:trPr>
      <w:tc>
        <w:tcPr>
          <w:tcW w:w="2532" w:type="dxa"/>
          <w:vAlign w:val="center"/>
        </w:tcPr>
        <w:p w14:paraId="767A6F60" w14:textId="77777777" w:rsidR="00C748E7" w:rsidRPr="00182113" w:rsidRDefault="00C748E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748E7" w:rsidRPr="00182113" w:rsidRDefault="00C748E7" w:rsidP="000B5D79">
          <w:pPr>
            <w:pStyle w:val="Encabezado"/>
            <w:jc w:val="center"/>
            <w:rPr>
              <w:rFonts w:ascii="Palatino Linotype" w:hAnsi="Palatino Linotype"/>
              <w:b/>
              <w:sz w:val="22"/>
              <w:szCs w:val="22"/>
            </w:rPr>
          </w:pPr>
        </w:p>
      </w:tc>
      <w:tc>
        <w:tcPr>
          <w:tcW w:w="3261" w:type="dxa"/>
          <w:vAlign w:val="center"/>
        </w:tcPr>
        <w:p w14:paraId="3FC8EF03" w14:textId="081E0FA0" w:rsidR="00C748E7" w:rsidRPr="00114C6B" w:rsidRDefault="00C748E7" w:rsidP="00F354BA">
          <w:pPr>
            <w:pStyle w:val="Encabezado"/>
            <w:rPr>
              <w:rFonts w:ascii="Palatino Linotype" w:hAnsi="Palatino Linotype"/>
              <w:b/>
              <w:sz w:val="20"/>
              <w:szCs w:val="20"/>
            </w:rPr>
          </w:pPr>
          <w:r>
            <w:rPr>
              <w:rFonts w:ascii="Palatino Linotype" w:hAnsi="Palatino Linotype"/>
              <w:b/>
              <w:sz w:val="20"/>
              <w:szCs w:val="20"/>
            </w:rPr>
            <w:t>Fiscalía General de Justicia del Estado de México</w:t>
          </w:r>
        </w:p>
      </w:tc>
    </w:tr>
    <w:tr w:rsidR="00C748E7" w:rsidRPr="00182113" w14:paraId="4416531B" w14:textId="77777777" w:rsidTr="000B5D79">
      <w:trPr>
        <w:trHeight w:val="320"/>
      </w:trPr>
      <w:tc>
        <w:tcPr>
          <w:tcW w:w="2532" w:type="dxa"/>
          <w:vAlign w:val="center"/>
        </w:tcPr>
        <w:p w14:paraId="277DD3E2" w14:textId="4C90BB0A" w:rsidR="00C748E7" w:rsidRPr="00182113" w:rsidRDefault="00C748E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748E7" w:rsidRPr="00182113" w:rsidRDefault="00C748E7" w:rsidP="000B5D79">
          <w:pPr>
            <w:pStyle w:val="Encabezado"/>
            <w:jc w:val="center"/>
            <w:rPr>
              <w:rFonts w:ascii="Palatino Linotype" w:hAnsi="Palatino Linotype"/>
              <w:b/>
              <w:sz w:val="22"/>
              <w:szCs w:val="22"/>
            </w:rPr>
          </w:pPr>
        </w:p>
      </w:tc>
      <w:tc>
        <w:tcPr>
          <w:tcW w:w="3261" w:type="dxa"/>
          <w:vAlign w:val="center"/>
        </w:tcPr>
        <w:p w14:paraId="3BD70CE4" w14:textId="61A13249" w:rsidR="00C748E7" w:rsidRPr="00182113" w:rsidRDefault="00C748E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C748E7" w:rsidRDefault="00C748E7">
    <w:pPr>
      <w:pStyle w:val="Encabezado"/>
    </w:pPr>
  </w:p>
  <w:p w14:paraId="2C496126" w14:textId="77777777" w:rsidR="00C748E7" w:rsidRDefault="00C748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7"/>
  </w:num>
  <w:num w:numId="3">
    <w:abstractNumId w:val="19"/>
  </w:num>
  <w:num w:numId="4">
    <w:abstractNumId w:val="12"/>
  </w:num>
  <w:num w:numId="5">
    <w:abstractNumId w:val="21"/>
  </w:num>
  <w:num w:numId="6">
    <w:abstractNumId w:val="14"/>
  </w:num>
  <w:num w:numId="7">
    <w:abstractNumId w:val="9"/>
  </w:num>
  <w:num w:numId="8">
    <w:abstractNumId w:val="1"/>
  </w:num>
  <w:num w:numId="9">
    <w:abstractNumId w:val="7"/>
  </w:num>
  <w:num w:numId="10">
    <w:abstractNumId w:val="3"/>
  </w:num>
  <w:num w:numId="11">
    <w:abstractNumId w:val="4"/>
  </w:num>
  <w:num w:numId="12">
    <w:abstractNumId w:val="0"/>
  </w:num>
  <w:num w:numId="13">
    <w:abstractNumId w:val="18"/>
  </w:num>
  <w:num w:numId="14">
    <w:abstractNumId w:val="16"/>
  </w:num>
  <w:num w:numId="15">
    <w:abstractNumId w:val="8"/>
  </w:num>
  <w:num w:numId="16">
    <w:abstractNumId w:val="13"/>
  </w:num>
  <w:num w:numId="17">
    <w:abstractNumId w:val="11"/>
  </w:num>
  <w:num w:numId="18">
    <w:abstractNumId w:val="5"/>
  </w:num>
  <w:num w:numId="19">
    <w:abstractNumId w:val="6"/>
  </w:num>
  <w:num w:numId="20">
    <w:abstractNumId w:val="22"/>
  </w:num>
  <w:num w:numId="21">
    <w:abstractNumId w:val="10"/>
  </w:num>
  <w:num w:numId="22">
    <w:abstractNumId w:val="15"/>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305"/>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46E8"/>
    <w:rsid w:val="00145216"/>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2987"/>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0C31"/>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C5C"/>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3F45"/>
    <w:rsid w:val="003C665B"/>
    <w:rsid w:val="003C66EF"/>
    <w:rsid w:val="003C7282"/>
    <w:rsid w:val="003D04B3"/>
    <w:rsid w:val="003D1343"/>
    <w:rsid w:val="003D1971"/>
    <w:rsid w:val="003D210D"/>
    <w:rsid w:val="003D2BDA"/>
    <w:rsid w:val="003D338E"/>
    <w:rsid w:val="003D4544"/>
    <w:rsid w:val="003D46D0"/>
    <w:rsid w:val="003D5EE4"/>
    <w:rsid w:val="003D7850"/>
    <w:rsid w:val="003E0B0F"/>
    <w:rsid w:val="003E167A"/>
    <w:rsid w:val="003E1BC4"/>
    <w:rsid w:val="003E1C5B"/>
    <w:rsid w:val="003E1DF9"/>
    <w:rsid w:val="003E2043"/>
    <w:rsid w:val="003E2194"/>
    <w:rsid w:val="003E2871"/>
    <w:rsid w:val="003E3BCD"/>
    <w:rsid w:val="003E3DB3"/>
    <w:rsid w:val="003E466F"/>
    <w:rsid w:val="003E4742"/>
    <w:rsid w:val="003E562F"/>
    <w:rsid w:val="003E64F3"/>
    <w:rsid w:val="003E6C90"/>
    <w:rsid w:val="003E720E"/>
    <w:rsid w:val="003F1143"/>
    <w:rsid w:val="003F11BF"/>
    <w:rsid w:val="003F1540"/>
    <w:rsid w:val="003F15DB"/>
    <w:rsid w:val="003F2702"/>
    <w:rsid w:val="003F3245"/>
    <w:rsid w:val="003F380A"/>
    <w:rsid w:val="003F3908"/>
    <w:rsid w:val="003F4B66"/>
    <w:rsid w:val="003F6762"/>
    <w:rsid w:val="003F6D66"/>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49B"/>
    <w:rsid w:val="00433C27"/>
    <w:rsid w:val="004342F1"/>
    <w:rsid w:val="00434710"/>
    <w:rsid w:val="00434EB9"/>
    <w:rsid w:val="00435C67"/>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31A6"/>
    <w:rsid w:val="004B3B1A"/>
    <w:rsid w:val="004B3CD9"/>
    <w:rsid w:val="004B40BF"/>
    <w:rsid w:val="004B4396"/>
    <w:rsid w:val="004B4A7B"/>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3762"/>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0AC"/>
    <w:rsid w:val="00504811"/>
    <w:rsid w:val="00504B5E"/>
    <w:rsid w:val="00505B93"/>
    <w:rsid w:val="00505CFF"/>
    <w:rsid w:val="005077B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198"/>
    <w:rsid w:val="005527B6"/>
    <w:rsid w:val="00554431"/>
    <w:rsid w:val="00555C32"/>
    <w:rsid w:val="00556814"/>
    <w:rsid w:val="00557D6A"/>
    <w:rsid w:val="00562474"/>
    <w:rsid w:val="00563BDC"/>
    <w:rsid w:val="00563FE5"/>
    <w:rsid w:val="00564721"/>
    <w:rsid w:val="00565407"/>
    <w:rsid w:val="0056598A"/>
    <w:rsid w:val="005660F0"/>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327"/>
    <w:rsid w:val="005774AF"/>
    <w:rsid w:val="00577B42"/>
    <w:rsid w:val="00580FC0"/>
    <w:rsid w:val="00581C0F"/>
    <w:rsid w:val="00581D99"/>
    <w:rsid w:val="00582919"/>
    <w:rsid w:val="005833AC"/>
    <w:rsid w:val="005840D6"/>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0D0C"/>
    <w:rsid w:val="005E1A25"/>
    <w:rsid w:val="005E24A3"/>
    <w:rsid w:val="005E2776"/>
    <w:rsid w:val="005E29F2"/>
    <w:rsid w:val="005E338F"/>
    <w:rsid w:val="005E4710"/>
    <w:rsid w:val="005E4B46"/>
    <w:rsid w:val="005E6F79"/>
    <w:rsid w:val="005E74E2"/>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5C3"/>
    <w:rsid w:val="006037DA"/>
    <w:rsid w:val="00604626"/>
    <w:rsid w:val="00604AC3"/>
    <w:rsid w:val="00605D3E"/>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6A29"/>
    <w:rsid w:val="006770E9"/>
    <w:rsid w:val="00677556"/>
    <w:rsid w:val="00677899"/>
    <w:rsid w:val="006803E4"/>
    <w:rsid w:val="0068178C"/>
    <w:rsid w:val="00682B40"/>
    <w:rsid w:val="00684F0B"/>
    <w:rsid w:val="00685D21"/>
    <w:rsid w:val="00686CD7"/>
    <w:rsid w:val="006870BD"/>
    <w:rsid w:val="00690989"/>
    <w:rsid w:val="00692B64"/>
    <w:rsid w:val="0069302E"/>
    <w:rsid w:val="00693427"/>
    <w:rsid w:val="00693495"/>
    <w:rsid w:val="00693EF3"/>
    <w:rsid w:val="00694432"/>
    <w:rsid w:val="00694CAC"/>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047"/>
    <w:rsid w:val="00701F2C"/>
    <w:rsid w:val="007025D1"/>
    <w:rsid w:val="00702F7F"/>
    <w:rsid w:val="00703783"/>
    <w:rsid w:val="00703B76"/>
    <w:rsid w:val="0070401B"/>
    <w:rsid w:val="0070525F"/>
    <w:rsid w:val="00705544"/>
    <w:rsid w:val="00706175"/>
    <w:rsid w:val="00707096"/>
    <w:rsid w:val="007073D4"/>
    <w:rsid w:val="007076FF"/>
    <w:rsid w:val="00707731"/>
    <w:rsid w:val="00707B6F"/>
    <w:rsid w:val="00707DEE"/>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83C"/>
    <w:rsid w:val="00725463"/>
    <w:rsid w:val="007301D7"/>
    <w:rsid w:val="00730D94"/>
    <w:rsid w:val="00731194"/>
    <w:rsid w:val="00731C85"/>
    <w:rsid w:val="00732469"/>
    <w:rsid w:val="007326B7"/>
    <w:rsid w:val="00732EA5"/>
    <w:rsid w:val="007335A2"/>
    <w:rsid w:val="00735205"/>
    <w:rsid w:val="0073540B"/>
    <w:rsid w:val="00735965"/>
    <w:rsid w:val="00736B9E"/>
    <w:rsid w:val="00736D69"/>
    <w:rsid w:val="007377E3"/>
    <w:rsid w:val="00740420"/>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378F"/>
    <w:rsid w:val="007940E8"/>
    <w:rsid w:val="00795745"/>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446B"/>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1E64"/>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CB6"/>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5B4"/>
    <w:rsid w:val="00A97EE2"/>
    <w:rsid w:val="00AA0660"/>
    <w:rsid w:val="00AA0C1B"/>
    <w:rsid w:val="00AA0C32"/>
    <w:rsid w:val="00AA13C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7684"/>
    <w:rsid w:val="00B27805"/>
    <w:rsid w:val="00B30A40"/>
    <w:rsid w:val="00B30B2D"/>
    <w:rsid w:val="00B30EF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61"/>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05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8F1"/>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69B7"/>
    <w:rsid w:val="00BC755B"/>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38BC"/>
    <w:rsid w:val="00BE430D"/>
    <w:rsid w:val="00BE5B14"/>
    <w:rsid w:val="00BE5F02"/>
    <w:rsid w:val="00BE63DC"/>
    <w:rsid w:val="00BE7363"/>
    <w:rsid w:val="00BF013C"/>
    <w:rsid w:val="00BF01CB"/>
    <w:rsid w:val="00BF02F7"/>
    <w:rsid w:val="00BF0438"/>
    <w:rsid w:val="00BF0848"/>
    <w:rsid w:val="00BF0D16"/>
    <w:rsid w:val="00BF2854"/>
    <w:rsid w:val="00BF2E2C"/>
    <w:rsid w:val="00BF310D"/>
    <w:rsid w:val="00BF36A7"/>
    <w:rsid w:val="00BF5B19"/>
    <w:rsid w:val="00BF5B55"/>
    <w:rsid w:val="00BF5CCC"/>
    <w:rsid w:val="00BF5EF4"/>
    <w:rsid w:val="00BF6D83"/>
    <w:rsid w:val="00C00017"/>
    <w:rsid w:val="00C0138A"/>
    <w:rsid w:val="00C020B9"/>
    <w:rsid w:val="00C0215D"/>
    <w:rsid w:val="00C0217D"/>
    <w:rsid w:val="00C023F8"/>
    <w:rsid w:val="00C02746"/>
    <w:rsid w:val="00C02AAB"/>
    <w:rsid w:val="00C03887"/>
    <w:rsid w:val="00C0515E"/>
    <w:rsid w:val="00C0577F"/>
    <w:rsid w:val="00C05C75"/>
    <w:rsid w:val="00C06DE1"/>
    <w:rsid w:val="00C10372"/>
    <w:rsid w:val="00C10A29"/>
    <w:rsid w:val="00C126E3"/>
    <w:rsid w:val="00C12D36"/>
    <w:rsid w:val="00C13B9F"/>
    <w:rsid w:val="00C14291"/>
    <w:rsid w:val="00C14542"/>
    <w:rsid w:val="00C15336"/>
    <w:rsid w:val="00C1673F"/>
    <w:rsid w:val="00C16AA8"/>
    <w:rsid w:val="00C16BBA"/>
    <w:rsid w:val="00C201C1"/>
    <w:rsid w:val="00C20722"/>
    <w:rsid w:val="00C21141"/>
    <w:rsid w:val="00C2139F"/>
    <w:rsid w:val="00C2181B"/>
    <w:rsid w:val="00C22888"/>
    <w:rsid w:val="00C22F9F"/>
    <w:rsid w:val="00C23941"/>
    <w:rsid w:val="00C24339"/>
    <w:rsid w:val="00C24682"/>
    <w:rsid w:val="00C24965"/>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C75"/>
    <w:rsid w:val="00C43270"/>
    <w:rsid w:val="00C43B2C"/>
    <w:rsid w:val="00C440BE"/>
    <w:rsid w:val="00C44212"/>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1D7"/>
    <w:rsid w:val="00C6051A"/>
    <w:rsid w:val="00C616EE"/>
    <w:rsid w:val="00C61E8D"/>
    <w:rsid w:val="00C6220B"/>
    <w:rsid w:val="00C6469C"/>
    <w:rsid w:val="00C6542C"/>
    <w:rsid w:val="00C6595D"/>
    <w:rsid w:val="00C66059"/>
    <w:rsid w:val="00C66443"/>
    <w:rsid w:val="00C66506"/>
    <w:rsid w:val="00C66C67"/>
    <w:rsid w:val="00C67920"/>
    <w:rsid w:val="00C7024C"/>
    <w:rsid w:val="00C71E96"/>
    <w:rsid w:val="00C71FF4"/>
    <w:rsid w:val="00C733E9"/>
    <w:rsid w:val="00C7354D"/>
    <w:rsid w:val="00C73C25"/>
    <w:rsid w:val="00C748E7"/>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449"/>
    <w:rsid w:val="00C90BE5"/>
    <w:rsid w:val="00C90C75"/>
    <w:rsid w:val="00C910AC"/>
    <w:rsid w:val="00C92AD2"/>
    <w:rsid w:val="00C9357D"/>
    <w:rsid w:val="00C9486B"/>
    <w:rsid w:val="00C9545D"/>
    <w:rsid w:val="00C978B2"/>
    <w:rsid w:val="00CA063C"/>
    <w:rsid w:val="00CA06D5"/>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47BD2"/>
    <w:rsid w:val="00D50842"/>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15C0"/>
    <w:rsid w:val="00E12D1C"/>
    <w:rsid w:val="00E140CC"/>
    <w:rsid w:val="00E15453"/>
    <w:rsid w:val="00E15875"/>
    <w:rsid w:val="00E15B5E"/>
    <w:rsid w:val="00E1688C"/>
    <w:rsid w:val="00E16A8F"/>
    <w:rsid w:val="00E16EE5"/>
    <w:rsid w:val="00E229C8"/>
    <w:rsid w:val="00E239D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6951"/>
    <w:rsid w:val="00F8702D"/>
    <w:rsid w:val="00F876BB"/>
    <w:rsid w:val="00F878C9"/>
    <w:rsid w:val="00F9000A"/>
    <w:rsid w:val="00F936ED"/>
    <w:rsid w:val="00F93EBF"/>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013034">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5102.page" TargetMode="External"/><Relationship Id="rId13" Type="http://schemas.openxmlformats.org/officeDocument/2006/relationships/hyperlink" Target="http://dle.rae.es/?id=FdI00O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85101.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CAqWkEB" TargetMode="External"/><Relationship Id="rId3" Type="http://schemas.openxmlformats.org/officeDocument/2006/relationships/hyperlink" Target="https://revistas.juridicas.unam.mx/index.php/derecho-informacion/article/view/12468/14327" TargetMode="External"/><Relationship Id="rId7" Type="http://schemas.openxmlformats.org/officeDocument/2006/relationships/hyperlink" Target="http://dle.rae.es/?id=CAjNzMR" TargetMode="External"/><Relationship Id="rId2" Type="http://schemas.openxmlformats.org/officeDocument/2006/relationships/hyperlink" Target="http://www.poderjudicialcdmx.gob.mx/" TargetMode="External"/><Relationship Id="rId1" Type="http://schemas.openxmlformats.org/officeDocument/2006/relationships/hyperlink" Target="https://www.ijf.cjf.gob.mx/Penal/biblioteca/5investigacion/Lo-que-usted-siempre-quiso-saber-sobre-la-etapa-de-investigacion.pdf" TargetMode="External"/><Relationship Id="rId6" Type="http://schemas.openxmlformats.org/officeDocument/2006/relationships/hyperlink" Target="http://dle.rae.es/?id=VGqyuLj|VGtxgAo|VGuc9Wg" TargetMode="External"/><Relationship Id="rId5" Type="http://schemas.openxmlformats.org/officeDocument/2006/relationships/hyperlink" Target="http://dej.rae.es/" TargetMode="External"/><Relationship Id="rId10" Type="http://schemas.openxmlformats.org/officeDocument/2006/relationships/hyperlink" Target="http://dle.rae.es/?id=KtpfgjV" TargetMode="External"/><Relationship Id="rId4" Type="http://schemas.openxmlformats.org/officeDocument/2006/relationships/hyperlink" Target="http://dej.rae.es/" TargetMode="External"/><Relationship Id="rId9" Type="http://schemas.openxmlformats.org/officeDocument/2006/relationships/hyperlink" Target="http://dle.rae.es/?id=KtnHL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FAAC-E2B6-40BA-8C2C-21E3CBFE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49</Pages>
  <Words>10729</Words>
  <Characters>59015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2020-08-19T15:41:00Z</cp:lastPrinted>
  <dcterms:created xsi:type="dcterms:W3CDTF">2020-08-19T15:43:00Z</dcterms:created>
  <dcterms:modified xsi:type="dcterms:W3CDTF">2020-10-17T21:02:00Z</dcterms:modified>
</cp:coreProperties>
</file>