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AD0" w:rsidRDefault="001A18A3">
      <w:pPr>
        <w:spacing w:line="360" w:lineRule="auto"/>
        <w:jc w:val="both"/>
        <w:rPr>
          <w:rFonts w:ascii="Palatino Linotype" w:hAnsi="Palatino Linotype" w:cs="Arial"/>
          <w:color w:val="FF0000"/>
          <w:lang w:val="es-ES"/>
        </w:rPr>
      </w:pPr>
      <w:r>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de fecha doce de agosto de dos mil veinte.</w:t>
      </w:r>
    </w:p>
    <w:p w:rsidR="00193AD0" w:rsidRDefault="00193AD0">
      <w:pPr>
        <w:spacing w:line="360" w:lineRule="auto"/>
        <w:jc w:val="both"/>
        <w:rPr>
          <w:rFonts w:ascii="Palatino Linotype" w:hAnsi="Palatino Linotype" w:cs="Arial"/>
          <w:lang w:val="es-ES"/>
        </w:rPr>
      </w:pPr>
    </w:p>
    <w:p w:rsidR="00193AD0" w:rsidRDefault="001A18A3">
      <w:pPr>
        <w:spacing w:line="360" w:lineRule="auto"/>
        <w:jc w:val="both"/>
        <w:rPr>
          <w:rFonts w:ascii="Palatino Linotype" w:hAnsi="Palatino Linotype" w:cs="Arial"/>
          <w:lang w:val="es-ES"/>
        </w:rPr>
      </w:pPr>
      <w:r>
        <w:rPr>
          <w:rFonts w:ascii="Palatino Linotype" w:hAnsi="Palatino Linotype"/>
          <w:lang w:val="es-ES"/>
        </w:rPr>
        <w:t xml:space="preserve">VISTO el expediente formado con motivo del recurso de revisión </w:t>
      </w:r>
      <w:r>
        <w:rPr>
          <w:rFonts w:ascii="Palatino Linotype" w:hAnsi="Palatino Linotype"/>
          <w:b/>
          <w:lang w:val="es-ES"/>
        </w:rPr>
        <w:t>01122/INFOEM/IP/RR/2020,</w:t>
      </w:r>
      <w:r>
        <w:rPr>
          <w:rFonts w:ascii="Palatino Linotype" w:hAnsi="Palatino Linotype"/>
          <w:lang w:val="es-ES"/>
        </w:rPr>
        <w:t xml:space="preserve"> </w:t>
      </w:r>
      <w:r>
        <w:rPr>
          <w:rFonts w:ascii="Palatino Linotype" w:hAnsi="Palatino Linotype"/>
        </w:rPr>
        <w:t xml:space="preserve">promovido por el </w:t>
      </w:r>
      <w:r>
        <w:rPr>
          <w:rFonts w:ascii="Palatino Linotype" w:hAnsi="Palatino Linotype"/>
          <w:b/>
        </w:rPr>
        <w:t xml:space="preserve">C. </w:t>
      </w:r>
      <w:r w:rsidR="005D7CEF" w:rsidRPr="005D7CEF">
        <w:rPr>
          <w:rFonts w:ascii="Palatino Linotype" w:hAnsi="Palatino Linotype"/>
          <w:b/>
        </w:rPr>
        <w:t>Xxxx Xxxx Xxxxx</w:t>
      </w:r>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b/>
          <w:lang w:val="es-ES"/>
        </w:rPr>
        <w:t>,</w:t>
      </w:r>
      <w:r>
        <w:rPr>
          <w:rFonts w:ascii="Palatino Linotype" w:hAnsi="Palatino Linotype"/>
          <w:lang w:val="es-ES"/>
        </w:rPr>
        <w:t xml:space="preserve"> </w:t>
      </w:r>
      <w:r>
        <w:rPr>
          <w:rFonts w:ascii="Palatino Linotype" w:hAnsi="Palatino Linotype" w:cs="Arial"/>
          <w:lang w:val="es-ES"/>
        </w:rPr>
        <w:t xml:space="preserve">en contra de la respuesta del </w:t>
      </w:r>
      <w:r>
        <w:rPr>
          <w:rFonts w:ascii="Palatino Linotype" w:hAnsi="Palatino Linotype" w:cs="Arial"/>
          <w:b/>
          <w:lang w:val="es-ES"/>
        </w:rPr>
        <w:t xml:space="preserve">Instituto de Salud del Estado de México, </w:t>
      </w:r>
      <w:r>
        <w:rPr>
          <w:rFonts w:ascii="Palatino Linotype" w:hAnsi="Palatino Linotype" w:cs="Arial"/>
          <w:lang w:val="es-ES"/>
        </w:rPr>
        <w:t xml:space="preserve">en lo sucesivo </w:t>
      </w:r>
      <w:r>
        <w:rPr>
          <w:rFonts w:ascii="Palatino Linotype" w:hAnsi="Palatino Linotype" w:cs="Arial"/>
          <w:b/>
          <w:lang w:val="es-ES"/>
        </w:rPr>
        <w:t xml:space="preserve">EL SUJETO OBLIGADO, </w:t>
      </w:r>
      <w:r>
        <w:rPr>
          <w:rFonts w:ascii="Palatino Linotype" w:hAnsi="Palatino Linotype" w:cs="Arial"/>
          <w:lang w:val="es-ES"/>
        </w:rPr>
        <w:t>se procede a dictar la presente resolución con base en lo siguiente:</w:t>
      </w:r>
    </w:p>
    <w:p w:rsidR="00193AD0" w:rsidRDefault="001A18A3">
      <w:pPr>
        <w:spacing w:line="360" w:lineRule="auto"/>
        <w:jc w:val="center"/>
        <w:rPr>
          <w:rFonts w:ascii="Palatino Linotype" w:hAnsi="Palatino Linotype" w:cs="Arial"/>
          <w:b/>
          <w:lang w:val="es-ES"/>
        </w:rPr>
      </w:pPr>
      <w:r>
        <w:rPr>
          <w:rFonts w:ascii="Palatino Linotype" w:hAnsi="Palatino Linotype" w:cs="Arial"/>
          <w:b/>
          <w:lang w:val="es-ES"/>
        </w:rPr>
        <w:t>R E S U L T A N D O</w:t>
      </w:r>
    </w:p>
    <w:p w:rsidR="00193AD0" w:rsidRDefault="001A18A3">
      <w:pPr>
        <w:spacing w:line="360" w:lineRule="auto"/>
        <w:jc w:val="both"/>
        <w:rPr>
          <w:rFonts w:ascii="Palatino Linotype" w:hAnsi="Palatino Linotype" w:cs="Arial"/>
          <w:lang w:val="es-ES"/>
        </w:rPr>
      </w:pPr>
      <w:r>
        <w:rPr>
          <w:rFonts w:ascii="Palatino Linotype" w:hAnsi="Palatino Linotype" w:cs="Arial"/>
          <w:b/>
          <w:sz w:val="28"/>
          <w:szCs w:val="28"/>
          <w:lang w:val="es-ES"/>
        </w:rPr>
        <w:t>I.</w:t>
      </w:r>
      <w:r>
        <w:rPr>
          <w:rFonts w:ascii="Palatino Linotype" w:hAnsi="Palatino Linotype" w:cs="Arial"/>
          <w:b/>
          <w:lang w:val="es-ES"/>
        </w:rPr>
        <w:t xml:space="preserve"> </w:t>
      </w:r>
      <w:r>
        <w:rPr>
          <w:rFonts w:ascii="Palatino Linotype" w:hAnsi="Palatino Linotype" w:cs="Arial"/>
          <w:lang w:val="es-ES"/>
        </w:rPr>
        <w:t xml:space="preserve">En fecha veintiocho de enero de dos mil veinte, </w:t>
      </w:r>
      <w:r>
        <w:rPr>
          <w:rFonts w:ascii="Palatino Linotype" w:hAnsi="Palatino Linotype" w:cs="Arial"/>
          <w:b/>
          <w:lang w:val="es-ES"/>
        </w:rPr>
        <w:t>EL RECURRENTE</w:t>
      </w:r>
      <w:r>
        <w:rPr>
          <w:rFonts w:ascii="Palatino Linotype" w:hAnsi="Palatino Linotype" w:cs="Arial"/>
          <w:lang w:val="es-ES"/>
        </w:rPr>
        <w:t xml:space="preserve"> presentó a través del Sistema de Acceso a la Información Mexiquense, en lo subsecuente EL </w:t>
      </w:r>
      <w:r>
        <w:rPr>
          <w:rFonts w:ascii="Palatino Linotype" w:hAnsi="Palatino Linotype" w:cs="Arial"/>
          <w:b/>
          <w:lang w:val="es-ES"/>
        </w:rPr>
        <w:t>SAIMEX</w:t>
      </w:r>
      <w:r>
        <w:rPr>
          <w:rFonts w:ascii="Palatino Linotype" w:hAnsi="Palatino Linotype" w:cs="Arial"/>
          <w:lang w:val="es-ES"/>
        </w:rPr>
        <w:t xml:space="preserve">, ante </w:t>
      </w:r>
      <w:r>
        <w:rPr>
          <w:rFonts w:ascii="Palatino Linotype" w:hAnsi="Palatino Linotype" w:cs="Arial"/>
          <w:b/>
          <w:lang w:val="es-ES"/>
        </w:rPr>
        <w:t>EL SUJETO OBLIGADO</w:t>
      </w:r>
      <w:r>
        <w:rPr>
          <w:rFonts w:ascii="Palatino Linotype" w:hAnsi="Palatino Linotype" w:cs="Arial"/>
          <w:lang w:val="es-ES"/>
        </w:rPr>
        <w:t xml:space="preserve">, la solicitud de acceso a la información pública, a la que se le asignó el número </w:t>
      </w:r>
      <w:r>
        <w:rPr>
          <w:rFonts w:ascii="Palatino Linotype" w:hAnsi="Palatino Linotype" w:cs="Arial"/>
          <w:b/>
          <w:lang w:val="es-ES"/>
        </w:rPr>
        <w:t>00066/ISEM/IP/2020</w:t>
      </w:r>
      <w:r>
        <w:rPr>
          <w:rFonts w:ascii="Palatino Linotype" w:hAnsi="Palatino Linotype" w:cs="Arial"/>
          <w:lang w:val="es-ES"/>
        </w:rPr>
        <w:t>, mediante la cual solicitó:</w:t>
      </w:r>
    </w:p>
    <w:p w:rsidR="00193AD0" w:rsidRDefault="00193AD0">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71"/>
        <w:gridCol w:w="6035"/>
      </w:tblGrid>
      <w:tr w:rsidR="00193AD0">
        <w:trPr>
          <w:trHeight w:val="589"/>
        </w:trPr>
        <w:tc>
          <w:tcPr>
            <w:tcW w:w="2971" w:type="dxa"/>
            <w:shd w:val="clear" w:color="auto" w:fill="000000" w:themeFill="text1"/>
            <w:vAlign w:val="center"/>
          </w:tcPr>
          <w:p w:rsidR="00193AD0" w:rsidRDefault="001A18A3">
            <w:pPr>
              <w:spacing w:line="360" w:lineRule="auto"/>
              <w:jc w:val="center"/>
              <w:rPr>
                <w:rFonts w:ascii="Palatino Linotype" w:hAnsi="Palatino Linotype"/>
                <w:b/>
                <w:color w:val="FFFFFF" w:themeColor="background1"/>
                <w:lang w:val="es-ES"/>
              </w:rPr>
            </w:pPr>
            <w:r>
              <w:rPr>
                <w:rFonts w:ascii="Palatino Linotype" w:hAnsi="Palatino Linotype"/>
                <w:b/>
                <w:color w:val="FFFFFF" w:themeColor="background1"/>
                <w:lang w:val="es-ES"/>
              </w:rPr>
              <w:t>Número de Solicitud</w:t>
            </w:r>
          </w:p>
        </w:tc>
        <w:tc>
          <w:tcPr>
            <w:tcW w:w="6034" w:type="dxa"/>
            <w:shd w:val="clear" w:color="auto" w:fill="000000" w:themeFill="text1"/>
            <w:vAlign w:val="center"/>
          </w:tcPr>
          <w:p w:rsidR="00193AD0" w:rsidRDefault="001A18A3">
            <w:pPr>
              <w:tabs>
                <w:tab w:val="left" w:pos="1125"/>
              </w:tabs>
              <w:spacing w:line="360" w:lineRule="auto"/>
              <w:jc w:val="center"/>
              <w:rPr>
                <w:rFonts w:ascii="Palatino Linotype" w:hAnsi="Palatino Linotype"/>
                <w:b/>
                <w:lang w:val="es-ES"/>
              </w:rPr>
            </w:pPr>
            <w:r>
              <w:rPr>
                <w:rFonts w:ascii="Palatino Linotype" w:hAnsi="Palatino Linotype"/>
                <w:b/>
                <w:lang w:val="es-ES"/>
              </w:rPr>
              <w:t>Contenido</w:t>
            </w:r>
          </w:p>
        </w:tc>
      </w:tr>
      <w:tr w:rsidR="00193AD0">
        <w:trPr>
          <w:trHeight w:val="1083"/>
        </w:trPr>
        <w:tc>
          <w:tcPr>
            <w:tcW w:w="2971" w:type="dxa"/>
            <w:vAlign w:val="center"/>
          </w:tcPr>
          <w:p w:rsidR="00193AD0" w:rsidRDefault="001A18A3">
            <w:pPr>
              <w:spacing w:line="360" w:lineRule="auto"/>
              <w:jc w:val="center"/>
              <w:rPr>
                <w:rFonts w:ascii="Palatino Linotype" w:hAnsi="Palatino Linotype"/>
                <w:lang w:val="es-ES"/>
              </w:rPr>
            </w:pPr>
            <w:r>
              <w:rPr>
                <w:rFonts w:ascii="Palatino Linotype" w:hAnsi="Palatino Linotype" w:cs="Arial"/>
                <w:b/>
                <w:lang w:val="es-ES"/>
              </w:rPr>
              <w:t>00066/ISEM/IP/2020</w:t>
            </w:r>
          </w:p>
        </w:tc>
        <w:tc>
          <w:tcPr>
            <w:tcW w:w="6034" w:type="dxa"/>
          </w:tcPr>
          <w:p w:rsidR="00193AD0" w:rsidRDefault="001A18A3">
            <w:pPr>
              <w:spacing w:line="360" w:lineRule="auto"/>
              <w:jc w:val="both"/>
              <w:rPr>
                <w:rFonts w:ascii="Palatino Linotype" w:hAnsi="Palatino Linotype"/>
                <w:lang w:val="es-ES"/>
              </w:rPr>
            </w:pPr>
            <w:r>
              <w:rPr>
                <w:rFonts w:ascii="Palatino Linotype" w:hAnsi="Palatino Linotype"/>
                <w:lang w:val="es-ES"/>
              </w:rPr>
              <w:t>“Solicito saber si el C. Héctor Gómez Morales trabaja en el Instituto de Salud del Estado de México (ISEM), si es así, se informe ¿cual es su puesto y función, jornada y horario de trabajo, percepciones, antigüedad y perfil académico?”(sic)</w:t>
            </w:r>
          </w:p>
        </w:tc>
      </w:tr>
    </w:tbl>
    <w:p w:rsidR="00193AD0" w:rsidRDefault="00193AD0">
      <w:pPr>
        <w:pStyle w:val="Prrafodelista"/>
        <w:spacing w:before="240" w:after="240" w:line="360" w:lineRule="auto"/>
        <w:ind w:left="0"/>
        <w:contextualSpacing/>
        <w:jc w:val="both"/>
        <w:rPr>
          <w:rFonts w:ascii="Palatino Linotype" w:hAnsi="Palatino Linotype"/>
          <w:b/>
          <w:sz w:val="28"/>
          <w:szCs w:val="28"/>
        </w:rPr>
      </w:pPr>
    </w:p>
    <w:p w:rsidR="00193AD0" w:rsidRDefault="001A18A3">
      <w:pPr>
        <w:tabs>
          <w:tab w:val="left" w:pos="426"/>
        </w:tabs>
        <w:spacing w:beforeAutospacing="1" w:afterAutospacing="1" w:line="360" w:lineRule="auto"/>
        <w:contextualSpacing/>
        <w:jc w:val="both"/>
        <w:rPr>
          <w:rFonts w:ascii="Palatino Linotype" w:hAnsi="Palatino Linotype" w:cs="Arial"/>
        </w:rPr>
      </w:pPr>
      <w:r>
        <w:rPr>
          <w:rFonts w:ascii="Palatino Linotype" w:hAnsi="Palatino Linotype"/>
          <w:b/>
          <w:sz w:val="28"/>
          <w:szCs w:val="28"/>
        </w:rPr>
        <w:lastRenderedPageBreak/>
        <w:t>II.</w:t>
      </w:r>
      <w:r>
        <w:rPr>
          <w:rFonts w:ascii="Palatino Linotype" w:hAnsi="Palatino Linotype"/>
          <w:sz w:val="28"/>
          <w:szCs w:val="28"/>
        </w:rPr>
        <w:t xml:space="preserve"> </w:t>
      </w:r>
      <w:r>
        <w:rPr>
          <w:rFonts w:ascii="Palatino Linotype" w:hAnsi="Palatino Linotype"/>
        </w:rPr>
        <w:t xml:space="preserve">su parte </w:t>
      </w:r>
      <w:r>
        <w:rPr>
          <w:rFonts w:ascii="Palatino Linotype" w:hAnsi="Palatino Linotype"/>
          <w:b/>
        </w:rPr>
        <w:t>EL SUJETO OBLIGADO</w:t>
      </w:r>
      <w:r>
        <w:rPr>
          <w:rFonts w:ascii="Palatino Linotype" w:hAnsi="Palatino Linotype"/>
        </w:rPr>
        <w:t xml:space="preserve"> en fecha veintinueve de enero de dos mil veinte, solicitó al Servidor Público Habilitado Competente la información requerida en la solicitud de acceso a la información, </w:t>
      </w:r>
      <w:r>
        <w:rPr>
          <w:rFonts w:ascii="Palatino Linotype" w:hAnsi="Palatino Linotype" w:cs="Arial"/>
          <w:bCs/>
        </w:rPr>
        <w:t>tal como se desprende de la siguiente imagen:</w:t>
      </w:r>
    </w:p>
    <w:p w:rsidR="00193AD0" w:rsidRDefault="001A18A3">
      <w:pPr>
        <w:spacing w:line="360" w:lineRule="auto"/>
        <w:jc w:val="both"/>
        <w:rPr>
          <w:rFonts w:ascii="Palatino Linotype" w:hAnsi="Palatino Linotype"/>
        </w:rPr>
      </w:pPr>
      <w:r>
        <w:rPr>
          <w:noProof/>
          <w:lang w:eastAsia="es-MX"/>
        </w:rPr>
        <w:drawing>
          <wp:inline distT="0" distB="0" distL="0" distR="0">
            <wp:extent cx="5497195" cy="174371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7"/>
                    <a:srcRect l="3602" t="31009" r="4969" b="47874"/>
                    <a:stretch>
                      <a:fillRect/>
                    </a:stretch>
                  </pic:blipFill>
                  <pic:spPr bwMode="auto">
                    <a:xfrm>
                      <a:off x="0" y="0"/>
                      <a:ext cx="5497195" cy="1743710"/>
                    </a:xfrm>
                    <a:prstGeom prst="rect">
                      <a:avLst/>
                    </a:prstGeom>
                  </pic:spPr>
                </pic:pic>
              </a:graphicData>
            </a:graphic>
          </wp:inline>
        </w:drawing>
      </w:r>
    </w:p>
    <w:p w:rsidR="00193AD0" w:rsidRDefault="001A18A3">
      <w:pPr>
        <w:pStyle w:val="Prrafodelista"/>
        <w:spacing w:before="240" w:after="240" w:line="360" w:lineRule="auto"/>
        <w:ind w:left="0"/>
        <w:contextualSpacing/>
        <w:jc w:val="both"/>
        <w:rPr>
          <w:rFonts w:ascii="Palatino Linotype" w:hAnsi="Palatino Linotype"/>
        </w:rPr>
      </w:pPr>
      <w:r>
        <w:rPr>
          <w:noProof/>
          <w:lang w:eastAsia="es-MX"/>
        </w:rPr>
        <mc:AlternateContent>
          <mc:Choice Requires="wps">
            <w:drawing>
              <wp:anchor distT="0" distB="0" distL="0" distR="0" simplePos="0" relativeHeight="76" behindDoc="0" locked="0" layoutInCell="1" allowOverlap="1" wp14:anchorId="0284A94E">
                <wp:simplePos x="0" y="0"/>
                <wp:positionH relativeFrom="column">
                  <wp:posOffset>55880</wp:posOffset>
                </wp:positionH>
                <wp:positionV relativeFrom="paragraph">
                  <wp:posOffset>1296670</wp:posOffset>
                </wp:positionV>
                <wp:extent cx="5906770" cy="3343910"/>
                <wp:effectExtent l="19050" t="19050" r="19050" b="28575"/>
                <wp:wrapNone/>
                <wp:docPr id="2" name="Conector recto 13"/>
                <wp:cNvGraphicFramePr/>
                <a:graphic xmlns:a="http://schemas.openxmlformats.org/drawingml/2006/main">
                  <a:graphicData uri="http://schemas.microsoft.com/office/word/2010/wordprocessingShape">
                    <wps:wsp>
                      <wps:cNvCnPr/>
                      <wps:spPr>
                        <a:xfrm>
                          <a:off x="0" y="0"/>
                          <a:ext cx="5906770" cy="3343910"/>
                        </a:xfrm>
                        <a:prstGeom prst="line">
                          <a:avLst/>
                        </a:prstGeom>
                        <a:ln w="28440"/>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1FDFC271" id="Conector recto 13" o:spid="_x0000_s1026" style="position:absolute;z-index:76;visibility:visible;mso-wrap-style:square;mso-wrap-distance-left:0;mso-wrap-distance-top:0;mso-wrap-distance-right:0;mso-wrap-distance-bottom:0;mso-position-horizontal:absolute;mso-position-horizontal-relative:text;mso-position-vertical:absolute;mso-position-vertical-relative:text" from="4.4pt,102.1pt" to="469.5pt,3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7wvQEAALQDAAAOAAAAZHJzL2Uyb0RvYy54bWysU8tu2zAQvBfoPxC815JsNw/Bcg4O2kuQ&#10;Gk37AQy1tAjwhSVr2X+fJe2qRnMoGuRCccmd2ZnlanV3sIbtAaP2ruPNrOYMnPS9druO//zx5dMN&#10;ZzEJ1wvjHXT8CJHfrT9+WI2hhbkfvOkBGZG42I6h40NKoa2qKAewIs58AEeXyqMViULcVT2Kkdit&#10;qeZ1fVWNHvuAXkKMdHp/uuTrwq8UyPRNqQiJmY6TtlRWLOtzXqv1SrQ7FGHQ8ixDvEGFFdpR0Ynq&#10;XiTBfqF+RWW1RB+9SjPpbeWV0hKKB3LT1H+5eRpEgOKFmhPD1Kb4frTycb9FpvuOzzlzwtITbeih&#10;ZPLIMH9Ys8hNGkNsKXfjtniOYthidnxQaPOXvLBDaexxaiwcEpN0+Pm2vrq+pv5LulsslovbprS+&#10;+gMPGNNX8JblTceNdtm5aMX+ISYqSam/U/KxcWwkzTfL5Yko6zspKrt0NHBK+w6K7JGGptCVwYKN&#10;QbYXNBJCSnCpyQ6pgHGUnWFKGzMB638Dz/kZCmXo/gc8IUpl79IEttp5LNouTOXts++P5SGqHNFo&#10;FPnnMc6zdxnT/vJnW78AAAD//wMAUEsDBBQABgAIAAAAIQCG5qBq3wAAAAkBAAAPAAAAZHJzL2Rv&#10;d25yZXYueG1sTI9BS8NAFITvgv9heYI3u2kqbZpmU7QiIvRiFHrdZJ9JaPZtyG6a9N/7POlxmGHm&#10;m2w/205ccPCtIwXLRQQCqXKmpVrB1+frQwLCB01Gd45QwRU97PPbm0ynxk30gZci1IJLyKdaQRNC&#10;n0rpqwat9gvXI7H37QarA8uhlmbQE5fbTsZRtJZWt8QLje7x0GB1Lkar4Pgynt8mwtI9b44TvV8P&#10;69OyUOr+bn7agQg4h78w/OIzOuTMVLqRjBedgoTBg4I4eoxBsL9dbflbqWCzihKQeSb/P8h/AAAA&#10;//8DAFBLAQItABQABgAIAAAAIQC2gziS/gAAAOEBAAATAAAAAAAAAAAAAAAAAAAAAABbQ29udGVu&#10;dF9UeXBlc10ueG1sUEsBAi0AFAAGAAgAAAAhADj9If/WAAAAlAEAAAsAAAAAAAAAAAAAAAAALwEA&#10;AF9yZWxzLy5yZWxzUEsBAi0AFAAGAAgAAAAhANl/XvC9AQAAtAMAAA4AAAAAAAAAAAAAAAAALgIA&#10;AGRycy9lMm9Eb2MueG1sUEsBAi0AFAAGAAgAAAAhAIbmoGrfAAAACQEAAA8AAAAAAAAAAAAAAAAA&#10;FwQAAGRycy9kb3ducmV2LnhtbFBLBQYAAAAABAAEAPMAAAAjBQAAAAA=&#10;" strokecolor="#4579b8 [3044]" strokeweight=".79mm"/>
            </w:pict>
          </mc:Fallback>
        </mc:AlternateContent>
      </w:r>
      <w:r>
        <w:rPr>
          <w:rFonts w:ascii="Palatino Linotype" w:hAnsi="Palatino Linotype"/>
        </w:rPr>
        <w:t xml:space="preserve">Cabe precisar que de una revisión a la página de IPOMEX del </w:t>
      </w:r>
      <w:r>
        <w:rPr>
          <w:rFonts w:ascii="Palatino Linotype" w:hAnsi="Palatino Linotype"/>
          <w:b/>
        </w:rPr>
        <w:t>SUJETO OBLIGADO</w:t>
      </w:r>
      <w:r>
        <w:rPr>
          <w:rFonts w:ascii="Palatino Linotype" w:hAnsi="Palatino Linotype"/>
        </w:rPr>
        <w:t xml:space="preserve"> se encontró que la servidora pública a la que se le requirió la solicitud de acceso a la información ostenta el cargo de Directora de Administración, como se observa de la siguiente imagen:</w:t>
      </w:r>
    </w:p>
    <w:p w:rsidR="00193AD0" w:rsidRDefault="001A18A3">
      <w:pPr>
        <w:pStyle w:val="Prrafodelista"/>
        <w:spacing w:before="240" w:after="240" w:line="360" w:lineRule="auto"/>
        <w:ind w:left="0"/>
        <w:contextualSpacing/>
        <w:jc w:val="both"/>
        <w:rPr>
          <w:lang w:eastAsia="es-MX"/>
        </w:rPr>
      </w:pPr>
      <w:r>
        <w:rPr>
          <w:noProof/>
          <w:lang w:eastAsia="es-MX"/>
        </w:rPr>
        <w:lastRenderedPageBreak/>
        <w:drawing>
          <wp:inline distT="0" distB="0" distL="0" distR="0">
            <wp:extent cx="5549265" cy="33597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8"/>
                    <a:srcRect l="13450" t="13479" r="33880" b="10364"/>
                    <a:stretch>
                      <a:fillRect/>
                    </a:stretch>
                  </pic:blipFill>
                  <pic:spPr bwMode="auto">
                    <a:xfrm>
                      <a:off x="0" y="0"/>
                      <a:ext cx="5549265" cy="3359785"/>
                    </a:xfrm>
                    <a:prstGeom prst="rect">
                      <a:avLst/>
                    </a:prstGeom>
                  </pic:spPr>
                </pic:pic>
              </a:graphicData>
            </a:graphic>
          </wp:inline>
        </w:drawing>
      </w:r>
    </w:p>
    <w:p w:rsidR="00193AD0" w:rsidRDefault="001A18A3">
      <w:pPr>
        <w:pStyle w:val="Prrafodelista"/>
        <w:spacing w:before="240" w:after="240" w:line="360" w:lineRule="auto"/>
        <w:ind w:left="0"/>
        <w:contextualSpacing/>
        <w:jc w:val="both"/>
        <w:rPr>
          <w:rFonts w:ascii="Palatino Linotype" w:hAnsi="Palatino Linotype" w:cs="Arial"/>
          <w:lang w:val="es-ES_tradnl"/>
        </w:rPr>
      </w:pPr>
      <w:r>
        <w:rPr>
          <w:rFonts w:ascii="Palatino Linotype" w:hAnsi="Palatino Linotype"/>
          <w:b/>
          <w:sz w:val="28"/>
          <w:szCs w:val="28"/>
        </w:rPr>
        <w:t>III.</w:t>
      </w:r>
      <w:r>
        <w:rPr>
          <w:rFonts w:ascii="Palatino Linotype" w:hAnsi="Palatino Linotype"/>
        </w:rPr>
        <w:t xml:space="preserve"> De las constancias que obran en </w:t>
      </w:r>
      <w:r>
        <w:rPr>
          <w:rFonts w:ascii="Palatino Linotype" w:hAnsi="Palatino Linotype"/>
          <w:b/>
        </w:rPr>
        <w:t>EL SAIMEX,</w:t>
      </w:r>
      <w:r>
        <w:rPr>
          <w:rFonts w:ascii="Palatino Linotype" w:hAnsi="Palatino Linotype"/>
        </w:rPr>
        <w:t xml:space="preserve"> se advierte que en fecha diecinueve de febrero de dos mil veinte, </w:t>
      </w:r>
      <w:r>
        <w:rPr>
          <w:rFonts w:ascii="Palatino Linotype" w:hAnsi="Palatino Linotype" w:cs="Arial"/>
          <w:lang w:val="es-ES_tradnl"/>
        </w:rPr>
        <w:t>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193AD0" w:rsidRDefault="001A18A3">
      <w:pPr>
        <w:spacing w:line="276" w:lineRule="auto"/>
        <w:ind w:left="851" w:right="616"/>
        <w:jc w:val="right"/>
        <w:rPr>
          <w:rFonts w:ascii="Palatino Linotype" w:hAnsi="Palatino Linotype" w:cs="Arial"/>
          <w:i/>
          <w:lang w:val="es-ES"/>
        </w:rPr>
      </w:pPr>
      <w:r>
        <w:rPr>
          <w:rFonts w:ascii="Palatino Linotype" w:hAnsi="Palatino Linotype" w:cs="Arial"/>
          <w:i/>
          <w:lang w:val="es-ES"/>
        </w:rPr>
        <w:t>“Folio de la solicitud: 00066/ISEM/IP/2020</w:t>
      </w:r>
    </w:p>
    <w:p w:rsidR="00193AD0" w:rsidRDefault="001A18A3">
      <w:pPr>
        <w:spacing w:line="276" w:lineRule="auto"/>
        <w:ind w:left="851" w:right="616"/>
        <w:jc w:val="both"/>
        <w:rPr>
          <w:rFonts w:ascii="Palatino Linotype" w:hAnsi="Palatino Linotype" w:cs="Arial"/>
          <w:i/>
          <w:lang w:val="es-ES"/>
        </w:rPr>
      </w:pPr>
      <w:r>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93AD0" w:rsidRDefault="001A18A3">
      <w:pPr>
        <w:spacing w:line="276" w:lineRule="auto"/>
        <w:ind w:left="851" w:right="616"/>
        <w:jc w:val="both"/>
        <w:rPr>
          <w:rFonts w:ascii="Palatino Linotype" w:hAnsi="Palatino Linotype" w:cs="Arial"/>
          <w:i/>
          <w:lang w:val="es-ES"/>
        </w:rPr>
      </w:pPr>
      <w:r>
        <w:rPr>
          <w:rFonts w:ascii="Palatino Linotype" w:hAnsi="Palatino Linotype" w:cs="Arial"/>
          <w:i/>
          <w:lang w:val="es-ES"/>
        </w:rPr>
        <w:t>SE ENVÍA RESPUESTA.</w:t>
      </w:r>
    </w:p>
    <w:p w:rsidR="00193AD0" w:rsidRDefault="001A18A3">
      <w:pPr>
        <w:spacing w:line="276" w:lineRule="auto"/>
        <w:ind w:left="851" w:right="616"/>
        <w:jc w:val="both"/>
        <w:rPr>
          <w:rFonts w:ascii="Palatino Linotype" w:hAnsi="Palatino Linotype" w:cs="Arial"/>
          <w:i/>
          <w:lang w:val="es-ES"/>
        </w:rPr>
      </w:pPr>
      <w:r>
        <w:rPr>
          <w:rFonts w:ascii="Palatino Linotype" w:hAnsi="Palatino Linotype" w:cs="Arial"/>
          <w:i/>
          <w:lang w:val="es-ES"/>
        </w:rPr>
        <w:t>ATENTAMENTE</w:t>
      </w:r>
    </w:p>
    <w:p w:rsidR="00193AD0" w:rsidRDefault="001A18A3">
      <w:pPr>
        <w:spacing w:line="276" w:lineRule="auto"/>
        <w:ind w:left="851" w:right="616"/>
        <w:jc w:val="both"/>
        <w:rPr>
          <w:rFonts w:ascii="Palatino Linotype" w:hAnsi="Palatino Linotype" w:cs="Arial"/>
          <w:i/>
          <w:lang w:val="es-ES"/>
        </w:rPr>
      </w:pPr>
      <w:r>
        <w:rPr>
          <w:rFonts w:ascii="Palatino Linotype" w:hAnsi="Palatino Linotype" w:cs="Arial"/>
          <w:i/>
          <w:lang w:val="es-ES"/>
        </w:rPr>
        <w:t>LIC. ELOINA SILVETTE DÍAZ GUTIÉRREZ”</w:t>
      </w:r>
    </w:p>
    <w:p w:rsidR="00193AD0" w:rsidRDefault="00193AD0">
      <w:pPr>
        <w:spacing w:line="276" w:lineRule="auto"/>
        <w:ind w:left="851" w:right="616"/>
        <w:jc w:val="both"/>
        <w:rPr>
          <w:rFonts w:ascii="Palatino Linotype" w:hAnsi="Palatino Linotype" w:cs="Arial"/>
          <w:i/>
          <w:lang w:val="es-ES"/>
        </w:rPr>
      </w:pPr>
    </w:p>
    <w:p w:rsidR="00193AD0" w:rsidRDefault="001A18A3">
      <w:pPr>
        <w:spacing w:line="360" w:lineRule="auto"/>
        <w:jc w:val="both"/>
        <w:rPr>
          <w:rFonts w:ascii="Palatino Linotype" w:hAnsi="Palatino Linotype" w:cs="Arial"/>
          <w:lang w:val="es-ES"/>
        </w:rPr>
      </w:pPr>
      <w:r>
        <w:rPr>
          <w:rFonts w:ascii="Palatino Linotype" w:hAnsi="Palatino Linotype" w:cs="Arial"/>
          <w:lang w:val="es-ES"/>
        </w:rPr>
        <w:t xml:space="preserve">Cabe precisar que </w:t>
      </w:r>
      <w:r>
        <w:rPr>
          <w:rFonts w:ascii="Palatino Linotype" w:hAnsi="Palatino Linotype" w:cs="Arial"/>
          <w:b/>
          <w:lang w:val="es-ES"/>
        </w:rPr>
        <w:t>EL SUJETO OBLIGADO</w:t>
      </w:r>
      <w:r>
        <w:rPr>
          <w:rFonts w:ascii="Palatino Linotype" w:hAnsi="Palatino Linotype" w:cs="Arial"/>
          <w:lang w:val="es-ES"/>
        </w:rPr>
        <w:t xml:space="preserve"> adjuntó un archivo electrónico denominado </w:t>
      </w:r>
      <w:r>
        <w:rPr>
          <w:rFonts w:ascii="Palatino Linotype" w:hAnsi="Palatino Linotype" w:cs="Arial"/>
          <w:b/>
          <w:i/>
          <w:lang w:val="es-ES"/>
        </w:rPr>
        <w:t>SAIMEX-66.pdf,</w:t>
      </w:r>
      <w:r>
        <w:rPr>
          <w:rFonts w:ascii="Palatino Linotype" w:hAnsi="Palatino Linotype" w:cs="Arial"/>
          <w:lang w:val="es-ES"/>
        </w:rPr>
        <w:t xml:space="preserve"> el cual no se inserta en el presente apartado al ser del concomimiento de las partes; aunado a que, será materia de estudio en el apartado correspondiente y el cual contiene el oficio del Subdirector de Administración en el que le informó que derivado de una búsqueda exhaustiva y razonable en los archivos de esa Unidad Administrativa no se encontró documentación relacionada con la solicitud.</w:t>
      </w:r>
    </w:p>
    <w:p w:rsidR="00193AD0" w:rsidRDefault="00193AD0">
      <w:pPr>
        <w:spacing w:line="360" w:lineRule="auto"/>
        <w:jc w:val="both"/>
        <w:rPr>
          <w:rFonts w:ascii="Palatino Linotype" w:hAnsi="Palatino Linotype" w:cs="Arial"/>
          <w:i/>
          <w:lang w:val="es-ES"/>
        </w:rPr>
      </w:pPr>
    </w:p>
    <w:p w:rsidR="00193AD0" w:rsidRDefault="001A18A3">
      <w:pPr>
        <w:spacing w:line="360" w:lineRule="auto"/>
        <w:jc w:val="both"/>
        <w:rPr>
          <w:rFonts w:ascii="Palatino Linotype" w:hAnsi="Palatino Linotype" w:cs="Arial"/>
          <w:lang w:val="es-ES"/>
        </w:rPr>
      </w:pPr>
      <w:r>
        <w:rPr>
          <w:rFonts w:ascii="Palatino Linotype" w:hAnsi="Palatino Linotype" w:cs="Arial"/>
          <w:b/>
          <w:sz w:val="28"/>
          <w:szCs w:val="28"/>
          <w:lang w:val="es-ES"/>
        </w:rPr>
        <w:t xml:space="preserve">IV. </w:t>
      </w:r>
      <w:r>
        <w:rPr>
          <w:rFonts w:ascii="Palatino Linotype" w:hAnsi="Palatino Linotype"/>
          <w:lang w:val="es-ES"/>
        </w:rPr>
        <w:t xml:space="preserve">Inconforme con la </w:t>
      </w:r>
      <w:r>
        <w:rPr>
          <w:rFonts w:ascii="Palatino Linotype" w:hAnsi="Palatino Linotype" w:cs="Arial"/>
          <w:lang w:val="es-ES"/>
        </w:rPr>
        <w:t xml:space="preserve">respuesta el veinte de febrero de dos mil veinte, </w:t>
      </w:r>
      <w:r>
        <w:rPr>
          <w:rFonts w:ascii="Palatino Linotype" w:hAnsi="Palatino Linotype"/>
          <w:b/>
          <w:lang w:val="es-ES"/>
        </w:rPr>
        <w:t>EL RECURRENTE</w:t>
      </w:r>
      <w:r>
        <w:rPr>
          <w:rFonts w:ascii="Palatino Linotype" w:hAnsi="Palatino Linotype"/>
          <w:lang w:val="es-ES"/>
        </w:rPr>
        <w:t xml:space="preserve"> interpuso el recursos de revisión objeto del presente estudio, el cual fue registrado en </w:t>
      </w:r>
      <w:r>
        <w:rPr>
          <w:rFonts w:ascii="Palatino Linotype" w:hAnsi="Palatino Linotype"/>
          <w:b/>
          <w:lang w:val="es-ES"/>
        </w:rPr>
        <w:t>EL SAIMEX</w:t>
      </w:r>
      <w:r>
        <w:rPr>
          <w:rFonts w:ascii="Palatino Linotype" w:hAnsi="Palatino Linotype"/>
          <w:lang w:val="es-ES"/>
        </w:rPr>
        <w:t xml:space="preserve"> y se le asignó el número de expediente</w:t>
      </w:r>
      <w:r>
        <w:rPr>
          <w:rFonts w:ascii="Palatino Linotype" w:hAnsi="Palatino Linotype" w:cs="Arial"/>
          <w:lang w:val="es-ES"/>
        </w:rPr>
        <w:t xml:space="preserve"> </w:t>
      </w:r>
      <w:r>
        <w:rPr>
          <w:rFonts w:ascii="Palatino Linotype" w:hAnsi="Palatino Linotype"/>
          <w:lang w:eastAsia="es-MX"/>
        </w:rPr>
        <w:br/>
      </w:r>
      <w:r>
        <w:rPr>
          <w:rFonts w:ascii="Palatino Linotype" w:hAnsi="Palatino Linotype"/>
          <w:b/>
          <w:lang w:eastAsia="es-MX"/>
        </w:rPr>
        <w:t>01122/INFOEM/IP/RR/2020</w:t>
      </w:r>
      <w:r>
        <w:rPr>
          <w:rFonts w:ascii="Palatino Linotype" w:hAnsi="Palatino Linotype"/>
          <w:lang w:eastAsia="es-MX"/>
        </w:rPr>
        <w:t xml:space="preserve">, </w:t>
      </w:r>
      <w:r>
        <w:rPr>
          <w:rFonts w:ascii="Palatino Linotype" w:hAnsi="Palatino Linotype" w:cs="Arial"/>
          <w:lang w:val="es-ES"/>
        </w:rPr>
        <w:t>en el que señaló como acto impugnado y razones o motivos de inconformidad lo siguiente:</w:t>
      </w:r>
    </w:p>
    <w:p w:rsidR="00193AD0" w:rsidRDefault="00193AD0">
      <w:pPr>
        <w:spacing w:line="360" w:lineRule="auto"/>
        <w:jc w:val="both"/>
        <w:rPr>
          <w:rFonts w:ascii="Palatino Linotype" w:hAnsi="Palatino Linotype" w:cs="Arial"/>
          <w:lang w:val="es-ES"/>
        </w:rPr>
      </w:pPr>
    </w:p>
    <w:tbl>
      <w:tblPr>
        <w:tblStyle w:val="Tablaconcuadrcula"/>
        <w:tblW w:w="8828" w:type="dxa"/>
        <w:jc w:val="center"/>
        <w:tblLook w:val="04A0" w:firstRow="1" w:lastRow="0" w:firstColumn="1" w:lastColumn="0" w:noHBand="0" w:noVBand="1"/>
      </w:tblPr>
      <w:tblGrid>
        <w:gridCol w:w="2689"/>
        <w:gridCol w:w="2409"/>
        <w:gridCol w:w="3730"/>
      </w:tblGrid>
      <w:tr w:rsidR="00193AD0">
        <w:trPr>
          <w:jc w:val="center"/>
        </w:trPr>
        <w:tc>
          <w:tcPr>
            <w:tcW w:w="2689" w:type="dxa"/>
            <w:shd w:val="clear" w:color="auto" w:fill="000000" w:themeFill="text1"/>
            <w:vAlign w:val="center"/>
          </w:tcPr>
          <w:p w:rsidR="00193AD0" w:rsidRDefault="001A18A3">
            <w:pPr>
              <w:jc w:val="center"/>
              <w:rPr>
                <w:rFonts w:ascii="Palatino Linotype" w:hAnsi="Palatino Linotype"/>
                <w:b/>
              </w:rPr>
            </w:pPr>
            <w:r>
              <w:rPr>
                <w:rFonts w:ascii="Palatino Linotype" w:hAnsi="Palatino Linotype"/>
                <w:b/>
              </w:rPr>
              <w:t>Número de Recurso</w:t>
            </w:r>
          </w:p>
        </w:tc>
        <w:tc>
          <w:tcPr>
            <w:tcW w:w="2409" w:type="dxa"/>
            <w:shd w:val="clear" w:color="auto" w:fill="000000" w:themeFill="text1"/>
            <w:vAlign w:val="center"/>
          </w:tcPr>
          <w:p w:rsidR="00193AD0" w:rsidRDefault="001A18A3">
            <w:pPr>
              <w:jc w:val="center"/>
              <w:rPr>
                <w:rFonts w:ascii="Palatino Linotype" w:hAnsi="Palatino Linotype"/>
                <w:b/>
              </w:rPr>
            </w:pPr>
            <w:r>
              <w:rPr>
                <w:rFonts w:ascii="Palatino Linotype" w:hAnsi="Palatino Linotype"/>
                <w:b/>
              </w:rPr>
              <w:t>Acto Impugnado</w:t>
            </w:r>
          </w:p>
        </w:tc>
        <w:tc>
          <w:tcPr>
            <w:tcW w:w="3730" w:type="dxa"/>
            <w:shd w:val="clear" w:color="auto" w:fill="000000" w:themeFill="text1"/>
            <w:vAlign w:val="center"/>
          </w:tcPr>
          <w:p w:rsidR="00193AD0" w:rsidRDefault="001A18A3">
            <w:pPr>
              <w:jc w:val="center"/>
              <w:rPr>
                <w:rFonts w:ascii="Palatino Linotype" w:hAnsi="Palatino Linotype"/>
                <w:b/>
              </w:rPr>
            </w:pPr>
            <w:r>
              <w:rPr>
                <w:rFonts w:ascii="Palatino Linotype" w:hAnsi="Palatino Linotype"/>
                <w:b/>
              </w:rPr>
              <w:t>Razones o motivos de inconformidad</w:t>
            </w:r>
          </w:p>
        </w:tc>
      </w:tr>
      <w:tr w:rsidR="00193AD0">
        <w:trPr>
          <w:trHeight w:val="1384"/>
          <w:jc w:val="center"/>
        </w:trPr>
        <w:tc>
          <w:tcPr>
            <w:tcW w:w="2689" w:type="dxa"/>
          </w:tcPr>
          <w:p w:rsidR="00193AD0" w:rsidRDefault="001A18A3">
            <w:pPr>
              <w:rPr>
                <w:rFonts w:ascii="Palatino Linotype" w:hAnsi="Palatino Linotype"/>
                <w:sz w:val="20"/>
                <w:szCs w:val="20"/>
              </w:rPr>
            </w:pPr>
            <w:r>
              <w:rPr>
                <w:rFonts w:ascii="Palatino Linotype" w:hAnsi="Palatino Linotype"/>
                <w:b/>
                <w:sz w:val="20"/>
                <w:szCs w:val="20"/>
                <w:lang w:eastAsia="es-MX"/>
              </w:rPr>
              <w:t>01122/INFOEM/IP/RR/2020</w:t>
            </w:r>
          </w:p>
        </w:tc>
        <w:tc>
          <w:tcPr>
            <w:tcW w:w="2409" w:type="dxa"/>
          </w:tcPr>
          <w:p w:rsidR="00193AD0" w:rsidRDefault="001A18A3">
            <w:pPr>
              <w:jc w:val="both"/>
              <w:rPr>
                <w:rFonts w:ascii="Palatino Linotype" w:hAnsi="Palatino Linotype"/>
                <w:i/>
              </w:rPr>
            </w:pPr>
            <w:r>
              <w:rPr>
                <w:rFonts w:ascii="Palatino Linotype" w:hAnsi="Palatino Linotype"/>
                <w:i/>
              </w:rPr>
              <w:t>“La respuesta a la solicitud de información pública con folio electrónico No. 00066/ISEM/IP/2020 donde se afirma que en los archivos de esa Subdirección de Recursos Humanos del ISEM no se encuentra documento con las características solicitadas.”</w:t>
            </w:r>
          </w:p>
        </w:tc>
        <w:tc>
          <w:tcPr>
            <w:tcW w:w="3730" w:type="dxa"/>
          </w:tcPr>
          <w:p w:rsidR="00193AD0" w:rsidRDefault="001A18A3">
            <w:pPr>
              <w:jc w:val="both"/>
              <w:rPr>
                <w:rFonts w:ascii="Palatino Linotype" w:hAnsi="Palatino Linotype"/>
                <w:i/>
              </w:rPr>
            </w:pPr>
            <w:r>
              <w:rPr>
                <w:rFonts w:ascii="Palatino Linotype" w:hAnsi="Palatino Linotype"/>
                <w:i/>
              </w:rPr>
              <w:t>“Es de conocimiento público que el C. Héctor Gómez Morales se ostenta como Secretario General de la Sección 22 Valle de Toluca del Sindicato Nacional de Trabajadores de la Secretaria de Salud, misma sección que corresponde al ente obligado Instituto de Salud del Estado de México. Por tal razón, respetuosamente se debe considerar que, legalmente el C. Héctor Gómez Morale ocupa un código que determina su puesto y función (aún en el supuesto de contar con determinada comisión, con o sin goce de sueldo) y por lo tanto debe existir un registro de sus percepciones (salario), antigüedad y perfil académico. Por su atención gracias.”</w:t>
            </w:r>
          </w:p>
        </w:tc>
      </w:tr>
    </w:tbl>
    <w:p w:rsidR="00193AD0" w:rsidRDefault="00193AD0">
      <w:pPr>
        <w:spacing w:line="360" w:lineRule="auto"/>
        <w:ind w:right="49"/>
        <w:jc w:val="both"/>
        <w:rPr>
          <w:rFonts w:ascii="Palatino Linotype" w:hAnsi="Palatino Linotype" w:cs="Arial"/>
          <w:b/>
          <w:sz w:val="28"/>
          <w:szCs w:val="28"/>
          <w:lang w:val="es-ES"/>
        </w:rPr>
      </w:pPr>
    </w:p>
    <w:p w:rsidR="00193AD0" w:rsidRDefault="001A18A3">
      <w:pPr>
        <w:spacing w:line="360" w:lineRule="auto"/>
        <w:ind w:right="49"/>
        <w:jc w:val="both"/>
        <w:rPr>
          <w:rFonts w:ascii="Palatino Linotype" w:hAnsi="Palatino Linotype" w:cs="Arial"/>
          <w:lang w:val="es-ES"/>
        </w:rPr>
      </w:pPr>
      <w:r>
        <w:rPr>
          <w:rFonts w:ascii="Palatino Linotype" w:hAnsi="Palatino Linotype" w:cs="Arial"/>
          <w:lang w:val="es-ES"/>
        </w:rPr>
        <w:t xml:space="preserve">Cabe señalar que el particular adjunto un archivo electrónico denominado </w:t>
      </w:r>
      <w:r>
        <w:rPr>
          <w:rFonts w:ascii="Palatino Linotype" w:hAnsi="Palatino Linotype" w:cs="Arial"/>
          <w:b/>
          <w:i/>
          <w:lang w:val="es-ES"/>
        </w:rPr>
        <w:t>SAIMEX-66.pdf</w:t>
      </w:r>
      <w:r>
        <w:rPr>
          <w:rFonts w:ascii="Palatino Linotype" w:hAnsi="Palatino Linotype" w:cs="Arial"/>
          <w:lang w:val="es-ES"/>
        </w:rPr>
        <w:t xml:space="preserve">, el cual es la respuesta proporcionada por </w:t>
      </w:r>
      <w:r>
        <w:rPr>
          <w:rFonts w:ascii="Palatino Linotype" w:hAnsi="Palatino Linotype" w:cs="Arial"/>
          <w:b/>
          <w:lang w:val="es-ES"/>
        </w:rPr>
        <w:t>EL SUJETO OBLIGADO</w:t>
      </w:r>
      <w:r>
        <w:rPr>
          <w:rFonts w:ascii="Palatino Linotype" w:hAnsi="Palatino Linotype" w:cs="Arial"/>
          <w:lang w:val="es-ES"/>
        </w:rPr>
        <w:t>.</w:t>
      </w:r>
    </w:p>
    <w:p w:rsidR="00193AD0" w:rsidRDefault="001A18A3">
      <w:pPr>
        <w:spacing w:line="360" w:lineRule="auto"/>
        <w:ind w:right="49"/>
        <w:jc w:val="both"/>
        <w:rPr>
          <w:rFonts w:ascii="Palatino Linotype" w:hAnsi="Palatino Linotype"/>
          <w:lang w:eastAsia="es-MX"/>
        </w:rPr>
      </w:pPr>
      <w:r>
        <w:rPr>
          <w:rFonts w:ascii="Palatino Linotype" w:hAnsi="Palatino Linotype" w:cs="Arial"/>
          <w:b/>
          <w:sz w:val="28"/>
          <w:szCs w:val="28"/>
          <w:lang w:val="es-ES"/>
        </w:rPr>
        <w:t>V.</w:t>
      </w:r>
      <w:r>
        <w:rPr>
          <w:rFonts w:ascii="Palatino Linotype" w:hAnsi="Palatino Linotype" w:cs="Arial"/>
          <w:b/>
          <w:sz w:val="28"/>
          <w:lang w:val="es-ES"/>
        </w:rPr>
        <w:t xml:space="preserve"> </w:t>
      </w:r>
      <w:r>
        <w:rPr>
          <w:rFonts w:ascii="Palatino Linotype" w:hAnsi="Palatino Linotype" w:cs="Arial"/>
          <w:lang w:val="es-ES"/>
        </w:rPr>
        <w:t>El veinte de febrero de dos mil veinte</w:t>
      </w:r>
      <w:r>
        <w:rPr>
          <w:rFonts w:ascii="Palatino Linotype" w:hAnsi="Palatino Linotype"/>
          <w:lang w:val="es-ES"/>
        </w:rPr>
        <w:t>, el</w:t>
      </w:r>
      <w:r>
        <w:rPr>
          <w:rFonts w:ascii="Palatino Linotype" w:hAnsi="Palatino Linotype" w:cs="Arial"/>
          <w:lang w:val="es-ES"/>
        </w:rPr>
        <w:t xml:space="preserve"> </w:t>
      </w:r>
      <w:r>
        <w:rPr>
          <w:rFonts w:ascii="Palatino Linotype" w:hAnsi="Palatino Linotype" w:cs="Arial"/>
          <w:lang w:val="es-ES_tradnl"/>
        </w:rPr>
        <w:t>recurso de revisión de que</w:t>
      </w:r>
      <w:r>
        <w:rPr>
          <w:rFonts w:ascii="Palatino Linotype" w:hAnsi="Palatino Linotype" w:cs="Arial"/>
          <w:lang w:val="es-ES"/>
        </w:rPr>
        <w:t xml:space="preserve"> se trata</w:t>
      </w:r>
      <w:r>
        <w:rPr>
          <w:rFonts w:ascii="Palatino Linotype" w:hAnsi="Palatino Linotype" w:cs="Arial"/>
          <w:lang w:val="es-ES_tradnl"/>
        </w:rPr>
        <w:t xml:space="preserve"> se envió electrónicamente al Instituto de </w:t>
      </w:r>
      <w:r>
        <w:rPr>
          <w:rFonts w:ascii="Palatino Linotype" w:eastAsia="Arial Unicode MS" w:hAnsi="Palatino Linotype" w:cs="Arial"/>
          <w:lang w:val="es-ES"/>
        </w:rPr>
        <w:t>Transparencia</w:t>
      </w:r>
      <w:r>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Pr>
          <w:rFonts w:ascii="Palatino Linotype" w:hAnsi="Palatino Linotype"/>
          <w:lang w:val="es-ES"/>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lang w:val="es-ES"/>
        </w:rPr>
        <w:t>, el recurso</w:t>
      </w:r>
      <w:r>
        <w:rPr>
          <w:rFonts w:ascii="Palatino Linotype" w:hAnsi="Palatino Linotype" w:cs="Arial"/>
          <w:szCs w:val="20"/>
          <w:lang w:val="es-ES"/>
        </w:rPr>
        <w:t xml:space="preserve"> de revisión</w:t>
      </w:r>
      <w:r>
        <w:rPr>
          <w:rFonts w:ascii="Palatino Linotype" w:hAnsi="Palatino Linotype"/>
          <w:lang w:val="es-ES"/>
        </w:rPr>
        <w:t xml:space="preserve"> a la </w:t>
      </w:r>
      <w:r>
        <w:rPr>
          <w:rFonts w:ascii="Palatino Linotype" w:hAnsi="Palatino Linotype" w:cs="Arial"/>
          <w:lang w:val="es-ES_tradnl"/>
        </w:rPr>
        <w:t xml:space="preserve">Comisionada </w:t>
      </w:r>
      <w:r>
        <w:rPr>
          <w:rFonts w:ascii="Palatino Linotype" w:hAnsi="Palatino Linotype" w:cs="Arial"/>
          <w:b/>
          <w:lang w:val="es-ES_tradnl"/>
        </w:rPr>
        <w:t xml:space="preserve">EVA ABAID YAPUR, </w:t>
      </w:r>
      <w:r>
        <w:rPr>
          <w:rFonts w:ascii="Palatino Linotype" w:hAnsi="Palatino Linotype" w:cs="Arial"/>
          <w:lang w:val="es-ES_tradnl"/>
        </w:rPr>
        <w:t>a efecto de que decretaran su admisión o desechamiento.</w:t>
      </w:r>
      <w:r>
        <w:rPr>
          <w:rFonts w:ascii="Palatino Linotype" w:hAnsi="Palatino Linotype"/>
          <w:lang w:eastAsia="es-MX"/>
        </w:rPr>
        <w:t xml:space="preserve"> </w:t>
      </w:r>
    </w:p>
    <w:p w:rsidR="00193AD0" w:rsidRDefault="00193AD0">
      <w:pPr>
        <w:spacing w:line="360" w:lineRule="auto"/>
        <w:ind w:right="49"/>
        <w:jc w:val="both"/>
        <w:rPr>
          <w:rFonts w:ascii="Palatino Linotype" w:hAnsi="Palatino Linotype"/>
          <w:sz w:val="12"/>
          <w:lang w:eastAsia="es-MX"/>
        </w:rPr>
      </w:pPr>
    </w:p>
    <w:p w:rsidR="00193AD0" w:rsidRDefault="001A18A3">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cs="Arial"/>
          <w:b/>
          <w:sz w:val="28"/>
          <w:lang w:val="es-ES_tradnl"/>
        </w:rPr>
        <w:t xml:space="preserve">VI. </w:t>
      </w:r>
      <w:r>
        <w:rPr>
          <w:rFonts w:ascii="Palatino Linotype" w:eastAsia="MS Mincho" w:hAnsi="Palatino Linotype" w:cs="Arial"/>
          <w:lang w:val="es-ES_tradnl"/>
        </w:rPr>
        <w:t>De las constancias del expediente electrónico del</w:t>
      </w:r>
      <w:r>
        <w:rPr>
          <w:rFonts w:ascii="Palatino Linotype" w:eastAsia="MS Mincho" w:hAnsi="Palatino Linotype" w:cs="Arial"/>
          <w:b/>
          <w:lang w:val="es-ES_tradnl"/>
        </w:rPr>
        <w:t xml:space="preserve"> SAIMEX</w:t>
      </w:r>
      <w:r>
        <w:rPr>
          <w:rFonts w:ascii="Palatino Linotype" w:eastAsia="MS Mincho" w:hAnsi="Palatino Linotype" w:cs="Arial"/>
          <w:lang w:val="es-ES_tradnl"/>
        </w:rPr>
        <w:t xml:space="preserve">, se desprende que el veintiséis de febrero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MS Mincho" w:hAnsi="Palatino Linotype" w:cs="Arial"/>
          <w:b/>
          <w:lang w:val="es-ES_tradnl"/>
        </w:rPr>
        <w:t xml:space="preserve">EL SUJETO OBLIGADO </w:t>
      </w:r>
      <w:r>
        <w:rPr>
          <w:rFonts w:ascii="Palatino Linotype" w:eastAsia="MS Mincho" w:hAnsi="Palatino Linotype" w:cs="Arial"/>
          <w:lang w:val="es-ES_tradnl"/>
        </w:rPr>
        <w:t>rindiera su</w:t>
      </w:r>
      <w:r>
        <w:rPr>
          <w:rFonts w:ascii="Palatino Linotype" w:eastAsia="MS Mincho" w:hAnsi="Palatino Linotype" w:cs="Arial"/>
          <w:b/>
          <w:lang w:val="es-ES_tradnl"/>
        </w:rPr>
        <w:t xml:space="preserve"> </w:t>
      </w:r>
      <w:r>
        <w:rPr>
          <w:rFonts w:ascii="Palatino Linotype" w:eastAsia="MS Mincho" w:hAnsi="Palatino Linotype" w:cs="Arial"/>
          <w:lang w:val="es-ES_tradnl"/>
        </w:rPr>
        <w:t>Informe Justificado respectivamente.</w:t>
      </w:r>
    </w:p>
    <w:p w:rsidR="00193AD0" w:rsidRDefault="00193AD0">
      <w:pPr>
        <w:tabs>
          <w:tab w:val="center" w:pos="4252"/>
          <w:tab w:val="right" w:pos="8504"/>
        </w:tabs>
        <w:spacing w:line="360" w:lineRule="auto"/>
        <w:jc w:val="both"/>
        <w:rPr>
          <w:rFonts w:ascii="Palatino Linotype" w:eastAsia="MS Mincho" w:hAnsi="Palatino Linotype" w:cs="Arial"/>
          <w:sz w:val="20"/>
          <w:lang w:val="es-ES_tradnl"/>
        </w:rPr>
      </w:pPr>
    </w:p>
    <w:p w:rsidR="00193AD0" w:rsidRDefault="001A18A3">
      <w:pPr>
        <w:spacing w:line="360" w:lineRule="auto"/>
        <w:jc w:val="both"/>
        <w:rPr>
          <w:rFonts w:ascii="Palatino Linotype" w:hAnsi="Palatino Linotype" w:cs="Arial"/>
          <w:lang w:val="es-ES"/>
        </w:rPr>
      </w:pPr>
      <w:r>
        <w:rPr>
          <w:rFonts w:ascii="Palatino Linotype" w:hAnsi="Palatino Linotype"/>
          <w:b/>
          <w:sz w:val="28"/>
          <w:szCs w:val="28"/>
          <w:lang w:eastAsia="es-MX"/>
        </w:rPr>
        <w:t>VII.</w:t>
      </w:r>
      <w:r>
        <w:rPr>
          <w:rFonts w:ascii="Palatino Linotype" w:hAnsi="Palatino Linotype"/>
          <w:b/>
          <w:lang w:eastAsia="es-MX"/>
        </w:rPr>
        <w:t xml:space="preserve"> </w:t>
      </w:r>
      <w:r>
        <w:rPr>
          <w:rFonts w:ascii="Palatino Linotype" w:hAnsi="Palatino Linotype" w:cs="Arial"/>
          <w:lang w:val="es-ES"/>
        </w:rPr>
        <w:t xml:space="preserve">De las constancias que obran en el expediente electrónico del </w:t>
      </w:r>
      <w:r>
        <w:rPr>
          <w:rFonts w:ascii="Palatino Linotype" w:hAnsi="Palatino Linotype" w:cs="Arial"/>
          <w:b/>
          <w:lang w:val="es-ES"/>
        </w:rPr>
        <w:t>SAIMEX</w:t>
      </w:r>
      <w:r>
        <w:rPr>
          <w:rFonts w:ascii="Palatino Linotype" w:hAnsi="Palatino Linotype" w:cs="Arial"/>
          <w:lang w:val="es-ES"/>
        </w:rPr>
        <w:t xml:space="preserve">, se advierte que </w:t>
      </w:r>
      <w:r>
        <w:rPr>
          <w:rFonts w:ascii="Palatino Linotype" w:hAnsi="Palatino Linotype" w:cs="Arial"/>
          <w:b/>
          <w:lang w:val="es-ES"/>
        </w:rPr>
        <w:t>EL SUJETO OBLIGADO</w:t>
      </w:r>
      <w:r>
        <w:rPr>
          <w:rFonts w:ascii="Palatino Linotype" w:hAnsi="Palatino Linotype" w:cs="Arial"/>
          <w:lang w:val="es-ES"/>
        </w:rPr>
        <w:t xml:space="preserve"> fue omiso en rendir el Informe Justificado; por su parte, </w:t>
      </w:r>
      <w:r>
        <w:rPr>
          <w:rFonts w:ascii="Palatino Linotype" w:hAnsi="Palatino Linotype" w:cs="Arial"/>
          <w:b/>
          <w:lang w:val="es-ES"/>
        </w:rPr>
        <w:t>EL RECURRENTE</w:t>
      </w:r>
      <w:r>
        <w:rPr>
          <w:rFonts w:ascii="Palatino Linotype" w:hAnsi="Palatino Linotype" w:cs="Arial"/>
          <w:lang w:val="es-ES"/>
        </w:rPr>
        <w:t xml:space="preserve"> no presentó manifestaciones, alegatos ni ofreció los medios de prueba que a su derecho convinieran.</w:t>
      </w:r>
    </w:p>
    <w:p w:rsidR="00193AD0" w:rsidRDefault="00193AD0">
      <w:pPr>
        <w:tabs>
          <w:tab w:val="center" w:pos="4252"/>
          <w:tab w:val="right" w:pos="8504"/>
        </w:tabs>
        <w:spacing w:line="360" w:lineRule="auto"/>
        <w:jc w:val="both"/>
        <w:rPr>
          <w:rFonts w:ascii="Palatino Linotype" w:eastAsia="MS Mincho" w:hAnsi="Palatino Linotype"/>
          <w:b/>
          <w:sz w:val="18"/>
          <w:szCs w:val="28"/>
          <w:lang w:val="es-ES_tradnl"/>
        </w:rPr>
      </w:pPr>
    </w:p>
    <w:p w:rsidR="00193AD0" w:rsidRDefault="001A18A3">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b/>
          <w:sz w:val="28"/>
          <w:szCs w:val="28"/>
          <w:lang w:val="es-ES_tradnl"/>
        </w:rPr>
        <w:t xml:space="preserve">VIII. </w:t>
      </w:r>
      <w:r>
        <w:rPr>
          <w:rFonts w:ascii="Palatino Linotype" w:eastAsia="MS Mincho" w:hAnsi="Palatino Linotype" w:cs="Arial"/>
          <w:lang w:val="es-ES_tradnl"/>
        </w:rPr>
        <w:t xml:space="preserve">Una vez analizado el estado procesal que guarda el expediente, en fecha XXXXXXXX de XXXXXX de dos mil veinte, la Comisionada </w:t>
      </w:r>
      <w:r>
        <w:rPr>
          <w:rFonts w:ascii="Palatino Linotype" w:eastAsia="MS Mincho" w:hAnsi="Palatino Linotype" w:cs="Arial"/>
          <w:b/>
          <w:lang w:val="es-ES_tradnl"/>
        </w:rPr>
        <w:t xml:space="preserve">EVA ABAID YAPUR </w:t>
      </w:r>
      <w:r>
        <w:rPr>
          <w:rFonts w:ascii="Palatino Linotype" w:eastAsia="MS Mincho" w:hAnsi="Palatino Linotype" w:cs="Arial"/>
          <w:lang w:val="es-ES_tradnl"/>
        </w:rPr>
        <w:t xml:space="preserve">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 </w:t>
      </w:r>
    </w:p>
    <w:p w:rsidR="00193AD0" w:rsidRDefault="00193AD0">
      <w:pPr>
        <w:tabs>
          <w:tab w:val="center" w:pos="4252"/>
          <w:tab w:val="right" w:pos="8504"/>
        </w:tabs>
        <w:spacing w:line="360" w:lineRule="auto"/>
        <w:jc w:val="both"/>
        <w:rPr>
          <w:rFonts w:ascii="Palatino Linotype" w:eastAsia="MS Mincho" w:hAnsi="Palatino Linotype" w:cs="Arial"/>
          <w:sz w:val="14"/>
          <w:lang w:val="es-ES_tradnl"/>
        </w:rPr>
      </w:pPr>
    </w:p>
    <w:p w:rsidR="00193AD0" w:rsidRDefault="001A18A3">
      <w:pPr>
        <w:pStyle w:val="Default"/>
        <w:spacing w:line="360" w:lineRule="auto"/>
        <w:ind w:right="49"/>
        <w:jc w:val="both"/>
        <w:rPr>
          <w:rFonts w:ascii="Palatino Linotype" w:hAnsi="Palatino Linotype"/>
        </w:rPr>
      </w:pPr>
      <w:r>
        <w:rPr>
          <w:rFonts w:ascii="Palatino Linotype" w:hAnsi="Palatino Linotype"/>
          <w:b/>
          <w:sz w:val="28"/>
          <w:szCs w:val="28"/>
          <w:lang w:val="es-ES_tradnl"/>
        </w:rPr>
        <w:t>IX.</w:t>
      </w:r>
      <w:r>
        <w:rPr>
          <w:rFonts w:ascii="Palatino Linotype" w:hAnsi="Palatino Linotype"/>
          <w:lang w:val="es-ES_tradnl"/>
        </w:rPr>
        <w:t xml:space="preserve"> En fecha </w:t>
      </w:r>
      <w:r>
        <w:rPr>
          <w:rFonts w:ascii="Palatino Linotype" w:eastAsia="MS Mincho" w:hAnsi="Palatino Linotype"/>
          <w:lang w:val="es-ES_tradnl" w:eastAsia="es-ES"/>
        </w:rPr>
        <w:t xml:space="preserve">XXXXXX de XXXXXX </w:t>
      </w:r>
      <w:r>
        <w:rPr>
          <w:rFonts w:ascii="Palatino Linotype" w:hAnsi="Palatino Linotype"/>
          <w:lang w:val="es-ES_tradnl"/>
        </w:rPr>
        <w:t xml:space="preserve">de dos mil veinte, </w:t>
      </w:r>
      <w:r>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Pr>
          <w:rFonts w:ascii="Palatino Linotype" w:hAnsi="Palatino Linotype"/>
        </w:rPr>
        <w:t>; y</w:t>
      </w:r>
    </w:p>
    <w:p w:rsidR="00193AD0" w:rsidRDefault="00193AD0">
      <w:pPr>
        <w:pStyle w:val="Default"/>
        <w:spacing w:line="360" w:lineRule="auto"/>
        <w:ind w:right="49"/>
        <w:jc w:val="both"/>
        <w:rPr>
          <w:rFonts w:ascii="Palatino Linotype" w:hAnsi="Palatino Linotype"/>
        </w:rPr>
      </w:pPr>
    </w:p>
    <w:p w:rsidR="00193AD0" w:rsidRPr="0025438D" w:rsidRDefault="001A18A3">
      <w:pPr>
        <w:jc w:val="center"/>
        <w:rPr>
          <w:rFonts w:ascii="Palatino Linotype" w:hAnsi="Palatino Linotype"/>
          <w:b/>
          <w:szCs w:val="28"/>
          <w:lang w:val="pt-BR"/>
        </w:rPr>
      </w:pPr>
      <w:r w:rsidRPr="0025438D">
        <w:rPr>
          <w:rFonts w:ascii="Palatino Linotype" w:hAnsi="Palatino Linotype"/>
          <w:b/>
          <w:szCs w:val="28"/>
          <w:lang w:val="pt-BR"/>
        </w:rPr>
        <w:t>C O N S I D E R A N D O</w:t>
      </w:r>
    </w:p>
    <w:p w:rsidR="00193AD0" w:rsidRPr="0025438D" w:rsidRDefault="00193AD0">
      <w:pPr>
        <w:jc w:val="center"/>
        <w:rPr>
          <w:rFonts w:ascii="Palatino Linotype" w:hAnsi="Palatino Linotype"/>
          <w:b/>
          <w:szCs w:val="28"/>
          <w:lang w:val="pt-BR"/>
        </w:rPr>
      </w:pPr>
    </w:p>
    <w:p w:rsidR="00193AD0" w:rsidRDefault="001A18A3">
      <w:pPr>
        <w:spacing w:line="360" w:lineRule="auto"/>
        <w:ind w:right="50"/>
        <w:jc w:val="both"/>
        <w:rPr>
          <w:rFonts w:ascii="Palatino Linotype" w:hAnsi="Palatino Linotype" w:cs="Arial"/>
          <w:b/>
          <w:lang w:val="es-ES"/>
        </w:rPr>
      </w:pPr>
      <w:r>
        <w:rPr>
          <w:rFonts w:ascii="Palatino Linotype" w:hAnsi="Palatino Linotype"/>
          <w:b/>
          <w:sz w:val="28"/>
          <w:szCs w:val="28"/>
          <w:lang w:val="es-ES"/>
        </w:rPr>
        <w:t>PRIMERO</w:t>
      </w:r>
      <w:r>
        <w:rPr>
          <w:rFonts w:ascii="Palatino Linotype" w:hAnsi="Palatino Linotype"/>
          <w:b/>
          <w:lang w:val="es-ES"/>
        </w:rPr>
        <w:t>.</w:t>
      </w:r>
      <w:r>
        <w:rPr>
          <w:rFonts w:ascii="Palatino Linotype" w:hAnsi="Palatino Linotype"/>
          <w:lang w:val="es-ES"/>
        </w:rPr>
        <w:t xml:space="preserve"> </w:t>
      </w:r>
      <w:r>
        <w:rPr>
          <w:rFonts w:ascii="Palatino Linotype" w:hAnsi="Palatino Linotype"/>
          <w:b/>
          <w:i/>
          <w:lang w:val="es-ES"/>
        </w:rPr>
        <w:t>Competencia</w:t>
      </w:r>
      <w:r>
        <w:rPr>
          <w:rFonts w:ascii="Palatino Linotype" w:hAnsi="Palatino Linotype"/>
          <w:i/>
          <w:lang w:val="es-ES"/>
        </w:rPr>
        <w:t>.</w:t>
      </w:r>
      <w:r>
        <w:rPr>
          <w:rFonts w:ascii="Palatino Linotype" w:hAnsi="Palatino Linotype"/>
          <w:b/>
          <w:lang w:val="es-ES"/>
        </w:rPr>
        <w:t xml:space="preserve"> </w:t>
      </w:r>
      <w:r>
        <w:rPr>
          <w:rFonts w:ascii="Palatino Linotype" w:hAnsi="Palatino Linotype"/>
          <w:lang w:val="es-ES"/>
        </w:rPr>
        <w:t xml:space="preserve">Este Instituto de </w:t>
      </w:r>
      <w:r>
        <w:rPr>
          <w:rFonts w:ascii="Palatino Linotype" w:hAnsi="Palatino Linotype" w:cs="Arial"/>
          <w:lang w:val="es-ES"/>
        </w:rPr>
        <w:t>Transparencia</w:t>
      </w:r>
      <w:r>
        <w:rPr>
          <w:rFonts w:ascii="Palatino Linotype" w:hAnsi="Palatino Linotype"/>
          <w:lang w:val="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193AD0" w:rsidRDefault="00193AD0">
      <w:pPr>
        <w:spacing w:line="360" w:lineRule="auto"/>
        <w:jc w:val="both"/>
        <w:rPr>
          <w:rFonts w:ascii="Palatino Linotype" w:hAnsi="Palatino Linotype" w:cs="Arial"/>
          <w:b/>
          <w:lang w:val="es-ES"/>
        </w:rPr>
      </w:pPr>
    </w:p>
    <w:p w:rsidR="00193AD0" w:rsidRDefault="001A18A3">
      <w:pPr>
        <w:spacing w:line="360" w:lineRule="auto"/>
        <w:jc w:val="both"/>
        <w:rPr>
          <w:rFonts w:ascii="Palatino Linotype" w:hAnsi="Palatino Linotype" w:cs="Arial"/>
          <w:b/>
          <w:bCs/>
          <w:lang w:val="es-ES"/>
        </w:rPr>
      </w:pPr>
      <w:r>
        <w:rPr>
          <w:rFonts w:ascii="Palatino Linotype" w:hAnsi="Palatino Linotype" w:cs="Arial"/>
          <w:b/>
          <w:sz w:val="28"/>
          <w:lang w:val="es-ES"/>
        </w:rPr>
        <w:t>SEGUNDO</w:t>
      </w:r>
      <w:r>
        <w:rPr>
          <w:rFonts w:ascii="Palatino Linotype" w:hAnsi="Palatino Linotype" w:cs="Arial"/>
          <w:b/>
        </w:rPr>
        <w:t xml:space="preserve">. </w:t>
      </w:r>
      <w:r>
        <w:rPr>
          <w:rFonts w:ascii="Palatino Linotype" w:hAnsi="Palatino Linotype" w:cs="Arial"/>
          <w:b/>
          <w:i/>
          <w:lang w:val="es-ES"/>
        </w:rPr>
        <w:t>Interés.</w:t>
      </w:r>
      <w:r>
        <w:rPr>
          <w:rFonts w:ascii="Palatino Linotype" w:hAnsi="Palatino Linotype" w:cs="Arial"/>
          <w:b/>
          <w:lang w:val="es-ES"/>
        </w:rPr>
        <w:t xml:space="preserve"> </w:t>
      </w:r>
      <w:r>
        <w:rPr>
          <w:rFonts w:ascii="Palatino Linotype" w:hAnsi="Palatino Linotype" w:cs="Arial"/>
          <w:lang w:val="es-ES"/>
        </w:rPr>
        <w:t xml:space="preserve">El recurso de revisión fue interpuesto por parte legítima, en atención a que fue presentado por </w:t>
      </w:r>
      <w:r>
        <w:rPr>
          <w:rFonts w:ascii="Palatino Linotype" w:hAnsi="Palatino Linotype" w:cs="Arial"/>
          <w:b/>
          <w:lang w:val="es-ES"/>
        </w:rPr>
        <w:t>EL RECURRENTE</w:t>
      </w:r>
      <w:r>
        <w:rPr>
          <w:rFonts w:ascii="Palatino Linotype" w:hAnsi="Palatino Linotype" w:cs="Arial"/>
          <w:lang w:val="es-ES"/>
        </w:rPr>
        <w:t xml:space="preserve">, quien es la misma persona que formuló la solicitud de acceso a la información pública </w:t>
      </w:r>
      <w:r>
        <w:rPr>
          <w:rFonts w:ascii="Palatino Linotype" w:hAnsi="Palatino Linotype" w:cs="Arial"/>
          <w:bCs/>
          <w:lang w:val="es-ES"/>
        </w:rPr>
        <w:t xml:space="preserve">al </w:t>
      </w:r>
      <w:r>
        <w:rPr>
          <w:rFonts w:ascii="Palatino Linotype" w:hAnsi="Palatino Linotype" w:cs="Arial"/>
          <w:b/>
          <w:bCs/>
          <w:lang w:val="es-ES"/>
        </w:rPr>
        <w:t>SUJETO OBLIGADO.</w:t>
      </w:r>
    </w:p>
    <w:p w:rsidR="00193AD0" w:rsidRDefault="00193AD0">
      <w:pPr>
        <w:spacing w:line="360" w:lineRule="auto"/>
        <w:ind w:right="49"/>
        <w:contextualSpacing/>
        <w:jc w:val="both"/>
        <w:rPr>
          <w:rFonts w:ascii="Palatino Linotype" w:hAnsi="Palatino Linotype"/>
          <w:b/>
          <w:sz w:val="20"/>
          <w:lang w:val="es-ES"/>
        </w:rPr>
      </w:pPr>
    </w:p>
    <w:p w:rsidR="00193AD0" w:rsidRDefault="001A18A3">
      <w:pPr>
        <w:pStyle w:val="Prrafodelista"/>
        <w:spacing w:line="360" w:lineRule="auto"/>
        <w:ind w:left="0" w:right="49"/>
        <w:jc w:val="both"/>
        <w:rPr>
          <w:rFonts w:ascii="Palatino Linotype" w:hAnsi="Palatino Linotype" w:cs="Arial"/>
        </w:rPr>
      </w:pPr>
      <w:r>
        <w:rPr>
          <w:rFonts w:ascii="Palatino Linotype" w:hAnsi="Palatino Linotype"/>
          <w:b/>
          <w:sz w:val="28"/>
        </w:rPr>
        <w:t xml:space="preserve">TERCERO. </w:t>
      </w:r>
      <w:r>
        <w:rPr>
          <w:rFonts w:ascii="Palatino Linotype" w:hAnsi="Palatino Linotype" w:cs="Arial"/>
          <w:b/>
          <w:i/>
        </w:rPr>
        <w:t>Oportunidad.</w:t>
      </w:r>
      <w:r>
        <w:rPr>
          <w:rFonts w:ascii="Palatino Linotype" w:hAnsi="Palatino Linotype" w:cs="Arial"/>
          <w:b/>
        </w:rPr>
        <w:t xml:space="preserve">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93AD0" w:rsidRDefault="00193AD0">
      <w:pPr>
        <w:ind w:left="851" w:right="899"/>
        <w:jc w:val="both"/>
        <w:rPr>
          <w:rFonts w:ascii="Palatino Linotype" w:hAnsi="Palatino Linotype" w:cs="Arial"/>
        </w:rPr>
      </w:pPr>
    </w:p>
    <w:p w:rsidR="00193AD0" w:rsidRDefault="001A18A3">
      <w:pPr>
        <w:ind w:left="851" w:right="899"/>
        <w:jc w:val="both"/>
        <w:rPr>
          <w:rFonts w:ascii="Palatino Linotype" w:hAnsi="Palatino Linotype" w:cs="Arial"/>
          <w:i/>
        </w:rPr>
      </w:pPr>
      <w:r>
        <w:rPr>
          <w:rFonts w:ascii="Palatino Linotype" w:hAnsi="Palatino Linotype" w:cs="Arial"/>
          <w:b/>
          <w:i/>
        </w:rPr>
        <w:t>“Artículo 178.</w:t>
      </w:r>
      <w:r>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93AD0" w:rsidRDefault="001A18A3">
      <w:pPr>
        <w:ind w:left="851" w:right="899"/>
        <w:jc w:val="both"/>
        <w:rPr>
          <w:rFonts w:ascii="Palatino Linotype" w:hAnsi="Palatino Linotype" w:cs="Arial"/>
          <w:i/>
        </w:rPr>
      </w:pPr>
      <w:r>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93AD0" w:rsidRDefault="001A18A3">
      <w:pPr>
        <w:ind w:left="851" w:right="899"/>
        <w:jc w:val="both"/>
        <w:rPr>
          <w:rFonts w:ascii="Palatino Linotype" w:hAnsi="Palatino Linotype" w:cs="Arial"/>
          <w:i/>
        </w:rPr>
      </w:pPr>
      <w:r>
        <w:rPr>
          <w:rFonts w:ascii="Palatino Linotype" w:hAnsi="Palatino Linotype" w:cs="Arial"/>
          <w:i/>
        </w:rPr>
        <w:t>En el caso de que se interponga ante la Unidad de Transparencia, ésta deberá remitir el recurso de revisión al Instituto a más tardar al día siguiente de haberlo recibido.</w:t>
      </w:r>
      <w:r>
        <w:rPr>
          <w:rFonts w:ascii="Palatino Linotype" w:hAnsi="Palatino Linotype" w:cs="Arial"/>
          <w:b/>
          <w:i/>
        </w:rPr>
        <w:t>”</w:t>
      </w:r>
    </w:p>
    <w:p w:rsidR="00193AD0" w:rsidRDefault="00193AD0">
      <w:pPr>
        <w:ind w:left="851" w:right="899"/>
        <w:jc w:val="both"/>
        <w:rPr>
          <w:rFonts w:ascii="Palatino Linotype" w:hAnsi="Palatino Linotype" w:cs="Arial"/>
        </w:rPr>
      </w:pPr>
    </w:p>
    <w:p w:rsidR="00193AD0" w:rsidRDefault="001A18A3">
      <w:pPr>
        <w:spacing w:line="360" w:lineRule="auto"/>
        <w:jc w:val="both"/>
        <w:rPr>
          <w:rFonts w:ascii="Palatino Linotype" w:hAnsi="Palatino Linotype"/>
        </w:rPr>
      </w:pPr>
      <w:r>
        <w:rPr>
          <w:rFonts w:ascii="Palatino Linotype" w:hAnsi="Palatino Linotype" w:cs="Arial"/>
        </w:rPr>
        <w:t xml:space="preserve">En efecto,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día </w:t>
      </w:r>
      <w:r>
        <w:rPr>
          <w:rFonts w:ascii="Palatino Linotype" w:hAnsi="Palatino Linotype" w:cs="Arial"/>
          <w:b/>
        </w:rPr>
        <w:t>diecinueve de febrero de dos mil diecinueve</w:t>
      </w:r>
      <w:r>
        <w:rPr>
          <w:rFonts w:ascii="Palatino Linotype" w:hAnsi="Palatino Linotype" w:cs="Arial"/>
        </w:rPr>
        <w:t>,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 </w:t>
      </w:r>
      <w:r>
        <w:rPr>
          <w:rFonts w:ascii="Palatino Linotype" w:hAnsi="Palatino Linotype" w:cs="Arial"/>
          <w:b/>
        </w:rPr>
        <w:t>veinte de febrero al quince de marzo del dos mil veinte</w:t>
      </w:r>
      <w:r>
        <w:rPr>
          <w:rFonts w:ascii="Palatino Linotype" w:hAnsi="Palatino Linotype" w:cs="Arial"/>
        </w:rPr>
        <w:t xml:space="preserve">, </w:t>
      </w:r>
      <w:r>
        <w:rPr>
          <w:rFonts w:ascii="Palatino Linotype" w:hAnsi="Palatino Linotype" w:cs="Arial"/>
          <w:lang w:val="es-ES_tradnl"/>
        </w:rPr>
        <w:t>sin contemplar en el cómputo los días veintidós, veintitrés y veintinueve de febrero, uno siete y ocho de marzo de enero de dos mil veinte, por corresponder a sábados y domingos</w:t>
      </w:r>
      <w:r>
        <w:rPr>
          <w:rFonts w:ascii="Palatino Linotype" w:hAnsi="Palatino Linotype" w:cs="Arial"/>
        </w:rPr>
        <w:t xml:space="preserve">, considerados como días inhábiles, en términos del artículo 3 fracción X de la </w:t>
      </w:r>
      <w:r>
        <w:rPr>
          <w:rFonts w:ascii="Palatino Linotype" w:hAnsi="Palatino Linotype"/>
        </w:rPr>
        <w:t>Ley de Transparencia y Acceso a la Información Pública del Estado de México y Municipios; así como, el dos de marzo de dos mil veinte, considerado como día inhábil en términos del Calendario oficial publicado en el Periódico Oficial “Gaceta del Gobierno”, el diecinueve de diciembre de dos mil diecinueve.</w:t>
      </w:r>
    </w:p>
    <w:p w:rsidR="00193AD0" w:rsidRDefault="00193AD0">
      <w:pPr>
        <w:spacing w:line="360" w:lineRule="auto"/>
        <w:jc w:val="both"/>
        <w:rPr>
          <w:rFonts w:ascii="Palatino Linotype" w:hAnsi="Palatino Linotype" w:cs="Arial"/>
          <w:sz w:val="2"/>
        </w:rPr>
      </w:pPr>
    </w:p>
    <w:p w:rsidR="00193AD0" w:rsidRDefault="001A18A3">
      <w:pPr>
        <w:pStyle w:val="Prrafodelista"/>
        <w:widowControl w:val="0"/>
        <w:spacing w:before="120" w:after="120" w:line="360" w:lineRule="auto"/>
        <w:ind w:left="0"/>
        <w:contextualSpacing/>
        <w:jc w:val="both"/>
        <w:rPr>
          <w:rFonts w:ascii="Palatino Linotype" w:hAnsi="Palatino Linotype"/>
        </w:rPr>
      </w:pPr>
      <w:r>
        <w:rPr>
          <w:rFonts w:ascii="Palatino Linotype" w:hAnsi="Palatino Linotype"/>
        </w:rPr>
        <w:t xml:space="preserve">En ese tenor, si el recurso de revisión que nos ocupa, se interpuso el </w:t>
      </w:r>
      <w:r>
        <w:rPr>
          <w:rFonts w:ascii="Palatino Linotype" w:hAnsi="Palatino Linotype"/>
          <w:b/>
          <w:u w:val="single"/>
        </w:rPr>
        <w:t>veinte de febrero de dos mil veinte</w:t>
      </w:r>
      <w:r>
        <w:rPr>
          <w:rFonts w:ascii="Palatino Linotype" w:hAnsi="Palatino Linotype"/>
        </w:rPr>
        <w:t>, éste se encuentra dentro de los márgenes temporales previstos en el citado precepto legal y, por tanto, su interposición considera oportuna.</w:t>
      </w:r>
    </w:p>
    <w:p w:rsidR="00193AD0" w:rsidRDefault="00193AD0">
      <w:pPr>
        <w:pStyle w:val="Prrafodelista"/>
        <w:widowControl w:val="0"/>
        <w:spacing w:before="120" w:after="120" w:line="360" w:lineRule="auto"/>
        <w:ind w:left="0"/>
        <w:contextualSpacing/>
        <w:jc w:val="both"/>
        <w:rPr>
          <w:rFonts w:ascii="Palatino Linotype" w:hAnsi="Palatino Linotype"/>
          <w:sz w:val="18"/>
        </w:rPr>
      </w:pPr>
    </w:p>
    <w:p w:rsidR="00193AD0" w:rsidRDefault="001A18A3">
      <w:pPr>
        <w:pStyle w:val="Prrafodelista"/>
        <w:widowControl w:val="0"/>
        <w:tabs>
          <w:tab w:val="left" w:pos="1418"/>
        </w:tabs>
        <w:spacing w:before="200" w:after="200" w:line="360" w:lineRule="auto"/>
        <w:ind w:left="0"/>
        <w:contextualSpacing/>
        <w:jc w:val="both"/>
        <w:rPr>
          <w:rFonts w:ascii="Palatino Linotype" w:hAnsi="Palatino Linotype"/>
          <w:b/>
        </w:rPr>
      </w:pPr>
      <w:r>
        <w:rPr>
          <w:rFonts w:ascii="Palatino Linotype" w:hAnsi="Palatino Linotype" w:cs="Arial"/>
          <w:b/>
          <w:sz w:val="28"/>
          <w:szCs w:val="28"/>
        </w:rPr>
        <w:t>CUARTO.</w:t>
      </w:r>
      <w:r>
        <w:rPr>
          <w:rFonts w:ascii="Palatino Linotype" w:hAnsi="Palatino Linotype" w:cs="Arial"/>
          <w:b/>
          <w:szCs w:val="28"/>
        </w:rPr>
        <w:t xml:space="preserve"> Procedibilidad. </w:t>
      </w:r>
      <w:r>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Pr>
          <w:rFonts w:ascii="Palatino Linotype" w:hAnsi="Palatino Linotype" w:cs="Arial"/>
          <w:b/>
          <w:szCs w:val="28"/>
        </w:rPr>
        <w:t>SAIMEX</w:t>
      </w:r>
      <w:r>
        <w:rPr>
          <w:rFonts w:ascii="Palatino Linotype" w:hAnsi="Palatino Linotype" w:cs="Arial"/>
          <w:szCs w:val="28"/>
        </w:rPr>
        <w:t>.</w:t>
      </w:r>
    </w:p>
    <w:p w:rsidR="00193AD0" w:rsidRDefault="001A18A3">
      <w:pPr>
        <w:spacing w:line="360" w:lineRule="auto"/>
        <w:jc w:val="both"/>
        <w:rPr>
          <w:rFonts w:ascii="Palatino Linotype" w:hAnsi="Palatino Linotype" w:cs="Arial"/>
          <w:i/>
        </w:rPr>
      </w:pPr>
      <w:r>
        <w:rPr>
          <w:rFonts w:ascii="Palatino Linotype" w:hAnsi="Palatino Linotype" w:cs="Arial"/>
          <w:b/>
          <w:sz w:val="28"/>
          <w:szCs w:val="28"/>
        </w:rPr>
        <w:t>QUINTO</w:t>
      </w:r>
      <w:r>
        <w:rPr>
          <w:rFonts w:ascii="Palatino Linotype" w:hAnsi="Palatino Linotype" w:cs="Arial"/>
          <w:b/>
        </w:rPr>
        <w:t>. Estudio y resolución del recurso</w:t>
      </w:r>
      <w:r>
        <w:rPr>
          <w:rFonts w:ascii="Palatino Linotype" w:hAnsi="Palatino Linotype" w:cs="Arial"/>
        </w:rPr>
        <w:t xml:space="preserve">. Una vez determinada la vía sobre la que versará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a que da origen, es conveniente analizar si la respuesta del </w:t>
      </w:r>
      <w:r>
        <w:rPr>
          <w:rFonts w:ascii="Palatino Linotype" w:hAnsi="Palatino Linotype" w:cs="Arial"/>
          <w:b/>
          <w:lang w:eastAsia="es-MX"/>
        </w:rPr>
        <w:t>SUJETO OBLIGADO</w:t>
      </w:r>
      <w:r>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Pr>
          <w:rFonts w:ascii="Palatino Linotype" w:hAnsi="Palatino Linotype" w:cs="Arial"/>
          <w:b/>
        </w:rPr>
        <w:t>EL RECURRENTE</w:t>
      </w:r>
      <w:r>
        <w:rPr>
          <w:rFonts w:ascii="Palatino Linotype" w:hAnsi="Palatino Linotype" w:cs="Arial"/>
        </w:rPr>
        <w:t xml:space="preserve">, consistió en </w:t>
      </w:r>
      <w:r>
        <w:rPr>
          <w:rFonts w:ascii="Palatino Linotype" w:hAnsi="Palatino Linotype" w:cs="Arial"/>
          <w:i/>
        </w:rPr>
        <w:t>si el C. Héctor Gómez Morales trabaja en el Instituto de Salud del Estado de México (ISEM), si es así, se informe ¿cual es su puesto y función, jornada y horario de trabajo, percepciones, antigüedad y perfil académico?.</w:t>
      </w:r>
    </w:p>
    <w:p w:rsidR="00193AD0" w:rsidRDefault="0025438D">
      <w:pPr>
        <w:pStyle w:val="Prrafodelista"/>
        <w:widowControl w:val="0"/>
        <w:spacing w:after="120" w:line="360" w:lineRule="auto"/>
        <w:ind w:left="0"/>
        <w:contextualSpacing/>
        <w:jc w:val="both"/>
        <w:rPr>
          <w:rFonts w:ascii="Palatino Linotype" w:hAnsi="Palatino Linotype" w:cs="Arial"/>
        </w:rPr>
      </w:pPr>
      <w:r>
        <w:rPr>
          <w:noProof/>
          <w:lang w:eastAsia="es-MX"/>
        </w:rPr>
        <mc:AlternateContent>
          <mc:Choice Requires="wps">
            <w:drawing>
              <wp:anchor distT="0" distB="0" distL="0" distR="0" simplePos="0" relativeHeight="77" behindDoc="0" locked="0" layoutInCell="1" allowOverlap="1" wp14:anchorId="38B80A0B">
                <wp:simplePos x="0" y="0"/>
                <wp:positionH relativeFrom="column">
                  <wp:posOffset>72390</wp:posOffset>
                </wp:positionH>
                <wp:positionV relativeFrom="paragraph">
                  <wp:posOffset>1119506</wp:posOffset>
                </wp:positionV>
                <wp:extent cx="5991225" cy="3257550"/>
                <wp:effectExtent l="0" t="0" r="28575" b="19050"/>
                <wp:wrapNone/>
                <wp:docPr id="4" name="Conector recto 14"/>
                <wp:cNvGraphicFramePr/>
                <a:graphic xmlns:a="http://schemas.openxmlformats.org/drawingml/2006/main">
                  <a:graphicData uri="http://schemas.microsoft.com/office/word/2010/wordprocessingShape">
                    <wps:wsp>
                      <wps:cNvCnPr/>
                      <wps:spPr>
                        <a:xfrm>
                          <a:off x="0" y="0"/>
                          <a:ext cx="5991225" cy="3257550"/>
                        </a:xfrm>
                        <a:prstGeom prst="line">
                          <a:avLst/>
                        </a:prstGeom>
                        <a:ln w="28440"/>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1718FE8" id="Conector recto 14" o:spid="_x0000_s1026" style="position:absolute;z-index:7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5.7pt,88.15pt" to="477.45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EVvAEAALQDAAAOAAAAZHJzL2Uyb0RvYy54bWysU02P0zAQvSPxHyzfaT5oYDdquoeu4IKg&#10;YuEHeJ1xY8lfGpum/feM3RIqOCAQF8djz3vz3niyeThZw46AUXs38GZVcwZO+lG7w8C/fnn36o6z&#10;mIQbhfEOBn6GyB+2L19s5tBD6ydvRkBGJC72cxj4lFLoqyrKCayIKx/A0aXyaEWiEA/ViGImdmuq&#10;tq7fVLPHMaCXECOdPl4u+bbwKwUyfVIqQmJm4KQtlRXL+pzXarsR/QFFmLS8yhD/oMIK7ajoQvUo&#10;kmDfUP9GZbVEH71KK+lt5ZXSEooHctPUv7h5mkSA4oWaE8PSpvj/aOXH4x6ZHge+5swJS0+0o4eS&#10;ySPD/GHNOjdpDrGn3J3b4zWKYY/Z8UmhzV/ywk6lseelsXBKTNJhd3/ftG3HmaS71233tutK66uf&#10;8IAxvQdvWd4M3GiXnYteHD/ERCUp9UdKPjaOzQNv79brC1HWd1FUduls4JL2GRTZIw1NoSuDBTuD&#10;7ChoJISU4FKTHVIB4yg7w5Q2ZgHWfwZe8zMUytD9DXhBlMrepQVstfNYtN2YyttnP57LQ1Q5otEo&#10;8q9jnGfvNqb97c+2/Q4AAP//AwBQSwMEFAAGAAgAAAAhAPH6kfLgAAAACgEAAA8AAABkcnMvZG93&#10;bnJldi54bWxMj8FOg0AQhu8mvsNmTLzZBVtpoSyN1hjTpBfRpNcFRiBlZwm7FPr2jic9Tf7Ml3++&#10;SXez6cQFB9daUhAuAhBIpa1aqhV8fb49bEA4r6nSnSVUcEUHu+z2JtVJZSf6wEvua8El5BKtoPG+&#10;T6R0ZYNGu4XtkXj3bQejPcehltWgJy43nXwMgkga3RJfaHSP+wbLcz4aBcfX8fw+ERb2ZX2c6HDd&#10;R6cwV+r+bn7egvA4+z8YfvVZHTJ2KuxIlRMd53DFJM91tATBQPy0ikEUCqJNvASZpfL/C9kPAAAA&#10;//8DAFBLAQItABQABgAIAAAAIQC2gziS/gAAAOEBAAATAAAAAAAAAAAAAAAAAAAAAABbQ29udGVu&#10;dF9UeXBlc10ueG1sUEsBAi0AFAAGAAgAAAAhADj9If/WAAAAlAEAAAsAAAAAAAAAAAAAAAAALwEA&#10;AF9yZWxzLy5yZWxzUEsBAi0AFAAGAAgAAAAhAA6BoRW8AQAAtAMAAA4AAAAAAAAAAAAAAAAALgIA&#10;AGRycy9lMm9Eb2MueG1sUEsBAi0AFAAGAAgAAAAhAPH6kfLgAAAACgEAAA8AAAAAAAAAAAAAAAAA&#10;FgQAAGRycy9kb3ducmV2LnhtbFBLBQYAAAAABAAEAPMAAAAjBQAAAAA=&#10;" strokecolor="#4579b8 [3044]" strokeweight=".79mm"/>
            </w:pict>
          </mc:Fallback>
        </mc:AlternateContent>
      </w:r>
      <w:r w:rsidR="001A18A3">
        <w:rPr>
          <w:rFonts w:ascii="Palatino Linotype" w:hAnsi="Palatino Linotype" w:cs="Arial"/>
        </w:rPr>
        <w:t xml:space="preserve">En respuesta, </w:t>
      </w:r>
      <w:r w:rsidR="001A18A3">
        <w:rPr>
          <w:rFonts w:ascii="Palatino Linotype" w:hAnsi="Palatino Linotype" w:cs="Arial"/>
          <w:b/>
        </w:rPr>
        <w:t>EL SUJETO OBLIGADO</w:t>
      </w:r>
      <w:r w:rsidR="001A18A3">
        <w:rPr>
          <w:rFonts w:ascii="Palatino Linotype" w:hAnsi="Palatino Linotype" w:cs="Arial"/>
        </w:rPr>
        <w:t xml:space="preserve"> le informó que derivado de una búsqueda exhaustiva y razonable en los archivos de la subdirección de Recursos Humanos no se encontró documentación con las características requeridas, como se muestra a continuación:</w:t>
      </w:r>
    </w:p>
    <w:p w:rsidR="00193AD0" w:rsidRDefault="00193AD0">
      <w:pPr>
        <w:pStyle w:val="Prrafodelista"/>
        <w:widowControl w:val="0"/>
        <w:spacing w:after="120" w:line="360" w:lineRule="auto"/>
        <w:ind w:left="0"/>
        <w:contextualSpacing/>
        <w:jc w:val="both"/>
        <w:rPr>
          <w:rFonts w:ascii="Palatino Linotype" w:hAnsi="Palatino Linotype" w:cs="Arial"/>
        </w:rPr>
      </w:pPr>
    </w:p>
    <w:p w:rsidR="00193AD0" w:rsidRDefault="00193AD0">
      <w:pPr>
        <w:pStyle w:val="Prrafodelista"/>
        <w:widowControl w:val="0"/>
        <w:spacing w:after="120" w:line="360" w:lineRule="auto"/>
        <w:ind w:left="0"/>
        <w:contextualSpacing/>
        <w:jc w:val="both"/>
        <w:rPr>
          <w:rFonts w:ascii="Palatino Linotype" w:hAnsi="Palatino Linotype" w:cs="Arial"/>
        </w:rPr>
      </w:pPr>
    </w:p>
    <w:p w:rsidR="00193AD0" w:rsidRDefault="00193AD0">
      <w:pPr>
        <w:pStyle w:val="Prrafodelista"/>
        <w:widowControl w:val="0"/>
        <w:spacing w:after="120" w:line="360" w:lineRule="auto"/>
        <w:ind w:left="0"/>
        <w:contextualSpacing/>
        <w:jc w:val="both"/>
        <w:rPr>
          <w:rFonts w:ascii="Palatino Linotype" w:hAnsi="Palatino Linotype" w:cs="Arial"/>
        </w:rPr>
      </w:pPr>
    </w:p>
    <w:p w:rsidR="00193AD0" w:rsidRDefault="00193AD0">
      <w:pPr>
        <w:pStyle w:val="Prrafodelista"/>
        <w:widowControl w:val="0"/>
        <w:spacing w:after="120" w:line="360" w:lineRule="auto"/>
        <w:ind w:left="0"/>
        <w:contextualSpacing/>
        <w:jc w:val="both"/>
        <w:rPr>
          <w:rFonts w:ascii="Palatino Linotype" w:hAnsi="Palatino Linotype" w:cs="Arial"/>
        </w:rPr>
      </w:pPr>
    </w:p>
    <w:p w:rsidR="00193AD0" w:rsidRDefault="001A18A3">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34025" cy="741045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9"/>
                    <a:srcRect l="34461" t="16304" r="35510" b="16083"/>
                    <a:stretch>
                      <a:fillRect/>
                    </a:stretch>
                  </pic:blipFill>
                  <pic:spPr bwMode="auto">
                    <a:xfrm>
                      <a:off x="0" y="0"/>
                      <a:ext cx="5534025" cy="7410450"/>
                    </a:xfrm>
                    <a:prstGeom prst="rect">
                      <a:avLst/>
                    </a:prstGeom>
                  </pic:spPr>
                </pic:pic>
              </a:graphicData>
            </a:graphic>
          </wp:inline>
        </w:drawing>
      </w:r>
      <w:r>
        <w:rPr>
          <w:noProof/>
          <w:lang w:eastAsia="es-MX"/>
        </w:rPr>
        <mc:AlternateContent>
          <mc:Choice Requires="wps">
            <w:drawing>
              <wp:anchor distT="0" distB="0" distL="0" distR="0" simplePos="0" relativeHeight="72" behindDoc="0" locked="0" layoutInCell="1" allowOverlap="1" wp14:anchorId="54C9EC9D">
                <wp:simplePos x="0" y="0"/>
                <wp:positionH relativeFrom="column">
                  <wp:posOffset>567690</wp:posOffset>
                </wp:positionH>
                <wp:positionV relativeFrom="paragraph">
                  <wp:posOffset>3287395</wp:posOffset>
                </wp:positionV>
                <wp:extent cx="4762500" cy="1579880"/>
                <wp:effectExtent l="19050" t="19050" r="19685" b="20955"/>
                <wp:wrapNone/>
                <wp:docPr id="5" name="Rectángulo 4"/>
                <wp:cNvGraphicFramePr/>
                <a:graphic xmlns:a="http://schemas.openxmlformats.org/drawingml/2006/main">
                  <a:graphicData uri="http://schemas.microsoft.com/office/word/2010/wordprocessingShape">
                    <wps:wsp>
                      <wps:cNvSpPr/>
                      <wps:spPr>
                        <a:xfrm>
                          <a:off x="0" y="0"/>
                          <a:ext cx="4761720" cy="1579320"/>
                        </a:xfrm>
                        <a:prstGeom prst="rect">
                          <a:avLst/>
                        </a:prstGeom>
                        <a:noFill/>
                        <a:ln w="2844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4" stroked="t" style="position:absolute;margin-left:44.7pt;margin-top:258.85pt;width:374.9pt;height:124.3pt" wp14:anchorId="54C9EC9D">
                <w10:wrap type="none"/>
                <v:fill o:detectmouseclick="t" on="false"/>
                <v:stroke color="red" weight="28440" joinstyle="miter" endcap="flat"/>
              </v:rect>
            </w:pict>
          </mc:Fallback>
        </mc:AlternateContent>
      </w:r>
    </w:p>
    <w:p w:rsidR="00193AD0" w:rsidRDefault="001A18A3">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Por lo anterior, es que </w:t>
      </w:r>
      <w:r>
        <w:rPr>
          <w:rFonts w:ascii="Palatino Linotype" w:hAnsi="Palatino Linotype" w:cs="Arial"/>
          <w:b/>
        </w:rPr>
        <w:t>EL SUJETO OBLIGADO</w:t>
      </w:r>
      <w:r>
        <w:rPr>
          <w:rFonts w:ascii="Palatino Linotype" w:hAnsi="Palatino Linotype" w:cs="Arial"/>
        </w:rPr>
        <w:t xml:space="preserve"> afirmó que en sus archivos no se cuenta con un documento con la información solicitada por el particular.</w:t>
      </w:r>
    </w:p>
    <w:p w:rsidR="00193AD0" w:rsidRDefault="00193AD0">
      <w:pPr>
        <w:pStyle w:val="Prrafodelista"/>
        <w:widowControl w:val="0"/>
        <w:spacing w:after="120" w:line="360" w:lineRule="auto"/>
        <w:ind w:left="0"/>
        <w:contextualSpacing/>
        <w:jc w:val="both"/>
        <w:rPr>
          <w:rFonts w:ascii="Palatino Linotype" w:hAnsi="Palatino Linotype" w:cs="Arial"/>
          <w:sz w:val="16"/>
        </w:rPr>
      </w:pPr>
    </w:p>
    <w:p w:rsidR="00193AD0" w:rsidRDefault="001A18A3">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Sin embargo, </w:t>
      </w:r>
      <w:r>
        <w:rPr>
          <w:rFonts w:ascii="Palatino Linotype" w:hAnsi="Palatino Linotype" w:cs="Arial"/>
          <w:b/>
        </w:rPr>
        <w:t>EL SUEJTO OBLIGADO</w:t>
      </w:r>
      <w:r>
        <w:rPr>
          <w:rFonts w:ascii="Palatino Linotype" w:hAnsi="Palatino Linotype" w:cs="Arial"/>
        </w:rPr>
        <w:t xml:space="preserve"> no negó que se encontrara la persona requerida adscrito al Instituto, por lo que puede haber documentación que obre en sus archivos, como lo es el expediente laboral; esto es porque, si bien se refiere que no encontró un documento con las características, es deber de la autoridad hacer una correcta interpretación de lo requerido por el particular y buscar el documento que exprese con lo solicitado.</w:t>
      </w:r>
    </w:p>
    <w:p w:rsidR="00193AD0" w:rsidRDefault="00193AD0">
      <w:pPr>
        <w:pStyle w:val="Prrafodelista"/>
        <w:widowControl w:val="0"/>
        <w:spacing w:after="120" w:line="360" w:lineRule="auto"/>
        <w:ind w:left="0"/>
        <w:contextualSpacing/>
        <w:jc w:val="both"/>
        <w:rPr>
          <w:rFonts w:ascii="Palatino Linotype" w:hAnsi="Palatino Linotype" w:cs="Arial"/>
          <w:sz w:val="16"/>
        </w:rPr>
      </w:pPr>
    </w:p>
    <w:p w:rsidR="00193AD0" w:rsidRDefault="001A18A3">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Refuerza lo anterior el criterio de interpretación número 16/17 emitido por el Instituto Nacional de Transparencia, Acceso a la Información y Protección de Datos Personales que expresa lo que sigue:</w:t>
      </w:r>
    </w:p>
    <w:p w:rsidR="00193AD0" w:rsidRDefault="001A18A3">
      <w:pPr>
        <w:spacing w:line="276" w:lineRule="auto"/>
        <w:ind w:left="851" w:right="618"/>
        <w:jc w:val="both"/>
        <w:rPr>
          <w:rFonts w:ascii="Palatino Linotype" w:hAnsi="Palatino Linotype" w:cs="Arial"/>
          <w:i/>
          <w:color w:val="000000" w:themeColor="text1"/>
          <w:lang w:val="es-ES"/>
        </w:rPr>
      </w:pPr>
      <w:r>
        <w:rPr>
          <w:rFonts w:ascii="Palatino Linotype" w:hAnsi="Palatino Linotype" w:cs="Arial"/>
          <w:b/>
          <w:bCs/>
          <w:i/>
        </w:rPr>
        <w:t xml:space="preserve">“Expresión documental. </w:t>
      </w:r>
      <w:r>
        <w:rPr>
          <w:rFonts w:ascii="Palatino Linotype" w:hAnsi="Palatino Linotype" w:cs="Arial"/>
          <w:bCs/>
          <w:i/>
        </w:rPr>
        <w:t>Cuando</w:t>
      </w:r>
      <w:r>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Pr>
          <w:rFonts w:ascii="Palatino Linotype" w:hAnsi="Palatino Linotype" w:cs="Arial"/>
          <w:i/>
        </w:rPr>
        <w:t>o bien, la solicitud constituya una consulta,</w:t>
      </w:r>
      <w:r>
        <w:rPr>
          <w:rFonts w:ascii="Palatino Linotype" w:hAnsi="Palatino Linotype" w:cs="Arial"/>
          <w:i/>
          <w:color w:val="000000" w:themeColor="text1"/>
          <w:lang w:val="es-ES"/>
        </w:rPr>
        <w:t xml:space="preserve"> pero la respuesta pudiera obrar en algún documento en poder de los sujetos obligados, éstos deben dar a dichas solicitudes una interpretación que les otorgue una expresión documental. </w:t>
      </w:r>
    </w:p>
    <w:p w:rsidR="00193AD0" w:rsidRDefault="001A18A3">
      <w:pPr>
        <w:ind w:left="851" w:right="616"/>
        <w:jc w:val="both"/>
        <w:rPr>
          <w:rFonts w:ascii="Palatino Linotype" w:hAnsi="Palatino Linotype" w:cs="Arial"/>
          <w:b/>
          <w:i/>
        </w:rPr>
      </w:pPr>
      <w:r>
        <w:rPr>
          <w:rFonts w:ascii="Palatino Linotype" w:hAnsi="Palatino Linotype" w:cs="Arial"/>
          <w:b/>
          <w:i/>
        </w:rPr>
        <w:t>Resoluciones:</w:t>
      </w:r>
    </w:p>
    <w:p w:rsidR="00193AD0" w:rsidRDefault="001A18A3">
      <w:pPr>
        <w:pStyle w:val="Prrafodelista"/>
        <w:widowControl w:val="0"/>
        <w:spacing w:after="120" w:line="276" w:lineRule="auto"/>
        <w:ind w:left="851" w:right="616"/>
        <w:contextualSpacing/>
        <w:jc w:val="both"/>
        <w:rPr>
          <w:rFonts w:ascii="Palatino Linotype" w:hAnsi="Palatino Linotype" w:cs="Arial"/>
          <w:i/>
          <w:sz w:val="22"/>
          <w:szCs w:val="22"/>
        </w:rPr>
      </w:pPr>
      <w:r>
        <w:rPr>
          <w:rFonts w:ascii="Palatino Linotype" w:hAnsi="Palatino Linotype" w:cs="Arial"/>
          <w:b/>
          <w:i/>
          <w:sz w:val="22"/>
          <w:szCs w:val="22"/>
        </w:rPr>
        <w:t xml:space="preserve">RRA 0774/16. </w:t>
      </w:r>
      <w:r>
        <w:rPr>
          <w:rFonts w:ascii="Palatino Linotype" w:hAnsi="Palatino Linotype" w:cs="Arial"/>
          <w:i/>
          <w:sz w:val="22"/>
          <w:szCs w:val="22"/>
        </w:rPr>
        <w:t>Secretaría de Salud. 31 de agosto de 2016. Por unanimidad. Comisionada Ponente María Patricia Kurczyn Villalobos.</w:t>
      </w:r>
    </w:p>
    <w:p w:rsidR="00193AD0" w:rsidRDefault="001A18A3">
      <w:pPr>
        <w:pStyle w:val="Prrafodelista"/>
        <w:widowControl w:val="0"/>
        <w:spacing w:after="120" w:line="276" w:lineRule="auto"/>
        <w:ind w:left="851" w:right="616"/>
        <w:contextualSpacing/>
        <w:jc w:val="both"/>
        <w:rPr>
          <w:rFonts w:ascii="Palatino Linotype" w:hAnsi="Palatino Linotype" w:cs="Arial"/>
          <w:i/>
          <w:sz w:val="22"/>
          <w:szCs w:val="22"/>
        </w:rPr>
      </w:pPr>
      <w:r>
        <w:rPr>
          <w:rFonts w:ascii="Palatino Linotype" w:hAnsi="Palatino Linotype" w:cs="Arial"/>
          <w:b/>
          <w:i/>
          <w:sz w:val="22"/>
          <w:szCs w:val="22"/>
        </w:rPr>
        <w:t>RRA 0143/17.</w:t>
      </w:r>
      <w:r>
        <w:rPr>
          <w:rFonts w:ascii="Palatino Linotype" w:hAnsi="Palatino Linotype" w:cs="Arial"/>
          <w:i/>
          <w:sz w:val="22"/>
          <w:szCs w:val="22"/>
        </w:rPr>
        <w:t xml:space="preserve"> Universidad Autónoma Agraria Antonio Narro. 22 de febrero de 2017. Por unanimidad. Comisionado Ponente Oscar Mauricio Guerra Ford. </w:t>
      </w:r>
    </w:p>
    <w:p w:rsidR="00193AD0" w:rsidRDefault="001A18A3">
      <w:pPr>
        <w:pStyle w:val="Prrafodelista"/>
        <w:widowControl w:val="0"/>
        <w:spacing w:after="120" w:line="276" w:lineRule="auto"/>
        <w:ind w:left="851" w:right="616"/>
        <w:contextualSpacing/>
        <w:jc w:val="both"/>
        <w:rPr>
          <w:rFonts w:ascii="Palatino Linotype" w:hAnsi="Palatino Linotype" w:cs="Arial"/>
          <w:i/>
          <w:sz w:val="22"/>
          <w:szCs w:val="22"/>
        </w:rPr>
      </w:pPr>
      <w:r>
        <w:rPr>
          <w:rFonts w:ascii="Palatino Linotype" w:hAnsi="Palatino Linotype" w:cs="Arial"/>
          <w:b/>
          <w:i/>
          <w:sz w:val="22"/>
          <w:szCs w:val="22"/>
        </w:rPr>
        <w:t>RRA 0540/17.</w:t>
      </w:r>
      <w:r>
        <w:rPr>
          <w:rFonts w:ascii="Palatino Linotype" w:hAnsi="Palatino Linotype" w:cs="Arial"/>
          <w:i/>
          <w:sz w:val="22"/>
          <w:szCs w:val="22"/>
        </w:rPr>
        <w:t xml:space="preserve"> Secretaría de Economía. 08 de marzo del 2017. Por unanimidad. Comisionado Ponente Francisco Javier Acuña Llamas.”</w:t>
      </w:r>
    </w:p>
    <w:p w:rsidR="00193AD0" w:rsidRDefault="00193AD0">
      <w:pPr>
        <w:pStyle w:val="Prrafodelista"/>
        <w:widowControl w:val="0"/>
        <w:spacing w:after="120" w:line="360" w:lineRule="auto"/>
        <w:ind w:left="0"/>
        <w:contextualSpacing/>
        <w:jc w:val="both"/>
        <w:rPr>
          <w:rFonts w:ascii="Palatino Linotype" w:hAnsi="Palatino Linotype" w:cs="Arial"/>
        </w:rPr>
      </w:pPr>
    </w:p>
    <w:p w:rsidR="00193AD0" w:rsidRDefault="001A18A3">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De lo anterior, el Manual General de Organización del Instituto de Salud del Estado de México, estable cuáles son las atribuciones y funciones de las áreas que la componen y de la que se desprende dicha Subdirección, como a continuación se observa:</w:t>
      </w:r>
    </w:p>
    <w:p w:rsidR="00193AD0" w:rsidRDefault="001A18A3">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88000" cy="5398770"/>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pic:cNvPicPr>
                      <a:picLocks noChangeAspect="1" noChangeArrowheads="1"/>
                    </pic:cNvPicPr>
                  </pic:nvPicPr>
                  <pic:blipFill>
                    <a:blip r:embed="rId10"/>
                    <a:srcRect l="31288" t="12057" r="33000" b="5625"/>
                    <a:stretch>
                      <a:fillRect/>
                    </a:stretch>
                  </pic:blipFill>
                  <pic:spPr bwMode="auto">
                    <a:xfrm>
                      <a:off x="0" y="0"/>
                      <a:ext cx="5588000" cy="5398770"/>
                    </a:xfrm>
                    <a:prstGeom prst="rect">
                      <a:avLst/>
                    </a:prstGeom>
                  </pic:spPr>
                </pic:pic>
              </a:graphicData>
            </a:graphic>
          </wp:inline>
        </w:drawing>
      </w:r>
    </w:p>
    <w:p w:rsidR="00193AD0" w:rsidRDefault="001A18A3">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57520" cy="7805420"/>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pic:cNvPicPr>
                      <a:picLocks noChangeAspect="1" noChangeArrowheads="1"/>
                    </pic:cNvPicPr>
                  </pic:nvPicPr>
                  <pic:blipFill>
                    <a:blip r:embed="rId11"/>
                    <a:srcRect l="37023" t="15999" r="38219" b="21171"/>
                    <a:stretch>
                      <a:fillRect/>
                    </a:stretch>
                  </pic:blipFill>
                  <pic:spPr bwMode="auto">
                    <a:xfrm>
                      <a:off x="0" y="0"/>
                      <a:ext cx="5557520" cy="7805420"/>
                    </a:xfrm>
                    <a:prstGeom prst="rect">
                      <a:avLst/>
                    </a:prstGeom>
                  </pic:spPr>
                </pic:pic>
              </a:graphicData>
            </a:graphic>
          </wp:inline>
        </w:drawing>
      </w:r>
    </w:p>
    <w:p w:rsidR="00193AD0" w:rsidRDefault="001A18A3">
      <w:pPr>
        <w:pStyle w:val="Prrafodelista"/>
        <w:widowControl w:val="0"/>
        <w:spacing w:after="120" w:line="360" w:lineRule="auto"/>
        <w:ind w:left="0"/>
        <w:contextualSpacing/>
        <w:jc w:val="both"/>
        <w:rPr>
          <w:rFonts w:ascii="Palatino Linotype" w:hAnsi="Palatino Linotype" w:cs="Arial"/>
        </w:rPr>
      </w:pPr>
      <w:r>
        <w:rPr>
          <w:noProof/>
          <w:lang w:eastAsia="es-MX"/>
        </w:rPr>
        <w:drawing>
          <wp:anchor distT="0" distB="0" distL="114300" distR="114300" simplePos="0" relativeHeight="73" behindDoc="0" locked="0" layoutInCell="1" allowOverlap="1">
            <wp:simplePos x="0" y="0"/>
            <wp:positionH relativeFrom="margin">
              <wp:posOffset>0</wp:posOffset>
            </wp:positionH>
            <wp:positionV relativeFrom="paragraph">
              <wp:posOffset>635</wp:posOffset>
            </wp:positionV>
            <wp:extent cx="5566410" cy="7827010"/>
            <wp:effectExtent l="0" t="0" r="0" b="0"/>
            <wp:wrapSquare wrapText="bothSides"/>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noChangeArrowheads="1"/>
                    </pic:cNvPicPr>
                  </pic:nvPicPr>
                  <pic:blipFill>
                    <a:blip r:embed="rId12"/>
                    <a:srcRect l="29589" t="9035" r="31177" b="5861"/>
                    <a:stretch>
                      <a:fillRect/>
                    </a:stretch>
                  </pic:blipFill>
                  <pic:spPr bwMode="auto">
                    <a:xfrm>
                      <a:off x="0" y="0"/>
                      <a:ext cx="5566410" cy="7827010"/>
                    </a:xfrm>
                    <a:prstGeom prst="rect">
                      <a:avLst/>
                    </a:prstGeom>
                  </pic:spPr>
                </pic:pic>
              </a:graphicData>
            </a:graphic>
          </wp:anchor>
        </w:drawing>
      </w:r>
      <w:r>
        <w:rPr>
          <w:rFonts w:ascii="Palatino Linotype" w:hAnsi="Palatino Linotype" w:cs="Arial"/>
        </w:rPr>
        <w:br/>
      </w:r>
    </w:p>
    <w:p w:rsidR="00193AD0" w:rsidRDefault="001A18A3">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Es de lo anterior, que el Manual en cita establece que dentro de la estructura orgánica se encuentra la Coordinación de Administración y Finanzas quien es el Servidor Público Habilitado Competente a quien se le requirió la información, el cual tiene como objetivo el de Coordinar las acciones relativas a la planeación, programación y evaluación de las actividades del Instituto; así como, gestionar la obtención y control de los recursos humanos, materiales, técnicos y financieros que requiera para el desarrollo de los planes, programas y proyectos que la permitan cumplir con los objetivos institucionales en el marco de la normatividad aplicable en la materia; de igual forma, tiene como atribuciones entre otras las de organizar, coordinar y dirigir el establecimiento de acciones de carácter administrativo en asuntos relacionados con apoyos financieros, convenios, servicios generales, insumos, mejoramiento de infraestructura y recursos humanos, para la prestación de los servicios de salud; establecer criterios, sistemas y procedimientos en materia de administración de recursos humanos, materiales y financieros del Instituto.</w:t>
      </w:r>
    </w:p>
    <w:p w:rsidR="00193AD0" w:rsidRDefault="00193AD0">
      <w:pPr>
        <w:pStyle w:val="Prrafodelista"/>
        <w:widowControl w:val="0"/>
        <w:spacing w:after="120" w:line="360" w:lineRule="auto"/>
        <w:ind w:left="0"/>
        <w:contextualSpacing/>
        <w:jc w:val="both"/>
        <w:rPr>
          <w:rFonts w:ascii="Palatino Linotype" w:hAnsi="Palatino Linotype" w:cs="Arial"/>
        </w:rPr>
      </w:pPr>
    </w:p>
    <w:p w:rsidR="00193AD0" w:rsidRDefault="001A18A3">
      <w:pPr>
        <w:pStyle w:val="Prrafodelista"/>
        <w:widowControl w:val="0"/>
        <w:spacing w:after="120" w:line="360" w:lineRule="auto"/>
        <w:ind w:left="0"/>
        <w:contextualSpacing/>
        <w:jc w:val="both"/>
        <w:rPr>
          <w:rFonts w:ascii="Palatino Linotype" w:eastAsia="Calibri" w:hAnsi="Palatino Linotype" w:cs="Arial"/>
        </w:rPr>
      </w:pPr>
      <w:r>
        <w:rPr>
          <w:rFonts w:ascii="Palatino Linotype" w:hAnsi="Palatino Linotype" w:cs="Arial"/>
        </w:rPr>
        <w:t>De igual forma la Subdirección de Recursos Humanos quien es el Servidor Público que remitió en respuesta el oficio inserto en párrafos que anteceden, tiene como objetivo el de normar, desarrollar, aplicar, coordinar y controlar el palan estratégico, institucional en materia de recursos humanos, los planes operativos que de él se deriven, el sistema de administración y desarrollo de personal, la normatividad laboral y las relaciones de trabajo, que garanticen los derechos de los trabajadores y propicien el ejercicio honesto y eficiente de sus funciones, para contribuir a la construcción de los objetivos del Instituto, por lo que cuenta con las funciones de contar con la información requerida por el ahora particular.</w:t>
      </w:r>
      <w:r>
        <w:rPr>
          <w:rFonts w:ascii="Palatino Linotype" w:hAnsi="Palatino Linotype" w:cs="Arial"/>
        </w:rPr>
        <w:br/>
      </w:r>
      <w:r>
        <w:rPr>
          <w:rFonts w:ascii="Palatino Linotype" w:eastAsia="Calibri" w:hAnsi="Palatino Linotype" w:cs="Arial"/>
        </w:rPr>
        <w:t>En este sentido, se atiende con lo dispuesto los artículos 1, 7, 18 y 19 de la Ley de Transparencia y Acceso a la Información Pública del Estado de México y Municipios, como a continuación se expone</w:t>
      </w:r>
    </w:p>
    <w:p w:rsidR="00193AD0" w:rsidRDefault="001A18A3">
      <w:pPr>
        <w:widowControl w:val="0"/>
        <w:spacing w:line="276" w:lineRule="auto"/>
        <w:ind w:left="851" w:right="618"/>
        <w:jc w:val="both"/>
        <w:rPr>
          <w:rFonts w:ascii="Palatino Linotype" w:hAnsi="Palatino Linotype"/>
          <w:i/>
        </w:rPr>
      </w:pPr>
      <w:r>
        <w:rPr>
          <w:rFonts w:ascii="Palatino Linotype" w:hAnsi="Palatino Linotype"/>
          <w:b/>
          <w:i/>
        </w:rPr>
        <w:t>Artículo 1.</w:t>
      </w:r>
      <w:r>
        <w:rPr>
          <w:rFonts w:ascii="Palatino Linotype" w:hAnsi="Palatino Linotype"/>
          <w:i/>
        </w:rPr>
        <w:t xml:space="preserve"> La presente Ley es de orden público e interés general, es reglamentaria de los párrafos décimo séptimo, décimo octavo y décimo noveno del artículo 5 de la Constitución Política del Estado Libre y Soberano de México. </w:t>
      </w:r>
    </w:p>
    <w:p w:rsidR="00193AD0" w:rsidRDefault="001A18A3">
      <w:pPr>
        <w:widowControl w:val="0"/>
        <w:spacing w:line="276" w:lineRule="auto"/>
        <w:ind w:left="851" w:right="618"/>
        <w:jc w:val="both"/>
        <w:rPr>
          <w:rFonts w:ascii="Palatino Linotype" w:hAnsi="Palatino Linotype"/>
          <w:i/>
        </w:rPr>
      </w:pPr>
      <w:r>
        <w:rPr>
          <w:rFonts w:ascii="Palatino Linotype" w:hAnsi="Palatino Linotype"/>
          <w:b/>
          <w:i/>
          <w:u w:val="single"/>
        </w:rPr>
        <w:t>Tiene por objeto establecer los principios, bases generales y procedimientos para tutelar y garantizar la transparencia y el derecho humano de acceso a la información pública en posesión de los sujetos obligados.</w:t>
      </w:r>
      <w:r>
        <w:rPr>
          <w:rFonts w:ascii="Palatino Linotype" w:hAnsi="Palatino Linotype"/>
          <w:i/>
        </w:rPr>
        <w:t xml:space="preserve"> </w:t>
      </w:r>
    </w:p>
    <w:p w:rsidR="00193AD0" w:rsidRDefault="001A18A3">
      <w:pPr>
        <w:widowControl w:val="0"/>
        <w:spacing w:line="276" w:lineRule="auto"/>
        <w:ind w:left="851" w:right="618"/>
        <w:jc w:val="both"/>
        <w:rPr>
          <w:rFonts w:ascii="Palatino Linotype" w:hAnsi="Palatino Linotype"/>
          <w:i/>
        </w:rPr>
      </w:pPr>
      <w:r>
        <w:rPr>
          <w:rFonts w:ascii="Palatino Linotype" w:hAnsi="Palatino Linotype"/>
          <w:i/>
        </w:rPr>
        <w:t>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w:t>
      </w:r>
    </w:p>
    <w:p w:rsidR="00193AD0" w:rsidRDefault="001A18A3">
      <w:pPr>
        <w:widowControl w:val="0"/>
        <w:spacing w:line="276" w:lineRule="auto"/>
        <w:ind w:left="851" w:right="618"/>
        <w:jc w:val="both"/>
        <w:rPr>
          <w:rFonts w:ascii="Palatino Linotype" w:hAnsi="Palatino Linotype"/>
          <w:i/>
        </w:rPr>
      </w:pPr>
      <w:r>
        <w:rPr>
          <w:rFonts w:ascii="Palatino Linotype" w:hAnsi="Palatino Linotype"/>
          <w:b/>
          <w:i/>
        </w:rPr>
        <w:t>Artículo 7.</w:t>
      </w:r>
      <w:r>
        <w:rPr>
          <w:rFonts w:ascii="Palatino Linotype"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193AD0" w:rsidRDefault="001A18A3">
      <w:pPr>
        <w:widowControl w:val="0"/>
        <w:spacing w:line="276" w:lineRule="auto"/>
        <w:ind w:left="851" w:right="618"/>
        <w:jc w:val="both"/>
        <w:rPr>
          <w:rFonts w:ascii="Palatino Linotype" w:hAnsi="Palatino Linotype"/>
          <w:i/>
        </w:rPr>
      </w:pPr>
      <w:r>
        <w:rPr>
          <w:rFonts w:ascii="Palatino Linotype" w:hAnsi="Palatino Linotype"/>
          <w:b/>
          <w:i/>
        </w:rPr>
        <w:t>Artículo 18.</w:t>
      </w:r>
      <w:r>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193AD0" w:rsidRDefault="001A18A3">
      <w:pPr>
        <w:widowControl w:val="0"/>
        <w:spacing w:line="276" w:lineRule="auto"/>
        <w:ind w:left="851" w:right="618"/>
        <w:jc w:val="both"/>
        <w:rPr>
          <w:rFonts w:ascii="Palatino Linotype" w:hAnsi="Palatino Linotype"/>
          <w:i/>
        </w:rPr>
      </w:pPr>
      <w:r>
        <w:rPr>
          <w:rFonts w:ascii="Palatino Linotype" w:hAnsi="Palatino Linotype"/>
          <w:b/>
          <w:i/>
        </w:rPr>
        <w:t>Artículo 19.</w:t>
      </w:r>
      <w:r>
        <w:rPr>
          <w:rFonts w:ascii="Palatino Linotype" w:hAnsi="Palatino Linotype"/>
          <w:i/>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193AD0" w:rsidRDefault="00193AD0">
      <w:pPr>
        <w:widowControl w:val="0"/>
        <w:spacing w:line="276" w:lineRule="auto"/>
        <w:ind w:left="851" w:right="618"/>
        <w:jc w:val="both"/>
        <w:rPr>
          <w:rFonts w:ascii="Palatino Linotype" w:hAnsi="Palatino Linotype"/>
          <w:i/>
        </w:rPr>
      </w:pPr>
    </w:p>
    <w:p w:rsidR="00193AD0" w:rsidRDefault="001A18A3">
      <w:pPr>
        <w:shd w:val="clear" w:color="auto" w:fill="FFFFFF"/>
        <w:spacing w:line="360" w:lineRule="auto"/>
        <w:jc w:val="both"/>
        <w:rPr>
          <w:rFonts w:ascii="Palatino Linotype" w:hAnsi="Palatino Linotype" w:cs="Arial"/>
        </w:rPr>
      </w:pPr>
      <w:r>
        <w:rPr>
          <w:rFonts w:ascii="Palatino Linotype" w:eastAsia="Calibri" w:hAnsi="Palatino Linotype" w:cs="Arial"/>
        </w:rPr>
        <w:t xml:space="preserve">De esta forma, </w:t>
      </w:r>
      <w:r>
        <w:rPr>
          <w:rFonts w:ascii="Palatino Linotype" w:eastAsia="Calibri" w:hAnsi="Palatino Linotype" w:cs="Arial"/>
          <w:b/>
        </w:rPr>
        <w:t>EL SUJETO OBLIGADO</w:t>
      </w:r>
      <w:r>
        <w:rPr>
          <w:rFonts w:ascii="Palatino Linotype" w:eastAsia="Calibri" w:hAnsi="Palatino Linotype" w:cs="Arial"/>
        </w:rPr>
        <w:t xml:space="preserve"> le señaló que realizó una búsqueda exhaustiva y razonable en sus archivos y no encontró documentación con las características requeridas</w:t>
      </w:r>
      <w:r>
        <w:rPr>
          <w:rFonts w:ascii="Palatino Linotype" w:hAnsi="Palatino Linotype" w:cs="Arial"/>
        </w:rPr>
        <w:t xml:space="preserve">. </w:t>
      </w:r>
    </w:p>
    <w:p w:rsidR="00193AD0" w:rsidRDefault="001A18A3">
      <w:pPr>
        <w:shd w:val="clear" w:color="auto" w:fill="FFFFFF"/>
        <w:spacing w:line="360" w:lineRule="auto"/>
        <w:jc w:val="both"/>
        <w:rPr>
          <w:rFonts w:ascii="Palatino Linotype" w:hAnsi="Palatino Linotype" w:cs="Arial"/>
        </w:rPr>
      </w:pPr>
      <w:r>
        <w:rPr>
          <w:rFonts w:ascii="Palatino Linotype" w:hAnsi="Palatino Linotype" w:cs="Arial"/>
        </w:rPr>
        <w:t>A lo que en razones y motivos de inconformidad el particular señaló que es de conocimiento público que el C. Héctor Gómez Morales se ostenta como Secretario General de la Sección 22 Valle de Toluca del Sindicato Nacional de Trabajadores de la Secretaría de Salud, misma sección que corresponde al ente obligado Instituto de Salud del Estado de México.</w:t>
      </w:r>
    </w:p>
    <w:p w:rsidR="00193AD0" w:rsidRDefault="0025438D">
      <w:pPr>
        <w:widowControl w:val="0"/>
        <w:spacing w:line="360" w:lineRule="auto"/>
        <w:jc w:val="both"/>
        <w:rPr>
          <w:rFonts w:ascii="Palatino Linotype" w:eastAsia="Calibri" w:hAnsi="Palatino Linotype" w:cs="Arial"/>
        </w:rPr>
      </w:pPr>
      <w:r>
        <w:rPr>
          <w:noProof/>
          <w:lang w:eastAsia="es-MX"/>
        </w:rPr>
        <mc:AlternateContent>
          <mc:Choice Requires="wps">
            <w:drawing>
              <wp:anchor distT="0" distB="0" distL="0" distR="0" simplePos="0" relativeHeight="75" behindDoc="0" locked="0" layoutInCell="1" allowOverlap="1" wp14:anchorId="4EB8BFD4">
                <wp:simplePos x="0" y="0"/>
                <wp:positionH relativeFrom="column">
                  <wp:posOffset>72390</wp:posOffset>
                </wp:positionH>
                <wp:positionV relativeFrom="paragraph">
                  <wp:posOffset>689610</wp:posOffset>
                </wp:positionV>
                <wp:extent cx="5925185" cy="2924810"/>
                <wp:effectExtent l="0" t="0" r="37465" b="27940"/>
                <wp:wrapNone/>
                <wp:docPr id="10" name="Conector recto 12"/>
                <wp:cNvGraphicFramePr/>
                <a:graphic xmlns:a="http://schemas.openxmlformats.org/drawingml/2006/main">
                  <a:graphicData uri="http://schemas.microsoft.com/office/word/2010/wordprocessingShape">
                    <wps:wsp>
                      <wps:cNvCnPr/>
                      <wps:spPr>
                        <a:xfrm>
                          <a:off x="0" y="0"/>
                          <a:ext cx="5925185" cy="2924810"/>
                        </a:xfrm>
                        <a:prstGeom prst="line">
                          <a:avLst/>
                        </a:prstGeom>
                        <a:ln w="28440"/>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6191966" id="Conector recto 12" o:spid="_x0000_s1026" style="position:absolute;z-index:7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5.7pt,54.3pt" to="472.25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uQEAALUDAAAOAAAAZHJzL2Uyb0RvYy54bWysU8uu0zAQ3SPxD5b3NA+1qDdqehe9gg2C&#10;Crgf4OuMG0t+aWya9u8ZuyFUsEAgNs6MPef4nPFk93ixhp0Bo/au582q5gyc9IN2p54/f333ZstZ&#10;TMINwngHPb9C5I/71692U+ig9aM3AyAjEhe7KfR8TCl0VRXlCFbElQ/g6FB5tCJRiqdqQDERuzVV&#10;W9dvq8njENBLiJF2n26HfF/4lQKZPikVITHTc9KWyoplfclrtd+J7oQijFrOMsQ/qLBCO7p0oXoS&#10;SbBvqH+jslqij16llfS28kppCcUDuWnqX9x8GUWA4oWaE8PSpvj/aOXH8xGZHujtqD1OWHqjA72U&#10;TB4Z5g9r2tylKcSOig/uiHMWwxGz5YtCm79khl1KZ69LZ+GSmKTNzUO7abYbziSdtQ/tekvXEU/1&#10;Ex4wpvfgLctBz4122broxPlDTLfSHyV52zg2EdV2vb4RZX03RSVKVwO3ss+gyB9paApdmSw4GGRn&#10;QTMhpASXmlmLcVSdYUobswDrPwPn+gyFMnV/A14Q5Wbv0gK22nks2u5M5fDFD9fyEFXOaDZKK+c5&#10;zsN3n1N8/7ftvwMAAP//AwBQSwMEFAAGAAgAAAAhACurAAjfAAAACgEAAA8AAABkcnMvZG93bnJl&#10;di54bWxMj8FOg0AQhu8mvsNmTLzZhYZiiyyN1hhj0oto4nVhRyBlZwm7FPr2jic9Tf7Ml3++yfeL&#10;7cUZR985UhCvIhBItTMdNQo+P17utiB80GR07wgVXNDDvri+ynVm3EzveC5DI7iEfKYVtCEMmZS+&#10;btFqv3IDEu++3Wh14Dg20ox65nLby3UUpdLqjvhCqwc8tFifyskqOD5Pp9eZsHJP98eZ3i6H9Csu&#10;lbq9WR4fQARcwh8Mv/qsDgU7VW4i40XPOU6Y5BltUxAM7JJkA6JSsEl3a5BFLv+/UPwAAAD//wMA&#10;UEsBAi0AFAAGAAgAAAAhALaDOJL+AAAA4QEAABMAAAAAAAAAAAAAAAAAAAAAAFtDb250ZW50X1R5&#10;cGVzXS54bWxQSwECLQAUAAYACAAAACEAOP0h/9YAAACUAQAACwAAAAAAAAAAAAAAAAAvAQAAX3Jl&#10;bHMvLnJlbHNQSwECLQAUAAYACAAAACEArevxfrkBAAC1AwAADgAAAAAAAAAAAAAAAAAuAgAAZHJz&#10;L2Uyb0RvYy54bWxQSwECLQAUAAYACAAAACEAK6sACN8AAAAKAQAADwAAAAAAAAAAAAAAAAATBAAA&#10;ZHJzL2Rvd25yZXYueG1sUEsFBgAAAAAEAAQA8wAAAB8FAAAAAA==&#10;" strokecolor="#4579b8 [3044]" strokeweight=".79mm"/>
            </w:pict>
          </mc:Fallback>
        </mc:AlternateContent>
      </w:r>
      <w:r w:rsidR="001A18A3">
        <w:rPr>
          <w:rFonts w:ascii="Palatino Linotype" w:eastAsia="Calibri" w:hAnsi="Palatino Linotype" w:cs="Arial"/>
        </w:rPr>
        <w:t xml:space="preserve">En razón de lo anterior, personal de esta Ponencia realizó una búsqueda en la página oficial del </w:t>
      </w:r>
      <w:r w:rsidR="001A18A3">
        <w:rPr>
          <w:rFonts w:ascii="Palatino Linotype" w:eastAsia="Calibri" w:hAnsi="Palatino Linotype" w:cs="Arial"/>
          <w:b/>
        </w:rPr>
        <w:t>SUJETO OBLIGADO</w:t>
      </w:r>
      <w:r w:rsidR="001A18A3">
        <w:rPr>
          <w:rFonts w:ascii="Palatino Linotype" w:eastAsia="Calibri" w:hAnsi="Palatino Linotype" w:cs="Arial"/>
        </w:rPr>
        <w:t xml:space="preserve"> encontrando lo siguiente:</w:t>
      </w:r>
    </w:p>
    <w:p w:rsidR="00193AD0" w:rsidRDefault="001A18A3">
      <w:pPr>
        <w:widowControl w:val="0"/>
        <w:spacing w:line="360" w:lineRule="auto"/>
        <w:jc w:val="both"/>
        <w:rPr>
          <w:rFonts w:ascii="Palatino Linotype" w:eastAsia="Calibri" w:hAnsi="Palatino Linotype" w:cs="Arial"/>
        </w:rPr>
      </w:pPr>
      <w:r>
        <w:rPr>
          <w:noProof/>
          <w:lang w:eastAsia="es-MX"/>
        </w:rPr>
        <w:drawing>
          <wp:inline distT="0" distB="0" distL="0" distR="0">
            <wp:extent cx="5600700" cy="7724775"/>
            <wp:effectExtent l="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8"/>
                    <pic:cNvPicPr>
                      <a:picLocks noChangeAspect="1" noChangeArrowheads="1"/>
                    </pic:cNvPicPr>
                  </pic:nvPicPr>
                  <pic:blipFill>
                    <a:blip r:embed="rId13"/>
                    <a:srcRect l="28181" t="9355" r="29569" b="14272"/>
                    <a:stretch>
                      <a:fillRect/>
                    </a:stretch>
                  </pic:blipFill>
                  <pic:spPr bwMode="auto">
                    <a:xfrm>
                      <a:off x="0" y="0"/>
                      <a:ext cx="5600700" cy="7724775"/>
                    </a:xfrm>
                    <a:prstGeom prst="rect">
                      <a:avLst/>
                    </a:prstGeom>
                  </pic:spPr>
                </pic:pic>
              </a:graphicData>
            </a:graphic>
          </wp:inline>
        </w:drawing>
      </w:r>
      <w:r>
        <w:rPr>
          <w:noProof/>
          <w:lang w:eastAsia="es-MX"/>
        </w:rPr>
        <mc:AlternateContent>
          <mc:Choice Requires="wps">
            <w:drawing>
              <wp:anchor distT="0" distB="0" distL="0" distR="0" simplePos="0" relativeHeight="74" behindDoc="0" locked="0" layoutInCell="1" allowOverlap="1" wp14:anchorId="02E39862">
                <wp:simplePos x="0" y="0"/>
                <wp:positionH relativeFrom="margin">
                  <wp:posOffset>3935730</wp:posOffset>
                </wp:positionH>
                <wp:positionV relativeFrom="paragraph">
                  <wp:posOffset>6834505</wp:posOffset>
                </wp:positionV>
                <wp:extent cx="1648460" cy="943610"/>
                <wp:effectExtent l="19050" t="19050" r="28575" b="28575"/>
                <wp:wrapNone/>
                <wp:docPr id="11" name="Rectángulo 9"/>
                <wp:cNvGraphicFramePr/>
                <a:graphic xmlns:a="http://schemas.openxmlformats.org/drawingml/2006/main">
                  <a:graphicData uri="http://schemas.microsoft.com/office/word/2010/wordprocessingShape">
                    <wps:wsp>
                      <wps:cNvSpPr/>
                      <wps:spPr>
                        <a:xfrm flipH="1">
                          <a:off x="0" y="0"/>
                          <a:ext cx="1647720" cy="942840"/>
                        </a:xfrm>
                        <a:prstGeom prst="rect">
                          <a:avLst/>
                        </a:prstGeom>
                        <a:noFill/>
                        <a:ln w="2844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9" stroked="t" style="position:absolute;margin-left:309.9pt;margin-top:538.15pt;width:129.7pt;height:74.2pt;flip:x;mso-position-horizontal-relative:margin" wp14:anchorId="02E39862">
                <w10:wrap type="none"/>
                <v:fill o:detectmouseclick="t" on="false"/>
                <v:stroke color="red" weight="28440" joinstyle="miter" endcap="flat"/>
              </v:rect>
            </w:pict>
          </mc:Fallback>
        </mc:AlternateContent>
      </w:r>
    </w:p>
    <w:p w:rsidR="00193AD0" w:rsidRDefault="001A18A3">
      <w:pPr>
        <w:widowControl w:val="0"/>
        <w:spacing w:line="360" w:lineRule="auto"/>
        <w:jc w:val="both"/>
        <w:rPr>
          <w:rFonts w:ascii="Palatino Linotype" w:eastAsia="Calibri" w:hAnsi="Palatino Linotype" w:cs="Arial"/>
        </w:rPr>
      </w:pPr>
      <w:r>
        <w:rPr>
          <w:noProof/>
          <w:lang w:eastAsia="es-MX"/>
        </w:rPr>
        <w:drawing>
          <wp:inline distT="0" distB="0" distL="0" distR="0">
            <wp:extent cx="5629275" cy="4800600"/>
            <wp:effectExtent l="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pic:cNvPicPr>
                      <a:picLocks noChangeAspect="1" noChangeArrowheads="1"/>
                    </pic:cNvPicPr>
                  </pic:nvPicPr>
                  <pic:blipFill>
                    <a:blip r:embed="rId14"/>
                    <a:stretch>
                      <a:fillRect/>
                    </a:stretch>
                  </pic:blipFill>
                  <pic:spPr bwMode="auto">
                    <a:xfrm>
                      <a:off x="0" y="0"/>
                      <a:ext cx="5629275" cy="4800600"/>
                    </a:xfrm>
                    <a:prstGeom prst="rect">
                      <a:avLst/>
                    </a:prstGeom>
                  </pic:spPr>
                </pic:pic>
              </a:graphicData>
            </a:graphic>
          </wp:inline>
        </w:drawing>
      </w:r>
    </w:p>
    <w:p w:rsidR="00193AD0" w:rsidRDefault="001A18A3">
      <w:pPr>
        <w:widowControl w:val="0"/>
        <w:spacing w:line="360" w:lineRule="auto"/>
        <w:jc w:val="both"/>
        <w:rPr>
          <w:rFonts w:ascii="Palatino Linotype" w:eastAsia="Calibri" w:hAnsi="Palatino Linotype" w:cs="Arial"/>
        </w:rPr>
      </w:pPr>
      <w:r>
        <w:rPr>
          <w:noProof/>
          <w:lang w:eastAsia="es-MX"/>
        </w:rPr>
        <w:drawing>
          <wp:inline distT="0" distB="0" distL="0" distR="0">
            <wp:extent cx="5612130" cy="1676400"/>
            <wp:effectExtent l="0" t="0" r="0"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15"/>
                    <a:stretch>
                      <a:fillRect/>
                    </a:stretch>
                  </pic:blipFill>
                  <pic:spPr bwMode="auto">
                    <a:xfrm>
                      <a:off x="0" y="0"/>
                      <a:ext cx="5612130" cy="1676400"/>
                    </a:xfrm>
                    <a:prstGeom prst="rect">
                      <a:avLst/>
                    </a:prstGeom>
                  </pic:spPr>
                </pic:pic>
              </a:graphicData>
            </a:graphic>
          </wp:inline>
        </w:drawing>
      </w:r>
    </w:p>
    <w:p w:rsidR="00193AD0" w:rsidRDefault="001A18A3">
      <w:pPr>
        <w:widowControl w:val="0"/>
        <w:spacing w:line="360" w:lineRule="auto"/>
        <w:jc w:val="both"/>
        <w:rPr>
          <w:rFonts w:ascii="Palatino Linotype" w:eastAsia="Calibri" w:hAnsi="Palatino Linotype" w:cs="Arial"/>
        </w:rPr>
      </w:pPr>
      <w:r>
        <w:rPr>
          <w:rFonts w:ascii="Palatino Linotype" w:eastAsia="Calibri" w:hAnsi="Palatino Linotype" w:cs="Arial"/>
        </w:rPr>
        <w:t>De lo insertó, se desprende que la persona señalada en la solicitud de acceso a la información requerida por el particular ostenta el cargo de Secretario General de la sección 22 del Sindicato Nacional de Trabajadores de la Salud SNTSA en el Valle de Toluca.</w:t>
      </w:r>
    </w:p>
    <w:p w:rsidR="00193AD0" w:rsidRDefault="001A18A3">
      <w:pPr>
        <w:spacing w:before="120" w:after="120" w:line="360" w:lineRule="auto"/>
        <w:jc w:val="both"/>
        <w:rPr>
          <w:rFonts w:ascii="Palatino Linotype" w:hAnsi="Palatino Linotype" w:cs="Arial"/>
          <w:bCs/>
        </w:rPr>
      </w:pPr>
      <w:r>
        <w:rPr>
          <w:rFonts w:ascii="Palatino Linotype" w:hAnsi="Palatino Linotype" w:cs="Arial"/>
          <w:bCs/>
        </w:rPr>
        <w:t xml:space="preserve">De esta forma, no pasa inadvertido para esta Ponencia Resolutora el contenido de diversas ligas electrónicas </w:t>
      </w:r>
      <w:r>
        <w:rPr>
          <w:rFonts w:ascii="Palatino Linotype" w:hAnsi="Palatino Linotype"/>
        </w:rPr>
        <w:t xml:space="preserve">consistentes en: </w:t>
      </w:r>
      <w:r>
        <w:rPr>
          <w:rFonts w:ascii="Palatino Linotype" w:hAnsi="Palatino Linotype" w:cs="Arial"/>
          <w:bCs/>
        </w:rPr>
        <w:t xml:space="preserve">notas periodísticas y de una página institucional del </w:t>
      </w:r>
      <w:r>
        <w:rPr>
          <w:rFonts w:ascii="Palatino Linotype" w:hAnsi="Palatino Linotype" w:cs="Arial"/>
          <w:b/>
          <w:bCs/>
        </w:rPr>
        <w:t>SUJETO OBLIGADO</w:t>
      </w:r>
      <w:r>
        <w:rPr>
          <w:rFonts w:ascii="Palatino Linotype" w:hAnsi="Palatino Linotype" w:cs="Arial"/>
          <w:bCs/>
        </w:rPr>
        <w:t>, por lo que se advierten indicios de la persona requerida.</w:t>
      </w:r>
    </w:p>
    <w:p w:rsidR="00193AD0" w:rsidRDefault="001A18A3">
      <w:pPr>
        <w:spacing w:before="120" w:after="120" w:line="360" w:lineRule="auto"/>
        <w:jc w:val="both"/>
        <w:rPr>
          <w:rFonts w:ascii="Palatino Linotype" w:hAnsi="Palatino Linotype" w:cs="Arial"/>
          <w:bCs/>
        </w:rPr>
      </w:pPr>
      <w:r>
        <w:rPr>
          <w:rFonts w:ascii="Palatino Linotype" w:hAnsi="Palatino Linotype" w:cs="Arial"/>
          <w:bCs/>
        </w:rPr>
        <w:t>Al respecto, por lo que hace al contenido de las diversas ligas que contienen notas periodísticas de diversas fuentes de noticias digitales esta Ponencia Resolutora, advierte que carecen de valor y eficacia probatoria, puesto que tienen el carácter de documento privado que, en su caso, sólo acreditan que se realizaron en el modo, tiempo y lugar en ellas se haga referencia, sin que por sí mismas tengan por efecto acreditar los hechos a que se contienen, ya que no reúnen las características que deben contener los documentos públicos, por lo que lo señalado en su contenido, no puede considerarse como un hecho público y notorio, pues aun y cuando no pudiera ser desmentida por quienes se considerasen afectados por su contenido, éste solamente le es imputable al autor de la misma, mas no así, a quienes se ven involucrados en la noticia correspondiente.</w:t>
      </w:r>
    </w:p>
    <w:p w:rsidR="00193AD0" w:rsidRDefault="001A18A3">
      <w:pPr>
        <w:spacing w:before="120" w:after="120" w:line="360" w:lineRule="auto"/>
        <w:jc w:val="both"/>
        <w:rPr>
          <w:rFonts w:ascii="Palatino Linotype" w:hAnsi="Palatino Linotype" w:cs="Arial"/>
          <w:bCs/>
        </w:rPr>
      </w:pPr>
      <w:r>
        <w:rPr>
          <w:rFonts w:ascii="Palatino Linotype" w:hAnsi="Palatino Linotype" w:cs="Arial"/>
          <w:bCs/>
        </w:rPr>
        <w:t xml:space="preserve">Sirve de sustento a lo anterior, las Tesis Aisladas aplicables por analogía en nuestra materia, con números de registro 173244 y 203623 de la Novena Época del Cuarto y Décimo Tercer Tribunal Colegiado en Materia de Trabajo del Primer Circuito, publicadas en la página 1827 del Tomo XXV, de febrero de 2007 y página 541 del Tomo II, de diciembre de 1995, respectivamente, del Semanario Judicial de la Federación y su Gaceta, que es del tenor literal siguiente: </w:t>
      </w:r>
    </w:p>
    <w:p w:rsidR="00193AD0" w:rsidRDefault="001A18A3">
      <w:pPr>
        <w:spacing w:before="120" w:after="120" w:line="276" w:lineRule="auto"/>
        <w:ind w:left="709" w:right="709"/>
        <w:jc w:val="both"/>
        <w:rPr>
          <w:rFonts w:ascii="Palatino Linotype" w:hAnsi="Palatino Linotype" w:cs="Arial"/>
          <w:i/>
          <w:iCs/>
          <w:lang w:eastAsia="es-MX"/>
        </w:rPr>
      </w:pPr>
      <w:r>
        <w:rPr>
          <w:rFonts w:ascii="Palatino Linotype" w:hAnsi="Palatino Linotype" w:cs="Arial"/>
          <w:i/>
          <w:iCs/>
          <w:lang w:eastAsia="es-MX"/>
        </w:rPr>
        <w:t>“</w:t>
      </w:r>
      <w:r>
        <w:rPr>
          <w:rFonts w:ascii="Palatino Linotype" w:hAnsi="Palatino Linotype" w:cs="Arial"/>
          <w:b/>
          <w:i/>
          <w:iCs/>
          <w:lang w:eastAsia="es-MX"/>
        </w:rPr>
        <w:t>NOTAS PERIODÍSTICAS. AL TENER EN EL PROCEDIMIENTO LABORAL EL CARÁCTER DE INSTRUMENTOS PRIVADOS CARECEN DE EFICACIA PROBATORIA, POR SÍ MISMAS, PARA ACREDITAR LOS HECHOS CONTENIDOS EN ELLAS SI NO SON CORROBORADAS CON OTROS MEDIOS DE PRUEBA</w:t>
      </w:r>
      <w:r>
        <w:rPr>
          <w:rFonts w:ascii="Palatino Linotype" w:hAnsi="Palatino Linotype" w:cs="Arial"/>
          <w:i/>
          <w:iCs/>
          <w:lang w:eastAsia="es-MX"/>
        </w:rPr>
        <w:t xml:space="preserve">. </w:t>
      </w:r>
      <w:r>
        <w:rPr>
          <w:rFonts w:ascii="Palatino Linotype" w:hAnsi="Palatino Linotype" w:cs="Arial"/>
          <w:b/>
          <w:i/>
          <w:iCs/>
          <w:u w:val="single"/>
          <w:lang w:eastAsia="es-MX"/>
        </w:rPr>
        <w:t>Las publicaciones contenidas en los medios informativos</w:t>
      </w:r>
      <w:r>
        <w:rPr>
          <w:rFonts w:ascii="Palatino Linotype" w:hAnsi="Palatino Linotype" w:cs="Arial"/>
          <w:i/>
          <w:iCs/>
          <w:lang w:eastAsia="es-MX"/>
        </w:rPr>
        <w:t xml:space="preserve">, como los periódicos, </w:t>
      </w:r>
      <w:r>
        <w:rPr>
          <w:rFonts w:ascii="Palatino Linotype" w:hAnsi="Palatino Linotype" w:cs="Arial"/>
          <w:b/>
          <w:i/>
          <w:iCs/>
          <w:u w:val="single"/>
          <w:lang w:eastAsia="es-MX"/>
        </w:rPr>
        <w:t>únicamente son aptas para acreditar que se realizaron en el modo, tiempo y lugar en ellas referidos</w:t>
      </w:r>
      <w:r>
        <w:rPr>
          <w:rFonts w:ascii="Palatino Linotype" w:hAnsi="Palatino Linotype" w:cs="Arial"/>
          <w:i/>
          <w:iCs/>
          <w:lang w:eastAsia="es-MX"/>
        </w:rPr>
        <w:t xml:space="preserve">; </w:t>
      </w:r>
      <w:r>
        <w:rPr>
          <w:rFonts w:ascii="Palatino Linotype" w:hAnsi="Palatino Linotype" w:cs="Arial"/>
          <w:b/>
          <w:i/>
          <w:iCs/>
          <w:u w:val="single"/>
          <w:lang w:eastAsia="es-MX"/>
        </w:rPr>
        <w:t>sin embargo,</w:t>
      </w:r>
      <w:r>
        <w:rPr>
          <w:rFonts w:ascii="Palatino Linotype" w:hAnsi="Palatino Linotype" w:cs="Arial"/>
          <w:i/>
          <w:iCs/>
          <w:lang w:eastAsia="es-MX"/>
        </w:rPr>
        <w:t xml:space="preserve"> en el procedimiento laboral </w:t>
      </w:r>
      <w:r>
        <w:rPr>
          <w:rFonts w:ascii="Palatino Linotype" w:hAnsi="Palatino Linotype" w:cs="Arial"/>
          <w:b/>
          <w:i/>
          <w:iCs/>
          <w:u w:val="single"/>
          <w:lang w:eastAsia="es-MX"/>
        </w:rPr>
        <w:t>carecen de eficacia probatoria, por sí mismas, para acreditar los hechos a que se contraen, por no reunir las características que deben contener los documentos públicos</w:t>
      </w:r>
      <w:r>
        <w:rPr>
          <w:rFonts w:ascii="Palatino Linotype" w:hAnsi="Palatino Linotype" w:cs="Arial"/>
          <w:i/>
          <w:iCs/>
          <w:lang w:eastAsia="es-MX"/>
        </w:rPr>
        <w:t xml:space="preserve"> en términos del artículo 795 de la Ley Federal del Trabajo, y si bien podría considerarse que los ejemplares de los medios de comunicación impresos o diarios informativos son instrumentos privados, sin embargo, </w:t>
      </w:r>
      <w:r>
        <w:rPr>
          <w:rFonts w:ascii="Palatino Linotype" w:hAnsi="Palatino Linotype" w:cs="Arial"/>
          <w:b/>
          <w:i/>
          <w:iCs/>
          <w:u w:val="single"/>
          <w:lang w:eastAsia="es-MX"/>
        </w:rPr>
        <w:t>no los hace aptos para estimar que la información que contienen y que hacen del conocimiento público se encuentre apegada a la realidad, toda vez que ésta surge de la investigación periodística y de la interpretación personal que haga su redactor</w:t>
      </w:r>
      <w:r>
        <w:rPr>
          <w:rFonts w:ascii="Palatino Linotype" w:hAnsi="Palatino Linotype" w:cs="Arial"/>
          <w:i/>
          <w:iCs/>
          <w:lang w:eastAsia="es-MX"/>
        </w:rPr>
        <w:t>. Por tanto, lo consignado en una nota periodística no debe tenerse como un hecho verídico, pues al margen de que el reportaje fuere o no desmentido por quien resultare afectado con su publicación, su veracidad se encuentra supeditada a que se corrobore por otros medios de prueba.</w:t>
      </w:r>
    </w:p>
    <w:p w:rsidR="00193AD0" w:rsidRDefault="001A18A3">
      <w:pPr>
        <w:spacing w:before="120" w:after="120" w:line="276" w:lineRule="auto"/>
        <w:ind w:left="709" w:right="709"/>
        <w:jc w:val="both"/>
        <w:rPr>
          <w:rFonts w:ascii="Palatino Linotype" w:hAnsi="Palatino Linotype" w:cs="Arial"/>
          <w:i/>
          <w:iCs/>
          <w:lang w:eastAsia="es-MX"/>
        </w:rPr>
      </w:pPr>
      <w:r>
        <w:rPr>
          <w:rFonts w:ascii="Palatino Linotype" w:hAnsi="Palatino Linotype" w:cs="Arial"/>
          <w:i/>
          <w:iCs/>
          <w:lang w:eastAsia="es-MX"/>
        </w:rPr>
        <w:t>DÉCIMO TERCER TRIBUNAL COLEGIADO EN MATERIA DE TRABAJO DEL PRIMER CIRCUITO.</w:t>
      </w:r>
    </w:p>
    <w:p w:rsidR="00193AD0" w:rsidRDefault="001A18A3">
      <w:pPr>
        <w:spacing w:before="120" w:after="120" w:line="276" w:lineRule="auto"/>
        <w:ind w:left="709" w:right="709"/>
        <w:jc w:val="both"/>
        <w:rPr>
          <w:rFonts w:ascii="Palatino Linotype" w:hAnsi="Palatino Linotype" w:cs="Arial"/>
          <w:i/>
          <w:iCs/>
          <w:lang w:eastAsia="es-MX"/>
        </w:rPr>
      </w:pPr>
      <w:r>
        <w:rPr>
          <w:rFonts w:ascii="Palatino Linotype" w:hAnsi="Palatino Linotype" w:cs="Arial"/>
          <w:i/>
          <w:iCs/>
          <w:lang w:eastAsia="es-MX"/>
        </w:rPr>
        <w:t>Amparo directo 20093/2006. Concepción Peralta García. 14 de noviembre de 2006. Unanimidad de votos. Ponente: Héctor Landa Razo. Secretario: Juan de Dios González-Pliego Ameneyro.”</w:t>
      </w:r>
    </w:p>
    <w:p w:rsidR="00193AD0" w:rsidRDefault="001A18A3">
      <w:pPr>
        <w:spacing w:before="120" w:after="120" w:line="276" w:lineRule="auto"/>
        <w:ind w:left="709" w:right="709"/>
        <w:jc w:val="both"/>
        <w:rPr>
          <w:rFonts w:ascii="Palatino Linotype" w:hAnsi="Palatino Linotype" w:cs="Arial"/>
          <w:i/>
          <w:iCs/>
          <w:lang w:eastAsia="es-MX"/>
        </w:rPr>
      </w:pPr>
      <w:r>
        <w:rPr>
          <w:rFonts w:ascii="Palatino Linotype" w:hAnsi="Palatino Linotype" w:cs="Arial"/>
          <w:i/>
          <w:iCs/>
          <w:lang w:eastAsia="es-MX"/>
        </w:rPr>
        <w:t>“</w:t>
      </w:r>
      <w:r>
        <w:rPr>
          <w:rFonts w:ascii="Palatino Linotype" w:hAnsi="Palatino Linotype" w:cs="Arial"/>
          <w:b/>
          <w:i/>
          <w:iCs/>
          <w:lang w:eastAsia="es-MX"/>
        </w:rPr>
        <w:t>NOTAS PERIODISTICAS, INEFICACIA PROBATORIA DE LAS</w:t>
      </w:r>
      <w:r>
        <w:rPr>
          <w:rFonts w:ascii="Palatino Linotype" w:hAnsi="Palatino Linotype" w:cs="Arial"/>
          <w:i/>
          <w:iCs/>
          <w:lang w:eastAsia="es-MX"/>
        </w:rPr>
        <w:t xml:space="preserve">. </w:t>
      </w:r>
      <w:r>
        <w:rPr>
          <w:rFonts w:ascii="Palatino Linotype" w:hAnsi="Palatino Linotype" w:cs="Arial"/>
          <w:b/>
          <w:i/>
          <w:iCs/>
          <w:u w:val="single"/>
          <w:lang w:eastAsia="es-MX"/>
        </w:rPr>
        <w:t xml:space="preserve">Las publicaciones en los periódicos únicamente acreditan que tuvieron realización en el modo, tiempo y lugar que de las mismas aparezca, mas en forma alguna son aptas para demostrar los hechos que en tales publicaciones se contengan, pues no reúnen las características de documento público </w:t>
      </w:r>
      <w:r>
        <w:rPr>
          <w:rFonts w:ascii="Palatino Linotype" w:hAnsi="Palatino Linotype" w:cs="Arial"/>
          <w:i/>
          <w:iCs/>
          <w:lang w:eastAsia="es-MX"/>
        </w:rPr>
        <w:t xml:space="preserve">a que se refiere el artículo 795 de la Ley Federal del Trabajo, ni tampoco puede ser considerado como documental privada conforme a los artículos 796 y 797 del propio ordenamiento legal, en cuyo caso surge la posibilidad de formular las objeciones respectivas; consecuentemente, </w:t>
      </w:r>
      <w:r>
        <w:rPr>
          <w:rFonts w:ascii="Palatino Linotype" w:hAnsi="Palatino Linotype" w:cs="Arial"/>
          <w:b/>
          <w:i/>
          <w:iCs/>
          <w:u w:val="single"/>
          <w:lang w:eastAsia="es-MX"/>
        </w:rPr>
        <w:t>el contenido de una nota periodística</w:t>
      </w:r>
      <w:r>
        <w:rPr>
          <w:rFonts w:ascii="Palatino Linotype" w:hAnsi="Palatino Linotype" w:cs="Arial"/>
          <w:i/>
          <w:iCs/>
          <w:lang w:eastAsia="es-MX"/>
        </w:rPr>
        <w:t xml:space="preserve">, -generalmente redactada y dada a conocer por profesionales de la materia, cuyas fuentes no son necesariamente confiables, amén de que cabe la posibilidad de que sean producto de la interpretación e investigación personal de su autor- </w:t>
      </w:r>
      <w:r>
        <w:rPr>
          <w:rFonts w:ascii="Palatino Linotype" w:hAnsi="Palatino Linotype" w:cs="Arial"/>
          <w:b/>
          <w:i/>
          <w:iCs/>
          <w:u w:val="single"/>
          <w:lang w:eastAsia="es-MX"/>
        </w:rPr>
        <w:t>no puede convertirse en un hecho público y notorio, pues aunque aquélla no sea desmentida por quien puede resultar afectado, el contenido de la nota solamente le es imputable al autor de la misma, mas no así a quienes se ven involucrados en la noticia correspondiente</w:t>
      </w:r>
      <w:r>
        <w:rPr>
          <w:rFonts w:ascii="Palatino Linotype" w:hAnsi="Palatino Linotype" w:cs="Arial"/>
          <w:i/>
          <w:iCs/>
          <w:lang w:eastAsia="es-MX"/>
        </w:rPr>
        <w:t>.</w:t>
      </w:r>
    </w:p>
    <w:p w:rsidR="00193AD0" w:rsidRDefault="001A18A3">
      <w:pPr>
        <w:spacing w:before="120" w:after="120" w:line="276" w:lineRule="auto"/>
        <w:ind w:left="709" w:right="709"/>
        <w:jc w:val="both"/>
        <w:rPr>
          <w:rFonts w:ascii="Palatino Linotype" w:hAnsi="Palatino Linotype" w:cs="Arial"/>
          <w:i/>
          <w:iCs/>
          <w:lang w:eastAsia="es-MX"/>
        </w:rPr>
      </w:pPr>
      <w:r>
        <w:rPr>
          <w:rFonts w:ascii="Palatino Linotype" w:hAnsi="Palatino Linotype" w:cs="Arial"/>
          <w:i/>
          <w:iCs/>
          <w:lang w:eastAsia="es-MX"/>
        </w:rPr>
        <w:t>CUARTO TRIBUNAL COLEGIADO EN MATERIA DE TRABAJO DEL PRIMER CIRCUITO.</w:t>
      </w:r>
    </w:p>
    <w:p w:rsidR="00193AD0" w:rsidRDefault="001A18A3">
      <w:pPr>
        <w:spacing w:before="120" w:after="120" w:line="276" w:lineRule="auto"/>
        <w:ind w:left="709" w:right="709"/>
        <w:jc w:val="both"/>
        <w:rPr>
          <w:rFonts w:ascii="Palatino Linotype" w:hAnsi="Palatino Linotype" w:cs="Arial"/>
          <w:i/>
          <w:iCs/>
          <w:lang w:eastAsia="es-MX"/>
        </w:rPr>
      </w:pPr>
      <w:r>
        <w:rPr>
          <w:rFonts w:ascii="Palatino Linotype" w:hAnsi="Palatino Linotype" w:cs="Arial"/>
          <w:i/>
          <w:iCs/>
          <w:lang w:eastAsia="es-MX"/>
        </w:rPr>
        <w:t>Amparo directo 742/95. Mario A. Velázquez Hernández. 31 de agosto de 1995. Unanimidad de votos. Ponente: Fortino Valencia Sandoval. Secretario: René Díaz Nárez.”</w:t>
      </w:r>
    </w:p>
    <w:p w:rsidR="00193AD0" w:rsidRDefault="001A18A3">
      <w:pPr>
        <w:spacing w:before="120" w:after="120" w:line="276" w:lineRule="auto"/>
        <w:ind w:left="709" w:right="709"/>
        <w:jc w:val="both"/>
        <w:rPr>
          <w:rFonts w:ascii="Palatino Linotype" w:hAnsi="Palatino Linotype" w:cs="Arial"/>
        </w:rPr>
      </w:pPr>
      <w:r>
        <w:rPr>
          <w:rFonts w:ascii="Palatino Linotype" w:hAnsi="Palatino Linotype" w:cs="Arial"/>
        </w:rPr>
        <w:t>(Énfasis añadido)</w:t>
      </w:r>
    </w:p>
    <w:p w:rsidR="00193AD0" w:rsidRDefault="001A18A3">
      <w:pPr>
        <w:spacing w:before="120" w:after="120" w:line="360" w:lineRule="auto"/>
        <w:jc w:val="both"/>
        <w:rPr>
          <w:rFonts w:ascii="Palatino Linotype" w:hAnsi="Palatino Linotype" w:cs="Arial"/>
          <w:bCs/>
        </w:rPr>
      </w:pPr>
      <w:r>
        <w:rPr>
          <w:rFonts w:ascii="Palatino Linotype" w:hAnsi="Palatino Linotype" w:cs="Arial"/>
          <w:bCs/>
        </w:rPr>
        <w:t xml:space="preserve">En esa misma tesitura, en la página oficial del </w:t>
      </w:r>
      <w:r>
        <w:rPr>
          <w:rFonts w:ascii="Palatino Linotype" w:hAnsi="Palatino Linotype" w:cs="Arial"/>
          <w:b/>
          <w:bCs/>
        </w:rPr>
        <w:t xml:space="preserve">SUEJTO OLBIGADO </w:t>
      </w:r>
      <w:r>
        <w:rPr>
          <w:rFonts w:ascii="Palatino Linotype" w:hAnsi="Palatino Linotype" w:cs="Arial"/>
          <w:bCs/>
        </w:rPr>
        <w:t xml:space="preserve">se advierte que la persona que se señaló tiene un cargo sindical, por lo que se puede considerarse como un indicio tendiente desvirtuar lo señalado por </w:t>
      </w:r>
      <w:r>
        <w:rPr>
          <w:rFonts w:ascii="Palatino Linotype" w:hAnsi="Palatino Linotype" w:cs="Arial"/>
          <w:b/>
          <w:bCs/>
        </w:rPr>
        <w:t>EL SUJETO OBLIGADO</w:t>
      </w:r>
      <w:r>
        <w:rPr>
          <w:rFonts w:ascii="Palatino Linotype" w:hAnsi="Palatino Linotype" w:cs="Arial"/>
          <w:bCs/>
        </w:rPr>
        <w:t>.</w:t>
      </w:r>
    </w:p>
    <w:p w:rsidR="00193AD0" w:rsidRDefault="001A18A3">
      <w:pPr>
        <w:spacing w:before="120" w:after="120" w:line="360" w:lineRule="auto"/>
        <w:jc w:val="both"/>
        <w:rPr>
          <w:rFonts w:ascii="Palatino Linotype" w:hAnsi="Palatino Linotype" w:cs="Arial"/>
          <w:bCs/>
        </w:rPr>
      </w:pPr>
      <w:r>
        <w:rPr>
          <w:rFonts w:ascii="Palatino Linotype" w:hAnsi="Palatino Linotype" w:cs="Arial"/>
          <w:bCs/>
        </w:rPr>
        <w:t>Por otra parte, el Estatuto General del Sindicato Nacional de Trabajadores de la Secretaría de Salud dispone:</w:t>
      </w:r>
    </w:p>
    <w:p w:rsidR="00193AD0" w:rsidRDefault="001A18A3">
      <w:pPr>
        <w:spacing w:line="276" w:lineRule="auto"/>
        <w:ind w:left="851" w:right="616"/>
        <w:jc w:val="both"/>
        <w:rPr>
          <w:rFonts w:ascii="Palatino Linotype" w:hAnsi="Palatino Linotype"/>
          <w:i/>
        </w:rPr>
      </w:pPr>
      <w:r>
        <w:rPr>
          <w:rFonts w:ascii="Palatino Linotype" w:hAnsi="Palatino Linotype"/>
          <w:i/>
        </w:rPr>
        <w:t xml:space="preserve">Artículo 14.- Los requisitos para desempeñar un encargo sindical a nivel seccional, son los siguientes: </w:t>
      </w:r>
    </w:p>
    <w:p w:rsidR="00193AD0" w:rsidRDefault="001A18A3">
      <w:pPr>
        <w:spacing w:line="276" w:lineRule="auto"/>
        <w:ind w:left="851" w:right="616"/>
        <w:jc w:val="both"/>
        <w:rPr>
          <w:rFonts w:ascii="Palatino Linotype" w:hAnsi="Palatino Linotype"/>
          <w:i/>
        </w:rPr>
      </w:pPr>
      <w:r>
        <w:rPr>
          <w:rFonts w:ascii="Palatino Linotype" w:hAnsi="Palatino Linotype"/>
          <w:i/>
        </w:rPr>
        <w:t xml:space="preserve">I. Ser afiliado del SNTSA con 3 años de antigüedad como mínimo y no encontrarse en receso. </w:t>
      </w:r>
    </w:p>
    <w:p w:rsidR="00193AD0" w:rsidRDefault="001A18A3">
      <w:pPr>
        <w:spacing w:line="276" w:lineRule="auto"/>
        <w:ind w:left="851" w:right="616"/>
        <w:jc w:val="both"/>
        <w:rPr>
          <w:rFonts w:ascii="Palatino Linotype" w:hAnsi="Palatino Linotype"/>
          <w:i/>
        </w:rPr>
      </w:pPr>
      <w:r>
        <w:rPr>
          <w:rFonts w:ascii="Palatino Linotype" w:hAnsi="Palatino Linotype"/>
          <w:i/>
        </w:rPr>
        <w:t xml:space="preserve">II. Tener vigentes sus derechos sindicales y no haber sido objeto de suspensión como afiliado o de destitución de encargo sindical. </w:t>
      </w:r>
    </w:p>
    <w:p w:rsidR="00193AD0" w:rsidRDefault="001A18A3">
      <w:pPr>
        <w:spacing w:line="276" w:lineRule="auto"/>
        <w:ind w:left="851" w:right="616"/>
        <w:jc w:val="both"/>
        <w:rPr>
          <w:rFonts w:ascii="Palatino Linotype" w:hAnsi="Palatino Linotype"/>
          <w:i/>
        </w:rPr>
      </w:pPr>
      <w:r>
        <w:rPr>
          <w:rFonts w:ascii="Palatino Linotype" w:hAnsi="Palatino Linotype"/>
          <w:i/>
        </w:rPr>
        <w:t xml:space="preserve">III. </w:t>
      </w:r>
      <w:r>
        <w:rPr>
          <w:rFonts w:ascii="Palatino Linotype" w:hAnsi="Palatino Linotype"/>
          <w:b/>
          <w:i/>
        </w:rPr>
        <w:t>Estar al corriente del pago de sus cuotas sindicales.</w:t>
      </w:r>
      <w:r>
        <w:rPr>
          <w:rFonts w:ascii="Palatino Linotype" w:hAnsi="Palatino Linotype"/>
          <w:i/>
        </w:rPr>
        <w:t xml:space="preserve"> </w:t>
      </w:r>
      <w:r>
        <w:rPr>
          <w:rFonts w:ascii="Palatino Linotype" w:hAnsi="Palatino Linotype"/>
          <w:b/>
          <w:i/>
        </w:rPr>
        <w:t xml:space="preserve">No encontrarse disfrutando de una licencia sin goce de sueldo. </w:t>
      </w:r>
    </w:p>
    <w:p w:rsidR="00193AD0" w:rsidRDefault="001A18A3">
      <w:pPr>
        <w:spacing w:line="276" w:lineRule="auto"/>
        <w:ind w:left="851" w:right="616"/>
        <w:jc w:val="both"/>
        <w:rPr>
          <w:rFonts w:ascii="Palatino Linotype" w:hAnsi="Palatino Linotype"/>
          <w:i/>
        </w:rPr>
      </w:pPr>
      <w:r>
        <w:rPr>
          <w:rFonts w:ascii="Palatino Linotype" w:hAnsi="Palatino Linotype"/>
          <w:i/>
        </w:rPr>
        <w:t xml:space="preserve">IV. No haber pertenecido a otra organización sindical antagónica al SNTSA. </w:t>
      </w:r>
    </w:p>
    <w:p w:rsidR="00193AD0" w:rsidRDefault="001A18A3">
      <w:pPr>
        <w:spacing w:line="276" w:lineRule="auto"/>
        <w:ind w:left="851" w:right="616"/>
        <w:jc w:val="both"/>
        <w:rPr>
          <w:rFonts w:ascii="Palatino Linotype" w:hAnsi="Palatino Linotype"/>
          <w:i/>
        </w:rPr>
      </w:pPr>
      <w:r>
        <w:rPr>
          <w:rFonts w:ascii="Palatino Linotype" w:hAnsi="Palatino Linotype"/>
          <w:i/>
        </w:rPr>
        <w:t xml:space="preserve">V. No haber sido condenados por ilícitos intencionales cometidos en contra del patrimonio del SNTSA. </w:t>
      </w:r>
    </w:p>
    <w:p w:rsidR="00193AD0" w:rsidRDefault="001A18A3">
      <w:pPr>
        <w:spacing w:line="276" w:lineRule="auto"/>
        <w:ind w:left="851" w:right="616"/>
        <w:jc w:val="both"/>
        <w:rPr>
          <w:rFonts w:ascii="Palatino Linotype" w:hAnsi="Palatino Linotype"/>
          <w:i/>
        </w:rPr>
      </w:pPr>
      <w:r>
        <w:rPr>
          <w:rFonts w:ascii="Palatino Linotype" w:hAnsi="Palatino Linotype"/>
          <w:i/>
        </w:rPr>
        <w:t xml:space="preserve">VI. No haber causado agravio físico en contra de un afiliado del Sindicato o de su familia. </w:t>
      </w:r>
    </w:p>
    <w:p w:rsidR="00193AD0" w:rsidRDefault="001A18A3">
      <w:pPr>
        <w:spacing w:line="276" w:lineRule="auto"/>
        <w:ind w:left="851" w:right="616"/>
        <w:jc w:val="both"/>
        <w:rPr>
          <w:rFonts w:ascii="Palatino Linotype" w:hAnsi="Palatino Linotype" w:cs="Arial"/>
          <w:bCs/>
          <w:i/>
        </w:rPr>
      </w:pPr>
      <w:r>
        <w:rPr>
          <w:rFonts w:ascii="Palatino Linotype" w:hAnsi="Palatino Linotype"/>
          <w:i/>
        </w:rPr>
        <w:t>VII. En caso de haber ocupado cargo de confianza, deberá haber transcurrido cuando menos un año desde la conclusión del encargo referido a la fecha de la elección, siempre y cuando en el puesto no haya realizado actos en contra del SNTSA o de sus afiliados.</w:t>
      </w:r>
    </w:p>
    <w:p w:rsidR="00193AD0" w:rsidRDefault="00193AD0">
      <w:pPr>
        <w:spacing w:before="120" w:after="120" w:line="360" w:lineRule="auto"/>
        <w:jc w:val="both"/>
        <w:rPr>
          <w:rFonts w:ascii="Palatino Linotype" w:hAnsi="Palatino Linotype" w:cs="Arial"/>
          <w:bCs/>
        </w:rPr>
      </w:pPr>
    </w:p>
    <w:p w:rsidR="00193AD0" w:rsidRDefault="001A18A3">
      <w:pPr>
        <w:spacing w:before="120" w:after="120" w:line="360" w:lineRule="auto"/>
        <w:jc w:val="both"/>
        <w:rPr>
          <w:rFonts w:ascii="Palatino Linotype" w:hAnsi="Palatino Linotype" w:cs="Arial"/>
          <w:bCs/>
        </w:rPr>
      </w:pPr>
      <w:r>
        <w:rPr>
          <w:rFonts w:ascii="Palatino Linotype" w:hAnsi="Palatino Linotype" w:cs="Arial"/>
          <w:bCs/>
        </w:rPr>
        <w:t xml:space="preserve">Por lo que es dable, ordenar al </w:t>
      </w:r>
      <w:r>
        <w:rPr>
          <w:rFonts w:ascii="Palatino Linotype" w:hAnsi="Palatino Linotype" w:cs="Arial"/>
          <w:b/>
          <w:bCs/>
        </w:rPr>
        <w:t>SUJETO OBLIGADO</w:t>
      </w:r>
      <w:r>
        <w:rPr>
          <w:rFonts w:ascii="Palatino Linotype" w:hAnsi="Palatino Linotype" w:cs="Arial"/>
          <w:bCs/>
        </w:rPr>
        <w:t xml:space="preserve"> realice una búsqueda exhaustiva y razonable de la información y haga entrega el particular de la información referente al puesto donde se encuentra adscrito, las funciones, el horario, percepciones, antigüedad y perfil en currículum vitae, solicitud de empleo o ficha curricular, ya que se desprendió que para ocupar un cargo en el sindicato en salud debe de ser servidor público y contar con sus derechos y pagos gremiales.</w:t>
      </w:r>
    </w:p>
    <w:p w:rsidR="00193AD0" w:rsidRDefault="001A18A3">
      <w:pPr>
        <w:spacing w:line="360" w:lineRule="auto"/>
        <w:jc w:val="both"/>
        <w:rPr>
          <w:rFonts w:ascii="Palatino Linotype" w:hAnsi="Palatino Linotype" w:cs="Arial"/>
          <w:bCs/>
        </w:rPr>
      </w:pPr>
      <w:r>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Pr>
          <w:rFonts w:ascii="Palatino Linotype" w:hAnsi="Palatino Linotype" w:cs="Arial"/>
          <w:b/>
        </w:rPr>
        <w:t>versión pública</w:t>
      </w:r>
      <w:r>
        <w:rPr>
          <w:rFonts w:ascii="Palatino Linotype" w:hAnsi="Palatino Linotype" w:cs="Arial"/>
        </w:rPr>
        <w:t>; pues, el</w:t>
      </w:r>
      <w:r>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93AD0" w:rsidRDefault="001A18A3">
      <w:pPr>
        <w:spacing w:line="360" w:lineRule="auto"/>
        <w:jc w:val="both"/>
        <w:rPr>
          <w:rFonts w:ascii="Palatino Linotype" w:hAnsi="Palatino Linotype" w:cs="Arial"/>
          <w:bCs/>
        </w:rPr>
      </w:pPr>
      <w:r>
        <w:rPr>
          <w:rFonts w:ascii="Palatino Linotype" w:hAnsi="Palatino Linotype" w:cs="Arial"/>
          <w:bCs/>
        </w:rPr>
        <w:t>A este respecto, los artículos 3, fracciones IX, XX, XXI y XLV; 51 y 52 de la Ley de Transparencia y Acceso a la Información Pública del Estado de México y Municipios establecen:</w:t>
      </w:r>
    </w:p>
    <w:p w:rsidR="00193AD0" w:rsidRDefault="001A18A3">
      <w:pPr>
        <w:ind w:left="851" w:right="901"/>
        <w:jc w:val="both"/>
        <w:rPr>
          <w:rFonts w:ascii="Palatino Linotype" w:hAnsi="Palatino Linotype"/>
          <w:i/>
        </w:rPr>
      </w:pPr>
      <w:r>
        <w:rPr>
          <w:rFonts w:ascii="Palatino Linotype" w:hAnsi="Palatino Linotype" w:cs="Arial"/>
          <w:b/>
          <w:bCs/>
          <w:i/>
        </w:rPr>
        <w:t xml:space="preserve">“Artículo 3. </w:t>
      </w:r>
      <w:r>
        <w:rPr>
          <w:rFonts w:ascii="Palatino Linotype" w:hAnsi="Palatino Linotype"/>
          <w:i/>
        </w:rPr>
        <w:t xml:space="preserve">Para los efectos de la presente Ley se entenderá por: </w:t>
      </w:r>
    </w:p>
    <w:p w:rsidR="00193AD0" w:rsidRDefault="001A18A3">
      <w:pPr>
        <w:ind w:left="851" w:right="899"/>
        <w:jc w:val="both"/>
        <w:rPr>
          <w:rFonts w:ascii="Palatino Linotype" w:hAnsi="Palatino Linotype" w:cs="Arial"/>
          <w:i/>
        </w:rPr>
      </w:pPr>
      <w:r>
        <w:rPr>
          <w:rFonts w:ascii="Palatino Linotype" w:hAnsi="Palatino Linotype" w:cs="Arial"/>
          <w:b/>
          <w:i/>
        </w:rPr>
        <w:t>IX.</w:t>
      </w:r>
      <w:r>
        <w:rPr>
          <w:rFonts w:ascii="Palatino Linotype" w:hAnsi="Palatino Linotype" w:cs="Arial"/>
          <w:i/>
        </w:rPr>
        <w:t xml:space="preserve"> </w:t>
      </w:r>
      <w:r>
        <w:rPr>
          <w:rFonts w:ascii="Palatino Linotype" w:hAnsi="Palatino Linotype" w:cs="Arial"/>
          <w:b/>
          <w:i/>
        </w:rPr>
        <w:t xml:space="preserve">Datos personales: </w:t>
      </w:r>
      <w:r>
        <w:rPr>
          <w:rFonts w:ascii="Palatino Linotype" w:hAnsi="Palatino Linotype" w:cs="Arial"/>
          <w:i/>
        </w:rPr>
        <w:t xml:space="preserve">La información concerniente a una persona, identificada o identificable según lo dispuesto por la Ley de </w:t>
      </w:r>
      <w:r>
        <w:rPr>
          <w:rFonts w:ascii="Palatino Linotype" w:hAnsi="Palatino Linotype"/>
          <w:i/>
        </w:rPr>
        <w:t>Protección</w:t>
      </w:r>
      <w:r>
        <w:rPr>
          <w:rFonts w:ascii="Palatino Linotype" w:hAnsi="Palatino Linotype" w:cs="Arial"/>
          <w:i/>
        </w:rPr>
        <w:t xml:space="preserve"> de Datos Personales del Estado de México; </w:t>
      </w:r>
    </w:p>
    <w:p w:rsidR="00193AD0" w:rsidRDefault="001A18A3">
      <w:pPr>
        <w:ind w:left="851" w:right="899"/>
        <w:jc w:val="both"/>
        <w:rPr>
          <w:rFonts w:ascii="Palatino Linotype" w:hAnsi="Palatino Linotype" w:cs="Arial"/>
          <w:i/>
        </w:rPr>
      </w:pPr>
      <w:r>
        <w:rPr>
          <w:rFonts w:ascii="Palatino Linotype" w:hAnsi="Palatino Linotype" w:cs="Arial"/>
          <w:b/>
          <w:i/>
        </w:rPr>
        <w:t>XX.</w:t>
      </w:r>
      <w:r>
        <w:rPr>
          <w:rFonts w:ascii="Palatino Linotype" w:hAnsi="Palatino Linotype" w:cs="Arial"/>
          <w:i/>
        </w:rPr>
        <w:t xml:space="preserve"> </w:t>
      </w:r>
      <w:r>
        <w:rPr>
          <w:rFonts w:ascii="Palatino Linotype" w:hAnsi="Palatino Linotype" w:cs="Arial"/>
          <w:b/>
          <w:i/>
        </w:rPr>
        <w:t>Información clasificada:</w:t>
      </w:r>
      <w:r>
        <w:rPr>
          <w:rFonts w:ascii="Palatino Linotype" w:hAnsi="Palatino Linotype" w:cs="Arial"/>
          <w:i/>
        </w:rPr>
        <w:t xml:space="preserve"> Aquella considerada por la presente Ley como reservada o confidencial; </w:t>
      </w:r>
    </w:p>
    <w:p w:rsidR="00193AD0" w:rsidRDefault="001A18A3">
      <w:pPr>
        <w:ind w:left="851" w:right="899"/>
        <w:jc w:val="both"/>
        <w:rPr>
          <w:rFonts w:ascii="Palatino Linotype" w:hAnsi="Palatino Linotype" w:cs="Arial"/>
          <w:i/>
        </w:rPr>
      </w:pPr>
      <w:r>
        <w:rPr>
          <w:rFonts w:ascii="Palatino Linotype" w:hAnsi="Palatino Linotype" w:cs="Arial"/>
          <w:b/>
          <w:i/>
        </w:rPr>
        <w:t>XXI.</w:t>
      </w:r>
      <w:r>
        <w:rPr>
          <w:rFonts w:ascii="Palatino Linotype" w:hAnsi="Palatino Linotype" w:cs="Arial"/>
          <w:i/>
        </w:rPr>
        <w:t xml:space="preserve"> </w:t>
      </w:r>
      <w:r>
        <w:rPr>
          <w:rFonts w:ascii="Palatino Linotype" w:hAnsi="Palatino Linotype" w:cs="Arial"/>
          <w:b/>
          <w:i/>
        </w:rPr>
        <w:t>Información confidencial</w:t>
      </w:r>
      <w:r>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93AD0" w:rsidRDefault="001A18A3">
      <w:pPr>
        <w:ind w:left="851" w:right="899"/>
        <w:jc w:val="both"/>
        <w:rPr>
          <w:rFonts w:ascii="Palatino Linotype" w:hAnsi="Palatino Linotype" w:cs="Arial"/>
          <w:i/>
        </w:rPr>
      </w:pPr>
      <w:r>
        <w:rPr>
          <w:rFonts w:ascii="Palatino Linotype" w:hAnsi="Palatino Linotype" w:cs="Arial"/>
          <w:b/>
          <w:i/>
        </w:rPr>
        <w:t>XLV. Versión pública:</w:t>
      </w:r>
      <w:r>
        <w:rPr>
          <w:rFonts w:ascii="Palatino Linotype" w:hAnsi="Palatino Linotype" w:cs="Arial"/>
          <w:i/>
        </w:rPr>
        <w:t xml:space="preserve"> Documento en el que se elimine, suprime o borra la información clasificada como reservada o confidencial para permitir su acceso. </w:t>
      </w:r>
    </w:p>
    <w:p w:rsidR="00193AD0" w:rsidRDefault="001A18A3">
      <w:pPr>
        <w:ind w:left="851" w:right="899"/>
        <w:jc w:val="both"/>
        <w:rPr>
          <w:rFonts w:ascii="Palatino Linotype" w:hAnsi="Palatino Linotype" w:cs="Arial"/>
          <w:i/>
        </w:rPr>
      </w:pPr>
      <w:r>
        <w:rPr>
          <w:rFonts w:ascii="Palatino Linotype" w:hAnsi="Palatino Linotype" w:cs="Arial"/>
          <w:b/>
          <w:i/>
        </w:rPr>
        <w:t>Artículo 51.</w:t>
      </w:r>
      <w:r>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Pr>
          <w:rFonts w:ascii="Palatino Linotype" w:hAnsi="Palatino Linotype" w:cs="Arial"/>
          <w:b/>
          <w:i/>
        </w:rPr>
        <w:t xml:space="preserve">y tendrá la responsabilidad de verificar en cada caso que la misma no sea confidencial o reservada. </w:t>
      </w:r>
      <w:r>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rsidR="00193AD0" w:rsidRDefault="001A18A3">
      <w:pPr>
        <w:ind w:left="851" w:right="899"/>
        <w:jc w:val="both"/>
        <w:rPr>
          <w:rFonts w:ascii="Palatino Linotype" w:hAnsi="Palatino Linotype" w:cs="Arial"/>
          <w:i/>
        </w:rPr>
      </w:pPr>
      <w:r>
        <w:rPr>
          <w:rFonts w:ascii="Palatino Linotype" w:hAnsi="Palatino Linotype" w:cs="Arial"/>
          <w:b/>
          <w:i/>
        </w:rPr>
        <w:t>Artículo 52.</w:t>
      </w:r>
      <w:r>
        <w:rPr>
          <w:rFonts w:ascii="Palatino Linotype" w:hAnsi="Palatino Linotype" w:cs="Arial"/>
          <w:i/>
        </w:rPr>
        <w:t xml:space="preserve"> Las solicitudes de acceso a la información y las respuestas que se les dé, incluyendo, en su caso, </w:t>
      </w:r>
      <w:r>
        <w:rPr>
          <w:rFonts w:ascii="Palatino Linotype" w:hAnsi="Palatino Linotype" w:cs="Arial"/>
          <w:i/>
          <w:u w:val="single"/>
        </w:rPr>
        <w:t>la información entregada, así como las resoluciones a los recursos que en su caso se promuevan serán públicas, y de ser el caso que contenga datos personales que deban ser protegidos se podrá dar su acceso en su versión pública</w:t>
      </w:r>
      <w:r>
        <w:rPr>
          <w:rFonts w:ascii="Palatino Linotype" w:hAnsi="Palatino Linotype" w:cs="Arial"/>
          <w:i/>
        </w:rPr>
        <w:t>, siempre y cuando la resolución de referencia se someta a un proceso de disociación, es decir, no haga identificable al titular de tales datos personales.</w:t>
      </w:r>
      <w:r>
        <w:rPr>
          <w:rFonts w:ascii="Palatino Linotype" w:hAnsi="Palatino Linotype" w:cs="Arial"/>
          <w:bCs/>
          <w:i/>
        </w:rPr>
        <w:t>”</w:t>
      </w:r>
    </w:p>
    <w:p w:rsidR="00193AD0" w:rsidRDefault="001A18A3">
      <w:pPr>
        <w:ind w:right="899" w:firstLine="708"/>
        <w:jc w:val="both"/>
        <w:rPr>
          <w:rFonts w:ascii="Palatino Linotype" w:hAnsi="Palatino Linotype" w:cs="Arial"/>
        </w:rPr>
      </w:pPr>
      <w:r>
        <w:rPr>
          <w:rFonts w:ascii="Palatino Linotype" w:hAnsi="Palatino Linotype" w:cs="Arial"/>
        </w:rPr>
        <w:t>(Énfasis añadido)</w:t>
      </w:r>
    </w:p>
    <w:p w:rsidR="00193AD0" w:rsidRDefault="00193AD0">
      <w:pPr>
        <w:ind w:right="899" w:firstLine="708"/>
        <w:jc w:val="both"/>
        <w:rPr>
          <w:rFonts w:ascii="Palatino Linotype" w:hAnsi="Palatino Linotype" w:cs="Arial"/>
        </w:rPr>
      </w:pPr>
    </w:p>
    <w:p w:rsidR="00193AD0" w:rsidRDefault="001A18A3">
      <w:pPr>
        <w:spacing w:line="360" w:lineRule="auto"/>
        <w:jc w:val="both"/>
        <w:rPr>
          <w:rFonts w:ascii="Palatino Linotype" w:hAnsi="Palatino Linotype" w:cs="Arial"/>
        </w:rPr>
      </w:pPr>
      <w:r>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193AD0" w:rsidRDefault="00193AD0">
      <w:pPr>
        <w:jc w:val="both"/>
        <w:rPr>
          <w:rFonts w:ascii="Palatino Linotype" w:hAnsi="Palatino Linotype" w:cs="Arial"/>
        </w:rPr>
      </w:pPr>
    </w:p>
    <w:p w:rsidR="00193AD0" w:rsidRDefault="001A18A3">
      <w:pPr>
        <w:ind w:left="851" w:right="902"/>
        <w:jc w:val="both"/>
        <w:rPr>
          <w:rFonts w:ascii="Palatino Linotype" w:eastAsia="Arial Unicode MS" w:hAnsi="Palatino Linotype" w:cs="Arial"/>
          <w:i/>
        </w:rPr>
      </w:pPr>
      <w:r>
        <w:rPr>
          <w:rFonts w:ascii="Palatino Linotype" w:eastAsia="Arial Unicode MS" w:hAnsi="Palatino Linotype" w:cs="Arial"/>
          <w:b/>
          <w:i/>
        </w:rPr>
        <w:t>“Artículo 22.</w:t>
      </w:r>
      <w:r>
        <w:rPr>
          <w:rFonts w:ascii="Palatino Linotype" w:eastAsia="Arial Unicode MS"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  </w:t>
      </w:r>
    </w:p>
    <w:p w:rsidR="00193AD0" w:rsidRDefault="001A18A3">
      <w:pPr>
        <w:ind w:left="851" w:right="902"/>
        <w:jc w:val="both"/>
        <w:rPr>
          <w:rFonts w:ascii="Palatino Linotype" w:eastAsia="Arial Unicode MS" w:hAnsi="Palatino Linotype" w:cs="Arial"/>
          <w:i/>
        </w:rPr>
      </w:pPr>
      <w:r>
        <w:rPr>
          <w:rFonts w:ascii="Palatino Linotype" w:eastAsia="Arial Unicode MS" w:hAnsi="Palatino Linotype" w:cs="Arial"/>
          <w:b/>
          <w:i/>
        </w:rPr>
        <w:t>Artículo 38.</w:t>
      </w:r>
      <w:r>
        <w:rPr>
          <w:rFonts w:ascii="Palatino Linotype" w:eastAsia="Arial Unicode MS"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Pr>
          <w:rFonts w:ascii="Palatino Linotype" w:eastAsia="Arial Unicode MS" w:hAnsi="Palatino Linotype" w:cs="Arial"/>
          <w:b/>
          <w:i/>
        </w:rPr>
        <w:t>”</w:t>
      </w:r>
      <w:r>
        <w:rPr>
          <w:rFonts w:ascii="Palatino Linotype" w:eastAsia="Arial Unicode MS" w:hAnsi="Palatino Linotype" w:cs="Arial"/>
          <w:i/>
        </w:rPr>
        <w:t xml:space="preserve"> </w:t>
      </w:r>
    </w:p>
    <w:p w:rsidR="00193AD0" w:rsidRDefault="00193AD0">
      <w:pPr>
        <w:ind w:left="851" w:right="850"/>
        <w:jc w:val="both"/>
        <w:rPr>
          <w:rFonts w:ascii="Palatino Linotype" w:eastAsia="Arial Unicode MS" w:hAnsi="Palatino Linotype" w:cs="Arial"/>
          <w:i/>
        </w:rPr>
      </w:pPr>
    </w:p>
    <w:p w:rsidR="00193AD0" w:rsidRDefault="001A18A3">
      <w:pPr>
        <w:spacing w:line="360" w:lineRule="auto"/>
        <w:jc w:val="both"/>
        <w:rPr>
          <w:rFonts w:ascii="Palatino Linotype" w:hAnsi="Palatino Linotype" w:cs="Arial"/>
        </w:rPr>
      </w:pPr>
      <w:r>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193AD0" w:rsidRDefault="001A18A3">
      <w:pPr>
        <w:spacing w:line="360" w:lineRule="auto"/>
        <w:jc w:val="both"/>
        <w:rPr>
          <w:rFonts w:ascii="Palatino Linotype" w:hAnsi="Palatino Linotype" w:cs="Arial"/>
        </w:rPr>
      </w:pPr>
      <w:r>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Pr>
          <w:rFonts w:ascii="Palatino Linotype" w:eastAsia="Arial Unicode MS" w:hAnsi="Palatino Linotype" w:cs="Arial"/>
        </w:rPr>
        <w:t xml:space="preserve"> que debe ser protegida por </w:t>
      </w:r>
      <w:r>
        <w:rPr>
          <w:rFonts w:ascii="Palatino Linotype" w:eastAsia="Arial Unicode MS" w:hAnsi="Palatino Linotype" w:cs="Arial"/>
          <w:b/>
        </w:rPr>
        <w:t>EL SUJETO OBLIGADO,</w:t>
      </w:r>
      <w:r>
        <w:rPr>
          <w:rFonts w:ascii="Palatino Linotype" w:eastAsia="Arial Unicode MS" w:hAnsi="Palatino Linotype" w:cs="Arial"/>
        </w:rPr>
        <w:t xml:space="preserve"> por lo </w:t>
      </w:r>
      <w:r>
        <w:rPr>
          <w:rFonts w:ascii="Palatino Linotype" w:hAnsi="Palatino Linotype" w:cs="Arial"/>
        </w:rPr>
        <w:t>que, todo dato personal susceptible de clasificación debe ser protegido.</w:t>
      </w:r>
    </w:p>
    <w:p w:rsidR="00193AD0" w:rsidRDefault="00193AD0">
      <w:pPr>
        <w:spacing w:line="360" w:lineRule="auto"/>
        <w:jc w:val="both"/>
        <w:rPr>
          <w:rFonts w:ascii="Palatino Linotype" w:hAnsi="Palatino Linotype" w:cs="Arial"/>
        </w:rPr>
      </w:pPr>
    </w:p>
    <w:p w:rsidR="00193AD0" w:rsidRDefault="001A18A3">
      <w:pPr>
        <w:spacing w:line="360" w:lineRule="auto"/>
        <w:jc w:val="both"/>
        <w:rPr>
          <w:rFonts w:ascii="Palatino Linotype" w:hAnsi="Palatino Linotype" w:cs="Arial"/>
        </w:rPr>
      </w:pPr>
      <w:r>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93AD0" w:rsidRDefault="001A18A3">
      <w:pPr>
        <w:spacing w:line="360" w:lineRule="auto"/>
        <w:jc w:val="both"/>
        <w:rPr>
          <w:rFonts w:ascii="Palatino Linotype" w:hAnsi="Palatino Linotype" w:cs="Arial"/>
        </w:rPr>
      </w:pPr>
      <w:r>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 xml:space="preserve">“Artículo 49. </w:t>
      </w:r>
      <w:r>
        <w:rPr>
          <w:rFonts w:ascii="Palatino Linotype" w:hAnsi="Palatino Linotype" w:cs="Arial"/>
          <w:i/>
        </w:rPr>
        <w:t>Los Comités de Transparencia tendrán las siguientes atribuciones:</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VIII.</w:t>
      </w:r>
      <w:r>
        <w:rPr>
          <w:rFonts w:ascii="Palatino Linotype" w:hAnsi="Palatino Linotype" w:cs="Arial"/>
          <w:i/>
        </w:rPr>
        <w:t xml:space="preserve"> Aprobar, modificar o revocar la clasificación de la información;</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Artículo 132.</w:t>
      </w:r>
      <w:r>
        <w:rPr>
          <w:rFonts w:ascii="Palatino Linotype" w:hAnsi="Palatino Linotype" w:cs="Arial"/>
          <w:i/>
        </w:rPr>
        <w:t xml:space="preserve"> La clasificación de la información se llevará a cabo en el momento en que:</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I.</w:t>
      </w:r>
      <w:r>
        <w:rPr>
          <w:rFonts w:ascii="Palatino Linotype" w:hAnsi="Palatino Linotype" w:cs="Arial"/>
          <w:i/>
        </w:rPr>
        <w:t xml:space="preserve"> Se reciba una solicitud de acceso a la información;</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II.</w:t>
      </w:r>
      <w:r>
        <w:rPr>
          <w:rFonts w:ascii="Palatino Linotype" w:hAnsi="Palatino Linotype" w:cs="Arial"/>
          <w:i/>
        </w:rPr>
        <w:t xml:space="preserve"> Se determine mediante resolución de autoridad competente; o</w:t>
      </w:r>
    </w:p>
    <w:p w:rsidR="00193AD0" w:rsidRDefault="001A18A3">
      <w:pPr>
        <w:spacing w:line="276" w:lineRule="auto"/>
        <w:ind w:left="851" w:right="902"/>
        <w:jc w:val="both"/>
        <w:rPr>
          <w:rFonts w:ascii="Palatino Linotype" w:hAnsi="Palatino Linotype" w:cs="Arial"/>
          <w:b/>
          <w:i/>
        </w:rPr>
      </w:pPr>
      <w:r>
        <w:rPr>
          <w:rFonts w:ascii="Palatino Linotype" w:hAnsi="Palatino Linotype" w:cs="Arial"/>
          <w:i/>
        </w:rPr>
        <w:t>III. Se generen versiones públicas para dar cumplimiento a las obligaciones de transparencia previstas en esta Ley.</w:t>
      </w:r>
      <w:r>
        <w:rPr>
          <w:rFonts w:ascii="Palatino Linotype" w:hAnsi="Palatino Linotype" w:cs="Arial"/>
          <w:b/>
          <w:i/>
        </w:rPr>
        <w:t>”</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“Segundo.-</w:t>
      </w:r>
      <w:r>
        <w:rPr>
          <w:rFonts w:ascii="Palatino Linotype" w:hAnsi="Palatino Linotype" w:cs="Arial"/>
          <w:i/>
        </w:rPr>
        <w:t xml:space="preserve"> Para efectos de los presentes Lineamientos Generales, se entenderá por:</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XVIII.</w:t>
      </w:r>
      <w:r>
        <w:rPr>
          <w:rFonts w:ascii="Palatino Linotype" w:hAnsi="Palatino Linotype" w:cs="Arial"/>
          <w:i/>
        </w:rPr>
        <w:t xml:space="preserve">  </w:t>
      </w:r>
      <w:r>
        <w:rPr>
          <w:rFonts w:ascii="Palatino Linotype" w:hAnsi="Palatino Linotype" w:cs="Arial"/>
          <w:b/>
          <w:i/>
        </w:rPr>
        <w:t>Versión pública:</w:t>
      </w:r>
      <w:r>
        <w:rPr>
          <w:rFonts w:ascii="Palatino Linotype" w:hAnsi="Palatino Linotype" w:cs="Arial"/>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Cuarto.</w:t>
      </w:r>
      <w:r>
        <w:rPr>
          <w:rFonts w:ascii="Palatino Linotype" w:hAnsi="Palatino Linotype" w:cs="Arial"/>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i/>
        </w:rPr>
        <w:t>Los sujetos obligados deberán aplicar, de manera estricta, las excepciones al derecho de acceso a la información y sólo podrán invocarlas cuando acrediten su procedencia.</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Quinto.</w:t>
      </w:r>
      <w:r>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Sexto.</w:t>
      </w:r>
      <w:r>
        <w:rPr>
          <w:rFonts w:ascii="Palatino Linotype" w:hAnsi="Palatino Linotype" w:cs="Arial"/>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i/>
        </w:rPr>
        <w:t>La clasificación de información se realizará conforme a un análisis caso por caso, mediante la aplicación de la prueba de daño y de interés público.</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Séptimo.</w:t>
      </w:r>
      <w:r>
        <w:rPr>
          <w:rFonts w:ascii="Palatino Linotype" w:hAnsi="Palatino Linotype" w:cs="Arial"/>
          <w:i/>
        </w:rPr>
        <w:t xml:space="preserve"> La clasificación de la información se llevará a cabo en el momento en que:</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I.</w:t>
      </w:r>
      <w:r>
        <w:rPr>
          <w:rFonts w:ascii="Palatino Linotype" w:hAnsi="Palatino Linotype" w:cs="Arial"/>
          <w:i/>
        </w:rPr>
        <w:t xml:space="preserve">        Se reciba una solicitud de acceso a la información;</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II.</w:t>
      </w:r>
      <w:r>
        <w:rPr>
          <w:rFonts w:ascii="Palatino Linotype" w:hAnsi="Palatino Linotype" w:cs="Arial"/>
          <w:i/>
        </w:rPr>
        <w:t xml:space="preserve">       Se determine mediante resolución de autoridad competente, o</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III.</w:t>
      </w:r>
      <w:r>
        <w:rPr>
          <w:rFonts w:ascii="Palatino Linotype" w:hAnsi="Palatino Linotype" w:cs="Arial"/>
          <w:i/>
        </w:rPr>
        <w:t xml:space="preserve">      Se generen versiones públicas para dar cumplimiento a las obligaciones de transparencia previstas en la Ley General, la Ley Federal y las correspondientes de las entidades federativas.</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Octavo.</w:t>
      </w:r>
      <w:r>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i/>
        </w:rPr>
        <w:t>Los documentos contenidos en los archivos históricos y los identificados como históricos confidenciales no serán susceptibles de clasificación como reservados.</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Noveno.</w:t>
      </w:r>
      <w:r>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b/>
          <w:i/>
        </w:rPr>
        <w:t>Décimo.</w:t>
      </w:r>
      <w:r>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93AD0" w:rsidRDefault="001A18A3">
      <w:pPr>
        <w:spacing w:line="276" w:lineRule="auto"/>
        <w:ind w:left="851" w:right="902"/>
        <w:jc w:val="both"/>
        <w:rPr>
          <w:rFonts w:ascii="Palatino Linotype" w:hAnsi="Palatino Linotype" w:cs="Arial"/>
          <w:i/>
        </w:rPr>
      </w:pPr>
      <w:r>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rsidR="00193AD0" w:rsidRDefault="001A18A3">
      <w:pPr>
        <w:spacing w:line="276" w:lineRule="auto"/>
        <w:ind w:left="851" w:right="899"/>
        <w:jc w:val="both"/>
        <w:rPr>
          <w:rFonts w:ascii="Palatino Linotype" w:hAnsi="Palatino Linotype" w:cs="Arial"/>
          <w:b/>
          <w:i/>
        </w:rPr>
      </w:pPr>
      <w:r>
        <w:rPr>
          <w:rFonts w:ascii="Palatino Linotype" w:hAnsi="Palatino Linotype" w:cs="Arial"/>
          <w:b/>
          <w:i/>
        </w:rPr>
        <w:t>Décimo primero.</w:t>
      </w:r>
      <w:r>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hAnsi="Palatino Linotype" w:cs="Arial"/>
          <w:b/>
          <w:i/>
        </w:rPr>
        <w:t>”</w:t>
      </w:r>
    </w:p>
    <w:p w:rsidR="00193AD0" w:rsidRDefault="00193AD0">
      <w:pPr>
        <w:ind w:left="851" w:right="899"/>
        <w:jc w:val="both"/>
        <w:rPr>
          <w:rFonts w:ascii="Palatino Linotype" w:hAnsi="Palatino Linotype" w:cs="Arial"/>
          <w:b/>
          <w:bCs/>
          <w:i/>
          <w:sz w:val="10"/>
        </w:rPr>
      </w:pPr>
    </w:p>
    <w:p w:rsidR="00193AD0" w:rsidRDefault="001A18A3">
      <w:pPr>
        <w:spacing w:line="360" w:lineRule="auto"/>
        <w:jc w:val="both"/>
        <w:rPr>
          <w:rFonts w:ascii="Palatino Linotype" w:hAnsi="Palatino Linotype" w:cs="Arial"/>
        </w:rPr>
      </w:pPr>
      <w:r>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93AD0" w:rsidRDefault="001A18A3">
      <w:pPr>
        <w:spacing w:line="360" w:lineRule="auto"/>
        <w:ind w:right="-91"/>
        <w:jc w:val="both"/>
        <w:rPr>
          <w:rFonts w:ascii="Palatino Linotype" w:hAnsi="Palatino Linotype" w:cs="Arial"/>
          <w:lang w:eastAsia="es-CO"/>
        </w:rPr>
      </w:pPr>
      <w:r>
        <w:rPr>
          <w:rFonts w:ascii="Palatino Linotype" w:hAnsi="Palatino Linotype" w:cs="Arial"/>
        </w:rPr>
        <w:t xml:space="preserve">Consecuentemente, se destaca que la versión pública que elabore </w:t>
      </w:r>
      <w:r>
        <w:rPr>
          <w:rFonts w:ascii="Palatino Linotype" w:hAnsi="Palatino Linotype" w:cs="Arial"/>
          <w:b/>
        </w:rPr>
        <w:t>EL SUJETO OBLIGADO</w:t>
      </w:r>
      <w:r>
        <w:rPr>
          <w:rFonts w:ascii="Palatino Linotype" w:hAnsi="Palatino Linotype" w:cs="Arial"/>
        </w:rPr>
        <w:t xml:space="preserve"> debe cumplir con las formalidades exigidas en la Ley, por lo que para tal efecto emitirá el </w:t>
      </w:r>
      <w:r>
        <w:rPr>
          <w:rFonts w:ascii="Palatino Linotype" w:hAnsi="Palatino Linotype" w:cs="Arial"/>
          <w:b/>
        </w:rPr>
        <w:t>Acuerdo del Comité de Transparencia</w:t>
      </w:r>
      <w:r>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93AD0" w:rsidRDefault="00193AD0">
      <w:pPr>
        <w:spacing w:before="120" w:after="120" w:line="360" w:lineRule="auto"/>
        <w:jc w:val="both"/>
        <w:rPr>
          <w:rFonts w:ascii="Palatino Linotype" w:hAnsi="Palatino Linotype" w:cs="Arial"/>
          <w:bCs/>
        </w:rPr>
      </w:pPr>
    </w:p>
    <w:p w:rsidR="00193AD0" w:rsidRDefault="001A18A3">
      <w:pPr>
        <w:widowControl w:val="0"/>
        <w:spacing w:line="360" w:lineRule="auto"/>
        <w:jc w:val="both"/>
        <w:rPr>
          <w:rFonts w:ascii="Palatino Linotype" w:eastAsia="Calibri" w:hAnsi="Palatino Linotype" w:cs="Arial"/>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Pr>
          <w:rFonts w:ascii="Palatino Linotype" w:eastAsia="Calibri" w:hAnsi="Palatino Linotype" w:cs="Arial"/>
          <w:b/>
        </w:rPr>
        <w:t>REVOCAR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w:t>
      </w:r>
    </w:p>
    <w:p w:rsidR="00193AD0" w:rsidRDefault="001A18A3">
      <w:pPr>
        <w:widowControl w:val="0"/>
        <w:spacing w:before="240" w:after="120" w:line="360" w:lineRule="auto"/>
        <w:jc w:val="both"/>
        <w:rPr>
          <w:rFonts w:ascii="Palatino Linotype" w:hAnsi="Palatino Linotype" w:cs="Arial"/>
        </w:rPr>
      </w:pPr>
      <w:r>
        <w:rPr>
          <w:rFonts w:ascii="Palatino Linotype" w:hAnsi="Palatino Linotype" w:cs="Arial"/>
        </w:rPr>
        <w:t xml:space="preserve">Así, con fundamento en lo prescrito en los artículos 5, </w:t>
      </w:r>
      <w:r>
        <w:rPr>
          <w:rFonts w:ascii="Palatino Linotype" w:hAnsi="Palatino Linotype"/>
        </w:rPr>
        <w:t>párrafos vigésimo segundo, vigésimo tercero y vigésimo cuarto, fracciones IV y V</w:t>
      </w:r>
      <w:r>
        <w:rPr>
          <w:rFonts w:ascii="Palatino Linotype" w:hAnsi="Palatino Linotype" w:cs="Arial"/>
        </w:rPr>
        <w:t xml:space="preserve"> de la Constitución Política del Estado Libre y Soberano de México; </w:t>
      </w:r>
      <w:r>
        <w:rPr>
          <w:rFonts w:ascii="Palatino Linotype" w:hAnsi="Palatino Linotype"/>
        </w:rPr>
        <w:t xml:space="preserve">2, fracción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hAnsi="Palatino Linotype" w:cs="Arial"/>
        </w:rPr>
        <w:t xml:space="preserve"> de la Ley de Transparencia y Acceso a la Información Pública del Estado de México y Municipios, este Pleno:</w:t>
      </w:r>
    </w:p>
    <w:p w:rsidR="0025438D" w:rsidRDefault="0025438D">
      <w:pPr>
        <w:spacing w:before="360" w:after="240" w:line="360" w:lineRule="auto"/>
        <w:jc w:val="center"/>
        <w:rPr>
          <w:rFonts w:ascii="Palatino Linotype" w:hAnsi="Palatino Linotype"/>
          <w:b/>
          <w:bCs/>
          <w:spacing w:val="40"/>
          <w:sz w:val="28"/>
        </w:rPr>
      </w:pPr>
    </w:p>
    <w:p w:rsidR="00193AD0" w:rsidRDefault="001A18A3">
      <w:pPr>
        <w:spacing w:before="360" w:after="240" w:line="360" w:lineRule="auto"/>
        <w:jc w:val="center"/>
        <w:rPr>
          <w:rFonts w:ascii="Palatino Linotype" w:hAnsi="Palatino Linotype"/>
          <w:b/>
          <w:bCs/>
          <w:spacing w:val="40"/>
          <w:sz w:val="28"/>
        </w:rPr>
      </w:pPr>
      <w:r>
        <w:rPr>
          <w:rFonts w:ascii="Palatino Linotype" w:hAnsi="Palatino Linotype"/>
          <w:b/>
          <w:bCs/>
          <w:spacing w:val="40"/>
          <w:sz w:val="28"/>
        </w:rPr>
        <w:t>RESUELVE</w:t>
      </w:r>
    </w:p>
    <w:p w:rsidR="00193AD0" w:rsidRDefault="001A18A3">
      <w:pPr>
        <w:spacing w:beforeAutospacing="1" w:afterAutospacing="1" w:line="360" w:lineRule="auto"/>
        <w:jc w:val="both"/>
        <w:rPr>
          <w:color w:val="222222"/>
          <w:lang w:eastAsia="es-MX"/>
        </w:rPr>
      </w:pPr>
      <w:r>
        <w:rPr>
          <w:rFonts w:ascii="Palatino Linotype" w:hAnsi="Palatino Linotype"/>
          <w:b/>
          <w:bCs/>
          <w:color w:val="222222"/>
          <w:sz w:val="28"/>
          <w:szCs w:val="28"/>
          <w:lang w:eastAsia="es-MX"/>
        </w:rPr>
        <w:t>PRIMERO</w:t>
      </w:r>
      <w:r>
        <w:rPr>
          <w:rFonts w:ascii="Palatino Linotype" w:hAnsi="Palatino Linotype"/>
          <w:color w:val="222222"/>
          <w:lang w:eastAsia="es-MX"/>
        </w:rPr>
        <w:t xml:space="preserve">. Resultan </w:t>
      </w:r>
      <w:r>
        <w:rPr>
          <w:rFonts w:ascii="Palatino Linotype" w:hAnsi="Palatino Linotype"/>
          <w:b/>
          <w:bCs/>
          <w:color w:val="222222"/>
          <w:lang w:eastAsia="es-MX"/>
        </w:rPr>
        <w:t>fundadas</w:t>
      </w:r>
      <w:r>
        <w:rPr>
          <w:rFonts w:ascii="Palatino Linotype" w:hAnsi="Palatino Linotype"/>
          <w:color w:val="222222"/>
          <w:lang w:eastAsia="es-MX"/>
        </w:rPr>
        <w:t xml:space="preserve"> las razones o motivos de inconformidad planteadas por </w:t>
      </w:r>
      <w:r>
        <w:rPr>
          <w:rFonts w:ascii="Palatino Linotype" w:hAnsi="Palatino Linotype"/>
          <w:b/>
          <w:bCs/>
          <w:color w:val="222222"/>
          <w:lang w:eastAsia="es-MX"/>
        </w:rPr>
        <w:t xml:space="preserve">EL RECURRENTE </w:t>
      </w:r>
      <w:r>
        <w:rPr>
          <w:rFonts w:ascii="Palatino Linotype" w:hAnsi="Palatino Linotype"/>
          <w:color w:val="222222"/>
          <w:lang w:eastAsia="es-MX"/>
        </w:rPr>
        <w:t xml:space="preserve">en el recurso de revisión </w:t>
      </w:r>
      <w:r>
        <w:rPr>
          <w:rFonts w:ascii="Palatino Linotype" w:hAnsi="Palatino Linotype"/>
          <w:b/>
          <w:color w:val="222222"/>
          <w:lang w:eastAsia="es-MX"/>
        </w:rPr>
        <w:t>01122/INFOEM/IP/RR/2020</w:t>
      </w:r>
      <w:r>
        <w:rPr>
          <w:rFonts w:ascii="Palatino Linotype" w:hAnsi="Palatino Linotype"/>
          <w:color w:val="222222"/>
          <w:lang w:eastAsia="es-MX"/>
        </w:rPr>
        <w:t xml:space="preserve">, en términos del Considerando </w:t>
      </w:r>
      <w:r>
        <w:rPr>
          <w:rFonts w:ascii="Palatino Linotype" w:hAnsi="Palatino Linotype"/>
          <w:b/>
          <w:bCs/>
          <w:color w:val="222222"/>
          <w:lang w:eastAsia="es-MX"/>
        </w:rPr>
        <w:t>QUINTO</w:t>
      </w:r>
      <w:r>
        <w:rPr>
          <w:rFonts w:ascii="Palatino Linotype" w:hAnsi="Palatino Linotype"/>
          <w:color w:val="222222"/>
          <w:lang w:eastAsia="es-MX"/>
        </w:rPr>
        <w:t xml:space="preserve"> de esta Resolución.</w:t>
      </w:r>
    </w:p>
    <w:p w:rsidR="00193AD0" w:rsidRDefault="001A18A3">
      <w:pPr>
        <w:spacing w:beforeAutospacing="1" w:afterAutospacing="1" w:line="360" w:lineRule="auto"/>
        <w:jc w:val="both"/>
        <w:rPr>
          <w:color w:val="222222"/>
          <w:lang w:eastAsia="es-MX"/>
        </w:rPr>
      </w:pPr>
      <w:r>
        <w:rPr>
          <w:rFonts w:ascii="Palatino Linotype" w:hAnsi="Palatino Linotype"/>
          <w:b/>
          <w:bCs/>
          <w:color w:val="222222"/>
          <w:sz w:val="28"/>
          <w:szCs w:val="28"/>
          <w:lang w:eastAsia="es-MX"/>
        </w:rPr>
        <w:t>SEGUNDO</w:t>
      </w:r>
      <w:r>
        <w:rPr>
          <w:rFonts w:ascii="Palatino Linotype" w:hAnsi="Palatino Linotype"/>
          <w:b/>
          <w:bCs/>
          <w:color w:val="222222"/>
          <w:lang w:eastAsia="es-MX"/>
        </w:rPr>
        <w:t>. </w:t>
      </w:r>
      <w:r>
        <w:rPr>
          <w:rFonts w:ascii="Palatino Linotype" w:hAnsi="Palatino Linotype"/>
          <w:color w:val="222222"/>
          <w:lang w:eastAsia="es-MX"/>
        </w:rPr>
        <w:t xml:space="preserve">Se </w:t>
      </w:r>
      <w:r>
        <w:rPr>
          <w:rFonts w:ascii="Palatino Linotype" w:hAnsi="Palatino Linotype"/>
          <w:b/>
          <w:color w:val="222222"/>
          <w:lang w:eastAsia="es-MX"/>
        </w:rPr>
        <w:t>REVOCA</w:t>
      </w:r>
      <w:r>
        <w:rPr>
          <w:rFonts w:ascii="Palatino Linotype" w:hAnsi="Palatino Linotype"/>
          <w:color w:val="222222"/>
          <w:lang w:eastAsia="es-MX"/>
        </w:rPr>
        <w:t xml:space="preserve"> la respuesta del </w:t>
      </w:r>
      <w:r>
        <w:rPr>
          <w:rFonts w:ascii="Palatino Linotype" w:hAnsi="Palatino Linotype"/>
          <w:b/>
          <w:bCs/>
          <w:color w:val="222222"/>
          <w:lang w:eastAsia="es-MX"/>
        </w:rPr>
        <w:t xml:space="preserve">SUJETO OBLIGADO </w:t>
      </w:r>
      <w:r>
        <w:rPr>
          <w:rFonts w:ascii="Palatino Linotype" w:hAnsi="Palatino Linotype"/>
          <w:color w:val="222222"/>
          <w:lang w:eastAsia="es-MX"/>
        </w:rPr>
        <w:t xml:space="preserve">atienda la solicitud de información </w:t>
      </w:r>
      <w:r>
        <w:rPr>
          <w:rFonts w:ascii="Palatino Linotype" w:hAnsi="Palatino Linotype" w:cs="Arial"/>
          <w:b/>
          <w:lang w:val="es-ES"/>
        </w:rPr>
        <w:t>00066/ISEM/IP/2020</w:t>
      </w:r>
      <w:r>
        <w:rPr>
          <w:rFonts w:ascii="Palatino Linotype" w:hAnsi="Palatino Linotype" w:cs="Arial"/>
          <w:b/>
          <w:sz w:val="28"/>
          <w:lang w:val="es-ES"/>
        </w:rPr>
        <w:t xml:space="preserve"> </w:t>
      </w:r>
      <w:r>
        <w:rPr>
          <w:rFonts w:ascii="Palatino Linotype" w:hAnsi="Palatino Linotype"/>
          <w:color w:val="222222"/>
          <w:lang w:eastAsia="es-MX"/>
        </w:rPr>
        <w:t xml:space="preserve">y haga entrega al </w:t>
      </w:r>
      <w:r>
        <w:rPr>
          <w:rFonts w:ascii="Palatino Linotype" w:hAnsi="Palatino Linotype"/>
          <w:b/>
          <w:bCs/>
          <w:color w:val="222222"/>
          <w:lang w:eastAsia="es-MX"/>
        </w:rPr>
        <w:t>RECURRENTE</w:t>
      </w:r>
      <w:r>
        <w:rPr>
          <w:rFonts w:ascii="Palatino Linotype" w:hAnsi="Palatino Linotype"/>
          <w:bCs/>
          <w:color w:val="222222"/>
          <w:lang w:eastAsia="es-MX"/>
        </w:rPr>
        <w:t>,</w:t>
      </w:r>
      <w:r>
        <w:rPr>
          <w:rFonts w:ascii="Palatino Linotype" w:hAnsi="Palatino Linotype"/>
          <w:b/>
          <w:bCs/>
          <w:color w:val="222222"/>
          <w:lang w:eastAsia="es-MX"/>
        </w:rPr>
        <w:t xml:space="preserve"> </w:t>
      </w:r>
      <w:r>
        <w:rPr>
          <w:rFonts w:ascii="Palatino Linotype" w:hAnsi="Palatino Linotype"/>
          <w:color w:val="222222"/>
          <w:lang w:eastAsia="es-MX"/>
        </w:rPr>
        <w:t>en términos del Considerando </w:t>
      </w:r>
      <w:r>
        <w:rPr>
          <w:rFonts w:ascii="Palatino Linotype" w:hAnsi="Palatino Linotype"/>
          <w:b/>
          <w:bCs/>
          <w:color w:val="222222"/>
          <w:lang w:eastAsia="es-MX"/>
        </w:rPr>
        <w:t>QUINTO</w:t>
      </w:r>
      <w:r>
        <w:rPr>
          <w:rFonts w:ascii="Palatino Linotype" w:hAnsi="Palatino Linotype"/>
          <w:color w:val="222222"/>
          <w:lang w:eastAsia="es-MX"/>
        </w:rPr>
        <w:t xml:space="preserve"> de esta resolución, </w:t>
      </w:r>
      <w:r>
        <w:rPr>
          <w:rFonts w:ascii="Palatino Linotype" w:hAnsi="Palatino Linotype" w:cs="Arial"/>
        </w:rPr>
        <w:t xml:space="preserve">vía el </w:t>
      </w:r>
      <w:r>
        <w:rPr>
          <w:rFonts w:ascii="Palatino Linotype" w:hAnsi="Palatino Linotype" w:cs="Arial"/>
          <w:b/>
        </w:rPr>
        <w:t>SAIMEX</w:t>
      </w:r>
      <w:r>
        <w:rPr>
          <w:rFonts w:ascii="Palatino Linotype" w:hAnsi="Palatino Linotype" w:cs="Arial"/>
        </w:rPr>
        <w:t xml:space="preserve">, en </w:t>
      </w:r>
      <w:r>
        <w:rPr>
          <w:rFonts w:ascii="Palatino Linotype" w:hAnsi="Palatino Linotype" w:cs="Arial"/>
          <w:b/>
        </w:rPr>
        <w:t>versión pública</w:t>
      </w:r>
      <w:r>
        <w:rPr>
          <w:rFonts w:ascii="Palatino Linotype" w:hAnsi="Palatino Linotype" w:cs="Arial"/>
        </w:rPr>
        <w:t xml:space="preserve">, previa </w:t>
      </w:r>
      <w:r>
        <w:rPr>
          <w:rFonts w:ascii="Palatino Linotype" w:hAnsi="Palatino Linotype" w:cs="Arial"/>
          <w:b/>
        </w:rPr>
        <w:t>búsqueda exhaustiva y razonable</w:t>
      </w:r>
      <w:r>
        <w:rPr>
          <w:rFonts w:ascii="Palatino Linotype" w:hAnsi="Palatino Linotype" w:cs="Arial"/>
        </w:rPr>
        <w:t xml:space="preserve">, </w:t>
      </w:r>
      <w:r>
        <w:rPr>
          <w:rFonts w:ascii="Palatino Linotype" w:hAnsi="Palatino Linotype"/>
          <w:color w:val="222222"/>
          <w:lang w:eastAsia="es-MX"/>
        </w:rPr>
        <w:t>lo siguiente:</w:t>
      </w:r>
    </w:p>
    <w:p w:rsidR="00193AD0" w:rsidRDefault="001A18A3">
      <w:pPr>
        <w:spacing w:line="276" w:lineRule="auto"/>
        <w:ind w:left="851" w:right="899" w:hanging="142"/>
        <w:jc w:val="both"/>
        <w:rPr>
          <w:rFonts w:ascii="Palatino Linotype" w:hAnsi="Palatino Linotype" w:cs="Arial"/>
          <w:i/>
        </w:rPr>
      </w:pPr>
      <w:r>
        <w:rPr>
          <w:rFonts w:ascii="Palatino Linotype" w:hAnsi="Palatino Linotype" w:cs="Arial"/>
          <w:i/>
        </w:rPr>
        <w:t>“De la persona señalada en la solicitud de acceso a la información pública, los documentos donde conste el puesto, funciones, jornada laboral incluyendo el horario de trabajo, percepciones, antigüedad y perfil académico, al 28 de enero de 2020.</w:t>
      </w:r>
    </w:p>
    <w:p w:rsidR="00193AD0" w:rsidRDefault="001A18A3">
      <w:pPr>
        <w:spacing w:line="276" w:lineRule="auto"/>
        <w:ind w:left="851" w:right="899"/>
        <w:jc w:val="both"/>
        <w:rPr>
          <w:rFonts w:ascii="Palatino Linotype" w:eastAsia="Arial Unicode MS" w:hAnsi="Palatino Linotype" w:cs="Arial"/>
          <w:i/>
        </w:rPr>
      </w:pPr>
      <w:r>
        <w:rPr>
          <w:rFonts w:ascii="Palatino Linotype" w:eastAsia="Arial Unicode MS" w:hAnsi="Palatino Linotype" w:cs="Arial"/>
          <w:i/>
        </w:rPr>
        <w:t xml:space="preserve">Debiendo notificar al </w:t>
      </w:r>
      <w:r>
        <w:rPr>
          <w:rFonts w:ascii="Palatino Linotype" w:eastAsia="Arial Unicode MS" w:hAnsi="Palatino Linotype" w:cs="Arial"/>
          <w:b/>
          <w:i/>
        </w:rPr>
        <w:t>RECURRENTE</w:t>
      </w:r>
      <w:r>
        <w:rPr>
          <w:rFonts w:ascii="Palatino Linotype" w:eastAsia="Arial Unicode MS" w:hAnsi="Palatino Linotype" w:cs="Arial"/>
          <w:i/>
        </w:rPr>
        <w:t xml:space="preserve"> el Acuerdo de Clasificación de la información que apruebe su Comité de Transparencia con motivo de las versiones públicas.</w:t>
      </w:r>
    </w:p>
    <w:p w:rsidR="00193AD0" w:rsidRDefault="001A18A3">
      <w:pPr>
        <w:spacing w:line="276" w:lineRule="auto"/>
        <w:ind w:left="851" w:right="899"/>
        <w:jc w:val="both"/>
        <w:rPr>
          <w:rFonts w:ascii="Palatino Linotype" w:eastAsia="Arial Unicode MS" w:hAnsi="Palatino Linotype" w:cs="Arial"/>
          <w:i/>
        </w:rPr>
      </w:pPr>
      <w:r>
        <w:rPr>
          <w:rFonts w:ascii="Palatino Linotype" w:eastAsia="Arial Unicode MS" w:hAnsi="Palatino Linotype" w:cs="Arial"/>
          <w:i/>
        </w:rPr>
        <w:t>Si derivado de la búsqueda exhaustiva y razonable no se localiza la documentación requerida en la solicitud de acceso a la información púbica al no estar adscrito a dicho sujeto obligado, deberá hacerlo del conocimiento del de manera fundada y motivada.”</w:t>
      </w:r>
    </w:p>
    <w:p w:rsidR="00193AD0" w:rsidRDefault="001A18A3">
      <w:pPr>
        <w:pStyle w:val="Prrafodelista"/>
        <w:widowControl w:val="0"/>
        <w:spacing w:before="120" w:after="120" w:line="360" w:lineRule="auto"/>
        <w:ind w:left="0"/>
        <w:jc w:val="both"/>
        <w:rPr>
          <w:rFonts w:ascii="Palatino Linotype" w:hAnsi="Palatino Linotype"/>
          <w:szCs w:val="17"/>
          <w:lang w:eastAsia="es-ES_tradnl"/>
        </w:rPr>
      </w:pPr>
      <w:r>
        <w:rPr>
          <w:rFonts w:ascii="Palatino Linotype" w:hAnsi="Palatino Linotype"/>
          <w:b/>
          <w:sz w:val="28"/>
          <w:szCs w:val="28"/>
          <w:lang w:eastAsia="es-ES_tradnl"/>
        </w:rPr>
        <w:t>TERCERO.</w:t>
      </w:r>
      <w:r>
        <w:rPr>
          <w:rFonts w:ascii="Palatino Linotype" w:hAnsi="Palatino Linotype"/>
          <w:b/>
          <w:szCs w:val="17"/>
          <w:lang w:eastAsia="es-ES_tradnl"/>
        </w:rPr>
        <w:t xml:space="preserve"> Notifíquese</w:t>
      </w:r>
      <w:r>
        <w:rPr>
          <w:rFonts w:ascii="Palatino Linotype" w:hAnsi="Palatino Linotype"/>
          <w:szCs w:val="17"/>
          <w:lang w:eastAsia="es-ES_tradnl"/>
        </w:rPr>
        <w:t xml:space="preserve"> </w:t>
      </w:r>
      <w:r>
        <w:rPr>
          <w:rFonts w:ascii="Palatino Linotype" w:hAnsi="Palatino Linotype"/>
          <w:shd w:val="clear" w:color="auto" w:fill="FFFFFF"/>
        </w:rPr>
        <w:t>al Titular de la Unidad de Transparencia del</w:t>
      </w:r>
      <w:r>
        <w:rPr>
          <w:rStyle w:val="apple-converted-space"/>
          <w:rFonts w:ascii="Palatino Linotype"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presente resolución.</w:t>
      </w:r>
    </w:p>
    <w:p w:rsidR="00193AD0" w:rsidRDefault="001A18A3">
      <w:pPr>
        <w:pStyle w:val="Prrafodelista"/>
        <w:widowControl w:val="0"/>
        <w:spacing w:before="120" w:after="120" w:line="360" w:lineRule="auto"/>
        <w:ind w:left="0"/>
        <w:jc w:val="both"/>
        <w:rPr>
          <w:rFonts w:ascii="Palatino Linotype" w:hAnsi="Palatino Linotype"/>
          <w:highlight w:val="white"/>
        </w:rPr>
      </w:pPr>
      <w:r>
        <w:rPr>
          <w:rFonts w:ascii="Palatino Linotype" w:hAnsi="Palatino Linotype" w:cs="Arial"/>
          <w:b/>
          <w:color w:val="000000" w:themeColor="text1"/>
          <w:sz w:val="28"/>
          <w:szCs w:val="28"/>
        </w:rPr>
        <w:t>CUARTO.</w:t>
      </w:r>
      <w:r>
        <w:rPr>
          <w:rFonts w:ascii="Palatino Linotype" w:eastAsiaTheme="minorEastAsia" w:hAnsi="Palatino Linotype"/>
          <w:b/>
          <w:color w:val="222222"/>
          <w:szCs w:val="17"/>
          <w:lang w:eastAsia="es-ES_tradnl"/>
        </w:rPr>
        <w:t xml:space="preserve"> </w:t>
      </w:r>
      <w:r>
        <w:rPr>
          <w:rFonts w:ascii="Palatino Linotype" w:eastAsiaTheme="minorEastAsia" w:hAnsi="Palatino Linotype"/>
          <w:b/>
          <w:color w:val="222222"/>
          <w:lang w:eastAsia="es-ES_tradnl"/>
        </w:rPr>
        <w:t>Notifíquese</w:t>
      </w:r>
      <w:r>
        <w:rPr>
          <w:rFonts w:ascii="Palatino Linotype" w:eastAsiaTheme="minorEastAsia" w:hAnsi="Palatino Linotype"/>
          <w:color w:val="222222"/>
          <w:lang w:eastAsia="es-ES_tradnl"/>
        </w:rPr>
        <w:t xml:space="preserve"> al </w:t>
      </w:r>
      <w:r>
        <w:rPr>
          <w:rFonts w:ascii="Palatino Linotype" w:eastAsiaTheme="minorEastAsia" w:hAnsi="Palatino Linotype"/>
          <w:b/>
          <w:color w:val="222222"/>
          <w:lang w:eastAsia="es-ES_tradnl"/>
        </w:rPr>
        <w:t>RECURRENTE</w:t>
      </w:r>
      <w:r>
        <w:rPr>
          <w:rFonts w:ascii="Palatino Linotype" w:eastAsiaTheme="minorEastAsia" w:hAnsi="Palatino Linotype"/>
          <w:color w:val="222222"/>
          <w:lang w:eastAsia="es-ES_tradnl"/>
        </w:rPr>
        <w:t xml:space="preserve"> la presente resolución.</w:t>
      </w:r>
    </w:p>
    <w:p w:rsidR="00193AD0" w:rsidRDefault="001A18A3">
      <w:pPr>
        <w:pStyle w:val="Prrafodelista"/>
        <w:widowControl w:val="0"/>
        <w:spacing w:before="120" w:after="120" w:line="360" w:lineRule="auto"/>
        <w:ind w:left="0"/>
        <w:jc w:val="both"/>
        <w:rPr>
          <w:rFonts w:ascii="Palatino Linotype" w:hAnsi="Palatino Linotype"/>
          <w:highlight w:val="white"/>
        </w:rPr>
      </w:pPr>
      <w:r>
        <w:rPr>
          <w:rFonts w:ascii="Palatino Linotype" w:hAnsi="Palatino Linotype" w:cs="Arial"/>
          <w:b/>
          <w:color w:val="000000" w:themeColor="text1"/>
          <w:sz w:val="28"/>
          <w:szCs w:val="28"/>
        </w:rPr>
        <w:t xml:space="preserve">QUINTO. </w:t>
      </w:r>
      <w:r>
        <w:rPr>
          <w:rFonts w:ascii="Palatino Linotype" w:eastAsiaTheme="minorEastAsia" w:hAnsi="Palatino Linotype"/>
          <w:b/>
          <w:color w:val="222222"/>
          <w:szCs w:val="17"/>
          <w:lang w:eastAsia="es-ES_tradn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193AD0" w:rsidRDefault="001A18A3">
      <w:pPr>
        <w:widowControl w:val="0"/>
        <w:spacing w:line="360" w:lineRule="auto"/>
        <w:jc w:val="both"/>
        <w:rPr>
          <w:rFonts w:ascii="Palatino Linotype" w:eastAsiaTheme="minorEastAsia" w:hAnsi="Palatino Linotype"/>
          <w:color w:val="222222"/>
          <w:lang w:eastAsia="es-ES_tradnl"/>
        </w:rPr>
      </w:pPr>
      <w:r>
        <w:rPr>
          <w:rFonts w:ascii="Palatino Linotype" w:hAnsi="Palatino Linotype" w:cs="Arial"/>
          <w:b/>
          <w:color w:val="000000" w:themeColor="text1"/>
          <w:sz w:val="28"/>
          <w:szCs w:val="28"/>
        </w:rPr>
        <w:t xml:space="preserve">SEXTO. </w:t>
      </w:r>
      <w:r>
        <w:rPr>
          <w:rFonts w:ascii="Palatino Linotype" w:eastAsiaTheme="minorEastAsia" w:hAnsi="Palatino Linotype"/>
          <w:b/>
          <w:color w:val="222222"/>
          <w:lang w:eastAsia="es-ES_tradnl"/>
        </w:rPr>
        <w:t>Hágase del conocimiento</w:t>
      </w:r>
      <w:r>
        <w:rPr>
          <w:rFonts w:ascii="Palatino Linotype" w:eastAsiaTheme="minorEastAsia" w:hAnsi="Palatino Linotype"/>
          <w:color w:val="222222"/>
          <w:lang w:eastAsia="es-ES_tradnl"/>
        </w:rPr>
        <w:t xml:space="preserve"> del </w:t>
      </w:r>
      <w:r>
        <w:rPr>
          <w:rFonts w:ascii="Palatino Linotype" w:eastAsiaTheme="minorEastAsia" w:hAnsi="Palatino Linotype"/>
          <w:b/>
          <w:color w:val="222222"/>
          <w:lang w:eastAsia="es-ES_tradnl"/>
        </w:rPr>
        <w:t>RECURRENTE</w:t>
      </w:r>
      <w:r>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193AD0" w:rsidRDefault="001A18A3">
      <w:pPr>
        <w:pStyle w:val="Prrafodelista"/>
        <w:widowControl w:val="0"/>
        <w:tabs>
          <w:tab w:val="left" w:pos="1701"/>
          <w:tab w:val="left" w:pos="2268"/>
        </w:tabs>
        <w:spacing w:before="120" w:after="12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 xml:space="preserve">JAVIER MARTÍNEZ CRUZ y LUIS GUSTAVO PARRA NORIEGA; </w:t>
      </w:r>
      <w:bookmarkStart w:id="0" w:name="_GoBack"/>
      <w:bookmarkEnd w:id="0"/>
      <w:r>
        <w:rPr>
          <w:rFonts w:ascii="Palatino Linotype" w:hAnsi="Palatino Linotype" w:cs="Arial"/>
          <w:color w:val="000000" w:themeColor="text1"/>
        </w:rPr>
        <w:t>EN LA DÉCIMA TERCERA SESIÓN ORDINARIA CELEBRADA EL DOCE DE AGOSTO DE DOS MIL VEINTE, ANTE EL SECRETARIO TÉCNICO DEL PLENO ALEXIS TAPIA RAMÍREZ.</w:t>
      </w:r>
    </w:p>
    <w:tbl>
      <w:tblPr>
        <w:tblW w:w="10368" w:type="dxa"/>
        <w:jc w:val="center"/>
        <w:tblLook w:val="04A0" w:firstRow="1" w:lastRow="0" w:firstColumn="1" w:lastColumn="0" w:noHBand="0" w:noVBand="1"/>
      </w:tblPr>
      <w:tblGrid>
        <w:gridCol w:w="5185"/>
        <w:gridCol w:w="5183"/>
      </w:tblGrid>
      <w:tr w:rsidR="00193AD0">
        <w:trPr>
          <w:jc w:val="center"/>
        </w:trPr>
        <w:tc>
          <w:tcPr>
            <w:tcW w:w="10367" w:type="dxa"/>
            <w:gridSpan w:val="2"/>
          </w:tcPr>
          <w:p w:rsidR="00193AD0" w:rsidRDefault="00193AD0">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193AD0" w:rsidRDefault="001A18A3">
            <w:pPr>
              <w:jc w:val="center"/>
              <w:rPr>
                <w:rFonts w:ascii="Palatino Linotype" w:hAnsi="Palatino Linotype" w:cs="Arial"/>
                <w:b/>
                <w:lang w:val="es-ES_tradnl"/>
              </w:rPr>
            </w:pPr>
            <w:r>
              <w:rPr>
                <w:rFonts w:ascii="Palatino Linotype" w:hAnsi="Palatino Linotype" w:cs="Arial"/>
                <w:b/>
                <w:lang w:val="es-ES_tradnl"/>
              </w:rPr>
              <w:t>Zulema Martínez Sánchez</w:t>
            </w:r>
          </w:p>
          <w:p w:rsidR="00193AD0" w:rsidRDefault="001A18A3">
            <w:pPr>
              <w:jc w:val="center"/>
              <w:rPr>
                <w:rFonts w:ascii="Palatino Linotype" w:hAnsi="Palatino Linotype" w:cs="Arial"/>
                <w:b/>
                <w:lang w:val="es-ES_tradnl"/>
              </w:rPr>
            </w:pPr>
            <w:r>
              <w:rPr>
                <w:rFonts w:ascii="Palatino Linotype" w:hAnsi="Palatino Linotype" w:cs="Arial"/>
                <w:lang w:val="es-ES_tradnl"/>
              </w:rPr>
              <w:t>Comisionada Presidenta</w:t>
            </w:r>
          </w:p>
          <w:p w:rsidR="00193AD0" w:rsidRDefault="001A18A3">
            <w:pPr>
              <w:jc w:val="center"/>
              <w:rPr>
                <w:rFonts w:ascii="Palatino Linotype" w:hAnsi="Palatino Linotype" w:cs="Arial"/>
                <w:b/>
                <w:lang w:val="es-ES_tradnl"/>
              </w:rPr>
            </w:pPr>
            <w:r>
              <w:rPr>
                <w:rFonts w:ascii="Palatino Linotype" w:hAnsi="Palatino Linotype" w:cs="Arial"/>
                <w:b/>
                <w:lang w:val="es-ES_tradnl"/>
              </w:rPr>
              <w:t>(RÚBRICA)</w:t>
            </w:r>
          </w:p>
        </w:tc>
      </w:tr>
      <w:tr w:rsidR="00193AD0">
        <w:trPr>
          <w:jc w:val="center"/>
        </w:trPr>
        <w:tc>
          <w:tcPr>
            <w:tcW w:w="5184" w:type="dxa"/>
          </w:tcPr>
          <w:p w:rsidR="00193AD0" w:rsidRDefault="00193AD0">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193AD0" w:rsidRDefault="001A18A3">
            <w:pPr>
              <w:jc w:val="center"/>
              <w:rPr>
                <w:rFonts w:ascii="Palatino Linotype" w:hAnsi="Palatino Linotype" w:cs="Arial"/>
                <w:b/>
                <w:lang w:val="es-ES_tradnl"/>
              </w:rPr>
            </w:pPr>
            <w:r>
              <w:rPr>
                <w:rFonts w:ascii="Palatino Linotype" w:hAnsi="Palatino Linotype" w:cs="Arial"/>
                <w:b/>
                <w:lang w:val="es-ES_tradnl"/>
              </w:rPr>
              <w:t>Eva Abaid Yapur</w:t>
            </w:r>
          </w:p>
          <w:p w:rsidR="00193AD0" w:rsidRDefault="001A18A3">
            <w:pPr>
              <w:jc w:val="center"/>
              <w:rPr>
                <w:rFonts w:ascii="Palatino Linotype" w:hAnsi="Palatino Linotype" w:cs="Arial"/>
                <w:lang w:val="es-ES_tradnl"/>
              </w:rPr>
            </w:pPr>
            <w:r>
              <w:rPr>
                <w:rFonts w:ascii="Palatino Linotype" w:hAnsi="Palatino Linotype" w:cs="Arial"/>
                <w:lang w:val="es-ES_tradnl"/>
              </w:rPr>
              <w:t>Comisionada</w:t>
            </w:r>
          </w:p>
          <w:p w:rsidR="00193AD0" w:rsidRDefault="001A18A3">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193AD0" w:rsidRDefault="00193AD0">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193AD0" w:rsidRDefault="001A18A3">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193AD0" w:rsidRDefault="001A18A3">
            <w:pPr>
              <w:jc w:val="center"/>
              <w:rPr>
                <w:rFonts w:ascii="Palatino Linotype" w:hAnsi="Palatino Linotype" w:cs="Arial"/>
                <w:lang w:val="es-ES_tradnl"/>
              </w:rPr>
            </w:pPr>
            <w:r>
              <w:rPr>
                <w:rFonts w:ascii="Palatino Linotype" w:hAnsi="Palatino Linotype" w:cs="Arial"/>
                <w:lang w:val="es-ES_tradnl"/>
              </w:rPr>
              <w:t>Comisionado</w:t>
            </w:r>
          </w:p>
          <w:p w:rsidR="00193AD0" w:rsidRDefault="001A18A3">
            <w:pPr>
              <w:jc w:val="center"/>
              <w:rPr>
                <w:rFonts w:ascii="Palatino Linotype" w:hAnsi="Palatino Linotype" w:cs="Arial"/>
                <w:b/>
                <w:lang w:val="es-ES_tradnl"/>
              </w:rPr>
            </w:pPr>
            <w:r>
              <w:rPr>
                <w:rFonts w:ascii="Palatino Linotype" w:hAnsi="Palatino Linotype" w:cs="Arial"/>
                <w:b/>
                <w:lang w:val="es-ES_tradnl"/>
              </w:rPr>
              <w:t>(RÚBRICA)</w:t>
            </w:r>
          </w:p>
        </w:tc>
      </w:tr>
      <w:tr w:rsidR="00193AD0">
        <w:trPr>
          <w:jc w:val="center"/>
        </w:trPr>
        <w:tc>
          <w:tcPr>
            <w:tcW w:w="5184" w:type="dxa"/>
          </w:tcPr>
          <w:p w:rsidR="00193AD0" w:rsidRDefault="00193AD0">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193AD0" w:rsidRDefault="001A18A3">
            <w:pPr>
              <w:jc w:val="center"/>
              <w:rPr>
                <w:rFonts w:ascii="Palatino Linotype" w:hAnsi="Palatino Linotype" w:cs="Arial"/>
                <w:b/>
                <w:lang w:val="es-ES_tradnl"/>
              </w:rPr>
            </w:pPr>
            <w:r>
              <w:rPr>
                <w:rFonts w:ascii="Palatino Linotype" w:hAnsi="Palatino Linotype" w:cs="Arial"/>
                <w:b/>
                <w:lang w:val="es-ES_tradnl"/>
              </w:rPr>
              <w:t>Javier Martínez Cruz</w:t>
            </w:r>
          </w:p>
          <w:p w:rsidR="00193AD0" w:rsidRDefault="001A18A3">
            <w:pPr>
              <w:jc w:val="center"/>
              <w:rPr>
                <w:rFonts w:ascii="Palatino Linotype" w:hAnsi="Palatino Linotype" w:cs="Arial"/>
                <w:lang w:val="es-ES_tradnl"/>
              </w:rPr>
            </w:pPr>
            <w:r>
              <w:rPr>
                <w:rFonts w:ascii="Palatino Linotype" w:hAnsi="Palatino Linotype" w:cs="Arial"/>
                <w:lang w:val="es-ES_tradnl"/>
              </w:rPr>
              <w:t>Comisionado</w:t>
            </w:r>
          </w:p>
          <w:p w:rsidR="00193AD0" w:rsidRDefault="001A18A3">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193AD0" w:rsidRDefault="00193AD0">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193AD0" w:rsidRDefault="001A18A3">
            <w:pPr>
              <w:jc w:val="center"/>
              <w:rPr>
                <w:rFonts w:ascii="Palatino Linotype" w:hAnsi="Palatino Linotype" w:cs="Arial"/>
                <w:b/>
                <w:lang w:val="es-ES_tradnl"/>
              </w:rPr>
            </w:pPr>
            <w:r>
              <w:rPr>
                <w:rFonts w:ascii="Palatino Linotype" w:hAnsi="Palatino Linotype" w:cs="Arial"/>
                <w:b/>
                <w:lang w:val="es-ES_tradnl"/>
              </w:rPr>
              <w:t>Luis Gustavo Parra Noriega</w:t>
            </w:r>
          </w:p>
          <w:p w:rsidR="00193AD0" w:rsidRDefault="001A18A3">
            <w:pPr>
              <w:jc w:val="center"/>
              <w:rPr>
                <w:rFonts w:ascii="Palatino Linotype" w:hAnsi="Palatino Linotype" w:cs="Arial"/>
                <w:lang w:val="es-ES_tradnl"/>
              </w:rPr>
            </w:pPr>
            <w:r>
              <w:rPr>
                <w:rFonts w:ascii="Palatino Linotype" w:hAnsi="Palatino Linotype" w:cs="Arial"/>
                <w:lang w:val="es-ES_tradnl"/>
              </w:rPr>
              <w:t>Comisionado</w:t>
            </w:r>
          </w:p>
          <w:p w:rsidR="00193AD0" w:rsidRDefault="001A18A3">
            <w:pPr>
              <w:jc w:val="center"/>
              <w:rPr>
                <w:rFonts w:ascii="Palatino Linotype" w:hAnsi="Palatino Linotype" w:cs="Arial"/>
                <w:b/>
                <w:lang w:val="es-ES_tradnl"/>
              </w:rPr>
            </w:pPr>
            <w:r>
              <w:rPr>
                <w:rFonts w:ascii="Palatino Linotype" w:hAnsi="Palatino Linotype" w:cs="Arial"/>
                <w:b/>
                <w:lang w:val="es-ES_tradnl"/>
              </w:rPr>
              <w:t>(RÚBRICA)</w:t>
            </w:r>
          </w:p>
        </w:tc>
      </w:tr>
      <w:tr w:rsidR="00193AD0">
        <w:trPr>
          <w:jc w:val="center"/>
        </w:trPr>
        <w:tc>
          <w:tcPr>
            <w:tcW w:w="10367" w:type="dxa"/>
            <w:gridSpan w:val="2"/>
          </w:tcPr>
          <w:p w:rsidR="00193AD0" w:rsidRDefault="00193AD0">
            <w:pPr>
              <w:jc w:val="center"/>
              <w:rPr>
                <w:rFonts w:ascii="Palatino Linotype" w:hAnsi="Palatino Linotype" w:cs="Arial"/>
                <w:b/>
                <w:lang w:val="es-ES_tradnl"/>
              </w:rPr>
            </w:pPr>
          </w:p>
          <w:p w:rsidR="00193AD0" w:rsidRDefault="00193AD0">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25438D" w:rsidRDefault="0025438D">
            <w:pPr>
              <w:jc w:val="center"/>
              <w:rPr>
                <w:rFonts w:ascii="Palatino Linotype" w:hAnsi="Palatino Linotype" w:cs="Arial"/>
                <w:b/>
                <w:lang w:val="es-ES_tradnl"/>
              </w:rPr>
            </w:pPr>
          </w:p>
          <w:p w:rsidR="00193AD0" w:rsidRDefault="001A18A3">
            <w:pPr>
              <w:jc w:val="center"/>
              <w:rPr>
                <w:rFonts w:ascii="Palatino Linotype" w:hAnsi="Palatino Linotype" w:cs="Arial"/>
                <w:b/>
                <w:lang w:val="es-ES_tradnl"/>
              </w:rPr>
            </w:pPr>
            <w:r>
              <w:rPr>
                <w:rFonts w:ascii="Palatino Linotype" w:hAnsi="Palatino Linotype" w:cs="Arial"/>
                <w:b/>
                <w:lang w:val="es-ES_tradnl"/>
              </w:rPr>
              <w:t>Alexis Tapia Ramírez</w:t>
            </w:r>
          </w:p>
          <w:p w:rsidR="00193AD0" w:rsidRDefault="001A18A3">
            <w:pPr>
              <w:jc w:val="center"/>
              <w:rPr>
                <w:rFonts w:ascii="Palatino Linotype" w:hAnsi="Palatino Linotype" w:cs="Arial"/>
                <w:lang w:val="es-ES_tradnl"/>
              </w:rPr>
            </w:pPr>
            <w:r>
              <w:rPr>
                <w:rFonts w:ascii="Palatino Linotype" w:hAnsi="Palatino Linotype" w:cs="Arial"/>
                <w:lang w:val="es-ES_tradnl"/>
              </w:rPr>
              <w:t>Secretario Técnico del Pleno</w:t>
            </w:r>
          </w:p>
          <w:p w:rsidR="00193AD0" w:rsidRDefault="001A18A3">
            <w:pPr>
              <w:jc w:val="center"/>
              <w:rPr>
                <w:rFonts w:ascii="Palatino Linotype" w:hAnsi="Palatino Linotype" w:cs="Arial"/>
                <w:lang w:val="es-ES_tradnl"/>
              </w:rPr>
            </w:pPr>
            <w:r>
              <w:rPr>
                <w:rFonts w:ascii="Palatino Linotype" w:hAnsi="Palatino Linotype" w:cs="Arial"/>
                <w:b/>
                <w:lang w:val="es-ES_tradnl"/>
              </w:rPr>
              <w:t>(RÚBRICA)</w:t>
            </w:r>
          </w:p>
        </w:tc>
      </w:tr>
    </w:tbl>
    <w:p w:rsidR="0025438D" w:rsidRDefault="0025438D">
      <w:pPr>
        <w:ind w:right="49"/>
        <w:jc w:val="both"/>
        <w:rPr>
          <w:rFonts w:ascii="Palatino Linotype" w:hAnsi="Palatino Linotype"/>
          <w:sz w:val="20"/>
          <w:lang w:val="es-ES_tradnl"/>
        </w:rPr>
      </w:pPr>
    </w:p>
    <w:p w:rsidR="00193AD0" w:rsidRDefault="001A18A3">
      <w:pPr>
        <w:ind w:right="49"/>
        <w:jc w:val="both"/>
        <w:rPr>
          <w:rFonts w:ascii="Palatino Linotype" w:hAnsi="Palatino Linotype"/>
          <w:sz w:val="20"/>
          <w:lang w:val="es-ES_tradnl"/>
        </w:rPr>
      </w:pPr>
      <w:r>
        <w:rPr>
          <w:rFonts w:ascii="Palatino Linotype" w:hAnsi="Palatino Linotype"/>
          <w:sz w:val="20"/>
          <w:lang w:val="es-ES_tradnl"/>
        </w:rPr>
        <w:t>Esta hoja corresponde a la resolución del doce de agosto de dos mil veinte, emitida en el recurso de revisión 01122/INFOEM/IP/RR/2020.</w:t>
      </w:r>
    </w:p>
    <w:p w:rsidR="00193AD0" w:rsidRDefault="001A18A3">
      <w:pPr>
        <w:spacing w:line="360" w:lineRule="auto"/>
        <w:ind w:right="49"/>
        <w:jc w:val="both"/>
        <w:rPr>
          <w:rFonts w:ascii="Palatino Linotype" w:hAnsi="Palatino Linotype" w:cs="Arial"/>
        </w:rPr>
      </w:pPr>
      <w:r>
        <w:rPr>
          <w:rFonts w:ascii="Palatino Linotype" w:hAnsi="Palatino Linotype" w:cs="Arial"/>
          <w:sz w:val="20"/>
          <w:szCs w:val="20"/>
          <w:lang w:val="es-ES_tradnl"/>
        </w:rPr>
        <w:t>YSM/LAGO</w:t>
      </w:r>
    </w:p>
    <w:sectPr w:rsidR="00193AD0">
      <w:headerReference w:type="default" r:id="rId16"/>
      <w:footerReference w:type="default" r:id="rId17"/>
      <w:headerReference w:type="first" r:id="rId18"/>
      <w:footerReference w:type="first" r:id="rId19"/>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8A3" w:rsidRDefault="001A18A3">
      <w:r>
        <w:separator/>
      </w:r>
    </w:p>
  </w:endnote>
  <w:endnote w:type="continuationSeparator" w:id="0">
    <w:p w:rsidR="001A18A3" w:rsidRDefault="001A1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AD0" w:rsidRDefault="001A18A3">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D7CEF">
      <w:rPr>
        <w:rFonts w:ascii="Palatino Linotype" w:hAnsi="Palatino Linotype" w:cs="Arial"/>
        <w:bCs/>
        <w:noProof/>
        <w:sz w:val="22"/>
        <w:szCs w:val="22"/>
      </w:rPr>
      <w:t>32</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D7CEF">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AD0" w:rsidRDefault="001A18A3">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D7CEF">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D7CEF">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8A3" w:rsidRDefault="001A18A3">
      <w:r>
        <w:separator/>
      </w:r>
    </w:p>
  </w:footnote>
  <w:footnote w:type="continuationSeparator" w:id="0">
    <w:p w:rsidR="001A18A3" w:rsidRDefault="001A1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AD0" w:rsidRDefault="001A18A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32" behindDoc="1" locked="0" layoutInCell="1" allowOverlap="1">
              <wp:simplePos x="0" y="0"/>
              <wp:positionH relativeFrom="column">
                <wp:align>center</wp:align>
              </wp:positionH>
              <wp:positionV relativeFrom="margin">
                <wp:align>center</wp:align>
              </wp:positionV>
              <wp:extent cx="6858635" cy="9144635"/>
              <wp:effectExtent l="0" t="0" r="0" b="0"/>
              <wp:wrapNone/>
              <wp:docPr id="15"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193AD0">
      <w:tc>
        <w:tcPr>
          <w:tcW w:w="3260" w:type="dxa"/>
          <w:vMerge w:val="restart"/>
        </w:tcPr>
        <w:p w:rsidR="00193AD0" w:rsidRDefault="001A18A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193AD0" w:rsidRDefault="001A18A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193AD0" w:rsidRDefault="001A18A3">
          <w:pPr>
            <w:rPr>
              <w:rFonts w:ascii="Palatino Linotype" w:hAnsi="Palatino Linotype"/>
              <w:b/>
              <w:lang w:val="es-ES_tradnl"/>
            </w:rPr>
          </w:pPr>
          <w:r>
            <w:rPr>
              <w:rFonts w:ascii="Palatino Linotype" w:hAnsi="Palatino Linotype"/>
              <w:b/>
              <w:lang w:val="es-ES_tradnl"/>
            </w:rPr>
            <w:t>01122/INFOEM/IP/RR/2020</w:t>
          </w:r>
        </w:p>
      </w:tc>
    </w:tr>
    <w:tr w:rsidR="00193AD0">
      <w:tc>
        <w:tcPr>
          <w:tcW w:w="3260" w:type="dxa"/>
          <w:vMerge/>
        </w:tcPr>
        <w:p w:rsidR="00193AD0" w:rsidRDefault="00193AD0">
          <w:pPr>
            <w:rPr>
              <w:rFonts w:ascii="Palatino Linotype" w:hAnsi="Palatino Linotype"/>
              <w:b/>
              <w:sz w:val="22"/>
              <w:szCs w:val="22"/>
              <w:lang w:val="es-ES_tradnl"/>
            </w:rPr>
          </w:pPr>
        </w:p>
      </w:tc>
      <w:tc>
        <w:tcPr>
          <w:tcW w:w="2551" w:type="dxa"/>
          <w:shd w:val="clear" w:color="auto" w:fill="auto"/>
        </w:tcPr>
        <w:p w:rsidR="00193AD0" w:rsidRDefault="001A18A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193AD0" w:rsidRDefault="001A18A3">
          <w:pPr>
            <w:rPr>
              <w:rFonts w:ascii="Palatino Linotype" w:hAnsi="Palatino Linotype"/>
              <w:b/>
              <w:lang w:val="es-ES_tradnl"/>
            </w:rPr>
          </w:pPr>
          <w:r>
            <w:rPr>
              <w:rFonts w:ascii="Palatino Linotype" w:hAnsi="Palatino Linotype"/>
              <w:b/>
              <w:lang w:val="es-ES_tradnl"/>
            </w:rPr>
            <w:t>Instituto de Salud del Estado de México</w:t>
          </w:r>
        </w:p>
      </w:tc>
    </w:tr>
    <w:tr w:rsidR="00193AD0">
      <w:trPr>
        <w:trHeight w:val="228"/>
      </w:trPr>
      <w:tc>
        <w:tcPr>
          <w:tcW w:w="3260" w:type="dxa"/>
          <w:vMerge/>
        </w:tcPr>
        <w:p w:rsidR="00193AD0" w:rsidRDefault="00193AD0">
          <w:pPr>
            <w:rPr>
              <w:rFonts w:ascii="Palatino Linotype" w:hAnsi="Palatino Linotype"/>
              <w:b/>
              <w:sz w:val="22"/>
              <w:szCs w:val="22"/>
              <w:lang w:val="es-ES_tradnl"/>
            </w:rPr>
          </w:pPr>
        </w:p>
      </w:tc>
      <w:tc>
        <w:tcPr>
          <w:tcW w:w="2551" w:type="dxa"/>
          <w:shd w:val="clear" w:color="auto" w:fill="auto"/>
        </w:tcPr>
        <w:p w:rsidR="00193AD0" w:rsidRDefault="001A18A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193AD0" w:rsidRDefault="001A18A3">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93AD0" w:rsidRDefault="00193AD0">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AD0" w:rsidRDefault="001A18A3">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7"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69.4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193AD0">
      <w:tc>
        <w:tcPr>
          <w:tcW w:w="4252" w:type="dxa"/>
          <w:vMerge w:val="restart"/>
          <w:shd w:val="clear" w:color="auto" w:fill="auto"/>
        </w:tcPr>
        <w:p w:rsidR="00193AD0" w:rsidRDefault="001A18A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193AD0" w:rsidRDefault="001A18A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193AD0" w:rsidRDefault="001A18A3">
          <w:pPr>
            <w:rPr>
              <w:rFonts w:ascii="Palatino Linotype" w:hAnsi="Palatino Linotype"/>
              <w:b/>
              <w:lang w:val="es-ES_tradnl"/>
            </w:rPr>
          </w:pPr>
          <w:r>
            <w:rPr>
              <w:rFonts w:ascii="Palatino Linotype" w:hAnsi="Palatino Linotype"/>
              <w:b/>
              <w:lang w:val="es-ES_tradnl"/>
            </w:rPr>
            <w:t xml:space="preserve">01122/INFOEM/IP/RR/2020 </w:t>
          </w:r>
        </w:p>
      </w:tc>
    </w:tr>
    <w:tr w:rsidR="00193AD0">
      <w:tc>
        <w:tcPr>
          <w:tcW w:w="4252" w:type="dxa"/>
          <w:vMerge/>
          <w:shd w:val="clear" w:color="auto" w:fill="auto"/>
        </w:tcPr>
        <w:p w:rsidR="00193AD0" w:rsidRDefault="00193AD0">
          <w:pPr>
            <w:rPr>
              <w:rFonts w:ascii="Palatino Linotype" w:hAnsi="Palatino Linotype"/>
              <w:b/>
              <w:sz w:val="22"/>
              <w:szCs w:val="22"/>
              <w:lang w:val="es-ES_tradnl"/>
            </w:rPr>
          </w:pPr>
        </w:p>
      </w:tc>
      <w:tc>
        <w:tcPr>
          <w:tcW w:w="2552" w:type="dxa"/>
          <w:shd w:val="clear" w:color="auto" w:fill="auto"/>
        </w:tcPr>
        <w:p w:rsidR="00193AD0" w:rsidRDefault="001A18A3">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193AD0" w:rsidRDefault="005D7CEF" w:rsidP="005D7CEF">
          <w:pPr>
            <w:rPr>
              <w:rFonts w:ascii="Palatino Linotype" w:hAnsi="Palatino Linotype"/>
              <w:b/>
              <w:lang w:val="es-ES_tradnl"/>
            </w:rPr>
          </w:pPr>
          <w:r>
            <w:rPr>
              <w:rFonts w:ascii="Palatino Linotype" w:hAnsi="Palatino Linotype"/>
              <w:b/>
              <w:lang w:val="es-ES_tradnl"/>
            </w:rPr>
            <w:t>Xxxx</w:t>
          </w:r>
          <w:r w:rsidR="001A18A3">
            <w:rPr>
              <w:rFonts w:ascii="Palatino Linotype" w:hAnsi="Palatino Linotype"/>
              <w:b/>
              <w:lang w:val="es-ES_tradnl"/>
            </w:rPr>
            <w:t xml:space="preserve"> </w:t>
          </w:r>
          <w:r>
            <w:rPr>
              <w:rFonts w:ascii="Palatino Linotype" w:hAnsi="Palatino Linotype"/>
              <w:b/>
              <w:lang w:val="es-ES_tradnl"/>
            </w:rPr>
            <w:t>Xxxx</w:t>
          </w:r>
          <w:r w:rsidR="001A18A3">
            <w:rPr>
              <w:rFonts w:ascii="Palatino Linotype" w:hAnsi="Palatino Linotype"/>
              <w:b/>
              <w:lang w:val="es-ES_tradnl"/>
            </w:rPr>
            <w:t xml:space="preserve"> </w:t>
          </w:r>
          <w:r>
            <w:rPr>
              <w:rFonts w:ascii="Palatino Linotype" w:hAnsi="Palatino Linotype"/>
              <w:b/>
              <w:lang w:val="es-ES_tradnl"/>
            </w:rPr>
            <w:t>Xxxxx</w:t>
          </w:r>
        </w:p>
      </w:tc>
    </w:tr>
    <w:tr w:rsidR="00193AD0">
      <w:trPr>
        <w:trHeight w:val="228"/>
      </w:trPr>
      <w:tc>
        <w:tcPr>
          <w:tcW w:w="4252" w:type="dxa"/>
          <w:vMerge/>
          <w:shd w:val="clear" w:color="auto" w:fill="auto"/>
        </w:tcPr>
        <w:p w:rsidR="00193AD0" w:rsidRDefault="00193AD0">
          <w:pPr>
            <w:rPr>
              <w:rFonts w:ascii="Palatino Linotype" w:hAnsi="Palatino Linotype"/>
              <w:b/>
              <w:sz w:val="22"/>
              <w:szCs w:val="22"/>
              <w:lang w:val="es-ES_tradnl"/>
            </w:rPr>
          </w:pPr>
        </w:p>
      </w:tc>
      <w:tc>
        <w:tcPr>
          <w:tcW w:w="2552" w:type="dxa"/>
          <w:shd w:val="clear" w:color="auto" w:fill="auto"/>
        </w:tcPr>
        <w:p w:rsidR="00193AD0" w:rsidRDefault="001A18A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193AD0" w:rsidRDefault="001A18A3">
          <w:pPr>
            <w:ind w:right="181"/>
            <w:jc w:val="both"/>
            <w:rPr>
              <w:rFonts w:ascii="Palatino Linotype" w:hAnsi="Palatino Linotype"/>
              <w:b/>
              <w:lang w:val="es-ES_tradnl"/>
            </w:rPr>
          </w:pPr>
          <w:r>
            <w:rPr>
              <w:rFonts w:ascii="Palatino Linotype" w:hAnsi="Palatino Linotype"/>
              <w:b/>
              <w:lang w:val="es-ES_tradnl"/>
            </w:rPr>
            <w:t>Instituto de Salud del Estado de México</w:t>
          </w:r>
        </w:p>
      </w:tc>
    </w:tr>
    <w:tr w:rsidR="00193AD0">
      <w:tc>
        <w:tcPr>
          <w:tcW w:w="4252" w:type="dxa"/>
          <w:vMerge/>
          <w:shd w:val="clear" w:color="auto" w:fill="auto"/>
        </w:tcPr>
        <w:p w:rsidR="00193AD0" w:rsidRDefault="00193AD0">
          <w:pPr>
            <w:rPr>
              <w:rFonts w:ascii="Palatino Linotype" w:hAnsi="Palatino Linotype"/>
              <w:b/>
              <w:sz w:val="22"/>
              <w:szCs w:val="22"/>
              <w:lang w:val="es-ES_tradnl"/>
            </w:rPr>
          </w:pPr>
        </w:p>
      </w:tc>
      <w:tc>
        <w:tcPr>
          <w:tcW w:w="2552" w:type="dxa"/>
          <w:shd w:val="clear" w:color="auto" w:fill="auto"/>
        </w:tcPr>
        <w:p w:rsidR="00193AD0" w:rsidRDefault="001A18A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193AD0" w:rsidRDefault="001A18A3">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93AD0" w:rsidRDefault="00193AD0">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AD0"/>
    <w:rsid w:val="00193AD0"/>
    <w:rsid w:val="001A18A3"/>
    <w:rsid w:val="0025438D"/>
    <w:rsid w:val="005D7CEF"/>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93B01"/>
  <w15:docId w15:val="{C18CBA2B-7EC1-48F3-9148-6DF9D60A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0.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2.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7E057-32EA-49EA-8B6D-F63B83D3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6438</Words>
  <Characters>35415</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 alberto guadarrama olivares</cp:lastModifiedBy>
  <cp:revision>2</cp:revision>
  <cp:lastPrinted>2020-01-22T19:55:00Z</cp:lastPrinted>
  <dcterms:created xsi:type="dcterms:W3CDTF">2020-08-27T05:52:00Z</dcterms:created>
  <dcterms:modified xsi:type="dcterms:W3CDTF">2020-08-27T05:52:00Z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