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E8" w:rsidRDefault="00182D9F">
      <w:pPr>
        <w:spacing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veintiséis de agosto de dos mil veinte.</w:t>
      </w:r>
    </w:p>
    <w:p w:rsidR="003B5DE8" w:rsidRDefault="003B5DE8">
      <w:pPr>
        <w:spacing w:line="360" w:lineRule="auto"/>
        <w:jc w:val="both"/>
        <w:rPr>
          <w:rFonts w:ascii="Palatino Linotype" w:hAnsi="Palatino Linotype"/>
        </w:rPr>
      </w:pPr>
    </w:p>
    <w:p w:rsidR="003B5DE8" w:rsidRDefault="00182D9F">
      <w:pPr>
        <w:spacing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w:t>
      </w:r>
      <w:r>
        <w:rPr>
          <w:rFonts w:ascii="Palatino Linotype" w:hAnsi="Palatino Linotype"/>
          <w:b/>
          <w:bCs/>
          <w:color w:val="FF0000"/>
        </w:rPr>
        <w:t xml:space="preserve"> </w:t>
      </w:r>
      <w:r>
        <w:rPr>
          <w:rFonts w:ascii="Palatino Linotype" w:hAnsi="Palatino Linotype"/>
          <w:b/>
          <w:bCs/>
        </w:rPr>
        <w:t>01612/INFOEM/IP/RR/2020</w:t>
      </w:r>
      <w:r>
        <w:rPr>
          <w:rFonts w:ascii="Palatino Linotype" w:hAnsi="Palatino Linotype"/>
        </w:rPr>
        <w:t xml:space="preserve">, promovido por el </w:t>
      </w:r>
      <w:r>
        <w:rPr>
          <w:rFonts w:ascii="Palatino Linotype" w:hAnsi="Palatino Linotype"/>
          <w:b/>
        </w:rPr>
        <w:t xml:space="preserve">C. </w:t>
      </w:r>
      <w:r w:rsidR="00FE2396" w:rsidRPr="00FE2396">
        <w:rPr>
          <w:rFonts w:ascii="Palatino Linotype" w:hAnsi="Palatino Linotype"/>
          <w:b/>
          <w:lang w:val="es-ES_tradnl"/>
        </w:rPr>
        <w:t>Xxxx Xxxxxx 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en contra de la respuesta emitida por el</w:t>
      </w:r>
      <w:r>
        <w:rPr>
          <w:rFonts w:ascii="Palatino Linotype" w:hAnsi="Palatino Linotype"/>
          <w:b/>
          <w:bCs/>
          <w:color w:val="000000"/>
        </w:rPr>
        <w:t xml:space="preserve"> </w:t>
      </w:r>
      <w:r>
        <w:rPr>
          <w:rFonts w:ascii="Palatino Linotype" w:hAnsi="Palatino Linotype"/>
          <w:b/>
          <w:bCs/>
        </w:rPr>
        <w:t>Instituto de Transparencia, Acceso a la Información Pública y Pr</w:t>
      </w:r>
      <w:r>
        <w:rPr>
          <w:rFonts w:ascii="Palatino Linotype" w:hAnsi="Palatino Linotype"/>
          <w:b/>
          <w:bCs/>
        </w:rPr>
        <w:t>otección de Datos Personales del Estado de México y Municipios</w:t>
      </w:r>
      <w:r>
        <w:rPr>
          <w:rFonts w:ascii="Palatino Linotype" w:hAnsi="Palatino Linotype"/>
          <w:b/>
        </w:rPr>
        <w:t>,</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3B5DE8" w:rsidRDefault="003B5DE8">
      <w:pPr>
        <w:spacing w:line="360" w:lineRule="auto"/>
        <w:jc w:val="both"/>
        <w:rPr>
          <w:rFonts w:ascii="Palatino Linotype" w:hAnsi="Palatino Linotype"/>
        </w:rPr>
      </w:pPr>
    </w:p>
    <w:p w:rsidR="003B5DE8" w:rsidRDefault="00182D9F">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3B5DE8" w:rsidRDefault="003B5DE8">
      <w:pPr>
        <w:spacing w:line="360" w:lineRule="auto"/>
        <w:jc w:val="center"/>
        <w:rPr>
          <w:rFonts w:ascii="Palatino Linotype" w:hAnsi="Palatino Linotype"/>
          <w:b/>
          <w:bCs/>
          <w:spacing w:val="60"/>
        </w:rPr>
      </w:pPr>
    </w:p>
    <w:p w:rsidR="003B5DE8" w:rsidRDefault="00182D9F">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veinticuatro de enero de dos mil veinte, </w:t>
      </w:r>
      <w:r>
        <w:rPr>
          <w:rFonts w:ascii="Palatino Linotype" w:hAnsi="Palatino Linotype" w:cs="Arial"/>
          <w:b/>
        </w:rPr>
        <w:t>EL RECURRENTE</w:t>
      </w:r>
      <w:r>
        <w:rPr>
          <w:rFonts w:ascii="Palatino Linotype" w:hAnsi="Palatino Linotype"/>
        </w:rPr>
        <w:t xml:space="preserve"> presentó a</w:t>
      </w:r>
      <w:r>
        <w:rPr>
          <w:rFonts w:ascii="Palatino Linotype" w:hAnsi="Palatino Linotype"/>
        </w:rPr>
        <w:t xml:space="preserve">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 solicitud de acceso a la información pública, a la que se le asignó el número</w:t>
      </w:r>
      <w:r>
        <w:rPr>
          <w:rFonts w:ascii="Palatino Linotype" w:hAnsi="Palatino Linotype"/>
          <w:b/>
          <w:bCs/>
          <w:color w:val="FF0000"/>
        </w:rPr>
        <w:t xml:space="preserve"> </w:t>
      </w:r>
      <w:r>
        <w:rPr>
          <w:rFonts w:ascii="Palatino Linotype" w:hAnsi="Palatino Linotype"/>
          <w:b/>
          <w:bCs/>
        </w:rPr>
        <w:t>01612/INFOEM/IP/RR/2020</w:t>
      </w:r>
      <w:r>
        <w:rPr>
          <w:rFonts w:ascii="Palatino Linotype" w:hAnsi="Palatino Linotype"/>
        </w:rPr>
        <w:t>, mediante la cual requirió lo siguiente</w:t>
      </w:r>
      <w:r>
        <w:rPr>
          <w:rFonts w:ascii="Palatino Linotype" w:hAnsi="Palatino Linotype"/>
        </w:rPr>
        <w:t>:</w:t>
      </w:r>
    </w:p>
    <w:p w:rsidR="003B5DE8" w:rsidRDefault="003B5DE8">
      <w:pPr>
        <w:pStyle w:val="Prrafodelista"/>
        <w:tabs>
          <w:tab w:val="left" w:pos="709"/>
        </w:tabs>
        <w:spacing w:line="360" w:lineRule="auto"/>
        <w:ind w:left="0"/>
        <w:jc w:val="both"/>
        <w:rPr>
          <w:rFonts w:ascii="Palatino Linotype" w:hAnsi="Palatino Linotype" w:cs="Arial"/>
        </w:rPr>
      </w:pPr>
    </w:p>
    <w:p w:rsidR="003B5DE8" w:rsidRDefault="00182D9F">
      <w:pPr>
        <w:ind w:left="709" w:right="757"/>
        <w:jc w:val="both"/>
        <w:rPr>
          <w:rFonts w:ascii="Palatino Linotype" w:hAnsi="Palatino Linotype"/>
        </w:rPr>
      </w:pPr>
      <w:r>
        <w:rPr>
          <w:rFonts w:ascii="Palatino Linotype" w:hAnsi="Palatino Linotype" w:cs="Arial"/>
          <w:i/>
        </w:rPr>
        <w:t>“</w:t>
      </w:r>
      <w:r>
        <w:rPr>
          <w:rFonts w:ascii="Palatino Linotype" w:hAnsi="Palatino Linotype" w:cs="Arial"/>
          <w:i/>
          <w:sz w:val="22"/>
        </w:rPr>
        <w:t>presentaciones de power point de la Comisionada Presidenta, Comisionados o de cualquier otro director o subdirector de esa dependencia relacionadas con ponencias, seminarios, platicas, cursos, talleres, congresos, en los cuales hayan participado en los</w:t>
      </w:r>
      <w:r>
        <w:rPr>
          <w:rFonts w:ascii="Palatino Linotype" w:hAnsi="Palatino Linotype" w:cs="Arial"/>
          <w:i/>
          <w:sz w:val="22"/>
        </w:rPr>
        <w:t xml:space="preserve"> temas de corrupción, denuncias, sistema nacional y local anticorrupción, contraloría </w:t>
      </w:r>
      <w:r>
        <w:rPr>
          <w:rFonts w:ascii="Palatino Linotype" w:hAnsi="Palatino Linotype" w:cs="Arial"/>
          <w:i/>
          <w:sz w:val="22"/>
        </w:rPr>
        <w:lastRenderedPageBreak/>
        <w:t>social y responsabilidades de los servidores públicos, integridad, ética de los servidores públicos, transparencia, derecho de acceso a la información, protección de dato</w:t>
      </w:r>
      <w:r>
        <w:rPr>
          <w:rFonts w:ascii="Palatino Linotype" w:hAnsi="Palatino Linotype" w:cs="Arial"/>
          <w:i/>
          <w:sz w:val="22"/>
        </w:rPr>
        <w:t xml:space="preserve">s personales y archivos” </w:t>
      </w:r>
      <w:r>
        <w:rPr>
          <w:rFonts w:ascii="Palatino Linotype" w:hAnsi="Palatino Linotype"/>
          <w:sz w:val="22"/>
        </w:rPr>
        <w:t>(Sic</w:t>
      </w:r>
      <w:r>
        <w:rPr>
          <w:rFonts w:ascii="Palatino Linotype" w:hAnsi="Palatino Linotype"/>
        </w:rPr>
        <w:t>)</w:t>
      </w:r>
      <w:bookmarkStart w:id="0" w:name="_Ref531692384"/>
      <w:bookmarkStart w:id="1" w:name="_Ref516764469"/>
    </w:p>
    <w:p w:rsidR="003B5DE8" w:rsidRDefault="003B5DE8">
      <w:pPr>
        <w:spacing w:line="360" w:lineRule="auto"/>
        <w:ind w:left="709" w:right="709"/>
        <w:jc w:val="both"/>
        <w:rPr>
          <w:rFonts w:ascii="Palatino Linotype" w:hAnsi="Palatino Linotype"/>
        </w:rPr>
      </w:pPr>
    </w:p>
    <w:p w:rsidR="003B5DE8" w:rsidRDefault="00182D9F">
      <w:pPr>
        <w:spacing w:line="360" w:lineRule="auto"/>
        <w:ind w:right="709"/>
        <w:jc w:val="both"/>
        <w:rPr>
          <w:rFonts w:ascii="Palatino Linotype" w:hAnsi="Palatino Linotype"/>
        </w:rPr>
      </w:pPr>
      <w:r>
        <w:rPr>
          <w:rFonts w:ascii="Palatino Linotype" w:hAnsi="Palatino Linotype"/>
        </w:rPr>
        <w:t xml:space="preserve">Adjunto a su respuesta </w:t>
      </w:r>
      <w:r>
        <w:rPr>
          <w:rFonts w:ascii="Palatino Linotype" w:hAnsi="Palatino Linotype"/>
          <w:b/>
        </w:rPr>
        <w:t>EL SUJETO OBLIGADO</w:t>
      </w:r>
      <w:r>
        <w:rPr>
          <w:rFonts w:ascii="Palatino Linotype" w:hAnsi="Palatino Linotype"/>
        </w:rPr>
        <w:t xml:space="preserve"> remitió un archivo en cual contiene el criterio orientador 28/10 del Instituto Nacional de Transparencia, Acceso a la Información y Protección de Datos Personales.</w:t>
      </w:r>
    </w:p>
    <w:p w:rsidR="003B5DE8" w:rsidRDefault="003B5DE8">
      <w:pPr>
        <w:spacing w:line="360" w:lineRule="auto"/>
        <w:ind w:right="709"/>
        <w:jc w:val="both"/>
        <w:rPr>
          <w:rFonts w:ascii="Palatino Linotype" w:hAnsi="Palatino Linotype"/>
        </w:rPr>
      </w:pPr>
    </w:p>
    <w:p w:rsidR="003B5DE8" w:rsidRDefault="00182D9F">
      <w:pPr>
        <w:spacing w:line="360" w:lineRule="auto"/>
        <w:ind w:right="709"/>
        <w:jc w:val="both"/>
        <w:rPr>
          <w:rFonts w:ascii="Palatino Linotype" w:hAnsi="Palatino Linotype"/>
        </w:rPr>
      </w:pPr>
      <w:r>
        <w:rPr>
          <w:rFonts w:ascii="Palatino Linotype" w:hAnsi="Palatino Linotype"/>
          <w:b/>
        </w:rPr>
        <w:t xml:space="preserve">Modalidad de </w:t>
      </w:r>
      <w:r>
        <w:rPr>
          <w:rFonts w:ascii="Palatino Linotype" w:hAnsi="Palatino Linotype"/>
          <w:b/>
        </w:rPr>
        <w:t>entrega:</w:t>
      </w:r>
      <w:r>
        <w:rPr>
          <w:rFonts w:ascii="Palatino Linotype" w:hAnsi="Palatino Linotype"/>
        </w:rPr>
        <w:t xml:space="preserve"> Vía </w:t>
      </w:r>
      <w:bookmarkEnd w:id="0"/>
      <w:bookmarkEnd w:id="1"/>
      <w:r>
        <w:rPr>
          <w:rFonts w:ascii="Palatino Linotype" w:hAnsi="Palatino Linotype"/>
        </w:rPr>
        <w:t>SAIMEX</w:t>
      </w:r>
    </w:p>
    <w:p w:rsidR="003B5DE8" w:rsidRDefault="003B5DE8">
      <w:pPr>
        <w:spacing w:line="360" w:lineRule="auto"/>
        <w:ind w:right="709"/>
        <w:jc w:val="both"/>
        <w:rPr>
          <w:rFonts w:ascii="Palatino Linotype" w:hAnsi="Palatino Linotype"/>
        </w:rPr>
      </w:pPr>
    </w:p>
    <w:p w:rsidR="003B5DE8" w:rsidRDefault="00182D9F">
      <w:pPr>
        <w:pStyle w:val="Prrafodelista"/>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De las constancias que obran en el expediente electrónico del </w:t>
      </w:r>
      <w:r>
        <w:rPr>
          <w:rFonts w:ascii="Palatino Linotype" w:hAnsi="Palatino Linotype" w:cs="Arial"/>
          <w:b/>
        </w:rPr>
        <w:t>SAIMEX</w:t>
      </w:r>
      <w:r>
        <w:rPr>
          <w:rFonts w:ascii="Palatino Linotype" w:hAnsi="Palatino Linotype" w:cs="Arial"/>
        </w:rPr>
        <w:t>, se advierte que, en el apartado de requerimientos de conformidad con el artículo 162 de Ley de la materia, la Titular de la Unidad de Transparencia turnó la solicitu</w:t>
      </w:r>
      <w:r>
        <w:rPr>
          <w:rFonts w:ascii="Palatino Linotype" w:hAnsi="Palatino Linotype" w:cs="Arial"/>
        </w:rPr>
        <w:t>d de información al Director General de Protección de Datos Personales, La Titular de la Unidad de Igualdad de Género y Erradicación de la Violencia,</w:t>
      </w:r>
      <w:r>
        <w:t xml:space="preserve"> </w:t>
      </w:r>
      <w:r>
        <w:rPr>
          <w:rFonts w:ascii="Palatino Linotype" w:hAnsi="Palatino Linotype" w:cs="Arial"/>
        </w:rPr>
        <w:t>Directora General de Informática, Director General de Administración y Finanzas, al Titular de la Unidad d</w:t>
      </w:r>
      <w:r>
        <w:rPr>
          <w:rFonts w:ascii="Palatino Linotype" w:hAnsi="Palatino Linotype" w:cs="Arial"/>
        </w:rPr>
        <w:t>e Vinculación, Secretario Técnico del Pleno, Contralor Interno y Titular del Órgano de Control y Vigilancia, Director General Jurídico y de Verificación, Directora General de Capacitación, Certificación y Políticas Públicas, Directora General de Transparen</w:t>
      </w:r>
      <w:r>
        <w:rPr>
          <w:rFonts w:ascii="Palatino Linotype" w:hAnsi="Palatino Linotype" w:cs="Arial"/>
        </w:rPr>
        <w:t>cia, Acceso a la Información Pública y Gobierno Abierto y a los servidores públicos habilitados de las Ponencias que integran el Instituto, a través de los turnos con números de folio:</w:t>
      </w:r>
    </w:p>
    <w:p w:rsidR="003B5DE8" w:rsidRDefault="003B5DE8">
      <w:pPr>
        <w:spacing w:line="360" w:lineRule="auto"/>
        <w:contextualSpacing/>
        <w:jc w:val="both"/>
        <w:rPr>
          <w:rFonts w:ascii="Palatino Linotype" w:hAnsi="Palatino Linotype" w:cs="Arial"/>
          <w:b/>
          <w:bCs/>
          <w:spacing w:val="-20"/>
        </w:rPr>
      </w:pPr>
    </w:p>
    <w:p w:rsidR="003B5DE8" w:rsidRDefault="003B5DE8">
      <w:pPr>
        <w:sectPr w:rsidR="003B5DE8">
          <w:headerReference w:type="default" r:id="rId8"/>
          <w:footerReference w:type="default" r:id="rId9"/>
          <w:headerReference w:type="first" r:id="rId10"/>
          <w:footerReference w:type="first" r:id="rId11"/>
          <w:pgSz w:w="12240" w:h="15840"/>
          <w:pgMar w:top="1418" w:right="1418" w:bottom="1418" w:left="1701" w:header="709" w:footer="1009" w:gutter="0"/>
          <w:cols w:space="720"/>
          <w:formProt w:val="0"/>
          <w:titlePg/>
          <w:docGrid w:linePitch="360"/>
        </w:sectPr>
      </w:pP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lastRenderedPageBreak/>
        <w:t>00101/INFOEM/IP/2020/TSP/0001</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00101/INFOEM/IP/2020/TSP/0002</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00101/INFOEM/IP/2020/TSP/0003</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00101/INFOEM/IP/2020/TSP/0004</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00101/INFOEM/IP/2020/TSP/0005</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00101/INFOEM/IP/2020/TSP/0006</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00101/INFOEM/IP/2020/TSP/0007</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00101/INFOEM/IP/2020/TSP/0008</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lastRenderedPageBreak/>
        <w:t>00101/INFOEM/IP/2020/TSP/0009</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00101/INFOEM/IP/2020/TSP/0010</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00101/INFOEM/IP/2020/TSP/0011</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00101/INFOEM/IP/2020/TSP/0012</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00101/INFOEM/IP/2020/TSP/0013</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w:t>
      </w:r>
      <w:r>
        <w:rPr>
          <w:rFonts w:ascii="Palatino Linotype" w:hAnsi="Palatino Linotype" w:cs="Arial"/>
          <w:b/>
          <w:bCs/>
          <w:spacing w:val="-20"/>
        </w:rPr>
        <w:t>FOEM/IP/2020/TSP/0014</w:t>
      </w:r>
      <w:r>
        <w:rPr>
          <w:rFonts w:ascii="Palatino Linotype" w:hAnsi="Palatino Linotype" w:cs="Arial"/>
          <w:b/>
          <w:bCs/>
        </w:rPr>
        <w:t xml:space="preserve"> </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00101/INFOEM/IP/2020/TSP/0015</w:t>
      </w:r>
    </w:p>
    <w:p w:rsidR="003B5DE8" w:rsidRDefault="00182D9F">
      <w:pPr>
        <w:pStyle w:val="Prrafodelista"/>
        <w:numPr>
          <w:ilvl w:val="0"/>
          <w:numId w:val="3"/>
        </w:numPr>
        <w:spacing w:line="360" w:lineRule="auto"/>
        <w:contextualSpacing/>
        <w:jc w:val="both"/>
        <w:rPr>
          <w:rFonts w:ascii="Palatino Linotype" w:hAnsi="Palatino Linotype" w:cs="Arial"/>
        </w:rPr>
      </w:pPr>
      <w:r>
        <w:rPr>
          <w:rFonts w:ascii="Palatino Linotype" w:hAnsi="Palatino Linotype" w:cs="Arial"/>
          <w:b/>
          <w:bCs/>
          <w:spacing w:val="-20"/>
        </w:rPr>
        <w:t>00101/INFOEM/IP/2020/TSP/0016</w:t>
      </w:r>
    </w:p>
    <w:p w:rsidR="003B5DE8" w:rsidRDefault="003B5DE8">
      <w:pPr>
        <w:sectPr w:rsidR="003B5DE8">
          <w:type w:val="continuous"/>
          <w:pgSz w:w="12240" w:h="15840"/>
          <w:pgMar w:top="1418" w:right="1418" w:bottom="1418" w:left="1701" w:header="709" w:footer="1009" w:gutter="0"/>
          <w:cols w:num="2" w:space="708"/>
          <w:formProt w:val="0"/>
          <w:docGrid w:linePitch="360"/>
        </w:sectPr>
      </w:pPr>
    </w:p>
    <w:p w:rsidR="003B5DE8" w:rsidRDefault="003B5DE8">
      <w:pPr>
        <w:pStyle w:val="Prrafodelista"/>
        <w:spacing w:line="360" w:lineRule="auto"/>
        <w:ind w:left="0"/>
        <w:rPr>
          <w:rFonts w:ascii="Palatino Linotype" w:hAnsi="Palatino Linotype"/>
          <w:lang w:eastAsia="es-MX"/>
        </w:rPr>
      </w:pPr>
    </w:p>
    <w:p w:rsidR="003B5DE8" w:rsidRDefault="00182D9F">
      <w:pPr>
        <w:pStyle w:val="Prrafodelista"/>
        <w:numPr>
          <w:ilvl w:val="0"/>
          <w:numId w:val="1"/>
        </w:numPr>
        <w:tabs>
          <w:tab w:val="left" w:pos="709"/>
        </w:tabs>
        <w:spacing w:line="360" w:lineRule="auto"/>
        <w:ind w:left="0" w:firstLine="0"/>
        <w:jc w:val="both"/>
        <w:rPr>
          <w:rFonts w:ascii="Palatino Linotype" w:hAnsi="Palatino Linotype" w:cs="Arial"/>
        </w:rPr>
      </w:pP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fecha veinte de febrero de dos mil veinte, </w:t>
      </w:r>
      <w:r>
        <w:rPr>
          <w:rFonts w:ascii="Palatino Linotype" w:hAnsi="Palatino Linotype" w:cs="Arial"/>
          <w:lang w:val="es-ES_tradnl"/>
        </w:rPr>
        <w:t>la Responsable de la Unidad de Transparencia d</w:t>
      </w:r>
      <w:r>
        <w:rPr>
          <w:rFonts w:ascii="Palatino Linotype" w:hAnsi="Palatino Linotype" w:cs="Arial"/>
          <w:lang w:val="es-ES_tradnl"/>
        </w:rPr>
        <w:t>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3B5DE8" w:rsidRDefault="003B5DE8">
      <w:pPr>
        <w:spacing w:line="360" w:lineRule="auto"/>
        <w:ind w:left="851" w:right="899"/>
        <w:jc w:val="both"/>
        <w:rPr>
          <w:rFonts w:ascii="Palatino Linotype" w:hAnsi="Palatino Linotype" w:cs="Arial"/>
          <w:i/>
        </w:rPr>
      </w:pPr>
    </w:p>
    <w:p w:rsidR="003B5DE8" w:rsidRDefault="00182D9F">
      <w:pPr>
        <w:ind w:left="709" w:right="757"/>
        <w:jc w:val="right"/>
        <w:rPr>
          <w:rFonts w:ascii="Palatino Linotype" w:hAnsi="Palatino Linotype" w:cs="Arial"/>
          <w:i/>
          <w:sz w:val="22"/>
        </w:rPr>
      </w:pPr>
      <w:r>
        <w:rPr>
          <w:rFonts w:ascii="Palatino Linotype" w:hAnsi="Palatino Linotype" w:cs="Arial"/>
          <w:i/>
          <w:sz w:val="22"/>
        </w:rPr>
        <w:t>“Metepec, México a 20 de Febrero de 2020</w:t>
      </w:r>
    </w:p>
    <w:p w:rsidR="003B5DE8" w:rsidRDefault="00182D9F">
      <w:pPr>
        <w:ind w:left="709" w:right="757"/>
        <w:jc w:val="right"/>
        <w:rPr>
          <w:rFonts w:ascii="Palatino Linotype" w:hAnsi="Palatino Linotype" w:cs="Arial"/>
          <w:i/>
          <w:sz w:val="22"/>
        </w:rPr>
      </w:pPr>
      <w:r>
        <w:rPr>
          <w:rFonts w:ascii="Palatino Linotype" w:hAnsi="Palatino Linotype" w:cs="Arial"/>
          <w:i/>
          <w:sz w:val="22"/>
        </w:rPr>
        <w:t xml:space="preserve">Nombre del solicitante: </w:t>
      </w:r>
      <w:r w:rsidR="00FE2396" w:rsidRPr="00FE2396">
        <w:rPr>
          <w:rFonts w:ascii="Palatino Linotype" w:hAnsi="Palatino Linotype" w:cs="Arial"/>
          <w:i/>
          <w:sz w:val="22"/>
        </w:rPr>
        <w:t>Xxxx Xxxxxx Xxxx</w:t>
      </w:r>
    </w:p>
    <w:p w:rsidR="003B5DE8" w:rsidRDefault="00182D9F">
      <w:pPr>
        <w:ind w:left="709" w:right="757"/>
        <w:jc w:val="right"/>
        <w:rPr>
          <w:rFonts w:ascii="Palatino Linotype" w:hAnsi="Palatino Linotype" w:cs="Arial"/>
          <w:i/>
          <w:sz w:val="22"/>
        </w:rPr>
      </w:pPr>
      <w:r>
        <w:rPr>
          <w:rFonts w:ascii="Palatino Linotype" w:hAnsi="Palatino Linotype" w:cs="Arial"/>
          <w:i/>
          <w:sz w:val="22"/>
        </w:rPr>
        <w:t>Folio de la solicitud: 00101/INFOEM/IP/2020</w:t>
      </w:r>
    </w:p>
    <w:p w:rsidR="003B5DE8" w:rsidRDefault="003B5DE8">
      <w:pPr>
        <w:ind w:left="709" w:right="757"/>
        <w:jc w:val="right"/>
        <w:rPr>
          <w:rFonts w:ascii="Palatino Linotype" w:hAnsi="Palatino Linotype" w:cs="Arial"/>
          <w:i/>
          <w:sz w:val="22"/>
        </w:rPr>
      </w:pPr>
    </w:p>
    <w:p w:rsidR="003B5DE8" w:rsidRDefault="00182D9F">
      <w:pPr>
        <w:ind w:left="709" w:right="757"/>
        <w:jc w:val="both"/>
        <w:rPr>
          <w:rFonts w:ascii="Palatino Linotype" w:hAnsi="Palatino Linotype" w:cs="Arial"/>
          <w:i/>
          <w:sz w:val="22"/>
        </w:rPr>
      </w:pPr>
      <w:r>
        <w:rPr>
          <w:rFonts w:ascii="Palatino Linotype" w:hAnsi="Palatino Linotype" w:cs="Arial"/>
          <w:i/>
          <w:sz w:val="22"/>
        </w:rPr>
        <w:t xml:space="preserve">En respuesta a la solicitud </w:t>
      </w:r>
      <w:r>
        <w:rPr>
          <w:rFonts w:ascii="Palatino Linotype" w:hAnsi="Palatino Linotype" w:cs="Arial"/>
          <w:i/>
          <w:sz w:val="22"/>
        </w:rPr>
        <w:t>recibida, nos permitimos hacer de su conocimiento que con fundamento en el artículo 53, Fracciones: II, V y VI de la Ley de Transparencia y Acceso a la Información Pública del Estado de México y Municipios, le contestamos que:</w:t>
      </w:r>
    </w:p>
    <w:p w:rsidR="003B5DE8" w:rsidRDefault="003B5DE8">
      <w:pPr>
        <w:ind w:left="709" w:right="757"/>
        <w:jc w:val="both"/>
        <w:rPr>
          <w:rFonts w:ascii="Palatino Linotype" w:hAnsi="Palatino Linotype" w:cs="Arial"/>
          <w:i/>
          <w:sz w:val="22"/>
        </w:rPr>
      </w:pPr>
    </w:p>
    <w:p w:rsidR="003B5DE8" w:rsidRDefault="00182D9F">
      <w:pPr>
        <w:ind w:left="709" w:right="757"/>
        <w:jc w:val="both"/>
        <w:rPr>
          <w:rFonts w:ascii="Palatino Linotype" w:hAnsi="Palatino Linotype" w:cs="Arial"/>
          <w:i/>
          <w:sz w:val="22"/>
        </w:rPr>
      </w:pPr>
      <w:r>
        <w:rPr>
          <w:rFonts w:ascii="Palatino Linotype" w:hAnsi="Palatino Linotype" w:cs="Arial"/>
          <w:i/>
          <w:sz w:val="22"/>
        </w:rPr>
        <w:t>Con fundamento en el artícul</w:t>
      </w:r>
      <w:r>
        <w:rPr>
          <w:rFonts w:ascii="Palatino Linotype" w:hAnsi="Palatino Linotype" w:cs="Arial"/>
          <w:i/>
          <w:sz w:val="22"/>
        </w:rPr>
        <w:t>o 53 fracción II de la Ley de Transparencia y Acceso a la Información Pública del Estado de México y Municipios, se adjunta la respuesta a su solicitud de información pública.</w:t>
      </w:r>
    </w:p>
    <w:p w:rsidR="003B5DE8" w:rsidRDefault="003B5DE8">
      <w:pPr>
        <w:ind w:left="709" w:right="757"/>
        <w:jc w:val="both"/>
        <w:rPr>
          <w:rFonts w:ascii="Palatino Linotype" w:hAnsi="Palatino Linotype" w:cs="Arial"/>
          <w:i/>
          <w:sz w:val="22"/>
        </w:rPr>
      </w:pPr>
    </w:p>
    <w:p w:rsidR="003B5DE8" w:rsidRDefault="00182D9F">
      <w:pPr>
        <w:ind w:left="709" w:right="757"/>
        <w:jc w:val="both"/>
        <w:rPr>
          <w:rFonts w:ascii="Palatino Linotype" w:hAnsi="Palatino Linotype" w:cs="Arial"/>
          <w:i/>
          <w:sz w:val="22"/>
        </w:rPr>
      </w:pPr>
      <w:r>
        <w:rPr>
          <w:rFonts w:ascii="Palatino Linotype" w:hAnsi="Palatino Linotype" w:cs="Arial"/>
          <w:i/>
          <w:sz w:val="22"/>
        </w:rPr>
        <w:t>ATENTAMENTE</w:t>
      </w:r>
    </w:p>
    <w:p w:rsidR="003B5DE8" w:rsidRDefault="00182D9F">
      <w:pPr>
        <w:ind w:left="709" w:right="757"/>
        <w:jc w:val="both"/>
        <w:rPr>
          <w:rFonts w:ascii="Palatino Linotype" w:hAnsi="Palatino Linotype" w:cs="Arial"/>
          <w:i/>
          <w:sz w:val="22"/>
        </w:rPr>
      </w:pPr>
      <w:r>
        <w:rPr>
          <w:rFonts w:ascii="Palatino Linotype" w:hAnsi="Palatino Linotype" w:cs="Arial"/>
          <w:i/>
          <w:sz w:val="22"/>
        </w:rPr>
        <w:t>Mtra. Claudia Margarita Hernández Flores” (Sic)</w:t>
      </w:r>
    </w:p>
    <w:p w:rsidR="003B5DE8" w:rsidRDefault="003B5DE8">
      <w:pPr>
        <w:spacing w:line="360" w:lineRule="auto"/>
        <w:ind w:left="851" w:right="899"/>
        <w:jc w:val="both"/>
        <w:rPr>
          <w:rFonts w:ascii="Palatino Linotype" w:hAnsi="Palatino Linotype" w:cs="Arial"/>
          <w:i/>
        </w:rPr>
      </w:pPr>
    </w:p>
    <w:p w:rsidR="003B5DE8" w:rsidRDefault="00182D9F">
      <w:pPr>
        <w:pStyle w:val="Prrafodelista"/>
        <w:tabs>
          <w:tab w:val="left" w:pos="709"/>
        </w:tabs>
        <w:spacing w:line="360" w:lineRule="auto"/>
        <w:ind w:left="0"/>
        <w:jc w:val="both"/>
        <w:rPr>
          <w:rFonts w:ascii="Palatino Linotype" w:hAnsi="Palatino Linotype"/>
        </w:rPr>
      </w:pPr>
      <w:r>
        <w:rPr>
          <w:rFonts w:ascii="Palatino Linotype" w:hAnsi="Palatino Linotype"/>
        </w:rPr>
        <w:lastRenderedPageBreak/>
        <w:t>Advirtiendo de dic</w:t>
      </w:r>
      <w:r>
        <w:rPr>
          <w:rFonts w:ascii="Palatino Linotype" w:hAnsi="Palatino Linotype"/>
        </w:rPr>
        <w:t xml:space="preserve">ha respuesta, que </w:t>
      </w:r>
      <w:r>
        <w:rPr>
          <w:rFonts w:ascii="Palatino Linotype" w:hAnsi="Palatino Linotype" w:cs="Arial"/>
          <w:b/>
        </w:rPr>
        <w:t>EL SUJETO OBLIGADO</w:t>
      </w:r>
      <w:r>
        <w:rPr>
          <w:rFonts w:ascii="Palatino Linotype" w:hAnsi="Palatino Linotype"/>
        </w:rPr>
        <w:t xml:space="preserve"> adjuntó los archivos electrónicos que se describen a continuación:</w:t>
      </w:r>
    </w:p>
    <w:p w:rsidR="003B5DE8" w:rsidRDefault="003B5DE8">
      <w:pPr>
        <w:pStyle w:val="Prrafodelista"/>
        <w:tabs>
          <w:tab w:val="left" w:pos="709"/>
        </w:tabs>
        <w:spacing w:line="360" w:lineRule="auto"/>
        <w:ind w:left="0"/>
        <w:jc w:val="both"/>
        <w:rPr>
          <w:rFonts w:ascii="Palatino Linotype" w:hAnsi="Palatino Linotype"/>
        </w:rPr>
      </w:pPr>
    </w:p>
    <w:p w:rsidR="003B5DE8" w:rsidRDefault="00182D9F">
      <w:pPr>
        <w:tabs>
          <w:tab w:val="left" w:pos="709"/>
        </w:tabs>
        <w:spacing w:line="360" w:lineRule="auto"/>
        <w:ind w:left="709"/>
        <w:jc w:val="both"/>
        <w:rPr>
          <w:rFonts w:ascii="Palatino Linotype" w:hAnsi="Palatino Linotype"/>
          <w:b/>
        </w:rPr>
      </w:pPr>
      <w:r>
        <w:rPr>
          <w:rFonts w:ascii="Palatino Linotype" w:hAnsi="Palatino Linotype"/>
          <w:b/>
        </w:rPr>
        <w:t xml:space="preserve">RESPUESTA.101.2020.UT.pdf: </w:t>
      </w:r>
      <w:r>
        <w:rPr>
          <w:rFonts w:ascii="Palatino Linotype" w:hAnsi="Palatino Linotype"/>
        </w:rPr>
        <w:t xml:space="preserve">Oficio número INFOEM/UT/091/2020 suscrito por la </w:t>
      </w:r>
      <w:r>
        <w:rPr>
          <w:rFonts w:ascii="Palatino Linotype" w:hAnsi="Palatino Linotype" w:cs="Arial"/>
        </w:rPr>
        <w:t>Titular de la Unidad de Transparencia, mediante el cual notificaba la respu</w:t>
      </w:r>
      <w:r>
        <w:rPr>
          <w:rFonts w:ascii="Palatino Linotype" w:hAnsi="Palatino Linotype" w:cs="Arial"/>
        </w:rPr>
        <w:t xml:space="preserve">esta a la solicitud de información en la que toralmente informaba que debido a que la documentación requerida, sobrepasaba las capacidades técnicas del SAIMEX, se cambiaba la modalidad de entrega a </w:t>
      </w:r>
      <w:r>
        <w:rPr>
          <w:rFonts w:ascii="Palatino Linotype" w:hAnsi="Palatino Linotype" w:cs="Arial"/>
          <w:i/>
        </w:rPr>
        <w:t xml:space="preserve">Consulta Directa, </w:t>
      </w:r>
      <w:r>
        <w:rPr>
          <w:rFonts w:ascii="Palatino Linotype" w:hAnsi="Palatino Linotype" w:cs="Arial"/>
        </w:rPr>
        <w:t>asimismo proporcionaba información en fo</w:t>
      </w:r>
      <w:r>
        <w:rPr>
          <w:rFonts w:ascii="Palatino Linotype" w:hAnsi="Palatino Linotype" w:cs="Arial"/>
        </w:rPr>
        <w:t xml:space="preserve">rmato </w:t>
      </w:r>
      <w:r>
        <w:rPr>
          <w:rFonts w:ascii="Palatino Linotype" w:hAnsi="Palatino Linotype" w:cs="Arial"/>
          <w:i/>
        </w:rPr>
        <w:t>PDF.</w:t>
      </w:r>
    </w:p>
    <w:p w:rsidR="003B5DE8" w:rsidRDefault="003B5DE8">
      <w:pPr>
        <w:tabs>
          <w:tab w:val="left" w:pos="709"/>
        </w:tabs>
        <w:spacing w:line="360" w:lineRule="auto"/>
        <w:ind w:left="709"/>
        <w:jc w:val="both"/>
        <w:rPr>
          <w:rFonts w:ascii="Palatino Linotype" w:hAnsi="Palatino Linotype"/>
        </w:rPr>
      </w:pPr>
    </w:p>
    <w:p w:rsidR="003B5DE8" w:rsidRDefault="00182D9F">
      <w:pPr>
        <w:tabs>
          <w:tab w:val="left" w:pos="709"/>
        </w:tabs>
        <w:spacing w:line="360" w:lineRule="auto"/>
        <w:ind w:left="709"/>
        <w:jc w:val="both"/>
        <w:rPr>
          <w:rFonts w:ascii="Palatino Linotype" w:hAnsi="Palatino Linotype"/>
          <w:b/>
        </w:rPr>
      </w:pPr>
      <w:r>
        <w:rPr>
          <w:rFonts w:ascii="Palatino Linotype" w:hAnsi="Palatino Linotype"/>
          <w:b/>
        </w:rPr>
        <w:t xml:space="preserve">oficios.respuesta.101.2020.zip: </w:t>
      </w:r>
      <w:r>
        <w:rPr>
          <w:rFonts w:ascii="Palatino Linotype" w:hAnsi="Palatino Linotype"/>
        </w:rPr>
        <w:t xml:space="preserve">Oficios números </w:t>
      </w:r>
      <w:r>
        <w:rPr>
          <w:rFonts w:ascii="Palatino Linotype" w:hAnsi="Palatino Linotype"/>
          <w:i/>
        </w:rPr>
        <w:t>INFOEM/COM-JMC/168/2020</w:t>
      </w:r>
      <w:r>
        <w:rPr>
          <w:rFonts w:ascii="Palatino Linotype" w:hAnsi="Palatino Linotype"/>
        </w:rPr>
        <w:t xml:space="preserve">, </w:t>
      </w:r>
      <w:r>
        <w:rPr>
          <w:rFonts w:ascii="Palatino Linotype" w:hAnsi="Palatino Linotype"/>
          <w:i/>
        </w:rPr>
        <w:t>INFOEM/COM-EAY/076/2020</w:t>
      </w:r>
      <w:r>
        <w:rPr>
          <w:rFonts w:ascii="Palatino Linotype" w:hAnsi="Palatino Linotype"/>
        </w:rPr>
        <w:t xml:space="preserve">, </w:t>
      </w:r>
      <w:r>
        <w:rPr>
          <w:rFonts w:ascii="Palatino Linotype" w:hAnsi="Palatino Linotype"/>
          <w:i/>
        </w:rPr>
        <w:t>INFOEM/UIGyEV/007/2020</w:t>
      </w:r>
      <w:r>
        <w:rPr>
          <w:rFonts w:ascii="Palatino Linotype" w:hAnsi="Palatino Linotype"/>
        </w:rPr>
        <w:t xml:space="preserve">, </w:t>
      </w:r>
      <w:r>
        <w:rPr>
          <w:rFonts w:ascii="Palatino Linotype" w:hAnsi="Palatino Linotype"/>
          <w:i/>
        </w:rPr>
        <w:t>INFOEM/STP /034/2020</w:t>
      </w:r>
      <w:r>
        <w:rPr>
          <w:rFonts w:ascii="Palatino Linotype" w:hAnsi="Palatino Linotype"/>
        </w:rPr>
        <w:t xml:space="preserve">, </w:t>
      </w:r>
      <w:r>
        <w:rPr>
          <w:rFonts w:ascii="Palatino Linotype" w:hAnsi="Palatino Linotype"/>
          <w:i/>
        </w:rPr>
        <w:t>INFOEM/DGTAIPGA/004/2020</w:t>
      </w:r>
      <w:r>
        <w:rPr>
          <w:rFonts w:ascii="Palatino Linotype" w:hAnsi="Palatino Linotype"/>
        </w:rPr>
        <w:t xml:space="preserve">, </w:t>
      </w:r>
      <w:r>
        <w:rPr>
          <w:rFonts w:ascii="Palatino Linotype" w:hAnsi="Palatino Linotype"/>
          <w:i/>
        </w:rPr>
        <w:t>INFOEM/DGAF/03/2020</w:t>
      </w:r>
      <w:r>
        <w:rPr>
          <w:rFonts w:ascii="Palatino Linotype" w:hAnsi="Palatino Linotype"/>
        </w:rPr>
        <w:t xml:space="preserve">, </w:t>
      </w:r>
      <w:r>
        <w:rPr>
          <w:rFonts w:ascii="Palatino Linotype" w:hAnsi="Palatino Linotype"/>
          <w:i/>
        </w:rPr>
        <w:t>INFOEM/DJV/0012/2020</w:t>
      </w:r>
      <w:r>
        <w:rPr>
          <w:rFonts w:ascii="Palatino Linotype" w:hAnsi="Palatino Linotype"/>
        </w:rPr>
        <w:t xml:space="preserve">, </w:t>
      </w:r>
      <w:r>
        <w:rPr>
          <w:rFonts w:ascii="Palatino Linotype" w:hAnsi="Palatino Linotype"/>
          <w:i/>
        </w:rPr>
        <w:t>INFOEM/CI-OCV/0073/2020</w:t>
      </w:r>
      <w:r>
        <w:rPr>
          <w:rFonts w:ascii="Palatino Linotype" w:hAnsi="Palatino Linotype"/>
        </w:rPr>
        <w:t xml:space="preserve">, </w:t>
      </w:r>
      <w:r>
        <w:rPr>
          <w:rFonts w:ascii="Palatino Linotype" w:hAnsi="Palatino Linotype"/>
          <w:i/>
        </w:rPr>
        <w:t>INFOEM</w:t>
      </w:r>
      <w:r>
        <w:rPr>
          <w:rFonts w:ascii="Palatino Linotype" w:hAnsi="Palatino Linotype"/>
          <w:i/>
        </w:rPr>
        <w:t>/SPH-UVMM/001/2020</w:t>
      </w:r>
      <w:r>
        <w:rPr>
          <w:rFonts w:ascii="Palatino Linotype" w:hAnsi="Palatino Linotype"/>
        </w:rPr>
        <w:t xml:space="preserve">, </w:t>
      </w:r>
      <w:r>
        <w:rPr>
          <w:rFonts w:ascii="Palatino Linotype" w:hAnsi="Palatino Linotype"/>
          <w:i/>
        </w:rPr>
        <w:t>INFOEM/SPH-RLC/001/2020</w:t>
      </w:r>
      <w:r>
        <w:rPr>
          <w:rFonts w:ascii="Palatino Linotype" w:hAnsi="Palatino Linotype"/>
        </w:rPr>
        <w:t xml:space="preserve">, </w:t>
      </w:r>
      <w:r>
        <w:rPr>
          <w:rFonts w:ascii="Palatino Linotype" w:hAnsi="Palatino Linotype"/>
          <w:i/>
        </w:rPr>
        <w:t>INFOEM/DGPDP/001/2020</w:t>
      </w:r>
      <w:r>
        <w:rPr>
          <w:rFonts w:ascii="Palatino Linotype" w:hAnsi="Palatino Linotype"/>
        </w:rPr>
        <w:t xml:space="preserve">, INFOEM/DGCCPP/0010/2020, INFOEM/UV/006/2020, </w:t>
      </w:r>
      <w:r>
        <w:rPr>
          <w:rFonts w:ascii="Palatino Linotype" w:hAnsi="Palatino Linotype"/>
          <w:i/>
        </w:rPr>
        <w:t>INFOEM/SP-COMP/015/2020</w:t>
      </w:r>
      <w:r>
        <w:rPr>
          <w:rFonts w:ascii="Palatino Linotype" w:hAnsi="Palatino Linotype"/>
        </w:rPr>
        <w:t xml:space="preserve"> y </w:t>
      </w:r>
      <w:r>
        <w:rPr>
          <w:rFonts w:ascii="Palatino Linotype" w:hAnsi="Palatino Linotype"/>
          <w:i/>
        </w:rPr>
        <w:t>INFOEM/DGI/034/2020</w:t>
      </w:r>
      <w:r>
        <w:rPr>
          <w:rFonts w:ascii="Palatino Linotype" w:hAnsi="Palatino Linotype"/>
        </w:rPr>
        <w:t xml:space="preserve"> a través de los cuales se pronunciaron los distintos servidores públicos habilitados a quienes le</w:t>
      </w:r>
      <w:r>
        <w:rPr>
          <w:rFonts w:ascii="Palatino Linotype" w:hAnsi="Palatino Linotype"/>
        </w:rPr>
        <w:t>s fuera turnado el requerimiento respecto de la solicitud de acceso a la información.</w:t>
      </w:r>
    </w:p>
    <w:p w:rsidR="003B5DE8" w:rsidRDefault="003B5DE8">
      <w:pPr>
        <w:tabs>
          <w:tab w:val="left" w:pos="709"/>
        </w:tabs>
        <w:spacing w:line="360" w:lineRule="auto"/>
        <w:ind w:left="709"/>
        <w:jc w:val="both"/>
        <w:rPr>
          <w:rFonts w:ascii="Palatino Linotype" w:hAnsi="Palatino Linotype"/>
        </w:rPr>
      </w:pPr>
    </w:p>
    <w:p w:rsidR="003B5DE8" w:rsidRDefault="00182D9F">
      <w:pPr>
        <w:tabs>
          <w:tab w:val="left" w:pos="709"/>
        </w:tabs>
        <w:spacing w:line="360" w:lineRule="auto"/>
        <w:ind w:left="709"/>
        <w:jc w:val="both"/>
        <w:rPr>
          <w:rFonts w:ascii="Palatino Linotype" w:hAnsi="Palatino Linotype"/>
          <w:b/>
        </w:rPr>
      </w:pPr>
      <w:r>
        <w:rPr>
          <w:rFonts w:ascii="Palatino Linotype" w:hAnsi="Palatino Linotype"/>
          <w:b/>
        </w:rPr>
        <w:t xml:space="preserve">101.2020.zip: </w:t>
      </w:r>
      <w:r>
        <w:rPr>
          <w:rFonts w:ascii="Palatino Linotype" w:hAnsi="Palatino Linotype"/>
        </w:rPr>
        <w:t xml:space="preserve">Archivo comprimido en formato ZIP que contiene los siguientes documentos; acta de la Cuarta Sesión Ordinaria del Comité de Transparencia de </w:t>
      </w:r>
      <w:r>
        <w:rPr>
          <w:rFonts w:ascii="Palatino Linotype" w:hAnsi="Palatino Linotype"/>
        </w:rPr>
        <w:lastRenderedPageBreak/>
        <w:t>fecha 20 de feb</w:t>
      </w:r>
      <w:r>
        <w:rPr>
          <w:rFonts w:ascii="Palatino Linotype" w:hAnsi="Palatino Linotype"/>
        </w:rPr>
        <w:t>rero de 2020, número</w:t>
      </w:r>
      <w:r>
        <w:rPr>
          <w:rFonts w:ascii="Palatino Linotype" w:hAnsi="Palatino Linotype"/>
          <w:b/>
        </w:rPr>
        <w:t xml:space="preserve"> </w:t>
      </w:r>
      <w:r>
        <w:rPr>
          <w:rFonts w:ascii="Palatino Linotype" w:hAnsi="Palatino Linotype"/>
        </w:rPr>
        <w:t xml:space="preserve">ACT/INFOEM/ORD/COMT/4ª/2020; oficio número INFOEM/DGI/044/2020 suscrito por la Directora General de Informática a través del cual hizo del conocimiento de la incapacidad técnica del SAIMEX para cargar el cumulo de información relativo </w:t>
      </w:r>
      <w:r>
        <w:rPr>
          <w:rFonts w:ascii="Palatino Linotype" w:hAnsi="Palatino Linotype"/>
        </w:rPr>
        <w:t>a la solicitud 00101/INFOEM/IP/2020; memorándum número INFOEM/UT/061/2020 suscrito por la Titular de la Unidad de Transparencia en el que reportó la incidencia de la imposibilidad de carga de los documentos que atenderían la solicitud de mérito; memorándum</w:t>
      </w:r>
      <w:r>
        <w:rPr>
          <w:rFonts w:ascii="Palatino Linotype" w:hAnsi="Palatino Linotype"/>
        </w:rPr>
        <w:t xml:space="preserve"> No. INFOEM/UT/063/2020 por el cual se propone al Comité de Transparencia de este Instituto, el cambio de modalidad de entrega de la información a Consulta Directa (</w:t>
      </w:r>
      <w:r>
        <w:rPr>
          <w:rFonts w:ascii="Palatino Linotype" w:hAnsi="Palatino Linotype"/>
          <w:i/>
        </w:rPr>
        <w:t>in situ</w:t>
      </w:r>
      <w:r>
        <w:rPr>
          <w:rFonts w:ascii="Palatino Linotype" w:hAnsi="Palatino Linotype"/>
        </w:rPr>
        <w:t>) y resolución RES/02/INFOEM/ORD/COMT/4ª/2020 en la que se realizó el análisis y apr</w:t>
      </w:r>
      <w:r>
        <w:rPr>
          <w:rFonts w:ascii="Palatino Linotype" w:hAnsi="Palatino Linotype"/>
        </w:rPr>
        <w:t>obación del cambio de modalidad de entrega de la información.</w:t>
      </w:r>
    </w:p>
    <w:p w:rsidR="003B5DE8" w:rsidRDefault="003B5DE8">
      <w:pPr>
        <w:tabs>
          <w:tab w:val="left" w:pos="709"/>
        </w:tabs>
        <w:spacing w:line="360" w:lineRule="auto"/>
        <w:ind w:left="709"/>
        <w:jc w:val="both"/>
        <w:rPr>
          <w:rFonts w:ascii="Palatino Linotype" w:hAnsi="Palatino Linotype"/>
          <w:b/>
        </w:rPr>
      </w:pPr>
    </w:p>
    <w:p w:rsidR="003B5DE8" w:rsidRDefault="00182D9F">
      <w:pPr>
        <w:tabs>
          <w:tab w:val="left" w:pos="709"/>
        </w:tabs>
        <w:spacing w:line="360" w:lineRule="auto"/>
        <w:ind w:left="709"/>
        <w:jc w:val="both"/>
        <w:rPr>
          <w:rFonts w:ascii="Palatino Linotype" w:hAnsi="Palatino Linotype"/>
          <w:b/>
        </w:rPr>
      </w:pPr>
      <w:r>
        <w:rPr>
          <w:rFonts w:ascii="Palatino Linotype" w:hAnsi="Palatino Linotype"/>
          <w:b/>
        </w:rPr>
        <w:t xml:space="preserve">presentaciones.en.pdf.rar: </w:t>
      </w:r>
      <w:r>
        <w:rPr>
          <w:rFonts w:ascii="Palatino Linotype" w:hAnsi="Palatino Linotype"/>
        </w:rPr>
        <w:t>122 presentaciones relacionadas con la solicitud de acceso a la información formulada por el particular en formato PDF.</w:t>
      </w:r>
    </w:p>
    <w:p w:rsidR="003B5DE8" w:rsidRDefault="003B5DE8">
      <w:pPr>
        <w:tabs>
          <w:tab w:val="left" w:pos="709"/>
        </w:tabs>
        <w:spacing w:line="360" w:lineRule="auto"/>
        <w:ind w:left="709"/>
        <w:jc w:val="both"/>
        <w:rPr>
          <w:rFonts w:ascii="Palatino Linotype" w:hAnsi="Palatino Linotype"/>
          <w:b/>
        </w:rPr>
      </w:pPr>
    </w:p>
    <w:p w:rsidR="003B5DE8" w:rsidRDefault="00182D9F">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w:t>
      </w:r>
      <w:r>
        <w:rPr>
          <w:rFonts w:ascii="Palatino Linotype" w:hAnsi="Palatino Linotype" w:cs="Arial"/>
        </w:rPr>
        <w:t>con</w:t>
      </w:r>
      <w:r>
        <w:rPr>
          <w:rFonts w:ascii="Palatino Linotype" w:hAnsi="Palatino Linotype"/>
        </w:rPr>
        <w:t xml:space="preserve"> la respuesta proporcionada por el </w:t>
      </w:r>
      <w:r>
        <w:rPr>
          <w:rFonts w:ascii="Palatino Linotype" w:hAnsi="Palatino Linotype"/>
          <w:b/>
        </w:rPr>
        <w:t>SUJETO OBLIGADO</w:t>
      </w:r>
      <w:r>
        <w:rPr>
          <w:rFonts w:ascii="Palatino Linotype" w:hAnsi="Palatino Linotype"/>
        </w:rPr>
        <w:t xml:space="preserve">, en fecha diecisiete de marzo de dos mil veinte, </w:t>
      </w:r>
      <w:r>
        <w:rPr>
          <w:rFonts w:ascii="Palatino Linotype" w:hAnsi="Palatino Linotype"/>
          <w:b/>
        </w:rPr>
        <w:t>EL RECURRENTE</w:t>
      </w:r>
      <w:r>
        <w:rPr>
          <w:rFonts w:ascii="Palatino Linotype" w:hAnsi="Palatino Linotype"/>
        </w:rPr>
        <w:t xml:space="preserve">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 xml:space="preserve">número </w:t>
      </w:r>
      <w:r>
        <w:rPr>
          <w:rFonts w:ascii="Palatino Linotype" w:hAnsi="Palatino Linotype" w:cs="Arial"/>
          <w:b/>
        </w:rPr>
        <w:t>01612/INFOEM/IP/RR/2020</w:t>
      </w:r>
      <w:r>
        <w:rPr>
          <w:rFonts w:ascii="Palatino Linotype" w:hAnsi="Palatino Linotype" w:cs="Arial"/>
        </w:rPr>
        <w:t>, en e</w:t>
      </w:r>
      <w:r>
        <w:rPr>
          <w:rFonts w:ascii="Palatino Linotype" w:hAnsi="Palatino Linotype" w:cs="Arial"/>
        </w:rPr>
        <w:t>l que señaló como acto impugnado, lo siguiente:</w:t>
      </w:r>
    </w:p>
    <w:p w:rsidR="003B5DE8" w:rsidRDefault="003B5DE8">
      <w:pPr>
        <w:pStyle w:val="Prrafodelista"/>
        <w:tabs>
          <w:tab w:val="left" w:pos="709"/>
        </w:tabs>
        <w:spacing w:line="360" w:lineRule="auto"/>
        <w:ind w:left="0"/>
        <w:jc w:val="both"/>
        <w:rPr>
          <w:rFonts w:ascii="Palatino Linotype" w:hAnsi="Palatino Linotype" w:cs="Arial"/>
        </w:rPr>
      </w:pPr>
    </w:p>
    <w:p w:rsidR="003B5DE8" w:rsidRDefault="00182D9F">
      <w:pPr>
        <w:spacing w:line="360" w:lineRule="auto"/>
        <w:ind w:left="709" w:right="709"/>
        <w:jc w:val="both"/>
        <w:rPr>
          <w:rFonts w:ascii="Palatino Linotype" w:hAnsi="Palatino Linotype" w:cs="Arial"/>
          <w:i/>
          <w:sz w:val="22"/>
          <w:lang w:eastAsia="es-MX"/>
        </w:rPr>
      </w:pPr>
      <w:r>
        <w:rPr>
          <w:rFonts w:ascii="Palatino Linotype" w:hAnsi="Palatino Linotype" w:cs="Arial"/>
          <w:i/>
          <w:sz w:val="22"/>
          <w:lang w:eastAsia="es-MX"/>
        </w:rPr>
        <w:lastRenderedPageBreak/>
        <w:t>“Respuesta”</w:t>
      </w:r>
    </w:p>
    <w:p w:rsidR="003B5DE8" w:rsidRDefault="003B5DE8">
      <w:pPr>
        <w:spacing w:line="360" w:lineRule="auto"/>
        <w:ind w:left="709" w:right="709"/>
        <w:jc w:val="both"/>
        <w:rPr>
          <w:rFonts w:ascii="Palatino Linotype" w:hAnsi="Palatino Linotype" w:cs="Arial"/>
          <w:lang w:eastAsia="es-MX"/>
        </w:rPr>
      </w:pPr>
    </w:p>
    <w:p w:rsidR="003B5DE8" w:rsidRDefault="00182D9F">
      <w:pPr>
        <w:spacing w:line="360" w:lineRule="auto"/>
        <w:jc w:val="both"/>
        <w:rPr>
          <w:rFonts w:ascii="Palatino Linotype" w:hAnsi="Palatino Linotype"/>
        </w:rPr>
      </w:pPr>
      <w:r>
        <w:rPr>
          <w:rFonts w:ascii="Palatino Linotype" w:hAnsi="Palatino Linotype" w:cs="Arial"/>
        </w:rPr>
        <w:t>Asimismo</w:t>
      </w:r>
      <w:r>
        <w:rPr>
          <w:rFonts w:ascii="Palatino Linotype" w:hAnsi="Palatino Linotype"/>
        </w:rPr>
        <w:t>, indicó como razones o motivos de inconformidad:</w:t>
      </w:r>
    </w:p>
    <w:p w:rsidR="003B5DE8" w:rsidRDefault="003B5DE8">
      <w:pPr>
        <w:spacing w:line="360" w:lineRule="auto"/>
        <w:jc w:val="both"/>
        <w:rPr>
          <w:rFonts w:ascii="Palatino Linotype" w:hAnsi="Palatino Linotype"/>
        </w:rPr>
      </w:pPr>
    </w:p>
    <w:p w:rsidR="003B5DE8" w:rsidRDefault="00182D9F">
      <w:pPr>
        <w:spacing w:line="360" w:lineRule="auto"/>
        <w:ind w:left="709" w:right="709"/>
        <w:jc w:val="both"/>
        <w:rPr>
          <w:rFonts w:ascii="Palatino Linotype" w:hAnsi="Palatino Linotype" w:cs="Arial"/>
          <w:i/>
          <w:sz w:val="22"/>
          <w:lang w:eastAsia="es-MX"/>
        </w:rPr>
      </w:pPr>
      <w:r>
        <w:rPr>
          <w:rFonts w:ascii="Palatino Linotype" w:hAnsi="Palatino Linotype" w:cs="Arial"/>
          <w:i/>
          <w:sz w:val="22"/>
          <w:lang w:eastAsia="es-MX"/>
        </w:rPr>
        <w:t>“cambio de modalidad”</w:t>
      </w:r>
    </w:p>
    <w:p w:rsidR="003B5DE8" w:rsidRDefault="003B5DE8">
      <w:pPr>
        <w:spacing w:line="360" w:lineRule="auto"/>
        <w:ind w:left="709" w:right="709"/>
        <w:jc w:val="both"/>
        <w:rPr>
          <w:rFonts w:ascii="Palatino Linotype" w:hAnsi="Palatino Linotype" w:cs="Arial"/>
          <w:sz w:val="22"/>
          <w:lang w:eastAsia="es-MX"/>
        </w:rPr>
      </w:pPr>
    </w:p>
    <w:p w:rsidR="003B5DE8" w:rsidRDefault="00182D9F">
      <w:pPr>
        <w:widowControl w:val="0"/>
        <w:numPr>
          <w:ilvl w:val="0"/>
          <w:numId w:val="1"/>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diecisiete de marzo de dos mil veinte</w:t>
      </w:r>
      <w:r>
        <w:rPr>
          <w:rFonts w:ascii="Palatino Linotype" w:hAnsi="Palatino Linotype" w:cs="Arial"/>
        </w:rPr>
        <w:t>, el recurso de que se trata se envió electrónicamente al Institut</w:t>
      </w:r>
      <w:r>
        <w:rPr>
          <w:rFonts w:ascii="Palatino Linotype" w:hAnsi="Palatino Linotype" w:cs="Arial"/>
        </w:rPr>
        <w: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 xml:space="preserve">Ley de Transparencia y Acceso a la Información Pública del Estado de México y </w:t>
      </w:r>
      <w:r>
        <w:rPr>
          <w:rFonts w:ascii="Palatino Linotype" w:hAnsi="Palatino Linotype"/>
        </w:rPr>
        <w:t>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3B5DE8" w:rsidRDefault="003B5DE8">
      <w:pPr>
        <w:widowControl w:val="0"/>
        <w:tabs>
          <w:tab w:val="left" w:pos="0"/>
        </w:tabs>
        <w:spacing w:line="360" w:lineRule="auto"/>
        <w:jc w:val="both"/>
        <w:rPr>
          <w:rFonts w:ascii="Palatino Linotype" w:hAnsi="Palatino Linotype" w:cs="Arial"/>
          <w:lang w:val="es-ES_tradnl"/>
        </w:rPr>
      </w:pPr>
    </w:p>
    <w:p w:rsidR="003B5DE8" w:rsidRDefault="00182D9F">
      <w:pPr>
        <w:widowControl w:val="0"/>
        <w:numPr>
          <w:ilvl w:val="0"/>
          <w:numId w:val="1"/>
        </w:numPr>
        <w:tabs>
          <w:tab w:val="left" w:pos="0"/>
        </w:tabs>
        <w:spacing w:line="360" w:lineRule="auto"/>
        <w:ind w:left="0" w:firstLine="0"/>
        <w:jc w:val="both"/>
        <w:rPr>
          <w:rFonts w:ascii="Palatino Linotype" w:hAnsi="Palatino Linotype" w:cs="Arial"/>
          <w:lang w:val="es-ES_tradnl"/>
        </w:rPr>
      </w:pPr>
      <w:r>
        <w:rPr>
          <w:rFonts w:ascii="Palatino Linotype" w:hAnsi="Palatino Linotype" w:cs="Arial"/>
        </w:rPr>
        <w:t>En fecha</w:t>
      </w:r>
      <w:r>
        <w:rPr>
          <w:rFonts w:ascii="Palatino Linotype" w:hAnsi="Palatino Linotype"/>
        </w:rPr>
        <w:t xml:space="preserve"> tres de agosto de dos mil veinte</w:t>
      </w:r>
      <w:r>
        <w:rPr>
          <w:rFonts w:ascii="Palatino Linotype" w:hAnsi="Palatino Linotype" w:cs="Arial"/>
        </w:rPr>
        <w:t xml:space="preserve">, atento a lo dispuesto en el artículo 185, fracciones I, II y IV, de la </w:t>
      </w:r>
      <w:r>
        <w:rPr>
          <w:rFonts w:ascii="Palatino Linotype" w:hAnsi="Palatino Linotype"/>
        </w:rPr>
        <w:t>Ley de Tr</w:t>
      </w:r>
      <w:r>
        <w:rPr>
          <w:rFonts w:ascii="Palatino Linotype" w:hAnsi="Palatino Linotype"/>
        </w:rPr>
        <w:t xml:space="preserve">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w:t>
      </w:r>
      <w:r>
        <w:rPr>
          <w:rFonts w:ascii="Palatino Linotype" w:hAnsi="Palatino Linotype" w:cs="Arial"/>
        </w:rPr>
        <w:t xml:space="preserve">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rsidR="003B5DE8" w:rsidRDefault="003B5DE8">
      <w:pPr>
        <w:widowControl w:val="0"/>
        <w:tabs>
          <w:tab w:val="left" w:pos="0"/>
        </w:tabs>
        <w:spacing w:line="360" w:lineRule="auto"/>
        <w:jc w:val="both"/>
        <w:rPr>
          <w:rFonts w:ascii="Palatino Linotype" w:hAnsi="Palatino Linotype" w:cs="Arial"/>
        </w:rPr>
      </w:pPr>
    </w:p>
    <w:p w:rsidR="003B5DE8" w:rsidRDefault="00182D9F">
      <w:pPr>
        <w:numPr>
          <w:ilvl w:val="0"/>
          <w:numId w:val="1"/>
        </w:numPr>
        <w:spacing w:line="360" w:lineRule="auto"/>
        <w:ind w:left="0" w:firstLine="0"/>
        <w:jc w:val="both"/>
        <w:rPr>
          <w:rFonts w:ascii="Palatino Linotype" w:hAnsi="Palatino Linotype"/>
        </w:rPr>
      </w:pPr>
      <w:r>
        <w:rPr>
          <w:rFonts w:ascii="Palatino Linotype" w:hAnsi="Palatino Linotype" w:cs="Arial"/>
        </w:rPr>
        <w:t xml:space="preserve">De las constancias </w:t>
      </w:r>
      <w:r>
        <w:rPr>
          <w:rFonts w:ascii="Palatino Linotype" w:hAnsi="Palatino Linotype" w:cs="Arial"/>
        </w:rPr>
        <w:t xml:space="preserve">que obran en 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 xml:space="preserve">EL RECURRENTE </w:t>
      </w:r>
      <w:r>
        <w:rPr>
          <w:rFonts w:ascii="Palatino Linotype" w:hAnsi="Palatino Linotype" w:cs="Arial"/>
        </w:rPr>
        <w:t xml:space="preserve">no presentó manifestaciones y alegatos, ni ofreció los medios de prueba que a su derecho convinieran. Por su parte, </w:t>
      </w:r>
      <w:r>
        <w:rPr>
          <w:rFonts w:ascii="Palatino Linotype" w:hAnsi="Palatino Linotype" w:cs="Arial"/>
          <w:b/>
        </w:rPr>
        <w:t>EL SUJETO OBLIGADO</w:t>
      </w:r>
      <w:r>
        <w:rPr>
          <w:rFonts w:ascii="Palatino Linotype" w:hAnsi="Palatino Linotype" w:cs="Arial"/>
        </w:rPr>
        <w:t xml:space="preserve"> en fecha doce de agosto de la presente anualidad, rindió su Informe</w:t>
      </w:r>
      <w:r>
        <w:rPr>
          <w:rFonts w:ascii="Palatino Linotype" w:hAnsi="Palatino Linotype" w:cs="Arial"/>
        </w:rPr>
        <w:t xml:space="preserve"> Justificado a través del archivo electrónico denominado </w:t>
      </w:r>
      <w:r>
        <w:rPr>
          <w:rFonts w:ascii="Palatino Linotype" w:hAnsi="Palatino Linotype" w:cs="Arial"/>
        </w:rPr>
        <w:tab/>
        <w:t>1612.pdf, mismos que</w:t>
      </w:r>
      <w:r>
        <w:rPr>
          <w:rFonts w:ascii="Palatino Linotype" w:hAnsi="Palatino Linotype" w:cs="Arial"/>
          <w:b/>
        </w:rPr>
        <w:t xml:space="preserve"> </w:t>
      </w:r>
      <w:r>
        <w:rPr>
          <w:rFonts w:ascii="Palatino Linotype" w:hAnsi="Palatino Linotype" w:cs="Arial"/>
        </w:rPr>
        <w:t>no fueron puestos a disposición del particular en virtud de que no actualiza el supuesto contenido en la fracción III del artículo 185 de la Ley de Transparencia y Acceso a la I</w:t>
      </w:r>
      <w:r>
        <w:rPr>
          <w:rFonts w:ascii="Palatino Linotype" w:hAnsi="Palatino Linotype" w:cs="Arial"/>
        </w:rPr>
        <w:t>nformación Pública del Estado de México y Municipios; no obstante, el documento le será hecho de su conocimiento al momento de notificar la presente resolución.</w:t>
      </w:r>
    </w:p>
    <w:p w:rsidR="003B5DE8" w:rsidRDefault="003B5DE8">
      <w:pPr>
        <w:pStyle w:val="Prrafodelista"/>
        <w:rPr>
          <w:rFonts w:ascii="Palatino Linotype" w:hAnsi="Palatino Linotype"/>
        </w:rPr>
      </w:pPr>
    </w:p>
    <w:p w:rsidR="003B5DE8" w:rsidRDefault="00182D9F">
      <w:pPr>
        <w:spacing w:line="360" w:lineRule="auto"/>
        <w:jc w:val="both"/>
        <w:rPr>
          <w:rFonts w:ascii="Palatino Linotype" w:hAnsi="Palatino Linotype"/>
        </w:rPr>
      </w:pPr>
      <w:r>
        <w:rPr>
          <w:noProof/>
          <w:lang w:eastAsia="es-MX"/>
        </w:rPr>
        <w:drawing>
          <wp:inline distT="0" distB="0" distL="0" distR="0">
            <wp:extent cx="5791835" cy="266573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noChangeArrowheads="1"/>
                    </pic:cNvPicPr>
                  </pic:nvPicPr>
                  <pic:blipFill>
                    <a:blip r:embed="rId12"/>
                    <a:stretch>
                      <a:fillRect/>
                    </a:stretch>
                  </pic:blipFill>
                  <pic:spPr bwMode="auto">
                    <a:xfrm>
                      <a:off x="0" y="0"/>
                      <a:ext cx="5791835" cy="2665730"/>
                    </a:xfrm>
                    <a:prstGeom prst="rect">
                      <a:avLst/>
                    </a:prstGeom>
                  </pic:spPr>
                </pic:pic>
              </a:graphicData>
            </a:graphic>
          </wp:inline>
        </w:drawing>
      </w:r>
    </w:p>
    <w:p w:rsidR="003B5DE8" w:rsidRDefault="00182D9F">
      <w:pPr>
        <w:numPr>
          <w:ilvl w:val="0"/>
          <w:numId w:val="1"/>
        </w:numPr>
        <w:spacing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veinte de agosto de dos mil veinte, la Comisionada Ponente acordó el cierre de </w:t>
      </w:r>
      <w:r>
        <w:rPr>
          <w:rFonts w:ascii="Palatino Linotype" w:hAnsi="Palatino Linotype" w:cs="Arial"/>
        </w:rPr>
        <w:lastRenderedPageBreak/>
        <w:t xml:space="preserve">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w:t>
      </w:r>
      <w:r>
        <w:rPr>
          <w:rFonts w:ascii="Palatino Linotype" w:hAnsi="Palatino Linotype" w:cs="Arial"/>
        </w:rPr>
        <w:t>185, fracciones VI y VIII de la Ley de Transparencia y Acceso a la Información Pública del Estado de México y Municipios.</w:t>
      </w:r>
    </w:p>
    <w:p w:rsidR="003B5DE8" w:rsidRDefault="003B5DE8">
      <w:pPr>
        <w:pStyle w:val="Prrafodelista"/>
        <w:spacing w:line="360" w:lineRule="auto"/>
        <w:rPr>
          <w:rFonts w:ascii="Palatino Linotype" w:hAnsi="Palatino Linotype" w:cs="Arial"/>
        </w:rPr>
      </w:pPr>
      <w:bookmarkStart w:id="2" w:name="_Ref507070922"/>
      <w:bookmarkEnd w:id="2"/>
    </w:p>
    <w:p w:rsidR="003B5DE8" w:rsidRDefault="00182D9F">
      <w:pPr>
        <w:pStyle w:val="Prrafodelista"/>
        <w:tabs>
          <w:tab w:val="left" w:pos="709"/>
        </w:tabs>
        <w:spacing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3B5DE8" w:rsidRDefault="003B5DE8">
      <w:pPr>
        <w:pStyle w:val="Prrafodelista"/>
        <w:tabs>
          <w:tab w:val="left" w:pos="709"/>
        </w:tabs>
        <w:spacing w:line="360" w:lineRule="auto"/>
        <w:ind w:left="0"/>
        <w:jc w:val="center"/>
        <w:rPr>
          <w:rFonts w:ascii="Palatino Linotype" w:hAnsi="Palatino Linotype"/>
          <w:b/>
          <w:bCs/>
          <w:spacing w:val="60"/>
        </w:rPr>
      </w:pPr>
    </w:p>
    <w:p w:rsidR="003B5DE8" w:rsidRDefault="00182D9F">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w:t>
      </w:r>
      <w:r>
        <w:rPr>
          <w:rFonts w:ascii="Palatino Linotype" w:hAnsi="Palatino Linotype"/>
        </w:rPr>
        <w:t xml:space="preserve">Estado de México y Municipios, es competente para conocer y resolver el presente recurso, conforme a lo dispuesto en el artículo 6, Apartado A, de la Constitución Política de los Estados Unidos Mexicanos; el artículo 5, párrafos vigésimo segundo, vigésimo </w:t>
      </w:r>
      <w:r>
        <w:rPr>
          <w:rFonts w:ascii="Palatino Linotype" w:hAnsi="Palatino Linotype"/>
        </w:rPr>
        <w:t>tercero y vigésimo cuarto, fracciones IV y V, de la Constitución Política del Estado Libre y Soberano de México; los artículos 2, fracción II, 13, 29, 36, fracciones I y II, 176, 178, 179, 181, párrafo tercero y 185, de la Ley de Transparencia y Acceso a l</w:t>
      </w:r>
      <w:r>
        <w:rPr>
          <w:rFonts w:ascii="Palatino Linotype" w:hAnsi="Palatino Linotype"/>
        </w:rPr>
        <w:t>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3B5DE8" w:rsidRDefault="003B5DE8">
      <w:pPr>
        <w:pStyle w:val="Prrafodelista"/>
        <w:widowControl w:val="0"/>
        <w:tabs>
          <w:tab w:val="left" w:pos="1701"/>
          <w:tab w:val="left" w:pos="1843"/>
        </w:tabs>
        <w:spacing w:line="360" w:lineRule="auto"/>
        <w:ind w:left="0"/>
        <w:jc w:val="both"/>
        <w:rPr>
          <w:rFonts w:ascii="Palatino Linotype" w:hAnsi="Palatino Linotype" w:cs="Arial"/>
        </w:rPr>
      </w:pPr>
    </w:p>
    <w:p w:rsidR="003B5DE8" w:rsidRDefault="00182D9F">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lang w:val="es-ES_tradnl"/>
        </w:rPr>
      </w:pPr>
      <w:r>
        <w:rPr>
          <w:rFonts w:ascii="Palatino Linotype" w:hAnsi="Palatino Linotype" w:cs="Arial"/>
          <w:b/>
        </w:rPr>
        <w:t xml:space="preserve"> </w:t>
      </w:r>
      <w:r>
        <w:rPr>
          <w:rFonts w:ascii="Palatino Linotype" w:hAnsi="Palatino Linotype" w:cs="Arial"/>
          <w:b/>
          <w:color w:val="000000" w:themeColor="text1"/>
        </w:rPr>
        <w:t>Interés.</w:t>
      </w:r>
      <w:r>
        <w:rPr>
          <w:rFonts w:ascii="Palatino Linotype" w:hAnsi="Palatino Linotype" w:cs="Arial"/>
          <w:color w:val="000000" w:themeColor="text1"/>
        </w:rPr>
        <w:t xml:space="preserve"> El </w:t>
      </w:r>
      <w:r>
        <w:rPr>
          <w:rFonts w:ascii="Palatino Linotype" w:hAnsi="Palatino Linotype"/>
          <w:color w:val="000000" w:themeColor="text1"/>
        </w:rPr>
        <w:t>recurso</w:t>
      </w:r>
      <w:r>
        <w:rPr>
          <w:rFonts w:ascii="Palatino Linotype" w:hAnsi="Palatino Linotype" w:cs="Arial"/>
          <w:color w:val="000000" w:themeColor="text1"/>
        </w:rPr>
        <w:t xml:space="preserve"> de revisión fue </w:t>
      </w:r>
      <w:r>
        <w:rPr>
          <w:rFonts w:ascii="Palatino Linotype" w:hAnsi="Palatino Linotype"/>
          <w:color w:val="000000" w:themeColor="text1"/>
        </w:rPr>
        <w:t>interpuesto</w:t>
      </w:r>
      <w:r>
        <w:rPr>
          <w:rFonts w:ascii="Palatino Linotype" w:hAnsi="Palatino Linotype" w:cs="Arial"/>
          <w:color w:val="000000" w:themeColor="text1"/>
        </w:rPr>
        <w:t xml:space="preserve"> por parte legítima en atención a que fue </w:t>
      </w:r>
      <w:r>
        <w:rPr>
          <w:rFonts w:ascii="Palatino Linotype" w:hAnsi="Palatino Linotype"/>
          <w:color w:val="000000" w:themeColor="text1"/>
        </w:rPr>
        <w:t>presentado</w:t>
      </w:r>
      <w:r>
        <w:rPr>
          <w:rFonts w:ascii="Palatino Linotype" w:hAnsi="Palatino Linotype" w:cs="Arial"/>
          <w:color w:val="000000" w:themeColor="text1"/>
        </w:rPr>
        <w:t xml:space="preserve"> por </w:t>
      </w:r>
      <w:r>
        <w:rPr>
          <w:rFonts w:ascii="Palatino Linotype" w:hAnsi="Palatino Linotype" w:cs="Arial"/>
          <w:b/>
          <w:color w:val="000000" w:themeColor="text1"/>
        </w:rPr>
        <w:t>EL RECURRENTE</w:t>
      </w:r>
      <w:r>
        <w:rPr>
          <w:rFonts w:ascii="Palatino Linotype" w:hAnsi="Palatino Linotype" w:cs="Arial"/>
          <w:color w:val="000000" w:themeColor="text1"/>
        </w:rPr>
        <w:t xml:space="preserve">, quien </w:t>
      </w:r>
      <w:r>
        <w:rPr>
          <w:rFonts w:ascii="Palatino Linotype" w:hAnsi="Palatino Linotype"/>
          <w:color w:val="000000" w:themeColor="text1"/>
        </w:rPr>
        <w:t>formuló</w:t>
      </w:r>
      <w:r>
        <w:rPr>
          <w:rFonts w:ascii="Palatino Linotype" w:hAnsi="Palatino Linotype" w:cs="Arial"/>
          <w:color w:val="000000" w:themeColor="text1"/>
        </w:rPr>
        <w:t xml:space="preserve"> la solicitud de información pública </w:t>
      </w:r>
      <w:r>
        <w:rPr>
          <w:rFonts w:ascii="Palatino Linotype" w:hAnsi="Palatino Linotype"/>
          <w:color w:val="000000" w:themeColor="text1"/>
        </w:rPr>
        <w:t>número</w:t>
      </w:r>
      <w:r>
        <w:rPr>
          <w:rFonts w:ascii="Palatino Linotype" w:hAnsi="Palatino Linotype"/>
          <w:b/>
          <w:bCs/>
          <w:color w:val="FF0000"/>
        </w:rPr>
        <w:t xml:space="preserve"> </w:t>
      </w:r>
      <w:r>
        <w:rPr>
          <w:rFonts w:ascii="Palatino Linotype" w:hAnsi="Palatino Linotype"/>
          <w:b/>
          <w:bCs/>
          <w:color w:val="000000" w:themeColor="text1"/>
        </w:rPr>
        <w:t>00101/INFOEM/IP/2020</w:t>
      </w:r>
      <w:r>
        <w:rPr>
          <w:rFonts w:ascii="Palatino Linotype" w:hAnsi="Palatino Linotype" w:cs="Arial"/>
          <w:color w:val="000000" w:themeColor="text1"/>
          <w:lang w:val="es-ES_tradnl"/>
        </w:rPr>
        <w:t>.</w:t>
      </w:r>
    </w:p>
    <w:p w:rsidR="003B5DE8" w:rsidRDefault="003B5DE8">
      <w:pPr>
        <w:pStyle w:val="Prrafodelista"/>
        <w:widowControl w:val="0"/>
        <w:tabs>
          <w:tab w:val="left" w:pos="1701"/>
          <w:tab w:val="left" w:pos="1843"/>
        </w:tabs>
        <w:spacing w:line="360" w:lineRule="auto"/>
        <w:ind w:left="0"/>
        <w:jc w:val="both"/>
        <w:rPr>
          <w:rFonts w:ascii="Palatino Linotype" w:hAnsi="Palatino Linotype" w:cs="Arial"/>
          <w:lang w:val="es-ES_tradnl"/>
        </w:rPr>
      </w:pPr>
    </w:p>
    <w:p w:rsidR="003B5DE8" w:rsidRDefault="00182D9F">
      <w:pPr>
        <w:pStyle w:val="Prrafodelista"/>
        <w:widowControl w:val="0"/>
        <w:numPr>
          <w:ilvl w:val="0"/>
          <w:numId w:val="2"/>
        </w:numPr>
        <w:tabs>
          <w:tab w:val="left" w:pos="1701"/>
          <w:tab w:val="left" w:pos="1843"/>
        </w:tabs>
        <w:spacing w:line="360" w:lineRule="auto"/>
        <w:ind w:left="0" w:firstLine="0"/>
        <w:jc w:val="both"/>
        <w:rPr>
          <w:rFonts w:ascii="Palatino Linotype" w:hAnsi="Palatino Linotype" w:cs="Arial"/>
        </w:rPr>
      </w:pPr>
      <w:r>
        <w:rPr>
          <w:rFonts w:ascii="Palatino Linotype" w:hAnsi="Palatino Linotype" w:cs="Arial"/>
          <w:b/>
        </w:rPr>
        <w:lastRenderedPageBreak/>
        <w:t xml:space="preserve">Oportunidad. </w:t>
      </w:r>
      <w:r>
        <w:rPr>
          <w:rFonts w:ascii="Palatino Linotype" w:hAnsi="Palatino Linotype" w:cs="Arial"/>
        </w:rPr>
        <w:t>El recurso de revisión fue interpuesto de</w:t>
      </w:r>
      <w:r>
        <w:rPr>
          <w:rFonts w:ascii="Palatino Linotype" w:hAnsi="Palatino Linotype" w:cs="Arial"/>
        </w:rPr>
        <w:t xml:space="preserv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w:t>
      </w:r>
      <w:r>
        <w:rPr>
          <w:rFonts w:ascii="Palatino Linotype" w:hAnsi="Palatino Linotype" w:cs="Arial"/>
        </w:rPr>
        <w:t xml:space="preserve">xico y Municipios, que establece: </w:t>
      </w:r>
    </w:p>
    <w:p w:rsidR="003B5DE8" w:rsidRDefault="003B5DE8">
      <w:pPr>
        <w:spacing w:line="360" w:lineRule="auto"/>
        <w:ind w:left="851" w:right="902"/>
        <w:jc w:val="both"/>
        <w:rPr>
          <w:rFonts w:ascii="Palatino Linotype" w:eastAsiaTheme="minorEastAsia" w:hAnsi="Palatino Linotype" w:cs="Arial"/>
          <w:lang w:val="es-ES_tradnl"/>
        </w:rPr>
      </w:pPr>
    </w:p>
    <w:p w:rsidR="003B5DE8" w:rsidRDefault="00182D9F">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b/>
          <w:i/>
          <w:sz w:val="22"/>
          <w:lang w:val="es-ES_tradnl"/>
        </w:rPr>
        <w:t>“Artículo 178.</w:t>
      </w:r>
      <w:r>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w:t>
      </w:r>
      <w:r>
        <w:rPr>
          <w:rFonts w:ascii="Palatino Linotype" w:eastAsiaTheme="minorEastAsia" w:hAnsi="Palatino Linotype" w:cs="Arial"/>
          <w:i/>
          <w:sz w:val="22"/>
          <w:lang w:val="es-ES_tradnl"/>
        </w:rPr>
        <w:t>hábiles, siguientes a la fecha de la notificación de la respuesta.</w:t>
      </w:r>
    </w:p>
    <w:p w:rsidR="003B5DE8" w:rsidRDefault="003B5DE8">
      <w:pPr>
        <w:tabs>
          <w:tab w:val="left" w:pos="851"/>
        </w:tabs>
        <w:ind w:left="851" w:right="901"/>
        <w:jc w:val="both"/>
        <w:rPr>
          <w:rFonts w:ascii="Palatino Linotype" w:eastAsiaTheme="minorEastAsia" w:hAnsi="Palatino Linotype" w:cs="Arial"/>
          <w:i/>
          <w:sz w:val="22"/>
          <w:lang w:val="es-ES_tradnl"/>
        </w:rPr>
      </w:pPr>
    </w:p>
    <w:p w:rsidR="003B5DE8" w:rsidRDefault="00182D9F">
      <w:pPr>
        <w:tabs>
          <w:tab w:val="left" w:pos="851"/>
        </w:tabs>
        <w:ind w:left="851" w:right="901"/>
        <w:jc w:val="both"/>
        <w:rPr>
          <w:rFonts w:ascii="Palatino Linotype" w:eastAsiaTheme="minorEastAsia" w:hAnsi="Palatino Linotype" w:cs="Arial"/>
          <w:i/>
          <w:sz w:val="22"/>
          <w:lang w:val="es-ES_tradnl"/>
        </w:rPr>
      </w:pPr>
      <w:r>
        <w:rPr>
          <w:rFonts w:ascii="Palatino Linotype" w:eastAsiaTheme="minorEastAsia" w:hAnsi="Palatino Linotype" w:cs="Arial"/>
          <w:i/>
          <w:sz w:val="22"/>
          <w:lang w:val="es-ES_tradnl"/>
        </w:rPr>
        <w:t xml:space="preserve">A falta de respuesta del sujeto obligado, dentro de los plazos establecidos en esta Ley, a una solicitud de acceso a la información pública, el recurso podrá ser interpuesto en cualquier </w:t>
      </w:r>
      <w:r>
        <w:rPr>
          <w:rFonts w:ascii="Palatino Linotype" w:eastAsiaTheme="minorEastAsia" w:hAnsi="Palatino Linotype" w:cs="Arial"/>
          <w:i/>
          <w:sz w:val="22"/>
          <w:lang w:val="es-ES_tradnl"/>
        </w:rPr>
        <w:t>momento, acompañado con el documento que pruebe la fecha en que presentó la solicitud.</w:t>
      </w:r>
    </w:p>
    <w:p w:rsidR="003B5DE8" w:rsidRDefault="003B5DE8">
      <w:pPr>
        <w:tabs>
          <w:tab w:val="left" w:pos="851"/>
        </w:tabs>
        <w:ind w:left="851" w:right="901"/>
        <w:jc w:val="both"/>
        <w:rPr>
          <w:rFonts w:ascii="Palatino Linotype" w:eastAsiaTheme="minorEastAsia" w:hAnsi="Palatino Linotype" w:cs="Arial"/>
          <w:i/>
          <w:sz w:val="22"/>
          <w:lang w:val="es-ES_tradnl"/>
        </w:rPr>
      </w:pPr>
    </w:p>
    <w:p w:rsidR="003B5DE8" w:rsidRDefault="00182D9F">
      <w:pPr>
        <w:tabs>
          <w:tab w:val="left" w:pos="851"/>
        </w:tabs>
        <w:ind w:left="851" w:right="901"/>
        <w:jc w:val="both"/>
        <w:rPr>
          <w:rFonts w:ascii="Palatino Linotype" w:eastAsiaTheme="minorEastAsia" w:hAnsi="Palatino Linotype" w:cs="Arial"/>
          <w:i/>
          <w:lang w:val="es-ES_tradnl"/>
        </w:rPr>
      </w:pPr>
      <w:r>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w:t>
      </w:r>
      <w:r>
        <w:rPr>
          <w:rFonts w:ascii="Palatino Linotype" w:eastAsiaTheme="minorEastAsia" w:hAnsi="Palatino Linotype" w:cs="Arial"/>
          <w:i/>
          <w:sz w:val="22"/>
          <w:lang w:val="es-ES_tradnl"/>
        </w:rPr>
        <w:t>do.</w:t>
      </w:r>
      <w:r>
        <w:rPr>
          <w:rFonts w:ascii="Palatino Linotype" w:eastAsiaTheme="minorEastAsia" w:hAnsi="Palatino Linotype" w:cs="Arial"/>
          <w:b/>
          <w:i/>
          <w:sz w:val="22"/>
          <w:lang w:val="es-ES_tradnl"/>
        </w:rPr>
        <w:t>”</w:t>
      </w:r>
    </w:p>
    <w:p w:rsidR="003B5DE8" w:rsidRDefault="003B5DE8">
      <w:pPr>
        <w:spacing w:line="360" w:lineRule="auto"/>
        <w:ind w:left="851" w:right="902"/>
        <w:jc w:val="both"/>
        <w:rPr>
          <w:rFonts w:ascii="Palatino Linotype" w:eastAsiaTheme="minorEastAsia" w:hAnsi="Palatino Linotype" w:cs="Arial"/>
          <w:lang w:val="es-ES_tradnl"/>
        </w:rPr>
      </w:pPr>
    </w:p>
    <w:p w:rsidR="003B5DE8" w:rsidRDefault="00182D9F">
      <w:pPr>
        <w:spacing w:line="360" w:lineRule="auto"/>
        <w:jc w:val="both"/>
        <w:rPr>
          <w:rFonts w:ascii="Palatino Linotype" w:hAnsi="Palatino Linotype" w:cs="Arial"/>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w:t>
      </w:r>
      <w:r>
        <w:rPr>
          <w:rFonts w:ascii="Palatino Linotype" w:eastAsiaTheme="minorEastAsia" w:hAnsi="Palatino Linotype" w:cs="Arial"/>
          <w:b/>
          <w:lang w:val="es-ES_tradnl"/>
        </w:rPr>
        <w:t xml:space="preserve"> veinte de febrero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w:t>
      </w:r>
      <w:r>
        <w:rPr>
          <w:rFonts w:ascii="Palatino Linotype" w:hAnsi="Palatino Linotype" w:cs="Arial"/>
          <w:b/>
        </w:rPr>
        <w:t>RECURRENTE</w:t>
      </w:r>
      <w:r>
        <w:rPr>
          <w:rFonts w:ascii="Palatino Linotype" w:hAnsi="Palatino Linotype" w:cs="Arial"/>
        </w:rPr>
        <w:t xml:space="preserve"> para presentar el recurso de revisión, transcurrió del</w:t>
      </w:r>
      <w:r>
        <w:rPr>
          <w:rFonts w:ascii="Palatino Linotype" w:hAnsi="Palatino Linotype" w:cs="Arial"/>
          <w:b/>
        </w:rPr>
        <w:t xml:space="preserve"> veintiuno de febrero al diecisiete de marzo de dos mil veinte</w:t>
      </w:r>
      <w:r>
        <w:rPr>
          <w:rFonts w:ascii="Palatino Linotype" w:hAnsi="Palatino Linotype" w:cs="Arial"/>
        </w:rPr>
        <w:t>, sin contemplar en el cómputo los días veintidós y veintitrés de febrero, así como el uno, siete, ocho, catorce y quince de marz</w:t>
      </w:r>
      <w:r>
        <w:rPr>
          <w:rFonts w:ascii="Palatino Linotype" w:hAnsi="Palatino Linotype" w:cs="Arial"/>
        </w:rPr>
        <w:t xml:space="preserve">o de dos mil veinte, por corresponder a sábados y domingos, considerados como </w:t>
      </w:r>
      <w:r>
        <w:rPr>
          <w:rFonts w:ascii="Palatino Linotype" w:hAnsi="Palatino Linotype" w:cs="Arial"/>
        </w:rPr>
        <w:lastRenderedPageBreak/>
        <w:t xml:space="preserve">días inhábiles; en términos del artículo 3, fracción X de la </w:t>
      </w:r>
      <w:r>
        <w:rPr>
          <w:rFonts w:ascii="Palatino Linotype" w:hAnsi="Palatino Linotype"/>
        </w:rPr>
        <w:t>Ley de Transparencia y Acceso a la Información Pública del Estado de México y Municipios</w:t>
      </w:r>
      <w:r>
        <w:rPr>
          <w:rFonts w:ascii="Palatino Linotype" w:hAnsi="Palatino Linotype" w:cs="Arial"/>
        </w:rPr>
        <w:t>, asimismo el dos, nueve y di</w:t>
      </w:r>
      <w:r>
        <w:rPr>
          <w:rFonts w:ascii="Palatino Linotype" w:hAnsi="Palatino Linotype" w:cs="Arial"/>
        </w:rPr>
        <w:t>eciséis de marzo de dos mil veinte, por suspensión de labores en el Instituto, de conformidad con el Calendario Oficial en Materia de Transparencia, Acceso a la Información Pública y Protección de Datos Personales del Estado de México y Municipios, para el</w:t>
      </w:r>
      <w:r>
        <w:rPr>
          <w:rFonts w:ascii="Palatino Linotype" w:hAnsi="Palatino Linotype" w:cs="Arial"/>
        </w:rPr>
        <w:t xml:space="preserve"> año dos mil veinte y enero de dos mil veintiuno, publicado en el Periódico Oficial “Gaceta del Gobierno”, el diecinueve de diciembre de dos mil diecinueve.</w:t>
      </w:r>
    </w:p>
    <w:p w:rsidR="003B5DE8" w:rsidRDefault="003B5DE8">
      <w:pPr>
        <w:spacing w:line="360" w:lineRule="auto"/>
        <w:jc w:val="both"/>
        <w:rPr>
          <w:rFonts w:ascii="Palatino Linotype" w:hAnsi="Palatino Linotype"/>
        </w:rPr>
      </w:pPr>
    </w:p>
    <w:p w:rsidR="003B5DE8" w:rsidRDefault="00182D9F">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diecisiete de marzo de dos </w:t>
      </w:r>
      <w:r>
        <w:rPr>
          <w:rFonts w:ascii="Palatino Linotype" w:eastAsiaTheme="minorEastAsia" w:hAnsi="Palatino Linotype" w:cs="Arial"/>
          <w:b/>
          <w:lang w:val="es-ES_tradnl"/>
        </w:rPr>
        <w:t>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3B5DE8" w:rsidRDefault="003B5DE8">
      <w:pPr>
        <w:spacing w:line="360" w:lineRule="auto"/>
        <w:jc w:val="both"/>
        <w:rPr>
          <w:rFonts w:ascii="Palatino Linotype" w:eastAsiaTheme="minorEastAsia" w:hAnsi="Palatino Linotype" w:cs="Arial"/>
          <w:lang w:val="es-ES_tradnl"/>
        </w:rPr>
      </w:pPr>
    </w:p>
    <w:p w:rsidR="003B5DE8" w:rsidRDefault="00182D9F">
      <w:pPr>
        <w:pStyle w:val="Prrafodelista"/>
        <w:numPr>
          <w:ilvl w:val="0"/>
          <w:numId w:val="2"/>
        </w:numPr>
        <w:spacing w:line="360" w:lineRule="auto"/>
        <w:ind w:left="0" w:firstLine="0"/>
        <w:contextualSpacing/>
        <w:jc w:val="both"/>
        <w:rPr>
          <w:rFonts w:ascii="Palatino Linotype" w:hAnsi="Palatino Linotype"/>
          <w:color w:val="212121"/>
          <w:lang w:eastAsia="es-MX"/>
        </w:rPr>
      </w:pPr>
      <w:r>
        <w:rPr>
          <w:rFonts w:ascii="Palatino Linotype" w:hAnsi="Palatino Linotype" w:cs="Arial"/>
          <w:b/>
        </w:rPr>
        <w:t xml:space="preserve">Procedibilidad. </w:t>
      </w:r>
      <w:r>
        <w:rPr>
          <w:rFonts w:ascii="Palatino Linotype" w:hAnsi="Palatino Linotype" w:cs="Arial"/>
        </w:rPr>
        <w:t xml:space="preserve">Del análisis efectuado, se advierte que resulta procedente la interposición del </w:t>
      </w:r>
      <w:r>
        <w:rPr>
          <w:rFonts w:ascii="Palatino Linotype" w:hAnsi="Palatino Linotype"/>
        </w:rPr>
        <w:t>recurso</w:t>
      </w:r>
      <w:r>
        <w:rPr>
          <w:rFonts w:ascii="Palatino Linotype" w:hAnsi="Palatino Linotype" w:cs="Arial"/>
        </w:rPr>
        <w:t xml:space="preserve"> y se concluy</w:t>
      </w:r>
      <w:r>
        <w:rPr>
          <w:rFonts w:ascii="Palatino Linotype" w:hAnsi="Palatino Linotype" w:cs="Arial"/>
        </w:rPr>
        <w:t xml:space="preserve">e la acreditación </w:t>
      </w:r>
      <w:r>
        <w:rPr>
          <w:rFonts w:ascii="Palatino Linotype" w:hAnsi="Palatino Linotype"/>
        </w:rPr>
        <w:t>plena</w:t>
      </w:r>
      <w:r>
        <w:rPr>
          <w:rFonts w:ascii="Palatino Linotype" w:hAnsi="Palatino Linotype" w:cs="Arial"/>
        </w:rPr>
        <w:t xml:space="preserve"> de todos y cada uno de los elementos formales exigidos por el artículo 180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Municipios, en atención a que fue presentado mediante el formato visible </w:t>
      </w:r>
      <w:r>
        <w:rPr>
          <w:rFonts w:ascii="Palatino Linotype" w:hAnsi="Palatino Linotype"/>
        </w:rPr>
        <w:t xml:space="preserve">en </w:t>
      </w:r>
      <w:r>
        <w:rPr>
          <w:rFonts w:ascii="Palatino Linotype" w:hAnsi="Palatino Linotype"/>
          <w:b/>
        </w:rPr>
        <w:t>EL SAIMEX.</w:t>
      </w:r>
    </w:p>
    <w:p w:rsidR="003B5DE8" w:rsidRDefault="003B5DE8">
      <w:pPr>
        <w:pStyle w:val="Prrafodelista"/>
        <w:widowControl w:val="0"/>
        <w:tabs>
          <w:tab w:val="left" w:pos="1701"/>
          <w:tab w:val="left" w:pos="1843"/>
        </w:tabs>
        <w:spacing w:line="360" w:lineRule="auto"/>
        <w:ind w:left="0"/>
        <w:jc w:val="both"/>
        <w:rPr>
          <w:rFonts w:ascii="Palatino Linotype" w:hAnsi="Palatino Linotype" w:cs="Arial"/>
        </w:rPr>
      </w:pPr>
    </w:p>
    <w:p w:rsidR="003B5DE8" w:rsidRDefault="00182D9F">
      <w:pPr>
        <w:pStyle w:val="Prrafodelista"/>
        <w:numPr>
          <w:ilvl w:val="0"/>
          <w:numId w:val="2"/>
        </w:numPr>
        <w:spacing w:line="360" w:lineRule="auto"/>
        <w:ind w:left="0" w:firstLine="0"/>
        <w:contextualSpacing/>
        <w:jc w:val="both"/>
        <w:rPr>
          <w:rFonts w:ascii="Palatino Linotype" w:hAnsi="Palatino Linotype"/>
        </w:rPr>
      </w:pPr>
      <w:r>
        <w:rPr>
          <w:rFonts w:ascii="Palatino Linotype" w:hAnsi="Palatino Linotype" w:cs="Arial"/>
          <w:b/>
        </w:rPr>
        <w:t>Estudio y resolución del recurso</w:t>
      </w:r>
      <w:r>
        <w:rPr>
          <w:rFonts w:ascii="Palatino Linotype" w:hAnsi="Palatino Linotype" w:cs="Arial"/>
          <w:b/>
          <w:color w:val="000000" w:themeColor="text1"/>
        </w:rPr>
        <w:t xml:space="preserve">. </w:t>
      </w: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w:t>
      </w:r>
      <w:r>
        <w:rPr>
          <w:rFonts w:ascii="Palatino Linotype" w:hAnsi="Palatino Linotype" w:cs="Arial"/>
        </w:rPr>
        <w:lastRenderedPageBreak/>
        <w:t xml:space="preserve">da origen,  </w:t>
      </w:r>
      <w:r>
        <w:rPr>
          <w:rFonts w:ascii="Palatino Linotype" w:eastAsia="Arial Unicode MS" w:hAnsi="Palatino Linotype" w:cs="Arial"/>
        </w:rPr>
        <w:t>se advierte que es procedente, toda vez que se actualiza la hipótesis prevista en la fracción VIII, del artículo 179 de la Ley de la materia, que a la letra dice:</w:t>
      </w:r>
    </w:p>
    <w:p w:rsidR="003B5DE8" w:rsidRDefault="003B5DE8">
      <w:pPr>
        <w:pStyle w:val="Prrafodelista"/>
        <w:widowControl w:val="0"/>
        <w:spacing w:line="360" w:lineRule="auto"/>
        <w:ind w:left="0"/>
        <w:jc w:val="both"/>
        <w:rPr>
          <w:rFonts w:ascii="Palatino Linotype" w:eastAsia="Arial Unicode MS" w:hAnsi="Palatino Linotype" w:cs="Arial"/>
        </w:rPr>
      </w:pPr>
    </w:p>
    <w:p w:rsidR="003B5DE8" w:rsidRDefault="00182D9F">
      <w:pPr>
        <w:widowControl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179</w:t>
      </w:r>
      <w:r>
        <w:rPr>
          <w:rFonts w:ascii="Palatino Linotype" w:eastAsia="Arial Unicode MS" w:hAnsi="Palatino Linotype" w:cs="Arial"/>
          <w:i/>
          <w:sz w:val="22"/>
        </w:rPr>
        <w:t>. El</w:t>
      </w:r>
      <w:r>
        <w:rPr>
          <w:rFonts w:ascii="Palatino Linotype" w:eastAsia="Arial Unicode MS" w:hAnsi="Palatino Linotype" w:cs="Arial"/>
          <w:i/>
          <w:sz w:val="22"/>
        </w:rPr>
        <w:t xml:space="preserve"> recurso de revisión es un medio de protección que la Ley otorga a los particulares, para hacer valer su derecho de acceso a la información pública, y procederá en contra de las siguientes causas:</w:t>
      </w:r>
    </w:p>
    <w:p w:rsidR="003B5DE8" w:rsidRDefault="003B5DE8">
      <w:pPr>
        <w:widowControl w:val="0"/>
        <w:ind w:left="709" w:right="757"/>
        <w:jc w:val="both"/>
        <w:rPr>
          <w:rFonts w:ascii="Palatino Linotype" w:eastAsia="Arial Unicode MS" w:hAnsi="Palatino Linotype" w:cs="Arial"/>
          <w:i/>
          <w:sz w:val="22"/>
        </w:rPr>
      </w:pPr>
    </w:p>
    <w:p w:rsidR="003B5DE8" w:rsidRDefault="00182D9F">
      <w:pPr>
        <w:widowControl w:val="0"/>
        <w:ind w:left="709" w:right="757"/>
        <w:jc w:val="both"/>
        <w:rPr>
          <w:rFonts w:ascii="Palatino Linotype" w:eastAsia="Arial Unicode MS" w:hAnsi="Palatino Linotype" w:cs="Arial"/>
          <w:b/>
          <w:i/>
          <w:sz w:val="22"/>
          <w:u w:val="single"/>
        </w:rPr>
      </w:pPr>
      <w:r>
        <w:rPr>
          <w:rFonts w:ascii="Palatino Linotype" w:eastAsia="Arial Unicode MS" w:hAnsi="Palatino Linotype" w:cs="Arial"/>
          <w:b/>
          <w:bCs/>
          <w:i/>
          <w:sz w:val="22"/>
          <w:u w:val="single"/>
        </w:rPr>
        <w:t>VIII. La notificación, entrega o puesta a disposición de i</w:t>
      </w:r>
      <w:r>
        <w:rPr>
          <w:rFonts w:ascii="Palatino Linotype" w:eastAsia="Arial Unicode MS" w:hAnsi="Palatino Linotype" w:cs="Arial"/>
          <w:b/>
          <w:bCs/>
          <w:i/>
          <w:sz w:val="22"/>
          <w:u w:val="single"/>
        </w:rPr>
        <w:t>nformación en una modalidad o formato distinto al solicitado</w:t>
      </w:r>
      <w:r>
        <w:rPr>
          <w:rFonts w:ascii="Palatino Linotype" w:eastAsia="Arial Unicode MS" w:hAnsi="Palatino Linotype" w:cs="Arial"/>
          <w:b/>
          <w:i/>
          <w:sz w:val="22"/>
          <w:u w:val="single"/>
        </w:rPr>
        <w:t>;</w:t>
      </w:r>
    </w:p>
    <w:p w:rsidR="003B5DE8" w:rsidRDefault="003B5DE8">
      <w:pPr>
        <w:widowControl w:val="0"/>
        <w:spacing w:line="360" w:lineRule="auto"/>
        <w:ind w:left="709" w:right="757"/>
        <w:jc w:val="both"/>
        <w:rPr>
          <w:rFonts w:ascii="Palatino Linotype" w:eastAsia="Arial Unicode MS" w:hAnsi="Palatino Linotype" w:cs="Arial"/>
          <w:i/>
        </w:rPr>
      </w:pPr>
    </w:p>
    <w:p w:rsidR="003B5DE8" w:rsidRDefault="00182D9F">
      <w:pPr>
        <w:widowControl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El precepto legal citado establece como supuesto de procedencia del recurso de revisión, cuando la inconformidad del particular recae en señalar que la puesta a disposición de la documentación </w:t>
      </w:r>
      <w:r>
        <w:rPr>
          <w:rFonts w:ascii="Palatino Linotype" w:eastAsia="Arial Unicode MS" w:hAnsi="Palatino Linotype" w:cs="Arial"/>
        </w:rPr>
        <w:t>requerida se difiere de la señalada por el solicitante.</w:t>
      </w:r>
    </w:p>
    <w:p w:rsidR="003B5DE8" w:rsidRDefault="003B5DE8">
      <w:pPr>
        <w:widowControl w:val="0"/>
        <w:spacing w:line="360" w:lineRule="auto"/>
        <w:jc w:val="both"/>
        <w:rPr>
          <w:rFonts w:ascii="Palatino Linotype" w:eastAsia="Arial Unicode MS" w:hAnsi="Palatino Linotype" w:cs="Arial"/>
        </w:rPr>
      </w:pPr>
    </w:p>
    <w:p w:rsidR="003B5DE8" w:rsidRDefault="00182D9F">
      <w:pPr>
        <w:widowControl w:val="0"/>
        <w:spacing w:line="360" w:lineRule="auto"/>
        <w:jc w:val="both"/>
        <w:rPr>
          <w:rFonts w:ascii="Palatino Linotype" w:hAnsi="Palatino Linotype"/>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w:t>
      </w:r>
      <w:r>
        <w:rPr>
          <w:rFonts w:ascii="Palatino Linotype" w:hAnsi="Palatino Linotype" w:cs="Arial"/>
        </w:rPr>
        <w:t xml:space="preserve">ecordar que </w:t>
      </w:r>
      <w:r>
        <w:rPr>
          <w:rFonts w:ascii="Palatino Linotype" w:hAnsi="Palatino Linotype" w:cs="Arial"/>
          <w:b/>
        </w:rPr>
        <w:t xml:space="preserve">EL RECURRENTE </w:t>
      </w:r>
      <w:r>
        <w:rPr>
          <w:rFonts w:ascii="Palatino Linotype" w:hAnsi="Palatino Linotype"/>
        </w:rPr>
        <w:t xml:space="preserve">solicitó al </w:t>
      </w:r>
      <w:r>
        <w:rPr>
          <w:rFonts w:ascii="Palatino Linotype" w:hAnsi="Palatino Linotype"/>
          <w:b/>
        </w:rPr>
        <w:t xml:space="preserve">SUJETO OBLIGADO </w:t>
      </w:r>
      <w:r>
        <w:rPr>
          <w:rFonts w:ascii="Palatino Linotype" w:hAnsi="Palatino Linotype"/>
        </w:rPr>
        <w:t xml:space="preserve">las presentaciones en formato PowerPoint utilizadas por los titulares de las Áreas que integran al Instituto en seminarios, platicas, cursos, talleres, congresos, entre otros; en materia de corrupción, </w:t>
      </w:r>
      <w:r>
        <w:rPr>
          <w:rFonts w:ascii="Palatino Linotype" w:hAnsi="Palatino Linotype"/>
        </w:rPr>
        <w:t xml:space="preserve">denuncias, Sistema Nacional y Local Anticorrupción, contraloría social y responsabilidades de los servidores públicos, integridad, ética de los servidores públicos, transparencia, derecho de acceso a la información, protección de datos </w:t>
      </w:r>
      <w:r>
        <w:rPr>
          <w:rFonts w:ascii="Palatino Linotype" w:hAnsi="Palatino Linotype"/>
        </w:rPr>
        <w:lastRenderedPageBreak/>
        <w:t>personales y archivo</w:t>
      </w:r>
      <w:r>
        <w:rPr>
          <w:rFonts w:ascii="Palatino Linotype" w:hAnsi="Palatino Linotype"/>
        </w:rPr>
        <w:t>s.</w:t>
      </w:r>
    </w:p>
    <w:p w:rsidR="003B5DE8" w:rsidRDefault="003B5DE8">
      <w:pPr>
        <w:widowControl w:val="0"/>
        <w:spacing w:line="360" w:lineRule="auto"/>
        <w:jc w:val="both"/>
        <w:rPr>
          <w:rFonts w:ascii="Palatino Linotype" w:hAnsi="Palatino Linotype"/>
        </w:rPr>
      </w:pPr>
    </w:p>
    <w:p w:rsidR="003B5DE8" w:rsidRDefault="00182D9F">
      <w:pPr>
        <w:spacing w:line="360" w:lineRule="auto"/>
        <w:jc w:val="both"/>
        <w:rPr>
          <w:rFonts w:ascii="Palatino Linotype" w:hAnsi="Palatino Linotype" w:cs="Arial"/>
        </w:rPr>
      </w:pPr>
      <w:r>
        <w:rPr>
          <w:rFonts w:ascii="Palatino Linotype" w:hAnsi="Palatino Linotype" w:cs="Arial"/>
        </w:rPr>
        <w:t xml:space="preserve">Precisado lo anterior, y en respuesta a la referida solicitud, </w:t>
      </w:r>
      <w:r>
        <w:rPr>
          <w:rFonts w:ascii="Palatino Linotype" w:hAnsi="Palatino Linotype" w:cs="Arial"/>
          <w:b/>
        </w:rPr>
        <w:t>EL SUJETO OBLIGADO</w:t>
      </w:r>
      <w:r>
        <w:rPr>
          <w:rFonts w:ascii="Palatino Linotype" w:hAnsi="Palatino Linotype" w:cs="Arial"/>
        </w:rPr>
        <w:t xml:space="preserve"> como fue establecido en el resultando III, a través de la Titular de la Unidad de Transparencia informó al particular de la determinación del Comité de Transparencia de e</w:t>
      </w:r>
      <w:r>
        <w:rPr>
          <w:rFonts w:ascii="Palatino Linotype" w:hAnsi="Palatino Linotype" w:cs="Arial"/>
        </w:rPr>
        <w:t xml:space="preserve">ste Instituto, en el que se resolvió cambiar la modalidad de entrega de la información a </w:t>
      </w:r>
      <w:r>
        <w:rPr>
          <w:rFonts w:ascii="Palatino Linotype" w:hAnsi="Palatino Linotype" w:cs="Arial"/>
          <w:i/>
        </w:rPr>
        <w:t xml:space="preserve">Consulta Directa </w:t>
      </w:r>
      <w:r>
        <w:rPr>
          <w:rFonts w:ascii="Palatino Linotype" w:hAnsi="Palatino Linotype" w:cs="Arial"/>
        </w:rPr>
        <w:t>en virtud de que la los documentos exceden la capacidad técnica del SAIMEX.</w:t>
      </w:r>
    </w:p>
    <w:p w:rsidR="003B5DE8" w:rsidRDefault="003B5DE8">
      <w:pPr>
        <w:spacing w:line="360" w:lineRule="auto"/>
        <w:jc w:val="both"/>
        <w:rPr>
          <w:rFonts w:ascii="Palatino Linotype" w:hAnsi="Palatino Linotype" w:cs="Arial"/>
        </w:rPr>
      </w:pPr>
    </w:p>
    <w:p w:rsidR="003B5DE8" w:rsidRDefault="00182D9F">
      <w:pPr>
        <w:widowControl w:val="0"/>
        <w:spacing w:line="360" w:lineRule="auto"/>
        <w:jc w:val="both"/>
        <w:rPr>
          <w:rFonts w:ascii="Palatino Linotype" w:hAnsi="Palatino Linotype"/>
          <w:lang w:eastAsia="es-MX"/>
        </w:rPr>
      </w:pPr>
      <w:r>
        <w:rPr>
          <w:rFonts w:ascii="Palatino Linotype" w:hAnsi="Palatino Linotype" w:cs="Arial"/>
        </w:rPr>
        <w:t>Inconforme con dicha respuesta,</w:t>
      </w:r>
      <w:r>
        <w:rPr>
          <w:rFonts w:ascii="Palatino Linotype" w:hAnsi="Palatino Linotype" w:cs="Arial"/>
          <w:b/>
        </w:rPr>
        <w:t xml:space="preserve"> EL RECURRENTE</w:t>
      </w:r>
      <w:r>
        <w:rPr>
          <w:rFonts w:ascii="Palatino Linotype" w:hAnsi="Palatino Linotype" w:cs="Arial"/>
        </w:rPr>
        <w:t xml:space="preserve"> procedió a interponer el pr</w:t>
      </w:r>
      <w:r>
        <w:rPr>
          <w:rFonts w:ascii="Palatino Linotype" w:hAnsi="Palatino Linotype" w:cs="Arial"/>
        </w:rPr>
        <w:t>esente recurso de revisión, adoleciéndose precisamente del cambio de modalidad.</w:t>
      </w:r>
    </w:p>
    <w:p w:rsidR="003B5DE8" w:rsidRDefault="003B5DE8">
      <w:pPr>
        <w:tabs>
          <w:tab w:val="left" w:pos="9214"/>
        </w:tabs>
        <w:spacing w:line="360" w:lineRule="auto"/>
        <w:ind w:left="708" w:right="709"/>
        <w:jc w:val="both"/>
        <w:rPr>
          <w:rFonts w:ascii="Palatino Linotype" w:hAnsi="Palatino Linotype"/>
          <w:lang w:eastAsia="es-MX"/>
        </w:rPr>
      </w:pPr>
    </w:p>
    <w:p w:rsidR="003B5DE8" w:rsidRDefault="00182D9F">
      <w:pPr>
        <w:spacing w:line="360" w:lineRule="auto"/>
        <w:jc w:val="both"/>
        <w:rPr>
          <w:rFonts w:ascii="Palatino Linotype" w:hAnsi="Palatino Linotype" w:cs="Arial"/>
          <w:lang w:eastAsia="es-MX"/>
        </w:rPr>
      </w:pPr>
      <w:r>
        <w:rPr>
          <w:rFonts w:ascii="Palatino Linotype" w:hAnsi="Palatino Linotype" w:cs="Arial"/>
          <w:lang w:eastAsia="es-MX"/>
        </w:rPr>
        <w:t xml:space="preserve">Entonces, se advierte que </w:t>
      </w:r>
      <w:r>
        <w:rPr>
          <w:rFonts w:ascii="Palatino Linotype" w:hAnsi="Palatino Linotype" w:cs="Arial"/>
          <w:b/>
          <w:lang w:eastAsia="es-MX"/>
        </w:rPr>
        <w:t>EL RECURRENTE</w:t>
      </w:r>
      <w:r>
        <w:rPr>
          <w:rFonts w:ascii="Palatino Linotype" w:hAnsi="Palatino Linotype" w:cs="Arial"/>
          <w:lang w:eastAsia="es-MX"/>
        </w:rPr>
        <w:t xml:space="preserve"> al haber manifestado en la interposición del recurso no encontrarse conforme con la respuesta, esta Ponencia considera conveniente entr</w:t>
      </w:r>
      <w:r>
        <w:rPr>
          <w:rFonts w:ascii="Palatino Linotype" w:hAnsi="Palatino Linotype" w:cs="Arial"/>
          <w:lang w:eastAsia="es-MX"/>
        </w:rPr>
        <w:t xml:space="preserve">ar al estudio de lo solicitado, a fin de verificar si la proporcionada por parte del </w:t>
      </w:r>
      <w:r>
        <w:rPr>
          <w:rFonts w:ascii="Palatino Linotype" w:hAnsi="Palatino Linotype" w:cs="Arial"/>
          <w:b/>
          <w:lang w:eastAsia="es-MX"/>
        </w:rPr>
        <w:t>SUJETO OBLIGADO</w:t>
      </w:r>
      <w:r>
        <w:rPr>
          <w:rFonts w:ascii="Palatino Linotype" w:hAnsi="Palatino Linotype" w:cs="Arial"/>
          <w:lang w:eastAsia="es-MX"/>
        </w:rPr>
        <w:t xml:space="preserve"> efectivamente satisfizo o no, el derecho de acceso a la información pública del </w:t>
      </w:r>
      <w:r>
        <w:rPr>
          <w:rFonts w:ascii="Palatino Linotype" w:hAnsi="Palatino Linotype" w:cs="Arial"/>
          <w:b/>
          <w:lang w:eastAsia="es-MX"/>
        </w:rPr>
        <w:t>RECURRENTE</w:t>
      </w:r>
      <w:r>
        <w:rPr>
          <w:rFonts w:ascii="Palatino Linotype" w:hAnsi="Palatino Linotype" w:cs="Arial"/>
          <w:lang w:eastAsia="es-MX"/>
        </w:rPr>
        <w:t>.</w:t>
      </w:r>
    </w:p>
    <w:p w:rsidR="003B5DE8" w:rsidRDefault="003B5DE8">
      <w:pPr>
        <w:spacing w:line="360" w:lineRule="auto"/>
        <w:jc w:val="both"/>
        <w:rPr>
          <w:rFonts w:ascii="Palatino Linotype" w:hAnsi="Palatino Linotype" w:cs="Arial"/>
          <w:lang w:eastAsia="es-MX"/>
        </w:rPr>
      </w:pPr>
    </w:p>
    <w:p w:rsidR="003B5DE8" w:rsidRDefault="00182D9F">
      <w:pPr>
        <w:spacing w:line="360" w:lineRule="auto"/>
        <w:jc w:val="both"/>
        <w:rPr>
          <w:rFonts w:ascii="Palatino Linotype" w:hAnsi="Palatino Linotype"/>
        </w:rPr>
      </w:pPr>
      <w:r>
        <w:rPr>
          <w:rFonts w:ascii="Palatino Linotype" w:hAnsi="Palatino Linotype" w:cs="Arial"/>
        </w:rPr>
        <w:t>Establecido lo anterior, esta Ponencia Resolutora advierte que</w:t>
      </w:r>
      <w:r>
        <w:rPr>
          <w:rFonts w:ascii="Palatino Linotype" w:hAnsi="Palatino Linotype" w:cs="Arial"/>
        </w:rPr>
        <w:t xml:space="preserve"> </w:t>
      </w:r>
      <w:r>
        <w:rPr>
          <w:rFonts w:ascii="Palatino Linotype" w:hAnsi="Palatino Linotype"/>
        </w:rPr>
        <w:t xml:space="preserve">resultan </w:t>
      </w:r>
      <w:r>
        <w:rPr>
          <w:rFonts w:ascii="Palatino Linotype" w:hAnsi="Palatino Linotype"/>
          <w:b/>
        </w:rPr>
        <w:t xml:space="preserve">infundadas </w:t>
      </w:r>
      <w:r>
        <w:rPr>
          <w:rFonts w:ascii="Palatino Linotype" w:hAnsi="Palatino Linotype" w:cs="Arial"/>
        </w:rPr>
        <w:t xml:space="preserve">las </w:t>
      </w:r>
      <w:r>
        <w:rPr>
          <w:rFonts w:ascii="Palatino Linotype" w:hAnsi="Palatino Linotype"/>
        </w:rPr>
        <w:t>razones</w:t>
      </w:r>
      <w:r>
        <w:rPr>
          <w:rFonts w:ascii="Palatino Linotype" w:hAnsi="Palatino Linotype" w:cs="Arial"/>
        </w:rPr>
        <w:t xml:space="preserve"> o motivos de </w:t>
      </w:r>
      <w:r>
        <w:rPr>
          <w:rFonts w:ascii="Palatino Linotype" w:hAnsi="Palatino Linotype"/>
        </w:rPr>
        <w:t xml:space="preserve">inconformidad expuestas por </w:t>
      </w:r>
      <w:r>
        <w:rPr>
          <w:rFonts w:ascii="Palatino Linotype" w:hAnsi="Palatino Linotype" w:cs="Arial"/>
          <w:b/>
        </w:rPr>
        <w:t>EL RECURRENTE</w:t>
      </w:r>
      <w:r>
        <w:rPr>
          <w:rFonts w:ascii="Palatino Linotype" w:hAnsi="Palatino Linotype"/>
        </w:rPr>
        <w:t>, de conformidad con los argumentos que a continuación se exponen.</w:t>
      </w:r>
    </w:p>
    <w:p w:rsidR="003B5DE8" w:rsidRDefault="003B5DE8">
      <w:pPr>
        <w:spacing w:line="360" w:lineRule="auto"/>
        <w:jc w:val="both"/>
        <w:rPr>
          <w:rFonts w:ascii="Palatino Linotype" w:hAnsi="Palatino Linotype"/>
        </w:rPr>
      </w:pPr>
    </w:p>
    <w:p w:rsidR="003B5DE8" w:rsidRDefault="00182D9F">
      <w:pPr>
        <w:spacing w:line="360" w:lineRule="auto"/>
        <w:jc w:val="both"/>
        <w:rPr>
          <w:rFonts w:ascii="Palatino Linotype" w:hAnsi="Palatino Linotype"/>
        </w:rPr>
      </w:pPr>
      <w:r>
        <w:rPr>
          <w:rFonts w:ascii="Palatino Linotype" w:hAnsi="Palatino Linotype" w:cs="Arial"/>
        </w:rPr>
        <w:lastRenderedPageBreak/>
        <w:t>Precisado ello,</w:t>
      </w:r>
      <w:r>
        <w:rPr>
          <w:rFonts w:ascii="Palatino Linotype" w:hAnsi="Palatino Linotype"/>
        </w:rPr>
        <w:t xml:space="preserve"> se obvia el análisis de la competencia por parte del </w:t>
      </w:r>
      <w:r>
        <w:rPr>
          <w:rFonts w:ascii="Palatino Linotype" w:hAnsi="Palatino Linotype"/>
          <w:b/>
        </w:rPr>
        <w:t>SUJETO OBLIGADO</w:t>
      </w:r>
      <w:r>
        <w:rPr>
          <w:rFonts w:ascii="Palatino Linotype" w:hAnsi="Palatino Linotype"/>
        </w:rPr>
        <w:t>, para generar, a</w:t>
      </w:r>
      <w:r>
        <w:rPr>
          <w:rFonts w:ascii="Palatino Linotype" w:hAnsi="Palatino Linotype"/>
        </w:rPr>
        <w:t xml:space="preserve">dministrar o poseer la información solicitada en el recurso que nos ocupa, dado que éste ha asumido contar con la misma, en razón de que en su respuesta, éste </w:t>
      </w:r>
      <w:r>
        <w:rPr>
          <w:rFonts w:ascii="Palatino Linotype" w:hAnsi="Palatino Linotype" w:cs="Arial"/>
          <w:color w:val="000000"/>
        </w:rPr>
        <w:t>se pronunció ante los requerimientos del ciudadano argumentando que la documentación requerida as</w:t>
      </w:r>
      <w:r>
        <w:rPr>
          <w:rFonts w:ascii="Palatino Linotype" w:hAnsi="Palatino Linotype" w:cs="Arial"/>
          <w:color w:val="000000"/>
        </w:rPr>
        <w:t>cendía a una capacidad de 1.07 GB aunado a que proporcionó la misma en formato PDF</w:t>
      </w:r>
      <w:r>
        <w:rPr>
          <w:rFonts w:ascii="Palatino Linotype" w:hAnsi="Palatino Linotype"/>
        </w:rPr>
        <w:t xml:space="preserve">, asumiendo contar con la información a la que pretende acceder </w:t>
      </w:r>
      <w:r>
        <w:rPr>
          <w:rFonts w:ascii="Palatino Linotype" w:hAnsi="Palatino Linotype" w:cs="Arial"/>
          <w:b/>
        </w:rPr>
        <w:t>EL RECURRENTE</w:t>
      </w:r>
      <w:r>
        <w:rPr>
          <w:rFonts w:ascii="Palatino Linotype" w:hAnsi="Palatino Linotype"/>
        </w:rPr>
        <w:t>.</w:t>
      </w:r>
    </w:p>
    <w:p w:rsidR="003B5DE8" w:rsidRDefault="003B5DE8">
      <w:pPr>
        <w:spacing w:line="360" w:lineRule="auto"/>
        <w:jc w:val="both"/>
        <w:rPr>
          <w:rFonts w:ascii="Palatino Linotype" w:hAnsi="Palatino Linotype"/>
        </w:rPr>
      </w:pPr>
    </w:p>
    <w:p w:rsidR="003B5DE8" w:rsidRDefault="00182D9F">
      <w:pPr>
        <w:spacing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contar con la información pública s</w:t>
      </w:r>
      <w:r>
        <w:rPr>
          <w:rFonts w:ascii="Palatino Linotype" w:hAnsi="Palatino Linotype"/>
        </w:rPr>
        <w:t>olicitada en el recurso que nos ocupa, acepta que la genera, posee y administra, en ejercicio de sus funciones de derecho público, motivo por el cual se actualiza el supuesto jurídico, previsto en el artículo 12 de la Ley de Transparencia y Acceso a la Inf</w:t>
      </w:r>
      <w:r>
        <w:rPr>
          <w:rFonts w:ascii="Palatino Linotype" w:hAnsi="Palatino Linotype"/>
        </w:rPr>
        <w:t>ormación Pública del Estado de México y Municipios, que literalmente establece:</w:t>
      </w:r>
    </w:p>
    <w:p w:rsidR="003B5DE8" w:rsidRDefault="003B5DE8">
      <w:pPr>
        <w:spacing w:line="360" w:lineRule="auto"/>
        <w:jc w:val="both"/>
        <w:rPr>
          <w:rFonts w:ascii="Palatino Linotype" w:hAnsi="Palatino Linotype"/>
        </w:rPr>
      </w:pPr>
    </w:p>
    <w:p w:rsidR="003B5DE8" w:rsidRDefault="00182D9F">
      <w:pPr>
        <w:ind w:left="851" w:right="899"/>
        <w:jc w:val="both"/>
        <w:rPr>
          <w:rFonts w:ascii="Palatino Linotype" w:hAnsi="Palatino Linotype"/>
          <w:i/>
          <w:sz w:val="22"/>
          <w:szCs w:val="22"/>
        </w:rPr>
      </w:pPr>
      <w:r>
        <w:rPr>
          <w:rFonts w:ascii="Palatino Linotype" w:hAnsi="Palatino Linotype"/>
          <w:b/>
          <w:i/>
          <w:sz w:val="22"/>
          <w:szCs w:val="22"/>
        </w:rPr>
        <w:t>“Artículo 12</w:t>
      </w:r>
      <w:r>
        <w:rPr>
          <w:rFonts w:ascii="Palatino Linotype" w:hAnsi="Palatino Linotype"/>
          <w:i/>
          <w:sz w:val="22"/>
          <w:szCs w:val="22"/>
        </w:rPr>
        <w:t xml:space="preserve">. Quienes generen, recopilen, administren, manejen, procesen, archiven o conserven información pública serán responsables de la misma en los términos de las </w:t>
      </w:r>
      <w:r>
        <w:rPr>
          <w:rFonts w:ascii="Palatino Linotype" w:hAnsi="Palatino Linotype"/>
          <w:i/>
          <w:sz w:val="22"/>
          <w:szCs w:val="22"/>
        </w:rPr>
        <w:t>disposiciones jurídicas aplicables.</w:t>
      </w:r>
    </w:p>
    <w:p w:rsidR="003B5DE8" w:rsidRDefault="003B5DE8">
      <w:pPr>
        <w:ind w:left="851" w:right="899"/>
        <w:jc w:val="both"/>
        <w:rPr>
          <w:rFonts w:ascii="Palatino Linotype" w:hAnsi="Palatino Linotype"/>
          <w:i/>
          <w:sz w:val="22"/>
          <w:szCs w:val="22"/>
        </w:rPr>
      </w:pPr>
    </w:p>
    <w:p w:rsidR="003B5DE8" w:rsidRDefault="00182D9F">
      <w:pPr>
        <w:ind w:left="851" w:right="899"/>
        <w:jc w:val="both"/>
        <w:rPr>
          <w:rFonts w:ascii="Palatino Linotype" w:hAnsi="Palatino Linotype"/>
          <w:b/>
          <w:i/>
          <w:sz w:val="22"/>
          <w:szCs w:val="22"/>
        </w:rPr>
      </w:pPr>
      <w:r>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w:t>
      </w:r>
      <w:r>
        <w:rPr>
          <w:rFonts w:ascii="Palatino Linotype" w:hAnsi="Palatino Linotype"/>
          <w:i/>
          <w:sz w:val="22"/>
          <w:szCs w:val="22"/>
        </w:rPr>
        <w:t>iento de la misma, ni el presentarla conforme al interés del solicitante; no estarán obligados a generarla, resumirla, efectuar cálculos o practicar investigaciones.</w:t>
      </w:r>
      <w:r>
        <w:rPr>
          <w:rFonts w:ascii="Palatino Linotype" w:hAnsi="Palatino Linotype"/>
          <w:b/>
          <w:i/>
          <w:sz w:val="22"/>
          <w:szCs w:val="22"/>
        </w:rPr>
        <w:t>”</w:t>
      </w:r>
    </w:p>
    <w:p w:rsidR="003B5DE8" w:rsidRDefault="003B5DE8">
      <w:pPr>
        <w:spacing w:line="360" w:lineRule="auto"/>
        <w:ind w:left="851" w:right="899"/>
        <w:jc w:val="both"/>
        <w:rPr>
          <w:rFonts w:ascii="Palatino Linotype" w:hAnsi="Palatino Linotype"/>
          <w:i/>
          <w:sz w:val="22"/>
          <w:szCs w:val="22"/>
        </w:rPr>
      </w:pPr>
    </w:p>
    <w:p w:rsidR="003B5DE8" w:rsidRDefault="00182D9F">
      <w:pPr>
        <w:spacing w:line="360" w:lineRule="auto"/>
        <w:jc w:val="both"/>
        <w:rPr>
          <w:rFonts w:ascii="Palatino Linotype" w:hAnsi="Palatino Linotype"/>
        </w:rPr>
      </w:pPr>
      <w:r>
        <w:rPr>
          <w:rFonts w:ascii="Palatino Linotype" w:hAnsi="Palatino Linotype"/>
        </w:rPr>
        <w:lastRenderedPageBreak/>
        <w:t xml:space="preserve">De hecho,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sin embargo, en aquellos casos en que éste la asume, ello implica que cuenta con dich</w:t>
      </w:r>
      <w:r>
        <w:rPr>
          <w:rFonts w:ascii="Palatino Linotype" w:hAnsi="Palatino Linotype"/>
        </w:rPr>
        <w:t>a información; por consiguiente, a nada práctico nos conduciría su estudio, ya que se insiste, ésta fue asumida por el mismo, lo que implica que genera, posee y administra, en ejercicio de sus funciones de derecho público, motivo por el cual se actualiza e</w:t>
      </w:r>
      <w:r>
        <w:rPr>
          <w:rFonts w:ascii="Palatino Linotype" w:hAnsi="Palatino Linotype"/>
        </w:rPr>
        <w:t>l supuesto jurídico, previsto en el artículo 12 de la Ley de la materia, anteriormente referido.</w:t>
      </w:r>
    </w:p>
    <w:p w:rsidR="003B5DE8" w:rsidRDefault="003B5DE8">
      <w:pPr>
        <w:spacing w:line="360" w:lineRule="auto"/>
        <w:jc w:val="both"/>
        <w:rPr>
          <w:rFonts w:ascii="Palatino Linotype" w:hAnsi="Palatino Linotype"/>
        </w:rPr>
      </w:pPr>
    </w:p>
    <w:p w:rsidR="003B5DE8" w:rsidRDefault="00182D9F">
      <w:pPr>
        <w:spacing w:line="360" w:lineRule="auto"/>
        <w:jc w:val="both"/>
        <w:rPr>
          <w:rFonts w:ascii="Palatino Linotype" w:eastAsia="Calibri" w:hAnsi="Palatino Linotype" w:cs="Bookman Old Style,Bold"/>
          <w:bCs/>
          <w:lang w:eastAsia="en-US"/>
        </w:rPr>
      </w:pPr>
      <w:r>
        <w:rPr>
          <w:rFonts w:ascii="Palatino Linotype" w:hAnsi="Palatino Linotype" w:cs="Arial"/>
          <w:lang w:eastAsia="es-MX"/>
        </w:rPr>
        <w:t>En este contexto, resulta conveniente cotejar el requerimiento del entonces solicitante en contraposición con el pronunciamiento del</w:t>
      </w:r>
      <w:r>
        <w:rPr>
          <w:rFonts w:ascii="Palatino Linotype" w:hAnsi="Palatino Linotype" w:cs="Arial"/>
          <w:b/>
          <w:lang w:eastAsia="es-MX"/>
        </w:rPr>
        <w:t xml:space="preserve"> SUJETO OBLIGADO, </w:t>
      </w:r>
      <w:r>
        <w:rPr>
          <w:rFonts w:ascii="Palatino Linotype" w:hAnsi="Palatino Linotype" w:cs="Arial"/>
          <w:lang w:eastAsia="es-MX"/>
        </w:rPr>
        <w:t>a fin de</w:t>
      </w:r>
      <w:r>
        <w:rPr>
          <w:rFonts w:ascii="Palatino Linotype" w:hAnsi="Palatino Linotype" w:cs="Arial"/>
          <w:lang w:eastAsia="es-MX"/>
        </w:rPr>
        <w:t xml:space="preserve"> verificar </w:t>
      </w:r>
      <w:r>
        <w:rPr>
          <w:rFonts w:ascii="Palatino Linotype" w:eastAsia="Calibri" w:hAnsi="Palatino Linotype" w:cs="Bookman Old Style,Bold"/>
          <w:bCs/>
          <w:lang w:eastAsia="en-US"/>
        </w:rPr>
        <w:t xml:space="preserve">en el presente caso si el cambio de modalidad para la entrega de la información efectuado por </w:t>
      </w:r>
      <w:r>
        <w:rPr>
          <w:rFonts w:ascii="Palatino Linotype" w:eastAsia="Calibri" w:hAnsi="Palatino Linotype" w:cs="Bookman Old Style,Bold"/>
          <w:b/>
          <w:bCs/>
          <w:lang w:eastAsia="en-US"/>
        </w:rPr>
        <w:t>EL SUJETO OBLIGADO</w:t>
      </w:r>
      <w:r>
        <w:rPr>
          <w:rFonts w:ascii="Palatino Linotype" w:eastAsia="Calibri" w:hAnsi="Palatino Linotype" w:cs="Bookman Old Style,Bold"/>
          <w:bCs/>
          <w:lang w:eastAsia="en-US"/>
        </w:rPr>
        <w:t>, se encuentra ajustado a derecho.</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Así, atendiendo a lo dispuesto por los Lineamientos para la Recepción, Trámite y Resolución de la</w:t>
      </w:r>
      <w:r>
        <w:rPr>
          <w:rFonts w:ascii="Palatino Linotype" w:eastAsia="Calibri" w:hAnsi="Palatino Linotype" w:cs="Bookman Old Style,Bold"/>
          <w:bCs/>
          <w:lang w:eastAsia="en-US"/>
        </w:rPr>
        <w:t xml:space="preserve">s Solicitudes de Acceso a la Información, así como de los Recursos de Revisión que deberán observar los Sujetos Obligados por la Ley de Transparencia y Acceso a la Información Pública del Estado de México y Municipios, publicados en la Gaceta del Gobierno </w:t>
      </w:r>
      <w:r>
        <w:rPr>
          <w:rFonts w:ascii="Palatino Linotype" w:eastAsia="Calibri" w:hAnsi="Palatino Linotype" w:cs="Bookman Old Style,Bold"/>
          <w:bCs/>
          <w:lang w:eastAsia="en-US"/>
        </w:rPr>
        <w:t>del Estado de México el treinta de octubre de dos mil ocho, que literalmente disponen:</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ind w:left="709" w:right="757"/>
        <w:jc w:val="both"/>
        <w:rPr>
          <w:rFonts w:ascii="Palatino Linotype" w:eastAsia="Calibri" w:hAnsi="Palatino Linotype" w:cs="Bookman Old Style,Bold"/>
          <w:b/>
          <w:bCs/>
          <w:i/>
          <w:sz w:val="22"/>
          <w:lang w:eastAsia="en-US"/>
        </w:rPr>
      </w:pPr>
      <w:r>
        <w:rPr>
          <w:rFonts w:ascii="Palatino Linotype" w:eastAsia="Calibri" w:hAnsi="Palatino Linotype" w:cs="Bookman Old Style,Bold"/>
          <w:bCs/>
          <w:i/>
          <w:sz w:val="22"/>
          <w:lang w:eastAsia="en-US"/>
        </w:rPr>
        <w:lastRenderedPageBreak/>
        <w:t>“</w:t>
      </w:r>
      <w:r>
        <w:rPr>
          <w:rFonts w:ascii="Palatino Linotype" w:eastAsia="Calibri" w:hAnsi="Palatino Linotype" w:cs="Bookman Old Style,Bold"/>
          <w:b/>
          <w:bCs/>
          <w:i/>
          <w:sz w:val="22"/>
          <w:lang w:eastAsia="en-US"/>
        </w:rPr>
        <w:t>CINCUENTA Y CUATRO</w:t>
      </w:r>
      <w:r>
        <w:rPr>
          <w:rFonts w:ascii="Palatino Linotype" w:eastAsia="Calibri" w:hAnsi="Palatino Linotype" w:cs="Bookman Old Style,Bold"/>
          <w:bCs/>
          <w:i/>
          <w:sz w:val="22"/>
          <w:lang w:eastAsia="en-US"/>
        </w:rPr>
        <w:t xml:space="preserve">.- De acuerdo a lo dispuesto por el párrafo segundo del artículo 48 de la Ley, </w:t>
      </w:r>
      <w:r>
        <w:rPr>
          <w:rFonts w:ascii="Palatino Linotype" w:eastAsia="Calibri" w:hAnsi="Palatino Linotype" w:cs="Bookman Old Style,Bold"/>
          <w:b/>
          <w:bCs/>
          <w:i/>
          <w:sz w:val="22"/>
          <w:lang w:eastAsia="en-US"/>
        </w:rPr>
        <w:t xml:space="preserve">la información podrá ser entregada vía electrónica a través del SICOSIEM. </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
          <w:bCs/>
          <w:i/>
          <w:sz w:val="22"/>
          <w:lang w:eastAsia="en-US"/>
        </w:rPr>
      </w:pPr>
      <w:r>
        <w:rPr>
          <w:rFonts w:ascii="Palatino Linotype" w:eastAsia="Calibri" w:hAnsi="Palatino Linotype" w:cs="Bookman Old Style,Bold"/>
          <w:b/>
          <w:bCs/>
          <w:i/>
          <w:sz w:val="22"/>
          <w:lang w:eastAsia="en-US"/>
        </w:rPr>
        <w:t>Es obligación del responsable de la Unidad de Información verificar que los archivos electrónicos que contengan la información entregada, se encuentra agregada al SICOSIEM.</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En cas</w:t>
      </w:r>
      <w:r>
        <w:rPr>
          <w:rFonts w:ascii="Palatino Linotype" w:eastAsia="Calibri" w:hAnsi="Palatino Linotype" w:cs="Bookman Old Style,Bold"/>
          <w:bCs/>
          <w:i/>
          <w:sz w:val="22"/>
          <w:lang w:eastAsia="en-US"/>
        </w:rPr>
        <w:t>o de que el responsable de la Unidad de Información no pueda agregar al SICOSIEM los archivos electrónicos que contengan la información por motivos técnicos, debe avisar de inmediato al Instituto, a través del correo electrónico institucional, además de co</w:t>
      </w:r>
      <w:r>
        <w:rPr>
          <w:rFonts w:ascii="Palatino Linotype" w:eastAsia="Calibri" w:hAnsi="Palatino Linotype" w:cs="Bookman Old Style,Bold"/>
          <w:bCs/>
          <w:i/>
          <w:sz w:val="22"/>
          <w:lang w:eastAsia="en-US"/>
        </w:rPr>
        <w:t>municarse vía telefónica de inmediato a efecto de que reciba el apoyo técnico correspondiente.</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La Dirección de Sistemas e Informática del Instituto, debe llevar un registro de incidencias en el cual se asienten todas las llamadas referentes al apoyo técni</w:t>
      </w:r>
      <w:r>
        <w:rPr>
          <w:rFonts w:ascii="Palatino Linotype" w:eastAsia="Calibri" w:hAnsi="Palatino Linotype" w:cs="Bookman Old Style,Bold"/>
          <w:bCs/>
          <w:i/>
          <w:sz w:val="22"/>
          <w:lang w:eastAsia="en-US"/>
        </w:rPr>
        <w:t>co para agregar los archivos electrónicos al SICOSIEM.</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La omisión por parte del responsable de la Unidad de Información del procedimiento antes descrito presume la negativa de la entrega de la Información. </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
          <w:bCs/>
          <w:i/>
          <w:sz w:val="22"/>
          <w:lang w:eastAsia="en-US"/>
        </w:rPr>
      </w:pPr>
      <w:r>
        <w:rPr>
          <w:rFonts w:ascii="Palatino Linotype" w:eastAsia="Calibri" w:hAnsi="Palatino Linotype" w:cs="Bookman Old Style,Bold"/>
          <w:b/>
          <w:bCs/>
          <w:i/>
          <w:sz w:val="22"/>
          <w:lang w:eastAsia="en-US"/>
        </w:rPr>
        <w:t>Cuando la información no pueda ser remitida vía</w:t>
      </w:r>
      <w:r>
        <w:rPr>
          <w:rFonts w:ascii="Palatino Linotype" w:eastAsia="Calibri" w:hAnsi="Palatino Linotype" w:cs="Bookman Old Style,Bold"/>
          <w:b/>
          <w:bCs/>
          <w:i/>
          <w:sz w:val="22"/>
          <w:lang w:eastAsia="en-US"/>
        </w:rPr>
        <w:t xml:space="preserve"> electrónica, se deberá fundar y motivar la resolución respectiva, explicando en todo momento las causas que impiden el envío de la información de forma electrónica.</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En el supuesto de que la información sea puesta a disposición del solicitante la Unidad d</w:t>
      </w:r>
      <w:r>
        <w:rPr>
          <w:rFonts w:ascii="Palatino Linotype" w:eastAsia="Calibri" w:hAnsi="Palatino Linotype" w:cs="Bookman Old Style,Bold"/>
          <w:bCs/>
          <w:i/>
          <w:sz w:val="22"/>
          <w:lang w:eastAsia="en-US"/>
        </w:rPr>
        <w:t>e Información deberá señalar en su respuesta, con toda claridad el lugar en donde se permitirá el acceso a la información, así como en los días y horas hábiles precisadas en la resolución respectiva. En este supuesto, la disposición o entrega de la informa</w:t>
      </w:r>
      <w:r>
        <w:rPr>
          <w:rFonts w:ascii="Palatino Linotype" w:eastAsia="Calibri" w:hAnsi="Palatino Linotype" w:cs="Bookman Old Style,Bold"/>
          <w:bCs/>
          <w:i/>
          <w:sz w:val="22"/>
          <w:lang w:eastAsia="en-US"/>
        </w:rPr>
        <w:t>ción se realizará mediante el formato de recepción de información pública.</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lang w:eastAsia="en-US"/>
        </w:rPr>
      </w:pPr>
      <w:r>
        <w:rPr>
          <w:rFonts w:ascii="Palatino Linotype" w:eastAsia="Calibri" w:hAnsi="Palatino Linotype" w:cs="Bookman Old Style,Bold"/>
          <w:bCs/>
          <w:i/>
          <w:sz w:val="22"/>
          <w:lang w:eastAsia="en-US"/>
        </w:rPr>
        <w:t>El formato mencionado deberá estar agregado al expediente electrónico de la solicitud de información pública, en el estatus respectivo.”</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lastRenderedPageBreak/>
        <w:t xml:space="preserve">Por lo anterior, es necesario remitirse a </w:t>
      </w:r>
      <w:r>
        <w:rPr>
          <w:rFonts w:ascii="Palatino Linotype" w:eastAsia="Calibri" w:hAnsi="Palatino Linotype" w:cs="Bookman Old Style,Bold"/>
          <w:bCs/>
          <w:lang w:eastAsia="en-US"/>
        </w:rPr>
        <w:t>lo establecido por la Ley de Transparencia vigente en la Entidad, concretamente a su artículo 164, en el que se establece lo siguiente:</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“Artículo 164. El acceso se dará en la modalidad de entrega y, en su caso, de envío elegidos por el solicitante. Cuando</w:t>
      </w:r>
      <w:r>
        <w:rPr>
          <w:rFonts w:ascii="Palatino Linotype" w:eastAsia="Calibri" w:hAnsi="Palatino Linotype" w:cs="Bookman Old Style,Bold"/>
          <w:bCs/>
          <w:i/>
          <w:sz w:val="22"/>
          <w:lang w:eastAsia="en-US"/>
        </w:rPr>
        <w:t xml:space="preserve"> la información no pueda entregarse o enviarse en la modalidad solicitada, el sujeto obligado deberá ofrecer otra u otras modalidades de entrega.</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En cualquier caso, se deberá fundar y motivar la necesidad de ofrecer otras modalidades.”</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 xml:space="preserve">De tal forma que </w:t>
      </w:r>
      <w:r>
        <w:rPr>
          <w:rFonts w:ascii="Palatino Linotype" w:eastAsia="Calibri" w:hAnsi="Palatino Linotype" w:cs="Bookman Old Style,Bold"/>
          <w:b/>
          <w:bCs/>
          <w:lang w:eastAsia="en-US"/>
        </w:rPr>
        <w:t>E</w:t>
      </w:r>
      <w:r>
        <w:rPr>
          <w:rFonts w:ascii="Palatino Linotype" w:eastAsia="Calibri" w:hAnsi="Palatino Linotype" w:cs="Bookman Old Style,Bold"/>
          <w:b/>
          <w:bCs/>
          <w:lang w:eastAsia="en-US"/>
        </w:rPr>
        <w:t>L SUJETO OBLIGADO</w:t>
      </w:r>
      <w:r>
        <w:rPr>
          <w:rFonts w:ascii="Palatino Linotype" w:eastAsia="Calibri" w:hAnsi="Palatino Linotype" w:cs="Bookman Old Style,Bold"/>
          <w:bCs/>
          <w:lang w:eastAsia="en-US"/>
        </w:rPr>
        <w:t xml:space="preserve"> hizo del conocimiento del </w:t>
      </w:r>
      <w:r>
        <w:rPr>
          <w:rFonts w:ascii="Palatino Linotype" w:eastAsia="Calibri" w:hAnsi="Palatino Linotype" w:cs="Bookman Old Style,Bold"/>
          <w:b/>
          <w:bCs/>
          <w:lang w:eastAsia="en-US"/>
        </w:rPr>
        <w:t>RECURRENTE</w:t>
      </w:r>
      <w:r>
        <w:rPr>
          <w:rFonts w:ascii="Palatino Linotype" w:eastAsia="Calibri" w:hAnsi="Palatino Linotype" w:cs="Bookman Old Style,Bold"/>
          <w:bCs/>
          <w:lang w:eastAsia="en-US"/>
        </w:rPr>
        <w:t xml:space="preserve"> el mecanismo o procedimiento que se debió seguir a fin de que éste accediera a la información solicitada, tal y como se verifica a continuación:</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1. La Consulta Directa de la Información se llevará a c</w:t>
      </w:r>
      <w:r>
        <w:rPr>
          <w:rFonts w:ascii="Palatino Linotype" w:eastAsia="Calibri" w:hAnsi="Palatino Linotype" w:cs="Bookman Old Style,Bold"/>
          <w:bCs/>
          <w:i/>
          <w:sz w:val="22"/>
          <w:lang w:eastAsia="en-US"/>
        </w:rPr>
        <w:t>abo en la Sala de Juntas, situada en la planta baja del Instituto de Transparencia, Acceso a la Información Pública y Protección de Datos Personales del Estado de México y Municipios (INFOEM). Edificio ubicado en la Calle de Pino Suárez s/n, actualmente Ca</w:t>
      </w:r>
      <w:r>
        <w:rPr>
          <w:rFonts w:ascii="Palatino Linotype" w:eastAsia="Calibri" w:hAnsi="Palatino Linotype" w:cs="Bookman Old Style,Bold"/>
          <w:bCs/>
          <w:i/>
          <w:sz w:val="22"/>
          <w:lang w:eastAsia="en-US"/>
        </w:rPr>
        <w:t>rretera Toluca-Ixtapan, número 111, Colonia la Michoacana, C.P. 52166, Municipio de Metepec, Estado de México.</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2. El Solicitante deberá presentarse en la Sala de Juntas de este Instituto el día VEINTICUATRO DE FEBRERO DEL AÑO EN CURSO.</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3. La Unidad de Tr</w:t>
      </w:r>
      <w:r>
        <w:rPr>
          <w:rFonts w:ascii="Palatino Linotype" w:eastAsia="Calibri" w:hAnsi="Palatino Linotype" w:cs="Bookman Old Style,Bold"/>
          <w:bCs/>
          <w:i/>
          <w:sz w:val="22"/>
          <w:lang w:eastAsia="en-US"/>
        </w:rPr>
        <w:t>ansparencia le requiere al Solicitante para que, al ingresar al edificio de este Instituto, se presente con una identificación oficial vigente, con el propósito de realizar su registro en Recepción, donde le proporcionarán un gafete de visitante, que deber</w:t>
      </w:r>
      <w:r>
        <w:rPr>
          <w:rFonts w:ascii="Palatino Linotype" w:eastAsia="Calibri" w:hAnsi="Palatino Linotype" w:cs="Bookman Old Style,Bold"/>
          <w:bCs/>
          <w:i/>
          <w:sz w:val="22"/>
          <w:lang w:eastAsia="en-US"/>
        </w:rPr>
        <w:t>á portar para acceder a nuestras oficinas.</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lastRenderedPageBreak/>
        <w:t>4. Se le hace saber al Solicitante que, al momento en que realice la consulta de la información requerida, será asistido por una persona que se encuentre adscrita a la Unidad de Transparencia de este Instituto.</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5. Por otro lado, se le informa al Solicitante que existen diversas medidas técnicas, físicas y administrativas, las cuales resultan necesarias para garantizar la integridad de la información a consultar, de conformidad con las características específicas </w:t>
      </w:r>
      <w:r>
        <w:rPr>
          <w:rFonts w:ascii="Palatino Linotype" w:eastAsia="Calibri" w:hAnsi="Palatino Linotype" w:cs="Bookman Old Style,Bold"/>
          <w:bCs/>
          <w:i/>
          <w:sz w:val="22"/>
          <w:lang w:eastAsia="en-US"/>
        </w:rPr>
        <w:t>del documento solicitado; dichas medidas consisten en las siguientes:</w:t>
      </w:r>
    </w:p>
    <w:p w:rsidR="003B5DE8" w:rsidRDefault="003B5DE8">
      <w:pPr>
        <w:ind w:left="709" w:right="757" w:firstLine="709"/>
        <w:jc w:val="both"/>
        <w:rPr>
          <w:rFonts w:ascii="Palatino Linotype" w:eastAsia="Calibri" w:hAnsi="Palatino Linotype" w:cs="Bookman Old Style,Bold"/>
          <w:bCs/>
          <w:i/>
          <w:sz w:val="22"/>
          <w:lang w:eastAsia="en-US"/>
        </w:rPr>
      </w:pPr>
    </w:p>
    <w:p w:rsidR="003B5DE8" w:rsidRDefault="00182D9F">
      <w:pPr>
        <w:ind w:left="1418"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a) Contar con instalaciones y mobiliario adecuado para asegurar tanto la integridad de los documentos a consultar, como para proporcionar al Solicitante las mejores condiciones para pod</w:t>
      </w:r>
      <w:r>
        <w:rPr>
          <w:rFonts w:ascii="Palatino Linotype" w:eastAsia="Calibri" w:hAnsi="Palatino Linotype" w:cs="Bookman Old Style,Bold"/>
          <w:bCs/>
          <w:i/>
          <w:sz w:val="22"/>
          <w:lang w:eastAsia="en-US"/>
        </w:rPr>
        <w:t>er llevar a cabo la consulta directa;</w:t>
      </w:r>
    </w:p>
    <w:p w:rsidR="003B5DE8" w:rsidRDefault="003B5DE8">
      <w:pPr>
        <w:ind w:left="709" w:right="757" w:firstLine="709"/>
        <w:jc w:val="both"/>
        <w:rPr>
          <w:rFonts w:ascii="Palatino Linotype" w:eastAsia="Calibri" w:hAnsi="Palatino Linotype" w:cs="Bookman Old Style,Bold"/>
          <w:bCs/>
          <w:i/>
          <w:sz w:val="22"/>
          <w:lang w:eastAsia="en-US"/>
        </w:rPr>
      </w:pPr>
    </w:p>
    <w:p w:rsidR="003B5DE8" w:rsidRDefault="00182D9F">
      <w:pPr>
        <w:ind w:left="709" w:right="757" w:firstLine="709"/>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b) Equipo y personal de vigilancia;</w:t>
      </w:r>
    </w:p>
    <w:p w:rsidR="003B5DE8" w:rsidRDefault="003B5DE8">
      <w:pPr>
        <w:ind w:left="709" w:right="757" w:firstLine="709"/>
        <w:jc w:val="both"/>
        <w:rPr>
          <w:rFonts w:ascii="Palatino Linotype" w:eastAsia="Calibri" w:hAnsi="Palatino Linotype" w:cs="Bookman Old Style,Bold"/>
          <w:bCs/>
          <w:i/>
          <w:sz w:val="22"/>
          <w:lang w:eastAsia="en-US"/>
        </w:rPr>
      </w:pPr>
    </w:p>
    <w:p w:rsidR="003B5DE8" w:rsidRDefault="00182D9F">
      <w:pPr>
        <w:ind w:left="709" w:right="757" w:firstLine="709"/>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c) Plan de acción contra robo o vandalismo;</w:t>
      </w:r>
    </w:p>
    <w:p w:rsidR="003B5DE8" w:rsidRDefault="003B5DE8">
      <w:pPr>
        <w:ind w:left="709" w:right="757" w:firstLine="709"/>
        <w:jc w:val="both"/>
        <w:rPr>
          <w:rFonts w:ascii="Palatino Linotype" w:eastAsia="Calibri" w:hAnsi="Palatino Linotype" w:cs="Bookman Old Style,Bold"/>
          <w:bCs/>
          <w:i/>
          <w:sz w:val="22"/>
          <w:lang w:eastAsia="en-US"/>
        </w:rPr>
      </w:pPr>
    </w:p>
    <w:p w:rsidR="003B5DE8" w:rsidRDefault="00182D9F">
      <w:pPr>
        <w:ind w:left="709" w:right="757" w:firstLine="709"/>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d) Extintores de fuego de gas inocuo;</w:t>
      </w:r>
    </w:p>
    <w:p w:rsidR="003B5DE8" w:rsidRDefault="003B5DE8">
      <w:pPr>
        <w:ind w:left="1418" w:right="757"/>
        <w:jc w:val="both"/>
        <w:rPr>
          <w:rFonts w:ascii="Palatino Linotype" w:eastAsia="Calibri" w:hAnsi="Palatino Linotype" w:cs="Bookman Old Style,Bold"/>
          <w:bCs/>
          <w:i/>
          <w:sz w:val="22"/>
          <w:lang w:eastAsia="en-US"/>
        </w:rPr>
      </w:pPr>
    </w:p>
    <w:p w:rsidR="003B5DE8" w:rsidRDefault="00182D9F">
      <w:pPr>
        <w:ind w:left="1418"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e) Registro e identificación del personal autorizado para el tratamiento de los documentos o </w:t>
      </w:r>
      <w:r>
        <w:rPr>
          <w:rFonts w:ascii="Palatino Linotype" w:eastAsia="Calibri" w:hAnsi="Palatino Linotype" w:cs="Bookman Old Style,Bold"/>
          <w:bCs/>
          <w:i/>
          <w:sz w:val="22"/>
          <w:lang w:eastAsia="en-US"/>
        </w:rPr>
        <w:t>expedientes a revisar;</w:t>
      </w:r>
    </w:p>
    <w:p w:rsidR="003B5DE8" w:rsidRDefault="003B5DE8">
      <w:pPr>
        <w:ind w:left="1418" w:right="757"/>
        <w:jc w:val="both"/>
        <w:rPr>
          <w:rFonts w:ascii="Palatino Linotype" w:eastAsia="Calibri" w:hAnsi="Palatino Linotype" w:cs="Bookman Old Style,Bold"/>
          <w:bCs/>
          <w:i/>
          <w:sz w:val="22"/>
          <w:lang w:eastAsia="en-US"/>
        </w:rPr>
      </w:pPr>
    </w:p>
    <w:p w:rsidR="003B5DE8" w:rsidRDefault="00182D9F">
      <w:pPr>
        <w:ind w:left="1418"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f) Registro e identificación de los particulares autorizados para llevar a cabo la consulta directa.</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6. De igual manera, se le indica al Solicitante que, no debe introducir ningún objeto al área dispuesta para la consulta de la </w:t>
      </w:r>
      <w:r>
        <w:rPr>
          <w:rFonts w:ascii="Palatino Linotype" w:eastAsia="Calibri" w:hAnsi="Palatino Linotype" w:cs="Bookman Old Style,Bold"/>
          <w:bCs/>
          <w:i/>
          <w:sz w:val="22"/>
          <w:lang w:eastAsia="en-US"/>
        </w:rPr>
        <w:t>información, que pueda poner en riesgo la integridad de la misma, tales como alimentos, líquidos u otros similares, así como, sustancias o dispositivos inflamables.</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7. Resulta indispensable puntualizarle al Solicitante que el área de consulta contará con </w:t>
      </w:r>
      <w:r>
        <w:rPr>
          <w:rFonts w:ascii="Palatino Linotype" w:eastAsia="Calibri" w:hAnsi="Palatino Linotype" w:cs="Bookman Old Style,Bold"/>
          <w:bCs/>
          <w:i/>
          <w:sz w:val="22"/>
          <w:lang w:eastAsia="en-US"/>
        </w:rPr>
        <w:t>material de papelería, es decir, bolígrafos, lápices y papel, en caso de que el Solicitante lo requiera.</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8. Para el caso de que documentos contengan partes o secciones clasificadas como reservadas o confidenciales, el personal adscrito a la Unidad de Tran</w:t>
      </w:r>
      <w:r>
        <w:rPr>
          <w:rFonts w:ascii="Palatino Linotype" w:eastAsia="Calibri" w:hAnsi="Palatino Linotype" w:cs="Bookman Old Style,Bold"/>
          <w:bCs/>
          <w:i/>
          <w:sz w:val="22"/>
          <w:lang w:eastAsia="en-US"/>
        </w:rPr>
        <w:t xml:space="preserve">sparencia lo hará </w:t>
      </w:r>
      <w:r>
        <w:rPr>
          <w:rFonts w:ascii="Palatino Linotype" w:eastAsia="Calibri" w:hAnsi="Palatino Linotype" w:cs="Bookman Old Style,Bold"/>
          <w:bCs/>
          <w:i/>
          <w:sz w:val="22"/>
          <w:lang w:eastAsia="en-US"/>
        </w:rPr>
        <w:lastRenderedPageBreak/>
        <w:t xml:space="preserve">del conocimiento del particular, previo al acceso a la información; en consecuencia, se le mostrará la resolución, debidamente fundada y motivada, emitida por este Comité de Transparencia, en la que se clasificaron las partes o secciones </w:t>
      </w:r>
      <w:r>
        <w:rPr>
          <w:rFonts w:ascii="Palatino Linotype" w:eastAsia="Calibri" w:hAnsi="Palatino Linotype" w:cs="Bookman Old Style,Bold"/>
          <w:bCs/>
          <w:i/>
          <w:sz w:val="22"/>
          <w:lang w:eastAsia="en-US"/>
        </w:rPr>
        <w:t>que no podrán dejarse a la vista.</w:t>
      </w:r>
    </w:p>
    <w:p w:rsidR="003B5DE8" w:rsidRDefault="003B5DE8">
      <w:pPr>
        <w:spacing w:line="360" w:lineRule="auto"/>
        <w:jc w:val="both"/>
        <w:rPr>
          <w:rFonts w:ascii="Palatino Linotype" w:eastAsia="Calibri" w:hAnsi="Palatino Linotype" w:cs="Bookman Old Style,Bold"/>
          <w:bCs/>
          <w:i/>
          <w:sz w:val="22"/>
          <w:lang w:eastAsia="en-US"/>
        </w:rPr>
      </w:pPr>
    </w:p>
    <w:p w:rsidR="003B5DE8" w:rsidRDefault="00182D9F">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Lo anterior, con apego a lo dispuesto por el artículo 158 de la multicitada Ley de Transparencia Estatal que a la letra estipula lo siguiente:</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ind w:left="709" w:right="757"/>
        <w:jc w:val="both"/>
        <w:rPr>
          <w:rFonts w:ascii="Palatino Linotype" w:eastAsia="Calibri" w:hAnsi="Palatino Linotype" w:cs="Bookman Old Style,Bold"/>
          <w:bCs/>
          <w:i/>
          <w:lang w:eastAsia="en-US"/>
        </w:rPr>
      </w:pPr>
      <w:r>
        <w:rPr>
          <w:rFonts w:ascii="Palatino Linotype" w:eastAsia="Calibri" w:hAnsi="Palatino Linotype" w:cs="Bookman Old Style,Bold"/>
          <w:bCs/>
          <w:i/>
          <w:sz w:val="22"/>
          <w:lang w:eastAsia="en-US"/>
        </w:rPr>
        <w:t xml:space="preserve">“Artículo 158. De manera excepcional, cuando de forma fundada y motivada así </w:t>
      </w:r>
      <w:r>
        <w:rPr>
          <w:rFonts w:ascii="Palatino Linotype" w:eastAsia="Calibri" w:hAnsi="Palatino Linotype" w:cs="Bookman Old Style,Bold"/>
          <w:bCs/>
          <w:i/>
          <w:sz w:val="22"/>
          <w:lang w:eastAsia="en-US"/>
        </w:rPr>
        <w:t xml:space="preserve">lo determine el sujeto obligado, en aquellos casos en que la información  solicitada que ya se encuentre en su posesión implique análisis, estudio o procesamiento de documentos cuya entrega o reproducción sobrepase las capacidades técnicas administrativas </w:t>
      </w:r>
      <w:r>
        <w:rPr>
          <w:rFonts w:ascii="Palatino Linotype" w:eastAsia="Calibri" w:hAnsi="Palatino Linotype" w:cs="Bookman Old Style,Bold"/>
          <w:bCs/>
          <w:i/>
          <w:sz w:val="22"/>
          <w:lang w:eastAsia="en-US"/>
        </w:rPr>
        <w:t>y humanas del sujeto obligado para cumplir con la solicitud, en los plazos establecidos para dichos efectos, se podrá poner a disposición del solicitante los documentos en consulta directa, salvo la información clasificada.”</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Igualmente, para robustecer lo</w:t>
      </w:r>
      <w:r>
        <w:rPr>
          <w:rFonts w:ascii="Palatino Linotype" w:eastAsia="Calibri" w:hAnsi="Palatino Linotype" w:cs="Bookman Old Style,Bold"/>
          <w:bCs/>
          <w:lang w:eastAsia="en-US"/>
        </w:rPr>
        <w:t xml:space="preserve"> anterior, es conveniente citar a continuación el Criterio 008/2013 del hoy Instituto Nacional de Acceso a la Información y Protección de Datos Personales:</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w:t>
      </w:r>
      <w:r>
        <w:rPr>
          <w:rFonts w:ascii="Palatino Linotype" w:eastAsia="Calibri" w:hAnsi="Palatino Linotype" w:cs="Bookman Old Style,Bold"/>
          <w:b/>
          <w:bCs/>
          <w:i/>
          <w:sz w:val="22"/>
          <w:lang w:eastAsia="en-US"/>
        </w:rPr>
        <w:t>Cuando exista impedimento justificado de atender la modalidad de entrega elegida por el solicitant</w:t>
      </w:r>
      <w:r>
        <w:rPr>
          <w:rFonts w:ascii="Palatino Linotype" w:eastAsia="Calibri" w:hAnsi="Palatino Linotype" w:cs="Bookman Old Style,Bold"/>
          <w:b/>
          <w:bCs/>
          <w:i/>
          <w:sz w:val="22"/>
          <w:lang w:eastAsia="en-US"/>
        </w:rPr>
        <w:t>e, procede ofrecer todas las demás opciones previstas en la Ley</w:t>
      </w:r>
      <w:r>
        <w:rPr>
          <w:rFonts w:ascii="Palatino Linotype" w:eastAsia="Calibri" w:hAnsi="Palatino Linotype" w:cs="Bookman Old Style,Bold"/>
          <w:bCs/>
          <w:i/>
          <w:sz w:val="22"/>
          <w:lang w:eastAsia="en-US"/>
        </w:rPr>
        <w:t>. De conformidad con lo dispuesto en los artículos 42 y 44 de la Ley Federal de Transparencia y Acceso a la Información Pública Gubernamental, y 54 de su Reglamento, la entrega de la informació</w:t>
      </w:r>
      <w:r>
        <w:rPr>
          <w:rFonts w:ascii="Palatino Linotype" w:eastAsia="Calibri" w:hAnsi="Palatino Linotype" w:cs="Bookman Old Style,Bold"/>
          <w:bCs/>
          <w:i/>
          <w:sz w:val="22"/>
          <w:lang w:eastAsia="en-US"/>
        </w:rPr>
        <w:t>n debe hacerse, en la medida de lo posible, en la forma solicitada por el interesado, salvo que exista un impedimento justificado para atenderla, en cuyo caso, deberán exponerse las razones por las cuales no es posible utilizar el medio de reproducción sol</w:t>
      </w:r>
      <w:r>
        <w:rPr>
          <w:rFonts w:ascii="Palatino Linotype" w:eastAsia="Calibri" w:hAnsi="Palatino Linotype" w:cs="Bookman Old Style,Bold"/>
          <w:bCs/>
          <w:i/>
          <w:sz w:val="22"/>
          <w:lang w:eastAsia="en-US"/>
        </w:rPr>
        <w:t>icitado. En este sentido, la entrega de la información en una modalidad distinta a la elegida por el particular sólo procede, en caso de que se acredite la imposibilidad de atenderla. Lo anterior, ya que si bien, los sujetos obligados deben privilegiar, en</w:t>
      </w:r>
      <w:r>
        <w:rPr>
          <w:rFonts w:ascii="Palatino Linotype" w:eastAsia="Calibri" w:hAnsi="Palatino Linotype" w:cs="Bookman Old Style,Bold"/>
          <w:bCs/>
          <w:i/>
          <w:sz w:val="22"/>
          <w:lang w:eastAsia="en-US"/>
        </w:rPr>
        <w:t xml:space="preserve"> todo momento, el derecho de acceso a la información, ello no implica </w:t>
      </w:r>
      <w:r>
        <w:rPr>
          <w:rFonts w:ascii="Palatino Linotype" w:eastAsia="Calibri" w:hAnsi="Palatino Linotype" w:cs="Bookman Old Style,Bold"/>
          <w:bCs/>
          <w:i/>
          <w:sz w:val="22"/>
          <w:lang w:eastAsia="en-US"/>
        </w:rPr>
        <w:lastRenderedPageBreak/>
        <w:t>que desvíen su objeto sustancial en la atención y trámite de las solicitudes efectuadas bajo la tutela de dicho derecho. Así, cuando se justifique el impedimento, los sujetos obligados d</w:t>
      </w:r>
      <w:r>
        <w:rPr>
          <w:rFonts w:ascii="Palatino Linotype" w:eastAsia="Calibri" w:hAnsi="Palatino Linotype" w:cs="Bookman Old Style,Bold"/>
          <w:bCs/>
          <w:i/>
          <w:sz w:val="22"/>
          <w:lang w:eastAsia="en-US"/>
        </w:rPr>
        <w:t>eberán notificar al particular la disposición de la información en todas las modalidades de entrega que permita el documento, tales como consulta directa, copias simples y certificadas, así como la reproducción en cualquier otro medio e indicarle, en su ca</w:t>
      </w:r>
      <w:r>
        <w:rPr>
          <w:rFonts w:ascii="Palatino Linotype" w:eastAsia="Calibri" w:hAnsi="Palatino Linotype" w:cs="Bookman Old Style,Bold"/>
          <w:bCs/>
          <w:i/>
          <w:sz w:val="22"/>
          <w:lang w:eastAsia="en-US"/>
        </w:rPr>
        <w:t xml:space="preserve">so, los costos de reproducción y envío, para que pueda estar en aptitud de elegir la que sea de su interés o la que más le convenga. En estos casos, los sujetos obligados deberán intentar reducir, en todo momento, los costos de entrega de la información y </w:t>
      </w:r>
      <w:r>
        <w:rPr>
          <w:rFonts w:ascii="Palatino Linotype" w:eastAsia="Calibri" w:hAnsi="Palatino Linotype" w:cs="Bookman Old Style,Bold"/>
          <w:bCs/>
          <w:i/>
          <w:sz w:val="22"/>
          <w:lang w:eastAsia="en-US"/>
        </w:rPr>
        <w:t xml:space="preserve">garantizar el debido equilibrio entre el legítimo derecho de acceso a la información y las posibilidades materiales de otorgar acceso a los documentos. </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Resoluciones </w:t>
      </w: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RDA 2012/12. Interpuesto en contra de la Secretaría de Comunicaciones y Transportes. Com</w:t>
      </w:r>
      <w:r>
        <w:rPr>
          <w:rFonts w:ascii="Palatino Linotype" w:eastAsia="Calibri" w:hAnsi="Palatino Linotype" w:cs="Bookman Old Style,Bold"/>
          <w:bCs/>
          <w:i/>
          <w:sz w:val="22"/>
          <w:lang w:eastAsia="en-US"/>
        </w:rPr>
        <w:t xml:space="preserve">isionada Ponente Jacqueline Peschard Mariscal. </w:t>
      </w: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RDA 0973/12. Interpuesto en contra de la Secretaría de Educación Pública. Comisionada Ponente Sigrid Arzt Colunga. </w:t>
      </w: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RDA 0112/12. Interpuesto en contra de Petróleos Mexicanos. Comisionado Ponente Ángel Trinida</w:t>
      </w:r>
      <w:r>
        <w:rPr>
          <w:rFonts w:ascii="Palatino Linotype" w:eastAsia="Calibri" w:hAnsi="Palatino Linotype" w:cs="Bookman Old Style,Bold"/>
          <w:bCs/>
          <w:i/>
          <w:sz w:val="22"/>
          <w:lang w:eastAsia="en-US"/>
        </w:rPr>
        <w:t xml:space="preserve">d Zaldívar. </w:t>
      </w: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RDA 0085/12. Interpuesto en contra del Instituto Nacional de Ciencias Médicas y Nutrición Salvador Zubirán. Comisionada Ponente Sigrid Arzt Colunga. </w:t>
      </w: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3068/11. Interpuesto en contra de la Presidencia de la República. Comisionada Ponente María E</w:t>
      </w:r>
      <w:r>
        <w:rPr>
          <w:rFonts w:ascii="Palatino Linotype" w:eastAsia="Calibri" w:hAnsi="Palatino Linotype" w:cs="Bookman Old Style,Bold"/>
          <w:bCs/>
          <w:i/>
          <w:sz w:val="22"/>
          <w:lang w:eastAsia="en-US"/>
        </w:rPr>
        <w:t xml:space="preserve">lena Pérez-Jaén Zermeño.” </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 xml:space="preserve">Ahora, el artículo 166 de la Ley de la materia, dispone que la Unidad de Transparencia deberá tener disponible la información solicitada, durante un plazo mínimo de sesenta días hábiles, circunstancia que le fue informada al </w:t>
      </w:r>
      <w:r>
        <w:rPr>
          <w:rFonts w:ascii="Palatino Linotype" w:eastAsia="Calibri" w:hAnsi="Palatino Linotype" w:cs="Bookman Old Style,Bold"/>
          <w:bCs/>
          <w:lang w:eastAsia="en-US"/>
        </w:rPr>
        <w:t>ciudadano:</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w:t>
      </w:r>
      <w:r>
        <w:rPr>
          <w:rFonts w:ascii="Palatino Linotype" w:eastAsia="Calibri" w:hAnsi="Palatino Linotype" w:cs="Bookman Old Style,Bold"/>
          <w:b/>
          <w:bCs/>
          <w:i/>
          <w:sz w:val="22"/>
          <w:lang w:eastAsia="en-US"/>
        </w:rPr>
        <w:t>Artículo 166</w:t>
      </w:r>
      <w:r>
        <w:rPr>
          <w:rFonts w:ascii="Palatino Linotype" w:eastAsia="Calibri" w:hAnsi="Palatino Linotype" w:cs="Bookman Old Style,Bold"/>
          <w:bCs/>
          <w:i/>
          <w:sz w:val="22"/>
          <w:lang w:eastAsia="en-US"/>
        </w:rPr>
        <w:t xml:space="preserve">. La obligación de acceso a la información pública se tendrá por cumplida cuando el solicitante tenga a su disposición la información requerida, o </w:t>
      </w:r>
      <w:r>
        <w:rPr>
          <w:rFonts w:ascii="Palatino Linotype" w:eastAsia="Calibri" w:hAnsi="Palatino Linotype" w:cs="Bookman Old Style,Bold"/>
          <w:b/>
          <w:bCs/>
          <w:i/>
          <w:sz w:val="22"/>
          <w:lang w:eastAsia="en-US"/>
        </w:rPr>
        <w:t>cuando realice la consulta de la misma en el lugar en el que ésta se localice</w:t>
      </w:r>
      <w:r>
        <w:rPr>
          <w:rFonts w:ascii="Palatino Linotype" w:eastAsia="Calibri" w:hAnsi="Palatino Linotype" w:cs="Bookman Old Style,Bold"/>
          <w:bCs/>
          <w:i/>
          <w:sz w:val="22"/>
          <w:lang w:eastAsia="en-US"/>
        </w:rPr>
        <w:t xml:space="preserve">. </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
          <w:bCs/>
          <w:i/>
          <w:sz w:val="22"/>
          <w:lang w:eastAsia="en-US"/>
        </w:rPr>
        <w:t xml:space="preserve">La </w:t>
      </w:r>
      <w:r>
        <w:rPr>
          <w:rFonts w:ascii="Palatino Linotype" w:eastAsia="Calibri" w:hAnsi="Palatino Linotype" w:cs="Bookman Old Style,Bold"/>
          <w:b/>
          <w:bCs/>
          <w:i/>
          <w:sz w:val="22"/>
          <w:lang w:eastAsia="en-US"/>
        </w:rPr>
        <w:t>Unidad de Transparencia tendrá disponible la información solicitada, durante un plazo mínimo de sesenta días hábiles</w:t>
      </w:r>
      <w:r>
        <w:rPr>
          <w:rFonts w:ascii="Palatino Linotype" w:eastAsia="Calibri" w:hAnsi="Palatino Linotype" w:cs="Bookman Old Style,Bold"/>
          <w:bCs/>
          <w:i/>
          <w:sz w:val="22"/>
          <w:lang w:eastAsia="en-US"/>
        </w:rPr>
        <w:t xml:space="preserve">, contado a partir de que el </w:t>
      </w:r>
      <w:r>
        <w:rPr>
          <w:rFonts w:ascii="Palatino Linotype" w:eastAsia="Calibri" w:hAnsi="Palatino Linotype" w:cs="Bookman Old Style,Bold"/>
          <w:bCs/>
          <w:i/>
          <w:sz w:val="22"/>
          <w:lang w:eastAsia="en-US"/>
        </w:rPr>
        <w:lastRenderedPageBreak/>
        <w:t>solicitante hubiere realizado, en su caso, el pago respectivo, el cual deberá efectuarse en un plazo no mayor a</w:t>
      </w:r>
      <w:r>
        <w:rPr>
          <w:rFonts w:ascii="Palatino Linotype" w:eastAsia="Calibri" w:hAnsi="Palatino Linotype" w:cs="Bookman Old Style,Bold"/>
          <w:bCs/>
          <w:i/>
          <w:sz w:val="22"/>
          <w:lang w:eastAsia="en-US"/>
        </w:rPr>
        <w:t xml:space="preserve"> treinta días hábiles. </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Transcurridos dichos plazos, si los solicitantes no acuden a recibir la información requerida los sujetos obligados darán por concluida la solicitud y procederán, de ser el caso, a la destrucción del material en el que se reprodujo</w:t>
      </w:r>
      <w:r>
        <w:rPr>
          <w:rFonts w:ascii="Palatino Linotype" w:eastAsia="Calibri" w:hAnsi="Palatino Linotype" w:cs="Bookman Old Style,Bold"/>
          <w:bCs/>
          <w:i/>
          <w:sz w:val="22"/>
          <w:lang w:eastAsia="en-US"/>
        </w:rPr>
        <w:t xml:space="preserve"> la información. </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 xml:space="preserve">Cuando el sujeto obligado no entregue la respuesta a la solicitud dentro del plazo previsto en la Ley, la solicitud se entenderá negada y el solicitante podrá interponer el recurso de revisión previsto en este ordenamiento. </w:t>
      </w:r>
    </w:p>
    <w:p w:rsidR="003B5DE8" w:rsidRDefault="003B5DE8">
      <w:pPr>
        <w:ind w:left="709" w:right="757"/>
        <w:jc w:val="both"/>
        <w:rPr>
          <w:rFonts w:ascii="Palatino Linotype" w:eastAsia="Calibri" w:hAnsi="Palatino Linotype" w:cs="Bookman Old Style,Bold"/>
          <w:bCs/>
          <w:i/>
          <w:sz w:val="22"/>
          <w:lang w:eastAsia="en-US"/>
        </w:rPr>
      </w:pPr>
    </w:p>
    <w:p w:rsidR="003B5DE8" w:rsidRDefault="00182D9F">
      <w:pPr>
        <w:ind w:left="709" w:right="757"/>
        <w:jc w:val="both"/>
        <w:rPr>
          <w:rFonts w:ascii="Palatino Linotype" w:eastAsia="Calibri" w:hAnsi="Palatino Linotype" w:cs="Bookman Old Style,Bold"/>
          <w:bCs/>
          <w:i/>
          <w:sz w:val="22"/>
          <w:lang w:eastAsia="en-US"/>
        </w:rPr>
      </w:pPr>
      <w:r>
        <w:rPr>
          <w:rFonts w:ascii="Palatino Linotype" w:eastAsia="Calibri" w:hAnsi="Palatino Linotype" w:cs="Bookman Old Style,Bold"/>
          <w:bCs/>
          <w:i/>
          <w:sz w:val="22"/>
          <w:lang w:eastAsia="en-US"/>
        </w:rPr>
        <w:t>Una vez ent</w:t>
      </w:r>
      <w:r>
        <w:rPr>
          <w:rFonts w:ascii="Palatino Linotype" w:eastAsia="Calibri" w:hAnsi="Palatino Linotype" w:cs="Bookman Old Style,Bold"/>
          <w:bCs/>
          <w:i/>
          <w:sz w:val="22"/>
          <w:lang w:eastAsia="en-US"/>
        </w:rPr>
        <w:t>regada la información, el solicitante acusará recibo por escrito, dándose por terminado el trámite de acceso a la información.”</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En este sentido, se advierte claramente que la hora y fecha proporcionada para la consulta directa al particular se dispuso a f</w:t>
      </w:r>
      <w:r>
        <w:rPr>
          <w:rFonts w:ascii="Palatino Linotype" w:eastAsia="Calibri" w:hAnsi="Palatino Linotype" w:cs="Bookman Old Style,Bold"/>
          <w:bCs/>
          <w:lang w:eastAsia="en-US"/>
        </w:rPr>
        <w:t>in de otorgar certeza jurídica respecto del procedimiento de consulta de la información, mas ello no implica que dicha determinación sea limitativa, garantizando el derecho de acceso del ciudadano.</w:t>
      </w:r>
    </w:p>
    <w:p w:rsidR="003B5DE8" w:rsidRDefault="003B5DE8">
      <w:pPr>
        <w:spacing w:line="360" w:lineRule="auto"/>
        <w:jc w:val="both"/>
        <w:rPr>
          <w:rFonts w:ascii="Palatino Linotype" w:eastAsia="Calibri" w:hAnsi="Palatino Linotype" w:cs="Bookman Old Style,Bold"/>
          <w:bCs/>
          <w:lang w:eastAsia="en-US"/>
        </w:rPr>
      </w:pP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spacing w:line="360" w:lineRule="auto"/>
        <w:jc w:val="both"/>
        <w:rPr>
          <w:rFonts w:ascii="Palatino Linotype" w:eastAsia="Calibri" w:hAnsi="Palatino Linotype" w:cs="Bookman Old Style,Bold"/>
          <w:bCs/>
          <w:lang w:eastAsia="en-US"/>
        </w:rPr>
      </w:pPr>
      <w:r>
        <w:rPr>
          <w:rFonts w:ascii="Palatino Linotype" w:eastAsia="Calibri" w:hAnsi="Palatino Linotype" w:cs="Bookman Old Style,Bold"/>
          <w:bCs/>
          <w:lang w:eastAsia="en-US"/>
        </w:rPr>
        <w:t>Ya que como hemos visto, en el artículo 166 de la Ley de</w:t>
      </w:r>
      <w:r>
        <w:rPr>
          <w:rFonts w:ascii="Palatino Linotype" w:eastAsia="Calibri" w:hAnsi="Palatino Linotype" w:cs="Bookman Old Style,Bold"/>
          <w:bCs/>
          <w:lang w:eastAsia="en-US"/>
        </w:rPr>
        <w:t xml:space="preserve"> la materia, la Unidad de Transparencia deberá tener disponible la información solicitada, durante un plazo mínimo de sesenta días hábiles, circunstancia que no le fue informada al ciudadano; empero por medio del Informe Justificado, se advierte que expres</w:t>
      </w:r>
      <w:r>
        <w:rPr>
          <w:rFonts w:ascii="Palatino Linotype" w:eastAsia="Calibri" w:hAnsi="Palatino Linotype" w:cs="Bookman Old Style,Bold"/>
          <w:bCs/>
          <w:lang w:eastAsia="en-US"/>
        </w:rPr>
        <w:t xml:space="preserve">amente </w:t>
      </w:r>
      <w:r>
        <w:rPr>
          <w:rFonts w:ascii="Palatino Linotype" w:eastAsia="Calibri" w:hAnsi="Palatino Linotype" w:cs="Bookman Old Style,Bold"/>
          <w:b/>
          <w:bCs/>
          <w:lang w:eastAsia="en-US"/>
        </w:rPr>
        <w:t xml:space="preserve">EL SUJETO OBLIGADO </w:t>
      </w:r>
      <w:r>
        <w:rPr>
          <w:rFonts w:ascii="Palatino Linotype" w:eastAsia="Calibri" w:hAnsi="Palatino Linotype" w:cs="Bookman Old Style,Bold"/>
          <w:bCs/>
          <w:lang w:eastAsia="en-US"/>
        </w:rPr>
        <w:t xml:space="preserve">hizo el señalamiento que la información solicitada seguirá a disposición del </w:t>
      </w:r>
      <w:r>
        <w:rPr>
          <w:rFonts w:ascii="Palatino Linotype" w:eastAsia="Calibri" w:hAnsi="Palatino Linotype" w:cs="Bookman Old Style,Bold"/>
          <w:b/>
          <w:bCs/>
          <w:lang w:eastAsia="en-US"/>
        </w:rPr>
        <w:t>RECURRENTE</w:t>
      </w:r>
      <w:r>
        <w:rPr>
          <w:rFonts w:ascii="Palatino Linotype" w:eastAsia="Calibri" w:hAnsi="Palatino Linotype" w:cs="Bookman Old Style,Bold"/>
          <w:bCs/>
          <w:lang w:eastAsia="en-US"/>
        </w:rPr>
        <w:t xml:space="preserve"> por el término de sesenta días posteriores al día establecido para su consulta.</w:t>
      </w:r>
    </w:p>
    <w:p w:rsidR="003B5DE8" w:rsidRDefault="003B5DE8">
      <w:pPr>
        <w:spacing w:line="360" w:lineRule="auto"/>
        <w:jc w:val="both"/>
        <w:rPr>
          <w:rFonts w:ascii="Palatino Linotype" w:eastAsia="Calibri" w:hAnsi="Palatino Linotype" w:cs="Bookman Old Style,Bold"/>
          <w:bCs/>
          <w:lang w:eastAsia="en-US"/>
        </w:rPr>
      </w:pPr>
    </w:p>
    <w:p w:rsidR="003B5DE8" w:rsidRDefault="00182D9F">
      <w:pPr>
        <w:spacing w:line="360" w:lineRule="auto"/>
        <w:jc w:val="both"/>
        <w:rPr>
          <w:rFonts w:ascii="Palatino Linotype" w:hAnsi="Palatino Linotype" w:cs="Arial"/>
          <w:bCs/>
        </w:rPr>
      </w:pPr>
      <w:r>
        <w:rPr>
          <w:rFonts w:ascii="Palatino Linotype" w:hAnsi="Palatino Linotype" w:cs="Arial"/>
          <w:bCs/>
        </w:rPr>
        <w:t xml:space="preserve">Por tanto, debe dejarse en claro que al haber existido un pronunciamiento por parte de los servidores públicos habilitados adscritos a las Áreas Administrativas que integran al Instituto y de las cuales fue requerida la información, este Instituto no está </w:t>
      </w:r>
      <w:r>
        <w:rPr>
          <w:rFonts w:ascii="Palatino Linotype" w:hAnsi="Palatino Linotype" w:cs="Arial"/>
          <w:bCs/>
        </w:rPr>
        <w:t xml:space="preserve">facultado para manifestarse sobre la veracidad del mismo, pues no existe precepto legal alguno en la Ley de la materia que lo faculte para, vía recurso de revisión, pronunciarse al respecto. </w:t>
      </w:r>
    </w:p>
    <w:p w:rsidR="003B5DE8" w:rsidRDefault="003B5DE8">
      <w:pPr>
        <w:spacing w:line="360" w:lineRule="auto"/>
        <w:jc w:val="both"/>
        <w:rPr>
          <w:rFonts w:ascii="Palatino Linotype" w:hAnsi="Palatino Linotype" w:cs="Arial"/>
          <w:bCs/>
        </w:rPr>
      </w:pPr>
    </w:p>
    <w:p w:rsidR="003B5DE8" w:rsidRDefault="00182D9F">
      <w:pPr>
        <w:spacing w:line="360" w:lineRule="auto"/>
        <w:jc w:val="both"/>
        <w:rPr>
          <w:rFonts w:ascii="Palatino Linotype" w:hAnsi="Palatino Linotype" w:cs="Arial"/>
          <w:bCs/>
        </w:rPr>
      </w:pPr>
      <w:r>
        <w:rPr>
          <w:rFonts w:ascii="Palatino Linotype" w:hAnsi="Palatino Linotype" w:cs="Arial"/>
          <w:bCs/>
        </w:rPr>
        <w:t>Sirve de apoyo a lo anterior, por analogía, el criterio 31-10 e</w:t>
      </w:r>
      <w:r>
        <w:rPr>
          <w:rFonts w:ascii="Palatino Linotype" w:hAnsi="Palatino Linotype" w:cs="Arial"/>
          <w:bCs/>
        </w:rPr>
        <w:t>mitido por el entonces Instituto Federal de Acceso a la Información que a la letra dice:</w:t>
      </w:r>
    </w:p>
    <w:p w:rsidR="003B5DE8" w:rsidRDefault="003B5DE8">
      <w:pPr>
        <w:spacing w:line="360" w:lineRule="auto"/>
        <w:jc w:val="both"/>
        <w:rPr>
          <w:rFonts w:ascii="Palatino Linotype" w:hAnsi="Palatino Linotype" w:cs="Arial"/>
          <w:lang w:eastAsia="es-MX"/>
        </w:rPr>
      </w:pPr>
    </w:p>
    <w:p w:rsidR="003B5DE8" w:rsidRDefault="00182D9F">
      <w:pPr>
        <w:ind w:left="709" w:right="757"/>
        <w:jc w:val="both"/>
        <w:rPr>
          <w:rFonts w:ascii="Palatino Linotype" w:hAnsi="Palatino Linotype" w:cs="Arial"/>
          <w:bCs/>
          <w:i/>
          <w:sz w:val="22"/>
        </w:rPr>
      </w:pPr>
      <w:r>
        <w:rPr>
          <w:rFonts w:ascii="Palatino Linotype" w:hAnsi="Palatino Linotype" w:cs="Arial"/>
          <w:bCs/>
          <w:i/>
          <w:sz w:val="22"/>
        </w:rPr>
        <w:t>“</w:t>
      </w:r>
      <w:r>
        <w:rPr>
          <w:rFonts w:ascii="Palatino Linotype" w:hAnsi="Palatino Linotype" w:cs="Arial"/>
          <w:b/>
          <w:bCs/>
          <w:i/>
          <w:sz w:val="22"/>
        </w:rPr>
        <w:t>El Instituto Federal de Acceso a la Información y Protección de Datos no cuenta con facultades para pronunciarse respecto de la veracidad de los documentos proporcio</w:t>
      </w:r>
      <w:r>
        <w:rPr>
          <w:rFonts w:ascii="Palatino Linotype" w:hAnsi="Palatino Linotype" w:cs="Arial"/>
          <w:b/>
          <w:bCs/>
          <w:i/>
          <w:sz w:val="22"/>
        </w:rPr>
        <w:t>nados por los sujetos obligados.</w:t>
      </w:r>
      <w:r>
        <w:rPr>
          <w:rFonts w:ascii="Palatino Linotype" w:hAnsi="Palatino Linotype" w:cs="Arial"/>
          <w:bCs/>
          <w:i/>
          <w:sz w:val="22"/>
        </w:rPr>
        <w:t xml:space="preserve"> El Instituto Federal de Acceso a la Información y Protección de Datos es un órgano de la Administración Pública Federal con autonomía operativa, presupuestaria y de decisión, encargado de promover y difundir el ejercicio de</w:t>
      </w:r>
      <w:r>
        <w:rPr>
          <w:rFonts w:ascii="Palatino Linotype" w:hAnsi="Palatino Linotype" w:cs="Arial"/>
          <w:bCs/>
          <w:i/>
          <w:sz w:val="22"/>
        </w:rPr>
        <w:t>l derecho de acceso a la información; resolver sobre la negativa de las solicitudes de acceso a la información; y proteger los datos personales en poder de las dependencias y entidades. Sin embargo, no está facultado para pronunciarse sobre la veracidad de</w:t>
      </w:r>
      <w:r>
        <w:rPr>
          <w:rFonts w:ascii="Palatino Linotype" w:hAnsi="Palatino Linotype" w:cs="Arial"/>
          <w:bCs/>
          <w:i/>
          <w:sz w:val="22"/>
        </w:rPr>
        <w:t xml:space="preserve"> la información proporcionada por las autoridades en respuesta a las solicitudes de información que les presentan los particulares, en virtud de que en los artículos 49 y 50 de la Ley Federal de Transparencia y Acceso a la Información Pública Gubernamental</w:t>
      </w:r>
      <w:r>
        <w:rPr>
          <w:rFonts w:ascii="Palatino Linotype" w:hAnsi="Palatino Linotype" w:cs="Arial"/>
          <w:bCs/>
          <w:i/>
          <w:sz w:val="22"/>
        </w:rPr>
        <w:t xml:space="preserve"> no se prevé una causal que permita al Instituto Federal de Acceso a la Información y Protección de Datos conocer, vía recurso revisión, al respecto.”</w:t>
      </w:r>
    </w:p>
    <w:p w:rsidR="003B5DE8" w:rsidRDefault="003B5DE8">
      <w:pPr>
        <w:spacing w:line="360" w:lineRule="auto"/>
        <w:jc w:val="both"/>
        <w:rPr>
          <w:rFonts w:ascii="Palatino Linotype" w:hAnsi="Palatino Linotype" w:cs="Arial"/>
          <w:lang w:eastAsia="es-MX"/>
        </w:rPr>
      </w:pPr>
    </w:p>
    <w:p w:rsidR="003B5DE8" w:rsidRDefault="00182D9F">
      <w:pPr>
        <w:widowControl w:val="0"/>
        <w:spacing w:line="360" w:lineRule="auto"/>
        <w:jc w:val="both"/>
        <w:rPr>
          <w:rFonts w:ascii="Palatino Linotype" w:hAnsi="Palatino Linotype"/>
          <w:b/>
        </w:rPr>
      </w:pPr>
      <w:r>
        <w:rPr>
          <w:rFonts w:ascii="Palatino Linotype" w:hAnsi="Palatino Linotype"/>
        </w:rPr>
        <w:t>En consecuencia, esta Ponencia Resolutora, en términos de lo dispuesto en el artículo 186 fracción II de</w:t>
      </w:r>
      <w:r>
        <w:rPr>
          <w:rFonts w:ascii="Palatino Linotype" w:hAnsi="Palatino Linotype"/>
        </w:rPr>
        <w:t xml:space="preserve"> la Ley de Transparencia y Acceso a la </w:t>
      </w:r>
      <w:r>
        <w:rPr>
          <w:rFonts w:ascii="Palatino Linotype" w:hAnsi="Palatino Linotype" w:cs="Arial"/>
        </w:rPr>
        <w:t>Información</w:t>
      </w:r>
      <w:r>
        <w:rPr>
          <w:rFonts w:ascii="Palatino Linotype" w:hAnsi="Palatino Linotype"/>
        </w:rPr>
        <w:t xml:space="preserve"> Pública del Estado </w:t>
      </w:r>
      <w:r>
        <w:rPr>
          <w:rFonts w:ascii="Palatino Linotype" w:hAnsi="Palatino Linotype"/>
        </w:rPr>
        <w:lastRenderedPageBreak/>
        <w:t xml:space="preserve">de México y Municipios, determina </w:t>
      </w:r>
      <w:r>
        <w:rPr>
          <w:rFonts w:ascii="Palatino Linotype" w:hAnsi="Palatino Linotype"/>
          <w:b/>
        </w:rPr>
        <w:t>CONFIRMAR</w:t>
      </w:r>
      <w:r>
        <w:rPr>
          <w:rFonts w:ascii="Palatino Linotype" w:hAnsi="Palatino Linotype"/>
        </w:rPr>
        <w:t xml:space="preserve"> la respuesta del </w:t>
      </w:r>
      <w:r>
        <w:rPr>
          <w:rFonts w:ascii="Palatino Linotype" w:hAnsi="Palatino Linotype"/>
          <w:b/>
        </w:rPr>
        <w:t>SUJETO OBLIGADO.</w:t>
      </w:r>
    </w:p>
    <w:p w:rsidR="003B5DE8" w:rsidRDefault="003B5DE8">
      <w:pPr>
        <w:widowControl w:val="0"/>
        <w:spacing w:line="360" w:lineRule="auto"/>
        <w:jc w:val="both"/>
        <w:rPr>
          <w:rFonts w:ascii="Palatino Linotype" w:eastAsia="Calibri" w:hAnsi="Palatino Linotype" w:cs="Arial"/>
        </w:rPr>
      </w:pPr>
    </w:p>
    <w:p w:rsidR="003B5DE8" w:rsidRDefault="00182D9F">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vigésimo segundo, vigésimo tercero y </w:t>
      </w:r>
      <w:r>
        <w:rPr>
          <w:rFonts w:ascii="Palatino Linotype" w:eastAsia="Calibri" w:hAnsi="Palatino Linotype" w:cs="Arial"/>
        </w:rPr>
        <w:t>vigésimo cuarto y fracciones IV y V de la Constitución Política del Estado Libre y Soberano de México; 2, fracción II, 29, 36, fracciones I y II, 176, 178, 179, 181, 185, fracción I, 186 y 188 de la Ley de Transparencia y Acceso a la Información Pública de</w:t>
      </w:r>
      <w:r>
        <w:rPr>
          <w:rFonts w:ascii="Palatino Linotype" w:eastAsia="Calibri" w:hAnsi="Palatino Linotype" w:cs="Arial"/>
        </w:rPr>
        <w:t>l Estado de México y Municipios, este Pleno:</w:t>
      </w:r>
    </w:p>
    <w:p w:rsidR="003B5DE8" w:rsidRDefault="003B5DE8">
      <w:pPr>
        <w:spacing w:line="360" w:lineRule="auto"/>
        <w:jc w:val="center"/>
        <w:rPr>
          <w:rFonts w:ascii="Palatino Linotype" w:eastAsia="Calibri" w:hAnsi="Palatino Linotype" w:cs="Arial"/>
          <w:b/>
          <w:sz w:val="28"/>
        </w:rPr>
      </w:pPr>
    </w:p>
    <w:p w:rsidR="003B5DE8" w:rsidRDefault="00182D9F">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3B5DE8" w:rsidRDefault="003B5DE8">
      <w:pPr>
        <w:spacing w:line="360" w:lineRule="auto"/>
        <w:jc w:val="center"/>
        <w:rPr>
          <w:rFonts w:ascii="Palatino Linotype" w:eastAsia="Calibri" w:hAnsi="Palatino Linotype" w:cs="Arial"/>
          <w:b/>
          <w:sz w:val="28"/>
        </w:rPr>
      </w:pPr>
    </w:p>
    <w:p w:rsidR="003B5DE8" w:rsidRDefault="00182D9F">
      <w:pPr>
        <w:pStyle w:val="Prrafodelista"/>
        <w:widowControl w:val="0"/>
        <w:numPr>
          <w:ilvl w:val="0"/>
          <w:numId w:val="4"/>
        </w:numPr>
        <w:tabs>
          <w:tab w:val="left" w:pos="1701"/>
        </w:tabs>
        <w:spacing w:line="360" w:lineRule="auto"/>
        <w:ind w:left="0" w:firstLine="0"/>
        <w:jc w:val="both"/>
        <w:rPr>
          <w:rFonts w:ascii="Palatino Linotype" w:hAnsi="Palatino Linotype"/>
          <w:b/>
        </w:rPr>
      </w:pPr>
      <w:r>
        <w:rPr>
          <w:rFonts w:ascii="Palatino Linotype" w:hAnsi="Palatino Linotype"/>
        </w:rPr>
        <w:t xml:space="preserve">Resultan </w:t>
      </w:r>
      <w:r>
        <w:rPr>
          <w:rFonts w:ascii="Palatino Linotype" w:hAnsi="Palatino Linotype" w:cs="Arial"/>
          <w:b/>
        </w:rPr>
        <w:t>infundadas</w:t>
      </w:r>
      <w:r>
        <w:rPr>
          <w:rFonts w:ascii="Palatino Linotype" w:hAnsi="Palatino Linotype"/>
        </w:rPr>
        <w:t xml:space="preserve"> las razones o motivos de inconformidad planteadas por </w:t>
      </w:r>
      <w:r>
        <w:rPr>
          <w:rFonts w:ascii="Palatino Linotype" w:hAnsi="Palatino Linotype"/>
          <w:b/>
        </w:rPr>
        <w:t xml:space="preserve">EL RECURRENTE </w:t>
      </w:r>
      <w:r>
        <w:rPr>
          <w:rFonts w:ascii="Palatino Linotype" w:hAnsi="Palatino Linotype"/>
        </w:rPr>
        <w:t xml:space="preserve">y analizadas en el Considerando </w:t>
      </w:r>
      <w:r>
        <w:rPr>
          <w:rFonts w:ascii="Palatino Linotype" w:hAnsi="Palatino Linotype"/>
          <w:b/>
        </w:rPr>
        <w:t>QUINTO</w:t>
      </w:r>
      <w:r>
        <w:rPr>
          <w:rFonts w:ascii="Palatino Linotype" w:hAnsi="Palatino Linotype"/>
        </w:rPr>
        <w:t xml:space="preserve"> de esta resolución.</w:t>
      </w:r>
    </w:p>
    <w:p w:rsidR="003B5DE8" w:rsidRDefault="003B5DE8">
      <w:pPr>
        <w:pStyle w:val="Prrafodelista"/>
        <w:widowControl w:val="0"/>
        <w:tabs>
          <w:tab w:val="left" w:pos="1701"/>
        </w:tabs>
        <w:spacing w:line="360" w:lineRule="auto"/>
        <w:ind w:left="0"/>
        <w:jc w:val="both"/>
        <w:rPr>
          <w:rFonts w:ascii="Palatino Linotype" w:hAnsi="Palatino Linotype"/>
          <w:b/>
        </w:rPr>
      </w:pPr>
    </w:p>
    <w:p w:rsidR="003B5DE8" w:rsidRDefault="00182D9F">
      <w:pPr>
        <w:pStyle w:val="Prrafodelista"/>
        <w:widowControl w:val="0"/>
        <w:numPr>
          <w:ilvl w:val="0"/>
          <w:numId w:val="4"/>
        </w:numPr>
        <w:tabs>
          <w:tab w:val="left" w:pos="1701"/>
        </w:tabs>
        <w:spacing w:line="360" w:lineRule="auto"/>
        <w:ind w:left="0" w:firstLine="0"/>
        <w:jc w:val="both"/>
        <w:rPr>
          <w:rFonts w:ascii="Palatino Linotype" w:hAnsi="Palatino Linotype"/>
          <w:b/>
        </w:rPr>
      </w:pPr>
      <w:r>
        <w:rPr>
          <w:rFonts w:ascii="Palatino Linotype" w:hAnsi="Palatino Linotype"/>
        </w:rPr>
        <w:t xml:space="preserve">Se </w:t>
      </w:r>
      <w:r>
        <w:rPr>
          <w:rFonts w:ascii="Palatino Linotype" w:hAnsi="Palatino Linotype"/>
          <w:b/>
        </w:rPr>
        <w:t>CONFIRMA</w:t>
      </w:r>
      <w:r>
        <w:rPr>
          <w:rFonts w:ascii="Palatino Linotype" w:hAnsi="Palatino Linotype"/>
        </w:rPr>
        <w:t xml:space="preserve"> la respuesta del </w:t>
      </w:r>
      <w:r>
        <w:rPr>
          <w:rFonts w:ascii="Palatino Linotype" w:hAnsi="Palatino Linotype"/>
          <w:b/>
        </w:rPr>
        <w:t>SUJETO OBLIGADO</w:t>
      </w:r>
      <w:r>
        <w:rPr>
          <w:rFonts w:ascii="Palatino Linotype" w:hAnsi="Palatino Linotype"/>
        </w:rPr>
        <w:t xml:space="preserve"> otorgada a la solicitud de información recaída en el recurso de revisión número </w:t>
      </w:r>
      <w:r>
        <w:rPr>
          <w:rFonts w:ascii="Palatino Linotype" w:hAnsi="Palatino Linotype"/>
          <w:b/>
          <w:bCs/>
        </w:rPr>
        <w:t>01612/INFOEM/IP/2020</w:t>
      </w:r>
      <w:r>
        <w:rPr>
          <w:rFonts w:ascii="Palatino Linotype" w:hAnsi="Palatino Linotype"/>
        </w:rPr>
        <w:t xml:space="preserve">, en términos del Considerando </w:t>
      </w:r>
      <w:r>
        <w:rPr>
          <w:rFonts w:ascii="Palatino Linotype" w:hAnsi="Palatino Linotype"/>
          <w:b/>
        </w:rPr>
        <w:t>QUINTO</w:t>
      </w:r>
      <w:r>
        <w:rPr>
          <w:rFonts w:ascii="Palatino Linotype" w:hAnsi="Palatino Linotype"/>
        </w:rPr>
        <w:t>.</w:t>
      </w:r>
    </w:p>
    <w:p w:rsidR="003B5DE8" w:rsidRDefault="003B5DE8">
      <w:pPr>
        <w:pStyle w:val="Prrafodelista"/>
        <w:widowControl w:val="0"/>
        <w:tabs>
          <w:tab w:val="left" w:pos="1701"/>
        </w:tabs>
        <w:spacing w:line="360" w:lineRule="auto"/>
        <w:ind w:left="0"/>
        <w:jc w:val="both"/>
        <w:rPr>
          <w:rFonts w:ascii="Palatino Linotype" w:hAnsi="Palatino Linotype"/>
          <w:b/>
        </w:rPr>
      </w:pPr>
    </w:p>
    <w:p w:rsidR="003B5DE8" w:rsidRDefault="00182D9F">
      <w:pPr>
        <w:pStyle w:val="Prrafodelista"/>
        <w:widowControl w:val="0"/>
        <w:numPr>
          <w:ilvl w:val="0"/>
          <w:numId w:val="4"/>
        </w:numPr>
        <w:tabs>
          <w:tab w:val="left" w:pos="1701"/>
        </w:tabs>
        <w:spacing w:line="360" w:lineRule="auto"/>
        <w:ind w:left="0" w:firstLine="0"/>
        <w:jc w:val="both"/>
        <w:rPr>
          <w:rFonts w:ascii="Palatino Linotype" w:hAnsi="Palatino Linotype"/>
          <w:b/>
        </w:rPr>
      </w:pPr>
      <w:r>
        <w:rPr>
          <w:rFonts w:ascii="Palatino Linotype" w:hAnsi="Palatino Linotype"/>
          <w:b/>
        </w:rPr>
        <w:t>Notifíquese</w:t>
      </w:r>
      <w:r>
        <w:rPr>
          <w:rFonts w:ascii="Palatino Linotype" w:hAnsi="Palatino Linotype"/>
        </w:rPr>
        <w:t xml:space="preserve"> la presente resolución al Titular de la Unidad de Transparencia del </w:t>
      </w:r>
      <w:r>
        <w:rPr>
          <w:rFonts w:ascii="Palatino Linotype" w:hAnsi="Palatino Linotype"/>
          <w:b/>
        </w:rPr>
        <w:t>SUJETO OBLIGADO</w:t>
      </w:r>
      <w:r>
        <w:rPr>
          <w:rFonts w:ascii="Palatino Linotype" w:hAnsi="Palatino Linotype"/>
        </w:rPr>
        <w:t xml:space="preserve"> para su conocimient</w:t>
      </w:r>
      <w:r>
        <w:rPr>
          <w:rFonts w:ascii="Palatino Linotype" w:hAnsi="Palatino Linotype"/>
        </w:rPr>
        <w:t>o.</w:t>
      </w:r>
    </w:p>
    <w:p w:rsidR="003B5DE8" w:rsidRDefault="003B5DE8">
      <w:pPr>
        <w:pStyle w:val="Prrafodelista"/>
        <w:widowControl w:val="0"/>
        <w:tabs>
          <w:tab w:val="left" w:pos="1701"/>
        </w:tabs>
        <w:spacing w:line="360" w:lineRule="auto"/>
        <w:ind w:left="0"/>
        <w:jc w:val="both"/>
        <w:rPr>
          <w:rFonts w:ascii="Palatino Linotype" w:hAnsi="Palatino Linotype"/>
          <w:b/>
        </w:rPr>
      </w:pPr>
    </w:p>
    <w:p w:rsidR="003B5DE8" w:rsidRDefault="00182D9F">
      <w:pPr>
        <w:pStyle w:val="Prrafodelista"/>
        <w:widowControl w:val="0"/>
        <w:numPr>
          <w:ilvl w:val="0"/>
          <w:numId w:val="4"/>
        </w:numPr>
        <w:tabs>
          <w:tab w:val="left" w:pos="1701"/>
        </w:tabs>
        <w:spacing w:line="360" w:lineRule="auto"/>
        <w:ind w:left="0" w:firstLine="0"/>
        <w:jc w:val="both"/>
        <w:rPr>
          <w:rFonts w:ascii="Palatino Linotype" w:hAnsi="Palatino Linotype"/>
          <w:lang w:eastAsia="es-ES_tradnl"/>
        </w:rPr>
      </w:pPr>
      <w:r>
        <w:rPr>
          <w:rFonts w:ascii="Palatino Linotype" w:hAnsi="Palatino Linotype"/>
          <w:b/>
          <w:lang w:eastAsia="es-ES_tradnl"/>
        </w:rPr>
        <w:t>Notifíquese</w:t>
      </w:r>
      <w:r>
        <w:rPr>
          <w:rFonts w:ascii="Palatino Linotype" w:hAnsi="Palatino Linotype"/>
          <w:lang w:eastAsia="es-ES_tradnl"/>
        </w:rPr>
        <w:t xml:space="preserve"> al</w:t>
      </w:r>
      <w:r>
        <w:rPr>
          <w:rFonts w:ascii="Palatino Linotype" w:hAnsi="Palatino Linotype"/>
          <w:b/>
          <w:lang w:eastAsia="es-ES_tradnl"/>
        </w:rPr>
        <w:t xml:space="preserve"> RECURRENTE</w:t>
      </w:r>
      <w:r>
        <w:rPr>
          <w:rFonts w:ascii="Palatino Linotype" w:hAnsi="Palatino Linotype"/>
          <w:lang w:eastAsia="es-ES_tradnl"/>
        </w:rPr>
        <w:t xml:space="preserve"> la </w:t>
      </w:r>
      <w:r>
        <w:rPr>
          <w:rFonts w:ascii="Palatino Linotype" w:hAnsi="Palatino Linotype"/>
        </w:rPr>
        <w:t>presente</w:t>
      </w:r>
      <w:r>
        <w:rPr>
          <w:rFonts w:ascii="Palatino Linotype" w:hAnsi="Palatino Linotype"/>
          <w:lang w:eastAsia="es-ES_tradnl"/>
        </w:rPr>
        <w:t xml:space="preserve"> resolución y el Informe Justificado.</w:t>
      </w:r>
    </w:p>
    <w:p w:rsidR="003B5DE8" w:rsidRDefault="003B5DE8">
      <w:pPr>
        <w:pStyle w:val="Prrafodelista"/>
        <w:widowControl w:val="0"/>
        <w:tabs>
          <w:tab w:val="left" w:pos="1701"/>
        </w:tabs>
        <w:spacing w:line="360" w:lineRule="auto"/>
        <w:ind w:left="0"/>
        <w:jc w:val="both"/>
        <w:rPr>
          <w:rFonts w:ascii="Palatino Linotype" w:hAnsi="Palatino Linotype"/>
          <w:lang w:eastAsia="es-ES_tradnl"/>
        </w:rPr>
      </w:pPr>
    </w:p>
    <w:p w:rsidR="003B5DE8" w:rsidRDefault="00182D9F">
      <w:pPr>
        <w:pStyle w:val="Prrafodelista"/>
        <w:widowControl w:val="0"/>
        <w:numPr>
          <w:ilvl w:val="0"/>
          <w:numId w:val="4"/>
        </w:numPr>
        <w:tabs>
          <w:tab w:val="left" w:pos="1701"/>
        </w:tabs>
        <w:spacing w:line="360" w:lineRule="auto"/>
        <w:ind w:left="0" w:firstLine="0"/>
        <w:jc w:val="both"/>
        <w:rPr>
          <w:rFonts w:ascii="Palatino Linotype" w:hAnsi="Palatino Linotype"/>
        </w:rPr>
      </w:pPr>
      <w:r>
        <w:rPr>
          <w:rFonts w:ascii="Palatino Linotype" w:hAnsi="Palatino Linotype"/>
          <w:b/>
          <w:lang w:eastAsia="es-ES_tradnl"/>
        </w:rPr>
        <w:t>Hágase</w:t>
      </w:r>
      <w:r>
        <w:rPr>
          <w:rFonts w:ascii="Palatino Linotype" w:hAnsi="Palatino Linotype"/>
          <w:lang w:eastAsia="es-ES_tradnl"/>
        </w:rPr>
        <w:t xml:space="preserve"> </w:t>
      </w:r>
      <w:r>
        <w:rPr>
          <w:rFonts w:ascii="Palatino Linotype" w:hAnsi="Palatino Linotype"/>
          <w:b/>
          <w:lang w:eastAsia="es-ES_tradnl"/>
        </w:rPr>
        <w:t xml:space="preserve">del </w:t>
      </w:r>
      <w:r>
        <w:rPr>
          <w:rFonts w:ascii="Palatino Linotype" w:hAnsi="Palatino Linotype"/>
          <w:b/>
        </w:rPr>
        <w:t>conocimiento</w:t>
      </w:r>
      <w:r>
        <w:rPr>
          <w:rFonts w:ascii="Palatino Linotype" w:hAnsi="Palatino Linotype"/>
          <w:b/>
          <w:lang w:eastAsia="es-ES_tradnl"/>
        </w:rPr>
        <w:t xml:space="preserve"> </w:t>
      </w:r>
      <w:r>
        <w:rPr>
          <w:rFonts w:ascii="Palatino Linotype" w:hAnsi="Palatino Linotype"/>
          <w:lang w:eastAsia="es-ES_tradnl"/>
        </w:rPr>
        <w:t>del</w:t>
      </w:r>
      <w:r>
        <w:rPr>
          <w:rFonts w:ascii="Palatino Linotype" w:hAnsi="Palatino Linotype"/>
          <w:b/>
          <w:lang w:eastAsia="es-ES_tradnl"/>
        </w:rPr>
        <w:t xml:space="preserve"> RECURRENTE</w:t>
      </w:r>
      <w:r>
        <w:rPr>
          <w:rFonts w:ascii="Palatino Linotype" w:hAnsi="Palatino Linotype"/>
          <w:lang w:eastAsia="es-ES_tradnl"/>
        </w:rPr>
        <w:t xml:space="preserve">, que de </w:t>
      </w:r>
      <w:r>
        <w:rPr>
          <w:rFonts w:ascii="Palatino Linotype" w:hAnsi="Palatino Linotype"/>
        </w:rPr>
        <w:t>conformidad</w:t>
      </w:r>
      <w:r>
        <w:rPr>
          <w:rFonts w:ascii="Palatino Linotype" w:hAnsi="Palatino Linotype"/>
          <w:lang w:eastAsia="es-ES_tradnl"/>
        </w:rPr>
        <w:t xml:space="preserve"> </w:t>
      </w:r>
      <w:r>
        <w:rPr>
          <w:rFonts w:ascii="Palatino Linotype" w:hAnsi="Palatino Linotype" w:cs="Arial"/>
        </w:rPr>
        <w:t>con</w:t>
      </w:r>
      <w:r>
        <w:rPr>
          <w:rFonts w:ascii="Palatino Linotype" w:hAnsi="Palatino Linotype"/>
          <w:lang w:eastAsia="es-ES_tradnl"/>
        </w:rPr>
        <w:t xml:space="preserve"> lo </w:t>
      </w:r>
      <w:r>
        <w:rPr>
          <w:rFonts w:ascii="Palatino Linotype" w:hAnsi="Palatino Linotype" w:cs="Arial"/>
        </w:rPr>
        <w:t>establecido</w:t>
      </w:r>
      <w:r>
        <w:rPr>
          <w:rFonts w:ascii="Palatino Linotype" w:hAnsi="Palatino Linotype"/>
          <w:lang w:eastAsia="es-ES_tradnl"/>
        </w:rPr>
        <w:t xml:space="preserve"> en el artículo 196 de la Ley de Transparencia y Acceso a la Información Pública del Estado de Méxi</w:t>
      </w:r>
      <w:r>
        <w:rPr>
          <w:rFonts w:ascii="Palatino Linotype" w:hAnsi="Palatino Linotype"/>
          <w:lang w:eastAsia="es-ES_tradnl"/>
        </w:rPr>
        <w:t>co y Municipios, podrá impugnarla vía Juicio de Amparo en los términos de las leyes aplicables.</w:t>
      </w:r>
    </w:p>
    <w:p w:rsidR="003B5DE8" w:rsidRDefault="003B5DE8">
      <w:pPr>
        <w:pStyle w:val="Prrafodelista"/>
        <w:spacing w:line="360" w:lineRule="auto"/>
        <w:rPr>
          <w:rFonts w:ascii="Palatino Linotype" w:hAnsi="Palatino Linotype"/>
        </w:rPr>
      </w:pPr>
      <w:bookmarkStart w:id="3" w:name="_Ref3465962"/>
      <w:bookmarkEnd w:id="3"/>
    </w:p>
    <w:p w:rsidR="003B5DE8" w:rsidRDefault="00182D9F">
      <w:pPr>
        <w:spacing w:line="360" w:lineRule="auto"/>
        <w:jc w:val="both"/>
        <w:rPr>
          <w:rFonts w:ascii="Palatino Linotype" w:eastAsia="Calibri"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xml:space="preserve">, ACCESO A LA INFORMACIÓN PÚBLICA Y PROTECCIÓN DE DATOS PERSONALES DEL ESTADO </w:t>
      </w:r>
      <w:r>
        <w:rPr>
          <w:rFonts w:ascii="Palatino Linotype" w:eastAsia="Arial Unicode MS" w:hAnsi="Palatino Linotype" w:cs="Arial"/>
        </w:rPr>
        <w:t>DE MÉXICO Y MUNICIPIOS</w:t>
      </w:r>
      <w:r>
        <w:rPr>
          <w:rFonts w:ascii="Palatino Linotype" w:hAnsi="Palatino Linotype" w:cs="Arial"/>
        </w:rPr>
        <w:t>, CONFORMADO POR LOS COMISIONADOS ZULEMA MARTÍNEZ SÁNCHEZ; EVA ABAID YAPUR; JOSÉ GUADALUPE LUNA HERNÁNDEZ, JAVIER MARTÍN</w:t>
      </w:r>
      <w:bookmarkStart w:id="4" w:name="_GoBack"/>
      <w:bookmarkEnd w:id="4"/>
      <w:r>
        <w:rPr>
          <w:rFonts w:ascii="Palatino Linotype" w:hAnsi="Palatino Linotype" w:cs="Arial"/>
        </w:rPr>
        <w:t xml:space="preserve">EZ CRUZ Y LUIS GUSTAVO PARRA NORIEGA, </w:t>
      </w:r>
      <w:r>
        <w:rPr>
          <w:rFonts w:ascii="Palatino Linotype" w:hAnsi="Palatino Linotype" w:cs="Arial"/>
        </w:rPr>
        <w:t>EN LA DÉCIMA</w:t>
      </w:r>
      <w:r>
        <w:rPr>
          <w:rFonts w:ascii="Palatino Linotype" w:hAnsi="Palatino Linotype" w:cs="Arial"/>
        </w:rPr>
        <w:t xml:space="preserve"> QUINTA SESIÓN ORDINARIA CELEBRADA EL DÍA VEINTISÉIS DE AGOSTO D</w:t>
      </w:r>
      <w:r>
        <w:rPr>
          <w:rFonts w:ascii="Palatino Linotype" w:hAnsi="Palatino Linotype" w:cs="Arial"/>
        </w:rPr>
        <w:t xml:space="preserve">E DOS MIL VEINTE, ANTE EL SECRETARIO TÉCNICO DEL PLENO, </w:t>
      </w:r>
      <w:r>
        <w:rPr>
          <w:rFonts w:ascii="Palatino Linotype" w:eastAsia="Arial Unicode MS" w:hAnsi="Palatino Linotype" w:cs="Arial"/>
        </w:rPr>
        <w:t>ALEXIS</w:t>
      </w:r>
      <w:r>
        <w:rPr>
          <w:rFonts w:ascii="Palatino Linotype" w:hAnsi="Palatino Linotype" w:cs="Arial"/>
        </w:rPr>
        <w:t xml:space="preserve"> TAPIA RAMÍREZ.</w:t>
      </w:r>
    </w:p>
    <w:p w:rsidR="003B5DE8" w:rsidRDefault="00182D9F">
      <w:pPr>
        <w:tabs>
          <w:tab w:val="left" w:pos="1517"/>
        </w:tabs>
        <w:spacing w:line="360" w:lineRule="auto"/>
        <w:jc w:val="both"/>
        <w:rPr>
          <w:rFonts w:ascii="Palatino Linotype" w:hAnsi="Palatino Linotype" w:cs="Arial"/>
        </w:rPr>
      </w:pPr>
      <w:r>
        <w:rPr>
          <w:rFonts w:ascii="Palatino Linotype" w:hAnsi="Palatino Linotype" w:cs="Arial"/>
        </w:rPr>
        <w:tab/>
      </w:r>
    </w:p>
    <w:tbl>
      <w:tblPr>
        <w:tblW w:w="9210" w:type="dxa"/>
        <w:jc w:val="center"/>
        <w:tblLook w:val="04A0" w:firstRow="1" w:lastRow="0" w:firstColumn="1" w:lastColumn="0" w:noHBand="0" w:noVBand="1"/>
      </w:tblPr>
      <w:tblGrid>
        <w:gridCol w:w="4756"/>
        <w:gridCol w:w="4454"/>
      </w:tblGrid>
      <w:tr w:rsidR="003B5DE8">
        <w:trPr>
          <w:jc w:val="center"/>
        </w:trPr>
        <w:tc>
          <w:tcPr>
            <w:tcW w:w="9209" w:type="dxa"/>
            <w:gridSpan w:val="2"/>
          </w:tcPr>
          <w:p w:rsidR="003B5DE8" w:rsidRDefault="003B5DE8">
            <w:pPr>
              <w:jc w:val="center"/>
              <w:rPr>
                <w:rFonts w:ascii="Palatino Linotype" w:hAnsi="Palatino Linotype" w:cs="Arial"/>
                <w:b/>
                <w:color w:val="000000" w:themeColor="text1"/>
                <w:lang w:val="es-ES_tradnl"/>
              </w:rPr>
            </w:pPr>
          </w:p>
          <w:p w:rsidR="003B5DE8" w:rsidRDefault="003B5DE8">
            <w:pPr>
              <w:jc w:val="center"/>
              <w:rPr>
                <w:rFonts w:ascii="Palatino Linotype" w:hAnsi="Palatino Linotype" w:cs="Arial"/>
                <w:b/>
                <w:color w:val="000000" w:themeColor="text1"/>
                <w:lang w:val="es-ES_tradnl"/>
              </w:rPr>
            </w:pPr>
          </w:p>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Zulema Martínez Sánchez</w:t>
            </w:r>
          </w:p>
          <w:p w:rsidR="003B5DE8" w:rsidRDefault="00182D9F">
            <w:pPr>
              <w:jc w:val="center"/>
              <w:rPr>
                <w:rFonts w:ascii="Palatino Linotype" w:hAnsi="Palatino Linotype" w:cs="Arial"/>
                <w:b/>
                <w:color w:val="000000" w:themeColor="text1"/>
                <w:lang w:val="es-ES_tradnl"/>
              </w:rPr>
            </w:pPr>
            <w:r>
              <w:rPr>
                <w:rFonts w:ascii="Palatino Linotype" w:hAnsi="Palatino Linotype" w:cs="Arial"/>
                <w:color w:val="000000" w:themeColor="text1"/>
                <w:lang w:val="es-ES_tradnl"/>
              </w:rPr>
              <w:t>Comisionada Presidenta</w:t>
            </w:r>
          </w:p>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p w:rsidR="003B5DE8" w:rsidRDefault="003B5DE8">
            <w:pPr>
              <w:jc w:val="center"/>
              <w:rPr>
                <w:rFonts w:ascii="Palatino Linotype" w:hAnsi="Palatino Linotype" w:cs="Arial"/>
                <w:b/>
                <w:color w:val="000000" w:themeColor="text1"/>
                <w:lang w:val="es-ES_tradnl"/>
              </w:rPr>
            </w:pPr>
          </w:p>
          <w:p w:rsidR="003B5DE8" w:rsidRDefault="003B5DE8">
            <w:pPr>
              <w:rPr>
                <w:rFonts w:ascii="Palatino Linotype" w:hAnsi="Palatino Linotype" w:cs="Arial"/>
                <w:b/>
                <w:color w:val="000000" w:themeColor="text1"/>
                <w:lang w:val="es-ES_tradnl"/>
              </w:rPr>
            </w:pPr>
          </w:p>
          <w:p w:rsidR="003B5DE8" w:rsidRDefault="003B5DE8">
            <w:pPr>
              <w:jc w:val="center"/>
              <w:rPr>
                <w:rFonts w:ascii="Palatino Linotype" w:hAnsi="Palatino Linotype" w:cs="Arial"/>
                <w:b/>
                <w:color w:val="000000" w:themeColor="text1"/>
                <w:lang w:val="es-ES_tradnl"/>
              </w:rPr>
            </w:pPr>
          </w:p>
        </w:tc>
      </w:tr>
      <w:tr w:rsidR="003B5DE8">
        <w:trPr>
          <w:jc w:val="center"/>
        </w:trPr>
        <w:tc>
          <w:tcPr>
            <w:tcW w:w="4755" w:type="dxa"/>
          </w:tcPr>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lastRenderedPageBreak/>
              <w:t>Eva Abaid Yapur</w:t>
            </w:r>
          </w:p>
          <w:p w:rsidR="003B5DE8" w:rsidRDefault="00182D9F">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Comisionada</w:t>
            </w:r>
          </w:p>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c>
          <w:tcPr>
            <w:tcW w:w="4454" w:type="dxa"/>
          </w:tcPr>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José Guadalupe Luna Hernández</w:t>
            </w:r>
          </w:p>
          <w:p w:rsidR="003B5DE8" w:rsidRDefault="00182D9F">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3B5DE8">
        <w:trPr>
          <w:jc w:val="center"/>
        </w:trPr>
        <w:tc>
          <w:tcPr>
            <w:tcW w:w="4755" w:type="dxa"/>
          </w:tcPr>
          <w:p w:rsidR="003B5DE8" w:rsidRDefault="003B5DE8">
            <w:pPr>
              <w:jc w:val="center"/>
              <w:rPr>
                <w:rFonts w:ascii="Palatino Linotype" w:hAnsi="Palatino Linotype" w:cs="Arial"/>
                <w:b/>
                <w:color w:val="000000" w:themeColor="text1"/>
                <w:lang w:val="es-ES_tradnl"/>
              </w:rPr>
            </w:pPr>
          </w:p>
          <w:p w:rsidR="003B5DE8" w:rsidRDefault="003B5DE8">
            <w:pPr>
              <w:rPr>
                <w:rFonts w:ascii="Palatino Linotype" w:hAnsi="Palatino Linotype" w:cs="Arial"/>
                <w:b/>
                <w:color w:val="000000" w:themeColor="text1"/>
                <w:lang w:val="es-ES_tradnl"/>
              </w:rPr>
            </w:pPr>
          </w:p>
          <w:p w:rsidR="003B5DE8" w:rsidRDefault="003B5DE8">
            <w:pPr>
              <w:rPr>
                <w:rFonts w:ascii="Palatino Linotype" w:hAnsi="Palatino Linotype" w:cs="Arial"/>
                <w:b/>
                <w:color w:val="000000" w:themeColor="text1"/>
                <w:lang w:val="es-ES_tradnl"/>
              </w:rPr>
            </w:pPr>
          </w:p>
          <w:p w:rsidR="003B5DE8" w:rsidRDefault="003B5DE8">
            <w:pPr>
              <w:rPr>
                <w:rFonts w:ascii="Palatino Linotype" w:hAnsi="Palatino Linotype" w:cs="Arial"/>
                <w:b/>
                <w:color w:val="000000" w:themeColor="text1"/>
                <w:lang w:val="es-ES_tradnl"/>
              </w:rPr>
            </w:pPr>
          </w:p>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 xml:space="preserve">Javier Martínez </w:t>
            </w:r>
            <w:r>
              <w:rPr>
                <w:rFonts w:ascii="Palatino Linotype" w:hAnsi="Palatino Linotype" w:cs="Arial"/>
                <w:b/>
                <w:color w:val="000000" w:themeColor="text1"/>
                <w:lang w:val="es-ES_tradnl"/>
              </w:rPr>
              <w:t>Cruz</w:t>
            </w:r>
          </w:p>
          <w:p w:rsidR="003B5DE8" w:rsidRDefault="00182D9F">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3B5DE8" w:rsidRDefault="00182D9F">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p>
        </w:tc>
        <w:tc>
          <w:tcPr>
            <w:tcW w:w="4454" w:type="dxa"/>
          </w:tcPr>
          <w:p w:rsidR="003B5DE8" w:rsidRDefault="003B5DE8">
            <w:pPr>
              <w:jc w:val="center"/>
              <w:rPr>
                <w:rFonts w:ascii="Palatino Linotype" w:hAnsi="Palatino Linotype" w:cs="Arial"/>
                <w:b/>
                <w:color w:val="000000" w:themeColor="text1"/>
                <w:lang w:val="es-ES_tradnl"/>
              </w:rPr>
            </w:pPr>
          </w:p>
          <w:p w:rsidR="003B5DE8" w:rsidRDefault="003B5DE8">
            <w:pPr>
              <w:jc w:val="center"/>
              <w:rPr>
                <w:rFonts w:ascii="Palatino Linotype" w:hAnsi="Palatino Linotype" w:cs="Arial"/>
                <w:b/>
                <w:color w:val="000000" w:themeColor="text1"/>
                <w:lang w:val="es-ES_tradnl"/>
              </w:rPr>
            </w:pPr>
          </w:p>
          <w:p w:rsidR="003B5DE8" w:rsidRDefault="003B5DE8">
            <w:pPr>
              <w:jc w:val="center"/>
              <w:rPr>
                <w:rFonts w:ascii="Palatino Linotype" w:hAnsi="Palatino Linotype" w:cs="Arial"/>
                <w:b/>
                <w:color w:val="000000" w:themeColor="text1"/>
                <w:lang w:val="es-ES_tradnl"/>
              </w:rPr>
            </w:pPr>
          </w:p>
          <w:p w:rsidR="003B5DE8" w:rsidRDefault="003B5DE8">
            <w:pPr>
              <w:jc w:val="center"/>
              <w:rPr>
                <w:rFonts w:ascii="Palatino Linotype" w:hAnsi="Palatino Linotype" w:cs="Arial"/>
                <w:b/>
                <w:color w:val="000000" w:themeColor="text1"/>
                <w:lang w:val="es-ES_tradnl"/>
              </w:rPr>
            </w:pPr>
          </w:p>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Luis Gustavo Parra Noriega</w:t>
            </w:r>
          </w:p>
          <w:p w:rsidR="003B5DE8" w:rsidRDefault="00182D9F">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Comisionado</w:t>
            </w:r>
          </w:p>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(RÚBRICA)</w:t>
            </w:r>
          </w:p>
        </w:tc>
      </w:tr>
      <w:tr w:rsidR="003B5DE8">
        <w:trPr>
          <w:jc w:val="center"/>
        </w:trPr>
        <w:tc>
          <w:tcPr>
            <w:tcW w:w="9209" w:type="dxa"/>
            <w:gridSpan w:val="2"/>
          </w:tcPr>
          <w:p w:rsidR="003B5DE8" w:rsidRDefault="003B5DE8">
            <w:pPr>
              <w:rPr>
                <w:rFonts w:ascii="Palatino Linotype" w:hAnsi="Palatino Linotype" w:cs="Arial"/>
                <w:b/>
                <w:color w:val="000000" w:themeColor="text1"/>
                <w:lang w:val="es-ES_tradnl"/>
              </w:rPr>
            </w:pPr>
          </w:p>
          <w:p w:rsidR="003B5DE8" w:rsidRDefault="003B5DE8">
            <w:pPr>
              <w:rPr>
                <w:rFonts w:ascii="Palatino Linotype" w:hAnsi="Palatino Linotype" w:cs="Arial"/>
                <w:b/>
                <w:color w:val="000000" w:themeColor="text1"/>
                <w:lang w:val="es-ES_tradnl"/>
              </w:rPr>
            </w:pPr>
          </w:p>
          <w:p w:rsidR="003B5DE8" w:rsidRDefault="003B5DE8">
            <w:pPr>
              <w:rPr>
                <w:rFonts w:ascii="Palatino Linotype" w:hAnsi="Palatino Linotype" w:cs="Arial"/>
                <w:b/>
                <w:color w:val="000000" w:themeColor="text1"/>
                <w:lang w:val="es-ES_tradnl"/>
              </w:rPr>
            </w:pPr>
          </w:p>
          <w:p w:rsidR="003B5DE8" w:rsidRDefault="003B5DE8">
            <w:pPr>
              <w:rPr>
                <w:rFonts w:ascii="Palatino Linotype" w:hAnsi="Palatino Linotype" w:cs="Arial"/>
                <w:b/>
                <w:color w:val="000000" w:themeColor="text1"/>
                <w:lang w:val="es-ES_tradnl"/>
              </w:rPr>
            </w:pPr>
          </w:p>
          <w:p w:rsidR="003B5DE8" w:rsidRDefault="00182D9F">
            <w:pPr>
              <w:jc w:val="center"/>
              <w:rPr>
                <w:rFonts w:ascii="Palatino Linotype" w:hAnsi="Palatino Linotype" w:cs="Arial"/>
                <w:b/>
                <w:color w:val="000000" w:themeColor="text1"/>
                <w:lang w:val="es-ES_tradnl"/>
              </w:rPr>
            </w:pPr>
            <w:r>
              <w:rPr>
                <w:rFonts w:ascii="Palatino Linotype" w:hAnsi="Palatino Linotype" w:cs="Arial"/>
                <w:b/>
                <w:color w:val="000000" w:themeColor="text1"/>
                <w:lang w:val="es-ES_tradnl"/>
              </w:rPr>
              <w:t>Alexis Tapia Ramírez</w:t>
            </w:r>
          </w:p>
          <w:p w:rsidR="003B5DE8" w:rsidRDefault="00182D9F">
            <w:pPr>
              <w:jc w:val="center"/>
              <w:rPr>
                <w:rFonts w:ascii="Palatino Linotype" w:hAnsi="Palatino Linotype" w:cs="Arial"/>
                <w:color w:val="000000" w:themeColor="text1"/>
                <w:lang w:val="es-ES_tradnl"/>
              </w:rPr>
            </w:pPr>
            <w:r>
              <w:rPr>
                <w:rFonts w:ascii="Palatino Linotype" w:hAnsi="Palatino Linotype" w:cs="Arial"/>
                <w:color w:val="000000" w:themeColor="text1"/>
                <w:lang w:val="es-ES_tradnl"/>
              </w:rPr>
              <w:t>Secretario Técnico del Pleno</w:t>
            </w:r>
          </w:p>
          <w:p w:rsidR="003B5DE8" w:rsidRDefault="00182D9F">
            <w:pPr>
              <w:jc w:val="center"/>
              <w:rPr>
                <w:rFonts w:ascii="Palatino Linotype" w:hAnsi="Palatino Linotype" w:cs="Arial"/>
                <w:color w:val="000000" w:themeColor="text1"/>
                <w:lang w:val="es-ES_tradnl"/>
              </w:rPr>
            </w:pPr>
            <w:r>
              <w:rPr>
                <w:rFonts w:ascii="Palatino Linotype" w:hAnsi="Palatino Linotype" w:cs="Arial"/>
                <w:b/>
                <w:color w:val="000000" w:themeColor="text1"/>
                <w:lang w:val="es-ES_tradnl"/>
              </w:rPr>
              <w:t>(RÚBRICA)</w:t>
            </w:r>
            <w:r>
              <w:rPr>
                <w:rFonts w:ascii="Palatino Linotype" w:hAnsi="Palatino Linotype" w:cs="Arial"/>
                <w:color w:val="000000" w:themeColor="text1"/>
                <w:lang w:val="es-ES_tradnl"/>
              </w:rPr>
              <w:t xml:space="preserve"> </w:t>
            </w:r>
          </w:p>
        </w:tc>
      </w:tr>
    </w:tbl>
    <w:p w:rsidR="003B5DE8" w:rsidRDefault="00182D9F">
      <w:pPr>
        <w:jc w:val="both"/>
        <w:rPr>
          <w:rFonts w:ascii="Palatino Linotype" w:hAnsi="Palatino Linotype" w:cs="Arial"/>
          <w:sz w:val="22"/>
          <w:lang w:val="es-ES"/>
        </w:rPr>
      </w:pPr>
      <w:r>
        <w:rPr>
          <w:rFonts w:ascii="Palatino Linotype" w:hAnsi="Palatino Linotype" w:cs="Arial"/>
          <w:sz w:val="22"/>
          <w:lang w:val="es-ES"/>
        </w:rPr>
        <w:t xml:space="preserve">Esta hoja corresponde a la resolución de fecha veintiséis de agosto de dos mil veinte, emitida en el recurso de revisión número 01612/INFOEM/IP/RR/2020. </w:t>
      </w:r>
    </w:p>
    <w:p w:rsidR="003B5DE8" w:rsidRDefault="00182D9F">
      <w:pPr>
        <w:jc w:val="both"/>
        <w:rPr>
          <w:rFonts w:ascii="Palatino Linotype" w:hAnsi="Palatino Linotype" w:cs="Arial"/>
          <w:sz w:val="22"/>
          <w:lang w:val="es-ES"/>
        </w:rPr>
      </w:pPr>
      <w:r>
        <w:rPr>
          <w:rFonts w:ascii="Palatino Linotype" w:hAnsi="Palatino Linotype" w:cs="Arial"/>
          <w:sz w:val="22"/>
          <w:lang w:val="es-ES"/>
        </w:rPr>
        <w:t>YSM/ATU</w:t>
      </w:r>
    </w:p>
    <w:sectPr w:rsidR="003B5DE8">
      <w:type w:val="continuous"/>
      <w:pgSz w:w="12240" w:h="15840"/>
      <w:pgMar w:top="1418" w:right="1418" w:bottom="1418" w:left="1701" w:header="709" w:footer="10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D9F" w:rsidRDefault="00182D9F">
      <w:r>
        <w:separator/>
      </w:r>
    </w:p>
  </w:endnote>
  <w:endnote w:type="continuationSeparator" w:id="0">
    <w:p w:rsidR="00182D9F" w:rsidRDefault="0018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DE8" w:rsidRDefault="00182D9F">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E2396">
      <w:rPr>
        <w:rFonts w:ascii="Palatino Linotype" w:hAnsi="Palatino Linotype" w:cs="Arial"/>
        <w:bCs/>
        <w:noProof/>
        <w:sz w:val="22"/>
        <w:szCs w:val="22"/>
      </w:rPr>
      <w:t>19</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E2396">
      <w:rPr>
        <w:rFonts w:ascii="Palatino Linotype" w:hAnsi="Palatino Linotype" w:cs="Arial"/>
        <w:bCs/>
        <w:noProof/>
        <w:sz w:val="22"/>
        <w:szCs w:val="22"/>
      </w:rPr>
      <w:t>24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DE8" w:rsidRDefault="00182D9F">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FE2396">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FE2396">
      <w:rPr>
        <w:rFonts w:ascii="Palatino Linotype" w:hAnsi="Palatino Linotype" w:cs="Arial"/>
        <w:bCs/>
        <w:noProof/>
        <w:sz w:val="22"/>
        <w:szCs w:val="22"/>
      </w:rPr>
      <w:t>24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D9F" w:rsidRDefault="00182D9F">
      <w:r>
        <w:separator/>
      </w:r>
    </w:p>
  </w:footnote>
  <w:footnote w:type="continuationSeparator" w:id="0">
    <w:p w:rsidR="00182D9F" w:rsidRDefault="00182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DE8" w:rsidRDefault="00182D9F">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2" behindDoc="1" locked="0" layoutInCell="1" allowOverlap="1">
          <wp:simplePos x="0" y="0"/>
          <wp:positionH relativeFrom="column">
            <wp:align>center</wp:align>
          </wp:positionH>
          <wp:positionV relativeFrom="margin">
            <wp:align>center</wp:align>
          </wp:positionV>
          <wp:extent cx="6858635" cy="9144635"/>
          <wp:effectExtent l="0" t="0" r="0" b="0"/>
          <wp:wrapNone/>
          <wp:docPr id="1"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542"/>
      <w:gridCol w:w="2554"/>
      <w:gridCol w:w="3438"/>
    </w:tblGrid>
    <w:tr w:rsidR="003B5DE8">
      <w:tc>
        <w:tcPr>
          <w:tcW w:w="3542" w:type="dxa"/>
          <w:vMerge w:val="restart"/>
        </w:tcPr>
        <w:p w:rsidR="003B5DE8" w:rsidRDefault="00182D9F">
          <w:pPr>
            <w:rPr>
              <w:rFonts w:ascii="Palatino Linotype" w:hAnsi="Palatino Linotype"/>
              <w:b/>
              <w:sz w:val="22"/>
              <w:szCs w:val="22"/>
              <w:lang w:val="es-ES_tradnl"/>
            </w:rPr>
          </w:pPr>
          <w:r>
            <w:rPr>
              <w:noProof/>
              <w:lang w:eastAsia="es-MX"/>
            </w:rPr>
            <w:drawing>
              <wp:inline distT="0" distB="0" distL="0" distR="0">
                <wp:extent cx="1663700" cy="838200"/>
                <wp:effectExtent l="0" t="0" r="0" b="0"/>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4" w:type="dxa"/>
          <w:shd w:val="clear" w:color="auto" w:fill="auto"/>
        </w:tcPr>
        <w:p w:rsidR="003B5DE8" w:rsidRDefault="00182D9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438" w:type="dxa"/>
          <w:shd w:val="clear" w:color="auto" w:fill="auto"/>
          <w:vAlign w:val="center"/>
        </w:tcPr>
        <w:p w:rsidR="003B5DE8" w:rsidRDefault="00182D9F">
          <w:pPr>
            <w:jc w:val="both"/>
            <w:rPr>
              <w:rFonts w:ascii="Palatino Linotype" w:hAnsi="Palatino Linotype"/>
              <w:b/>
              <w:sz w:val="22"/>
              <w:szCs w:val="22"/>
              <w:lang w:val="es-ES_tradnl"/>
            </w:rPr>
          </w:pPr>
          <w:r>
            <w:rPr>
              <w:rFonts w:ascii="Palatino Linotype" w:hAnsi="Palatino Linotype"/>
              <w:b/>
              <w:sz w:val="22"/>
              <w:szCs w:val="22"/>
              <w:lang w:val="es-ES_tradnl"/>
            </w:rPr>
            <w:t>01612/INFOEM/IP/RR/2020</w:t>
          </w:r>
        </w:p>
      </w:tc>
    </w:tr>
    <w:tr w:rsidR="003B5DE8">
      <w:tc>
        <w:tcPr>
          <w:tcW w:w="3542" w:type="dxa"/>
          <w:vMerge/>
        </w:tcPr>
        <w:p w:rsidR="003B5DE8" w:rsidRDefault="003B5DE8">
          <w:pPr>
            <w:rPr>
              <w:rFonts w:ascii="Palatino Linotype" w:hAnsi="Palatino Linotype"/>
              <w:b/>
              <w:sz w:val="22"/>
              <w:szCs w:val="22"/>
              <w:lang w:val="es-ES_tradnl"/>
            </w:rPr>
          </w:pPr>
        </w:p>
      </w:tc>
      <w:tc>
        <w:tcPr>
          <w:tcW w:w="2554" w:type="dxa"/>
          <w:shd w:val="clear" w:color="auto" w:fill="auto"/>
        </w:tcPr>
        <w:p w:rsidR="003B5DE8" w:rsidRDefault="00182D9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438" w:type="dxa"/>
          <w:shd w:val="clear" w:color="auto" w:fill="auto"/>
          <w:vAlign w:val="center"/>
        </w:tcPr>
        <w:p w:rsidR="003B5DE8" w:rsidRDefault="00182D9F">
          <w:pPr>
            <w:ind w:right="212"/>
            <w:jc w:val="both"/>
            <w:rPr>
              <w:rFonts w:ascii="Palatino Linotype" w:hAnsi="Palatino Linotype"/>
              <w:b/>
              <w:sz w:val="22"/>
              <w:szCs w:val="22"/>
              <w:lang w:val="es-ES_tradnl"/>
            </w:rPr>
          </w:pPr>
          <w:r>
            <w:rPr>
              <w:rFonts w:ascii="Palatino Linotype" w:hAnsi="Palatino Linotype"/>
              <w:b/>
              <w:sz w:val="22"/>
              <w:szCs w:val="22"/>
              <w:lang w:val="es-ES_tradnl"/>
            </w:rPr>
            <w:t>Instituto de Transparencia, Acceso a la Información Pública y Protección de Datos Personales del Estado de México y Municipios</w:t>
          </w:r>
        </w:p>
      </w:tc>
    </w:tr>
    <w:tr w:rsidR="003B5DE8">
      <w:trPr>
        <w:trHeight w:val="228"/>
      </w:trPr>
      <w:tc>
        <w:tcPr>
          <w:tcW w:w="3542" w:type="dxa"/>
          <w:vMerge/>
        </w:tcPr>
        <w:p w:rsidR="003B5DE8" w:rsidRDefault="003B5DE8">
          <w:pPr>
            <w:rPr>
              <w:rFonts w:ascii="Palatino Linotype" w:hAnsi="Palatino Linotype"/>
              <w:b/>
              <w:sz w:val="22"/>
              <w:szCs w:val="22"/>
              <w:lang w:val="es-ES_tradnl"/>
            </w:rPr>
          </w:pPr>
        </w:p>
      </w:tc>
      <w:tc>
        <w:tcPr>
          <w:tcW w:w="2554" w:type="dxa"/>
          <w:shd w:val="clear" w:color="auto" w:fill="auto"/>
        </w:tcPr>
        <w:p w:rsidR="003B5DE8" w:rsidRDefault="00182D9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438" w:type="dxa"/>
          <w:shd w:val="clear" w:color="auto" w:fill="auto"/>
        </w:tcPr>
        <w:p w:rsidR="003B5DE8" w:rsidRDefault="00182D9F">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3B5DE8" w:rsidRDefault="003B5DE8">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DE8" w:rsidRDefault="00182D9F">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simplePos x="0" y="0"/>
          <wp:positionH relativeFrom="column">
            <wp:align>center</wp:align>
          </wp:positionH>
          <wp:positionV relativeFrom="margin">
            <wp:align>center</wp:align>
          </wp:positionV>
          <wp:extent cx="6858635" cy="9144635"/>
          <wp:effectExtent l="0" t="0" r="0" b="0"/>
          <wp:wrapNone/>
          <wp:docPr id="3"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820"/>
      <w:gridCol w:w="2552"/>
      <w:gridCol w:w="3118"/>
    </w:tblGrid>
    <w:tr w:rsidR="003B5DE8">
      <w:tc>
        <w:tcPr>
          <w:tcW w:w="4820" w:type="dxa"/>
          <w:vMerge w:val="restart"/>
          <w:shd w:val="clear" w:color="auto" w:fill="auto"/>
        </w:tcPr>
        <w:p w:rsidR="003B5DE8" w:rsidRDefault="00182D9F">
          <w:pPr>
            <w:rPr>
              <w:rFonts w:ascii="Palatino Linotype" w:hAnsi="Palatino Linotype"/>
              <w:b/>
              <w:sz w:val="22"/>
              <w:szCs w:val="22"/>
              <w:lang w:val="es-ES_tradnl"/>
            </w:rPr>
          </w:pPr>
          <w:r>
            <w:rPr>
              <w:noProof/>
              <w:lang w:eastAsia="es-MX"/>
            </w:rPr>
            <w:drawing>
              <wp:inline distT="0" distB="0" distL="0" distR="0">
                <wp:extent cx="1663700" cy="8382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rsidR="003B5DE8" w:rsidRDefault="00182D9F">
          <w:pPr>
            <w:rPr>
              <w:rFonts w:ascii="Palatino Linotype" w:hAnsi="Palatino Linotype"/>
              <w:b/>
              <w:sz w:val="22"/>
              <w:szCs w:val="22"/>
              <w:lang w:val="es-ES_tradnl"/>
            </w:rPr>
          </w:pPr>
          <w:r>
            <w:rPr>
              <w:rFonts w:ascii="Palatino Linotype" w:hAnsi="Palatino Linotype"/>
              <w:b/>
              <w:sz w:val="22"/>
              <w:szCs w:val="22"/>
              <w:lang w:val="es-ES_tradnl"/>
            </w:rPr>
            <w:t xml:space="preserve">Recurso de </w:t>
          </w:r>
          <w:r>
            <w:rPr>
              <w:rFonts w:ascii="Palatino Linotype" w:hAnsi="Palatino Linotype"/>
              <w:b/>
              <w:sz w:val="22"/>
              <w:szCs w:val="22"/>
              <w:lang w:val="es-ES_tradnl"/>
            </w:rPr>
            <w:t>revisión:</w:t>
          </w:r>
        </w:p>
      </w:tc>
      <w:tc>
        <w:tcPr>
          <w:tcW w:w="3118" w:type="dxa"/>
          <w:shd w:val="clear" w:color="auto" w:fill="auto"/>
          <w:vAlign w:val="center"/>
        </w:tcPr>
        <w:p w:rsidR="003B5DE8" w:rsidRDefault="00182D9F">
          <w:pPr>
            <w:jc w:val="both"/>
            <w:rPr>
              <w:rFonts w:ascii="Palatino Linotype" w:hAnsi="Palatino Linotype"/>
              <w:b/>
              <w:sz w:val="22"/>
              <w:szCs w:val="22"/>
              <w:lang w:val="es-ES_tradnl"/>
            </w:rPr>
          </w:pPr>
          <w:r>
            <w:rPr>
              <w:rFonts w:ascii="Palatino Linotype" w:hAnsi="Palatino Linotype"/>
              <w:b/>
              <w:sz w:val="22"/>
              <w:szCs w:val="22"/>
              <w:lang w:val="es-ES_tradnl"/>
            </w:rPr>
            <w:t>01612/INFOEM/IP/RR/2020</w:t>
          </w:r>
        </w:p>
      </w:tc>
    </w:tr>
    <w:tr w:rsidR="003B5DE8">
      <w:tc>
        <w:tcPr>
          <w:tcW w:w="4820" w:type="dxa"/>
          <w:vMerge/>
          <w:shd w:val="clear" w:color="auto" w:fill="auto"/>
        </w:tcPr>
        <w:p w:rsidR="003B5DE8" w:rsidRDefault="003B5DE8">
          <w:pPr>
            <w:rPr>
              <w:rFonts w:ascii="Palatino Linotype" w:hAnsi="Palatino Linotype"/>
              <w:b/>
              <w:sz w:val="22"/>
              <w:szCs w:val="22"/>
              <w:lang w:val="es-ES_tradnl"/>
            </w:rPr>
          </w:pPr>
        </w:p>
      </w:tc>
      <w:tc>
        <w:tcPr>
          <w:tcW w:w="2552" w:type="dxa"/>
          <w:shd w:val="clear" w:color="auto" w:fill="auto"/>
        </w:tcPr>
        <w:p w:rsidR="003B5DE8" w:rsidRDefault="00182D9F">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3B5DE8" w:rsidRDefault="00FE2396" w:rsidP="00FE2396">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182D9F">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182D9F">
            <w:rPr>
              <w:rFonts w:ascii="Palatino Linotype" w:hAnsi="Palatino Linotype"/>
              <w:b/>
              <w:sz w:val="22"/>
              <w:szCs w:val="22"/>
              <w:lang w:val="es-ES_tradnl"/>
            </w:rPr>
            <w:t xml:space="preserve"> </w:t>
          </w:r>
          <w:r>
            <w:rPr>
              <w:rFonts w:ascii="Palatino Linotype" w:hAnsi="Palatino Linotype"/>
              <w:b/>
              <w:sz w:val="22"/>
              <w:szCs w:val="22"/>
              <w:lang w:val="es-ES_tradnl"/>
            </w:rPr>
            <w:t>Xxxx</w:t>
          </w:r>
        </w:p>
      </w:tc>
    </w:tr>
    <w:tr w:rsidR="003B5DE8">
      <w:trPr>
        <w:trHeight w:val="228"/>
      </w:trPr>
      <w:tc>
        <w:tcPr>
          <w:tcW w:w="4820" w:type="dxa"/>
          <w:vMerge/>
          <w:shd w:val="clear" w:color="auto" w:fill="auto"/>
        </w:tcPr>
        <w:p w:rsidR="003B5DE8" w:rsidRDefault="003B5DE8">
          <w:pPr>
            <w:rPr>
              <w:rFonts w:ascii="Palatino Linotype" w:hAnsi="Palatino Linotype"/>
              <w:b/>
              <w:sz w:val="22"/>
              <w:szCs w:val="22"/>
              <w:lang w:val="es-ES_tradnl"/>
            </w:rPr>
          </w:pPr>
        </w:p>
      </w:tc>
      <w:tc>
        <w:tcPr>
          <w:tcW w:w="2552" w:type="dxa"/>
          <w:shd w:val="clear" w:color="auto" w:fill="auto"/>
        </w:tcPr>
        <w:p w:rsidR="003B5DE8" w:rsidRDefault="00182D9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8" w:type="dxa"/>
          <w:shd w:val="clear" w:color="auto" w:fill="auto"/>
          <w:vAlign w:val="center"/>
        </w:tcPr>
        <w:p w:rsidR="003B5DE8" w:rsidRDefault="00182D9F">
          <w:pPr>
            <w:jc w:val="both"/>
            <w:rPr>
              <w:rFonts w:ascii="Palatino Linotype" w:hAnsi="Palatino Linotype"/>
              <w:b/>
              <w:sz w:val="22"/>
              <w:szCs w:val="22"/>
            </w:rPr>
          </w:pPr>
          <w:r>
            <w:rPr>
              <w:rFonts w:ascii="Palatino Linotype" w:hAnsi="Palatino Linotype"/>
              <w:b/>
              <w:sz w:val="22"/>
              <w:szCs w:val="22"/>
            </w:rPr>
            <w:t>Instituto de Transparencia, Acceso a la Información Pública y Protección de Datos Personales del Estado de México y Municipios</w:t>
          </w:r>
        </w:p>
      </w:tc>
    </w:tr>
    <w:tr w:rsidR="003B5DE8">
      <w:trPr>
        <w:trHeight w:val="228"/>
      </w:trPr>
      <w:tc>
        <w:tcPr>
          <w:tcW w:w="4820" w:type="dxa"/>
          <w:shd w:val="clear" w:color="auto" w:fill="auto"/>
        </w:tcPr>
        <w:p w:rsidR="003B5DE8" w:rsidRDefault="003B5DE8">
          <w:pPr>
            <w:rPr>
              <w:rFonts w:ascii="Palatino Linotype" w:hAnsi="Palatino Linotype"/>
              <w:b/>
              <w:sz w:val="22"/>
              <w:szCs w:val="22"/>
              <w:lang w:val="es-ES_tradnl"/>
            </w:rPr>
          </w:pPr>
        </w:p>
      </w:tc>
      <w:tc>
        <w:tcPr>
          <w:tcW w:w="2552" w:type="dxa"/>
          <w:shd w:val="clear" w:color="auto" w:fill="auto"/>
        </w:tcPr>
        <w:p w:rsidR="003B5DE8" w:rsidRDefault="00182D9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8" w:type="dxa"/>
          <w:shd w:val="clear" w:color="auto" w:fill="auto"/>
        </w:tcPr>
        <w:p w:rsidR="003B5DE8" w:rsidRDefault="00182D9F">
          <w:pPr>
            <w:jc w:val="both"/>
            <w:rPr>
              <w:rFonts w:ascii="Palatino Linotype" w:hAnsi="Palatino Linotype"/>
              <w:b/>
              <w:sz w:val="22"/>
              <w:szCs w:val="22"/>
            </w:rPr>
          </w:pPr>
          <w:r>
            <w:rPr>
              <w:rFonts w:ascii="Palatino Linotype" w:hAnsi="Palatino Linotype"/>
              <w:b/>
              <w:sz w:val="22"/>
              <w:szCs w:val="22"/>
              <w:lang w:val="es-ES_tradnl"/>
            </w:rPr>
            <w:t>Eva Abaid Yapur</w:t>
          </w:r>
        </w:p>
      </w:tc>
    </w:tr>
  </w:tbl>
  <w:p w:rsidR="003B5DE8" w:rsidRDefault="003B5DE8">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04F44"/>
    <w:multiLevelType w:val="multilevel"/>
    <w:tmpl w:val="504019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61F4570"/>
    <w:multiLevelType w:val="multilevel"/>
    <w:tmpl w:val="394C86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4B24944"/>
    <w:multiLevelType w:val="multilevel"/>
    <w:tmpl w:val="EA36D1F4"/>
    <w:lvl w:ilvl="0">
      <w:start w:val="1"/>
      <w:numFmt w:val="ordinalText"/>
      <w:suff w:val="space"/>
      <w:lvlText w:val="%1."/>
      <w:lvlJc w:val="left"/>
      <w:pPr>
        <w:ind w:left="5747" w:hanging="360"/>
      </w:pPr>
      <w:rPr>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EDD6B9D"/>
    <w:multiLevelType w:val="multilevel"/>
    <w:tmpl w:val="810AE74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E8F52A6"/>
    <w:multiLevelType w:val="multilevel"/>
    <w:tmpl w:val="F342C6EE"/>
    <w:lvl w:ilvl="0">
      <w:start w:val="1"/>
      <w:numFmt w:val="ordinalText"/>
      <w:lvlText w:val="%1."/>
      <w:lvlJc w:val="left"/>
      <w:pPr>
        <w:ind w:left="502" w:hanging="360"/>
      </w:pPr>
      <w:rPr>
        <w:b/>
        <w:caps/>
        <w:sz w:val="28"/>
      </w:rPr>
    </w:lvl>
    <w:lvl w:ilvl="1">
      <w:start w:val="1"/>
      <w:numFmt w:val="bullet"/>
      <w:lvlText w:val="-"/>
      <w:lvlJc w:val="left"/>
      <w:pPr>
        <w:ind w:left="1440" w:hanging="360"/>
      </w:pPr>
      <w:rPr>
        <w:rFonts w:ascii="Palatino Linotype" w:hAnsi="Palatino Linotype"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E8"/>
    <w:rsid w:val="00182D9F"/>
    <w:rsid w:val="003B5DE8"/>
    <w:rsid w:val="00FE2396"/>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E76EE-E2E1-4C65-B24B-AD7E626B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72"/>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TextonotapieCar1">
    <w:name w:val="Texto nota pie Car1"/>
    <w:basedOn w:val="Fuentedeprrafopredeter"/>
    <w:uiPriority w:val="99"/>
    <w:semiHidden/>
    <w:qFormat/>
    <w:rsid w:val="00A21865"/>
    <w:rPr>
      <w:rFonts w:ascii="Times New Roman" w:eastAsia="Times New Roman" w:hAnsi="Times New Roman" w:cs="Times New Roman"/>
      <w:sz w:val="20"/>
      <w:szCs w:val="20"/>
      <w:lang w:val="es-MX"/>
    </w:rPr>
  </w:style>
  <w:style w:type="character" w:customStyle="1" w:styleId="Textoindependiente3Car">
    <w:name w:val="Texto independiente 3 Car"/>
    <w:basedOn w:val="Fuentedeprrafopredeter"/>
    <w:link w:val="Textoindependiente3"/>
    <w:uiPriority w:val="99"/>
    <w:semiHidden/>
    <w:qFormat/>
    <w:rsid w:val="00A21865"/>
    <w:rPr>
      <w:rFonts w:ascii="Times New Roman" w:eastAsia="Times New Roman" w:hAnsi="Times New Roman" w:cs="Times New Roman"/>
      <w:sz w:val="16"/>
      <w:szCs w:val="16"/>
      <w:lang w:val="es-MX"/>
    </w:rPr>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72"/>
    <w:qFormat/>
    <w:rsid w:val="00A2780F"/>
    <w:pPr>
      <w:ind w:left="708"/>
    </w:pPr>
  </w:style>
  <w:style w:type="paragraph" w:styleId="NormalWeb">
    <w:name w:val="Normal (Web)"/>
    <w:basedOn w:val="Normal"/>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A21865"/>
    <w:pPr>
      <w:spacing w:after="120"/>
    </w:pPr>
    <w:rPr>
      <w:sz w:val="16"/>
      <w:szCs w:val="16"/>
    </w:rPr>
  </w:style>
  <w:style w:type="paragraph" w:customStyle="1" w:styleId="xmsonormal">
    <w:name w:val="x_msonormal"/>
    <w:basedOn w:val="Normal"/>
    <w:qFormat/>
    <w:rsid w:val="00A21865"/>
    <w:pPr>
      <w:spacing w:beforeAutospacing="1" w:afterAutospacing="1"/>
    </w:pPr>
    <w:rPr>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A218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275BC-2E6B-432D-A095-2EAED945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5267</Words>
  <Characters>28972</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cp:lastModifiedBy>
  <cp:revision>2</cp:revision>
  <cp:lastPrinted>2020-01-22T19:55:00Z</cp:lastPrinted>
  <dcterms:created xsi:type="dcterms:W3CDTF">2020-09-11T18:54:00Z</dcterms:created>
  <dcterms:modified xsi:type="dcterms:W3CDTF">2020-09-11T18:54:00Z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