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36DBF" w14:textId="77777777" w:rsidR="007B6C30" w:rsidRPr="00B86CDB" w:rsidRDefault="007B6C30" w:rsidP="007B6C30">
      <w:pPr>
        <w:spacing w:before="240" w:after="240" w:line="360" w:lineRule="auto"/>
        <w:jc w:val="center"/>
        <w:rPr>
          <w:rFonts w:ascii="Palatino Linotype" w:hAnsi="Palatino Linotype"/>
          <w:b/>
        </w:rPr>
      </w:pPr>
      <w:r w:rsidRPr="00B86CDB">
        <w:rPr>
          <w:rFonts w:ascii="Palatino Linotype" w:hAnsi="Palatino Linotype"/>
          <w:b/>
        </w:rPr>
        <w:t>LÍNEAS ARGUMENTATIVAS.</w:t>
      </w:r>
    </w:p>
    <w:p w14:paraId="7FF5FE84" w14:textId="462BD96D" w:rsidR="007B6C30" w:rsidRPr="00B86CDB" w:rsidRDefault="007B6C30" w:rsidP="007B6C30">
      <w:pPr>
        <w:spacing w:line="360" w:lineRule="auto"/>
        <w:ind w:right="48"/>
        <w:contextualSpacing/>
        <w:jc w:val="both"/>
        <w:rPr>
          <w:rFonts w:ascii="Palatino Linotype" w:eastAsia="Times New Roman" w:hAnsi="Palatino Linotype"/>
          <w:sz w:val="24"/>
          <w:szCs w:val="24"/>
        </w:rPr>
      </w:pPr>
      <w:r w:rsidRPr="00B86CDB">
        <w:rPr>
          <w:rFonts w:ascii="Palatino Linotype" w:eastAsia="Times New Roman" w:hAnsi="Palatino Linotype"/>
          <w:b/>
          <w:sz w:val="24"/>
          <w:szCs w:val="24"/>
        </w:rPr>
        <w:t>DEBERES DE LAS AUTORIDADES.</w:t>
      </w:r>
      <w:r w:rsidRPr="00B86CDB">
        <w:rPr>
          <w:rFonts w:ascii="Palatino Linotype" w:eastAsia="Times New Roman" w:hAnsi="Palatino Linotype"/>
          <w:sz w:val="24"/>
          <w:szCs w:val="24"/>
        </w:rPr>
        <w:t xml:space="preserve"> El derecho humano de acceso a la </w:t>
      </w:r>
      <w:proofErr w:type="gramStart"/>
      <w:r w:rsidRPr="00B86CDB">
        <w:rPr>
          <w:rFonts w:ascii="Palatino Linotype" w:eastAsia="Times New Roman" w:hAnsi="Palatino Linotype"/>
          <w:sz w:val="24"/>
          <w:szCs w:val="24"/>
        </w:rPr>
        <w:t>información</w:t>
      </w:r>
      <w:proofErr w:type="gramEnd"/>
      <w:r w:rsidRPr="00B86CDB">
        <w:rPr>
          <w:rFonts w:ascii="Palatino Linotype" w:eastAsia="Times New Roman" w:hAnsi="Palatino Linotype"/>
          <w:sz w:val="24"/>
          <w:szCs w:val="24"/>
        </w:rPr>
        <w:t xml:space="preserve"> pública es un derecho humano constitucionalmente reconocido en consecuencia todas las autoridades en el ámbito de sus competencias tienen la obligación de respetarlo, protegerlo y garantizarlo.</w:t>
      </w:r>
    </w:p>
    <w:p w14:paraId="1B40FCB9" w14:textId="77777777" w:rsidR="007B6C30" w:rsidRPr="00B86CDB" w:rsidRDefault="007B6C30" w:rsidP="007B6C30">
      <w:pPr>
        <w:spacing w:line="360" w:lineRule="auto"/>
        <w:ind w:right="48"/>
        <w:contextualSpacing/>
        <w:jc w:val="both"/>
        <w:rPr>
          <w:rFonts w:ascii="Palatino Linotype" w:eastAsia="Times New Roman" w:hAnsi="Palatino Linotype"/>
          <w:sz w:val="24"/>
          <w:szCs w:val="24"/>
        </w:rPr>
      </w:pPr>
    </w:p>
    <w:p w14:paraId="41C5055C" w14:textId="77777777" w:rsidR="007B6C30" w:rsidRPr="00B86CDB" w:rsidRDefault="007B6C30" w:rsidP="007B6C30">
      <w:pPr>
        <w:spacing w:before="240" w:after="240" w:line="360" w:lineRule="auto"/>
        <w:jc w:val="both"/>
        <w:rPr>
          <w:rFonts w:ascii="Palatino Linotype" w:hAnsi="Palatino Linotype" w:cs="Arial"/>
          <w:b/>
          <w:i/>
          <w:sz w:val="24"/>
          <w:szCs w:val="24"/>
        </w:rPr>
      </w:pPr>
      <w:r w:rsidRPr="00B86CDB">
        <w:rPr>
          <w:rFonts w:ascii="Palatino Linotype" w:eastAsia="Calibri" w:hAnsi="Palatino Linotype" w:cs="Arial"/>
          <w:b/>
          <w:sz w:val="24"/>
          <w:szCs w:val="24"/>
          <w:lang w:val="es-ES" w:eastAsia="es-MX"/>
        </w:rPr>
        <w:t>DE LAS FORMALIDADES LEGALES DE LA CLASIFICACIÓN DE LA INFORMACIÓN.</w:t>
      </w:r>
      <w:r w:rsidRPr="00B86CDB">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86CDB">
        <w:rPr>
          <w:rFonts w:ascii="Palatino Linotype" w:eastAsia="Calibri" w:hAnsi="Palatino Linotype" w:cs="Arial"/>
          <w:bCs/>
          <w:sz w:val="24"/>
          <w:szCs w:val="24"/>
        </w:rPr>
        <w:t xml:space="preserve"> VIII,</w:t>
      </w:r>
      <w:r w:rsidRPr="00B86CDB">
        <w:rPr>
          <w:rFonts w:ascii="Palatino Linotype" w:eastAsia="Calibri" w:hAnsi="Palatino Linotype" w:cs="Arial"/>
          <w:sz w:val="24"/>
          <w:szCs w:val="24"/>
          <w:lang w:val="es-ES" w:eastAsia="es-MX"/>
        </w:rPr>
        <w:t xml:space="preserve"> 122, 135 </w:t>
      </w:r>
      <w:r w:rsidRPr="00B86CDB">
        <w:rPr>
          <w:rFonts w:ascii="Palatino Linotype" w:hAnsi="Palatino Linotype" w:cs="Arial"/>
          <w:sz w:val="24"/>
          <w:szCs w:val="24"/>
        </w:rPr>
        <w:t>143 y 149, así como los establecido en los Lineamientos Generales en Materia de Clasificación</w:t>
      </w:r>
      <w:r w:rsidRPr="00B86CDB">
        <w:rPr>
          <w:rFonts w:ascii="Palatino Linotype" w:hAnsi="Palatino Linotype"/>
          <w:sz w:val="24"/>
          <w:szCs w:val="24"/>
        </w:rPr>
        <w:t xml:space="preserve"> </w:t>
      </w:r>
      <w:r w:rsidRPr="00B86CDB">
        <w:rPr>
          <w:rFonts w:ascii="Palatino Linotype" w:hAnsi="Palatino Linotype" w:cs="Arial"/>
          <w:sz w:val="24"/>
          <w:szCs w:val="24"/>
        </w:rPr>
        <w:t>y Desclasificación de la Información.</w:t>
      </w:r>
    </w:p>
    <w:p w14:paraId="23C4719C" w14:textId="10DEB600" w:rsidR="00560E94" w:rsidRPr="00B86CDB" w:rsidRDefault="00560E94" w:rsidP="00560E94">
      <w:pPr>
        <w:spacing w:line="360" w:lineRule="auto"/>
        <w:jc w:val="both"/>
        <w:rPr>
          <w:rFonts w:ascii="Palatino Linotype" w:eastAsia="Calibri" w:hAnsi="Palatino Linotype" w:cs="Times New Roman"/>
          <w:sz w:val="24"/>
          <w:szCs w:val="24"/>
        </w:rPr>
      </w:pPr>
    </w:p>
    <w:p w14:paraId="4AF8C856" w14:textId="048FAA33" w:rsidR="005C4B6E" w:rsidRPr="00B86CDB" w:rsidRDefault="005C4B6E" w:rsidP="00560E94">
      <w:pPr>
        <w:spacing w:line="360" w:lineRule="auto"/>
        <w:jc w:val="both"/>
        <w:rPr>
          <w:rFonts w:ascii="Palatino Linotype" w:eastAsia="Calibri" w:hAnsi="Palatino Linotype" w:cs="Times New Roman"/>
          <w:sz w:val="24"/>
          <w:szCs w:val="24"/>
        </w:rPr>
      </w:pPr>
    </w:p>
    <w:p w14:paraId="16810EB1" w14:textId="7DC04115" w:rsidR="005C4B6E" w:rsidRPr="00B86CDB" w:rsidRDefault="005C4B6E" w:rsidP="00560E94">
      <w:pPr>
        <w:spacing w:line="360" w:lineRule="auto"/>
        <w:jc w:val="both"/>
        <w:rPr>
          <w:rFonts w:ascii="Palatino Linotype" w:eastAsia="Calibri" w:hAnsi="Palatino Linotype" w:cs="Times New Roman"/>
          <w:sz w:val="24"/>
          <w:szCs w:val="24"/>
        </w:rPr>
      </w:pPr>
    </w:p>
    <w:p w14:paraId="538DCF58" w14:textId="5C4051F7" w:rsidR="005C4B6E" w:rsidRPr="00B86CDB" w:rsidRDefault="005C4B6E" w:rsidP="00560E94">
      <w:pPr>
        <w:spacing w:line="360" w:lineRule="auto"/>
        <w:jc w:val="both"/>
        <w:rPr>
          <w:rFonts w:ascii="Palatino Linotype" w:eastAsia="Calibri" w:hAnsi="Palatino Linotype" w:cs="Times New Roman"/>
          <w:sz w:val="24"/>
          <w:szCs w:val="24"/>
        </w:rPr>
      </w:pPr>
    </w:p>
    <w:p w14:paraId="2557DFD3" w14:textId="0F9E9320" w:rsidR="00E113EC" w:rsidRPr="00B86CDB"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B86CDB">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B86CDB"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35048F59" w14:textId="4709DD49" w:rsidR="007B6C30" w:rsidRPr="00B86CDB" w:rsidRDefault="00E113EC">
          <w:pPr>
            <w:pStyle w:val="TDC1"/>
            <w:tabs>
              <w:tab w:val="right" w:leader="dot" w:pos="8779"/>
            </w:tabs>
            <w:rPr>
              <w:rFonts w:eastAsiaTheme="minorEastAsia"/>
              <w:noProof/>
              <w:lang w:eastAsia="es-MX"/>
            </w:rPr>
          </w:pPr>
          <w:r w:rsidRPr="00B86CDB">
            <w:rPr>
              <w:rFonts w:ascii="Palatino Linotype" w:eastAsiaTheme="minorEastAsia" w:hAnsi="Palatino Linotype"/>
              <w:b/>
              <w:szCs w:val="24"/>
              <w:lang w:val="es-ES_tradnl" w:eastAsia="es-ES"/>
            </w:rPr>
            <w:fldChar w:fldCharType="begin"/>
          </w:r>
          <w:r w:rsidRPr="00B86CDB">
            <w:rPr>
              <w:rFonts w:ascii="Palatino Linotype" w:eastAsiaTheme="minorEastAsia" w:hAnsi="Palatino Linotype"/>
              <w:b/>
              <w:szCs w:val="24"/>
              <w:lang w:val="es-ES_tradnl" w:eastAsia="es-ES"/>
            </w:rPr>
            <w:instrText xml:space="preserve"> TOC \o "1-3" \h \z \u </w:instrText>
          </w:r>
          <w:r w:rsidRPr="00B86CDB">
            <w:rPr>
              <w:rFonts w:ascii="Palatino Linotype" w:eastAsiaTheme="minorEastAsia" w:hAnsi="Palatino Linotype"/>
              <w:b/>
              <w:szCs w:val="24"/>
              <w:lang w:val="es-ES_tradnl" w:eastAsia="es-ES"/>
            </w:rPr>
            <w:fldChar w:fldCharType="separate"/>
          </w:r>
          <w:hyperlink w:anchor="_Toc57332490" w:history="1">
            <w:r w:rsidR="007B6C30" w:rsidRPr="00B86CDB">
              <w:rPr>
                <w:rStyle w:val="Hipervnculo"/>
                <w:rFonts w:ascii="Palatino Linotype" w:eastAsiaTheme="majorEastAsia" w:hAnsi="Palatino Linotype" w:cstheme="majorBidi"/>
                <w:b/>
                <w:noProof/>
              </w:rPr>
              <w:t>A N T E C E D E N T E S</w:t>
            </w:r>
            <w:r w:rsidR="007B6C30" w:rsidRPr="00B86CDB">
              <w:rPr>
                <w:noProof/>
                <w:webHidden/>
              </w:rPr>
              <w:tab/>
            </w:r>
            <w:r w:rsidR="007B6C30" w:rsidRPr="00B86CDB">
              <w:rPr>
                <w:noProof/>
                <w:webHidden/>
              </w:rPr>
              <w:fldChar w:fldCharType="begin"/>
            </w:r>
            <w:r w:rsidR="007B6C30" w:rsidRPr="00B86CDB">
              <w:rPr>
                <w:noProof/>
                <w:webHidden/>
              </w:rPr>
              <w:instrText xml:space="preserve"> PAGEREF _Toc57332490 \h </w:instrText>
            </w:r>
            <w:r w:rsidR="007B6C30" w:rsidRPr="00B86CDB">
              <w:rPr>
                <w:noProof/>
                <w:webHidden/>
              </w:rPr>
            </w:r>
            <w:r w:rsidR="007B6C30" w:rsidRPr="00B86CDB">
              <w:rPr>
                <w:noProof/>
                <w:webHidden/>
              </w:rPr>
              <w:fldChar w:fldCharType="separate"/>
            </w:r>
            <w:r w:rsidR="008861EA" w:rsidRPr="00B86CDB">
              <w:rPr>
                <w:noProof/>
                <w:webHidden/>
              </w:rPr>
              <w:t>3</w:t>
            </w:r>
            <w:r w:rsidR="007B6C30" w:rsidRPr="00B86CDB">
              <w:rPr>
                <w:noProof/>
                <w:webHidden/>
              </w:rPr>
              <w:fldChar w:fldCharType="end"/>
            </w:r>
          </w:hyperlink>
        </w:p>
        <w:p w14:paraId="0AFC11B7" w14:textId="60BEA523" w:rsidR="007B6C30" w:rsidRPr="00B86CDB" w:rsidRDefault="008D608D">
          <w:pPr>
            <w:pStyle w:val="TDC1"/>
            <w:tabs>
              <w:tab w:val="right" w:leader="dot" w:pos="8779"/>
            </w:tabs>
            <w:rPr>
              <w:rFonts w:eastAsiaTheme="minorEastAsia"/>
              <w:noProof/>
              <w:lang w:eastAsia="es-MX"/>
            </w:rPr>
          </w:pPr>
          <w:hyperlink w:anchor="_Toc57332491" w:history="1">
            <w:r w:rsidR="007B6C30" w:rsidRPr="00B86CDB">
              <w:rPr>
                <w:rStyle w:val="Hipervnculo"/>
                <w:rFonts w:ascii="Palatino Linotype" w:eastAsiaTheme="majorEastAsia" w:hAnsi="Palatino Linotype" w:cstheme="majorBidi"/>
                <w:b/>
                <w:noProof/>
              </w:rPr>
              <w:t>C O N S I D E R A N D O</w:t>
            </w:r>
            <w:r w:rsidR="007B6C30" w:rsidRPr="00B86CDB">
              <w:rPr>
                <w:noProof/>
                <w:webHidden/>
              </w:rPr>
              <w:tab/>
            </w:r>
            <w:r w:rsidR="007B6C30" w:rsidRPr="00B86CDB">
              <w:rPr>
                <w:noProof/>
                <w:webHidden/>
              </w:rPr>
              <w:fldChar w:fldCharType="begin"/>
            </w:r>
            <w:r w:rsidR="007B6C30" w:rsidRPr="00B86CDB">
              <w:rPr>
                <w:noProof/>
                <w:webHidden/>
              </w:rPr>
              <w:instrText xml:space="preserve"> PAGEREF _Toc57332491 \h </w:instrText>
            </w:r>
            <w:r w:rsidR="007B6C30" w:rsidRPr="00B86CDB">
              <w:rPr>
                <w:noProof/>
                <w:webHidden/>
              </w:rPr>
            </w:r>
            <w:r w:rsidR="007B6C30" w:rsidRPr="00B86CDB">
              <w:rPr>
                <w:noProof/>
                <w:webHidden/>
              </w:rPr>
              <w:fldChar w:fldCharType="separate"/>
            </w:r>
            <w:r w:rsidR="008861EA" w:rsidRPr="00B86CDB">
              <w:rPr>
                <w:noProof/>
                <w:webHidden/>
              </w:rPr>
              <w:t>20</w:t>
            </w:r>
            <w:r w:rsidR="007B6C30" w:rsidRPr="00B86CDB">
              <w:rPr>
                <w:noProof/>
                <w:webHidden/>
              </w:rPr>
              <w:fldChar w:fldCharType="end"/>
            </w:r>
          </w:hyperlink>
        </w:p>
        <w:p w14:paraId="03405ECB" w14:textId="01F2D560" w:rsidR="007B6C30" w:rsidRPr="00B86CDB" w:rsidRDefault="008D608D" w:rsidP="007B6C30">
          <w:pPr>
            <w:pStyle w:val="TDC2"/>
            <w:tabs>
              <w:tab w:val="right" w:leader="dot" w:pos="8779"/>
            </w:tabs>
            <w:ind w:left="0"/>
            <w:rPr>
              <w:rFonts w:eastAsiaTheme="minorEastAsia"/>
              <w:noProof/>
              <w:lang w:eastAsia="es-MX"/>
            </w:rPr>
          </w:pPr>
          <w:hyperlink w:anchor="_Toc57332492" w:history="1">
            <w:r w:rsidR="007B6C30" w:rsidRPr="00B86CDB">
              <w:rPr>
                <w:rStyle w:val="Hipervnculo"/>
                <w:rFonts w:ascii="Palatino Linotype" w:eastAsiaTheme="majorEastAsia" w:hAnsi="Palatino Linotype" w:cstheme="majorBidi"/>
                <w:b/>
                <w:noProof/>
              </w:rPr>
              <w:t>PRIMERO. De la competencia</w:t>
            </w:r>
            <w:r w:rsidR="007B6C30" w:rsidRPr="00B86CDB">
              <w:rPr>
                <w:noProof/>
                <w:webHidden/>
              </w:rPr>
              <w:tab/>
            </w:r>
            <w:r w:rsidR="007B6C30" w:rsidRPr="00B86CDB">
              <w:rPr>
                <w:noProof/>
                <w:webHidden/>
              </w:rPr>
              <w:fldChar w:fldCharType="begin"/>
            </w:r>
            <w:r w:rsidR="007B6C30" w:rsidRPr="00B86CDB">
              <w:rPr>
                <w:noProof/>
                <w:webHidden/>
              </w:rPr>
              <w:instrText xml:space="preserve"> PAGEREF _Toc57332492 \h </w:instrText>
            </w:r>
            <w:r w:rsidR="007B6C30" w:rsidRPr="00B86CDB">
              <w:rPr>
                <w:noProof/>
                <w:webHidden/>
              </w:rPr>
            </w:r>
            <w:r w:rsidR="007B6C30" w:rsidRPr="00B86CDB">
              <w:rPr>
                <w:noProof/>
                <w:webHidden/>
              </w:rPr>
              <w:fldChar w:fldCharType="separate"/>
            </w:r>
            <w:r w:rsidR="008861EA" w:rsidRPr="00B86CDB">
              <w:rPr>
                <w:noProof/>
                <w:webHidden/>
              </w:rPr>
              <w:t>20</w:t>
            </w:r>
            <w:r w:rsidR="007B6C30" w:rsidRPr="00B86CDB">
              <w:rPr>
                <w:noProof/>
                <w:webHidden/>
              </w:rPr>
              <w:fldChar w:fldCharType="end"/>
            </w:r>
          </w:hyperlink>
        </w:p>
        <w:p w14:paraId="578145E5" w14:textId="28BF0A63" w:rsidR="007B6C30" w:rsidRPr="00B86CDB" w:rsidRDefault="008D608D" w:rsidP="007B6C30">
          <w:pPr>
            <w:pStyle w:val="TDC2"/>
            <w:tabs>
              <w:tab w:val="right" w:leader="dot" w:pos="8779"/>
            </w:tabs>
            <w:ind w:left="0"/>
            <w:rPr>
              <w:rFonts w:eastAsiaTheme="minorEastAsia"/>
              <w:noProof/>
              <w:lang w:eastAsia="es-MX"/>
            </w:rPr>
          </w:pPr>
          <w:hyperlink w:anchor="_Toc57332493" w:history="1">
            <w:r w:rsidR="007B6C30" w:rsidRPr="00B86CDB">
              <w:rPr>
                <w:rStyle w:val="Hipervnculo"/>
                <w:rFonts w:ascii="Palatino Linotype" w:eastAsiaTheme="majorEastAsia" w:hAnsi="Palatino Linotype" w:cstheme="majorBidi"/>
                <w:b/>
                <w:noProof/>
              </w:rPr>
              <w:t>SEGUNDO. De la oportunidad y procedencia.</w:t>
            </w:r>
            <w:r w:rsidR="007B6C30" w:rsidRPr="00B86CDB">
              <w:rPr>
                <w:noProof/>
                <w:webHidden/>
              </w:rPr>
              <w:tab/>
            </w:r>
            <w:r w:rsidR="007B6C30" w:rsidRPr="00B86CDB">
              <w:rPr>
                <w:noProof/>
                <w:webHidden/>
              </w:rPr>
              <w:fldChar w:fldCharType="begin"/>
            </w:r>
            <w:r w:rsidR="007B6C30" w:rsidRPr="00B86CDB">
              <w:rPr>
                <w:noProof/>
                <w:webHidden/>
              </w:rPr>
              <w:instrText xml:space="preserve"> PAGEREF _Toc57332493 \h </w:instrText>
            </w:r>
            <w:r w:rsidR="007B6C30" w:rsidRPr="00B86CDB">
              <w:rPr>
                <w:noProof/>
                <w:webHidden/>
              </w:rPr>
            </w:r>
            <w:r w:rsidR="007B6C30" w:rsidRPr="00B86CDB">
              <w:rPr>
                <w:noProof/>
                <w:webHidden/>
              </w:rPr>
              <w:fldChar w:fldCharType="separate"/>
            </w:r>
            <w:r w:rsidR="008861EA" w:rsidRPr="00B86CDB">
              <w:rPr>
                <w:noProof/>
                <w:webHidden/>
              </w:rPr>
              <w:t>21</w:t>
            </w:r>
            <w:r w:rsidR="007B6C30" w:rsidRPr="00B86CDB">
              <w:rPr>
                <w:noProof/>
                <w:webHidden/>
              </w:rPr>
              <w:fldChar w:fldCharType="end"/>
            </w:r>
          </w:hyperlink>
        </w:p>
        <w:p w14:paraId="15634C38" w14:textId="25EDEE02" w:rsidR="007B6C30" w:rsidRPr="00B86CDB" w:rsidRDefault="008D608D">
          <w:pPr>
            <w:pStyle w:val="TDC1"/>
            <w:tabs>
              <w:tab w:val="right" w:leader="dot" w:pos="8779"/>
            </w:tabs>
            <w:rPr>
              <w:rFonts w:eastAsiaTheme="minorEastAsia"/>
              <w:noProof/>
              <w:lang w:eastAsia="es-MX"/>
            </w:rPr>
          </w:pPr>
          <w:hyperlink w:anchor="_Toc57332494" w:history="1">
            <w:r w:rsidR="007B6C30" w:rsidRPr="00B86CDB">
              <w:rPr>
                <w:rStyle w:val="Hipervnculo"/>
                <w:rFonts w:ascii="Palatino Linotype" w:eastAsia="MS Mincho" w:hAnsi="Palatino Linotype" w:cstheme="majorBidi"/>
                <w:b/>
                <w:noProof/>
                <w:lang w:val="es-ES_tradnl" w:eastAsia="es-ES"/>
              </w:rPr>
              <w:t>TERCERO. Del planteamiento de la Litis.</w:t>
            </w:r>
            <w:r w:rsidR="007B6C30" w:rsidRPr="00B86CDB">
              <w:rPr>
                <w:noProof/>
                <w:webHidden/>
              </w:rPr>
              <w:tab/>
            </w:r>
            <w:r w:rsidR="007B6C30" w:rsidRPr="00B86CDB">
              <w:rPr>
                <w:noProof/>
                <w:webHidden/>
              </w:rPr>
              <w:fldChar w:fldCharType="begin"/>
            </w:r>
            <w:r w:rsidR="007B6C30" w:rsidRPr="00B86CDB">
              <w:rPr>
                <w:noProof/>
                <w:webHidden/>
              </w:rPr>
              <w:instrText xml:space="preserve"> PAGEREF _Toc57332494 \h </w:instrText>
            </w:r>
            <w:r w:rsidR="007B6C30" w:rsidRPr="00B86CDB">
              <w:rPr>
                <w:noProof/>
                <w:webHidden/>
              </w:rPr>
            </w:r>
            <w:r w:rsidR="007B6C30" w:rsidRPr="00B86CDB">
              <w:rPr>
                <w:noProof/>
                <w:webHidden/>
              </w:rPr>
              <w:fldChar w:fldCharType="separate"/>
            </w:r>
            <w:r w:rsidR="008861EA" w:rsidRPr="00B86CDB">
              <w:rPr>
                <w:noProof/>
                <w:webHidden/>
              </w:rPr>
              <w:t>22</w:t>
            </w:r>
            <w:r w:rsidR="007B6C30" w:rsidRPr="00B86CDB">
              <w:rPr>
                <w:noProof/>
                <w:webHidden/>
              </w:rPr>
              <w:fldChar w:fldCharType="end"/>
            </w:r>
          </w:hyperlink>
        </w:p>
        <w:p w14:paraId="1D6FCBA6" w14:textId="29B6DCB4" w:rsidR="007B6C30" w:rsidRPr="00B86CDB" w:rsidRDefault="008D608D" w:rsidP="007B6C30">
          <w:pPr>
            <w:pStyle w:val="TDC2"/>
            <w:tabs>
              <w:tab w:val="right" w:leader="dot" w:pos="8779"/>
            </w:tabs>
            <w:ind w:left="0"/>
            <w:rPr>
              <w:rFonts w:eastAsiaTheme="minorEastAsia"/>
              <w:noProof/>
              <w:lang w:eastAsia="es-MX"/>
            </w:rPr>
          </w:pPr>
          <w:hyperlink w:anchor="_Toc57332495" w:history="1">
            <w:r w:rsidR="007B6C30" w:rsidRPr="00B86CDB">
              <w:rPr>
                <w:rStyle w:val="Hipervnculo"/>
                <w:rFonts w:ascii="Palatino Linotype" w:eastAsia="Calibri" w:hAnsi="Palatino Linotype" w:cs="Times New Roman"/>
                <w:b/>
                <w:bCs/>
                <w:noProof/>
                <w:lang w:val="es-ES"/>
              </w:rPr>
              <w:t xml:space="preserve">CUARTO. </w:t>
            </w:r>
            <w:r w:rsidR="007B6C30" w:rsidRPr="00B86CDB">
              <w:rPr>
                <w:rStyle w:val="Hipervnculo"/>
                <w:rFonts w:ascii="Palatino Linotype" w:eastAsia="MS Gothic" w:hAnsi="Palatino Linotype" w:cs="Times New Roman"/>
                <w:b/>
                <w:noProof/>
              </w:rPr>
              <w:t>Del estudio y resolución del asunto.</w:t>
            </w:r>
            <w:r w:rsidR="007B6C30" w:rsidRPr="00B86CDB">
              <w:rPr>
                <w:noProof/>
                <w:webHidden/>
              </w:rPr>
              <w:tab/>
            </w:r>
            <w:r w:rsidR="007B6C30" w:rsidRPr="00B86CDB">
              <w:rPr>
                <w:noProof/>
                <w:webHidden/>
              </w:rPr>
              <w:fldChar w:fldCharType="begin"/>
            </w:r>
            <w:r w:rsidR="007B6C30" w:rsidRPr="00B86CDB">
              <w:rPr>
                <w:noProof/>
                <w:webHidden/>
              </w:rPr>
              <w:instrText xml:space="preserve"> PAGEREF _Toc57332495 \h </w:instrText>
            </w:r>
            <w:r w:rsidR="007B6C30" w:rsidRPr="00B86CDB">
              <w:rPr>
                <w:noProof/>
                <w:webHidden/>
              </w:rPr>
            </w:r>
            <w:r w:rsidR="007B6C30" w:rsidRPr="00B86CDB">
              <w:rPr>
                <w:noProof/>
                <w:webHidden/>
              </w:rPr>
              <w:fldChar w:fldCharType="separate"/>
            </w:r>
            <w:r w:rsidR="008861EA" w:rsidRPr="00B86CDB">
              <w:rPr>
                <w:noProof/>
                <w:webHidden/>
              </w:rPr>
              <w:t>23</w:t>
            </w:r>
            <w:r w:rsidR="007B6C30" w:rsidRPr="00B86CDB">
              <w:rPr>
                <w:noProof/>
                <w:webHidden/>
              </w:rPr>
              <w:fldChar w:fldCharType="end"/>
            </w:r>
          </w:hyperlink>
        </w:p>
        <w:p w14:paraId="64E467D5" w14:textId="054B9510" w:rsidR="007B6C30" w:rsidRPr="00B86CDB" w:rsidRDefault="008D608D">
          <w:pPr>
            <w:pStyle w:val="TDC1"/>
            <w:tabs>
              <w:tab w:val="right" w:leader="dot" w:pos="8779"/>
            </w:tabs>
            <w:rPr>
              <w:rFonts w:eastAsiaTheme="minorEastAsia"/>
              <w:noProof/>
              <w:lang w:eastAsia="es-MX"/>
            </w:rPr>
          </w:pPr>
          <w:hyperlink w:anchor="_Toc57332496" w:history="1">
            <w:r w:rsidR="007B6C30" w:rsidRPr="00B86CDB">
              <w:rPr>
                <w:rStyle w:val="Hipervnculo"/>
                <w:rFonts w:ascii="Palatino Linotype" w:hAnsi="Palatino Linotype" w:cs="Arial"/>
                <w:b/>
                <w:noProof/>
                <w:lang w:val="es-ES_tradnl" w:eastAsia="es-ES"/>
              </w:rPr>
              <w:t>QUINTO. De la versión pública.</w:t>
            </w:r>
            <w:r w:rsidR="007B6C30" w:rsidRPr="00B86CDB">
              <w:rPr>
                <w:noProof/>
                <w:webHidden/>
              </w:rPr>
              <w:tab/>
            </w:r>
            <w:r w:rsidR="007B6C30" w:rsidRPr="00B86CDB">
              <w:rPr>
                <w:noProof/>
                <w:webHidden/>
              </w:rPr>
              <w:fldChar w:fldCharType="begin"/>
            </w:r>
            <w:r w:rsidR="007B6C30" w:rsidRPr="00B86CDB">
              <w:rPr>
                <w:noProof/>
                <w:webHidden/>
              </w:rPr>
              <w:instrText xml:space="preserve"> PAGEREF _Toc57332496 \h </w:instrText>
            </w:r>
            <w:r w:rsidR="007B6C30" w:rsidRPr="00B86CDB">
              <w:rPr>
                <w:noProof/>
                <w:webHidden/>
              </w:rPr>
            </w:r>
            <w:r w:rsidR="007B6C30" w:rsidRPr="00B86CDB">
              <w:rPr>
                <w:noProof/>
                <w:webHidden/>
              </w:rPr>
              <w:fldChar w:fldCharType="separate"/>
            </w:r>
            <w:r w:rsidR="008861EA" w:rsidRPr="00B86CDB">
              <w:rPr>
                <w:noProof/>
                <w:webHidden/>
              </w:rPr>
              <w:t>37</w:t>
            </w:r>
            <w:r w:rsidR="007B6C30" w:rsidRPr="00B86CDB">
              <w:rPr>
                <w:noProof/>
                <w:webHidden/>
              </w:rPr>
              <w:fldChar w:fldCharType="end"/>
            </w:r>
          </w:hyperlink>
        </w:p>
        <w:p w14:paraId="29704FFD" w14:textId="7C09994F" w:rsidR="007B6C30" w:rsidRPr="00B86CDB" w:rsidRDefault="008D608D">
          <w:pPr>
            <w:pStyle w:val="TDC1"/>
            <w:tabs>
              <w:tab w:val="right" w:leader="dot" w:pos="8779"/>
            </w:tabs>
            <w:rPr>
              <w:rFonts w:eastAsiaTheme="minorEastAsia"/>
              <w:noProof/>
              <w:lang w:eastAsia="es-MX"/>
            </w:rPr>
          </w:pPr>
          <w:hyperlink w:anchor="_Toc57332497" w:history="1">
            <w:r w:rsidR="007B6C30" w:rsidRPr="00B86CDB">
              <w:rPr>
                <w:rStyle w:val="Hipervnculo"/>
                <w:rFonts w:ascii="Palatino Linotype" w:hAnsi="Palatino Linotype"/>
                <w:b/>
                <w:noProof/>
                <w:lang w:val="es-ES_tradnl" w:eastAsia="es-ES"/>
              </w:rPr>
              <w:t xml:space="preserve">SEXTO. </w:t>
            </w:r>
            <w:r w:rsidR="007B6C30" w:rsidRPr="00B86CDB">
              <w:rPr>
                <w:rStyle w:val="Hipervnculo"/>
                <w:rFonts w:ascii="Palatino Linotype" w:eastAsia="MS Mincho" w:hAnsi="Palatino Linotype" w:cs="Bookman Old Style"/>
                <w:b/>
                <w:noProof/>
                <w:lang w:eastAsia="es-MX"/>
              </w:rPr>
              <w:t>De la vista a la Dirección de Protección de Datos Personales.</w:t>
            </w:r>
            <w:r w:rsidR="007B6C30" w:rsidRPr="00B86CDB">
              <w:rPr>
                <w:noProof/>
                <w:webHidden/>
              </w:rPr>
              <w:tab/>
            </w:r>
            <w:r w:rsidR="007B6C30" w:rsidRPr="00B86CDB">
              <w:rPr>
                <w:noProof/>
                <w:webHidden/>
              </w:rPr>
              <w:fldChar w:fldCharType="begin"/>
            </w:r>
            <w:r w:rsidR="007B6C30" w:rsidRPr="00B86CDB">
              <w:rPr>
                <w:noProof/>
                <w:webHidden/>
              </w:rPr>
              <w:instrText xml:space="preserve"> PAGEREF _Toc57332497 \h </w:instrText>
            </w:r>
            <w:r w:rsidR="007B6C30" w:rsidRPr="00B86CDB">
              <w:rPr>
                <w:noProof/>
                <w:webHidden/>
              </w:rPr>
            </w:r>
            <w:r w:rsidR="007B6C30" w:rsidRPr="00B86CDB">
              <w:rPr>
                <w:noProof/>
                <w:webHidden/>
              </w:rPr>
              <w:fldChar w:fldCharType="separate"/>
            </w:r>
            <w:r w:rsidR="008861EA" w:rsidRPr="00B86CDB">
              <w:rPr>
                <w:noProof/>
                <w:webHidden/>
              </w:rPr>
              <w:t>49</w:t>
            </w:r>
            <w:r w:rsidR="007B6C30" w:rsidRPr="00B86CDB">
              <w:rPr>
                <w:noProof/>
                <w:webHidden/>
              </w:rPr>
              <w:fldChar w:fldCharType="end"/>
            </w:r>
          </w:hyperlink>
        </w:p>
        <w:p w14:paraId="54B96F2E" w14:textId="5EB942B6" w:rsidR="007B6C30" w:rsidRPr="00B86CDB" w:rsidRDefault="008D608D">
          <w:pPr>
            <w:pStyle w:val="TDC1"/>
            <w:tabs>
              <w:tab w:val="right" w:leader="dot" w:pos="8779"/>
            </w:tabs>
            <w:rPr>
              <w:rFonts w:eastAsiaTheme="minorEastAsia"/>
              <w:noProof/>
              <w:lang w:eastAsia="es-MX"/>
            </w:rPr>
          </w:pPr>
          <w:hyperlink w:anchor="_Toc57332498" w:history="1">
            <w:r w:rsidR="007B6C30" w:rsidRPr="00B86CDB">
              <w:rPr>
                <w:rStyle w:val="Hipervnculo"/>
                <w:rFonts w:ascii="Palatino Linotype" w:eastAsia="Calibri" w:hAnsi="Palatino Linotype"/>
                <w:b/>
                <w:noProof/>
                <w:lang w:val="es-ES" w:eastAsia="es-ES"/>
              </w:rPr>
              <w:t>R E S O L U T I V O S</w:t>
            </w:r>
            <w:r w:rsidR="007B6C30" w:rsidRPr="00B86CDB">
              <w:rPr>
                <w:noProof/>
                <w:webHidden/>
              </w:rPr>
              <w:tab/>
            </w:r>
            <w:r w:rsidR="007B6C30" w:rsidRPr="00B86CDB">
              <w:rPr>
                <w:noProof/>
                <w:webHidden/>
              </w:rPr>
              <w:fldChar w:fldCharType="begin"/>
            </w:r>
            <w:r w:rsidR="007B6C30" w:rsidRPr="00B86CDB">
              <w:rPr>
                <w:noProof/>
                <w:webHidden/>
              </w:rPr>
              <w:instrText xml:space="preserve"> PAGEREF _Toc57332498 \h </w:instrText>
            </w:r>
            <w:r w:rsidR="007B6C30" w:rsidRPr="00B86CDB">
              <w:rPr>
                <w:noProof/>
                <w:webHidden/>
              </w:rPr>
            </w:r>
            <w:r w:rsidR="007B6C30" w:rsidRPr="00B86CDB">
              <w:rPr>
                <w:noProof/>
                <w:webHidden/>
              </w:rPr>
              <w:fldChar w:fldCharType="separate"/>
            </w:r>
            <w:r w:rsidR="008861EA" w:rsidRPr="00B86CDB">
              <w:rPr>
                <w:noProof/>
                <w:webHidden/>
              </w:rPr>
              <w:t>53</w:t>
            </w:r>
            <w:r w:rsidR="007B6C30" w:rsidRPr="00B86CDB">
              <w:rPr>
                <w:noProof/>
                <w:webHidden/>
              </w:rPr>
              <w:fldChar w:fldCharType="end"/>
            </w:r>
          </w:hyperlink>
        </w:p>
        <w:p w14:paraId="1FE563D1" w14:textId="56B33BA8" w:rsidR="00E113EC" w:rsidRPr="00B86CDB" w:rsidRDefault="00E113EC" w:rsidP="00927869">
          <w:pPr>
            <w:spacing w:after="0" w:line="480" w:lineRule="auto"/>
            <w:ind w:right="-142"/>
            <w:rPr>
              <w:rFonts w:eastAsiaTheme="minorEastAsia"/>
              <w:bCs/>
              <w:sz w:val="24"/>
              <w:szCs w:val="24"/>
              <w:lang w:val="es-ES" w:eastAsia="es-ES"/>
            </w:rPr>
          </w:pPr>
          <w:r w:rsidRPr="00B86CDB">
            <w:rPr>
              <w:rFonts w:ascii="Palatino Linotype" w:eastAsiaTheme="minorEastAsia" w:hAnsi="Palatino Linotype"/>
              <w:b/>
              <w:bCs/>
              <w:szCs w:val="24"/>
              <w:lang w:val="es-ES" w:eastAsia="es-ES"/>
            </w:rPr>
            <w:fldChar w:fldCharType="end"/>
          </w:r>
        </w:p>
      </w:sdtContent>
    </w:sdt>
    <w:p w14:paraId="7B8E147A" w14:textId="4F5972EF" w:rsidR="007E7818" w:rsidRPr="00B86CDB"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B86CDB"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55531384" w:rsidR="00AE7407" w:rsidRPr="00B86CDB"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6F209C6C" w14:textId="51D3052B" w:rsidR="00613E55" w:rsidRPr="00B86CDB"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277A31E4" w14:textId="46C1B57D" w:rsidR="00613E55" w:rsidRPr="00B86CDB"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105C5BF2" w14:textId="300AAB25" w:rsidR="00613E55" w:rsidRPr="00B86CDB"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161BFE5A" w14:textId="28975525" w:rsidR="00E113EC" w:rsidRPr="00B86CDB"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B86CDB">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B86CDB">
        <w:rPr>
          <w:rFonts w:ascii="Palatino Linotype" w:eastAsiaTheme="minorEastAsia" w:hAnsi="Palatino Linotype"/>
          <w:sz w:val="24"/>
          <w:szCs w:val="24"/>
          <w:lang w:val="es-ES_tradnl" w:eastAsia="es-ES"/>
        </w:rPr>
        <w:t xml:space="preserve">éxico; </w:t>
      </w:r>
      <w:r w:rsidR="007B6C30" w:rsidRPr="00B86CDB">
        <w:rPr>
          <w:rFonts w:ascii="Palatino Linotype" w:eastAsiaTheme="minorEastAsia" w:hAnsi="Palatino Linotype"/>
          <w:sz w:val="24"/>
          <w:szCs w:val="24"/>
          <w:lang w:val="es-ES_tradnl" w:eastAsia="es-ES"/>
        </w:rPr>
        <w:t xml:space="preserve">de </w:t>
      </w:r>
      <w:r w:rsidR="00B86CDB">
        <w:rPr>
          <w:rFonts w:ascii="Palatino Linotype" w:eastAsiaTheme="minorEastAsia" w:hAnsi="Palatino Linotype"/>
          <w:sz w:val="24"/>
          <w:szCs w:val="24"/>
          <w:lang w:val="es-ES_tradnl" w:eastAsia="es-ES"/>
        </w:rPr>
        <w:t xml:space="preserve">fecha </w:t>
      </w:r>
      <w:r w:rsidR="007B6C30" w:rsidRPr="00B86CDB">
        <w:rPr>
          <w:rFonts w:ascii="Palatino Linotype" w:eastAsiaTheme="minorEastAsia" w:hAnsi="Palatino Linotype"/>
          <w:sz w:val="24"/>
          <w:szCs w:val="24"/>
          <w:lang w:val="es-ES_tradnl" w:eastAsia="es-ES"/>
        </w:rPr>
        <w:t>dos</w:t>
      </w:r>
      <w:r w:rsidR="007E7818" w:rsidRPr="00B86CDB">
        <w:rPr>
          <w:rFonts w:ascii="Palatino Linotype" w:eastAsiaTheme="minorEastAsia" w:hAnsi="Palatino Linotype"/>
          <w:sz w:val="24"/>
          <w:szCs w:val="24"/>
          <w:lang w:val="es-ES_tradnl" w:eastAsia="es-ES"/>
        </w:rPr>
        <w:t xml:space="preserve"> (</w:t>
      </w:r>
      <w:r w:rsidR="007B6C30" w:rsidRPr="00B86CDB">
        <w:rPr>
          <w:rFonts w:ascii="Palatino Linotype" w:eastAsiaTheme="minorEastAsia" w:hAnsi="Palatino Linotype"/>
          <w:sz w:val="24"/>
          <w:szCs w:val="24"/>
          <w:lang w:val="es-ES_tradnl" w:eastAsia="es-ES"/>
        </w:rPr>
        <w:t>02</w:t>
      </w:r>
      <w:r w:rsidR="007E7818" w:rsidRPr="00B86CDB">
        <w:rPr>
          <w:rFonts w:ascii="Palatino Linotype" w:eastAsiaTheme="minorEastAsia" w:hAnsi="Palatino Linotype"/>
          <w:sz w:val="24"/>
          <w:szCs w:val="24"/>
          <w:lang w:val="es-ES_tradnl" w:eastAsia="es-ES"/>
        </w:rPr>
        <w:t xml:space="preserve">) de </w:t>
      </w:r>
      <w:r w:rsidR="007B6C30" w:rsidRPr="00B86CDB">
        <w:rPr>
          <w:rFonts w:ascii="Palatino Linotype" w:eastAsiaTheme="minorEastAsia" w:hAnsi="Palatino Linotype"/>
          <w:sz w:val="24"/>
          <w:szCs w:val="24"/>
          <w:lang w:val="es-ES_tradnl" w:eastAsia="es-ES"/>
        </w:rPr>
        <w:t>dici</w:t>
      </w:r>
      <w:r w:rsidR="00A7747C" w:rsidRPr="00B86CDB">
        <w:rPr>
          <w:rFonts w:ascii="Palatino Linotype" w:eastAsiaTheme="minorEastAsia" w:hAnsi="Palatino Linotype"/>
          <w:sz w:val="24"/>
          <w:szCs w:val="24"/>
          <w:lang w:val="es-ES_tradnl" w:eastAsia="es-ES"/>
        </w:rPr>
        <w:t>emb</w:t>
      </w:r>
      <w:r w:rsidR="007C602E" w:rsidRPr="00B86CDB">
        <w:rPr>
          <w:rFonts w:ascii="Palatino Linotype" w:eastAsiaTheme="minorEastAsia" w:hAnsi="Palatino Linotype"/>
          <w:sz w:val="24"/>
          <w:szCs w:val="24"/>
          <w:lang w:val="es-ES_tradnl" w:eastAsia="es-ES"/>
        </w:rPr>
        <w:t>re</w:t>
      </w:r>
      <w:r w:rsidR="00DA44C3" w:rsidRPr="00B86CDB">
        <w:rPr>
          <w:rFonts w:ascii="Palatino Linotype" w:eastAsiaTheme="minorEastAsia" w:hAnsi="Palatino Linotype"/>
          <w:sz w:val="24"/>
          <w:szCs w:val="24"/>
          <w:lang w:val="es-ES_tradnl" w:eastAsia="es-ES"/>
        </w:rPr>
        <w:t xml:space="preserve"> de dos mil veinte.</w:t>
      </w:r>
    </w:p>
    <w:p w14:paraId="4AF97040" w14:textId="6D2A4AEF" w:rsidR="00E113EC" w:rsidRPr="00B86CDB"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B86CDB">
        <w:rPr>
          <w:rFonts w:ascii="Palatino Linotype" w:eastAsiaTheme="minorEastAsia" w:hAnsi="Palatino Linotype"/>
          <w:b/>
          <w:sz w:val="24"/>
          <w:szCs w:val="24"/>
          <w:lang w:val="es-ES_tradnl" w:eastAsia="es-ES"/>
        </w:rPr>
        <w:t>VISTO</w:t>
      </w:r>
      <w:r w:rsidR="008C2C5D" w:rsidRPr="00B86CDB">
        <w:rPr>
          <w:rFonts w:ascii="Palatino Linotype" w:eastAsiaTheme="minorEastAsia" w:hAnsi="Palatino Linotype"/>
          <w:sz w:val="24"/>
          <w:szCs w:val="24"/>
          <w:lang w:val="es-ES_tradnl" w:eastAsia="es-ES"/>
        </w:rPr>
        <w:t xml:space="preserve"> los</w:t>
      </w:r>
      <w:r w:rsidRPr="00B86CDB">
        <w:rPr>
          <w:rFonts w:ascii="Palatino Linotype" w:eastAsiaTheme="minorEastAsia" w:hAnsi="Palatino Linotype"/>
          <w:sz w:val="24"/>
          <w:szCs w:val="24"/>
          <w:lang w:val="es-ES_tradnl" w:eastAsia="es-ES"/>
        </w:rPr>
        <w:t xml:space="preserve"> expediente</w:t>
      </w:r>
      <w:r w:rsidR="008C2C5D" w:rsidRPr="00B86CDB">
        <w:rPr>
          <w:rFonts w:ascii="Palatino Linotype" w:eastAsiaTheme="minorEastAsia" w:hAnsi="Palatino Linotype"/>
          <w:sz w:val="24"/>
          <w:szCs w:val="24"/>
          <w:lang w:val="es-ES_tradnl" w:eastAsia="es-ES"/>
        </w:rPr>
        <w:t>s</w:t>
      </w:r>
      <w:r w:rsidRPr="00B86CDB">
        <w:rPr>
          <w:rFonts w:ascii="Palatino Linotype" w:eastAsiaTheme="minorEastAsia" w:hAnsi="Palatino Linotype"/>
          <w:sz w:val="24"/>
          <w:szCs w:val="24"/>
          <w:lang w:val="es-ES_tradnl" w:eastAsia="es-ES"/>
        </w:rPr>
        <w:t xml:space="preserve"> electrónico</w:t>
      </w:r>
      <w:r w:rsidR="008C2C5D" w:rsidRPr="00B86CDB">
        <w:rPr>
          <w:rFonts w:ascii="Palatino Linotype" w:eastAsiaTheme="minorEastAsia" w:hAnsi="Palatino Linotype"/>
          <w:sz w:val="24"/>
          <w:szCs w:val="24"/>
          <w:lang w:val="es-ES_tradnl" w:eastAsia="es-ES"/>
        </w:rPr>
        <w:t>s</w:t>
      </w:r>
      <w:r w:rsidRPr="00B86CDB">
        <w:rPr>
          <w:rFonts w:ascii="Palatino Linotype" w:eastAsiaTheme="minorEastAsia" w:hAnsi="Palatino Linotype"/>
          <w:sz w:val="24"/>
          <w:szCs w:val="24"/>
          <w:lang w:val="es-ES_tradnl" w:eastAsia="es-ES"/>
        </w:rPr>
        <w:t xml:space="preserve"> </w:t>
      </w:r>
      <w:r w:rsidR="00D31725" w:rsidRPr="00B86CDB">
        <w:rPr>
          <w:rFonts w:ascii="Palatino Linotype" w:eastAsiaTheme="minorEastAsia" w:hAnsi="Palatino Linotype"/>
          <w:sz w:val="24"/>
          <w:szCs w:val="24"/>
          <w:lang w:val="es-ES_tradnl" w:eastAsia="es-ES"/>
        </w:rPr>
        <w:t>integrado</w:t>
      </w:r>
      <w:r w:rsidR="008C2C5D" w:rsidRPr="00B86CDB">
        <w:rPr>
          <w:rFonts w:ascii="Palatino Linotype" w:eastAsiaTheme="minorEastAsia" w:hAnsi="Palatino Linotype"/>
          <w:sz w:val="24"/>
          <w:szCs w:val="24"/>
          <w:lang w:val="es-ES_tradnl" w:eastAsia="es-ES"/>
        </w:rPr>
        <w:t>s</w:t>
      </w:r>
      <w:r w:rsidRPr="00B86CDB">
        <w:rPr>
          <w:rFonts w:ascii="Palatino Linotype" w:eastAsiaTheme="minorEastAsia" w:hAnsi="Palatino Linotype"/>
          <w:sz w:val="24"/>
          <w:szCs w:val="24"/>
          <w:lang w:val="es-ES_tradnl" w:eastAsia="es-ES"/>
        </w:rPr>
        <w:t xml:space="preserve"> con motivo de</w:t>
      </w:r>
      <w:r w:rsidR="008C2C5D" w:rsidRPr="00B86CDB">
        <w:rPr>
          <w:rFonts w:ascii="Palatino Linotype" w:eastAsiaTheme="minorEastAsia" w:hAnsi="Palatino Linotype"/>
          <w:sz w:val="24"/>
          <w:szCs w:val="24"/>
          <w:lang w:val="es-ES_tradnl" w:eastAsia="es-ES"/>
        </w:rPr>
        <w:t xml:space="preserve"> </w:t>
      </w:r>
      <w:r w:rsidRPr="00B86CDB">
        <w:rPr>
          <w:rFonts w:ascii="Palatino Linotype" w:eastAsiaTheme="minorEastAsia" w:hAnsi="Palatino Linotype"/>
          <w:sz w:val="24"/>
          <w:szCs w:val="24"/>
          <w:lang w:val="es-ES_tradnl" w:eastAsia="es-ES"/>
        </w:rPr>
        <w:t>l</w:t>
      </w:r>
      <w:r w:rsidR="008C2C5D" w:rsidRPr="00B86CDB">
        <w:rPr>
          <w:rFonts w:ascii="Palatino Linotype" w:eastAsiaTheme="minorEastAsia" w:hAnsi="Palatino Linotype"/>
          <w:sz w:val="24"/>
          <w:szCs w:val="24"/>
          <w:lang w:val="es-ES_tradnl" w:eastAsia="es-ES"/>
        </w:rPr>
        <w:t>os</w:t>
      </w:r>
      <w:r w:rsidRPr="00B86CDB">
        <w:rPr>
          <w:rFonts w:ascii="Palatino Linotype" w:eastAsiaTheme="minorEastAsia" w:hAnsi="Palatino Linotype"/>
          <w:sz w:val="24"/>
          <w:szCs w:val="24"/>
          <w:lang w:val="es-ES_tradnl" w:eastAsia="es-ES"/>
        </w:rPr>
        <w:t xml:space="preserve"> recurso</w:t>
      </w:r>
      <w:r w:rsidR="008C2C5D" w:rsidRPr="00B86CDB">
        <w:rPr>
          <w:rFonts w:ascii="Palatino Linotype" w:eastAsiaTheme="minorEastAsia" w:hAnsi="Palatino Linotype"/>
          <w:sz w:val="24"/>
          <w:szCs w:val="24"/>
          <w:lang w:val="es-ES_tradnl" w:eastAsia="es-ES"/>
        </w:rPr>
        <w:t>s</w:t>
      </w:r>
      <w:r w:rsidRPr="00B86CDB">
        <w:rPr>
          <w:rFonts w:ascii="Palatino Linotype" w:eastAsiaTheme="minorEastAsia" w:hAnsi="Palatino Linotype"/>
          <w:sz w:val="24"/>
          <w:szCs w:val="24"/>
          <w:lang w:val="es-ES_tradnl" w:eastAsia="es-ES"/>
        </w:rPr>
        <w:t xml:space="preserve"> de revisión </w:t>
      </w:r>
      <w:r w:rsidR="00EE5082" w:rsidRPr="00B86CDB">
        <w:rPr>
          <w:rFonts w:ascii="Palatino Linotype" w:eastAsiaTheme="minorEastAsia" w:hAnsi="Palatino Linotype" w:cs="Arial"/>
          <w:b/>
          <w:bCs/>
          <w:sz w:val="24"/>
          <w:szCs w:val="24"/>
          <w:lang w:val="es-ES_tradnl" w:eastAsia="es-ES"/>
        </w:rPr>
        <w:t>0</w:t>
      </w:r>
      <w:r w:rsidR="00A7747C" w:rsidRPr="00B86CDB">
        <w:rPr>
          <w:rFonts w:ascii="Palatino Linotype" w:eastAsiaTheme="minorEastAsia" w:hAnsi="Palatino Linotype" w:cs="Arial"/>
          <w:b/>
          <w:bCs/>
          <w:sz w:val="24"/>
          <w:szCs w:val="24"/>
          <w:lang w:val="es-ES_tradnl" w:eastAsia="es-ES"/>
        </w:rPr>
        <w:t>4038</w:t>
      </w:r>
      <w:r w:rsidR="00542CE7" w:rsidRPr="00B86CDB">
        <w:rPr>
          <w:rFonts w:ascii="Palatino Linotype" w:eastAsiaTheme="minorEastAsia" w:hAnsi="Palatino Linotype" w:cs="Arial"/>
          <w:b/>
          <w:bCs/>
          <w:sz w:val="24"/>
          <w:szCs w:val="24"/>
          <w:lang w:val="es-ES_tradnl" w:eastAsia="es-ES"/>
        </w:rPr>
        <w:t>/INFOEM/IP/RR/2020</w:t>
      </w:r>
      <w:r w:rsidRPr="00B86CDB">
        <w:rPr>
          <w:rFonts w:ascii="Palatino Linotype" w:eastAsiaTheme="minorEastAsia" w:hAnsi="Palatino Linotype" w:cs="Arial"/>
          <w:b/>
          <w:bCs/>
          <w:sz w:val="24"/>
          <w:szCs w:val="24"/>
          <w:lang w:val="es-ES_tradnl" w:eastAsia="es-ES"/>
        </w:rPr>
        <w:t>,</w:t>
      </w:r>
      <w:r w:rsidR="00815F08" w:rsidRPr="00B86CDB">
        <w:rPr>
          <w:rFonts w:ascii="Palatino Linotype" w:eastAsiaTheme="minorEastAsia" w:hAnsi="Palatino Linotype" w:cs="Arial"/>
          <w:b/>
          <w:bCs/>
          <w:sz w:val="24"/>
          <w:szCs w:val="24"/>
          <w:lang w:val="es-ES_tradnl" w:eastAsia="es-ES"/>
        </w:rPr>
        <w:t xml:space="preserve"> 04044/INFOEM/IP/RR/2020 y 04045/INFOEM/IP/RR/2020,</w:t>
      </w:r>
      <w:r w:rsidRPr="00B86CDB">
        <w:rPr>
          <w:rFonts w:ascii="Palatino Linotype" w:eastAsiaTheme="minorEastAsia" w:hAnsi="Palatino Linotype" w:cs="Arial"/>
          <w:b/>
          <w:bCs/>
          <w:sz w:val="24"/>
          <w:szCs w:val="24"/>
          <w:lang w:val="es-ES_tradnl" w:eastAsia="es-ES"/>
        </w:rPr>
        <w:t xml:space="preserve"> </w:t>
      </w:r>
      <w:r w:rsidR="00746EF3" w:rsidRPr="00B86CDB">
        <w:rPr>
          <w:rFonts w:ascii="Palatino Linotype" w:eastAsiaTheme="minorEastAsia" w:hAnsi="Palatino Linotype"/>
          <w:sz w:val="24"/>
          <w:szCs w:val="24"/>
          <w:lang w:val="es-ES_tradnl" w:eastAsia="es-ES"/>
        </w:rPr>
        <w:t>promovido</w:t>
      </w:r>
      <w:r w:rsidR="00815F08" w:rsidRPr="00B86CDB">
        <w:rPr>
          <w:rFonts w:ascii="Palatino Linotype" w:eastAsiaTheme="minorEastAsia" w:hAnsi="Palatino Linotype"/>
          <w:sz w:val="24"/>
          <w:szCs w:val="24"/>
          <w:lang w:val="es-ES_tradnl" w:eastAsia="es-ES"/>
        </w:rPr>
        <w:t xml:space="preserve">s por </w:t>
      </w:r>
      <w:r w:rsidR="00253D6B" w:rsidRPr="00253D6B">
        <w:rPr>
          <w:rFonts w:ascii="Palatino Linotype" w:eastAsia="MS Mincho" w:hAnsi="Palatino Linotype" w:cs="Times New Roman"/>
          <w:b/>
          <w:sz w:val="24"/>
          <w:szCs w:val="24"/>
          <w:highlight w:val="black"/>
          <w:lang w:val="es-ES_tradnl" w:eastAsia="es-ES"/>
        </w:rPr>
        <w:t>-------------------------------------------</w:t>
      </w:r>
      <w:r w:rsidR="003562F4" w:rsidRPr="00B86CDB">
        <w:rPr>
          <w:rFonts w:ascii="Palatino Linotype" w:hAnsi="Palatino Linotype"/>
          <w:bCs/>
          <w:sz w:val="24"/>
          <w:szCs w:val="24"/>
        </w:rPr>
        <w:t xml:space="preserve">quien </w:t>
      </w:r>
      <w:r w:rsidR="003562F4" w:rsidRPr="00B86CDB">
        <w:rPr>
          <w:rFonts w:ascii="Palatino Linotype" w:eastAsiaTheme="minorEastAsia" w:hAnsi="Palatino Linotype"/>
          <w:sz w:val="24"/>
          <w:szCs w:val="24"/>
          <w:lang w:val="es-ES_tradnl" w:eastAsia="es-ES"/>
        </w:rPr>
        <w:t>en lo sucesivo será</w:t>
      </w:r>
      <w:r w:rsidR="008B5EEA" w:rsidRPr="00B86CDB">
        <w:rPr>
          <w:rFonts w:ascii="Palatino Linotype" w:eastAsiaTheme="minorEastAsia" w:hAnsi="Palatino Linotype"/>
          <w:sz w:val="24"/>
          <w:szCs w:val="24"/>
          <w:lang w:val="es-ES_tradnl" w:eastAsia="es-ES"/>
        </w:rPr>
        <w:t xml:space="preserve"> identificado</w:t>
      </w:r>
      <w:r w:rsidR="00965F4B" w:rsidRPr="00B86CDB">
        <w:rPr>
          <w:rFonts w:ascii="Palatino Linotype" w:eastAsiaTheme="minorEastAsia" w:hAnsi="Palatino Linotype"/>
          <w:b/>
          <w:sz w:val="24"/>
          <w:szCs w:val="24"/>
          <w:lang w:val="es-ES_tradnl" w:eastAsia="es-ES"/>
        </w:rPr>
        <w:t xml:space="preserve"> </w:t>
      </w:r>
      <w:r w:rsidR="00965F4B" w:rsidRPr="00B86CDB">
        <w:rPr>
          <w:rFonts w:ascii="Palatino Linotype" w:eastAsiaTheme="minorEastAsia" w:hAnsi="Palatino Linotype" w:cs="Arial"/>
          <w:sz w:val="24"/>
          <w:szCs w:val="24"/>
          <w:lang w:val="es-ES_tradnl" w:eastAsia="es-ES"/>
        </w:rPr>
        <w:t xml:space="preserve">en su calidad de </w:t>
      </w:r>
      <w:r w:rsidR="00965F4B" w:rsidRPr="00B86CDB">
        <w:rPr>
          <w:rFonts w:ascii="Palatino Linotype" w:eastAsiaTheme="minorEastAsia" w:hAnsi="Palatino Linotype" w:cs="Arial"/>
          <w:b/>
          <w:sz w:val="24"/>
          <w:szCs w:val="24"/>
          <w:lang w:val="es-ES_tradnl" w:eastAsia="es-ES"/>
        </w:rPr>
        <w:t>RECURRENTE</w:t>
      </w:r>
      <w:r w:rsidR="009073E1" w:rsidRPr="00B86CDB">
        <w:rPr>
          <w:rFonts w:ascii="Palatino Linotype" w:eastAsiaTheme="minorEastAsia" w:hAnsi="Palatino Linotype" w:cs="Arial"/>
          <w:sz w:val="24"/>
          <w:szCs w:val="24"/>
          <w:lang w:val="es-ES_tradnl" w:eastAsia="es-ES"/>
        </w:rPr>
        <w:t>, en contra de la</w:t>
      </w:r>
      <w:r w:rsidR="00815F08" w:rsidRPr="00B86CDB">
        <w:rPr>
          <w:rFonts w:ascii="Palatino Linotype" w:eastAsiaTheme="minorEastAsia" w:hAnsi="Palatino Linotype" w:cs="Arial"/>
          <w:sz w:val="24"/>
          <w:szCs w:val="24"/>
          <w:lang w:val="es-ES_tradnl" w:eastAsia="es-ES"/>
        </w:rPr>
        <w:t>s</w:t>
      </w:r>
      <w:r w:rsidR="009073E1" w:rsidRPr="00B86CDB">
        <w:rPr>
          <w:rFonts w:ascii="Palatino Linotype" w:eastAsiaTheme="minorEastAsia" w:hAnsi="Palatino Linotype" w:cs="Arial"/>
          <w:sz w:val="24"/>
          <w:szCs w:val="24"/>
          <w:lang w:val="es-ES_tradnl" w:eastAsia="es-ES"/>
        </w:rPr>
        <w:t xml:space="preserve"> </w:t>
      </w:r>
      <w:r w:rsidRPr="00B86CDB">
        <w:rPr>
          <w:rFonts w:ascii="Palatino Linotype" w:eastAsiaTheme="minorEastAsia" w:hAnsi="Palatino Linotype" w:cs="Arial"/>
          <w:sz w:val="24"/>
          <w:szCs w:val="24"/>
          <w:lang w:val="es-ES_tradnl" w:eastAsia="es-ES"/>
        </w:rPr>
        <w:t>respuesta</w:t>
      </w:r>
      <w:r w:rsidR="00815F08" w:rsidRPr="00B86CDB">
        <w:rPr>
          <w:rFonts w:ascii="Palatino Linotype" w:eastAsiaTheme="minorEastAsia" w:hAnsi="Palatino Linotype" w:cs="Arial"/>
          <w:sz w:val="24"/>
          <w:szCs w:val="24"/>
          <w:lang w:val="es-ES_tradnl" w:eastAsia="es-ES"/>
        </w:rPr>
        <w:t>s</w:t>
      </w:r>
      <w:r w:rsidRPr="00B86CDB">
        <w:rPr>
          <w:rFonts w:ascii="Palatino Linotype" w:eastAsiaTheme="minorEastAsia" w:hAnsi="Palatino Linotype" w:cs="Arial"/>
          <w:sz w:val="24"/>
          <w:szCs w:val="24"/>
          <w:lang w:val="es-ES_tradnl" w:eastAsia="es-ES"/>
        </w:rPr>
        <w:t xml:space="preserve"> del </w:t>
      </w:r>
      <w:r w:rsidR="00A7747C" w:rsidRPr="00B86CDB">
        <w:rPr>
          <w:rFonts w:ascii="Palatino Linotype" w:eastAsiaTheme="minorEastAsia" w:hAnsi="Palatino Linotype" w:cs="Arial"/>
          <w:b/>
          <w:sz w:val="24"/>
          <w:szCs w:val="24"/>
          <w:lang w:val="es-ES_tradnl" w:eastAsia="es-ES"/>
        </w:rPr>
        <w:t>Tribunal de Justicia Administrativa del Estado de México</w:t>
      </w:r>
      <w:r w:rsidR="009073E1" w:rsidRPr="00B86CDB">
        <w:rPr>
          <w:rFonts w:ascii="Palatino Linotype" w:eastAsiaTheme="minorEastAsia" w:hAnsi="Palatino Linotype" w:cs="Arial"/>
          <w:b/>
          <w:sz w:val="24"/>
          <w:szCs w:val="24"/>
          <w:lang w:val="es-ES_tradnl" w:eastAsia="es-ES"/>
        </w:rPr>
        <w:t>,</w:t>
      </w:r>
      <w:r w:rsidRPr="00B86CDB">
        <w:rPr>
          <w:rFonts w:ascii="Palatino Linotype" w:eastAsiaTheme="minorEastAsia" w:hAnsi="Palatino Linotype" w:cs="Arial"/>
          <w:b/>
          <w:sz w:val="24"/>
          <w:szCs w:val="24"/>
          <w:lang w:val="es-ES_tradnl" w:eastAsia="es-ES"/>
        </w:rPr>
        <w:t xml:space="preserve"> </w:t>
      </w:r>
      <w:r w:rsidRPr="00B86CDB">
        <w:rPr>
          <w:rFonts w:ascii="Palatino Linotype" w:eastAsiaTheme="minorEastAsia" w:hAnsi="Palatino Linotype"/>
          <w:sz w:val="24"/>
          <w:szCs w:val="24"/>
          <w:lang w:val="es-ES_tradnl" w:eastAsia="es-ES"/>
        </w:rPr>
        <w:t>en lo sucesivo el</w:t>
      </w:r>
      <w:r w:rsidR="00D31725" w:rsidRPr="00B86CDB">
        <w:rPr>
          <w:rFonts w:ascii="Palatino Linotype" w:eastAsiaTheme="minorEastAsia" w:hAnsi="Palatino Linotype"/>
          <w:b/>
          <w:sz w:val="24"/>
          <w:szCs w:val="24"/>
          <w:lang w:val="es-ES_tradnl" w:eastAsia="es-ES"/>
        </w:rPr>
        <w:t xml:space="preserve"> SUJETO OBLIGADO;</w:t>
      </w:r>
      <w:r w:rsidRPr="00B86CDB">
        <w:rPr>
          <w:rFonts w:ascii="Palatino Linotype" w:eastAsiaTheme="minorEastAsia" w:hAnsi="Palatino Linotype"/>
          <w:b/>
          <w:sz w:val="24"/>
          <w:szCs w:val="24"/>
          <w:lang w:val="es-ES_tradnl" w:eastAsia="es-ES"/>
        </w:rPr>
        <w:t xml:space="preserve"> </w:t>
      </w:r>
      <w:r w:rsidRPr="00B86CDB">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B86CDB"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57332490"/>
      <w:r w:rsidRPr="00B86CDB">
        <w:rPr>
          <w:rFonts w:ascii="Palatino Linotype" w:eastAsiaTheme="majorEastAsia" w:hAnsi="Palatino Linotype" w:cstheme="majorBidi"/>
          <w:b/>
          <w:sz w:val="24"/>
          <w:szCs w:val="32"/>
        </w:rPr>
        <w:t>A N T E C E D E N T E S</w:t>
      </w:r>
      <w:bookmarkEnd w:id="0"/>
    </w:p>
    <w:p w14:paraId="5AD5E8B4" w14:textId="77777777" w:rsidR="00746EF3" w:rsidRPr="00B86CDB"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7B60EB51" w:rsidR="00E113EC" w:rsidRPr="00B86CDB" w:rsidRDefault="00A7747C"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86CDB">
        <w:rPr>
          <w:rFonts w:ascii="Palatino Linotype" w:eastAsia="Calibri" w:hAnsi="Palatino Linotype" w:cs="Arial"/>
          <w:sz w:val="24"/>
          <w:szCs w:val="24"/>
          <w:lang w:val="es-ES" w:eastAsia="es-ES"/>
        </w:rPr>
        <w:t>El veinticuatro</w:t>
      </w:r>
      <w:r w:rsidR="00E347CD" w:rsidRPr="00B86CDB">
        <w:rPr>
          <w:rFonts w:ascii="Palatino Linotype" w:eastAsia="Calibri" w:hAnsi="Palatino Linotype" w:cs="Arial"/>
          <w:sz w:val="24"/>
          <w:szCs w:val="24"/>
          <w:lang w:val="es-ES" w:eastAsia="es-ES"/>
        </w:rPr>
        <w:t xml:space="preserve"> </w:t>
      </w:r>
      <w:r w:rsidR="00E9434A" w:rsidRPr="00B86CDB">
        <w:rPr>
          <w:rFonts w:ascii="Palatino Linotype" w:eastAsia="Calibri" w:hAnsi="Palatino Linotype" w:cs="Arial"/>
          <w:sz w:val="24"/>
          <w:szCs w:val="24"/>
          <w:lang w:val="es-ES" w:eastAsia="es-ES"/>
        </w:rPr>
        <w:t>(</w:t>
      </w:r>
      <w:r w:rsidRPr="00B86CDB">
        <w:rPr>
          <w:rFonts w:ascii="Palatino Linotype" w:eastAsia="Calibri" w:hAnsi="Palatino Linotype" w:cs="Arial"/>
          <w:sz w:val="24"/>
          <w:szCs w:val="24"/>
          <w:lang w:val="es-ES" w:eastAsia="es-ES"/>
        </w:rPr>
        <w:t>24</w:t>
      </w:r>
      <w:r w:rsidR="00F46A05" w:rsidRPr="00B86CDB">
        <w:rPr>
          <w:rFonts w:ascii="Palatino Linotype" w:eastAsia="Calibri" w:hAnsi="Palatino Linotype" w:cs="Arial"/>
          <w:sz w:val="24"/>
          <w:szCs w:val="24"/>
          <w:lang w:val="es-ES" w:eastAsia="es-ES"/>
        </w:rPr>
        <w:t xml:space="preserve">) </w:t>
      </w:r>
      <w:r w:rsidR="00196ED1" w:rsidRPr="00B86CDB">
        <w:rPr>
          <w:rFonts w:ascii="Palatino Linotype" w:eastAsia="Calibri" w:hAnsi="Palatino Linotype" w:cs="Arial"/>
          <w:sz w:val="24"/>
          <w:szCs w:val="24"/>
          <w:lang w:val="es-ES" w:eastAsia="es-ES"/>
        </w:rPr>
        <w:t xml:space="preserve">y treinta y uno (31) </w:t>
      </w:r>
      <w:r w:rsidR="00F46A05" w:rsidRPr="00B86CDB">
        <w:rPr>
          <w:rFonts w:ascii="Palatino Linotype" w:eastAsia="Calibri" w:hAnsi="Palatino Linotype" w:cs="Arial"/>
          <w:sz w:val="24"/>
          <w:szCs w:val="24"/>
          <w:lang w:val="es-ES" w:eastAsia="es-ES"/>
        </w:rPr>
        <w:t>de</w:t>
      </w:r>
      <w:r w:rsidR="00E347CD" w:rsidRPr="00B86CDB">
        <w:rPr>
          <w:rFonts w:ascii="Palatino Linotype" w:eastAsia="Calibri" w:hAnsi="Palatino Linotype" w:cs="Arial"/>
          <w:sz w:val="24"/>
          <w:szCs w:val="24"/>
          <w:lang w:val="es-ES" w:eastAsia="es-ES"/>
        </w:rPr>
        <w:t xml:space="preserve"> </w:t>
      </w:r>
      <w:r w:rsidRPr="00B86CDB">
        <w:rPr>
          <w:rFonts w:ascii="Palatino Linotype" w:eastAsia="Calibri" w:hAnsi="Palatino Linotype" w:cs="Arial"/>
          <w:sz w:val="24"/>
          <w:szCs w:val="24"/>
          <w:lang w:val="es-ES" w:eastAsia="es-ES"/>
        </w:rPr>
        <w:t>agosto</w:t>
      </w:r>
      <w:r w:rsidR="00E113EC" w:rsidRPr="00B86CDB">
        <w:rPr>
          <w:rFonts w:ascii="Palatino Linotype" w:eastAsia="Calibri" w:hAnsi="Palatino Linotype" w:cs="Arial"/>
          <w:b/>
          <w:sz w:val="24"/>
          <w:szCs w:val="24"/>
          <w:lang w:val="es-ES" w:eastAsia="es-ES"/>
        </w:rPr>
        <w:t xml:space="preserve"> </w:t>
      </w:r>
      <w:r w:rsidR="00E9434A" w:rsidRPr="00B86CDB">
        <w:rPr>
          <w:rFonts w:ascii="Palatino Linotype" w:eastAsia="Calibri" w:hAnsi="Palatino Linotype" w:cs="Arial"/>
          <w:sz w:val="24"/>
          <w:szCs w:val="24"/>
          <w:lang w:val="es-ES" w:eastAsia="es-ES"/>
        </w:rPr>
        <w:t>de dos mil veinte</w:t>
      </w:r>
      <w:r w:rsidR="00E113EC" w:rsidRPr="00B86CDB">
        <w:rPr>
          <w:rFonts w:ascii="Palatino Linotype" w:eastAsia="Calibri" w:hAnsi="Palatino Linotype" w:cs="Arial"/>
          <w:sz w:val="24"/>
          <w:szCs w:val="24"/>
          <w:lang w:val="es-ES" w:eastAsia="es-ES"/>
        </w:rPr>
        <w:t>,</w:t>
      </w:r>
      <w:r w:rsidR="00E113EC" w:rsidRPr="00B86CDB">
        <w:rPr>
          <w:rFonts w:ascii="Palatino Linotype" w:eastAsia="Calibri" w:hAnsi="Palatino Linotype" w:cs="Times New Roman"/>
          <w:sz w:val="24"/>
          <w:szCs w:val="24"/>
          <w:lang w:val="es-ES" w:eastAsia="es-ES"/>
        </w:rPr>
        <w:t xml:space="preserve"> se</w:t>
      </w:r>
      <w:r w:rsidR="00E113EC" w:rsidRPr="00B86CDB">
        <w:rPr>
          <w:rFonts w:ascii="Palatino Linotype" w:eastAsiaTheme="minorEastAsia" w:hAnsi="Palatino Linotype"/>
          <w:b/>
          <w:sz w:val="24"/>
          <w:lang w:val="es-ES_tradnl" w:eastAsia="es-ES"/>
        </w:rPr>
        <w:t xml:space="preserve"> </w:t>
      </w:r>
      <w:r w:rsidR="00196ED1" w:rsidRPr="00B86CDB">
        <w:rPr>
          <w:rFonts w:ascii="Palatino Linotype" w:eastAsiaTheme="minorEastAsia" w:hAnsi="Palatino Linotype"/>
          <w:sz w:val="24"/>
          <w:lang w:val="es-ES_tradnl" w:eastAsia="es-ES"/>
        </w:rPr>
        <w:t>presentaron</w:t>
      </w:r>
      <w:r w:rsidR="00E113EC" w:rsidRPr="00B86CDB">
        <w:rPr>
          <w:rFonts w:ascii="Palatino Linotype" w:eastAsiaTheme="minorEastAsia" w:hAnsi="Palatino Linotype"/>
          <w:sz w:val="24"/>
          <w:lang w:val="es-ES_tradnl" w:eastAsia="es-ES"/>
        </w:rPr>
        <w:t xml:space="preserve"> </w:t>
      </w:r>
      <w:r w:rsidR="00E113EC" w:rsidRPr="00B86CDB">
        <w:rPr>
          <w:rFonts w:ascii="Palatino Linotype" w:eastAsia="Calibri" w:hAnsi="Palatino Linotype" w:cs="Arial"/>
          <w:sz w:val="24"/>
          <w:szCs w:val="24"/>
          <w:lang w:val="es-ES" w:eastAsia="es-ES"/>
        </w:rPr>
        <w:t xml:space="preserve">ante el </w:t>
      </w:r>
      <w:r w:rsidR="00E113EC" w:rsidRPr="00B86CDB">
        <w:rPr>
          <w:rFonts w:ascii="Palatino Linotype" w:eastAsia="Calibri" w:hAnsi="Palatino Linotype" w:cs="Arial"/>
          <w:b/>
          <w:sz w:val="24"/>
          <w:szCs w:val="24"/>
          <w:lang w:val="es-ES" w:eastAsia="es-ES"/>
        </w:rPr>
        <w:t>SUJETO OBLIGADO,</w:t>
      </w:r>
      <w:r w:rsidR="00E113EC" w:rsidRPr="00B86CDB">
        <w:rPr>
          <w:rFonts w:ascii="Palatino Linotype" w:eastAsia="Calibri" w:hAnsi="Palatino Linotype" w:cs="Arial"/>
          <w:sz w:val="24"/>
          <w:szCs w:val="24"/>
          <w:lang w:val="es-ES_tradnl" w:eastAsia="es-ES"/>
        </w:rPr>
        <w:t xml:space="preserve"> vía </w:t>
      </w:r>
      <w:r w:rsidR="00E113EC" w:rsidRPr="00B86CDB">
        <w:rPr>
          <w:rFonts w:ascii="Palatino Linotype" w:eastAsia="Calibri" w:hAnsi="Palatino Linotype" w:cs="Arial"/>
          <w:sz w:val="24"/>
          <w:szCs w:val="24"/>
          <w:lang w:val="es-ES" w:eastAsia="es-ES"/>
        </w:rPr>
        <w:t>Sistema de Acceso a la Información Mexiquense (SAIMEX), la</w:t>
      </w:r>
      <w:r w:rsidR="00196ED1" w:rsidRPr="00B86CDB">
        <w:rPr>
          <w:rFonts w:ascii="Palatino Linotype" w:eastAsia="Calibri" w:hAnsi="Palatino Linotype" w:cs="Arial"/>
          <w:sz w:val="24"/>
          <w:szCs w:val="24"/>
          <w:lang w:val="es-ES" w:eastAsia="es-ES"/>
        </w:rPr>
        <w:t>s</w:t>
      </w:r>
      <w:r w:rsidR="00E113EC" w:rsidRPr="00B86CDB">
        <w:rPr>
          <w:rFonts w:ascii="Palatino Linotype" w:eastAsia="Calibri" w:hAnsi="Palatino Linotype" w:cs="Arial"/>
          <w:sz w:val="24"/>
          <w:szCs w:val="24"/>
          <w:lang w:val="es-ES" w:eastAsia="es-ES"/>
        </w:rPr>
        <w:t xml:space="preserve"> solicitud</w:t>
      </w:r>
      <w:r w:rsidR="00196ED1" w:rsidRPr="00B86CDB">
        <w:rPr>
          <w:rFonts w:ascii="Palatino Linotype" w:eastAsia="Calibri" w:hAnsi="Palatino Linotype" w:cs="Arial"/>
          <w:sz w:val="24"/>
          <w:szCs w:val="24"/>
          <w:lang w:val="es-ES" w:eastAsia="es-ES"/>
        </w:rPr>
        <w:t>es</w:t>
      </w:r>
      <w:r w:rsidR="00E113EC" w:rsidRPr="00B86CDB">
        <w:rPr>
          <w:rFonts w:ascii="Palatino Linotype" w:eastAsia="Calibri" w:hAnsi="Palatino Linotype" w:cs="Arial"/>
          <w:sz w:val="24"/>
          <w:szCs w:val="24"/>
          <w:lang w:val="es-ES" w:eastAsia="es-ES"/>
        </w:rPr>
        <w:t xml:space="preserve"> de información pública registrada</w:t>
      </w:r>
      <w:r w:rsidR="00196ED1" w:rsidRPr="00B86CDB">
        <w:rPr>
          <w:rFonts w:ascii="Palatino Linotype" w:eastAsia="Calibri" w:hAnsi="Palatino Linotype" w:cs="Arial"/>
          <w:sz w:val="24"/>
          <w:szCs w:val="24"/>
          <w:lang w:val="es-ES" w:eastAsia="es-ES"/>
        </w:rPr>
        <w:t>s</w:t>
      </w:r>
      <w:r w:rsidR="00E113EC" w:rsidRPr="00B86CDB">
        <w:rPr>
          <w:rFonts w:ascii="Palatino Linotype" w:eastAsia="Calibri" w:hAnsi="Palatino Linotype" w:cs="Arial"/>
          <w:sz w:val="24"/>
          <w:szCs w:val="24"/>
          <w:lang w:val="es-ES" w:eastAsia="es-ES"/>
        </w:rPr>
        <w:t xml:space="preserve"> con </w:t>
      </w:r>
      <w:r w:rsidR="00196ED1" w:rsidRPr="00B86CDB">
        <w:rPr>
          <w:rFonts w:ascii="Palatino Linotype" w:eastAsia="Calibri" w:hAnsi="Palatino Linotype" w:cs="Arial"/>
          <w:sz w:val="24"/>
          <w:szCs w:val="24"/>
          <w:lang w:val="es-ES" w:eastAsia="es-ES"/>
        </w:rPr>
        <w:t>los</w:t>
      </w:r>
      <w:r w:rsidR="00E113EC" w:rsidRPr="00B86CDB">
        <w:rPr>
          <w:rFonts w:ascii="Palatino Linotype" w:eastAsia="Calibri" w:hAnsi="Palatino Linotype" w:cs="Arial"/>
          <w:sz w:val="24"/>
          <w:szCs w:val="24"/>
          <w:lang w:val="es-ES" w:eastAsia="es-ES"/>
        </w:rPr>
        <w:t xml:space="preserve"> número</w:t>
      </w:r>
      <w:r w:rsidR="00196ED1" w:rsidRPr="00B86CDB">
        <w:rPr>
          <w:rFonts w:ascii="Palatino Linotype" w:eastAsia="Calibri" w:hAnsi="Palatino Linotype" w:cs="Arial"/>
          <w:sz w:val="24"/>
          <w:szCs w:val="24"/>
          <w:lang w:val="es-ES" w:eastAsia="es-ES"/>
        </w:rPr>
        <w:t>s</w:t>
      </w:r>
      <w:r w:rsidR="00E113EC" w:rsidRPr="00B86CDB">
        <w:rPr>
          <w:rFonts w:ascii="Palatino Linotype" w:eastAsia="Calibri" w:hAnsi="Palatino Linotype" w:cs="Arial"/>
          <w:sz w:val="24"/>
          <w:szCs w:val="24"/>
          <w:lang w:val="es-ES" w:eastAsia="es-ES"/>
        </w:rPr>
        <w:t xml:space="preserve"> </w:t>
      </w:r>
      <w:r w:rsidR="00097AFF" w:rsidRPr="00B86CDB">
        <w:rPr>
          <w:rFonts w:ascii="Palatino Linotype" w:eastAsia="Times New Roman" w:hAnsi="Palatino Linotype" w:cs="Arial"/>
          <w:b/>
          <w:sz w:val="24"/>
          <w:szCs w:val="24"/>
          <w:lang w:val="es-ES" w:eastAsia="es-ES"/>
        </w:rPr>
        <w:t>00</w:t>
      </w:r>
      <w:r w:rsidRPr="00B86CDB">
        <w:rPr>
          <w:rFonts w:ascii="Palatino Linotype" w:eastAsia="Times New Roman" w:hAnsi="Palatino Linotype" w:cs="Arial"/>
          <w:b/>
          <w:sz w:val="24"/>
          <w:szCs w:val="24"/>
          <w:lang w:val="es-ES" w:eastAsia="es-ES"/>
        </w:rPr>
        <w:t>107</w:t>
      </w:r>
      <w:r w:rsidR="009640E7" w:rsidRPr="00B86CDB">
        <w:rPr>
          <w:rFonts w:ascii="Palatino Linotype" w:eastAsia="Times New Roman" w:hAnsi="Palatino Linotype" w:cs="Arial"/>
          <w:b/>
          <w:sz w:val="24"/>
          <w:szCs w:val="24"/>
          <w:lang w:val="es-ES" w:eastAsia="es-ES"/>
        </w:rPr>
        <w:t>/</w:t>
      </w:r>
      <w:r w:rsidRPr="00B86CDB">
        <w:rPr>
          <w:rFonts w:ascii="Palatino Linotype" w:eastAsia="Times New Roman" w:hAnsi="Palatino Linotype" w:cs="Arial"/>
          <w:b/>
          <w:sz w:val="24"/>
          <w:szCs w:val="24"/>
          <w:lang w:val="es-ES" w:eastAsia="es-ES"/>
        </w:rPr>
        <w:t>TRIJAEM</w:t>
      </w:r>
      <w:r w:rsidR="00E113EC" w:rsidRPr="00B86CDB">
        <w:rPr>
          <w:rFonts w:ascii="Palatino Linotype" w:eastAsia="Times New Roman" w:hAnsi="Palatino Linotype" w:cs="Arial"/>
          <w:b/>
          <w:sz w:val="24"/>
          <w:szCs w:val="24"/>
          <w:lang w:val="es-ES" w:eastAsia="es-ES"/>
        </w:rPr>
        <w:t>/IP/</w:t>
      </w:r>
      <w:r w:rsidR="005969F4" w:rsidRPr="00B86CDB">
        <w:rPr>
          <w:rFonts w:ascii="Palatino Linotype" w:eastAsia="Times New Roman" w:hAnsi="Palatino Linotype" w:cs="Arial"/>
          <w:b/>
          <w:sz w:val="24"/>
          <w:szCs w:val="24"/>
          <w:lang w:val="es-ES" w:eastAsia="es-ES"/>
        </w:rPr>
        <w:t>20</w:t>
      </w:r>
      <w:r w:rsidR="00E9434A" w:rsidRPr="00B86CDB">
        <w:rPr>
          <w:rFonts w:ascii="Palatino Linotype" w:eastAsia="Times New Roman" w:hAnsi="Palatino Linotype" w:cs="Arial"/>
          <w:b/>
          <w:sz w:val="24"/>
          <w:szCs w:val="24"/>
          <w:lang w:val="es-ES" w:eastAsia="es-ES"/>
        </w:rPr>
        <w:t>20</w:t>
      </w:r>
      <w:r w:rsidR="005969F4" w:rsidRPr="00B86CDB">
        <w:rPr>
          <w:rFonts w:ascii="Palatino Linotype" w:eastAsia="Times New Roman" w:hAnsi="Palatino Linotype" w:cs="Arial"/>
          <w:b/>
          <w:sz w:val="24"/>
          <w:szCs w:val="24"/>
          <w:lang w:val="es-ES" w:eastAsia="es-ES"/>
        </w:rPr>
        <w:t>,</w:t>
      </w:r>
      <w:r w:rsidR="00196ED1" w:rsidRPr="00B86CDB">
        <w:rPr>
          <w:rFonts w:ascii="Palatino Linotype" w:eastAsia="Times New Roman" w:hAnsi="Palatino Linotype" w:cs="Arial"/>
          <w:b/>
          <w:sz w:val="24"/>
          <w:szCs w:val="24"/>
          <w:lang w:val="es-ES" w:eastAsia="es-ES"/>
        </w:rPr>
        <w:t xml:space="preserve"> 00127/TRIJAEM/IP/2020 y 00128/TRIJAEM/IP/2020</w:t>
      </w:r>
      <w:r w:rsidR="005969F4" w:rsidRPr="00B86CDB">
        <w:rPr>
          <w:rFonts w:ascii="Palatino Linotype" w:eastAsia="Times New Roman" w:hAnsi="Palatino Linotype" w:cs="Arial"/>
          <w:b/>
          <w:sz w:val="24"/>
          <w:szCs w:val="24"/>
          <w:lang w:val="es-ES" w:eastAsia="es-ES"/>
        </w:rPr>
        <w:t xml:space="preserve"> </w:t>
      </w:r>
      <w:r w:rsidR="005969F4" w:rsidRPr="00B86CDB">
        <w:rPr>
          <w:rFonts w:ascii="Palatino Linotype" w:eastAsia="Calibri" w:hAnsi="Palatino Linotype" w:cs="Arial"/>
          <w:sz w:val="24"/>
          <w:szCs w:val="24"/>
          <w:lang w:val="es-ES" w:eastAsia="es-ES"/>
        </w:rPr>
        <w:t>mediante</w:t>
      </w:r>
      <w:r w:rsidR="00E113EC" w:rsidRPr="00B86CDB">
        <w:rPr>
          <w:rFonts w:ascii="Palatino Linotype" w:eastAsia="Calibri" w:hAnsi="Palatino Linotype" w:cs="Arial"/>
          <w:sz w:val="24"/>
          <w:szCs w:val="24"/>
          <w:lang w:val="es-ES" w:eastAsia="es-ES"/>
        </w:rPr>
        <w:t xml:space="preserve"> la</w:t>
      </w:r>
      <w:r w:rsidR="00196ED1" w:rsidRPr="00B86CDB">
        <w:rPr>
          <w:rFonts w:ascii="Palatino Linotype" w:eastAsia="Calibri" w:hAnsi="Palatino Linotype" w:cs="Arial"/>
          <w:sz w:val="24"/>
          <w:szCs w:val="24"/>
          <w:lang w:val="es-ES" w:eastAsia="es-ES"/>
        </w:rPr>
        <w:t>s</w:t>
      </w:r>
      <w:r w:rsidR="00E113EC" w:rsidRPr="00B86CDB">
        <w:rPr>
          <w:rFonts w:ascii="Palatino Linotype" w:eastAsia="Calibri" w:hAnsi="Palatino Linotype" w:cs="Arial"/>
          <w:sz w:val="24"/>
          <w:szCs w:val="24"/>
          <w:lang w:val="es-ES" w:eastAsia="es-ES"/>
        </w:rPr>
        <w:t xml:space="preserve"> cual</w:t>
      </w:r>
      <w:r w:rsidR="00196ED1" w:rsidRPr="00B86CDB">
        <w:rPr>
          <w:rFonts w:ascii="Palatino Linotype" w:eastAsia="Calibri" w:hAnsi="Palatino Linotype" w:cs="Arial"/>
          <w:sz w:val="24"/>
          <w:szCs w:val="24"/>
          <w:lang w:val="es-ES" w:eastAsia="es-ES"/>
        </w:rPr>
        <w:t>es</w:t>
      </w:r>
      <w:r w:rsidR="00E113EC" w:rsidRPr="00B86CDB">
        <w:rPr>
          <w:rFonts w:ascii="Palatino Linotype" w:eastAsia="Calibri" w:hAnsi="Palatino Linotype" w:cs="Arial"/>
          <w:sz w:val="24"/>
          <w:szCs w:val="24"/>
          <w:lang w:val="es-ES" w:eastAsia="es-ES"/>
        </w:rPr>
        <w:t xml:space="preserve"> se requirió lo siguiente:</w:t>
      </w:r>
    </w:p>
    <w:p w14:paraId="5030894C" w14:textId="77777777" w:rsidR="007B6C30" w:rsidRPr="00B86CDB" w:rsidRDefault="007B6C30" w:rsidP="007B6C30">
      <w:pPr>
        <w:spacing w:before="240" w:after="240" w:line="360" w:lineRule="auto"/>
        <w:contextualSpacing/>
        <w:jc w:val="both"/>
        <w:rPr>
          <w:rFonts w:ascii="Palatino Linotype" w:eastAsia="Calibri" w:hAnsi="Palatino Linotype" w:cs="Arial"/>
          <w:sz w:val="24"/>
          <w:szCs w:val="24"/>
          <w:lang w:val="es-ES" w:eastAsia="es-ES"/>
        </w:rPr>
      </w:pPr>
    </w:p>
    <w:p w14:paraId="7376A95C" w14:textId="77777777" w:rsidR="0008753C" w:rsidRPr="00B86CDB"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tbl>
      <w:tblPr>
        <w:tblStyle w:val="Tablaconcuadrcula1"/>
        <w:tblW w:w="8784" w:type="dxa"/>
        <w:tblLayout w:type="fixed"/>
        <w:tblLook w:val="04A0" w:firstRow="1" w:lastRow="0" w:firstColumn="1" w:lastColumn="0" w:noHBand="0" w:noVBand="1"/>
      </w:tblPr>
      <w:tblGrid>
        <w:gridCol w:w="3114"/>
        <w:gridCol w:w="5670"/>
      </w:tblGrid>
      <w:tr w:rsidR="00196ED1" w:rsidRPr="00B86CDB" w14:paraId="11A76BF4" w14:textId="77777777" w:rsidTr="00080ECC">
        <w:tc>
          <w:tcPr>
            <w:tcW w:w="3114" w:type="dxa"/>
          </w:tcPr>
          <w:p w14:paraId="0F4C55B1" w14:textId="77777777" w:rsidR="00196ED1" w:rsidRPr="00B86CDB" w:rsidRDefault="00196ED1" w:rsidP="00DA7537">
            <w:pPr>
              <w:spacing w:line="360" w:lineRule="auto"/>
              <w:ind w:right="333"/>
              <w:jc w:val="center"/>
              <w:rPr>
                <w:rFonts w:ascii="Palatino Linotype" w:hAnsi="Palatino Linotype"/>
                <w:b/>
                <w:color w:val="000000"/>
                <w:sz w:val="22"/>
                <w:szCs w:val="22"/>
                <w:lang w:val="es-ES"/>
              </w:rPr>
            </w:pPr>
            <w:r w:rsidRPr="00B86CDB">
              <w:rPr>
                <w:rFonts w:ascii="Palatino Linotype" w:hAnsi="Palatino Linotype"/>
                <w:b/>
                <w:color w:val="000000"/>
                <w:sz w:val="22"/>
                <w:szCs w:val="22"/>
                <w:lang w:val="es-ES"/>
              </w:rPr>
              <w:lastRenderedPageBreak/>
              <w:t>Número de Solicitud</w:t>
            </w:r>
          </w:p>
        </w:tc>
        <w:tc>
          <w:tcPr>
            <w:tcW w:w="5670" w:type="dxa"/>
          </w:tcPr>
          <w:p w14:paraId="7E800E09" w14:textId="77777777" w:rsidR="00196ED1" w:rsidRPr="00B86CDB" w:rsidRDefault="00196ED1" w:rsidP="00DA7537">
            <w:pPr>
              <w:spacing w:line="360" w:lineRule="auto"/>
              <w:ind w:right="333"/>
              <w:jc w:val="center"/>
              <w:rPr>
                <w:rFonts w:ascii="Palatino Linotype" w:hAnsi="Palatino Linotype"/>
                <w:b/>
                <w:color w:val="000000"/>
                <w:sz w:val="22"/>
                <w:szCs w:val="22"/>
                <w:lang w:val="es-ES"/>
              </w:rPr>
            </w:pPr>
            <w:r w:rsidRPr="00B86CDB">
              <w:rPr>
                <w:rFonts w:ascii="Palatino Linotype" w:hAnsi="Palatino Linotype"/>
                <w:b/>
                <w:color w:val="000000"/>
                <w:sz w:val="22"/>
                <w:szCs w:val="22"/>
                <w:lang w:val="es-ES"/>
              </w:rPr>
              <w:t>Información requerida</w:t>
            </w:r>
          </w:p>
        </w:tc>
      </w:tr>
      <w:tr w:rsidR="00196ED1" w:rsidRPr="00B86CDB" w14:paraId="6F41376E" w14:textId="77777777" w:rsidTr="00080ECC">
        <w:tc>
          <w:tcPr>
            <w:tcW w:w="3114" w:type="dxa"/>
          </w:tcPr>
          <w:p w14:paraId="5EE52CB5" w14:textId="26D763F8" w:rsidR="00196ED1" w:rsidRPr="00B86CDB" w:rsidRDefault="00196ED1" w:rsidP="00196ED1">
            <w:pPr>
              <w:spacing w:line="360" w:lineRule="auto"/>
              <w:ind w:right="333"/>
              <w:jc w:val="both"/>
              <w:rPr>
                <w:rFonts w:ascii="Palatino Linotype" w:hAnsi="Palatino Linotype"/>
                <w:color w:val="000000"/>
                <w:sz w:val="22"/>
                <w:szCs w:val="22"/>
                <w:lang w:val="es-ES"/>
              </w:rPr>
            </w:pPr>
            <w:r w:rsidRPr="00B86CDB">
              <w:rPr>
                <w:rFonts w:ascii="Palatino Linotype" w:hAnsi="Palatino Linotype"/>
                <w:b/>
                <w:bCs/>
                <w:color w:val="000000" w:themeColor="text1"/>
                <w:sz w:val="22"/>
                <w:szCs w:val="22"/>
              </w:rPr>
              <w:t>00107/TRIJAEM/IP/2020</w:t>
            </w:r>
          </w:p>
        </w:tc>
        <w:tc>
          <w:tcPr>
            <w:tcW w:w="5670" w:type="dxa"/>
          </w:tcPr>
          <w:p w14:paraId="18F0F705" w14:textId="02BA55CA" w:rsidR="00196ED1" w:rsidRPr="00B86CDB" w:rsidRDefault="00196ED1" w:rsidP="00DA7537">
            <w:pPr>
              <w:pStyle w:val="Prrafodelista"/>
              <w:ind w:left="0"/>
              <w:jc w:val="both"/>
              <w:rPr>
                <w:rFonts w:ascii="Palatino Linotype" w:hAnsi="Palatino Linotype"/>
                <w:i/>
                <w:color w:val="000000"/>
                <w:sz w:val="22"/>
                <w:szCs w:val="22"/>
              </w:rPr>
            </w:pPr>
            <w:r w:rsidRPr="00B86CDB">
              <w:rPr>
                <w:rFonts w:ascii="Palatino Linotype" w:hAnsi="Palatino Linotype"/>
                <w:i/>
                <w:color w:val="000000"/>
                <w:sz w:val="22"/>
                <w:szCs w:val="22"/>
              </w:rPr>
              <w:t>“Los diplomas, reconocimientos, certificados, títulos, constancias o cualquier tipo de documento, en que conste la capacitación recibida por la Licenciada Lydia Elizalde Mendoza, Magistrada de la Cuarta Sala Regional de ese Tribunal Administrativo, en las materias de rendición de cuentas, transparencia, acceso a la información y protección de datos personales; ello desde que fue nombrada como Magistrada y hasta la fecha de recepción de la presente solicitud.”(Sic)</w:t>
            </w:r>
          </w:p>
        </w:tc>
      </w:tr>
      <w:tr w:rsidR="00196ED1" w:rsidRPr="00B86CDB" w14:paraId="2CCCF3CE" w14:textId="77777777" w:rsidTr="00080ECC">
        <w:tc>
          <w:tcPr>
            <w:tcW w:w="3114" w:type="dxa"/>
          </w:tcPr>
          <w:p w14:paraId="33F87524" w14:textId="0A84D21B" w:rsidR="00196ED1" w:rsidRPr="00B86CDB" w:rsidRDefault="00196ED1" w:rsidP="00196ED1">
            <w:pPr>
              <w:spacing w:line="360" w:lineRule="auto"/>
              <w:ind w:right="333"/>
              <w:jc w:val="both"/>
              <w:rPr>
                <w:rFonts w:ascii="Palatino Linotype" w:hAnsi="Palatino Linotype"/>
                <w:color w:val="000000"/>
                <w:sz w:val="22"/>
                <w:szCs w:val="22"/>
                <w:lang w:val="es-ES"/>
              </w:rPr>
            </w:pPr>
            <w:r w:rsidRPr="00B86CDB">
              <w:rPr>
                <w:rFonts w:ascii="Palatino Linotype" w:hAnsi="Palatino Linotype"/>
                <w:b/>
                <w:bCs/>
                <w:color w:val="000000" w:themeColor="text1"/>
                <w:sz w:val="22"/>
                <w:szCs w:val="22"/>
              </w:rPr>
              <w:t>00127/TRIJAEM/IP/2020</w:t>
            </w:r>
          </w:p>
        </w:tc>
        <w:tc>
          <w:tcPr>
            <w:tcW w:w="5670" w:type="dxa"/>
          </w:tcPr>
          <w:p w14:paraId="5DB2BB6C" w14:textId="4E00EE32" w:rsidR="00196ED1" w:rsidRPr="00B86CDB" w:rsidRDefault="00196ED1" w:rsidP="00196ED1">
            <w:pPr>
              <w:pStyle w:val="Prrafodelista"/>
              <w:ind w:left="0"/>
              <w:jc w:val="both"/>
              <w:rPr>
                <w:rFonts w:ascii="Palatino Linotype" w:hAnsi="Palatino Linotype"/>
                <w:i/>
                <w:color w:val="000000"/>
                <w:sz w:val="22"/>
                <w:szCs w:val="22"/>
                <w:lang w:val="es-ES"/>
              </w:rPr>
            </w:pPr>
            <w:r w:rsidRPr="00B86CDB">
              <w:rPr>
                <w:rFonts w:ascii="Palatino Linotype" w:hAnsi="Palatino Linotype"/>
                <w:i/>
                <w:color w:val="000000"/>
                <w:sz w:val="22"/>
                <w:szCs w:val="22"/>
                <w:lang w:val="es-ES"/>
              </w:rPr>
              <w:t>“El documento con el que se acreditó la "absoluta probidad, notoria buena conducta, honorabilidad manifiesta en su vida pública y privada", de la Licenciada Lydia Elizalde Mendoza, para que se le propusiera al Gobernador Constitucional, el nombramiento como Magistrada de ese Tribunal Administrativo.”(Sic)</w:t>
            </w:r>
          </w:p>
        </w:tc>
      </w:tr>
      <w:tr w:rsidR="00196ED1" w:rsidRPr="00B86CDB" w14:paraId="77A81069" w14:textId="77777777" w:rsidTr="00080ECC">
        <w:tc>
          <w:tcPr>
            <w:tcW w:w="3114" w:type="dxa"/>
          </w:tcPr>
          <w:p w14:paraId="4DB1E9F2" w14:textId="7FC13B7A" w:rsidR="00196ED1" w:rsidRPr="00B86CDB" w:rsidRDefault="00196ED1" w:rsidP="00196ED1">
            <w:pPr>
              <w:spacing w:line="360" w:lineRule="auto"/>
              <w:ind w:right="333"/>
              <w:jc w:val="both"/>
              <w:rPr>
                <w:rFonts w:ascii="Palatino Linotype" w:hAnsi="Palatino Linotype"/>
                <w:color w:val="000000"/>
                <w:sz w:val="22"/>
                <w:szCs w:val="22"/>
                <w:lang w:val="es-ES"/>
              </w:rPr>
            </w:pPr>
            <w:r w:rsidRPr="00B86CDB">
              <w:rPr>
                <w:rFonts w:ascii="Palatino Linotype" w:hAnsi="Palatino Linotype"/>
                <w:b/>
                <w:bCs/>
                <w:color w:val="000000" w:themeColor="text1"/>
                <w:sz w:val="22"/>
                <w:szCs w:val="22"/>
              </w:rPr>
              <w:t>00128/TRIJAEM/IP/2020</w:t>
            </w:r>
          </w:p>
        </w:tc>
        <w:tc>
          <w:tcPr>
            <w:tcW w:w="5670" w:type="dxa"/>
          </w:tcPr>
          <w:p w14:paraId="3D68C706" w14:textId="2EBA725D" w:rsidR="00196ED1" w:rsidRPr="00B86CDB" w:rsidRDefault="007B31F4" w:rsidP="00DA7537">
            <w:pPr>
              <w:jc w:val="both"/>
              <w:rPr>
                <w:rFonts w:ascii="Palatino Linotype" w:hAnsi="Palatino Linotype"/>
                <w:i/>
                <w:color w:val="000000"/>
                <w:sz w:val="22"/>
                <w:szCs w:val="22"/>
                <w:lang w:val="es-ES"/>
              </w:rPr>
            </w:pPr>
            <w:r w:rsidRPr="00B86CDB">
              <w:rPr>
                <w:rFonts w:ascii="Palatino Linotype" w:hAnsi="Palatino Linotype"/>
                <w:i/>
                <w:color w:val="000000"/>
                <w:sz w:val="22"/>
                <w:szCs w:val="22"/>
                <w:lang w:val="es-ES"/>
              </w:rPr>
              <w:t>“El documento en que conste la verificación en la Secretaría de Educación Pública (Registro Nacional de Profesiones), de la existencia del Título y Cédula Profesionales que acrediten que la C. Lydia Elizalde Mendoza, cuenta con la patente para ejercer la profesión de Licenciada en Derecho, requisitos que debió tomarse en cuenta para ser propuesta al Gobernador Constitucional, para su nombramiento como Magistrada de ese Tribunal Administrativo.” (Sic)</w:t>
            </w:r>
          </w:p>
        </w:tc>
      </w:tr>
    </w:tbl>
    <w:p w14:paraId="42EB25DC" w14:textId="77777777" w:rsidR="00196ED1" w:rsidRPr="00B86CDB" w:rsidRDefault="00196ED1" w:rsidP="009D0086">
      <w:pPr>
        <w:spacing w:before="240" w:after="240" w:line="360" w:lineRule="auto"/>
        <w:ind w:left="567" w:right="425"/>
        <w:contextualSpacing/>
        <w:jc w:val="both"/>
        <w:rPr>
          <w:rFonts w:ascii="Palatino Linotype" w:eastAsia="Calibri" w:hAnsi="Palatino Linotype" w:cs="Arial"/>
          <w:i/>
          <w:szCs w:val="24"/>
          <w:lang w:val="es-ES" w:eastAsia="es-ES"/>
        </w:rPr>
      </w:pPr>
    </w:p>
    <w:p w14:paraId="13BA460F" w14:textId="4FFA1145" w:rsidR="007B31F4" w:rsidRPr="00B86CDB" w:rsidRDefault="009640E7" w:rsidP="00DA7537">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B86CDB">
        <w:rPr>
          <w:rFonts w:ascii="Palatino Linotype" w:hAnsi="Palatino Linotype" w:cs="Arial"/>
          <w:sz w:val="24"/>
        </w:rPr>
        <w:t xml:space="preserve">Se hace constar que </w:t>
      </w:r>
      <w:r w:rsidRPr="00B86CDB">
        <w:rPr>
          <w:rFonts w:ascii="Palatino Linotype" w:eastAsia="Times New Roman" w:hAnsi="Palatino Linotype" w:cs="Arial"/>
          <w:sz w:val="24"/>
          <w:lang w:val="es-ES"/>
        </w:rPr>
        <w:t>se señaló como modalida</w:t>
      </w:r>
      <w:r w:rsidR="00D31725" w:rsidRPr="00B86CDB">
        <w:rPr>
          <w:rFonts w:ascii="Palatino Linotype" w:eastAsia="Times New Roman" w:hAnsi="Palatino Linotype" w:cs="Arial"/>
          <w:sz w:val="24"/>
          <w:lang w:val="es-ES"/>
        </w:rPr>
        <w:t xml:space="preserve">d de entrega de la información el </w:t>
      </w:r>
      <w:r w:rsidRPr="00B86CDB">
        <w:rPr>
          <w:rFonts w:ascii="Palatino Linotype" w:eastAsia="Times New Roman" w:hAnsi="Palatino Linotype" w:cs="Arial"/>
          <w:sz w:val="24"/>
          <w:lang w:val="es-ES"/>
        </w:rPr>
        <w:t xml:space="preserve">Sistema de Acceso a la Información Mexiquense </w:t>
      </w:r>
      <w:r w:rsidRPr="00B86CDB">
        <w:rPr>
          <w:rFonts w:ascii="Palatino Linotype" w:eastAsia="Times New Roman" w:hAnsi="Palatino Linotype" w:cs="Arial"/>
          <w:b/>
          <w:sz w:val="24"/>
          <w:lang w:val="es-ES"/>
        </w:rPr>
        <w:t>(SAIMEX).</w:t>
      </w:r>
    </w:p>
    <w:p w14:paraId="47755E21" w14:textId="77777777" w:rsidR="007B31F4" w:rsidRPr="00B86CDB" w:rsidRDefault="007B31F4" w:rsidP="007B31F4">
      <w:pPr>
        <w:spacing w:before="240" w:after="240" w:line="360" w:lineRule="auto"/>
        <w:contextualSpacing/>
        <w:jc w:val="both"/>
        <w:rPr>
          <w:rFonts w:ascii="Palatino Linotype" w:eastAsiaTheme="minorEastAsia" w:hAnsi="Palatino Linotype" w:cs="Arial"/>
          <w:i/>
          <w:sz w:val="24"/>
          <w:lang w:eastAsia="es-ES"/>
        </w:rPr>
      </w:pPr>
    </w:p>
    <w:p w14:paraId="2B622736" w14:textId="7732E26A" w:rsidR="00055669" w:rsidRPr="00B86CDB" w:rsidRDefault="00A7747C" w:rsidP="00DA7537">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B86CDB">
        <w:rPr>
          <w:rFonts w:ascii="Palatino Linotype" w:eastAsiaTheme="minorEastAsia" w:hAnsi="Palatino Linotype" w:cs="Arial"/>
          <w:sz w:val="24"/>
          <w:lang w:eastAsia="es-ES"/>
        </w:rPr>
        <w:lastRenderedPageBreak/>
        <w:t>El once</w:t>
      </w:r>
      <w:r w:rsidR="00746EF3" w:rsidRPr="00B86CDB">
        <w:rPr>
          <w:rFonts w:ascii="Palatino Linotype" w:eastAsiaTheme="minorEastAsia" w:hAnsi="Palatino Linotype" w:cs="Arial"/>
          <w:sz w:val="24"/>
          <w:lang w:eastAsia="es-ES"/>
        </w:rPr>
        <w:t xml:space="preserve"> (</w:t>
      </w:r>
      <w:r w:rsidRPr="00B86CDB">
        <w:rPr>
          <w:rFonts w:ascii="Palatino Linotype" w:eastAsiaTheme="minorEastAsia" w:hAnsi="Palatino Linotype" w:cs="Arial"/>
          <w:sz w:val="24"/>
          <w:lang w:eastAsia="es-ES"/>
        </w:rPr>
        <w:t>11</w:t>
      </w:r>
      <w:r w:rsidR="00746EF3" w:rsidRPr="00B86CDB">
        <w:rPr>
          <w:rFonts w:ascii="Palatino Linotype" w:eastAsiaTheme="minorEastAsia" w:hAnsi="Palatino Linotype" w:cs="Arial"/>
          <w:sz w:val="24"/>
          <w:lang w:eastAsia="es-ES"/>
        </w:rPr>
        <w:t>)</w:t>
      </w:r>
      <w:r w:rsidR="007B31F4" w:rsidRPr="00B86CDB">
        <w:rPr>
          <w:rFonts w:ascii="Palatino Linotype" w:eastAsiaTheme="minorEastAsia" w:hAnsi="Palatino Linotype" w:cs="Arial"/>
          <w:sz w:val="24"/>
          <w:lang w:eastAsia="es-ES"/>
        </w:rPr>
        <w:t>, quince (15) y veintiuno (21)</w:t>
      </w:r>
      <w:r w:rsidR="00746EF3" w:rsidRPr="00B86CDB">
        <w:rPr>
          <w:rFonts w:ascii="Palatino Linotype" w:eastAsiaTheme="minorEastAsia" w:hAnsi="Palatino Linotype" w:cs="Arial"/>
          <w:sz w:val="24"/>
          <w:lang w:eastAsia="es-ES"/>
        </w:rPr>
        <w:t xml:space="preserve"> de </w:t>
      </w:r>
      <w:r w:rsidRPr="00B86CDB">
        <w:rPr>
          <w:rFonts w:ascii="Palatino Linotype" w:eastAsiaTheme="minorEastAsia" w:hAnsi="Palatino Linotype" w:cs="Arial"/>
          <w:sz w:val="24"/>
          <w:lang w:eastAsia="es-ES"/>
        </w:rPr>
        <w:t>septiembre</w:t>
      </w:r>
      <w:r w:rsidR="00746EF3" w:rsidRPr="00B86CDB">
        <w:rPr>
          <w:rFonts w:ascii="Palatino Linotype" w:eastAsiaTheme="minorEastAsia" w:hAnsi="Palatino Linotype" w:cs="Arial"/>
          <w:sz w:val="24"/>
          <w:lang w:eastAsia="es-ES"/>
        </w:rPr>
        <w:t xml:space="preserve"> de dos mil veinte el </w:t>
      </w:r>
      <w:r w:rsidR="00746EF3" w:rsidRPr="00B86CDB">
        <w:rPr>
          <w:rFonts w:ascii="Palatino Linotype" w:eastAsiaTheme="minorEastAsia" w:hAnsi="Palatino Linotype" w:cs="Arial"/>
          <w:b/>
          <w:sz w:val="24"/>
          <w:lang w:eastAsia="es-ES"/>
        </w:rPr>
        <w:t xml:space="preserve">SUJETO OBLIGADO </w:t>
      </w:r>
      <w:r w:rsidR="00055669" w:rsidRPr="00B86CDB">
        <w:rPr>
          <w:rFonts w:ascii="Palatino Linotype" w:hAnsi="Palatino Linotype"/>
          <w:color w:val="000000"/>
          <w:sz w:val="24"/>
        </w:rPr>
        <w:t>respondió</w:t>
      </w:r>
      <w:r w:rsidR="009640E7" w:rsidRPr="00B86CDB">
        <w:rPr>
          <w:rFonts w:ascii="Palatino Linotype" w:hAnsi="Palatino Linotype"/>
          <w:color w:val="000000"/>
          <w:sz w:val="24"/>
        </w:rPr>
        <w:t xml:space="preserve"> a la</w:t>
      </w:r>
      <w:r w:rsidR="007B31F4" w:rsidRPr="00B86CDB">
        <w:rPr>
          <w:rFonts w:ascii="Palatino Linotype" w:hAnsi="Palatino Linotype"/>
          <w:color w:val="000000"/>
          <w:sz w:val="24"/>
        </w:rPr>
        <w:t>s</w:t>
      </w:r>
      <w:r w:rsidR="009640E7" w:rsidRPr="00B86CDB">
        <w:rPr>
          <w:rFonts w:ascii="Palatino Linotype" w:hAnsi="Palatino Linotype"/>
          <w:color w:val="000000"/>
          <w:sz w:val="24"/>
        </w:rPr>
        <w:t xml:space="preserve"> solicitud</w:t>
      </w:r>
      <w:r w:rsidR="007B31F4" w:rsidRPr="00B86CDB">
        <w:rPr>
          <w:rFonts w:ascii="Palatino Linotype" w:hAnsi="Palatino Linotype"/>
          <w:color w:val="000000"/>
          <w:sz w:val="24"/>
        </w:rPr>
        <w:t>es</w:t>
      </w:r>
      <w:r w:rsidR="009640E7" w:rsidRPr="00B86CDB">
        <w:rPr>
          <w:rFonts w:ascii="Palatino Linotype" w:hAnsi="Palatino Linotype"/>
          <w:color w:val="000000"/>
          <w:sz w:val="24"/>
        </w:rPr>
        <w:t xml:space="preserve"> de inf</w:t>
      </w:r>
      <w:r w:rsidR="00C16FDA" w:rsidRPr="00B86CDB">
        <w:rPr>
          <w:rFonts w:ascii="Palatino Linotype" w:hAnsi="Palatino Linotype"/>
          <w:color w:val="000000"/>
          <w:sz w:val="24"/>
        </w:rPr>
        <w:t>ormación</w:t>
      </w:r>
      <w:r w:rsidR="00055669" w:rsidRPr="00B86CDB">
        <w:rPr>
          <w:rFonts w:ascii="Palatino Linotype" w:hAnsi="Palatino Linotype"/>
          <w:color w:val="000000"/>
          <w:sz w:val="24"/>
        </w:rPr>
        <w:t xml:space="preserve"> en los siguientes términos</w:t>
      </w:r>
      <w:r w:rsidR="002F3E2A" w:rsidRPr="00B86CDB">
        <w:rPr>
          <w:rFonts w:ascii="Palatino Linotype" w:hAnsi="Palatino Linotype"/>
          <w:color w:val="000000"/>
          <w:sz w:val="24"/>
        </w:rPr>
        <w:t>:</w:t>
      </w:r>
    </w:p>
    <w:tbl>
      <w:tblPr>
        <w:tblStyle w:val="Tablaconcuadrcula1"/>
        <w:tblW w:w="9054" w:type="dxa"/>
        <w:tblLayout w:type="fixed"/>
        <w:tblLook w:val="04A0" w:firstRow="1" w:lastRow="0" w:firstColumn="1" w:lastColumn="0" w:noHBand="0" w:noVBand="1"/>
      </w:tblPr>
      <w:tblGrid>
        <w:gridCol w:w="3114"/>
        <w:gridCol w:w="5940"/>
      </w:tblGrid>
      <w:tr w:rsidR="007B31F4" w:rsidRPr="00B86CDB" w14:paraId="5CB6A49F" w14:textId="77777777" w:rsidTr="00DA7537">
        <w:tc>
          <w:tcPr>
            <w:tcW w:w="3114" w:type="dxa"/>
          </w:tcPr>
          <w:p w14:paraId="7D18B64E" w14:textId="77777777" w:rsidR="007B31F4" w:rsidRPr="00B86CDB" w:rsidRDefault="007B31F4" w:rsidP="00DA7537">
            <w:pPr>
              <w:spacing w:line="360" w:lineRule="auto"/>
              <w:ind w:right="333"/>
              <w:jc w:val="center"/>
              <w:rPr>
                <w:rFonts w:ascii="Palatino Linotype" w:hAnsi="Palatino Linotype"/>
                <w:b/>
                <w:color w:val="000000"/>
                <w:sz w:val="22"/>
                <w:szCs w:val="22"/>
                <w:lang w:val="es-ES"/>
              </w:rPr>
            </w:pPr>
            <w:r w:rsidRPr="00B86CDB">
              <w:rPr>
                <w:rFonts w:ascii="Palatino Linotype" w:hAnsi="Palatino Linotype"/>
                <w:b/>
                <w:color w:val="000000"/>
                <w:sz w:val="22"/>
                <w:szCs w:val="22"/>
                <w:lang w:val="es-ES"/>
              </w:rPr>
              <w:t>Número de Solicitud</w:t>
            </w:r>
          </w:p>
        </w:tc>
        <w:tc>
          <w:tcPr>
            <w:tcW w:w="5940" w:type="dxa"/>
          </w:tcPr>
          <w:p w14:paraId="3816C5FF" w14:textId="77777777" w:rsidR="007B31F4" w:rsidRPr="00B86CDB" w:rsidRDefault="007B31F4" w:rsidP="00DA7537">
            <w:pPr>
              <w:spacing w:line="360" w:lineRule="auto"/>
              <w:ind w:right="333"/>
              <w:jc w:val="center"/>
              <w:rPr>
                <w:rFonts w:ascii="Palatino Linotype" w:hAnsi="Palatino Linotype"/>
                <w:b/>
                <w:color w:val="000000"/>
                <w:sz w:val="22"/>
                <w:szCs w:val="22"/>
                <w:lang w:val="es-ES"/>
              </w:rPr>
            </w:pPr>
            <w:r w:rsidRPr="00B86CDB">
              <w:rPr>
                <w:rFonts w:ascii="Palatino Linotype" w:hAnsi="Palatino Linotype"/>
                <w:b/>
                <w:color w:val="000000"/>
                <w:sz w:val="22"/>
                <w:szCs w:val="22"/>
                <w:lang w:val="es-ES"/>
              </w:rPr>
              <w:t>Información requerida</w:t>
            </w:r>
          </w:p>
        </w:tc>
      </w:tr>
      <w:tr w:rsidR="007B31F4" w:rsidRPr="00B86CDB" w14:paraId="2DF8DB80" w14:textId="77777777" w:rsidTr="00DA7537">
        <w:tc>
          <w:tcPr>
            <w:tcW w:w="3114" w:type="dxa"/>
          </w:tcPr>
          <w:p w14:paraId="65D6518F" w14:textId="77777777" w:rsidR="007B31F4" w:rsidRPr="00B86CDB" w:rsidRDefault="007B31F4" w:rsidP="00DA7537">
            <w:pPr>
              <w:spacing w:line="360" w:lineRule="auto"/>
              <w:ind w:right="333"/>
              <w:jc w:val="both"/>
              <w:rPr>
                <w:rFonts w:ascii="Palatino Linotype" w:hAnsi="Palatino Linotype"/>
                <w:color w:val="000000"/>
                <w:sz w:val="22"/>
                <w:szCs w:val="22"/>
                <w:lang w:val="es-ES"/>
              </w:rPr>
            </w:pPr>
            <w:r w:rsidRPr="00B86CDB">
              <w:rPr>
                <w:rFonts w:ascii="Palatino Linotype" w:hAnsi="Palatino Linotype"/>
                <w:b/>
                <w:bCs/>
                <w:color w:val="000000" w:themeColor="text1"/>
                <w:sz w:val="22"/>
                <w:szCs w:val="22"/>
              </w:rPr>
              <w:t>00107/TRIJAEM/IP/2020</w:t>
            </w:r>
          </w:p>
        </w:tc>
        <w:tc>
          <w:tcPr>
            <w:tcW w:w="5940" w:type="dxa"/>
          </w:tcPr>
          <w:p w14:paraId="540BF497" w14:textId="77777777" w:rsidR="007B31F4" w:rsidRPr="00B86CDB" w:rsidRDefault="007B31F4" w:rsidP="007B31F4">
            <w:pPr>
              <w:spacing w:before="240" w:after="240"/>
              <w:contextualSpacing/>
              <w:jc w:val="both"/>
              <w:rPr>
                <w:rFonts w:ascii="Palatino Linotype" w:eastAsiaTheme="minorEastAsia" w:hAnsi="Palatino Linotype" w:cs="Arial"/>
                <w:i/>
                <w:sz w:val="22"/>
                <w:szCs w:val="22"/>
              </w:rPr>
            </w:pPr>
            <w:r w:rsidRPr="00B86CDB">
              <w:rPr>
                <w:rFonts w:ascii="Palatino Linotype" w:eastAsiaTheme="minorEastAsia" w:hAnsi="Palatino Linotype" w:cs="Arial"/>
                <w:i/>
                <w:sz w:val="22"/>
                <w:szCs w:val="22"/>
              </w:rPr>
              <w:t>“…En archivo adjunto se da respuesta a la presente solicitud.” (Sic)</w:t>
            </w:r>
          </w:p>
          <w:p w14:paraId="69B315A0" w14:textId="663304EB" w:rsidR="007B31F4" w:rsidRPr="00B86CDB" w:rsidRDefault="007B31F4" w:rsidP="007B31F4">
            <w:pPr>
              <w:pStyle w:val="Prrafodelista"/>
              <w:numPr>
                <w:ilvl w:val="0"/>
                <w:numId w:val="40"/>
              </w:numPr>
              <w:spacing w:before="240" w:after="240"/>
              <w:ind w:left="0" w:firstLine="0"/>
              <w:jc w:val="both"/>
              <w:rPr>
                <w:rFonts w:ascii="Palatino Linotype" w:eastAsiaTheme="minorEastAsia" w:hAnsi="Palatino Linotype" w:cs="Arial"/>
                <w:i/>
                <w:sz w:val="22"/>
                <w:szCs w:val="22"/>
              </w:rPr>
            </w:pPr>
            <w:r w:rsidRPr="00B86CDB">
              <w:rPr>
                <w:rFonts w:ascii="Palatino Linotype" w:eastAsiaTheme="minorEastAsia" w:hAnsi="Palatino Linotype" w:cs="Arial"/>
                <w:b/>
                <w:i/>
                <w:sz w:val="22"/>
                <w:szCs w:val="22"/>
              </w:rPr>
              <w:t xml:space="preserve">Constancia Protección de Datos Personales.pdf: </w:t>
            </w:r>
            <w:r w:rsidRPr="00B86CDB">
              <w:rPr>
                <w:rFonts w:ascii="Palatino Linotype" w:eastAsiaTheme="minorEastAsia" w:hAnsi="Palatino Linotype" w:cs="Arial"/>
                <w:sz w:val="22"/>
                <w:szCs w:val="22"/>
              </w:rPr>
              <w:t xml:space="preserve">Documento que otorgó el Comité de Transparencia del Tribunal de Justicia Administrativa del Estado de México a la servidora pública referida en la solicitud, por su participación en el programa de capacitación en materia de protección de datos personales, impartido por el Instituto de Transparencia, Acceso a la Información Pública y Protección de Datos Personales del Estado de México, en fecha veintiocho (28) de mayo de dos mil dieciocho. </w:t>
            </w:r>
          </w:p>
          <w:p w14:paraId="165193FD" w14:textId="77777777" w:rsidR="007B31F4" w:rsidRPr="00B86CDB" w:rsidRDefault="007B31F4" w:rsidP="007B31F4">
            <w:pPr>
              <w:pStyle w:val="Prrafodelista"/>
              <w:numPr>
                <w:ilvl w:val="0"/>
                <w:numId w:val="40"/>
              </w:numPr>
              <w:spacing w:before="240" w:after="240"/>
              <w:ind w:left="0" w:firstLine="0"/>
              <w:jc w:val="both"/>
              <w:rPr>
                <w:rFonts w:ascii="Palatino Linotype" w:eastAsiaTheme="minorEastAsia" w:hAnsi="Palatino Linotype" w:cs="Arial"/>
                <w:i/>
                <w:sz w:val="22"/>
                <w:szCs w:val="22"/>
              </w:rPr>
            </w:pPr>
            <w:proofErr w:type="spellStart"/>
            <w:r w:rsidRPr="00B86CDB">
              <w:rPr>
                <w:rFonts w:ascii="Palatino Linotype" w:eastAsiaTheme="minorEastAsia" w:hAnsi="Palatino Linotype" w:cs="Arial"/>
                <w:b/>
                <w:i/>
                <w:sz w:val="22"/>
                <w:szCs w:val="22"/>
              </w:rPr>
              <w:t>saimex</w:t>
            </w:r>
            <w:proofErr w:type="spellEnd"/>
            <w:r w:rsidRPr="00B86CDB">
              <w:rPr>
                <w:rFonts w:ascii="Palatino Linotype" w:eastAsiaTheme="minorEastAsia" w:hAnsi="Palatino Linotype" w:cs="Arial"/>
                <w:b/>
                <w:i/>
                <w:sz w:val="22"/>
                <w:szCs w:val="22"/>
              </w:rPr>
              <w:t xml:space="preserve"> 107.pdf: </w:t>
            </w:r>
            <w:r w:rsidRPr="00B86CDB">
              <w:rPr>
                <w:rFonts w:ascii="Palatino Linotype" w:eastAsiaTheme="minorEastAsia" w:hAnsi="Palatino Linotype" w:cs="Arial"/>
                <w:sz w:val="22"/>
                <w:szCs w:val="22"/>
              </w:rPr>
              <w:t xml:space="preserve">Oficio número TJA-4SR-4187/2020 de fecha once (11) de septiembre de dos mil veinte, suscrito por la Magistrada de la cuarta sala regional de jurisdicción ordinaria del Tribunal de Justicia Administrativa del Estado de México; documento a través del cual remite la constancia de participación en el marco del programa de capacitación en materia de protección de datos personales. </w:t>
            </w:r>
          </w:p>
          <w:p w14:paraId="6A03C712" w14:textId="6A50DC15" w:rsidR="007B31F4" w:rsidRPr="00B86CDB" w:rsidRDefault="007B31F4" w:rsidP="007B31F4">
            <w:pPr>
              <w:pStyle w:val="Prrafodelista"/>
              <w:numPr>
                <w:ilvl w:val="0"/>
                <w:numId w:val="40"/>
              </w:numPr>
              <w:spacing w:before="240" w:after="240"/>
              <w:ind w:left="0" w:firstLine="0"/>
              <w:jc w:val="both"/>
              <w:rPr>
                <w:rFonts w:ascii="Palatino Linotype" w:eastAsiaTheme="minorEastAsia" w:hAnsi="Palatino Linotype" w:cs="Arial"/>
                <w:i/>
                <w:sz w:val="22"/>
                <w:szCs w:val="22"/>
              </w:rPr>
            </w:pPr>
            <w:r w:rsidRPr="00B86CDB">
              <w:rPr>
                <w:rFonts w:ascii="Palatino Linotype" w:eastAsiaTheme="minorEastAsia" w:hAnsi="Palatino Linotype" w:cs="Arial"/>
                <w:b/>
                <w:i/>
                <w:sz w:val="22"/>
                <w:szCs w:val="22"/>
              </w:rPr>
              <w:t>ACUERDO NO 107-2020.pdf</w:t>
            </w:r>
            <w:proofErr w:type="gramStart"/>
            <w:r w:rsidRPr="00B86CDB">
              <w:rPr>
                <w:rFonts w:ascii="Palatino Linotype" w:eastAsiaTheme="minorEastAsia" w:hAnsi="Palatino Linotype" w:cs="Arial"/>
                <w:b/>
                <w:i/>
                <w:sz w:val="22"/>
                <w:szCs w:val="22"/>
              </w:rPr>
              <w:t xml:space="preserve">:  </w:t>
            </w:r>
            <w:r w:rsidRPr="00B86CDB">
              <w:rPr>
                <w:rFonts w:ascii="Palatino Linotype" w:eastAsiaTheme="minorEastAsia" w:hAnsi="Palatino Linotype" w:cs="Arial"/>
                <w:sz w:val="22"/>
                <w:szCs w:val="22"/>
              </w:rPr>
              <w:t>Acuerdo</w:t>
            </w:r>
            <w:proofErr w:type="gramEnd"/>
            <w:r w:rsidRPr="00B86CDB">
              <w:rPr>
                <w:rFonts w:ascii="Palatino Linotype" w:eastAsiaTheme="minorEastAsia" w:hAnsi="Palatino Linotype" w:cs="Arial"/>
                <w:sz w:val="22"/>
                <w:szCs w:val="22"/>
              </w:rPr>
              <w:t xml:space="preserve"> número TJA/00107/TRIJAEM/IP/2020 de fecha once (11) de septiembre de dos mil veinte, suscito por la Titular de la Unidad de Transparencia, que en su parte sustantiva responde a la solicitud de información. </w:t>
            </w:r>
          </w:p>
        </w:tc>
      </w:tr>
      <w:tr w:rsidR="007B31F4" w:rsidRPr="00B86CDB" w14:paraId="6AA573A5" w14:textId="77777777" w:rsidTr="00DA7537">
        <w:tc>
          <w:tcPr>
            <w:tcW w:w="3114" w:type="dxa"/>
          </w:tcPr>
          <w:p w14:paraId="3F098ECC" w14:textId="77777777" w:rsidR="007B31F4" w:rsidRPr="00B86CDB" w:rsidRDefault="007B31F4" w:rsidP="00DA7537">
            <w:pPr>
              <w:spacing w:line="360" w:lineRule="auto"/>
              <w:ind w:right="333"/>
              <w:jc w:val="both"/>
              <w:rPr>
                <w:rFonts w:ascii="Palatino Linotype" w:hAnsi="Palatino Linotype"/>
                <w:color w:val="000000"/>
                <w:sz w:val="22"/>
                <w:szCs w:val="22"/>
                <w:lang w:val="es-ES"/>
              </w:rPr>
            </w:pPr>
            <w:r w:rsidRPr="00B86CDB">
              <w:rPr>
                <w:rFonts w:ascii="Palatino Linotype" w:hAnsi="Palatino Linotype"/>
                <w:b/>
                <w:bCs/>
                <w:color w:val="000000" w:themeColor="text1"/>
                <w:sz w:val="22"/>
                <w:szCs w:val="22"/>
              </w:rPr>
              <w:t>00127/TRIJAEM/IP/2020</w:t>
            </w:r>
          </w:p>
        </w:tc>
        <w:tc>
          <w:tcPr>
            <w:tcW w:w="5940" w:type="dxa"/>
          </w:tcPr>
          <w:p w14:paraId="51731465" w14:textId="77777777" w:rsidR="007B31F4" w:rsidRPr="00B86CDB" w:rsidRDefault="007B31F4" w:rsidP="007B31F4">
            <w:pPr>
              <w:pStyle w:val="Prrafodelista"/>
              <w:ind w:left="0"/>
              <w:jc w:val="both"/>
              <w:rPr>
                <w:rFonts w:ascii="Palatino Linotype" w:hAnsi="Palatino Linotype"/>
                <w:i/>
                <w:color w:val="000000"/>
                <w:sz w:val="22"/>
                <w:szCs w:val="22"/>
                <w:lang w:val="es-ES"/>
              </w:rPr>
            </w:pPr>
            <w:r w:rsidRPr="00B86CDB">
              <w:rPr>
                <w:rFonts w:ascii="Palatino Linotype" w:hAnsi="Palatino Linotype"/>
                <w:i/>
                <w:color w:val="000000"/>
                <w:sz w:val="22"/>
                <w:szCs w:val="22"/>
                <w:lang w:val="es-ES"/>
              </w:rPr>
              <w:t>“Mediante archivo anexo se da respuesta a la presente solicitud.”(Sic)</w:t>
            </w:r>
          </w:p>
          <w:p w14:paraId="6CB80505" w14:textId="4F4DFD5D" w:rsidR="007B31F4" w:rsidRPr="00B86CDB" w:rsidRDefault="007B31F4" w:rsidP="007B31F4">
            <w:pPr>
              <w:pStyle w:val="Prrafodelista"/>
              <w:ind w:left="0"/>
              <w:jc w:val="both"/>
              <w:rPr>
                <w:rFonts w:ascii="Palatino Linotype" w:hAnsi="Palatino Linotype"/>
                <w:i/>
                <w:color w:val="000000"/>
                <w:sz w:val="22"/>
                <w:szCs w:val="22"/>
                <w:lang w:val="es-ES"/>
              </w:rPr>
            </w:pPr>
            <w:r w:rsidRPr="00B86CDB">
              <w:rPr>
                <w:rFonts w:ascii="Palatino Linotype" w:eastAsiaTheme="minorEastAsia" w:hAnsi="Palatino Linotype" w:cs="Arial"/>
                <w:b/>
                <w:i/>
                <w:sz w:val="22"/>
                <w:szCs w:val="22"/>
              </w:rPr>
              <w:lastRenderedPageBreak/>
              <w:t xml:space="preserve">ACUERDO NO 127-2020.pdf:  </w:t>
            </w:r>
            <w:r w:rsidRPr="00B86CDB">
              <w:rPr>
                <w:rFonts w:ascii="Palatino Linotype" w:eastAsiaTheme="minorEastAsia" w:hAnsi="Palatino Linotype" w:cs="Arial"/>
                <w:sz w:val="22"/>
                <w:szCs w:val="22"/>
              </w:rPr>
              <w:t xml:space="preserve">Acuerdo número TJA/00127/TRIJAEM/IP/2020 de fecha catorce (14) de septiembre de dos mil veinte, suscito por la Titular de la Unidad de Transparencia, mediante la cual hace del conocimiento </w:t>
            </w:r>
            <w:r w:rsidR="00DC76DB" w:rsidRPr="00B86CDB">
              <w:rPr>
                <w:rFonts w:ascii="Palatino Linotype" w:eastAsiaTheme="minorEastAsia" w:hAnsi="Palatino Linotype" w:cs="Arial"/>
                <w:sz w:val="22"/>
                <w:szCs w:val="22"/>
              </w:rPr>
              <w:t>del particular la respuesta propor</w:t>
            </w:r>
            <w:r w:rsidRPr="00B86CDB">
              <w:rPr>
                <w:rFonts w:ascii="Palatino Linotype" w:eastAsiaTheme="minorEastAsia" w:hAnsi="Palatino Linotype" w:cs="Arial"/>
                <w:sz w:val="22"/>
                <w:szCs w:val="22"/>
              </w:rPr>
              <w:t xml:space="preserve">cionada por la </w:t>
            </w:r>
            <w:r w:rsidR="00DC76DB" w:rsidRPr="00B86CDB">
              <w:rPr>
                <w:rFonts w:ascii="Palatino Linotype" w:eastAsiaTheme="minorEastAsia" w:hAnsi="Palatino Linotype" w:cs="Arial"/>
                <w:sz w:val="22"/>
                <w:szCs w:val="22"/>
              </w:rPr>
              <w:t xml:space="preserve">Sala General del Pleno de la Sala Superior y Secretaria Técnica de la Junta de Gobierno y Administración, que en términos generales informó que el Pleno de la Sala Superior del Tribunal de Justicia del Estado de México, no es competente para conocer sobre la información solicitada ya que corresponde a la legislatura del Estado verificar que los aspirantes cubran los requisitos constitucionales y legales para ocupar el cargo al que son propuestos. </w:t>
            </w:r>
          </w:p>
        </w:tc>
      </w:tr>
      <w:tr w:rsidR="007B31F4" w:rsidRPr="00B86CDB" w14:paraId="693F931A" w14:textId="77777777" w:rsidTr="00DA7537">
        <w:tc>
          <w:tcPr>
            <w:tcW w:w="3114" w:type="dxa"/>
          </w:tcPr>
          <w:p w14:paraId="68527142" w14:textId="77777777" w:rsidR="007B31F4" w:rsidRPr="00B86CDB" w:rsidRDefault="007B31F4" w:rsidP="00DA7537">
            <w:pPr>
              <w:spacing w:line="360" w:lineRule="auto"/>
              <w:ind w:right="333"/>
              <w:jc w:val="both"/>
              <w:rPr>
                <w:rFonts w:ascii="Palatino Linotype" w:hAnsi="Palatino Linotype"/>
                <w:color w:val="000000"/>
                <w:sz w:val="22"/>
                <w:szCs w:val="22"/>
                <w:lang w:val="es-ES"/>
              </w:rPr>
            </w:pPr>
            <w:r w:rsidRPr="00B86CDB">
              <w:rPr>
                <w:rFonts w:ascii="Palatino Linotype" w:hAnsi="Palatino Linotype"/>
                <w:b/>
                <w:bCs/>
                <w:color w:val="000000" w:themeColor="text1"/>
                <w:sz w:val="22"/>
                <w:szCs w:val="22"/>
              </w:rPr>
              <w:lastRenderedPageBreak/>
              <w:t>00128/TRIJAEM/IP/2020</w:t>
            </w:r>
          </w:p>
        </w:tc>
        <w:tc>
          <w:tcPr>
            <w:tcW w:w="5940" w:type="dxa"/>
          </w:tcPr>
          <w:p w14:paraId="1265EB03" w14:textId="02B6AC9E" w:rsidR="00DC76DB" w:rsidRPr="00B86CDB" w:rsidRDefault="00DC76DB" w:rsidP="00DC76DB">
            <w:pPr>
              <w:pStyle w:val="Prrafodelista"/>
              <w:ind w:left="0"/>
              <w:jc w:val="both"/>
              <w:rPr>
                <w:rFonts w:ascii="Palatino Linotype" w:hAnsi="Palatino Linotype"/>
                <w:i/>
                <w:color w:val="000000"/>
                <w:sz w:val="22"/>
                <w:szCs w:val="22"/>
                <w:lang w:val="es-ES"/>
              </w:rPr>
            </w:pPr>
            <w:r w:rsidRPr="00B86CDB">
              <w:rPr>
                <w:rFonts w:ascii="Palatino Linotype" w:hAnsi="Palatino Linotype"/>
                <w:i/>
                <w:color w:val="000000"/>
                <w:sz w:val="22"/>
                <w:szCs w:val="22"/>
                <w:lang w:val="es-ES"/>
              </w:rPr>
              <w:t>“En archivo adjunto se da respuesta a la presente solicitud de información.”(Sic)</w:t>
            </w:r>
          </w:p>
          <w:p w14:paraId="3DCFD588" w14:textId="196CD348" w:rsidR="007B31F4" w:rsidRPr="00B86CDB" w:rsidRDefault="00DC76DB" w:rsidP="00DC76DB">
            <w:pPr>
              <w:jc w:val="both"/>
              <w:rPr>
                <w:rFonts w:ascii="Palatino Linotype" w:hAnsi="Palatino Linotype"/>
                <w:i/>
                <w:color w:val="000000"/>
                <w:sz w:val="22"/>
                <w:szCs w:val="22"/>
                <w:lang w:val="es-ES"/>
              </w:rPr>
            </w:pPr>
            <w:r w:rsidRPr="00B86CDB">
              <w:rPr>
                <w:rFonts w:ascii="Palatino Linotype" w:eastAsiaTheme="minorEastAsia" w:hAnsi="Palatino Linotype" w:cs="Arial"/>
                <w:b/>
                <w:i/>
                <w:sz w:val="22"/>
                <w:szCs w:val="22"/>
              </w:rPr>
              <w:t xml:space="preserve">ACUERDO NO 128-2020.pdf:  </w:t>
            </w:r>
            <w:r w:rsidRPr="00B86CDB">
              <w:rPr>
                <w:rFonts w:ascii="Palatino Linotype" w:eastAsiaTheme="minorEastAsia" w:hAnsi="Palatino Linotype" w:cs="Arial"/>
                <w:sz w:val="22"/>
                <w:szCs w:val="22"/>
              </w:rPr>
              <w:t>Acuerdo número TJA/00128/TRIJAEM/IP/2020 de fecha veintiuno (21) de septiembre de dos mil veinte, suscito por la Titular de la Unidad de Transparencia, mediante la cual hace del conocimiento del particular la respuesta proporcionada por la Sala General del Pleno de la Sala Superior y Secretaria Técnica de la Junta de Gobierno y Administración, que en términos generales informó que el Pleno de la Sala Superior del Tribunal de Justicia del Estado de México, no es competente para conocer sobre la información solicitada ya que corresponde a la legislatura del Estado verificar que los aspirantes cubran los requisitos constitucionales y legales para ocupar el cargo al que son propuestos.</w:t>
            </w:r>
          </w:p>
        </w:tc>
      </w:tr>
    </w:tbl>
    <w:p w14:paraId="7625004E" w14:textId="77777777" w:rsidR="007B31F4" w:rsidRPr="00B86CDB" w:rsidRDefault="007B31F4" w:rsidP="007B31F4">
      <w:pPr>
        <w:spacing w:before="240" w:after="240" w:line="360" w:lineRule="auto"/>
        <w:contextualSpacing/>
        <w:jc w:val="both"/>
        <w:rPr>
          <w:rFonts w:ascii="Palatino Linotype" w:eastAsiaTheme="minorEastAsia" w:hAnsi="Palatino Linotype" w:cs="Arial"/>
          <w:i/>
          <w:sz w:val="24"/>
          <w:lang w:eastAsia="es-ES"/>
        </w:rPr>
      </w:pPr>
    </w:p>
    <w:p w14:paraId="3A515464" w14:textId="3906B672" w:rsidR="00472478" w:rsidRPr="00B86CDB"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B86CDB">
        <w:rPr>
          <w:rFonts w:ascii="Palatino Linotype" w:eastAsia="Times New Roman" w:hAnsi="Palatino Linotype" w:cs="Arial"/>
          <w:sz w:val="24"/>
          <w:lang w:val="es-ES"/>
        </w:rPr>
        <w:t xml:space="preserve">El </w:t>
      </w:r>
      <w:r w:rsidR="007145A8" w:rsidRPr="00B86CDB">
        <w:rPr>
          <w:rFonts w:ascii="Palatino Linotype" w:eastAsia="Times New Roman" w:hAnsi="Palatino Linotype" w:cs="Arial"/>
          <w:sz w:val="24"/>
          <w:lang w:val="es-ES"/>
        </w:rPr>
        <w:t>veinticinco</w:t>
      </w:r>
      <w:r w:rsidRPr="00B86CDB">
        <w:rPr>
          <w:rFonts w:ascii="Palatino Linotype" w:eastAsia="Times New Roman" w:hAnsi="Palatino Linotype" w:cs="Arial"/>
          <w:sz w:val="24"/>
          <w:lang w:val="es-ES"/>
        </w:rPr>
        <w:t xml:space="preserve"> </w:t>
      </w:r>
      <w:r w:rsidR="00C16FDA" w:rsidRPr="00B86CDB">
        <w:rPr>
          <w:rFonts w:ascii="Palatino Linotype" w:eastAsia="Times New Roman" w:hAnsi="Palatino Linotype" w:cs="Arial"/>
          <w:sz w:val="24"/>
          <w:lang w:val="es-ES"/>
        </w:rPr>
        <w:t>(</w:t>
      </w:r>
      <w:r w:rsidR="007145A8" w:rsidRPr="00B86CDB">
        <w:rPr>
          <w:rFonts w:ascii="Palatino Linotype" w:eastAsia="Times New Roman" w:hAnsi="Palatino Linotype" w:cs="Arial"/>
          <w:sz w:val="24"/>
          <w:lang w:val="es-ES"/>
        </w:rPr>
        <w:t>25</w:t>
      </w:r>
      <w:r w:rsidR="00DE4BA1" w:rsidRPr="00B86CDB">
        <w:rPr>
          <w:rFonts w:ascii="Palatino Linotype" w:eastAsia="Times New Roman" w:hAnsi="Palatino Linotype" w:cs="Arial"/>
          <w:sz w:val="24"/>
          <w:lang w:val="es-ES"/>
        </w:rPr>
        <w:t xml:space="preserve">) de </w:t>
      </w:r>
      <w:r w:rsidR="008854A0" w:rsidRPr="00B86CDB">
        <w:rPr>
          <w:rFonts w:ascii="Palatino Linotype" w:eastAsia="Times New Roman" w:hAnsi="Palatino Linotype" w:cs="Arial"/>
          <w:sz w:val="24"/>
          <w:lang w:val="es-ES"/>
        </w:rPr>
        <w:t>septiembre</w:t>
      </w:r>
      <w:r w:rsidR="00DE4BA1" w:rsidRPr="00B86CDB">
        <w:rPr>
          <w:rFonts w:ascii="Palatino Linotype" w:eastAsia="Times New Roman" w:hAnsi="Palatino Linotype" w:cs="Arial"/>
          <w:sz w:val="24"/>
          <w:lang w:val="es-ES"/>
        </w:rPr>
        <w:t xml:space="preserve"> de dos mil </w:t>
      </w:r>
      <w:r w:rsidR="006F7D6C" w:rsidRPr="00B86CDB">
        <w:rPr>
          <w:rFonts w:ascii="Palatino Linotype" w:eastAsia="Times New Roman" w:hAnsi="Palatino Linotype" w:cs="Arial"/>
          <w:sz w:val="24"/>
          <w:lang w:val="es-ES"/>
        </w:rPr>
        <w:t>veinte</w:t>
      </w:r>
      <w:r w:rsidR="00A33AC2" w:rsidRPr="00B86CDB">
        <w:rPr>
          <w:rFonts w:ascii="Palatino Linotype" w:eastAsia="Times New Roman" w:hAnsi="Palatino Linotype" w:cs="Arial"/>
          <w:sz w:val="24"/>
          <w:lang w:val="es-ES"/>
        </w:rPr>
        <w:t>, el particular interpuso los</w:t>
      </w:r>
      <w:r w:rsidR="00DE4BA1" w:rsidRPr="00B86CDB">
        <w:rPr>
          <w:rFonts w:ascii="Palatino Linotype" w:eastAsia="Times New Roman" w:hAnsi="Palatino Linotype" w:cs="Arial"/>
          <w:sz w:val="24"/>
          <w:lang w:val="es-ES"/>
        </w:rPr>
        <w:t xml:space="preserve"> recurso</w:t>
      </w:r>
      <w:r w:rsidR="00A33AC2" w:rsidRPr="00B86CDB">
        <w:rPr>
          <w:rFonts w:ascii="Palatino Linotype" w:eastAsia="Times New Roman" w:hAnsi="Palatino Linotype" w:cs="Arial"/>
          <w:sz w:val="24"/>
          <w:lang w:val="es-ES"/>
        </w:rPr>
        <w:t>s</w:t>
      </w:r>
      <w:r w:rsidR="00DE4BA1" w:rsidRPr="00B86CDB">
        <w:rPr>
          <w:rFonts w:ascii="Palatino Linotype" w:eastAsia="Times New Roman" w:hAnsi="Palatino Linotype" w:cs="Arial"/>
          <w:sz w:val="24"/>
          <w:lang w:val="es-ES"/>
        </w:rPr>
        <w:t xml:space="preserve"> de revisión</w:t>
      </w:r>
      <w:r w:rsidR="00907EEC" w:rsidRPr="00B86CDB">
        <w:rPr>
          <w:rFonts w:ascii="Palatino Linotype" w:eastAsia="Times New Roman" w:hAnsi="Palatino Linotype" w:cs="Arial"/>
          <w:sz w:val="24"/>
          <w:lang w:val="es-ES"/>
        </w:rPr>
        <w:t xml:space="preserve"> registrado</w:t>
      </w:r>
      <w:r w:rsidR="00A33AC2" w:rsidRPr="00B86CDB">
        <w:rPr>
          <w:rFonts w:ascii="Palatino Linotype" w:eastAsia="Times New Roman" w:hAnsi="Palatino Linotype" w:cs="Arial"/>
          <w:sz w:val="24"/>
          <w:lang w:val="es-ES"/>
        </w:rPr>
        <w:t>s con los</w:t>
      </w:r>
      <w:r w:rsidR="00907EEC" w:rsidRPr="00B86CDB">
        <w:rPr>
          <w:rFonts w:ascii="Palatino Linotype" w:eastAsia="Times New Roman" w:hAnsi="Palatino Linotype" w:cs="Arial"/>
          <w:sz w:val="24"/>
          <w:lang w:val="es-ES"/>
        </w:rPr>
        <w:t xml:space="preserve"> número</w:t>
      </w:r>
      <w:r w:rsidR="00A33AC2" w:rsidRPr="00B86CDB">
        <w:rPr>
          <w:rFonts w:ascii="Palatino Linotype" w:eastAsia="Times New Roman" w:hAnsi="Palatino Linotype" w:cs="Arial"/>
          <w:sz w:val="24"/>
          <w:lang w:val="es-ES"/>
        </w:rPr>
        <w:t>s</w:t>
      </w:r>
      <w:r w:rsidR="00907EEC" w:rsidRPr="00B86CDB">
        <w:rPr>
          <w:rFonts w:ascii="Palatino Linotype" w:eastAsia="Times New Roman" w:hAnsi="Palatino Linotype" w:cs="Arial"/>
          <w:sz w:val="24"/>
          <w:lang w:val="es-ES"/>
        </w:rPr>
        <w:t xml:space="preserve"> de expediente</w:t>
      </w:r>
      <w:r w:rsidR="00DE4BA1" w:rsidRPr="00B86CDB">
        <w:rPr>
          <w:rFonts w:ascii="Palatino Linotype" w:eastAsia="Times New Roman" w:hAnsi="Palatino Linotype" w:cs="Arial"/>
          <w:sz w:val="24"/>
          <w:lang w:val="es-ES"/>
        </w:rPr>
        <w:t xml:space="preserve"> </w:t>
      </w:r>
      <w:r w:rsidR="008C33F2" w:rsidRPr="00B86CDB">
        <w:rPr>
          <w:rFonts w:ascii="Palatino Linotype" w:eastAsia="Calibri" w:hAnsi="Palatino Linotype" w:cs="Arial"/>
          <w:b/>
          <w:sz w:val="24"/>
          <w:lang w:val="es-ES"/>
        </w:rPr>
        <w:lastRenderedPageBreak/>
        <w:t>0</w:t>
      </w:r>
      <w:r w:rsidR="007145A8" w:rsidRPr="00B86CDB">
        <w:rPr>
          <w:rFonts w:ascii="Palatino Linotype" w:eastAsia="Calibri" w:hAnsi="Palatino Linotype" w:cs="Arial"/>
          <w:b/>
          <w:sz w:val="24"/>
          <w:lang w:val="es-ES"/>
        </w:rPr>
        <w:t>403</w:t>
      </w:r>
      <w:r w:rsidR="008854A0" w:rsidRPr="00B86CDB">
        <w:rPr>
          <w:rFonts w:ascii="Palatino Linotype" w:eastAsia="Calibri" w:hAnsi="Palatino Linotype" w:cs="Arial"/>
          <w:b/>
          <w:sz w:val="24"/>
          <w:lang w:val="es-ES"/>
        </w:rPr>
        <w:t>8</w:t>
      </w:r>
      <w:r w:rsidR="006F7D6C" w:rsidRPr="00B86CDB">
        <w:rPr>
          <w:rFonts w:ascii="Palatino Linotype" w:eastAsia="Calibri" w:hAnsi="Palatino Linotype" w:cs="Arial"/>
          <w:b/>
          <w:sz w:val="24"/>
          <w:lang w:val="es-ES"/>
        </w:rPr>
        <w:t>/INFOEM/IP/RR/2020</w:t>
      </w:r>
      <w:r w:rsidR="00A33AC2" w:rsidRPr="00B86CDB">
        <w:rPr>
          <w:rFonts w:ascii="Palatino Linotype" w:eastAsia="Calibri" w:hAnsi="Palatino Linotype" w:cs="Arial"/>
          <w:b/>
          <w:sz w:val="24"/>
          <w:lang w:val="es-ES"/>
        </w:rPr>
        <w:t>, 04044/INFOEM/IP/RR/2020 y 04045/INFOEM/IP/RR/2020</w:t>
      </w:r>
      <w:r w:rsidR="00DE4BA1" w:rsidRPr="00B86CDB">
        <w:rPr>
          <w:rFonts w:ascii="Palatino Linotype" w:eastAsia="Calibri" w:hAnsi="Palatino Linotype" w:cs="Arial"/>
          <w:b/>
          <w:sz w:val="24"/>
          <w:lang w:val="es-ES"/>
        </w:rPr>
        <w:t>;</w:t>
      </w:r>
      <w:r w:rsidR="00DE4BA1" w:rsidRPr="00B86CDB">
        <w:rPr>
          <w:rFonts w:ascii="Palatino Linotype" w:eastAsia="Times New Roman" w:hAnsi="Palatino Linotype" w:cs="Arial"/>
          <w:sz w:val="24"/>
          <w:lang w:val="es-ES"/>
        </w:rPr>
        <w:t xml:space="preserve"> impugnación en la</w:t>
      </w:r>
      <w:r w:rsidR="00A33AC2" w:rsidRPr="00B86CDB">
        <w:rPr>
          <w:rFonts w:ascii="Palatino Linotype" w:eastAsia="Times New Roman" w:hAnsi="Palatino Linotype" w:cs="Arial"/>
          <w:sz w:val="24"/>
          <w:lang w:val="es-ES"/>
        </w:rPr>
        <w:t>s</w:t>
      </w:r>
      <w:r w:rsidR="00DE4BA1" w:rsidRPr="00B86CDB">
        <w:rPr>
          <w:rFonts w:ascii="Palatino Linotype" w:eastAsia="Times New Roman" w:hAnsi="Palatino Linotype" w:cs="Arial"/>
          <w:sz w:val="24"/>
          <w:lang w:val="es-ES"/>
        </w:rPr>
        <w:t xml:space="preserve"> que refirió lo</w:t>
      </w:r>
      <w:r w:rsidR="00A33AC2" w:rsidRPr="00B86CDB">
        <w:rPr>
          <w:rFonts w:ascii="Palatino Linotype" w:eastAsia="Times New Roman" w:hAnsi="Palatino Linotype" w:cs="Arial"/>
          <w:sz w:val="24"/>
          <w:lang w:val="es-ES"/>
        </w:rPr>
        <w:t xml:space="preserve">s mismos argumentos y en los que únicamente modificó el número de solicitud y fecha de respuesta; razón por la que se transcribe sólo el acto impugnado y razones y/o motivos de inconformidad manifestados en el recurso de revisión </w:t>
      </w:r>
      <w:r w:rsidR="00A33AC2" w:rsidRPr="00B86CDB">
        <w:rPr>
          <w:rFonts w:ascii="Palatino Linotype" w:eastAsia="Calibri" w:hAnsi="Palatino Linotype" w:cs="Arial"/>
          <w:sz w:val="24"/>
          <w:lang w:val="es-ES"/>
        </w:rPr>
        <w:t>04038/INFOEM/IP/RR/2020</w:t>
      </w:r>
      <w:r w:rsidR="00A33AC2" w:rsidRPr="00B86CDB">
        <w:rPr>
          <w:rFonts w:ascii="Palatino Linotype" w:eastAsia="Times New Roman" w:hAnsi="Palatino Linotype" w:cs="Arial"/>
          <w:sz w:val="24"/>
          <w:lang w:val="es-ES"/>
        </w:rPr>
        <w:t xml:space="preserve">. </w:t>
      </w:r>
    </w:p>
    <w:p w14:paraId="6C672A91" w14:textId="77777777" w:rsidR="00835E2B" w:rsidRPr="00B86CDB"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7CE4C1CA" w14:textId="293CAF7C" w:rsidR="007A47EB" w:rsidRPr="00B86CDB" w:rsidRDefault="00472478" w:rsidP="007145A8">
      <w:pPr>
        <w:pStyle w:val="Prrafodelista"/>
        <w:numPr>
          <w:ilvl w:val="0"/>
          <w:numId w:val="20"/>
        </w:numPr>
        <w:spacing w:after="0" w:line="360" w:lineRule="auto"/>
        <w:jc w:val="both"/>
        <w:rPr>
          <w:rFonts w:ascii="Palatino Linotype" w:eastAsia="Times New Roman" w:hAnsi="Palatino Linotype" w:cs="Arial"/>
          <w:i/>
          <w:lang w:val="es-ES"/>
        </w:rPr>
      </w:pPr>
      <w:r w:rsidRPr="00B86CDB">
        <w:rPr>
          <w:rFonts w:ascii="Palatino Linotype" w:eastAsia="Times New Roman" w:hAnsi="Palatino Linotype" w:cs="Arial"/>
          <w:b/>
          <w:lang w:val="es-ES"/>
        </w:rPr>
        <w:t xml:space="preserve">  </w:t>
      </w:r>
      <w:r w:rsidR="00DE4BA1" w:rsidRPr="00B86CDB">
        <w:rPr>
          <w:rFonts w:ascii="Palatino Linotype" w:eastAsia="Times New Roman" w:hAnsi="Palatino Linotype" w:cs="Arial"/>
          <w:b/>
          <w:lang w:val="es-ES"/>
        </w:rPr>
        <w:t>Acto impugnado:</w:t>
      </w:r>
      <w:r w:rsidR="00DE4BA1" w:rsidRPr="00B86CDB">
        <w:rPr>
          <w:rFonts w:ascii="Palatino Linotype" w:eastAsia="Times New Roman" w:hAnsi="Palatino Linotype" w:cs="Arial"/>
          <w:lang w:val="es-ES"/>
        </w:rPr>
        <w:t xml:space="preserve"> </w:t>
      </w:r>
      <w:r w:rsidR="00DE4BA1" w:rsidRPr="00B86CDB">
        <w:rPr>
          <w:rFonts w:ascii="Palatino Linotype" w:eastAsia="Times New Roman" w:hAnsi="Palatino Linotype" w:cs="Arial"/>
          <w:i/>
          <w:lang w:val="es-ES"/>
        </w:rPr>
        <w:t>“</w:t>
      </w:r>
      <w:r w:rsidR="007145A8" w:rsidRPr="00B86CDB">
        <w:rPr>
          <w:rFonts w:ascii="Palatino Linotype" w:hAnsi="Palatino Linotype"/>
          <w:i/>
          <w:color w:val="000000"/>
        </w:rPr>
        <w:t>La respuesta de once de septiembre de dos mil veinte</w:t>
      </w:r>
      <w:r w:rsidR="009C28AF" w:rsidRPr="00B86CDB">
        <w:rPr>
          <w:rFonts w:ascii="Palatino Linotype" w:hAnsi="Palatino Linotype"/>
          <w:i/>
          <w:color w:val="000000"/>
        </w:rPr>
        <w:t>.</w:t>
      </w:r>
      <w:r w:rsidR="00895528" w:rsidRPr="00B86CDB">
        <w:rPr>
          <w:rFonts w:ascii="Palatino Linotype" w:hAnsi="Palatino Linotype"/>
          <w:i/>
          <w:color w:val="000000"/>
        </w:rPr>
        <w:t>”</w:t>
      </w:r>
      <w:r w:rsidR="00DE4BA1" w:rsidRPr="00B86CDB">
        <w:rPr>
          <w:rFonts w:ascii="Palatino Linotype" w:eastAsia="Times New Roman" w:hAnsi="Palatino Linotype" w:cs="Arial"/>
          <w:i/>
          <w:lang w:val="es-ES"/>
        </w:rPr>
        <w:t xml:space="preserve"> (Sic)</w:t>
      </w:r>
    </w:p>
    <w:p w14:paraId="49FC37A3" w14:textId="1CF614E0" w:rsidR="00E113EC" w:rsidRPr="00B86CDB" w:rsidRDefault="00472478" w:rsidP="007145A8">
      <w:pPr>
        <w:pStyle w:val="Prrafodelista"/>
        <w:numPr>
          <w:ilvl w:val="0"/>
          <w:numId w:val="20"/>
        </w:numPr>
        <w:spacing w:after="0" w:line="360" w:lineRule="auto"/>
        <w:jc w:val="both"/>
        <w:rPr>
          <w:rFonts w:ascii="Palatino Linotype" w:eastAsia="Times New Roman" w:hAnsi="Palatino Linotype" w:cs="Arial"/>
          <w:i/>
          <w:lang w:val="es-ES"/>
        </w:rPr>
      </w:pPr>
      <w:r w:rsidRPr="00B86CDB">
        <w:rPr>
          <w:rFonts w:ascii="Palatino Linotype" w:eastAsia="Times New Roman" w:hAnsi="Palatino Linotype" w:cs="Arial"/>
          <w:b/>
          <w:lang w:val="es-ES"/>
        </w:rPr>
        <w:t xml:space="preserve">  </w:t>
      </w:r>
      <w:r w:rsidR="00DE4BA1" w:rsidRPr="00B86CDB">
        <w:rPr>
          <w:rFonts w:ascii="Palatino Linotype" w:eastAsia="Times New Roman" w:hAnsi="Palatino Linotype" w:cs="Arial"/>
          <w:b/>
          <w:lang w:val="es-ES"/>
        </w:rPr>
        <w:t>Razones o motivos de inconformidad:</w:t>
      </w:r>
      <w:r w:rsidR="00DE4BA1" w:rsidRPr="00B86CDB">
        <w:rPr>
          <w:rFonts w:ascii="Palatino Linotype" w:eastAsia="Times New Roman" w:hAnsi="Palatino Linotype" w:cs="Arial"/>
          <w:lang w:val="es-ES"/>
        </w:rPr>
        <w:t xml:space="preserve"> </w:t>
      </w:r>
      <w:r w:rsidR="00C32AE9" w:rsidRPr="00B86CDB">
        <w:rPr>
          <w:rFonts w:ascii="Palatino Linotype" w:eastAsia="Times New Roman" w:hAnsi="Palatino Linotype" w:cs="Arial"/>
          <w:lang w:val="es-ES"/>
        </w:rPr>
        <w:t>“</w:t>
      </w:r>
      <w:r w:rsidR="007145A8" w:rsidRPr="00B86CDB">
        <w:rPr>
          <w:rFonts w:ascii="Palatino Linotype" w:eastAsia="Times New Roman" w:hAnsi="Palatino Linotype" w:cs="Arial"/>
          <w:i/>
        </w:rPr>
        <w:t xml:space="preserve">PRIMERO. La respuesta de once de septiembre de dos mil veinte, resulta violatoria del Derecho Humano de Acceso a la Información Pública, así reconocido en los artículos 6, Apartado “A” de la Constitución Política de los Estados Unidos Mexicanos, así como 13, apartado “1” de la Convención Americana sobre Derechos Humanos “Pacto de San José”; por la inexacta aplicación de los dispuesto en los numerales 11, 19, 25, 53 fracciones II y IV, 150, 160 y 162 de la Ley de Transparencia y Acceso a la Información Pública del Estado de México y Municipios. En efecto, como desprende del inciso “II” del apartado “ANTECEDENTES”, del Acuerdo TJA/00107/TRIJAEM/IP/2020, la Titular de la Unidad de Información, Planeación, Programación y Evaluación, determinó turnar mi solicitud únicamente a la Cuarta Sala Regional de ese Tribunal de Justicia Administrativa, siendo que en términos de lo prescrito en los artículos 27 fracciones I y II, 68, 71 fracciones II y VII, 77 fracción XVII y 78 fracción XI de la Ley Orgánica del Tribunal de Justicia Administrativa del Estado de México, 39 fracciones I, II y III, 65 fracción I, 67 fracciones II y III, 68 fracción IX y 70 fracción I del Reglamento Interior del Tribunal </w:t>
      </w:r>
      <w:r w:rsidR="007145A8" w:rsidRPr="00B86CDB">
        <w:rPr>
          <w:rFonts w:ascii="Palatino Linotype" w:eastAsia="Times New Roman" w:hAnsi="Palatino Linotype" w:cs="Arial"/>
          <w:i/>
        </w:rPr>
        <w:lastRenderedPageBreak/>
        <w:t xml:space="preserve">de Justicia Administrativa del Estado de México, 49 fracciones V y VI, así como 56 fracción XII de la Ley de Transparencia y Acceso a la Información Pública del Estado de México y Municipios; existe la posibilidad que los documentos en que conste la información requerida por el suscrito, hayan sido generados y/o estén en posesión de la Vicepresidencia del propio Tribunal, el Instituto de Justicia Administrativa, la Unidad de Documentación, Difusión e Información, la Unidad de Información, Planeación, Programación y Evaluación, o en su caso, la Jefatura de Recursos Humanos, todos de ese sujeto obligado, razón por la que se considera que alno haberse turnado mi solicitud a dichas áreas, fue deficiente el procedimiento de búsqueda y localización emprendido por la Unidad de Transparencia. SEGUNDO. La respuesta de once de septiembre de dos mil veinte, viola el Derecho Humano de Acceso a la Información Pública, prescrito en los artículos 6, Apartado “A” de la Constitución Política de los Estados Unidos Mexicanos, 19 de la Declaración Universal de Derechos Humanos, 4 de la Declaración Americana de los Derechos y Deberes del Hombre, así como 13, apartado “1” de la Convención Americana sobre Derechos Humanos, por la infracción a lo dispuesto en los numerales 3 fracciones XI y XXII, 4 párrafo segundo, 18, 19, 20, 169 y 170 de la Ley de Transparencia y Acceso a la Información Pública del Estado de México y Municipios. Lo anterior, porque al emitir la respuesta a mi solicitud, el sujeto obligado omitió tomar en consideración lo dispuesto en los artículos 5 de la Ley del Sistema Anticorrupción y 7 fracción I de la Ley de Responsabilidades Administrativas, ambos ordenamientos del Estado de México y Municipios, así como 53 fracción VII de la Ley Orgánica del Tribunal de Justicia Administrativa del Estado de México, que a la letra disponen: “Artículo 5. Son principios rectores del servicio público: la legalidad, </w:t>
      </w:r>
      <w:r w:rsidR="007145A8" w:rsidRPr="00B86CDB">
        <w:rPr>
          <w:rFonts w:ascii="Palatino Linotype" w:eastAsia="Times New Roman" w:hAnsi="Palatino Linotype" w:cs="Arial"/>
          <w:i/>
        </w:rPr>
        <w:lastRenderedPageBreak/>
        <w:t xml:space="preserve">objetividad, PROFESIONALISMO, honradez, lealtad, imparcialidad, eficiencia, eficacia, equidad, transparencia, economía, integridad, competencia por mérito y rendición de cuentas, en los términos de las disposiciones legales aplicables. Los entes públicos están, OBLIGADOS a crear y mantener condiciones estructurales y normativas que permitan el adecuado funcionamiento del Estado en su conjunto y la actuación ética y responsable de cada servidor público.” “Artículo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 I. Actuar conforme a lo que las leyes, reglamentos y demás disposiciones jurídicas les atribuyen a su empleo, cargo o comisión, por lo que DEBEN CONOCER y cumplir las disposiciones que regulan el ejercicio de sus funciones, facultades y atribuciones…” “Artículo 53. Las y los Magistrados sólo podrán ser removidos de sus cargos por las causas siguientes: … VII. Faltar gravemente en el ejercicio de su cargo a la observancia de los principios de legalidad, máxima publicidad, objetividad, eficiencia, PROFESIONALISMO, restricciones de contacto, honradez, debido proceso, transparencia y respeto a los derechos humanos…” Disposiciones normativas que, al ser adminiculadas con lo dispuesto en los artículos 4 párrafo primero, 50 fracción V, 69, 71 fracción III de la Ley Orgánica del Tribunal de Justicia Administrativa del Estado de México, 2 fracción XV, 59, 67 fracciones II y III, del Reglamento Interior de ese Órgano Jurisdiccional, 49 fracciones V y VI, 56 fracción XII de la Ley de Transparencia </w:t>
      </w:r>
      <w:r w:rsidR="007145A8" w:rsidRPr="00B86CDB">
        <w:rPr>
          <w:rFonts w:ascii="Palatino Linotype" w:eastAsia="Times New Roman" w:hAnsi="Palatino Linotype" w:cs="Arial"/>
          <w:i/>
        </w:rPr>
        <w:lastRenderedPageBreak/>
        <w:t xml:space="preserve">y Acceso a la Información Pública del Estado de México y Municipios, así como 94 fracción VII de la Ley de Protección de Datos Personales en Posesión de Sujetos Obligados del Estado de México y Municipios; permiten arribar a la conclusión que, uno de los de los atributos personales que sustentan la designación y PERMANENCIA de los Magistrados de Tribunal de Justicia Administrativa, consiste en acreditar su capacidad técnica e idoneidad para ocupar el cargo, lo que necesariamente implica el pleno conocimiento de las disposiciones legales que regulan el ejercicio de sus funciones, facultades y atribuciones, hipótesis que no podría cumplirse si no fuera mediante su constante formación profesional en las materias relacionadas con las funciones jurisdiccionales que desempeñan, dentro de las cuales se prevén las relacionadas a la rendición de cuentas, la transparencia, el acceso a la información pública y la protección de datos personales. En efecto, dichos requisitos representan no sólo una visión, sino la línea de acción bajo la cual los Magistrados del Tribunal de Justicia Administrativa del Estado de México, deben desempeñar de manera responsable su actividad, tarea o función jurisdiccional, para fortalecer y garantizar la democracia, no solamente como una estructura jurídica, sino como un sistema de vida fundado en el constante mejoramiento económico, social y cultural del pueblo. En ese sentido, los Magistrados deben conducirse en su quehacer laboral, bajo los parámetros de excelencia, objetividad, imparcialidad, profesionalismo e independencia, que permitan otorgar un sentido útil y permanente al Tribunal de Justicia Administrativa, como “eje rector para la administración pública que busca lograr el perfeccionamiento constante de su actuación, el respeto al derecho humano a una buena administración y la proporcionalidad entre el interés público y los derechos fundamentales” (artículo 4 de su Ley Orgánica), misión </w:t>
      </w:r>
      <w:r w:rsidR="007145A8" w:rsidRPr="00B86CDB">
        <w:rPr>
          <w:rFonts w:ascii="Palatino Linotype" w:eastAsia="Times New Roman" w:hAnsi="Palatino Linotype" w:cs="Arial"/>
          <w:i/>
        </w:rPr>
        <w:lastRenderedPageBreak/>
        <w:t xml:space="preserve">a la que se constriñe su actuación jurisdiccional. Bajo este orden de ideas, es permisible afirmar que en una verdadera democracia, el camino a seguir por los aplicadores del derecho, es la adopción de una visión “pro </w:t>
      </w:r>
      <w:proofErr w:type="spellStart"/>
      <w:r w:rsidR="007145A8" w:rsidRPr="00B86CDB">
        <w:rPr>
          <w:rFonts w:ascii="Palatino Linotype" w:eastAsia="Times New Roman" w:hAnsi="Palatino Linotype" w:cs="Arial"/>
          <w:i/>
        </w:rPr>
        <w:t>hominis</w:t>
      </w:r>
      <w:proofErr w:type="spellEnd"/>
      <w:r w:rsidR="007145A8" w:rsidRPr="00B86CDB">
        <w:rPr>
          <w:rFonts w:ascii="Palatino Linotype" w:eastAsia="Times New Roman" w:hAnsi="Palatino Linotype" w:cs="Arial"/>
          <w:i/>
        </w:rPr>
        <w:t>”, esto es, una postura que maximice los derechos humanos, que tenga presente una perspectiva de género, que actúe en respeto a la legalidad (en sus aspectos formal y material, de acuerdo con el diseño institucional para resolver los conflictos que llegan a su conocimiento), y que sus decisiones generen certeza jurídica a quienes a él acuden, con plena confianza de que en sus resoluciones tendrá presente las características que requiere un debido proceso; ello sin soslayar, como se ha establecido en diversas jurisprudencias de la Suprema Corte de Justicia de la Nación, que en cumplimiento al principio de tutela jurisdiccional efectiva previsto en los artículos 17 de la Constitución Política de los Estados Unidos Mexicanos, así como 25 de la Convención Americana sobre Derechos Humanos, la actuación de los órganos jurisdiccionales se rige, entre otros, por el principio “</w:t>
      </w:r>
      <w:proofErr w:type="spellStart"/>
      <w:r w:rsidR="007145A8" w:rsidRPr="00B86CDB">
        <w:rPr>
          <w:rFonts w:ascii="Palatino Linotype" w:eastAsia="Times New Roman" w:hAnsi="Palatino Linotype" w:cs="Arial"/>
          <w:i/>
        </w:rPr>
        <w:t>iura</w:t>
      </w:r>
      <w:proofErr w:type="spellEnd"/>
      <w:r w:rsidR="007145A8" w:rsidRPr="00B86CDB">
        <w:rPr>
          <w:rFonts w:ascii="Palatino Linotype" w:eastAsia="Times New Roman" w:hAnsi="Palatino Linotype" w:cs="Arial"/>
          <w:i/>
        </w:rPr>
        <w:t xml:space="preserve"> </w:t>
      </w:r>
      <w:proofErr w:type="spellStart"/>
      <w:r w:rsidR="007145A8" w:rsidRPr="00B86CDB">
        <w:rPr>
          <w:rFonts w:ascii="Palatino Linotype" w:eastAsia="Times New Roman" w:hAnsi="Palatino Linotype" w:cs="Arial"/>
          <w:i/>
        </w:rPr>
        <w:t>novit</w:t>
      </w:r>
      <w:proofErr w:type="spellEnd"/>
      <w:r w:rsidR="007145A8" w:rsidRPr="00B86CDB">
        <w:rPr>
          <w:rFonts w:ascii="Palatino Linotype" w:eastAsia="Times New Roman" w:hAnsi="Palatino Linotype" w:cs="Arial"/>
          <w:i/>
        </w:rPr>
        <w:t xml:space="preserve"> curia”, que significa literalmente, que el Juez conoce el derecho. Luego entonces, no es posible concebir que los Magistrados del Tribunal de Justicia Administrativa de esta entidad federativa, conozcan el derecho que resulta aplicable a cada caso que les es planteado, sin una constante formación práctica y actualización académica especializada, pues el estudio de las diversas materias que se vinculan directamente con su función (como son la rendición de cuentas, la transparencia, el acceso a la información pública y la protección de datos personales), permite hacer realidad la integridad y la transparencia de las operaciones jurisdiccionales. Ante tales condiciones y considerando, que el Pleno de la Suprema Corte de Justicia de la Nación (al resolver la Controversia Constitucional 61/2005, en sesión pública celebrada el veinticuatro de </w:t>
      </w:r>
      <w:r w:rsidR="007145A8" w:rsidRPr="00B86CDB">
        <w:rPr>
          <w:rFonts w:ascii="Palatino Linotype" w:eastAsia="Times New Roman" w:hAnsi="Palatino Linotype" w:cs="Arial"/>
          <w:i/>
        </w:rPr>
        <w:lastRenderedPageBreak/>
        <w:t xml:space="preserve">enero de dos mil ocho), determinó que “la concepción del derecho de acceso a la información no se limita a las dimensiones de tipo individual, sino que cobra un marcado carácter público o social”, que tiende a revelar el empleo instrumental de la información no solo como factor de autorrealización personal, sino como MECANISMO DE CONTROL INSTITUCIONAL; el conocimiento de la información en que conste la formación práctica y actualización académica especializada de los Magistrados del Tribunal de Justicia Administrativa, tiene cuatro propósitos fundamentales: 1. Aumentar la confianza en el sistema jurisdiccional debido a que aumenta la transparencia y mejora el servicio (respeto al principio de tutela jurisdiccional efectiva); 2. Hacer eficiente el proceso administrativo y su gestión ante el Tribunal, lo que está directamente vinculado a las aptitudes de todo el personal (sin habilidades de liderazgo y manejo de personal, las y los Magistrados consagran una cantidad de tiempo innecesaria a las tareas administrativas, lo que retrasa el proceso y hace difícil, si no imposible, el cumplimiento del plazos previstos en el Código de Procedimientos Administrativos del Estado de México); 3. Contribuir a la reducción de los casos de comportamiento poco profesional y contrario a la ética; y 4. Acreditar que se han cumplido los principios rectores del servicio público y que se satisfacen las obligaciones impuestas en la Ley del Sistema Anticorrupción y la Ley de Responsabilidades Administrativas, ambas del Estado de México y Municipios, así como la Ley Orgánica del Tribunal de Justicia Administrativa del Estado de México. Sirve para ilustrar el anterior criterio, la Jurisprudencia P./J.54/2008, aprobada por el Pleno de la Suprema Corte de Justicia de la Nación, de rubro “ACCESO A LA INFORMACIÓN. SU NATURALEZA COMO GARANTÍAS INDIVIDUAL Y </w:t>
      </w:r>
      <w:r w:rsidR="007145A8" w:rsidRPr="00B86CDB">
        <w:rPr>
          <w:rFonts w:ascii="Palatino Linotype" w:eastAsia="Times New Roman" w:hAnsi="Palatino Linotype" w:cs="Arial"/>
          <w:i/>
        </w:rPr>
        <w:lastRenderedPageBreak/>
        <w:t>SOCIAL.” (Gaceta del Semanario Judicial de la Federación, Novena Época, Tomo XXVII, junio de 2008, página 743). A más de lo anterior, debe mencionarse que el establecimiento de un sistema jurisdiccional independiente, que proteja eficazmente los derechos humanos mediante la formación profesional y el perfeccionamiento del personal de los organismos jurisdiccionales con miras al real y efectivo acceso a todos a la justicia, constituye una preocupación y ocupación a nivel global, lo que ha llevado a la Oficina de las Naciones Unidas contra la Droga y el Delito, así como a la Unión Internacional de Magistrados, a suscribir la “GUÍA DE RECURSOS PARA REFORZAR LA INEGRIDAD Y CAPACIDAD JUDICIALES” y el “ESTATUTO UNIVERSAL DEL JUEZ”, respectivamente, donde se imponen lineamientos relacionados con el reclutamiento, profesionalización y evaluación de los jueces y magistrados, entre otras cosas, como un mecanismo de justicia sólido en beneficio del bien común. Consecuentemente y aun cuando es verdad que, se me proporcionó una constancia otorgada a la Magistrada Lydia Elizalde Mendoza, que acredita su participación en un programa de capacitación en materia de protección de datos personales; es igualmente innegable que, no se proporcionó alguna información relacionada con la formación profesional de dicha servidores pública, en las materias de rendición de cuentas, transparencia y el acceso a la información pública, por lo que de no existir la misma, el sujeto obligado debió producir la resolución referida en los artículos 169 y 170 de la Ley de Transparencia y Acceso a la Información Pública del Estado de México y Municipios, lo que evidentemente no hizo.</w:t>
      </w:r>
      <w:r w:rsidR="00307972" w:rsidRPr="00B86CDB">
        <w:rPr>
          <w:rFonts w:ascii="Palatino Linotype" w:eastAsia="Times New Roman" w:hAnsi="Palatino Linotype" w:cs="Arial"/>
          <w:i/>
        </w:rPr>
        <w:t>"</w:t>
      </w:r>
      <w:r w:rsidR="00DE4BA1" w:rsidRPr="00B86CDB">
        <w:rPr>
          <w:rFonts w:ascii="Palatino Linotype" w:eastAsia="Times New Roman" w:hAnsi="Palatino Linotype" w:cs="Arial"/>
          <w:i/>
          <w:lang w:val="es-ES"/>
        </w:rPr>
        <w:t xml:space="preserve"> (Sic)</w:t>
      </w:r>
    </w:p>
    <w:bookmarkEnd w:id="1"/>
    <w:bookmarkEnd w:id="2"/>
    <w:bookmarkEnd w:id="3"/>
    <w:p w14:paraId="5D99D81E" w14:textId="77777777" w:rsidR="00A33AC2" w:rsidRPr="00B86CDB" w:rsidRDefault="00A33AC2" w:rsidP="00A33AC2">
      <w:pPr>
        <w:pStyle w:val="Prrafodelista"/>
        <w:tabs>
          <w:tab w:val="left" w:pos="0"/>
        </w:tabs>
        <w:spacing w:after="0" w:line="360" w:lineRule="auto"/>
        <w:ind w:left="0" w:right="49"/>
        <w:jc w:val="both"/>
        <w:rPr>
          <w:rFonts w:ascii="Palatino Linotype" w:hAnsi="Palatino Linotype"/>
        </w:rPr>
      </w:pPr>
    </w:p>
    <w:p w14:paraId="3687B6C2" w14:textId="66B4CF73" w:rsidR="00A33AC2" w:rsidRPr="00B86CDB" w:rsidRDefault="00A33AC2" w:rsidP="00A33AC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B86CDB">
        <w:rPr>
          <w:rFonts w:ascii="Palatino Linotype" w:hAnsi="Palatino Linotype"/>
          <w:sz w:val="24"/>
          <w:szCs w:val="24"/>
        </w:rPr>
        <w:lastRenderedPageBreak/>
        <w:t>Consecutivamente</w:t>
      </w:r>
      <w:r w:rsidRPr="00B86CDB">
        <w:rPr>
          <w:rFonts w:ascii="Palatino Linotype" w:hAnsi="Palatino Linotype"/>
          <w:i/>
          <w:sz w:val="24"/>
          <w:szCs w:val="24"/>
        </w:rPr>
        <w:t xml:space="preserve">, </w:t>
      </w:r>
      <w:r w:rsidRPr="00B86CDB">
        <w:rPr>
          <w:rFonts w:ascii="Palatino Linotype" w:hAnsi="Palatino Linotype"/>
          <w:sz w:val="24"/>
          <w:szCs w:val="24"/>
        </w:rPr>
        <w:t xml:space="preserve">con fundamento en lo dispuesto por el artículo 185 fracción I de la Ley de Transparencia y Acceso a la Información Pública del Estado de </w:t>
      </w:r>
      <w:r w:rsidRPr="00B86CDB">
        <w:rPr>
          <w:rFonts w:ascii="Palatino Linotype" w:hAnsi="Palatino Linotype"/>
          <w:sz w:val="24"/>
          <w:szCs w:val="24"/>
          <w:lang w:val="es-ES"/>
        </w:rPr>
        <w:t xml:space="preserve">México y Municipios, </w:t>
      </w:r>
      <w:r w:rsidRPr="00B86CDB">
        <w:rPr>
          <w:rFonts w:ascii="Palatino Linotype" w:hAnsi="Palatino Linotype"/>
          <w:sz w:val="24"/>
          <w:szCs w:val="24"/>
        </w:rPr>
        <w:t>los recursos de referencia, fueron turnados</w:t>
      </w:r>
      <w:r w:rsidRPr="00B86CDB">
        <w:rPr>
          <w:rFonts w:ascii="Palatino Linotype" w:hAnsi="Palatino Linotype"/>
          <w:b/>
          <w:sz w:val="24"/>
          <w:szCs w:val="24"/>
          <w:lang w:val="es-ES"/>
        </w:rPr>
        <w:t xml:space="preserve"> </w:t>
      </w:r>
      <w:r w:rsidRPr="00B86CDB">
        <w:rPr>
          <w:rFonts w:ascii="Palatino Linotype" w:hAnsi="Palatino Linotype"/>
          <w:sz w:val="24"/>
          <w:szCs w:val="24"/>
          <w:lang w:val="es-ES"/>
        </w:rPr>
        <w:t xml:space="preserve">al </w:t>
      </w:r>
      <w:r w:rsidRPr="00B86CDB">
        <w:rPr>
          <w:rFonts w:ascii="Palatino Linotype" w:hAnsi="Palatino Linotype"/>
          <w:b/>
          <w:sz w:val="24"/>
          <w:szCs w:val="24"/>
          <w:lang w:val="es-ES"/>
        </w:rPr>
        <w:t xml:space="preserve">Comisionado José Guadalupe Luna Hernández </w:t>
      </w:r>
      <w:r w:rsidRPr="00B86CDB">
        <w:rPr>
          <w:rFonts w:ascii="Palatino Linotype" w:hAnsi="Palatino Linotype"/>
          <w:sz w:val="24"/>
          <w:szCs w:val="24"/>
          <w:lang w:val="es-ES"/>
        </w:rPr>
        <w:t xml:space="preserve">con el objeto de su análisis, </w:t>
      </w:r>
      <w:r w:rsidRPr="00B86CDB">
        <w:rPr>
          <w:rFonts w:ascii="Palatino Linotype" w:hAnsi="Palatino Linotype"/>
          <w:sz w:val="24"/>
          <w:szCs w:val="24"/>
        </w:rPr>
        <w:t>por lo que el Pleno de este Órgano Autónomo, en la</w:t>
      </w:r>
      <w:r w:rsidRPr="00B86CDB">
        <w:rPr>
          <w:rFonts w:ascii="Palatino Linotype" w:hAnsi="Palatino Linotype"/>
          <w:b/>
          <w:sz w:val="24"/>
          <w:szCs w:val="24"/>
        </w:rPr>
        <w:t xml:space="preserve"> Vigésimo Primera Sesión Ordinaria </w:t>
      </w:r>
      <w:r w:rsidRPr="00B86CDB">
        <w:rPr>
          <w:rFonts w:ascii="Palatino Linotype" w:hAnsi="Palatino Linotype"/>
          <w:sz w:val="24"/>
          <w:szCs w:val="24"/>
        </w:rPr>
        <w:t>de fecha</w:t>
      </w:r>
      <w:r w:rsidRPr="00B86CDB">
        <w:rPr>
          <w:rFonts w:ascii="Palatino Linotype" w:hAnsi="Palatino Linotype"/>
          <w:b/>
          <w:sz w:val="24"/>
          <w:szCs w:val="24"/>
        </w:rPr>
        <w:t xml:space="preserve"> siete (07) de octubre</w:t>
      </w:r>
      <w:r w:rsidRPr="00B86CDB">
        <w:rPr>
          <w:rFonts w:ascii="Palatino Linotype" w:hAnsi="Palatino Linotype"/>
          <w:sz w:val="24"/>
          <w:szCs w:val="24"/>
        </w:rPr>
        <w:t xml:space="preserve"> </w:t>
      </w:r>
      <w:r w:rsidRPr="00B86CDB">
        <w:rPr>
          <w:rFonts w:ascii="Palatino Linotype" w:hAnsi="Palatino Linotype"/>
          <w:b/>
          <w:sz w:val="24"/>
          <w:szCs w:val="24"/>
        </w:rPr>
        <w:t>de dos mil veinte</w:t>
      </w:r>
      <w:r w:rsidRPr="00B86CDB">
        <w:rPr>
          <w:rFonts w:ascii="Palatino Linotype" w:hAnsi="Palatino Linotype"/>
          <w:sz w:val="24"/>
          <w:szCs w:val="24"/>
        </w:rPr>
        <w:t xml:space="preserv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B86CDB">
        <w:rPr>
          <w:rFonts w:ascii="Palatino Linotype" w:hAnsi="Palatino Linotype"/>
          <w:i/>
          <w:sz w:val="24"/>
          <w:szCs w:val="24"/>
          <w:vertAlign w:val="superscript"/>
        </w:rPr>
        <w:footnoteReference w:id="1"/>
      </w:r>
      <w:r w:rsidRPr="00B86CDB">
        <w:rPr>
          <w:rFonts w:ascii="Palatino Linotype" w:hAnsi="Palatino Linotype"/>
          <w:sz w:val="24"/>
          <w:szCs w:val="24"/>
        </w:rPr>
        <w:t>, que señala:</w:t>
      </w:r>
    </w:p>
    <w:p w14:paraId="0F7B1230" w14:textId="77777777" w:rsidR="00A33AC2" w:rsidRPr="00B86CDB" w:rsidRDefault="00A33AC2" w:rsidP="00A33AC2">
      <w:pPr>
        <w:pStyle w:val="Prrafodelista"/>
        <w:tabs>
          <w:tab w:val="left" w:pos="0"/>
        </w:tabs>
        <w:spacing w:line="360" w:lineRule="auto"/>
        <w:ind w:left="0" w:right="49"/>
        <w:jc w:val="both"/>
        <w:rPr>
          <w:rFonts w:ascii="Palatino Linotype" w:hAnsi="Palatino Linotype"/>
        </w:rPr>
      </w:pPr>
    </w:p>
    <w:p w14:paraId="7F756984" w14:textId="77777777" w:rsidR="00A33AC2" w:rsidRPr="00B86CDB" w:rsidRDefault="00A33AC2" w:rsidP="00A33AC2">
      <w:pPr>
        <w:pStyle w:val="Prrafodelista"/>
        <w:tabs>
          <w:tab w:val="left" w:pos="426"/>
        </w:tabs>
        <w:spacing w:line="360" w:lineRule="auto"/>
        <w:ind w:left="567" w:right="616"/>
        <w:jc w:val="both"/>
        <w:rPr>
          <w:rFonts w:ascii="Palatino Linotype" w:hAnsi="Palatino Linotype"/>
          <w:i/>
          <w:lang w:val="es-ES"/>
        </w:rPr>
      </w:pPr>
      <w:r w:rsidRPr="00B86CDB">
        <w:rPr>
          <w:rFonts w:ascii="Palatino Linotype" w:hAnsi="Palatino Linotype"/>
          <w:b/>
          <w:i/>
          <w:lang w:val="es-ES"/>
        </w:rPr>
        <w:t>“ONCE.</w:t>
      </w:r>
      <w:r w:rsidRPr="00B86CDB">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565DE1FD" w14:textId="77777777" w:rsidR="00A33AC2" w:rsidRPr="00B86CDB" w:rsidRDefault="00A33AC2" w:rsidP="00A33AC2">
      <w:pPr>
        <w:pStyle w:val="Prrafodelista"/>
        <w:tabs>
          <w:tab w:val="left" w:pos="426"/>
        </w:tabs>
        <w:spacing w:line="360" w:lineRule="auto"/>
        <w:ind w:left="567" w:right="616"/>
        <w:jc w:val="both"/>
        <w:rPr>
          <w:rFonts w:ascii="Palatino Linotype" w:hAnsi="Palatino Linotype"/>
          <w:i/>
          <w:lang w:val="es-ES"/>
        </w:rPr>
      </w:pPr>
      <w:r w:rsidRPr="00B86CDB">
        <w:rPr>
          <w:rFonts w:ascii="Palatino Linotype" w:hAnsi="Palatino Linotype"/>
          <w:i/>
          <w:lang w:val="es-ES"/>
        </w:rPr>
        <w:t>…</w:t>
      </w:r>
      <w:r w:rsidRPr="00B86CDB">
        <w:rPr>
          <w:rFonts w:ascii="Palatino Linotype" w:hAnsi="Palatino Linotype"/>
          <w:i/>
          <w:lang w:val="es-ES"/>
        </w:rPr>
        <w:tab/>
      </w:r>
    </w:p>
    <w:p w14:paraId="6AB39C9F" w14:textId="77777777" w:rsidR="00A33AC2" w:rsidRPr="00B86CDB" w:rsidRDefault="00A33AC2" w:rsidP="00A33AC2">
      <w:pPr>
        <w:pStyle w:val="Prrafodelista"/>
        <w:tabs>
          <w:tab w:val="left" w:pos="426"/>
        </w:tabs>
        <w:spacing w:line="360" w:lineRule="auto"/>
        <w:ind w:left="567" w:right="616"/>
        <w:jc w:val="both"/>
        <w:rPr>
          <w:rFonts w:ascii="Palatino Linotype" w:hAnsi="Palatino Linotype"/>
          <w:i/>
          <w:lang w:val="es-ES"/>
        </w:rPr>
      </w:pPr>
      <w:r w:rsidRPr="00B86CDB">
        <w:rPr>
          <w:rFonts w:ascii="Palatino Linotype" w:hAnsi="Palatino Linotype"/>
          <w:i/>
          <w:lang w:val="es-ES"/>
        </w:rPr>
        <w:t>b) Las partes o los actos impugnados sean iguales</w:t>
      </w:r>
    </w:p>
    <w:p w14:paraId="078C6751" w14:textId="77777777" w:rsidR="00A33AC2" w:rsidRPr="00B86CDB" w:rsidRDefault="00A33AC2" w:rsidP="00A33AC2">
      <w:pPr>
        <w:pStyle w:val="Prrafodelista"/>
        <w:tabs>
          <w:tab w:val="left" w:pos="426"/>
        </w:tabs>
        <w:spacing w:line="360" w:lineRule="auto"/>
        <w:ind w:left="567" w:right="616"/>
        <w:jc w:val="both"/>
        <w:rPr>
          <w:rFonts w:ascii="Palatino Linotype" w:hAnsi="Palatino Linotype"/>
          <w:i/>
          <w:lang w:val="es-ES"/>
        </w:rPr>
      </w:pPr>
      <w:r w:rsidRPr="00B86CDB">
        <w:rPr>
          <w:rFonts w:ascii="Palatino Linotype" w:hAnsi="Palatino Linotype"/>
          <w:i/>
          <w:lang w:val="es-ES"/>
        </w:rPr>
        <w:t>c) Cuando se trate del mismo solicitante, el mismo SUJETO OBLIGADO, aunque se trate de solicitudes diversas;</w:t>
      </w:r>
    </w:p>
    <w:p w14:paraId="306442F4" w14:textId="77777777" w:rsidR="00A33AC2" w:rsidRPr="00B86CDB" w:rsidRDefault="00A33AC2" w:rsidP="00A33AC2">
      <w:pPr>
        <w:pStyle w:val="Prrafodelista"/>
        <w:tabs>
          <w:tab w:val="left" w:pos="426"/>
        </w:tabs>
        <w:spacing w:line="360" w:lineRule="auto"/>
        <w:ind w:left="567" w:right="616"/>
        <w:jc w:val="both"/>
        <w:rPr>
          <w:rFonts w:ascii="Palatino Linotype" w:hAnsi="Palatino Linotype"/>
          <w:i/>
          <w:lang w:val="es-ES"/>
        </w:rPr>
      </w:pPr>
      <w:r w:rsidRPr="00B86CDB">
        <w:rPr>
          <w:rFonts w:ascii="Palatino Linotype" w:hAnsi="Palatino Linotype"/>
          <w:i/>
          <w:lang w:val="es-ES"/>
        </w:rPr>
        <w:lastRenderedPageBreak/>
        <w:t>(…)”</w:t>
      </w:r>
    </w:p>
    <w:p w14:paraId="11694AC8" w14:textId="77777777" w:rsidR="00A33AC2" w:rsidRPr="00B86CDB" w:rsidRDefault="00A33AC2" w:rsidP="00A33AC2">
      <w:pPr>
        <w:pStyle w:val="Prrafodelista"/>
        <w:tabs>
          <w:tab w:val="left" w:pos="426"/>
        </w:tabs>
        <w:spacing w:line="360" w:lineRule="auto"/>
        <w:ind w:left="567" w:right="616"/>
        <w:jc w:val="both"/>
        <w:rPr>
          <w:rFonts w:ascii="Palatino Linotype" w:hAnsi="Palatino Linotype"/>
          <w:lang w:val="es-ES"/>
        </w:rPr>
      </w:pPr>
      <w:r w:rsidRPr="00B86CDB">
        <w:rPr>
          <w:rFonts w:ascii="Palatino Linotype" w:hAnsi="Palatino Linotype"/>
          <w:lang w:val="es-ES"/>
        </w:rPr>
        <w:t>(Énfasis añadido)</w:t>
      </w:r>
    </w:p>
    <w:p w14:paraId="0F66A0B8" w14:textId="77777777" w:rsidR="00A33AC2" w:rsidRPr="00B86CDB" w:rsidRDefault="00A33AC2" w:rsidP="00A33AC2">
      <w:pPr>
        <w:pStyle w:val="Prrafodelista"/>
        <w:tabs>
          <w:tab w:val="left" w:pos="426"/>
        </w:tabs>
        <w:spacing w:line="360" w:lineRule="auto"/>
        <w:ind w:left="567" w:right="616"/>
        <w:jc w:val="both"/>
        <w:rPr>
          <w:rFonts w:ascii="Palatino Linotype" w:hAnsi="Palatino Linotype"/>
          <w:lang w:val="es-ES"/>
        </w:rPr>
      </w:pPr>
    </w:p>
    <w:p w14:paraId="6F305FF3" w14:textId="77777777" w:rsidR="00A33AC2" w:rsidRPr="00B86CDB" w:rsidRDefault="00A33AC2" w:rsidP="00A33AC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B86CDB">
        <w:rPr>
          <w:rFonts w:ascii="Palatino Linotype" w:hAnsi="Palatino Linotype"/>
          <w:sz w:val="24"/>
          <w:szCs w:val="24"/>
        </w:rPr>
        <w:t>Es así que,</w:t>
      </w:r>
      <w:r w:rsidRPr="00B86CDB">
        <w:rPr>
          <w:rFonts w:ascii="Palatino Linotype" w:hAnsi="Palatino Linotype"/>
          <w:i/>
          <w:sz w:val="24"/>
          <w:szCs w:val="24"/>
        </w:rPr>
        <w:t xml:space="preserve"> </w:t>
      </w:r>
      <w:r w:rsidRPr="00B86CDB">
        <w:rPr>
          <w:rFonts w:ascii="Palatino Linotype" w:hAnsi="Palatino Linotype"/>
          <w:sz w:val="24"/>
          <w:szCs w:val="24"/>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DDDD474" w14:textId="77777777" w:rsidR="00A33AC2" w:rsidRPr="00B86CDB" w:rsidRDefault="00A33AC2" w:rsidP="00A33AC2">
      <w:pPr>
        <w:tabs>
          <w:tab w:val="left" w:pos="567"/>
        </w:tabs>
        <w:spacing w:line="360" w:lineRule="auto"/>
        <w:ind w:left="567" w:right="616"/>
        <w:jc w:val="both"/>
        <w:rPr>
          <w:rFonts w:ascii="Palatino Linotype" w:hAnsi="Palatino Linotype"/>
          <w:b/>
          <w:i/>
          <w:sz w:val="14"/>
        </w:rPr>
      </w:pPr>
    </w:p>
    <w:p w14:paraId="322C44A0" w14:textId="77777777" w:rsidR="00A33AC2" w:rsidRPr="00B86CDB" w:rsidRDefault="00A33AC2" w:rsidP="00A33AC2">
      <w:pPr>
        <w:tabs>
          <w:tab w:val="left" w:pos="567"/>
        </w:tabs>
        <w:spacing w:line="360" w:lineRule="auto"/>
        <w:ind w:left="567" w:right="616"/>
        <w:jc w:val="center"/>
        <w:rPr>
          <w:rFonts w:ascii="Palatino Linotype" w:hAnsi="Palatino Linotype"/>
          <w:b/>
          <w:i/>
        </w:rPr>
      </w:pPr>
      <w:r w:rsidRPr="00B86CDB">
        <w:rPr>
          <w:rFonts w:ascii="Palatino Linotype" w:hAnsi="Palatino Linotype"/>
          <w:b/>
          <w:i/>
        </w:rPr>
        <w:t>Código de Procedimientos Administrativos del Estado de México.</w:t>
      </w:r>
    </w:p>
    <w:p w14:paraId="675189D6" w14:textId="77777777" w:rsidR="00A33AC2" w:rsidRPr="00B86CDB" w:rsidRDefault="00A33AC2" w:rsidP="00A33AC2">
      <w:pPr>
        <w:tabs>
          <w:tab w:val="left" w:pos="851"/>
        </w:tabs>
        <w:spacing w:line="360" w:lineRule="auto"/>
        <w:ind w:left="851" w:right="616"/>
        <w:jc w:val="both"/>
        <w:rPr>
          <w:rFonts w:ascii="Palatino Linotype" w:hAnsi="Palatino Linotype"/>
          <w:i/>
        </w:rPr>
      </w:pPr>
      <w:r w:rsidRPr="00B86CDB">
        <w:rPr>
          <w:rFonts w:ascii="Palatino Linotype" w:hAnsi="Palatino Linotype"/>
          <w:b/>
          <w:i/>
        </w:rPr>
        <w:t>“Artículo 18.-</w:t>
      </w:r>
      <w:r w:rsidRPr="00B86CDB">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E21BD2B" w14:textId="77777777" w:rsidR="00A33AC2" w:rsidRPr="00B86CDB" w:rsidRDefault="00A33AC2" w:rsidP="00A33AC2">
      <w:pPr>
        <w:tabs>
          <w:tab w:val="left" w:pos="567"/>
        </w:tabs>
        <w:spacing w:line="360" w:lineRule="auto"/>
        <w:ind w:right="616"/>
        <w:jc w:val="both"/>
        <w:rPr>
          <w:rFonts w:ascii="Palatino Linotype" w:hAnsi="Palatino Linotype"/>
          <w:i/>
        </w:rPr>
      </w:pPr>
    </w:p>
    <w:p w14:paraId="2F630013" w14:textId="77777777" w:rsidR="00A33AC2" w:rsidRPr="00B86CDB" w:rsidRDefault="00A33AC2" w:rsidP="00A33AC2">
      <w:pPr>
        <w:spacing w:line="360" w:lineRule="auto"/>
        <w:ind w:left="851" w:right="616"/>
        <w:jc w:val="both"/>
        <w:rPr>
          <w:rFonts w:ascii="Palatino Linotype" w:hAnsi="Palatino Linotype"/>
          <w:b/>
          <w:i/>
        </w:rPr>
      </w:pPr>
      <w:r w:rsidRPr="00B86CDB">
        <w:rPr>
          <w:rFonts w:ascii="Palatino Linotype" w:hAnsi="Palatino Linotype"/>
          <w:b/>
          <w:i/>
        </w:rPr>
        <w:t>Ley de Transparencia y Acceso a la Información Pública del Estado de México y Municipios</w:t>
      </w:r>
    </w:p>
    <w:p w14:paraId="0406B07F" w14:textId="77777777" w:rsidR="00A33AC2" w:rsidRPr="00B86CDB" w:rsidRDefault="00A33AC2" w:rsidP="00A33AC2">
      <w:pPr>
        <w:spacing w:line="360" w:lineRule="auto"/>
        <w:ind w:left="851" w:right="616"/>
        <w:jc w:val="both"/>
        <w:rPr>
          <w:rFonts w:ascii="Palatino Linotype" w:hAnsi="Palatino Linotype"/>
          <w:i/>
        </w:rPr>
      </w:pPr>
      <w:r w:rsidRPr="00B86CDB">
        <w:rPr>
          <w:rFonts w:ascii="Palatino Linotype" w:hAnsi="Palatino Linotype"/>
          <w:b/>
          <w:i/>
        </w:rPr>
        <w:lastRenderedPageBreak/>
        <w:t>“Artículo 195.</w:t>
      </w:r>
      <w:r w:rsidRPr="00B86CDB">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FADB894" w14:textId="77777777" w:rsidR="00A33AC2" w:rsidRPr="00B86CDB" w:rsidRDefault="00A33AC2" w:rsidP="00A33AC2">
      <w:pPr>
        <w:spacing w:before="240" w:after="240" w:line="360" w:lineRule="auto"/>
        <w:ind w:left="851" w:right="-142"/>
        <w:contextualSpacing/>
        <w:jc w:val="both"/>
        <w:rPr>
          <w:rFonts w:ascii="Palatino Linotype" w:hAnsi="Palatino Linotype"/>
        </w:rPr>
      </w:pPr>
      <w:r w:rsidRPr="00B86CDB">
        <w:rPr>
          <w:rFonts w:ascii="Palatino Linotype" w:hAnsi="Palatino Linotype"/>
        </w:rPr>
        <w:t xml:space="preserve"> (Énfasis añadido)</w:t>
      </w:r>
    </w:p>
    <w:p w14:paraId="57160A1E" w14:textId="77777777" w:rsidR="00E113EC" w:rsidRPr="00B86CDB"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7325357A" w:rsidR="00E113EC" w:rsidRPr="00B86CDB"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86CDB">
        <w:rPr>
          <w:rFonts w:ascii="Palatino Linotype" w:eastAsia="Calibri" w:hAnsi="Palatino Linotype" w:cs="Arial"/>
          <w:sz w:val="24"/>
          <w:szCs w:val="24"/>
          <w:lang w:val="es-ES" w:eastAsia="es-ES"/>
        </w:rPr>
        <w:t>El Comisionado Ponente</w:t>
      </w:r>
      <w:r w:rsidR="00D1544B" w:rsidRPr="00B86CDB">
        <w:rPr>
          <w:rFonts w:ascii="Palatino Linotype" w:eastAsia="Calibri" w:hAnsi="Palatino Linotype" w:cs="Arial"/>
          <w:sz w:val="24"/>
          <w:szCs w:val="24"/>
          <w:lang w:val="es-ES" w:eastAsia="es-ES"/>
        </w:rPr>
        <w:t>,</w:t>
      </w:r>
      <w:r w:rsidRPr="00B86CDB">
        <w:rPr>
          <w:rFonts w:ascii="Palatino Linotype" w:eastAsia="Calibri" w:hAnsi="Palatino Linotype" w:cs="Arial"/>
          <w:sz w:val="24"/>
          <w:szCs w:val="24"/>
          <w:lang w:val="es-ES" w:eastAsia="es-ES"/>
        </w:rPr>
        <w:t xml:space="preserve"> con fundamento en lo dispuesto por el artículo 185 fracción II de la</w:t>
      </w:r>
      <w:r w:rsidR="00A33AC2" w:rsidRPr="00B86CDB">
        <w:rPr>
          <w:rFonts w:ascii="Palatino Linotype" w:eastAsia="Calibri" w:hAnsi="Palatino Linotype" w:cs="Arial"/>
          <w:sz w:val="24"/>
          <w:szCs w:val="24"/>
          <w:lang w:val="es-ES" w:eastAsia="es-ES"/>
        </w:rPr>
        <w:t xml:space="preserve"> ley de la materia, a través de los</w:t>
      </w:r>
      <w:r w:rsidRPr="00B86CDB">
        <w:rPr>
          <w:rFonts w:ascii="Palatino Linotype" w:eastAsia="Calibri" w:hAnsi="Palatino Linotype" w:cs="Arial"/>
          <w:sz w:val="24"/>
          <w:szCs w:val="24"/>
          <w:lang w:val="es-ES" w:eastAsia="es-ES"/>
        </w:rPr>
        <w:t xml:space="preserve"> ac</w:t>
      </w:r>
      <w:r w:rsidR="007A47EB" w:rsidRPr="00B86CDB">
        <w:rPr>
          <w:rFonts w:ascii="Palatino Linotype" w:eastAsia="Calibri" w:hAnsi="Palatino Linotype" w:cs="Arial"/>
          <w:sz w:val="24"/>
          <w:szCs w:val="24"/>
          <w:lang w:val="es-ES" w:eastAsia="es-ES"/>
        </w:rPr>
        <w:t>uerdo</w:t>
      </w:r>
      <w:r w:rsidR="00A33AC2" w:rsidRPr="00B86CDB">
        <w:rPr>
          <w:rFonts w:ascii="Palatino Linotype" w:eastAsia="Calibri" w:hAnsi="Palatino Linotype" w:cs="Arial"/>
          <w:sz w:val="24"/>
          <w:szCs w:val="24"/>
          <w:lang w:val="es-ES" w:eastAsia="es-ES"/>
        </w:rPr>
        <w:t>s</w:t>
      </w:r>
      <w:r w:rsidR="007A47EB" w:rsidRPr="00B86CDB">
        <w:rPr>
          <w:rFonts w:ascii="Palatino Linotype" w:eastAsia="Calibri" w:hAnsi="Palatino Linotype" w:cs="Arial"/>
          <w:sz w:val="24"/>
          <w:szCs w:val="24"/>
          <w:lang w:val="es-ES" w:eastAsia="es-ES"/>
        </w:rPr>
        <w:t xml:space="preserve"> </w:t>
      </w:r>
      <w:r w:rsidR="008854A0" w:rsidRPr="00B86CDB">
        <w:rPr>
          <w:rFonts w:ascii="Palatino Linotype" w:eastAsia="Calibri" w:hAnsi="Palatino Linotype" w:cs="Arial"/>
          <w:sz w:val="24"/>
          <w:szCs w:val="24"/>
          <w:lang w:val="es-ES" w:eastAsia="es-ES"/>
        </w:rPr>
        <w:t xml:space="preserve">de admisión de fecha </w:t>
      </w:r>
      <w:r w:rsidR="007145A8" w:rsidRPr="00B86CDB">
        <w:rPr>
          <w:rFonts w:ascii="Palatino Linotype" w:eastAsia="Calibri" w:hAnsi="Palatino Linotype" w:cs="Arial"/>
          <w:sz w:val="24"/>
          <w:szCs w:val="24"/>
          <w:lang w:val="es-ES" w:eastAsia="es-ES"/>
        </w:rPr>
        <w:t>uno</w:t>
      </w:r>
      <w:r w:rsidR="00835E2B" w:rsidRPr="00B86CDB">
        <w:rPr>
          <w:rFonts w:ascii="Palatino Linotype" w:eastAsia="Calibri" w:hAnsi="Palatino Linotype" w:cs="Arial"/>
          <w:sz w:val="24"/>
          <w:szCs w:val="24"/>
          <w:lang w:val="es-ES" w:eastAsia="es-ES"/>
        </w:rPr>
        <w:t xml:space="preserve"> (</w:t>
      </w:r>
      <w:r w:rsidR="007145A8" w:rsidRPr="00B86CDB">
        <w:rPr>
          <w:rFonts w:ascii="Palatino Linotype" w:eastAsia="Calibri" w:hAnsi="Palatino Linotype" w:cs="Arial"/>
          <w:sz w:val="24"/>
          <w:szCs w:val="24"/>
          <w:lang w:val="es-ES" w:eastAsia="es-ES"/>
        </w:rPr>
        <w:t>01</w:t>
      </w:r>
      <w:r w:rsidRPr="00B86CDB">
        <w:rPr>
          <w:rFonts w:ascii="Palatino Linotype" w:eastAsia="Calibri" w:hAnsi="Palatino Linotype" w:cs="Arial"/>
          <w:sz w:val="24"/>
          <w:szCs w:val="24"/>
          <w:lang w:val="es-ES" w:eastAsia="es-ES"/>
        </w:rPr>
        <w:t xml:space="preserve">) de </w:t>
      </w:r>
      <w:r w:rsidR="007145A8" w:rsidRPr="00B86CDB">
        <w:rPr>
          <w:rFonts w:ascii="Palatino Linotype" w:eastAsia="Calibri" w:hAnsi="Palatino Linotype" w:cs="Arial"/>
          <w:sz w:val="24"/>
          <w:szCs w:val="24"/>
          <w:lang w:val="es-ES" w:eastAsia="es-ES"/>
        </w:rPr>
        <w:t>octu</w:t>
      </w:r>
      <w:r w:rsidR="008854A0" w:rsidRPr="00B86CDB">
        <w:rPr>
          <w:rFonts w:ascii="Palatino Linotype" w:eastAsia="Calibri" w:hAnsi="Palatino Linotype" w:cs="Arial"/>
          <w:sz w:val="24"/>
          <w:szCs w:val="24"/>
          <w:lang w:val="es-ES" w:eastAsia="es-ES"/>
        </w:rPr>
        <w:t>bre</w:t>
      </w:r>
      <w:r w:rsidR="007A47EB" w:rsidRPr="00B86CDB">
        <w:rPr>
          <w:rFonts w:ascii="Palatino Linotype" w:eastAsia="Calibri" w:hAnsi="Palatino Linotype" w:cs="Arial"/>
          <w:b/>
          <w:sz w:val="24"/>
          <w:szCs w:val="24"/>
          <w:lang w:val="es-ES" w:eastAsia="es-ES"/>
        </w:rPr>
        <w:t xml:space="preserve"> </w:t>
      </w:r>
      <w:r w:rsidR="00835E2B" w:rsidRPr="00B86CDB">
        <w:rPr>
          <w:rFonts w:ascii="Palatino Linotype" w:eastAsia="Calibri" w:hAnsi="Palatino Linotype" w:cs="Arial"/>
          <w:sz w:val="24"/>
          <w:szCs w:val="24"/>
          <w:lang w:val="es-ES" w:eastAsia="es-ES"/>
        </w:rPr>
        <w:t>de dos mil veinte</w:t>
      </w:r>
      <w:r w:rsidRPr="00B86CDB">
        <w:rPr>
          <w:rFonts w:ascii="Palatino Linotype" w:eastAsia="Calibri" w:hAnsi="Palatino Linotype" w:cs="Arial"/>
          <w:sz w:val="24"/>
          <w:szCs w:val="24"/>
          <w:lang w:val="es-ES" w:eastAsia="es-ES"/>
        </w:rPr>
        <w:t xml:space="preserve">, puso a disposición de las </w:t>
      </w:r>
      <w:r w:rsidR="00636061" w:rsidRPr="00B86CDB">
        <w:rPr>
          <w:rFonts w:ascii="Palatino Linotype" w:eastAsia="Calibri" w:hAnsi="Palatino Linotype" w:cs="Arial"/>
          <w:sz w:val="24"/>
          <w:szCs w:val="24"/>
          <w:lang w:val="es-ES" w:eastAsia="es-ES"/>
        </w:rPr>
        <w:t>partes los</w:t>
      </w:r>
      <w:r w:rsidR="00D1544B" w:rsidRPr="00B86CDB">
        <w:rPr>
          <w:rFonts w:ascii="Palatino Linotype" w:eastAsia="Calibri" w:hAnsi="Palatino Linotype" w:cs="Arial"/>
          <w:sz w:val="24"/>
          <w:szCs w:val="24"/>
          <w:lang w:val="es-ES" w:eastAsia="es-ES"/>
        </w:rPr>
        <w:t xml:space="preserve"> expediente</w:t>
      </w:r>
      <w:r w:rsidR="00636061" w:rsidRPr="00B86CDB">
        <w:rPr>
          <w:rFonts w:ascii="Palatino Linotype" w:eastAsia="Calibri" w:hAnsi="Palatino Linotype" w:cs="Arial"/>
          <w:sz w:val="24"/>
          <w:szCs w:val="24"/>
          <w:lang w:val="es-ES" w:eastAsia="es-ES"/>
        </w:rPr>
        <w:t>s</w:t>
      </w:r>
      <w:r w:rsidR="00D1544B" w:rsidRPr="00B86CDB">
        <w:rPr>
          <w:rFonts w:ascii="Palatino Linotype" w:eastAsia="Calibri" w:hAnsi="Palatino Linotype" w:cs="Arial"/>
          <w:sz w:val="24"/>
          <w:szCs w:val="24"/>
          <w:lang w:val="es-ES" w:eastAsia="es-ES"/>
        </w:rPr>
        <w:t xml:space="preserve"> electrónico</w:t>
      </w:r>
      <w:r w:rsidR="00636061" w:rsidRPr="00B86CDB">
        <w:rPr>
          <w:rFonts w:ascii="Palatino Linotype" w:eastAsia="Calibri" w:hAnsi="Palatino Linotype" w:cs="Arial"/>
          <w:sz w:val="24"/>
          <w:szCs w:val="24"/>
          <w:lang w:val="es-ES" w:eastAsia="es-ES"/>
        </w:rPr>
        <w:t>s</w:t>
      </w:r>
      <w:r w:rsidR="00D1544B" w:rsidRPr="00B86CDB">
        <w:rPr>
          <w:rFonts w:ascii="Palatino Linotype" w:eastAsia="Calibri" w:hAnsi="Palatino Linotype" w:cs="Arial"/>
          <w:sz w:val="24"/>
          <w:szCs w:val="24"/>
          <w:lang w:val="es-ES" w:eastAsia="es-ES"/>
        </w:rPr>
        <w:t xml:space="preserve"> vía SAIMEX para </w:t>
      </w:r>
      <w:r w:rsidRPr="00B86CDB">
        <w:rPr>
          <w:rFonts w:ascii="Palatino Linotype" w:eastAsia="Calibri" w:hAnsi="Palatino Linotype" w:cs="Arial"/>
          <w:sz w:val="24"/>
          <w:szCs w:val="24"/>
          <w:lang w:val="es-ES" w:eastAsia="es-ES"/>
        </w:rPr>
        <w:t>que en un plazo máximo de siete días manifesta</w:t>
      </w:r>
      <w:r w:rsidR="00D1544B" w:rsidRPr="00B86CDB">
        <w:rPr>
          <w:rFonts w:ascii="Palatino Linotype" w:eastAsia="Calibri" w:hAnsi="Palatino Linotype" w:cs="Arial"/>
          <w:sz w:val="24"/>
          <w:szCs w:val="24"/>
          <w:lang w:val="es-ES" w:eastAsia="es-ES"/>
        </w:rPr>
        <w:t>ran lo que conforme a su derecho convinieran, ofreciendo</w:t>
      </w:r>
      <w:r w:rsidRPr="00B86CDB">
        <w:rPr>
          <w:rFonts w:ascii="Palatino Linotype" w:eastAsia="Calibri" w:hAnsi="Palatino Linotype" w:cs="Arial"/>
          <w:sz w:val="24"/>
          <w:szCs w:val="24"/>
          <w:lang w:val="es-ES" w:eastAsia="es-ES"/>
        </w:rPr>
        <w:t xml:space="preserve"> pruebas y alegatos según corresponda al caso concreto, para que el </w:t>
      </w:r>
      <w:r w:rsidRPr="00B86CDB">
        <w:rPr>
          <w:rFonts w:ascii="Palatino Linotype" w:eastAsia="Calibri" w:hAnsi="Palatino Linotype" w:cs="Arial"/>
          <w:b/>
          <w:sz w:val="24"/>
          <w:szCs w:val="24"/>
          <w:lang w:val="es-ES" w:eastAsia="es-ES"/>
        </w:rPr>
        <w:t>SUJETO OBLIGADO</w:t>
      </w:r>
      <w:r w:rsidR="00D1544B" w:rsidRPr="00B86CDB">
        <w:rPr>
          <w:rFonts w:ascii="Palatino Linotype" w:eastAsia="Calibri" w:hAnsi="Palatino Linotype" w:cs="Arial"/>
          <w:sz w:val="24"/>
          <w:szCs w:val="24"/>
          <w:lang w:val="es-ES" w:eastAsia="es-ES"/>
        </w:rPr>
        <w:t xml:space="preserve"> presentara</w:t>
      </w:r>
      <w:r w:rsidRPr="00B86CDB">
        <w:rPr>
          <w:rFonts w:ascii="Palatino Linotype" w:eastAsia="Calibri" w:hAnsi="Palatino Linotype" w:cs="Arial"/>
          <w:sz w:val="24"/>
          <w:szCs w:val="24"/>
          <w:lang w:val="es-ES" w:eastAsia="es-ES"/>
        </w:rPr>
        <w:t xml:space="preserve"> el Informe Justificado procedente</w:t>
      </w:r>
      <w:r w:rsidR="00DF2CBA" w:rsidRPr="00B86CDB">
        <w:rPr>
          <w:rFonts w:ascii="Palatino Linotype" w:eastAsia="Calibri" w:hAnsi="Palatino Linotype" w:cs="Arial"/>
          <w:sz w:val="24"/>
          <w:szCs w:val="24"/>
          <w:lang w:val="es-ES" w:eastAsia="es-ES"/>
        </w:rPr>
        <w:t>.</w:t>
      </w:r>
    </w:p>
    <w:p w14:paraId="020EDEC1" w14:textId="42BB4A75" w:rsidR="00636061" w:rsidRPr="00B86CDB" w:rsidRDefault="007145A8" w:rsidP="008854A0">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B86CDB">
        <w:rPr>
          <w:rFonts w:ascii="Palatino Linotype" w:eastAsia="Calibri" w:hAnsi="Palatino Linotype" w:cs="Arial"/>
          <w:sz w:val="24"/>
          <w:lang w:val="es-ES"/>
        </w:rPr>
        <w:t xml:space="preserve">El catorce (14) de octubre de dos mil veinte, el </w:t>
      </w:r>
      <w:r w:rsidRPr="00B86CDB">
        <w:rPr>
          <w:rFonts w:ascii="Palatino Linotype" w:eastAsia="Calibri" w:hAnsi="Palatino Linotype" w:cs="Arial"/>
          <w:b/>
          <w:sz w:val="24"/>
          <w:lang w:val="es-ES"/>
        </w:rPr>
        <w:t xml:space="preserve">SUJETO OBLIGADO </w:t>
      </w:r>
      <w:r w:rsidRPr="00B86CDB">
        <w:rPr>
          <w:rFonts w:ascii="Palatino Linotype" w:eastAsia="Calibri" w:hAnsi="Palatino Linotype" w:cs="Arial"/>
          <w:sz w:val="24"/>
          <w:lang w:val="es-ES"/>
        </w:rPr>
        <w:t xml:space="preserve">rindió </w:t>
      </w:r>
      <w:r w:rsidR="00636061" w:rsidRPr="00B86CDB">
        <w:rPr>
          <w:rFonts w:ascii="Palatino Linotype" w:eastAsia="Calibri" w:hAnsi="Palatino Linotype" w:cs="Arial"/>
          <w:sz w:val="24"/>
          <w:lang w:val="es-ES"/>
        </w:rPr>
        <w:t>sus informes</w:t>
      </w:r>
      <w:r w:rsidRPr="00B86CDB">
        <w:rPr>
          <w:rFonts w:ascii="Palatino Linotype" w:eastAsia="Calibri" w:hAnsi="Palatino Linotype" w:cs="Arial"/>
          <w:sz w:val="24"/>
          <w:lang w:val="es-ES"/>
        </w:rPr>
        <w:t xml:space="preserve"> justificado</w:t>
      </w:r>
      <w:r w:rsidR="00636061" w:rsidRPr="00B86CDB">
        <w:rPr>
          <w:rFonts w:ascii="Palatino Linotype" w:eastAsia="Calibri" w:hAnsi="Palatino Linotype" w:cs="Arial"/>
          <w:sz w:val="24"/>
          <w:lang w:val="es-ES"/>
        </w:rPr>
        <w:t>s</w:t>
      </w:r>
      <w:r w:rsidRPr="00B86CDB">
        <w:rPr>
          <w:rFonts w:ascii="Palatino Linotype" w:eastAsia="Calibri" w:hAnsi="Palatino Linotype" w:cs="Arial"/>
          <w:sz w:val="24"/>
          <w:lang w:val="es-ES"/>
        </w:rPr>
        <w:t xml:space="preserve"> consistente</w:t>
      </w:r>
      <w:r w:rsidR="00636061" w:rsidRPr="00B86CDB">
        <w:rPr>
          <w:rFonts w:ascii="Palatino Linotype" w:eastAsia="Calibri" w:hAnsi="Palatino Linotype" w:cs="Arial"/>
          <w:sz w:val="24"/>
          <w:lang w:val="es-ES"/>
        </w:rPr>
        <w:t xml:space="preserve">s en los documentos descritos en el orden siguiente: </w:t>
      </w:r>
    </w:p>
    <w:tbl>
      <w:tblPr>
        <w:tblStyle w:val="Tablaconcuadrcula1"/>
        <w:tblW w:w="8784" w:type="dxa"/>
        <w:tblLayout w:type="fixed"/>
        <w:tblLook w:val="04A0" w:firstRow="1" w:lastRow="0" w:firstColumn="1" w:lastColumn="0" w:noHBand="0" w:noVBand="1"/>
      </w:tblPr>
      <w:tblGrid>
        <w:gridCol w:w="3114"/>
        <w:gridCol w:w="5670"/>
      </w:tblGrid>
      <w:tr w:rsidR="00636061" w:rsidRPr="00B86CDB" w14:paraId="3267FD47" w14:textId="77777777" w:rsidTr="00B411B7">
        <w:tc>
          <w:tcPr>
            <w:tcW w:w="3114" w:type="dxa"/>
          </w:tcPr>
          <w:p w14:paraId="77538EF6" w14:textId="4432F0EC" w:rsidR="00636061" w:rsidRPr="00B86CDB" w:rsidRDefault="00636061" w:rsidP="00DA7537">
            <w:pPr>
              <w:spacing w:line="360" w:lineRule="auto"/>
              <w:ind w:right="333"/>
              <w:jc w:val="center"/>
              <w:rPr>
                <w:rFonts w:ascii="Palatino Linotype" w:hAnsi="Palatino Linotype"/>
                <w:b/>
                <w:color w:val="000000"/>
                <w:sz w:val="22"/>
                <w:szCs w:val="22"/>
                <w:lang w:val="es-ES"/>
              </w:rPr>
            </w:pPr>
            <w:r w:rsidRPr="00B86CDB">
              <w:rPr>
                <w:rFonts w:ascii="Palatino Linotype" w:hAnsi="Palatino Linotype"/>
                <w:b/>
                <w:color w:val="000000"/>
                <w:sz w:val="22"/>
                <w:szCs w:val="22"/>
                <w:lang w:val="es-ES"/>
              </w:rPr>
              <w:t xml:space="preserve">Recurso </w:t>
            </w:r>
          </w:p>
        </w:tc>
        <w:tc>
          <w:tcPr>
            <w:tcW w:w="5670" w:type="dxa"/>
          </w:tcPr>
          <w:p w14:paraId="5BA05EF6" w14:textId="0D2107FB" w:rsidR="00636061" w:rsidRPr="00B86CDB" w:rsidRDefault="00636061" w:rsidP="00DA7537">
            <w:pPr>
              <w:spacing w:line="360" w:lineRule="auto"/>
              <w:ind w:right="333"/>
              <w:jc w:val="center"/>
              <w:rPr>
                <w:rFonts w:ascii="Palatino Linotype" w:hAnsi="Palatino Linotype"/>
                <w:b/>
                <w:color w:val="000000"/>
                <w:sz w:val="22"/>
                <w:szCs w:val="22"/>
                <w:lang w:val="es-ES"/>
              </w:rPr>
            </w:pPr>
            <w:r w:rsidRPr="00B86CDB">
              <w:rPr>
                <w:rFonts w:ascii="Palatino Linotype" w:hAnsi="Palatino Linotype"/>
                <w:b/>
                <w:color w:val="000000"/>
                <w:sz w:val="22"/>
                <w:szCs w:val="22"/>
                <w:lang w:val="es-ES"/>
              </w:rPr>
              <w:t>Informe Justificado</w:t>
            </w:r>
          </w:p>
        </w:tc>
      </w:tr>
      <w:tr w:rsidR="00636061" w:rsidRPr="00B86CDB" w14:paraId="6AECF487" w14:textId="77777777" w:rsidTr="00B411B7">
        <w:tc>
          <w:tcPr>
            <w:tcW w:w="3114" w:type="dxa"/>
          </w:tcPr>
          <w:p w14:paraId="5A6C5493" w14:textId="125D6575" w:rsidR="00636061" w:rsidRPr="00B86CDB" w:rsidRDefault="00636061" w:rsidP="00DA7537">
            <w:pPr>
              <w:spacing w:line="360" w:lineRule="auto"/>
              <w:ind w:right="333"/>
              <w:jc w:val="both"/>
              <w:rPr>
                <w:rFonts w:ascii="Palatino Linotype" w:hAnsi="Palatino Linotype"/>
                <w:color w:val="000000"/>
                <w:sz w:val="20"/>
                <w:szCs w:val="20"/>
                <w:lang w:val="es-ES"/>
              </w:rPr>
            </w:pPr>
            <w:r w:rsidRPr="00B86CDB">
              <w:rPr>
                <w:rFonts w:ascii="Palatino Linotype" w:hAnsi="Palatino Linotype" w:cs="Arial"/>
                <w:b/>
                <w:bCs/>
                <w:sz w:val="20"/>
                <w:szCs w:val="20"/>
                <w:lang w:eastAsia="es-MX"/>
              </w:rPr>
              <w:t>04038/INFOEM/IP/RR/2020</w:t>
            </w:r>
          </w:p>
        </w:tc>
        <w:tc>
          <w:tcPr>
            <w:tcW w:w="5670" w:type="dxa"/>
          </w:tcPr>
          <w:p w14:paraId="27F48708" w14:textId="33144490" w:rsidR="00636061" w:rsidRPr="00B86CDB" w:rsidRDefault="00636061" w:rsidP="00636061">
            <w:pPr>
              <w:pStyle w:val="Prrafodelista"/>
              <w:tabs>
                <w:tab w:val="left" w:pos="0"/>
              </w:tabs>
              <w:ind w:left="0" w:right="49"/>
              <w:jc w:val="both"/>
              <w:rPr>
                <w:rFonts w:ascii="Palatino Linotype" w:hAnsi="Palatino Linotype"/>
                <w:i/>
                <w:color w:val="000000"/>
                <w:sz w:val="22"/>
                <w:szCs w:val="22"/>
              </w:rPr>
            </w:pPr>
            <w:proofErr w:type="spellStart"/>
            <w:r w:rsidRPr="00B86CDB">
              <w:rPr>
                <w:rFonts w:ascii="Palatino Linotype" w:eastAsia="Calibri" w:hAnsi="Palatino Linotype" w:cs="Arial"/>
                <w:b/>
                <w:i/>
                <w:sz w:val="22"/>
                <w:szCs w:val="22"/>
                <w:lang w:val="es-ES"/>
              </w:rPr>
              <w:t>inf</w:t>
            </w:r>
            <w:proofErr w:type="spellEnd"/>
            <w:r w:rsidRPr="00B86CDB">
              <w:rPr>
                <w:rFonts w:ascii="Palatino Linotype" w:eastAsia="Calibri" w:hAnsi="Palatino Linotype" w:cs="Arial"/>
                <w:b/>
                <w:i/>
                <w:sz w:val="22"/>
                <w:szCs w:val="22"/>
                <w:lang w:val="es-ES"/>
              </w:rPr>
              <w:t xml:space="preserve"> </w:t>
            </w:r>
            <w:proofErr w:type="spellStart"/>
            <w:r w:rsidRPr="00B86CDB">
              <w:rPr>
                <w:rFonts w:ascii="Palatino Linotype" w:eastAsia="Calibri" w:hAnsi="Palatino Linotype" w:cs="Arial"/>
                <w:b/>
                <w:i/>
                <w:sz w:val="22"/>
                <w:szCs w:val="22"/>
                <w:lang w:val="es-ES"/>
              </w:rPr>
              <w:t>Just</w:t>
            </w:r>
            <w:proofErr w:type="spellEnd"/>
            <w:r w:rsidRPr="00B86CDB">
              <w:rPr>
                <w:rFonts w:ascii="Palatino Linotype" w:eastAsia="Calibri" w:hAnsi="Palatino Linotype" w:cs="Arial"/>
                <w:b/>
                <w:i/>
                <w:sz w:val="22"/>
                <w:szCs w:val="22"/>
                <w:lang w:val="es-ES"/>
              </w:rPr>
              <w:t xml:space="preserve"> SOL 4038-2020 107-2020.pdf: </w:t>
            </w:r>
            <w:r w:rsidRPr="00B86CDB">
              <w:rPr>
                <w:rFonts w:ascii="Palatino Linotype" w:eastAsia="Calibri" w:hAnsi="Palatino Linotype" w:cs="Arial"/>
                <w:sz w:val="22"/>
                <w:szCs w:val="22"/>
                <w:lang w:val="es-ES"/>
              </w:rPr>
              <w:t xml:space="preserve">Documento suscrito por la Titular de la Unidad de Transparencia, que en su parte sustantiva ratifica la respuesta inicial y manifiesta que el Tribunal de Justicia Administrativa del Estado de México, no se encuentra obligado a realizar una declaratoria de inexistencia de información por cuanto hace a la formación profesional en materia </w:t>
            </w:r>
            <w:r w:rsidRPr="00B86CDB">
              <w:rPr>
                <w:rFonts w:ascii="Palatino Linotype" w:eastAsia="Calibri" w:hAnsi="Palatino Linotype" w:cs="Arial"/>
                <w:sz w:val="22"/>
                <w:szCs w:val="22"/>
                <w:lang w:val="es-ES"/>
              </w:rPr>
              <w:lastRenderedPageBreak/>
              <w:t xml:space="preserve">de rendición de cuentas, transparencia y acceso a la información, ya que no es requisito acreditar la profesionalización en esas materias para ostentar el cargo de Magistrada en ese órgano jurisdiccional. </w:t>
            </w:r>
            <w:r w:rsidRPr="00B86CDB">
              <w:rPr>
                <w:rFonts w:ascii="Palatino Linotype" w:eastAsiaTheme="minorEastAsia" w:hAnsi="Palatino Linotype" w:cs="Arial"/>
                <w:sz w:val="22"/>
                <w:szCs w:val="22"/>
              </w:rPr>
              <w:t xml:space="preserve"> </w:t>
            </w:r>
          </w:p>
        </w:tc>
      </w:tr>
      <w:tr w:rsidR="00636061" w:rsidRPr="00B86CDB" w14:paraId="64872334" w14:textId="77777777" w:rsidTr="00B411B7">
        <w:tc>
          <w:tcPr>
            <w:tcW w:w="3114" w:type="dxa"/>
          </w:tcPr>
          <w:p w14:paraId="1F6DC8D8" w14:textId="13B9FFB2" w:rsidR="00636061" w:rsidRPr="00B86CDB" w:rsidRDefault="00636061" w:rsidP="00636061">
            <w:pPr>
              <w:spacing w:line="360" w:lineRule="auto"/>
              <w:ind w:right="333"/>
              <w:jc w:val="both"/>
              <w:rPr>
                <w:rFonts w:ascii="Palatino Linotype" w:hAnsi="Palatino Linotype"/>
                <w:color w:val="000000"/>
                <w:sz w:val="22"/>
                <w:szCs w:val="22"/>
                <w:lang w:val="es-ES"/>
              </w:rPr>
            </w:pPr>
            <w:r w:rsidRPr="00B86CDB">
              <w:rPr>
                <w:rFonts w:ascii="Palatino Linotype" w:hAnsi="Palatino Linotype" w:cs="Arial"/>
                <w:b/>
                <w:bCs/>
                <w:sz w:val="20"/>
                <w:szCs w:val="20"/>
                <w:lang w:eastAsia="es-MX"/>
              </w:rPr>
              <w:lastRenderedPageBreak/>
              <w:t>04044/INFOEM/IP/RR/2020</w:t>
            </w:r>
          </w:p>
        </w:tc>
        <w:tc>
          <w:tcPr>
            <w:tcW w:w="5670" w:type="dxa"/>
          </w:tcPr>
          <w:p w14:paraId="21144BBC" w14:textId="7AB7FF14" w:rsidR="00261212" w:rsidRPr="00B86CDB" w:rsidRDefault="00636061" w:rsidP="00261212">
            <w:pPr>
              <w:pStyle w:val="Prrafodelista"/>
              <w:ind w:left="0"/>
              <w:jc w:val="both"/>
              <w:rPr>
                <w:rFonts w:ascii="Palatino Linotype" w:eastAsia="Calibri" w:hAnsi="Palatino Linotype" w:cs="Arial"/>
                <w:sz w:val="22"/>
                <w:szCs w:val="22"/>
                <w:lang w:val="es-ES"/>
              </w:rPr>
            </w:pPr>
            <w:proofErr w:type="spellStart"/>
            <w:proofErr w:type="gramStart"/>
            <w:r w:rsidRPr="00B86CDB">
              <w:rPr>
                <w:rFonts w:ascii="Palatino Linotype" w:eastAsia="Calibri" w:hAnsi="Palatino Linotype" w:cs="Arial"/>
                <w:b/>
                <w:i/>
                <w:sz w:val="22"/>
                <w:szCs w:val="22"/>
                <w:lang w:val="es-ES"/>
              </w:rPr>
              <w:t>inf</w:t>
            </w:r>
            <w:proofErr w:type="spellEnd"/>
            <w:proofErr w:type="gramEnd"/>
            <w:r w:rsidRPr="00B86CDB">
              <w:rPr>
                <w:rFonts w:ascii="Palatino Linotype" w:eastAsia="Calibri" w:hAnsi="Palatino Linotype" w:cs="Arial"/>
                <w:b/>
                <w:i/>
                <w:sz w:val="22"/>
                <w:szCs w:val="22"/>
                <w:lang w:val="es-ES"/>
              </w:rPr>
              <w:t xml:space="preserve"> </w:t>
            </w:r>
            <w:proofErr w:type="spellStart"/>
            <w:r w:rsidRPr="00B86CDB">
              <w:rPr>
                <w:rFonts w:ascii="Palatino Linotype" w:eastAsia="Calibri" w:hAnsi="Palatino Linotype" w:cs="Arial"/>
                <w:b/>
                <w:i/>
                <w:sz w:val="22"/>
                <w:szCs w:val="22"/>
                <w:lang w:val="es-ES"/>
              </w:rPr>
              <w:t>Just</w:t>
            </w:r>
            <w:proofErr w:type="spellEnd"/>
            <w:r w:rsidRPr="00B86CDB">
              <w:rPr>
                <w:rFonts w:ascii="Palatino Linotype" w:eastAsia="Calibri" w:hAnsi="Palatino Linotype" w:cs="Arial"/>
                <w:b/>
                <w:i/>
                <w:sz w:val="22"/>
                <w:szCs w:val="22"/>
                <w:lang w:val="es-ES"/>
              </w:rPr>
              <w:t xml:space="preserve"> SOL 4038-2020 1</w:t>
            </w:r>
            <w:r w:rsidR="00261212" w:rsidRPr="00B86CDB">
              <w:rPr>
                <w:rFonts w:ascii="Palatino Linotype" w:eastAsia="Calibri" w:hAnsi="Palatino Linotype" w:cs="Arial"/>
                <w:b/>
                <w:i/>
                <w:sz w:val="22"/>
                <w:szCs w:val="22"/>
                <w:lang w:val="es-ES"/>
              </w:rPr>
              <w:t>2</w:t>
            </w:r>
            <w:r w:rsidRPr="00B86CDB">
              <w:rPr>
                <w:rFonts w:ascii="Palatino Linotype" w:eastAsia="Calibri" w:hAnsi="Palatino Linotype" w:cs="Arial"/>
                <w:b/>
                <w:i/>
                <w:sz w:val="22"/>
                <w:szCs w:val="22"/>
                <w:lang w:val="es-ES"/>
              </w:rPr>
              <w:t xml:space="preserve">7-2020.pdf: </w:t>
            </w:r>
            <w:r w:rsidRPr="00B86CDB">
              <w:rPr>
                <w:rFonts w:ascii="Palatino Linotype" w:eastAsia="Calibri" w:hAnsi="Palatino Linotype" w:cs="Arial"/>
                <w:sz w:val="22"/>
                <w:szCs w:val="22"/>
                <w:lang w:val="es-ES"/>
              </w:rPr>
              <w:t xml:space="preserve">Escrito de fecha trece (13) de octubre de año que transcurre, </w:t>
            </w:r>
            <w:r w:rsidR="00261212" w:rsidRPr="00B86CDB">
              <w:rPr>
                <w:rFonts w:ascii="Palatino Linotype" w:eastAsia="Calibri" w:hAnsi="Palatino Linotype" w:cs="Arial"/>
                <w:sz w:val="22"/>
                <w:szCs w:val="22"/>
                <w:lang w:val="es-ES"/>
              </w:rPr>
              <w:t>por medio del cual remite la respuesta de las Servidoras Públicas Habilitadas y el acuerdo de versión pública de la información solicitada.</w:t>
            </w:r>
          </w:p>
          <w:p w14:paraId="7FC199B3" w14:textId="77777777" w:rsidR="00261212" w:rsidRPr="00B86CDB" w:rsidRDefault="00261212" w:rsidP="00261212">
            <w:pPr>
              <w:pStyle w:val="Prrafodelista"/>
              <w:ind w:left="0"/>
              <w:jc w:val="both"/>
              <w:rPr>
                <w:rFonts w:ascii="Palatino Linotype" w:eastAsia="Calibri" w:hAnsi="Palatino Linotype" w:cs="Arial"/>
                <w:sz w:val="22"/>
                <w:szCs w:val="22"/>
                <w:lang w:val="es-ES"/>
              </w:rPr>
            </w:pPr>
          </w:p>
          <w:p w14:paraId="745EB69E" w14:textId="6EE74A5C" w:rsidR="00636061" w:rsidRPr="00B86CDB" w:rsidRDefault="00261212" w:rsidP="00261212">
            <w:pPr>
              <w:pStyle w:val="Prrafodelista"/>
              <w:ind w:left="0"/>
              <w:jc w:val="both"/>
              <w:rPr>
                <w:rFonts w:ascii="Palatino Linotype" w:eastAsia="Calibri" w:hAnsi="Palatino Linotype" w:cs="Arial"/>
                <w:sz w:val="22"/>
                <w:szCs w:val="22"/>
                <w:lang w:val="es-ES"/>
              </w:rPr>
            </w:pPr>
            <w:r w:rsidRPr="00B86CDB">
              <w:rPr>
                <w:rFonts w:ascii="Palatino Linotype" w:eastAsia="Calibri" w:hAnsi="Palatino Linotype" w:cs="Arial"/>
                <w:b/>
                <w:i/>
                <w:sz w:val="22"/>
                <w:szCs w:val="22"/>
                <w:lang w:val="es-ES"/>
              </w:rPr>
              <w:t xml:space="preserve">ANEXO RR 4040-2020.pdf: </w:t>
            </w:r>
            <w:r w:rsidRPr="00B86CDB">
              <w:rPr>
                <w:rFonts w:ascii="Palatino Linotype" w:eastAsia="Calibri" w:hAnsi="Palatino Linotype" w:cs="Arial"/>
                <w:sz w:val="22"/>
                <w:szCs w:val="22"/>
                <w:lang w:val="es-ES"/>
              </w:rPr>
              <w:t xml:space="preserve">Archivo integrado por 3 fojas en las que se observa la versión pública de la declaración de conflicto de intereses, de fecha veintiséis (26)  de junio de 2017, el oficio emitido por la Dirección General de Responsabilidades de la Secretaría de la Contraloría en el que se informa que no hay inscripciones, anotaciones ni registros de inhabilitación o de sujeción a procedimiento administrativo y el certificado de no antecedentes penales de fecha dieciséis de junio de  2017 emitido a favor de Lydia Elizalde Mendoza. Documentos que no fueron puestos a la vista del Recurrente, por observarse datos susceptibles de clasificar como confidenciales. </w:t>
            </w:r>
          </w:p>
          <w:p w14:paraId="13D14B12" w14:textId="61EC5B09" w:rsidR="00261212" w:rsidRPr="00B86CDB" w:rsidRDefault="00261212" w:rsidP="00261212">
            <w:pPr>
              <w:pStyle w:val="Prrafodelista"/>
              <w:ind w:left="0"/>
              <w:jc w:val="both"/>
              <w:rPr>
                <w:rFonts w:ascii="Palatino Linotype" w:eastAsia="Calibri" w:hAnsi="Palatino Linotype" w:cs="Arial"/>
                <w:sz w:val="22"/>
                <w:szCs w:val="22"/>
                <w:lang w:val="es-ES"/>
              </w:rPr>
            </w:pPr>
          </w:p>
          <w:p w14:paraId="436D5285" w14:textId="38B760A7" w:rsidR="00261212" w:rsidRPr="00B86CDB" w:rsidRDefault="00261212" w:rsidP="00261212">
            <w:pPr>
              <w:pStyle w:val="Prrafodelista"/>
              <w:ind w:left="0"/>
              <w:jc w:val="both"/>
              <w:rPr>
                <w:rFonts w:ascii="Palatino Linotype" w:eastAsia="Calibri" w:hAnsi="Palatino Linotype" w:cs="Arial"/>
                <w:sz w:val="22"/>
                <w:szCs w:val="22"/>
                <w:lang w:val="es-ES"/>
              </w:rPr>
            </w:pPr>
            <w:r w:rsidRPr="00B86CDB">
              <w:rPr>
                <w:rFonts w:ascii="Palatino Linotype" w:eastAsia="Calibri" w:hAnsi="Palatino Linotype" w:cs="Arial"/>
                <w:b/>
                <w:i/>
                <w:sz w:val="22"/>
                <w:szCs w:val="22"/>
                <w:lang w:val="es-ES"/>
              </w:rPr>
              <w:t xml:space="preserve">ACTA TRIGESIMA SEPTIMA.pdf: </w:t>
            </w:r>
            <w:r w:rsidR="002E7055" w:rsidRPr="00B86CDB">
              <w:rPr>
                <w:rFonts w:ascii="Palatino Linotype" w:eastAsia="Calibri" w:hAnsi="Palatino Linotype" w:cs="Arial"/>
                <w:sz w:val="22"/>
                <w:szCs w:val="22"/>
                <w:lang w:val="es-ES"/>
              </w:rPr>
              <w:t xml:space="preserve">Acta TJAEM/CT/EXT-37/2020 de fecha nueve de octubre de dos mil veinte en el que se aprueba la versión pública de la información entrega en el recurso de revisión de mérito. </w:t>
            </w:r>
          </w:p>
          <w:p w14:paraId="6E03AB3A" w14:textId="77777777" w:rsidR="002E7055" w:rsidRPr="00B86CDB" w:rsidRDefault="002E7055" w:rsidP="00261212">
            <w:pPr>
              <w:pStyle w:val="Prrafodelista"/>
              <w:ind w:left="0"/>
              <w:jc w:val="both"/>
              <w:rPr>
                <w:rFonts w:ascii="Palatino Linotype" w:eastAsia="Calibri" w:hAnsi="Palatino Linotype" w:cs="Arial"/>
                <w:sz w:val="22"/>
                <w:szCs w:val="22"/>
                <w:lang w:val="es-ES"/>
              </w:rPr>
            </w:pPr>
          </w:p>
          <w:p w14:paraId="7284F2B1" w14:textId="6E3489A2" w:rsidR="00261212" w:rsidRPr="00B86CDB" w:rsidRDefault="00261212" w:rsidP="00261212">
            <w:pPr>
              <w:pStyle w:val="Prrafodelista"/>
              <w:ind w:left="0"/>
              <w:jc w:val="both"/>
              <w:rPr>
                <w:rFonts w:ascii="Palatino Linotype" w:eastAsia="Calibri" w:hAnsi="Palatino Linotype" w:cs="Arial"/>
                <w:sz w:val="22"/>
                <w:szCs w:val="22"/>
                <w:lang w:val="es-ES"/>
              </w:rPr>
            </w:pPr>
            <w:r w:rsidRPr="00B86CDB">
              <w:rPr>
                <w:rFonts w:ascii="Palatino Linotype" w:eastAsia="Calibri" w:hAnsi="Palatino Linotype" w:cs="Arial"/>
                <w:b/>
                <w:i/>
                <w:sz w:val="22"/>
                <w:szCs w:val="22"/>
                <w:lang w:val="es-ES"/>
              </w:rPr>
              <w:t>ACUERDO VP 4044-2020.pdf</w:t>
            </w:r>
            <w:r w:rsidR="002E7055" w:rsidRPr="00B86CDB">
              <w:rPr>
                <w:rFonts w:ascii="Palatino Linotype" w:eastAsia="Calibri" w:hAnsi="Palatino Linotype" w:cs="Arial"/>
                <w:b/>
                <w:i/>
                <w:sz w:val="22"/>
                <w:szCs w:val="22"/>
                <w:lang w:val="es-ES"/>
              </w:rPr>
              <w:t xml:space="preserve">: </w:t>
            </w:r>
            <w:r w:rsidR="002E7055" w:rsidRPr="00B86CDB">
              <w:rPr>
                <w:rFonts w:ascii="Palatino Linotype" w:eastAsia="Calibri" w:hAnsi="Palatino Linotype" w:cs="Arial"/>
                <w:sz w:val="22"/>
                <w:szCs w:val="22"/>
                <w:lang w:val="es-ES"/>
              </w:rPr>
              <w:t xml:space="preserve">Acuerdo No, 04044/INFOEM/IP/RR/2020, mediante el cual se aprueba la versión pública de la documentación entregada. </w:t>
            </w:r>
          </w:p>
          <w:p w14:paraId="7090F114" w14:textId="77777777" w:rsidR="002E7055" w:rsidRPr="00B86CDB" w:rsidRDefault="002E7055" w:rsidP="00261212">
            <w:pPr>
              <w:pStyle w:val="Prrafodelista"/>
              <w:ind w:left="0"/>
              <w:jc w:val="both"/>
              <w:rPr>
                <w:rFonts w:ascii="Palatino Linotype" w:eastAsia="Calibri" w:hAnsi="Palatino Linotype" w:cs="Arial"/>
                <w:sz w:val="22"/>
                <w:szCs w:val="22"/>
                <w:lang w:val="es-ES"/>
              </w:rPr>
            </w:pPr>
          </w:p>
          <w:p w14:paraId="43E4E00C" w14:textId="20E152B4" w:rsidR="00261212" w:rsidRPr="00B86CDB" w:rsidRDefault="00261212" w:rsidP="00261212">
            <w:pPr>
              <w:pStyle w:val="Prrafodelista"/>
              <w:ind w:left="0"/>
              <w:jc w:val="both"/>
              <w:rPr>
                <w:rFonts w:ascii="Palatino Linotype" w:eastAsia="Calibri" w:hAnsi="Palatino Linotype" w:cs="Arial"/>
                <w:sz w:val="22"/>
                <w:szCs w:val="22"/>
                <w:lang w:val="es-ES"/>
              </w:rPr>
            </w:pPr>
            <w:r w:rsidRPr="00B86CDB">
              <w:rPr>
                <w:rFonts w:ascii="Palatino Linotype" w:eastAsia="Calibri" w:hAnsi="Palatino Linotype" w:cs="Arial"/>
                <w:b/>
                <w:i/>
                <w:sz w:val="22"/>
                <w:szCs w:val="22"/>
                <w:lang w:val="es-ES"/>
              </w:rPr>
              <w:lastRenderedPageBreak/>
              <w:t>RESP TJA-SGP-4044.pdf</w:t>
            </w:r>
            <w:r w:rsidR="002E7055" w:rsidRPr="00B86CDB">
              <w:rPr>
                <w:rFonts w:ascii="Palatino Linotype" w:eastAsia="Calibri" w:hAnsi="Palatino Linotype" w:cs="Arial"/>
                <w:b/>
                <w:i/>
                <w:sz w:val="22"/>
                <w:szCs w:val="22"/>
                <w:lang w:val="es-ES"/>
              </w:rPr>
              <w:t xml:space="preserve">: </w:t>
            </w:r>
            <w:r w:rsidR="002E7055" w:rsidRPr="00B86CDB">
              <w:rPr>
                <w:rFonts w:ascii="Palatino Linotype" w:eastAsia="Calibri" w:hAnsi="Palatino Linotype" w:cs="Arial"/>
                <w:sz w:val="22"/>
                <w:szCs w:val="22"/>
                <w:lang w:val="es-ES"/>
              </w:rPr>
              <w:t xml:space="preserve">Escrito TJA-SGP/211/2020, de fecha siete (07) de octubre de dos mil veinte, remitido por Secretario General del Pleno de la Sala Superior y Secretaría Técnica de la Junta de Gobierno y Administración, mediante el cual rinde los alegatos correspondientes y en términos generales ratifica la repuesta inicial. </w:t>
            </w:r>
          </w:p>
          <w:p w14:paraId="7F2E7643" w14:textId="77777777" w:rsidR="002E7055" w:rsidRPr="00B86CDB" w:rsidRDefault="002E7055" w:rsidP="00261212">
            <w:pPr>
              <w:pStyle w:val="Prrafodelista"/>
              <w:ind w:left="0"/>
              <w:jc w:val="both"/>
              <w:rPr>
                <w:rFonts w:ascii="Palatino Linotype" w:eastAsia="Calibri" w:hAnsi="Palatino Linotype" w:cs="Arial"/>
                <w:sz w:val="22"/>
                <w:szCs w:val="22"/>
                <w:lang w:val="es-ES"/>
              </w:rPr>
            </w:pPr>
          </w:p>
          <w:p w14:paraId="1FADAB08" w14:textId="678A5F49" w:rsidR="00261212" w:rsidRPr="00B86CDB" w:rsidRDefault="00261212" w:rsidP="00261212">
            <w:pPr>
              <w:pStyle w:val="Prrafodelista"/>
              <w:ind w:left="0"/>
              <w:jc w:val="both"/>
              <w:rPr>
                <w:rFonts w:ascii="Palatino Linotype" w:eastAsia="Calibri" w:hAnsi="Palatino Linotype" w:cs="Arial"/>
                <w:b/>
                <w:sz w:val="22"/>
                <w:szCs w:val="22"/>
                <w:lang w:val="es-ES"/>
              </w:rPr>
            </w:pPr>
            <w:r w:rsidRPr="00B86CDB">
              <w:rPr>
                <w:rFonts w:ascii="Palatino Linotype" w:eastAsia="Calibri" w:hAnsi="Palatino Linotype" w:cs="Arial"/>
                <w:b/>
                <w:i/>
                <w:sz w:val="22"/>
                <w:szCs w:val="22"/>
                <w:lang w:val="es-ES"/>
              </w:rPr>
              <w:t>RESP 4TA 4044.pdf</w:t>
            </w:r>
            <w:r w:rsidR="002E7055" w:rsidRPr="00B86CDB">
              <w:rPr>
                <w:rFonts w:ascii="Palatino Linotype" w:eastAsia="Calibri" w:hAnsi="Palatino Linotype" w:cs="Arial"/>
                <w:b/>
                <w:i/>
                <w:sz w:val="22"/>
                <w:szCs w:val="22"/>
                <w:lang w:val="es-ES"/>
              </w:rPr>
              <w:t xml:space="preserve">: </w:t>
            </w:r>
            <w:r w:rsidR="00DA7537" w:rsidRPr="00B86CDB">
              <w:rPr>
                <w:rFonts w:ascii="Palatino Linotype" w:eastAsia="Calibri" w:hAnsi="Palatino Linotype" w:cs="Arial"/>
                <w:sz w:val="22"/>
                <w:szCs w:val="22"/>
                <w:lang w:val="es-ES"/>
              </w:rPr>
              <w:t>Oficio número TJA-4SR-4981/2020 de fecha trece (13) de octubre, suscrito por la Magistrada de la Cuarta Sala Regional del Tribunal de Justicia Administrativa del Estado de México, mediante el cual responde a la solicitud 00128/TRIJAEM/IP/2020, la cual no tiene relación con el recurso de revisión 04044/INFOEM/IP/RR/2020.</w:t>
            </w:r>
            <w:r w:rsidR="00DA7537" w:rsidRPr="00B86CDB">
              <w:rPr>
                <w:rFonts w:ascii="Palatino Linotype" w:eastAsia="Calibri" w:hAnsi="Palatino Linotype" w:cs="Arial"/>
                <w:b/>
                <w:sz w:val="22"/>
                <w:szCs w:val="22"/>
                <w:lang w:val="es-ES"/>
              </w:rPr>
              <w:t xml:space="preserve"> </w:t>
            </w:r>
          </w:p>
        </w:tc>
      </w:tr>
      <w:tr w:rsidR="00636061" w:rsidRPr="00B86CDB" w14:paraId="6108F690" w14:textId="77777777" w:rsidTr="00B411B7">
        <w:tc>
          <w:tcPr>
            <w:tcW w:w="3114" w:type="dxa"/>
          </w:tcPr>
          <w:p w14:paraId="2F5E5ECE" w14:textId="3A9EC041" w:rsidR="00636061" w:rsidRPr="00B86CDB" w:rsidRDefault="00636061" w:rsidP="00636061">
            <w:pPr>
              <w:spacing w:line="360" w:lineRule="auto"/>
              <w:ind w:right="333"/>
              <w:jc w:val="both"/>
              <w:rPr>
                <w:rFonts w:ascii="Palatino Linotype" w:hAnsi="Palatino Linotype"/>
                <w:color w:val="000000"/>
                <w:sz w:val="22"/>
                <w:szCs w:val="22"/>
                <w:lang w:val="es-ES"/>
              </w:rPr>
            </w:pPr>
            <w:r w:rsidRPr="00B86CDB">
              <w:rPr>
                <w:rFonts w:ascii="Palatino Linotype" w:hAnsi="Palatino Linotype" w:cs="Arial"/>
                <w:b/>
                <w:bCs/>
                <w:sz w:val="20"/>
                <w:szCs w:val="20"/>
                <w:lang w:eastAsia="es-MX"/>
              </w:rPr>
              <w:lastRenderedPageBreak/>
              <w:t>04045/INFOEM/IP/RR/2020</w:t>
            </w:r>
          </w:p>
        </w:tc>
        <w:tc>
          <w:tcPr>
            <w:tcW w:w="5670" w:type="dxa"/>
          </w:tcPr>
          <w:p w14:paraId="243966FF" w14:textId="7D964D44" w:rsidR="00636061" w:rsidRPr="00B86CDB" w:rsidRDefault="00DA7537" w:rsidP="00DA7537">
            <w:pPr>
              <w:jc w:val="both"/>
              <w:rPr>
                <w:rFonts w:ascii="Palatino Linotype" w:hAnsi="Palatino Linotype"/>
                <w:b/>
                <w:i/>
                <w:color w:val="000000"/>
                <w:sz w:val="22"/>
                <w:szCs w:val="22"/>
                <w:lang w:val="es-ES"/>
              </w:rPr>
            </w:pPr>
            <w:r w:rsidRPr="00B86CDB">
              <w:rPr>
                <w:rFonts w:ascii="Palatino Linotype" w:hAnsi="Palatino Linotype"/>
                <w:b/>
                <w:i/>
                <w:color w:val="000000"/>
                <w:sz w:val="22"/>
                <w:szCs w:val="22"/>
                <w:lang w:val="es-ES"/>
              </w:rPr>
              <w:t xml:space="preserve">RESP 4045-4TA.pdf: </w:t>
            </w:r>
            <w:r w:rsidRPr="00B86CDB">
              <w:rPr>
                <w:rFonts w:ascii="Palatino Linotype" w:eastAsia="Calibri" w:hAnsi="Palatino Linotype" w:cs="Arial"/>
                <w:sz w:val="22"/>
                <w:szCs w:val="22"/>
                <w:lang w:val="es-ES"/>
              </w:rPr>
              <w:t xml:space="preserve">Oficio número TJA-4SR-4981/2020 de fecha trece (13) de octubre, suscrito por la Magistrada de la Cuarta Sala Regional del Tribunal de Justicia Administrativa del Estado de México, mediante el cual informa que en atención a lo solicitado la suscrita no genera la información, ya que los documentos fueron solicitados y presentados ante la Legislatura del Estado, sin que se le informara algún inconveniente con los mismos. </w:t>
            </w:r>
          </w:p>
          <w:p w14:paraId="217279EA" w14:textId="41E6D173" w:rsidR="00DA7537" w:rsidRPr="00B86CDB" w:rsidRDefault="00DA7537" w:rsidP="00DA7537">
            <w:pPr>
              <w:jc w:val="both"/>
              <w:rPr>
                <w:rFonts w:ascii="Palatino Linotype" w:hAnsi="Palatino Linotype"/>
                <w:color w:val="000000"/>
                <w:sz w:val="22"/>
                <w:szCs w:val="22"/>
                <w:lang w:val="es-ES"/>
              </w:rPr>
            </w:pPr>
            <w:proofErr w:type="spellStart"/>
            <w:r w:rsidRPr="00B86CDB">
              <w:rPr>
                <w:rFonts w:ascii="Palatino Linotype" w:hAnsi="Palatino Linotype"/>
                <w:b/>
                <w:i/>
                <w:color w:val="000000"/>
                <w:sz w:val="22"/>
                <w:szCs w:val="22"/>
                <w:lang w:val="es-ES"/>
              </w:rPr>
              <w:t>Inf</w:t>
            </w:r>
            <w:proofErr w:type="spellEnd"/>
            <w:r w:rsidRPr="00B86CDB">
              <w:rPr>
                <w:rFonts w:ascii="Palatino Linotype" w:hAnsi="Palatino Linotype"/>
                <w:b/>
                <w:i/>
                <w:color w:val="000000"/>
                <w:sz w:val="22"/>
                <w:szCs w:val="22"/>
                <w:lang w:val="es-ES"/>
              </w:rPr>
              <w:t xml:space="preserve"> </w:t>
            </w:r>
            <w:proofErr w:type="spellStart"/>
            <w:r w:rsidRPr="00B86CDB">
              <w:rPr>
                <w:rFonts w:ascii="Palatino Linotype" w:hAnsi="Palatino Linotype"/>
                <w:b/>
                <w:i/>
                <w:color w:val="000000"/>
                <w:sz w:val="22"/>
                <w:szCs w:val="22"/>
                <w:lang w:val="es-ES"/>
              </w:rPr>
              <w:t>Just</w:t>
            </w:r>
            <w:proofErr w:type="spellEnd"/>
            <w:r w:rsidRPr="00B86CDB">
              <w:rPr>
                <w:rFonts w:ascii="Palatino Linotype" w:hAnsi="Palatino Linotype"/>
                <w:b/>
                <w:i/>
                <w:color w:val="000000"/>
                <w:sz w:val="22"/>
                <w:szCs w:val="22"/>
                <w:lang w:val="es-ES"/>
              </w:rPr>
              <w:t xml:space="preserve"> SOL 4045-2020 SOL 128-2020.pdf:</w:t>
            </w:r>
            <w:r w:rsidR="004E4E39" w:rsidRPr="00B86CDB">
              <w:rPr>
                <w:rFonts w:ascii="Palatino Linotype" w:hAnsi="Palatino Linotype"/>
                <w:b/>
                <w:i/>
                <w:color w:val="000000"/>
                <w:sz w:val="22"/>
                <w:szCs w:val="22"/>
                <w:lang w:val="es-ES"/>
              </w:rPr>
              <w:t xml:space="preserve"> </w:t>
            </w:r>
            <w:r w:rsidR="004E4E39" w:rsidRPr="00B86CDB">
              <w:rPr>
                <w:rFonts w:ascii="Palatino Linotype" w:hAnsi="Palatino Linotype"/>
                <w:color w:val="000000"/>
                <w:sz w:val="22"/>
                <w:szCs w:val="22"/>
                <w:lang w:val="es-ES"/>
              </w:rPr>
              <w:t xml:space="preserve">Escrito de fecha trece (13) de octubre de dos mil veinte suscrito por la Titular de la Unidad de Transparencia, mediante el cual remite las respuestas de las Servidores Públicas Habilitadas. </w:t>
            </w:r>
          </w:p>
          <w:p w14:paraId="4EFDF188" w14:textId="77777777" w:rsidR="004E4E39" w:rsidRPr="00B86CDB" w:rsidRDefault="004E4E39" w:rsidP="00DA7537">
            <w:pPr>
              <w:jc w:val="both"/>
              <w:rPr>
                <w:rFonts w:ascii="Palatino Linotype" w:hAnsi="Palatino Linotype"/>
                <w:color w:val="000000"/>
                <w:sz w:val="22"/>
                <w:szCs w:val="22"/>
                <w:lang w:val="es-ES"/>
              </w:rPr>
            </w:pPr>
          </w:p>
          <w:p w14:paraId="4BAF7832" w14:textId="6ADFD305" w:rsidR="004E4E39" w:rsidRPr="00B86CDB" w:rsidRDefault="00DA7537" w:rsidP="004E4E39">
            <w:pPr>
              <w:pStyle w:val="Prrafodelista"/>
              <w:ind w:left="0"/>
              <w:jc w:val="both"/>
              <w:rPr>
                <w:rFonts w:ascii="Palatino Linotype" w:eastAsia="Calibri" w:hAnsi="Palatino Linotype" w:cs="Arial"/>
                <w:sz w:val="22"/>
                <w:szCs w:val="22"/>
                <w:lang w:val="es-ES"/>
              </w:rPr>
            </w:pPr>
            <w:r w:rsidRPr="00B86CDB">
              <w:rPr>
                <w:rFonts w:ascii="Palatino Linotype" w:hAnsi="Palatino Linotype"/>
                <w:b/>
                <w:i/>
                <w:color w:val="000000"/>
                <w:sz w:val="22"/>
                <w:szCs w:val="22"/>
                <w:lang w:val="es-ES"/>
              </w:rPr>
              <w:t>RESP TJA-SGP-4045.pdf</w:t>
            </w:r>
            <w:r w:rsidR="004E4E39" w:rsidRPr="00B86CDB">
              <w:rPr>
                <w:rFonts w:ascii="Palatino Linotype" w:hAnsi="Palatino Linotype"/>
                <w:b/>
                <w:i/>
                <w:color w:val="000000"/>
                <w:sz w:val="22"/>
                <w:szCs w:val="22"/>
                <w:lang w:val="es-ES"/>
              </w:rPr>
              <w:t xml:space="preserve"> </w:t>
            </w:r>
            <w:r w:rsidR="004E4E39" w:rsidRPr="00B86CDB">
              <w:rPr>
                <w:rFonts w:ascii="Palatino Linotype" w:eastAsia="Calibri" w:hAnsi="Palatino Linotype" w:cs="Arial"/>
                <w:sz w:val="22"/>
                <w:szCs w:val="22"/>
                <w:lang w:val="es-ES"/>
              </w:rPr>
              <w:t xml:space="preserve">Escrito TJA-SGP/213/2020, de fecha siete (07) de octubre de dos mil veinte, remitido por Secretario General del Pleno de la Sala Superior y Secretaría Técnica de la Junta de Gobierno y </w:t>
            </w:r>
            <w:r w:rsidR="004E4E39" w:rsidRPr="00B86CDB">
              <w:rPr>
                <w:rFonts w:ascii="Palatino Linotype" w:eastAsia="Calibri" w:hAnsi="Palatino Linotype" w:cs="Arial"/>
                <w:sz w:val="22"/>
                <w:szCs w:val="22"/>
                <w:lang w:val="es-ES"/>
              </w:rPr>
              <w:lastRenderedPageBreak/>
              <w:t xml:space="preserve">Administración, mediante el cual rinde los alegatos correspondientes y en términos generales ratifica la repuesta inicial. </w:t>
            </w:r>
          </w:p>
          <w:p w14:paraId="5DCA27C8" w14:textId="1FB62667" w:rsidR="00DA7537" w:rsidRPr="00B86CDB" w:rsidRDefault="00DA7537" w:rsidP="00DA7537">
            <w:pPr>
              <w:jc w:val="both"/>
              <w:rPr>
                <w:rFonts w:ascii="Palatino Linotype" w:hAnsi="Palatino Linotype"/>
                <w:b/>
                <w:i/>
                <w:color w:val="000000"/>
                <w:sz w:val="22"/>
                <w:szCs w:val="22"/>
                <w:lang w:val="es-ES"/>
              </w:rPr>
            </w:pPr>
          </w:p>
          <w:p w14:paraId="3343579F" w14:textId="77777777" w:rsidR="004E4E39" w:rsidRPr="00B86CDB" w:rsidRDefault="00DA7537" w:rsidP="004E4E39">
            <w:pPr>
              <w:jc w:val="both"/>
              <w:rPr>
                <w:rFonts w:ascii="Palatino Linotype" w:hAnsi="Palatino Linotype"/>
                <w:color w:val="000000"/>
                <w:sz w:val="22"/>
                <w:szCs w:val="22"/>
                <w:lang w:val="es-ES"/>
              </w:rPr>
            </w:pPr>
            <w:r w:rsidRPr="00B86CDB">
              <w:rPr>
                <w:rFonts w:ascii="Palatino Linotype" w:hAnsi="Palatino Linotype"/>
                <w:b/>
                <w:i/>
                <w:color w:val="000000"/>
                <w:sz w:val="22"/>
                <w:szCs w:val="22"/>
                <w:lang w:val="es-ES"/>
              </w:rPr>
              <w:t>RR 128-2020 4TA SALA.pdf:</w:t>
            </w:r>
            <w:r w:rsidR="004E4E39" w:rsidRPr="00B86CDB">
              <w:rPr>
                <w:rFonts w:ascii="Palatino Linotype" w:hAnsi="Palatino Linotype"/>
                <w:b/>
                <w:i/>
                <w:color w:val="000000"/>
                <w:sz w:val="22"/>
                <w:szCs w:val="22"/>
                <w:lang w:val="es-ES"/>
              </w:rPr>
              <w:t xml:space="preserve"> </w:t>
            </w:r>
            <w:r w:rsidR="004E4E39" w:rsidRPr="00B86CDB">
              <w:rPr>
                <w:rFonts w:ascii="Palatino Linotype" w:hAnsi="Palatino Linotype"/>
                <w:color w:val="000000"/>
                <w:sz w:val="22"/>
                <w:szCs w:val="22"/>
                <w:lang w:val="es-ES"/>
              </w:rPr>
              <w:t xml:space="preserve">Oficio TJA/UIPPE/117/2020 de fecha dos (02) de octubre de dos mil veinte, suscrito por la Titular de la Unidad de Transparencia, dirigido a la Magistrada de la Cuarta Sala Regional, por medio del cual se solicita rendir el informe justificado del recurso de revisión 04045/INFOEM/IP/RR/2020. </w:t>
            </w:r>
          </w:p>
          <w:p w14:paraId="716F9736" w14:textId="69C6D615" w:rsidR="00DA7537" w:rsidRPr="00B86CDB" w:rsidRDefault="00DA7537" w:rsidP="004E4E39">
            <w:pPr>
              <w:jc w:val="both"/>
              <w:rPr>
                <w:rFonts w:ascii="Palatino Linotype" w:hAnsi="Palatino Linotype"/>
                <w:color w:val="000000"/>
                <w:sz w:val="22"/>
                <w:szCs w:val="22"/>
                <w:lang w:val="es-ES"/>
              </w:rPr>
            </w:pPr>
            <w:r w:rsidRPr="00B86CDB">
              <w:rPr>
                <w:rFonts w:ascii="Palatino Linotype" w:hAnsi="Palatino Linotype"/>
                <w:b/>
                <w:i/>
                <w:color w:val="000000"/>
                <w:sz w:val="22"/>
                <w:szCs w:val="22"/>
                <w:lang w:val="es-ES"/>
              </w:rPr>
              <w:t>RR 128-2020 SGPYST.pdf:</w:t>
            </w:r>
            <w:r w:rsidR="004E4E39" w:rsidRPr="00B86CDB">
              <w:rPr>
                <w:rFonts w:ascii="Palatino Linotype" w:hAnsi="Palatino Linotype"/>
                <w:b/>
                <w:i/>
                <w:color w:val="000000"/>
                <w:sz w:val="22"/>
                <w:szCs w:val="22"/>
                <w:lang w:val="es-ES"/>
              </w:rPr>
              <w:t xml:space="preserve"> </w:t>
            </w:r>
            <w:r w:rsidR="004E4E39" w:rsidRPr="00B86CDB">
              <w:rPr>
                <w:rFonts w:ascii="Palatino Linotype" w:hAnsi="Palatino Linotype"/>
                <w:color w:val="000000"/>
                <w:sz w:val="22"/>
                <w:szCs w:val="22"/>
                <w:lang w:val="es-ES"/>
              </w:rPr>
              <w:t xml:space="preserve">Oficio TJA/UIPPE/118/2020 de fecha dos (02) de octubre de dos mil veinte, suscrito por la Titular de la Unidad de Transparencia, dirigido a la Secretaría General del Pleno de la Sala Superior y Secretaria Técnica de la Junta de Gobierno y Administración, por medio del cual se solicita rendir el informe justificado del recurso de revisión 04045/INFOEM/IP/RR/2020. </w:t>
            </w:r>
          </w:p>
        </w:tc>
      </w:tr>
    </w:tbl>
    <w:p w14:paraId="097A49A6" w14:textId="13E2FB86" w:rsidR="00636061" w:rsidRPr="00B86CDB" w:rsidRDefault="00636061" w:rsidP="00636061">
      <w:pPr>
        <w:pStyle w:val="Prrafodelista"/>
        <w:tabs>
          <w:tab w:val="left" w:pos="0"/>
        </w:tabs>
        <w:spacing w:after="0" w:line="360" w:lineRule="auto"/>
        <w:ind w:left="0" w:right="49"/>
        <w:jc w:val="both"/>
        <w:rPr>
          <w:rFonts w:ascii="Palatino Linotype" w:hAnsi="Palatino Linotype"/>
          <w:i/>
          <w:color w:val="000000"/>
          <w:sz w:val="24"/>
          <w:szCs w:val="24"/>
        </w:rPr>
      </w:pPr>
    </w:p>
    <w:p w14:paraId="14FF98A6" w14:textId="1DC565EE" w:rsidR="00EC1D04" w:rsidRPr="00B86CDB" w:rsidRDefault="00B411B7" w:rsidP="00EC1D04">
      <w:pPr>
        <w:pStyle w:val="Prrafodelista"/>
        <w:tabs>
          <w:tab w:val="left" w:pos="0"/>
        </w:tabs>
        <w:spacing w:after="0" w:line="360" w:lineRule="auto"/>
        <w:ind w:left="0" w:right="49"/>
        <w:jc w:val="both"/>
        <w:rPr>
          <w:rFonts w:ascii="Palatino Linotype" w:hAnsi="Palatino Linotype"/>
          <w:i/>
          <w:color w:val="000000"/>
          <w:sz w:val="24"/>
          <w:szCs w:val="24"/>
        </w:rPr>
      </w:pPr>
      <w:r w:rsidRPr="00B86CDB">
        <w:rPr>
          <w:rFonts w:ascii="Palatino Linotype" w:eastAsia="Calibri" w:hAnsi="Palatino Linotype" w:cs="Arial"/>
          <w:sz w:val="24"/>
          <w:lang w:val="es-ES"/>
        </w:rPr>
        <w:t xml:space="preserve">Es de referir que los </w:t>
      </w:r>
      <w:proofErr w:type="gramStart"/>
      <w:r w:rsidRPr="00B86CDB">
        <w:rPr>
          <w:rFonts w:ascii="Palatino Linotype" w:eastAsia="Calibri" w:hAnsi="Palatino Linotype" w:cs="Arial"/>
          <w:sz w:val="24"/>
          <w:lang w:val="es-ES"/>
        </w:rPr>
        <w:t>d</w:t>
      </w:r>
      <w:r w:rsidR="00EC1D04" w:rsidRPr="00B86CDB">
        <w:rPr>
          <w:rFonts w:ascii="Palatino Linotype" w:eastAsia="Calibri" w:hAnsi="Palatino Linotype" w:cs="Arial"/>
          <w:sz w:val="24"/>
          <w:lang w:val="es-ES"/>
        </w:rPr>
        <w:t>ocumento</w:t>
      </w:r>
      <w:proofErr w:type="gramEnd"/>
      <w:r w:rsidRPr="00B86CDB">
        <w:rPr>
          <w:rFonts w:ascii="Palatino Linotype" w:eastAsia="Calibri" w:hAnsi="Palatino Linotype" w:cs="Arial"/>
          <w:sz w:val="24"/>
          <w:lang w:val="es-ES"/>
        </w:rPr>
        <w:t xml:space="preserve"> remitidos como informe justificado en los recurso de revisión </w:t>
      </w:r>
      <w:r w:rsidRPr="00B86CDB">
        <w:rPr>
          <w:rFonts w:ascii="Palatino Linotype" w:hAnsi="Palatino Linotype"/>
          <w:b/>
          <w:sz w:val="24"/>
          <w:szCs w:val="24"/>
        </w:rPr>
        <w:t>04038/INFOEM/IP/RR/2020 y 04045/INFOEM/IP/RR/2020</w:t>
      </w:r>
      <w:r w:rsidRPr="00B86CDB">
        <w:rPr>
          <w:rFonts w:ascii="Palatino Linotype" w:hAnsi="Palatino Linotype"/>
          <w:color w:val="000000"/>
          <w:sz w:val="24"/>
          <w:szCs w:val="24"/>
          <w:lang w:val="es-ES"/>
        </w:rPr>
        <w:t xml:space="preserve"> </w:t>
      </w:r>
      <w:r w:rsidRPr="00B86CDB">
        <w:rPr>
          <w:rFonts w:ascii="Palatino Linotype" w:eastAsia="Calibri" w:hAnsi="Palatino Linotype" w:cs="Arial"/>
          <w:sz w:val="24"/>
          <w:szCs w:val="24"/>
          <w:lang w:val="es-ES"/>
        </w:rPr>
        <w:t xml:space="preserve">serán </w:t>
      </w:r>
      <w:r w:rsidRPr="00B86CDB">
        <w:rPr>
          <w:rFonts w:ascii="Palatino Linotype" w:eastAsia="Calibri" w:hAnsi="Palatino Linotype" w:cs="Arial"/>
          <w:sz w:val="24"/>
          <w:lang w:val="es-ES"/>
        </w:rPr>
        <w:t>puestos</w:t>
      </w:r>
      <w:r w:rsidR="00EC1D04" w:rsidRPr="00B86CDB">
        <w:rPr>
          <w:rFonts w:ascii="Palatino Linotype" w:eastAsia="Calibri" w:hAnsi="Palatino Linotype" w:cs="Arial"/>
          <w:sz w:val="24"/>
          <w:lang w:val="es-ES"/>
        </w:rPr>
        <w:t xml:space="preserve"> a la vista del </w:t>
      </w:r>
      <w:r w:rsidR="00EC1D04" w:rsidRPr="00B86CDB">
        <w:rPr>
          <w:rFonts w:ascii="Palatino Linotype" w:eastAsia="Calibri" w:hAnsi="Palatino Linotype" w:cs="Arial"/>
          <w:b/>
          <w:sz w:val="24"/>
          <w:lang w:val="es-ES"/>
        </w:rPr>
        <w:t xml:space="preserve">RECURRENTE </w:t>
      </w:r>
      <w:r w:rsidR="00EC1D04" w:rsidRPr="00B86CDB">
        <w:rPr>
          <w:rFonts w:ascii="Palatino Linotype" w:eastAsia="Calibri" w:hAnsi="Palatino Linotype" w:cs="Arial"/>
          <w:sz w:val="24"/>
          <w:lang w:val="es-ES"/>
        </w:rPr>
        <w:t>al momento de notificar la presente resolución, con el objeto de que no exista opacidad, respecto del contenido de</w:t>
      </w:r>
      <w:r w:rsidRPr="00B86CDB">
        <w:rPr>
          <w:rFonts w:ascii="Palatino Linotype" w:eastAsia="Calibri" w:hAnsi="Palatino Linotype" w:cs="Arial"/>
          <w:sz w:val="24"/>
          <w:lang w:val="es-ES"/>
        </w:rPr>
        <w:t xml:space="preserve"> los </w:t>
      </w:r>
      <w:r w:rsidR="00EC1D04" w:rsidRPr="00B86CDB">
        <w:rPr>
          <w:rFonts w:ascii="Palatino Linotype" w:eastAsia="Calibri" w:hAnsi="Palatino Linotype" w:cs="Arial"/>
          <w:sz w:val="24"/>
          <w:lang w:val="es-ES"/>
        </w:rPr>
        <w:t>mismo</w:t>
      </w:r>
      <w:r w:rsidRPr="00B86CDB">
        <w:rPr>
          <w:rFonts w:ascii="Palatino Linotype" w:eastAsia="Calibri" w:hAnsi="Palatino Linotype" w:cs="Arial"/>
          <w:sz w:val="24"/>
          <w:lang w:val="es-ES"/>
        </w:rPr>
        <w:t>s</w:t>
      </w:r>
      <w:r w:rsidR="00EC1D04" w:rsidRPr="00B86CDB">
        <w:rPr>
          <w:rFonts w:ascii="Palatino Linotype" w:eastAsia="Calibri" w:hAnsi="Palatino Linotype" w:cs="Arial"/>
          <w:sz w:val="24"/>
          <w:lang w:val="es-ES"/>
        </w:rPr>
        <w:t xml:space="preserve">. </w:t>
      </w:r>
    </w:p>
    <w:p w14:paraId="2A19FAC1" w14:textId="77777777" w:rsidR="008854A0" w:rsidRPr="00B86CDB" w:rsidRDefault="008854A0" w:rsidP="008854A0">
      <w:pPr>
        <w:pStyle w:val="Prrafodelista"/>
        <w:rPr>
          <w:rFonts w:ascii="Palatino Linotype" w:eastAsia="MS Mincho" w:hAnsi="Palatino Linotype" w:cs="Times New Roman"/>
          <w:sz w:val="24"/>
          <w:szCs w:val="24"/>
          <w:lang w:val="es-ES_tradnl" w:eastAsia="es-ES"/>
        </w:rPr>
      </w:pPr>
    </w:p>
    <w:p w14:paraId="3BE0B5D9" w14:textId="4C0578A5" w:rsidR="008854A0" w:rsidRPr="00B86CDB" w:rsidRDefault="008854A0" w:rsidP="00B411B7">
      <w:pPr>
        <w:pStyle w:val="Prrafodelista"/>
        <w:numPr>
          <w:ilvl w:val="0"/>
          <w:numId w:val="2"/>
        </w:numPr>
        <w:spacing w:before="240" w:after="240" w:line="360" w:lineRule="auto"/>
        <w:ind w:left="0" w:firstLine="0"/>
        <w:jc w:val="both"/>
        <w:rPr>
          <w:rFonts w:ascii="Palatino Linotype" w:hAnsi="Palatino Linotype"/>
          <w:b/>
          <w:sz w:val="24"/>
          <w:szCs w:val="24"/>
        </w:rPr>
      </w:pPr>
      <w:r w:rsidRPr="00B86CDB">
        <w:rPr>
          <w:rFonts w:ascii="Palatino Linotype" w:eastAsia="MS Mincho" w:hAnsi="Palatino Linotype" w:cs="Times New Roman"/>
          <w:sz w:val="24"/>
          <w:szCs w:val="24"/>
          <w:lang w:val="es-ES_tradnl" w:eastAsia="es-ES"/>
        </w:rPr>
        <w:t xml:space="preserve">El </w:t>
      </w:r>
      <w:r w:rsidRPr="00B86CDB">
        <w:rPr>
          <w:rFonts w:ascii="Palatino Linotype" w:hAnsi="Palatino Linotype"/>
          <w:sz w:val="24"/>
          <w:szCs w:val="24"/>
        </w:rPr>
        <w:t xml:space="preserve">Comisionado Ponente decretó el cierre de instrucción mediante acuerdo de fecha </w:t>
      </w:r>
      <w:r w:rsidR="00EC1D04" w:rsidRPr="00B86CDB">
        <w:rPr>
          <w:rFonts w:ascii="Palatino Linotype" w:hAnsi="Palatino Linotype"/>
          <w:sz w:val="24"/>
          <w:szCs w:val="24"/>
        </w:rPr>
        <w:t>veintinueve</w:t>
      </w:r>
      <w:r w:rsidRPr="00B86CDB">
        <w:rPr>
          <w:rFonts w:ascii="Palatino Linotype" w:hAnsi="Palatino Linotype"/>
          <w:sz w:val="24"/>
          <w:szCs w:val="24"/>
        </w:rPr>
        <w:t xml:space="preserve"> (2</w:t>
      </w:r>
      <w:r w:rsidR="00EC1D04" w:rsidRPr="00B86CDB">
        <w:rPr>
          <w:rFonts w:ascii="Palatino Linotype" w:hAnsi="Palatino Linotype"/>
          <w:sz w:val="24"/>
          <w:szCs w:val="24"/>
        </w:rPr>
        <w:t>9</w:t>
      </w:r>
      <w:r w:rsidRPr="00B86CDB">
        <w:rPr>
          <w:rFonts w:ascii="Palatino Linotype" w:hAnsi="Palatino Linotype"/>
          <w:sz w:val="24"/>
          <w:szCs w:val="24"/>
        </w:rPr>
        <w:t>) de octubre</w:t>
      </w:r>
      <w:r w:rsidR="00B411B7" w:rsidRPr="00B86CDB">
        <w:rPr>
          <w:rFonts w:ascii="Palatino Linotype" w:hAnsi="Palatino Linotype"/>
          <w:sz w:val="24"/>
          <w:szCs w:val="24"/>
        </w:rPr>
        <w:t xml:space="preserve"> y veintiséis (26) de noviembre</w:t>
      </w:r>
      <w:r w:rsidRPr="00B86CDB">
        <w:rPr>
          <w:rFonts w:ascii="Palatino Linotype" w:hAnsi="Palatino Linotype"/>
          <w:b/>
          <w:sz w:val="24"/>
          <w:szCs w:val="24"/>
        </w:rPr>
        <w:t xml:space="preserve"> </w:t>
      </w:r>
      <w:r w:rsidRPr="00B86CDB">
        <w:rPr>
          <w:rFonts w:ascii="Palatino Linotype" w:hAnsi="Palatino Linotype"/>
          <w:sz w:val="24"/>
          <w:szCs w:val="24"/>
        </w:rPr>
        <w:t>de dos mil veinte</w:t>
      </w:r>
      <w:r w:rsidR="00B411B7" w:rsidRPr="00B86CDB">
        <w:rPr>
          <w:rFonts w:ascii="Palatino Linotype" w:hAnsi="Palatino Linotype"/>
          <w:sz w:val="24"/>
          <w:szCs w:val="24"/>
        </w:rPr>
        <w:t>;</w:t>
      </w:r>
      <w:r w:rsidRPr="00B86CDB">
        <w:rPr>
          <w:rFonts w:ascii="Palatino Linotype" w:hAnsi="Palatino Linotype"/>
          <w:sz w:val="24"/>
          <w:szCs w:val="24"/>
        </w:rPr>
        <w:t xml:space="preserve"> por lo que se</w:t>
      </w:r>
      <w:r w:rsidRPr="00B86CDB">
        <w:rPr>
          <w:rFonts w:ascii="Palatino Linotype" w:hAnsi="Palatino Linotype" w:cs="Arial"/>
          <w:sz w:val="24"/>
          <w:szCs w:val="24"/>
        </w:rPr>
        <w:t xml:space="preserve"> ordenó turnar el expediente a resolución</w:t>
      </w:r>
      <w:r w:rsidR="00B411B7" w:rsidRPr="00B86CDB">
        <w:rPr>
          <w:rFonts w:ascii="Palatino Linotype" w:hAnsi="Palatino Linotype" w:cs="Arial"/>
          <w:sz w:val="24"/>
          <w:szCs w:val="24"/>
        </w:rPr>
        <w:t xml:space="preserve">; así mismo </w:t>
      </w:r>
      <w:r w:rsidR="00B411B7" w:rsidRPr="00B86CDB">
        <w:rPr>
          <w:rFonts w:ascii="Palatino Linotype" w:hAnsi="Palatino Linotype"/>
          <w:sz w:val="24"/>
          <w:szCs w:val="24"/>
        </w:rPr>
        <w:t xml:space="preserve">con </w:t>
      </w:r>
      <w:r w:rsidR="00B411B7" w:rsidRPr="00B86CDB">
        <w:rPr>
          <w:rFonts w:ascii="Palatino Linotype" w:hAnsi="Palatino Linotype"/>
          <w:sz w:val="24"/>
          <w:szCs w:val="24"/>
        </w:rPr>
        <w:lastRenderedPageBreak/>
        <w:t>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de contar con los elementos suficientes para proponer al Pleno de este Instituto la resolución que a derecho corresponda</w:t>
      </w:r>
      <w:r w:rsidRPr="00B86CDB">
        <w:rPr>
          <w:rFonts w:ascii="Palatino Linotype" w:hAnsi="Palatino Linotype" w:cs="Arial"/>
          <w:sz w:val="24"/>
          <w:szCs w:val="24"/>
        </w:rPr>
        <w:t xml:space="preserve"> y no habiendo más que hacer constar, y - - - - - - - - - - - - - - </w:t>
      </w:r>
    </w:p>
    <w:p w14:paraId="639139C0" w14:textId="77777777" w:rsidR="008854A0" w:rsidRPr="00B86CDB" w:rsidRDefault="008854A0" w:rsidP="008854A0">
      <w:pPr>
        <w:pStyle w:val="Prrafodelista"/>
        <w:rPr>
          <w:rFonts w:ascii="Palatino Linotype" w:hAnsi="Palatino Linotype"/>
          <w:b/>
        </w:rPr>
      </w:pPr>
    </w:p>
    <w:p w14:paraId="32EDF85C" w14:textId="77777777" w:rsidR="008854A0" w:rsidRPr="00B86CDB" w:rsidRDefault="008854A0" w:rsidP="008854A0">
      <w:pPr>
        <w:pStyle w:val="Prrafodelista"/>
        <w:spacing w:before="240" w:after="240" w:line="360" w:lineRule="auto"/>
        <w:ind w:left="0"/>
        <w:jc w:val="both"/>
        <w:rPr>
          <w:rFonts w:ascii="Palatino Linotype" w:hAnsi="Palatino Linotype"/>
          <w:b/>
        </w:rPr>
      </w:pPr>
    </w:p>
    <w:p w14:paraId="031A4BD9" w14:textId="77777777" w:rsidR="00E113EC" w:rsidRPr="00B86CDB"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57332491"/>
      <w:r w:rsidRPr="00B86CDB">
        <w:rPr>
          <w:rFonts w:ascii="Palatino Linotype" w:eastAsiaTheme="majorEastAsia" w:hAnsi="Palatino Linotype" w:cstheme="majorBidi"/>
          <w:b/>
          <w:sz w:val="24"/>
          <w:szCs w:val="24"/>
        </w:rPr>
        <w:t>C O N S I D E R A N D O</w:t>
      </w:r>
      <w:bookmarkEnd w:id="4"/>
      <w:r w:rsidRPr="00B86CDB">
        <w:rPr>
          <w:rFonts w:ascii="Palatino Linotype" w:eastAsiaTheme="majorEastAsia" w:hAnsi="Palatino Linotype" w:cstheme="majorBidi"/>
          <w:b/>
          <w:sz w:val="24"/>
          <w:szCs w:val="24"/>
        </w:rPr>
        <w:t xml:space="preserve"> </w:t>
      </w:r>
    </w:p>
    <w:p w14:paraId="22DC78BC" w14:textId="77777777" w:rsidR="00E113EC" w:rsidRPr="00B86CDB" w:rsidRDefault="00E113EC" w:rsidP="0008753C">
      <w:pPr>
        <w:spacing w:after="0" w:line="360" w:lineRule="auto"/>
        <w:ind w:right="-142"/>
        <w:rPr>
          <w:rFonts w:eastAsiaTheme="minorEastAsia"/>
          <w:sz w:val="24"/>
          <w:szCs w:val="24"/>
        </w:rPr>
      </w:pPr>
    </w:p>
    <w:p w14:paraId="7F1080EA" w14:textId="77777777" w:rsidR="00E113EC" w:rsidRPr="00B86CDB"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57332492"/>
      <w:r w:rsidRPr="00B86CDB">
        <w:rPr>
          <w:rFonts w:ascii="Palatino Linotype" w:eastAsiaTheme="majorEastAsia" w:hAnsi="Palatino Linotype" w:cstheme="majorBidi"/>
          <w:b/>
          <w:sz w:val="24"/>
          <w:szCs w:val="26"/>
        </w:rPr>
        <w:t>PRIMERO. De la competencia</w:t>
      </w:r>
      <w:bookmarkEnd w:id="5"/>
    </w:p>
    <w:p w14:paraId="372E7FD4" w14:textId="77777777" w:rsidR="00E113EC" w:rsidRPr="00B86CDB" w:rsidRDefault="00E113EC" w:rsidP="0008753C">
      <w:pPr>
        <w:spacing w:after="0" w:line="360" w:lineRule="auto"/>
        <w:ind w:right="-142"/>
        <w:rPr>
          <w:rFonts w:eastAsiaTheme="minorEastAsia"/>
          <w:sz w:val="24"/>
          <w:szCs w:val="24"/>
        </w:rPr>
      </w:pPr>
    </w:p>
    <w:p w14:paraId="0DEAB45F" w14:textId="48B1956E" w:rsidR="00E113EC" w:rsidRPr="00B86CDB"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B86CD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86CDB">
        <w:rPr>
          <w:rFonts w:ascii="Palatino Linotype" w:eastAsia="Calibri" w:hAnsi="Palatino Linotype" w:cs="Times New Roman"/>
          <w:b/>
          <w:sz w:val="24"/>
          <w:szCs w:val="24"/>
          <w:lang w:val="es-ES" w:eastAsia="es-ES"/>
        </w:rPr>
        <w:t>Constitución Política de los Estados Unidos Mexicanos</w:t>
      </w:r>
      <w:r w:rsidRPr="00B86CDB">
        <w:rPr>
          <w:rFonts w:ascii="Palatino Linotype" w:eastAsia="Calibri" w:hAnsi="Palatino Linotype" w:cs="Times New Roman"/>
          <w:sz w:val="24"/>
          <w:szCs w:val="24"/>
          <w:lang w:val="es-ES" w:eastAsia="es-ES"/>
        </w:rPr>
        <w:t xml:space="preserve">; 5, párrafos </w:t>
      </w:r>
      <w:r w:rsidRPr="00B86CDB">
        <w:rPr>
          <w:rFonts w:ascii="Palatino Linotype" w:eastAsiaTheme="minorEastAsia" w:hAnsi="Palatino Linotype" w:cs="Arial"/>
          <w:bCs/>
          <w:sz w:val="24"/>
          <w:szCs w:val="24"/>
          <w:lang w:val="es-ES" w:eastAsia="es-ES"/>
        </w:rPr>
        <w:t xml:space="preserve">vigésimo, vigésimo primero y vigésimo segundo </w:t>
      </w:r>
      <w:r w:rsidRPr="00B86CDB">
        <w:rPr>
          <w:rFonts w:ascii="Palatino Linotype" w:eastAsia="Calibri" w:hAnsi="Palatino Linotype" w:cs="Times New Roman"/>
          <w:sz w:val="24"/>
          <w:szCs w:val="24"/>
          <w:lang w:val="es-ES" w:eastAsia="es-ES"/>
        </w:rPr>
        <w:t xml:space="preserve">fracciones IV y V de la </w:t>
      </w:r>
      <w:r w:rsidRPr="00B86CDB">
        <w:rPr>
          <w:rFonts w:ascii="Palatino Linotype" w:eastAsia="Calibri" w:hAnsi="Palatino Linotype" w:cs="Times New Roman"/>
          <w:b/>
          <w:sz w:val="24"/>
          <w:szCs w:val="24"/>
          <w:lang w:val="es-ES" w:eastAsia="es-ES"/>
        </w:rPr>
        <w:t>Constitución Política del Estado Libre y Soberano de México</w:t>
      </w:r>
      <w:r w:rsidRPr="00B86CD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86CDB">
        <w:rPr>
          <w:rFonts w:ascii="Palatino Linotype" w:eastAsia="Calibri" w:hAnsi="Palatino Linotype" w:cs="Arial"/>
          <w:sz w:val="24"/>
          <w:szCs w:val="24"/>
          <w:lang w:val="es-ES" w:eastAsia="es-ES"/>
        </w:rPr>
        <w:t xml:space="preserve">de la </w:t>
      </w:r>
      <w:r w:rsidRPr="00B86CDB">
        <w:rPr>
          <w:rFonts w:ascii="Palatino Linotype" w:eastAsia="Calibri" w:hAnsi="Palatino Linotype" w:cs="Arial"/>
          <w:b/>
          <w:sz w:val="24"/>
          <w:szCs w:val="24"/>
          <w:lang w:val="es-ES" w:eastAsia="es-ES"/>
        </w:rPr>
        <w:t>Ley de Transparencia y Acceso a la Información Pública del Estado de México y Municipios</w:t>
      </w:r>
      <w:r w:rsidRPr="00B86CDB">
        <w:rPr>
          <w:rFonts w:ascii="Palatino Linotype" w:eastAsia="Calibri" w:hAnsi="Palatino Linotype" w:cs="Arial"/>
          <w:sz w:val="24"/>
          <w:szCs w:val="24"/>
          <w:lang w:val="es-ES" w:eastAsia="es-ES"/>
        </w:rPr>
        <w:t xml:space="preserve">; y </w:t>
      </w:r>
      <w:r w:rsidR="00D61913" w:rsidRPr="00B86CDB">
        <w:rPr>
          <w:rFonts w:ascii="Palatino Linotype" w:eastAsia="Calibri" w:hAnsi="Palatino Linotype" w:cs="Arial"/>
          <w:sz w:val="24"/>
          <w:szCs w:val="24"/>
          <w:lang w:val="es-ES" w:eastAsia="es-ES"/>
        </w:rPr>
        <w:t xml:space="preserve">10, </w:t>
      </w:r>
      <w:r w:rsidRPr="00B86CDB">
        <w:rPr>
          <w:rFonts w:ascii="Palatino Linotype" w:eastAsia="Calibri" w:hAnsi="Palatino Linotype" w:cs="Arial"/>
          <w:sz w:val="24"/>
          <w:szCs w:val="24"/>
          <w:lang w:val="es-ES" w:eastAsia="es-ES"/>
        </w:rPr>
        <w:t xml:space="preserve">7, 9 fracciones I y XXIV, y 11 del </w:t>
      </w:r>
      <w:r w:rsidRPr="00B86CDB">
        <w:rPr>
          <w:rFonts w:ascii="Palatino Linotype" w:eastAsia="Calibri" w:hAnsi="Palatino Linotype" w:cs="Arial"/>
          <w:b/>
          <w:sz w:val="24"/>
          <w:szCs w:val="24"/>
          <w:lang w:val="es-ES" w:eastAsia="es-ES"/>
        </w:rPr>
        <w:t xml:space="preserve">Reglamento Interior del Instituto de Transparencia, </w:t>
      </w:r>
      <w:r w:rsidRPr="00B86CDB">
        <w:rPr>
          <w:rFonts w:ascii="Palatino Linotype" w:eastAsia="Calibri" w:hAnsi="Palatino Linotype" w:cs="Arial"/>
          <w:b/>
          <w:sz w:val="24"/>
          <w:szCs w:val="24"/>
          <w:lang w:val="es-ES" w:eastAsia="es-ES"/>
        </w:rPr>
        <w:lastRenderedPageBreak/>
        <w:t>Acceso a la Información Pública y Protección de Datos Personales del Estado de México y Municipios</w:t>
      </w:r>
      <w:r w:rsidRPr="00B86CDB">
        <w:rPr>
          <w:rFonts w:ascii="Palatino Linotype" w:eastAsiaTheme="minorEastAsia" w:hAnsi="Palatino Linotype"/>
          <w:sz w:val="24"/>
          <w:szCs w:val="24"/>
          <w:lang w:val="es-ES_tradnl" w:eastAsia="es-ES"/>
        </w:rPr>
        <w:t>.</w:t>
      </w:r>
    </w:p>
    <w:p w14:paraId="5FBE6EDB" w14:textId="77777777" w:rsidR="001E0D87" w:rsidRPr="00B86CDB"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0FA3C7A6" w:rsidR="00E113EC" w:rsidRPr="00B86CDB"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7332493"/>
      <w:r w:rsidRPr="00B86CDB">
        <w:rPr>
          <w:rFonts w:ascii="Palatino Linotype" w:eastAsiaTheme="majorEastAsia" w:hAnsi="Palatino Linotype" w:cstheme="majorBidi"/>
          <w:b/>
          <w:sz w:val="24"/>
          <w:szCs w:val="26"/>
        </w:rPr>
        <w:t>SEGUNDO. De la oportunidad y procedencia.</w:t>
      </w:r>
      <w:bookmarkEnd w:id="6"/>
    </w:p>
    <w:p w14:paraId="192ED963" w14:textId="77777777" w:rsidR="008854A0" w:rsidRPr="00B86CDB" w:rsidRDefault="008854A0" w:rsidP="0008753C">
      <w:pPr>
        <w:keepNext/>
        <w:keepLines/>
        <w:spacing w:before="40" w:after="0" w:line="360" w:lineRule="auto"/>
        <w:ind w:right="-142"/>
        <w:outlineLvl w:val="1"/>
        <w:rPr>
          <w:rFonts w:ascii="Palatino Linotype" w:eastAsiaTheme="majorEastAsia" w:hAnsi="Palatino Linotype" w:cstheme="majorBidi"/>
          <w:b/>
          <w:sz w:val="24"/>
          <w:szCs w:val="26"/>
        </w:rPr>
      </w:pPr>
    </w:p>
    <w:p w14:paraId="164EC0FE" w14:textId="0FC15A66" w:rsidR="00C94C46" w:rsidRPr="00B86CDB" w:rsidRDefault="00B411B7" w:rsidP="00E6237D">
      <w:pPr>
        <w:pStyle w:val="Prrafodelista"/>
        <w:numPr>
          <w:ilvl w:val="0"/>
          <w:numId w:val="2"/>
        </w:numPr>
        <w:spacing w:after="0" w:line="360" w:lineRule="auto"/>
        <w:ind w:left="0" w:firstLine="0"/>
        <w:jc w:val="both"/>
        <w:rPr>
          <w:rFonts w:ascii="Palatino Linotype" w:hAnsi="Palatino Linotype"/>
          <w:sz w:val="24"/>
          <w:szCs w:val="24"/>
        </w:rPr>
      </w:pPr>
      <w:r w:rsidRPr="00B86CDB">
        <w:rPr>
          <w:rFonts w:ascii="Palatino Linotype" w:eastAsia="Calibri" w:hAnsi="Palatino Linotype" w:cs="Arial"/>
          <w:sz w:val="24"/>
          <w:szCs w:val="24"/>
        </w:rPr>
        <w:t>Los</w:t>
      </w:r>
      <w:r w:rsidR="00E45EFD" w:rsidRPr="00B86CDB">
        <w:rPr>
          <w:rFonts w:ascii="Palatino Linotype" w:eastAsia="Calibri" w:hAnsi="Palatino Linotype" w:cs="Arial"/>
          <w:sz w:val="24"/>
          <w:szCs w:val="24"/>
        </w:rPr>
        <w:t xml:space="preserve"> medio</w:t>
      </w:r>
      <w:r w:rsidRPr="00B86CDB">
        <w:rPr>
          <w:rFonts w:ascii="Palatino Linotype" w:eastAsia="Calibri" w:hAnsi="Palatino Linotype" w:cs="Arial"/>
          <w:sz w:val="24"/>
          <w:szCs w:val="24"/>
        </w:rPr>
        <w:t>s</w:t>
      </w:r>
      <w:r w:rsidR="00E45EFD" w:rsidRPr="00B86CDB">
        <w:rPr>
          <w:rFonts w:ascii="Palatino Linotype" w:eastAsia="Calibri" w:hAnsi="Palatino Linotype" w:cs="Arial"/>
          <w:sz w:val="24"/>
          <w:szCs w:val="24"/>
        </w:rPr>
        <w:t xml:space="preserve"> de impugnación fue</w:t>
      </w:r>
      <w:r w:rsidRPr="00B86CDB">
        <w:rPr>
          <w:rFonts w:ascii="Palatino Linotype" w:eastAsia="Calibri" w:hAnsi="Palatino Linotype" w:cs="Arial"/>
          <w:sz w:val="24"/>
          <w:szCs w:val="24"/>
        </w:rPr>
        <w:t>ron</w:t>
      </w:r>
      <w:r w:rsidR="00E45EFD" w:rsidRPr="00B86CDB">
        <w:rPr>
          <w:rFonts w:ascii="Palatino Linotype" w:eastAsia="Calibri" w:hAnsi="Palatino Linotype" w:cs="Arial"/>
          <w:sz w:val="24"/>
          <w:szCs w:val="24"/>
        </w:rPr>
        <w:t xml:space="preserve"> presentado</w:t>
      </w:r>
      <w:r w:rsidRPr="00B86CDB">
        <w:rPr>
          <w:rFonts w:ascii="Palatino Linotype" w:eastAsia="Calibri" w:hAnsi="Palatino Linotype" w:cs="Arial"/>
          <w:sz w:val="24"/>
          <w:szCs w:val="24"/>
        </w:rPr>
        <w:t>s</w:t>
      </w:r>
      <w:r w:rsidR="00E45EFD" w:rsidRPr="00B86CDB">
        <w:rPr>
          <w:rFonts w:ascii="Palatino Linotype" w:eastAsia="Calibri" w:hAnsi="Palatino Linotype" w:cs="Arial"/>
          <w:sz w:val="24"/>
          <w:szCs w:val="24"/>
        </w:rPr>
        <w:t xml:space="preserve"> a través del </w:t>
      </w:r>
      <w:r w:rsidR="00E45EFD" w:rsidRPr="00B86CDB">
        <w:rPr>
          <w:rFonts w:ascii="Palatino Linotype" w:eastAsia="Calibri" w:hAnsi="Palatino Linotype" w:cs="Arial"/>
          <w:b/>
          <w:sz w:val="24"/>
          <w:szCs w:val="24"/>
        </w:rPr>
        <w:t>SAIMEX,</w:t>
      </w:r>
      <w:r w:rsidR="00E45EFD" w:rsidRPr="00B86CDB">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B86CDB">
        <w:rPr>
          <w:rFonts w:ascii="Palatino Linotype" w:eastAsia="Calibri" w:hAnsi="Palatino Linotype" w:cs="Arial"/>
          <w:sz w:val="24"/>
          <w:szCs w:val="24"/>
        </w:rPr>
        <w:t>siendo así</w:t>
      </w:r>
      <w:r w:rsidR="00E45EFD" w:rsidRPr="00B86CDB">
        <w:rPr>
          <w:rFonts w:ascii="Palatino Linotype" w:eastAsia="Calibri" w:hAnsi="Palatino Linotype" w:cs="Arial"/>
          <w:sz w:val="24"/>
          <w:szCs w:val="24"/>
        </w:rPr>
        <w:t xml:space="preserve"> que el </w:t>
      </w:r>
      <w:r w:rsidR="00E45EFD" w:rsidRPr="00B86CDB">
        <w:rPr>
          <w:rFonts w:ascii="Palatino Linotype" w:eastAsia="Calibri" w:hAnsi="Palatino Linotype" w:cs="Arial"/>
          <w:b/>
          <w:sz w:val="24"/>
          <w:szCs w:val="24"/>
        </w:rPr>
        <w:t>SUJETO OBLIGADO</w:t>
      </w:r>
      <w:r w:rsidR="005069B0" w:rsidRPr="00B86CDB">
        <w:rPr>
          <w:rFonts w:ascii="Palatino Linotype" w:eastAsia="Calibri" w:hAnsi="Palatino Linotype" w:cs="Arial"/>
          <w:sz w:val="24"/>
          <w:szCs w:val="24"/>
        </w:rPr>
        <w:t xml:space="preserve"> respondió</w:t>
      </w:r>
      <w:r w:rsidR="00063434" w:rsidRPr="00B86CDB">
        <w:rPr>
          <w:rFonts w:ascii="Palatino Linotype" w:eastAsia="Calibri" w:hAnsi="Palatino Linotype" w:cs="Arial"/>
          <w:sz w:val="24"/>
          <w:szCs w:val="24"/>
        </w:rPr>
        <w:t xml:space="preserve"> el</w:t>
      </w:r>
      <w:r w:rsidR="00EC1D04" w:rsidRPr="00B86CDB">
        <w:rPr>
          <w:rFonts w:ascii="Palatino Linotype" w:eastAsia="Calibri" w:hAnsi="Palatino Linotype" w:cs="Arial"/>
          <w:sz w:val="24"/>
          <w:szCs w:val="24"/>
        </w:rPr>
        <w:t xml:space="preserve"> once</w:t>
      </w:r>
      <w:r w:rsidR="00ED38F7" w:rsidRPr="00B86CDB">
        <w:rPr>
          <w:rFonts w:ascii="Palatino Linotype" w:eastAsia="Calibri" w:hAnsi="Palatino Linotype" w:cs="Arial"/>
          <w:sz w:val="24"/>
          <w:szCs w:val="24"/>
        </w:rPr>
        <w:t xml:space="preserve"> (</w:t>
      </w:r>
      <w:r w:rsidR="00EC1D04" w:rsidRPr="00B86CDB">
        <w:rPr>
          <w:rFonts w:ascii="Palatino Linotype" w:eastAsia="Calibri" w:hAnsi="Palatino Linotype" w:cs="Arial"/>
          <w:sz w:val="24"/>
          <w:szCs w:val="24"/>
        </w:rPr>
        <w:t>11</w:t>
      </w:r>
      <w:r w:rsidRPr="00B86CDB">
        <w:rPr>
          <w:rFonts w:ascii="Palatino Linotype" w:eastAsia="Calibri" w:hAnsi="Palatino Linotype" w:cs="Arial"/>
          <w:sz w:val="24"/>
          <w:szCs w:val="24"/>
        </w:rPr>
        <w:t xml:space="preserve">), quince (15) y veintiuno (21) </w:t>
      </w:r>
      <w:r w:rsidR="002A20B3" w:rsidRPr="00B86CDB">
        <w:rPr>
          <w:rFonts w:ascii="Palatino Linotype" w:eastAsia="Calibri" w:hAnsi="Palatino Linotype" w:cs="Arial"/>
          <w:sz w:val="24"/>
          <w:szCs w:val="24"/>
        </w:rPr>
        <w:t>de</w:t>
      </w:r>
      <w:r w:rsidR="00EC1D04" w:rsidRPr="00B86CDB">
        <w:rPr>
          <w:rFonts w:ascii="Palatino Linotype" w:eastAsia="Calibri" w:hAnsi="Palatino Linotype" w:cs="Arial"/>
          <w:sz w:val="24"/>
          <w:szCs w:val="24"/>
        </w:rPr>
        <w:t xml:space="preserve"> septiembre</w:t>
      </w:r>
      <w:r w:rsidR="00E45EFD" w:rsidRPr="00B86CDB">
        <w:rPr>
          <w:rFonts w:ascii="Palatino Linotype" w:eastAsia="Calibri" w:hAnsi="Palatino Linotype" w:cs="Arial"/>
          <w:b/>
          <w:sz w:val="24"/>
          <w:szCs w:val="24"/>
        </w:rPr>
        <w:t xml:space="preserve"> </w:t>
      </w:r>
      <w:r w:rsidR="00E45EFD" w:rsidRPr="00B86CDB">
        <w:rPr>
          <w:rFonts w:ascii="Palatino Linotype" w:eastAsia="Calibri" w:hAnsi="Palatino Linotype" w:cs="Arial"/>
          <w:sz w:val="24"/>
          <w:szCs w:val="24"/>
        </w:rPr>
        <w:t xml:space="preserve">dos mil </w:t>
      </w:r>
      <w:r w:rsidR="005069B0" w:rsidRPr="00B86CDB">
        <w:rPr>
          <w:rFonts w:ascii="Palatino Linotype" w:eastAsia="Calibri" w:hAnsi="Palatino Linotype" w:cs="Arial"/>
          <w:sz w:val="24"/>
          <w:szCs w:val="24"/>
        </w:rPr>
        <w:t>veinte</w:t>
      </w:r>
      <w:r w:rsidR="00E45EFD" w:rsidRPr="00B86CDB">
        <w:rPr>
          <w:rFonts w:ascii="Palatino Linotype" w:eastAsia="Calibri" w:hAnsi="Palatino Linotype" w:cs="Arial"/>
          <w:sz w:val="24"/>
          <w:szCs w:val="24"/>
        </w:rPr>
        <w:t xml:space="preserve">, </w:t>
      </w:r>
      <w:r w:rsidR="00E45EFD" w:rsidRPr="00B86CDB">
        <w:rPr>
          <w:rFonts w:ascii="Palatino Linotype" w:hAnsi="Palatino Linotype" w:cs="Arial"/>
          <w:sz w:val="24"/>
          <w:szCs w:val="24"/>
        </w:rPr>
        <w:t xml:space="preserve">de tal forma que el plazo para interponer el recurso transcurrió del </w:t>
      </w:r>
      <w:r w:rsidR="00EC1D04" w:rsidRPr="00B86CDB">
        <w:rPr>
          <w:rFonts w:ascii="Palatino Linotype" w:hAnsi="Palatino Linotype" w:cs="Arial"/>
          <w:sz w:val="24"/>
          <w:szCs w:val="24"/>
        </w:rPr>
        <w:t>catorce</w:t>
      </w:r>
      <w:r w:rsidR="00E45EFD" w:rsidRPr="00B86CDB">
        <w:rPr>
          <w:rFonts w:ascii="Palatino Linotype" w:hAnsi="Palatino Linotype" w:cs="Arial"/>
          <w:sz w:val="24"/>
          <w:szCs w:val="24"/>
        </w:rPr>
        <w:t xml:space="preserve"> </w:t>
      </w:r>
      <w:r w:rsidR="00321B51" w:rsidRPr="00B86CDB">
        <w:rPr>
          <w:rFonts w:ascii="Palatino Linotype" w:hAnsi="Palatino Linotype" w:cs="Arial"/>
          <w:sz w:val="24"/>
          <w:szCs w:val="24"/>
        </w:rPr>
        <w:t>(</w:t>
      </w:r>
      <w:r w:rsidR="00EC1D04" w:rsidRPr="00B86CDB">
        <w:rPr>
          <w:rFonts w:ascii="Palatino Linotype" w:hAnsi="Palatino Linotype" w:cs="Arial"/>
          <w:sz w:val="24"/>
          <w:szCs w:val="24"/>
        </w:rPr>
        <w:t>1</w:t>
      </w:r>
      <w:r w:rsidR="008854A0" w:rsidRPr="00B86CDB">
        <w:rPr>
          <w:rFonts w:ascii="Palatino Linotype" w:hAnsi="Palatino Linotype" w:cs="Arial"/>
          <w:sz w:val="24"/>
          <w:szCs w:val="24"/>
        </w:rPr>
        <w:t>4</w:t>
      </w:r>
      <w:r w:rsidR="001B4E32" w:rsidRPr="00B86CDB">
        <w:rPr>
          <w:rFonts w:ascii="Palatino Linotype" w:hAnsi="Palatino Linotype" w:cs="Arial"/>
          <w:sz w:val="24"/>
          <w:szCs w:val="24"/>
        </w:rPr>
        <w:t>)</w:t>
      </w:r>
      <w:r w:rsidR="006F5E9F" w:rsidRPr="00B86CDB">
        <w:rPr>
          <w:rFonts w:ascii="Palatino Linotype" w:hAnsi="Palatino Linotype" w:cs="Arial"/>
          <w:b/>
          <w:sz w:val="24"/>
          <w:szCs w:val="24"/>
        </w:rPr>
        <w:t xml:space="preserve"> </w:t>
      </w:r>
      <w:r w:rsidR="00C94C46" w:rsidRPr="00B86CDB">
        <w:rPr>
          <w:rFonts w:ascii="Palatino Linotype" w:hAnsi="Palatino Linotype" w:cs="Arial"/>
          <w:b/>
          <w:sz w:val="24"/>
          <w:szCs w:val="24"/>
        </w:rPr>
        <w:t xml:space="preserve"> </w:t>
      </w:r>
      <w:r w:rsidR="00C94C46" w:rsidRPr="00B86CDB">
        <w:rPr>
          <w:rFonts w:ascii="Palatino Linotype" w:hAnsi="Palatino Linotype" w:cs="Arial"/>
          <w:sz w:val="24"/>
          <w:szCs w:val="24"/>
        </w:rPr>
        <w:t xml:space="preserve">de </w:t>
      </w:r>
      <w:r w:rsidR="00EC1D04" w:rsidRPr="00B86CDB">
        <w:rPr>
          <w:rFonts w:ascii="Palatino Linotype" w:hAnsi="Palatino Linotype" w:cs="Arial"/>
          <w:sz w:val="24"/>
          <w:szCs w:val="24"/>
        </w:rPr>
        <w:t>septiembre</w:t>
      </w:r>
      <w:r w:rsidR="00C94C46" w:rsidRPr="00B86CDB">
        <w:rPr>
          <w:rFonts w:ascii="Palatino Linotype" w:hAnsi="Palatino Linotype" w:cs="Arial"/>
          <w:sz w:val="24"/>
          <w:szCs w:val="24"/>
        </w:rPr>
        <w:t xml:space="preserve"> </w:t>
      </w:r>
      <w:r w:rsidR="006F5E9F" w:rsidRPr="00B86CDB">
        <w:rPr>
          <w:rFonts w:ascii="Palatino Linotype" w:hAnsi="Palatino Linotype" w:cs="Arial"/>
          <w:sz w:val="24"/>
          <w:szCs w:val="24"/>
        </w:rPr>
        <w:t>al</w:t>
      </w:r>
      <w:r w:rsidR="00E6237D" w:rsidRPr="00B86CDB">
        <w:rPr>
          <w:rFonts w:ascii="Palatino Linotype" w:hAnsi="Palatino Linotype" w:cs="Arial"/>
          <w:sz w:val="24"/>
          <w:szCs w:val="24"/>
        </w:rPr>
        <w:t xml:space="preserve"> </w:t>
      </w:r>
      <w:r w:rsidR="00EC1D04" w:rsidRPr="00B86CDB">
        <w:rPr>
          <w:rFonts w:ascii="Palatino Linotype" w:hAnsi="Palatino Linotype" w:cs="Arial"/>
          <w:sz w:val="24"/>
          <w:szCs w:val="24"/>
        </w:rPr>
        <w:t>cinco</w:t>
      </w:r>
      <w:r w:rsidR="006F5E9F" w:rsidRPr="00B86CDB">
        <w:rPr>
          <w:rFonts w:ascii="Palatino Linotype" w:hAnsi="Palatino Linotype" w:cs="Arial"/>
          <w:sz w:val="24"/>
          <w:szCs w:val="24"/>
        </w:rPr>
        <w:t xml:space="preserve"> (</w:t>
      </w:r>
      <w:r w:rsidR="00EC1D04" w:rsidRPr="00B86CDB">
        <w:rPr>
          <w:rFonts w:ascii="Palatino Linotype" w:hAnsi="Palatino Linotype" w:cs="Arial"/>
          <w:sz w:val="24"/>
          <w:szCs w:val="24"/>
        </w:rPr>
        <w:t>05</w:t>
      </w:r>
      <w:r w:rsidR="006F5E9F" w:rsidRPr="00B86CDB">
        <w:rPr>
          <w:rFonts w:ascii="Palatino Linotype" w:hAnsi="Palatino Linotype" w:cs="Arial"/>
          <w:sz w:val="24"/>
          <w:szCs w:val="24"/>
        </w:rPr>
        <w:t xml:space="preserve">) </w:t>
      </w:r>
      <w:r w:rsidR="001B4E32" w:rsidRPr="00B86CDB">
        <w:rPr>
          <w:rFonts w:ascii="Palatino Linotype" w:hAnsi="Palatino Linotype" w:cs="Arial"/>
          <w:sz w:val="24"/>
          <w:szCs w:val="24"/>
        </w:rPr>
        <w:t xml:space="preserve">de </w:t>
      </w:r>
      <w:r w:rsidR="00EC1D04" w:rsidRPr="00B86CDB">
        <w:rPr>
          <w:rFonts w:ascii="Palatino Linotype" w:hAnsi="Palatino Linotype" w:cs="Arial"/>
          <w:sz w:val="24"/>
          <w:szCs w:val="24"/>
        </w:rPr>
        <w:t>octu</w:t>
      </w:r>
      <w:r w:rsidR="00C94C46" w:rsidRPr="00B86CDB">
        <w:rPr>
          <w:rFonts w:ascii="Palatino Linotype" w:hAnsi="Palatino Linotype" w:cs="Arial"/>
          <w:sz w:val="24"/>
          <w:szCs w:val="24"/>
        </w:rPr>
        <w:t>bre</w:t>
      </w:r>
      <w:r w:rsidR="001B4E32" w:rsidRPr="00B86CDB">
        <w:rPr>
          <w:rFonts w:ascii="Palatino Linotype" w:hAnsi="Palatino Linotype" w:cs="Arial"/>
          <w:b/>
          <w:sz w:val="24"/>
          <w:szCs w:val="24"/>
        </w:rPr>
        <w:t xml:space="preserve"> </w:t>
      </w:r>
      <w:r w:rsidR="001B4E32" w:rsidRPr="00B86CDB">
        <w:rPr>
          <w:rFonts w:ascii="Palatino Linotype" w:hAnsi="Palatino Linotype" w:cs="Arial"/>
          <w:sz w:val="24"/>
          <w:szCs w:val="24"/>
        </w:rPr>
        <w:t xml:space="preserve">de dos mil </w:t>
      </w:r>
      <w:r w:rsidR="005069B0" w:rsidRPr="00B86CDB">
        <w:rPr>
          <w:rFonts w:ascii="Palatino Linotype" w:hAnsi="Palatino Linotype" w:cs="Arial"/>
          <w:sz w:val="24"/>
          <w:szCs w:val="24"/>
        </w:rPr>
        <w:t>veinte</w:t>
      </w:r>
      <w:r w:rsidR="00E45EFD" w:rsidRPr="00B86CDB">
        <w:rPr>
          <w:rFonts w:ascii="Palatino Linotype" w:hAnsi="Palatino Linotype" w:cs="Arial"/>
          <w:sz w:val="24"/>
          <w:szCs w:val="24"/>
        </w:rPr>
        <w:t>;</w:t>
      </w:r>
      <w:r w:rsidRPr="00B86CDB">
        <w:rPr>
          <w:rFonts w:ascii="Palatino Linotype" w:hAnsi="Palatino Linotype" w:cs="Arial"/>
          <w:sz w:val="24"/>
          <w:szCs w:val="24"/>
        </w:rPr>
        <w:t xml:space="preserve"> del diecisiete (17)</w:t>
      </w:r>
      <w:r w:rsidR="002D5C8A" w:rsidRPr="00B86CDB">
        <w:rPr>
          <w:rFonts w:ascii="Palatino Linotype" w:hAnsi="Palatino Linotype" w:cs="Arial"/>
          <w:sz w:val="24"/>
          <w:szCs w:val="24"/>
        </w:rPr>
        <w:t xml:space="preserve"> de septiembre al siete (07) de octubre del año en curso y del veintidós (22) de septiembre al doce (12) de octubre del presente año; respectivamente. En </w:t>
      </w:r>
      <w:r w:rsidR="00E45EFD" w:rsidRPr="00B86CDB">
        <w:rPr>
          <w:rFonts w:ascii="Palatino Linotype" w:hAnsi="Palatino Linotype" w:cs="Arial"/>
          <w:sz w:val="24"/>
          <w:szCs w:val="24"/>
        </w:rPr>
        <w:t xml:space="preserve">consecuencia, presentó su inconformidad el </w:t>
      </w:r>
      <w:r w:rsidR="00EC1D04" w:rsidRPr="00B86CDB">
        <w:rPr>
          <w:rFonts w:ascii="Palatino Linotype" w:hAnsi="Palatino Linotype" w:cs="Arial"/>
          <w:sz w:val="24"/>
          <w:szCs w:val="24"/>
        </w:rPr>
        <w:t>veinticinco</w:t>
      </w:r>
      <w:r w:rsidR="00C94C46" w:rsidRPr="00B86CDB">
        <w:rPr>
          <w:rFonts w:ascii="Palatino Linotype" w:hAnsi="Palatino Linotype" w:cs="Arial"/>
          <w:sz w:val="24"/>
          <w:szCs w:val="24"/>
        </w:rPr>
        <w:t xml:space="preserve"> </w:t>
      </w:r>
      <w:r w:rsidR="006F5E9F" w:rsidRPr="00B86CDB">
        <w:rPr>
          <w:rFonts w:ascii="Palatino Linotype" w:hAnsi="Palatino Linotype" w:cs="Arial"/>
          <w:sz w:val="24"/>
          <w:szCs w:val="24"/>
        </w:rPr>
        <w:t>(</w:t>
      </w:r>
      <w:r w:rsidR="00EC1D04" w:rsidRPr="00B86CDB">
        <w:rPr>
          <w:rFonts w:ascii="Palatino Linotype" w:hAnsi="Palatino Linotype" w:cs="Arial"/>
          <w:sz w:val="24"/>
          <w:szCs w:val="24"/>
        </w:rPr>
        <w:t>25</w:t>
      </w:r>
      <w:r w:rsidR="005069B0" w:rsidRPr="00B86CDB">
        <w:rPr>
          <w:rFonts w:ascii="Palatino Linotype" w:hAnsi="Palatino Linotype" w:cs="Arial"/>
          <w:sz w:val="24"/>
          <w:szCs w:val="24"/>
        </w:rPr>
        <w:t>)</w:t>
      </w:r>
      <w:r w:rsidR="00043FE7" w:rsidRPr="00B86CDB">
        <w:rPr>
          <w:rFonts w:ascii="Palatino Linotype" w:hAnsi="Palatino Linotype" w:cs="Arial"/>
          <w:b/>
          <w:sz w:val="24"/>
          <w:szCs w:val="24"/>
        </w:rPr>
        <w:t xml:space="preserve"> </w:t>
      </w:r>
      <w:r w:rsidR="002271A7" w:rsidRPr="00B86CDB">
        <w:rPr>
          <w:rFonts w:ascii="Palatino Linotype" w:hAnsi="Palatino Linotype" w:cs="Arial"/>
          <w:bCs/>
          <w:sz w:val="24"/>
          <w:szCs w:val="24"/>
        </w:rPr>
        <w:t xml:space="preserve">de </w:t>
      </w:r>
      <w:r w:rsidR="00395231" w:rsidRPr="00B86CDB">
        <w:rPr>
          <w:rFonts w:ascii="Palatino Linotype" w:hAnsi="Palatino Linotype" w:cs="Arial"/>
          <w:bCs/>
          <w:sz w:val="24"/>
          <w:szCs w:val="24"/>
        </w:rPr>
        <w:t>septiembre</w:t>
      </w:r>
      <w:r w:rsidR="005069B0" w:rsidRPr="00B86CDB">
        <w:rPr>
          <w:rFonts w:ascii="Palatino Linotype" w:hAnsi="Palatino Linotype" w:cs="Arial"/>
          <w:sz w:val="24"/>
          <w:szCs w:val="24"/>
        </w:rPr>
        <w:t xml:space="preserve"> </w:t>
      </w:r>
      <w:r w:rsidR="001B4E32" w:rsidRPr="00B86CDB">
        <w:rPr>
          <w:rFonts w:ascii="Palatino Linotype" w:hAnsi="Palatino Linotype" w:cs="Arial"/>
          <w:sz w:val="24"/>
          <w:szCs w:val="24"/>
        </w:rPr>
        <w:t>de dos mil veinte</w:t>
      </w:r>
      <w:r w:rsidR="006605BA" w:rsidRPr="00B86CDB">
        <w:rPr>
          <w:rFonts w:ascii="Palatino Linotype" w:hAnsi="Palatino Linotype" w:cs="Arial"/>
          <w:sz w:val="24"/>
          <w:szCs w:val="24"/>
        </w:rPr>
        <w:t>,</w:t>
      </w:r>
      <w:r w:rsidR="00E45EFD" w:rsidRPr="00B86CDB">
        <w:rPr>
          <w:rFonts w:ascii="Palatino Linotype" w:hAnsi="Palatino Linotype" w:cs="Arial"/>
          <w:sz w:val="24"/>
          <w:szCs w:val="24"/>
        </w:rPr>
        <w:t xml:space="preserve"> </w:t>
      </w:r>
      <w:r w:rsidR="002D5C8A" w:rsidRPr="00B86CDB">
        <w:rPr>
          <w:rFonts w:ascii="Palatino Linotype" w:hAnsi="Palatino Linotype" w:cs="Arial"/>
          <w:sz w:val="24"/>
          <w:szCs w:val="24"/>
        </w:rPr>
        <w:t>por lo que los</w:t>
      </w:r>
      <w:r w:rsidR="00E6237D" w:rsidRPr="00B86CDB">
        <w:rPr>
          <w:rFonts w:ascii="Palatino Linotype" w:hAnsi="Palatino Linotype" w:cs="Arial"/>
          <w:sz w:val="24"/>
          <w:szCs w:val="24"/>
        </w:rPr>
        <w:t xml:space="preserve"> medio</w:t>
      </w:r>
      <w:r w:rsidR="002D5C8A" w:rsidRPr="00B86CDB">
        <w:rPr>
          <w:rFonts w:ascii="Palatino Linotype" w:hAnsi="Palatino Linotype" w:cs="Arial"/>
          <w:sz w:val="24"/>
          <w:szCs w:val="24"/>
        </w:rPr>
        <w:t>s</w:t>
      </w:r>
      <w:r w:rsidR="00E6237D" w:rsidRPr="00B86CDB">
        <w:rPr>
          <w:rFonts w:ascii="Palatino Linotype" w:hAnsi="Palatino Linotype" w:cs="Arial"/>
          <w:sz w:val="24"/>
          <w:szCs w:val="24"/>
        </w:rPr>
        <w:t xml:space="preserve"> de impugnación se encuentran dentro del lapso legalmente establecido para tal efecto. </w:t>
      </w:r>
    </w:p>
    <w:p w14:paraId="664E9F78" w14:textId="77777777" w:rsidR="00C94C46" w:rsidRPr="00B86CDB" w:rsidRDefault="00C94C46" w:rsidP="00C94C46">
      <w:pPr>
        <w:pStyle w:val="Prrafodelista"/>
        <w:spacing w:before="240" w:after="240" w:line="360" w:lineRule="auto"/>
        <w:ind w:left="0" w:right="49"/>
        <w:jc w:val="both"/>
        <w:rPr>
          <w:rFonts w:ascii="Palatino Linotype" w:eastAsia="Calibri" w:hAnsi="Palatino Linotype" w:cs="Arial"/>
          <w:i/>
          <w:sz w:val="24"/>
          <w:szCs w:val="24"/>
        </w:rPr>
      </w:pPr>
    </w:p>
    <w:p w14:paraId="64CBB65C" w14:textId="7C866337" w:rsidR="00285C17" w:rsidRPr="00B86CDB" w:rsidRDefault="00E113EC" w:rsidP="00285C17">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B86CDB">
        <w:rPr>
          <w:rFonts w:ascii="Palatino Linotype" w:eastAsia="Calibri" w:hAnsi="Palatino Linotype" w:cs="Arial"/>
          <w:sz w:val="24"/>
          <w:szCs w:val="24"/>
          <w:lang w:val="es-ES_tradnl" w:eastAsia="es-ES"/>
        </w:rPr>
        <w:t xml:space="preserve">En ese orden de ideas, </w:t>
      </w:r>
      <w:r w:rsidR="00944476" w:rsidRPr="00B86CDB">
        <w:rPr>
          <w:rFonts w:ascii="Palatino Linotype" w:eastAsia="Calibri" w:hAnsi="Palatino Linotype" w:cs="Arial"/>
          <w:sz w:val="24"/>
          <w:szCs w:val="24"/>
          <w:lang w:val="es-ES_tradnl" w:eastAsia="es-ES"/>
        </w:rPr>
        <w:t>el escrito</w:t>
      </w:r>
      <w:r w:rsidRPr="00B86CDB">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7" w:name="_Toc2881747"/>
      <w:bookmarkStart w:id="8" w:name="_Toc43770731"/>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p>
    <w:p w14:paraId="641796ED" w14:textId="77777777" w:rsidR="002D5C8A" w:rsidRPr="00B86CDB" w:rsidRDefault="002D5C8A" w:rsidP="002D5C8A">
      <w:pPr>
        <w:pStyle w:val="Prrafodelista"/>
        <w:rPr>
          <w:rFonts w:ascii="Palatino Linotype" w:eastAsia="Calibri" w:hAnsi="Palatino Linotype" w:cs="Times New Roman"/>
          <w:sz w:val="24"/>
          <w:szCs w:val="24"/>
          <w:lang w:val="es-ES" w:eastAsia="es-ES"/>
        </w:rPr>
      </w:pPr>
    </w:p>
    <w:p w14:paraId="4A991CFB" w14:textId="77777777" w:rsidR="002D5C8A" w:rsidRPr="00B86CDB" w:rsidRDefault="002D5C8A" w:rsidP="002D5C8A">
      <w:pPr>
        <w:pStyle w:val="Prrafodelista"/>
        <w:spacing w:before="240" w:after="240" w:line="360" w:lineRule="auto"/>
        <w:ind w:left="0" w:right="49"/>
        <w:jc w:val="both"/>
        <w:rPr>
          <w:rFonts w:ascii="Palatino Linotype" w:eastAsia="Calibri" w:hAnsi="Palatino Linotype" w:cs="Times New Roman"/>
          <w:sz w:val="24"/>
          <w:szCs w:val="24"/>
          <w:lang w:val="es-ES" w:eastAsia="es-ES"/>
        </w:rPr>
      </w:pPr>
    </w:p>
    <w:p w14:paraId="322B39E2" w14:textId="1D87260E" w:rsidR="006605BA" w:rsidRPr="00B86CDB"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7" w:name="_Toc57332494"/>
      <w:r w:rsidRPr="00B86CDB">
        <w:rPr>
          <w:rFonts w:ascii="Palatino Linotype" w:eastAsia="MS Mincho" w:hAnsi="Palatino Linotype" w:cstheme="majorBidi"/>
          <w:b/>
          <w:sz w:val="24"/>
          <w:szCs w:val="24"/>
          <w:lang w:val="es-ES_tradnl" w:eastAsia="es-ES"/>
        </w:rPr>
        <w:t>TERCERO</w:t>
      </w:r>
      <w:r w:rsidR="006605BA" w:rsidRPr="00B86CDB">
        <w:rPr>
          <w:rFonts w:ascii="Palatino Linotype" w:eastAsia="MS Mincho" w:hAnsi="Palatino Linotype" w:cstheme="majorBidi"/>
          <w:b/>
          <w:sz w:val="24"/>
          <w:szCs w:val="24"/>
          <w:lang w:val="es-ES_tradnl" w:eastAsia="es-ES"/>
        </w:rPr>
        <w:t>. Del planteamiento de la Litis.</w:t>
      </w:r>
      <w:bookmarkEnd w:id="7"/>
      <w:bookmarkEnd w:id="8"/>
      <w:bookmarkEnd w:id="17"/>
    </w:p>
    <w:p w14:paraId="39D2C5D4" w14:textId="5389EFC8" w:rsidR="008F0D66" w:rsidRPr="00B86CDB" w:rsidRDefault="008F0D66" w:rsidP="008F0D66">
      <w:pPr>
        <w:spacing w:after="0" w:line="360" w:lineRule="auto"/>
        <w:contextualSpacing/>
        <w:jc w:val="both"/>
        <w:rPr>
          <w:rFonts w:ascii="Palatino Linotype" w:hAnsi="Palatino Linotype" w:cs="Arial"/>
          <w:sz w:val="24"/>
          <w:szCs w:val="24"/>
          <w:lang w:val="es-ES_tradnl"/>
        </w:rPr>
      </w:pPr>
    </w:p>
    <w:p w14:paraId="3084D321" w14:textId="13EE9FAA" w:rsidR="001870D4" w:rsidRPr="00B86CDB" w:rsidRDefault="006605BA" w:rsidP="00F7282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86CDB">
        <w:rPr>
          <w:rFonts w:ascii="Palatino Linotype" w:eastAsia="MS Mincho" w:hAnsi="Palatino Linotype" w:cs="Arial"/>
          <w:sz w:val="24"/>
          <w:szCs w:val="24"/>
          <w:lang w:val="es-ES_tradnl" w:eastAsia="es-ES"/>
        </w:rPr>
        <w:t xml:space="preserve">En respuesta a la solicitud de información, </w:t>
      </w:r>
      <w:r w:rsidR="00DD056A" w:rsidRPr="00B86CDB">
        <w:rPr>
          <w:rFonts w:ascii="Palatino Linotype" w:eastAsia="MS Mincho" w:hAnsi="Palatino Linotype" w:cs="Arial"/>
          <w:sz w:val="24"/>
          <w:szCs w:val="24"/>
          <w:lang w:val="es-ES_tradnl" w:eastAsia="es-ES"/>
        </w:rPr>
        <w:t xml:space="preserve">el </w:t>
      </w:r>
      <w:r w:rsidR="00285C17" w:rsidRPr="00B86CDB">
        <w:rPr>
          <w:rFonts w:ascii="Palatino Linotype" w:eastAsia="MS Mincho" w:hAnsi="Palatino Linotype" w:cs="Arial"/>
          <w:b/>
          <w:bCs/>
          <w:sz w:val="24"/>
          <w:szCs w:val="24"/>
          <w:lang w:val="es-ES_tradnl" w:eastAsia="es-ES"/>
        </w:rPr>
        <w:t>SUJETO OBLIGADO</w:t>
      </w:r>
      <w:r w:rsidR="008F0D66" w:rsidRPr="00B86CDB">
        <w:rPr>
          <w:rFonts w:ascii="Palatino Linotype" w:eastAsia="MS Mincho" w:hAnsi="Palatino Linotype" w:cs="Arial"/>
          <w:b/>
          <w:bCs/>
          <w:sz w:val="24"/>
          <w:szCs w:val="24"/>
          <w:lang w:val="es-ES_tradnl" w:eastAsia="es-ES"/>
        </w:rPr>
        <w:t xml:space="preserve"> </w:t>
      </w:r>
      <w:r w:rsidR="008F0D66" w:rsidRPr="00B86CDB">
        <w:rPr>
          <w:rFonts w:ascii="Palatino Linotype" w:eastAsia="MS Mincho" w:hAnsi="Palatino Linotype" w:cs="Arial"/>
          <w:bCs/>
          <w:sz w:val="24"/>
          <w:szCs w:val="24"/>
          <w:lang w:val="es-ES_tradnl" w:eastAsia="es-ES"/>
        </w:rPr>
        <w:t xml:space="preserve">en atención a la solicitud </w:t>
      </w:r>
      <w:r w:rsidR="008F0D66" w:rsidRPr="00B86CDB">
        <w:rPr>
          <w:rFonts w:ascii="Palatino Linotype" w:hAnsi="Palatino Linotype"/>
          <w:b/>
          <w:bCs/>
          <w:color w:val="000000" w:themeColor="text1"/>
        </w:rPr>
        <w:t>00107/TRIJAEM/IP/2020</w:t>
      </w:r>
      <w:r w:rsidR="008F0D66" w:rsidRPr="00B86CDB">
        <w:rPr>
          <w:rFonts w:ascii="Palatino Linotype" w:eastAsia="MS Mincho" w:hAnsi="Palatino Linotype" w:cs="Arial"/>
          <w:b/>
          <w:bCs/>
          <w:sz w:val="24"/>
          <w:szCs w:val="24"/>
          <w:lang w:val="es-ES_tradnl" w:eastAsia="es-ES"/>
        </w:rPr>
        <w:t xml:space="preserve"> </w:t>
      </w:r>
      <w:r w:rsidR="00285C17" w:rsidRPr="00B86CDB">
        <w:rPr>
          <w:rFonts w:ascii="Palatino Linotype" w:eastAsia="MS Mincho" w:hAnsi="Palatino Linotype" w:cs="Arial"/>
          <w:bCs/>
          <w:sz w:val="24"/>
          <w:szCs w:val="24"/>
          <w:lang w:val="es-ES_tradnl" w:eastAsia="es-ES"/>
        </w:rPr>
        <w:t xml:space="preserve">remitió </w:t>
      </w:r>
      <w:r w:rsidR="00EC1D04" w:rsidRPr="00B86CDB">
        <w:rPr>
          <w:rFonts w:ascii="Palatino Linotype" w:eastAsiaTheme="minorEastAsia" w:hAnsi="Palatino Linotype" w:cs="Arial"/>
          <w:sz w:val="24"/>
          <w:lang w:eastAsia="es-ES"/>
        </w:rPr>
        <w:t>constancia el Comité de Transparencia del Tribunal de Justicia Administrativa del Estado de México otorgó a la servidora pública referida en la solicitud, por su participación en el programa de capacitación en materia de protección de datos personales, impartido por el Instituto de Transparencia, Acceso a la Información Pública y Protección de Datos Personales del Estado de México</w:t>
      </w:r>
      <w:r w:rsidR="008F0D66" w:rsidRPr="00B86CDB">
        <w:rPr>
          <w:rFonts w:ascii="Palatino Linotype" w:eastAsiaTheme="minorEastAsia" w:hAnsi="Palatino Linotype" w:cs="Arial"/>
          <w:sz w:val="24"/>
          <w:lang w:eastAsia="es-ES"/>
        </w:rPr>
        <w:t xml:space="preserve"> y por cuanto hace a la información requerida en las solicitudes </w:t>
      </w:r>
      <w:r w:rsidR="008F0D66" w:rsidRPr="00B86CDB">
        <w:rPr>
          <w:rFonts w:ascii="Palatino Linotype" w:hAnsi="Palatino Linotype"/>
          <w:b/>
          <w:bCs/>
          <w:color w:val="000000" w:themeColor="text1"/>
          <w:sz w:val="24"/>
          <w:szCs w:val="24"/>
        </w:rPr>
        <w:t xml:space="preserve">00127/TRIJAEM/IP/2020 y 00128/TRIJAEM/IP/2020 </w:t>
      </w:r>
      <w:r w:rsidR="008F0D66" w:rsidRPr="00B86CDB">
        <w:rPr>
          <w:rFonts w:ascii="Palatino Linotype" w:hAnsi="Palatino Linotype"/>
          <w:bCs/>
          <w:color w:val="000000" w:themeColor="text1"/>
          <w:sz w:val="24"/>
          <w:szCs w:val="24"/>
        </w:rPr>
        <w:t xml:space="preserve">manifestó que no es competente para conocer sobre la documentación solicitada ya que corresponde a la Legislatura del Estado verificar que los aspirantes cubran los requisitos constitucionales y legales para ocupar el cargo al que son propuestos. </w:t>
      </w:r>
    </w:p>
    <w:p w14:paraId="595ABCD9" w14:textId="77777777" w:rsidR="00285C17" w:rsidRPr="00B86CDB" w:rsidRDefault="00285C17" w:rsidP="00285C17">
      <w:pPr>
        <w:spacing w:after="0" w:line="360" w:lineRule="auto"/>
        <w:contextualSpacing/>
        <w:jc w:val="both"/>
        <w:rPr>
          <w:rFonts w:ascii="Palatino Linotype" w:hAnsi="Palatino Linotype" w:cs="Arial"/>
          <w:sz w:val="24"/>
          <w:szCs w:val="24"/>
          <w:lang w:val="es-ES_tradnl"/>
        </w:rPr>
      </w:pPr>
    </w:p>
    <w:p w14:paraId="595F9741" w14:textId="79615FD5" w:rsidR="006605BA" w:rsidRPr="00B86CDB" w:rsidRDefault="006605BA"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86CDB">
        <w:rPr>
          <w:rFonts w:ascii="Palatino Linotype" w:hAnsi="Palatino Linotype" w:cs="Arial"/>
          <w:sz w:val="24"/>
          <w:szCs w:val="24"/>
          <w:lang w:val="es-ES_tradnl"/>
        </w:rPr>
        <w:t>Derivado de la</w:t>
      </w:r>
      <w:r w:rsidR="008F0D66" w:rsidRPr="00B86CDB">
        <w:rPr>
          <w:rFonts w:ascii="Palatino Linotype" w:hAnsi="Palatino Linotype" w:cs="Arial"/>
          <w:sz w:val="24"/>
          <w:szCs w:val="24"/>
          <w:lang w:val="es-ES_tradnl"/>
        </w:rPr>
        <w:t>s</w:t>
      </w:r>
      <w:r w:rsidRPr="00B86CDB">
        <w:rPr>
          <w:rFonts w:ascii="Palatino Linotype" w:hAnsi="Palatino Linotype" w:cs="Arial"/>
          <w:sz w:val="24"/>
          <w:szCs w:val="24"/>
          <w:lang w:val="es-ES_tradnl"/>
        </w:rPr>
        <w:t xml:space="preserve"> respuesta</w:t>
      </w:r>
      <w:r w:rsidR="008F0D66" w:rsidRPr="00B86CDB">
        <w:rPr>
          <w:rFonts w:ascii="Palatino Linotype" w:hAnsi="Palatino Linotype" w:cs="Arial"/>
          <w:sz w:val="24"/>
          <w:szCs w:val="24"/>
          <w:lang w:val="es-ES_tradnl"/>
        </w:rPr>
        <w:t>s</w:t>
      </w:r>
      <w:r w:rsidRPr="00B86CDB">
        <w:rPr>
          <w:rFonts w:ascii="Palatino Linotype" w:hAnsi="Palatino Linotype" w:cs="Arial"/>
          <w:sz w:val="24"/>
          <w:szCs w:val="24"/>
          <w:lang w:val="es-ES_tradnl"/>
        </w:rPr>
        <w:t>, e</w:t>
      </w:r>
      <w:r w:rsidRPr="00B86CDB">
        <w:rPr>
          <w:rFonts w:ascii="Palatino Linotype" w:eastAsia="MS Mincho" w:hAnsi="Palatino Linotype" w:cs="Arial"/>
          <w:sz w:val="24"/>
          <w:szCs w:val="24"/>
          <w:lang w:val="es-ES_tradnl" w:eastAsia="es-ES"/>
        </w:rPr>
        <w:t xml:space="preserve">l </w:t>
      </w:r>
      <w:r w:rsidR="000D6FB2" w:rsidRPr="00B86CDB">
        <w:rPr>
          <w:rFonts w:ascii="Palatino Linotype" w:eastAsia="MS Mincho" w:hAnsi="Palatino Linotype" w:cs="Arial"/>
          <w:b/>
          <w:sz w:val="24"/>
          <w:szCs w:val="24"/>
          <w:lang w:val="es-ES_tradnl" w:eastAsia="es-ES"/>
        </w:rPr>
        <w:t>RECURRENTE</w:t>
      </w:r>
      <w:r w:rsidRPr="00B86CDB">
        <w:rPr>
          <w:rFonts w:ascii="Palatino Linotype" w:eastAsia="MS Mincho" w:hAnsi="Palatino Linotype" w:cs="Arial"/>
          <w:sz w:val="24"/>
          <w:szCs w:val="24"/>
          <w:lang w:val="es-ES_tradnl" w:eastAsia="es-ES"/>
        </w:rPr>
        <w:t xml:space="preserve"> presentó su recurso de revisión </w:t>
      </w:r>
      <w:r w:rsidR="000D6FB2" w:rsidRPr="00B86CDB">
        <w:rPr>
          <w:rFonts w:ascii="Palatino Linotype" w:eastAsia="MS Mincho" w:hAnsi="Palatino Linotype" w:cs="Arial"/>
          <w:sz w:val="24"/>
          <w:szCs w:val="24"/>
          <w:lang w:val="es-ES_tradnl" w:eastAsia="es-ES"/>
        </w:rPr>
        <w:t xml:space="preserve">en el que manifestó </w:t>
      </w:r>
      <w:r w:rsidR="009E7D1A" w:rsidRPr="00B86CDB">
        <w:rPr>
          <w:rFonts w:ascii="Palatino Linotype" w:eastAsia="MS Mincho" w:hAnsi="Palatino Linotype" w:cs="Arial"/>
          <w:sz w:val="24"/>
          <w:szCs w:val="24"/>
          <w:lang w:val="es-ES_tradnl" w:eastAsia="es-ES"/>
        </w:rPr>
        <w:t>como inconformidad</w:t>
      </w:r>
      <w:r w:rsidR="00DF731A" w:rsidRPr="00B86CDB">
        <w:rPr>
          <w:rFonts w:ascii="Palatino Linotype" w:eastAsia="MS Mincho" w:hAnsi="Palatino Linotype" w:cs="Arial"/>
          <w:sz w:val="24"/>
          <w:szCs w:val="24"/>
          <w:lang w:val="es-ES_tradnl" w:eastAsia="es-ES"/>
        </w:rPr>
        <w:t xml:space="preserve"> </w:t>
      </w:r>
      <w:r w:rsidR="00395231" w:rsidRPr="00B86CDB">
        <w:rPr>
          <w:rFonts w:ascii="Palatino Linotype" w:eastAsia="MS Mincho" w:hAnsi="Palatino Linotype" w:cs="Arial"/>
          <w:sz w:val="24"/>
          <w:szCs w:val="24"/>
          <w:lang w:val="es-ES_tradnl" w:eastAsia="es-ES"/>
        </w:rPr>
        <w:t>la violación a su derecho de acceso a la información</w:t>
      </w:r>
      <w:r w:rsidR="009E7D1A" w:rsidRPr="00B86CDB">
        <w:rPr>
          <w:rFonts w:ascii="Palatino Linotype" w:eastAsia="MS Mincho" w:hAnsi="Palatino Linotype" w:cs="Arial"/>
          <w:sz w:val="24"/>
          <w:szCs w:val="24"/>
          <w:lang w:val="es-ES_tradnl" w:eastAsia="es-ES"/>
        </w:rPr>
        <w:t xml:space="preserve">. </w:t>
      </w:r>
    </w:p>
    <w:p w14:paraId="568DC892" w14:textId="77777777" w:rsidR="00927869" w:rsidRPr="00B86CDB" w:rsidRDefault="00927869" w:rsidP="00927869">
      <w:pPr>
        <w:pStyle w:val="Prrafodelista"/>
        <w:rPr>
          <w:rFonts w:ascii="Palatino Linotype" w:hAnsi="Palatino Linotype" w:cs="Arial"/>
          <w:sz w:val="24"/>
          <w:szCs w:val="24"/>
          <w:lang w:val="es-ES_tradnl"/>
        </w:rPr>
      </w:pPr>
    </w:p>
    <w:p w14:paraId="46A1B23B" w14:textId="301F957F" w:rsidR="009E7D1A" w:rsidRPr="00B86CDB" w:rsidRDefault="006605BA" w:rsidP="009E7D1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86CDB">
        <w:rPr>
          <w:rFonts w:ascii="Palatino Linotype" w:hAnsi="Palatino Linotype" w:cs="Arial"/>
          <w:sz w:val="24"/>
          <w:szCs w:val="24"/>
          <w:lang w:val="es-ES_tradnl"/>
        </w:rPr>
        <w:lastRenderedPageBreak/>
        <w:t xml:space="preserve">En consecuencia, la Litis del presente asunto, corresponde en resolver si el </w:t>
      </w:r>
      <w:r w:rsidRPr="00B86CDB">
        <w:rPr>
          <w:rFonts w:ascii="Palatino Linotype" w:hAnsi="Palatino Linotype" w:cs="Arial"/>
          <w:b/>
          <w:sz w:val="24"/>
          <w:szCs w:val="24"/>
          <w:lang w:val="es-ES_tradnl"/>
        </w:rPr>
        <w:t xml:space="preserve">SUJETO OBLIGADO </w:t>
      </w:r>
      <w:r w:rsidRPr="00B86CDB">
        <w:rPr>
          <w:rFonts w:ascii="Palatino Linotype" w:hAnsi="Palatino Linotype" w:cs="Arial"/>
          <w:sz w:val="24"/>
          <w:szCs w:val="24"/>
          <w:lang w:val="es-ES_tradnl"/>
        </w:rPr>
        <w:t>atendió la</w:t>
      </w:r>
      <w:r w:rsidR="008F0D66" w:rsidRPr="00B86CDB">
        <w:rPr>
          <w:rFonts w:ascii="Palatino Linotype" w:hAnsi="Palatino Linotype" w:cs="Arial"/>
          <w:sz w:val="24"/>
          <w:szCs w:val="24"/>
          <w:lang w:val="es-ES_tradnl"/>
        </w:rPr>
        <w:t>s</w:t>
      </w:r>
      <w:r w:rsidRPr="00B86CDB">
        <w:rPr>
          <w:rFonts w:ascii="Palatino Linotype" w:hAnsi="Palatino Linotype" w:cs="Arial"/>
          <w:sz w:val="24"/>
          <w:szCs w:val="24"/>
          <w:lang w:val="es-ES_tradnl"/>
        </w:rPr>
        <w:t xml:space="preserve"> solicitud</w:t>
      </w:r>
      <w:r w:rsidR="008F0D66" w:rsidRPr="00B86CDB">
        <w:rPr>
          <w:rFonts w:ascii="Palatino Linotype" w:hAnsi="Palatino Linotype" w:cs="Arial"/>
          <w:sz w:val="24"/>
          <w:szCs w:val="24"/>
          <w:lang w:val="es-ES_tradnl"/>
        </w:rPr>
        <w:t>es</w:t>
      </w:r>
      <w:r w:rsidRPr="00B86CDB">
        <w:rPr>
          <w:rFonts w:ascii="Palatino Linotype" w:hAnsi="Palatino Linotype" w:cs="Arial"/>
          <w:sz w:val="24"/>
          <w:szCs w:val="24"/>
          <w:lang w:val="es-ES_tradnl"/>
        </w:rPr>
        <w:t xml:space="preserve"> con apego a los principios establecidos en el artículo 11 de la Ley de Transparencia Local y si la información entregada </w:t>
      </w:r>
      <w:r w:rsidR="006A777D" w:rsidRPr="00B86CDB">
        <w:rPr>
          <w:rFonts w:ascii="Palatino Linotype" w:hAnsi="Palatino Linotype" w:cs="Arial"/>
          <w:sz w:val="24"/>
          <w:szCs w:val="24"/>
          <w:lang w:val="es-ES_tradnl"/>
        </w:rPr>
        <w:t xml:space="preserve">es completa y verificable. </w:t>
      </w:r>
      <w:r w:rsidR="009E7D1A" w:rsidRPr="00B86CDB">
        <w:rPr>
          <w:rFonts w:ascii="Palatino Linotype" w:hAnsi="Palatino Linotype" w:cs="Arial"/>
          <w:sz w:val="24"/>
          <w:szCs w:val="24"/>
          <w:lang w:val="es-ES_tradnl"/>
        </w:rPr>
        <w:t xml:space="preserve"> </w:t>
      </w:r>
    </w:p>
    <w:p w14:paraId="12C6F4CE" w14:textId="185FB44C" w:rsidR="009E7D1A" w:rsidRPr="00B86CDB" w:rsidRDefault="009E7D1A" w:rsidP="009E7D1A">
      <w:pPr>
        <w:spacing w:after="0" w:line="360" w:lineRule="auto"/>
        <w:contextualSpacing/>
        <w:jc w:val="both"/>
        <w:rPr>
          <w:rFonts w:ascii="Palatino Linotype" w:hAnsi="Palatino Linotype" w:cs="Arial"/>
          <w:sz w:val="24"/>
          <w:szCs w:val="24"/>
          <w:lang w:val="es-ES_tradnl"/>
        </w:rPr>
      </w:pPr>
    </w:p>
    <w:p w14:paraId="7C0ACD65" w14:textId="1703DCF7" w:rsidR="006605BA" w:rsidRPr="00B86CDB"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B86CDB">
        <w:rPr>
          <w:rFonts w:ascii="Palatino Linotype" w:eastAsia="MS Mincho" w:hAnsi="Palatino Linotype" w:cs="Arial"/>
          <w:sz w:val="24"/>
          <w:szCs w:val="24"/>
          <w:lang w:val="es-ES_tradnl" w:eastAsia="es-ES"/>
        </w:rPr>
        <w:t xml:space="preserve">Asimismo, determinar si se actualizan las causales de procedencia previstas en las </w:t>
      </w:r>
      <w:r w:rsidR="009E7D1A" w:rsidRPr="00B86CDB">
        <w:rPr>
          <w:rFonts w:ascii="Palatino Linotype" w:eastAsia="MS Mincho" w:hAnsi="Palatino Linotype" w:cs="Times New Roman"/>
          <w:b/>
          <w:sz w:val="24"/>
          <w:szCs w:val="24"/>
          <w:lang w:val="es-ES_tradnl" w:eastAsia="es-ES"/>
        </w:rPr>
        <w:t xml:space="preserve">fracciones I, </w:t>
      </w:r>
      <w:r w:rsidR="006A777D" w:rsidRPr="00B86CDB">
        <w:rPr>
          <w:rFonts w:ascii="Palatino Linotype" w:eastAsia="MS Mincho" w:hAnsi="Palatino Linotype" w:cs="Times New Roman"/>
          <w:b/>
          <w:sz w:val="24"/>
          <w:szCs w:val="24"/>
          <w:lang w:val="es-ES_tradnl" w:eastAsia="es-ES"/>
        </w:rPr>
        <w:t xml:space="preserve">IV y </w:t>
      </w:r>
      <w:r w:rsidR="0012290F" w:rsidRPr="00B86CDB">
        <w:rPr>
          <w:rFonts w:ascii="Palatino Linotype" w:eastAsia="MS Mincho" w:hAnsi="Palatino Linotype" w:cs="Times New Roman"/>
          <w:b/>
          <w:sz w:val="24"/>
          <w:szCs w:val="24"/>
          <w:lang w:val="es-ES_tradnl" w:eastAsia="es-ES"/>
        </w:rPr>
        <w:t>V</w:t>
      </w:r>
      <w:r w:rsidRPr="00B86CDB">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B86CDB">
        <w:rPr>
          <w:rFonts w:ascii="Palatino Linotype" w:eastAsia="MS Mincho" w:hAnsi="Palatino Linotype" w:cs="Times New Roman"/>
          <w:sz w:val="24"/>
          <w:szCs w:val="24"/>
          <w:lang w:val="es-ES_tradnl" w:eastAsia="es-ES"/>
        </w:rPr>
        <w:t>, que establecen la negativa a la información solicit</w:t>
      </w:r>
      <w:r w:rsidR="000D6FB2" w:rsidRPr="00B86CDB">
        <w:rPr>
          <w:rFonts w:ascii="Palatino Linotype" w:eastAsia="MS Mincho" w:hAnsi="Palatino Linotype" w:cs="Times New Roman"/>
          <w:sz w:val="24"/>
          <w:szCs w:val="24"/>
          <w:lang w:val="es-ES_tradnl" w:eastAsia="es-ES"/>
        </w:rPr>
        <w:t xml:space="preserve">ada y la </w:t>
      </w:r>
      <w:r w:rsidR="009E7D1A" w:rsidRPr="00B86CDB">
        <w:rPr>
          <w:rFonts w:ascii="Palatino Linotype" w:eastAsia="MS Mincho" w:hAnsi="Palatino Linotype" w:cs="Times New Roman"/>
          <w:sz w:val="24"/>
          <w:szCs w:val="24"/>
          <w:lang w:val="es-ES_tradnl" w:eastAsia="es-ES"/>
        </w:rPr>
        <w:t>entrega de información incompleta</w:t>
      </w:r>
      <w:r w:rsidR="006A777D" w:rsidRPr="00B86CDB">
        <w:rPr>
          <w:rFonts w:ascii="Palatino Linotype" w:eastAsia="MS Mincho" w:hAnsi="Palatino Linotype" w:cs="Times New Roman"/>
          <w:sz w:val="24"/>
          <w:szCs w:val="24"/>
          <w:lang w:val="es-ES_tradnl" w:eastAsia="es-ES"/>
        </w:rPr>
        <w:t xml:space="preserve"> y la declaración de incompetencia</w:t>
      </w:r>
      <w:r w:rsidR="0012290F" w:rsidRPr="00B86CDB">
        <w:rPr>
          <w:rFonts w:ascii="Palatino Linotype" w:eastAsia="MS Mincho" w:hAnsi="Palatino Linotype" w:cs="Times New Roman"/>
          <w:sz w:val="24"/>
          <w:szCs w:val="24"/>
          <w:lang w:val="es-ES_tradnl" w:eastAsia="es-ES"/>
        </w:rPr>
        <w:t xml:space="preserve">; </w:t>
      </w:r>
      <w:r w:rsidR="0012290F" w:rsidRPr="00B86CDB">
        <w:rPr>
          <w:rFonts w:ascii="Palatino Linotype" w:eastAsia="MS Mincho" w:hAnsi="Palatino Linotype" w:cs="Arial"/>
          <w:sz w:val="24"/>
          <w:szCs w:val="24"/>
        </w:rPr>
        <w:t xml:space="preserve">contextos de los cuales se dolió LA </w:t>
      </w:r>
      <w:r w:rsidR="0012290F" w:rsidRPr="00B86CDB">
        <w:rPr>
          <w:rFonts w:ascii="Palatino Linotype" w:eastAsia="MS Mincho" w:hAnsi="Palatino Linotype" w:cs="Arial"/>
          <w:b/>
          <w:sz w:val="24"/>
          <w:szCs w:val="24"/>
        </w:rPr>
        <w:t>RECURRENTE</w:t>
      </w:r>
      <w:r w:rsidR="0012290F" w:rsidRPr="00B86CDB">
        <w:rPr>
          <w:rFonts w:ascii="Palatino Linotype" w:eastAsia="MS Mincho" w:hAnsi="Palatino Linotype" w:cs="Arial"/>
          <w:sz w:val="24"/>
          <w:szCs w:val="24"/>
        </w:rPr>
        <w:t xml:space="preserve"> al momento de interponer su inconformidad.</w:t>
      </w:r>
    </w:p>
    <w:p w14:paraId="61A3B92F" w14:textId="77777777" w:rsidR="001870D4" w:rsidRPr="00B86CDB"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560C1F63" w:rsidR="00A9278D" w:rsidRPr="00B86CDB" w:rsidRDefault="00AE7407" w:rsidP="00A9278D">
      <w:pPr>
        <w:keepNext/>
        <w:keepLines/>
        <w:spacing w:before="40"/>
        <w:outlineLvl w:val="1"/>
        <w:rPr>
          <w:rFonts w:ascii="Palatino Linotype" w:eastAsia="MS Gothic" w:hAnsi="Palatino Linotype" w:cs="Times New Roman"/>
          <w:b/>
          <w:sz w:val="24"/>
          <w:szCs w:val="24"/>
        </w:rPr>
      </w:pPr>
      <w:bookmarkStart w:id="18" w:name="_Toc531781772"/>
      <w:bookmarkStart w:id="19" w:name="_Toc24025323"/>
      <w:bookmarkStart w:id="20" w:name="_Toc24530256"/>
      <w:bookmarkStart w:id="21" w:name="_Toc26955337"/>
      <w:bookmarkStart w:id="22" w:name="_Toc57332495"/>
      <w:r w:rsidRPr="00B86CDB">
        <w:rPr>
          <w:rFonts w:ascii="Palatino Linotype" w:eastAsia="Calibri" w:hAnsi="Palatino Linotype" w:cs="Times New Roman"/>
          <w:b/>
          <w:bCs/>
          <w:sz w:val="24"/>
          <w:szCs w:val="24"/>
          <w:lang w:val="es-ES"/>
        </w:rPr>
        <w:t>CUARTO</w:t>
      </w:r>
      <w:r w:rsidR="00A9278D" w:rsidRPr="00B86CDB">
        <w:rPr>
          <w:rFonts w:ascii="Palatino Linotype" w:eastAsia="Calibri" w:hAnsi="Palatino Linotype" w:cs="Times New Roman"/>
          <w:b/>
          <w:bCs/>
          <w:sz w:val="24"/>
          <w:szCs w:val="24"/>
          <w:lang w:val="es-ES"/>
        </w:rPr>
        <w:t xml:space="preserve">. </w:t>
      </w:r>
      <w:r w:rsidR="00A9278D" w:rsidRPr="00B86CDB">
        <w:rPr>
          <w:rFonts w:ascii="Palatino Linotype" w:eastAsia="MS Gothic" w:hAnsi="Palatino Linotype" w:cs="Times New Roman"/>
          <w:b/>
          <w:sz w:val="24"/>
          <w:szCs w:val="24"/>
        </w:rPr>
        <w:t>Del estudio y resolución del asunto</w:t>
      </w:r>
      <w:bookmarkEnd w:id="18"/>
      <w:r w:rsidR="00A9278D" w:rsidRPr="00B86CDB">
        <w:rPr>
          <w:rFonts w:ascii="Palatino Linotype" w:eastAsia="MS Gothic" w:hAnsi="Palatino Linotype" w:cs="Times New Roman"/>
          <w:b/>
          <w:sz w:val="24"/>
          <w:szCs w:val="24"/>
        </w:rPr>
        <w:t>.</w:t>
      </w:r>
      <w:bookmarkEnd w:id="19"/>
      <w:bookmarkEnd w:id="20"/>
      <w:bookmarkEnd w:id="21"/>
      <w:bookmarkEnd w:id="22"/>
      <w:r w:rsidR="00A9278D" w:rsidRPr="00B86CDB">
        <w:rPr>
          <w:rFonts w:ascii="Palatino Linotype" w:eastAsia="MS Gothic" w:hAnsi="Palatino Linotype" w:cs="Times New Roman"/>
          <w:b/>
          <w:sz w:val="24"/>
          <w:szCs w:val="24"/>
        </w:rPr>
        <w:t xml:space="preserve"> </w:t>
      </w:r>
    </w:p>
    <w:p w14:paraId="7B6B2D0A" w14:textId="77777777" w:rsidR="00A9278D" w:rsidRPr="00B86CDB" w:rsidRDefault="00A9278D" w:rsidP="00A9278D">
      <w:pPr>
        <w:keepNext/>
        <w:keepLines/>
        <w:spacing w:before="40"/>
        <w:outlineLvl w:val="1"/>
        <w:rPr>
          <w:rFonts w:ascii="Palatino Linotype" w:eastAsia="MS Gothic" w:hAnsi="Palatino Linotype" w:cs="Times New Roman"/>
          <w:b/>
          <w:sz w:val="24"/>
          <w:szCs w:val="24"/>
        </w:rPr>
      </w:pPr>
    </w:p>
    <w:p w14:paraId="38BC318E" w14:textId="76F516AB" w:rsidR="00BD3DBA" w:rsidRPr="00B86CDB" w:rsidRDefault="00A9278D" w:rsidP="00BD3DB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B86CDB">
        <w:rPr>
          <w:rFonts w:ascii="Palatino Linotype" w:hAnsi="Palatino Linotype" w:cs="Arial"/>
          <w:sz w:val="24"/>
          <w:szCs w:val="24"/>
        </w:rPr>
        <w:t>Derivado del planteamiento de la Litis, se procede a analiz</w:t>
      </w:r>
      <w:r w:rsidR="00A32D4E" w:rsidRPr="00B86CDB">
        <w:rPr>
          <w:rFonts w:ascii="Palatino Linotype" w:hAnsi="Palatino Linotype" w:cs="Arial"/>
          <w:sz w:val="24"/>
          <w:szCs w:val="24"/>
        </w:rPr>
        <w:t xml:space="preserve">ar el contenido íntegro de las </w:t>
      </w:r>
      <w:r w:rsidRPr="00B86CDB">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86CDB">
        <w:rPr>
          <w:rFonts w:ascii="Palatino Linotype" w:eastAsia="Calibri" w:hAnsi="Palatino Linotype" w:cs="Arial"/>
          <w:sz w:val="24"/>
          <w:szCs w:val="24"/>
          <w:lang w:val="es-ES"/>
        </w:rPr>
        <w:t>Ley de Transparencia y Acceso a la Información Pública del Estado de México y Municipios</w:t>
      </w:r>
      <w:r w:rsidRPr="00B86CDB">
        <w:rPr>
          <w:rFonts w:ascii="Palatino Linotype" w:eastAsia="Times New Roman" w:hAnsi="Palatino Linotype" w:cs="Arial"/>
          <w:sz w:val="24"/>
          <w:szCs w:val="24"/>
          <w:lang w:val="es-ES" w:eastAsia="es-MX"/>
        </w:rPr>
        <w:t>.</w:t>
      </w:r>
    </w:p>
    <w:p w14:paraId="33738F30" w14:textId="77777777" w:rsidR="00395231" w:rsidRPr="00B86CDB" w:rsidRDefault="00395231" w:rsidP="00395231">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p>
    <w:p w14:paraId="55B3F717" w14:textId="7CAC6BAD" w:rsidR="00395231" w:rsidRPr="00B86CDB" w:rsidRDefault="00395231" w:rsidP="00BD3DBA">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B86CDB">
        <w:rPr>
          <w:rFonts w:ascii="Palatino Linotype" w:eastAsia="MS Mincho" w:hAnsi="Palatino Linotype" w:cs="Arial"/>
          <w:sz w:val="24"/>
          <w:szCs w:val="24"/>
        </w:rPr>
        <w:t>En primer lugar, es de referir que el particular formuló la</w:t>
      </w:r>
      <w:r w:rsidR="006A777D" w:rsidRPr="00B86CDB">
        <w:rPr>
          <w:rFonts w:ascii="Palatino Linotype" w:eastAsia="MS Mincho" w:hAnsi="Palatino Linotype" w:cs="Arial"/>
          <w:sz w:val="24"/>
          <w:szCs w:val="24"/>
        </w:rPr>
        <w:t>s</w:t>
      </w:r>
      <w:r w:rsidRPr="00B86CDB">
        <w:rPr>
          <w:rFonts w:ascii="Palatino Linotype" w:eastAsia="MS Mincho" w:hAnsi="Palatino Linotype" w:cs="Arial"/>
          <w:sz w:val="24"/>
          <w:szCs w:val="24"/>
        </w:rPr>
        <w:t xml:space="preserve"> solicitud</w:t>
      </w:r>
      <w:r w:rsidR="006A777D" w:rsidRPr="00B86CDB">
        <w:rPr>
          <w:rFonts w:ascii="Palatino Linotype" w:eastAsia="MS Mincho" w:hAnsi="Palatino Linotype" w:cs="Arial"/>
          <w:sz w:val="24"/>
          <w:szCs w:val="24"/>
        </w:rPr>
        <w:t>es</w:t>
      </w:r>
      <w:r w:rsidRPr="00B86CDB">
        <w:rPr>
          <w:rFonts w:ascii="Palatino Linotype" w:eastAsia="MS Mincho" w:hAnsi="Palatino Linotype" w:cs="Arial"/>
          <w:sz w:val="24"/>
          <w:szCs w:val="24"/>
        </w:rPr>
        <w:t xml:space="preserve"> de información, requiriendo </w:t>
      </w:r>
      <w:r w:rsidR="006A777D" w:rsidRPr="00B86CDB">
        <w:rPr>
          <w:rFonts w:ascii="Palatino Linotype" w:eastAsia="MS Mincho" w:hAnsi="Palatino Linotype" w:cs="Arial"/>
          <w:sz w:val="24"/>
          <w:szCs w:val="24"/>
        </w:rPr>
        <w:t xml:space="preserve">de la Magistrada de la Cuarta Sala Regional del Tribunal de Justicia Administrativa del Estado de México </w:t>
      </w:r>
      <w:r w:rsidRPr="00B86CDB">
        <w:rPr>
          <w:rFonts w:ascii="Palatino Linotype" w:eastAsia="MS Mincho" w:hAnsi="Palatino Linotype" w:cs="Arial"/>
          <w:sz w:val="24"/>
          <w:szCs w:val="24"/>
        </w:rPr>
        <w:t xml:space="preserve">lo siguiente. </w:t>
      </w:r>
    </w:p>
    <w:p w14:paraId="23F8F4D1" w14:textId="77777777" w:rsidR="00B60E4D" w:rsidRPr="00B86CDB" w:rsidRDefault="00B60E4D" w:rsidP="00B60E4D">
      <w:pPr>
        <w:pStyle w:val="Prrafodelista"/>
        <w:rPr>
          <w:rFonts w:ascii="Palatino Linotype" w:eastAsia="MS Mincho" w:hAnsi="Palatino Linotype" w:cs="Arial"/>
          <w:sz w:val="24"/>
          <w:szCs w:val="24"/>
        </w:rPr>
      </w:pPr>
    </w:p>
    <w:p w14:paraId="7F7E1F59" w14:textId="7A6DC54F" w:rsidR="00B60E4D" w:rsidRPr="00B86CDB" w:rsidRDefault="00B60E4D" w:rsidP="00B60E4D">
      <w:pPr>
        <w:pStyle w:val="Prrafodelista"/>
        <w:numPr>
          <w:ilvl w:val="0"/>
          <w:numId w:val="41"/>
        </w:numPr>
        <w:spacing w:after="0" w:line="360" w:lineRule="auto"/>
        <w:ind w:right="34"/>
        <w:jc w:val="both"/>
        <w:rPr>
          <w:rFonts w:ascii="Palatino Linotype" w:eastAsia="MS Mincho" w:hAnsi="Palatino Linotype" w:cs="Arial"/>
          <w:sz w:val="24"/>
          <w:szCs w:val="24"/>
        </w:rPr>
      </w:pPr>
      <w:r w:rsidRPr="00B86CDB">
        <w:rPr>
          <w:rFonts w:ascii="Palatino Linotype" w:eastAsia="MS Mincho" w:hAnsi="Palatino Linotype" w:cs="Arial"/>
          <w:sz w:val="24"/>
          <w:szCs w:val="24"/>
        </w:rPr>
        <w:t xml:space="preserve">Diplomas, reconocimientos, certificados, títulos, constancias o cualquier tipo de documento en que conste la capacitación recibida por la Magistrada en materias de rendición de cuantas, transparencia, acceso a la información y protección de datos personales desde que fue nombrada </w:t>
      </w:r>
      <w:r w:rsidR="006A777D" w:rsidRPr="00B86CDB">
        <w:rPr>
          <w:rFonts w:ascii="Palatino Linotype" w:eastAsia="MS Mincho" w:hAnsi="Palatino Linotype" w:cs="Arial"/>
          <w:sz w:val="24"/>
          <w:szCs w:val="24"/>
        </w:rPr>
        <w:t>hasta la fecha de la solicitud;</w:t>
      </w:r>
    </w:p>
    <w:p w14:paraId="7FDB6EFB" w14:textId="4D5D61D6" w:rsidR="006A777D" w:rsidRPr="00B86CDB" w:rsidRDefault="006A777D" w:rsidP="00B60E4D">
      <w:pPr>
        <w:pStyle w:val="Prrafodelista"/>
        <w:numPr>
          <w:ilvl w:val="0"/>
          <w:numId w:val="41"/>
        </w:numPr>
        <w:spacing w:after="0" w:line="360" w:lineRule="auto"/>
        <w:ind w:right="34"/>
        <w:jc w:val="both"/>
        <w:rPr>
          <w:rFonts w:ascii="Palatino Linotype" w:eastAsia="MS Mincho" w:hAnsi="Palatino Linotype" w:cs="Arial"/>
          <w:sz w:val="24"/>
          <w:szCs w:val="24"/>
        </w:rPr>
      </w:pPr>
      <w:r w:rsidRPr="00B86CDB">
        <w:rPr>
          <w:rFonts w:ascii="Palatino Linotype" w:eastAsia="MS Mincho" w:hAnsi="Palatino Linotype" w:cs="Arial"/>
          <w:sz w:val="24"/>
          <w:szCs w:val="24"/>
        </w:rPr>
        <w:t xml:space="preserve">Documento con el que acreditó la absoluta probidad, notoria buena conducta, honorabilidad manifiesta en su vida pública y privada; y, </w:t>
      </w:r>
    </w:p>
    <w:p w14:paraId="127F1D6C" w14:textId="191D260A" w:rsidR="006A777D" w:rsidRPr="00B86CDB" w:rsidRDefault="006A777D" w:rsidP="00B60E4D">
      <w:pPr>
        <w:pStyle w:val="Prrafodelista"/>
        <w:numPr>
          <w:ilvl w:val="0"/>
          <w:numId w:val="41"/>
        </w:numPr>
        <w:spacing w:after="0" w:line="360" w:lineRule="auto"/>
        <w:ind w:right="34"/>
        <w:jc w:val="both"/>
        <w:rPr>
          <w:rFonts w:ascii="Palatino Linotype" w:eastAsia="MS Mincho" w:hAnsi="Palatino Linotype" w:cs="Arial"/>
          <w:sz w:val="24"/>
          <w:szCs w:val="24"/>
        </w:rPr>
      </w:pPr>
      <w:r w:rsidRPr="00B86CDB">
        <w:rPr>
          <w:rFonts w:ascii="Palatino Linotype" w:eastAsia="MS Mincho" w:hAnsi="Palatino Linotype" w:cs="Arial"/>
          <w:sz w:val="24"/>
          <w:szCs w:val="24"/>
        </w:rPr>
        <w:t xml:space="preserve">Documento en que conste la verificación en el Registro Nacional de Profesiones de la Secretaría de Educación Pública de la existencia del Título y Cédula Profesional que acrediten que la servidora pública cuenta con la patente para ejercer la profesión de Licenciada en Derecho. </w:t>
      </w:r>
    </w:p>
    <w:p w14:paraId="65081292" w14:textId="77777777" w:rsidR="00395231" w:rsidRPr="00B86CDB" w:rsidRDefault="00395231" w:rsidP="00395231">
      <w:pPr>
        <w:pStyle w:val="Prrafodelista"/>
        <w:rPr>
          <w:rFonts w:ascii="Palatino Linotype" w:eastAsia="MS Mincho" w:hAnsi="Palatino Linotype" w:cs="Arial"/>
          <w:sz w:val="24"/>
          <w:szCs w:val="24"/>
        </w:rPr>
      </w:pPr>
    </w:p>
    <w:p w14:paraId="4D36ADAC" w14:textId="74E9D3EB" w:rsidR="006249A2" w:rsidRPr="00B86CDB" w:rsidRDefault="006249A2" w:rsidP="006249A2">
      <w:pPr>
        <w:numPr>
          <w:ilvl w:val="0"/>
          <w:numId w:val="2"/>
        </w:numPr>
        <w:spacing w:after="0" w:line="360" w:lineRule="auto"/>
        <w:ind w:left="0" w:right="34" w:firstLine="0"/>
        <w:contextualSpacing/>
        <w:jc w:val="both"/>
        <w:rPr>
          <w:rFonts w:ascii="Palatino Linotype" w:hAnsi="Palatino Linotype" w:cs="Arial"/>
          <w:sz w:val="24"/>
          <w:szCs w:val="24"/>
        </w:rPr>
      </w:pPr>
      <w:r w:rsidRPr="00B86CDB">
        <w:rPr>
          <w:rFonts w:ascii="Palatino Linotype" w:eastAsia="MS Mincho" w:hAnsi="Palatino Linotype" w:cs="Times New Roman"/>
          <w:sz w:val="24"/>
          <w:szCs w:val="24"/>
        </w:rPr>
        <w:t>En dichas condiciones</w:t>
      </w:r>
      <w:r w:rsidRPr="00B86CDB">
        <w:rPr>
          <w:rFonts w:ascii="Palatino Linotype" w:eastAsia="MS Mincho" w:hAnsi="Palatino Linotype" w:cs="Arial"/>
          <w:sz w:val="24"/>
          <w:szCs w:val="24"/>
        </w:rPr>
        <w:t>, se procede analizar, en primer lugar si al atender la solicitud de acceso a la información, se satisfizo la garantía primaria del derecho según lo dispuesto por el artículo 150 de la Ley de Transparencia y Acceso a la Información Pública del Estado de México y si el</w:t>
      </w:r>
      <w:r w:rsidRPr="00B86CDB">
        <w:rPr>
          <w:rFonts w:ascii="Palatino Linotype" w:eastAsia="MS Mincho" w:hAnsi="Palatino Linotype" w:cs="Arial"/>
          <w:b/>
          <w:sz w:val="24"/>
          <w:szCs w:val="24"/>
        </w:rPr>
        <w:t xml:space="preserve"> SUJETO OBLIGADO</w:t>
      </w:r>
      <w:r w:rsidRPr="00B86CDB">
        <w:rPr>
          <w:rFonts w:ascii="Palatino Linotype" w:eastAsia="MS Mincho" w:hAnsi="Palatino Linotype" w:cs="Arial"/>
          <w:sz w:val="24"/>
          <w:szCs w:val="24"/>
        </w:rPr>
        <w:t xml:space="preserve"> cumplió </w:t>
      </w:r>
      <w:r w:rsidRPr="00B86CDB">
        <w:rPr>
          <w:rFonts w:ascii="Palatino Linotype" w:eastAsia="MS Mincho" w:hAnsi="Palatino Linotype" w:cs="Arial"/>
          <w:sz w:val="24"/>
          <w:szCs w:val="24"/>
        </w:rPr>
        <w:lastRenderedPageBreak/>
        <w:t>con su deber de respetar y garantizar el derecho, entregando toda la información solicitada</w:t>
      </w:r>
      <w:r w:rsidRPr="00B86CDB">
        <w:rPr>
          <w:rFonts w:ascii="Palatino Linotype" w:eastAsia="MS Mincho" w:hAnsi="Palatino Linotype" w:cstheme="majorBidi"/>
          <w:sz w:val="24"/>
          <w:szCs w:val="24"/>
        </w:rPr>
        <w:t xml:space="preserve">. </w:t>
      </w:r>
    </w:p>
    <w:p w14:paraId="6EE4DDAF" w14:textId="77777777" w:rsidR="006249A2" w:rsidRPr="00B86CDB" w:rsidRDefault="006249A2" w:rsidP="006249A2">
      <w:pPr>
        <w:spacing w:after="0" w:line="360" w:lineRule="auto"/>
        <w:ind w:right="34"/>
        <w:contextualSpacing/>
        <w:jc w:val="both"/>
        <w:rPr>
          <w:rFonts w:ascii="Palatino Linotype" w:eastAsia="MS Mincho" w:hAnsi="Palatino Linotype" w:cs="Arial"/>
          <w:sz w:val="24"/>
          <w:szCs w:val="24"/>
        </w:rPr>
      </w:pPr>
    </w:p>
    <w:p w14:paraId="151B8ADB" w14:textId="72629FED" w:rsidR="006249A2" w:rsidRPr="00B86CDB" w:rsidRDefault="006A777D" w:rsidP="006249A2">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B86CDB">
        <w:rPr>
          <w:rFonts w:ascii="Palatino Linotype" w:eastAsia="MS Mincho" w:hAnsi="Palatino Linotype" w:cs="Arial"/>
          <w:sz w:val="24"/>
          <w:szCs w:val="24"/>
        </w:rPr>
        <w:t>En primer t</w:t>
      </w:r>
      <w:r w:rsidR="006249A2" w:rsidRPr="00B86CDB">
        <w:rPr>
          <w:rFonts w:ascii="Palatino Linotype" w:eastAsia="MS Mincho" w:hAnsi="Palatino Linotype" w:cs="Arial"/>
          <w:sz w:val="24"/>
          <w:szCs w:val="24"/>
        </w:rPr>
        <w:t>érmino, por cuanto hace a la solicitud</w:t>
      </w:r>
      <w:r w:rsidRPr="00B86CDB">
        <w:rPr>
          <w:rFonts w:ascii="Palatino Linotype" w:eastAsia="MS Mincho" w:hAnsi="Palatino Linotype" w:cs="Arial"/>
          <w:sz w:val="24"/>
          <w:szCs w:val="24"/>
        </w:rPr>
        <w:t xml:space="preserve"> formulad</w:t>
      </w:r>
      <w:r w:rsidR="006249A2" w:rsidRPr="00B86CDB">
        <w:rPr>
          <w:rFonts w:ascii="Palatino Linotype" w:eastAsia="MS Mincho" w:hAnsi="Palatino Linotype" w:cs="Arial"/>
          <w:sz w:val="24"/>
          <w:szCs w:val="24"/>
        </w:rPr>
        <w:t>a</w:t>
      </w:r>
      <w:r w:rsidRPr="00B86CDB">
        <w:rPr>
          <w:rFonts w:ascii="Palatino Linotype" w:eastAsia="MS Mincho" w:hAnsi="Palatino Linotype" w:cs="Arial"/>
          <w:sz w:val="24"/>
          <w:szCs w:val="24"/>
        </w:rPr>
        <w:t xml:space="preserve"> en el inciso a</w:t>
      </w:r>
      <w:r w:rsidR="006249A2" w:rsidRPr="00B86CDB">
        <w:rPr>
          <w:rFonts w:ascii="Palatino Linotype" w:eastAsia="MS Mincho" w:hAnsi="Palatino Linotype" w:cs="Arial"/>
          <w:sz w:val="24"/>
          <w:szCs w:val="24"/>
        </w:rPr>
        <w:t>); e</w:t>
      </w:r>
      <w:r w:rsidR="00B60E4D" w:rsidRPr="00B86CDB">
        <w:rPr>
          <w:rFonts w:ascii="Palatino Linotype" w:eastAsia="MS Mincho" w:hAnsi="Palatino Linotype" w:cs="Arial"/>
          <w:sz w:val="24"/>
          <w:szCs w:val="24"/>
        </w:rPr>
        <w:t xml:space="preserve">l </w:t>
      </w:r>
      <w:r w:rsidR="006249A2" w:rsidRPr="00B86CDB">
        <w:rPr>
          <w:rFonts w:ascii="Palatino Linotype" w:hAnsi="Palatino Linotype" w:cs="Arial"/>
          <w:sz w:val="24"/>
          <w:szCs w:val="24"/>
        </w:rPr>
        <w:t xml:space="preserve">Titular de la Unidad de Transparencia realizó el requerimiento correspondiente al Servidos Púbico Habilitado, en observancia a  lo dispuesto por el artículo 162 de la </w:t>
      </w:r>
      <w:r w:rsidR="006249A2" w:rsidRPr="00B86CDB">
        <w:rPr>
          <w:rFonts w:ascii="Palatino Linotype" w:hAnsi="Palatino Linotype" w:cs="Arial"/>
          <w:b/>
          <w:sz w:val="24"/>
          <w:szCs w:val="24"/>
        </w:rPr>
        <w:t xml:space="preserve">Ley de Transparencia y Acceso a la Información Pública del Estado de México y Municipios </w:t>
      </w:r>
      <w:r w:rsidR="006249A2" w:rsidRPr="00B86CDB">
        <w:rPr>
          <w:rFonts w:ascii="Palatino Linotype" w:hAnsi="Palatino Linotype" w:cs="Arial"/>
          <w:sz w:val="24"/>
          <w:szCs w:val="24"/>
        </w:rPr>
        <w:t xml:space="preserve">que la letra dice: </w:t>
      </w:r>
    </w:p>
    <w:p w14:paraId="5CAAA5D6" w14:textId="77777777" w:rsidR="006249A2" w:rsidRPr="00B86CDB" w:rsidRDefault="006249A2" w:rsidP="006249A2">
      <w:pPr>
        <w:pStyle w:val="Prrafodelista"/>
        <w:rPr>
          <w:rFonts w:ascii="Palatino Linotype" w:hAnsi="Palatino Linotype" w:cs="Arial"/>
          <w:sz w:val="24"/>
          <w:szCs w:val="24"/>
        </w:rPr>
      </w:pPr>
    </w:p>
    <w:p w14:paraId="19A8D803" w14:textId="77777777" w:rsidR="006249A2" w:rsidRPr="00B86CDB" w:rsidRDefault="006249A2" w:rsidP="006249A2">
      <w:pPr>
        <w:pStyle w:val="Prrafodelista"/>
        <w:tabs>
          <w:tab w:val="left" w:pos="851"/>
        </w:tabs>
        <w:spacing w:line="360" w:lineRule="auto"/>
        <w:ind w:left="851" w:right="616"/>
        <w:jc w:val="both"/>
        <w:rPr>
          <w:rFonts w:ascii="Palatino Linotype" w:hAnsi="Palatino Linotype" w:cs="Arial"/>
          <w:i/>
        </w:rPr>
      </w:pPr>
      <w:r w:rsidRPr="00B86CDB">
        <w:rPr>
          <w:rFonts w:ascii="Palatino Linotype" w:hAnsi="Palatino Linotype" w:cs="Arial"/>
          <w:i/>
          <w:sz w:val="24"/>
          <w:szCs w:val="24"/>
        </w:rPr>
        <w:t>“</w:t>
      </w:r>
      <w:r w:rsidRPr="00B86CDB">
        <w:rPr>
          <w:rFonts w:ascii="Palatino Linotype" w:hAnsi="Palatino Linotype" w:cs="Arial"/>
          <w:b/>
          <w:i/>
        </w:rPr>
        <w:t>Artículo 162.</w:t>
      </w:r>
      <w:r w:rsidRPr="00B86CDB">
        <w:rPr>
          <w:rFonts w:ascii="Palatino Linotype" w:hAnsi="Palatino Linotype" w:cs="Arial"/>
          <w:i/>
        </w:rPr>
        <w:t xml:space="preserve"> Las unidades de transparencia deberán garantizar </w:t>
      </w:r>
      <w:r w:rsidRPr="00B86CDB">
        <w:rPr>
          <w:rFonts w:ascii="Palatino Linotype" w:hAnsi="Palatino Linotype" w:cs="Arial"/>
          <w:b/>
          <w:i/>
          <w:u w:val="single"/>
        </w:rPr>
        <w:t>que las solicitudes se turnen a todas las Áreas competentes</w:t>
      </w:r>
      <w:r w:rsidRPr="00B86CDB">
        <w:rPr>
          <w:rFonts w:ascii="Palatino Linotype" w:hAnsi="Palatino Linotype" w:cs="Arial"/>
          <w:i/>
        </w:rPr>
        <w:t xml:space="preserve"> que cuenten con la información o deban tenerla de acuerdo a sus facultades, competencias y funciones, con el objeto de que realicen una búsqueda exhaustiva y razonable de la información solicitada.”</w:t>
      </w:r>
    </w:p>
    <w:p w14:paraId="1410DA06" w14:textId="77777777" w:rsidR="006249A2" w:rsidRPr="00B86CDB" w:rsidRDefault="006249A2" w:rsidP="006249A2">
      <w:pPr>
        <w:pStyle w:val="Prrafodelista"/>
        <w:tabs>
          <w:tab w:val="left" w:pos="0"/>
        </w:tabs>
        <w:spacing w:after="0" w:line="360" w:lineRule="auto"/>
        <w:ind w:left="0" w:right="49"/>
        <w:jc w:val="both"/>
        <w:rPr>
          <w:rFonts w:ascii="Palatino Linotype" w:hAnsi="Palatino Linotype" w:cs="Arial"/>
          <w:sz w:val="24"/>
          <w:szCs w:val="24"/>
        </w:rPr>
      </w:pPr>
    </w:p>
    <w:p w14:paraId="5BA78388" w14:textId="3A91FC52" w:rsidR="006249A2" w:rsidRPr="00B86CDB" w:rsidRDefault="006249A2" w:rsidP="006249A2">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B86CDB">
        <w:rPr>
          <w:rFonts w:ascii="Palatino Linotype" w:eastAsia="MS Mincho" w:hAnsi="Palatino Linotype" w:cs="Arial"/>
          <w:sz w:val="24"/>
          <w:szCs w:val="24"/>
        </w:rPr>
        <w:t>Es</w:t>
      </w:r>
      <w:r w:rsidRPr="00B86CDB">
        <w:rPr>
          <w:rFonts w:ascii="Palatino Linotype" w:hAnsi="Palatino Linotype" w:cs="Arial"/>
          <w:sz w:val="24"/>
          <w:szCs w:val="24"/>
        </w:rPr>
        <w:t xml:space="preserve"> así que de acuerdo a las constancias en el expediente electrónico del Sistema de Acceso a la Información Mexiquense (SAIMEX), se advierte que en fecha once (11) de septiembre de dos mil veinte, la Magistrada de la Cuarta Sala Regional de Jurisdicción Ordinaria del Tribunal de Justicia Administrativa del Estado de México, respondió al requerimiento, formulado por la Titular de la Unidad de Transparencia, tal como se observa en las imágenes que se insertan.  </w:t>
      </w:r>
    </w:p>
    <w:p w14:paraId="21960757" w14:textId="19A40CF9" w:rsidR="006249A2" w:rsidRPr="00B86CDB" w:rsidRDefault="006249A2" w:rsidP="006249A2">
      <w:pPr>
        <w:pStyle w:val="Prrafodelista"/>
        <w:tabs>
          <w:tab w:val="left" w:pos="0"/>
        </w:tabs>
        <w:spacing w:after="0" w:line="360" w:lineRule="auto"/>
        <w:ind w:left="0" w:right="49"/>
        <w:jc w:val="both"/>
        <w:rPr>
          <w:rFonts w:ascii="Palatino Linotype" w:hAnsi="Palatino Linotype" w:cs="Arial"/>
          <w:sz w:val="24"/>
          <w:szCs w:val="24"/>
        </w:rPr>
      </w:pPr>
    </w:p>
    <w:p w14:paraId="45926361" w14:textId="6F51365D" w:rsidR="006249A2" w:rsidRPr="00B86CDB" w:rsidRDefault="006249A2" w:rsidP="006249A2">
      <w:pPr>
        <w:pStyle w:val="Prrafodelista"/>
        <w:tabs>
          <w:tab w:val="left" w:pos="0"/>
        </w:tabs>
        <w:spacing w:after="0" w:line="360" w:lineRule="auto"/>
        <w:ind w:left="0" w:right="49"/>
        <w:jc w:val="both"/>
        <w:rPr>
          <w:rFonts w:ascii="Palatino Linotype" w:hAnsi="Palatino Linotype" w:cs="Arial"/>
          <w:sz w:val="24"/>
          <w:szCs w:val="24"/>
        </w:rPr>
      </w:pPr>
      <w:r w:rsidRPr="00B86CDB">
        <w:rPr>
          <w:rFonts w:ascii="Palatino Linotype" w:eastAsia="MS Mincho" w:hAnsi="Palatino Linotype" w:cs="Arial"/>
          <w:noProof/>
          <w:sz w:val="24"/>
          <w:szCs w:val="24"/>
          <w:lang w:eastAsia="es-MX"/>
        </w:rPr>
        <w:lastRenderedPageBreak/>
        <mc:AlternateContent>
          <mc:Choice Requires="wps">
            <w:drawing>
              <wp:anchor distT="0" distB="0" distL="114300" distR="114300" simplePos="0" relativeHeight="251662336" behindDoc="0" locked="0" layoutInCell="1" allowOverlap="1" wp14:anchorId="5DCF60C6" wp14:editId="0C397F08">
                <wp:simplePos x="0" y="0"/>
                <wp:positionH relativeFrom="page">
                  <wp:posOffset>1200150</wp:posOffset>
                </wp:positionH>
                <wp:positionV relativeFrom="paragraph">
                  <wp:posOffset>3252470</wp:posOffset>
                </wp:positionV>
                <wp:extent cx="5124450" cy="1162050"/>
                <wp:effectExtent l="0" t="0" r="19050" b="19050"/>
                <wp:wrapNone/>
                <wp:docPr id="9" name="Rectángulo 9"/>
                <wp:cNvGraphicFramePr/>
                <a:graphic xmlns:a="http://schemas.openxmlformats.org/drawingml/2006/main">
                  <a:graphicData uri="http://schemas.microsoft.com/office/word/2010/wordprocessingShape">
                    <wps:wsp>
                      <wps:cNvSpPr/>
                      <wps:spPr>
                        <a:xfrm>
                          <a:off x="0" y="0"/>
                          <a:ext cx="5124450" cy="11620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0B4145DC" id="Rectángulo 9" o:spid="_x0000_s1026" style="position:absolute;margin-left:94.5pt;margin-top:256.1pt;width:403.5pt;height:91.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" filled="f" strokecolor="red" strokeweight="1.5pt">
                <w10:wrap anchorx="page"/>
              </v:rect>
            </w:pict>
          </mc:Fallback>
        </mc:AlternateContent>
      </w:r>
      <w:r w:rsidRPr="00B86CDB">
        <w:rPr>
          <w:rFonts w:ascii="Palatino Linotype" w:eastAsia="MS Mincho" w:hAnsi="Palatino Linotype" w:cs="Arial"/>
          <w:noProof/>
          <w:sz w:val="24"/>
          <w:szCs w:val="24"/>
          <w:lang w:eastAsia="es-MX"/>
        </w:rPr>
        <w:drawing>
          <wp:inline distT="0" distB="0" distL="0" distR="0" wp14:anchorId="15DA9366" wp14:editId="7D55780F">
            <wp:extent cx="5381625" cy="624840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2377" cy="6249273"/>
                    </a:xfrm>
                    <a:prstGeom prst="rect">
                      <a:avLst/>
                    </a:prstGeom>
                    <a:ln w="12700">
                      <a:solidFill>
                        <a:schemeClr val="tx1"/>
                      </a:solidFill>
                    </a:ln>
                  </pic:spPr>
                </pic:pic>
              </a:graphicData>
            </a:graphic>
          </wp:inline>
        </w:drawing>
      </w:r>
    </w:p>
    <w:p w14:paraId="199F93AF" w14:textId="4D17C427" w:rsidR="006249A2" w:rsidRPr="00B86CDB" w:rsidRDefault="006249A2" w:rsidP="006249A2">
      <w:pPr>
        <w:pStyle w:val="Prrafodelista"/>
        <w:tabs>
          <w:tab w:val="left" w:pos="0"/>
        </w:tabs>
        <w:spacing w:after="0" w:line="360" w:lineRule="auto"/>
        <w:ind w:left="0" w:right="49"/>
        <w:jc w:val="both"/>
        <w:rPr>
          <w:rFonts w:ascii="Palatino Linotype" w:hAnsi="Palatino Linotype" w:cs="Arial"/>
          <w:sz w:val="24"/>
          <w:szCs w:val="24"/>
        </w:rPr>
      </w:pPr>
      <w:r w:rsidRPr="00B86CDB">
        <w:rPr>
          <w:rFonts w:ascii="Palatino Linotype" w:eastAsia="MS Mincho" w:hAnsi="Palatino Linotype" w:cs="Arial"/>
          <w:noProof/>
          <w:sz w:val="24"/>
          <w:szCs w:val="24"/>
          <w:lang w:eastAsia="es-MX"/>
        </w:rPr>
        <w:lastRenderedPageBreak/>
        <w:drawing>
          <wp:inline distT="0" distB="0" distL="0" distR="0" wp14:anchorId="23CCF897" wp14:editId="7A6C6504">
            <wp:extent cx="5581015" cy="5924550"/>
            <wp:effectExtent l="19050" t="19050" r="19685" b="190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5924550"/>
                    </a:xfrm>
                    <a:prstGeom prst="rect">
                      <a:avLst/>
                    </a:prstGeom>
                    <a:ln w="12700">
                      <a:solidFill>
                        <a:schemeClr val="tx1"/>
                      </a:solidFill>
                    </a:ln>
                  </pic:spPr>
                </pic:pic>
              </a:graphicData>
            </a:graphic>
          </wp:inline>
        </w:drawing>
      </w:r>
    </w:p>
    <w:p w14:paraId="42CDB657" w14:textId="60B71061" w:rsidR="006249A2" w:rsidRPr="00B86CDB" w:rsidRDefault="006249A2" w:rsidP="006249A2">
      <w:pPr>
        <w:spacing w:after="0" w:line="360" w:lineRule="auto"/>
        <w:ind w:right="34"/>
        <w:contextualSpacing/>
        <w:jc w:val="both"/>
        <w:rPr>
          <w:rFonts w:ascii="Palatino Linotype" w:eastAsia="MS Mincho" w:hAnsi="Palatino Linotype" w:cs="Arial"/>
          <w:sz w:val="24"/>
          <w:szCs w:val="24"/>
        </w:rPr>
      </w:pPr>
    </w:p>
    <w:p w14:paraId="3FCE33DD" w14:textId="77777777" w:rsidR="006249A2" w:rsidRPr="00B86CDB" w:rsidRDefault="006249A2" w:rsidP="006249A2">
      <w:pPr>
        <w:pStyle w:val="Prrafodelista"/>
        <w:rPr>
          <w:rFonts w:ascii="Palatino Linotype" w:eastAsia="MS Mincho" w:hAnsi="Palatino Linotype" w:cs="Arial"/>
          <w:b/>
          <w:sz w:val="24"/>
          <w:szCs w:val="24"/>
        </w:rPr>
      </w:pPr>
    </w:p>
    <w:p w14:paraId="69A344AF" w14:textId="5F05E209" w:rsidR="00190DC2" w:rsidRPr="00B86CDB" w:rsidRDefault="006249A2" w:rsidP="00190DC2">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B86CDB">
        <w:rPr>
          <w:rFonts w:ascii="Palatino Linotype" w:eastAsia="MS Mincho" w:hAnsi="Palatino Linotype" w:cs="Arial"/>
          <w:color w:val="000000" w:themeColor="text1"/>
          <w:sz w:val="24"/>
          <w:szCs w:val="24"/>
        </w:rPr>
        <w:t>D</w:t>
      </w:r>
      <w:r w:rsidR="00B861E3" w:rsidRPr="00B86CDB">
        <w:rPr>
          <w:rFonts w:ascii="Palatino Linotype" w:eastAsia="MS Mincho" w:hAnsi="Palatino Linotype" w:cs="Arial"/>
          <w:color w:val="000000" w:themeColor="text1"/>
          <w:sz w:val="24"/>
          <w:szCs w:val="24"/>
        </w:rPr>
        <w:t>e las imágen</w:t>
      </w:r>
      <w:r w:rsidR="00B9312E" w:rsidRPr="00B86CDB">
        <w:rPr>
          <w:rFonts w:ascii="Palatino Linotype" w:eastAsia="MS Mincho" w:hAnsi="Palatino Linotype" w:cs="Arial"/>
          <w:color w:val="000000" w:themeColor="text1"/>
          <w:sz w:val="24"/>
          <w:szCs w:val="24"/>
        </w:rPr>
        <w:t xml:space="preserve">es insertas, se advierte que la Cuarta Sala Regional, mediante oficio TJR-4R-4187/2020 respondió a la solicitud de información y entregó </w:t>
      </w:r>
      <w:r w:rsidR="00190DC2" w:rsidRPr="00B86CDB">
        <w:rPr>
          <w:rFonts w:ascii="Palatino Linotype" w:eastAsia="MS Mincho" w:hAnsi="Palatino Linotype" w:cs="Arial"/>
          <w:sz w:val="24"/>
          <w:szCs w:val="24"/>
        </w:rPr>
        <w:t xml:space="preserve">la </w:t>
      </w:r>
      <w:r w:rsidR="00190DC2" w:rsidRPr="00B86CDB">
        <w:rPr>
          <w:rFonts w:ascii="Palatino Linotype" w:eastAsiaTheme="minorEastAsia" w:hAnsi="Palatino Linotype" w:cs="Arial"/>
          <w:sz w:val="24"/>
          <w:lang w:eastAsia="es-ES"/>
        </w:rPr>
        <w:t xml:space="preserve">constancia que otorgó el Comité de Transparencia del Tribunal de Justicia Administrativa del Estado de México a la servidora pública referida en la solicitud, por su participación en el programa de capacitación en materia de protección de datos personales, impartido por el Instituto de Transparencia, Acceso a la Información Pública y Protección de Datos Personales del Estado de México. </w:t>
      </w:r>
    </w:p>
    <w:p w14:paraId="36FA846B" w14:textId="43270049" w:rsidR="00B9312E" w:rsidRPr="00B86CDB" w:rsidRDefault="00B9312E" w:rsidP="00B9312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17E6948C" w14:textId="77777777" w:rsidR="00B9312E" w:rsidRPr="00B86CDB" w:rsidRDefault="00B9312E" w:rsidP="00B9312E">
      <w:pPr>
        <w:pStyle w:val="Prrafodelista"/>
        <w:numPr>
          <w:ilvl w:val="0"/>
          <w:numId w:val="2"/>
        </w:numPr>
        <w:tabs>
          <w:tab w:val="left" w:pos="426"/>
        </w:tabs>
        <w:spacing w:after="0" w:line="360" w:lineRule="auto"/>
        <w:ind w:left="0" w:right="51" w:firstLine="0"/>
        <w:jc w:val="both"/>
        <w:rPr>
          <w:rFonts w:ascii="Palatino Linotype" w:hAnsi="Palatino Linotype"/>
          <w:color w:val="000000" w:themeColor="text1"/>
          <w:sz w:val="24"/>
          <w:szCs w:val="24"/>
        </w:rPr>
      </w:pPr>
      <w:r w:rsidRPr="00B86CDB">
        <w:rPr>
          <w:rFonts w:ascii="Palatino Linotype" w:hAnsi="Palatino Linotype"/>
          <w:color w:val="000000" w:themeColor="text1"/>
        </w:rPr>
        <w:t xml:space="preserve">En </w:t>
      </w:r>
      <w:r w:rsidRPr="00B86CDB">
        <w:rPr>
          <w:rFonts w:ascii="Palatino Linotype" w:hAnsi="Palatino Linotype"/>
          <w:color w:val="000000" w:themeColor="text1"/>
          <w:sz w:val="24"/>
          <w:szCs w:val="24"/>
        </w:rPr>
        <w:t xml:space="preserve">ese sentido, al existir un pronunciamiento directo por parte del </w:t>
      </w:r>
      <w:r w:rsidRPr="00B86CDB">
        <w:rPr>
          <w:rFonts w:ascii="Palatino Linotype" w:hAnsi="Palatino Linotype"/>
          <w:b/>
          <w:color w:val="000000" w:themeColor="text1"/>
          <w:sz w:val="24"/>
          <w:szCs w:val="24"/>
        </w:rPr>
        <w:t>SUJETO OBLIGADO</w:t>
      </w:r>
      <w:r w:rsidRPr="00B86CDB">
        <w:rPr>
          <w:rFonts w:ascii="Palatino Linotype" w:hAnsi="Palatino Linotype"/>
          <w:color w:val="000000" w:themeColor="text1"/>
          <w:sz w:val="24"/>
          <w:szCs w:val="24"/>
        </w:rPr>
        <w:t xml:space="preserve">, a fin de atender la solicitud planteada por el hoy </w:t>
      </w:r>
      <w:r w:rsidRPr="00B86CDB">
        <w:rPr>
          <w:rFonts w:ascii="Palatino Linotype" w:hAnsi="Palatino Linotype"/>
          <w:b/>
          <w:color w:val="000000" w:themeColor="text1"/>
          <w:sz w:val="24"/>
          <w:szCs w:val="24"/>
        </w:rPr>
        <w:t>RECURRENTE</w:t>
      </w:r>
      <w:r w:rsidRPr="00B86CDB">
        <w:rPr>
          <w:rFonts w:ascii="Palatino Linotype" w:hAnsi="Palatino Linotype"/>
          <w:color w:val="000000" w:themeColor="text1"/>
          <w:sz w:val="24"/>
          <w:szCs w:val="24"/>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B86CDB">
        <w:rPr>
          <w:rFonts w:ascii="Palatino Linotype" w:hAnsi="Palatino Linotype"/>
          <w:b/>
          <w:i/>
          <w:color w:val="000000" w:themeColor="text1"/>
          <w:sz w:val="24"/>
          <w:szCs w:val="24"/>
        </w:rPr>
        <w:t>SAIMEX</w:t>
      </w:r>
      <w:r w:rsidRPr="00B86CDB">
        <w:rPr>
          <w:rFonts w:ascii="Palatino Linotype" w:hAnsi="Palatino Linotype"/>
          <w:color w:val="000000" w:themeColor="text1"/>
          <w:sz w:val="24"/>
          <w:szCs w:val="24"/>
        </w:rPr>
        <w:t>.</w:t>
      </w:r>
    </w:p>
    <w:p w14:paraId="03DD8A2B" w14:textId="77777777" w:rsidR="00B9312E" w:rsidRPr="00B86CDB" w:rsidRDefault="00B9312E" w:rsidP="00B9312E">
      <w:pPr>
        <w:pStyle w:val="Prrafodelista"/>
        <w:tabs>
          <w:tab w:val="left" w:pos="426"/>
        </w:tabs>
        <w:spacing w:line="360" w:lineRule="auto"/>
        <w:ind w:left="0" w:right="51"/>
        <w:jc w:val="both"/>
        <w:rPr>
          <w:rFonts w:ascii="Palatino Linotype" w:hAnsi="Palatino Linotype"/>
          <w:color w:val="000000" w:themeColor="text1"/>
          <w:sz w:val="24"/>
          <w:szCs w:val="24"/>
        </w:rPr>
      </w:pPr>
    </w:p>
    <w:p w14:paraId="650A35C9" w14:textId="77777777" w:rsidR="00B9312E" w:rsidRPr="00B86CDB" w:rsidRDefault="00B9312E" w:rsidP="00B9312E">
      <w:pPr>
        <w:pStyle w:val="Prrafodelista"/>
        <w:numPr>
          <w:ilvl w:val="0"/>
          <w:numId w:val="2"/>
        </w:numPr>
        <w:tabs>
          <w:tab w:val="left" w:pos="426"/>
        </w:tabs>
        <w:spacing w:after="0" w:line="360" w:lineRule="auto"/>
        <w:ind w:left="0" w:right="51" w:firstLine="0"/>
        <w:jc w:val="both"/>
        <w:rPr>
          <w:rFonts w:ascii="Palatino Linotype" w:hAnsi="Palatino Linotype"/>
          <w:color w:val="000000" w:themeColor="text1"/>
          <w:sz w:val="24"/>
          <w:szCs w:val="24"/>
        </w:rPr>
      </w:pPr>
      <w:r w:rsidRPr="00B86CDB">
        <w:rPr>
          <w:rFonts w:ascii="Palatino Linotype" w:hAnsi="Palatino Linotype"/>
          <w:color w:val="000000" w:themeColor="text1"/>
          <w:sz w:val="24"/>
          <w:szCs w:val="24"/>
        </w:rPr>
        <w:t xml:space="preserve">Lo </w:t>
      </w:r>
      <w:r w:rsidRPr="00B86CDB">
        <w:rPr>
          <w:rFonts w:ascii="Palatino Linotype" w:eastAsia="MS Mincho" w:hAnsi="Palatino Linotype" w:cs="Times New Roman"/>
          <w:sz w:val="24"/>
          <w:szCs w:val="24"/>
        </w:rPr>
        <w:t>anterior encuentra sustento mediante el Criterio 31-10 emitido por el entonces Instituto Federal de Acceso a la Información y Protección de Datos, mismo que dice:</w:t>
      </w:r>
    </w:p>
    <w:p w14:paraId="53BE59A1" w14:textId="77777777" w:rsidR="00B9312E" w:rsidRPr="00B86CDB" w:rsidRDefault="00B9312E" w:rsidP="00B9312E">
      <w:pPr>
        <w:pStyle w:val="Prrafodelista"/>
        <w:tabs>
          <w:tab w:val="left" w:pos="426"/>
        </w:tabs>
        <w:spacing w:line="360" w:lineRule="auto"/>
        <w:ind w:left="0" w:right="51"/>
        <w:jc w:val="both"/>
        <w:rPr>
          <w:rFonts w:ascii="Palatino Linotype" w:hAnsi="Palatino Linotype"/>
          <w:color w:val="000000" w:themeColor="text1"/>
        </w:rPr>
      </w:pPr>
    </w:p>
    <w:p w14:paraId="488147C2" w14:textId="77777777" w:rsidR="00B9312E" w:rsidRPr="00B86CDB" w:rsidRDefault="00B9312E" w:rsidP="00B9312E">
      <w:pPr>
        <w:pStyle w:val="Sinespaciado"/>
        <w:ind w:left="567" w:right="567"/>
        <w:jc w:val="both"/>
        <w:rPr>
          <w:rFonts w:ascii="Palatino Linotype" w:hAnsi="Palatino Linotype"/>
          <w:i/>
          <w:lang w:val="es-ES"/>
        </w:rPr>
      </w:pPr>
      <w:r w:rsidRPr="00B86CDB">
        <w:rPr>
          <w:rFonts w:ascii="Palatino Linotype" w:hAnsi="Palatino Linotype"/>
          <w:i/>
          <w:lang w:val="es-ES"/>
        </w:rPr>
        <w:lastRenderedPageBreak/>
        <w:t>“</w:t>
      </w:r>
      <w:r w:rsidRPr="00B86CDB">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B86CDB">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42CA95" w14:textId="77777777" w:rsidR="00B9312E" w:rsidRPr="00B86CDB" w:rsidRDefault="00B9312E" w:rsidP="00B9312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1A9C41E9" w14:textId="77777777" w:rsidR="009745DA" w:rsidRPr="00B86CDB" w:rsidRDefault="009745DA" w:rsidP="00AB7A40">
      <w:pPr>
        <w:pStyle w:val="Prrafodelista"/>
        <w:numPr>
          <w:ilvl w:val="0"/>
          <w:numId w:val="2"/>
        </w:numPr>
        <w:tabs>
          <w:tab w:val="left" w:pos="426"/>
        </w:tabs>
        <w:spacing w:after="0" w:line="360" w:lineRule="auto"/>
        <w:ind w:left="0" w:right="51" w:firstLine="0"/>
        <w:jc w:val="both"/>
        <w:rPr>
          <w:rFonts w:ascii="Palatino Linotype" w:hAnsi="Palatino Linotype"/>
          <w:color w:val="000000" w:themeColor="text1"/>
          <w:sz w:val="24"/>
          <w:szCs w:val="24"/>
        </w:rPr>
      </w:pPr>
      <w:r w:rsidRPr="00B86CDB">
        <w:rPr>
          <w:rFonts w:ascii="Palatino Linotype" w:hAnsi="Palatino Linotype"/>
          <w:color w:val="000000" w:themeColor="text1"/>
          <w:sz w:val="24"/>
          <w:szCs w:val="24"/>
        </w:rPr>
        <w:t xml:space="preserve">En consecuencia, el requerimiento formulado en este punto, se tiene por atendido, toda vez que el servidor público habilitado con las facultades, competencias y funciones para administrar o poseer la documentación solicitada, remitió la constancia descrita. </w:t>
      </w:r>
    </w:p>
    <w:p w14:paraId="715ACE7D" w14:textId="04C87E27" w:rsidR="009745DA" w:rsidRPr="00B86CDB" w:rsidRDefault="009745DA" w:rsidP="009745DA">
      <w:pPr>
        <w:pStyle w:val="Prrafodelista"/>
        <w:tabs>
          <w:tab w:val="left" w:pos="426"/>
        </w:tabs>
        <w:spacing w:after="0" w:line="360" w:lineRule="auto"/>
        <w:ind w:left="0" w:right="51"/>
        <w:jc w:val="both"/>
        <w:rPr>
          <w:rFonts w:ascii="Palatino Linotype" w:hAnsi="Palatino Linotype"/>
          <w:color w:val="000000" w:themeColor="text1"/>
          <w:sz w:val="24"/>
          <w:szCs w:val="24"/>
        </w:rPr>
      </w:pPr>
      <w:r w:rsidRPr="00B86CDB">
        <w:rPr>
          <w:rFonts w:ascii="Palatino Linotype" w:hAnsi="Palatino Linotype"/>
          <w:color w:val="000000" w:themeColor="text1"/>
          <w:sz w:val="24"/>
          <w:szCs w:val="24"/>
        </w:rPr>
        <w:t xml:space="preserve"> </w:t>
      </w:r>
    </w:p>
    <w:p w14:paraId="698CBB1D" w14:textId="7D35DA91" w:rsidR="00AB7A40" w:rsidRPr="00B86CDB" w:rsidRDefault="00190DC2" w:rsidP="009745DA">
      <w:pPr>
        <w:pStyle w:val="Prrafodelista"/>
        <w:numPr>
          <w:ilvl w:val="0"/>
          <w:numId w:val="2"/>
        </w:numPr>
        <w:tabs>
          <w:tab w:val="left" w:pos="426"/>
        </w:tabs>
        <w:spacing w:after="0" w:line="360" w:lineRule="auto"/>
        <w:ind w:left="0" w:right="51" w:firstLine="0"/>
        <w:jc w:val="both"/>
        <w:rPr>
          <w:rFonts w:ascii="Palatino Linotype" w:hAnsi="Palatino Linotype"/>
          <w:color w:val="000000" w:themeColor="text1"/>
          <w:sz w:val="24"/>
          <w:szCs w:val="24"/>
        </w:rPr>
      </w:pPr>
      <w:r w:rsidRPr="00B86CDB">
        <w:rPr>
          <w:rFonts w:ascii="Palatino Linotype" w:hAnsi="Palatino Linotype"/>
          <w:color w:val="000000" w:themeColor="text1"/>
          <w:sz w:val="24"/>
          <w:szCs w:val="24"/>
        </w:rPr>
        <w:t xml:space="preserve">Ahora bien, en relación al planteamiento formulado relativo al </w:t>
      </w:r>
      <w:r w:rsidRPr="00B86CDB">
        <w:rPr>
          <w:rFonts w:ascii="Palatino Linotype" w:hAnsi="Palatino Linotype"/>
          <w:color w:val="000000" w:themeColor="text1"/>
          <w:sz w:val="24"/>
          <w:szCs w:val="24"/>
          <w:u w:val="single"/>
        </w:rPr>
        <w:t>documento con el que acredito la absoluta probidad, notoria buena conducta, honorabilidad manifiesta en su vida pública y privada</w:t>
      </w:r>
      <w:r w:rsidRPr="00B86CDB">
        <w:rPr>
          <w:rFonts w:ascii="Palatino Linotype" w:hAnsi="Palatino Linotype"/>
          <w:color w:val="000000" w:themeColor="text1"/>
          <w:sz w:val="24"/>
          <w:szCs w:val="24"/>
        </w:rPr>
        <w:t xml:space="preserve">; en respuesta a la solicitud de información el </w:t>
      </w:r>
      <w:r w:rsidRPr="00B86CDB">
        <w:rPr>
          <w:rFonts w:ascii="Palatino Linotype" w:hAnsi="Palatino Linotype"/>
          <w:b/>
          <w:color w:val="000000" w:themeColor="text1"/>
          <w:sz w:val="24"/>
          <w:szCs w:val="24"/>
        </w:rPr>
        <w:t xml:space="preserve">SUJETO OBLIGADO </w:t>
      </w:r>
      <w:r w:rsidRPr="00B86CDB">
        <w:rPr>
          <w:rFonts w:ascii="Palatino Linotype" w:hAnsi="Palatino Linotype"/>
          <w:color w:val="000000" w:themeColor="text1"/>
          <w:sz w:val="24"/>
          <w:szCs w:val="24"/>
        </w:rPr>
        <w:t xml:space="preserve">manifestó que </w:t>
      </w:r>
      <w:r w:rsidR="009745DA" w:rsidRPr="00B86CDB">
        <w:rPr>
          <w:rFonts w:ascii="Palatino Linotype" w:hAnsi="Palatino Linotype"/>
          <w:color w:val="000000" w:themeColor="text1"/>
          <w:sz w:val="24"/>
          <w:szCs w:val="24"/>
        </w:rPr>
        <w:t xml:space="preserve">no es competente para conocer sobre la </w:t>
      </w:r>
      <w:r w:rsidR="009745DA" w:rsidRPr="00B86CDB">
        <w:rPr>
          <w:rFonts w:ascii="Palatino Linotype" w:hAnsi="Palatino Linotype"/>
          <w:color w:val="000000" w:themeColor="text1"/>
          <w:sz w:val="24"/>
          <w:szCs w:val="24"/>
        </w:rPr>
        <w:lastRenderedPageBreak/>
        <w:t xml:space="preserve">documentación solicitada; sin embargo, es de señalar que mediante informe justificado remitió los documentos con los cuales acredita el cumplimiento con el requisito establecido en el </w:t>
      </w:r>
      <w:r w:rsidR="007E5FEC" w:rsidRPr="00B86CDB">
        <w:rPr>
          <w:rFonts w:ascii="Palatino Linotype" w:eastAsia="MS Mincho" w:hAnsi="Palatino Linotype" w:cs="Arial"/>
          <w:color w:val="000000" w:themeColor="text1"/>
          <w:sz w:val="24"/>
          <w:szCs w:val="24"/>
        </w:rPr>
        <w:t>artículo 58 de l</w:t>
      </w:r>
      <w:r w:rsidR="00B9312E" w:rsidRPr="00B86CDB">
        <w:rPr>
          <w:rFonts w:ascii="Palatino Linotype" w:eastAsia="MS Mincho" w:hAnsi="Palatino Linotype" w:cs="Arial"/>
          <w:color w:val="000000" w:themeColor="text1"/>
          <w:sz w:val="24"/>
          <w:szCs w:val="24"/>
        </w:rPr>
        <w:t xml:space="preserve">a Ley Orgánica del Tribunal de Justicia Administrativa del Estado de México </w:t>
      </w:r>
      <w:r w:rsidR="00AB7A40" w:rsidRPr="00B86CDB">
        <w:rPr>
          <w:rFonts w:ascii="Palatino Linotype" w:hAnsi="Palatino Linotype" w:cs="Arial"/>
          <w:sz w:val="24"/>
          <w:szCs w:val="24"/>
        </w:rPr>
        <w:t>abrogada el uno (01) de septiembre de dos mil dieciocho, su contenido refería que, para ser Magistrado del Tribunal se deberán cubrir los siguientes requisitos:</w:t>
      </w:r>
    </w:p>
    <w:p w14:paraId="3B71BA7E" w14:textId="77777777" w:rsidR="00AB7A40" w:rsidRPr="00B86CDB" w:rsidRDefault="00AB7A40" w:rsidP="00AB7A40">
      <w:pPr>
        <w:pStyle w:val="Prrafodelista"/>
        <w:tabs>
          <w:tab w:val="left" w:pos="426"/>
        </w:tabs>
        <w:spacing w:after="0" w:line="360" w:lineRule="auto"/>
        <w:ind w:left="0" w:right="51"/>
        <w:jc w:val="both"/>
        <w:rPr>
          <w:rFonts w:ascii="Palatino Linotype" w:hAnsi="Palatino Linotype"/>
          <w:color w:val="000000" w:themeColor="text1"/>
          <w:sz w:val="24"/>
          <w:szCs w:val="24"/>
        </w:rPr>
      </w:pPr>
    </w:p>
    <w:p w14:paraId="56F3450A" w14:textId="77777777" w:rsidR="00AB7A40" w:rsidRPr="00B86CDB" w:rsidRDefault="00AB7A40" w:rsidP="00AB7A40">
      <w:pPr>
        <w:pStyle w:val="Prrafodelista"/>
        <w:numPr>
          <w:ilvl w:val="1"/>
          <w:numId w:val="2"/>
        </w:numPr>
        <w:tabs>
          <w:tab w:val="left" w:pos="426"/>
        </w:tabs>
        <w:spacing w:after="0" w:line="360" w:lineRule="auto"/>
        <w:ind w:left="993" w:right="51" w:hanging="360"/>
        <w:jc w:val="both"/>
        <w:rPr>
          <w:rFonts w:ascii="Palatino Linotype" w:hAnsi="Palatino Linotype"/>
          <w:i/>
          <w:color w:val="000000" w:themeColor="text1"/>
        </w:rPr>
      </w:pPr>
      <w:r w:rsidRPr="00B86CDB">
        <w:rPr>
          <w:rFonts w:ascii="Palatino Linotype" w:hAnsi="Palatino Linotype"/>
          <w:i/>
          <w:color w:val="000000" w:themeColor="text1"/>
        </w:rPr>
        <w:t>Ser mexicano por nacimiento, en ejercicio de sus derechos políticos y civiles y haber residido efectivamente en el Estado durante los últimos cinco años;</w:t>
      </w:r>
    </w:p>
    <w:p w14:paraId="4DAC73FD" w14:textId="77777777" w:rsidR="00AB7A40" w:rsidRPr="00B86CDB" w:rsidRDefault="00AB7A40" w:rsidP="00AB7A40">
      <w:pPr>
        <w:pStyle w:val="Prrafodelista"/>
        <w:numPr>
          <w:ilvl w:val="1"/>
          <w:numId w:val="2"/>
        </w:numPr>
        <w:spacing w:after="0" w:line="360" w:lineRule="auto"/>
        <w:ind w:left="993" w:right="51" w:hanging="360"/>
        <w:rPr>
          <w:rFonts w:ascii="Palatino Linotype" w:hAnsi="Palatino Linotype"/>
          <w:i/>
          <w:color w:val="000000" w:themeColor="text1"/>
        </w:rPr>
      </w:pPr>
      <w:r w:rsidRPr="00B86CDB">
        <w:rPr>
          <w:rFonts w:ascii="Palatino Linotype" w:hAnsi="Palatino Linotype"/>
          <w:i/>
          <w:color w:val="000000" w:themeColor="text1"/>
        </w:rPr>
        <w:t>Tener más de treinta y cinco años el día de su designación como magistrado de sala superior y de treinta años para magistrado de sala regional, supernumeraria y especializada en materia de responsabilidades;</w:t>
      </w:r>
    </w:p>
    <w:p w14:paraId="6BEA8534" w14:textId="77777777" w:rsidR="00AB7A40" w:rsidRPr="00B86CDB" w:rsidRDefault="00AB7A40" w:rsidP="00AB7A40">
      <w:pPr>
        <w:pStyle w:val="Prrafodelista"/>
        <w:numPr>
          <w:ilvl w:val="1"/>
          <w:numId w:val="2"/>
        </w:numPr>
        <w:spacing w:after="0" w:line="360" w:lineRule="auto"/>
        <w:ind w:left="993" w:right="51" w:hanging="360"/>
        <w:rPr>
          <w:rFonts w:ascii="Palatino Linotype" w:hAnsi="Palatino Linotype"/>
          <w:i/>
          <w:color w:val="000000" w:themeColor="text1"/>
        </w:rPr>
      </w:pPr>
      <w:r w:rsidRPr="00B86CDB">
        <w:rPr>
          <w:rFonts w:ascii="Palatino Linotype" w:hAnsi="Palatino Linotype"/>
          <w:i/>
          <w:color w:val="000000" w:themeColor="text1"/>
        </w:rPr>
        <w:t>No padecer enfermedad física o mental que lo inhabilite para el desempeño del encargo;</w:t>
      </w:r>
    </w:p>
    <w:p w14:paraId="1F0502FF" w14:textId="77777777" w:rsidR="00AB7A40" w:rsidRPr="00B86CDB" w:rsidRDefault="00AB7A40" w:rsidP="00AB7A40">
      <w:pPr>
        <w:pStyle w:val="Prrafodelista"/>
        <w:numPr>
          <w:ilvl w:val="1"/>
          <w:numId w:val="2"/>
        </w:numPr>
        <w:spacing w:after="0" w:line="360" w:lineRule="auto"/>
        <w:ind w:left="993" w:right="51" w:hanging="360"/>
        <w:rPr>
          <w:rFonts w:ascii="Palatino Linotype" w:hAnsi="Palatino Linotype"/>
          <w:i/>
          <w:color w:val="000000" w:themeColor="text1"/>
        </w:rPr>
      </w:pPr>
      <w:r w:rsidRPr="00B86CDB">
        <w:rPr>
          <w:rFonts w:ascii="Palatino Linotype" w:hAnsi="Palatino Linotype"/>
          <w:i/>
          <w:color w:val="000000" w:themeColor="text1"/>
        </w:rPr>
        <w:t>Ser licenciado en derecho con título profesional, con cinco años de antigüedad, al día de su designación;</w:t>
      </w:r>
    </w:p>
    <w:p w14:paraId="1E50A1B8" w14:textId="77777777" w:rsidR="00AB7A40" w:rsidRPr="00B86CDB" w:rsidRDefault="00AB7A40" w:rsidP="00AB7A40">
      <w:pPr>
        <w:pStyle w:val="Prrafodelista"/>
        <w:numPr>
          <w:ilvl w:val="1"/>
          <w:numId w:val="2"/>
        </w:numPr>
        <w:spacing w:after="0" w:line="360" w:lineRule="auto"/>
        <w:ind w:left="993" w:right="51" w:hanging="360"/>
        <w:rPr>
          <w:rFonts w:ascii="Palatino Linotype" w:hAnsi="Palatino Linotype"/>
          <w:i/>
          <w:color w:val="000000" w:themeColor="text1"/>
        </w:rPr>
      </w:pPr>
      <w:r w:rsidRPr="00B86CDB">
        <w:rPr>
          <w:rFonts w:ascii="Palatino Linotype" w:hAnsi="Palatino Linotype"/>
          <w:i/>
          <w:color w:val="000000" w:themeColor="text1"/>
        </w:rPr>
        <w:t>Tener por lo menos tres años de práctica profesional en materias afines, que permita acreditar su capacidad técnica y la idoneidad para ocupar el cargo;</w:t>
      </w:r>
    </w:p>
    <w:p w14:paraId="1658C259" w14:textId="77777777" w:rsidR="00AB7A40" w:rsidRPr="00B86CDB" w:rsidRDefault="00AB7A40" w:rsidP="00AB7A40">
      <w:pPr>
        <w:pStyle w:val="Prrafodelista"/>
        <w:numPr>
          <w:ilvl w:val="1"/>
          <w:numId w:val="2"/>
        </w:numPr>
        <w:spacing w:after="0" w:line="360" w:lineRule="auto"/>
        <w:ind w:left="993" w:right="51" w:hanging="360"/>
        <w:rPr>
          <w:rFonts w:ascii="Palatino Linotype" w:hAnsi="Palatino Linotype"/>
          <w:b/>
          <w:i/>
          <w:color w:val="000000" w:themeColor="text1"/>
        </w:rPr>
      </w:pPr>
      <w:r w:rsidRPr="00B86CDB">
        <w:rPr>
          <w:rFonts w:ascii="Palatino Linotype" w:hAnsi="Palatino Linotype"/>
          <w:b/>
          <w:i/>
          <w:color w:val="000000" w:themeColor="text1"/>
        </w:rPr>
        <w:t>Ser persona de absoluta probidad, notoria buena conducta, honorabilidad manifiesta en su vida pública y privada;</w:t>
      </w:r>
    </w:p>
    <w:p w14:paraId="66249424" w14:textId="77777777" w:rsidR="00AB7A40" w:rsidRPr="00B86CDB" w:rsidRDefault="00AB7A40" w:rsidP="00AB7A40">
      <w:pPr>
        <w:pStyle w:val="Prrafodelista"/>
        <w:numPr>
          <w:ilvl w:val="1"/>
          <w:numId w:val="2"/>
        </w:numPr>
        <w:spacing w:after="0" w:line="360" w:lineRule="auto"/>
        <w:ind w:left="993" w:right="51" w:hanging="360"/>
        <w:rPr>
          <w:rFonts w:ascii="Palatino Linotype" w:hAnsi="Palatino Linotype"/>
          <w:i/>
          <w:color w:val="000000" w:themeColor="text1"/>
        </w:rPr>
      </w:pPr>
      <w:r w:rsidRPr="00B86CDB">
        <w:rPr>
          <w:rFonts w:ascii="Palatino Linotype" w:hAnsi="Palatino Linotype"/>
          <w:i/>
          <w:color w:val="000000" w:themeColor="text1"/>
        </w:rPr>
        <w:t>No ser ministro de algún culto religioso, a menos que se separe formal y definitivamente de su ministerio, cuando menos un año anterior al día de su designación; y</w:t>
      </w:r>
    </w:p>
    <w:p w14:paraId="245411AE" w14:textId="77777777" w:rsidR="00AB7A40" w:rsidRPr="00B86CDB" w:rsidRDefault="00AB7A40" w:rsidP="00AB7A40">
      <w:pPr>
        <w:pStyle w:val="Prrafodelista"/>
        <w:numPr>
          <w:ilvl w:val="1"/>
          <w:numId w:val="2"/>
        </w:numPr>
        <w:tabs>
          <w:tab w:val="left" w:pos="426"/>
        </w:tabs>
        <w:spacing w:after="0" w:line="360" w:lineRule="auto"/>
        <w:ind w:left="993" w:right="51" w:hanging="360"/>
        <w:jc w:val="both"/>
        <w:rPr>
          <w:rFonts w:ascii="Palatino Linotype" w:hAnsi="Palatino Linotype"/>
          <w:i/>
          <w:color w:val="000000" w:themeColor="text1"/>
        </w:rPr>
      </w:pPr>
      <w:r w:rsidRPr="00B86CDB">
        <w:rPr>
          <w:rFonts w:ascii="Palatino Linotype" w:hAnsi="Palatino Linotype"/>
          <w:i/>
          <w:color w:val="000000" w:themeColor="text1"/>
        </w:rPr>
        <w:lastRenderedPageBreak/>
        <w:t>No haber sido condenado en sentencia ejecutoria, por delito intencional, ni estar inhabilitado para ejercer un cargo público.</w:t>
      </w:r>
    </w:p>
    <w:p w14:paraId="48370991" w14:textId="77777777" w:rsidR="00AB7A40" w:rsidRPr="00B86CDB" w:rsidRDefault="00AB7A40" w:rsidP="00AB7A40">
      <w:pPr>
        <w:pStyle w:val="Prrafodelista"/>
        <w:tabs>
          <w:tab w:val="left" w:pos="426"/>
        </w:tabs>
        <w:spacing w:line="360" w:lineRule="auto"/>
        <w:ind w:left="0" w:right="51"/>
        <w:jc w:val="both"/>
        <w:rPr>
          <w:rFonts w:ascii="Palatino Linotype" w:hAnsi="Palatino Linotype"/>
          <w:i/>
          <w:color w:val="000000" w:themeColor="text1"/>
        </w:rPr>
      </w:pPr>
    </w:p>
    <w:p w14:paraId="6FC79DCF" w14:textId="469F71E7" w:rsidR="00AB7A40" w:rsidRPr="00B86CDB" w:rsidRDefault="00AB7A40" w:rsidP="009745DA">
      <w:pPr>
        <w:numPr>
          <w:ilvl w:val="0"/>
          <w:numId w:val="2"/>
        </w:numPr>
        <w:spacing w:before="240" w:after="240" w:line="360" w:lineRule="auto"/>
        <w:ind w:left="0" w:right="49" w:firstLine="0"/>
        <w:contextualSpacing/>
        <w:jc w:val="both"/>
        <w:rPr>
          <w:rFonts w:ascii="Palatino Linotype" w:hAnsi="Palatino Linotype"/>
          <w:i/>
          <w:color w:val="000000" w:themeColor="text1"/>
        </w:rPr>
      </w:pPr>
      <w:r w:rsidRPr="00B86CDB">
        <w:rPr>
          <w:rFonts w:ascii="Palatino Linotype" w:eastAsia="MS Mincho" w:hAnsi="Palatino Linotype" w:cs="Arial"/>
          <w:color w:val="000000" w:themeColor="text1"/>
          <w:sz w:val="24"/>
          <w:szCs w:val="24"/>
        </w:rPr>
        <w:t xml:space="preserve">Normatividad </w:t>
      </w:r>
      <w:r w:rsidR="009745DA" w:rsidRPr="00B86CDB">
        <w:rPr>
          <w:rFonts w:ascii="Palatino Linotype" w:eastAsia="MS Mincho" w:hAnsi="Palatino Linotype" w:cs="Arial"/>
          <w:color w:val="000000" w:themeColor="text1"/>
          <w:sz w:val="24"/>
          <w:szCs w:val="24"/>
        </w:rPr>
        <w:t>que establece</w:t>
      </w:r>
      <w:r w:rsidRPr="00B86CDB">
        <w:rPr>
          <w:rFonts w:ascii="Palatino Linotype" w:eastAsia="MS Mincho" w:hAnsi="Palatino Linotype" w:cs="Arial"/>
          <w:color w:val="000000" w:themeColor="text1"/>
          <w:sz w:val="24"/>
          <w:szCs w:val="24"/>
        </w:rPr>
        <w:t xml:space="preserve"> como requisito para ostentar el cargo,</w:t>
      </w:r>
      <w:r w:rsidR="009745DA" w:rsidRPr="00B86CDB">
        <w:rPr>
          <w:rFonts w:ascii="Palatino Linotype" w:eastAsia="MS Mincho" w:hAnsi="Palatino Linotype" w:cs="Arial"/>
          <w:color w:val="000000" w:themeColor="text1"/>
          <w:sz w:val="24"/>
          <w:szCs w:val="24"/>
        </w:rPr>
        <w:t xml:space="preserve"> s</w:t>
      </w:r>
      <w:r w:rsidR="009745DA" w:rsidRPr="00B86CDB">
        <w:rPr>
          <w:rFonts w:ascii="Palatino Linotype" w:hAnsi="Palatino Linotype"/>
          <w:i/>
          <w:color w:val="000000" w:themeColor="text1"/>
        </w:rPr>
        <w:t xml:space="preserve">er persona de absoluta probidad, notoria buena conducta, honorabilidad manifiesta en su vida pública y privada; </w:t>
      </w:r>
      <w:r w:rsidRPr="00B86CDB">
        <w:rPr>
          <w:rFonts w:ascii="Palatino Linotype" w:eastAsia="MS Mincho" w:hAnsi="Palatino Linotype" w:cs="Arial"/>
          <w:color w:val="000000" w:themeColor="text1"/>
          <w:sz w:val="24"/>
          <w:szCs w:val="24"/>
        </w:rPr>
        <w:t>en este sentido</w:t>
      </w:r>
      <w:r w:rsidRPr="00B86CDB">
        <w:rPr>
          <w:rFonts w:ascii="Palatino Linotype" w:eastAsia="MS Mincho" w:hAnsi="Palatino Linotype" w:cs="Times New Roman"/>
          <w:sz w:val="24"/>
          <w:szCs w:val="24"/>
        </w:rPr>
        <w:t xml:space="preserve">, es importante precisar que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57FDF261" w14:textId="77777777" w:rsidR="00AB7A40" w:rsidRPr="00B86CDB" w:rsidRDefault="00AB7A40" w:rsidP="00AB7A40">
      <w:pPr>
        <w:spacing w:before="240" w:after="240" w:line="360" w:lineRule="auto"/>
        <w:ind w:right="567"/>
        <w:contextualSpacing/>
        <w:jc w:val="both"/>
        <w:rPr>
          <w:rFonts w:ascii="Palatino Linotype" w:eastAsia="MS Mincho" w:hAnsi="Palatino Linotype" w:cs="Arial"/>
        </w:rPr>
      </w:pPr>
    </w:p>
    <w:p w14:paraId="44484788" w14:textId="77777777" w:rsidR="00AB7A40" w:rsidRPr="00B86CDB" w:rsidRDefault="00AB7A40" w:rsidP="00AB7A40">
      <w:pPr>
        <w:spacing w:before="240" w:after="240" w:line="276" w:lineRule="auto"/>
        <w:ind w:left="567" w:right="567"/>
        <w:contextualSpacing/>
        <w:jc w:val="both"/>
        <w:rPr>
          <w:rFonts w:ascii="Palatino Linotype" w:hAnsi="Palatino Linotype"/>
          <w:i/>
        </w:rPr>
      </w:pPr>
      <w:r w:rsidRPr="00B86CDB">
        <w:rPr>
          <w:rFonts w:ascii="Palatino Linotype" w:hAnsi="Palatino Linotype"/>
          <w:i/>
        </w:rPr>
        <w:t>“</w:t>
      </w:r>
      <w:r w:rsidRPr="00B86CDB">
        <w:rPr>
          <w:rFonts w:ascii="Palatino Linotype" w:hAnsi="Palatino Linotype"/>
          <w:b/>
          <w:i/>
        </w:rPr>
        <w:t>Artículo 12.</w:t>
      </w:r>
      <w:r w:rsidRPr="00B86CD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3ED1382" w14:textId="77777777" w:rsidR="00AB7A40" w:rsidRPr="00B86CDB" w:rsidRDefault="00AB7A40" w:rsidP="00AB7A40">
      <w:pPr>
        <w:spacing w:before="240" w:after="240" w:line="276" w:lineRule="auto"/>
        <w:ind w:left="567" w:right="567"/>
        <w:contextualSpacing/>
        <w:jc w:val="both"/>
        <w:rPr>
          <w:rFonts w:ascii="Palatino Linotype" w:hAnsi="Palatino Linotype"/>
          <w:i/>
        </w:rPr>
      </w:pPr>
    </w:p>
    <w:p w14:paraId="5AD73A19" w14:textId="5A3FAF75" w:rsidR="00B9312E" w:rsidRPr="00B86CDB" w:rsidRDefault="00AB7A40" w:rsidP="00AB7A40">
      <w:pPr>
        <w:spacing w:before="240" w:after="240" w:line="276" w:lineRule="auto"/>
        <w:ind w:left="567" w:right="567"/>
        <w:contextualSpacing/>
        <w:jc w:val="both"/>
        <w:rPr>
          <w:rFonts w:ascii="Palatino Linotype" w:eastAsia="Times New Roman" w:hAnsi="Palatino Linotype" w:cs="Arial"/>
          <w:i/>
          <w:lang w:eastAsia="es-MX"/>
        </w:rPr>
      </w:pPr>
      <w:r w:rsidRPr="00B86CDB">
        <w:rPr>
          <w:rFonts w:ascii="Palatino Linotype" w:hAnsi="Palatino Linotype"/>
          <w:b/>
          <w:i/>
        </w:rPr>
        <w:t>Los sujetos obligados sólo proporcionarán la información pública</w:t>
      </w:r>
      <w:r w:rsidRPr="00B86CDB">
        <w:rPr>
          <w:rFonts w:ascii="Palatino Linotype" w:hAnsi="Palatino Linotype"/>
          <w:i/>
        </w:rPr>
        <w:t xml:space="preserve"> que se les requiera y </w:t>
      </w:r>
      <w:r w:rsidRPr="00B86CDB">
        <w:rPr>
          <w:rFonts w:ascii="Palatino Linotype" w:hAnsi="Palatino Linotype"/>
          <w:b/>
          <w:i/>
        </w:rPr>
        <w:t>que obre en sus archivos y en el estado en que ésta se encuentre</w:t>
      </w:r>
      <w:r w:rsidRPr="00B86CD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1FA26009" w14:textId="6813A552" w:rsidR="009745DA" w:rsidRPr="00B86CDB" w:rsidRDefault="009745DA" w:rsidP="009745DA">
      <w:pPr>
        <w:tabs>
          <w:tab w:val="left" w:pos="426"/>
        </w:tabs>
        <w:spacing w:after="0" w:line="360" w:lineRule="auto"/>
        <w:jc w:val="both"/>
        <w:rPr>
          <w:rFonts w:ascii="Palatino Linotype" w:eastAsia="MS Mincho" w:hAnsi="Palatino Linotype" w:cs="Arial"/>
          <w:color w:val="000000" w:themeColor="text1"/>
          <w:sz w:val="24"/>
          <w:szCs w:val="24"/>
        </w:rPr>
      </w:pPr>
    </w:p>
    <w:p w14:paraId="26C9C7DC" w14:textId="147DB462" w:rsidR="007E5FEC" w:rsidRPr="00B86CDB" w:rsidRDefault="009745DA" w:rsidP="000B18E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86CDB">
        <w:rPr>
          <w:rFonts w:ascii="Palatino Linotype" w:eastAsia="MS Mincho" w:hAnsi="Palatino Linotype" w:cs="Arial"/>
          <w:color w:val="000000" w:themeColor="text1"/>
          <w:sz w:val="24"/>
          <w:szCs w:val="24"/>
        </w:rPr>
        <w:t xml:space="preserve">Es así que, el </w:t>
      </w:r>
      <w:r w:rsidRPr="00B86CDB">
        <w:rPr>
          <w:rFonts w:ascii="Palatino Linotype" w:eastAsia="MS Mincho" w:hAnsi="Palatino Linotype" w:cs="Arial"/>
          <w:b/>
          <w:color w:val="000000" w:themeColor="text1"/>
          <w:sz w:val="24"/>
          <w:szCs w:val="24"/>
        </w:rPr>
        <w:t xml:space="preserve">SUJETO OBLIGADO </w:t>
      </w:r>
      <w:r w:rsidRPr="00B86CDB">
        <w:rPr>
          <w:rFonts w:ascii="Palatino Linotype" w:eastAsia="MS Mincho" w:hAnsi="Palatino Linotype" w:cs="Arial"/>
          <w:color w:val="000000" w:themeColor="text1"/>
          <w:sz w:val="24"/>
          <w:szCs w:val="24"/>
        </w:rPr>
        <w:t xml:space="preserve">a través del informe justificado, remitió </w:t>
      </w:r>
      <w:r w:rsidR="007E5FEC" w:rsidRPr="00B86CDB">
        <w:rPr>
          <w:rFonts w:ascii="Palatino Linotype" w:eastAsia="MS Mincho" w:hAnsi="Palatino Linotype" w:cs="Arial"/>
          <w:color w:val="000000" w:themeColor="text1"/>
          <w:sz w:val="24"/>
          <w:szCs w:val="24"/>
        </w:rPr>
        <w:t xml:space="preserve">el archivo electrónico identificado como </w:t>
      </w:r>
      <w:r w:rsidR="007E5FEC" w:rsidRPr="00B86CDB">
        <w:rPr>
          <w:rFonts w:ascii="Palatino Linotype" w:eastAsia="Calibri" w:hAnsi="Palatino Linotype" w:cs="Arial"/>
          <w:b/>
          <w:i/>
          <w:lang w:val="es-ES"/>
        </w:rPr>
        <w:t xml:space="preserve">ANEXO RR 4040-2020.pdf </w:t>
      </w:r>
      <w:r w:rsidRPr="00B86CDB">
        <w:rPr>
          <w:rFonts w:ascii="Palatino Linotype" w:eastAsia="Calibri" w:hAnsi="Palatino Linotype" w:cs="Arial"/>
          <w:lang w:val="es-ES"/>
        </w:rPr>
        <w:t xml:space="preserve"> integrado por 3 fojas en las que se observa</w:t>
      </w:r>
      <w:r w:rsidRPr="00B86CDB">
        <w:rPr>
          <w:rFonts w:ascii="Palatino Linotype" w:eastAsia="MS Mincho" w:hAnsi="Palatino Linotype" w:cs="Arial"/>
          <w:color w:val="000000" w:themeColor="text1"/>
          <w:sz w:val="24"/>
          <w:szCs w:val="24"/>
        </w:rPr>
        <w:t xml:space="preserve"> </w:t>
      </w:r>
      <w:r w:rsidRPr="00B86CDB">
        <w:rPr>
          <w:rFonts w:ascii="Palatino Linotype" w:eastAsia="Calibri" w:hAnsi="Palatino Linotype" w:cs="Arial"/>
          <w:sz w:val="24"/>
          <w:szCs w:val="24"/>
          <w:lang w:val="es-ES"/>
        </w:rPr>
        <w:t xml:space="preserve">versión pública de la declaración de conflicto de intereses, de </w:t>
      </w:r>
      <w:r w:rsidRPr="00B86CDB">
        <w:rPr>
          <w:rFonts w:ascii="Palatino Linotype" w:eastAsia="Calibri" w:hAnsi="Palatino Linotype" w:cs="Arial"/>
          <w:sz w:val="24"/>
          <w:szCs w:val="24"/>
          <w:lang w:val="es-ES"/>
        </w:rPr>
        <w:lastRenderedPageBreak/>
        <w:t xml:space="preserve">fecha veintiséis (26)  de junio de 2017, el oficio emitido por la Dirección General de Responsabilidades de la Secretaría de la Contraloría en el que se informa que no hay inscripciones, anotaciones ni registros de inhabilitación o de sujeción a procedimiento administrativo y el certificado de no antecedentes penales de fecha dieciséis de junio de  2017 emitido a favor de Lydia Elizalde Mendoza. </w:t>
      </w:r>
    </w:p>
    <w:p w14:paraId="357DDB4F" w14:textId="77777777" w:rsidR="007E5FEC" w:rsidRPr="00B86CDB" w:rsidRDefault="007E5FEC" w:rsidP="007E5FEC">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072E10B4" w14:textId="0D0E3B6E" w:rsidR="009745DA" w:rsidRPr="00B86CDB" w:rsidRDefault="007E5FEC" w:rsidP="00BB3A7B">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86CDB">
        <w:rPr>
          <w:rFonts w:ascii="Palatino Linotype" w:eastAsia="Calibri" w:hAnsi="Palatino Linotype" w:cs="Arial"/>
          <w:sz w:val="24"/>
          <w:szCs w:val="24"/>
          <w:lang w:val="es-ES"/>
        </w:rPr>
        <w:t xml:space="preserve">Es importante precisar, que si bien es cierto, los documentos remitidos en informe justificado modifican la respuesta inicial y con los cuales se acredita el cumplimiento al requisito establecido en la facción VI del artículo </w:t>
      </w:r>
      <w:r w:rsidRPr="00B86CDB">
        <w:rPr>
          <w:rFonts w:ascii="Palatino Linotype" w:eastAsia="MS Mincho" w:hAnsi="Palatino Linotype" w:cs="Arial"/>
          <w:color w:val="000000" w:themeColor="text1"/>
          <w:sz w:val="24"/>
          <w:szCs w:val="24"/>
        </w:rPr>
        <w:t xml:space="preserve">58 de la Ley Orgánica del Tribunal de Justicia Administrativa del Estado de México vigente del dos mil diecisiete, no fueron notificados al </w:t>
      </w:r>
      <w:r w:rsidRPr="00B86CDB">
        <w:rPr>
          <w:rFonts w:ascii="Palatino Linotype" w:eastAsia="MS Mincho" w:hAnsi="Palatino Linotype" w:cs="Arial"/>
          <w:b/>
          <w:color w:val="000000" w:themeColor="text1"/>
          <w:sz w:val="24"/>
          <w:szCs w:val="24"/>
        </w:rPr>
        <w:t xml:space="preserve">RECURRENTE </w:t>
      </w:r>
      <w:r w:rsidRPr="00B86CDB">
        <w:rPr>
          <w:rFonts w:ascii="Palatino Linotype" w:eastAsia="MS Mincho" w:hAnsi="Palatino Linotype" w:cs="Arial"/>
          <w:color w:val="000000" w:themeColor="text1"/>
          <w:sz w:val="24"/>
          <w:szCs w:val="24"/>
        </w:rPr>
        <w:t xml:space="preserve">por observarse en el Certificado de No Antecedentes Penales la huella dactilar de la Magistrada.  </w:t>
      </w:r>
    </w:p>
    <w:p w14:paraId="57F79669" w14:textId="77777777" w:rsidR="007E5FEC" w:rsidRPr="00B86CDB" w:rsidRDefault="007E5FEC" w:rsidP="007E5FEC">
      <w:pPr>
        <w:pStyle w:val="Prrafodelista"/>
        <w:rPr>
          <w:rFonts w:ascii="Palatino Linotype" w:eastAsia="MS Mincho" w:hAnsi="Palatino Linotype" w:cs="Arial"/>
          <w:color w:val="000000" w:themeColor="text1"/>
          <w:sz w:val="24"/>
          <w:szCs w:val="24"/>
        </w:rPr>
      </w:pPr>
    </w:p>
    <w:p w14:paraId="2355F05F" w14:textId="6D6D3CA8" w:rsidR="006F483B" w:rsidRPr="00B86CDB" w:rsidRDefault="006F483B" w:rsidP="006F483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86CDB">
        <w:rPr>
          <w:rFonts w:ascii="Palatino Linotype" w:eastAsia="MS Mincho" w:hAnsi="Palatino Linotype" w:cs="Arial"/>
          <w:color w:val="000000" w:themeColor="text1"/>
          <w:sz w:val="24"/>
          <w:szCs w:val="24"/>
        </w:rPr>
        <w:t xml:space="preserve">En este sentido, es importante referir que la </w:t>
      </w:r>
      <w:r w:rsidRPr="00B86CDB">
        <w:rPr>
          <w:rFonts w:ascii="Palatino Linotype" w:eastAsia="MS Mincho" w:hAnsi="Palatino Linotype" w:cs="Times New Roman"/>
          <w:sz w:val="24"/>
          <w:szCs w:val="24"/>
          <w:lang w:val="es-ES_tradnl" w:eastAsia="es-ES"/>
        </w:rPr>
        <w:t xml:space="preserve">huella dactilar, es considerada un dato personal sensible de carácter biométrico. En esa virtud, el Órgano Garante Nacional emitió la </w:t>
      </w:r>
      <w:r w:rsidRPr="00B86CDB">
        <w:rPr>
          <w:rFonts w:ascii="Palatino Linotype" w:eastAsia="MS Mincho" w:hAnsi="Palatino Linotype" w:cs="Times New Roman"/>
          <w:i/>
          <w:iCs/>
          <w:sz w:val="24"/>
          <w:szCs w:val="24"/>
          <w:lang w:val="es-ES_tradnl" w:eastAsia="es-ES"/>
        </w:rPr>
        <w:t>Guía para el tratamiento de datos biométricos</w:t>
      </w:r>
      <w:r w:rsidRPr="00B86CDB">
        <w:rPr>
          <w:rFonts w:ascii="Palatino Linotype" w:eastAsia="MS Mincho" w:hAnsi="Palatino Linotype" w:cs="Times New Roman"/>
          <w:sz w:val="24"/>
          <w:szCs w:val="24"/>
          <w:lang w:val="es-ES_tradnl" w:eastAsia="es-ES"/>
        </w:rPr>
        <w:t xml:space="preserve"> en la cual estipuló que dentro de los datos biométricos que refieren a características físicas y fisiológicas se encuentra la huella dactilar, la retina, el iris, la geometría de la mano o de los dedos, la estructura de las venas de la mano, la forma de las orejas, la piel o la textura de la superficie dérmica, el DN, la composición química del olor corporal y el patrón vascular, pulsación cardíaca, entre otros. </w:t>
      </w:r>
    </w:p>
    <w:p w14:paraId="351073B8" w14:textId="77777777" w:rsidR="006F483B" w:rsidRPr="00B86CDB" w:rsidRDefault="006F483B" w:rsidP="006F483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86CDB">
        <w:rPr>
          <w:rFonts w:ascii="Palatino Linotype" w:eastAsia="MS Mincho" w:hAnsi="Palatino Linotype" w:cs="Times New Roman"/>
          <w:sz w:val="24"/>
          <w:szCs w:val="24"/>
          <w:lang w:val="es-ES_tradnl" w:eastAsia="es-ES"/>
        </w:rPr>
        <w:lastRenderedPageBreak/>
        <w:t xml:space="preserve">Así, la Guía en comento determina que las huellas dactilares se forman a partir </w:t>
      </w:r>
      <w:r w:rsidRPr="00B86CDB">
        <w:rPr>
          <w:rFonts w:ascii="Palatino Linotype" w:hAnsi="Palatino Linotype" w:cs="Arial"/>
          <w:sz w:val="24"/>
          <w:szCs w:val="24"/>
          <w:lang w:val="es-ES"/>
        </w:rPr>
        <w:t>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14:paraId="53343255" w14:textId="77777777" w:rsidR="006F483B" w:rsidRPr="00B86CDB" w:rsidRDefault="006F483B" w:rsidP="006F483B">
      <w:pPr>
        <w:spacing w:after="0" w:line="360" w:lineRule="auto"/>
        <w:ind w:right="49"/>
        <w:contextualSpacing/>
        <w:jc w:val="both"/>
        <w:rPr>
          <w:rFonts w:ascii="Palatino Linotype" w:eastAsia="MS Mincho" w:hAnsi="Palatino Linotype" w:cs="Times New Roman"/>
          <w:sz w:val="24"/>
          <w:szCs w:val="24"/>
          <w:lang w:val="es-ES_tradnl" w:eastAsia="es-ES"/>
        </w:rPr>
      </w:pPr>
    </w:p>
    <w:p w14:paraId="147BD494" w14:textId="4E08924F" w:rsidR="006F483B" w:rsidRPr="00B86CDB" w:rsidRDefault="006F483B" w:rsidP="006F483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86CDB">
        <w:rPr>
          <w:rFonts w:ascii="Palatino Linotype" w:eastAsia="MS Mincho" w:hAnsi="Palatino Linotype" w:cs="Times New Roman"/>
          <w:sz w:val="24"/>
          <w:szCs w:val="24"/>
          <w:lang w:val="es-ES_tradnl" w:eastAsia="es-ES"/>
        </w:rPr>
        <w:t xml:space="preserve">Así entonces, podemos concluir que </w:t>
      </w:r>
      <w:r w:rsidRPr="00B86CDB">
        <w:rPr>
          <w:rFonts w:ascii="Palatino Linotype" w:hAnsi="Palatino Linotype" w:cs="Arial"/>
          <w:sz w:val="24"/>
          <w:szCs w:val="24"/>
          <w:lang w:val="es-ES"/>
        </w:rPr>
        <w:t xml:space="preserve">las huellas dactilares refieren y están asociadas a una persona física en lo particular; por lo tanto, dicho dato personal sensible debe ser protegido; por lo que, ante tales circunstancias, podría considerarse que el certificado de antecedentes no penales debiera ser </w:t>
      </w:r>
      <w:r w:rsidRPr="00B86CDB">
        <w:rPr>
          <w:rFonts w:ascii="Palatino Linotype" w:eastAsia="Calibri" w:hAnsi="Palatino Linotype" w:cs="Bookman Old Style,Bold"/>
          <w:sz w:val="24"/>
          <w:szCs w:val="24"/>
        </w:rPr>
        <w:t>clasificado como información confidencial en su totalidad.</w:t>
      </w:r>
    </w:p>
    <w:p w14:paraId="6D96E23E" w14:textId="77777777" w:rsidR="006F483B" w:rsidRPr="00B86CDB" w:rsidRDefault="006F483B" w:rsidP="006F483B">
      <w:pPr>
        <w:pStyle w:val="Prrafodelista"/>
        <w:rPr>
          <w:rFonts w:ascii="Palatino Linotype" w:eastAsia="MS Mincho" w:hAnsi="Palatino Linotype" w:cs="Times New Roman"/>
        </w:rPr>
      </w:pPr>
    </w:p>
    <w:p w14:paraId="5072525E" w14:textId="145A1D04" w:rsidR="006F483B" w:rsidRPr="00B86CDB" w:rsidRDefault="006F483B" w:rsidP="00C466E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86CDB">
        <w:rPr>
          <w:rFonts w:ascii="Palatino Linotype" w:eastAsia="MS Mincho" w:hAnsi="Palatino Linotype" w:cs="Times New Roman"/>
          <w:sz w:val="24"/>
          <w:szCs w:val="24"/>
          <w:lang w:val="es-ES_tradnl" w:eastAsia="es-ES"/>
        </w:rPr>
        <w:t>No obstante, en el caso que ahora resolvemos, por la importancia del cargo que desempeña el servidor público</w:t>
      </w:r>
      <w:r w:rsidR="00C466EC" w:rsidRPr="00B86CDB">
        <w:rPr>
          <w:rFonts w:ascii="Palatino Linotype" w:eastAsia="MS Mincho" w:hAnsi="Palatino Linotype" w:cs="Times New Roman"/>
          <w:sz w:val="24"/>
          <w:szCs w:val="24"/>
          <w:lang w:val="es-ES_tradnl" w:eastAsia="es-ES"/>
        </w:rPr>
        <w:t xml:space="preserve"> de quien se requiere la información</w:t>
      </w:r>
      <w:r w:rsidRPr="00B86CDB">
        <w:rPr>
          <w:rFonts w:ascii="Palatino Linotype" w:eastAsia="MS Mincho" w:hAnsi="Palatino Linotype" w:cs="Times New Roman"/>
          <w:sz w:val="24"/>
          <w:szCs w:val="24"/>
          <w:lang w:val="es-ES_tradnl" w:eastAsia="es-ES"/>
        </w:rPr>
        <w:t>, es procedente</w:t>
      </w:r>
      <w:r w:rsidR="00C466EC" w:rsidRPr="00B86CDB">
        <w:rPr>
          <w:rFonts w:ascii="Palatino Linotype" w:eastAsia="MS Mincho" w:hAnsi="Palatino Linotype" w:cs="Times New Roman"/>
          <w:sz w:val="24"/>
          <w:szCs w:val="24"/>
          <w:lang w:val="es-ES_tradnl" w:eastAsia="es-ES"/>
        </w:rPr>
        <w:t xml:space="preserve"> ordenar la entrega </w:t>
      </w:r>
      <w:proofErr w:type="spellStart"/>
      <w:r w:rsidR="00C466EC" w:rsidRPr="00B86CDB">
        <w:rPr>
          <w:rFonts w:ascii="Palatino Linotype" w:eastAsia="MS Mincho" w:hAnsi="Palatino Linotype" w:cs="Times New Roman"/>
          <w:b/>
          <w:bCs/>
          <w:sz w:val="24"/>
          <w:szCs w:val="24"/>
          <w:lang w:val="es-ES_tradnl" w:eastAsia="es-ES"/>
        </w:rPr>
        <w:t>entrega</w:t>
      </w:r>
      <w:proofErr w:type="spellEnd"/>
      <w:r w:rsidRPr="00B86CDB">
        <w:rPr>
          <w:rFonts w:ascii="Palatino Linotype" w:eastAsia="MS Mincho" w:hAnsi="Palatino Linotype" w:cs="Times New Roman"/>
          <w:sz w:val="24"/>
          <w:szCs w:val="24"/>
          <w:lang w:val="es-ES_tradnl" w:eastAsia="es-ES"/>
        </w:rPr>
        <w:t xml:space="preserve"> el certificado de antecedentes no penales,</w:t>
      </w:r>
      <w:r w:rsidR="00C466EC" w:rsidRPr="00B86CDB">
        <w:rPr>
          <w:rFonts w:ascii="Palatino Linotype" w:eastAsia="MS Mincho" w:hAnsi="Palatino Linotype" w:cs="Times New Roman"/>
          <w:sz w:val="24"/>
          <w:szCs w:val="24"/>
          <w:lang w:val="es-ES_tradnl" w:eastAsia="es-ES"/>
        </w:rPr>
        <w:t xml:space="preserve"> en </w:t>
      </w:r>
      <w:r w:rsidR="00C466EC" w:rsidRPr="00B86CDB">
        <w:rPr>
          <w:rFonts w:ascii="Palatino Linotype" w:eastAsia="MS Mincho" w:hAnsi="Palatino Linotype" w:cs="Times New Roman"/>
          <w:sz w:val="24"/>
          <w:szCs w:val="24"/>
          <w:lang w:val="es-ES_tradnl" w:eastAsia="es-ES"/>
        </w:rPr>
        <w:lastRenderedPageBreak/>
        <w:t xml:space="preserve">versión pública, así como </w:t>
      </w:r>
      <w:r w:rsidR="00C466EC" w:rsidRPr="00B86CDB">
        <w:rPr>
          <w:rFonts w:ascii="Palatino Linotype" w:eastAsia="Calibri" w:hAnsi="Palatino Linotype" w:cs="Arial"/>
          <w:sz w:val="24"/>
          <w:szCs w:val="24"/>
          <w:lang w:val="es-ES"/>
        </w:rPr>
        <w:t>la declaración de conflicto de intereses, de fecha veintiséis (26)  de junio de 2017 y  el oficio emitido por la Dirección General de Responsabilidades de la Secretaría de la Contraloría en el que se informa que no hay inscripciones, anotaciones ni registros de inhabilitación o de sujeción a procedimiento administrativo, ent</w:t>
      </w:r>
      <w:r w:rsidR="00D445CE" w:rsidRPr="00B86CDB">
        <w:rPr>
          <w:rFonts w:ascii="Palatino Linotype" w:eastAsia="Calibri" w:hAnsi="Palatino Linotype" w:cs="Arial"/>
          <w:sz w:val="24"/>
          <w:szCs w:val="24"/>
          <w:lang w:val="es-ES"/>
        </w:rPr>
        <w:t xml:space="preserve">regados en informe justificado; esto en términos del Considerando QUINTO de la presente resolución. </w:t>
      </w:r>
    </w:p>
    <w:p w14:paraId="781723FA" w14:textId="77777777" w:rsidR="00C466EC" w:rsidRPr="00B86CDB" w:rsidRDefault="00C466EC" w:rsidP="00C466EC">
      <w:pPr>
        <w:pStyle w:val="Prrafodelista"/>
        <w:rPr>
          <w:rFonts w:ascii="Palatino Linotype" w:eastAsia="MS Mincho" w:hAnsi="Palatino Linotype" w:cs="Times New Roman"/>
          <w:sz w:val="24"/>
          <w:szCs w:val="24"/>
          <w:lang w:val="es-ES_tradnl" w:eastAsia="es-ES"/>
        </w:rPr>
      </w:pPr>
    </w:p>
    <w:p w14:paraId="7FDAFE1E" w14:textId="34CF90E1" w:rsidR="00D445CE" w:rsidRPr="00B86CDB" w:rsidRDefault="00D445CE" w:rsidP="00D445C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86CDB">
        <w:rPr>
          <w:rFonts w:ascii="Palatino Linotype" w:eastAsia="MS Mincho" w:hAnsi="Palatino Linotype" w:cs="Times New Roman"/>
          <w:sz w:val="24"/>
          <w:szCs w:val="24"/>
          <w:lang w:val="es-ES_tradnl" w:eastAsia="es-ES"/>
        </w:rPr>
        <w:t xml:space="preserve">Por otro lado, en relación a la solicitud relacionada con el documento en que conste la verificación </w:t>
      </w:r>
      <w:r w:rsidR="00080ECC" w:rsidRPr="00B86CDB">
        <w:rPr>
          <w:rFonts w:ascii="Palatino Linotype" w:eastAsia="MS Mincho" w:hAnsi="Palatino Linotype" w:cs="Times New Roman"/>
          <w:sz w:val="24"/>
          <w:szCs w:val="24"/>
          <w:lang w:val="es-ES_tradnl" w:eastAsia="es-ES"/>
        </w:rPr>
        <w:t xml:space="preserve">en el Registro Nacional de Profesiones de la Secretaría de Educación Pública de la existencia del Título y Cédula profesionales que acreditan que la Magistrada cuenta con la patente para ejercer la profesión de Licenciada en Derecho. </w:t>
      </w:r>
    </w:p>
    <w:p w14:paraId="532D2AA6" w14:textId="77777777" w:rsidR="00080ECC" w:rsidRPr="00B86CDB" w:rsidRDefault="00080ECC" w:rsidP="00080ECC">
      <w:pPr>
        <w:pStyle w:val="Prrafodelista"/>
        <w:rPr>
          <w:rFonts w:ascii="Palatino Linotype" w:eastAsia="MS Mincho" w:hAnsi="Palatino Linotype" w:cs="Times New Roman"/>
          <w:sz w:val="24"/>
          <w:szCs w:val="24"/>
          <w:lang w:val="es-ES_tradnl" w:eastAsia="es-ES"/>
        </w:rPr>
      </w:pPr>
    </w:p>
    <w:p w14:paraId="784D1C07" w14:textId="4F7347DC" w:rsidR="00080ECC" w:rsidRPr="00B86CDB" w:rsidRDefault="00080ECC" w:rsidP="00D445C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86CDB">
        <w:rPr>
          <w:rFonts w:ascii="Palatino Linotype" w:eastAsia="MS Mincho" w:hAnsi="Palatino Linotype" w:cs="Times New Roman"/>
          <w:sz w:val="24"/>
          <w:szCs w:val="24"/>
          <w:lang w:val="es-ES_tradnl" w:eastAsia="es-ES"/>
        </w:rPr>
        <w:t xml:space="preserve">En respuesta a la solicitud de información, la Sala General del </w:t>
      </w:r>
      <w:r w:rsidRPr="00B86CDB">
        <w:rPr>
          <w:rFonts w:ascii="Palatino Linotype" w:eastAsiaTheme="minorEastAsia" w:hAnsi="Palatino Linotype" w:cs="Arial"/>
          <w:sz w:val="24"/>
          <w:szCs w:val="24"/>
        </w:rPr>
        <w:t>Pleno de la Sala Superior y Secretaria Técnica de la Junta de Gobierno y Administración informó que el Pleno de la Sala Superior del Tribunal de Justicia del Estado de México, no es competente para conocer sobre la información solicitada ya que corresponde a la legislatura del Estado verificar que los aspirantes cubran los requisitos constitucionales y legales para ocupar el cargo al que son propuestos</w:t>
      </w:r>
      <w:r w:rsidR="004D5F0E" w:rsidRPr="00B86CDB">
        <w:rPr>
          <w:rFonts w:ascii="Palatino Linotype" w:eastAsiaTheme="minorEastAsia" w:hAnsi="Palatino Linotype" w:cs="Arial"/>
          <w:sz w:val="24"/>
          <w:szCs w:val="24"/>
        </w:rPr>
        <w:t xml:space="preserve">; manifestación que ratifica al momento de presentar el informe justificado. </w:t>
      </w:r>
    </w:p>
    <w:p w14:paraId="3365B688" w14:textId="77777777" w:rsidR="004D5F0E" w:rsidRPr="00B86CDB" w:rsidRDefault="004D5F0E" w:rsidP="004D5F0E">
      <w:pPr>
        <w:pStyle w:val="Prrafodelista"/>
        <w:rPr>
          <w:rFonts w:ascii="Palatino Linotype" w:eastAsia="MS Mincho" w:hAnsi="Palatino Linotype" w:cs="Times New Roman"/>
          <w:sz w:val="24"/>
          <w:szCs w:val="24"/>
          <w:lang w:val="es-ES_tradnl" w:eastAsia="es-ES"/>
        </w:rPr>
      </w:pPr>
    </w:p>
    <w:p w14:paraId="7031076C" w14:textId="4E20E23D" w:rsidR="004D5F0E" w:rsidRPr="00B86CDB" w:rsidRDefault="004D5F0E" w:rsidP="00D445C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86CDB">
        <w:rPr>
          <w:rFonts w:ascii="Palatino Linotype" w:eastAsia="MS Mincho" w:hAnsi="Palatino Linotype" w:cs="Times New Roman"/>
          <w:sz w:val="24"/>
          <w:szCs w:val="24"/>
          <w:lang w:val="es-ES_tradnl" w:eastAsia="es-ES"/>
        </w:rPr>
        <w:lastRenderedPageBreak/>
        <w:t xml:space="preserve">Es importante traer a contexto lo que establece el artículo 33 Bis, primer párrafo de la Ley Orgánica del Poder Legislativo del Estado </w:t>
      </w:r>
      <w:r w:rsidR="00BB3A7B" w:rsidRPr="00B86CDB">
        <w:rPr>
          <w:rFonts w:ascii="Palatino Linotype" w:eastAsia="MS Mincho" w:hAnsi="Palatino Linotype" w:cs="Times New Roman"/>
          <w:sz w:val="24"/>
          <w:szCs w:val="24"/>
          <w:lang w:val="es-ES_tradnl" w:eastAsia="es-ES"/>
        </w:rPr>
        <w:t xml:space="preserve">Libre y Soberano de México. </w:t>
      </w:r>
    </w:p>
    <w:p w14:paraId="42ED0BB5" w14:textId="77777777" w:rsidR="00BB3A7B" w:rsidRPr="00B86CDB" w:rsidRDefault="00BB3A7B" w:rsidP="00BB3A7B">
      <w:pPr>
        <w:pStyle w:val="Prrafodelista"/>
        <w:rPr>
          <w:rFonts w:ascii="Palatino Linotype" w:eastAsia="MS Mincho" w:hAnsi="Palatino Linotype" w:cs="Times New Roman"/>
          <w:sz w:val="24"/>
          <w:szCs w:val="24"/>
          <w:lang w:val="es-ES_tradnl" w:eastAsia="es-ES"/>
        </w:rPr>
      </w:pPr>
    </w:p>
    <w:p w14:paraId="5E942B1B" w14:textId="640316F4" w:rsidR="00BB3A7B" w:rsidRPr="00B86CDB" w:rsidRDefault="00BB3A7B" w:rsidP="00BB3A7B">
      <w:pPr>
        <w:spacing w:after="0" w:line="360" w:lineRule="auto"/>
        <w:ind w:left="851" w:right="567"/>
        <w:contextualSpacing/>
        <w:jc w:val="both"/>
        <w:rPr>
          <w:rFonts w:ascii="Palatino Linotype" w:eastAsia="MS Mincho" w:hAnsi="Palatino Linotype" w:cs="Times New Roman"/>
          <w:i/>
          <w:sz w:val="24"/>
          <w:szCs w:val="24"/>
          <w:lang w:val="es-ES_tradnl" w:eastAsia="es-ES"/>
        </w:rPr>
      </w:pPr>
      <w:r w:rsidRPr="00B86CDB">
        <w:rPr>
          <w:rFonts w:ascii="Palatino Linotype" w:hAnsi="Palatino Linotype"/>
          <w:b/>
          <w:i/>
        </w:rPr>
        <w:t>“Artículo 33 Bis</w:t>
      </w:r>
      <w:r w:rsidRPr="00B86CDB">
        <w:rPr>
          <w:rFonts w:ascii="Palatino Linotype" w:hAnsi="Palatino Linotype"/>
          <w:i/>
        </w:rPr>
        <w:t xml:space="preserve">.- Las comisiones que conozcan del nombramiento o designación de servidores públicos que por mandato de Ley corresponda a la Legislatura, </w:t>
      </w:r>
      <w:r w:rsidRPr="00B86CDB">
        <w:rPr>
          <w:rFonts w:ascii="Palatino Linotype" w:hAnsi="Palatino Linotype"/>
          <w:b/>
          <w:i/>
          <w:u w:val="single"/>
        </w:rPr>
        <w:t>verificarán inexcusablemente que los aspirantes cubran los requisitos constitucionales y legales para ocupar el cargo al que son propuestos</w:t>
      </w:r>
      <w:r w:rsidRPr="00B86CDB">
        <w:rPr>
          <w:rFonts w:ascii="Palatino Linotype" w:hAnsi="Palatino Linotype"/>
          <w:i/>
        </w:rPr>
        <w:t>.</w:t>
      </w:r>
    </w:p>
    <w:p w14:paraId="4EE83033" w14:textId="452D1958" w:rsidR="006F483B" w:rsidRPr="00B86CDB" w:rsidRDefault="006F483B" w:rsidP="00BB3A7B">
      <w:pPr>
        <w:spacing w:after="0" w:line="360" w:lineRule="auto"/>
        <w:ind w:right="49"/>
        <w:contextualSpacing/>
        <w:jc w:val="both"/>
        <w:rPr>
          <w:rFonts w:ascii="Palatino Linotype" w:eastAsia="MS Mincho" w:hAnsi="Palatino Linotype" w:cs="Arial"/>
          <w:color w:val="000000" w:themeColor="text1"/>
          <w:sz w:val="24"/>
          <w:szCs w:val="24"/>
        </w:rPr>
      </w:pPr>
    </w:p>
    <w:p w14:paraId="47AD3101" w14:textId="5CE28ABD" w:rsidR="00BB3A7B" w:rsidRPr="00B86CDB" w:rsidRDefault="00BB3A7B" w:rsidP="000B18E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86CDB">
        <w:rPr>
          <w:rFonts w:ascii="Palatino Linotype" w:eastAsia="MS Mincho" w:hAnsi="Palatino Linotype" w:cs="Arial"/>
          <w:color w:val="000000" w:themeColor="text1"/>
          <w:sz w:val="24"/>
          <w:szCs w:val="24"/>
        </w:rPr>
        <w:t xml:space="preserve">En este entendido, correspondió a la Comisión de la Legislatura verificar en su momento que la aspirante a Magistrada del Tribunal de Justicia Administrativa cubrió los requisitos para ocupar el cargo al cual fue propuesta. </w:t>
      </w:r>
    </w:p>
    <w:p w14:paraId="79F16247" w14:textId="77777777" w:rsidR="00BB3A7B" w:rsidRPr="00B86CDB" w:rsidRDefault="00BB3A7B" w:rsidP="00BB3A7B">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17D5403" w14:textId="19B556D7" w:rsidR="00BB3A7B" w:rsidRPr="00B86CDB" w:rsidRDefault="00BB3A7B" w:rsidP="000B18E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86CDB">
        <w:rPr>
          <w:rFonts w:ascii="Palatino Linotype" w:eastAsia="MS Mincho" w:hAnsi="Palatino Linotype" w:cs="Arial"/>
          <w:color w:val="000000" w:themeColor="text1"/>
          <w:sz w:val="24"/>
          <w:szCs w:val="24"/>
        </w:rPr>
        <w:t xml:space="preserve">En este entendido, no existe fuente obligacional que determine la atribución, facultad o competencia par que el </w:t>
      </w:r>
      <w:r w:rsidRPr="00B86CDB">
        <w:rPr>
          <w:rFonts w:ascii="Palatino Linotype" w:eastAsia="MS Mincho" w:hAnsi="Palatino Linotype" w:cs="Arial"/>
          <w:b/>
          <w:color w:val="000000" w:themeColor="text1"/>
          <w:sz w:val="24"/>
          <w:szCs w:val="24"/>
        </w:rPr>
        <w:t xml:space="preserve">SUJETO OBLIGADO </w:t>
      </w:r>
      <w:r w:rsidRPr="00B86CDB">
        <w:rPr>
          <w:rFonts w:ascii="Palatino Linotype" w:eastAsia="MS Mincho" w:hAnsi="Palatino Linotype" w:cs="Arial"/>
          <w:color w:val="000000" w:themeColor="text1"/>
          <w:sz w:val="24"/>
          <w:szCs w:val="24"/>
        </w:rPr>
        <w:t xml:space="preserve">realice la verificación en el Registro Nacional de Profesiones de la Secretaría de Educación Pública de la existencia del Título y Cédula profesional que acrediten que la servidora pública cuenta con la patente para ejercer la profesión de Licenciada en Derecho. </w:t>
      </w:r>
    </w:p>
    <w:p w14:paraId="3ED843E6" w14:textId="77777777" w:rsidR="00BB3A7B" w:rsidRPr="00B86CDB" w:rsidRDefault="00BB3A7B" w:rsidP="00BB3A7B">
      <w:pPr>
        <w:pStyle w:val="Prrafodelista"/>
        <w:rPr>
          <w:rFonts w:ascii="Palatino Linotype" w:eastAsia="MS Mincho" w:hAnsi="Palatino Linotype" w:cs="Arial"/>
          <w:color w:val="000000" w:themeColor="text1"/>
          <w:sz w:val="24"/>
          <w:szCs w:val="24"/>
        </w:rPr>
      </w:pPr>
    </w:p>
    <w:p w14:paraId="6CA00C13" w14:textId="77777777" w:rsidR="00BB3A7B" w:rsidRPr="00B86CDB" w:rsidRDefault="00BB3A7B" w:rsidP="00BB3A7B">
      <w:pPr>
        <w:pStyle w:val="Prrafodelista"/>
        <w:numPr>
          <w:ilvl w:val="0"/>
          <w:numId w:val="2"/>
        </w:numPr>
        <w:tabs>
          <w:tab w:val="left" w:pos="426"/>
        </w:tabs>
        <w:spacing w:after="0" w:line="360" w:lineRule="auto"/>
        <w:ind w:left="0" w:firstLine="0"/>
        <w:jc w:val="both"/>
        <w:rPr>
          <w:rFonts w:ascii="Palatino Linotype" w:hAnsi="Palatino Linotype" w:cs="Arial"/>
        </w:rPr>
      </w:pPr>
      <w:r w:rsidRPr="00B86CDB">
        <w:rPr>
          <w:rFonts w:ascii="Palatino Linotype" w:hAnsi="Palatino Linotype" w:cs="Arial"/>
          <w:lang w:eastAsia="es-MX"/>
        </w:rPr>
        <w:t>Por consiguiente toda vez que no posee, administra ni genera la información requerida por el particular,</w:t>
      </w:r>
      <w:r w:rsidRPr="00B86CDB">
        <w:rPr>
          <w:rFonts w:ascii="Palatino Linotype" w:hAnsi="Palatino Linotype"/>
        </w:rPr>
        <w:t xml:space="preserve"> constituye un hecho negativo; entonces, </w:t>
      </w:r>
      <w:r w:rsidRPr="00B86CDB">
        <w:rPr>
          <w:rFonts w:ascii="Palatino Linotype" w:hAnsi="Palatino Linotype" w:cs="Arial"/>
        </w:rPr>
        <w:t xml:space="preserve">si se considera el hecho negativo, </w:t>
      </w:r>
      <w:r w:rsidRPr="00B86CDB">
        <w:rPr>
          <w:rFonts w:ascii="Palatino Linotype" w:hAnsi="Palatino Linotype" w:cs="Arial"/>
        </w:rPr>
        <w:lastRenderedPageBreak/>
        <w:t xml:space="preserve">es obvio que éste no puede fácticamente obrar en los archivos del </w:t>
      </w:r>
      <w:r w:rsidRPr="00B86CDB">
        <w:rPr>
          <w:rFonts w:ascii="Palatino Linotype" w:hAnsi="Palatino Linotype" w:cs="Arial"/>
          <w:b/>
        </w:rPr>
        <w:t>SUJETO OBLIGADO</w:t>
      </w:r>
      <w:r w:rsidRPr="00B86CDB">
        <w:rPr>
          <w:rFonts w:ascii="Palatino Linotype" w:hAnsi="Palatino Linotype" w:cs="Arial"/>
        </w:rPr>
        <w:t>, ya que no puede probarse por ser lógica y materialmente imposible.</w:t>
      </w:r>
    </w:p>
    <w:p w14:paraId="52FC382D" w14:textId="77777777" w:rsidR="00BB3A7B" w:rsidRPr="00B86CDB" w:rsidRDefault="00BB3A7B" w:rsidP="00BB3A7B">
      <w:pPr>
        <w:pStyle w:val="Prrafodelista"/>
        <w:rPr>
          <w:rFonts w:ascii="Palatino Linotype" w:hAnsi="Palatino Linotype" w:cs="Arial"/>
        </w:rPr>
      </w:pPr>
    </w:p>
    <w:p w14:paraId="3103F92E" w14:textId="77777777" w:rsidR="00BB3A7B" w:rsidRPr="00B86CDB" w:rsidRDefault="00BB3A7B" w:rsidP="00BB3A7B">
      <w:pPr>
        <w:pStyle w:val="Prrafodelista"/>
        <w:numPr>
          <w:ilvl w:val="0"/>
          <w:numId w:val="2"/>
        </w:numPr>
        <w:tabs>
          <w:tab w:val="left" w:pos="426"/>
        </w:tabs>
        <w:spacing w:after="0" w:line="360" w:lineRule="auto"/>
        <w:ind w:left="0" w:firstLine="0"/>
        <w:jc w:val="both"/>
        <w:rPr>
          <w:rFonts w:ascii="Palatino Linotype" w:hAnsi="Palatino Linotype" w:cs="Arial"/>
        </w:rPr>
      </w:pPr>
      <w:r w:rsidRPr="00B86CDB">
        <w:rPr>
          <w:rFonts w:ascii="Palatino Linotype" w:hAnsi="Palatino Linotype" w:cs="Arial"/>
          <w:lang w:eastAsia="es-MX"/>
        </w:rPr>
        <w:t>Asimismo</w:t>
      </w:r>
      <w:r w:rsidRPr="00B86CDB">
        <w:rPr>
          <w:rFonts w:ascii="Palatino Linotype" w:hAnsi="Palatino Linotype" w:cs="Arial"/>
        </w:rPr>
        <w:t>, no se trata de un caso por el cual la negación del hecho implique la afirmación del mismo, simplemente se está ante una notoria y evidente inexistencia fáctica de la información solicitada.</w:t>
      </w:r>
    </w:p>
    <w:p w14:paraId="007B2398" w14:textId="77777777" w:rsidR="00BB3A7B" w:rsidRPr="00B86CDB" w:rsidRDefault="00BB3A7B" w:rsidP="00BB3A7B">
      <w:pPr>
        <w:pStyle w:val="Prrafodelista"/>
        <w:rPr>
          <w:rFonts w:ascii="Palatino Linotype" w:hAnsi="Palatino Linotype" w:cs="Arial"/>
        </w:rPr>
      </w:pPr>
    </w:p>
    <w:p w14:paraId="0F113572" w14:textId="77777777" w:rsidR="00BB3A7B" w:rsidRPr="00B86CDB" w:rsidRDefault="00BB3A7B" w:rsidP="00BB3A7B">
      <w:pPr>
        <w:pStyle w:val="Prrafodelista"/>
        <w:numPr>
          <w:ilvl w:val="0"/>
          <w:numId w:val="2"/>
        </w:numPr>
        <w:tabs>
          <w:tab w:val="left" w:pos="426"/>
        </w:tabs>
        <w:spacing w:after="0" w:line="360" w:lineRule="auto"/>
        <w:ind w:left="0" w:firstLine="0"/>
        <w:jc w:val="both"/>
        <w:rPr>
          <w:rFonts w:ascii="Palatino Linotype" w:hAnsi="Palatino Linotype" w:cs="Arial"/>
        </w:rPr>
      </w:pPr>
      <w:r w:rsidRPr="00B86CDB">
        <w:rPr>
          <w:rFonts w:ascii="Palatino Linotype" w:hAnsi="Palatino Linotype" w:cs="Arial"/>
          <w:lang w:eastAsia="es-MX"/>
        </w:rPr>
        <w:t>Encontrándonos</w:t>
      </w:r>
      <w:r w:rsidRPr="00B86CDB">
        <w:rPr>
          <w:rFonts w:ascii="Palatino Linotype" w:hAnsi="Palatino Linotype"/>
        </w:rPr>
        <w:t xml:space="preserve">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223C04DF" w14:textId="77777777" w:rsidR="00BB3A7B" w:rsidRPr="00B86CDB" w:rsidRDefault="00BB3A7B" w:rsidP="00BB3A7B">
      <w:pPr>
        <w:spacing w:line="360" w:lineRule="auto"/>
        <w:jc w:val="both"/>
        <w:rPr>
          <w:rFonts w:ascii="Palatino Linotype" w:hAnsi="Palatino Linotype"/>
        </w:rPr>
      </w:pPr>
    </w:p>
    <w:p w14:paraId="7393B5AA" w14:textId="77777777" w:rsidR="00BB3A7B" w:rsidRPr="00B86CDB" w:rsidRDefault="00BB3A7B" w:rsidP="00BB3A7B">
      <w:pPr>
        <w:spacing w:line="360" w:lineRule="auto"/>
        <w:ind w:left="851" w:right="567"/>
        <w:jc w:val="both"/>
        <w:rPr>
          <w:rFonts w:ascii="Palatino Linotype" w:hAnsi="Palatino Linotype"/>
          <w:b/>
          <w:i/>
        </w:rPr>
      </w:pPr>
      <w:r w:rsidRPr="00B86CDB">
        <w:rPr>
          <w:rFonts w:ascii="Palatino Linotype" w:hAnsi="Palatino Linotype"/>
          <w:b/>
          <w:i/>
        </w:rPr>
        <w:t xml:space="preserve">HECHOS NEGATIVOS, NO SON SUSCEPTIBLES DE DEMOSTRACIÓN. </w:t>
      </w:r>
    </w:p>
    <w:p w14:paraId="04AD2A5E" w14:textId="77777777" w:rsidR="00BB3A7B" w:rsidRPr="00B86CDB" w:rsidRDefault="00BB3A7B" w:rsidP="00BB3A7B">
      <w:pPr>
        <w:spacing w:line="360" w:lineRule="auto"/>
        <w:ind w:left="851" w:right="567"/>
        <w:jc w:val="both"/>
        <w:rPr>
          <w:rFonts w:ascii="Palatino Linotype" w:hAnsi="Palatino Linotype"/>
          <w:i/>
        </w:rPr>
      </w:pPr>
      <w:r w:rsidRPr="00B86CDB">
        <w:rPr>
          <w:rFonts w:ascii="Palatino Linotype" w:hAnsi="Palatino Linotype"/>
          <w:i/>
        </w:rPr>
        <w:t xml:space="preserve">Tratándose de un hecho negativo, el Juez no tiene </w:t>
      </w:r>
      <w:proofErr w:type="spellStart"/>
      <w:r w:rsidRPr="00B86CDB">
        <w:rPr>
          <w:rFonts w:ascii="Palatino Linotype" w:hAnsi="Palatino Linotype"/>
          <w:i/>
        </w:rPr>
        <w:t>por que</w:t>
      </w:r>
      <w:proofErr w:type="spellEnd"/>
      <w:r w:rsidRPr="00B86CDB">
        <w:rPr>
          <w:rFonts w:ascii="Palatino Linotype" w:hAnsi="Palatino Linotype"/>
          <w:i/>
        </w:rPr>
        <w:t xml:space="preserve"> invocar prueba alguna de la que se desprenda, ya que es bien sabido que esta clase de hechos no son susceptibles de demostración.</w:t>
      </w:r>
    </w:p>
    <w:p w14:paraId="023F0DBA" w14:textId="77777777" w:rsidR="00BB3A7B" w:rsidRPr="00B86CDB" w:rsidRDefault="00BB3A7B" w:rsidP="00BB3A7B">
      <w:pPr>
        <w:spacing w:line="360" w:lineRule="auto"/>
        <w:ind w:left="851" w:right="567"/>
        <w:jc w:val="both"/>
        <w:rPr>
          <w:rFonts w:ascii="Palatino Linotype" w:hAnsi="Palatino Linotype"/>
          <w:i/>
        </w:rPr>
      </w:pPr>
      <w:r w:rsidRPr="00B86CDB">
        <w:rPr>
          <w:rFonts w:ascii="Palatino Linotype" w:hAnsi="Palatino Linotype"/>
          <w:i/>
        </w:rPr>
        <w:t>Amparo en revisión 2022/61. José García Florín (Menor). 9 de octubre de 1961. Cinco votos. Ponente: José Rivera Pérez Campos.”</w:t>
      </w:r>
    </w:p>
    <w:p w14:paraId="47FE472D" w14:textId="77777777" w:rsidR="00BB3A7B" w:rsidRPr="00B86CDB" w:rsidRDefault="00BB3A7B" w:rsidP="00BB3A7B">
      <w:pPr>
        <w:spacing w:line="360" w:lineRule="auto"/>
        <w:ind w:left="709" w:right="758"/>
        <w:jc w:val="both"/>
        <w:rPr>
          <w:rFonts w:ascii="Palatino Linotype" w:hAnsi="Palatino Linotype"/>
          <w:i/>
        </w:rPr>
      </w:pPr>
    </w:p>
    <w:p w14:paraId="00FD6272" w14:textId="77777777" w:rsidR="00BB3A7B" w:rsidRPr="00B86CDB" w:rsidRDefault="00BB3A7B" w:rsidP="00BB3A7B">
      <w:pPr>
        <w:pStyle w:val="Prrafodelista"/>
        <w:numPr>
          <w:ilvl w:val="0"/>
          <w:numId w:val="2"/>
        </w:numPr>
        <w:spacing w:before="240" w:after="240" w:line="360" w:lineRule="auto"/>
        <w:ind w:left="426" w:hanging="426"/>
        <w:jc w:val="both"/>
        <w:rPr>
          <w:rFonts w:ascii="Palatino Linotype" w:hAnsi="Palatino Linotype"/>
          <w:sz w:val="24"/>
          <w:szCs w:val="24"/>
        </w:rPr>
      </w:pPr>
      <w:r w:rsidRPr="00B86CDB">
        <w:rPr>
          <w:rFonts w:ascii="Palatino Linotype" w:hAnsi="Palatino Linotype"/>
          <w:sz w:val="24"/>
          <w:szCs w:val="24"/>
        </w:rPr>
        <w:lastRenderedPageBreak/>
        <w:t xml:space="preserve">Además, y de conformidad con lo establecido en el artículo 12 de la Ley de Transparencia y Acceso a la Información Pública del Estado de México y Municipios, anteriormente invocado el </w:t>
      </w:r>
      <w:r w:rsidRPr="00B86CDB">
        <w:rPr>
          <w:rFonts w:ascii="Palatino Linotype" w:hAnsi="Palatino Linotype"/>
          <w:b/>
          <w:sz w:val="24"/>
          <w:szCs w:val="24"/>
        </w:rPr>
        <w:t>SUJETO OBLIGADO</w:t>
      </w:r>
      <w:r w:rsidRPr="00B86CDB">
        <w:rPr>
          <w:rFonts w:ascii="Palatino Linotype" w:hAnsi="Palatino Linotype"/>
          <w:sz w:val="24"/>
          <w:szCs w:val="24"/>
        </w:rPr>
        <w:t xml:space="preserve"> sólo proporcionará la información que obra en sus archivos, lo que a</w:t>
      </w:r>
      <w:r w:rsidRPr="00B86CDB">
        <w:rPr>
          <w:rFonts w:ascii="Palatino Linotype" w:hAnsi="Palatino Linotype"/>
          <w:i/>
          <w:sz w:val="24"/>
          <w:szCs w:val="24"/>
        </w:rPr>
        <w:t xml:space="preserve"> contrario sensu</w:t>
      </w:r>
      <w:r w:rsidRPr="00B86CDB">
        <w:rPr>
          <w:rFonts w:ascii="Palatino Linotype" w:hAnsi="Palatino Linotype"/>
          <w:sz w:val="24"/>
          <w:szCs w:val="24"/>
        </w:rPr>
        <w:t xml:space="preserve"> significa que no se está obligado a proporcionar lo que no obre en sus archivos; por ende, las razones o motivos de inconformidad al respecto devienen infundados.</w:t>
      </w:r>
    </w:p>
    <w:p w14:paraId="122A4B21" w14:textId="42B3F435" w:rsidR="00BB3A7B" w:rsidRPr="00B86CDB" w:rsidRDefault="007B6C30" w:rsidP="00BB3A7B">
      <w:pPr>
        <w:pStyle w:val="Ttulo1"/>
        <w:rPr>
          <w:rFonts w:ascii="Palatino Linotype" w:eastAsiaTheme="minorEastAsia" w:hAnsi="Palatino Linotype" w:cs="Arial"/>
          <w:b/>
          <w:color w:val="auto"/>
          <w:sz w:val="24"/>
          <w:szCs w:val="24"/>
          <w:lang w:val="es-ES_tradnl" w:eastAsia="es-ES"/>
        </w:rPr>
      </w:pPr>
      <w:bookmarkStart w:id="23" w:name="_Toc48232938"/>
      <w:bookmarkStart w:id="24" w:name="_Toc57332496"/>
      <w:r w:rsidRPr="00B86CDB">
        <w:rPr>
          <w:rFonts w:ascii="Palatino Linotype" w:eastAsiaTheme="minorEastAsia" w:hAnsi="Palatino Linotype" w:cs="Arial"/>
          <w:b/>
          <w:color w:val="auto"/>
          <w:sz w:val="24"/>
          <w:szCs w:val="24"/>
          <w:lang w:val="es-ES_tradnl" w:eastAsia="es-ES"/>
        </w:rPr>
        <w:t>QUINTO</w:t>
      </w:r>
      <w:r w:rsidR="00BB3A7B" w:rsidRPr="00B86CDB">
        <w:rPr>
          <w:rFonts w:ascii="Palatino Linotype" w:eastAsiaTheme="minorEastAsia" w:hAnsi="Palatino Linotype" w:cs="Arial"/>
          <w:b/>
          <w:color w:val="auto"/>
          <w:sz w:val="24"/>
          <w:szCs w:val="24"/>
          <w:lang w:val="es-ES_tradnl" w:eastAsia="es-ES"/>
        </w:rPr>
        <w:t>. De la versión pública.</w:t>
      </w:r>
      <w:bookmarkEnd w:id="23"/>
      <w:bookmarkEnd w:id="24"/>
    </w:p>
    <w:p w14:paraId="0CAC71B8" w14:textId="77777777" w:rsidR="007B6C30" w:rsidRPr="00B86CDB" w:rsidRDefault="007B6C30" w:rsidP="007B6C30">
      <w:pPr>
        <w:rPr>
          <w:lang w:val="es-ES_tradnl" w:eastAsia="es-ES"/>
        </w:rPr>
      </w:pPr>
    </w:p>
    <w:p w14:paraId="0245C7A3"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 xml:space="preserve">Finalmente, debe destacarse que debido a la naturaleza de la información solicitada, en la que se contienen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86CDB">
        <w:rPr>
          <w:rFonts w:ascii="Palatino Linotype" w:hAnsi="Palatino Linotype" w:cs="Arial"/>
          <w:b/>
          <w:color w:val="000000" w:themeColor="text1"/>
          <w:sz w:val="24"/>
          <w:szCs w:val="24"/>
          <w:u w:val="single"/>
          <w:lang w:val="es-ES_tradnl"/>
        </w:rPr>
        <w:t>versión pública</w:t>
      </w:r>
      <w:r w:rsidRPr="00B86CDB">
        <w:rPr>
          <w:rFonts w:ascii="Palatino Linotype" w:hAnsi="Palatino Linotype" w:cs="Arial"/>
          <w:color w:val="000000" w:themeColor="text1"/>
          <w:sz w:val="24"/>
          <w:szCs w:val="24"/>
          <w:lang w:val="es-ES_tradnl"/>
        </w:rPr>
        <w:t xml:space="preserve"> del documento por las consideraciones que se estimen pertinentes.</w:t>
      </w:r>
    </w:p>
    <w:p w14:paraId="4A086B17"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40013803"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rPr>
        <w:t xml:space="preserve">No pasa desapercibido para este Órgano Garante que los </w:t>
      </w:r>
      <w:r w:rsidRPr="00B86CDB">
        <w:rPr>
          <w:rFonts w:ascii="Palatino Linotype" w:hAnsi="Palatino Linotype" w:cs="Arial"/>
          <w:b/>
          <w:bCs/>
          <w:color w:val="000000" w:themeColor="text1"/>
          <w:sz w:val="24"/>
          <w:szCs w:val="24"/>
        </w:rPr>
        <w:t xml:space="preserve">Sujetos Obligados </w:t>
      </w:r>
      <w:r w:rsidRPr="00B86CDB">
        <w:rPr>
          <w:rFonts w:ascii="Palatino Linotype" w:hAnsi="Palatino Linotype" w:cs="Arial"/>
          <w:color w:val="000000" w:themeColor="text1"/>
          <w:sz w:val="24"/>
          <w:szCs w:val="24"/>
        </w:rPr>
        <w:t xml:space="preserve">serán responsables de los datos personales en su posesión y que, </w:t>
      </w:r>
      <w:r w:rsidRPr="00B86CDB">
        <w:rPr>
          <w:rFonts w:ascii="Palatino Linotype" w:hAnsi="Palatino Linotype" w:cs="Arial"/>
          <w:color w:val="000000" w:themeColor="text1"/>
          <w:sz w:val="24"/>
          <w:szCs w:val="24"/>
          <w:u w:val="single"/>
        </w:rPr>
        <w:t xml:space="preserve">en caso de localizarse datos concernientes a terceros, éstos no podrán difundir, distribuir o </w:t>
      </w:r>
      <w:r w:rsidRPr="00B86CDB">
        <w:rPr>
          <w:rFonts w:ascii="Palatino Linotype" w:hAnsi="Palatino Linotype" w:cs="Arial"/>
          <w:color w:val="000000" w:themeColor="text1"/>
          <w:sz w:val="24"/>
          <w:szCs w:val="24"/>
          <w:u w:val="single"/>
        </w:rPr>
        <w:lastRenderedPageBreak/>
        <w:t>comercializar los datos personales</w:t>
      </w:r>
      <w:r w:rsidRPr="00B86CDB">
        <w:rPr>
          <w:rFonts w:ascii="Palatino Linotype" w:hAnsi="Palatino Linotype" w:cs="Arial"/>
          <w:color w:val="000000" w:themeColor="text1"/>
          <w:sz w:val="24"/>
          <w:szCs w:val="24"/>
        </w:rPr>
        <w:t>.  Cabe destacar que, para la realización de la clasificación de la información, se deben seguir una serie de pasos y procedimientos.</w:t>
      </w:r>
    </w:p>
    <w:p w14:paraId="09CE8FBA" w14:textId="77777777" w:rsidR="00BB3A7B" w:rsidRPr="00B86CDB" w:rsidRDefault="00BB3A7B" w:rsidP="00BB3A7B">
      <w:pPr>
        <w:pStyle w:val="Prrafodelista"/>
        <w:rPr>
          <w:rFonts w:ascii="Palatino Linotype" w:hAnsi="Palatino Linotype" w:cs="Arial"/>
          <w:color w:val="000000" w:themeColor="text1"/>
        </w:rPr>
      </w:pPr>
    </w:p>
    <w:p w14:paraId="546C94BB"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86CDB">
        <w:rPr>
          <w:vertAlign w:val="superscript"/>
          <w:lang w:val="es-ES_tradnl"/>
        </w:rPr>
        <w:footnoteReference w:id="2"/>
      </w:r>
      <w:r w:rsidRPr="00B86CDB">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86CDB">
        <w:rPr>
          <w:vertAlign w:val="superscript"/>
          <w:lang w:val="es-ES_tradnl"/>
        </w:rPr>
        <w:footnoteReference w:id="3"/>
      </w:r>
      <w:r w:rsidRPr="00B86CDB">
        <w:rPr>
          <w:rFonts w:ascii="Palatino Linotype" w:hAnsi="Palatino Linotype" w:cs="Arial"/>
          <w:color w:val="000000" w:themeColor="text1"/>
          <w:sz w:val="24"/>
          <w:szCs w:val="24"/>
          <w:lang w:val="es-ES_tradnl"/>
        </w:rPr>
        <w:t xml:space="preserve"> En este caso, la clasificación total o parcial de la información es </w:t>
      </w:r>
      <w:r w:rsidRPr="00B86CDB">
        <w:rPr>
          <w:rFonts w:ascii="Palatino Linotype" w:hAnsi="Palatino Linotype" w:cs="Arial"/>
          <w:color w:val="000000" w:themeColor="text1"/>
          <w:sz w:val="24"/>
          <w:szCs w:val="24"/>
          <w:lang w:val="es-ES_tradnl"/>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492B2AE"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6ADDBADD"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756A193" w14:textId="77777777" w:rsidR="00BB3A7B" w:rsidRPr="00B86CDB" w:rsidRDefault="00BB3A7B" w:rsidP="00BB3A7B">
      <w:pPr>
        <w:spacing w:after="120" w:line="360" w:lineRule="auto"/>
        <w:contextualSpacing/>
        <w:jc w:val="both"/>
        <w:rPr>
          <w:rFonts w:ascii="Palatino Linotype" w:hAnsi="Palatino Linotype" w:cs="Arial"/>
          <w:b/>
          <w:color w:val="000000" w:themeColor="text1"/>
          <w:sz w:val="24"/>
          <w:szCs w:val="24"/>
        </w:rPr>
      </w:pPr>
    </w:p>
    <w:p w14:paraId="318176D2" w14:textId="77777777" w:rsidR="00BB3A7B" w:rsidRPr="00B86CDB" w:rsidRDefault="00BB3A7B" w:rsidP="00BB3A7B">
      <w:pPr>
        <w:spacing w:after="120" w:line="360" w:lineRule="auto"/>
        <w:contextualSpacing/>
        <w:jc w:val="both"/>
        <w:rPr>
          <w:rFonts w:ascii="Palatino Linotype" w:hAnsi="Palatino Linotype" w:cs="Arial"/>
          <w:b/>
          <w:color w:val="000000" w:themeColor="text1"/>
          <w:sz w:val="24"/>
          <w:szCs w:val="24"/>
        </w:rPr>
      </w:pPr>
      <w:r w:rsidRPr="00B86CDB">
        <w:rPr>
          <w:rFonts w:ascii="Palatino Linotype" w:hAnsi="Palatino Linotype" w:cs="Arial"/>
          <w:b/>
          <w:color w:val="000000" w:themeColor="text1"/>
          <w:sz w:val="24"/>
          <w:szCs w:val="24"/>
        </w:rPr>
        <w:t>Requisitos previos.</w:t>
      </w:r>
    </w:p>
    <w:p w14:paraId="4EB817C7" w14:textId="77777777" w:rsidR="00BB3A7B" w:rsidRPr="00B86CDB" w:rsidRDefault="00BB3A7B" w:rsidP="00BB3A7B">
      <w:pPr>
        <w:spacing w:after="120" w:line="360" w:lineRule="auto"/>
        <w:contextualSpacing/>
        <w:jc w:val="both"/>
        <w:rPr>
          <w:rFonts w:ascii="Palatino Linotype" w:hAnsi="Palatino Linotype" w:cs="Arial"/>
          <w:b/>
          <w:color w:val="000000" w:themeColor="text1"/>
          <w:sz w:val="24"/>
          <w:szCs w:val="24"/>
        </w:rPr>
      </w:pPr>
    </w:p>
    <w:p w14:paraId="0774FDB2" w14:textId="77777777" w:rsidR="00BB3A7B" w:rsidRPr="00B86CDB" w:rsidRDefault="00BB3A7B" w:rsidP="00BB3A7B">
      <w:pPr>
        <w:numPr>
          <w:ilvl w:val="0"/>
          <w:numId w:val="2"/>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B86CDB">
        <w:rPr>
          <w:rFonts w:ascii="Palatino Linotype" w:eastAsiaTheme="minorEastAsia" w:hAnsi="Palatino Linotype" w:cs="Arial"/>
          <w:color w:val="000000"/>
          <w:sz w:val="24"/>
          <w:szCs w:val="24"/>
          <w:lang w:val="es-ES_tradnl" w:eastAsia="es-ES"/>
        </w:rPr>
        <w:t xml:space="preserve">Los artículos 122 y 100 de la Ley Estatal de la materia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w:t>
      </w:r>
      <w:r w:rsidRPr="00B86CDB">
        <w:rPr>
          <w:rFonts w:ascii="Palatino Linotype" w:eastAsiaTheme="minorEastAsia" w:hAnsi="Palatino Linotype" w:cs="Arial"/>
          <w:color w:val="000000"/>
          <w:sz w:val="24"/>
          <w:szCs w:val="24"/>
          <w:lang w:val="es-ES_tradnl" w:eastAsia="es-ES"/>
        </w:rPr>
        <w:lastRenderedPageBreak/>
        <w:t>revoca la propuesta de clasificación. Al hacerlo tienen que precisar de qué información se trata (nombre, registro federal de contribuyentes, edad, domicilio, fecha de nacimiento, lugar de nacimiento, clave única de registro de población, correo electrónico personal, número telefónico, entre otros) que forme parte de algún documento o el documento que se pretende reservar, señalando el supuesto de clasificación (confidencialidad o reserva).</w:t>
      </w:r>
    </w:p>
    <w:p w14:paraId="2E354552"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4CB12258"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B86CDB">
        <w:rPr>
          <w:rFonts w:ascii="Palatino Linotype" w:eastAsiaTheme="minorEastAsia" w:hAnsi="Palatino Linotype" w:cs="Arial"/>
          <w:color w:val="000000"/>
          <w:sz w:val="24"/>
          <w:szCs w:val="24"/>
          <w:lang w:val="es-ES_tradnl" w:eastAsia="es-ES"/>
        </w:rPr>
        <w:t>respectivamente</w:t>
      </w:r>
      <w:r w:rsidRPr="00B86CDB">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14:paraId="427F75B7"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2ED3CEF7"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B86CDB">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B86CDB">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14:paraId="0EB79946" w14:textId="77777777" w:rsidR="00BB3A7B" w:rsidRPr="00B86CDB" w:rsidRDefault="00BB3A7B" w:rsidP="00BB3A7B">
      <w:pPr>
        <w:spacing w:after="120" w:line="360" w:lineRule="auto"/>
        <w:contextualSpacing/>
        <w:jc w:val="both"/>
        <w:rPr>
          <w:rFonts w:ascii="Palatino Linotype" w:hAnsi="Palatino Linotype" w:cs="Arial"/>
          <w:b/>
          <w:color w:val="000000" w:themeColor="text1"/>
          <w:sz w:val="24"/>
          <w:szCs w:val="24"/>
        </w:rPr>
      </w:pPr>
    </w:p>
    <w:p w14:paraId="347FC71B" w14:textId="77777777" w:rsidR="00BB3A7B" w:rsidRPr="00B86CDB" w:rsidRDefault="00BB3A7B" w:rsidP="00BB3A7B">
      <w:pPr>
        <w:spacing w:after="120" w:line="360" w:lineRule="auto"/>
        <w:contextualSpacing/>
        <w:jc w:val="both"/>
        <w:rPr>
          <w:rFonts w:ascii="Palatino Linotype" w:hAnsi="Palatino Linotype" w:cs="Arial"/>
          <w:b/>
          <w:color w:val="000000" w:themeColor="text1"/>
          <w:sz w:val="24"/>
          <w:szCs w:val="24"/>
        </w:rPr>
      </w:pPr>
      <w:r w:rsidRPr="00B86CDB">
        <w:rPr>
          <w:rFonts w:ascii="Palatino Linotype" w:hAnsi="Palatino Linotype" w:cs="Arial"/>
          <w:b/>
          <w:color w:val="000000" w:themeColor="text1"/>
          <w:sz w:val="24"/>
          <w:szCs w:val="24"/>
        </w:rPr>
        <w:lastRenderedPageBreak/>
        <w:t>Supuestos de clasificación.</w:t>
      </w:r>
    </w:p>
    <w:p w14:paraId="250624E3" w14:textId="77777777" w:rsidR="00BB3A7B" w:rsidRPr="00B86CDB" w:rsidRDefault="00BB3A7B" w:rsidP="00BB3A7B">
      <w:pPr>
        <w:spacing w:after="120" w:line="360" w:lineRule="auto"/>
        <w:contextualSpacing/>
        <w:jc w:val="both"/>
        <w:rPr>
          <w:rFonts w:ascii="Palatino Linotype" w:hAnsi="Palatino Linotype" w:cs="Arial"/>
          <w:b/>
          <w:color w:val="000000" w:themeColor="text1"/>
          <w:sz w:val="24"/>
          <w:szCs w:val="24"/>
        </w:rPr>
      </w:pPr>
    </w:p>
    <w:p w14:paraId="77C1D647"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rPr>
      </w:pPr>
      <w:r w:rsidRPr="00B86CDB">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62465C60"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4052AF02"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14:paraId="3F10BB4A" w14:textId="77777777" w:rsidR="00BB3A7B" w:rsidRPr="00B86CDB" w:rsidRDefault="00BB3A7B" w:rsidP="00BB3A7B">
      <w:pPr>
        <w:contextualSpacing/>
        <w:rPr>
          <w:rFonts w:ascii="Palatino Linotype" w:hAnsi="Palatino Linotype" w:cs="Arial"/>
          <w:color w:val="000000" w:themeColor="text1"/>
          <w:sz w:val="24"/>
          <w:szCs w:val="24"/>
          <w:lang w:val="es-ES_tradnl"/>
        </w:rPr>
      </w:pPr>
    </w:p>
    <w:p w14:paraId="7FEDDE5F" w14:textId="77777777" w:rsidR="00BB3A7B" w:rsidRPr="00B86CDB" w:rsidRDefault="00BB3A7B" w:rsidP="00BB3A7B">
      <w:pPr>
        <w:spacing w:after="120" w:line="360" w:lineRule="auto"/>
        <w:ind w:left="567" w:right="615"/>
        <w:contextualSpacing/>
        <w:jc w:val="both"/>
        <w:rPr>
          <w:rFonts w:ascii="Palatino Linotype" w:hAnsi="Palatino Linotype" w:cs="Arial"/>
          <w:i/>
          <w:color w:val="000000" w:themeColor="text1"/>
        </w:rPr>
      </w:pPr>
      <w:r w:rsidRPr="00B86CDB">
        <w:rPr>
          <w:rFonts w:ascii="Palatino Linotype" w:hAnsi="Palatino Linotype" w:cs="Arial"/>
          <w:bCs/>
          <w:i/>
          <w:color w:val="000000" w:themeColor="text1"/>
          <w:sz w:val="24"/>
          <w:szCs w:val="24"/>
        </w:rPr>
        <w:t xml:space="preserve">I. </w:t>
      </w:r>
      <w:r w:rsidRPr="00B86CDB">
        <w:rPr>
          <w:rFonts w:ascii="Palatino Linotype" w:hAnsi="Palatino Linotype" w:cs="Arial"/>
          <w:i/>
          <w:color w:val="000000" w:themeColor="text1"/>
        </w:rPr>
        <w:t xml:space="preserve">Se refiera a la información privada y los datos personales concernientes a una persona física o </w:t>
      </w:r>
      <w:proofErr w:type="gramStart"/>
      <w:r w:rsidRPr="00B86CDB">
        <w:rPr>
          <w:rFonts w:ascii="Palatino Linotype" w:hAnsi="Palatino Linotype" w:cs="Arial"/>
          <w:i/>
          <w:color w:val="000000" w:themeColor="text1"/>
        </w:rPr>
        <w:t>jurídico</w:t>
      </w:r>
      <w:proofErr w:type="gramEnd"/>
      <w:r w:rsidRPr="00B86CDB">
        <w:rPr>
          <w:rFonts w:ascii="Palatino Linotype" w:hAnsi="Palatino Linotype" w:cs="Arial"/>
          <w:i/>
          <w:color w:val="000000" w:themeColor="text1"/>
        </w:rPr>
        <w:t xml:space="preserve"> colectiva identificada o identificable; </w:t>
      </w:r>
    </w:p>
    <w:p w14:paraId="6378D034" w14:textId="77777777" w:rsidR="00BB3A7B" w:rsidRPr="00B86CDB" w:rsidRDefault="00BB3A7B" w:rsidP="00BB3A7B">
      <w:pPr>
        <w:spacing w:after="120" w:line="360" w:lineRule="auto"/>
        <w:ind w:left="567" w:right="615"/>
        <w:contextualSpacing/>
        <w:jc w:val="both"/>
        <w:rPr>
          <w:rFonts w:ascii="Palatino Linotype" w:hAnsi="Palatino Linotype" w:cs="Arial"/>
          <w:i/>
          <w:color w:val="000000" w:themeColor="text1"/>
        </w:rPr>
      </w:pPr>
      <w:r w:rsidRPr="00B86CDB">
        <w:rPr>
          <w:rFonts w:ascii="Palatino Linotype" w:hAnsi="Palatino Linotype" w:cs="Arial"/>
          <w:bCs/>
          <w:i/>
          <w:color w:val="000000" w:themeColor="text1"/>
        </w:rPr>
        <w:t xml:space="preserve">II. </w:t>
      </w:r>
      <w:r w:rsidRPr="00B86CDB">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CD85819" w14:textId="77777777" w:rsidR="00BB3A7B" w:rsidRPr="00B86CDB" w:rsidRDefault="00BB3A7B" w:rsidP="00BB3A7B">
      <w:pPr>
        <w:spacing w:after="120" w:line="360" w:lineRule="auto"/>
        <w:ind w:left="567" w:right="615"/>
        <w:contextualSpacing/>
        <w:jc w:val="both"/>
        <w:rPr>
          <w:rFonts w:ascii="Palatino Linotype" w:hAnsi="Palatino Linotype" w:cs="Arial"/>
          <w:i/>
          <w:color w:val="000000" w:themeColor="text1"/>
        </w:rPr>
      </w:pPr>
      <w:r w:rsidRPr="00B86CDB">
        <w:rPr>
          <w:rFonts w:ascii="Palatino Linotype" w:hAnsi="Palatino Linotype" w:cs="Arial"/>
          <w:bCs/>
          <w:i/>
          <w:color w:val="000000" w:themeColor="text1"/>
        </w:rPr>
        <w:t xml:space="preserve">III. </w:t>
      </w:r>
      <w:r w:rsidRPr="00B86CDB">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02B87E91" w14:textId="77777777" w:rsidR="00BB3A7B" w:rsidRPr="00B86CDB" w:rsidRDefault="00BB3A7B" w:rsidP="00BB3A7B">
      <w:pPr>
        <w:spacing w:after="120" w:line="360" w:lineRule="auto"/>
        <w:ind w:left="567" w:right="615"/>
        <w:contextualSpacing/>
        <w:jc w:val="both"/>
        <w:rPr>
          <w:rFonts w:ascii="Palatino Linotype" w:hAnsi="Palatino Linotype" w:cs="Arial"/>
          <w:i/>
          <w:color w:val="000000" w:themeColor="text1"/>
        </w:rPr>
      </w:pPr>
      <w:r w:rsidRPr="00B86CDB">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ADC3F16" w14:textId="77777777" w:rsidR="00BB3A7B" w:rsidRPr="00B86CDB" w:rsidRDefault="00BB3A7B" w:rsidP="00BB3A7B">
      <w:pPr>
        <w:spacing w:after="120" w:line="360" w:lineRule="auto"/>
        <w:ind w:left="567" w:right="615"/>
        <w:contextualSpacing/>
        <w:jc w:val="both"/>
        <w:rPr>
          <w:rFonts w:ascii="Palatino Linotype" w:hAnsi="Palatino Linotype" w:cs="Arial"/>
          <w:i/>
          <w:color w:val="000000" w:themeColor="text1"/>
        </w:rPr>
      </w:pPr>
      <w:r w:rsidRPr="00B86CDB">
        <w:rPr>
          <w:rFonts w:ascii="Palatino Linotype" w:hAnsi="Palatino Linotype" w:cs="Arial"/>
          <w:i/>
          <w:color w:val="000000" w:themeColor="text1"/>
        </w:rPr>
        <w:lastRenderedPageBreak/>
        <w:t xml:space="preserve">No se considerará confidencial la información que se encuentre en los registros públicos o en fuentes de acceso público, ni tampoco la que sea considerada por la presente ley como inform.3ación pública. </w:t>
      </w:r>
    </w:p>
    <w:p w14:paraId="6E6D3AF5" w14:textId="77777777" w:rsidR="00BB3A7B" w:rsidRPr="00B86CDB" w:rsidRDefault="00BB3A7B" w:rsidP="00BB3A7B">
      <w:pPr>
        <w:spacing w:after="120" w:line="360" w:lineRule="auto"/>
        <w:ind w:left="567" w:right="615"/>
        <w:contextualSpacing/>
        <w:jc w:val="both"/>
        <w:rPr>
          <w:rFonts w:ascii="Palatino Linotype" w:hAnsi="Palatino Linotype" w:cs="Arial"/>
          <w:i/>
          <w:color w:val="000000" w:themeColor="text1"/>
        </w:rPr>
      </w:pPr>
    </w:p>
    <w:p w14:paraId="6F7BC59B"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58CE35"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rPr>
      </w:pPr>
    </w:p>
    <w:p w14:paraId="3BEBADAE"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B86CDB">
        <w:rPr>
          <w:rFonts w:ascii="Palatino Linotype" w:hAnsi="Palatino Linotype" w:cs="Arial"/>
          <w:color w:val="000000" w:themeColor="text1"/>
          <w:sz w:val="24"/>
          <w:szCs w:val="24"/>
          <w:vertAlign w:val="superscript"/>
          <w:lang w:val="es-ES_tradnl"/>
        </w:rPr>
        <w:footnoteReference w:id="4"/>
      </w:r>
      <w:r w:rsidRPr="00B86CDB">
        <w:rPr>
          <w:rFonts w:ascii="Palatino Linotype" w:hAnsi="Palatino Linotype" w:cs="Arial"/>
          <w:color w:val="000000" w:themeColor="text1"/>
          <w:sz w:val="24"/>
          <w:szCs w:val="24"/>
          <w:lang w:val="es-ES_tradnl"/>
        </w:rPr>
        <w:t xml:space="preserve"> para </w:t>
      </w:r>
      <w:r w:rsidRPr="00B86CDB">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5B72D1BD"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5EE51E38" w14:textId="77777777" w:rsidR="00BB3A7B" w:rsidRPr="00B86CDB" w:rsidRDefault="00BB3A7B" w:rsidP="00BB3A7B">
      <w:pPr>
        <w:spacing w:after="120" w:line="360" w:lineRule="auto"/>
        <w:contextualSpacing/>
        <w:jc w:val="both"/>
        <w:rPr>
          <w:rFonts w:ascii="Palatino Linotype" w:hAnsi="Palatino Linotype" w:cs="Arial"/>
          <w:b/>
          <w:color w:val="000000" w:themeColor="text1"/>
          <w:sz w:val="24"/>
          <w:szCs w:val="24"/>
        </w:rPr>
      </w:pPr>
      <w:r w:rsidRPr="00B86CDB">
        <w:rPr>
          <w:rFonts w:ascii="Palatino Linotype" w:hAnsi="Palatino Linotype" w:cs="Arial"/>
          <w:b/>
          <w:color w:val="000000" w:themeColor="text1"/>
          <w:sz w:val="24"/>
          <w:szCs w:val="24"/>
        </w:rPr>
        <w:t>Formalidades para emitir el acuerdo de clasificación.</w:t>
      </w:r>
    </w:p>
    <w:p w14:paraId="16C52D07" w14:textId="77777777" w:rsidR="00BB3A7B" w:rsidRPr="00B86CDB" w:rsidRDefault="00BB3A7B" w:rsidP="00BB3A7B">
      <w:pPr>
        <w:spacing w:after="120" w:line="360" w:lineRule="auto"/>
        <w:contextualSpacing/>
        <w:jc w:val="both"/>
        <w:rPr>
          <w:rFonts w:ascii="Palatino Linotype" w:hAnsi="Palatino Linotype" w:cs="Arial"/>
          <w:b/>
          <w:color w:val="000000" w:themeColor="text1"/>
          <w:sz w:val="24"/>
          <w:szCs w:val="24"/>
        </w:rPr>
      </w:pPr>
    </w:p>
    <w:p w14:paraId="255D217D"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00DA77E1"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5835A072"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B86CDB">
        <w:rPr>
          <w:rFonts w:ascii="Palatino Linotype" w:hAnsi="Palatino Linotype" w:cs="Arial"/>
          <w:b/>
          <w:color w:val="000000" w:themeColor="text1"/>
          <w:sz w:val="24"/>
          <w:szCs w:val="24"/>
          <w:u w:val="single"/>
          <w:lang w:val="es-ES_tradnl"/>
        </w:rPr>
        <w:t>el acto reúna con los requisitos elementales</w:t>
      </w:r>
      <w:r w:rsidRPr="00B86CDB">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B86CDB">
        <w:rPr>
          <w:rFonts w:ascii="Palatino Linotype" w:hAnsi="Palatino Linotype" w:cs="Arial"/>
          <w:color w:val="000000" w:themeColor="text1"/>
          <w:sz w:val="24"/>
          <w:szCs w:val="24"/>
          <w:lang w:val="es-ES_tradnl"/>
        </w:rPr>
        <w:lastRenderedPageBreak/>
        <w:t>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1C59079D"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1E85DAF1"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02D1F47"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2E15A476" w14:textId="77777777" w:rsidR="00BB3A7B" w:rsidRPr="00B86CDB" w:rsidRDefault="00BB3A7B" w:rsidP="00BB3A7B">
      <w:pPr>
        <w:spacing w:after="120" w:line="360" w:lineRule="auto"/>
        <w:contextualSpacing/>
        <w:jc w:val="both"/>
        <w:rPr>
          <w:rFonts w:ascii="Palatino Linotype" w:hAnsi="Palatino Linotype" w:cs="Arial"/>
          <w:b/>
          <w:color w:val="000000" w:themeColor="text1"/>
          <w:sz w:val="24"/>
          <w:szCs w:val="24"/>
        </w:rPr>
      </w:pPr>
      <w:r w:rsidRPr="00B86CDB">
        <w:rPr>
          <w:rFonts w:ascii="Palatino Linotype" w:hAnsi="Palatino Linotype" w:cs="Arial"/>
          <w:b/>
          <w:color w:val="000000" w:themeColor="text1"/>
          <w:sz w:val="24"/>
          <w:szCs w:val="24"/>
        </w:rPr>
        <w:t>Requisitos</w:t>
      </w:r>
      <w:r w:rsidRPr="00B86CDB">
        <w:rPr>
          <w:rFonts w:ascii="Palatino Linotype" w:hAnsi="Palatino Linotype" w:cs="Arial"/>
          <w:color w:val="000000" w:themeColor="text1"/>
          <w:sz w:val="24"/>
          <w:szCs w:val="24"/>
        </w:rPr>
        <w:t xml:space="preserve"> </w:t>
      </w:r>
      <w:r w:rsidRPr="00B86CDB">
        <w:rPr>
          <w:rFonts w:ascii="Palatino Linotype" w:hAnsi="Palatino Linotype" w:cs="Arial"/>
          <w:b/>
          <w:color w:val="000000" w:themeColor="text1"/>
          <w:sz w:val="24"/>
          <w:szCs w:val="24"/>
        </w:rPr>
        <w:t>de fondo del acuerdo de clasificación.</w:t>
      </w:r>
    </w:p>
    <w:p w14:paraId="0F530927"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rPr>
      </w:pPr>
    </w:p>
    <w:p w14:paraId="7F92DF2D"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B86CDB">
        <w:rPr>
          <w:rFonts w:ascii="Palatino Linotype" w:hAnsi="Palatino Linotype" w:cs="Arial"/>
          <w:color w:val="000000" w:themeColor="text1"/>
          <w:sz w:val="24"/>
          <w:szCs w:val="24"/>
          <w:lang w:val="es-ES_tradn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088C286"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599B6E36"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 xml:space="preserve">De lo anterior, se desprende que para una correcta </w:t>
      </w:r>
      <w:r w:rsidRPr="00B86CDB">
        <w:rPr>
          <w:rFonts w:ascii="Palatino Linotype" w:hAnsi="Palatino Linotype" w:cs="Arial"/>
          <w:b/>
          <w:color w:val="000000" w:themeColor="text1"/>
          <w:sz w:val="24"/>
          <w:szCs w:val="24"/>
          <w:lang w:val="es-ES_tradnl"/>
        </w:rPr>
        <w:t>clasificación total o parcial</w:t>
      </w:r>
      <w:r w:rsidRPr="00B86CDB">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DFFE29"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3E263DFE"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B86CDB">
        <w:rPr>
          <w:rFonts w:ascii="Palatino Linotype" w:hAnsi="Palatino Linotype" w:cs="Arial"/>
          <w:color w:val="000000" w:themeColor="text1"/>
          <w:sz w:val="24"/>
          <w:szCs w:val="24"/>
          <w:lang w:val="es-ES_tradnl"/>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86CDB">
        <w:rPr>
          <w:rFonts w:ascii="Palatino Linotype" w:hAnsi="Palatino Linotype" w:cs="Arial"/>
          <w:color w:val="000000" w:themeColor="text1"/>
          <w:sz w:val="24"/>
          <w:szCs w:val="24"/>
          <w:vertAlign w:val="superscript"/>
          <w:lang w:val="es-ES_tradnl"/>
        </w:rPr>
        <w:footnoteReference w:id="5"/>
      </w:r>
    </w:p>
    <w:p w14:paraId="5C24FD9B"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12221654"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14:paraId="40BF4106"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rPr>
      </w:pPr>
    </w:p>
    <w:p w14:paraId="042E58FA" w14:textId="77777777" w:rsidR="00BB3A7B" w:rsidRPr="00B86CDB" w:rsidRDefault="00BB3A7B" w:rsidP="00BB3A7B">
      <w:pPr>
        <w:spacing w:after="120" w:line="360" w:lineRule="auto"/>
        <w:ind w:left="567" w:right="567"/>
        <w:contextualSpacing/>
        <w:jc w:val="both"/>
        <w:rPr>
          <w:rFonts w:ascii="Palatino Linotype" w:hAnsi="Palatino Linotype" w:cs="Arial"/>
          <w:i/>
          <w:color w:val="000000" w:themeColor="text1"/>
        </w:rPr>
      </w:pPr>
      <w:r w:rsidRPr="00B86CDB">
        <w:rPr>
          <w:rFonts w:ascii="Palatino Linotype" w:hAnsi="Palatino Linotype" w:cs="Arial"/>
          <w:b/>
          <w:i/>
          <w:color w:val="000000" w:themeColor="text1"/>
        </w:rPr>
        <w:t>FUNDAMENTACIÓN Y MOTIVACIÓN.</w:t>
      </w:r>
      <w:r w:rsidRPr="00B86CDB">
        <w:rPr>
          <w:rFonts w:ascii="Palatino Linotype" w:hAnsi="Palatino Linotype" w:cs="Arial"/>
          <w:i/>
          <w:color w:val="000000" w:themeColor="text1"/>
        </w:rPr>
        <w:t xml:space="preserve"> La </w:t>
      </w:r>
      <w:r w:rsidRPr="00B86CDB">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86CDB">
        <w:rPr>
          <w:rFonts w:ascii="Palatino Linotype" w:hAnsi="Palatino Linotype" w:cs="Arial"/>
          <w:i/>
          <w:color w:val="000000" w:themeColor="text1"/>
        </w:rPr>
        <w:t>.</w:t>
      </w:r>
    </w:p>
    <w:p w14:paraId="0118217A" w14:textId="77777777" w:rsidR="00BB3A7B" w:rsidRPr="00B86CDB" w:rsidRDefault="00BB3A7B" w:rsidP="00BB3A7B">
      <w:pPr>
        <w:spacing w:after="120" w:line="360" w:lineRule="auto"/>
        <w:ind w:left="567" w:right="567"/>
        <w:contextualSpacing/>
        <w:jc w:val="both"/>
        <w:rPr>
          <w:rFonts w:ascii="Palatino Linotype" w:hAnsi="Palatino Linotype" w:cs="Arial"/>
          <w:i/>
          <w:color w:val="000000" w:themeColor="text1"/>
        </w:rPr>
      </w:pPr>
      <w:r w:rsidRPr="00B86CDB">
        <w:rPr>
          <w:rFonts w:ascii="Palatino Linotype" w:hAnsi="Palatino Linotype" w:cs="Arial"/>
          <w:i/>
          <w:color w:val="000000" w:themeColor="text1"/>
        </w:rPr>
        <w:t>SEGUNDO TRIBUNAL COLEGIADO DEL SEXTO CIRCUITO.</w:t>
      </w:r>
    </w:p>
    <w:p w14:paraId="15C8F0B5" w14:textId="77777777" w:rsidR="00BB3A7B" w:rsidRPr="00B86CDB" w:rsidRDefault="00BB3A7B" w:rsidP="00BB3A7B">
      <w:pPr>
        <w:spacing w:after="120" w:line="360" w:lineRule="auto"/>
        <w:ind w:left="567" w:right="567"/>
        <w:contextualSpacing/>
        <w:jc w:val="both"/>
        <w:rPr>
          <w:rFonts w:ascii="Palatino Linotype" w:hAnsi="Palatino Linotype" w:cs="Arial"/>
          <w:i/>
          <w:color w:val="000000" w:themeColor="text1"/>
        </w:rPr>
      </w:pPr>
      <w:r w:rsidRPr="00B86CDB">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58C709C0" w14:textId="77777777" w:rsidR="00BB3A7B" w:rsidRPr="00B86CDB" w:rsidRDefault="00BB3A7B" w:rsidP="00BB3A7B">
      <w:pPr>
        <w:spacing w:after="120" w:line="360" w:lineRule="auto"/>
        <w:ind w:left="567" w:right="567"/>
        <w:contextualSpacing/>
        <w:jc w:val="both"/>
        <w:rPr>
          <w:rFonts w:ascii="Palatino Linotype" w:hAnsi="Palatino Linotype" w:cs="Arial"/>
          <w:i/>
          <w:color w:val="000000" w:themeColor="text1"/>
        </w:rPr>
      </w:pPr>
      <w:r w:rsidRPr="00B86CDB">
        <w:rPr>
          <w:rFonts w:ascii="Palatino Linotype" w:hAnsi="Palatino Linotype" w:cs="Arial"/>
          <w:i/>
          <w:color w:val="000000" w:themeColor="text1"/>
        </w:rPr>
        <w:lastRenderedPageBreak/>
        <w:t xml:space="preserve">Revisión fiscal 103/88. Instituto Mexicano del Seguro Social. 18 de octubre de 1988. Unanimidad de votos. Ponente: Arnoldo Nájera Virgen. Secretario: Alejandro </w:t>
      </w:r>
      <w:proofErr w:type="spellStart"/>
      <w:r w:rsidRPr="00B86CDB">
        <w:rPr>
          <w:rFonts w:ascii="Palatino Linotype" w:hAnsi="Palatino Linotype" w:cs="Arial"/>
          <w:i/>
          <w:color w:val="000000" w:themeColor="text1"/>
        </w:rPr>
        <w:t>Esponda</w:t>
      </w:r>
      <w:proofErr w:type="spellEnd"/>
      <w:r w:rsidRPr="00B86CDB">
        <w:rPr>
          <w:rFonts w:ascii="Palatino Linotype" w:hAnsi="Palatino Linotype" w:cs="Arial"/>
          <w:i/>
          <w:color w:val="000000" w:themeColor="text1"/>
        </w:rPr>
        <w:t xml:space="preserve"> Rincón.</w:t>
      </w:r>
    </w:p>
    <w:p w14:paraId="66CDE05B" w14:textId="77777777" w:rsidR="00BB3A7B" w:rsidRPr="00B86CDB" w:rsidRDefault="00BB3A7B" w:rsidP="00BB3A7B">
      <w:pPr>
        <w:spacing w:after="120" w:line="360" w:lineRule="auto"/>
        <w:ind w:left="567" w:right="567"/>
        <w:contextualSpacing/>
        <w:jc w:val="both"/>
        <w:rPr>
          <w:rFonts w:ascii="Palatino Linotype" w:hAnsi="Palatino Linotype" w:cs="Arial"/>
          <w:i/>
          <w:color w:val="000000" w:themeColor="text1"/>
        </w:rPr>
      </w:pPr>
      <w:r w:rsidRPr="00B86CDB">
        <w:rPr>
          <w:rFonts w:ascii="Palatino Linotype" w:hAnsi="Palatino Linotype" w:cs="Arial"/>
          <w:i/>
          <w:color w:val="000000" w:themeColor="text1"/>
        </w:rPr>
        <w:t xml:space="preserve">Amparo en revisión 333/88. </w:t>
      </w:r>
      <w:proofErr w:type="spellStart"/>
      <w:r w:rsidRPr="00B86CDB">
        <w:rPr>
          <w:rFonts w:ascii="Palatino Linotype" w:hAnsi="Palatino Linotype" w:cs="Arial"/>
          <w:i/>
          <w:color w:val="000000" w:themeColor="text1"/>
        </w:rPr>
        <w:t>Adilia</w:t>
      </w:r>
      <w:proofErr w:type="spellEnd"/>
      <w:r w:rsidRPr="00B86CDB">
        <w:rPr>
          <w:rFonts w:ascii="Palatino Linotype" w:hAnsi="Palatino Linotype" w:cs="Arial"/>
          <w:i/>
          <w:color w:val="000000" w:themeColor="text1"/>
        </w:rPr>
        <w:t xml:space="preserve"> Romero. 26 de octubre de 1988. Unanimidad de votos. Ponente: Arnoldo Nájera Virgen. Secretario: Enrique Crispín Campos Ramírez.</w:t>
      </w:r>
    </w:p>
    <w:p w14:paraId="0324DDE0" w14:textId="77777777" w:rsidR="00BB3A7B" w:rsidRPr="00B86CDB" w:rsidRDefault="00BB3A7B" w:rsidP="00BB3A7B">
      <w:pPr>
        <w:spacing w:after="120" w:line="360" w:lineRule="auto"/>
        <w:ind w:left="567" w:right="567"/>
        <w:contextualSpacing/>
        <w:jc w:val="both"/>
        <w:rPr>
          <w:rFonts w:ascii="Palatino Linotype" w:hAnsi="Palatino Linotype" w:cs="Arial"/>
          <w:i/>
          <w:color w:val="000000" w:themeColor="text1"/>
        </w:rPr>
      </w:pPr>
      <w:r w:rsidRPr="00B86CDB">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B86CDB">
        <w:rPr>
          <w:rFonts w:ascii="Palatino Linotype" w:hAnsi="Palatino Linotype" w:cs="Arial"/>
          <w:i/>
          <w:color w:val="000000" w:themeColor="text1"/>
        </w:rPr>
        <w:t>Goyzueta</w:t>
      </w:r>
      <w:proofErr w:type="spellEnd"/>
      <w:r w:rsidRPr="00B86CDB">
        <w:rPr>
          <w:rFonts w:ascii="Palatino Linotype" w:hAnsi="Palatino Linotype" w:cs="Arial"/>
          <w:i/>
          <w:color w:val="000000" w:themeColor="text1"/>
        </w:rPr>
        <w:t>. Secretario: Gonzalo Carrera Molina.</w:t>
      </w:r>
    </w:p>
    <w:p w14:paraId="3860938C" w14:textId="77777777" w:rsidR="00BB3A7B" w:rsidRPr="00B86CDB" w:rsidRDefault="00BB3A7B" w:rsidP="00BB3A7B">
      <w:pPr>
        <w:spacing w:after="120" w:line="360" w:lineRule="auto"/>
        <w:ind w:left="567" w:right="567"/>
        <w:contextualSpacing/>
        <w:jc w:val="both"/>
        <w:rPr>
          <w:rFonts w:ascii="Palatino Linotype" w:hAnsi="Palatino Linotype" w:cs="Arial"/>
          <w:i/>
          <w:color w:val="000000" w:themeColor="text1"/>
        </w:rPr>
      </w:pPr>
      <w:r w:rsidRPr="00B86CDB">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B86CDB">
        <w:rPr>
          <w:rFonts w:ascii="Palatino Linotype" w:hAnsi="Palatino Linotype" w:cs="Arial"/>
          <w:i/>
          <w:color w:val="000000" w:themeColor="text1"/>
        </w:rPr>
        <w:t>Baigts</w:t>
      </w:r>
      <w:proofErr w:type="spellEnd"/>
      <w:r w:rsidRPr="00B86CDB">
        <w:rPr>
          <w:rFonts w:ascii="Palatino Linotype" w:hAnsi="Palatino Linotype" w:cs="Arial"/>
          <w:i/>
          <w:color w:val="000000" w:themeColor="text1"/>
        </w:rPr>
        <w:t xml:space="preserve"> Muñoz.</w:t>
      </w:r>
    </w:p>
    <w:p w14:paraId="6C092C0A"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
        </w:rPr>
      </w:pPr>
    </w:p>
    <w:p w14:paraId="36EB65BB"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FAA9890"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4EABC027"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DF76B1D"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07D5144D" w14:textId="77777777"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14:paraId="14787C82" w14:textId="77777777" w:rsidR="00BB3A7B" w:rsidRPr="00B86CDB"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6D4D32FB" w14:textId="0CCBDCA3" w:rsidR="00BB3A7B" w:rsidRPr="00B86CDB" w:rsidRDefault="00BB3A7B" w:rsidP="00BB3A7B">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B86CDB">
        <w:rPr>
          <w:rFonts w:ascii="Palatino Linotype" w:hAnsi="Palatino Linotype" w:cs="Arial"/>
          <w:color w:val="000000" w:themeColor="text1"/>
          <w:sz w:val="24"/>
          <w:szCs w:val="24"/>
          <w:lang w:val="es-ES_tradnl"/>
        </w:rPr>
        <w:t xml:space="preserve">Ahora bien, </w:t>
      </w:r>
      <w:r w:rsidRPr="00B86CDB">
        <w:rPr>
          <w:rFonts w:ascii="Palatino Linotype" w:hAnsi="Palatino Linotype" w:cs="Arial"/>
          <w:b/>
          <w:color w:val="000000" w:themeColor="text1"/>
          <w:sz w:val="24"/>
          <w:szCs w:val="24"/>
          <w:u w:val="single"/>
          <w:lang w:val="es-ES_tradnl"/>
        </w:rPr>
        <w:t>para cada caso además de fundar y motivar</w:t>
      </w:r>
      <w:r w:rsidRPr="00B86CDB">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86CDB">
        <w:rPr>
          <w:rFonts w:ascii="Palatino Linotype" w:hAnsi="Palatino Linotype" w:cs="Arial"/>
          <w:color w:val="000000" w:themeColor="text1"/>
          <w:sz w:val="24"/>
          <w:szCs w:val="24"/>
          <w:vertAlign w:val="superscript"/>
          <w:lang w:val="es-ES_tradnl"/>
        </w:rPr>
        <w:footnoteReference w:id="6"/>
      </w:r>
      <w:r w:rsidRPr="00B86CDB">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B86CDB">
        <w:rPr>
          <w:rFonts w:ascii="Palatino Linotype" w:hAnsi="Palatino Linotype" w:cs="Arial"/>
          <w:b/>
          <w:color w:val="000000" w:themeColor="text1"/>
          <w:sz w:val="24"/>
          <w:szCs w:val="24"/>
          <w:lang w:val="es-ES"/>
        </w:rPr>
        <w:t xml:space="preserve">Clave Única de Registro de Población (CURP), Registro Federal de Contribuyentes (R.F.C.) </w:t>
      </w:r>
      <w:r w:rsidRPr="00B86CDB">
        <w:rPr>
          <w:rFonts w:ascii="Palatino Linotype" w:hAnsi="Palatino Linotype" w:cs="Arial"/>
          <w:b/>
          <w:color w:val="000000" w:themeColor="text1"/>
          <w:sz w:val="24"/>
          <w:szCs w:val="24"/>
          <w:u w:val="single"/>
          <w:lang w:val="es-ES"/>
        </w:rPr>
        <w:t>siempre y cuando no se reciban recursos públicos,</w:t>
      </w:r>
      <w:r w:rsidRPr="00B86CDB">
        <w:rPr>
          <w:rFonts w:ascii="Palatino Linotype" w:hAnsi="Palatino Linotype" w:cs="Arial"/>
          <w:b/>
          <w:color w:val="000000" w:themeColor="text1"/>
          <w:sz w:val="24"/>
          <w:szCs w:val="24"/>
          <w:lang w:val="es-ES"/>
        </w:rPr>
        <w:t xml:space="preserve"> </w:t>
      </w:r>
      <w:proofErr w:type="spellStart"/>
      <w:r w:rsidRPr="00B86CDB">
        <w:rPr>
          <w:rFonts w:ascii="Palatino Linotype" w:hAnsi="Palatino Linotype" w:cs="Arial"/>
          <w:b/>
          <w:color w:val="000000" w:themeColor="text1"/>
          <w:sz w:val="24"/>
          <w:szCs w:val="24"/>
          <w:lang w:val="es-ES"/>
        </w:rPr>
        <w:t>clabes</w:t>
      </w:r>
      <w:proofErr w:type="spellEnd"/>
      <w:r w:rsidRPr="00B86CDB">
        <w:rPr>
          <w:rFonts w:ascii="Palatino Linotype" w:hAnsi="Palatino Linotype" w:cs="Arial"/>
          <w:b/>
          <w:color w:val="000000" w:themeColor="text1"/>
          <w:sz w:val="24"/>
          <w:szCs w:val="24"/>
          <w:lang w:val="es-ES"/>
        </w:rPr>
        <w:t xml:space="preserve"> interbancarias, número telefónico, correo personal, domicilio particular, fecha de nacimiento, edad,</w:t>
      </w:r>
      <w:r w:rsidRPr="00B86CDB">
        <w:rPr>
          <w:rFonts w:ascii="Palatino Linotype" w:hAnsi="Palatino Linotype" w:cs="Arial"/>
          <w:color w:val="000000" w:themeColor="text1"/>
          <w:sz w:val="24"/>
          <w:szCs w:val="24"/>
          <w:lang w:val="es-ES"/>
        </w:rPr>
        <w:t xml:space="preserve"> </w:t>
      </w:r>
      <w:r w:rsidRPr="00B86CDB">
        <w:rPr>
          <w:rFonts w:ascii="Palatino Linotype" w:hAnsi="Palatino Linotype" w:cs="Arial"/>
          <w:b/>
          <w:color w:val="000000" w:themeColor="text1"/>
          <w:sz w:val="24"/>
          <w:szCs w:val="24"/>
          <w:lang w:val="es-ES"/>
        </w:rPr>
        <w:t xml:space="preserve">lugar de nacimiento, huella dactilar u cualquier otro, </w:t>
      </w:r>
      <w:r w:rsidRPr="00B86CDB">
        <w:rPr>
          <w:rFonts w:ascii="Palatino Linotype" w:hAnsi="Palatino Linotype" w:cs="Arial"/>
          <w:color w:val="000000" w:themeColor="text1"/>
          <w:sz w:val="24"/>
          <w:szCs w:val="24"/>
          <w:lang w:val="es-ES"/>
        </w:rPr>
        <w:t xml:space="preserve">estos son datos susceptibles de clasificarse como confidenciales mediante una versión pública que deje a la vista los datos que ofrezcan la información requerida. </w:t>
      </w:r>
    </w:p>
    <w:p w14:paraId="62055979" w14:textId="51544707" w:rsidR="00D12590" w:rsidRPr="00B86CDB" w:rsidRDefault="00AB58A1" w:rsidP="00D12590">
      <w:pPr>
        <w:pStyle w:val="Ttulo1"/>
        <w:rPr>
          <w:rFonts w:ascii="Palatino Linotype" w:eastAsia="MS Mincho" w:hAnsi="Palatino Linotype" w:cs="Bookman Old Style"/>
          <w:b/>
          <w:color w:val="auto"/>
          <w:sz w:val="24"/>
          <w:szCs w:val="24"/>
          <w:lang w:eastAsia="es-MX"/>
        </w:rPr>
      </w:pPr>
      <w:bookmarkStart w:id="25" w:name="_Toc486525259"/>
      <w:bookmarkStart w:id="26" w:name="_Toc520970063"/>
      <w:bookmarkStart w:id="27" w:name="_Toc527655143"/>
      <w:bookmarkStart w:id="28" w:name="_Toc23333976"/>
      <w:bookmarkStart w:id="29" w:name="_Toc26467658"/>
      <w:bookmarkStart w:id="30" w:name="_Toc31920173"/>
      <w:bookmarkStart w:id="31" w:name="_Toc34247919"/>
      <w:bookmarkStart w:id="32" w:name="_Toc35023473"/>
      <w:bookmarkStart w:id="33" w:name="_Toc49261510"/>
      <w:bookmarkStart w:id="34" w:name="_Toc51249249"/>
      <w:bookmarkStart w:id="35" w:name="_Toc52277986"/>
      <w:bookmarkStart w:id="36" w:name="_Toc52939384"/>
      <w:bookmarkStart w:id="37" w:name="_Toc57332497"/>
      <w:r w:rsidRPr="00B86CDB">
        <w:rPr>
          <w:rFonts w:ascii="Palatino Linotype" w:hAnsi="Palatino Linotype"/>
          <w:b/>
          <w:color w:val="auto"/>
          <w:sz w:val="24"/>
          <w:szCs w:val="24"/>
          <w:lang w:val="es-ES_tradnl" w:eastAsia="es-ES"/>
        </w:rPr>
        <w:lastRenderedPageBreak/>
        <w:t>SEXTO</w:t>
      </w:r>
      <w:r w:rsidR="00D12590" w:rsidRPr="00B86CDB">
        <w:rPr>
          <w:rFonts w:ascii="Palatino Linotype" w:hAnsi="Palatino Linotype"/>
          <w:b/>
          <w:color w:val="auto"/>
          <w:sz w:val="24"/>
          <w:szCs w:val="24"/>
          <w:lang w:val="es-ES_tradnl" w:eastAsia="es-ES"/>
        </w:rPr>
        <w:t xml:space="preserve">. </w:t>
      </w:r>
      <w:bookmarkEnd w:id="25"/>
      <w:bookmarkEnd w:id="26"/>
      <w:bookmarkEnd w:id="27"/>
      <w:bookmarkEnd w:id="28"/>
      <w:bookmarkEnd w:id="29"/>
      <w:bookmarkEnd w:id="30"/>
      <w:bookmarkEnd w:id="31"/>
      <w:bookmarkEnd w:id="32"/>
      <w:bookmarkEnd w:id="33"/>
      <w:r w:rsidR="00D12590" w:rsidRPr="00B86CDB">
        <w:rPr>
          <w:rFonts w:ascii="Palatino Linotype" w:eastAsia="MS Mincho" w:hAnsi="Palatino Linotype" w:cs="Bookman Old Style"/>
          <w:b/>
          <w:color w:val="auto"/>
          <w:sz w:val="24"/>
          <w:szCs w:val="24"/>
          <w:lang w:eastAsia="es-MX"/>
        </w:rPr>
        <w:t>De la vista a la Dirección de Protección de Datos Personales.</w:t>
      </w:r>
      <w:bookmarkEnd w:id="34"/>
      <w:bookmarkEnd w:id="35"/>
      <w:bookmarkEnd w:id="36"/>
      <w:bookmarkEnd w:id="37"/>
    </w:p>
    <w:p w14:paraId="024654D9"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5F31ACCC" w14:textId="7AA581EA" w:rsidR="00D12590" w:rsidRPr="00B86CDB" w:rsidRDefault="00D12590" w:rsidP="00AB58A1">
      <w:pPr>
        <w:numPr>
          <w:ilvl w:val="0"/>
          <w:numId w:val="2"/>
        </w:numPr>
        <w:spacing w:after="120" w:line="360" w:lineRule="auto"/>
        <w:ind w:left="0" w:firstLine="0"/>
        <w:contextualSpacing/>
        <w:jc w:val="both"/>
        <w:rPr>
          <w:rFonts w:ascii="Palatino Linotype" w:eastAsia="MS Gothic" w:hAnsi="Palatino Linotype" w:cs="Times New Roman"/>
          <w:sz w:val="24"/>
          <w:szCs w:val="24"/>
        </w:rPr>
      </w:pPr>
      <w:r w:rsidRPr="00B86CDB">
        <w:rPr>
          <w:rFonts w:ascii="Palatino Linotype" w:hAnsi="Palatino Linotype" w:cs="Arial"/>
          <w:color w:val="000000" w:themeColor="text1"/>
          <w:sz w:val="24"/>
          <w:szCs w:val="24"/>
          <w:lang w:val="es-ES_tradnl"/>
        </w:rPr>
        <w:t>Por</w:t>
      </w:r>
      <w:r w:rsidRPr="00B86CDB">
        <w:rPr>
          <w:rFonts w:ascii="Palatino Linotype" w:eastAsia="MS Mincho" w:hAnsi="Palatino Linotype" w:cs="Bookman Old Style"/>
          <w:sz w:val="24"/>
          <w:szCs w:val="24"/>
          <w:lang w:eastAsia="es-MX"/>
        </w:rPr>
        <w:t xml:space="preserve"> lo anterior, es necesario señalar que </w:t>
      </w:r>
      <w:r w:rsidRPr="00B86CDB">
        <w:rPr>
          <w:rFonts w:ascii="Palatino Linotype" w:eastAsia="MS Mincho" w:hAnsi="Palatino Linotype" w:cs="Times New Roman"/>
          <w:sz w:val="24"/>
          <w:szCs w:val="24"/>
        </w:rPr>
        <w:t xml:space="preserve">el recurso de revisión previsto en la Ley de la materia no es el medio para investigar y en su caso, sancionar a los responsables del tratamiento de datos personales </w:t>
      </w:r>
      <w:r w:rsidRPr="00B86CDB">
        <w:rPr>
          <w:rFonts w:ascii="Palatino Linotype" w:eastAsia="MS Mincho" w:hAnsi="Palatino Linotype" w:cs="Times New Roman"/>
          <w:b/>
          <w:sz w:val="24"/>
          <w:szCs w:val="24"/>
          <w:u w:val="single"/>
        </w:rPr>
        <w:t>por haber expuesto datos personales concernientes a una persona física</w:t>
      </w:r>
      <w:r w:rsidRPr="00B86CDB">
        <w:rPr>
          <w:rFonts w:ascii="Palatino Linotype" w:eastAsia="MS Mincho" w:hAnsi="Palatino Linotype" w:cs="Times New Roman"/>
          <w:sz w:val="24"/>
          <w:szCs w:val="24"/>
        </w:rPr>
        <w:t xml:space="preserve"> ajena al recurso de revisión que hoy nos ocupa como son </w:t>
      </w:r>
      <w:r w:rsidR="00AB58A1" w:rsidRPr="00B86CDB">
        <w:rPr>
          <w:rFonts w:ascii="Palatino Linotype" w:eastAsia="MS Mincho" w:hAnsi="Palatino Linotype" w:cs="Times New Roman"/>
          <w:sz w:val="24"/>
          <w:szCs w:val="24"/>
        </w:rPr>
        <w:t xml:space="preserve">la huella dactilar que se dejó visible en el certificado de no antecedentes penales remitido en informe justificado en el archivo identificado como </w:t>
      </w:r>
      <w:r w:rsidR="00AB58A1" w:rsidRPr="00B86CDB">
        <w:rPr>
          <w:rFonts w:ascii="Palatino Linotype" w:eastAsia="Calibri" w:hAnsi="Palatino Linotype" w:cs="Arial"/>
          <w:b/>
          <w:i/>
          <w:lang w:val="es-ES"/>
        </w:rPr>
        <w:t xml:space="preserve">ANEXO RR 4040-2020.pdf, </w:t>
      </w:r>
      <w:r w:rsidRPr="00B86CDB">
        <w:rPr>
          <w:rFonts w:ascii="Palatino Linotype" w:eastAsia="MS Mincho" w:hAnsi="Palatino Linotype" w:cs="Times New Roman"/>
          <w:sz w:val="24"/>
          <w:szCs w:val="24"/>
        </w:rPr>
        <w:t xml:space="preserve"> sin embargo, dados los planteamientos expuestos a lo largo de la presente resolución, se dará vista al área competente para que en ejercicio de sus atribuciones realice las investigaciones pertinentes por las omisiones detectadas atribuibles al </w:t>
      </w:r>
      <w:r w:rsidRPr="00B86CDB">
        <w:rPr>
          <w:rFonts w:ascii="Palatino Linotype" w:eastAsia="MS Mincho" w:hAnsi="Palatino Linotype" w:cs="Times New Roman"/>
          <w:b/>
          <w:sz w:val="24"/>
          <w:szCs w:val="24"/>
        </w:rPr>
        <w:t>SUJETO OBLIGADO</w:t>
      </w:r>
      <w:r w:rsidRPr="00B86CDB">
        <w:rPr>
          <w:rFonts w:ascii="Palatino Linotype" w:eastAsia="MS Mincho" w:hAnsi="Palatino Linotype" w:cs="Times New Roman"/>
          <w:sz w:val="24"/>
          <w:szCs w:val="24"/>
        </w:rPr>
        <w:t>.</w:t>
      </w:r>
    </w:p>
    <w:p w14:paraId="3A75ED29" w14:textId="77777777" w:rsidR="00AB58A1" w:rsidRPr="00B86CDB" w:rsidRDefault="00AB58A1" w:rsidP="00AB58A1">
      <w:pPr>
        <w:spacing w:after="120" w:line="360" w:lineRule="auto"/>
        <w:contextualSpacing/>
        <w:jc w:val="both"/>
        <w:rPr>
          <w:rFonts w:ascii="Palatino Linotype" w:eastAsia="MS Gothic" w:hAnsi="Palatino Linotype" w:cs="Times New Roman"/>
          <w:sz w:val="24"/>
          <w:szCs w:val="24"/>
        </w:rPr>
      </w:pPr>
    </w:p>
    <w:p w14:paraId="2AE9318A" w14:textId="77777777" w:rsidR="00D12590" w:rsidRPr="00B86CDB" w:rsidRDefault="00D12590" w:rsidP="00AB58A1">
      <w:pPr>
        <w:numPr>
          <w:ilvl w:val="0"/>
          <w:numId w:val="2"/>
        </w:numPr>
        <w:spacing w:after="120" w:line="360" w:lineRule="auto"/>
        <w:ind w:left="0" w:firstLine="0"/>
        <w:contextualSpacing/>
        <w:jc w:val="both"/>
        <w:rPr>
          <w:rFonts w:ascii="Palatino Linotype" w:eastAsia="MS Gothic" w:hAnsi="Palatino Linotype" w:cs="Times New Roman"/>
          <w:sz w:val="24"/>
          <w:szCs w:val="24"/>
        </w:rPr>
      </w:pPr>
      <w:r w:rsidRPr="00B86CDB">
        <w:rPr>
          <w:rFonts w:ascii="Palatino Linotype" w:eastAsia="MS Mincho" w:hAnsi="Palatino Linotype" w:cs="Bookman Old Style"/>
          <w:sz w:val="24"/>
          <w:szCs w:val="24"/>
          <w:lang w:eastAsia="es-MX"/>
        </w:rPr>
        <w:t xml:space="preserve">Por ello, </w:t>
      </w:r>
      <w:r w:rsidRPr="00B86CDB">
        <w:rPr>
          <w:rFonts w:ascii="Palatino Linotype" w:eastAsia="MS Mincho" w:hAnsi="Palatino Linotype" w:cs="Times New Roman"/>
          <w:sz w:val="24"/>
          <w:szCs w:val="24"/>
        </w:rPr>
        <w:t>es conveniente señalar las fracciones XIV, XXII, XXIII y XXV, del artículo 82, de la Ley de Protección de Datos Personales en Posesión de Sujetos Obligados del Estado de México y Municipios, que establece:</w:t>
      </w:r>
    </w:p>
    <w:p w14:paraId="4F1E3F78"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 w:val="24"/>
          <w:szCs w:val="24"/>
        </w:rPr>
      </w:pPr>
    </w:p>
    <w:p w14:paraId="5675AB3F"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b/>
          <w:i/>
        </w:rPr>
      </w:pPr>
      <w:r w:rsidRPr="00B86CDB">
        <w:rPr>
          <w:rFonts w:ascii="Palatino Linotype" w:hAnsi="Palatino Linotype"/>
          <w:b/>
          <w:i/>
        </w:rPr>
        <w:t xml:space="preserve">Atribuciones del Instituto </w:t>
      </w:r>
    </w:p>
    <w:p w14:paraId="7B3762C1"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86CDB">
        <w:rPr>
          <w:rFonts w:ascii="Palatino Linotype" w:hAnsi="Palatino Linotype"/>
          <w:b/>
          <w:i/>
        </w:rPr>
        <w:t>Artículo 82.</w:t>
      </w:r>
      <w:r w:rsidRPr="00B86CDB">
        <w:rPr>
          <w:rFonts w:ascii="Palatino Linotype" w:hAnsi="Palatino Linotype"/>
          <w:i/>
        </w:rPr>
        <w:t xml:space="preserve"> El Instituto, además de las atribuciones encomendadas por la Ley de Transparencia y normatividad aplicable, tendrá las atribuciones siguientes:</w:t>
      </w:r>
    </w:p>
    <w:p w14:paraId="16D48246"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eastAsia="MS Mincho" w:hAnsi="Palatino Linotype" w:cs="Times New Roman"/>
          <w:i/>
        </w:rPr>
      </w:pPr>
      <w:r w:rsidRPr="00B86CDB">
        <w:rPr>
          <w:rFonts w:ascii="Palatino Linotype" w:hAnsi="Palatino Linotype"/>
          <w:i/>
        </w:rPr>
        <w:lastRenderedPageBreak/>
        <w:t>(…)</w:t>
      </w:r>
    </w:p>
    <w:p w14:paraId="71966A27"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86CDB">
        <w:rPr>
          <w:rFonts w:ascii="Palatino Linotype" w:hAnsi="Palatino Linotype"/>
          <w:b/>
          <w:i/>
        </w:rPr>
        <w:t>XIV.</w:t>
      </w:r>
      <w:r w:rsidRPr="00B86CDB">
        <w:rPr>
          <w:rFonts w:ascii="Palatino Linotype" w:hAnsi="Palatino Linotype"/>
          <w:i/>
        </w:rPr>
        <w:t xml:space="preserve"> </w:t>
      </w:r>
      <w:r w:rsidRPr="00B86CDB">
        <w:rPr>
          <w:rFonts w:ascii="Palatino Linotype" w:hAnsi="Palatino Linotype"/>
          <w:b/>
          <w:i/>
        </w:rPr>
        <w:t>Formular observaciones y recomendaciones</w:t>
      </w:r>
      <w:r w:rsidRPr="00B86CDB">
        <w:rPr>
          <w:rFonts w:ascii="Palatino Linotype" w:hAnsi="Palatino Linotype"/>
          <w:i/>
        </w:rPr>
        <w:t xml:space="preserve"> a los sujetos obligados que incumplan esta Ley.</w:t>
      </w:r>
    </w:p>
    <w:p w14:paraId="3273593F"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86CDB">
        <w:rPr>
          <w:rFonts w:ascii="Palatino Linotype" w:hAnsi="Palatino Linotype"/>
          <w:i/>
        </w:rPr>
        <w:t>(…)</w:t>
      </w:r>
    </w:p>
    <w:p w14:paraId="0E33A220"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86CDB">
        <w:rPr>
          <w:rFonts w:ascii="Palatino Linotype" w:hAnsi="Palatino Linotype"/>
          <w:b/>
          <w:i/>
        </w:rPr>
        <w:t>XXII.</w:t>
      </w:r>
      <w:r w:rsidRPr="00B86CDB">
        <w:rPr>
          <w:rFonts w:ascii="Palatino Linotype" w:hAnsi="Palatino Linotype"/>
          <w:i/>
        </w:rPr>
        <w:t xml:space="preserve"> </w:t>
      </w:r>
      <w:r w:rsidRPr="00B86CDB">
        <w:rPr>
          <w:rFonts w:ascii="Palatino Linotype" w:hAnsi="Palatino Linotype"/>
          <w:b/>
          <w:i/>
        </w:rPr>
        <w:t>Verificar el cumplimiento</w:t>
      </w:r>
      <w:r w:rsidRPr="00B86CDB">
        <w:rPr>
          <w:rFonts w:ascii="Palatino Linotype" w:hAnsi="Palatino Linotype"/>
          <w:i/>
        </w:rPr>
        <w:t xml:space="preserve"> de las disposiciones previstas en esta Ley a través de los procedimientos de revisión que resulten compatibles con las disposiciones de esta Ley.</w:t>
      </w:r>
    </w:p>
    <w:p w14:paraId="6DDF701A"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86CDB">
        <w:rPr>
          <w:rFonts w:ascii="Palatino Linotype" w:hAnsi="Palatino Linotype"/>
          <w:b/>
          <w:i/>
        </w:rPr>
        <w:t>XXIII.</w:t>
      </w:r>
      <w:r w:rsidRPr="00B86CDB">
        <w:rPr>
          <w:rFonts w:ascii="Palatino Linotype" w:hAnsi="Palatino Linotype"/>
          <w:i/>
        </w:rPr>
        <w:t xml:space="preserve"> </w:t>
      </w:r>
      <w:r w:rsidRPr="00B86CDB">
        <w:rPr>
          <w:rFonts w:ascii="Palatino Linotype" w:hAnsi="Palatino Linotype"/>
          <w:b/>
          <w:i/>
        </w:rPr>
        <w:t>Implementar</w:t>
      </w:r>
      <w:r w:rsidRPr="00B86CDB">
        <w:rPr>
          <w:rFonts w:ascii="Palatino Linotype" w:hAnsi="Palatino Linotype"/>
          <w:i/>
        </w:rPr>
        <w:t xml:space="preserve"> los </w:t>
      </w:r>
      <w:r w:rsidRPr="00B86CDB">
        <w:rPr>
          <w:rFonts w:ascii="Palatino Linotype" w:hAnsi="Palatino Linotype"/>
          <w:b/>
          <w:i/>
        </w:rPr>
        <w:t>procedimientos</w:t>
      </w:r>
      <w:r w:rsidRPr="00B86CDB">
        <w:rPr>
          <w:rFonts w:ascii="Palatino Linotype" w:hAnsi="Palatino Linotype"/>
          <w:i/>
        </w:rPr>
        <w:t xml:space="preserve"> que resulten necesarios </w:t>
      </w:r>
      <w:r w:rsidRPr="00B86CDB">
        <w:rPr>
          <w:rFonts w:ascii="Palatino Linotype" w:hAnsi="Palatino Linotype"/>
          <w:b/>
          <w:i/>
        </w:rPr>
        <w:t xml:space="preserve">para el cumplimiento </w:t>
      </w:r>
      <w:r w:rsidRPr="00B86CDB">
        <w:rPr>
          <w:rFonts w:ascii="Palatino Linotype" w:hAnsi="Palatino Linotype"/>
          <w:i/>
        </w:rPr>
        <w:t>de las disposiciones de esta Ley y para asegurar la protección de datos personales de los titulares. (…)</w:t>
      </w:r>
    </w:p>
    <w:p w14:paraId="2FDC846A"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86CDB">
        <w:rPr>
          <w:rFonts w:ascii="Palatino Linotype" w:hAnsi="Palatino Linotype"/>
          <w:b/>
          <w:i/>
        </w:rPr>
        <w:t>XXV.</w:t>
      </w:r>
      <w:r w:rsidRPr="00B86CDB">
        <w:rPr>
          <w:rFonts w:ascii="Palatino Linotype" w:hAnsi="Palatino Linotype"/>
          <w:i/>
        </w:rPr>
        <w:t xml:space="preserve"> </w:t>
      </w:r>
      <w:r w:rsidRPr="00B86CDB">
        <w:rPr>
          <w:rFonts w:ascii="Palatino Linotype" w:hAnsi="Palatino Linotype"/>
          <w:b/>
          <w:i/>
        </w:rPr>
        <w:t>Investigar</w:t>
      </w:r>
      <w:r w:rsidRPr="00B86CDB">
        <w:rPr>
          <w:rFonts w:ascii="Palatino Linotype" w:hAnsi="Palatino Linotype"/>
          <w:i/>
        </w:rPr>
        <w:t xml:space="preserve"> las </w:t>
      </w:r>
      <w:r w:rsidRPr="00B86CDB">
        <w:rPr>
          <w:rFonts w:ascii="Palatino Linotype" w:hAnsi="Palatino Linotype"/>
          <w:b/>
          <w:i/>
        </w:rPr>
        <w:t>posibles violaciones</w:t>
      </w:r>
      <w:r w:rsidRPr="00B86CDB">
        <w:rPr>
          <w:rFonts w:ascii="Palatino Linotype" w:hAnsi="Palatino Linotype"/>
          <w:i/>
        </w:rPr>
        <w:t xml:space="preserve"> a la seguridad de los datos personales a fin de determinar la práctica de verificaciones.</w:t>
      </w:r>
    </w:p>
    <w:p w14:paraId="39D0B0CC"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86CDB">
        <w:rPr>
          <w:rFonts w:ascii="Palatino Linotype" w:hAnsi="Palatino Linotype"/>
          <w:i/>
        </w:rPr>
        <w:t>(…)”</w:t>
      </w:r>
    </w:p>
    <w:p w14:paraId="161B573B"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567" w:right="567"/>
        <w:jc w:val="both"/>
        <w:rPr>
          <w:rFonts w:ascii="Palatino Linotype" w:eastAsia="MS Gothic" w:hAnsi="Palatino Linotype" w:cs="Times New Roman"/>
        </w:rPr>
      </w:pPr>
      <w:r w:rsidRPr="00B86CDB">
        <w:rPr>
          <w:rFonts w:ascii="Palatino Linotype" w:hAnsi="Palatino Linotype"/>
        </w:rPr>
        <w:t>(Énfasis añadido)</w:t>
      </w:r>
    </w:p>
    <w:p w14:paraId="31EE3319" w14:textId="77777777" w:rsidR="00D12590" w:rsidRPr="00B86CDB" w:rsidRDefault="00D12590" w:rsidP="00D1259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A2B168F" w14:textId="77777777" w:rsidR="00D12590" w:rsidRPr="00B86CDB" w:rsidRDefault="00D12590" w:rsidP="00AB58A1">
      <w:pPr>
        <w:numPr>
          <w:ilvl w:val="0"/>
          <w:numId w:val="2"/>
        </w:numPr>
        <w:spacing w:after="120" w:line="360" w:lineRule="auto"/>
        <w:ind w:left="0" w:firstLine="0"/>
        <w:contextualSpacing/>
        <w:jc w:val="both"/>
        <w:rPr>
          <w:rFonts w:ascii="Palatino Linotype" w:eastAsia="MS Gothic" w:hAnsi="Palatino Linotype" w:cs="Times New Roman"/>
          <w:sz w:val="24"/>
          <w:szCs w:val="24"/>
        </w:rPr>
      </w:pPr>
      <w:r w:rsidRPr="00B86CDB">
        <w:rPr>
          <w:rFonts w:ascii="Palatino Linotype" w:eastAsia="MS Mincho" w:hAnsi="Palatino Linotype" w:cs="Bookman Old Style"/>
          <w:sz w:val="24"/>
          <w:szCs w:val="24"/>
          <w:lang w:eastAsia="es-MX"/>
        </w:rPr>
        <w:t xml:space="preserve">Asimismo, </w:t>
      </w:r>
      <w:r w:rsidRPr="00B86CDB">
        <w:rPr>
          <w:rFonts w:ascii="Palatino Linotype" w:eastAsia="MS Mincho" w:hAnsi="Palatino Linotype" w:cs="Times New Roman"/>
          <w:sz w:val="24"/>
          <w:szCs w:val="24"/>
        </w:rPr>
        <w:t xml:space="preserve">este Pleno hará del conocimiento de la Dirección de Protección de Datos Personales de este Instituto de las posibles infracciones en que el </w:t>
      </w:r>
      <w:r w:rsidRPr="00B86CDB">
        <w:rPr>
          <w:rFonts w:ascii="Palatino Linotype" w:eastAsia="MS Mincho" w:hAnsi="Palatino Linotype" w:cs="Times New Roman"/>
          <w:b/>
          <w:sz w:val="24"/>
          <w:szCs w:val="24"/>
        </w:rPr>
        <w:t>SUJETO OBLIGADO</w:t>
      </w:r>
      <w:r w:rsidRPr="00B86CDB">
        <w:rPr>
          <w:rFonts w:ascii="Palatino Linotype" w:eastAsia="MS Mincho" w:hAnsi="Palatino Linotype" w:cs="Times New Roman"/>
          <w:sz w:val="24"/>
          <w:szCs w:val="24"/>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020D2293" w14:textId="77777777" w:rsidR="00D12590" w:rsidRPr="00B86CDB" w:rsidRDefault="00D12590" w:rsidP="00D1259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sz w:val="24"/>
          <w:szCs w:val="24"/>
        </w:rPr>
      </w:pPr>
    </w:p>
    <w:p w14:paraId="4CF424D6" w14:textId="77777777" w:rsidR="00D12590" w:rsidRPr="00B86CDB" w:rsidRDefault="00D12590" w:rsidP="00AB58A1">
      <w:pPr>
        <w:numPr>
          <w:ilvl w:val="0"/>
          <w:numId w:val="2"/>
        </w:numPr>
        <w:spacing w:after="120" w:line="360" w:lineRule="auto"/>
        <w:ind w:left="0" w:firstLine="0"/>
        <w:contextualSpacing/>
        <w:jc w:val="both"/>
        <w:rPr>
          <w:rFonts w:ascii="Palatino Linotype" w:eastAsia="MS Gothic" w:hAnsi="Palatino Linotype" w:cs="Times New Roman"/>
          <w:sz w:val="24"/>
          <w:szCs w:val="24"/>
        </w:rPr>
      </w:pPr>
      <w:r w:rsidRPr="00B86CDB">
        <w:rPr>
          <w:rFonts w:ascii="Palatino Linotype" w:eastAsia="MS Mincho" w:hAnsi="Palatino Linotype" w:cs="Bookman Old Style"/>
          <w:sz w:val="24"/>
          <w:szCs w:val="24"/>
          <w:lang w:eastAsia="es-MX"/>
        </w:rPr>
        <w:t xml:space="preserve">Por </w:t>
      </w:r>
      <w:r w:rsidRPr="00B86CDB">
        <w:rPr>
          <w:rFonts w:ascii="Palatino Linotype" w:eastAsia="Calibri" w:hAnsi="Palatino Linotype" w:cs="Arial"/>
          <w:color w:val="000000"/>
          <w:sz w:val="24"/>
          <w:szCs w:val="24"/>
          <w:lang w:val="es-ES" w:eastAsia="es-MX"/>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posibles omisiones en las que el </w:t>
      </w:r>
      <w:r w:rsidRPr="00B86CDB">
        <w:rPr>
          <w:rFonts w:ascii="Palatino Linotype" w:eastAsia="Calibri" w:hAnsi="Palatino Linotype" w:cs="Arial"/>
          <w:b/>
          <w:color w:val="000000"/>
          <w:sz w:val="24"/>
          <w:szCs w:val="24"/>
          <w:lang w:val="es-ES" w:eastAsia="es-MX"/>
        </w:rPr>
        <w:t>SUJETO OBLIGADO</w:t>
      </w:r>
      <w:r w:rsidRPr="00B86CDB">
        <w:rPr>
          <w:rFonts w:ascii="Palatino Linotype" w:eastAsia="Calibri" w:hAnsi="Palatino Linotype" w:cs="Arial"/>
          <w:color w:val="000000"/>
          <w:sz w:val="24"/>
          <w:szCs w:val="24"/>
          <w:lang w:val="es-ES" w:eastAsia="es-MX"/>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B86CDB">
        <w:rPr>
          <w:rFonts w:ascii="Palatino Linotype" w:eastAsia="Calibri" w:hAnsi="Palatino Linotype" w:cs="Arial"/>
          <w:b/>
          <w:color w:val="000000"/>
          <w:sz w:val="24"/>
          <w:szCs w:val="24"/>
          <w:lang w:val="es-ES" w:eastAsia="es-MX"/>
        </w:rPr>
        <w:t xml:space="preserve">SUJETO OBLIGADO </w:t>
      </w:r>
      <w:r w:rsidRPr="00B86CDB">
        <w:rPr>
          <w:rFonts w:ascii="Palatino Linotype" w:eastAsia="Calibri" w:hAnsi="Palatino Linotype" w:cs="Arial"/>
          <w:color w:val="000000"/>
          <w:sz w:val="24"/>
          <w:szCs w:val="24"/>
          <w:lang w:val="es-ES" w:eastAsia="es-MX"/>
        </w:rPr>
        <w:t>para que éste determine lo que conforme a derecho conduzca, cuyo resultado deberá de ser informado al Instituto.</w:t>
      </w:r>
    </w:p>
    <w:p w14:paraId="4D3611DE" w14:textId="77777777" w:rsidR="00D12590" w:rsidRPr="00B86CDB" w:rsidRDefault="00D12590" w:rsidP="00D12590">
      <w:pPr>
        <w:pStyle w:val="Prrafodelista"/>
        <w:spacing w:before="240" w:after="240" w:line="360" w:lineRule="auto"/>
        <w:ind w:left="0" w:right="49"/>
        <w:jc w:val="both"/>
        <w:rPr>
          <w:rFonts w:ascii="Palatino Linotype" w:hAnsi="Palatino Linotype"/>
          <w:sz w:val="24"/>
          <w:szCs w:val="24"/>
        </w:rPr>
      </w:pPr>
    </w:p>
    <w:p w14:paraId="16092977" w14:textId="03932ED6" w:rsidR="00D12590" w:rsidRPr="00B86CDB" w:rsidRDefault="000B18E7" w:rsidP="000B18E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86CDB">
        <w:rPr>
          <w:rFonts w:ascii="Palatino Linotype" w:eastAsia="Times New Roman" w:hAnsi="Palatino Linotype" w:cs="Arial"/>
          <w:sz w:val="24"/>
          <w:szCs w:val="24"/>
          <w:lang w:val="es-ES"/>
        </w:rPr>
        <w:t xml:space="preserve">Por lo anteriormente expuesto, resultan infundadas las razones o motivos de </w:t>
      </w:r>
      <w:r w:rsidRPr="00B86CDB">
        <w:rPr>
          <w:rFonts w:ascii="Palatino Linotype" w:hAnsi="Palatino Linotype" w:cs="Arial"/>
          <w:sz w:val="24"/>
          <w:szCs w:val="24"/>
        </w:rPr>
        <w:t>inconformidad hechos valer por el</w:t>
      </w:r>
      <w:r w:rsidRPr="00B86CDB">
        <w:rPr>
          <w:rFonts w:ascii="Palatino Linotype" w:hAnsi="Palatino Linotype"/>
          <w:sz w:val="24"/>
          <w:szCs w:val="24"/>
        </w:rPr>
        <w:t xml:space="preserve"> </w:t>
      </w:r>
      <w:r w:rsidRPr="00B86CDB">
        <w:rPr>
          <w:rFonts w:ascii="Palatino Linotype" w:hAnsi="Palatino Linotype"/>
          <w:b/>
          <w:sz w:val="24"/>
          <w:szCs w:val="24"/>
        </w:rPr>
        <w:t>RECURRENTE</w:t>
      </w:r>
      <w:r w:rsidRPr="00B86CDB">
        <w:rPr>
          <w:rFonts w:ascii="Palatino Linotype" w:hAnsi="Palatino Linotype" w:cs="Arial"/>
          <w:sz w:val="24"/>
          <w:szCs w:val="24"/>
        </w:rPr>
        <w:t>,</w:t>
      </w:r>
      <w:r w:rsidR="00BB3A7B" w:rsidRPr="00B86CDB">
        <w:rPr>
          <w:rFonts w:ascii="Palatino Linotype" w:hAnsi="Palatino Linotype" w:cs="Arial"/>
          <w:sz w:val="24"/>
          <w:szCs w:val="24"/>
        </w:rPr>
        <w:t xml:space="preserve"> en los recursos de revisión </w:t>
      </w:r>
      <w:r w:rsidR="00BB3A7B" w:rsidRPr="00B86CDB">
        <w:rPr>
          <w:rFonts w:ascii="Palatino Linotype" w:eastAsiaTheme="minorEastAsia" w:hAnsi="Palatino Linotype" w:cs="Arial"/>
          <w:b/>
          <w:bCs/>
          <w:sz w:val="24"/>
          <w:szCs w:val="24"/>
          <w:lang w:val="es-ES_tradnl" w:eastAsia="es-ES"/>
        </w:rPr>
        <w:t>04038/INFOEM/IP/RR/2020 y 04045/INFOEM/IP/RR/2020</w:t>
      </w:r>
      <w:r w:rsidRPr="00B86CDB">
        <w:rPr>
          <w:rFonts w:ascii="Palatino Linotype" w:hAnsi="Palatino Linotype" w:cs="Arial"/>
          <w:sz w:val="24"/>
          <w:szCs w:val="24"/>
        </w:rPr>
        <w:t xml:space="preserve"> toda vez que</w:t>
      </w:r>
      <w:r w:rsidRPr="00B86CDB">
        <w:rPr>
          <w:rFonts w:ascii="Palatino Linotype" w:eastAsia="Times New Roman" w:hAnsi="Palatino Linotype" w:cs="Times New Roman"/>
          <w:sz w:val="24"/>
          <w:szCs w:val="24"/>
        </w:rPr>
        <w:t xml:space="preserve"> no se actualizan la hipótesis de procedencia</w:t>
      </w:r>
      <w:r w:rsidRPr="00B86CDB">
        <w:rPr>
          <w:rFonts w:ascii="Palatino Linotype" w:eastAsia="Times New Roman" w:hAnsi="Palatino Linotype" w:cs="Times New Roman"/>
          <w:b/>
          <w:sz w:val="24"/>
          <w:szCs w:val="24"/>
        </w:rPr>
        <w:t xml:space="preserve"> </w:t>
      </w:r>
      <w:r w:rsidRPr="00B86CDB">
        <w:rPr>
          <w:rFonts w:ascii="Palatino Linotype" w:eastAsia="Times New Roman" w:hAnsi="Palatino Linotype" w:cs="Arial"/>
          <w:color w:val="222222"/>
          <w:sz w:val="24"/>
          <w:szCs w:val="24"/>
          <w:lang w:eastAsia="es-MX"/>
        </w:rPr>
        <w:t xml:space="preserve">contenida en </w:t>
      </w:r>
      <w:r w:rsidRPr="00B86CDB">
        <w:rPr>
          <w:rFonts w:ascii="Palatino Linotype" w:eastAsia="Times New Roman" w:hAnsi="Palatino Linotype" w:cs="Arial"/>
          <w:color w:val="222222"/>
          <w:sz w:val="24"/>
          <w:szCs w:val="24"/>
          <w:lang w:val="es-ES" w:eastAsia="es-MX"/>
        </w:rPr>
        <w:t xml:space="preserve">el artículo 179 fracciones I y V de la </w:t>
      </w:r>
      <w:r w:rsidRPr="00B86CDB">
        <w:rPr>
          <w:rFonts w:ascii="Palatino Linotype" w:eastAsia="Calibri" w:hAnsi="Palatino Linotype" w:cs="Arial"/>
          <w:b/>
          <w:sz w:val="24"/>
          <w:szCs w:val="24"/>
          <w:lang w:val="es-ES"/>
        </w:rPr>
        <w:t>Ley de Transparencia y Acceso a la Información Pública del Estado de México y Municipios</w:t>
      </w:r>
      <w:r w:rsidR="00D12590" w:rsidRPr="00B86CDB">
        <w:rPr>
          <w:rFonts w:ascii="Palatino Linotype" w:eastAsia="Times New Roman" w:hAnsi="Palatino Linotype" w:cs="Arial"/>
          <w:color w:val="222222"/>
          <w:sz w:val="24"/>
          <w:szCs w:val="24"/>
          <w:lang w:val="es-ES" w:eastAsia="es-MX"/>
        </w:rPr>
        <w:t xml:space="preserve">. </w:t>
      </w:r>
    </w:p>
    <w:p w14:paraId="6F33F497" w14:textId="77777777" w:rsidR="00D12590" w:rsidRPr="00B86CDB" w:rsidRDefault="00D12590" w:rsidP="00D1259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40F8508" w14:textId="28FF38AF" w:rsidR="000B18E7" w:rsidRPr="00B86CDB" w:rsidRDefault="00D12590" w:rsidP="00D12590">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86CDB">
        <w:rPr>
          <w:rFonts w:ascii="Palatino Linotype" w:eastAsia="MS Mincho" w:hAnsi="Palatino Linotype" w:cs="Arial"/>
          <w:color w:val="000000" w:themeColor="text1"/>
          <w:sz w:val="24"/>
          <w:szCs w:val="24"/>
        </w:rPr>
        <w:t xml:space="preserve">Por otro lado, en términos del artículo 186, fracción III de la Ley de Transparencia, Acceso a la Información Pública del Estado de México y Municipios, este Pleno determina </w:t>
      </w:r>
      <w:r w:rsidRPr="00B86CDB">
        <w:rPr>
          <w:rFonts w:ascii="Palatino Linotype" w:eastAsia="MS Mincho" w:hAnsi="Palatino Linotype" w:cs="Arial"/>
          <w:b/>
          <w:color w:val="000000" w:themeColor="text1"/>
          <w:sz w:val="24"/>
          <w:szCs w:val="24"/>
        </w:rPr>
        <w:t>REVOCAR</w:t>
      </w:r>
      <w:r w:rsidRPr="00B86CDB">
        <w:rPr>
          <w:rFonts w:ascii="Palatino Linotype" w:eastAsia="MS Mincho" w:hAnsi="Palatino Linotype" w:cs="Arial"/>
          <w:color w:val="000000" w:themeColor="text1"/>
          <w:sz w:val="24"/>
          <w:szCs w:val="24"/>
        </w:rPr>
        <w:t xml:space="preserve"> la respuesta del recurso de revisión </w:t>
      </w:r>
      <w:r w:rsidRPr="00B86CDB">
        <w:rPr>
          <w:rFonts w:ascii="Palatino Linotype" w:hAnsi="Palatino Linotype"/>
          <w:b/>
          <w:sz w:val="24"/>
          <w:szCs w:val="24"/>
        </w:rPr>
        <w:t>04044/INFOEM/IP/RR/2020</w:t>
      </w:r>
      <w:r w:rsidRPr="00B86CDB">
        <w:rPr>
          <w:rFonts w:ascii="Palatino Linotype" w:eastAsia="MS Mincho" w:hAnsi="Palatino Linotype" w:cs="Arial"/>
          <w:color w:val="000000" w:themeColor="text1"/>
          <w:sz w:val="24"/>
          <w:szCs w:val="24"/>
        </w:rPr>
        <w:t xml:space="preserve"> </w:t>
      </w:r>
      <w:r w:rsidR="000B18E7" w:rsidRPr="00B86CDB">
        <w:rPr>
          <w:rFonts w:ascii="Palatino Linotype" w:eastAsia="Times New Roman" w:hAnsi="Palatino Linotype" w:cs="Arial"/>
          <w:color w:val="222222"/>
          <w:sz w:val="24"/>
          <w:szCs w:val="24"/>
          <w:lang w:val="es-ES" w:eastAsia="es-MX"/>
        </w:rPr>
        <w:t>por lo que este Órgano Garante emite los siguientes</w:t>
      </w:r>
      <w:r w:rsidR="000B18E7" w:rsidRPr="00B86CDB">
        <w:rPr>
          <w:rFonts w:ascii="Palatino Linotype" w:eastAsia="MS Mincho" w:hAnsi="Palatino Linotype" w:cs="Arial"/>
          <w:color w:val="000000" w:themeColor="text1"/>
          <w:sz w:val="24"/>
          <w:szCs w:val="24"/>
        </w:rPr>
        <w:t xml:space="preserve">: </w:t>
      </w:r>
    </w:p>
    <w:p w14:paraId="0A49DC45" w14:textId="77777777" w:rsidR="00D12590" w:rsidRPr="00B86CDB" w:rsidRDefault="00D12590" w:rsidP="00D12590">
      <w:pPr>
        <w:pStyle w:val="Prrafodelista"/>
        <w:rPr>
          <w:rFonts w:ascii="Palatino Linotype" w:eastAsia="MS Mincho" w:hAnsi="Palatino Linotype" w:cs="Arial"/>
          <w:color w:val="000000" w:themeColor="text1"/>
          <w:sz w:val="24"/>
          <w:szCs w:val="24"/>
        </w:rPr>
      </w:pPr>
    </w:p>
    <w:p w14:paraId="622E4773" w14:textId="388DA859" w:rsidR="00D12590" w:rsidRPr="00B86CDB"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2D80327A" w14:textId="7D53DC0F" w:rsidR="00D12590" w:rsidRPr="00B86CDB"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152E2642" w14:textId="6BF989FA" w:rsidR="00D12590" w:rsidRPr="00B86CDB"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5F2F3A73" w14:textId="68B2711F" w:rsidR="00D12590" w:rsidRPr="00B86CDB"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20AA94F2" w14:textId="5DA30B53" w:rsidR="00D12590" w:rsidRPr="00B86CDB"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52F66949" w14:textId="5A7AB284" w:rsidR="00D12590" w:rsidRPr="00B86CDB"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301F6246" w14:textId="617C55B8" w:rsidR="009007AF" w:rsidRPr="00B86CDB" w:rsidRDefault="009007AF"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79F15B04" w14:textId="01811EEA" w:rsidR="009007AF" w:rsidRPr="00B86CDB" w:rsidRDefault="009007AF"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518BA52A" w14:textId="17DEB483" w:rsidR="009007AF" w:rsidRPr="00B86CDB" w:rsidRDefault="009007AF"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55BFBF6F" w14:textId="785AC882" w:rsidR="009007AF" w:rsidRPr="00B86CDB" w:rsidRDefault="009007AF"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4DCB1185" w14:textId="2EB13E5B" w:rsidR="009007AF" w:rsidRPr="00B86CDB" w:rsidRDefault="009007AF"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60B200DF" w14:textId="3257A5CA" w:rsidR="009007AF" w:rsidRPr="00B86CDB" w:rsidRDefault="009007AF"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677FF3D2" w14:textId="77777777" w:rsidR="009007AF" w:rsidRPr="00B86CDB" w:rsidRDefault="009007AF"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2771E0F3" w14:textId="2F788776" w:rsidR="00D12590" w:rsidRPr="00B86CDB"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bookmarkStart w:id="38" w:name="_GoBack"/>
      <w:bookmarkEnd w:id="38"/>
    </w:p>
    <w:p w14:paraId="3DF1920F" w14:textId="77777777" w:rsidR="00D12590" w:rsidRPr="00B86CDB"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327A9AA4" w14:textId="77777777" w:rsidR="00A9278D" w:rsidRPr="00B86CDB" w:rsidRDefault="00A9278D" w:rsidP="00A9278D">
      <w:pPr>
        <w:pStyle w:val="Ttulo1"/>
        <w:jc w:val="center"/>
        <w:rPr>
          <w:rFonts w:ascii="Palatino Linotype" w:eastAsia="Calibri" w:hAnsi="Palatino Linotype"/>
          <w:b/>
          <w:color w:val="000000" w:themeColor="text1"/>
          <w:sz w:val="24"/>
          <w:szCs w:val="24"/>
          <w:lang w:val="es-ES" w:eastAsia="es-ES"/>
        </w:rPr>
      </w:pPr>
      <w:bookmarkStart w:id="39" w:name="_Toc504500693"/>
      <w:bookmarkStart w:id="40" w:name="_Toc534742545"/>
      <w:bookmarkStart w:id="41" w:name="_Toc26955338"/>
      <w:bookmarkStart w:id="42" w:name="_Toc57332498"/>
      <w:r w:rsidRPr="00B86CDB">
        <w:rPr>
          <w:rFonts w:ascii="Palatino Linotype" w:eastAsia="Calibri" w:hAnsi="Palatino Linotype"/>
          <w:b/>
          <w:color w:val="000000" w:themeColor="text1"/>
          <w:sz w:val="24"/>
          <w:szCs w:val="24"/>
          <w:lang w:val="es-ES" w:eastAsia="es-ES"/>
        </w:rPr>
        <w:lastRenderedPageBreak/>
        <w:t>R E S O L U T I V O S</w:t>
      </w:r>
      <w:bookmarkEnd w:id="39"/>
      <w:bookmarkEnd w:id="40"/>
      <w:bookmarkEnd w:id="41"/>
      <w:bookmarkEnd w:id="42"/>
      <w:r w:rsidRPr="00B86CDB">
        <w:rPr>
          <w:rFonts w:ascii="Palatino Linotype" w:eastAsia="Calibri" w:hAnsi="Palatino Linotype"/>
          <w:b/>
          <w:color w:val="000000" w:themeColor="text1"/>
          <w:sz w:val="24"/>
          <w:szCs w:val="24"/>
          <w:lang w:val="es-ES" w:eastAsia="es-ES"/>
        </w:rPr>
        <w:t xml:space="preserve"> </w:t>
      </w:r>
    </w:p>
    <w:p w14:paraId="7851EA49" w14:textId="7D2D8E0F" w:rsidR="000B18E7" w:rsidRPr="00B86CDB" w:rsidRDefault="000B18E7" w:rsidP="00B73316">
      <w:pPr>
        <w:spacing w:before="240" w:after="360" w:line="360" w:lineRule="auto"/>
        <w:jc w:val="both"/>
        <w:rPr>
          <w:rFonts w:ascii="Palatino Linotype" w:eastAsia="Calibri" w:hAnsi="Palatino Linotype" w:cs="Arial"/>
          <w:sz w:val="24"/>
          <w:szCs w:val="24"/>
          <w:lang w:val="es-ES"/>
        </w:rPr>
      </w:pPr>
      <w:bookmarkStart w:id="43" w:name="_Toc455991148"/>
      <w:bookmarkStart w:id="44" w:name="_Toc452722829"/>
      <w:bookmarkStart w:id="45" w:name="_Toc454373811"/>
      <w:bookmarkStart w:id="46" w:name="_Toc476675991"/>
      <w:r w:rsidRPr="00B86CDB">
        <w:rPr>
          <w:rFonts w:ascii="Palatino Linotype" w:eastAsia="MS Mincho" w:hAnsi="Palatino Linotype" w:cs="Times New Roman"/>
          <w:b/>
          <w:color w:val="000000"/>
          <w:sz w:val="24"/>
          <w:szCs w:val="24"/>
        </w:rPr>
        <w:t>PRIMERO.</w:t>
      </w:r>
      <w:r w:rsidRPr="00B86CDB">
        <w:rPr>
          <w:rFonts w:ascii="Palatino Linotype" w:eastAsia="MS Gothic" w:hAnsi="Palatino Linotype" w:cs="Times New Roman"/>
          <w:b/>
          <w:color w:val="000000"/>
          <w:sz w:val="24"/>
          <w:szCs w:val="24"/>
        </w:rPr>
        <w:t xml:space="preserve"> </w:t>
      </w:r>
      <w:bookmarkEnd w:id="43"/>
      <w:r w:rsidRPr="00B86CDB">
        <w:rPr>
          <w:rFonts w:ascii="Palatino Linotype" w:eastAsia="Times New Roman" w:hAnsi="Palatino Linotype" w:cs="Arial"/>
          <w:sz w:val="24"/>
          <w:szCs w:val="24"/>
          <w:lang w:val="es-ES"/>
        </w:rPr>
        <w:t xml:space="preserve">Resultan infundadas las razones y motivos de inconformidad hechos valer </w:t>
      </w:r>
      <w:r w:rsidR="00AB58A1" w:rsidRPr="00B86CDB">
        <w:rPr>
          <w:rFonts w:ascii="Palatino Linotype" w:eastAsia="Calibri" w:hAnsi="Palatino Linotype" w:cs="Arial"/>
          <w:sz w:val="24"/>
          <w:szCs w:val="24"/>
          <w:lang w:val="es-ES"/>
        </w:rPr>
        <w:t>en los</w:t>
      </w:r>
      <w:r w:rsidRPr="00B86CDB">
        <w:rPr>
          <w:rFonts w:ascii="Palatino Linotype" w:eastAsia="Calibri" w:hAnsi="Palatino Linotype" w:cs="Arial"/>
          <w:sz w:val="24"/>
          <w:szCs w:val="24"/>
          <w:lang w:val="es-ES"/>
        </w:rPr>
        <w:t xml:space="preserve"> recurso</w:t>
      </w:r>
      <w:r w:rsidR="00AB58A1" w:rsidRPr="00B86CDB">
        <w:rPr>
          <w:rFonts w:ascii="Palatino Linotype" w:eastAsia="Calibri" w:hAnsi="Palatino Linotype" w:cs="Arial"/>
          <w:sz w:val="24"/>
          <w:szCs w:val="24"/>
          <w:lang w:val="es-ES"/>
        </w:rPr>
        <w:t>s</w:t>
      </w:r>
      <w:r w:rsidRPr="00B86CDB">
        <w:rPr>
          <w:rFonts w:ascii="Palatino Linotype" w:eastAsia="Calibri" w:hAnsi="Palatino Linotype" w:cs="Arial"/>
          <w:sz w:val="24"/>
          <w:szCs w:val="24"/>
          <w:lang w:val="es-ES"/>
        </w:rPr>
        <w:t xml:space="preserve"> de revisión </w:t>
      </w:r>
      <w:r w:rsidRPr="00B86CDB">
        <w:rPr>
          <w:rFonts w:ascii="Palatino Linotype" w:eastAsia="Calibri" w:hAnsi="Palatino Linotype" w:cs="Arial"/>
          <w:b/>
          <w:sz w:val="24"/>
          <w:szCs w:val="24"/>
          <w:lang w:val="es-ES"/>
        </w:rPr>
        <w:t>0</w:t>
      </w:r>
      <w:r w:rsidR="00AD7656" w:rsidRPr="00B86CDB">
        <w:rPr>
          <w:rFonts w:ascii="Palatino Linotype" w:eastAsia="Calibri" w:hAnsi="Palatino Linotype" w:cs="Arial"/>
          <w:b/>
          <w:sz w:val="24"/>
          <w:szCs w:val="24"/>
          <w:lang w:val="es-ES"/>
        </w:rPr>
        <w:t>403</w:t>
      </w:r>
      <w:r w:rsidRPr="00B86CDB">
        <w:rPr>
          <w:rFonts w:ascii="Palatino Linotype" w:eastAsia="Calibri" w:hAnsi="Palatino Linotype" w:cs="Arial"/>
          <w:b/>
          <w:sz w:val="24"/>
          <w:szCs w:val="24"/>
          <w:lang w:val="es-ES"/>
        </w:rPr>
        <w:t>8</w:t>
      </w:r>
      <w:r w:rsidRPr="00B86CDB">
        <w:rPr>
          <w:rFonts w:ascii="Palatino Linotype" w:eastAsia="Calibri" w:hAnsi="Palatino Linotype" w:cs="Arial"/>
          <w:b/>
          <w:bCs/>
          <w:sz w:val="24"/>
          <w:szCs w:val="24"/>
        </w:rPr>
        <w:t>/INFOEM/IP/RR/2020</w:t>
      </w:r>
      <w:r w:rsidR="00AB58A1" w:rsidRPr="00B86CDB">
        <w:rPr>
          <w:rFonts w:ascii="Palatino Linotype" w:eastAsia="Calibri" w:hAnsi="Palatino Linotype" w:cs="Arial"/>
          <w:b/>
          <w:bCs/>
          <w:sz w:val="24"/>
          <w:szCs w:val="24"/>
        </w:rPr>
        <w:t xml:space="preserve"> y </w:t>
      </w:r>
      <w:r w:rsidR="00AB58A1" w:rsidRPr="00B86CDB">
        <w:rPr>
          <w:rFonts w:ascii="Palatino Linotype" w:eastAsia="Calibri" w:hAnsi="Palatino Linotype" w:cs="Arial"/>
          <w:b/>
          <w:sz w:val="24"/>
          <w:szCs w:val="24"/>
          <w:lang w:val="es-ES"/>
        </w:rPr>
        <w:t>04045</w:t>
      </w:r>
      <w:r w:rsidR="00AB58A1" w:rsidRPr="00B86CDB">
        <w:rPr>
          <w:rFonts w:ascii="Palatino Linotype" w:eastAsia="Calibri" w:hAnsi="Palatino Linotype" w:cs="Arial"/>
          <w:b/>
          <w:bCs/>
          <w:sz w:val="24"/>
          <w:szCs w:val="24"/>
        </w:rPr>
        <w:t xml:space="preserve">/INFOEM/IP/RR/2020  </w:t>
      </w:r>
      <w:r w:rsidRPr="00B86CDB">
        <w:rPr>
          <w:rFonts w:ascii="Palatino Linotype" w:eastAsia="Calibri" w:hAnsi="Palatino Linotype" w:cs="Arial"/>
          <w:sz w:val="24"/>
          <w:szCs w:val="24"/>
          <w:lang w:val="es-ES"/>
        </w:rPr>
        <w:t xml:space="preserve"> </w:t>
      </w:r>
      <w:r w:rsidRPr="00B86CDB">
        <w:rPr>
          <w:rFonts w:ascii="Palatino Linotype" w:eastAsia="Times New Roman" w:hAnsi="Palatino Linotype" w:cs="Times New Roman"/>
          <w:sz w:val="24"/>
          <w:szCs w:val="24"/>
        </w:rPr>
        <w:t xml:space="preserve">en términos del considerando </w:t>
      </w:r>
      <w:r w:rsidR="008A61DF" w:rsidRPr="00B86CDB">
        <w:rPr>
          <w:rFonts w:ascii="Palatino Linotype" w:eastAsia="Times New Roman" w:hAnsi="Palatino Linotype" w:cs="Times New Roman"/>
          <w:b/>
          <w:sz w:val="24"/>
          <w:szCs w:val="24"/>
        </w:rPr>
        <w:t>CUARTO</w:t>
      </w:r>
      <w:r w:rsidRPr="00B86CDB">
        <w:rPr>
          <w:rFonts w:ascii="Palatino Linotype" w:eastAsia="Times New Roman" w:hAnsi="Palatino Linotype" w:cs="Times New Roman"/>
          <w:b/>
          <w:sz w:val="24"/>
          <w:szCs w:val="24"/>
        </w:rPr>
        <w:t xml:space="preserve"> </w:t>
      </w:r>
      <w:r w:rsidR="00B73316" w:rsidRPr="00B86CDB">
        <w:rPr>
          <w:rFonts w:ascii="Palatino Linotype" w:eastAsia="Times New Roman" w:hAnsi="Palatino Linotype" w:cs="Times New Roman"/>
          <w:sz w:val="24"/>
          <w:szCs w:val="24"/>
        </w:rPr>
        <w:t xml:space="preserve">de la presente resolución, por lo que </w:t>
      </w:r>
      <w:r w:rsidR="00B73316" w:rsidRPr="00B86CDB">
        <w:rPr>
          <w:rFonts w:ascii="Palatino Linotype" w:eastAsia="Calibri" w:hAnsi="Palatino Linotype" w:cs="Arial"/>
          <w:sz w:val="24"/>
          <w:szCs w:val="24"/>
          <w:lang w:val="es-ES"/>
        </w:rPr>
        <w:t>s</w:t>
      </w:r>
      <w:r w:rsidRPr="00B86CDB">
        <w:rPr>
          <w:rFonts w:ascii="Palatino Linotype" w:eastAsia="Calibri" w:hAnsi="Palatino Linotype" w:cs="Arial"/>
          <w:sz w:val="24"/>
          <w:szCs w:val="24"/>
          <w:lang w:val="es-ES"/>
        </w:rPr>
        <w:t xml:space="preserve">e </w:t>
      </w:r>
      <w:r w:rsidRPr="00B86CDB">
        <w:rPr>
          <w:rFonts w:ascii="Palatino Linotype" w:eastAsia="Calibri" w:hAnsi="Palatino Linotype" w:cs="Arial"/>
          <w:b/>
          <w:sz w:val="24"/>
          <w:szCs w:val="24"/>
          <w:lang w:val="es-ES"/>
        </w:rPr>
        <w:t>CONFIRMA</w:t>
      </w:r>
      <w:r w:rsidR="00AB58A1" w:rsidRPr="00B86CDB">
        <w:rPr>
          <w:rFonts w:ascii="Palatino Linotype" w:eastAsia="Calibri" w:hAnsi="Palatino Linotype" w:cs="Arial"/>
          <w:b/>
          <w:sz w:val="24"/>
          <w:szCs w:val="24"/>
          <w:lang w:val="es-ES"/>
        </w:rPr>
        <w:t xml:space="preserve">N </w:t>
      </w:r>
      <w:r w:rsidRPr="00B86CDB">
        <w:rPr>
          <w:rFonts w:ascii="Palatino Linotype" w:eastAsia="Calibri" w:hAnsi="Palatino Linotype" w:cs="Arial"/>
          <w:sz w:val="24"/>
          <w:szCs w:val="24"/>
          <w:lang w:val="es-ES"/>
        </w:rPr>
        <w:t>la</w:t>
      </w:r>
      <w:r w:rsidR="00AB58A1" w:rsidRPr="00B86CDB">
        <w:rPr>
          <w:rFonts w:ascii="Palatino Linotype" w:eastAsia="Calibri" w:hAnsi="Palatino Linotype" w:cs="Arial"/>
          <w:sz w:val="24"/>
          <w:szCs w:val="24"/>
          <w:lang w:val="es-ES"/>
        </w:rPr>
        <w:t xml:space="preserve">s </w:t>
      </w:r>
      <w:r w:rsidRPr="00B86CDB">
        <w:rPr>
          <w:rFonts w:ascii="Palatino Linotype" w:eastAsia="Calibri" w:hAnsi="Palatino Linotype" w:cs="Arial"/>
          <w:sz w:val="24"/>
          <w:szCs w:val="24"/>
          <w:lang w:val="es-ES"/>
        </w:rPr>
        <w:t>respuesta</w:t>
      </w:r>
      <w:r w:rsidR="00AB58A1" w:rsidRPr="00B86CDB">
        <w:rPr>
          <w:rFonts w:ascii="Palatino Linotype" w:eastAsia="Calibri" w:hAnsi="Palatino Linotype" w:cs="Arial"/>
          <w:sz w:val="24"/>
          <w:szCs w:val="24"/>
          <w:lang w:val="es-ES"/>
        </w:rPr>
        <w:t>s</w:t>
      </w:r>
      <w:r w:rsidRPr="00B86CDB">
        <w:rPr>
          <w:rFonts w:ascii="Palatino Linotype" w:eastAsia="Calibri" w:hAnsi="Palatino Linotype" w:cs="Arial"/>
          <w:sz w:val="24"/>
          <w:szCs w:val="24"/>
          <w:lang w:val="es-ES"/>
        </w:rPr>
        <w:t xml:space="preserve"> emitida</w:t>
      </w:r>
      <w:r w:rsidR="00AB58A1" w:rsidRPr="00B86CDB">
        <w:rPr>
          <w:rFonts w:ascii="Palatino Linotype" w:eastAsia="Calibri" w:hAnsi="Palatino Linotype" w:cs="Arial"/>
          <w:sz w:val="24"/>
          <w:szCs w:val="24"/>
          <w:lang w:val="es-ES"/>
        </w:rPr>
        <w:t>s</w:t>
      </w:r>
      <w:r w:rsidRPr="00B86CDB">
        <w:rPr>
          <w:rFonts w:ascii="Palatino Linotype" w:eastAsia="Calibri" w:hAnsi="Palatino Linotype" w:cs="Arial"/>
          <w:sz w:val="24"/>
          <w:szCs w:val="24"/>
          <w:lang w:val="es-ES"/>
        </w:rPr>
        <w:t xml:space="preserve"> por el </w:t>
      </w:r>
      <w:r w:rsidR="00AD7656" w:rsidRPr="00B86CDB">
        <w:rPr>
          <w:rFonts w:ascii="Palatino Linotype" w:hAnsi="Palatino Linotype" w:cs="Arial"/>
          <w:b/>
          <w:sz w:val="24"/>
          <w:szCs w:val="24"/>
        </w:rPr>
        <w:t>Tribunal de Justicia Administrativa del Estado de México</w:t>
      </w:r>
      <w:r w:rsidRPr="00B86CDB">
        <w:rPr>
          <w:rFonts w:ascii="Palatino Linotype" w:hAnsi="Palatino Linotype"/>
          <w:b/>
          <w:sz w:val="24"/>
          <w:szCs w:val="24"/>
        </w:rPr>
        <w:t xml:space="preserve"> </w:t>
      </w:r>
      <w:r w:rsidRPr="00B86CDB">
        <w:rPr>
          <w:rFonts w:ascii="Palatino Linotype" w:eastAsia="Calibri" w:hAnsi="Palatino Linotype" w:cs="Arial"/>
          <w:sz w:val="24"/>
          <w:szCs w:val="24"/>
          <w:lang w:val="es-ES"/>
        </w:rPr>
        <w:t>a la</w:t>
      </w:r>
      <w:r w:rsidR="00AB58A1" w:rsidRPr="00B86CDB">
        <w:rPr>
          <w:rFonts w:ascii="Palatino Linotype" w:eastAsia="Calibri" w:hAnsi="Palatino Linotype" w:cs="Arial"/>
          <w:sz w:val="24"/>
          <w:szCs w:val="24"/>
          <w:lang w:val="es-ES"/>
        </w:rPr>
        <w:t>s</w:t>
      </w:r>
      <w:r w:rsidRPr="00B86CDB">
        <w:rPr>
          <w:rFonts w:ascii="Palatino Linotype" w:eastAsia="Calibri" w:hAnsi="Palatino Linotype" w:cs="Arial"/>
          <w:sz w:val="24"/>
          <w:szCs w:val="24"/>
          <w:lang w:val="es-ES"/>
        </w:rPr>
        <w:t xml:space="preserve"> solicitud</w:t>
      </w:r>
      <w:r w:rsidR="00AB58A1" w:rsidRPr="00B86CDB">
        <w:rPr>
          <w:rFonts w:ascii="Palatino Linotype" w:eastAsia="Calibri" w:hAnsi="Palatino Linotype" w:cs="Arial"/>
          <w:sz w:val="24"/>
          <w:szCs w:val="24"/>
          <w:lang w:val="es-ES"/>
        </w:rPr>
        <w:t>es</w:t>
      </w:r>
      <w:r w:rsidRPr="00B86CDB">
        <w:rPr>
          <w:rFonts w:ascii="Palatino Linotype" w:eastAsia="Calibri" w:hAnsi="Palatino Linotype" w:cs="Arial"/>
          <w:sz w:val="24"/>
          <w:szCs w:val="24"/>
          <w:lang w:val="es-ES"/>
        </w:rPr>
        <w:t xml:space="preserve"> </w:t>
      </w:r>
      <w:r w:rsidRPr="00B86CDB">
        <w:rPr>
          <w:rFonts w:ascii="Palatino Linotype" w:eastAsia="Calibri" w:hAnsi="Palatino Linotype" w:cs="Arial"/>
          <w:b/>
          <w:sz w:val="24"/>
          <w:szCs w:val="24"/>
          <w:lang w:val="es-ES"/>
        </w:rPr>
        <w:t>00</w:t>
      </w:r>
      <w:r w:rsidR="00AD7656" w:rsidRPr="00B86CDB">
        <w:rPr>
          <w:rFonts w:ascii="Palatino Linotype" w:eastAsia="Calibri" w:hAnsi="Palatino Linotype" w:cs="Arial"/>
          <w:b/>
          <w:sz w:val="24"/>
          <w:szCs w:val="24"/>
          <w:lang w:val="es-ES"/>
        </w:rPr>
        <w:t>107</w:t>
      </w:r>
      <w:r w:rsidRPr="00B86CDB">
        <w:rPr>
          <w:rFonts w:ascii="Palatino Linotype" w:eastAsia="Calibri" w:hAnsi="Palatino Linotype" w:cs="Arial"/>
          <w:b/>
          <w:sz w:val="24"/>
          <w:szCs w:val="24"/>
          <w:lang w:val="es-ES"/>
        </w:rPr>
        <w:t>/</w:t>
      </w:r>
      <w:r w:rsidR="00AD7656" w:rsidRPr="00B86CDB">
        <w:rPr>
          <w:rFonts w:ascii="Palatino Linotype" w:eastAsia="Calibri" w:hAnsi="Palatino Linotype" w:cs="Arial"/>
          <w:b/>
          <w:sz w:val="24"/>
          <w:szCs w:val="24"/>
          <w:lang w:val="es-ES"/>
        </w:rPr>
        <w:t>TRIJAEM</w:t>
      </w:r>
      <w:r w:rsidR="00AB58A1" w:rsidRPr="00B86CDB">
        <w:rPr>
          <w:rFonts w:ascii="Palatino Linotype" w:eastAsia="Calibri" w:hAnsi="Palatino Linotype" w:cs="Arial"/>
          <w:b/>
          <w:sz w:val="24"/>
          <w:szCs w:val="24"/>
          <w:lang w:val="es-ES"/>
        </w:rPr>
        <w:t xml:space="preserve">/IP/2020 y 00128/TRIJAEM/IP/2020. </w:t>
      </w:r>
    </w:p>
    <w:p w14:paraId="3CAA5138" w14:textId="63DF9854" w:rsidR="00564157" w:rsidRPr="00B86CDB" w:rsidRDefault="00B73316" w:rsidP="00B73316">
      <w:pPr>
        <w:spacing w:before="240" w:after="360" w:line="360" w:lineRule="auto"/>
        <w:jc w:val="both"/>
        <w:rPr>
          <w:rFonts w:ascii="Palatino Linotype" w:eastAsia="Times New Roman" w:hAnsi="Palatino Linotype" w:cs="Times New Roman"/>
          <w:sz w:val="24"/>
          <w:szCs w:val="24"/>
        </w:rPr>
      </w:pPr>
      <w:r w:rsidRPr="00B86CDB">
        <w:rPr>
          <w:rFonts w:ascii="Palatino Linotype" w:eastAsia="MS Mincho" w:hAnsi="Palatino Linotype" w:cs="Times New Roman"/>
          <w:b/>
          <w:color w:val="000000"/>
          <w:sz w:val="24"/>
          <w:szCs w:val="24"/>
        </w:rPr>
        <w:t>SEGUND</w:t>
      </w:r>
      <w:r w:rsidR="00564157" w:rsidRPr="00B86CDB">
        <w:rPr>
          <w:rFonts w:ascii="Palatino Linotype" w:eastAsia="MS Mincho" w:hAnsi="Palatino Linotype" w:cs="Times New Roman"/>
          <w:b/>
          <w:color w:val="000000"/>
          <w:sz w:val="24"/>
          <w:szCs w:val="24"/>
        </w:rPr>
        <w:t>O</w:t>
      </w:r>
      <w:r w:rsidR="00AB58A1" w:rsidRPr="00B86CDB">
        <w:rPr>
          <w:rFonts w:ascii="Palatino Linotype" w:eastAsia="MS Mincho" w:hAnsi="Palatino Linotype" w:cs="Times New Roman"/>
          <w:b/>
          <w:color w:val="000000"/>
          <w:sz w:val="24"/>
          <w:szCs w:val="24"/>
        </w:rPr>
        <w:t>.</w:t>
      </w:r>
      <w:r w:rsidR="00AB58A1" w:rsidRPr="00B86CDB">
        <w:rPr>
          <w:rFonts w:ascii="Palatino Linotype" w:eastAsia="MS Gothic" w:hAnsi="Palatino Linotype" w:cs="Times New Roman"/>
          <w:b/>
          <w:color w:val="000000"/>
          <w:sz w:val="24"/>
          <w:szCs w:val="24"/>
        </w:rPr>
        <w:t xml:space="preserve"> </w:t>
      </w:r>
      <w:r w:rsidR="00AB58A1" w:rsidRPr="00B86CDB">
        <w:rPr>
          <w:rFonts w:ascii="Palatino Linotype" w:eastAsia="Times New Roman" w:hAnsi="Palatino Linotype" w:cs="Arial"/>
          <w:sz w:val="24"/>
          <w:szCs w:val="24"/>
          <w:lang w:val="es-ES"/>
        </w:rPr>
        <w:t xml:space="preserve">Resultan fundadas las razones y motivos de inconformidad hechos valer </w:t>
      </w:r>
      <w:r w:rsidR="00AB58A1" w:rsidRPr="00B86CDB">
        <w:rPr>
          <w:rFonts w:ascii="Palatino Linotype" w:eastAsia="Calibri" w:hAnsi="Palatino Linotype" w:cs="Arial"/>
          <w:sz w:val="24"/>
          <w:szCs w:val="24"/>
          <w:lang w:val="es-ES"/>
        </w:rPr>
        <w:t xml:space="preserve">en el recurso de revisión </w:t>
      </w:r>
      <w:r w:rsidR="00AB58A1" w:rsidRPr="00B86CDB">
        <w:rPr>
          <w:rFonts w:ascii="Palatino Linotype" w:eastAsia="Calibri" w:hAnsi="Palatino Linotype" w:cs="Arial"/>
          <w:b/>
          <w:sz w:val="24"/>
          <w:szCs w:val="24"/>
          <w:lang w:val="es-ES"/>
        </w:rPr>
        <w:t>04</w:t>
      </w:r>
      <w:r w:rsidR="00564157" w:rsidRPr="00B86CDB">
        <w:rPr>
          <w:rFonts w:ascii="Palatino Linotype" w:eastAsia="Calibri" w:hAnsi="Palatino Linotype" w:cs="Arial"/>
          <w:b/>
          <w:sz w:val="24"/>
          <w:szCs w:val="24"/>
          <w:lang w:val="es-ES"/>
        </w:rPr>
        <w:t>044</w:t>
      </w:r>
      <w:r w:rsidR="00AB58A1" w:rsidRPr="00B86CDB">
        <w:rPr>
          <w:rFonts w:ascii="Palatino Linotype" w:eastAsia="Calibri" w:hAnsi="Palatino Linotype" w:cs="Arial"/>
          <w:b/>
          <w:bCs/>
          <w:sz w:val="24"/>
          <w:szCs w:val="24"/>
        </w:rPr>
        <w:t>/INFOEM/IP/RR/2020</w:t>
      </w:r>
      <w:r w:rsidR="00AB58A1" w:rsidRPr="00B86CDB">
        <w:rPr>
          <w:rFonts w:ascii="Palatino Linotype" w:eastAsia="Calibri" w:hAnsi="Palatino Linotype" w:cs="Arial"/>
          <w:sz w:val="24"/>
          <w:szCs w:val="24"/>
          <w:lang w:val="es-ES"/>
        </w:rPr>
        <w:t xml:space="preserve"> </w:t>
      </w:r>
      <w:r w:rsidR="009007AF" w:rsidRPr="00B86CDB">
        <w:rPr>
          <w:rFonts w:ascii="Palatino Linotype" w:eastAsia="Times New Roman" w:hAnsi="Palatino Linotype" w:cs="Times New Roman"/>
          <w:sz w:val="24"/>
          <w:szCs w:val="24"/>
        </w:rPr>
        <w:t>en términos de los</w:t>
      </w:r>
      <w:r w:rsidR="00AB58A1" w:rsidRPr="00B86CDB">
        <w:rPr>
          <w:rFonts w:ascii="Palatino Linotype" w:eastAsia="Times New Roman" w:hAnsi="Palatino Linotype" w:cs="Times New Roman"/>
          <w:sz w:val="24"/>
          <w:szCs w:val="24"/>
        </w:rPr>
        <w:t xml:space="preserve"> Considerando</w:t>
      </w:r>
      <w:r w:rsidR="009007AF" w:rsidRPr="00B86CDB">
        <w:rPr>
          <w:rFonts w:ascii="Palatino Linotype" w:eastAsia="Times New Roman" w:hAnsi="Palatino Linotype" w:cs="Times New Roman"/>
          <w:sz w:val="24"/>
          <w:szCs w:val="24"/>
        </w:rPr>
        <w:t>s</w:t>
      </w:r>
      <w:r w:rsidR="00AB58A1" w:rsidRPr="00B86CDB">
        <w:rPr>
          <w:rFonts w:ascii="Palatino Linotype" w:eastAsia="Times New Roman" w:hAnsi="Palatino Linotype" w:cs="Times New Roman"/>
          <w:sz w:val="24"/>
          <w:szCs w:val="24"/>
        </w:rPr>
        <w:t xml:space="preserve"> </w:t>
      </w:r>
      <w:r w:rsidR="00AB58A1" w:rsidRPr="00B86CDB">
        <w:rPr>
          <w:rFonts w:ascii="Palatino Linotype" w:eastAsia="Times New Roman" w:hAnsi="Palatino Linotype" w:cs="Times New Roman"/>
          <w:b/>
          <w:sz w:val="24"/>
          <w:szCs w:val="24"/>
        </w:rPr>
        <w:t>CUARTO</w:t>
      </w:r>
      <w:r w:rsidR="009007AF" w:rsidRPr="00B86CDB">
        <w:rPr>
          <w:rFonts w:ascii="Palatino Linotype" w:eastAsia="Times New Roman" w:hAnsi="Palatino Linotype" w:cs="Times New Roman"/>
          <w:b/>
          <w:sz w:val="24"/>
          <w:szCs w:val="24"/>
        </w:rPr>
        <w:t xml:space="preserve"> </w:t>
      </w:r>
      <w:r w:rsidR="009007AF" w:rsidRPr="00B86CDB">
        <w:rPr>
          <w:rFonts w:ascii="Palatino Linotype" w:eastAsia="Times New Roman" w:hAnsi="Palatino Linotype" w:cs="Times New Roman"/>
          <w:sz w:val="24"/>
          <w:szCs w:val="24"/>
        </w:rPr>
        <w:t xml:space="preserve">y </w:t>
      </w:r>
      <w:r w:rsidR="009007AF" w:rsidRPr="00B86CDB">
        <w:rPr>
          <w:rFonts w:ascii="Palatino Linotype" w:eastAsia="Times New Roman" w:hAnsi="Palatino Linotype" w:cs="Times New Roman"/>
          <w:b/>
          <w:sz w:val="24"/>
          <w:szCs w:val="24"/>
        </w:rPr>
        <w:t>QUINTO</w:t>
      </w:r>
      <w:r w:rsidR="00AB58A1" w:rsidRPr="00B86CDB">
        <w:rPr>
          <w:rFonts w:ascii="Palatino Linotype" w:eastAsia="Times New Roman" w:hAnsi="Palatino Linotype" w:cs="Times New Roman"/>
          <w:b/>
          <w:sz w:val="24"/>
          <w:szCs w:val="24"/>
        </w:rPr>
        <w:t xml:space="preserve"> </w:t>
      </w:r>
      <w:r w:rsidRPr="00B86CDB">
        <w:rPr>
          <w:rFonts w:ascii="Palatino Linotype" w:eastAsia="Times New Roman" w:hAnsi="Palatino Linotype" w:cs="Times New Roman"/>
          <w:sz w:val="24"/>
          <w:szCs w:val="24"/>
        </w:rPr>
        <w:t xml:space="preserve">de la presente resolución, por lo que se </w:t>
      </w:r>
      <w:r w:rsidR="00564157" w:rsidRPr="00B86CDB">
        <w:rPr>
          <w:rFonts w:ascii="Palatino Linotype" w:eastAsia="Calibri" w:hAnsi="Palatino Linotype" w:cs="Arial"/>
          <w:b/>
          <w:sz w:val="24"/>
          <w:szCs w:val="24"/>
          <w:lang w:val="es-ES"/>
        </w:rPr>
        <w:t xml:space="preserve">REVOCA </w:t>
      </w:r>
      <w:r w:rsidR="00564157" w:rsidRPr="00B86CDB">
        <w:rPr>
          <w:rFonts w:ascii="Palatino Linotype" w:eastAsia="Calibri" w:hAnsi="Palatino Linotype" w:cs="Arial"/>
          <w:sz w:val="24"/>
          <w:szCs w:val="24"/>
          <w:lang w:val="es-ES"/>
        </w:rPr>
        <w:t xml:space="preserve">la respuesta emitida por el </w:t>
      </w:r>
      <w:r w:rsidR="00564157" w:rsidRPr="00B86CDB">
        <w:rPr>
          <w:rFonts w:ascii="Palatino Linotype" w:hAnsi="Palatino Linotype" w:cs="Arial"/>
          <w:b/>
          <w:sz w:val="24"/>
          <w:szCs w:val="24"/>
        </w:rPr>
        <w:t xml:space="preserve">Tribunal de Justicia del Estado de México </w:t>
      </w:r>
      <w:r w:rsidR="00564157" w:rsidRPr="00B86CDB">
        <w:rPr>
          <w:rFonts w:ascii="Palatino Linotype" w:hAnsi="Palatino Linotype"/>
          <w:bCs/>
          <w:sz w:val="24"/>
          <w:szCs w:val="24"/>
        </w:rPr>
        <w:t>y se</w:t>
      </w:r>
      <w:r w:rsidR="00564157" w:rsidRPr="00B86CDB">
        <w:rPr>
          <w:rFonts w:ascii="Palatino Linotype" w:hAnsi="Palatino Linotype"/>
          <w:b/>
          <w:bCs/>
          <w:sz w:val="24"/>
          <w:szCs w:val="24"/>
        </w:rPr>
        <w:t xml:space="preserve"> ORDENA</w:t>
      </w:r>
      <w:r w:rsidR="00564157" w:rsidRPr="00B86CDB">
        <w:rPr>
          <w:rFonts w:ascii="Palatino Linotype" w:eastAsia="Times New Roman" w:hAnsi="Palatino Linotype" w:cs="Arial"/>
          <w:sz w:val="24"/>
          <w:szCs w:val="24"/>
          <w:lang w:val="es-ES"/>
        </w:rPr>
        <w:t xml:space="preserve"> </w:t>
      </w:r>
      <w:r w:rsidR="00564157" w:rsidRPr="00B86CDB">
        <w:rPr>
          <w:rFonts w:ascii="Palatino Linotype" w:eastAsia="Calibri" w:hAnsi="Palatino Linotype" w:cs="Arial"/>
          <w:sz w:val="24"/>
          <w:szCs w:val="24"/>
          <w:lang w:val="es-ES"/>
        </w:rPr>
        <w:t xml:space="preserve">entregar vía </w:t>
      </w:r>
      <w:r w:rsidR="00564157" w:rsidRPr="00B86CDB">
        <w:rPr>
          <w:rFonts w:ascii="Palatino Linotype" w:eastAsia="Calibri" w:hAnsi="Palatino Linotype" w:cs="Arial"/>
          <w:sz w:val="24"/>
          <w:szCs w:val="24"/>
        </w:rPr>
        <w:t>Sistema de Acceso a Información Mexiquense (SAIMEX)</w:t>
      </w:r>
      <w:r w:rsidR="00564157" w:rsidRPr="00B86CDB">
        <w:rPr>
          <w:rFonts w:ascii="Palatino Linotype" w:eastAsia="Calibri" w:hAnsi="Palatino Linotype" w:cs="Arial"/>
          <w:b/>
          <w:sz w:val="24"/>
          <w:szCs w:val="24"/>
          <w:lang w:val="es-ES"/>
        </w:rPr>
        <w:t xml:space="preserve">, </w:t>
      </w:r>
      <w:r w:rsidR="00564157" w:rsidRPr="00B86CDB">
        <w:rPr>
          <w:rFonts w:ascii="Palatino Linotype" w:eastAsia="Calibri" w:hAnsi="Palatino Linotype" w:cs="Arial"/>
          <w:sz w:val="24"/>
          <w:szCs w:val="24"/>
          <w:lang w:val="es-ES"/>
        </w:rPr>
        <w:t>en versión pública</w:t>
      </w:r>
      <w:r w:rsidR="00564157" w:rsidRPr="00B86CDB">
        <w:rPr>
          <w:rFonts w:ascii="Palatino Linotype" w:eastAsia="Times New Roman" w:hAnsi="Palatino Linotype" w:cs="Arial"/>
          <w:sz w:val="24"/>
          <w:szCs w:val="24"/>
          <w:lang w:val="es-ES"/>
        </w:rPr>
        <w:t xml:space="preserve"> la siguiente información:</w:t>
      </w:r>
    </w:p>
    <w:p w14:paraId="7D90BE08" w14:textId="77777777" w:rsidR="00B73316" w:rsidRPr="00B86CDB" w:rsidRDefault="00564157" w:rsidP="00B73316">
      <w:pPr>
        <w:pStyle w:val="Prrafodelista"/>
        <w:numPr>
          <w:ilvl w:val="0"/>
          <w:numId w:val="45"/>
        </w:numPr>
        <w:spacing w:before="240" w:after="240" w:line="360" w:lineRule="auto"/>
        <w:jc w:val="both"/>
        <w:rPr>
          <w:rFonts w:ascii="Palatino Linotype" w:eastAsia="Times New Roman" w:hAnsi="Palatino Linotype" w:cs="Arial"/>
          <w:b/>
          <w:sz w:val="24"/>
          <w:szCs w:val="24"/>
          <w:lang w:val="es-ES"/>
        </w:rPr>
      </w:pPr>
      <w:r w:rsidRPr="00B86CDB">
        <w:rPr>
          <w:rFonts w:ascii="Palatino Linotype" w:eastAsia="Times New Roman" w:hAnsi="Palatino Linotype" w:cs="Arial"/>
          <w:b/>
          <w:sz w:val="24"/>
          <w:szCs w:val="24"/>
          <w:lang w:val="es-ES"/>
        </w:rPr>
        <w:t>Documentos</w:t>
      </w:r>
      <w:r w:rsidR="008861EA" w:rsidRPr="00B86CDB">
        <w:rPr>
          <w:rFonts w:ascii="Palatino Linotype" w:eastAsia="Times New Roman" w:hAnsi="Palatino Linotype" w:cs="Arial"/>
          <w:b/>
          <w:sz w:val="24"/>
          <w:szCs w:val="24"/>
          <w:lang w:val="es-ES"/>
        </w:rPr>
        <w:t xml:space="preserve"> entregados en informe justificado</w:t>
      </w:r>
      <w:r w:rsidR="009007AF" w:rsidRPr="00B86CDB">
        <w:rPr>
          <w:rFonts w:ascii="Palatino Linotype" w:eastAsia="Times New Roman" w:hAnsi="Palatino Linotype" w:cs="Arial"/>
          <w:b/>
          <w:sz w:val="24"/>
          <w:szCs w:val="24"/>
          <w:lang w:val="es-ES"/>
        </w:rPr>
        <w:t xml:space="preserve"> </w:t>
      </w:r>
      <w:r w:rsidR="008861EA" w:rsidRPr="00B86CDB">
        <w:rPr>
          <w:rFonts w:ascii="Palatino Linotype" w:eastAsia="Times New Roman" w:hAnsi="Palatino Linotype" w:cs="Arial"/>
          <w:b/>
          <w:sz w:val="24"/>
          <w:szCs w:val="24"/>
          <w:lang w:val="es-ES"/>
        </w:rPr>
        <w:t>que acreditan la</w:t>
      </w:r>
      <w:r w:rsidRPr="00B86CDB">
        <w:rPr>
          <w:rFonts w:ascii="Palatino Linotype" w:eastAsia="Calibri" w:hAnsi="Palatino Linotype" w:cs="Arial"/>
          <w:b/>
          <w:sz w:val="24"/>
          <w:szCs w:val="24"/>
          <w:lang w:val="es-ES"/>
        </w:rPr>
        <w:t xml:space="preserve"> absoluta probidad, notoria buena conducta</w:t>
      </w:r>
      <w:r w:rsidR="009007AF" w:rsidRPr="00B86CDB">
        <w:rPr>
          <w:rFonts w:ascii="Palatino Linotype" w:eastAsia="Calibri" w:hAnsi="Palatino Linotype" w:cs="Arial"/>
          <w:b/>
          <w:sz w:val="24"/>
          <w:szCs w:val="24"/>
          <w:lang w:val="es-ES"/>
        </w:rPr>
        <w:t xml:space="preserve"> y</w:t>
      </w:r>
      <w:r w:rsidRPr="00B86CDB">
        <w:rPr>
          <w:rFonts w:ascii="Palatino Linotype" w:eastAsia="Calibri" w:hAnsi="Palatino Linotype" w:cs="Arial"/>
          <w:b/>
          <w:sz w:val="24"/>
          <w:szCs w:val="24"/>
          <w:lang w:val="es-ES"/>
        </w:rPr>
        <w:t xml:space="preserve"> honorabilidad manifiesta en su vida p</w:t>
      </w:r>
      <w:r w:rsidR="009007AF" w:rsidRPr="00B86CDB">
        <w:rPr>
          <w:rFonts w:ascii="Palatino Linotype" w:eastAsia="Calibri" w:hAnsi="Palatino Linotype" w:cs="Arial"/>
          <w:b/>
          <w:sz w:val="24"/>
          <w:szCs w:val="24"/>
          <w:lang w:val="es-ES"/>
        </w:rPr>
        <w:t>ública y privada</w:t>
      </w:r>
      <w:r w:rsidR="008861EA" w:rsidRPr="00B86CDB">
        <w:rPr>
          <w:rFonts w:ascii="Palatino Linotype" w:eastAsia="Calibri" w:hAnsi="Palatino Linotype" w:cs="Arial"/>
          <w:b/>
          <w:sz w:val="24"/>
          <w:szCs w:val="24"/>
          <w:lang w:val="es-ES"/>
        </w:rPr>
        <w:t xml:space="preserve"> de la servidora pública referida en la solicitud</w:t>
      </w:r>
      <w:r w:rsidR="007B6C30" w:rsidRPr="00B86CDB">
        <w:rPr>
          <w:rFonts w:ascii="Palatino Linotype" w:eastAsia="Calibri" w:hAnsi="Palatino Linotype" w:cs="Arial"/>
          <w:b/>
          <w:sz w:val="24"/>
          <w:szCs w:val="24"/>
          <w:lang w:val="es-ES"/>
        </w:rPr>
        <w:t xml:space="preserve"> </w:t>
      </w:r>
      <w:r w:rsidR="008861EA" w:rsidRPr="00B86CDB">
        <w:rPr>
          <w:rFonts w:ascii="Palatino Linotype" w:eastAsia="Calibri" w:hAnsi="Palatino Linotype" w:cs="Arial"/>
          <w:b/>
          <w:sz w:val="24"/>
          <w:szCs w:val="24"/>
          <w:lang w:val="es-ES"/>
        </w:rPr>
        <w:t>00127/TRIJAEM/IP/2020.</w:t>
      </w:r>
    </w:p>
    <w:p w14:paraId="021240D1" w14:textId="34D73C08" w:rsidR="007B6C30" w:rsidRPr="00B86CDB" w:rsidRDefault="007B6C30" w:rsidP="00B73316">
      <w:pPr>
        <w:spacing w:before="240" w:after="240" w:line="360" w:lineRule="auto"/>
        <w:jc w:val="both"/>
        <w:rPr>
          <w:rFonts w:ascii="Palatino Linotype" w:eastAsia="Times New Roman" w:hAnsi="Palatino Linotype" w:cs="Arial"/>
          <w:b/>
          <w:sz w:val="24"/>
          <w:szCs w:val="24"/>
          <w:lang w:val="es-ES"/>
        </w:rPr>
      </w:pPr>
      <w:r w:rsidRPr="00B86CDB">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w:t>
      </w:r>
      <w:r w:rsidRPr="00B86CDB">
        <w:rPr>
          <w:rFonts w:ascii="Palatino Linotype" w:eastAsia="Calibri" w:hAnsi="Palatino Linotype" w:cs="Arial"/>
          <w:sz w:val="24"/>
          <w:szCs w:val="24"/>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w:t>
      </w:r>
      <w:r w:rsidRPr="00B86CDB">
        <w:rPr>
          <w:rFonts w:ascii="Palatino Linotype" w:eastAsia="Calibri" w:hAnsi="Palatino Linotype" w:cs="Arial"/>
          <w:b/>
          <w:sz w:val="24"/>
          <w:szCs w:val="24"/>
        </w:rPr>
        <w:t>.</w:t>
      </w:r>
    </w:p>
    <w:p w14:paraId="279C6B83" w14:textId="1843189B" w:rsidR="007B6C30" w:rsidRPr="00B86CDB" w:rsidRDefault="00B73316" w:rsidP="007B6C30">
      <w:pPr>
        <w:shd w:val="clear" w:color="auto" w:fill="FFFFFF"/>
        <w:spacing w:line="360" w:lineRule="auto"/>
        <w:jc w:val="both"/>
        <w:rPr>
          <w:rFonts w:ascii="Palatino Linotype" w:hAnsi="Palatino Linotype"/>
          <w:color w:val="222222"/>
          <w:sz w:val="24"/>
          <w:szCs w:val="24"/>
          <w:shd w:val="clear" w:color="auto" w:fill="FFFFFF"/>
        </w:rPr>
      </w:pPr>
      <w:r w:rsidRPr="00B86CDB">
        <w:rPr>
          <w:rFonts w:ascii="Palatino Linotype" w:eastAsia="Times New Roman" w:hAnsi="Palatino Linotype" w:cs="Arial"/>
          <w:b/>
          <w:sz w:val="24"/>
          <w:szCs w:val="24"/>
        </w:rPr>
        <w:t>TERCER</w:t>
      </w:r>
      <w:r w:rsidR="009007AF" w:rsidRPr="00B86CDB">
        <w:rPr>
          <w:rFonts w:ascii="Palatino Linotype" w:eastAsia="Times New Roman" w:hAnsi="Palatino Linotype" w:cs="Arial"/>
          <w:b/>
          <w:sz w:val="24"/>
          <w:szCs w:val="24"/>
        </w:rPr>
        <w:t>O</w:t>
      </w:r>
      <w:r w:rsidR="007B6C30" w:rsidRPr="00B86CDB">
        <w:rPr>
          <w:rFonts w:ascii="Palatino Linotype" w:eastAsia="Times New Roman" w:hAnsi="Palatino Linotype" w:cs="Arial"/>
          <w:b/>
          <w:sz w:val="24"/>
          <w:szCs w:val="24"/>
        </w:rPr>
        <w:t xml:space="preserve">. </w:t>
      </w:r>
      <w:r w:rsidR="007B6C30" w:rsidRPr="00B86CDB">
        <w:rPr>
          <w:rFonts w:ascii="Palatino Linotype" w:eastAsia="Palatino Linotype" w:hAnsi="Palatino Linotype" w:cs="Palatino Linotype"/>
          <w:b/>
          <w:sz w:val="24"/>
          <w:szCs w:val="24"/>
        </w:rPr>
        <w:t xml:space="preserve">Notifíquese </w:t>
      </w:r>
      <w:r w:rsidR="007B6C30" w:rsidRPr="00B86CDB">
        <w:rPr>
          <w:rFonts w:ascii="Palatino Linotype" w:eastAsia="Palatino Linotype" w:hAnsi="Palatino Linotype" w:cs="Palatino Linotype"/>
          <w:sz w:val="24"/>
          <w:szCs w:val="24"/>
        </w:rPr>
        <w:t xml:space="preserve">al Titular de la Unidad de Transparencia del </w:t>
      </w:r>
      <w:r w:rsidR="007B6C30" w:rsidRPr="00B86CDB">
        <w:rPr>
          <w:rFonts w:ascii="Palatino Linotype" w:eastAsia="Palatino Linotype" w:hAnsi="Palatino Linotype" w:cs="Palatino Linotype"/>
          <w:b/>
          <w:sz w:val="24"/>
          <w:szCs w:val="24"/>
        </w:rPr>
        <w:t>SUJETO OBLIGADO</w:t>
      </w:r>
      <w:r w:rsidR="007B6C30" w:rsidRPr="00B86CDB">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7B6C30" w:rsidRPr="00B86CDB">
        <w:rPr>
          <w:rFonts w:ascii="Palatino Linotype" w:hAnsi="Palatino Linotype"/>
          <w:color w:val="222222"/>
          <w:sz w:val="24"/>
          <w:szCs w:val="24"/>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09006FC9" w14:textId="268EC440" w:rsidR="000B18E7" w:rsidRPr="00B86CDB" w:rsidRDefault="00B73316" w:rsidP="000B18E7">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B86CDB">
        <w:rPr>
          <w:rFonts w:ascii="Palatino Linotype" w:eastAsia="MS Mincho" w:hAnsi="Palatino Linotype" w:cs="Times New Roman"/>
          <w:b/>
          <w:color w:val="000000"/>
          <w:sz w:val="24"/>
          <w:szCs w:val="24"/>
        </w:rPr>
        <w:t>CUAR</w:t>
      </w:r>
      <w:r w:rsidR="009007AF" w:rsidRPr="00B86CDB">
        <w:rPr>
          <w:rFonts w:ascii="Palatino Linotype" w:eastAsia="MS Mincho" w:hAnsi="Palatino Linotype" w:cs="Times New Roman"/>
          <w:b/>
          <w:color w:val="000000"/>
          <w:sz w:val="24"/>
          <w:szCs w:val="24"/>
        </w:rPr>
        <w:t>TO</w:t>
      </w:r>
      <w:r w:rsidR="000B18E7" w:rsidRPr="00B86CDB">
        <w:rPr>
          <w:rFonts w:ascii="Palatino Linotype" w:eastAsia="MS Mincho" w:hAnsi="Palatino Linotype" w:cs="Times New Roman"/>
          <w:b/>
          <w:color w:val="000000"/>
          <w:sz w:val="24"/>
          <w:szCs w:val="24"/>
        </w:rPr>
        <w:t xml:space="preserve">. </w:t>
      </w:r>
      <w:r w:rsidR="000B18E7" w:rsidRPr="00B86CDB">
        <w:rPr>
          <w:rFonts w:ascii="Palatino Linotype" w:eastAsia="MS Gothic" w:hAnsi="Palatino Linotype" w:cs="Times New Roman"/>
          <w:sz w:val="24"/>
          <w:szCs w:val="24"/>
        </w:rPr>
        <w:t xml:space="preserve">Notifíquese a </w:t>
      </w:r>
      <w:r w:rsidR="00253D6B" w:rsidRPr="00253D6B">
        <w:rPr>
          <w:rFonts w:ascii="Palatino Linotype" w:eastAsia="MS Gothic" w:hAnsi="Palatino Linotype" w:cs="Times New Roman"/>
          <w:b/>
          <w:sz w:val="24"/>
          <w:szCs w:val="24"/>
          <w:highlight w:val="black"/>
        </w:rPr>
        <w:t>-</w:t>
      </w:r>
      <w:r w:rsidR="00253D6B">
        <w:rPr>
          <w:rFonts w:ascii="Palatino Linotype" w:eastAsia="MS Gothic" w:hAnsi="Palatino Linotype" w:cs="Times New Roman"/>
          <w:b/>
          <w:sz w:val="24"/>
          <w:szCs w:val="24"/>
          <w:highlight w:val="black"/>
        </w:rPr>
        <w:t>-------------</w:t>
      </w:r>
      <w:r w:rsidR="00253D6B" w:rsidRPr="00253D6B">
        <w:rPr>
          <w:rFonts w:ascii="Palatino Linotype" w:eastAsia="MS Gothic" w:hAnsi="Palatino Linotype" w:cs="Times New Roman"/>
          <w:b/>
          <w:sz w:val="24"/>
          <w:szCs w:val="24"/>
          <w:highlight w:val="black"/>
        </w:rPr>
        <w:t>------------------------------</w:t>
      </w:r>
      <w:r w:rsidR="000B18E7" w:rsidRPr="00B86CDB">
        <w:rPr>
          <w:rFonts w:ascii="Palatino Linotype" w:eastAsia="MS Gothic" w:hAnsi="Palatino Linotype" w:cs="Times New Roman"/>
          <w:b/>
          <w:sz w:val="24"/>
          <w:szCs w:val="24"/>
        </w:rPr>
        <w:t xml:space="preserve"> </w:t>
      </w:r>
      <w:r w:rsidR="000B18E7" w:rsidRPr="00B86CDB">
        <w:rPr>
          <w:rFonts w:ascii="Palatino Linotype" w:eastAsia="MS Gothic" w:hAnsi="Palatino Linotype" w:cs="Times New Roman"/>
          <w:sz w:val="24"/>
          <w:szCs w:val="24"/>
        </w:rPr>
        <w:t>la presente</w:t>
      </w:r>
      <w:r w:rsidR="007B6C30" w:rsidRPr="00B86CDB">
        <w:rPr>
          <w:rFonts w:ascii="Palatino Linotype" w:eastAsia="Times New Roman" w:hAnsi="Palatino Linotype" w:cs="Times New Roman"/>
          <w:color w:val="222222"/>
          <w:sz w:val="24"/>
          <w:szCs w:val="24"/>
          <w:lang w:val="es-ES" w:eastAsia="es-MX"/>
        </w:rPr>
        <w:t xml:space="preserve"> resolución y los </w:t>
      </w:r>
      <w:r w:rsidR="00AD7656" w:rsidRPr="00B86CDB">
        <w:rPr>
          <w:rFonts w:ascii="Palatino Linotype" w:eastAsia="Times New Roman" w:hAnsi="Palatino Linotype" w:cs="Times New Roman"/>
          <w:color w:val="222222"/>
          <w:sz w:val="24"/>
          <w:szCs w:val="24"/>
          <w:lang w:val="es-ES" w:eastAsia="es-MX"/>
        </w:rPr>
        <w:t>informe</w:t>
      </w:r>
      <w:r w:rsidR="007B6C30" w:rsidRPr="00B86CDB">
        <w:rPr>
          <w:rFonts w:ascii="Palatino Linotype" w:eastAsia="Times New Roman" w:hAnsi="Palatino Linotype" w:cs="Times New Roman"/>
          <w:color w:val="222222"/>
          <w:sz w:val="24"/>
          <w:szCs w:val="24"/>
          <w:lang w:val="es-ES" w:eastAsia="es-MX"/>
        </w:rPr>
        <w:t xml:space="preserve">s justificados de los recursos de revisión </w:t>
      </w:r>
      <w:r w:rsidR="007B6C30" w:rsidRPr="00B86CDB">
        <w:rPr>
          <w:rFonts w:ascii="Palatino Linotype" w:eastAsia="Calibri" w:hAnsi="Palatino Linotype" w:cs="Arial"/>
          <w:b/>
          <w:sz w:val="24"/>
          <w:szCs w:val="24"/>
          <w:lang w:val="es-ES"/>
        </w:rPr>
        <w:t>04038</w:t>
      </w:r>
      <w:r w:rsidR="007B6C30" w:rsidRPr="00B86CDB">
        <w:rPr>
          <w:rFonts w:ascii="Palatino Linotype" w:eastAsia="Calibri" w:hAnsi="Palatino Linotype" w:cs="Arial"/>
          <w:b/>
          <w:bCs/>
          <w:sz w:val="24"/>
          <w:szCs w:val="24"/>
        </w:rPr>
        <w:t xml:space="preserve">/INFOEM/IP/RR/2020 y </w:t>
      </w:r>
      <w:r w:rsidR="007B6C30" w:rsidRPr="00B86CDB">
        <w:rPr>
          <w:rFonts w:ascii="Palatino Linotype" w:eastAsia="Calibri" w:hAnsi="Palatino Linotype" w:cs="Arial"/>
          <w:b/>
          <w:sz w:val="24"/>
          <w:szCs w:val="24"/>
          <w:lang w:val="es-ES"/>
        </w:rPr>
        <w:t>04045</w:t>
      </w:r>
      <w:r w:rsidR="007B6C30" w:rsidRPr="00B86CDB">
        <w:rPr>
          <w:rFonts w:ascii="Palatino Linotype" w:eastAsia="Calibri" w:hAnsi="Palatino Linotype" w:cs="Arial"/>
          <w:b/>
          <w:bCs/>
          <w:sz w:val="24"/>
          <w:szCs w:val="24"/>
        </w:rPr>
        <w:t xml:space="preserve">/INFOEM/IP/RR/2020. </w:t>
      </w:r>
    </w:p>
    <w:p w14:paraId="28C80FD2" w14:textId="12680B0E" w:rsidR="009007AF" w:rsidRPr="00B86CDB" w:rsidRDefault="00B73316" w:rsidP="000B18E7">
      <w:pPr>
        <w:spacing w:line="360" w:lineRule="auto"/>
        <w:jc w:val="both"/>
        <w:rPr>
          <w:rFonts w:ascii="Palatino Linotype" w:eastAsia="MS Mincho" w:hAnsi="Palatino Linotype" w:cs="Times New Roman"/>
          <w:color w:val="000000"/>
          <w:sz w:val="24"/>
          <w:szCs w:val="24"/>
        </w:rPr>
      </w:pPr>
      <w:r w:rsidRPr="00B86CDB">
        <w:rPr>
          <w:rFonts w:ascii="Palatino Linotype" w:eastAsia="MS Mincho" w:hAnsi="Palatino Linotype" w:cs="Times New Roman"/>
          <w:b/>
          <w:color w:val="000000"/>
          <w:sz w:val="24"/>
          <w:szCs w:val="24"/>
        </w:rPr>
        <w:t>QUINT</w:t>
      </w:r>
      <w:r w:rsidR="009007AF" w:rsidRPr="00B86CDB">
        <w:rPr>
          <w:rFonts w:ascii="Palatino Linotype" w:eastAsia="MS Mincho" w:hAnsi="Palatino Linotype" w:cs="Times New Roman"/>
          <w:b/>
          <w:color w:val="000000"/>
          <w:sz w:val="24"/>
          <w:szCs w:val="24"/>
        </w:rPr>
        <w:t>O</w:t>
      </w:r>
      <w:r w:rsidR="000B18E7" w:rsidRPr="00B86CDB">
        <w:rPr>
          <w:rFonts w:ascii="Palatino Linotype" w:eastAsia="MS Mincho" w:hAnsi="Palatino Linotype" w:cs="Times New Roman"/>
          <w:b/>
          <w:color w:val="000000"/>
          <w:sz w:val="24"/>
          <w:szCs w:val="24"/>
        </w:rPr>
        <w:t>.</w:t>
      </w:r>
      <w:r w:rsidR="000B18E7" w:rsidRPr="00B86CDB">
        <w:rPr>
          <w:rFonts w:ascii="Palatino Linotype" w:eastAsia="MS Mincho" w:hAnsi="Palatino Linotype" w:cs="Times New Roman"/>
          <w:color w:val="000000"/>
          <w:sz w:val="24"/>
          <w:szCs w:val="24"/>
        </w:rPr>
        <w:t xml:space="preserve"> Se hace del conocimiento de </w:t>
      </w:r>
      <w:r w:rsidR="00253D6B" w:rsidRPr="00253D6B">
        <w:rPr>
          <w:rFonts w:ascii="Palatino Linotype" w:eastAsia="MS Gothic" w:hAnsi="Palatino Linotype" w:cs="Times New Roman"/>
          <w:b/>
          <w:sz w:val="24"/>
          <w:szCs w:val="24"/>
          <w:highlight w:val="black"/>
        </w:rPr>
        <w:t>-----------------------------------------</w:t>
      </w:r>
      <w:r w:rsidR="00AD7656" w:rsidRPr="00B86CDB">
        <w:rPr>
          <w:rFonts w:ascii="Palatino Linotype" w:eastAsia="MS Gothic" w:hAnsi="Palatino Linotype" w:cs="Times New Roman"/>
          <w:b/>
          <w:sz w:val="24"/>
          <w:szCs w:val="24"/>
        </w:rPr>
        <w:t xml:space="preserve"> </w:t>
      </w:r>
      <w:r w:rsidR="000B18E7" w:rsidRPr="00B86CDB">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3C311FD" w14:textId="1D903F8E" w:rsidR="00AB58A1" w:rsidRPr="00B86CDB" w:rsidRDefault="00B73316" w:rsidP="00AB58A1">
      <w:pPr>
        <w:spacing w:line="360" w:lineRule="auto"/>
        <w:jc w:val="both"/>
        <w:rPr>
          <w:rFonts w:ascii="Palatino Linotype" w:hAnsi="Palatino Linotype"/>
          <w:color w:val="000000"/>
          <w:sz w:val="24"/>
          <w:szCs w:val="24"/>
          <w:shd w:val="clear" w:color="auto" w:fill="FFFFFF"/>
        </w:rPr>
      </w:pPr>
      <w:r w:rsidRPr="00B86CDB">
        <w:rPr>
          <w:rFonts w:ascii="Palatino Linotype" w:hAnsi="Palatino Linotype"/>
          <w:b/>
          <w:bCs/>
          <w:color w:val="000000"/>
          <w:sz w:val="24"/>
          <w:szCs w:val="24"/>
          <w:shd w:val="clear" w:color="auto" w:fill="FFFFFF"/>
        </w:rPr>
        <w:lastRenderedPageBreak/>
        <w:t>SEXT</w:t>
      </w:r>
      <w:r w:rsidR="009007AF" w:rsidRPr="00B86CDB">
        <w:rPr>
          <w:rFonts w:ascii="Palatino Linotype" w:hAnsi="Palatino Linotype"/>
          <w:b/>
          <w:bCs/>
          <w:color w:val="000000"/>
          <w:sz w:val="24"/>
          <w:szCs w:val="24"/>
          <w:shd w:val="clear" w:color="auto" w:fill="FFFFFF"/>
        </w:rPr>
        <w:t>O</w:t>
      </w:r>
      <w:r w:rsidR="00AB58A1" w:rsidRPr="00B86CDB">
        <w:rPr>
          <w:rFonts w:ascii="Palatino Linotype" w:hAnsi="Palatino Linotype"/>
          <w:b/>
          <w:bCs/>
          <w:color w:val="000000"/>
          <w:sz w:val="24"/>
          <w:szCs w:val="24"/>
          <w:shd w:val="clear" w:color="auto" w:fill="FFFFFF"/>
        </w:rPr>
        <w:t>.</w:t>
      </w:r>
      <w:r w:rsidR="00AB58A1" w:rsidRPr="00B86CDB">
        <w:rPr>
          <w:rFonts w:ascii="Palatino Linotype" w:hAnsi="Palatino Linotype"/>
          <w:color w:val="000000"/>
          <w:sz w:val="24"/>
          <w:szCs w:val="24"/>
          <w:shd w:val="clear" w:color="auto" w:fill="FFFFFF"/>
        </w:rPr>
        <w:t> Con fundamento en el artículo 198 de la Ley de Transparencia y Acceso a la Información Pública del Estado de México y Municipios, se apercibe al </w:t>
      </w:r>
      <w:r w:rsidR="00AB58A1" w:rsidRPr="00B86CDB">
        <w:rPr>
          <w:rFonts w:ascii="Palatino Linotype" w:hAnsi="Palatino Linotype"/>
          <w:b/>
          <w:bCs/>
          <w:color w:val="000000"/>
          <w:sz w:val="24"/>
          <w:szCs w:val="24"/>
          <w:shd w:val="clear" w:color="auto" w:fill="FFFFFF"/>
        </w:rPr>
        <w:t>SUJETO OBLIGADO</w:t>
      </w:r>
      <w:r w:rsidR="00AB58A1" w:rsidRPr="00B86CDB">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215, 216 y 217 de la ley en cita. </w:t>
      </w:r>
    </w:p>
    <w:p w14:paraId="03B230D3" w14:textId="17C3F9B8" w:rsidR="009007AF" w:rsidRPr="00B86CDB" w:rsidRDefault="00B86CDB" w:rsidP="00B86CDB">
      <w:pPr>
        <w:shd w:val="clear" w:color="auto" w:fill="FFFFFF"/>
        <w:spacing w:line="360" w:lineRule="auto"/>
        <w:ind w:right="49"/>
        <w:jc w:val="both"/>
        <w:rPr>
          <w:rFonts w:ascii="Palatino Linotype" w:eastAsia="Times New Roman" w:hAnsi="Palatino Linotype" w:cs="Times New Roman"/>
          <w:b/>
          <w:sz w:val="24"/>
          <w:szCs w:val="24"/>
          <w:lang w:eastAsia="es-MX"/>
        </w:rPr>
      </w:pPr>
      <w:r w:rsidRPr="00B86CDB">
        <w:rPr>
          <w:rFonts w:ascii="Palatino Linotype" w:hAnsi="Palatino Linotype"/>
          <w:b/>
          <w:color w:val="000000"/>
          <w:sz w:val="24"/>
          <w:szCs w:val="24"/>
          <w:shd w:val="clear" w:color="auto" w:fill="FFFFFF"/>
        </w:rPr>
        <w:t>SÉPTIM</w:t>
      </w:r>
      <w:r w:rsidRPr="00B86CDB">
        <w:rPr>
          <w:rFonts w:ascii="Palatino Linotype" w:eastAsia="MS Mincho" w:hAnsi="Palatino Linotype" w:cs="Times New Roman"/>
          <w:b/>
          <w:sz w:val="24"/>
          <w:szCs w:val="24"/>
        </w:rPr>
        <w:t>O</w:t>
      </w:r>
      <w:r w:rsidR="00AB58A1" w:rsidRPr="00B86CDB">
        <w:rPr>
          <w:rFonts w:ascii="Palatino Linotype" w:eastAsia="MS Mincho" w:hAnsi="Palatino Linotype" w:cs="Times New Roman"/>
          <w:b/>
          <w:sz w:val="24"/>
          <w:szCs w:val="24"/>
        </w:rPr>
        <w:t>.</w:t>
      </w:r>
      <w:r w:rsidR="00AB58A1" w:rsidRPr="00B86CDB">
        <w:rPr>
          <w:rFonts w:ascii="Palatino Linotype" w:eastAsia="Times New Roman" w:hAnsi="Palatino Linotype" w:cs="Times New Roman"/>
          <w:sz w:val="24"/>
          <w:szCs w:val="24"/>
          <w:lang w:eastAsia="es-MX"/>
        </w:rPr>
        <w:t xml:space="preserve"> 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AB58A1" w:rsidRPr="00B86CDB">
        <w:rPr>
          <w:rFonts w:ascii="Palatino Linotype" w:eastAsia="Times New Roman" w:hAnsi="Palatino Linotype" w:cs="Times New Roman"/>
          <w:b/>
          <w:sz w:val="24"/>
          <w:szCs w:val="24"/>
          <w:lang w:eastAsia="es-MX"/>
        </w:rPr>
        <w:t xml:space="preserve">Considerando </w:t>
      </w:r>
      <w:r w:rsidR="009007AF" w:rsidRPr="00B86CDB">
        <w:rPr>
          <w:rFonts w:ascii="Palatino Linotype" w:eastAsia="Times New Roman" w:hAnsi="Palatino Linotype" w:cs="Times New Roman"/>
          <w:b/>
          <w:sz w:val="24"/>
          <w:szCs w:val="24"/>
          <w:lang w:eastAsia="es-MX"/>
        </w:rPr>
        <w:t>SEXTO</w:t>
      </w:r>
      <w:r w:rsidR="00AB58A1" w:rsidRPr="00B86CDB">
        <w:rPr>
          <w:rFonts w:ascii="Palatino Linotype" w:eastAsia="Times New Roman" w:hAnsi="Palatino Linotype" w:cs="Times New Roman"/>
          <w:sz w:val="24"/>
          <w:szCs w:val="24"/>
          <w:lang w:eastAsia="es-MX"/>
        </w:rPr>
        <w:t>.</w:t>
      </w:r>
    </w:p>
    <w:p w14:paraId="436B9B79" w14:textId="77777777" w:rsidR="009007AF" w:rsidRPr="00B86CDB" w:rsidRDefault="009007AF" w:rsidP="00A9278D">
      <w:pPr>
        <w:spacing w:line="360" w:lineRule="auto"/>
        <w:jc w:val="both"/>
        <w:rPr>
          <w:rFonts w:ascii="Palatino Linotype" w:eastAsia="MS Mincho" w:hAnsi="Palatino Linotype" w:cs="Times New Roman"/>
          <w:color w:val="000000"/>
          <w:sz w:val="24"/>
          <w:szCs w:val="24"/>
        </w:rPr>
      </w:pPr>
    </w:p>
    <w:bookmarkEnd w:id="44"/>
    <w:bookmarkEnd w:id="45"/>
    <w:bookmarkEnd w:id="46"/>
    <w:p w14:paraId="351FA6F3" w14:textId="53E7562C" w:rsidR="00927869"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B86CD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B86CDB" w:rsidRPr="00B86CDB">
        <w:rPr>
          <w:rFonts w:ascii="Palatino Linotype" w:eastAsiaTheme="minorEastAsia" w:hAnsi="Palatino Linotype"/>
          <w:sz w:val="24"/>
          <w:szCs w:val="24"/>
          <w:lang w:val="es-ES_tradnl" w:eastAsia="es-ES"/>
        </w:rPr>
        <w:t>MARTÍNEZ</w:t>
      </w:r>
      <w:r w:rsidRPr="00B86CDB">
        <w:rPr>
          <w:rFonts w:ascii="Palatino Linotype" w:eastAsiaTheme="minorEastAsia" w:hAnsi="Palatino Linotype"/>
          <w:sz w:val="24"/>
          <w:szCs w:val="24"/>
          <w:lang w:val="es-ES_tradnl" w:eastAsia="es-ES"/>
        </w:rPr>
        <w:t xml:space="preserve"> </w:t>
      </w:r>
      <w:r w:rsidR="00B86CDB" w:rsidRPr="00B86CDB">
        <w:rPr>
          <w:rFonts w:ascii="Palatino Linotype" w:eastAsiaTheme="minorEastAsia" w:hAnsi="Palatino Linotype"/>
          <w:sz w:val="24"/>
          <w:szCs w:val="24"/>
          <w:lang w:val="es-ES_tradnl" w:eastAsia="es-ES"/>
        </w:rPr>
        <w:t>SÁNCHEZ</w:t>
      </w:r>
      <w:r w:rsidR="00B86CDB">
        <w:rPr>
          <w:rFonts w:ascii="Palatino Linotype" w:eastAsiaTheme="minorEastAsia" w:hAnsi="Palatino Linotype"/>
          <w:sz w:val="24"/>
          <w:szCs w:val="24"/>
          <w:lang w:val="es-ES_tradnl" w:eastAsia="es-ES"/>
        </w:rPr>
        <w:t xml:space="preserve"> EMITIENDO VOTO PARTICULAR</w:t>
      </w:r>
      <w:r w:rsidRPr="00B86CDB">
        <w:rPr>
          <w:rFonts w:ascii="Palatino Linotype" w:eastAsiaTheme="minorEastAsia" w:hAnsi="Palatino Linotype"/>
          <w:sz w:val="24"/>
          <w:szCs w:val="24"/>
          <w:lang w:val="es-ES_tradnl" w:eastAsia="es-ES"/>
        </w:rPr>
        <w:t>; EVA ABAID YAPUR; JOSÉ GUADALUPE LUNA HERNÁNDEZ; JAVIER MARTÍNEZ CRUZ</w:t>
      </w:r>
      <w:r w:rsidR="00B86CDB">
        <w:rPr>
          <w:rFonts w:ascii="Palatino Linotype" w:eastAsiaTheme="minorEastAsia" w:hAnsi="Palatino Linotype"/>
          <w:sz w:val="24"/>
          <w:szCs w:val="24"/>
          <w:lang w:val="es-ES_tradnl" w:eastAsia="es-ES"/>
        </w:rPr>
        <w:t xml:space="preserve"> EMITIENDO VOTO PARTICULAR</w:t>
      </w:r>
      <w:r w:rsidRPr="00B86CDB">
        <w:rPr>
          <w:rFonts w:ascii="Palatino Linotype" w:eastAsiaTheme="minorEastAsia" w:hAnsi="Palatino Linotype"/>
          <w:sz w:val="24"/>
          <w:szCs w:val="24"/>
          <w:lang w:val="es-ES_tradnl" w:eastAsia="es-ES"/>
        </w:rPr>
        <w:t xml:space="preserve"> Y LUIS GUSTAVO PARRA NORIEGA; EN LA </w:t>
      </w:r>
      <w:r w:rsidR="00257108" w:rsidRPr="00B86CDB">
        <w:rPr>
          <w:rFonts w:ascii="Palatino Linotype" w:eastAsiaTheme="minorEastAsia" w:hAnsi="Palatino Linotype"/>
          <w:sz w:val="24"/>
          <w:szCs w:val="24"/>
          <w:lang w:val="es-ES_tradnl" w:eastAsia="es-ES"/>
        </w:rPr>
        <w:t>VIGÉSIMO</w:t>
      </w:r>
      <w:r w:rsidR="00C914B7" w:rsidRPr="00B86CDB">
        <w:rPr>
          <w:rFonts w:ascii="Palatino Linotype" w:eastAsiaTheme="minorEastAsia" w:hAnsi="Palatino Linotype"/>
          <w:sz w:val="24"/>
          <w:szCs w:val="24"/>
          <w:lang w:val="es-ES_tradnl" w:eastAsia="es-ES"/>
        </w:rPr>
        <w:t xml:space="preserve"> </w:t>
      </w:r>
      <w:r w:rsidR="007B6C30" w:rsidRPr="00B86CDB">
        <w:rPr>
          <w:rFonts w:ascii="Palatino Linotype" w:eastAsiaTheme="minorEastAsia" w:hAnsi="Palatino Linotype"/>
          <w:sz w:val="24"/>
          <w:szCs w:val="24"/>
          <w:lang w:val="es-ES_tradnl" w:eastAsia="es-ES"/>
        </w:rPr>
        <w:t>NOVENA</w:t>
      </w:r>
      <w:r w:rsidR="00C914B7" w:rsidRPr="00B86CDB">
        <w:rPr>
          <w:rFonts w:ascii="Palatino Linotype" w:eastAsiaTheme="minorEastAsia" w:hAnsi="Palatino Linotype"/>
          <w:sz w:val="24"/>
          <w:szCs w:val="24"/>
          <w:lang w:val="es-ES_tradnl" w:eastAsia="es-ES"/>
        </w:rPr>
        <w:t xml:space="preserve"> </w:t>
      </w:r>
      <w:r w:rsidRPr="00B86CDB">
        <w:rPr>
          <w:rFonts w:ascii="Palatino Linotype" w:eastAsiaTheme="minorEastAsia" w:hAnsi="Palatino Linotype"/>
          <w:sz w:val="24"/>
          <w:szCs w:val="24"/>
          <w:lang w:val="es-ES_tradnl" w:eastAsia="es-ES"/>
        </w:rPr>
        <w:t>SESIÓN ORDINARIA CELEBRADA EL</w:t>
      </w:r>
      <w:r w:rsidR="00046361" w:rsidRPr="00B86CDB">
        <w:rPr>
          <w:rFonts w:ascii="Palatino Linotype" w:eastAsiaTheme="minorEastAsia" w:hAnsi="Palatino Linotype"/>
          <w:sz w:val="24"/>
          <w:szCs w:val="24"/>
          <w:lang w:val="es-ES_tradnl" w:eastAsia="es-ES"/>
        </w:rPr>
        <w:t xml:space="preserve"> </w:t>
      </w:r>
      <w:r w:rsidR="007B6C30" w:rsidRPr="00B86CDB">
        <w:rPr>
          <w:rFonts w:ascii="Palatino Linotype" w:eastAsiaTheme="minorEastAsia" w:hAnsi="Palatino Linotype"/>
          <w:sz w:val="24"/>
          <w:szCs w:val="24"/>
          <w:lang w:val="es-ES_tradnl" w:eastAsia="es-ES"/>
        </w:rPr>
        <w:t>DOS</w:t>
      </w:r>
      <w:r w:rsidR="00927869" w:rsidRPr="00B86CDB">
        <w:rPr>
          <w:rFonts w:ascii="Palatino Linotype" w:eastAsiaTheme="minorEastAsia" w:hAnsi="Palatino Linotype"/>
          <w:sz w:val="24"/>
          <w:szCs w:val="24"/>
          <w:lang w:val="es-ES_tradnl" w:eastAsia="es-ES"/>
        </w:rPr>
        <w:t xml:space="preserve"> </w:t>
      </w:r>
      <w:r w:rsidR="00046361" w:rsidRPr="00B86CDB">
        <w:rPr>
          <w:rFonts w:ascii="Palatino Linotype" w:eastAsiaTheme="minorEastAsia" w:hAnsi="Palatino Linotype"/>
          <w:sz w:val="24"/>
          <w:szCs w:val="24"/>
          <w:lang w:val="es-ES_tradnl" w:eastAsia="es-ES"/>
        </w:rPr>
        <w:t xml:space="preserve">DE </w:t>
      </w:r>
      <w:r w:rsidR="007B6C30" w:rsidRPr="00B86CDB">
        <w:rPr>
          <w:rFonts w:ascii="Palatino Linotype" w:eastAsiaTheme="minorEastAsia" w:hAnsi="Palatino Linotype"/>
          <w:sz w:val="24"/>
          <w:szCs w:val="24"/>
          <w:lang w:val="es-ES_tradnl" w:eastAsia="es-ES"/>
        </w:rPr>
        <w:lastRenderedPageBreak/>
        <w:t>DICIEM</w:t>
      </w:r>
      <w:r w:rsidR="00C914B7" w:rsidRPr="00B86CDB">
        <w:rPr>
          <w:rFonts w:ascii="Palatino Linotype" w:eastAsiaTheme="minorEastAsia" w:hAnsi="Palatino Linotype"/>
          <w:sz w:val="24"/>
          <w:szCs w:val="24"/>
          <w:lang w:val="es-ES_tradnl" w:eastAsia="es-ES"/>
        </w:rPr>
        <w:t>BRE</w:t>
      </w:r>
      <w:r w:rsidRPr="00B86CDB">
        <w:rPr>
          <w:rFonts w:ascii="Palatino Linotype" w:eastAsiaTheme="minorEastAsia" w:hAnsi="Palatino Linotype"/>
          <w:sz w:val="24"/>
          <w:szCs w:val="24"/>
          <w:lang w:val="es-ES_tradnl" w:eastAsia="es-ES"/>
        </w:rPr>
        <w:t xml:space="preserve"> DE DOS MIL </w:t>
      </w:r>
      <w:r w:rsidR="00046361" w:rsidRPr="00B86CDB">
        <w:rPr>
          <w:rFonts w:ascii="Palatino Linotype" w:eastAsiaTheme="minorEastAsia" w:hAnsi="Palatino Linotype"/>
          <w:sz w:val="24"/>
          <w:szCs w:val="24"/>
          <w:lang w:val="es-ES_tradnl" w:eastAsia="es-ES"/>
        </w:rPr>
        <w:t>VEINTE</w:t>
      </w:r>
      <w:r w:rsidRPr="00B86CDB">
        <w:rPr>
          <w:rFonts w:ascii="Palatino Linotype" w:eastAsiaTheme="minorEastAsia" w:hAnsi="Palatino Linotype"/>
          <w:sz w:val="24"/>
          <w:szCs w:val="24"/>
          <w:lang w:val="es-ES_tradnl" w:eastAsia="es-ES"/>
        </w:rPr>
        <w:t>, ANTE EL SECRETARIO TÉCNICO DEL PLENO ALEXIS TAPIA RAMÍREZ.</w:t>
      </w:r>
      <w:r w:rsidRPr="00B86CDB">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B86CDB" w14:paraId="3A4CBA4B" w14:textId="77777777" w:rsidTr="00B4031B">
        <w:trPr>
          <w:trHeight w:val="1168"/>
        </w:trPr>
        <w:tc>
          <w:tcPr>
            <w:tcW w:w="8697" w:type="dxa"/>
            <w:gridSpan w:val="2"/>
            <w:vAlign w:val="center"/>
          </w:tcPr>
          <w:p w14:paraId="12C1AB66" w14:textId="77777777" w:rsidR="00B86CDB" w:rsidRDefault="00B86CDB" w:rsidP="00B86CDB">
            <w:pPr>
              <w:ind w:right="51"/>
              <w:jc w:val="center"/>
              <w:rPr>
                <w:rFonts w:ascii="Palatino Linotype" w:eastAsiaTheme="minorEastAsia" w:hAnsi="Palatino Linotype" w:cs="Times New Roman"/>
                <w:b/>
              </w:rPr>
            </w:pPr>
          </w:p>
          <w:p w14:paraId="2AD91337" w14:textId="77777777" w:rsidR="00B86CDB" w:rsidRDefault="00B86CDB" w:rsidP="00B86CDB">
            <w:pPr>
              <w:ind w:right="51"/>
              <w:jc w:val="center"/>
              <w:rPr>
                <w:rFonts w:ascii="Palatino Linotype" w:eastAsiaTheme="minorEastAsia" w:hAnsi="Palatino Linotype" w:cs="Times New Roman"/>
                <w:b/>
              </w:rPr>
            </w:pPr>
          </w:p>
          <w:p w14:paraId="19C47D5F" w14:textId="3DB29C10" w:rsidR="00B12C54" w:rsidRPr="00B86CDB" w:rsidRDefault="00B12C54" w:rsidP="00B86CDB">
            <w:pPr>
              <w:ind w:right="51"/>
              <w:jc w:val="center"/>
              <w:rPr>
                <w:rFonts w:ascii="Palatino Linotype" w:eastAsiaTheme="minorEastAsia" w:hAnsi="Palatino Linotype" w:cs="Times New Roman"/>
                <w:b/>
              </w:rPr>
            </w:pPr>
            <w:r w:rsidRPr="00B86CDB">
              <w:rPr>
                <w:rFonts w:ascii="Palatino Linotype" w:eastAsiaTheme="minorEastAsia" w:hAnsi="Palatino Linotype" w:cs="Times New Roman"/>
                <w:b/>
              </w:rPr>
              <w:t>Zulema Martínez Sánchez</w:t>
            </w:r>
          </w:p>
          <w:p w14:paraId="220A66DA"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Comisionada Presidenta</w:t>
            </w:r>
          </w:p>
          <w:p w14:paraId="04187BA9"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(Rúbrica)</w:t>
            </w:r>
          </w:p>
        </w:tc>
      </w:tr>
      <w:tr w:rsidR="00B12C54" w:rsidRPr="00B86CDB" w14:paraId="7B6B50CF" w14:textId="77777777" w:rsidTr="00B4031B">
        <w:trPr>
          <w:trHeight w:val="1395"/>
        </w:trPr>
        <w:tc>
          <w:tcPr>
            <w:tcW w:w="4348" w:type="dxa"/>
            <w:vAlign w:val="center"/>
          </w:tcPr>
          <w:p w14:paraId="05267CEC" w14:textId="530FD280" w:rsidR="00B12C54" w:rsidRPr="00B86CDB" w:rsidRDefault="00B12C54" w:rsidP="00B86CDB">
            <w:pPr>
              <w:ind w:right="51"/>
              <w:jc w:val="center"/>
              <w:rPr>
                <w:rFonts w:ascii="Palatino Linotype" w:eastAsiaTheme="minorEastAsia" w:hAnsi="Palatino Linotype" w:cs="Times New Roman"/>
                <w:b/>
              </w:rPr>
            </w:pPr>
          </w:p>
          <w:p w14:paraId="210B4F0B" w14:textId="09B1F22C" w:rsidR="008A61DF" w:rsidRPr="00B86CDB" w:rsidRDefault="008A61DF" w:rsidP="00B86CDB">
            <w:pPr>
              <w:ind w:right="51"/>
              <w:jc w:val="center"/>
              <w:rPr>
                <w:rFonts w:ascii="Palatino Linotype" w:eastAsiaTheme="minorEastAsia" w:hAnsi="Palatino Linotype" w:cs="Times New Roman"/>
                <w:b/>
              </w:rPr>
            </w:pPr>
          </w:p>
          <w:p w14:paraId="0AA44280" w14:textId="77777777" w:rsidR="008A61DF" w:rsidRPr="00B86CDB" w:rsidRDefault="008A61DF" w:rsidP="00B86CDB">
            <w:pPr>
              <w:ind w:right="51"/>
              <w:jc w:val="center"/>
              <w:rPr>
                <w:rFonts w:ascii="Palatino Linotype" w:eastAsiaTheme="minorEastAsia" w:hAnsi="Palatino Linotype" w:cs="Times New Roman"/>
                <w:b/>
              </w:rPr>
            </w:pPr>
          </w:p>
          <w:p w14:paraId="30932587" w14:textId="77777777" w:rsidR="00B12C54" w:rsidRPr="00B86CDB" w:rsidRDefault="00B12C54" w:rsidP="00B86CDB">
            <w:pPr>
              <w:ind w:right="51"/>
              <w:jc w:val="center"/>
              <w:rPr>
                <w:rFonts w:ascii="Palatino Linotype" w:eastAsiaTheme="minorEastAsia" w:hAnsi="Palatino Linotype" w:cs="Times New Roman"/>
                <w:b/>
              </w:rPr>
            </w:pPr>
            <w:r w:rsidRPr="00B86CDB">
              <w:rPr>
                <w:rFonts w:ascii="Palatino Linotype" w:eastAsiaTheme="minorEastAsia" w:hAnsi="Palatino Linotype" w:cs="Times New Roman"/>
                <w:b/>
              </w:rPr>
              <w:t xml:space="preserve">Eva </w:t>
            </w:r>
            <w:proofErr w:type="spellStart"/>
            <w:r w:rsidRPr="00B86CDB">
              <w:rPr>
                <w:rFonts w:ascii="Palatino Linotype" w:eastAsiaTheme="minorEastAsia" w:hAnsi="Palatino Linotype" w:cs="Times New Roman"/>
                <w:b/>
              </w:rPr>
              <w:t>Abaid</w:t>
            </w:r>
            <w:proofErr w:type="spellEnd"/>
            <w:r w:rsidRPr="00B86CDB">
              <w:rPr>
                <w:rFonts w:ascii="Palatino Linotype" w:eastAsiaTheme="minorEastAsia" w:hAnsi="Palatino Linotype" w:cs="Times New Roman"/>
                <w:b/>
              </w:rPr>
              <w:t xml:space="preserve"> </w:t>
            </w:r>
            <w:proofErr w:type="spellStart"/>
            <w:r w:rsidRPr="00B86CDB">
              <w:rPr>
                <w:rFonts w:ascii="Palatino Linotype" w:eastAsiaTheme="minorEastAsia" w:hAnsi="Palatino Linotype" w:cs="Times New Roman"/>
                <w:b/>
              </w:rPr>
              <w:t>Yapur</w:t>
            </w:r>
            <w:proofErr w:type="spellEnd"/>
          </w:p>
          <w:p w14:paraId="181383F0"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Comisionada</w:t>
            </w:r>
          </w:p>
          <w:p w14:paraId="3FB94423"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(Rúbrica)</w:t>
            </w:r>
          </w:p>
        </w:tc>
        <w:tc>
          <w:tcPr>
            <w:tcW w:w="4349" w:type="dxa"/>
            <w:vAlign w:val="center"/>
          </w:tcPr>
          <w:p w14:paraId="2AAD43BE" w14:textId="35317E52" w:rsidR="00B12C54" w:rsidRPr="00B86CDB" w:rsidRDefault="00B12C54" w:rsidP="00B86CDB">
            <w:pPr>
              <w:ind w:right="51"/>
              <w:rPr>
                <w:rFonts w:ascii="Palatino Linotype" w:eastAsiaTheme="minorEastAsia" w:hAnsi="Palatino Linotype" w:cs="Times New Roman"/>
                <w:b/>
              </w:rPr>
            </w:pPr>
          </w:p>
          <w:p w14:paraId="46C7D7B8" w14:textId="0713850B" w:rsidR="00927869" w:rsidRPr="00B86CDB" w:rsidRDefault="00927869" w:rsidP="00B86CDB">
            <w:pPr>
              <w:ind w:right="51"/>
              <w:rPr>
                <w:rFonts w:ascii="Palatino Linotype" w:eastAsiaTheme="minorEastAsia" w:hAnsi="Palatino Linotype" w:cs="Times New Roman"/>
                <w:b/>
              </w:rPr>
            </w:pPr>
          </w:p>
          <w:p w14:paraId="12E39EC9" w14:textId="77777777" w:rsidR="008A61DF" w:rsidRPr="00B86CDB" w:rsidRDefault="008A61DF" w:rsidP="00B86CDB">
            <w:pPr>
              <w:ind w:right="51"/>
              <w:rPr>
                <w:rFonts w:ascii="Palatino Linotype" w:eastAsiaTheme="minorEastAsia" w:hAnsi="Palatino Linotype" w:cs="Times New Roman"/>
                <w:b/>
              </w:rPr>
            </w:pPr>
          </w:p>
          <w:p w14:paraId="04FA13AB" w14:textId="77777777" w:rsidR="00B12C54" w:rsidRPr="00B86CDB" w:rsidRDefault="00B12C54" w:rsidP="00B86CDB">
            <w:pPr>
              <w:ind w:right="51"/>
              <w:jc w:val="center"/>
              <w:rPr>
                <w:rFonts w:ascii="Palatino Linotype" w:eastAsiaTheme="minorEastAsia" w:hAnsi="Palatino Linotype" w:cs="Times New Roman"/>
                <w:b/>
              </w:rPr>
            </w:pPr>
            <w:r w:rsidRPr="00B86CDB">
              <w:rPr>
                <w:rFonts w:ascii="Palatino Linotype" w:eastAsiaTheme="minorEastAsia" w:hAnsi="Palatino Linotype" w:cs="Times New Roman"/>
                <w:b/>
              </w:rPr>
              <w:t>José Guadalupe Luna Hernández</w:t>
            </w:r>
          </w:p>
          <w:p w14:paraId="08D1374E"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Comisionado</w:t>
            </w:r>
          </w:p>
          <w:p w14:paraId="5D4356F1"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(Rúbrica)</w:t>
            </w:r>
          </w:p>
        </w:tc>
      </w:tr>
      <w:tr w:rsidR="00B12C54" w:rsidRPr="00B86CDB" w14:paraId="31C483E9" w14:textId="77777777" w:rsidTr="00B4031B">
        <w:trPr>
          <w:trHeight w:val="1451"/>
        </w:trPr>
        <w:tc>
          <w:tcPr>
            <w:tcW w:w="4348" w:type="dxa"/>
            <w:vAlign w:val="center"/>
          </w:tcPr>
          <w:p w14:paraId="59CE75CA" w14:textId="67AAA850" w:rsidR="00560E94" w:rsidRPr="00B86CDB" w:rsidRDefault="00560E94" w:rsidP="00B86CDB">
            <w:pPr>
              <w:ind w:right="51"/>
              <w:jc w:val="center"/>
              <w:rPr>
                <w:rFonts w:ascii="Palatino Linotype" w:eastAsiaTheme="minorEastAsia" w:hAnsi="Palatino Linotype" w:cs="Times New Roman"/>
                <w:b/>
              </w:rPr>
            </w:pPr>
          </w:p>
          <w:p w14:paraId="1907E2A7" w14:textId="6AA5CF00" w:rsidR="008A61DF" w:rsidRPr="00B86CDB" w:rsidRDefault="008A61DF" w:rsidP="00B86CDB">
            <w:pPr>
              <w:ind w:right="51"/>
              <w:jc w:val="center"/>
              <w:rPr>
                <w:rFonts w:ascii="Palatino Linotype" w:eastAsiaTheme="minorEastAsia" w:hAnsi="Palatino Linotype" w:cs="Times New Roman"/>
                <w:b/>
              </w:rPr>
            </w:pPr>
          </w:p>
          <w:p w14:paraId="74341498" w14:textId="77777777" w:rsidR="008A61DF" w:rsidRPr="00B86CDB" w:rsidRDefault="008A61DF" w:rsidP="00B86CDB">
            <w:pPr>
              <w:ind w:right="51"/>
              <w:jc w:val="center"/>
              <w:rPr>
                <w:rFonts w:ascii="Palatino Linotype" w:eastAsiaTheme="minorEastAsia" w:hAnsi="Palatino Linotype" w:cs="Times New Roman"/>
                <w:b/>
              </w:rPr>
            </w:pPr>
          </w:p>
          <w:p w14:paraId="3DCA0A64" w14:textId="0CA864AA" w:rsidR="00B12C54" w:rsidRPr="00B86CDB" w:rsidRDefault="00B12C54" w:rsidP="00B86CDB">
            <w:pPr>
              <w:ind w:right="51"/>
              <w:jc w:val="center"/>
              <w:rPr>
                <w:rFonts w:ascii="Palatino Linotype" w:eastAsiaTheme="minorEastAsia" w:hAnsi="Palatino Linotype" w:cs="Times New Roman"/>
                <w:b/>
              </w:rPr>
            </w:pPr>
            <w:r w:rsidRPr="00B86CDB">
              <w:rPr>
                <w:rFonts w:ascii="Palatino Linotype" w:eastAsiaTheme="minorEastAsia" w:hAnsi="Palatino Linotype" w:cs="Times New Roman"/>
                <w:b/>
              </w:rPr>
              <w:t>Javier Martínez Cruz</w:t>
            </w:r>
          </w:p>
          <w:p w14:paraId="0AFD7A58"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Comisionado</w:t>
            </w:r>
          </w:p>
          <w:p w14:paraId="394B378B"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(Rúbrica)</w:t>
            </w:r>
          </w:p>
        </w:tc>
        <w:tc>
          <w:tcPr>
            <w:tcW w:w="4349" w:type="dxa"/>
            <w:vAlign w:val="center"/>
          </w:tcPr>
          <w:p w14:paraId="02184253" w14:textId="77777777" w:rsidR="00B12C54" w:rsidRPr="00B86CDB" w:rsidRDefault="00B12C54" w:rsidP="00B86CDB">
            <w:pPr>
              <w:ind w:right="51"/>
              <w:rPr>
                <w:rFonts w:ascii="Palatino Linotype" w:eastAsiaTheme="minorEastAsia" w:hAnsi="Palatino Linotype" w:cs="Times New Roman"/>
                <w:b/>
              </w:rPr>
            </w:pPr>
          </w:p>
          <w:p w14:paraId="60590477" w14:textId="5662F52D" w:rsidR="00927869" w:rsidRPr="00B86CDB" w:rsidRDefault="00927869" w:rsidP="00B86CDB">
            <w:pPr>
              <w:ind w:right="51"/>
              <w:jc w:val="center"/>
              <w:rPr>
                <w:rFonts w:ascii="Palatino Linotype" w:eastAsiaTheme="minorEastAsia" w:hAnsi="Palatino Linotype" w:cs="Times New Roman"/>
                <w:b/>
              </w:rPr>
            </w:pPr>
          </w:p>
          <w:p w14:paraId="2D64A780" w14:textId="3EF6B4A9" w:rsidR="008A61DF" w:rsidRPr="00B86CDB" w:rsidRDefault="008A61DF" w:rsidP="00B86CDB">
            <w:pPr>
              <w:ind w:right="51"/>
              <w:jc w:val="center"/>
              <w:rPr>
                <w:rFonts w:ascii="Palatino Linotype" w:eastAsiaTheme="minorEastAsia" w:hAnsi="Palatino Linotype" w:cs="Times New Roman"/>
                <w:b/>
              </w:rPr>
            </w:pPr>
          </w:p>
          <w:p w14:paraId="7A135D19" w14:textId="77777777" w:rsidR="00B12C54" w:rsidRPr="00B86CDB" w:rsidRDefault="00B12C54" w:rsidP="00B86CDB">
            <w:pPr>
              <w:ind w:right="51"/>
              <w:jc w:val="center"/>
              <w:rPr>
                <w:rFonts w:ascii="Palatino Linotype" w:eastAsiaTheme="minorEastAsia" w:hAnsi="Palatino Linotype" w:cs="Times New Roman"/>
                <w:b/>
              </w:rPr>
            </w:pPr>
            <w:r w:rsidRPr="00B86CDB">
              <w:rPr>
                <w:rFonts w:ascii="Palatino Linotype" w:eastAsiaTheme="minorEastAsia" w:hAnsi="Palatino Linotype" w:cs="Times New Roman"/>
                <w:b/>
              </w:rPr>
              <w:t>Luis Gustavo Parra Noriega</w:t>
            </w:r>
          </w:p>
          <w:p w14:paraId="53E78FED"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Comisionado</w:t>
            </w:r>
          </w:p>
          <w:p w14:paraId="75895D12"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(Rúbrica)</w:t>
            </w:r>
          </w:p>
        </w:tc>
      </w:tr>
      <w:tr w:rsidR="00B12C54" w:rsidRPr="00B86CDB" w14:paraId="3E710B97" w14:textId="77777777" w:rsidTr="00B4031B">
        <w:trPr>
          <w:trHeight w:val="1263"/>
        </w:trPr>
        <w:tc>
          <w:tcPr>
            <w:tcW w:w="8697" w:type="dxa"/>
            <w:gridSpan w:val="2"/>
            <w:vAlign w:val="center"/>
          </w:tcPr>
          <w:p w14:paraId="1CC83C6A" w14:textId="77777777" w:rsidR="00B12C54" w:rsidRPr="00B86CDB" w:rsidRDefault="00B12C54" w:rsidP="00B86CDB">
            <w:pPr>
              <w:ind w:right="51"/>
              <w:rPr>
                <w:rFonts w:ascii="Palatino Linotype" w:eastAsiaTheme="minorEastAsia" w:hAnsi="Palatino Linotype" w:cs="Times New Roman"/>
                <w:b/>
              </w:rPr>
            </w:pPr>
          </w:p>
          <w:p w14:paraId="0F93612F" w14:textId="76F3854B" w:rsidR="00927869" w:rsidRPr="00B86CDB" w:rsidRDefault="00927869" w:rsidP="00B86CDB">
            <w:pPr>
              <w:ind w:right="51"/>
              <w:jc w:val="center"/>
              <w:rPr>
                <w:rFonts w:ascii="Palatino Linotype" w:eastAsiaTheme="minorEastAsia" w:hAnsi="Palatino Linotype" w:cs="Times New Roman"/>
                <w:b/>
              </w:rPr>
            </w:pPr>
          </w:p>
          <w:p w14:paraId="1255562A" w14:textId="0A9AF0ED" w:rsidR="008A61DF" w:rsidRPr="00B86CDB" w:rsidRDefault="008A61DF" w:rsidP="00B86CDB">
            <w:pPr>
              <w:ind w:right="51"/>
              <w:jc w:val="center"/>
              <w:rPr>
                <w:rFonts w:ascii="Palatino Linotype" w:eastAsiaTheme="minorEastAsia" w:hAnsi="Palatino Linotype" w:cs="Times New Roman"/>
                <w:b/>
              </w:rPr>
            </w:pPr>
          </w:p>
          <w:p w14:paraId="77C23E39" w14:textId="77777777" w:rsidR="008A61DF" w:rsidRPr="00B86CDB" w:rsidRDefault="008A61DF" w:rsidP="00B86CDB">
            <w:pPr>
              <w:ind w:right="51"/>
              <w:jc w:val="center"/>
              <w:rPr>
                <w:rFonts w:ascii="Palatino Linotype" w:eastAsiaTheme="minorEastAsia" w:hAnsi="Palatino Linotype" w:cs="Times New Roman"/>
                <w:b/>
              </w:rPr>
            </w:pPr>
          </w:p>
          <w:p w14:paraId="67D36893" w14:textId="77777777" w:rsidR="00B12C54" w:rsidRPr="00B86CDB" w:rsidRDefault="00B12C54" w:rsidP="00B86CDB">
            <w:pPr>
              <w:ind w:right="51"/>
              <w:jc w:val="center"/>
              <w:rPr>
                <w:rFonts w:ascii="Palatino Linotype" w:eastAsiaTheme="minorEastAsia" w:hAnsi="Palatino Linotype" w:cs="Times New Roman"/>
                <w:b/>
              </w:rPr>
            </w:pPr>
            <w:r w:rsidRPr="00B86CDB">
              <w:rPr>
                <w:rFonts w:ascii="Palatino Linotype" w:eastAsiaTheme="minorEastAsia" w:hAnsi="Palatino Linotype" w:cs="Times New Roman"/>
                <w:b/>
              </w:rPr>
              <w:t>Alexis Tapia Ramírez</w:t>
            </w:r>
          </w:p>
          <w:p w14:paraId="345FB887" w14:textId="77777777" w:rsidR="00B12C54" w:rsidRPr="00B86CDB" w:rsidRDefault="00B12C54"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Secretario Técnico del Pleno</w:t>
            </w:r>
          </w:p>
          <w:p w14:paraId="1F2DE32E" w14:textId="3C1297A6" w:rsidR="00927869" w:rsidRPr="00B86CDB" w:rsidRDefault="00046361" w:rsidP="00B86CDB">
            <w:pPr>
              <w:ind w:right="51"/>
              <w:jc w:val="center"/>
              <w:rPr>
                <w:rFonts w:ascii="Palatino Linotype" w:eastAsiaTheme="minorEastAsia" w:hAnsi="Palatino Linotype" w:cs="Times New Roman"/>
              </w:rPr>
            </w:pPr>
            <w:r w:rsidRPr="00B86CDB">
              <w:rPr>
                <w:rFonts w:ascii="Palatino Linotype" w:eastAsiaTheme="minorEastAsia" w:hAnsi="Palatino Linotype" w:cs="Times New Roman"/>
              </w:rPr>
              <w:t>(Rúbrica)</w:t>
            </w:r>
          </w:p>
        </w:tc>
      </w:tr>
    </w:tbl>
    <w:p w14:paraId="2A466343" w14:textId="258EA8CB" w:rsidR="00B12C54" w:rsidRPr="00046361" w:rsidRDefault="00B12C54" w:rsidP="00046361">
      <w:pPr>
        <w:spacing w:before="240" w:after="240" w:line="360" w:lineRule="auto"/>
        <w:ind w:right="49"/>
        <w:jc w:val="both"/>
      </w:pPr>
      <w:r w:rsidRPr="00B86CDB">
        <w:rPr>
          <w:rFonts w:ascii="Palatino Linotype" w:eastAsia="Times New Roman" w:hAnsi="Palatino Linotype" w:cs="Arial"/>
          <w:lang w:val="es-ES_tradnl" w:eastAsia="es-ES"/>
        </w:rPr>
        <w:t xml:space="preserve">Esta hoja corresponde a la resolución de fecha </w:t>
      </w:r>
      <w:r w:rsidR="00B86CDB">
        <w:rPr>
          <w:rFonts w:ascii="Palatino Linotype" w:eastAsia="Times New Roman" w:hAnsi="Palatino Linotype" w:cs="Arial"/>
          <w:lang w:val="es-ES_tradnl" w:eastAsia="es-ES"/>
        </w:rPr>
        <w:t>dos</w:t>
      </w:r>
      <w:r w:rsidR="00C914B7" w:rsidRPr="00B86CDB">
        <w:rPr>
          <w:rFonts w:ascii="Palatino Linotype" w:eastAsia="Times New Roman" w:hAnsi="Palatino Linotype" w:cs="Arial"/>
          <w:lang w:val="es-ES_tradnl" w:eastAsia="es-ES"/>
        </w:rPr>
        <w:t xml:space="preserve"> (</w:t>
      </w:r>
      <w:r w:rsidR="007B6C30" w:rsidRPr="00B86CDB">
        <w:rPr>
          <w:rFonts w:ascii="Palatino Linotype" w:eastAsia="Times New Roman" w:hAnsi="Palatino Linotype" w:cs="Arial"/>
          <w:lang w:val="es-ES_tradnl" w:eastAsia="es-ES"/>
        </w:rPr>
        <w:t>02</w:t>
      </w:r>
      <w:r w:rsidRPr="00B86CDB">
        <w:rPr>
          <w:rFonts w:ascii="Palatino Linotype" w:eastAsia="Times New Roman" w:hAnsi="Palatino Linotype" w:cs="Arial"/>
          <w:lang w:val="es-ES_tradnl" w:eastAsia="es-ES"/>
        </w:rPr>
        <w:t>) de</w:t>
      </w:r>
      <w:r w:rsidR="00C914B7" w:rsidRPr="00B86CDB">
        <w:rPr>
          <w:rFonts w:ascii="Palatino Linotype" w:eastAsia="Times New Roman" w:hAnsi="Palatino Linotype" w:cs="Arial"/>
          <w:lang w:val="es-ES_tradnl" w:eastAsia="es-ES"/>
        </w:rPr>
        <w:t xml:space="preserve"> </w:t>
      </w:r>
      <w:r w:rsidR="007B6C30" w:rsidRPr="00B86CDB">
        <w:rPr>
          <w:rFonts w:ascii="Palatino Linotype" w:eastAsia="Times New Roman" w:hAnsi="Palatino Linotype" w:cs="Arial"/>
          <w:lang w:val="es-ES_tradnl" w:eastAsia="es-ES"/>
        </w:rPr>
        <w:t>diciem</w:t>
      </w:r>
      <w:r w:rsidR="00AD7656" w:rsidRPr="00B86CDB">
        <w:rPr>
          <w:rFonts w:ascii="Palatino Linotype" w:eastAsia="Times New Roman" w:hAnsi="Palatino Linotype" w:cs="Arial"/>
          <w:lang w:val="es-ES_tradnl" w:eastAsia="es-ES"/>
        </w:rPr>
        <w:t>bre</w:t>
      </w:r>
      <w:r w:rsidRPr="00B86CDB">
        <w:rPr>
          <w:rFonts w:ascii="Palatino Linotype" w:eastAsia="Times New Roman" w:hAnsi="Palatino Linotype" w:cs="Arial"/>
          <w:lang w:val="es-ES_tradnl" w:eastAsia="es-ES"/>
        </w:rPr>
        <w:t xml:space="preserve"> de dos mil </w:t>
      </w:r>
      <w:r w:rsidR="005969F4" w:rsidRPr="00B86CDB">
        <w:rPr>
          <w:rFonts w:ascii="Palatino Linotype" w:eastAsia="Times New Roman" w:hAnsi="Palatino Linotype" w:cs="Arial"/>
          <w:lang w:val="es-ES_tradnl" w:eastAsia="es-ES"/>
        </w:rPr>
        <w:t>veinte</w:t>
      </w:r>
      <w:r w:rsidRPr="00B86CDB">
        <w:rPr>
          <w:rFonts w:ascii="Palatino Linotype" w:eastAsia="Times New Roman" w:hAnsi="Palatino Linotype" w:cs="Arial"/>
          <w:lang w:val="es-ES_tradnl" w:eastAsia="es-ES"/>
        </w:rPr>
        <w:t xml:space="preserve">, emitida en el recurso de revisión </w:t>
      </w:r>
      <w:r w:rsidR="003D72B0" w:rsidRPr="00B86CDB">
        <w:rPr>
          <w:rFonts w:ascii="Palatino Linotype" w:eastAsia="Times New Roman" w:hAnsi="Palatino Linotype" w:cs="Arial"/>
          <w:b/>
          <w:lang w:val="es-ES_tradnl" w:eastAsia="es-ES"/>
        </w:rPr>
        <w:t>0</w:t>
      </w:r>
      <w:r w:rsidR="00AD7656" w:rsidRPr="00B86CDB">
        <w:rPr>
          <w:rFonts w:ascii="Palatino Linotype" w:eastAsia="Times New Roman" w:hAnsi="Palatino Linotype" w:cs="Arial"/>
          <w:b/>
          <w:lang w:val="es-ES_tradnl" w:eastAsia="es-ES"/>
        </w:rPr>
        <w:t>4038</w:t>
      </w:r>
      <w:r w:rsidR="008A61DF" w:rsidRPr="00B86CDB">
        <w:rPr>
          <w:rFonts w:ascii="Palatino Linotype" w:eastAsia="Times New Roman" w:hAnsi="Palatino Linotype" w:cs="Arial"/>
          <w:b/>
          <w:lang w:val="es-ES_tradnl" w:eastAsia="es-ES"/>
        </w:rPr>
        <w:t>/</w:t>
      </w:r>
      <w:r w:rsidRPr="00B86CDB">
        <w:rPr>
          <w:rFonts w:ascii="Palatino Linotype" w:eastAsia="Times New Roman" w:hAnsi="Palatino Linotype" w:cs="Arial"/>
          <w:b/>
          <w:lang w:val="es-ES_tradnl" w:eastAsia="es-ES"/>
        </w:rPr>
        <w:t>INFOEM/IP</w:t>
      </w:r>
      <w:r w:rsidR="005969F4" w:rsidRPr="00B86CDB">
        <w:rPr>
          <w:rFonts w:ascii="Palatino Linotype" w:eastAsia="Times New Roman" w:hAnsi="Palatino Linotype" w:cs="Arial"/>
          <w:b/>
          <w:lang w:val="es-ES_tradnl" w:eastAsia="es-ES"/>
        </w:rPr>
        <w:t>/RR/2020</w:t>
      </w:r>
      <w:bookmarkEnd w:id="9"/>
      <w:bookmarkEnd w:id="10"/>
      <w:bookmarkEnd w:id="11"/>
      <w:bookmarkEnd w:id="12"/>
      <w:bookmarkEnd w:id="13"/>
      <w:bookmarkEnd w:id="14"/>
      <w:bookmarkEnd w:id="15"/>
      <w:bookmarkEnd w:id="16"/>
      <w:r w:rsidR="007B6C30" w:rsidRPr="00B86CDB">
        <w:rPr>
          <w:rFonts w:ascii="Palatino Linotype" w:eastAsia="Times New Roman" w:hAnsi="Palatino Linotype" w:cs="Arial"/>
          <w:b/>
          <w:lang w:val="es-ES_tradnl" w:eastAsia="es-ES"/>
        </w:rPr>
        <w:t xml:space="preserve"> y acumulados</w:t>
      </w:r>
    </w:p>
    <w:sectPr w:rsidR="00B12C54" w:rsidRPr="00046361" w:rsidSect="00E113EC">
      <w:headerReference w:type="even" r:id="rId10"/>
      <w:headerReference w:type="default" r:id="rId11"/>
      <w:footerReference w:type="default" r:id="rId12"/>
      <w:headerReference w:type="first" r:id="rId13"/>
      <w:footerReference w:type="first" r:id="rId14"/>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FA825" w14:textId="77777777" w:rsidR="007109D0" w:rsidRDefault="007109D0" w:rsidP="00E113EC">
      <w:pPr>
        <w:spacing w:after="0" w:line="240" w:lineRule="auto"/>
      </w:pPr>
      <w:r>
        <w:separator/>
      </w:r>
    </w:p>
  </w:endnote>
  <w:endnote w:type="continuationSeparator" w:id="0">
    <w:p w14:paraId="1BFE5F4E" w14:textId="77777777" w:rsidR="007109D0" w:rsidRDefault="007109D0"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608D0B52" w:rsidR="00BB3A7B" w:rsidRPr="00883450" w:rsidRDefault="00BB3A7B">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D608D">
              <w:rPr>
                <w:rFonts w:ascii="Palatino Linotype" w:hAnsi="Palatino Linotype"/>
                <w:b/>
                <w:bCs/>
                <w:noProof/>
                <w:szCs w:val="20"/>
              </w:rPr>
              <w:t>35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D608D">
              <w:rPr>
                <w:rFonts w:ascii="Palatino Linotype" w:hAnsi="Palatino Linotype"/>
                <w:b/>
                <w:bCs/>
                <w:noProof/>
                <w:szCs w:val="20"/>
              </w:rPr>
              <w:t>56</w:t>
            </w:r>
            <w:r w:rsidRPr="00883450">
              <w:rPr>
                <w:rFonts w:ascii="Palatino Linotype" w:hAnsi="Palatino Linotype"/>
                <w:b/>
                <w:bCs/>
                <w:szCs w:val="20"/>
              </w:rPr>
              <w:fldChar w:fldCharType="end"/>
            </w:r>
          </w:p>
        </w:sdtContent>
      </w:sdt>
    </w:sdtContent>
  </w:sdt>
  <w:p w14:paraId="07765639" w14:textId="77777777" w:rsidR="00BB3A7B" w:rsidRDefault="00BB3A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3AE564DD" w:rsidR="00BB3A7B" w:rsidRPr="00883450" w:rsidRDefault="00BB3A7B"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D608D" w:rsidRPr="008D608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D608D" w:rsidRPr="008D608D">
      <w:rPr>
        <w:rFonts w:ascii="Palatino Linotype" w:hAnsi="Palatino Linotype"/>
        <w:noProof/>
        <w:lang w:val="es-ES"/>
      </w:rPr>
      <w:t>56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3DD51" w14:textId="77777777" w:rsidR="007109D0" w:rsidRDefault="007109D0" w:rsidP="00E113EC">
      <w:pPr>
        <w:spacing w:after="0" w:line="240" w:lineRule="auto"/>
      </w:pPr>
      <w:r>
        <w:separator/>
      </w:r>
    </w:p>
  </w:footnote>
  <w:footnote w:type="continuationSeparator" w:id="0">
    <w:p w14:paraId="4CAC63CA" w14:textId="77777777" w:rsidR="007109D0" w:rsidRDefault="007109D0" w:rsidP="00E113EC">
      <w:pPr>
        <w:spacing w:after="0" w:line="240" w:lineRule="auto"/>
      </w:pPr>
      <w:r>
        <w:continuationSeparator/>
      </w:r>
    </w:p>
  </w:footnote>
  <w:footnote w:id="1">
    <w:p w14:paraId="168EC156" w14:textId="77777777" w:rsidR="00BB3A7B" w:rsidRPr="00F75272" w:rsidRDefault="00BB3A7B" w:rsidP="00A33AC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30F6A89" w14:textId="77777777" w:rsidR="00BB3A7B" w:rsidRPr="00034B44" w:rsidRDefault="00BB3A7B" w:rsidP="00BB3A7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176E27C" w14:textId="77777777" w:rsidR="00BB3A7B" w:rsidRPr="00034B44" w:rsidRDefault="00BB3A7B" w:rsidP="00BB3A7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08DB8B4A" w14:textId="77777777" w:rsidR="00BB3A7B" w:rsidRPr="00034B44" w:rsidRDefault="00BB3A7B" w:rsidP="00BB3A7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697B39FF" w14:textId="77777777" w:rsidR="00BB3A7B" w:rsidRPr="00034B44" w:rsidRDefault="00BB3A7B" w:rsidP="00BB3A7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76CDA9B" w14:textId="77777777" w:rsidR="00BB3A7B" w:rsidRPr="00034B44" w:rsidRDefault="00BB3A7B" w:rsidP="00BB3A7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60B4685" w14:textId="77777777" w:rsidR="00BB3A7B" w:rsidRPr="00034B44" w:rsidRDefault="00BB3A7B" w:rsidP="00BB3A7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599D50D4" w14:textId="77777777" w:rsidR="00BB3A7B" w:rsidRPr="00034B44" w:rsidRDefault="00BB3A7B" w:rsidP="00BB3A7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0332C02B" w14:textId="77777777" w:rsidR="00BB3A7B" w:rsidRPr="00034B44" w:rsidRDefault="00BB3A7B" w:rsidP="00BB3A7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D02DB5B" w14:textId="77777777" w:rsidR="00BB3A7B" w:rsidRPr="00034B44" w:rsidRDefault="00BB3A7B" w:rsidP="00BB3A7B">
      <w:pPr>
        <w:pStyle w:val="Textonotapie"/>
        <w:jc w:val="both"/>
        <w:rPr>
          <w:rFonts w:ascii="Palatino Linotype" w:hAnsi="Palatino Linotype"/>
          <w:sz w:val="18"/>
        </w:rPr>
      </w:pPr>
      <w:r w:rsidRPr="00034B44">
        <w:rPr>
          <w:rFonts w:ascii="Palatino Linotype" w:hAnsi="Palatino Linotype"/>
          <w:sz w:val="18"/>
        </w:rPr>
        <w:t xml:space="preserve"> (…)</w:t>
      </w:r>
    </w:p>
    <w:p w14:paraId="01A61293" w14:textId="77777777" w:rsidR="00BB3A7B" w:rsidRPr="00034B44" w:rsidRDefault="00BB3A7B" w:rsidP="00BB3A7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C44C" w14:textId="3E6EEA98" w:rsidR="00B86CDB" w:rsidRDefault="008D608D">
    <w:pPr>
      <w:pStyle w:val="Encabezado"/>
    </w:pPr>
    <w:r>
      <w:rPr>
        <w:noProof/>
        <w:lang w:eastAsia="es-MX"/>
      </w:rPr>
      <w:pict w14:anchorId="402AA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31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3FC0FC7B" w:rsidR="00BB3A7B" w:rsidRDefault="008D608D">
    <w:pPr>
      <w:pStyle w:val="Encabezado"/>
    </w:pPr>
    <w:r>
      <w:rPr>
        <w:noProof/>
        <w:lang w:eastAsia="es-MX"/>
      </w:rPr>
      <w:pict w14:anchorId="69A2E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3197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BB3A7B" w:rsidRDefault="00BB3A7B">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BB3A7B" w:rsidRPr="00EF13C1" w14:paraId="2D33F594" w14:textId="77777777" w:rsidTr="00746EF3">
      <w:trPr>
        <w:gridAfter w:val="1"/>
        <w:wAfter w:w="420" w:type="dxa"/>
        <w:trHeight w:val="138"/>
      </w:trPr>
      <w:tc>
        <w:tcPr>
          <w:tcW w:w="2551" w:type="dxa"/>
          <w:vAlign w:val="center"/>
        </w:tcPr>
        <w:p w14:paraId="75BC2A06" w14:textId="77777777" w:rsidR="00BB3A7B" w:rsidRPr="00EF13C1" w:rsidRDefault="00BB3A7B"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5C7BA9C7" w:rsidR="00BB3A7B" w:rsidRPr="00EF13C1" w:rsidRDefault="00BB3A7B" w:rsidP="00A7747C">
          <w:pPr>
            <w:pStyle w:val="Encabezado"/>
            <w:tabs>
              <w:tab w:val="clear" w:pos="4419"/>
              <w:tab w:val="center" w:pos="3328"/>
            </w:tabs>
            <w:ind w:right="600"/>
            <w:jc w:val="both"/>
            <w:rPr>
              <w:rFonts w:ascii="Palatino Linotype" w:hAnsi="Palatino Linotype"/>
              <w:b/>
              <w:sz w:val="22"/>
              <w:szCs w:val="22"/>
            </w:rPr>
          </w:pPr>
          <w:r>
            <w:rPr>
              <w:rFonts w:ascii="Palatino Linotype" w:hAnsi="Palatino Linotype" w:cs="Arial"/>
              <w:b/>
              <w:bCs/>
              <w:sz w:val="22"/>
              <w:szCs w:val="22"/>
              <w:lang w:eastAsia="es-MX"/>
            </w:rPr>
            <w:t>04038/INFOEM/IP/RR/2020 y acumulados</w:t>
          </w:r>
        </w:p>
      </w:tc>
    </w:tr>
    <w:tr w:rsidR="00BB3A7B" w:rsidRPr="00EF13C1" w14:paraId="5E164CB6" w14:textId="77777777" w:rsidTr="00746EF3">
      <w:trPr>
        <w:trHeight w:val="321"/>
      </w:trPr>
      <w:tc>
        <w:tcPr>
          <w:tcW w:w="2551" w:type="dxa"/>
          <w:vAlign w:val="center"/>
        </w:tcPr>
        <w:p w14:paraId="3D610515" w14:textId="77777777" w:rsidR="00BB3A7B" w:rsidRPr="00A61802" w:rsidRDefault="00BB3A7B"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781B044F" w:rsidR="00BB3A7B" w:rsidRPr="00A61802" w:rsidRDefault="00BB3A7B" w:rsidP="00A7747C">
          <w:pPr>
            <w:pStyle w:val="Encabezado"/>
            <w:tabs>
              <w:tab w:val="clear" w:pos="4419"/>
              <w:tab w:val="center" w:pos="3328"/>
            </w:tabs>
            <w:ind w:right="311"/>
            <w:jc w:val="both"/>
            <w:rPr>
              <w:rFonts w:ascii="Palatino Linotype" w:hAnsi="Palatino Linotype"/>
              <w:b/>
              <w:sz w:val="22"/>
              <w:szCs w:val="22"/>
              <w:highlight w:val="yellow"/>
            </w:rPr>
          </w:pPr>
          <w:r>
            <w:rPr>
              <w:rFonts w:ascii="Palatino Linotype" w:hAnsi="Palatino Linotype"/>
              <w:b/>
              <w:sz w:val="22"/>
              <w:szCs w:val="22"/>
            </w:rPr>
            <w:t xml:space="preserve">Tribunal de Justicia Administrativa del Estado de México. </w:t>
          </w:r>
        </w:p>
      </w:tc>
    </w:tr>
    <w:tr w:rsidR="00BB3A7B" w:rsidRPr="00EF13C1" w14:paraId="5C1677E6" w14:textId="77777777" w:rsidTr="00746EF3">
      <w:trPr>
        <w:gridAfter w:val="1"/>
        <w:wAfter w:w="420" w:type="dxa"/>
        <w:trHeight w:val="321"/>
      </w:trPr>
      <w:tc>
        <w:tcPr>
          <w:tcW w:w="2551" w:type="dxa"/>
          <w:vAlign w:val="center"/>
        </w:tcPr>
        <w:p w14:paraId="1889C51A" w14:textId="77777777" w:rsidR="00BB3A7B" w:rsidRPr="00EF13C1" w:rsidRDefault="00BB3A7B"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BB3A7B" w:rsidRPr="00EF13C1" w:rsidRDefault="00BB3A7B"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BB3A7B" w:rsidRDefault="00BB3A7B"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3524E20" w:rsidR="00BB3A7B" w:rsidRDefault="008D608D" w:rsidP="0008753C">
    <w:pPr>
      <w:pStyle w:val="Encabezado"/>
      <w:tabs>
        <w:tab w:val="left" w:pos="3103"/>
      </w:tabs>
    </w:pPr>
    <w:r>
      <w:rPr>
        <w:noProof/>
        <w:lang w:eastAsia="es-MX"/>
      </w:rPr>
      <w:pict w14:anchorId="278BE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31968" o:spid="_x0000_s2049" type="#_x0000_t75" style="position:absolute;margin-left:-85.15pt;margin-top:-139.45pt;width:609.4pt;height:793.75pt;z-index:-251658240;mso-position-horizontal-relative:margin;mso-position-vertical-relative:margin" o:allowincell="f">
          <v:imagedata r:id="rId1" o:title="resolución"/>
          <w10:wrap anchorx="margin" anchory="margin"/>
        </v:shape>
      </w:pict>
    </w:r>
    <w:r w:rsidR="00BB3A7B">
      <w:tab/>
    </w:r>
    <w:r w:rsidR="00BB3A7B">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BB3A7B" w:rsidRPr="00EF13C1" w14:paraId="64D9CFC0" w14:textId="77777777" w:rsidTr="00746EF3">
      <w:trPr>
        <w:trHeight w:val="138"/>
      </w:trPr>
      <w:tc>
        <w:tcPr>
          <w:tcW w:w="2552" w:type="dxa"/>
          <w:vAlign w:val="center"/>
        </w:tcPr>
        <w:p w14:paraId="3E369B4E" w14:textId="77777777" w:rsidR="00BB3A7B" w:rsidRPr="00EF13C1" w:rsidRDefault="00BB3A7B"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71FF6B1C" w:rsidR="00BB3A7B" w:rsidRPr="00EF13C1" w:rsidRDefault="00BB3A7B" w:rsidP="00A7747C">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04038/INFOEM/IP/RR/2020 y acumulados.</w:t>
          </w:r>
        </w:p>
      </w:tc>
    </w:tr>
    <w:tr w:rsidR="00BB3A7B" w:rsidRPr="00EF13C1" w14:paraId="66DE6236" w14:textId="77777777" w:rsidTr="00746EF3">
      <w:trPr>
        <w:trHeight w:val="138"/>
      </w:trPr>
      <w:tc>
        <w:tcPr>
          <w:tcW w:w="2552" w:type="dxa"/>
          <w:vAlign w:val="center"/>
        </w:tcPr>
        <w:p w14:paraId="44532DAF" w14:textId="7C6A9A4A" w:rsidR="00BB3A7B" w:rsidRPr="00EF13C1" w:rsidRDefault="00BB3A7B"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4473CF0D" w:rsidR="00BB3A7B" w:rsidRPr="008B5EEA" w:rsidRDefault="00253D6B" w:rsidP="008425E5">
          <w:pPr>
            <w:pStyle w:val="Encabezado"/>
            <w:tabs>
              <w:tab w:val="clear" w:pos="4419"/>
              <w:tab w:val="center" w:pos="3328"/>
            </w:tabs>
            <w:jc w:val="both"/>
            <w:rPr>
              <w:rFonts w:ascii="Palatino Linotype" w:hAnsi="Palatino Linotype" w:cs="Arial"/>
              <w:b/>
              <w:bCs/>
              <w:sz w:val="22"/>
              <w:szCs w:val="22"/>
              <w:lang w:eastAsia="es-MX"/>
            </w:rPr>
          </w:pPr>
          <w:r w:rsidRPr="00253D6B">
            <w:rPr>
              <w:rFonts w:ascii="Palatino Linotype" w:hAnsi="Palatino Linotype" w:cs="Arial"/>
              <w:b/>
              <w:bCs/>
              <w:sz w:val="22"/>
              <w:szCs w:val="22"/>
              <w:highlight w:val="black"/>
              <w:lang w:eastAsia="es-MX"/>
            </w:rPr>
            <w:t>----------------------------------------------</w:t>
          </w:r>
        </w:p>
      </w:tc>
    </w:tr>
    <w:tr w:rsidR="00BB3A7B" w:rsidRPr="00EF13C1" w14:paraId="1950E3D0" w14:textId="77777777" w:rsidTr="00746EF3">
      <w:trPr>
        <w:trHeight w:val="321"/>
      </w:trPr>
      <w:tc>
        <w:tcPr>
          <w:tcW w:w="2552" w:type="dxa"/>
          <w:vAlign w:val="center"/>
        </w:tcPr>
        <w:p w14:paraId="1303F549" w14:textId="77777777" w:rsidR="00BB3A7B" w:rsidRPr="00A61802" w:rsidRDefault="00BB3A7B"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1EFEE378" w:rsidR="00BB3A7B" w:rsidRPr="00A61802" w:rsidRDefault="00BB3A7B" w:rsidP="008B5EEA">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 xml:space="preserve">Tribunal de Justicia Administrativa del Estado de México. </w:t>
          </w:r>
        </w:p>
      </w:tc>
    </w:tr>
    <w:tr w:rsidR="00BB3A7B" w:rsidRPr="00EF13C1" w14:paraId="3121D07B" w14:textId="77777777" w:rsidTr="00746EF3">
      <w:trPr>
        <w:trHeight w:val="321"/>
      </w:trPr>
      <w:tc>
        <w:tcPr>
          <w:tcW w:w="2552" w:type="dxa"/>
          <w:vAlign w:val="center"/>
        </w:tcPr>
        <w:p w14:paraId="4F405E6E" w14:textId="77777777" w:rsidR="00BB3A7B" w:rsidRPr="00EF13C1" w:rsidRDefault="00BB3A7B"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BB3A7B" w:rsidRPr="00EF13C1" w:rsidRDefault="00BB3A7B"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BB3A7B" w:rsidRDefault="00BB3A7B"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8E4"/>
    <w:multiLevelType w:val="hybridMultilevel"/>
    <w:tmpl w:val="3936512A"/>
    <w:lvl w:ilvl="0" w:tplc="46905AA0">
      <w:start w:val="1"/>
      <w:numFmt w:val="lowerLetter"/>
      <w:lvlText w:val="%1&gt;"/>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BF7440"/>
    <w:multiLevelType w:val="hybridMultilevel"/>
    <w:tmpl w:val="2C8A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560124D"/>
    <w:multiLevelType w:val="hybridMultilevel"/>
    <w:tmpl w:val="18467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466402"/>
    <w:multiLevelType w:val="hybridMultilevel"/>
    <w:tmpl w:val="F40645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FF26F3D6"/>
    <w:lvl w:ilvl="0" w:tplc="92BE0B36">
      <w:start w:val="1"/>
      <w:numFmt w:val="decimal"/>
      <w:lvlText w:val="%1."/>
      <w:lvlJc w:val="left"/>
      <w:pPr>
        <w:ind w:left="3479"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C861BD"/>
    <w:multiLevelType w:val="hybridMultilevel"/>
    <w:tmpl w:val="FC388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0D5644"/>
    <w:multiLevelType w:val="hybridMultilevel"/>
    <w:tmpl w:val="C40A25DA"/>
    <w:lvl w:ilvl="0" w:tplc="A41EC4C2">
      <w:start w:val="2"/>
      <w:numFmt w:val="upperRoman"/>
      <w:lvlText w:val="%1."/>
      <w:lvlJc w:val="left"/>
      <w:pPr>
        <w:ind w:left="5180" w:hanging="360"/>
      </w:pPr>
      <w:rPr>
        <w:rFonts w:hint="default"/>
        <w:b/>
        <w:i w:val="0"/>
      </w:rPr>
    </w:lvl>
    <w:lvl w:ilvl="1" w:tplc="080A0019" w:tentative="1">
      <w:start w:val="1"/>
      <w:numFmt w:val="lowerLetter"/>
      <w:lvlText w:val="%2."/>
      <w:lvlJc w:val="left"/>
      <w:pPr>
        <w:ind w:left="3195" w:hanging="360"/>
      </w:pPr>
    </w:lvl>
    <w:lvl w:ilvl="2" w:tplc="080A001B" w:tentative="1">
      <w:start w:val="1"/>
      <w:numFmt w:val="lowerRoman"/>
      <w:lvlText w:val="%3."/>
      <w:lvlJc w:val="right"/>
      <w:pPr>
        <w:ind w:left="3915" w:hanging="180"/>
      </w:pPr>
    </w:lvl>
    <w:lvl w:ilvl="3" w:tplc="080A000F" w:tentative="1">
      <w:start w:val="1"/>
      <w:numFmt w:val="decimal"/>
      <w:lvlText w:val="%4."/>
      <w:lvlJc w:val="left"/>
      <w:pPr>
        <w:ind w:left="4635" w:hanging="360"/>
      </w:pPr>
    </w:lvl>
    <w:lvl w:ilvl="4" w:tplc="080A0019" w:tentative="1">
      <w:start w:val="1"/>
      <w:numFmt w:val="lowerLetter"/>
      <w:lvlText w:val="%5."/>
      <w:lvlJc w:val="left"/>
      <w:pPr>
        <w:ind w:left="5355" w:hanging="360"/>
      </w:pPr>
    </w:lvl>
    <w:lvl w:ilvl="5" w:tplc="080A001B" w:tentative="1">
      <w:start w:val="1"/>
      <w:numFmt w:val="lowerRoman"/>
      <w:lvlText w:val="%6."/>
      <w:lvlJc w:val="right"/>
      <w:pPr>
        <w:ind w:left="6075" w:hanging="180"/>
      </w:pPr>
    </w:lvl>
    <w:lvl w:ilvl="6" w:tplc="080A000F" w:tentative="1">
      <w:start w:val="1"/>
      <w:numFmt w:val="decimal"/>
      <w:lvlText w:val="%7."/>
      <w:lvlJc w:val="left"/>
      <w:pPr>
        <w:ind w:left="6795" w:hanging="360"/>
      </w:pPr>
    </w:lvl>
    <w:lvl w:ilvl="7" w:tplc="080A0019" w:tentative="1">
      <w:start w:val="1"/>
      <w:numFmt w:val="lowerLetter"/>
      <w:lvlText w:val="%8."/>
      <w:lvlJc w:val="left"/>
      <w:pPr>
        <w:ind w:left="7515" w:hanging="360"/>
      </w:pPr>
    </w:lvl>
    <w:lvl w:ilvl="8" w:tplc="080A001B" w:tentative="1">
      <w:start w:val="1"/>
      <w:numFmt w:val="lowerRoman"/>
      <w:lvlText w:val="%9."/>
      <w:lvlJc w:val="right"/>
      <w:pPr>
        <w:ind w:left="8235" w:hanging="180"/>
      </w:pPr>
    </w:lvl>
  </w:abstractNum>
  <w:abstractNum w:abstractNumId="21" w15:restartNumberingAfterBreak="0">
    <w:nsid w:val="3C09643A"/>
    <w:multiLevelType w:val="hybridMultilevel"/>
    <w:tmpl w:val="C2B67B3E"/>
    <w:lvl w:ilvl="0" w:tplc="F14A69F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8B4CA5"/>
    <w:multiLevelType w:val="hybridMultilevel"/>
    <w:tmpl w:val="2C3A30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5"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3FC349D"/>
    <w:multiLevelType w:val="hybridMultilevel"/>
    <w:tmpl w:val="2DC2E6D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C3765EF"/>
    <w:multiLevelType w:val="hybridMultilevel"/>
    <w:tmpl w:val="DAE642F4"/>
    <w:lvl w:ilvl="0" w:tplc="676638D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F94737"/>
    <w:multiLevelType w:val="hybridMultilevel"/>
    <w:tmpl w:val="F8D46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0" w15:restartNumberingAfterBreak="0">
    <w:nsid w:val="770136A0"/>
    <w:multiLevelType w:val="hybridMultilevel"/>
    <w:tmpl w:val="A89E558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14"/>
  </w:num>
  <w:num w:numId="3">
    <w:abstractNumId w:val="17"/>
  </w:num>
  <w:num w:numId="4">
    <w:abstractNumId w:val="38"/>
  </w:num>
  <w:num w:numId="5">
    <w:abstractNumId w:val="23"/>
  </w:num>
  <w:num w:numId="6">
    <w:abstractNumId w:val="4"/>
  </w:num>
  <w:num w:numId="7">
    <w:abstractNumId w:val="19"/>
  </w:num>
  <w:num w:numId="8">
    <w:abstractNumId w:val="1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26"/>
  </w:num>
  <w:num w:numId="13">
    <w:abstractNumId w:val="11"/>
  </w:num>
  <w:num w:numId="14">
    <w:abstractNumId w:val="1"/>
  </w:num>
  <w:num w:numId="15">
    <w:abstractNumId w:val="39"/>
  </w:num>
  <w:num w:numId="16">
    <w:abstractNumId w:val="28"/>
  </w:num>
  <w:num w:numId="17">
    <w:abstractNumId w:val="15"/>
  </w:num>
  <w:num w:numId="18">
    <w:abstractNumId w:val="36"/>
  </w:num>
  <w:num w:numId="19">
    <w:abstractNumId w:val="16"/>
  </w:num>
  <w:num w:numId="20">
    <w:abstractNumId w:val="3"/>
  </w:num>
  <w:num w:numId="21">
    <w:abstractNumId w:val="42"/>
  </w:num>
  <w:num w:numId="22">
    <w:abstractNumId w:val="25"/>
  </w:num>
  <w:num w:numId="23">
    <w:abstractNumId w:val="8"/>
  </w:num>
  <w:num w:numId="24">
    <w:abstractNumId w:val="32"/>
  </w:num>
  <w:num w:numId="25">
    <w:abstractNumId w:val="30"/>
  </w:num>
  <w:num w:numId="26">
    <w:abstractNumId w:val="33"/>
  </w:num>
  <w:num w:numId="27">
    <w:abstractNumId w:val="35"/>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9"/>
  </w:num>
  <w:num w:numId="31">
    <w:abstractNumId w:val="41"/>
  </w:num>
  <w:num w:numId="32">
    <w:abstractNumId w:val="13"/>
  </w:num>
  <w:num w:numId="33">
    <w:abstractNumId w:val="6"/>
  </w:num>
  <w:num w:numId="34">
    <w:abstractNumId w:val="22"/>
  </w:num>
  <w:num w:numId="35">
    <w:abstractNumId w:val="20"/>
  </w:num>
  <w:num w:numId="36">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0"/>
  </w:num>
  <w:num w:numId="39">
    <w:abstractNumId w:val="7"/>
  </w:num>
  <w:num w:numId="40">
    <w:abstractNumId w:val="27"/>
  </w:num>
  <w:num w:numId="41">
    <w:abstractNumId w:val="12"/>
  </w:num>
  <w:num w:numId="42">
    <w:abstractNumId w:val="40"/>
  </w:num>
  <w:num w:numId="43">
    <w:abstractNumId w:val="21"/>
  </w:num>
  <w:num w:numId="44">
    <w:abstractNumId w:val="3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54E8A"/>
    <w:rsid w:val="00055669"/>
    <w:rsid w:val="00060FF3"/>
    <w:rsid w:val="00061913"/>
    <w:rsid w:val="00063434"/>
    <w:rsid w:val="00070E04"/>
    <w:rsid w:val="000732C9"/>
    <w:rsid w:val="000767EC"/>
    <w:rsid w:val="00080ECC"/>
    <w:rsid w:val="0008753C"/>
    <w:rsid w:val="0009361F"/>
    <w:rsid w:val="00097AFF"/>
    <w:rsid w:val="000A2268"/>
    <w:rsid w:val="000A3DA5"/>
    <w:rsid w:val="000B18E7"/>
    <w:rsid w:val="000B66F6"/>
    <w:rsid w:val="000C5323"/>
    <w:rsid w:val="000D2A5D"/>
    <w:rsid w:val="000D580E"/>
    <w:rsid w:val="000D6FB2"/>
    <w:rsid w:val="000E0969"/>
    <w:rsid w:val="000E3B73"/>
    <w:rsid w:val="00100898"/>
    <w:rsid w:val="0010760D"/>
    <w:rsid w:val="00113325"/>
    <w:rsid w:val="00114328"/>
    <w:rsid w:val="001164AB"/>
    <w:rsid w:val="00120F87"/>
    <w:rsid w:val="0012231C"/>
    <w:rsid w:val="0012290F"/>
    <w:rsid w:val="0012473D"/>
    <w:rsid w:val="0015457B"/>
    <w:rsid w:val="00156D16"/>
    <w:rsid w:val="00176607"/>
    <w:rsid w:val="001870D4"/>
    <w:rsid w:val="00190DC2"/>
    <w:rsid w:val="00196A22"/>
    <w:rsid w:val="00196ED1"/>
    <w:rsid w:val="001A0055"/>
    <w:rsid w:val="001A1C56"/>
    <w:rsid w:val="001A6BF6"/>
    <w:rsid w:val="001B4E32"/>
    <w:rsid w:val="001C5165"/>
    <w:rsid w:val="001C6A9E"/>
    <w:rsid w:val="001D61F7"/>
    <w:rsid w:val="001E0D87"/>
    <w:rsid w:val="001F0725"/>
    <w:rsid w:val="00220177"/>
    <w:rsid w:val="002271A7"/>
    <w:rsid w:val="002445FA"/>
    <w:rsid w:val="0024677C"/>
    <w:rsid w:val="00253AB5"/>
    <w:rsid w:val="00253D6B"/>
    <w:rsid w:val="00253DB4"/>
    <w:rsid w:val="00257108"/>
    <w:rsid w:val="00261212"/>
    <w:rsid w:val="00283D94"/>
    <w:rsid w:val="00285C17"/>
    <w:rsid w:val="002927B4"/>
    <w:rsid w:val="002944E8"/>
    <w:rsid w:val="002A20B3"/>
    <w:rsid w:val="002A2108"/>
    <w:rsid w:val="002A5275"/>
    <w:rsid w:val="002B1A79"/>
    <w:rsid w:val="002B20B1"/>
    <w:rsid w:val="002C5058"/>
    <w:rsid w:val="002C70BC"/>
    <w:rsid w:val="002D025A"/>
    <w:rsid w:val="002D1609"/>
    <w:rsid w:val="002D5C8A"/>
    <w:rsid w:val="002E13AD"/>
    <w:rsid w:val="002E1FAB"/>
    <w:rsid w:val="002E7055"/>
    <w:rsid w:val="002F0321"/>
    <w:rsid w:val="002F32AE"/>
    <w:rsid w:val="002F3E2A"/>
    <w:rsid w:val="00301F6D"/>
    <w:rsid w:val="00307972"/>
    <w:rsid w:val="00316768"/>
    <w:rsid w:val="00321B51"/>
    <w:rsid w:val="00335519"/>
    <w:rsid w:val="0034449A"/>
    <w:rsid w:val="00345271"/>
    <w:rsid w:val="0034633A"/>
    <w:rsid w:val="00355B33"/>
    <w:rsid w:val="003562F4"/>
    <w:rsid w:val="00357016"/>
    <w:rsid w:val="00364138"/>
    <w:rsid w:val="00375B06"/>
    <w:rsid w:val="0038671A"/>
    <w:rsid w:val="00390CE7"/>
    <w:rsid w:val="00394579"/>
    <w:rsid w:val="00395231"/>
    <w:rsid w:val="00396FF1"/>
    <w:rsid w:val="003A6134"/>
    <w:rsid w:val="003B350F"/>
    <w:rsid w:val="003D72B0"/>
    <w:rsid w:val="003D784F"/>
    <w:rsid w:val="003E7B16"/>
    <w:rsid w:val="003F0983"/>
    <w:rsid w:val="00400E9D"/>
    <w:rsid w:val="004020A9"/>
    <w:rsid w:val="00420997"/>
    <w:rsid w:val="004269C3"/>
    <w:rsid w:val="004620FD"/>
    <w:rsid w:val="004627CA"/>
    <w:rsid w:val="00472171"/>
    <w:rsid w:val="00472478"/>
    <w:rsid w:val="00474D39"/>
    <w:rsid w:val="00487D73"/>
    <w:rsid w:val="00495F08"/>
    <w:rsid w:val="00496E83"/>
    <w:rsid w:val="004A3AE1"/>
    <w:rsid w:val="004C0842"/>
    <w:rsid w:val="004C400B"/>
    <w:rsid w:val="004D14CC"/>
    <w:rsid w:val="004D338F"/>
    <w:rsid w:val="004D5F0E"/>
    <w:rsid w:val="004E4E39"/>
    <w:rsid w:val="004E7EB5"/>
    <w:rsid w:val="004F18E8"/>
    <w:rsid w:val="00504AC4"/>
    <w:rsid w:val="00505288"/>
    <w:rsid w:val="005069B0"/>
    <w:rsid w:val="005105B0"/>
    <w:rsid w:val="005144FC"/>
    <w:rsid w:val="005265EB"/>
    <w:rsid w:val="00526C8C"/>
    <w:rsid w:val="00536C51"/>
    <w:rsid w:val="00537643"/>
    <w:rsid w:val="00541663"/>
    <w:rsid w:val="00542CE7"/>
    <w:rsid w:val="00546E1A"/>
    <w:rsid w:val="00547A19"/>
    <w:rsid w:val="00551C68"/>
    <w:rsid w:val="00554277"/>
    <w:rsid w:val="00560E94"/>
    <w:rsid w:val="005617D9"/>
    <w:rsid w:val="00562094"/>
    <w:rsid w:val="00564157"/>
    <w:rsid w:val="00593002"/>
    <w:rsid w:val="005969F4"/>
    <w:rsid w:val="005A57AF"/>
    <w:rsid w:val="005C4B6E"/>
    <w:rsid w:val="005C7651"/>
    <w:rsid w:val="005D1230"/>
    <w:rsid w:val="005D4918"/>
    <w:rsid w:val="005D733D"/>
    <w:rsid w:val="005E155F"/>
    <w:rsid w:val="005E48C9"/>
    <w:rsid w:val="005F7A0F"/>
    <w:rsid w:val="00612BD6"/>
    <w:rsid w:val="00613E55"/>
    <w:rsid w:val="00623C38"/>
    <w:rsid w:val="006249A2"/>
    <w:rsid w:val="0063058C"/>
    <w:rsid w:val="00636061"/>
    <w:rsid w:val="0064458A"/>
    <w:rsid w:val="00647FBC"/>
    <w:rsid w:val="00651668"/>
    <w:rsid w:val="00656AAD"/>
    <w:rsid w:val="00657B33"/>
    <w:rsid w:val="006605BA"/>
    <w:rsid w:val="0067008E"/>
    <w:rsid w:val="00674D29"/>
    <w:rsid w:val="00676788"/>
    <w:rsid w:val="00687B35"/>
    <w:rsid w:val="00693407"/>
    <w:rsid w:val="006A137A"/>
    <w:rsid w:val="006A1CC7"/>
    <w:rsid w:val="006A3769"/>
    <w:rsid w:val="006A777D"/>
    <w:rsid w:val="006B2872"/>
    <w:rsid w:val="006B5226"/>
    <w:rsid w:val="006C045F"/>
    <w:rsid w:val="006D061D"/>
    <w:rsid w:val="006D208D"/>
    <w:rsid w:val="006D4766"/>
    <w:rsid w:val="006E1E2A"/>
    <w:rsid w:val="006E204C"/>
    <w:rsid w:val="006F155E"/>
    <w:rsid w:val="006F483B"/>
    <w:rsid w:val="006F589C"/>
    <w:rsid w:val="006F5E9F"/>
    <w:rsid w:val="006F771D"/>
    <w:rsid w:val="006F7D6C"/>
    <w:rsid w:val="00701085"/>
    <w:rsid w:val="007109D0"/>
    <w:rsid w:val="007123EE"/>
    <w:rsid w:val="007145A8"/>
    <w:rsid w:val="00720A58"/>
    <w:rsid w:val="00721347"/>
    <w:rsid w:val="00725C7F"/>
    <w:rsid w:val="0073594F"/>
    <w:rsid w:val="00746EF3"/>
    <w:rsid w:val="00746F3C"/>
    <w:rsid w:val="007504A4"/>
    <w:rsid w:val="0076070F"/>
    <w:rsid w:val="0076474D"/>
    <w:rsid w:val="007775DB"/>
    <w:rsid w:val="00785862"/>
    <w:rsid w:val="00791FDA"/>
    <w:rsid w:val="007950F2"/>
    <w:rsid w:val="007A47EB"/>
    <w:rsid w:val="007A6573"/>
    <w:rsid w:val="007B31F4"/>
    <w:rsid w:val="007B6C30"/>
    <w:rsid w:val="007B705C"/>
    <w:rsid w:val="007C602E"/>
    <w:rsid w:val="007D1365"/>
    <w:rsid w:val="007D4F80"/>
    <w:rsid w:val="007E5FEC"/>
    <w:rsid w:val="007E7818"/>
    <w:rsid w:val="007F2AB8"/>
    <w:rsid w:val="007F5BAB"/>
    <w:rsid w:val="007F69AA"/>
    <w:rsid w:val="00806A87"/>
    <w:rsid w:val="0081138B"/>
    <w:rsid w:val="00815F08"/>
    <w:rsid w:val="00826320"/>
    <w:rsid w:val="00835AB7"/>
    <w:rsid w:val="00835BC7"/>
    <w:rsid w:val="00835E2B"/>
    <w:rsid w:val="008369D5"/>
    <w:rsid w:val="008378E7"/>
    <w:rsid w:val="00841D58"/>
    <w:rsid w:val="00842408"/>
    <w:rsid w:val="008425E5"/>
    <w:rsid w:val="0085048B"/>
    <w:rsid w:val="0086776C"/>
    <w:rsid w:val="00877CCC"/>
    <w:rsid w:val="008809BC"/>
    <w:rsid w:val="008854A0"/>
    <w:rsid w:val="008861EA"/>
    <w:rsid w:val="00895528"/>
    <w:rsid w:val="008A40DC"/>
    <w:rsid w:val="008A61DF"/>
    <w:rsid w:val="008B5EEA"/>
    <w:rsid w:val="008C06FB"/>
    <w:rsid w:val="008C2C5D"/>
    <w:rsid w:val="008C33F2"/>
    <w:rsid w:val="008D4ACF"/>
    <w:rsid w:val="008D608D"/>
    <w:rsid w:val="008E0CD8"/>
    <w:rsid w:val="008E4F70"/>
    <w:rsid w:val="008F0D66"/>
    <w:rsid w:val="009007AF"/>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45DA"/>
    <w:rsid w:val="00977428"/>
    <w:rsid w:val="00990B92"/>
    <w:rsid w:val="0099760D"/>
    <w:rsid w:val="00997F97"/>
    <w:rsid w:val="009A5413"/>
    <w:rsid w:val="009B095B"/>
    <w:rsid w:val="009B27AD"/>
    <w:rsid w:val="009B56AF"/>
    <w:rsid w:val="009C28AF"/>
    <w:rsid w:val="009C2A7A"/>
    <w:rsid w:val="009C5C23"/>
    <w:rsid w:val="009D0086"/>
    <w:rsid w:val="009D2910"/>
    <w:rsid w:val="009E0EC5"/>
    <w:rsid w:val="009E1682"/>
    <w:rsid w:val="009E749C"/>
    <w:rsid w:val="009E7D1A"/>
    <w:rsid w:val="009F50FE"/>
    <w:rsid w:val="00A0468E"/>
    <w:rsid w:val="00A12E21"/>
    <w:rsid w:val="00A24682"/>
    <w:rsid w:val="00A25636"/>
    <w:rsid w:val="00A32D4E"/>
    <w:rsid w:val="00A33AC2"/>
    <w:rsid w:val="00A41CA5"/>
    <w:rsid w:val="00A43AB5"/>
    <w:rsid w:val="00A44619"/>
    <w:rsid w:val="00A52742"/>
    <w:rsid w:val="00A53E54"/>
    <w:rsid w:val="00A61802"/>
    <w:rsid w:val="00A7336A"/>
    <w:rsid w:val="00A73A55"/>
    <w:rsid w:val="00A752AF"/>
    <w:rsid w:val="00A76861"/>
    <w:rsid w:val="00A7747C"/>
    <w:rsid w:val="00A835BD"/>
    <w:rsid w:val="00A9072F"/>
    <w:rsid w:val="00A9278D"/>
    <w:rsid w:val="00AA1D26"/>
    <w:rsid w:val="00AA380C"/>
    <w:rsid w:val="00AB1B12"/>
    <w:rsid w:val="00AB58A1"/>
    <w:rsid w:val="00AB7A40"/>
    <w:rsid w:val="00AC7345"/>
    <w:rsid w:val="00AD0A82"/>
    <w:rsid w:val="00AD7656"/>
    <w:rsid w:val="00AE0D03"/>
    <w:rsid w:val="00AE1E4F"/>
    <w:rsid w:val="00AE2817"/>
    <w:rsid w:val="00AE29EA"/>
    <w:rsid w:val="00AE6C8D"/>
    <w:rsid w:val="00AE7407"/>
    <w:rsid w:val="00AF091C"/>
    <w:rsid w:val="00AF3C6B"/>
    <w:rsid w:val="00AF42CA"/>
    <w:rsid w:val="00B12C54"/>
    <w:rsid w:val="00B137DE"/>
    <w:rsid w:val="00B16EBC"/>
    <w:rsid w:val="00B3020C"/>
    <w:rsid w:val="00B30F2E"/>
    <w:rsid w:val="00B4031B"/>
    <w:rsid w:val="00B411B7"/>
    <w:rsid w:val="00B50D49"/>
    <w:rsid w:val="00B530C4"/>
    <w:rsid w:val="00B60E4D"/>
    <w:rsid w:val="00B6145E"/>
    <w:rsid w:val="00B61B3D"/>
    <w:rsid w:val="00B6376A"/>
    <w:rsid w:val="00B73316"/>
    <w:rsid w:val="00B861E3"/>
    <w:rsid w:val="00B86CDB"/>
    <w:rsid w:val="00B907A1"/>
    <w:rsid w:val="00B93085"/>
    <w:rsid w:val="00B9312E"/>
    <w:rsid w:val="00BB09F8"/>
    <w:rsid w:val="00BB2314"/>
    <w:rsid w:val="00BB3390"/>
    <w:rsid w:val="00BB3A7B"/>
    <w:rsid w:val="00BC7A73"/>
    <w:rsid w:val="00BD3DBA"/>
    <w:rsid w:val="00BD4050"/>
    <w:rsid w:val="00BE12EB"/>
    <w:rsid w:val="00BE375C"/>
    <w:rsid w:val="00BF60EF"/>
    <w:rsid w:val="00C067A2"/>
    <w:rsid w:val="00C15C95"/>
    <w:rsid w:val="00C16FDA"/>
    <w:rsid w:val="00C30D84"/>
    <w:rsid w:val="00C32AE9"/>
    <w:rsid w:val="00C358F3"/>
    <w:rsid w:val="00C40C11"/>
    <w:rsid w:val="00C460CA"/>
    <w:rsid w:val="00C466EC"/>
    <w:rsid w:val="00C531C8"/>
    <w:rsid w:val="00C61D9F"/>
    <w:rsid w:val="00C73CED"/>
    <w:rsid w:val="00C73FF1"/>
    <w:rsid w:val="00C75187"/>
    <w:rsid w:val="00C75A5F"/>
    <w:rsid w:val="00C80C59"/>
    <w:rsid w:val="00C914B7"/>
    <w:rsid w:val="00C94C46"/>
    <w:rsid w:val="00C9538C"/>
    <w:rsid w:val="00CA6964"/>
    <w:rsid w:val="00CB08D7"/>
    <w:rsid w:val="00CB6C30"/>
    <w:rsid w:val="00CD03B7"/>
    <w:rsid w:val="00CD5740"/>
    <w:rsid w:val="00CE6011"/>
    <w:rsid w:val="00CF069A"/>
    <w:rsid w:val="00CF19BA"/>
    <w:rsid w:val="00CF45A6"/>
    <w:rsid w:val="00CF6D13"/>
    <w:rsid w:val="00D035F0"/>
    <w:rsid w:val="00D060A3"/>
    <w:rsid w:val="00D12590"/>
    <w:rsid w:val="00D1544B"/>
    <w:rsid w:val="00D15D38"/>
    <w:rsid w:val="00D16D4C"/>
    <w:rsid w:val="00D20350"/>
    <w:rsid w:val="00D229CE"/>
    <w:rsid w:val="00D22CF0"/>
    <w:rsid w:val="00D31500"/>
    <w:rsid w:val="00D31725"/>
    <w:rsid w:val="00D343E8"/>
    <w:rsid w:val="00D3469B"/>
    <w:rsid w:val="00D41DFC"/>
    <w:rsid w:val="00D445CE"/>
    <w:rsid w:val="00D45CE8"/>
    <w:rsid w:val="00D53DD3"/>
    <w:rsid w:val="00D613FF"/>
    <w:rsid w:val="00D61913"/>
    <w:rsid w:val="00D62ACF"/>
    <w:rsid w:val="00D654B5"/>
    <w:rsid w:val="00D745B8"/>
    <w:rsid w:val="00D85AC9"/>
    <w:rsid w:val="00D87D30"/>
    <w:rsid w:val="00D94DDB"/>
    <w:rsid w:val="00D9700A"/>
    <w:rsid w:val="00D975D5"/>
    <w:rsid w:val="00DA44C3"/>
    <w:rsid w:val="00DA7537"/>
    <w:rsid w:val="00DB655B"/>
    <w:rsid w:val="00DC558D"/>
    <w:rsid w:val="00DC76DB"/>
    <w:rsid w:val="00DD056A"/>
    <w:rsid w:val="00DD18C7"/>
    <w:rsid w:val="00DE2822"/>
    <w:rsid w:val="00DE4BA1"/>
    <w:rsid w:val="00DE6A17"/>
    <w:rsid w:val="00DF2CBA"/>
    <w:rsid w:val="00DF731A"/>
    <w:rsid w:val="00E05DD9"/>
    <w:rsid w:val="00E113EC"/>
    <w:rsid w:val="00E13EB5"/>
    <w:rsid w:val="00E14DD4"/>
    <w:rsid w:val="00E2121E"/>
    <w:rsid w:val="00E2258F"/>
    <w:rsid w:val="00E22777"/>
    <w:rsid w:val="00E23DF2"/>
    <w:rsid w:val="00E24B6C"/>
    <w:rsid w:val="00E338BF"/>
    <w:rsid w:val="00E33EAA"/>
    <w:rsid w:val="00E347CD"/>
    <w:rsid w:val="00E45EFD"/>
    <w:rsid w:val="00E46B47"/>
    <w:rsid w:val="00E5419E"/>
    <w:rsid w:val="00E60C17"/>
    <w:rsid w:val="00E6237D"/>
    <w:rsid w:val="00E63601"/>
    <w:rsid w:val="00E70C19"/>
    <w:rsid w:val="00E756B3"/>
    <w:rsid w:val="00E81086"/>
    <w:rsid w:val="00E818AF"/>
    <w:rsid w:val="00E85A7C"/>
    <w:rsid w:val="00E91684"/>
    <w:rsid w:val="00E92B56"/>
    <w:rsid w:val="00E9434A"/>
    <w:rsid w:val="00EB3CE6"/>
    <w:rsid w:val="00EC0FBA"/>
    <w:rsid w:val="00EC1D04"/>
    <w:rsid w:val="00EC4F5B"/>
    <w:rsid w:val="00ED38F7"/>
    <w:rsid w:val="00EE5082"/>
    <w:rsid w:val="00EF7C5F"/>
    <w:rsid w:val="00F15DAB"/>
    <w:rsid w:val="00F20E36"/>
    <w:rsid w:val="00F234BF"/>
    <w:rsid w:val="00F254CE"/>
    <w:rsid w:val="00F307A6"/>
    <w:rsid w:val="00F40031"/>
    <w:rsid w:val="00F455A3"/>
    <w:rsid w:val="00F46A05"/>
    <w:rsid w:val="00F4754F"/>
    <w:rsid w:val="00F52D0A"/>
    <w:rsid w:val="00F55AE1"/>
    <w:rsid w:val="00F57D0B"/>
    <w:rsid w:val="00F61EF4"/>
    <w:rsid w:val="00F62B39"/>
    <w:rsid w:val="00F723CE"/>
    <w:rsid w:val="00F7282E"/>
    <w:rsid w:val="00F80315"/>
    <w:rsid w:val="00F82244"/>
    <w:rsid w:val="00FA6E30"/>
    <w:rsid w:val="00FC4895"/>
    <w:rsid w:val="00FC4DAF"/>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0808D2-4A77-4A25-8AB4-56D80229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56</Pages>
  <Words>10957</Words>
  <Characters>60264</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7</cp:revision>
  <cp:lastPrinted>2020-02-10T19:24:00Z</cp:lastPrinted>
  <dcterms:created xsi:type="dcterms:W3CDTF">2020-11-27T19:21:00Z</dcterms:created>
  <dcterms:modified xsi:type="dcterms:W3CDTF">2021-01-19T00:17:00Z</dcterms:modified>
</cp:coreProperties>
</file>