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175" w:rsidRDefault="00212EF2">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diecinueve de agosto de dos mil veinte.</w:t>
      </w:r>
    </w:p>
    <w:p w:rsidR="00DD4175" w:rsidRDefault="00212EF2">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 </w:t>
      </w:r>
      <w:r>
        <w:rPr>
          <w:rFonts w:ascii="Palatino Linotype" w:hAnsi="Palatino Linotype"/>
          <w:b/>
        </w:rPr>
        <w:t>01052/INFOEM/IP/RR/2020</w:t>
      </w:r>
      <w:r>
        <w:rPr>
          <w:rFonts w:ascii="Palatino Linotype" w:hAnsi="Palatino Linotype"/>
        </w:rPr>
        <w:t xml:space="preserve">, promovido por </w:t>
      </w:r>
      <w:r w:rsidR="00BC7AA3">
        <w:rPr>
          <w:rFonts w:ascii="Palatino Linotype" w:hAnsi="Palatino Linotype"/>
          <w:b/>
        </w:rPr>
        <w:t>XXXX XXX XXXX XX XXXXX</w:t>
      </w:r>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rPr>
        <w:t xml:space="preserve">, en contra de la respuesta emitida por el </w:t>
      </w:r>
      <w:r>
        <w:rPr>
          <w:rFonts w:ascii="Palatino Linotype" w:hAnsi="Palatino Linotype"/>
          <w:b/>
        </w:rPr>
        <w:t>Ayuntamiento de Zinacantepec,</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DD4175" w:rsidRDefault="00212EF2">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DD4175" w:rsidRDefault="00212EF2">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diecisiete de enero de dos mil veinte, </w:t>
      </w:r>
      <w:r>
        <w:rPr>
          <w:rFonts w:ascii="Palatino Linotype" w:hAnsi="Palatino Linotype" w:cs="Arial"/>
          <w:b/>
        </w:rPr>
        <w:t>EL RECURRENTE</w:t>
      </w:r>
      <w:r>
        <w:rPr>
          <w:rFonts w:ascii="Palatino Linotype" w:hAnsi="Palatino Linotype"/>
        </w:rPr>
        <w:t xml:space="preserve"> presentó </w:t>
      </w:r>
      <w:r>
        <w:rPr>
          <w:rFonts w:ascii="Palatino Linotype" w:hAnsi="Palatino Linotype" w:cs="Arial"/>
        </w:rPr>
        <w:t xml:space="preserve">a través del Sistema de Acceso a la Información Mexiquense, en lo subsecuente </w:t>
      </w:r>
      <w:r>
        <w:rPr>
          <w:rFonts w:ascii="Palatino Linotype" w:hAnsi="Palatino Linotype" w:cs="Arial"/>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xml:space="preserve">, la solicitud de acceso a la información pública, a la que se le asignó el número </w:t>
      </w:r>
      <w:r>
        <w:rPr>
          <w:rFonts w:ascii="Palatino Linotype" w:hAnsi="Palatino Linotype"/>
          <w:b/>
          <w:bCs/>
        </w:rPr>
        <w:t>00009/ZINACANT/IP/2020</w:t>
      </w:r>
      <w:r>
        <w:rPr>
          <w:rFonts w:ascii="Palatino Linotype" w:hAnsi="Palatino Linotype"/>
        </w:rPr>
        <w:t xml:space="preserve">, mediante la cual requirió por </w:t>
      </w:r>
      <w:r>
        <w:rPr>
          <w:rFonts w:ascii="Palatino Linotype" w:hAnsi="Palatino Linotype"/>
          <w:b/>
        </w:rPr>
        <w:t>correo electrónico</w:t>
      </w:r>
      <w:r>
        <w:rPr>
          <w:rFonts w:ascii="Palatino Linotype" w:hAnsi="Palatino Linotype"/>
        </w:rPr>
        <w:t>, lo siguiente:</w:t>
      </w:r>
    </w:p>
    <w:p w:rsidR="00DD4175" w:rsidRDefault="00212EF2">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“Invocando mi derecho constitucional marcado con el numeral 6, me permito solicitar de la manera más atenta el dictamen resolutivo de la verificación oficiosa realizada a este Ayuntamiento y sus dependecias auxiliares en el ejercicio fiscal 2019, adicionalmente al dictamén solicito de manera explicita el porcentaje obtenido en dicha verificación del mismo año (2019), de igual manera solicito las tablas de verificación donde se muestre los porcentajes obtenidos en todas y cada una de las fracciones y sus rubros, si así lo desean clasificar como reservada la información relativa a las notas colocadas por el instituto.” </w:t>
      </w:r>
      <w:r>
        <w:rPr>
          <w:rFonts w:ascii="Palatino Linotype" w:hAnsi="Palatino Linotype"/>
          <w:sz w:val="22"/>
          <w:szCs w:val="22"/>
        </w:rPr>
        <w:t>(Sic)</w:t>
      </w:r>
      <w:bookmarkStart w:id="0" w:name="_Ref531692384"/>
      <w:bookmarkStart w:id="1" w:name="_Ref516764469"/>
    </w:p>
    <w:p w:rsidR="00DD4175" w:rsidRDefault="00212EF2">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cs="Arial"/>
        </w:rPr>
        <w:t xml:space="preserve"> </w:t>
      </w:r>
      <w:r>
        <w:rPr>
          <w:rFonts w:ascii="Palatino Linotype" w:hAnsi="Palatino Linotype" w:cs="Arial"/>
          <w:szCs w:val="20"/>
        </w:rPr>
        <w:t xml:space="preserve">De las constancias que obran en el expediente electrónico del </w:t>
      </w:r>
      <w:r>
        <w:rPr>
          <w:rFonts w:ascii="Palatino Linotype" w:hAnsi="Palatino Linotype" w:cs="Arial"/>
          <w:b/>
          <w:szCs w:val="20"/>
        </w:rPr>
        <w:t>SAIMEX</w:t>
      </w:r>
      <w:r>
        <w:rPr>
          <w:rFonts w:ascii="Palatino Linotype" w:hAnsi="Palatino Linotype" w:cs="Arial"/>
          <w:szCs w:val="20"/>
        </w:rPr>
        <w:t xml:space="preserve">, en fecha veinticuatro de enero de dos mil veinte, </w:t>
      </w:r>
      <w:r>
        <w:rPr>
          <w:rFonts w:ascii="Palatino Linotype" w:hAnsi="Palatino Linotype" w:cs="Arial"/>
          <w:b/>
          <w:szCs w:val="20"/>
        </w:rPr>
        <w:t>EL SUJETO OBLIGADO,</w:t>
      </w:r>
      <w:r>
        <w:rPr>
          <w:rFonts w:ascii="Palatino Linotype" w:hAnsi="Palatino Linotype" w:cs="Arial"/>
          <w:szCs w:val="20"/>
        </w:rPr>
        <w:t xml:space="preserve"> en términos de lo </w:t>
      </w:r>
      <w:r>
        <w:rPr>
          <w:rFonts w:ascii="Palatino Linotype" w:hAnsi="Palatino Linotype" w:cs="Arial"/>
          <w:szCs w:val="20"/>
        </w:rPr>
        <w:lastRenderedPageBreak/>
        <w:t>dispuesto por el artículo 159 de la Ley de Transparencia y Acceso a la Información Pública del Estado de México y Municipios, requirió al particular para que aclarara su solicitud de acceso a la información, en razón de lo siguiente:</w:t>
      </w:r>
    </w:p>
    <w:p w:rsidR="00DD4175" w:rsidRDefault="00212EF2">
      <w:pPr>
        <w:spacing w:beforeAutospacing="1" w:afterAutospacing="1"/>
        <w:ind w:left="851" w:right="899"/>
        <w:jc w:val="both"/>
        <w:rPr>
          <w:rFonts w:ascii="Palatino Linotype" w:hAnsi="Palatino Linotype" w:cs="Arial"/>
          <w:i/>
          <w:sz w:val="22"/>
        </w:rPr>
      </w:pPr>
      <w:r>
        <w:rPr>
          <w:rFonts w:ascii="Palatino Linotype" w:hAnsi="Palatino Linotype" w:cs="Arial"/>
          <w:i/>
          <w:sz w:val="22"/>
        </w:rPr>
        <w:t>“Se solicita aclare y precise los datos, citados en el oficio de aclaración adjunto.</w:t>
      </w:r>
    </w:p>
    <w:p w:rsidR="00DD4175" w:rsidRDefault="00212EF2">
      <w:pPr>
        <w:spacing w:beforeAutospacing="1" w:afterAutospacing="1"/>
        <w:ind w:left="851" w:right="899"/>
        <w:jc w:val="both"/>
        <w:rPr>
          <w:rFonts w:ascii="Palatino Linotype" w:hAnsi="Palatino Linotype" w:cs="Arial"/>
          <w:i/>
          <w:sz w:val="22"/>
        </w:rPr>
      </w:pPr>
      <w:r>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 (Sic)</w:t>
      </w:r>
    </w:p>
    <w:p w:rsidR="00DD4175" w:rsidRDefault="00212EF2">
      <w:pPr>
        <w:pStyle w:val="Prrafodelista"/>
        <w:tabs>
          <w:tab w:val="left" w:pos="709"/>
        </w:tabs>
        <w:spacing w:beforeAutospacing="1" w:afterAutospacing="1" w:line="360" w:lineRule="auto"/>
        <w:ind w:left="0"/>
        <w:jc w:val="both"/>
        <w:rPr>
          <w:rFonts w:ascii="Palatino Linotype" w:hAnsi="Palatino Linotype" w:cs="Arial"/>
        </w:rPr>
      </w:pPr>
      <w:r>
        <w:rPr>
          <w:rFonts w:ascii="Palatino Linotype" w:hAnsi="Palatino Linotype" w:cs="Arial"/>
        </w:rPr>
        <w:t>Asimismo, adjuntó el siguiente archivo electrónico:</w:t>
      </w:r>
    </w:p>
    <w:p w:rsidR="00DD4175" w:rsidRDefault="00BC7AA3">
      <w:pPr>
        <w:pStyle w:val="Prrafodelista"/>
        <w:tabs>
          <w:tab w:val="left" w:pos="709"/>
        </w:tabs>
        <w:spacing w:beforeAutospacing="1" w:afterAutospacing="1" w:line="360" w:lineRule="auto"/>
        <w:ind w:left="0"/>
        <w:jc w:val="both"/>
        <w:rPr>
          <w:rFonts w:ascii="Palatino Linotype" w:hAnsi="Palatino Linotype" w:cs="Arial"/>
        </w:rPr>
      </w:pPr>
      <w:r>
        <w:rPr>
          <w:noProof/>
          <w:lang w:eastAsia="es-MX"/>
        </w:rPr>
        <w:drawing>
          <wp:inline distT="0" distB="0" distL="0" distR="0" wp14:anchorId="19E0E66A" wp14:editId="5584495E">
            <wp:extent cx="5610225" cy="3914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265" t="38296" r="26324" b="19315"/>
                    <a:stretch/>
                  </pic:blipFill>
                  <pic:spPr bwMode="auto">
                    <a:xfrm>
                      <a:off x="0" y="0"/>
                      <a:ext cx="5610225" cy="3914775"/>
                    </a:xfrm>
                    <a:prstGeom prst="rect">
                      <a:avLst/>
                    </a:prstGeom>
                    <a:ln>
                      <a:noFill/>
                    </a:ln>
                    <a:extLst>
                      <a:ext uri="{53640926-AAD7-44D8-BBD7-CCE9431645EC}">
                        <a14:shadowObscured xmlns:a14="http://schemas.microsoft.com/office/drawing/2010/main"/>
                      </a:ext>
                    </a:extLst>
                  </pic:spPr>
                </pic:pic>
              </a:graphicData>
            </a:graphic>
          </wp:inline>
        </w:drawing>
      </w:r>
    </w:p>
    <w:p w:rsidR="00DD4175" w:rsidRDefault="00212EF2">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cs="Arial"/>
        </w:rPr>
        <w:lastRenderedPageBreak/>
        <w:t>En atención al requerimiento mencionado en el resultando anterior, en fecha veintisiete de enero de dos mil veinte, el particular aclaró su solicitud de acceso a la información, en los términos siguientes:</w:t>
      </w:r>
    </w:p>
    <w:p w:rsidR="00DD4175" w:rsidRDefault="00212EF2">
      <w:pPr>
        <w:spacing w:before="240" w:after="240"/>
        <w:ind w:left="851" w:right="899"/>
        <w:jc w:val="both"/>
        <w:rPr>
          <w:rFonts w:ascii="Palatino Linotype" w:hAnsi="Palatino Linotype" w:cs="Arial"/>
          <w:i/>
          <w:sz w:val="22"/>
        </w:rPr>
      </w:pPr>
      <w:r>
        <w:rPr>
          <w:rFonts w:ascii="Palatino Linotype" w:hAnsi="Palatino Linotype" w:cs="Arial"/>
          <w:i/>
          <w:sz w:val="22"/>
        </w:rPr>
        <w:t>“Se aclara que es de la verificación oficiosa por parte del INFOEM, de igual manera vuelvo a citar mi petición corregida: Invocando mi derecho constitucional marcado con el numeral 6, me permito solicitar de la manera más atenta el dictamen resolutivo de la verificación oficiosa realizada por el INFOEM (Instituto de Transparencia) a este Ayuntamiento (Zinacantepec) y sus dependecias auxiliares en el ejercicio fiscal 2019, adicionalmente al dictamén solicito de manera explicita el porcentaje obtenido en dicha verificación del mismo año (2019), de igual manera solicito las tablas de verificación donde se muestre los porcentajes obtenidos en todas y cada una de las fracciones y sus rubros, así como las notas colocadas por el INFOEM en los cuadros de verificación.” (Sic)</w:t>
      </w:r>
    </w:p>
    <w:p w:rsidR="00DD4175" w:rsidRDefault="00212EF2">
      <w:pPr>
        <w:pStyle w:val="Prrafodelista"/>
        <w:numPr>
          <w:ilvl w:val="0"/>
          <w:numId w:val="2"/>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cs="Arial"/>
        </w:rPr>
        <w:t xml:space="preserve">Posteriormente, el día catorce de febrero de dos mil veinte, </w:t>
      </w:r>
      <w:r>
        <w:rPr>
          <w:rFonts w:ascii="Palatino Linotype" w:hAnsi="Palatino Linotype" w:cs="Arial"/>
          <w:b/>
        </w:rPr>
        <w:t>EL SUJETO OBLIGADO</w:t>
      </w:r>
      <w:r>
        <w:rPr>
          <w:rFonts w:ascii="Palatino Linotype" w:hAnsi="Palatino Linotype" w:cs="Arial"/>
        </w:rPr>
        <w:t xml:space="preserve"> dio respuesta a la </w:t>
      </w:r>
      <w:r>
        <w:rPr>
          <w:rFonts w:ascii="Palatino Linotype" w:hAnsi="Palatino Linotype"/>
        </w:rPr>
        <w:t>solicitud</w:t>
      </w:r>
      <w:r>
        <w:rPr>
          <w:rFonts w:ascii="Palatino Linotype" w:hAnsi="Palatino Linotype" w:cs="Arial"/>
        </w:rPr>
        <w:t xml:space="preserve"> de </w:t>
      </w:r>
      <w:r>
        <w:rPr>
          <w:rFonts w:ascii="Palatino Linotype" w:hAnsi="Palatino Linotype"/>
        </w:rPr>
        <w:t>acceso</w:t>
      </w:r>
      <w:r>
        <w:rPr>
          <w:rFonts w:ascii="Palatino Linotype" w:hAnsi="Palatino Linotype" w:cs="Arial"/>
        </w:rPr>
        <w:t xml:space="preserve"> a la información pública requerida por </w:t>
      </w:r>
      <w:r>
        <w:rPr>
          <w:rFonts w:ascii="Palatino Linotype" w:hAnsi="Palatino Linotype" w:cs="Arial"/>
          <w:b/>
        </w:rPr>
        <w:t>EL RECURRENTE</w:t>
      </w:r>
      <w:r>
        <w:rPr>
          <w:rFonts w:ascii="Palatino Linotype" w:hAnsi="Palatino Linotype" w:cs="Arial"/>
        </w:rPr>
        <w:t>, en los siguientes términos:</w:t>
      </w:r>
      <w:bookmarkEnd w:id="0"/>
      <w:bookmarkEnd w:id="1"/>
    </w:p>
    <w:p w:rsidR="00DD4175" w:rsidRDefault="00212EF2">
      <w:pPr>
        <w:ind w:left="709" w:right="709"/>
        <w:jc w:val="both"/>
        <w:rPr>
          <w:rFonts w:ascii="Palatino Linotype" w:hAnsi="Palatino Linotype" w:cs="Arial"/>
          <w:i/>
          <w:sz w:val="22"/>
        </w:rPr>
      </w:pPr>
      <w:r>
        <w:rPr>
          <w:rFonts w:ascii="Palatino Linotype" w:hAnsi="Palatino Linotype" w:cs="Arial"/>
          <w:i/>
          <w:sz w:val="22"/>
        </w:rPr>
        <w:t>“Se da respuesta a su solicitud de información, esperando le sea de utilidad, sin omitir señalar que tiene derecho a inconformarse en la forma y término indicado en el oficio de respuesta que se adjunta.”</w:t>
      </w:r>
    </w:p>
    <w:bookmarkStart w:id="2" w:name="_Ref507070922"/>
    <w:p w:rsidR="00DD4175" w:rsidRDefault="00FE5496">
      <w:pPr>
        <w:pStyle w:val="Prrafodelista"/>
        <w:widowControl w:val="0"/>
        <w:tabs>
          <w:tab w:val="left" w:pos="0"/>
        </w:tabs>
        <w:spacing w:beforeAutospacing="1"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0" distR="0" simplePos="0" relativeHeight="42" behindDoc="0" locked="0" layoutInCell="1" allowOverlap="1" wp14:anchorId="2C72F974">
                <wp:simplePos x="0" y="0"/>
                <wp:positionH relativeFrom="column">
                  <wp:posOffset>135255</wp:posOffset>
                </wp:positionH>
                <wp:positionV relativeFrom="paragraph">
                  <wp:posOffset>789305</wp:posOffset>
                </wp:positionV>
                <wp:extent cx="5241290" cy="1344930"/>
                <wp:effectExtent l="38100" t="38100" r="73660" b="83820"/>
                <wp:wrapNone/>
                <wp:docPr id="3" name="Conector recto 7"/>
                <wp:cNvGraphicFramePr/>
                <a:graphic xmlns:a="http://schemas.openxmlformats.org/drawingml/2006/main">
                  <a:graphicData uri="http://schemas.microsoft.com/office/word/2010/wordprocessingShape">
                    <wps:wsp>
                      <wps:cNvCnPr/>
                      <wps:spPr>
                        <a:xfrm>
                          <a:off x="0" y="0"/>
                          <a:ext cx="5241290" cy="134493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w14:anchorId="4012F1B9" id="Conector recto 7" o:spid="_x0000_s1026" style="position:absolute;z-index:42;visibility:visible;mso-wrap-style:square;mso-wrap-distance-left:0;mso-wrap-distance-top:0;mso-wrap-distance-right:0;mso-wrap-distance-bottom:0;mso-position-horizontal:absolute;mso-position-horizontal-relative:text;mso-position-vertical:absolute;mso-position-vertical-relative:text" from="10.65pt,62.15pt" to="423.35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" strokecolor="#4f81bd [3204]" strokeweight="2pt">
                <v:shadow on="t" color="black" opacity="24903f" origin=",.5" offset="0,.55556mm"/>
              </v:line>
            </w:pict>
          </mc:Fallback>
        </mc:AlternateContent>
      </w:r>
      <w:r w:rsidR="00212EF2">
        <w:rPr>
          <w:rFonts w:ascii="Palatino Linotype" w:hAnsi="Palatino Linotype" w:cs="Arial"/>
        </w:rPr>
        <w:t xml:space="preserve">Asimismo, </w:t>
      </w:r>
      <w:r w:rsidR="00212EF2">
        <w:rPr>
          <w:rFonts w:ascii="Palatino Linotype" w:hAnsi="Palatino Linotype" w:cs="Arial"/>
          <w:b/>
        </w:rPr>
        <w:t>EL SUJETO OBLIGADO</w:t>
      </w:r>
      <w:r w:rsidR="00212EF2">
        <w:rPr>
          <w:rFonts w:ascii="Palatino Linotype" w:hAnsi="Palatino Linotype" w:cs="Arial"/>
        </w:rPr>
        <w:t xml:space="preserve"> adjuntó a su respuesta el siguiente archivo electrónico:</w:t>
      </w:r>
    </w:p>
    <w:p w:rsidR="00DD4175" w:rsidRDefault="00DD4175">
      <w:pPr>
        <w:pStyle w:val="Prrafodelista"/>
        <w:widowControl w:val="0"/>
        <w:tabs>
          <w:tab w:val="left" w:pos="0"/>
        </w:tabs>
        <w:spacing w:beforeAutospacing="1" w:afterAutospacing="1" w:line="360" w:lineRule="auto"/>
        <w:ind w:left="0"/>
        <w:jc w:val="both"/>
        <w:rPr>
          <w:rFonts w:ascii="Palatino Linotype" w:hAnsi="Palatino Linotype" w:cs="Arial"/>
        </w:rPr>
      </w:pPr>
    </w:p>
    <w:p w:rsidR="00DD4175" w:rsidRDefault="00BC7AA3">
      <w:pPr>
        <w:pStyle w:val="Prrafodelista"/>
        <w:widowControl w:val="0"/>
        <w:tabs>
          <w:tab w:val="left" w:pos="0"/>
        </w:tabs>
        <w:spacing w:beforeAutospacing="1" w:afterAutospacing="1"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1DD17994" wp14:editId="0CA9F373">
            <wp:extent cx="5591175" cy="69437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29" t="20756" r="27311" b="8790"/>
                    <a:stretch/>
                  </pic:blipFill>
                  <pic:spPr bwMode="auto">
                    <a:xfrm>
                      <a:off x="0" y="0"/>
                      <a:ext cx="5591175" cy="6943725"/>
                    </a:xfrm>
                    <a:prstGeom prst="rect">
                      <a:avLst/>
                    </a:prstGeom>
                    <a:ln>
                      <a:noFill/>
                    </a:ln>
                    <a:extLst>
                      <a:ext uri="{53640926-AAD7-44D8-BBD7-CCE9431645EC}">
                        <a14:shadowObscured xmlns:a14="http://schemas.microsoft.com/office/drawing/2010/main"/>
                      </a:ext>
                    </a:extLst>
                  </pic:spPr>
                </pic:pic>
              </a:graphicData>
            </a:graphic>
          </wp:inline>
        </w:drawing>
      </w:r>
      <w:bookmarkEnd w:id="3"/>
    </w:p>
    <w:p w:rsidR="00DD4175" w:rsidRDefault="00212EF2">
      <w:pPr>
        <w:pStyle w:val="Prrafodelista"/>
        <w:widowControl w:val="0"/>
        <w:tabs>
          <w:tab w:val="left" w:pos="0"/>
        </w:tabs>
        <w:spacing w:beforeAutospacing="1" w:afterAutospacing="1" w:line="360" w:lineRule="auto"/>
        <w:ind w:left="0"/>
        <w:jc w:val="both"/>
        <w:rPr>
          <w:rFonts w:ascii="Palatino Linotype" w:hAnsi="Palatino Linotype" w:cs="Arial"/>
        </w:rPr>
      </w:pPr>
      <w:r>
        <w:rPr>
          <w:noProof/>
          <w:lang w:eastAsia="es-MX"/>
        </w:rPr>
        <w:lastRenderedPageBreak/>
        <w:drawing>
          <wp:inline distT="0" distB="0" distL="0" distR="0">
            <wp:extent cx="5838825" cy="7191375"/>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6"/>
                    <pic:cNvPicPr>
                      <a:picLocks noChangeAspect="1" noChangeArrowheads="1"/>
                    </pic:cNvPicPr>
                  </pic:nvPicPr>
                  <pic:blipFill>
                    <a:blip r:embed="rId10"/>
                    <a:srcRect l="34705" t="25748" r="35867" b="5522"/>
                    <a:stretch>
                      <a:fillRect/>
                    </a:stretch>
                  </pic:blipFill>
                  <pic:spPr bwMode="auto">
                    <a:xfrm>
                      <a:off x="0" y="0"/>
                      <a:ext cx="5838825" cy="7191375"/>
                    </a:xfrm>
                    <a:prstGeom prst="rect">
                      <a:avLst/>
                    </a:prstGeom>
                  </pic:spPr>
                </pic:pic>
              </a:graphicData>
            </a:graphic>
          </wp:inline>
        </w:drawing>
      </w:r>
    </w:p>
    <w:p w:rsidR="00DD4175" w:rsidRDefault="00212EF2">
      <w:pPr>
        <w:pStyle w:val="Prrafodelista"/>
        <w:widowControl w:val="0"/>
        <w:numPr>
          <w:ilvl w:val="0"/>
          <w:numId w:val="8"/>
        </w:numPr>
        <w:tabs>
          <w:tab w:val="left" w:pos="0"/>
        </w:tabs>
        <w:spacing w:beforeAutospacing="1" w:afterAutospacing="1" w:line="360" w:lineRule="auto"/>
        <w:ind w:left="0" w:firstLine="0"/>
        <w:jc w:val="both"/>
        <w:rPr>
          <w:rFonts w:ascii="Palatino Linotype" w:hAnsi="Palatino Linotype" w:cs="Arial"/>
        </w:rPr>
      </w:pPr>
      <w:r>
        <w:rPr>
          <w:rFonts w:ascii="Palatino Linotype" w:hAnsi="Palatino Linotype"/>
        </w:rPr>
        <w:lastRenderedPageBreak/>
        <w:t xml:space="preserve">Inconforme con la respuesta del </w:t>
      </w:r>
      <w:r>
        <w:rPr>
          <w:rFonts w:ascii="Palatino Linotype" w:hAnsi="Palatino Linotype"/>
          <w:b/>
        </w:rPr>
        <w:t>SUJETO OBLIGADO</w:t>
      </w:r>
      <w:r>
        <w:rPr>
          <w:rFonts w:ascii="Palatino Linotype" w:hAnsi="Palatino Linotype"/>
        </w:rPr>
        <w:t xml:space="preserve">, en fecha diecisiete de febrero de dos mil veinte, </w:t>
      </w:r>
      <w:r>
        <w:rPr>
          <w:rFonts w:ascii="Palatino Linotype" w:hAnsi="Palatino Linotype" w:cs="Arial"/>
          <w:b/>
        </w:rPr>
        <w:t>EL RECURRENTE</w:t>
      </w:r>
      <w:r>
        <w:rPr>
          <w:rFonts w:ascii="Palatino Linotype" w:hAnsi="Palatino Linotype"/>
        </w:rPr>
        <w:t>,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al que se le asignó el </w:t>
      </w:r>
      <w:r>
        <w:rPr>
          <w:rFonts w:ascii="Palatino Linotype" w:hAnsi="Palatino Linotype" w:cs="Arial"/>
        </w:rPr>
        <w:t>número al rubro citado, en el que señaló como acto impugnado, lo siguiente:</w:t>
      </w:r>
      <w:bookmarkEnd w:id="2"/>
    </w:p>
    <w:p w:rsidR="00DD4175" w:rsidRDefault="00212EF2">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w:t>
      </w:r>
      <w:r>
        <w:rPr>
          <w:rFonts w:ascii="Palatino Linotype" w:hAnsi="Palatino Linotype" w:cs="Arial"/>
          <w:i/>
          <w:sz w:val="22"/>
          <w:szCs w:val="22"/>
        </w:rPr>
        <w:t>negativa de entrega de información de la solicitud de información con numero de folio 00009/ZINACANT/IP/2020 que a la letra dice Invocando mi derecho constitucional marcado con el numeral 6, me permito solicitar de la manera más atenta el dictamen resolutivo de la verificación oficiosa realizada a este Ayuntamiento y sus dependecias auxiliares en el ejercicio fiscal 2019, adicionalmente al dictamén solicito de manera explicita el porcentaje obtenido en dicha verificación del mismo año (2019), de igual manera solicito las tablas de verificación donde se muestre los porcentajes obtenidos en todas y cada una de las fracciones y sus rubros, si así lo desean clasificar como reservada la información relativa a las notas colocadas por el instituto.</w:t>
      </w:r>
      <w:r>
        <w:rPr>
          <w:rFonts w:ascii="Palatino Linotype" w:hAnsi="Palatino Linotype" w:cs="Arial"/>
          <w:i/>
          <w:sz w:val="22"/>
          <w:szCs w:val="22"/>
          <w:lang w:eastAsia="es-MX"/>
        </w:rPr>
        <w:t xml:space="preserve">” </w:t>
      </w:r>
      <w:r>
        <w:rPr>
          <w:rFonts w:ascii="Palatino Linotype" w:hAnsi="Palatino Linotype" w:cs="Arial"/>
          <w:sz w:val="22"/>
          <w:szCs w:val="22"/>
          <w:lang w:eastAsia="es-MX"/>
        </w:rPr>
        <w:t>(Sic)</w:t>
      </w:r>
    </w:p>
    <w:p w:rsidR="00DD4175" w:rsidRDefault="00212EF2">
      <w:pPr>
        <w:pStyle w:val="Prrafodelista"/>
        <w:spacing w:beforeAutospacing="1" w:afterAutospacing="1" w:line="360" w:lineRule="auto"/>
        <w:ind w:left="0"/>
        <w:jc w:val="both"/>
        <w:rPr>
          <w:rFonts w:ascii="Palatino Linotype" w:hAnsi="Palatino Linotype"/>
        </w:rPr>
      </w:pPr>
      <w:r>
        <w:rPr>
          <w:rFonts w:ascii="Palatino Linotype" w:hAnsi="Palatino Linotype" w:cs="Arial"/>
        </w:rPr>
        <w:t>Asimismo</w:t>
      </w:r>
      <w:r>
        <w:rPr>
          <w:rFonts w:ascii="Palatino Linotype" w:hAnsi="Palatino Linotype"/>
        </w:rPr>
        <w:t xml:space="preserve">, </w:t>
      </w:r>
      <w:r>
        <w:rPr>
          <w:rFonts w:ascii="Palatino Linotype" w:hAnsi="Palatino Linotype" w:cs="Arial"/>
          <w:b/>
        </w:rPr>
        <w:t xml:space="preserve">EL RECURRENTE </w:t>
      </w:r>
      <w:r>
        <w:rPr>
          <w:rFonts w:ascii="Palatino Linotype" w:hAnsi="Palatino Linotype"/>
        </w:rPr>
        <w:t>indicó como razones o motivos de inconformidad:</w:t>
      </w:r>
    </w:p>
    <w:p w:rsidR="00DD4175" w:rsidRDefault="00212EF2">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 xml:space="preserve">“violación al articulo 6 de la constitución, así como a mi derecho de conocer la información, ya que no da respuesta a lo solicitado, da mil vueltas para responder la solicitud y lo realiza hasta el ultimo dia del plazo, no presenta ningun acta de sesion de comite de transparencia justificando, solo cita vagamente articulos de la ley de transparencia y aunado a ello se justifica diciendo que me dirija al apartado del infoem donde vienen los porcetajes, pero no es lo que yo solicite, yo solicite otra cosa la cual no se entrego (no solo saber el numerito del porcentaje obtenido), por tal motivo exijo se cumpla con lo requerido ya que en ningun momento se solicito información sensible, solo se solicito información que el sujeto obligado debe de proporcionar sin dar vueltas. no adjunto la respuesta del sujeto obligado por que la misma esta en los servidores del infoem.” </w:t>
      </w:r>
      <w:r>
        <w:rPr>
          <w:rFonts w:ascii="Palatino Linotype" w:hAnsi="Palatino Linotype" w:cs="Arial"/>
          <w:sz w:val="22"/>
          <w:szCs w:val="22"/>
          <w:lang w:eastAsia="es-MX"/>
        </w:rPr>
        <w:t>(Sic)</w:t>
      </w:r>
    </w:p>
    <w:p w:rsidR="00DD4175" w:rsidRDefault="00212EF2">
      <w:pPr>
        <w:pStyle w:val="Prrafodelista"/>
        <w:widowControl w:val="0"/>
        <w:numPr>
          <w:ilvl w:val="0"/>
          <w:numId w:val="8"/>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 xml:space="preserve">En fecha </w:t>
      </w:r>
      <w:r>
        <w:rPr>
          <w:rFonts w:ascii="Palatino Linotype" w:hAnsi="Palatino Linotype"/>
        </w:rPr>
        <w:t>diecisiete de febrero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 xml:space="preserve">Ley de Transparencia y Acceso a la Información </w:t>
      </w:r>
      <w:r>
        <w:rPr>
          <w:rFonts w:ascii="Palatino Linotype" w:hAnsi="Palatino Linotype"/>
        </w:rPr>
        <w:lastRenderedPageBreak/>
        <w:t>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DD4175" w:rsidRDefault="00212EF2">
      <w:pPr>
        <w:pStyle w:val="Prrafodelista"/>
        <w:widowControl w:val="0"/>
        <w:numPr>
          <w:ilvl w:val="0"/>
          <w:numId w:val="8"/>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 xml:space="preserve">En fecha </w:t>
      </w:r>
      <w:r>
        <w:rPr>
          <w:rFonts w:ascii="Palatino Linotype" w:hAnsi="Palatino Linotype"/>
        </w:rPr>
        <w:t>veintiuno de febrero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DD4175" w:rsidRDefault="00FE5496">
      <w:pPr>
        <w:pStyle w:val="Prrafodelista"/>
        <w:numPr>
          <w:ilvl w:val="0"/>
          <w:numId w:val="8"/>
        </w:numPr>
        <w:spacing w:before="240" w:after="240" w:line="360" w:lineRule="auto"/>
        <w:ind w:left="0" w:firstLine="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24764</wp:posOffset>
                </wp:positionH>
                <wp:positionV relativeFrom="paragraph">
                  <wp:posOffset>918210</wp:posOffset>
                </wp:positionV>
                <wp:extent cx="5895975" cy="2628900"/>
                <wp:effectExtent l="38100" t="38100" r="66675" b="95250"/>
                <wp:wrapNone/>
                <wp:docPr id="12" name="Conector recto 12"/>
                <wp:cNvGraphicFramePr/>
                <a:graphic xmlns:a="http://schemas.openxmlformats.org/drawingml/2006/main">
                  <a:graphicData uri="http://schemas.microsoft.com/office/word/2010/wordprocessingShape">
                    <wps:wsp>
                      <wps:cNvCnPr/>
                      <wps:spPr>
                        <a:xfrm>
                          <a:off x="0" y="0"/>
                          <a:ext cx="5895975" cy="2628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24A88D0"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72.3pt" to="466.2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" strokecolor="#4f81bd [3204]" strokeweight="2pt">
                <v:shadow on="t" color="black" opacity="24903f" origin=",.5" offset="0,.55556mm"/>
              </v:line>
            </w:pict>
          </mc:Fallback>
        </mc:AlternateContent>
      </w:r>
      <w:r w:rsidR="00212EF2">
        <w:rPr>
          <w:rFonts w:ascii="Palatino Linotype" w:hAnsi="Palatino Linotype" w:cs="Arial"/>
        </w:rPr>
        <w:t xml:space="preserve">De las constancias que obran en el </w:t>
      </w:r>
      <w:r w:rsidR="00212EF2">
        <w:rPr>
          <w:rFonts w:ascii="Palatino Linotype" w:hAnsi="Palatino Linotype" w:cs="Arial"/>
          <w:b/>
        </w:rPr>
        <w:t>SAIMEX</w:t>
      </w:r>
      <w:r w:rsidR="00212EF2">
        <w:rPr>
          <w:rFonts w:ascii="Palatino Linotype" w:hAnsi="Palatino Linotype" w:cs="Arial"/>
        </w:rPr>
        <w:t xml:space="preserve">, se desprende que, </w:t>
      </w:r>
      <w:r w:rsidR="00212EF2">
        <w:rPr>
          <w:rFonts w:ascii="Palatino Linotype" w:hAnsi="Palatino Linotype" w:cs="Arial"/>
          <w:b/>
        </w:rPr>
        <w:t>EL RECURRENTE</w:t>
      </w:r>
      <w:r w:rsidR="00212EF2">
        <w:rPr>
          <w:rFonts w:ascii="Palatino Linotype" w:hAnsi="Palatino Linotype" w:cs="Arial"/>
        </w:rPr>
        <w:t>, en fecha veinticuatro de febrero de dos mil veinte, presentó las siguientes manifestaciones:</w:t>
      </w:r>
    </w:p>
    <w:p w:rsidR="00DD4175" w:rsidRDefault="00212EF2">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0" distR="0" simplePos="0" relativeHeight="43" behindDoc="0" locked="0" layoutInCell="1" allowOverlap="1" wp14:anchorId="25ABCDB2">
                <wp:simplePos x="0" y="0"/>
                <wp:positionH relativeFrom="margin">
                  <wp:align>right</wp:align>
                </wp:positionH>
                <wp:positionV relativeFrom="paragraph">
                  <wp:posOffset>3484880</wp:posOffset>
                </wp:positionV>
                <wp:extent cx="5631180" cy="2830830"/>
                <wp:effectExtent l="38100" t="19050" r="66675" b="85725"/>
                <wp:wrapNone/>
                <wp:docPr id="6" name="Conector recto 9"/>
                <wp:cNvGraphicFramePr/>
                <a:graphic xmlns:a="http://schemas.openxmlformats.org/drawingml/2006/main">
                  <a:graphicData uri="http://schemas.microsoft.com/office/word/2010/wordprocessingShape">
                    <wps:wsp>
                      <wps:cNvCnPr/>
                      <wps:spPr>
                        <a:xfrm>
                          <a:off x="0" y="0"/>
                          <a:ext cx="5630400" cy="2830320"/>
                        </a:xfrm>
                        <a:prstGeom prst="line">
                          <a:avLst/>
                        </a:prstGeom>
                        <a:ln>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12.65pt,186.75pt" to="455.95pt,409.55pt" ID="Conector recto 9" stroked="t" style="position:absolute;mso-position-horizontal:right;mso-position-horizontal-relative:margin" wp14:anchorId="25ABCDB2">
                <v:stroke color="#4f81bd" weight="25560" joinstyle="round" endcap="flat"/>
                <v:fill o:detectmouseclick="t" on="false"/>
                <v:shadow on="t" obscured="f" color="black"/>
              </v:line>
            </w:pict>
          </mc:Fallback>
        </mc:AlternateContent>
      </w:r>
    </w:p>
    <w:p w:rsidR="00DD4175" w:rsidRDefault="00212EF2">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extent cx="5715000" cy="7372350"/>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pic:cNvPicPr>
                      <a:picLocks noChangeAspect="1" noChangeArrowheads="1"/>
                    </pic:cNvPicPr>
                  </pic:nvPicPr>
                  <pic:blipFill>
                    <a:blip r:embed="rId11"/>
                    <a:srcRect l="35363" t="21639" r="35706" b="9906"/>
                    <a:stretch>
                      <a:fillRect/>
                    </a:stretch>
                  </pic:blipFill>
                  <pic:spPr bwMode="auto">
                    <a:xfrm>
                      <a:off x="0" y="0"/>
                      <a:ext cx="5715000" cy="7372350"/>
                    </a:xfrm>
                    <a:prstGeom prst="rect">
                      <a:avLst/>
                    </a:prstGeom>
                  </pic:spPr>
                </pic:pic>
              </a:graphicData>
            </a:graphic>
          </wp:inline>
        </w:drawing>
      </w:r>
    </w:p>
    <w:p w:rsidR="00DD4175" w:rsidRDefault="00212EF2">
      <w:pPr>
        <w:pStyle w:val="Prrafodelista"/>
        <w:numPr>
          <w:ilvl w:val="0"/>
          <w:numId w:val="8"/>
        </w:numPr>
        <w:spacing w:before="240" w:after="240" w:line="360" w:lineRule="auto"/>
        <w:ind w:left="0" w:firstLine="0"/>
        <w:jc w:val="both"/>
        <w:rPr>
          <w:rFonts w:ascii="Palatino Linotype" w:hAnsi="Palatino Linotype" w:cs="Arial"/>
        </w:rPr>
      </w:pPr>
      <w:r>
        <w:rPr>
          <w:rFonts w:ascii="Palatino Linotype" w:hAnsi="Palatino Linotype" w:cs="Arial"/>
        </w:rPr>
        <w:lastRenderedPageBreak/>
        <w:t xml:space="preserve">Por su parte, en fecha cuatro de marzo de dos mil veinte, </w:t>
      </w:r>
      <w:r>
        <w:rPr>
          <w:rFonts w:ascii="Palatino Linotype" w:hAnsi="Palatino Linotype" w:cs="Arial"/>
          <w:b/>
        </w:rPr>
        <w:t xml:space="preserve">EL SUJETO OBLIGADO </w:t>
      </w:r>
      <w:r>
        <w:rPr>
          <w:rFonts w:ascii="Palatino Linotype" w:hAnsi="Palatino Linotype" w:cs="Arial"/>
        </w:rPr>
        <w:t>rindió su Informe Justificado, en el cual, en lo que interesa, reiteró su respuesta; motivo por el cual no se hizo del conocimiento del particular, máxime que esta Ponencia consideró que no se actualizó lo dispuesto por el artículo 185, fracción III de la Ley de Transparencia y Acceso a la Información Pública del Estado de México y Municipios. De igual forma, se destaca que dada la extensión del documento no se plasma en el presente apartado, en obvio de representaciones innecesarias</w:t>
      </w:r>
    </w:p>
    <w:p w:rsidR="00DD4175" w:rsidRDefault="00212EF2">
      <w:pPr>
        <w:pStyle w:val="Prrafodelista"/>
        <w:spacing w:before="240" w:after="240" w:line="360" w:lineRule="auto"/>
        <w:ind w:left="0"/>
        <w:jc w:val="both"/>
        <w:rPr>
          <w:rFonts w:ascii="Palatino Linotype" w:hAnsi="Palatino Linotype" w:cs="Arial"/>
        </w:rPr>
      </w:pPr>
      <w:r>
        <w:rPr>
          <w:rFonts w:ascii="Palatino Linotype" w:hAnsi="Palatino Linotype" w:cs="Arial"/>
        </w:rPr>
        <w:t xml:space="preserve">Asimismo, </w:t>
      </w:r>
      <w:r>
        <w:rPr>
          <w:rFonts w:ascii="Palatino Linotype" w:hAnsi="Palatino Linotype" w:cs="Arial"/>
          <w:b/>
        </w:rPr>
        <w:t>EL SUJETO OBLIGADO</w:t>
      </w:r>
      <w:r>
        <w:rPr>
          <w:rFonts w:ascii="Palatino Linotype" w:hAnsi="Palatino Linotype" w:cs="Arial"/>
        </w:rPr>
        <w:t xml:space="preserve"> adjuntó a su Informe Justificado los documentos que integran el expediente electrónico del </w:t>
      </w:r>
      <w:r>
        <w:rPr>
          <w:rFonts w:ascii="Palatino Linotype" w:hAnsi="Palatino Linotype" w:cs="Arial"/>
          <w:b/>
        </w:rPr>
        <w:t>SAIMEX</w:t>
      </w:r>
      <w:r>
        <w:rPr>
          <w:rFonts w:ascii="Palatino Linotype" w:hAnsi="Palatino Linotype" w:cs="Arial"/>
        </w:rPr>
        <w:t>, mismos que no se plasman en obvio de repeticiones innecesarias. Finalmente, no se omite comentar que tanto el Informe Justificado como sus anexos se harán del conocimiento del particular al momento de notificar la presente resolución.</w:t>
      </w:r>
    </w:p>
    <w:p w:rsidR="00DD4175" w:rsidRDefault="00212EF2">
      <w:pPr>
        <w:pStyle w:val="Prrafodelista"/>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cinco de marzo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DD4175" w:rsidRDefault="00212EF2">
      <w:pPr>
        <w:pStyle w:val="Prrafodelista"/>
        <w:numPr>
          <w:ilvl w:val="0"/>
          <w:numId w:val="2"/>
        </w:numPr>
        <w:spacing w:before="240" w:after="240" w:line="360" w:lineRule="auto"/>
        <w:ind w:left="0" w:firstLine="0"/>
        <w:jc w:val="both"/>
        <w:rPr>
          <w:rFonts w:ascii="Palatino Linotype" w:hAnsi="Palatino Linotype"/>
        </w:rPr>
      </w:pPr>
      <w:r>
        <w:rPr>
          <w:rFonts w:ascii="Palatino Linotype" w:hAnsi="Palatino Linotype" w:cs="Arial"/>
        </w:rPr>
        <w:t>En fecha veinte de agosto de 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DD4175" w:rsidRDefault="00212EF2">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lastRenderedPageBreak/>
        <w:t>CONSIDERANDO</w:t>
      </w:r>
    </w:p>
    <w:p w:rsidR="00DD4175" w:rsidRDefault="00212EF2">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DD4175" w:rsidRDefault="00212EF2">
      <w:pPr>
        <w:pStyle w:val="Prrafodelista"/>
        <w:widowControl w:val="0"/>
        <w:numPr>
          <w:ilvl w:val="0"/>
          <w:numId w:val="1"/>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número</w:t>
      </w:r>
      <w:r>
        <w:rPr>
          <w:rFonts w:ascii="Palatino Linotype" w:hAnsi="Palatino Linotype" w:cs="Arial"/>
        </w:rPr>
        <w:t xml:space="preserve"> </w:t>
      </w:r>
      <w:r>
        <w:rPr>
          <w:rFonts w:ascii="Palatino Linotype" w:hAnsi="Palatino Linotype"/>
          <w:b/>
          <w:bCs/>
        </w:rPr>
        <w:t>00009/ZINACANT/IP/2020</w:t>
      </w:r>
      <w:r>
        <w:rPr>
          <w:rFonts w:ascii="Palatino Linotype" w:hAnsi="Palatino Linotype" w:cs="Arial"/>
          <w:lang w:val="es-ES_tradnl"/>
        </w:rPr>
        <w:t>.</w:t>
      </w:r>
    </w:p>
    <w:p w:rsidR="00DD4175" w:rsidRDefault="00212EF2">
      <w:pPr>
        <w:pStyle w:val="Prrafodelista"/>
        <w:widowControl w:val="0"/>
        <w:numPr>
          <w:ilvl w:val="0"/>
          <w:numId w:val="1"/>
        </w:numPr>
        <w:tabs>
          <w:tab w:val="left" w:pos="1701"/>
        </w:tabs>
        <w:spacing w:before="240" w:afterAutospacing="1" w:line="360" w:lineRule="auto"/>
        <w:ind w:left="0" w:right="49"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D4175" w:rsidRDefault="00212EF2">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Artículo 178.</w:t>
      </w:r>
      <w:r>
        <w:rPr>
          <w:rFonts w:ascii="Palatino Linotype" w:hAnsi="Palatino Linotype" w:cs="Arial"/>
          <w:i/>
          <w:sz w:val="22"/>
        </w:rPr>
        <w:t xml:space="preserve"> El solicitante podrá interponer, por sí mismo o a través de su representante, de manera directa o por medios electrónicos, recurso de revisión ante el </w:t>
      </w:r>
      <w:r>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DD4175" w:rsidRDefault="00212EF2">
      <w:pPr>
        <w:spacing w:beforeAutospacing="1" w:afterAutospacing="1"/>
        <w:ind w:left="720" w:right="709"/>
        <w:contextualSpacing/>
        <w:jc w:val="both"/>
        <w:rPr>
          <w:rFonts w:ascii="Palatino Linotype" w:hAnsi="Palatino Linotype" w:cs="Arial"/>
          <w:i/>
          <w:sz w:val="22"/>
        </w:rPr>
      </w:pPr>
      <w:r>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D4175" w:rsidRDefault="00212EF2">
      <w:pPr>
        <w:spacing w:before="240" w:afterAutospacing="1"/>
        <w:ind w:left="720" w:right="709"/>
        <w:jc w:val="both"/>
        <w:rPr>
          <w:rFonts w:ascii="Palatino Linotype" w:hAnsi="Palatino Linotype" w:cs="Arial"/>
          <w:i/>
          <w:sz w:val="22"/>
        </w:rPr>
      </w:pPr>
      <w:r>
        <w:rPr>
          <w:rFonts w:ascii="Palatino Linotype" w:hAnsi="Palatino Linotype" w:cs="Arial"/>
          <w:i/>
          <w:sz w:val="22"/>
        </w:rPr>
        <w:t xml:space="preserve">En el caso de que se interponga ante la Unidad de Transparencia, ésta deberá remitir el recurso de revisión al Instituto a más tardar al día </w:t>
      </w:r>
      <w:r>
        <w:rPr>
          <w:rFonts w:ascii="Palatino Linotype" w:hAnsi="Palatino Linotype" w:cs="Arial"/>
          <w:i/>
          <w:sz w:val="22"/>
          <w:lang w:eastAsia="es-MX"/>
        </w:rPr>
        <w:t>siguiente</w:t>
      </w:r>
      <w:r>
        <w:rPr>
          <w:rFonts w:ascii="Palatino Linotype" w:hAnsi="Palatino Linotype" w:cs="Arial"/>
          <w:i/>
          <w:sz w:val="22"/>
        </w:rPr>
        <w:t xml:space="preserve"> de haberlo recibido.”</w:t>
      </w:r>
    </w:p>
    <w:p w:rsidR="00DD4175" w:rsidRDefault="00212EF2">
      <w:pPr>
        <w:spacing w:before="240" w:afterAutospacing="1" w:line="360" w:lineRule="auto"/>
        <w:jc w:val="both"/>
        <w:rPr>
          <w:rFonts w:ascii="Palatino Linotype" w:hAnsi="Palatino Linotype"/>
        </w:rPr>
      </w:pPr>
      <w:r>
        <w:rPr>
          <w:rFonts w:ascii="Palatino Linotype" w:hAnsi="Palatino Linotype" w:cs="Arial"/>
        </w:rPr>
        <w:t xml:space="preserve">En esa tesitura, atendiendo a que </w:t>
      </w:r>
      <w:r>
        <w:rPr>
          <w:rFonts w:ascii="Palatino Linotype" w:hAnsi="Palatino Linotype" w:cs="Arial"/>
          <w:b/>
        </w:rPr>
        <w:t>EL SUJETO OBLIGADO</w:t>
      </w:r>
      <w:r>
        <w:rPr>
          <w:rFonts w:ascii="Palatino Linotype" w:hAnsi="Palatino Linotype" w:cs="Arial"/>
        </w:rPr>
        <w:t xml:space="preserve"> notificó la respuesta a la solicitud de acceso a la información pública el día</w:t>
      </w:r>
      <w:r>
        <w:rPr>
          <w:rFonts w:ascii="Palatino Linotype" w:hAnsi="Palatino Linotype" w:cs="Arial"/>
          <w:b/>
        </w:rPr>
        <w:t xml:space="preserve"> catorce de febrero de dos mil veinte</w:t>
      </w:r>
      <w:r>
        <w:rPr>
          <w:rFonts w:ascii="Palatino Linotype" w:hAnsi="Palatino Linotype" w:cs="Arial"/>
        </w:rPr>
        <w:t xml:space="preserve">; así, el plazo de quince días hábiles que el artículo 178 de la Ley de la materia otorga a </w:t>
      </w:r>
      <w:r>
        <w:rPr>
          <w:rFonts w:ascii="Palatino Linotype" w:hAnsi="Palatino Linotype" w:cs="Arial"/>
          <w:b/>
        </w:rPr>
        <w:t>EL RECURRENTE</w:t>
      </w:r>
      <w:r>
        <w:rPr>
          <w:rFonts w:ascii="Palatino Linotype" w:hAnsi="Palatino Linotype" w:cs="Arial"/>
        </w:rPr>
        <w:t xml:space="preserve"> para presentar el respectivo recurso de revisión, transcurrió del </w:t>
      </w:r>
      <w:r>
        <w:rPr>
          <w:rFonts w:ascii="Palatino Linotype" w:hAnsi="Palatino Linotype" w:cs="Arial"/>
          <w:b/>
        </w:rPr>
        <w:t>diecisiete de febrero diez de marzo de dos mil veinte</w:t>
      </w:r>
      <w:r>
        <w:rPr>
          <w:rFonts w:ascii="Palatino Linotype" w:hAnsi="Palatino Linotype" w:cs="Arial"/>
        </w:rPr>
        <w:t xml:space="preserve">, sin contemplar en el cómputo los días quince, dieciséis, veintidós, veintitrés y veintinueve de febrero, uno, siete y ocho de marzo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 así como, los días dos y nueve de marzo de dos mil veinte, por ser considerados como suspensión de labores,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 y en términos del Acuerdo de Pleno, de fecha cinco de marzo de dos mil veinte, por el que se acordó que el día nueve de marzo de dos mil veinte no corrieran los términos para el trámite y desahogo de los procedimientos en materia de acceso a la información pública y protección de datos personales.</w:t>
      </w:r>
    </w:p>
    <w:p w:rsidR="00DD4175" w:rsidRDefault="00212EF2">
      <w:pPr>
        <w:spacing w:before="240" w:afterAutospacing="1" w:line="360" w:lineRule="auto"/>
        <w:jc w:val="both"/>
        <w:rPr>
          <w:rFonts w:ascii="Palatino Linotype" w:hAnsi="Palatino Linotype" w:cs="Arial"/>
        </w:rPr>
      </w:pPr>
      <w:r>
        <w:rPr>
          <w:rFonts w:ascii="Palatino Linotype" w:hAnsi="Palatino Linotype" w:cs="Arial"/>
        </w:rPr>
        <w:lastRenderedPageBreak/>
        <w:t>En ese tenor, si el recurso de revisión que nos ocupa, se interpuso el</w:t>
      </w:r>
      <w:r>
        <w:rPr>
          <w:rFonts w:ascii="Palatino Linotype" w:hAnsi="Palatino Linotype" w:cs="Arial"/>
          <w:b/>
        </w:rPr>
        <w:t xml:space="preserve"> </w:t>
      </w:r>
      <w:r>
        <w:rPr>
          <w:rFonts w:ascii="Palatino Linotype" w:hAnsi="Palatino Linotype" w:cs="Arial"/>
          <w:b/>
          <w:u w:val="single"/>
        </w:rPr>
        <w:t>diecisiete de febrero de dos mil veinte</w:t>
      </w:r>
      <w:r>
        <w:rPr>
          <w:rFonts w:ascii="Palatino Linotype" w:hAnsi="Palatino Linotype" w:cs="Arial"/>
        </w:rPr>
        <w:t>, éste se encuentra dentro de los márgenes temporales previstos en el precepto legal citado en el párrafo anterior y, por tanto, su interposición se considera oportuna.</w:t>
      </w:r>
    </w:p>
    <w:p w:rsidR="00DD4175" w:rsidRDefault="00212EF2">
      <w:pPr>
        <w:pStyle w:val="Prrafodelista"/>
        <w:widowControl w:val="0"/>
        <w:numPr>
          <w:ilvl w:val="0"/>
          <w:numId w:val="1"/>
        </w:numPr>
        <w:tabs>
          <w:tab w:val="left" w:pos="1701"/>
          <w:tab w:val="left" w:pos="1843"/>
        </w:tabs>
        <w:spacing w:before="240" w:afterAutospacing="1" w:line="360" w:lineRule="auto"/>
        <w:ind w:left="0" w:firstLine="0"/>
        <w:jc w:val="both"/>
        <w:rPr>
          <w:rFonts w:ascii="Palatino Linotype" w:hAnsi="Palatino Linotype"/>
          <w:b/>
          <w:lang w:val="es-ES"/>
        </w:rPr>
      </w:pPr>
      <w:r>
        <w:rPr>
          <w:rFonts w:ascii="Palatino Linotype" w:hAnsi="Palatino Linotype" w:cs="Arial"/>
          <w:b/>
          <w:lang w:val="es-ES"/>
        </w:rPr>
        <w:t>Procedibilidad.</w:t>
      </w:r>
      <w:r>
        <w:rPr>
          <w:rFonts w:ascii="Palatino Linotype" w:hAnsi="Palatino Linotype" w:cs="Arial"/>
          <w:lang w:val="es-ES"/>
        </w:rPr>
        <w:t xml:space="preserve"> Se considera importante abordar el análisis de los requisitos de procedibilidad del Recurso de Revisión; así, tenemos que el artículo 180 de la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lang w:val="es-ES"/>
        </w:rPr>
        <w:t>establece lo siguiente:</w:t>
      </w:r>
    </w:p>
    <w:p w:rsidR="00DD4175" w:rsidRDefault="00212EF2">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rsidR="00DD4175" w:rsidRDefault="00212EF2">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rsidR="00DD4175" w:rsidRDefault="00212EF2">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rsidR="00DD4175" w:rsidRDefault="00212EF2">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rsidR="00DD4175" w:rsidRDefault="00212EF2">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rsidR="00DD4175" w:rsidRDefault="00212EF2">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rsidR="00DD4175" w:rsidRDefault="00212EF2">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rsidR="00DD4175" w:rsidRDefault="00212EF2">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rsidR="00DD4175" w:rsidRDefault="00212EF2">
      <w:pPr>
        <w:spacing w:line="276" w:lineRule="auto"/>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rsidR="00DD4175" w:rsidRDefault="00212EF2">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rsidR="00DD4175" w:rsidRDefault="00212EF2">
      <w:pPr>
        <w:spacing w:line="276" w:lineRule="auto"/>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rsidR="00DD4175" w:rsidRDefault="00212EF2">
      <w:pPr>
        <w:spacing w:line="276" w:lineRule="auto"/>
        <w:ind w:left="851" w:right="992"/>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rsidR="00DD4175" w:rsidRDefault="00212EF2">
      <w:pPr>
        <w:spacing w:before="240" w:after="240" w:line="360" w:lineRule="auto"/>
        <w:jc w:val="both"/>
        <w:rPr>
          <w:rFonts w:ascii="Palatino Linotype" w:hAnsi="Palatino Linotype"/>
          <w:lang w:val="es-ES"/>
        </w:rPr>
      </w:pPr>
      <w:r>
        <w:rPr>
          <w:rFonts w:ascii="Palatino Linotype" w:hAnsi="Palatino Linotype"/>
          <w:lang w:val="es-ES"/>
        </w:rPr>
        <w:lastRenderedPageBreak/>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DD4175" w:rsidRDefault="00212EF2">
      <w:pPr>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DD4175" w:rsidRDefault="00212EF2">
      <w:pPr>
        <w:spacing w:before="240" w:after="240" w:line="360" w:lineRule="auto"/>
        <w:jc w:val="both"/>
        <w:rPr>
          <w:rFonts w:ascii="Palatino Linotype" w:hAnsi="Palatino Linotype"/>
          <w:lang w:val="es-ES"/>
        </w:rPr>
      </w:pPr>
      <w:r>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D4175" w:rsidRDefault="00212EF2">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lastRenderedPageBreak/>
        <w:t>Constitución Política de los Estados Unidos Mexicanos</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DD4175" w:rsidRDefault="00212EF2">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DD4175" w:rsidRDefault="00212EF2">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DD4175" w:rsidRDefault="00212EF2">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w:t>
      </w:r>
      <w:r>
        <w:rPr>
          <w:rFonts w:ascii="Palatino Linotype" w:hAnsi="Palatino Linotype" w:cs="Arial"/>
          <w:i/>
          <w:sz w:val="22"/>
          <w:szCs w:val="22"/>
          <w:u w:val="single"/>
          <w:lang w:val="es-ES"/>
        </w:rPr>
        <w:lastRenderedPageBreak/>
        <w:t>disponibles, la información completa y actualizada sobre el ejercicio de los recursos públicos y los indicadores que permitan rendir cuenta del cumplimiento de sus objetivos y de los resultados obtenidos.</w:t>
      </w:r>
    </w:p>
    <w:p w:rsidR="00DD4175" w:rsidRDefault="00212EF2">
      <w:pPr>
        <w:spacing w:line="276" w:lineRule="auto"/>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rsidR="00DD4175" w:rsidRDefault="00212EF2">
      <w:pPr>
        <w:spacing w:line="276" w:lineRule="auto"/>
        <w:ind w:left="851" w:right="992"/>
        <w:jc w:val="both"/>
        <w:rPr>
          <w:rFonts w:ascii="Palatino Linotype" w:hAnsi="Palatino Linotype" w:cs="Arial"/>
          <w:i/>
          <w:color w:val="000000"/>
          <w:sz w:val="22"/>
          <w:szCs w:val="22"/>
          <w:lang w:val="es-ES"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rsidR="00DD4175" w:rsidRDefault="00212EF2">
      <w:pPr>
        <w:spacing w:line="276" w:lineRule="auto"/>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rsidR="00DD4175" w:rsidRDefault="00212EF2">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rsidR="00DD4175" w:rsidRDefault="00212EF2">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rsidR="00DD4175" w:rsidRDefault="00212EF2">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D4175" w:rsidRDefault="00212EF2">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rsidR="00DD4175" w:rsidRDefault="00212EF2">
      <w:pPr>
        <w:spacing w:line="276" w:lineRule="auto"/>
        <w:ind w:left="851" w:right="992"/>
        <w:contextualSpacing/>
        <w:jc w:val="both"/>
        <w:rPr>
          <w:rFonts w:ascii="Palatino Linotype" w:hAnsi="Palatino Linotype"/>
          <w:i/>
          <w:sz w:val="22"/>
          <w:szCs w:val="22"/>
          <w:lang w:val="es-ES"/>
        </w:rPr>
      </w:pPr>
      <w:r>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Pr>
          <w:rFonts w:ascii="Palatino Linotype" w:hAnsi="Palatino Linotype"/>
          <w:i/>
          <w:sz w:val="22"/>
          <w:szCs w:val="22"/>
          <w:lang w:val="es-ES"/>
        </w:rPr>
        <w:lastRenderedPageBreak/>
        <w:t>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D4175" w:rsidRDefault="00212EF2">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DD4175" w:rsidRDefault="00212EF2">
      <w:pPr>
        <w:spacing w:line="276" w:lineRule="auto"/>
        <w:ind w:left="851" w:right="992"/>
        <w:contextualSpacing/>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DD4175" w:rsidRDefault="00212EF2">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DD4175" w:rsidRDefault="00212EF2">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D4175" w:rsidRDefault="00212EF2">
      <w:pPr>
        <w:spacing w:line="276" w:lineRule="auto"/>
        <w:ind w:left="851" w:right="992"/>
        <w:contextualSpacing/>
        <w:jc w:val="both"/>
        <w:rPr>
          <w:rFonts w:ascii="Palatino Linotype" w:hAnsi="Palatino Linotype"/>
          <w:i/>
          <w:sz w:val="22"/>
          <w:szCs w:val="22"/>
          <w:lang w:val="es-ES"/>
        </w:rPr>
      </w:pPr>
      <w:r>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Pr>
          <w:rFonts w:ascii="Palatino Linotype" w:hAnsi="Palatino Linotype"/>
          <w:b/>
          <w:i/>
          <w:sz w:val="22"/>
          <w:szCs w:val="22"/>
          <w:lang w:val="es-ES"/>
        </w:rPr>
        <w:t>”</w:t>
      </w:r>
    </w:p>
    <w:p w:rsidR="00DD4175" w:rsidRDefault="00212EF2">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DD4175" w:rsidRDefault="00212EF2">
      <w:pPr>
        <w:spacing w:before="240" w:after="240" w:line="360" w:lineRule="auto"/>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lastRenderedPageBreak/>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D4175" w:rsidRDefault="00212EF2">
      <w:pPr>
        <w:spacing w:line="276" w:lineRule="auto"/>
        <w:ind w:left="851" w:right="992"/>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rsidR="00DD4175" w:rsidRDefault="00212EF2">
      <w:pPr>
        <w:spacing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rsidR="00DD4175" w:rsidRDefault="00212EF2">
      <w:pPr>
        <w:spacing w:line="276" w:lineRule="auto"/>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rsidR="00DD4175" w:rsidRDefault="00212EF2">
      <w:pPr>
        <w:spacing w:before="240" w:after="240" w:line="360" w:lineRule="auto"/>
        <w:jc w:val="both"/>
        <w:rPr>
          <w:rFonts w:ascii="Palatino Linotype" w:hAnsi="Palatino Linotype"/>
          <w:lang w:val="es-ES"/>
        </w:rPr>
      </w:pPr>
      <w:r>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D4175" w:rsidRDefault="00212EF2">
      <w:pPr>
        <w:spacing w:before="240" w:after="240"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DD4175" w:rsidRDefault="00212EF2">
      <w:pPr>
        <w:spacing w:before="240" w:after="240" w:line="276" w:lineRule="auto"/>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lastRenderedPageBreak/>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D4175" w:rsidRDefault="00212EF2">
      <w:pPr>
        <w:spacing w:before="240" w:after="240" w:line="360" w:lineRule="auto"/>
        <w:jc w:val="both"/>
        <w:rPr>
          <w:rFonts w:ascii="Palatino Linotype" w:hAnsi="Palatino Linotype"/>
          <w:lang w:val="es-ES"/>
        </w:rPr>
      </w:pPr>
      <w:r>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b/>
          <w:lang w:val="es-ES"/>
        </w:rPr>
        <w:t>RECURRENTE,</w:t>
      </w:r>
      <w:r>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DD4175" w:rsidRDefault="00212EF2">
      <w:pPr>
        <w:spacing w:before="240" w:after="240" w:line="360" w:lineRule="auto"/>
        <w:jc w:val="both"/>
        <w:rPr>
          <w:rFonts w:ascii="Palatino Linotype" w:hAnsi="Palatino Linotype"/>
          <w:lang w:val="es-ES"/>
        </w:rPr>
      </w:pPr>
      <w:r>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DD4175" w:rsidRDefault="00212EF2">
      <w:pPr>
        <w:spacing w:before="240" w:after="240" w:line="360" w:lineRule="auto"/>
        <w:jc w:val="both"/>
        <w:rPr>
          <w:rFonts w:ascii="Palatino Linotype" w:hAnsi="Palatino Linotype"/>
          <w:lang w:val="es-ES"/>
        </w:rPr>
      </w:pPr>
      <w:r>
        <w:rPr>
          <w:rFonts w:ascii="Palatino Linotype" w:hAnsi="Palatino Linotype"/>
          <w:lang w:val="es-ES"/>
        </w:rPr>
        <w:lastRenderedPageBreak/>
        <w:t>En consecuencia, dado lo expuesto y fundado con anterioridad, se estima que el requisito relativo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val="es-ES"/>
        </w:rPr>
        <w:t>EL RECURRENTE</w:t>
      </w:r>
      <w:r>
        <w:rPr>
          <w:rFonts w:ascii="Palatino Linotype" w:hAnsi="Palatino Linotype"/>
          <w:lang w:val="es-ES"/>
        </w:rPr>
        <w:t>, es la misma persona que realizó la solicitud de acceso a la información pública que ahora se impugna.</w:t>
      </w:r>
    </w:p>
    <w:p w:rsidR="00DD4175" w:rsidRDefault="00212EF2">
      <w:pPr>
        <w:spacing w:before="240" w:after="240" w:line="360" w:lineRule="auto"/>
        <w:jc w:val="both"/>
        <w:rPr>
          <w:rFonts w:ascii="Palatino Linotype" w:hAnsi="Palatino Linotype"/>
          <w:lang w:val="es-ES"/>
        </w:rPr>
      </w:pPr>
      <w:r>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Pr>
          <w:rFonts w:ascii="Palatino Linotype" w:hAnsi="Palatino Linotype"/>
          <w:b/>
          <w:lang w:val="es-ES"/>
        </w:rPr>
        <w:t>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rsidR="00DD4175" w:rsidRDefault="00212EF2">
      <w:pPr>
        <w:pStyle w:val="Prrafodelista"/>
        <w:widowControl w:val="0"/>
        <w:numPr>
          <w:ilvl w:val="0"/>
          <w:numId w:val="1"/>
        </w:numPr>
        <w:tabs>
          <w:tab w:val="left" w:pos="1701"/>
          <w:tab w:val="left" w:pos="1843"/>
        </w:tabs>
        <w:spacing w:before="360" w:after="240" w:line="360" w:lineRule="auto"/>
        <w:ind w:left="0" w:firstLine="0"/>
        <w:jc w:val="both"/>
        <w:rPr>
          <w:rFonts w:ascii="Palatino Linotype" w:eastAsia="Calibri" w:hAnsi="Palatino Linotype" w:cs="Arial"/>
        </w:rPr>
      </w:pPr>
      <w:r>
        <w:rPr>
          <w:rFonts w:ascii="Palatino Linotype" w:hAnsi="Palatino Linotype" w:cs="Arial"/>
          <w:b/>
        </w:rPr>
        <w:t>Estudio y resolución del asunto</w:t>
      </w:r>
      <w:r>
        <w:rPr>
          <w:rFonts w:ascii="Palatino Linotype" w:hAnsi="Palatino Linotype" w:cs="Arial"/>
          <w:b/>
          <w:color w:val="000000" w:themeColor="text1"/>
        </w:rPr>
        <w:t xml:space="preserve">. </w:t>
      </w:r>
      <w:r>
        <w:rPr>
          <w:rFonts w:ascii="Palatino Linotype" w:hAnsi="Palatino Linotype" w:cs="Arial"/>
          <w:color w:val="000000" w:themeColor="text1"/>
        </w:rPr>
        <w:t xml:space="preserve">Tal y como quedó precisado en los resultandos de la presente resolución, el particular requirió del </w:t>
      </w:r>
      <w:r>
        <w:rPr>
          <w:rFonts w:ascii="Palatino Linotype" w:hAnsi="Palatino Linotype" w:cs="Arial"/>
          <w:b/>
          <w:color w:val="000000" w:themeColor="text1"/>
        </w:rPr>
        <w:t>SUJETO OBLIGADO</w:t>
      </w:r>
      <w:r>
        <w:rPr>
          <w:rFonts w:ascii="Palatino Linotype" w:hAnsi="Palatino Linotype" w:cs="Arial"/>
          <w:color w:val="000000" w:themeColor="text1"/>
        </w:rPr>
        <w:t>, previo desahogo de una aclaración, la siguiente información:</w:t>
      </w:r>
    </w:p>
    <w:p w:rsidR="00DD4175" w:rsidRDefault="00212EF2">
      <w:pPr>
        <w:pStyle w:val="Prrafodelista"/>
        <w:widowControl w:val="0"/>
        <w:numPr>
          <w:ilvl w:val="0"/>
          <w:numId w:val="3"/>
        </w:numPr>
        <w:tabs>
          <w:tab w:val="left" w:pos="1701"/>
          <w:tab w:val="left" w:pos="1843"/>
        </w:tabs>
        <w:spacing w:before="360" w:after="240" w:line="360" w:lineRule="auto"/>
        <w:jc w:val="both"/>
        <w:rPr>
          <w:rFonts w:ascii="Palatino Linotype" w:eastAsia="Calibri" w:hAnsi="Palatino Linotype" w:cs="Arial"/>
        </w:rPr>
      </w:pPr>
      <w:r>
        <w:rPr>
          <w:rFonts w:ascii="Palatino Linotype" w:eastAsia="Calibri" w:hAnsi="Palatino Linotype" w:cs="Arial"/>
        </w:rPr>
        <w:t xml:space="preserve">El Dictamen derivado de la verificación virtual oficiosa realizada por este Instituto al </w:t>
      </w:r>
      <w:r>
        <w:rPr>
          <w:rFonts w:ascii="Palatino Linotype" w:eastAsia="Calibri" w:hAnsi="Palatino Linotype" w:cs="Arial"/>
          <w:b/>
        </w:rPr>
        <w:t>SUJETO OBLIGADO</w:t>
      </w:r>
      <w:r>
        <w:rPr>
          <w:rFonts w:ascii="Palatino Linotype" w:eastAsia="Calibri" w:hAnsi="Palatino Linotype" w:cs="Arial"/>
          <w:sz w:val="28"/>
        </w:rPr>
        <w:t xml:space="preserve"> </w:t>
      </w:r>
      <w:r>
        <w:rPr>
          <w:rFonts w:ascii="Palatino Linotype" w:eastAsia="Calibri" w:hAnsi="Palatino Linotype" w:cs="Arial"/>
        </w:rPr>
        <w:t xml:space="preserve">y a sus organismos auxiliares, en el ejercicio </w:t>
      </w:r>
      <w:r>
        <w:rPr>
          <w:rFonts w:ascii="Palatino Linotype" w:eastAsia="Calibri" w:hAnsi="Palatino Linotype" w:cs="Arial"/>
        </w:rPr>
        <w:lastRenderedPageBreak/>
        <w:t>fiscal de 2019;</w:t>
      </w:r>
    </w:p>
    <w:p w:rsidR="00DD4175" w:rsidRDefault="00212EF2">
      <w:pPr>
        <w:pStyle w:val="Prrafodelista"/>
        <w:widowControl w:val="0"/>
        <w:numPr>
          <w:ilvl w:val="0"/>
          <w:numId w:val="3"/>
        </w:numPr>
        <w:tabs>
          <w:tab w:val="left" w:pos="1701"/>
          <w:tab w:val="left" w:pos="1843"/>
        </w:tabs>
        <w:spacing w:before="360" w:after="240" w:line="360" w:lineRule="auto"/>
        <w:jc w:val="both"/>
        <w:rPr>
          <w:rFonts w:ascii="Palatino Linotype" w:eastAsia="Calibri" w:hAnsi="Palatino Linotype" w:cs="Arial"/>
        </w:rPr>
      </w:pPr>
      <w:r>
        <w:rPr>
          <w:rFonts w:ascii="Palatino Linotype" w:eastAsia="Calibri" w:hAnsi="Palatino Linotype" w:cs="Arial"/>
        </w:rPr>
        <w:t>El documento donde conste el porcentaje de cumplimiento obtenido de dicha verificación;</w:t>
      </w:r>
    </w:p>
    <w:p w:rsidR="00DD4175" w:rsidRDefault="00212EF2">
      <w:pPr>
        <w:pStyle w:val="Prrafodelista"/>
        <w:widowControl w:val="0"/>
        <w:numPr>
          <w:ilvl w:val="0"/>
          <w:numId w:val="3"/>
        </w:numPr>
        <w:tabs>
          <w:tab w:val="left" w:pos="1701"/>
          <w:tab w:val="left" w:pos="1843"/>
        </w:tabs>
        <w:spacing w:before="360" w:after="240" w:line="360" w:lineRule="auto"/>
        <w:jc w:val="both"/>
        <w:rPr>
          <w:rFonts w:ascii="Palatino Linotype" w:eastAsia="Calibri" w:hAnsi="Palatino Linotype" w:cs="Arial"/>
        </w:rPr>
      </w:pPr>
      <w:r>
        <w:rPr>
          <w:rFonts w:ascii="Palatino Linotype" w:eastAsia="Calibri" w:hAnsi="Palatino Linotype" w:cs="Arial"/>
        </w:rPr>
        <w:t>Las tablas de verificación, en las que se muestren los porcentajes obtenidos de cada una de las fracciones verificadas; así como, las notas del Instituto que, de ser el caso hayan sido colocadas en los cuadros de verificación.</w:t>
      </w:r>
    </w:p>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Al respecto, </w:t>
      </w:r>
      <w:r>
        <w:rPr>
          <w:rFonts w:ascii="Palatino Linotype" w:eastAsia="Calibri" w:hAnsi="Palatino Linotype" w:cs="Arial"/>
          <w:b/>
        </w:rPr>
        <w:t>EL SUJETO OBLIGADO</w:t>
      </w:r>
      <w:r>
        <w:rPr>
          <w:rFonts w:ascii="Palatino Linotype" w:eastAsia="Calibri" w:hAnsi="Palatino Linotype" w:cs="Arial"/>
        </w:rPr>
        <w:t xml:space="preserve"> respondió al particular que el porcentaje obtenido de la verificación virtual oficiosa realizada por este Instituto, tanto al </w:t>
      </w:r>
      <w:r>
        <w:rPr>
          <w:rFonts w:ascii="Palatino Linotype" w:eastAsia="Calibri" w:hAnsi="Palatino Linotype" w:cs="Arial"/>
          <w:b/>
        </w:rPr>
        <w:t xml:space="preserve">SUJETO OBLIGADO </w:t>
      </w:r>
      <w:r>
        <w:rPr>
          <w:rFonts w:ascii="Palatino Linotype" w:eastAsia="Calibri" w:hAnsi="Palatino Linotype" w:cs="Arial"/>
        </w:rPr>
        <w:t>como al Sistema Municipal para el Desarrollo Integral de la Familia de Zinacantepec (DIF) y al Organismo Público Descentralizado para la Prestación de Servicios de Agua Potable, Alcantarillado y Saneamiento de Zinacantepec (OPDAPAS)</w:t>
      </w:r>
      <w:r>
        <w:rPr>
          <w:rStyle w:val="Ancladenotaalpie"/>
          <w:rFonts w:ascii="Palatino Linotype" w:eastAsia="Calibri" w:hAnsi="Palatino Linotype" w:cs="Arial"/>
        </w:rPr>
        <w:footnoteReference w:id="1"/>
      </w:r>
      <w:r>
        <w:rPr>
          <w:rFonts w:ascii="Palatino Linotype" w:eastAsia="Calibri" w:hAnsi="Palatino Linotype" w:cs="Arial"/>
        </w:rPr>
        <w:t xml:space="preserve"> podía ser consultado en la una liga electrónica del propio Instituto.</w:t>
      </w:r>
    </w:p>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Asimismo,</w:t>
      </w:r>
      <w:r>
        <w:rPr>
          <w:rFonts w:ascii="Palatino Linotype" w:eastAsia="Calibri" w:hAnsi="Palatino Linotype" w:cs="Arial"/>
          <w:b/>
        </w:rPr>
        <w:t xml:space="preserve"> EL SUJETO OBLIGADO</w:t>
      </w:r>
      <w:r>
        <w:rPr>
          <w:rFonts w:ascii="Palatino Linotype" w:eastAsia="Calibri" w:hAnsi="Palatino Linotype" w:cs="Arial"/>
        </w:rPr>
        <w:t xml:space="preserve"> refirió que las tablas de verificación solicitadas eran competencia de este Instituto; por lo que, no contaba con ellas.</w:t>
      </w:r>
    </w:p>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Inconforme con dicha respuesta, </w:t>
      </w:r>
      <w:r>
        <w:rPr>
          <w:rFonts w:ascii="Palatino Linotype" w:eastAsia="Calibri" w:hAnsi="Palatino Linotype" w:cs="Arial"/>
          <w:b/>
        </w:rPr>
        <w:t>EL RECURRENTE</w:t>
      </w:r>
      <w:r>
        <w:rPr>
          <w:rFonts w:ascii="Palatino Linotype" w:eastAsia="Calibri" w:hAnsi="Palatino Linotype" w:cs="Arial"/>
        </w:rPr>
        <w:t xml:space="preserve"> interpuso el medio de defensa de análisis, en el cual argumentó que </w:t>
      </w:r>
      <w:r>
        <w:rPr>
          <w:rFonts w:ascii="Palatino Linotype" w:eastAsia="Calibri" w:hAnsi="Palatino Linotype" w:cs="Arial"/>
          <w:b/>
        </w:rPr>
        <w:t>EL SUJETO OBLIGADO</w:t>
      </w:r>
      <w:r>
        <w:rPr>
          <w:rFonts w:ascii="Palatino Linotype" w:eastAsia="Calibri" w:hAnsi="Palatino Linotype" w:cs="Arial"/>
        </w:rPr>
        <w:t xml:space="preserve"> no le remitió la información solicitada, de igual forma, refiere que la respuesta le fue entregada el </w:t>
      </w:r>
      <w:r>
        <w:rPr>
          <w:rFonts w:ascii="Palatino Linotype" w:eastAsia="Calibri" w:hAnsi="Palatino Linotype" w:cs="Arial"/>
        </w:rPr>
        <w:lastRenderedPageBreak/>
        <w:t>último día posible</w:t>
      </w:r>
      <w:r>
        <w:rPr>
          <w:rStyle w:val="Ancladenotaalpie"/>
          <w:rFonts w:ascii="Palatino Linotype" w:eastAsia="Calibri" w:hAnsi="Palatino Linotype" w:cs="Arial"/>
        </w:rPr>
        <w:footnoteReference w:id="2"/>
      </w:r>
      <w:r>
        <w:rPr>
          <w:rFonts w:ascii="Palatino Linotype" w:eastAsia="Calibri" w:hAnsi="Palatino Linotype" w:cs="Arial"/>
        </w:rPr>
        <w:t>.</w:t>
      </w:r>
    </w:p>
    <w:p w:rsidR="00DD4175" w:rsidRDefault="00212EF2">
      <w:pPr>
        <w:pStyle w:val="Prrafodelista"/>
        <w:widowControl w:val="0"/>
        <w:tabs>
          <w:tab w:val="left" w:pos="1701"/>
          <w:tab w:val="left" w:pos="1843"/>
        </w:tabs>
        <w:spacing w:before="360" w:after="240" w:line="360" w:lineRule="auto"/>
        <w:ind w:left="0"/>
        <w:jc w:val="both"/>
        <w:rPr>
          <w:rFonts w:ascii="Palatino Linotype" w:hAnsi="Palatino Linotype"/>
          <w:szCs w:val="17"/>
          <w:lang w:val="es-ES" w:eastAsia="es-ES_tradnl"/>
        </w:rPr>
      </w:pPr>
      <w:r>
        <w:rPr>
          <w:rFonts w:ascii="Palatino Linotype" w:eastAsia="Calibri" w:hAnsi="Palatino Linotype" w:cs="Arial"/>
        </w:rPr>
        <w:t xml:space="preserve">Posteriormente, </w:t>
      </w:r>
      <w:r>
        <w:rPr>
          <w:rFonts w:ascii="Palatino Linotype" w:eastAsia="Calibri" w:hAnsi="Palatino Linotype" w:cs="Arial"/>
          <w:b/>
        </w:rPr>
        <w:t>EL RECURRENTE</w:t>
      </w:r>
      <w:r>
        <w:rPr>
          <w:rFonts w:ascii="Palatino Linotype" w:eastAsia="Calibri" w:hAnsi="Palatino Linotype" w:cs="Arial"/>
        </w:rPr>
        <w:t xml:space="preserve"> presentó manifestaciones, tendentes a robustecer sus razones o motivos de inconformidad y además refirió lo siguiente: </w:t>
      </w:r>
      <w:r>
        <w:rPr>
          <w:rFonts w:ascii="Palatino Linotype" w:eastAsia="Calibri" w:hAnsi="Palatino Linotype" w:cs="Arial"/>
          <w:i/>
          <w:sz w:val="22"/>
        </w:rPr>
        <w:t xml:space="preserve">“defino que el Ayuntamiento realizó una ultrajante, risoria y burlesca, una mofa, puesto que me respondieron hasta el último día y no se sí efectivamente fue dentro de los días o en días inhábiles (sábado/domingo/feriado), entregando una justificante de medio pelo para salir de la situación, dentro de mi solicitud de información jamás pedí información sensible (tales como datos personales, información bancaria, la información financiera dentro de las fracciones son públicas, las recomendaciones son públicas, el dictamen es público, por que yo como ciudadano quiero saber como actua mi gobierno, como realizan las cosas y qué otra manera más factible que apreciarlo que a través de las plataformas habilitadas por el Instituto para con la ciudadanía en general, hoy soy yo, pero el día de mañana puede ser otro ciudadano al que se le niegue saber las cosas, más profesionalismo de parte de sus enlaces en cada Ayuntamiento por que hasta donde plasman en su página los certifican y esta clase de respuestas ni un estudiante en sus días más vagos la presenta…” (Sic); </w:t>
      </w:r>
      <w:r>
        <w:rPr>
          <w:rFonts w:ascii="Palatino Linotype" w:eastAsia="Calibri" w:hAnsi="Palatino Linotype" w:cs="Arial"/>
        </w:rPr>
        <w:t xml:space="preserve">expresiones de las cuales </w:t>
      </w:r>
      <w:r>
        <w:rPr>
          <w:rFonts w:ascii="Palatino Linotype" w:hAnsi="Palatino Linotype" w:cs="Arial"/>
          <w:lang w:val="es-ES"/>
        </w:rPr>
        <w:t xml:space="preserve">debe precisarse que se trata de manifestaciones unilaterales subjetivas del </w:t>
      </w:r>
      <w:r>
        <w:rPr>
          <w:rFonts w:ascii="Palatino Linotype" w:hAnsi="Palatino Linotype" w:cs="Arial"/>
          <w:b/>
          <w:lang w:val="es-ES"/>
        </w:rPr>
        <w:t>RECURRENTE</w:t>
      </w:r>
      <w:r>
        <w:rPr>
          <w:rFonts w:ascii="Palatino Linotype" w:hAnsi="Palatino Linotype" w:cs="Arial"/>
          <w:lang w:val="es-ES"/>
        </w:rPr>
        <w:t>, en ejercicio del derecho de libertad de expresión, las cuales resultan inatendibles, ya que este Instituto en términos del artículo 36</w:t>
      </w:r>
      <w:r>
        <w:rPr>
          <w:rFonts w:ascii="Palatino Linotype" w:hAnsi="Palatino Linotype"/>
          <w:szCs w:val="17"/>
          <w:lang w:val="es-ES" w:eastAsia="es-ES_tradnl"/>
        </w:rPr>
        <w:t xml:space="preserve"> de la Ley de Transparencia y Acceso a la Información Pública del Estado de México y Municipios y de las demás disposiciones jurídicas aplicables, carece de facultades para pronunciarse sobre las mismas.</w:t>
      </w:r>
    </w:p>
    <w:p w:rsidR="00DD4175" w:rsidRDefault="00212EF2">
      <w:pPr>
        <w:widowControl w:val="0"/>
        <w:spacing w:beforeAutospacing="1" w:afterAutospacing="1" w:line="360" w:lineRule="auto"/>
        <w:jc w:val="both"/>
        <w:rPr>
          <w:rFonts w:ascii="Arial" w:hAnsi="Arial" w:cs="Arial"/>
          <w:lang w:val="es-ES" w:eastAsia="es-MX"/>
        </w:rPr>
      </w:pPr>
      <w:r>
        <w:rPr>
          <w:rFonts w:ascii="Palatino Linotype" w:hAnsi="Palatino Linotype"/>
          <w:lang w:val="es-ES"/>
        </w:rPr>
        <w:lastRenderedPageBreak/>
        <w:t xml:space="preserve">No obstante lo anterior, esta Ponencia Resolutora no es omisa en señalar que, el derecho constitucional del </w:t>
      </w:r>
      <w:r>
        <w:rPr>
          <w:rFonts w:ascii="Palatino Linotype" w:hAnsi="Palatino Linotype" w:cs="Arial"/>
          <w:lang w:val="es-ES"/>
        </w:rPr>
        <w:t xml:space="preserve">ejercicio de la libertad de expresión, no implica para los particulares el uso de frases y expresiones que sean absolutamente vejatorias, que sean </w:t>
      </w:r>
      <w:r>
        <w:rPr>
          <w:rFonts w:ascii="Palatino Linotype" w:hAnsi="Palatino Linotype" w:cs="Arial"/>
          <w:b/>
          <w:lang w:val="es-ES"/>
        </w:rPr>
        <w:t>ofensivas u</w:t>
      </w:r>
      <w:r>
        <w:rPr>
          <w:rFonts w:ascii="Palatino Linotype" w:hAnsi="Palatino Linotype" w:cs="Arial"/>
          <w:lang w:val="es-ES"/>
        </w:rPr>
        <w:t xml:space="preserve"> </w:t>
      </w:r>
      <w:r>
        <w:rPr>
          <w:rFonts w:ascii="Palatino Linotype" w:hAnsi="Palatino Linotype" w:cs="Arial"/>
          <w:b/>
          <w:lang w:val="es-ES"/>
        </w:rPr>
        <w:t>oprobiosas</w:t>
      </w:r>
      <w:r>
        <w:rPr>
          <w:rFonts w:ascii="Palatino Linotype" w:hAnsi="Palatino Linotype" w:cs="Arial"/>
          <w:lang w:val="es-ES"/>
        </w:rPr>
        <w:t xml:space="preserve">, según el contexto, o bien, </w:t>
      </w:r>
      <w:r>
        <w:rPr>
          <w:rFonts w:ascii="Palatino Linotype" w:hAnsi="Palatino Linotype" w:cs="Arial"/>
          <w:b/>
          <w:lang w:val="es-ES"/>
        </w:rPr>
        <w:t>impertinentes para expresar opiniones</w:t>
      </w:r>
      <w:r>
        <w:rPr>
          <w:rFonts w:ascii="Palatino Linotype" w:hAnsi="Palatino Linotype" w:cs="Arial"/>
          <w:lang w:val="es-ES"/>
        </w:rPr>
        <w:t xml:space="preserve"> o informaciones, </w:t>
      </w:r>
      <w:r>
        <w:rPr>
          <w:rFonts w:ascii="Palatino Linotype" w:hAnsi="Palatino Linotype" w:cs="Arial"/>
          <w:b/>
          <w:lang w:val="es-ES"/>
        </w:rPr>
        <w:t>teniendo relación o no con lo manifestado</w:t>
      </w:r>
      <w:r>
        <w:rPr>
          <w:rFonts w:ascii="Palatino Linotype" w:hAnsi="Palatino Linotype" w:cs="Arial"/>
          <w:lang w:val="es-ES"/>
        </w:rPr>
        <w:t xml:space="preserve">, por lo que, insta al </w:t>
      </w:r>
      <w:r>
        <w:rPr>
          <w:rFonts w:ascii="Palatino Linotype" w:hAnsi="Palatino Linotype" w:cs="Arial"/>
          <w:b/>
          <w:lang w:val="es-ES"/>
        </w:rPr>
        <w:t>RECURRENTE</w:t>
      </w:r>
      <w:r>
        <w:rPr>
          <w:rFonts w:ascii="Palatino Linotype" w:hAnsi="Palatino Linotype" w:cs="Arial"/>
          <w:lang w:val="es-ES"/>
        </w:rPr>
        <w:t xml:space="preserve"> para que se conduzca con respeto en sus expresiones. </w:t>
      </w:r>
      <w:r>
        <w:rPr>
          <w:rFonts w:ascii="Palatino Linotype" w:hAnsi="Palatino Linotype" w:cs="Arial"/>
          <w:lang w:val="es-ES" w:eastAsia="es-MX"/>
        </w:rPr>
        <w:t xml:space="preserve">En apoyo a lo anterior, </w:t>
      </w:r>
      <w:r>
        <w:rPr>
          <w:rFonts w:ascii="Palatino Linotype" w:hAnsi="Palatino Linotype" w:cs="Arial"/>
          <w:lang w:val="es-ES"/>
        </w:rPr>
        <w:t>resulta</w:t>
      </w:r>
      <w:r>
        <w:rPr>
          <w:rFonts w:ascii="Palatino Linotype" w:hAnsi="Palatino Linotype" w:cs="Arial"/>
          <w:lang w:val="es-ES" w:eastAsia="es-MX"/>
        </w:rPr>
        <w:t xml:space="preserve"> aplicable por analogía la Jurisprudencia con número de registro 2003302, de la Décima Época, sustentada por la Primera Sala de la Suprema Corte de Justicia de la Nación, visible en la página 537, libro XIX, Tomo 1, de abril de 2013, del Semanario Judicial de la Federación y su Gaceta, la cual es del tenor literal siguiente:</w:t>
      </w:r>
    </w:p>
    <w:p w:rsidR="00DD4175" w:rsidRDefault="00212EF2">
      <w:pPr>
        <w:spacing w:before="120" w:after="120"/>
        <w:ind w:left="709" w:right="709"/>
        <w:jc w:val="both"/>
        <w:rPr>
          <w:rFonts w:ascii="Palatino Linotype" w:hAnsi="Palatino Linotype" w:cs="Arial"/>
          <w:i/>
          <w:sz w:val="22"/>
          <w:szCs w:val="22"/>
          <w:lang w:val="es-ES" w:eastAsia="es-MX"/>
        </w:rPr>
      </w:pPr>
      <w:r>
        <w:rPr>
          <w:rFonts w:ascii="Palatino Linotype" w:hAnsi="Palatino Linotype" w:cs="Arial"/>
          <w:i/>
          <w:iCs/>
          <w:sz w:val="22"/>
          <w:szCs w:val="22"/>
          <w:lang w:val="es-ES" w:eastAsia="es-MX"/>
        </w:rPr>
        <w:t>“</w:t>
      </w:r>
      <w:r>
        <w:rPr>
          <w:rFonts w:ascii="Palatino Linotype" w:hAnsi="Palatino Linotype" w:cs="Arial"/>
          <w:b/>
          <w:i/>
          <w:sz w:val="22"/>
          <w:szCs w:val="22"/>
          <w:lang w:val="es-ES" w:eastAsia="es-MX"/>
        </w:rPr>
        <w:t xml:space="preserve">LIBERTAD DE EXPRESIÓN. </w:t>
      </w:r>
      <w:r>
        <w:rPr>
          <w:rFonts w:ascii="Palatino Linotype" w:hAnsi="Palatino Linotype" w:cs="Arial"/>
          <w:b/>
          <w:i/>
          <w:sz w:val="22"/>
          <w:szCs w:val="22"/>
          <w:u w:val="single"/>
          <w:lang w:val="es-ES" w:eastAsia="es-MX"/>
        </w:rPr>
        <w:t>LA CONSTITUCIÓN NO RECONOCE EL DERECHO AL INSULTO</w:t>
      </w:r>
      <w:r>
        <w:rPr>
          <w:rFonts w:ascii="Palatino Linotype" w:hAnsi="Palatino Linotype" w:cs="Arial"/>
          <w:i/>
          <w:sz w:val="22"/>
          <w:szCs w:val="22"/>
          <w:lang w:val="es-ES" w:eastAsia="es-MX"/>
        </w:rPr>
        <w:t xml:space="preserve">. </w:t>
      </w:r>
      <w:r>
        <w:rPr>
          <w:rFonts w:ascii="Palatino Linotype" w:hAnsi="Palatino Linotype" w:cs="Arial"/>
          <w:b/>
          <w:i/>
          <w:sz w:val="22"/>
          <w:szCs w:val="22"/>
          <w:u w:val="single"/>
          <w:lang w:val="es-ES" w:eastAsia="es-MX"/>
        </w:rPr>
        <w:t>Si bien es cierto que</w:t>
      </w:r>
      <w:r>
        <w:rPr>
          <w:rFonts w:ascii="Palatino Linotype" w:hAnsi="Palatino Linotype" w:cs="Arial"/>
          <w:i/>
          <w:sz w:val="22"/>
          <w:szCs w:val="22"/>
          <w:lang w:val="es-ES" w:eastAsia="es-MX"/>
        </w:rPr>
        <w:t xml:space="preserve"> cualquier individuo que participe en un debate público de interés general debe abstenerse de exceder ciertos límites, como el respeto a la reputación y a los derechos de terceros, también lo es que </w:t>
      </w:r>
      <w:r>
        <w:rPr>
          <w:rFonts w:ascii="Palatino Linotype" w:hAnsi="Palatino Linotype" w:cs="Arial"/>
          <w:b/>
          <w:i/>
          <w:sz w:val="22"/>
          <w:szCs w:val="22"/>
          <w:u w:val="single"/>
          <w:lang w:val="es-ES" w:eastAsia="es-MX"/>
        </w:rPr>
        <w:t>está permitido recurrir a cierta dosis de exageración, incluso de provocación</w:t>
      </w:r>
      <w:r>
        <w:rPr>
          <w:rFonts w:ascii="Palatino Linotype" w:hAnsi="Palatino Linotype" w:cs="Arial"/>
          <w:i/>
          <w:sz w:val="22"/>
          <w:szCs w:val="22"/>
          <w:lang w:val="es-ES" w:eastAsia="es-MX"/>
        </w:rPr>
        <w:t xml:space="preserve">, es decir, puede ser un tanto desmedido en sus declaraciones, </w:t>
      </w:r>
      <w:r>
        <w:rPr>
          <w:rFonts w:ascii="Palatino Linotype" w:hAnsi="Palatino Linotype" w:cs="Arial"/>
          <w:b/>
          <w:i/>
          <w:sz w:val="22"/>
          <w:szCs w:val="22"/>
          <w:u w:val="single"/>
          <w:lang w:val="es-ES" w:eastAsia="es-MX"/>
        </w:rPr>
        <w:t>y es precisamente en las expresiones que puedan ofender, chocar, perturbar, molestar, inquietar o disgustar donde la libertad de expresión resulta más valiosa</w:t>
      </w:r>
      <w:r>
        <w:rPr>
          <w:rFonts w:ascii="Palatino Linotype" w:hAnsi="Palatino Linotype" w:cs="Arial"/>
          <w:i/>
          <w:sz w:val="22"/>
          <w:szCs w:val="22"/>
          <w:lang w:val="es-ES" w:eastAsia="es-MX"/>
        </w:rPr>
        <w:t xml:space="preserve">.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w:t>
      </w:r>
      <w:r>
        <w:rPr>
          <w:rFonts w:ascii="Palatino Linotype" w:hAnsi="Palatino Linotype" w:cs="Arial"/>
          <w:b/>
          <w:i/>
          <w:sz w:val="22"/>
          <w:szCs w:val="22"/>
          <w:u w:val="single"/>
          <w:lang w:val="es-ES" w:eastAsia="es-MX"/>
        </w:rPr>
        <w:t xml:space="preserve">En este sentido, es importante enfatizar que la Constitución </w:t>
      </w:r>
      <w:r>
        <w:rPr>
          <w:rFonts w:ascii="Palatino Linotype" w:hAnsi="Palatino Linotype" w:cs="Arial"/>
          <w:i/>
          <w:sz w:val="22"/>
          <w:szCs w:val="22"/>
          <w:lang w:val="es-ES" w:eastAsia="es-MX"/>
        </w:rPr>
        <w:t xml:space="preserve">Política de los Estados Unidos Mexicanos </w:t>
      </w:r>
      <w:r>
        <w:rPr>
          <w:rFonts w:ascii="Palatino Linotype" w:hAnsi="Palatino Linotype" w:cs="Arial"/>
          <w:b/>
          <w:i/>
          <w:sz w:val="22"/>
          <w:szCs w:val="22"/>
          <w:u w:val="single"/>
          <w:lang w:val="es-ES" w:eastAsia="es-MX"/>
        </w:rPr>
        <w:t>no reconoce un derecho al insulto</w:t>
      </w:r>
      <w:r>
        <w:rPr>
          <w:rFonts w:ascii="Palatino Linotype" w:hAnsi="Palatino Linotype" w:cs="Arial"/>
          <w:i/>
          <w:sz w:val="22"/>
          <w:szCs w:val="22"/>
          <w:lang w:val="es-ES" w:eastAsia="es-MX"/>
        </w:rPr>
        <w:t xml:space="preserve"> o a la injuria gratuita, sin embargo, tampoco veda expresiones inusuales, alternativas, indecentes, escandalosas, excéntricas o simplemente contrarias a las creencias y posturas mayoritarias, aun cuando se expresen acompañadas de expresiones no verbales, sino simbólicas. </w:t>
      </w:r>
      <w:r>
        <w:rPr>
          <w:rFonts w:ascii="Palatino Linotype" w:hAnsi="Palatino Linotype" w:cs="Arial"/>
          <w:b/>
          <w:i/>
          <w:sz w:val="22"/>
          <w:szCs w:val="22"/>
          <w:u w:val="single"/>
          <w:lang w:val="es-ES" w:eastAsia="es-MX"/>
        </w:rPr>
        <w:t>Consecuentemente, el derecho al honor prevalece cuando la libertad de expresión utiliza frases y expresiones que están excluidas de protección constitucional</w:t>
      </w:r>
      <w:r>
        <w:rPr>
          <w:rFonts w:ascii="Palatino Linotype" w:hAnsi="Palatino Linotype" w:cs="Arial"/>
          <w:i/>
          <w:sz w:val="22"/>
          <w:szCs w:val="22"/>
          <w:lang w:val="es-ES" w:eastAsia="es-MX"/>
        </w:rPr>
        <w:t xml:space="preserve">, es decir, </w:t>
      </w:r>
      <w:r>
        <w:rPr>
          <w:rFonts w:ascii="Palatino Linotype" w:hAnsi="Palatino Linotype" w:cs="Arial"/>
          <w:b/>
          <w:i/>
          <w:sz w:val="22"/>
          <w:szCs w:val="22"/>
          <w:u w:val="single"/>
          <w:lang w:val="es-ES" w:eastAsia="es-MX"/>
        </w:rPr>
        <w:t>cuando sean absolutamente vejatorias</w:t>
      </w:r>
      <w:r>
        <w:rPr>
          <w:rFonts w:ascii="Palatino Linotype" w:hAnsi="Palatino Linotype" w:cs="Arial"/>
          <w:i/>
          <w:sz w:val="22"/>
          <w:szCs w:val="22"/>
          <w:lang w:val="es-ES" w:eastAsia="es-MX"/>
        </w:rPr>
        <w:t xml:space="preserve">, entendiendo como tales las que sean: </w:t>
      </w:r>
      <w:r>
        <w:rPr>
          <w:rFonts w:ascii="Palatino Linotype" w:hAnsi="Palatino Linotype" w:cs="Arial"/>
          <w:b/>
          <w:i/>
          <w:sz w:val="22"/>
          <w:szCs w:val="22"/>
          <w:u w:val="single"/>
          <w:lang w:val="es-ES" w:eastAsia="es-MX"/>
        </w:rPr>
        <w:t xml:space="preserve">a) ofensivas u oprobiosas, según el contexto; y, b) impertinentes </w:t>
      </w:r>
      <w:r>
        <w:rPr>
          <w:rFonts w:ascii="Palatino Linotype" w:hAnsi="Palatino Linotype" w:cs="Arial"/>
          <w:b/>
          <w:i/>
          <w:sz w:val="22"/>
          <w:szCs w:val="22"/>
          <w:u w:val="single"/>
          <w:lang w:val="es-ES" w:eastAsia="es-MX"/>
        </w:rPr>
        <w:lastRenderedPageBreak/>
        <w:t>para expresar opiniones o informaciones, según tengan o no relación con lo manifestado</w:t>
      </w:r>
      <w:r>
        <w:rPr>
          <w:rFonts w:ascii="Palatino Linotype" w:hAnsi="Palatino Linotype" w:cs="Arial"/>
          <w:i/>
          <w:sz w:val="22"/>
          <w:szCs w:val="22"/>
          <w:lang w:val="es-ES" w:eastAsia="es-MX"/>
        </w:rPr>
        <w:t>. Respecto del citado contexto, su importancia estriba en que la situación política o social de un Estado y las circunstancias concurrentes a la publicación de la nota pueden disminuir la significación ofensiva y aumentar el grado de tolerancia.</w:t>
      </w:r>
    </w:p>
    <w:p w:rsidR="00DD4175" w:rsidRDefault="00212EF2">
      <w:pPr>
        <w:spacing w:before="120" w:after="120"/>
        <w:ind w:left="709" w:right="709"/>
        <w:jc w:val="both"/>
        <w:rPr>
          <w:rFonts w:ascii="Palatino Linotype" w:hAnsi="Palatino Linotype" w:cs="Arial"/>
          <w:i/>
          <w:sz w:val="22"/>
          <w:szCs w:val="22"/>
          <w:lang w:val="es-ES" w:eastAsia="es-MX"/>
        </w:rPr>
      </w:pPr>
      <w:r>
        <w:rPr>
          <w:rFonts w:ascii="Palatino Linotype" w:hAnsi="Palatino Linotype" w:cs="Arial"/>
          <w:i/>
          <w:sz w:val="22"/>
          <w:szCs w:val="22"/>
          <w:lang w:val="es-ES" w:eastAsia="es-MX"/>
        </w:rPr>
        <w:t>Amparo directo 28/2010. Demos, Desarrollo de Medios, S.A. de C.V. 23 de noviembre de 2011. Mayoría de cuatro votos. Disidente: Guillermo I. Ortiz Mayagoitia, quien reservó su derecho a formular voto particular; José Ramón Cossío Díaz reservó su derecho a formular voto concurrente. Ponente: Arturo Zaldívar Lelo de Larrea. Secretario: Javier Mijangos y González.</w:t>
      </w:r>
    </w:p>
    <w:p w:rsidR="00DD4175" w:rsidRDefault="00212EF2">
      <w:pPr>
        <w:spacing w:before="120" w:after="120"/>
        <w:ind w:left="709" w:right="709"/>
        <w:jc w:val="both"/>
        <w:rPr>
          <w:rFonts w:ascii="Palatino Linotype" w:hAnsi="Palatino Linotype" w:cs="Arial"/>
          <w:i/>
          <w:sz w:val="22"/>
          <w:szCs w:val="22"/>
          <w:lang w:val="es-ES" w:eastAsia="es-MX"/>
        </w:rPr>
      </w:pPr>
      <w:r>
        <w:rPr>
          <w:rFonts w:ascii="Palatino Linotype" w:hAnsi="Palatino Linotype" w:cs="Arial"/>
          <w:i/>
          <w:sz w:val="22"/>
          <w:szCs w:val="22"/>
          <w:lang w:val="es-ES" w:eastAsia="es-MX"/>
        </w:rPr>
        <w:t>Amparo directo 25/2010. Eduardo Rey Huchim May. 28 de marzo de 2012. Unanimidad de cuatro votos. Ausente: Guillermo I. Ortiz Mayagoitia. Ponente: Olga Sánchez Cordero de García Villegas. Secretaria: Rosalía Argumosa López.</w:t>
      </w:r>
    </w:p>
    <w:p w:rsidR="00DD4175" w:rsidRDefault="00212EF2">
      <w:pPr>
        <w:spacing w:before="120" w:after="120"/>
        <w:ind w:left="709" w:right="709"/>
        <w:jc w:val="both"/>
        <w:rPr>
          <w:rFonts w:ascii="Palatino Linotype" w:hAnsi="Palatino Linotype" w:cs="Arial"/>
          <w:i/>
          <w:sz w:val="22"/>
          <w:szCs w:val="22"/>
          <w:lang w:val="es-ES" w:eastAsia="es-MX"/>
        </w:rPr>
      </w:pPr>
      <w:r>
        <w:rPr>
          <w:rFonts w:ascii="Palatino Linotype" w:hAnsi="Palatino Linotype" w:cs="Arial"/>
          <w:i/>
          <w:sz w:val="22"/>
          <w:szCs w:val="22"/>
          <w:lang w:val="es-ES" w:eastAsia="es-MX"/>
        </w:rPr>
        <w:t>Amparo directo 26/2010. Rubén Lara León. 28 de marzo de 2012. Unanimidad de cuatro votos. Ausente: Guillermo I. Ortiz Mayagoitia. Ponente: Olga Sánchez Cordero de García Villegas. Secretario: Francisco Octavio Escudero Contreras.</w:t>
      </w:r>
    </w:p>
    <w:p w:rsidR="00DD4175" w:rsidRDefault="00212EF2">
      <w:pPr>
        <w:spacing w:before="120" w:after="120"/>
        <w:ind w:left="709" w:right="709"/>
        <w:jc w:val="both"/>
        <w:rPr>
          <w:rFonts w:ascii="Palatino Linotype" w:hAnsi="Palatino Linotype" w:cs="Arial"/>
          <w:i/>
          <w:sz w:val="22"/>
          <w:szCs w:val="22"/>
          <w:lang w:val="es-ES" w:eastAsia="es-MX"/>
        </w:rPr>
      </w:pPr>
      <w:r>
        <w:rPr>
          <w:rFonts w:ascii="Palatino Linotype" w:hAnsi="Palatino Linotype" w:cs="Arial"/>
          <w:i/>
          <w:sz w:val="22"/>
          <w:szCs w:val="22"/>
          <w:lang w:val="es-ES" w:eastAsia="es-MX"/>
        </w:rPr>
        <w:t>Amparo directo 8/2012. Arrendadora Ocean Mexicana, S.A. de C.V. y otros. 4 de julio de 2012. Mayoría de cuatro votos. Disidente: Guillermo I. Ortiz Mayagoitia; José Ramón Cossío Díaz reservó su derecho para formular voto concurrente; Olga Sánchez Cordero de García Villegas también reservó su derecho a formular voto concurrente por lo que respecta al apartado XI. Ponente: Arturo Zaldívar Lelo de Larrea. Secretario: Javier Mijangos y González.</w:t>
      </w:r>
    </w:p>
    <w:p w:rsidR="00DD4175" w:rsidRDefault="00212EF2">
      <w:pPr>
        <w:spacing w:before="120" w:after="120"/>
        <w:ind w:left="709" w:right="709"/>
        <w:jc w:val="both"/>
        <w:rPr>
          <w:rFonts w:ascii="Palatino Linotype" w:hAnsi="Palatino Linotype" w:cs="Arial"/>
          <w:i/>
          <w:sz w:val="22"/>
          <w:szCs w:val="22"/>
          <w:lang w:val="es-ES" w:eastAsia="es-MX"/>
        </w:rPr>
      </w:pPr>
      <w:r>
        <w:rPr>
          <w:rFonts w:ascii="Palatino Linotype" w:hAnsi="Palatino Linotype" w:cs="Arial"/>
          <w:i/>
          <w:sz w:val="22"/>
          <w:szCs w:val="22"/>
          <w:lang w:val="es-ES" w:eastAsia="es-MX"/>
        </w:rPr>
        <w:t>Amparo directo 16/2012. Federico Humberto Ruiz Lomelí. 11 de julio de 2012. Cinco votos; José Ramón Cossío Díaz, Olga Sánchez Cordero de García Villegas y Arturo Zaldívar Lelo de Larrea reservaron su derecho a formular voto concurrente. Ponente: Jorge Mario Pardo Rebolledo. Secretaria: Rosa María Rojas Vértiz Contreras.</w:t>
      </w:r>
    </w:p>
    <w:p w:rsidR="00DD4175" w:rsidRDefault="00212EF2">
      <w:pPr>
        <w:spacing w:before="120" w:after="120"/>
        <w:ind w:left="709" w:right="709"/>
        <w:jc w:val="both"/>
        <w:rPr>
          <w:rFonts w:ascii="Palatino Linotype" w:hAnsi="Palatino Linotype" w:cs="Arial"/>
          <w:i/>
          <w:sz w:val="22"/>
          <w:szCs w:val="22"/>
          <w:lang w:val="es-ES" w:eastAsia="es-MX"/>
        </w:rPr>
      </w:pPr>
      <w:r>
        <w:rPr>
          <w:rFonts w:ascii="Palatino Linotype" w:hAnsi="Palatino Linotype" w:cs="Arial"/>
          <w:i/>
          <w:sz w:val="22"/>
          <w:szCs w:val="22"/>
          <w:lang w:val="es-ES" w:eastAsia="es-MX"/>
        </w:rPr>
        <w:t>Tesis de jurisprudencia 31/2013 (10a.). Aprobada por la Primera Sala de este Alto Tribunal, en sesión privada de veintisiete de febrero de dos mil trece.”</w:t>
      </w:r>
    </w:p>
    <w:p w:rsidR="00DD4175" w:rsidRDefault="00212EF2">
      <w:pPr>
        <w:spacing w:before="120" w:after="120"/>
        <w:ind w:left="709" w:right="709"/>
        <w:jc w:val="both"/>
        <w:rPr>
          <w:rFonts w:ascii="Palatino Linotype" w:hAnsi="Palatino Linotype" w:cs="Arial"/>
          <w:sz w:val="22"/>
          <w:szCs w:val="22"/>
          <w:lang w:val="es-ES" w:eastAsia="es-MX"/>
        </w:rPr>
      </w:pPr>
      <w:r>
        <w:rPr>
          <w:rFonts w:ascii="Palatino Linotype" w:hAnsi="Palatino Linotype" w:cs="Arial"/>
          <w:sz w:val="22"/>
          <w:szCs w:val="22"/>
          <w:lang w:val="es-ES" w:eastAsia="es-MX"/>
        </w:rPr>
        <w:t>(Énfasis añadido)</w:t>
      </w:r>
    </w:p>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Hecho lo anterior, </w:t>
      </w:r>
      <w:r>
        <w:rPr>
          <w:rFonts w:ascii="Palatino Linotype" w:eastAsia="Calibri" w:hAnsi="Palatino Linotype" w:cs="Arial"/>
          <w:b/>
        </w:rPr>
        <w:t>EL SUJETO OBLIGADO</w:t>
      </w:r>
      <w:r>
        <w:rPr>
          <w:rFonts w:ascii="Palatino Linotype" w:eastAsia="Calibri" w:hAnsi="Palatino Linotype" w:cs="Arial"/>
        </w:rPr>
        <w:t xml:space="preserve"> rindió su Informe Justificado, en el cual en lo que interesa, ratificó su respuesta.</w:t>
      </w:r>
    </w:p>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Bajo ese contexto, este Instituto analizó la totalidad de constancias que integran el </w:t>
      </w:r>
      <w:r>
        <w:rPr>
          <w:rFonts w:ascii="Palatino Linotype" w:eastAsia="Calibri" w:hAnsi="Palatino Linotype" w:cs="Arial"/>
        </w:rPr>
        <w:lastRenderedPageBreak/>
        <w:t xml:space="preserve">expediente electrónico del </w:t>
      </w:r>
      <w:r>
        <w:rPr>
          <w:rFonts w:ascii="Palatino Linotype" w:eastAsia="Calibri" w:hAnsi="Palatino Linotype" w:cs="Arial"/>
          <w:b/>
        </w:rPr>
        <w:t>SAIMEX</w:t>
      </w:r>
      <w:r>
        <w:rPr>
          <w:rFonts w:ascii="Palatino Linotype" w:eastAsia="Calibri" w:hAnsi="Palatino Linotype" w:cs="Arial"/>
        </w:rPr>
        <w:t xml:space="preserve"> y advirtió que las razones o motivos de inconformidad hechos valor por </w:t>
      </w:r>
      <w:r>
        <w:rPr>
          <w:rFonts w:ascii="Palatino Linotype" w:eastAsia="Calibri" w:hAnsi="Palatino Linotype" w:cs="Arial"/>
          <w:b/>
        </w:rPr>
        <w:t>EL RECURRENTE</w:t>
      </w:r>
      <w:r>
        <w:rPr>
          <w:rFonts w:ascii="Palatino Linotype" w:eastAsia="Calibri" w:hAnsi="Palatino Linotype" w:cs="Arial"/>
        </w:rPr>
        <w:t xml:space="preserve"> devienen parcialmente fundados y suficientes para </w:t>
      </w:r>
      <w:r>
        <w:rPr>
          <w:rFonts w:ascii="Palatino Linotype" w:eastAsia="Calibri" w:hAnsi="Palatino Linotype" w:cs="Arial"/>
          <w:b/>
        </w:rPr>
        <w:t>MODIFICAR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 en atención a las consideraciones de hecho y de derecho que se detallan a continuación:</w:t>
      </w:r>
    </w:p>
    <w:p w:rsidR="00DD4175" w:rsidRDefault="00212EF2">
      <w:pPr>
        <w:spacing w:beforeAutospacing="1" w:afterAutospacing="1" w:line="360" w:lineRule="auto"/>
        <w:jc w:val="both"/>
        <w:rPr>
          <w:rFonts w:ascii="Palatino Linotype" w:hAnsi="Palatino Linotype" w:cs="Arial"/>
          <w:lang w:val="es-ES_tradnl"/>
        </w:rPr>
      </w:pPr>
      <w:r>
        <w:rPr>
          <w:rFonts w:ascii="Palatino Linotype" w:eastAsia="Calibri" w:hAnsi="Palatino Linotype" w:cs="Arial"/>
        </w:rPr>
        <w:t xml:space="preserve">Primeramente, este Instituto </w:t>
      </w:r>
      <w:r>
        <w:rPr>
          <w:rFonts w:ascii="Palatino Linotype" w:hAnsi="Palatino Linotype"/>
        </w:rPr>
        <w:t xml:space="preserve">precisa que se obvia el análisis de la competencia por parte del </w:t>
      </w:r>
      <w:r>
        <w:rPr>
          <w:rFonts w:ascii="Palatino Linotype" w:hAnsi="Palatino Linotype"/>
          <w:b/>
        </w:rPr>
        <w:t>SUJETO OBLIGADO</w:t>
      </w:r>
      <w:r>
        <w:rPr>
          <w:rFonts w:ascii="Palatino Linotype" w:hAnsi="Palatino Linotype"/>
        </w:rPr>
        <w:t>, para generar, administrar o poseer la información solicitada, dado que éste ha asumido la misma, en razón de que en su respuesta refirió puntualmente que este Instituto realizó la revisión virtual oficiosa, en el ejercicio fiscal solicitado.</w:t>
      </w:r>
    </w:p>
    <w:p w:rsidR="00DD4175" w:rsidRDefault="00212EF2">
      <w:pPr>
        <w:spacing w:before="240" w:after="240" w:line="360" w:lineRule="auto"/>
        <w:jc w:val="both"/>
        <w:rPr>
          <w:rFonts w:ascii="Palatino Linotype" w:hAnsi="Palatino Linotype"/>
        </w:rPr>
      </w:pPr>
      <w:r>
        <w:rPr>
          <w:rFonts w:ascii="Palatino Linotype" w:hAnsi="Palatino Linotype"/>
        </w:rPr>
        <w:t xml:space="preserve">En efecto, el hecho de que </w:t>
      </w:r>
      <w:r>
        <w:rPr>
          <w:rFonts w:ascii="Palatino Linotype" w:hAnsi="Palatino Linotype"/>
          <w:b/>
        </w:rPr>
        <w:t>EL SUJETO OBLIGADO</w:t>
      </w:r>
      <w:r>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DD4175" w:rsidRDefault="00212EF2">
      <w:pPr>
        <w:tabs>
          <w:tab w:val="left" w:pos="851"/>
          <w:tab w:val="left" w:pos="8505"/>
        </w:tabs>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12.</w:t>
      </w:r>
      <w:r>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DD4175" w:rsidRDefault="00212EF2">
      <w:pPr>
        <w:ind w:left="851" w:right="902"/>
        <w:jc w:val="both"/>
        <w:rPr>
          <w:rFonts w:ascii="Palatino Linotype" w:hAnsi="Palatino Linotype" w:cs="Arial"/>
          <w:i/>
          <w:sz w:val="22"/>
          <w:szCs w:val="22"/>
        </w:rPr>
      </w:pPr>
      <w:r>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D4175" w:rsidRDefault="00212EF2">
      <w:pPr>
        <w:spacing w:before="240" w:after="240" w:line="360" w:lineRule="auto"/>
        <w:jc w:val="both"/>
      </w:pPr>
      <w:r>
        <w:rPr>
          <w:rFonts w:ascii="Palatino Linotype" w:hAnsi="Palatino Linotype"/>
        </w:rPr>
        <w:t xml:space="preserve">Así, el estudio de la naturaleza jurídica de la información pública solicitada, tiene por objeto determinar si ésta la genera, posee o administra </w:t>
      </w:r>
      <w:r>
        <w:rPr>
          <w:rFonts w:ascii="Palatino Linotype" w:hAnsi="Palatino Linotype"/>
          <w:b/>
        </w:rPr>
        <w:t>EL SUJETO OBLIGADO</w:t>
      </w:r>
      <w:r>
        <w:rPr>
          <w:rFonts w:ascii="Palatino Linotype" w:hAnsi="Palatino Linotype"/>
        </w:rPr>
        <w:t xml:space="preserve">; sin embargo, en aquellos casos en que éste la asume, a nada práctico nos conduciría su </w:t>
      </w:r>
      <w:r>
        <w:rPr>
          <w:rFonts w:ascii="Palatino Linotype" w:hAnsi="Palatino Linotype"/>
        </w:rPr>
        <w:lastRenderedPageBreak/>
        <w:t>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t xml:space="preserve"> </w:t>
      </w:r>
    </w:p>
    <w:p w:rsidR="00DD4175" w:rsidRDefault="00212EF2">
      <w:pPr>
        <w:spacing w:beforeAutospacing="1" w:afterAutospacing="1" w:line="360" w:lineRule="auto"/>
        <w:jc w:val="both"/>
        <w:rPr>
          <w:rFonts w:ascii="Palatino Linotype" w:hAnsi="Palatino Linotype"/>
        </w:rPr>
      </w:pPr>
      <w:r>
        <w:rPr>
          <w:rFonts w:ascii="Palatino Linotype" w:hAnsi="Palatino Linotype"/>
        </w:rPr>
        <w:t xml:space="preserve">Asimismo, no se omite comentar que, al haber existido un pronunciamiento por parte del </w:t>
      </w:r>
      <w:r>
        <w:rPr>
          <w:rFonts w:ascii="Palatino Linotype" w:hAnsi="Palatino Linotype"/>
          <w:b/>
        </w:rPr>
        <w:t>SUJETO OBLIGADO</w:t>
      </w:r>
      <w:r>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DD4175" w:rsidRDefault="00212EF2">
      <w:pPr>
        <w:spacing w:beforeAutospacing="1" w:afterAutospacing="1" w:line="360" w:lineRule="auto"/>
        <w:jc w:val="both"/>
        <w:rPr>
          <w:rFonts w:ascii="Palatino Linotype" w:hAnsi="Palatino Linotype" w:cs="Arial"/>
        </w:rPr>
      </w:pPr>
      <w:r>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D4175" w:rsidRDefault="00212EF2">
      <w:pPr>
        <w:ind w:left="709" w:right="760"/>
        <w:jc w:val="both"/>
        <w:rPr>
          <w:rFonts w:ascii="Palatino Linotype" w:hAnsi="Palatino Linotype" w:cs="Arial"/>
          <w:i/>
          <w:sz w:val="22"/>
        </w:rPr>
      </w:pPr>
      <w:r>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r>
        <w:rPr>
          <w:rFonts w:ascii="Palatino Linotype" w:hAnsi="Palatino Linotype" w:cs="Arial"/>
          <w:i/>
          <w:sz w:val="22"/>
        </w:rPr>
        <w:lastRenderedPageBreak/>
        <w:t xml:space="preserve">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DD4175" w:rsidRDefault="00212EF2">
      <w:pPr>
        <w:ind w:left="709" w:right="757"/>
        <w:jc w:val="both"/>
        <w:rPr>
          <w:rFonts w:ascii="Palatino Linotype" w:hAnsi="Palatino Linotype" w:cs="Arial"/>
          <w:b/>
          <w:i/>
          <w:sz w:val="22"/>
        </w:rPr>
      </w:pPr>
      <w:r>
        <w:rPr>
          <w:rFonts w:ascii="Palatino Linotype" w:hAnsi="Palatino Linotype" w:cs="Arial"/>
          <w:i/>
          <w:sz w:val="22"/>
        </w:rPr>
        <w:t>Criterio 31/10</w:t>
      </w:r>
      <w:r>
        <w:rPr>
          <w:rFonts w:ascii="Palatino Linotype" w:hAnsi="Palatino Linotype" w:cs="Arial"/>
          <w:b/>
          <w:i/>
          <w:sz w:val="22"/>
        </w:rPr>
        <w:t>”</w:t>
      </w:r>
      <w:r>
        <w:rPr>
          <w:rFonts w:ascii="Palatino Linotype" w:hAnsi="Palatino Linotype" w:cs="Arial"/>
          <w:i/>
          <w:sz w:val="22"/>
        </w:rPr>
        <w:t xml:space="preserve"> (sic)</w:t>
      </w:r>
    </w:p>
    <w:p w:rsidR="00DD4175" w:rsidRDefault="00212EF2">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Una vez apuntado lo anterior, este Instituto analizó la respuesta otorgada por </w:t>
      </w:r>
      <w:r>
        <w:rPr>
          <w:rFonts w:ascii="Palatino Linotype" w:eastAsia="Calibri" w:hAnsi="Palatino Linotype"/>
          <w:b/>
          <w:szCs w:val="22"/>
          <w:lang w:eastAsia="en-US"/>
        </w:rPr>
        <w:t>EL SUJETO OBLIGADO</w:t>
      </w:r>
      <w:r>
        <w:rPr>
          <w:rFonts w:ascii="Palatino Linotype" w:eastAsia="Calibri" w:hAnsi="Palatino Linotype"/>
          <w:szCs w:val="22"/>
          <w:lang w:eastAsia="en-US"/>
        </w:rPr>
        <w:t xml:space="preserve">, a fin de verificar si con ésta satisfizo los requerimientos de información ejercitados por </w:t>
      </w:r>
      <w:r>
        <w:rPr>
          <w:rFonts w:ascii="Palatino Linotype" w:eastAsia="Calibri" w:hAnsi="Palatino Linotype"/>
          <w:b/>
          <w:szCs w:val="22"/>
          <w:lang w:eastAsia="en-US"/>
        </w:rPr>
        <w:t>EL RECURRENTE</w:t>
      </w:r>
      <w:r>
        <w:rPr>
          <w:rFonts w:ascii="Palatino Linotype" w:eastAsia="Calibri" w:hAnsi="Palatino Linotype"/>
          <w:szCs w:val="22"/>
          <w:lang w:eastAsia="en-US"/>
        </w:rPr>
        <w:t xml:space="preserve"> y advirtió que no fue así; tal y como, se muestra a continuación:</w:t>
      </w:r>
    </w:p>
    <w:tbl>
      <w:tblPr>
        <w:tblStyle w:val="Tablaconcuadrcula"/>
        <w:tblW w:w="5000" w:type="pct"/>
        <w:tblLook w:val="04A0" w:firstRow="1" w:lastRow="0" w:firstColumn="1" w:lastColumn="0" w:noHBand="0" w:noVBand="1"/>
      </w:tblPr>
      <w:tblGrid>
        <w:gridCol w:w="2278"/>
        <w:gridCol w:w="2278"/>
        <w:gridCol w:w="2277"/>
        <w:gridCol w:w="2278"/>
      </w:tblGrid>
      <w:tr w:rsidR="00DD4175">
        <w:trPr>
          <w:tblHeader/>
        </w:trPr>
        <w:tc>
          <w:tcPr>
            <w:tcW w:w="2280" w:type="dxa"/>
            <w:shd w:val="clear" w:color="auto" w:fill="000000" w:themeFill="text1"/>
            <w:vAlign w:val="center"/>
          </w:tcPr>
          <w:p w:rsidR="00DD4175" w:rsidRDefault="00212EF2">
            <w:pPr>
              <w:pStyle w:val="Prrafodelista"/>
              <w:widowControl w:val="0"/>
              <w:tabs>
                <w:tab w:val="left" w:pos="1701"/>
                <w:tab w:val="left" w:pos="1843"/>
              </w:tabs>
              <w:ind w:left="0"/>
              <w:jc w:val="center"/>
              <w:rPr>
                <w:rFonts w:ascii="Palatino Linotype" w:eastAsia="Calibri" w:hAnsi="Palatino Linotype" w:cs="Arial"/>
                <w:b/>
                <w:color w:val="FFFFFF" w:themeColor="background1"/>
                <w:sz w:val="20"/>
                <w:szCs w:val="20"/>
              </w:rPr>
            </w:pPr>
            <w:r>
              <w:rPr>
                <w:rFonts w:ascii="Palatino Linotype" w:eastAsia="Calibri" w:hAnsi="Palatino Linotype" w:cs="Arial"/>
                <w:b/>
                <w:color w:val="FFFFFF" w:themeColor="background1"/>
                <w:sz w:val="20"/>
                <w:szCs w:val="20"/>
              </w:rPr>
              <w:t>Requerimiento</w:t>
            </w:r>
          </w:p>
        </w:tc>
        <w:tc>
          <w:tcPr>
            <w:tcW w:w="2280" w:type="dxa"/>
            <w:shd w:val="clear" w:color="auto" w:fill="000000" w:themeFill="text1"/>
            <w:vAlign w:val="center"/>
          </w:tcPr>
          <w:p w:rsidR="00DD4175" w:rsidRDefault="00212EF2">
            <w:pPr>
              <w:pStyle w:val="Prrafodelista"/>
              <w:widowControl w:val="0"/>
              <w:tabs>
                <w:tab w:val="left" w:pos="1701"/>
                <w:tab w:val="left" w:pos="1843"/>
              </w:tabs>
              <w:ind w:left="0"/>
              <w:jc w:val="center"/>
              <w:rPr>
                <w:rFonts w:ascii="Palatino Linotype" w:eastAsia="Calibri" w:hAnsi="Palatino Linotype" w:cs="Arial"/>
                <w:b/>
                <w:color w:val="FFFFFF" w:themeColor="background1"/>
                <w:sz w:val="20"/>
                <w:szCs w:val="20"/>
              </w:rPr>
            </w:pPr>
            <w:r>
              <w:rPr>
                <w:rFonts w:ascii="Palatino Linotype" w:eastAsia="Calibri" w:hAnsi="Palatino Linotype" w:cs="Arial"/>
                <w:b/>
                <w:color w:val="FFFFFF" w:themeColor="background1"/>
                <w:sz w:val="20"/>
                <w:szCs w:val="20"/>
              </w:rPr>
              <w:t>Respuesta</w:t>
            </w:r>
          </w:p>
        </w:tc>
        <w:tc>
          <w:tcPr>
            <w:tcW w:w="2280" w:type="dxa"/>
            <w:shd w:val="clear" w:color="auto" w:fill="000000" w:themeFill="text1"/>
            <w:vAlign w:val="center"/>
          </w:tcPr>
          <w:p w:rsidR="00DD4175" w:rsidRDefault="00212EF2">
            <w:pPr>
              <w:pStyle w:val="Prrafodelista"/>
              <w:widowControl w:val="0"/>
              <w:tabs>
                <w:tab w:val="left" w:pos="1701"/>
                <w:tab w:val="left" w:pos="1843"/>
              </w:tabs>
              <w:ind w:left="0"/>
              <w:jc w:val="center"/>
              <w:rPr>
                <w:rFonts w:ascii="Palatino Linotype" w:eastAsia="Calibri" w:hAnsi="Palatino Linotype" w:cs="Arial"/>
                <w:b/>
                <w:color w:val="FFFFFF" w:themeColor="background1"/>
                <w:sz w:val="20"/>
                <w:szCs w:val="20"/>
              </w:rPr>
            </w:pPr>
            <w:r>
              <w:rPr>
                <w:rFonts w:ascii="Palatino Linotype" w:eastAsia="Calibri" w:hAnsi="Palatino Linotype" w:cs="Arial"/>
                <w:b/>
                <w:color w:val="FFFFFF" w:themeColor="background1"/>
                <w:sz w:val="20"/>
                <w:szCs w:val="20"/>
              </w:rPr>
              <w:t>Informe Justificado</w:t>
            </w:r>
          </w:p>
        </w:tc>
        <w:tc>
          <w:tcPr>
            <w:tcW w:w="2280" w:type="dxa"/>
            <w:shd w:val="clear" w:color="auto" w:fill="000000" w:themeFill="text1"/>
            <w:vAlign w:val="center"/>
          </w:tcPr>
          <w:p w:rsidR="00DD4175" w:rsidRDefault="00212EF2">
            <w:pPr>
              <w:pStyle w:val="Prrafodelista"/>
              <w:widowControl w:val="0"/>
              <w:tabs>
                <w:tab w:val="left" w:pos="1701"/>
                <w:tab w:val="left" w:pos="1843"/>
              </w:tabs>
              <w:ind w:left="0"/>
              <w:jc w:val="center"/>
              <w:rPr>
                <w:rFonts w:ascii="Palatino Linotype" w:eastAsia="Calibri" w:hAnsi="Palatino Linotype" w:cs="Arial"/>
                <w:b/>
                <w:color w:val="FFFFFF" w:themeColor="background1"/>
                <w:sz w:val="20"/>
                <w:szCs w:val="20"/>
              </w:rPr>
            </w:pPr>
            <w:r>
              <w:rPr>
                <w:rFonts w:ascii="Palatino Linotype" w:eastAsia="Calibri" w:hAnsi="Palatino Linotype" w:cs="Arial"/>
                <w:b/>
                <w:color w:val="FFFFFF" w:themeColor="background1"/>
                <w:sz w:val="20"/>
                <w:szCs w:val="20"/>
              </w:rPr>
              <w:t>Colma</w:t>
            </w:r>
          </w:p>
        </w:tc>
      </w:tr>
      <w:tr w:rsidR="00DD4175">
        <w:tc>
          <w:tcPr>
            <w:tcW w:w="2280" w:type="dxa"/>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 xml:space="preserve">1. El Dictamen derivado de la verificación virtual oficiosa realizada por este Instituto al </w:t>
            </w:r>
            <w:r>
              <w:rPr>
                <w:rFonts w:ascii="Palatino Linotype" w:eastAsia="Calibri" w:hAnsi="Palatino Linotype" w:cs="Arial"/>
                <w:b/>
                <w:sz w:val="20"/>
                <w:szCs w:val="20"/>
              </w:rPr>
              <w:t>SUJETO OBLIGADO</w:t>
            </w:r>
            <w:r>
              <w:rPr>
                <w:rFonts w:ascii="Palatino Linotype" w:eastAsia="Calibri" w:hAnsi="Palatino Linotype" w:cs="Arial"/>
                <w:sz w:val="20"/>
                <w:szCs w:val="20"/>
              </w:rPr>
              <w:t xml:space="preserve"> y a sus organismos auxiliares, en el ejercicio fiscal de 2019.</w:t>
            </w:r>
          </w:p>
        </w:tc>
        <w:tc>
          <w:tcPr>
            <w:tcW w:w="2280" w:type="dxa"/>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No se Pronuncia</w:t>
            </w:r>
          </w:p>
        </w:tc>
        <w:tc>
          <w:tcPr>
            <w:tcW w:w="2280" w:type="dxa"/>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No se Pronuncia</w:t>
            </w:r>
          </w:p>
        </w:tc>
        <w:tc>
          <w:tcPr>
            <w:tcW w:w="2280" w:type="dxa"/>
            <w:shd w:val="clear" w:color="auto" w:fill="FDE9D9" w:themeFill="accent6" w:themeFillTint="33"/>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No</w:t>
            </w:r>
          </w:p>
        </w:tc>
      </w:tr>
      <w:tr w:rsidR="00DD4175">
        <w:tc>
          <w:tcPr>
            <w:tcW w:w="2280" w:type="dxa"/>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2. El documento donde conste el porcentaje de cumplimiento obtenido de dicha verificación.</w:t>
            </w:r>
          </w:p>
        </w:tc>
        <w:tc>
          <w:tcPr>
            <w:tcW w:w="2280" w:type="dxa"/>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 xml:space="preserve">El porcentaje obtenido de la verificación virtual oficiosa realizada por este Instituto, tanto al </w:t>
            </w:r>
            <w:r>
              <w:rPr>
                <w:rFonts w:ascii="Palatino Linotype" w:eastAsia="Calibri" w:hAnsi="Palatino Linotype" w:cs="Arial"/>
                <w:b/>
                <w:sz w:val="20"/>
                <w:szCs w:val="20"/>
              </w:rPr>
              <w:t xml:space="preserve">SUJETO OBLIGADO </w:t>
            </w:r>
            <w:r>
              <w:rPr>
                <w:rFonts w:ascii="Palatino Linotype" w:eastAsia="Calibri" w:hAnsi="Palatino Linotype" w:cs="Arial"/>
                <w:sz w:val="20"/>
                <w:szCs w:val="20"/>
              </w:rPr>
              <w:t>como al DIF y al OPDAPAS se encuentra disponible en una liga electrónica del propio Instituto.</w:t>
            </w:r>
          </w:p>
        </w:tc>
        <w:tc>
          <w:tcPr>
            <w:tcW w:w="2280" w:type="dxa"/>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Reiteró su respuesta.</w:t>
            </w:r>
          </w:p>
        </w:tc>
        <w:tc>
          <w:tcPr>
            <w:tcW w:w="2280" w:type="dxa"/>
            <w:shd w:val="clear" w:color="auto" w:fill="FFFFCC"/>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Parcialmente</w:t>
            </w:r>
            <w:r>
              <w:rPr>
                <w:rStyle w:val="Ancladenotaalpie"/>
                <w:rFonts w:ascii="Palatino Linotype" w:eastAsia="Calibri" w:hAnsi="Palatino Linotype" w:cs="Arial"/>
                <w:sz w:val="20"/>
                <w:szCs w:val="20"/>
              </w:rPr>
              <w:footnoteReference w:id="3"/>
            </w:r>
            <w:r>
              <w:rPr>
                <w:rFonts w:ascii="Palatino Linotype" w:eastAsia="Calibri" w:hAnsi="Palatino Linotype" w:cs="Arial"/>
                <w:sz w:val="20"/>
                <w:szCs w:val="20"/>
              </w:rPr>
              <w:t>.</w:t>
            </w:r>
          </w:p>
        </w:tc>
      </w:tr>
      <w:tr w:rsidR="00DD4175">
        <w:tc>
          <w:tcPr>
            <w:tcW w:w="2280" w:type="dxa"/>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 xml:space="preserve">3. Las tablas de verificación, en las que </w:t>
            </w:r>
            <w:r>
              <w:rPr>
                <w:rFonts w:ascii="Palatino Linotype" w:eastAsia="Calibri" w:hAnsi="Palatino Linotype" w:cs="Arial"/>
                <w:sz w:val="20"/>
                <w:szCs w:val="20"/>
              </w:rPr>
              <w:lastRenderedPageBreak/>
              <w:t>se muestren los porcentajes obtenidos de cada una de las fracciones verificadas; así como, las notas del Instituto que, de ser el caso hayan sido colocadas en los cuadros de verificación.</w:t>
            </w:r>
          </w:p>
        </w:tc>
        <w:tc>
          <w:tcPr>
            <w:tcW w:w="2280" w:type="dxa"/>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lastRenderedPageBreak/>
              <w:t xml:space="preserve">Refirió que las tablas de verificación solicitadas </w:t>
            </w:r>
            <w:r>
              <w:rPr>
                <w:rFonts w:ascii="Palatino Linotype" w:eastAsia="Calibri" w:hAnsi="Palatino Linotype" w:cs="Arial"/>
                <w:sz w:val="20"/>
                <w:szCs w:val="20"/>
              </w:rPr>
              <w:lastRenderedPageBreak/>
              <w:t>eran competencia de este Instituto; por lo que, no contaba con ellas.</w:t>
            </w:r>
          </w:p>
        </w:tc>
        <w:tc>
          <w:tcPr>
            <w:tcW w:w="2280" w:type="dxa"/>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lastRenderedPageBreak/>
              <w:t>Reiteró su respuesta.</w:t>
            </w:r>
          </w:p>
        </w:tc>
        <w:tc>
          <w:tcPr>
            <w:tcW w:w="2280" w:type="dxa"/>
            <w:shd w:val="clear" w:color="auto" w:fill="FDE9D9" w:themeFill="accent6" w:themeFillTint="33"/>
            <w:vAlign w:val="center"/>
          </w:tcPr>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No.</w:t>
            </w:r>
          </w:p>
          <w:p w:rsidR="00DD4175" w:rsidRDefault="00DD4175">
            <w:pPr>
              <w:pStyle w:val="Prrafodelista"/>
              <w:widowControl w:val="0"/>
              <w:tabs>
                <w:tab w:val="left" w:pos="1701"/>
                <w:tab w:val="left" w:pos="1843"/>
              </w:tabs>
              <w:ind w:left="0"/>
              <w:jc w:val="both"/>
              <w:rPr>
                <w:rFonts w:ascii="Palatino Linotype" w:eastAsia="Calibri" w:hAnsi="Palatino Linotype" w:cs="Arial"/>
                <w:sz w:val="20"/>
                <w:szCs w:val="20"/>
              </w:rPr>
            </w:pPr>
          </w:p>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lastRenderedPageBreak/>
              <w:t xml:space="preserve">Tiene fuente obligacional de contar con la Información inherente al </w:t>
            </w:r>
            <w:r>
              <w:rPr>
                <w:rFonts w:ascii="Palatino Linotype" w:eastAsia="Calibri" w:hAnsi="Palatino Linotype" w:cs="Arial"/>
                <w:b/>
                <w:sz w:val="20"/>
                <w:szCs w:val="20"/>
              </w:rPr>
              <w:t>SUJETO OBLIGADO.</w:t>
            </w:r>
          </w:p>
          <w:p w:rsidR="00DD4175" w:rsidRDefault="00212EF2">
            <w:pPr>
              <w:pStyle w:val="Prrafodelista"/>
              <w:widowControl w:val="0"/>
              <w:tabs>
                <w:tab w:val="left" w:pos="1701"/>
                <w:tab w:val="left" w:pos="1843"/>
              </w:tabs>
              <w:ind w:left="0"/>
              <w:jc w:val="both"/>
              <w:rPr>
                <w:rFonts w:ascii="Palatino Linotype" w:eastAsia="Calibri" w:hAnsi="Palatino Linotype" w:cs="Arial"/>
                <w:sz w:val="20"/>
                <w:szCs w:val="20"/>
              </w:rPr>
            </w:pPr>
            <w:r>
              <w:rPr>
                <w:rFonts w:ascii="Palatino Linotype" w:eastAsia="Calibri" w:hAnsi="Palatino Linotype" w:cs="Arial"/>
                <w:sz w:val="20"/>
                <w:szCs w:val="20"/>
              </w:rPr>
              <w:t>Respecto al OPDAPAS, debió emitir su Acuerdo de Incompetencia, avalado por su Comité de Transparencia.</w:t>
            </w:r>
          </w:p>
        </w:tc>
      </w:tr>
    </w:tbl>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lastRenderedPageBreak/>
        <w:t xml:space="preserve">Ahora bien, previo al estudio en específico de cada uno de los requerimientos descritos en el cuadro anterior, no pasa desapercibido del análisis de este Instituto, que el particular refirió de origen que la información a la cual pretendía acceso, consistía en aquella inherente al </w:t>
      </w:r>
      <w:r>
        <w:rPr>
          <w:rFonts w:ascii="Palatino Linotype" w:eastAsia="Calibri" w:hAnsi="Palatino Linotype" w:cs="Arial"/>
          <w:b/>
        </w:rPr>
        <w:t>SUJETO OBLIGADO</w:t>
      </w:r>
      <w:r>
        <w:rPr>
          <w:rFonts w:ascii="Palatino Linotype" w:eastAsia="Calibri" w:hAnsi="Palatino Linotype" w:cs="Arial"/>
        </w:rPr>
        <w:t>; así como, a sus organismos auxiliares.</w:t>
      </w:r>
    </w:p>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Pese a lo anterior, esta Autoridad advirtió que tanto el DIF como el OPDAPAS, son considerados como Sujetos Obligados distintos al Ayuntamiento de Zinacantepec, de conformidad con  el Acuerdo publicado,</w:t>
      </w:r>
      <w:r>
        <w:rPr>
          <w:rFonts w:ascii="Palatino Linotype" w:hAnsi="Palatino Linotype" w:cs="Arial"/>
        </w:rPr>
        <w:t xml:space="preserve"> en fecha veintisiete de noviembre de dos mil diecisiete, en el Periódico Oficial “Gaceta del Gobierno” denominado:</w:t>
      </w:r>
      <w:r>
        <w:rPr>
          <w:rFonts w:ascii="Palatino Linotype" w:hAnsi="Palatino Linotype" w:cs="Arial"/>
          <w:i/>
        </w:rPr>
        <w:t xml:space="preserve"> Acuerdo mediante el cual el Pleno del Instituto de Transparencia, Acceso a la Información Pública y Protección</w:t>
      </w:r>
      <w:r>
        <w:rPr>
          <w:rFonts w:ascii="Palatino Linotype" w:eastAsia="Cambria" w:hAnsi="Palatino Linotype"/>
          <w:i/>
          <w:lang w:eastAsia="en-US"/>
        </w:rPr>
        <w:t xml:space="preserve"> de Datos Personales del Estado de México y Municipios, modifica el Padrón de Sujetos Obligados en Materia de Transparencia y Acceso a la Información Pública del Estado de México y Municipios,</w:t>
      </w:r>
      <w:r>
        <w:rPr>
          <w:rFonts w:ascii="Palatino Linotype" w:eastAsia="Cambria" w:hAnsi="Palatino Linotype"/>
          <w:lang w:eastAsia="en-US"/>
        </w:rPr>
        <w:t xml:space="preserve"> el cual entró en vigor al día siguiente de su publicación; esto es, el veintiocho de noviembre de dos mil diecisiete. En esa virtud, este Instituto estima que lo procedente era que la</w:t>
      </w:r>
      <w:r>
        <w:rPr>
          <w:rFonts w:ascii="Palatino Linotype" w:eastAsia="Calibri" w:hAnsi="Palatino Linotype" w:cs="Arial"/>
        </w:rPr>
        <w:t xml:space="preserve"> Unidad de Transparencia del </w:t>
      </w:r>
      <w:r>
        <w:rPr>
          <w:rFonts w:ascii="Palatino Linotype" w:eastAsia="Calibri" w:hAnsi="Palatino Linotype" w:cs="Arial"/>
          <w:b/>
        </w:rPr>
        <w:t>SUJETO OBLIGADO</w:t>
      </w:r>
      <w:r>
        <w:rPr>
          <w:rFonts w:ascii="Palatino Linotype" w:eastAsia="Calibri" w:hAnsi="Palatino Linotype" w:cs="Arial"/>
        </w:rPr>
        <w:t xml:space="preserve"> informara al particular de su incompetencia en el término de 3 días, o bien, que emitiera el Acuerdo de Incompetencia correspondiente, estudio que se abordará a detalle en </w:t>
      </w:r>
      <w:r>
        <w:rPr>
          <w:rFonts w:ascii="Palatino Linotype" w:eastAsia="Calibri" w:hAnsi="Palatino Linotype" w:cs="Arial"/>
        </w:rPr>
        <w:lastRenderedPageBreak/>
        <w:t>Líneas posteriores. Por lo que, en este acto se delimita la materia de actuación del presente estudio, únicamente en lo que respecta al Ayuntamiento de Zinacantepec.</w:t>
      </w:r>
    </w:p>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Dicho lo anterior, respecto a las solicitudes de acceso a la información marcadas con los numerales 1 y 3, relativas al Dictamen de la verificación virtual oficiosa realizada por este Instituto al </w:t>
      </w:r>
      <w:r>
        <w:rPr>
          <w:rFonts w:ascii="Palatino Linotype" w:eastAsia="Calibri" w:hAnsi="Palatino Linotype" w:cs="Arial"/>
          <w:b/>
        </w:rPr>
        <w:t>SUJETO OBLIGADO</w:t>
      </w:r>
      <w:r>
        <w:rPr>
          <w:rFonts w:ascii="Palatino Linotype" w:eastAsia="Calibri" w:hAnsi="Palatino Linotype" w:cs="Arial"/>
        </w:rPr>
        <w:t xml:space="preserve">, en el ejercicio fiscal de 2019 y las tablas de verificación, en las que se muestren los porcentajes obtenidos de cada una de las fracciones verificadas; así como, las notas del Instituto que, de ser el caso, hayan sido colocadas en los cuadros de verificación, esta Autoridad advirtió que los requerimientos de información pueden ser satisfechos con el Dictamen recaído a la verificación virtual oficiosa realizada al </w:t>
      </w:r>
      <w:r>
        <w:rPr>
          <w:rFonts w:ascii="Palatino Linotype" w:eastAsia="Calibri" w:hAnsi="Palatino Linotype" w:cs="Arial"/>
          <w:b/>
        </w:rPr>
        <w:t>SUJETO OBLIGADO</w:t>
      </w:r>
      <w:r>
        <w:rPr>
          <w:rFonts w:ascii="Palatino Linotype" w:eastAsia="Calibri" w:hAnsi="Palatino Linotype" w:cs="Arial"/>
        </w:rPr>
        <w:t>, el cual debió haberle sido notificado, de conformidad con lo siguiente:</w:t>
      </w:r>
    </w:p>
    <w:p w:rsidR="00DD4175" w:rsidRDefault="00212EF2">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De conformidad con los artículos 106 y 107, primer párrafo de la Ley de Transparencia y Acceso a la Información Pública del Estado de México y Municipios las determinaciones que emita el Instituto deben establecer los requerimientos, recomendaciones u observaciones que formulen y los términos y plazos en los que los sujetos obligados deben atenderlas. El incumplimiento a los requerimientos formulados, es motivo para aplicar las medidas de apremio, sin perjuicio de las sanciones a que haya lugar. Por ello, este Instituto vigila que las obligaciones de transparencia que publiquen los sujetos obligados cumplan con lo dispuesto en la Ley y demás disposiciones jurídicas aplicables.</w:t>
      </w:r>
    </w:p>
    <w:p w:rsidR="00DD4175" w:rsidRDefault="00212EF2">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 xml:space="preserve">En esa tesitura, los diversos artículos 108 y 109 de la Legislación Sustantiva dictan que las acciones de vigilancia se realizan a través de la verificación virtual. Esta vigilancia </w:t>
      </w:r>
      <w:r>
        <w:rPr>
          <w:rFonts w:ascii="Palatino Linotype" w:eastAsia="Calibri" w:hAnsi="Palatino Linotype"/>
          <w:szCs w:val="22"/>
          <w:lang w:eastAsia="en-US"/>
        </w:rPr>
        <w:lastRenderedPageBreak/>
        <w:t>surge de los resultados de la verificación que se lleve a cabo de manera oficiosa por el Instituto al portal de Internet de los sujetos obligados o de Plataforma Nacional, ya sea de forma aleatoria o de muestreo y periódica. Revisión que tiene por objeto revisar y constatar el debido cumplimiento a las obligaciones de transparencia según corresponda a cada sujeto obligado.</w:t>
      </w:r>
    </w:p>
    <w:p w:rsidR="00DD4175" w:rsidRDefault="00212EF2">
      <w:pPr>
        <w:spacing w:beforeAutospacing="1" w:afterAutospacing="1" w:line="360" w:lineRule="auto"/>
        <w:jc w:val="both"/>
        <w:rPr>
          <w:rFonts w:ascii="Palatino Linotype" w:eastAsia="Calibri" w:hAnsi="Palatino Linotype"/>
          <w:szCs w:val="22"/>
          <w:lang w:eastAsia="en-US"/>
        </w:rPr>
      </w:pPr>
      <w:r>
        <w:rPr>
          <w:rFonts w:ascii="Palatino Linotype" w:eastAsia="Calibri" w:hAnsi="Palatino Linotype"/>
          <w:szCs w:val="22"/>
          <w:lang w:eastAsia="en-US"/>
        </w:rPr>
        <w:t>Derivado de lo anterior, el artículo 110 de la Ley de Transparencia y Acceso a la Información Pública del Estado de México y Municipios establece el procedimiento de verificación en cita, mismo que se transcribe a continuación:</w:t>
      </w:r>
    </w:p>
    <w:p w:rsidR="00DD4175" w:rsidRDefault="00212EF2">
      <w:pPr>
        <w:ind w:left="851" w:right="618"/>
        <w:jc w:val="both"/>
        <w:rPr>
          <w:rFonts w:ascii="Palatino Linotype" w:eastAsia="Calibri" w:hAnsi="Palatino Linotype"/>
          <w:i/>
          <w:sz w:val="22"/>
          <w:szCs w:val="22"/>
          <w:lang w:eastAsia="en-US"/>
        </w:rPr>
      </w:pPr>
      <w:r>
        <w:rPr>
          <w:rFonts w:ascii="Palatino Linotype" w:eastAsia="Calibri" w:hAnsi="Palatino Linotype"/>
          <w:i/>
          <w:sz w:val="22"/>
          <w:szCs w:val="22"/>
          <w:lang w:eastAsia="en-US"/>
        </w:rPr>
        <w:t xml:space="preserve">“Artículo 110. La verificación que realice el Instituto en el ámbito de sus respectivas competencias, se sujetará a lo siguiente: </w:t>
      </w:r>
    </w:p>
    <w:p w:rsidR="00DD4175" w:rsidRDefault="00212EF2">
      <w:pPr>
        <w:ind w:left="851" w:right="618"/>
        <w:jc w:val="both"/>
        <w:rPr>
          <w:rFonts w:ascii="Palatino Linotype" w:eastAsia="Calibri" w:hAnsi="Palatino Linotype"/>
          <w:i/>
          <w:sz w:val="22"/>
          <w:szCs w:val="22"/>
          <w:lang w:eastAsia="en-US"/>
        </w:rPr>
      </w:pPr>
      <w:r>
        <w:rPr>
          <w:rFonts w:ascii="Palatino Linotype" w:eastAsia="Calibri" w:hAnsi="Palatino Linotype"/>
          <w:i/>
          <w:sz w:val="22"/>
          <w:szCs w:val="22"/>
          <w:lang w:eastAsia="en-US"/>
        </w:rPr>
        <w:t xml:space="preserve">I. Constatar que la información esté completa, publicada y actualizada en tiempo y forma; </w:t>
      </w:r>
    </w:p>
    <w:p w:rsidR="00DD4175" w:rsidRDefault="00212EF2">
      <w:pPr>
        <w:ind w:left="851" w:right="618"/>
        <w:jc w:val="both"/>
        <w:rPr>
          <w:rFonts w:ascii="Palatino Linotype" w:eastAsia="Calibri" w:hAnsi="Palatino Linotype"/>
          <w:i/>
          <w:sz w:val="22"/>
          <w:szCs w:val="22"/>
          <w:lang w:eastAsia="en-US"/>
        </w:rPr>
      </w:pPr>
      <w:r>
        <w:rPr>
          <w:rFonts w:ascii="Palatino Linotype" w:eastAsia="Calibri" w:hAnsi="Palatino Linotype"/>
          <w:i/>
          <w:sz w:val="22"/>
          <w:szCs w:val="22"/>
          <w:lang w:eastAsia="en-US"/>
        </w:rPr>
        <w:t xml:space="preserve">II. Emitir un dictamen en el que podrán determinar que el sujeto obligado se ajusta a lo establecido por esta Ley y demás disposiciones o contrariamente determinar que existe incumplimiento a lo previsto por la Ley y demás disposiciones jurídicas aplicables, en cuyo caso, formulará los requerimientos que procedan a efecto de que el sujeto obligado subsane las inconsistencias detectadas dentro de un plazo no mayor a veinte días hábiles; </w:t>
      </w:r>
    </w:p>
    <w:p w:rsidR="00DD4175" w:rsidRDefault="00212EF2">
      <w:pPr>
        <w:ind w:left="851" w:right="618"/>
        <w:jc w:val="both"/>
        <w:rPr>
          <w:rFonts w:ascii="Palatino Linotype" w:eastAsia="Calibri" w:hAnsi="Palatino Linotype"/>
          <w:i/>
          <w:sz w:val="22"/>
          <w:szCs w:val="22"/>
          <w:lang w:eastAsia="en-US"/>
        </w:rPr>
      </w:pPr>
      <w:r>
        <w:rPr>
          <w:rFonts w:ascii="Palatino Linotype" w:eastAsia="Calibri" w:hAnsi="Palatino Linotype"/>
          <w:i/>
          <w:sz w:val="22"/>
          <w:szCs w:val="22"/>
          <w:lang w:eastAsia="en-US"/>
        </w:rPr>
        <w:t>III. El sujeto obligado deberá informar al Instituto sobre el cumplimiento de los requerimientos del dictamen; y</w:t>
      </w:r>
    </w:p>
    <w:p w:rsidR="00DD4175" w:rsidRDefault="00212EF2">
      <w:pPr>
        <w:ind w:left="851" w:right="618"/>
        <w:jc w:val="both"/>
        <w:rPr>
          <w:rFonts w:ascii="Palatino Linotype" w:eastAsia="Calibri" w:hAnsi="Palatino Linotype"/>
          <w:i/>
          <w:sz w:val="22"/>
          <w:szCs w:val="22"/>
          <w:lang w:eastAsia="en-US"/>
        </w:rPr>
      </w:pPr>
      <w:r>
        <w:rPr>
          <w:rFonts w:ascii="Palatino Linotype" w:eastAsia="Calibri" w:hAnsi="Palatino Linotype"/>
          <w:i/>
          <w:sz w:val="22"/>
          <w:szCs w:val="22"/>
          <w:lang w:eastAsia="en-US"/>
        </w:rPr>
        <w:t xml:space="preserve">IV. El Instituto verificará el cumplimiento de la resolución una vez transcurrido el plazo y si consideran que se dio cumplimiento a los requerimientos del dictamen, se emitirá un acuerdo del cumplimiento. </w:t>
      </w:r>
    </w:p>
    <w:p w:rsidR="00DD4175" w:rsidRDefault="00212EF2">
      <w:pPr>
        <w:ind w:left="851" w:right="618"/>
        <w:jc w:val="both"/>
        <w:rPr>
          <w:rFonts w:ascii="Palatino Linotype" w:eastAsia="Calibri" w:hAnsi="Palatino Linotype"/>
          <w:i/>
          <w:sz w:val="22"/>
          <w:szCs w:val="22"/>
          <w:lang w:eastAsia="en-US"/>
        </w:rPr>
      </w:pPr>
      <w:r>
        <w:rPr>
          <w:rFonts w:ascii="Palatino Linotype" w:eastAsia="Calibri" w:hAnsi="Palatino Linotype"/>
          <w:i/>
          <w:sz w:val="22"/>
          <w:szCs w:val="22"/>
          <w:lang w:eastAsia="en-US"/>
        </w:rPr>
        <w:t xml:space="preserve">El Instituto podrá solicitar los informes complementarios al sujeto obligado que requiera para allegarse de los elementos de juicio que considere necesarios para llevar a cabo la verificación. </w:t>
      </w:r>
    </w:p>
    <w:p w:rsidR="00DD4175" w:rsidRDefault="00212EF2">
      <w:pPr>
        <w:ind w:left="851" w:right="618"/>
        <w:jc w:val="both"/>
        <w:rPr>
          <w:rFonts w:ascii="Palatino Linotype" w:eastAsia="Calibri" w:hAnsi="Palatino Linotype"/>
          <w:i/>
          <w:sz w:val="22"/>
          <w:szCs w:val="22"/>
          <w:lang w:eastAsia="en-US"/>
        </w:rPr>
      </w:pPr>
      <w:r>
        <w:rPr>
          <w:rFonts w:ascii="Palatino Linotype" w:eastAsia="Calibri" w:hAnsi="Palatino Linotype"/>
          <w:i/>
          <w:sz w:val="22"/>
          <w:szCs w:val="22"/>
          <w:lang w:eastAsia="en-US"/>
        </w:rPr>
        <w:t xml:space="preserve">Cuando el Instituto considere que existe un incumplimiento total o parcial de la determinación, le notificarán, por conducto de la Unidad de Transparencia, al superior jerárquico del servidor público responsable de dar cumplimiento, para efecto que en un plazo no mayor a cinco días hábiles se dé cumplimiento a los requerimientos del dictamen. </w:t>
      </w:r>
    </w:p>
    <w:p w:rsidR="00DD4175" w:rsidRDefault="00212EF2">
      <w:pPr>
        <w:ind w:left="851" w:right="618"/>
        <w:jc w:val="both"/>
        <w:rPr>
          <w:rFonts w:ascii="Palatino Linotype" w:eastAsia="Calibri" w:hAnsi="Palatino Linotype"/>
          <w:i/>
          <w:sz w:val="22"/>
          <w:szCs w:val="22"/>
          <w:lang w:eastAsia="en-US"/>
        </w:rPr>
      </w:pPr>
      <w:r>
        <w:rPr>
          <w:rFonts w:ascii="Palatino Linotype" w:eastAsia="Calibri" w:hAnsi="Palatino Linotype"/>
          <w:i/>
          <w:sz w:val="22"/>
          <w:szCs w:val="22"/>
          <w:lang w:eastAsia="en-US"/>
        </w:rPr>
        <w:lastRenderedPageBreak/>
        <w:t>En caso que el Instituto considere que subsiste el incumplimiento total o parcial de la resolución, en un plazo no mayor a cinco días hábiles, se informará al Pleno para que, imponga las medidas de apremio o sanciones, conforme a lo establecido por esta Ley.</w:t>
      </w:r>
    </w:p>
    <w:p w:rsidR="00DD4175" w:rsidRDefault="00212EF2">
      <w:pPr>
        <w:ind w:left="851" w:right="618"/>
        <w:jc w:val="both"/>
        <w:rPr>
          <w:rFonts w:ascii="Palatino Linotype" w:eastAsia="Calibri" w:hAnsi="Palatino Linotype"/>
          <w:i/>
          <w:sz w:val="22"/>
          <w:szCs w:val="22"/>
          <w:lang w:eastAsia="en-US"/>
        </w:rPr>
      </w:pPr>
      <w:r>
        <w:rPr>
          <w:rFonts w:ascii="Palatino Linotype" w:eastAsia="Calibri" w:hAnsi="Palatino Linotype"/>
          <w:i/>
          <w:sz w:val="22"/>
          <w:szCs w:val="22"/>
          <w:lang w:eastAsia="en-US"/>
        </w:rPr>
        <w:t>El personal del Instituto tendrá acceso a la información y documentación de los sujetos obligados para llevar a cabo las verificaciones previstas en el presente Capítulo.” (Sic)</w:t>
      </w:r>
    </w:p>
    <w:p w:rsidR="00DD4175" w:rsidRDefault="00212EF2">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t xml:space="preserve">Precisado lo anterior, es importante señalar que, el día veinte de junio de dos mil dieciocho, el Pleno de este Instituto público en el periódico oficial del Gobierno del Estado de México </w:t>
      </w:r>
      <w:r>
        <w:rPr>
          <w:rFonts w:ascii="Palatino Linotype" w:eastAsia="Calibri" w:hAnsi="Palatino Linotype"/>
          <w:i/>
          <w:lang w:eastAsia="en-US"/>
        </w:rPr>
        <w:t>“Gaceta de Gobierno”,</w:t>
      </w:r>
      <w:r>
        <w:rPr>
          <w:rFonts w:ascii="Palatino Linotype" w:eastAsia="Calibri" w:hAnsi="Palatino Linotype"/>
          <w:lang w:eastAsia="en-US"/>
        </w:rPr>
        <w:t xml:space="preserve"> los Lineamientos para la Verificación Virtual Oficiosa y por Denuncia a los Portales de Internet de las Obligaciones de Transparencia de los Sujetos Obligados o de la Plataforma Nacional de Transparencia, los cuales tienen por objeto establecer la metodología de selección y evaluación; así como, el procedimiento para la realización de la verificación virtual oficiosa y por denuncia a las obligaciones de transparencia, que se encuentran en los Portales de Internet o en la Plataforma Nacional de Transparencia.</w:t>
      </w:r>
    </w:p>
    <w:p w:rsidR="00DD4175" w:rsidRDefault="00212EF2">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t xml:space="preserve">Así las cosas, el Lineamiento CUARTO establece que las actuaciones que se generen con motivo de los procedimientos de verificación virtual constarán preferentemente en formato digital, salvo aquéllas que se generen en forma física; y, que las notificaciones realizadas a los Sujetos Obligados, se podrán hacer por cualquiera de los siguientes medios: a) Sistema de Comunicación entre Organismos Garantes y Sujetos Obligados al que hace referencia los Lineamientos para la implementación y operación de la Plataforma Nacional de Transparencia; b) Correo electrónico institucional de transparencia; c) Domicilio de la Unidad de Transparencia del Sujeto Obligado, o d) En los estrados físicos y/o digitales del Instituto. </w:t>
      </w:r>
    </w:p>
    <w:p w:rsidR="00DD4175" w:rsidRDefault="00212EF2">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lastRenderedPageBreak/>
        <w:t>Asimismo, se prevé que todos los Sujetos Obligados deben acusar de recibo la recepción electrónica de las notificaciones que les fueren practicadas por medio de correo electrónico institucional de transparencia, a más tardar el día hábil siguiente al que las reciban. Transcurrido dicho plazo, con o sin acuse, se tendrá por hecha la notificación.</w:t>
      </w:r>
    </w:p>
    <w:p w:rsidR="00DD4175" w:rsidRDefault="00212EF2">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t>De igual forma, el diverso Lineamiento SÉPTIMO establece que las notificaciones en la verificación virtual deben realizarse dentro del horario laboral y en días hábiles. Las realizadas de manera electrónica cuya recepción se verifique en horario no laboral o en días inhábiles, se considerarán recibidas el día hábil siguiente.</w:t>
      </w:r>
    </w:p>
    <w:p w:rsidR="00DD4175" w:rsidRDefault="00212EF2">
      <w:pPr>
        <w:spacing w:beforeAutospacing="1" w:afterAutospacing="1" w:line="360" w:lineRule="auto"/>
        <w:jc w:val="both"/>
        <w:rPr>
          <w:rFonts w:ascii="Palatino Linotype" w:eastAsia="Calibri" w:hAnsi="Palatino Linotype"/>
          <w:lang w:eastAsia="en-US"/>
        </w:rPr>
      </w:pPr>
      <w:r>
        <w:rPr>
          <w:rFonts w:ascii="Palatino Linotype" w:eastAsia="Calibri" w:hAnsi="Palatino Linotype"/>
          <w:lang w:eastAsia="en-US"/>
        </w:rPr>
        <w:t>Bajo esa óptica, el diverso Lineamiento DÉCIMO CUARTO de los Lineamientos para la Verificación Virtual Oficiosa y por Denuncia a los Portales de Internet de las Obligaciones de Transparencia de los Sujetos Obligados o de la Plataforma Nacional de Transparencia establece la forma en que se desarrolla la verificación virtual oficiosa, destacándose lo siguiente:</w:t>
      </w:r>
    </w:p>
    <w:p w:rsidR="00DD4175" w:rsidRDefault="00212EF2">
      <w:pPr>
        <w:numPr>
          <w:ilvl w:val="0"/>
          <w:numId w:val="4"/>
        </w:numPr>
        <w:spacing w:beforeAutospacing="1" w:line="360" w:lineRule="auto"/>
        <w:contextualSpacing/>
        <w:jc w:val="both"/>
        <w:rPr>
          <w:rFonts w:ascii="Palatino Linotype" w:eastAsia="Calibri" w:hAnsi="Palatino Linotype"/>
          <w:lang w:eastAsia="en-US"/>
        </w:rPr>
      </w:pPr>
      <w:r>
        <w:rPr>
          <w:rFonts w:ascii="Palatino Linotype" w:eastAsia="Calibri" w:hAnsi="Palatino Linotype"/>
          <w:lang w:eastAsia="en-US"/>
        </w:rPr>
        <w:t>De conformidad con la selección aleatoria, se notificará al Sujeto Obligado por lo menos con dos días hábiles de anticipación a practicarse la verificación virtual oficiosa.</w:t>
      </w:r>
    </w:p>
    <w:p w:rsidR="00DD4175" w:rsidRDefault="00212EF2">
      <w:pPr>
        <w:numPr>
          <w:ilvl w:val="0"/>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Se llevará a cabo en las oficinas del Instituto. </w:t>
      </w:r>
    </w:p>
    <w:p w:rsidR="00DD4175" w:rsidRDefault="00212EF2">
      <w:pPr>
        <w:numPr>
          <w:ilvl w:val="0"/>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La verificación virtual se iniciará revisando que en el portal de Internet institucional de cada Sujeto Obligado se encuentre el vínculo de acceso directo al Ipomex, con excepción de aquellos que no tengan, como son las </w:t>
      </w:r>
      <w:r>
        <w:rPr>
          <w:rFonts w:ascii="Palatino Linotype" w:eastAsia="Calibri" w:hAnsi="Palatino Linotype"/>
          <w:lang w:eastAsia="en-US"/>
        </w:rPr>
        <w:lastRenderedPageBreak/>
        <w:t>personas físicas o jurídicas colectivas. Situación que se asentará en el dictamen.</w:t>
      </w:r>
    </w:p>
    <w:p w:rsidR="00DD4175" w:rsidRDefault="00212EF2">
      <w:pPr>
        <w:numPr>
          <w:ilvl w:val="0"/>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De cada verificación virtual se emitirá un dictamen que contendrá cuando menos: </w:t>
      </w:r>
    </w:p>
    <w:p w:rsidR="00DD4175" w:rsidRDefault="00212EF2">
      <w:pPr>
        <w:numPr>
          <w:ilvl w:val="2"/>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Fundamento y motivo para llevarla a cabo;</w:t>
      </w:r>
    </w:p>
    <w:p w:rsidR="00DD4175" w:rsidRDefault="00212EF2">
      <w:pPr>
        <w:numPr>
          <w:ilvl w:val="2"/>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Lugar, hora y fecha de inicio y conclusión; </w:t>
      </w:r>
    </w:p>
    <w:p w:rsidR="00DD4175" w:rsidRDefault="00212EF2">
      <w:pPr>
        <w:numPr>
          <w:ilvl w:val="2"/>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Nombre del Sujeto Obligado; </w:t>
      </w:r>
    </w:p>
    <w:p w:rsidR="00DD4175" w:rsidRDefault="00212EF2">
      <w:pPr>
        <w:numPr>
          <w:ilvl w:val="2"/>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Número de verificación virtual asignado; </w:t>
      </w:r>
    </w:p>
    <w:p w:rsidR="00DD4175" w:rsidRDefault="00212EF2">
      <w:pPr>
        <w:numPr>
          <w:ilvl w:val="2"/>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Nombre y cargo de las personas que la realizan;</w:t>
      </w:r>
    </w:p>
    <w:p w:rsidR="00DD4175" w:rsidRDefault="00212EF2">
      <w:pPr>
        <w:numPr>
          <w:ilvl w:val="2"/>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Dirección electrónica del portal de Internet o de la Plataforma Nacional de Transparencia; </w:t>
      </w:r>
    </w:p>
    <w:p w:rsidR="00DD4175" w:rsidRDefault="00212EF2">
      <w:pPr>
        <w:numPr>
          <w:ilvl w:val="2"/>
          <w:numId w:val="4"/>
        </w:numPr>
        <w:spacing w:line="360" w:lineRule="auto"/>
        <w:contextualSpacing/>
        <w:jc w:val="both"/>
        <w:rPr>
          <w:rFonts w:ascii="Palatino Linotype" w:eastAsia="Calibri" w:hAnsi="Palatino Linotype"/>
          <w:b/>
          <w:lang w:eastAsia="en-US"/>
        </w:rPr>
      </w:pPr>
      <w:r>
        <w:rPr>
          <w:rFonts w:ascii="Palatino Linotype" w:eastAsia="Calibri" w:hAnsi="Palatino Linotype"/>
          <w:b/>
          <w:lang w:eastAsia="en-US"/>
        </w:rPr>
        <w:t xml:space="preserve">Artículos; fracciones e incisos a verificar; </w:t>
      </w:r>
    </w:p>
    <w:p w:rsidR="00DD4175" w:rsidRDefault="00212EF2">
      <w:pPr>
        <w:numPr>
          <w:ilvl w:val="2"/>
          <w:numId w:val="4"/>
        </w:numPr>
        <w:spacing w:line="360" w:lineRule="auto"/>
        <w:contextualSpacing/>
        <w:jc w:val="both"/>
        <w:rPr>
          <w:rFonts w:ascii="Palatino Linotype" w:eastAsia="Calibri" w:hAnsi="Palatino Linotype"/>
          <w:lang w:eastAsia="en-US"/>
        </w:rPr>
      </w:pPr>
      <w:r>
        <w:rPr>
          <w:rFonts w:ascii="Palatino Linotype" w:eastAsia="Calibri" w:hAnsi="Palatino Linotype"/>
          <w:b/>
          <w:lang w:eastAsia="en-US"/>
        </w:rPr>
        <w:t>Artículos, fracciones, incisos y criterios que cumplen o incumplen con la normatividad de la materia; así como las observaciones, recomendaciones, requerimientos y calificación respectivas</w:t>
      </w:r>
      <w:r>
        <w:rPr>
          <w:rFonts w:ascii="Palatino Linotype" w:eastAsia="Calibri" w:hAnsi="Palatino Linotype"/>
          <w:lang w:eastAsia="en-US"/>
        </w:rPr>
        <w:t xml:space="preserve">; </w:t>
      </w:r>
    </w:p>
    <w:p w:rsidR="00DD4175" w:rsidRDefault="00212EF2">
      <w:pPr>
        <w:numPr>
          <w:ilvl w:val="2"/>
          <w:numId w:val="4"/>
        </w:numPr>
        <w:spacing w:line="360" w:lineRule="auto"/>
        <w:contextualSpacing/>
        <w:jc w:val="both"/>
        <w:rPr>
          <w:rFonts w:ascii="Palatino Linotype" w:eastAsia="Calibri" w:hAnsi="Palatino Linotype"/>
          <w:lang w:eastAsia="en-US"/>
        </w:rPr>
      </w:pPr>
      <w:r>
        <w:rPr>
          <w:rFonts w:ascii="Palatino Linotype" w:eastAsia="Calibri" w:hAnsi="Palatino Linotype"/>
          <w:lang w:eastAsia="en-US"/>
        </w:rPr>
        <w:t>Firma al margen de las hojas y al calce de la última hoja de quienes intervienen en la verificación virtual; y</w:t>
      </w:r>
    </w:p>
    <w:p w:rsidR="00DD4175" w:rsidRDefault="00212EF2">
      <w:pPr>
        <w:numPr>
          <w:ilvl w:val="2"/>
          <w:numId w:val="4"/>
        </w:numPr>
        <w:spacing w:afterAutospacing="1"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Fecha en que fenece el plazo otorgado al Sujeto Obligado para el cumplimiento de lo señalado en el dictamen de verificación. </w:t>
      </w:r>
    </w:p>
    <w:p w:rsidR="00DD4175" w:rsidRDefault="00212EF2">
      <w:pPr>
        <w:spacing w:beforeAutospacing="1" w:afterAutospacing="1" w:line="360" w:lineRule="auto"/>
        <w:ind w:left="1080"/>
        <w:jc w:val="both"/>
        <w:rPr>
          <w:rFonts w:ascii="Palatino Linotype" w:eastAsia="Calibri" w:hAnsi="Palatino Linotype"/>
          <w:lang w:eastAsia="en-US"/>
        </w:rPr>
      </w:pPr>
      <w:r>
        <w:rPr>
          <w:rFonts w:ascii="Palatino Linotype" w:eastAsia="Calibri" w:hAnsi="Palatino Linotype"/>
          <w:lang w:eastAsia="en-US"/>
        </w:rPr>
        <w:t xml:space="preserve">En caso de que la verificación virtual no pueda concluirse el día de su inicio, se interrumpirá, levantándose un acta de suspensión que será firmada por quienes hayan intervenido en la misma, y señalará la fecha y hora de su reanudación, continuando en la obligación de transparencia en que haya </w:t>
      </w:r>
      <w:r>
        <w:rPr>
          <w:rFonts w:ascii="Palatino Linotype" w:eastAsia="Calibri" w:hAnsi="Palatino Linotype"/>
          <w:lang w:eastAsia="en-US"/>
        </w:rPr>
        <w:lastRenderedPageBreak/>
        <w:t xml:space="preserve">sido suspendida. Las obligaciones de transparencia verificadas, no serán objeto de nueva revisión. </w:t>
      </w:r>
    </w:p>
    <w:p w:rsidR="00DD4175" w:rsidRDefault="00212EF2">
      <w:pPr>
        <w:numPr>
          <w:ilvl w:val="0"/>
          <w:numId w:val="4"/>
        </w:numPr>
        <w:spacing w:beforeAutospacing="1" w:afterAutospacing="1"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Cuando el resultado de la verificación virtual sea cumplimiento, se dará por concluido el procedimiento y se ordenará el archivo del expediente. Cuando el resultado sea incumplimiento parcial o total, o existan recomendaciones, observaciones y requerimientos; el Sujeto Obligado tendrá el plazo de veinte días hábiles a partir del día siguiente de notificado el dictamen de verificación para dar cumplimiento a éstos. </w:t>
      </w:r>
    </w:p>
    <w:p w:rsidR="00DD4175" w:rsidRDefault="00212EF2">
      <w:pPr>
        <w:spacing w:beforeAutospacing="1" w:afterAutospacing="1" w:line="360" w:lineRule="auto"/>
        <w:ind w:left="1080"/>
        <w:contextualSpacing/>
        <w:jc w:val="both"/>
        <w:rPr>
          <w:rFonts w:ascii="Palatino Linotype" w:eastAsia="Calibri" w:hAnsi="Palatino Linotype"/>
          <w:lang w:eastAsia="en-US"/>
        </w:rPr>
      </w:pPr>
      <w:r>
        <w:rPr>
          <w:rFonts w:ascii="Palatino Linotype" w:eastAsia="Calibri" w:hAnsi="Palatino Linotype"/>
          <w:lang w:eastAsia="en-US"/>
        </w:rPr>
        <w:t xml:space="preserve">En ambos casos, se notificará a la Unidad de Transparencia del Sujeto Obligado, dentro de los tres días hábiles siguientes a su emisión, con copia al titular del Sujeto Obligado. </w:t>
      </w:r>
    </w:p>
    <w:p w:rsidR="00DD4175" w:rsidRDefault="00212EF2">
      <w:pPr>
        <w:numPr>
          <w:ilvl w:val="0"/>
          <w:numId w:val="4"/>
        </w:numPr>
        <w:spacing w:beforeAutospacing="1" w:afterAutospacing="1"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Dentro del plazo otorgado el Sujeto Obligado, a través de su Unidad de Transparencia, deberá informar al Departamento de Verificación sobre el cumplimiento a lo señalado en el dictamen de verificación. </w:t>
      </w:r>
    </w:p>
    <w:p w:rsidR="00DD4175" w:rsidRDefault="00212EF2">
      <w:pPr>
        <w:spacing w:beforeAutospacing="1" w:afterAutospacing="1" w:line="360" w:lineRule="auto"/>
        <w:ind w:left="1080"/>
        <w:contextualSpacing/>
        <w:jc w:val="both"/>
        <w:rPr>
          <w:rFonts w:ascii="Palatino Linotype" w:eastAsia="Calibri" w:hAnsi="Palatino Linotype"/>
          <w:lang w:eastAsia="en-US"/>
        </w:rPr>
      </w:pPr>
      <w:r>
        <w:rPr>
          <w:rFonts w:ascii="Palatino Linotype" w:eastAsia="Calibri" w:hAnsi="Palatino Linotype"/>
          <w:lang w:eastAsia="en-US"/>
        </w:rPr>
        <w:t xml:space="preserve">El informe deberá contener: </w:t>
      </w:r>
    </w:p>
    <w:p w:rsidR="00DD4175" w:rsidRDefault="00212EF2">
      <w:pPr>
        <w:spacing w:beforeAutospacing="1" w:afterAutospacing="1" w:line="360" w:lineRule="auto"/>
        <w:ind w:left="1843" w:hanging="142"/>
        <w:contextualSpacing/>
        <w:jc w:val="both"/>
        <w:rPr>
          <w:rFonts w:ascii="Palatino Linotype" w:eastAsia="Calibri" w:hAnsi="Palatino Linotype"/>
          <w:lang w:eastAsia="en-US"/>
        </w:rPr>
      </w:pPr>
      <w:r>
        <w:rPr>
          <w:rFonts w:ascii="Palatino Linotype" w:eastAsia="Calibri" w:hAnsi="Palatino Linotype"/>
          <w:lang w:eastAsia="en-US"/>
        </w:rPr>
        <w:t>a) Fecha y lugar de elaboración;</w:t>
      </w:r>
    </w:p>
    <w:p w:rsidR="00DD4175" w:rsidRDefault="00212EF2">
      <w:pPr>
        <w:spacing w:beforeAutospacing="1" w:afterAutospacing="1" w:line="360" w:lineRule="auto"/>
        <w:ind w:left="1843" w:hanging="142"/>
        <w:contextualSpacing/>
        <w:jc w:val="both"/>
        <w:rPr>
          <w:rFonts w:ascii="Palatino Linotype" w:eastAsia="Calibri" w:hAnsi="Palatino Linotype"/>
          <w:lang w:eastAsia="en-US"/>
        </w:rPr>
      </w:pPr>
      <w:r>
        <w:rPr>
          <w:rFonts w:ascii="Palatino Linotype" w:eastAsia="Calibri" w:hAnsi="Palatino Linotype"/>
          <w:lang w:eastAsia="en-US"/>
        </w:rPr>
        <w:t xml:space="preserve">b) Nombre, cargo y firma de quien elaboró el informe; </w:t>
      </w:r>
    </w:p>
    <w:p w:rsidR="00DD4175" w:rsidRDefault="00212EF2">
      <w:pPr>
        <w:spacing w:beforeAutospacing="1" w:afterAutospacing="1" w:line="360" w:lineRule="auto"/>
        <w:ind w:left="1843" w:hanging="142"/>
        <w:contextualSpacing/>
        <w:jc w:val="both"/>
        <w:rPr>
          <w:rFonts w:ascii="Palatino Linotype" w:eastAsia="Calibri" w:hAnsi="Palatino Linotype"/>
          <w:lang w:eastAsia="en-US"/>
        </w:rPr>
      </w:pPr>
      <w:r>
        <w:rPr>
          <w:rFonts w:ascii="Palatino Linotype" w:eastAsia="Calibri" w:hAnsi="Palatino Linotype"/>
          <w:lang w:eastAsia="en-US"/>
        </w:rPr>
        <w:t xml:space="preserve">c) Nombre y cargo de los servidores públicos habilitados responsables, así como de su superior jerárquico, de atender el cumplimento a cada una de las observaciones, requerimientos o recomendaciones del dictamen de verificación; y </w:t>
      </w:r>
    </w:p>
    <w:p w:rsidR="00DD4175" w:rsidRDefault="00212EF2">
      <w:pPr>
        <w:spacing w:beforeAutospacing="1" w:afterAutospacing="1" w:line="360" w:lineRule="auto"/>
        <w:ind w:left="1843" w:hanging="142"/>
        <w:contextualSpacing/>
        <w:jc w:val="both"/>
        <w:rPr>
          <w:rFonts w:ascii="Palatino Linotype" w:eastAsia="Calibri" w:hAnsi="Palatino Linotype"/>
          <w:lang w:eastAsia="en-US"/>
        </w:rPr>
      </w:pPr>
      <w:r>
        <w:rPr>
          <w:rFonts w:ascii="Palatino Linotype" w:eastAsia="Calibri" w:hAnsi="Palatino Linotype"/>
          <w:lang w:eastAsia="en-US"/>
        </w:rPr>
        <w:t xml:space="preserve">d) Artículos, fracciones, incisos y criterios verificados; observaciones, requerimientos o recomendaciones emitidos en la verificación y, </w:t>
      </w:r>
      <w:r>
        <w:rPr>
          <w:rFonts w:ascii="Palatino Linotype" w:eastAsia="Calibri" w:hAnsi="Palatino Linotype"/>
          <w:lang w:eastAsia="en-US"/>
        </w:rPr>
        <w:lastRenderedPageBreak/>
        <w:t xml:space="preserve">respecto de cada uno, la descripción de las acciones realizadas para la solventación de los mismos. </w:t>
      </w:r>
    </w:p>
    <w:p w:rsidR="00DD4175" w:rsidRDefault="00212EF2">
      <w:pPr>
        <w:numPr>
          <w:ilvl w:val="0"/>
          <w:numId w:val="4"/>
        </w:numPr>
        <w:spacing w:beforeAutospacing="1" w:afterAutospacing="1"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 Al vencimiento del plazo, recibido o no el informe, se verificará el cumplimiento a lo señalado en el dictamen de verificación.</w:t>
      </w:r>
    </w:p>
    <w:p w:rsidR="00DD4175" w:rsidRDefault="00212EF2">
      <w:pPr>
        <w:spacing w:beforeAutospacing="1" w:afterAutospacing="1" w:line="360" w:lineRule="auto"/>
        <w:ind w:left="1080"/>
        <w:jc w:val="both"/>
        <w:rPr>
          <w:rFonts w:ascii="Palatino Linotype" w:eastAsia="Calibri" w:hAnsi="Palatino Linotype"/>
          <w:lang w:eastAsia="en-US"/>
        </w:rPr>
      </w:pPr>
      <w:r>
        <w:rPr>
          <w:rFonts w:ascii="Palatino Linotype" w:eastAsia="Calibri" w:hAnsi="Palatino Linotype"/>
          <w:lang w:eastAsia="en-US"/>
        </w:rPr>
        <w:t xml:space="preserve">En caso de cumplimiento, se emitirá el acuerdo correspondiente, el cual dará por concluido el procedimiento y ordenará el archivo del expediente; notificando al Sujeto Obligado dentro de los tres días hábiles siguientes a su emisión. </w:t>
      </w:r>
    </w:p>
    <w:p w:rsidR="00DD4175" w:rsidRDefault="00212EF2">
      <w:pPr>
        <w:spacing w:beforeAutospacing="1" w:afterAutospacing="1" w:line="360" w:lineRule="auto"/>
        <w:ind w:left="1080"/>
        <w:jc w:val="both"/>
        <w:rPr>
          <w:rFonts w:ascii="Palatino Linotype" w:eastAsia="Calibri" w:hAnsi="Palatino Linotype"/>
          <w:lang w:eastAsia="en-US"/>
        </w:rPr>
      </w:pPr>
      <w:r>
        <w:rPr>
          <w:rFonts w:ascii="Palatino Linotype" w:eastAsia="Calibri" w:hAnsi="Palatino Linotype"/>
          <w:lang w:eastAsia="en-US"/>
        </w:rPr>
        <w:t xml:space="preserve">En caso de incumplimiento parcial o total, el acuerdo respectivo será notificado dentro de los tres días hábiles siguientes a su emisión, por conducto de su Unidad de Transparencia, al superior jerárquico del servidor público responsable de atender lo señalado en el dictamen de verificación, para que en un plazo no mayor a cinco días hábiles, contado a partir del día hábil siguiente a la notificación, se dé cumplimiento. </w:t>
      </w:r>
    </w:p>
    <w:p w:rsidR="00DD4175" w:rsidRDefault="00212EF2">
      <w:pPr>
        <w:numPr>
          <w:ilvl w:val="0"/>
          <w:numId w:val="4"/>
        </w:numPr>
        <w:spacing w:beforeAutospacing="1" w:afterAutospacing="1" w:line="360" w:lineRule="auto"/>
        <w:contextualSpacing/>
        <w:jc w:val="both"/>
        <w:rPr>
          <w:rFonts w:ascii="Palatino Linotype" w:eastAsia="Calibri" w:hAnsi="Palatino Linotype"/>
          <w:lang w:eastAsia="en-US"/>
        </w:rPr>
      </w:pPr>
      <w:r>
        <w:rPr>
          <w:rFonts w:ascii="Palatino Linotype" w:eastAsia="Calibri" w:hAnsi="Palatino Linotype"/>
          <w:lang w:eastAsia="en-US"/>
        </w:rPr>
        <w:t xml:space="preserve">Al vencimiento del plazo de cinco días hábiles, se revisará el cumplimiento a las observaciones, requerimientos o recomendaciones. </w:t>
      </w:r>
    </w:p>
    <w:p w:rsidR="00DD4175" w:rsidRDefault="00212EF2">
      <w:pPr>
        <w:spacing w:beforeAutospacing="1" w:afterAutospacing="1" w:line="360" w:lineRule="auto"/>
        <w:ind w:left="1080"/>
        <w:contextualSpacing/>
        <w:jc w:val="both"/>
        <w:rPr>
          <w:rFonts w:ascii="Palatino Linotype" w:eastAsia="Calibri" w:hAnsi="Palatino Linotype"/>
          <w:lang w:eastAsia="en-US"/>
        </w:rPr>
      </w:pPr>
      <w:r>
        <w:rPr>
          <w:rFonts w:ascii="Palatino Linotype" w:eastAsia="Calibri" w:hAnsi="Palatino Linotype"/>
          <w:lang w:eastAsia="en-US"/>
        </w:rPr>
        <w:t xml:space="preserve">En el supuesto de cumplimiento, se emitirá el acuerdo respectivo donde se asentará que la verificación virtual concluye y se ordenará su archivo, mismo que se notificará al Sujeto Obligado dentro de los tres días hábiles siguientes a su emisión. </w:t>
      </w:r>
    </w:p>
    <w:p w:rsidR="00DD4175" w:rsidRDefault="00212EF2">
      <w:pPr>
        <w:spacing w:beforeAutospacing="1" w:afterAutospacing="1" w:line="360" w:lineRule="auto"/>
        <w:ind w:left="1080"/>
        <w:contextualSpacing/>
        <w:jc w:val="both"/>
        <w:rPr>
          <w:rFonts w:ascii="Palatino Linotype" w:eastAsia="Calibri" w:hAnsi="Palatino Linotype"/>
          <w:lang w:eastAsia="en-US"/>
        </w:rPr>
      </w:pPr>
      <w:r>
        <w:rPr>
          <w:rFonts w:ascii="Palatino Linotype" w:eastAsia="Calibri" w:hAnsi="Palatino Linotype"/>
          <w:lang w:eastAsia="en-US"/>
        </w:rPr>
        <w:t xml:space="preserve">En caso de incumplimiento total o parcial, en un plazo no mayor a cinco días hábiles a partir de la revisión, mediante el acuerdo respectivo, se turnará el </w:t>
      </w:r>
      <w:r>
        <w:rPr>
          <w:rFonts w:ascii="Palatino Linotype" w:eastAsia="Calibri" w:hAnsi="Palatino Linotype"/>
          <w:lang w:eastAsia="en-US"/>
        </w:rPr>
        <w:lastRenderedPageBreak/>
        <w:t>expediente a la Contraloría Interna para que, en su caso, imponga las sanciones o determinaciones que resulten procedentes.</w:t>
      </w:r>
    </w:p>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En mérito de lo expuesto, es claro que </w:t>
      </w:r>
      <w:r>
        <w:rPr>
          <w:rFonts w:ascii="Palatino Linotype" w:eastAsia="Calibri" w:hAnsi="Palatino Linotype" w:cs="Arial"/>
          <w:b/>
        </w:rPr>
        <w:t>EL SUJETO OBLIGADO</w:t>
      </w:r>
      <w:r>
        <w:rPr>
          <w:rFonts w:ascii="Palatino Linotype" w:eastAsia="Calibri" w:hAnsi="Palatino Linotype" w:cs="Arial"/>
        </w:rPr>
        <w:t xml:space="preserve"> debe contar con la información solicitada.</w:t>
      </w:r>
    </w:p>
    <w:p w:rsidR="00DD4175" w:rsidRDefault="00212EF2">
      <w:pPr>
        <w:spacing w:beforeAutospacing="1" w:afterAutospacing="1" w:line="360" w:lineRule="auto"/>
        <w:jc w:val="both"/>
        <w:rPr>
          <w:rFonts w:ascii="Palatino Linotype" w:hAnsi="Palatino Linotype" w:cs="Arial"/>
        </w:rPr>
      </w:pPr>
      <w:r>
        <w:rPr>
          <w:rFonts w:ascii="Palatino Linotype" w:hAnsi="Palatino Linotype" w:cs="Arial"/>
        </w:rPr>
        <w:t xml:space="preserve">Ahora bien, por cuanto hace a la solicitud de acceso a la información, marcada con el numeral 2, relativa al documento donde conste el porcentaje de cumplimiento obtenido de dicha verificación, este Instituto advirtió que, si bien es cierto </w:t>
      </w:r>
      <w:r>
        <w:rPr>
          <w:rFonts w:ascii="Palatino Linotype" w:hAnsi="Palatino Linotype" w:cs="Arial"/>
          <w:b/>
        </w:rPr>
        <w:t>EL SUJETO OBLIGADO</w:t>
      </w:r>
      <w:r>
        <w:rPr>
          <w:rFonts w:ascii="Palatino Linotype" w:hAnsi="Palatino Linotype" w:cs="Arial"/>
        </w:rPr>
        <w:t xml:space="preserve"> rindió una liga electrónica donde puede verificarse el dato solicitado, incluso aquel relativo al OPDAPAS</w:t>
      </w:r>
      <w:r>
        <w:rPr>
          <w:rStyle w:val="Ancladenotaalpie"/>
          <w:rFonts w:ascii="Palatino Linotype" w:hAnsi="Palatino Linotype" w:cs="Arial"/>
        </w:rPr>
        <w:footnoteReference w:id="4"/>
      </w:r>
      <w:r>
        <w:rPr>
          <w:rFonts w:ascii="Palatino Linotype" w:hAnsi="Palatino Linotype" w:cs="Arial"/>
        </w:rPr>
        <w:t xml:space="preserve">; también lo es, que del análisis realizado al ejercicio 2019, no se advirtió que se haya realizado la verificación virtual oficiosa al DIF. Situación que se destaca en este acto, máxime que en líneas posteriores se detallará lo referente a la incompetencia del </w:t>
      </w:r>
      <w:r>
        <w:rPr>
          <w:rFonts w:ascii="Palatino Linotype" w:hAnsi="Palatino Linotype" w:cs="Arial"/>
          <w:b/>
        </w:rPr>
        <w:t>SUJETO OBLIGADO</w:t>
      </w:r>
      <w:r>
        <w:rPr>
          <w:rFonts w:ascii="Palatino Linotype" w:hAnsi="Palatino Linotype" w:cs="Arial"/>
        </w:rPr>
        <w:t xml:space="preserve"> respecto a la información de dichos organismos auxiliares.</w:t>
      </w:r>
    </w:p>
    <w:p w:rsidR="00DD4175" w:rsidRDefault="00212EF2">
      <w:pPr>
        <w:spacing w:beforeAutospacing="1" w:afterAutospacing="1" w:line="360" w:lineRule="auto"/>
        <w:jc w:val="both"/>
        <w:rPr>
          <w:rFonts w:ascii="Palatino Linotype" w:hAnsi="Palatino Linotype" w:cs="Arial"/>
        </w:rPr>
      </w:pPr>
      <w:r>
        <w:rPr>
          <w:rFonts w:ascii="Palatino Linotype" w:hAnsi="Palatino Linotype" w:cs="Arial"/>
        </w:rPr>
        <w:t xml:space="preserve">Ahora bien, no se omite mencionar que, tanto la Ley de Transparencia y Acceso a la Información Pública del Estado de México y Municipios como los </w:t>
      </w:r>
      <w:r>
        <w:rPr>
          <w:rFonts w:ascii="Palatino Linotype" w:eastAsia="Calibri" w:hAnsi="Palatino Linotype"/>
          <w:lang w:eastAsia="en-US"/>
        </w:rPr>
        <w:t xml:space="preserve">Lineamientos para la Verificación Virtual Oficiosa y por Denuncia a los Portales de Internet de las Obligaciones de Transparencia de los Sujetos Obligados o de la Plataforma Nacional de Transparencia establecen que el </w:t>
      </w:r>
      <w:r>
        <w:rPr>
          <w:rFonts w:ascii="Palatino Linotype" w:hAnsi="Palatino Linotype"/>
        </w:rPr>
        <w:t xml:space="preserve">orden en que serán verificados los Sujetos Obligados se determinará mediante una selección aleatoria del padrón de Sujetos Obligados en materia de Transparencia y Acceso a la Información Pública del Estado </w:t>
      </w:r>
      <w:r>
        <w:rPr>
          <w:rFonts w:ascii="Palatino Linotype" w:hAnsi="Palatino Linotype"/>
        </w:rPr>
        <w:lastRenderedPageBreak/>
        <w:t>de México y Municipios y que la verificación del cumplimiento de las obligaciones de transparencia aplicables a cada Sujeto Obligado y de los registros, se realizará mediante la selección de una muestra aleatoria simple. Motivo por el cual, en el ejercicio fiscal referido por el particular no se realizó la verificación al DIF.</w:t>
      </w:r>
    </w:p>
    <w:p w:rsidR="00DD4175" w:rsidRDefault="00212EF2">
      <w:pPr>
        <w:spacing w:beforeAutospacing="1" w:afterAutospacing="1" w:line="360" w:lineRule="auto"/>
        <w:jc w:val="both"/>
        <w:rPr>
          <w:rFonts w:ascii="Palatino Linotype" w:eastAsia="Calibri" w:hAnsi="Palatino Linotype" w:cs="Arial"/>
        </w:rPr>
      </w:pPr>
      <w:r>
        <w:rPr>
          <w:rFonts w:ascii="Palatino Linotype" w:hAnsi="Palatino Linotype" w:cs="Arial"/>
        </w:rPr>
        <w:t>Finalmente, por cuanto hace a las solicitudes de acceso a la información relativas al OPDAPAS, este Instituto precisa que, de conformidad con</w:t>
      </w:r>
      <w:r>
        <w:rPr>
          <w:rFonts w:ascii="Palatino Linotype" w:eastAsia="Calibri" w:hAnsi="Palatino Linotype" w:cs="Arial"/>
        </w:rPr>
        <w:t xml:space="preserve"> el artículo 167 de la Ley de Transparencia y Acceso a la Información Pública, se estipula que cuando </w:t>
      </w:r>
      <w:r>
        <w:rPr>
          <w:rFonts w:ascii="Palatino Linotype" w:eastAsia="Calibri" w:hAnsi="Palatino Linotype" w:cs="Arial"/>
          <w:b/>
        </w:rPr>
        <w:t>EL SUJETO OBLIGADO</w:t>
      </w:r>
      <w:r>
        <w:rPr>
          <w:rFonts w:ascii="Palatino Linotype" w:eastAsia="Calibri" w:hAnsi="Palatino Linotype" w:cs="Arial"/>
        </w:rPr>
        <w:t xml:space="preserve"> sea incompetente para dar contestación a la solicitud de información deberá notificar al particular y de ser el caso orientarlo con el Sujeto Obligado competente, situación que no se advirtió en la respuesta; incompetencia que tiene que ser aprobada por el Comité de Transparencia del </w:t>
      </w:r>
      <w:r>
        <w:rPr>
          <w:rFonts w:ascii="Palatino Linotype" w:eastAsia="Calibri" w:hAnsi="Palatino Linotype" w:cs="Arial"/>
          <w:b/>
        </w:rPr>
        <w:t>SUJETO OBLIGADO,</w:t>
      </w:r>
      <w:r>
        <w:rPr>
          <w:rFonts w:ascii="Palatino Linotype" w:eastAsia="Calibri" w:hAnsi="Palatino Linotype" w:cs="Arial"/>
        </w:rPr>
        <w:t xml:space="preserve"> en términos del artículo 49, fracciones I y II de la Ley de Transparencia y Acceso a la Información Pública del Estado de México y Municipios, que literalmente señala:</w:t>
      </w:r>
    </w:p>
    <w:p w:rsidR="00DD4175" w:rsidRDefault="00212EF2">
      <w:pPr>
        <w:ind w:left="851" w:right="899"/>
        <w:jc w:val="both"/>
        <w:rPr>
          <w:rFonts w:ascii="Palatino Linotype" w:eastAsia="Calibri" w:hAnsi="Palatino Linotype" w:cs="Arial"/>
          <w:i/>
          <w:sz w:val="22"/>
        </w:rPr>
      </w:pPr>
      <w:r>
        <w:rPr>
          <w:rFonts w:ascii="Palatino Linotype" w:eastAsia="Calibri" w:hAnsi="Palatino Linotype" w:cs="Arial"/>
          <w:i/>
          <w:sz w:val="22"/>
        </w:rPr>
        <w:t>“</w:t>
      </w:r>
      <w:r>
        <w:rPr>
          <w:rFonts w:ascii="Palatino Linotype" w:eastAsia="Calibri" w:hAnsi="Palatino Linotype" w:cs="Arial"/>
          <w:b/>
          <w:i/>
          <w:sz w:val="22"/>
        </w:rPr>
        <w:t>Artículo 49</w:t>
      </w:r>
      <w:r>
        <w:rPr>
          <w:rFonts w:ascii="Palatino Linotype" w:eastAsia="Calibri" w:hAnsi="Palatino Linotype" w:cs="Arial"/>
          <w:i/>
          <w:sz w:val="22"/>
        </w:rPr>
        <w:t>. Los Comités de Transparencia tendrán las siguientes atribuciones:</w:t>
      </w:r>
    </w:p>
    <w:p w:rsidR="00DD4175" w:rsidRDefault="00212EF2">
      <w:pPr>
        <w:ind w:left="851" w:right="899"/>
        <w:jc w:val="both"/>
        <w:rPr>
          <w:rFonts w:ascii="Palatino Linotype" w:eastAsia="Calibri" w:hAnsi="Palatino Linotype" w:cs="Arial"/>
          <w:i/>
          <w:sz w:val="22"/>
        </w:rPr>
      </w:pPr>
      <w:r>
        <w:rPr>
          <w:rFonts w:ascii="Palatino Linotype" w:eastAsia="Calibri" w:hAnsi="Palatino Linotype" w:cs="Arial"/>
          <w:b/>
          <w:i/>
          <w:sz w:val="22"/>
        </w:rPr>
        <w:t>I</w:t>
      </w:r>
      <w:r>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DD4175" w:rsidRDefault="00212EF2">
      <w:pPr>
        <w:ind w:left="851" w:right="899"/>
        <w:jc w:val="both"/>
        <w:rPr>
          <w:rFonts w:ascii="Palatino Linotype" w:eastAsia="Calibri" w:hAnsi="Palatino Linotype" w:cs="Arial"/>
          <w:i/>
          <w:sz w:val="22"/>
        </w:rPr>
      </w:pPr>
      <w:r>
        <w:rPr>
          <w:rFonts w:ascii="Palatino Linotype" w:eastAsia="Calibri" w:hAnsi="Palatino Linotype" w:cs="Arial"/>
          <w:b/>
          <w:i/>
          <w:sz w:val="22"/>
        </w:rPr>
        <w:t>II</w:t>
      </w:r>
      <w:r>
        <w:rPr>
          <w:rFonts w:ascii="Palatino Linotype" w:eastAsia="Calibri" w:hAnsi="Palatino Linotype" w:cs="Arial"/>
          <w:i/>
          <w:sz w:val="22"/>
        </w:rPr>
        <w:t xml:space="preserve">. </w:t>
      </w:r>
      <w:r>
        <w:rPr>
          <w:rFonts w:ascii="Palatino Linotype" w:eastAsia="Calibri" w:hAnsi="Palatino Linotype" w:cs="Arial"/>
          <w:b/>
          <w:i/>
          <w:sz w:val="22"/>
        </w:rPr>
        <w:t>Confirmar, modificar o revocar</w:t>
      </w:r>
      <w:r>
        <w:rPr>
          <w:rFonts w:ascii="Palatino Linotype" w:eastAsia="Calibri" w:hAnsi="Palatino Linotype" w:cs="Arial"/>
          <w:i/>
          <w:sz w:val="22"/>
        </w:rPr>
        <w:t xml:space="preserve"> las determinaciones que en materia de ampliación del plazo de respuesta, clasificación de la información y </w:t>
      </w:r>
      <w:r>
        <w:rPr>
          <w:rFonts w:ascii="Palatino Linotype" w:eastAsia="Calibri" w:hAnsi="Palatino Linotype" w:cs="Arial"/>
          <w:b/>
          <w:i/>
          <w:sz w:val="22"/>
        </w:rPr>
        <w:t>declaración</w:t>
      </w:r>
      <w:r>
        <w:rPr>
          <w:rFonts w:ascii="Palatino Linotype" w:eastAsia="Calibri" w:hAnsi="Palatino Linotype" w:cs="Arial"/>
          <w:i/>
          <w:sz w:val="22"/>
        </w:rPr>
        <w:t xml:space="preserve"> de inexistencia o </w:t>
      </w:r>
      <w:r>
        <w:rPr>
          <w:rFonts w:ascii="Palatino Linotype" w:eastAsia="Calibri" w:hAnsi="Palatino Linotype" w:cs="Arial"/>
          <w:b/>
          <w:i/>
          <w:sz w:val="22"/>
        </w:rPr>
        <w:t>de incompetencia</w:t>
      </w:r>
      <w:r>
        <w:rPr>
          <w:rFonts w:ascii="Palatino Linotype" w:eastAsia="Calibri" w:hAnsi="Palatino Linotype" w:cs="Arial"/>
          <w:i/>
          <w:sz w:val="22"/>
        </w:rPr>
        <w:t xml:space="preserve"> realicen los titulares de las áreas de los sujetos obligados…”</w:t>
      </w:r>
    </w:p>
    <w:p w:rsidR="00DD4175" w:rsidRDefault="00212EF2">
      <w:pPr>
        <w:ind w:left="851" w:right="899"/>
        <w:jc w:val="both"/>
        <w:rPr>
          <w:rFonts w:ascii="Palatino Linotype" w:eastAsia="Calibri" w:hAnsi="Palatino Linotype" w:cs="Arial"/>
          <w:sz w:val="22"/>
        </w:rPr>
      </w:pPr>
      <w:r>
        <w:rPr>
          <w:rFonts w:ascii="Palatino Linotype" w:eastAsia="Calibri" w:hAnsi="Palatino Linotype" w:cs="Arial"/>
          <w:sz w:val="22"/>
        </w:rPr>
        <w:t>(Énfasis añadido)</w:t>
      </w:r>
    </w:p>
    <w:p w:rsidR="00DD4175" w:rsidRDefault="00212EF2">
      <w:pPr>
        <w:spacing w:beforeAutospacing="1" w:afterAutospacing="1" w:line="360" w:lineRule="auto"/>
        <w:jc w:val="both"/>
        <w:rPr>
          <w:rFonts w:ascii="Palatino Linotype" w:eastAsia="Calibri" w:hAnsi="Palatino Linotype" w:cs="Arial"/>
        </w:rPr>
      </w:pPr>
      <w:r>
        <w:rPr>
          <w:rFonts w:ascii="Palatino Linotype" w:eastAsia="Calibri" w:hAnsi="Palatino Linotype" w:cs="Arial"/>
        </w:rPr>
        <w:t xml:space="preserve">En efecto, si bien </w:t>
      </w:r>
      <w:r>
        <w:rPr>
          <w:rFonts w:ascii="Palatino Linotype" w:eastAsia="Calibri" w:hAnsi="Palatino Linotype" w:cs="Arial"/>
          <w:b/>
        </w:rPr>
        <w:t>EL SUJETO OBLIGADO</w:t>
      </w:r>
      <w:r>
        <w:rPr>
          <w:rFonts w:ascii="Palatino Linotype" w:eastAsia="Calibri" w:hAnsi="Palatino Linotype" w:cs="Arial"/>
        </w:rPr>
        <w:t xml:space="preserve"> no tiene competencia para administrar, generar o poseer la información solicitada por </w:t>
      </w:r>
      <w:r>
        <w:rPr>
          <w:rFonts w:ascii="Palatino Linotype" w:eastAsia="Calibri" w:hAnsi="Palatino Linotype" w:cs="Arial"/>
          <w:b/>
        </w:rPr>
        <w:t xml:space="preserve">EL RECURRENTE </w:t>
      </w:r>
      <w:r>
        <w:rPr>
          <w:rFonts w:ascii="Palatino Linotype" w:eastAsia="Calibri" w:hAnsi="Palatino Linotype" w:cs="Arial"/>
        </w:rPr>
        <w:t xml:space="preserve">en el presente asunto, en virtud de ser atribución del OPDAPAS, como se vio anteriormente, también lo es que, dicha incompetencia debió haber sido confirmada, modificada o revocada </w:t>
      </w:r>
      <w:r>
        <w:rPr>
          <w:rFonts w:ascii="Palatino Linotype" w:eastAsia="Calibri" w:hAnsi="Palatino Linotype" w:cs="Arial"/>
        </w:rPr>
        <w:lastRenderedPageBreak/>
        <w:t xml:space="preserve">por el Comité de Transparencia del </w:t>
      </w:r>
      <w:r>
        <w:rPr>
          <w:rFonts w:ascii="Palatino Linotype" w:eastAsia="Calibri" w:hAnsi="Palatino Linotype" w:cs="Arial"/>
          <w:b/>
        </w:rPr>
        <w:t>SUJETO OBLIGADO,</w:t>
      </w:r>
      <w:r>
        <w:rPr>
          <w:rFonts w:ascii="Palatino Linotype" w:eastAsia="Calibri" w:hAnsi="Palatino Linotype" w:cs="Arial"/>
        </w:rPr>
        <w:t xml:space="preserve"> en términos del precepto legal referido, razón por la cual se considera viable ordenar al </w:t>
      </w:r>
      <w:r>
        <w:rPr>
          <w:rFonts w:ascii="Palatino Linotype" w:eastAsia="Calibri" w:hAnsi="Palatino Linotype" w:cs="Arial"/>
          <w:b/>
        </w:rPr>
        <w:t>SUJETO OBLIGADO</w:t>
      </w:r>
      <w:r>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w:t>
      </w:r>
      <w:r>
        <w:rPr>
          <w:rFonts w:ascii="Palatino Linotype" w:eastAsia="Calibri" w:hAnsi="Palatino Linotype" w:cs="Arial"/>
          <w:b/>
        </w:rPr>
        <w:t>EL RECURRENTE</w:t>
      </w:r>
      <w:r>
        <w:rPr>
          <w:rFonts w:ascii="Palatino Linotype" w:eastAsia="Calibri" w:hAnsi="Palatino Linotype" w:cs="Arial"/>
        </w:rPr>
        <w:t>, debiendo notificarle de igual forma el Acuerdo de referencia.</w:t>
      </w:r>
    </w:p>
    <w:p w:rsidR="00DD4175" w:rsidRDefault="00212EF2">
      <w:pPr>
        <w:spacing w:beforeAutospacing="1" w:afterAutospacing="1" w:line="360" w:lineRule="auto"/>
        <w:jc w:val="both"/>
        <w:rPr>
          <w:rFonts w:ascii="Palatino Linotype" w:eastAsia="Calibri" w:hAnsi="Palatino Linotype" w:cs="Arial"/>
        </w:rPr>
      </w:pPr>
      <w:r>
        <w:rPr>
          <w:rFonts w:ascii="Palatino Linotype" w:eastAsia="Calibri" w:hAnsi="Palatino Linotype" w:cs="Arial"/>
        </w:rPr>
        <w:t xml:space="preserve">No obstante lo anterior, y bajo los principios de certeza, eficacia y objetividad, establecidos en el artículo 9 de la Ley de Transparencia y Acceso a la Información Pública del Estado de México y Municipios y derivado de que la información requerida corresponde con atribuciones de un Sujeto Obligado distinto al que le fue presentada la solicitud, y a fin de no dilatar el derecho de acceso a la información, se dejan a salvo los derechos del </w:t>
      </w:r>
      <w:r>
        <w:rPr>
          <w:rFonts w:ascii="Palatino Linotype" w:eastAsia="Calibri" w:hAnsi="Palatino Linotype" w:cs="Arial"/>
          <w:b/>
        </w:rPr>
        <w:t>RECURRENTE</w:t>
      </w:r>
      <w:r>
        <w:rPr>
          <w:rFonts w:ascii="Palatino Linotype" w:eastAsia="Calibri" w:hAnsi="Palatino Linotype" w:cs="Arial"/>
        </w:rPr>
        <w:t xml:space="preserve"> para que pueda realizar la solicitud de información ante el Sujeto Obligado correspondiente.</w:t>
      </w:r>
    </w:p>
    <w:p w:rsidR="00DD4175" w:rsidRDefault="00212EF2">
      <w:pPr>
        <w:spacing w:beforeAutospacing="1" w:afterAutospacing="1" w:line="360" w:lineRule="auto"/>
        <w:jc w:val="both"/>
        <w:rPr>
          <w:rFonts w:ascii="Palatino Linotype" w:hAnsi="Palatino Linotype" w:cs="Arial"/>
        </w:rPr>
      </w:pPr>
      <w:r>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DD4175" w:rsidRDefault="00212EF2">
      <w:pPr>
        <w:ind w:left="851" w:right="902"/>
        <w:jc w:val="both"/>
        <w:rPr>
          <w:rFonts w:ascii="Palatino Linotype" w:hAnsi="Palatino Linotype"/>
          <w:i/>
          <w:sz w:val="22"/>
        </w:rPr>
      </w:pPr>
      <w:r>
        <w:rPr>
          <w:rFonts w:ascii="Palatino Linotype" w:hAnsi="Palatino Linotype"/>
          <w:i/>
          <w:sz w:val="22"/>
        </w:rPr>
        <w:t>“</w:t>
      </w:r>
      <w:r>
        <w:rPr>
          <w:rFonts w:ascii="Palatino Linotype" w:hAnsi="Palatino Linotype"/>
          <w:b/>
          <w:i/>
          <w:sz w:val="22"/>
        </w:rPr>
        <w:t xml:space="preserve">Artículo 163. La Unidad de Transparencia deberá notificar la respuesta a la solicitud al interesado en el menor tiempo posible, que no podrá exceder </w:t>
      </w:r>
      <w:r>
        <w:rPr>
          <w:rFonts w:ascii="Palatino Linotype" w:hAnsi="Palatino Linotype"/>
          <w:b/>
          <w:i/>
          <w:sz w:val="22"/>
        </w:rPr>
        <w:lastRenderedPageBreak/>
        <w:t>de quince días hábiles</w:t>
      </w:r>
      <w:r>
        <w:rPr>
          <w:rFonts w:ascii="Palatino Linotype" w:hAnsi="Palatino Linotype"/>
          <w:i/>
          <w:sz w:val="22"/>
        </w:rPr>
        <w:t xml:space="preserve">, contados a partir del día siguiente a la presentación de aquélla. </w:t>
      </w:r>
    </w:p>
    <w:p w:rsidR="00DD4175" w:rsidRDefault="00212EF2">
      <w:pPr>
        <w:ind w:left="851" w:right="902"/>
        <w:jc w:val="both"/>
        <w:rPr>
          <w:rFonts w:ascii="Palatino Linotype" w:hAnsi="Palatino Linotype"/>
          <w:i/>
          <w:sz w:val="22"/>
        </w:rPr>
      </w:pPr>
      <w:r>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DD4175" w:rsidRDefault="00212EF2">
      <w:pPr>
        <w:ind w:left="851" w:right="902"/>
        <w:jc w:val="both"/>
        <w:rPr>
          <w:rFonts w:ascii="Palatino Linotype" w:hAnsi="Palatino Linotype"/>
          <w:sz w:val="22"/>
        </w:rPr>
      </w:pPr>
      <w:r>
        <w:rPr>
          <w:rFonts w:ascii="Palatino Linotype" w:hAnsi="Palatino Linotype"/>
          <w:sz w:val="22"/>
        </w:rPr>
        <w:t>(Énfasis añadido.)</w:t>
      </w:r>
    </w:p>
    <w:p w:rsidR="00DD4175" w:rsidRDefault="00212EF2">
      <w:pPr>
        <w:pStyle w:val="Prrafodelista"/>
        <w:widowControl w:val="0"/>
        <w:tabs>
          <w:tab w:val="left" w:pos="1701"/>
          <w:tab w:val="left" w:pos="1843"/>
        </w:tabs>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En mérito de lo expuesto, esta Autoridad estima que las razones o motivos de inconformidad hechos valer por </w:t>
      </w:r>
      <w:r>
        <w:rPr>
          <w:rFonts w:ascii="Palatino Linotype" w:eastAsia="Calibri" w:hAnsi="Palatino Linotype" w:cs="Arial"/>
          <w:b/>
        </w:rPr>
        <w:t>EL RECURRENTE</w:t>
      </w:r>
      <w:r>
        <w:rPr>
          <w:rFonts w:ascii="Palatino Linotype" w:eastAsia="Calibri" w:hAnsi="Palatino Linotype" w:cs="Arial"/>
        </w:rPr>
        <w:t xml:space="preserve"> devienen </w:t>
      </w:r>
      <w:r>
        <w:rPr>
          <w:rFonts w:ascii="Palatino Linotype" w:eastAsia="Calibri" w:hAnsi="Palatino Linotype" w:cs="Arial"/>
          <w:b/>
        </w:rPr>
        <w:t>parcialmente fundados</w:t>
      </w:r>
      <w:r>
        <w:rPr>
          <w:rFonts w:ascii="Palatino Linotype" w:eastAsia="Calibri" w:hAnsi="Palatino Linotype" w:cs="Arial"/>
        </w:rPr>
        <w:t xml:space="preserve">; por lo que, lo procedente es </w:t>
      </w:r>
      <w:r>
        <w:rPr>
          <w:rFonts w:ascii="Palatino Linotype" w:eastAsia="Calibri" w:hAnsi="Palatino Linotype" w:cs="Arial"/>
          <w:b/>
        </w:rPr>
        <w:t>MODIFICAR</w:t>
      </w:r>
      <w:r>
        <w:rPr>
          <w:rFonts w:ascii="Palatino Linotype" w:eastAsia="Calibri" w:hAnsi="Palatino Linotype" w:cs="Arial"/>
        </w:rPr>
        <w:t xml:space="preserve"> la respuesta del </w:t>
      </w:r>
      <w:r>
        <w:rPr>
          <w:rFonts w:ascii="Palatino Linotype" w:eastAsia="Calibri" w:hAnsi="Palatino Linotype" w:cs="Arial"/>
          <w:b/>
        </w:rPr>
        <w:t xml:space="preserve">SUJETO OBLIGADO </w:t>
      </w:r>
      <w:r>
        <w:rPr>
          <w:rFonts w:ascii="Palatino Linotype" w:eastAsia="Calibri" w:hAnsi="Palatino Linotype" w:cs="Arial"/>
        </w:rPr>
        <w:t>y ordenar la entrega de la información referida en el presente Considerando.</w:t>
      </w:r>
    </w:p>
    <w:p w:rsidR="00DD4175" w:rsidRDefault="00212EF2">
      <w:pPr>
        <w:pStyle w:val="Prrafodelista"/>
        <w:widowControl w:val="0"/>
        <w:tabs>
          <w:tab w:val="left" w:pos="1276"/>
        </w:tabs>
        <w:spacing w:before="24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w:t>
      </w:r>
      <w:r>
        <w:rPr>
          <w:rFonts w:ascii="Palatino Linotype" w:hAnsi="Palatino Linotype" w:cs="Arial"/>
        </w:rPr>
        <w:t>fracciones</w:t>
      </w:r>
      <w:r>
        <w:rPr>
          <w:rFonts w:ascii="Palatino Linotype" w:hAnsi="Palatino Linotype"/>
        </w:rPr>
        <w:t xml:space="preserve"> IV y V,</w:t>
      </w:r>
      <w:r>
        <w:rPr>
          <w:rFonts w:ascii="Palatino Linotype" w:eastAsia="Calibri" w:hAnsi="Palatino Linotype" w:cs="Arial"/>
        </w:rPr>
        <w:t xml:space="preserve"> de la Constitución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188 y 192, fracción III</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DD4175" w:rsidRDefault="00212EF2">
      <w:pPr>
        <w:spacing w:before="240" w:afterAutospacing="1" w:line="360" w:lineRule="auto"/>
        <w:jc w:val="center"/>
        <w:rPr>
          <w:rFonts w:ascii="Palatino Linotype" w:hAnsi="Palatino Linotype"/>
          <w:b/>
          <w:bCs/>
          <w:spacing w:val="60"/>
          <w:sz w:val="28"/>
        </w:rPr>
      </w:pPr>
      <w:r>
        <w:rPr>
          <w:rFonts w:ascii="Palatino Linotype" w:hAnsi="Palatino Linotype"/>
          <w:b/>
          <w:bCs/>
          <w:spacing w:val="60"/>
          <w:sz w:val="28"/>
        </w:rPr>
        <w:t>RESUELVE</w:t>
      </w:r>
    </w:p>
    <w:p w:rsidR="00DD4175" w:rsidRDefault="00212EF2">
      <w:pPr>
        <w:pStyle w:val="Prrafodelista"/>
        <w:widowControl w:val="0"/>
        <w:numPr>
          <w:ilvl w:val="0"/>
          <w:numId w:val="5"/>
        </w:numPr>
        <w:tabs>
          <w:tab w:val="left" w:pos="1701"/>
        </w:tabs>
        <w:spacing w:before="240"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parcialmente 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hAnsi="Palatino Linotype"/>
          <w:b/>
        </w:rPr>
        <w:t>EL</w:t>
      </w:r>
      <w:r>
        <w:rPr>
          <w:rFonts w:ascii="Palatino Linotype" w:hAnsi="Palatino Linotype" w:cs="Arial"/>
          <w:b/>
        </w:rPr>
        <w:t xml:space="preserve"> RECURRENTE,</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DD4175" w:rsidRDefault="00212EF2">
      <w:pPr>
        <w:pStyle w:val="Prrafodelista"/>
        <w:widowControl w:val="0"/>
        <w:numPr>
          <w:ilvl w:val="0"/>
          <w:numId w:val="5"/>
        </w:numPr>
        <w:tabs>
          <w:tab w:val="left" w:pos="1701"/>
        </w:tabs>
        <w:spacing w:before="240" w:afterAutospacing="1" w:line="360" w:lineRule="auto"/>
        <w:ind w:left="0" w:firstLine="0"/>
        <w:jc w:val="both"/>
        <w:rPr>
          <w:rFonts w:ascii="Palatino Linotype" w:hAnsi="Palatino Linotype"/>
        </w:rPr>
      </w:pPr>
      <w:r>
        <w:rPr>
          <w:rFonts w:ascii="Palatino Linotype" w:hAnsi="Palatino Linotype" w:cs="Arial"/>
        </w:rPr>
        <w:t xml:space="preserve">Se </w:t>
      </w:r>
      <w:r>
        <w:rPr>
          <w:rFonts w:ascii="Palatino Linotype" w:hAnsi="Palatino Linotype" w:cs="Arial"/>
          <w:b/>
        </w:rPr>
        <w:t xml:space="preserve">MODIFICA </w:t>
      </w:r>
      <w:r>
        <w:rPr>
          <w:rFonts w:ascii="Palatino Linotype" w:hAnsi="Palatino Linotype" w:cs="Arial"/>
        </w:rPr>
        <w:t xml:space="preserve">la respuesta del </w:t>
      </w:r>
      <w:r>
        <w:rPr>
          <w:rFonts w:ascii="Palatino Linotype" w:hAnsi="Palatino Linotype" w:cs="Arial"/>
          <w:b/>
        </w:rPr>
        <w:t>SUJETO OBLIGADO</w:t>
      </w:r>
      <w:r>
        <w:rPr>
          <w:rFonts w:ascii="Palatino Linotype" w:hAnsi="Palatino Linotype" w:cs="Arial"/>
        </w:rPr>
        <w:t xml:space="preserve"> y se </w:t>
      </w:r>
      <w:r>
        <w:rPr>
          <w:rFonts w:ascii="Palatino Linotype" w:hAnsi="Palatino Linotype" w:cs="Arial"/>
          <w:b/>
        </w:rPr>
        <w:t>ordena</w:t>
      </w:r>
      <w:r>
        <w:rPr>
          <w:rFonts w:ascii="Palatino Linotype" w:hAnsi="Palatino Linotype" w:cs="Arial"/>
        </w:rPr>
        <w:t xml:space="preserve"> </w:t>
      </w:r>
      <w:r>
        <w:rPr>
          <w:rFonts w:ascii="Palatino Linotype" w:hAnsi="Palatino Linotype" w:cs="Arial"/>
        </w:rPr>
        <w:lastRenderedPageBreak/>
        <w:t xml:space="preserve">atienda la solicitud de información pública </w:t>
      </w:r>
      <w:r>
        <w:rPr>
          <w:rFonts w:ascii="Palatino Linotype" w:hAnsi="Palatino Linotype" w:cs="Arial"/>
          <w:b/>
          <w:bCs/>
        </w:rPr>
        <w:t xml:space="preserve">00009/ZINACANT/IP/2020, </w:t>
      </w:r>
      <w:r>
        <w:rPr>
          <w:rFonts w:ascii="Palatino Linotype" w:hAnsi="Palatino Linotype" w:cs="Arial"/>
          <w:bCs/>
        </w:rPr>
        <w:t>y, haga entrega</w:t>
      </w:r>
      <w:r>
        <w:rPr>
          <w:rFonts w:ascii="Palatino Linotype" w:hAnsi="Palatino Linotype" w:cs="Arial"/>
          <w:b/>
          <w:bCs/>
        </w:rPr>
        <w:t xml:space="preserve"> </w:t>
      </w:r>
      <w:r>
        <w:rPr>
          <w:rFonts w:ascii="Palatino Linotype" w:hAnsi="Palatino Linotype" w:cs="Arial"/>
        </w:rPr>
        <w:t xml:space="preserve">al </w:t>
      </w:r>
      <w:r>
        <w:rPr>
          <w:rFonts w:ascii="Palatino Linotype" w:hAnsi="Palatino Linotype" w:cs="Arial"/>
          <w:b/>
        </w:rPr>
        <w:t>RECURRENTE</w:t>
      </w:r>
      <w:r>
        <w:rPr>
          <w:rFonts w:ascii="Palatino Linotype" w:hAnsi="Palatino Linotype" w:cs="Arial"/>
        </w:rPr>
        <w:t xml:space="preserve">, vía </w:t>
      </w:r>
      <w:r>
        <w:rPr>
          <w:rFonts w:ascii="Palatino Linotype" w:hAnsi="Palatino Linotype" w:cs="Arial"/>
          <w:b/>
        </w:rPr>
        <w:t>SAIMEX</w:t>
      </w:r>
      <w:r>
        <w:rPr>
          <w:rFonts w:ascii="Palatino Linotype" w:hAnsi="Palatino Linotype" w:cs="Arial"/>
        </w:rPr>
        <w:t xml:space="preserve">, en </w:t>
      </w:r>
      <w:r>
        <w:rPr>
          <w:rFonts w:ascii="Palatino Linotype" w:hAnsi="Palatino Linotype"/>
          <w:szCs w:val="17"/>
          <w:lang w:eastAsia="es-ES_tradnl"/>
        </w:rPr>
        <w:t>términos</w:t>
      </w:r>
      <w:r>
        <w:rPr>
          <w:rFonts w:ascii="Palatino Linotype" w:hAnsi="Palatino Linotype" w:cs="Arial"/>
        </w:rPr>
        <w:t xml:space="preserve"> del Considerando </w:t>
      </w:r>
      <w:r>
        <w:rPr>
          <w:rFonts w:ascii="Palatino Linotype" w:hAnsi="Palatino Linotype" w:cs="Arial"/>
          <w:b/>
        </w:rPr>
        <w:t>QUINTO</w:t>
      </w:r>
      <w:r>
        <w:rPr>
          <w:rFonts w:ascii="Palatino Linotype" w:hAnsi="Palatino Linotype" w:cs="Arial"/>
        </w:rPr>
        <w:t xml:space="preserve"> </w:t>
      </w:r>
      <w:r>
        <w:rPr>
          <w:rFonts w:ascii="Palatino Linotype" w:hAnsi="Palatino Linotype"/>
        </w:rPr>
        <w:t xml:space="preserve">de la presente resolución, de lo siguiente: </w:t>
      </w:r>
    </w:p>
    <w:p w:rsidR="00DD4175" w:rsidRDefault="00212EF2">
      <w:pPr>
        <w:ind w:left="851" w:right="902" w:hanging="14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“a) Dictamen de la verificación virtual oficiosa realizada por este Instituto al Ayuntamiento de Zinacantepec, en el ejercicio fiscal de 2019; y,</w:t>
      </w:r>
    </w:p>
    <w:p w:rsidR="00DD4175" w:rsidRDefault="00DD4175">
      <w:pPr>
        <w:ind w:left="851" w:right="902" w:hanging="142"/>
        <w:jc w:val="both"/>
        <w:rPr>
          <w:rFonts w:ascii="Palatino Linotype" w:hAnsi="Palatino Linotype"/>
          <w:i/>
          <w:iCs/>
          <w:color w:val="000000" w:themeColor="text1"/>
          <w:sz w:val="22"/>
          <w:szCs w:val="22"/>
          <w:lang w:eastAsia="es-MX"/>
        </w:rPr>
      </w:pPr>
    </w:p>
    <w:p w:rsidR="00DD4175" w:rsidRDefault="00212EF2">
      <w:pPr>
        <w:ind w:left="851" w:right="902" w:hanging="142"/>
        <w:jc w:val="both"/>
        <w:rPr>
          <w:rFonts w:ascii="Palatino Linotype" w:hAnsi="Palatino Linotype"/>
          <w:i/>
          <w:iCs/>
          <w:color w:val="000000" w:themeColor="text1"/>
          <w:sz w:val="22"/>
          <w:szCs w:val="22"/>
          <w:lang w:eastAsia="es-MX"/>
        </w:rPr>
      </w:pPr>
      <w:r>
        <w:rPr>
          <w:rFonts w:ascii="Palatino Linotype" w:hAnsi="Palatino Linotype"/>
          <w:i/>
          <w:iCs/>
          <w:color w:val="000000" w:themeColor="text1"/>
          <w:sz w:val="22"/>
          <w:szCs w:val="22"/>
          <w:lang w:eastAsia="es-MX"/>
        </w:rPr>
        <w:t xml:space="preserve">b) El Acuerdo que emita el Comité de Transparencia mediante el que confirme la declaratoria de incompetencia del </w:t>
      </w:r>
      <w:r>
        <w:rPr>
          <w:rFonts w:ascii="Palatino Linotype" w:hAnsi="Palatino Linotype"/>
          <w:b/>
          <w:i/>
          <w:iCs/>
          <w:color w:val="000000" w:themeColor="text1"/>
          <w:sz w:val="22"/>
          <w:szCs w:val="22"/>
          <w:lang w:eastAsia="es-MX"/>
        </w:rPr>
        <w:t>SUJETO OBLIGADO</w:t>
      </w:r>
      <w:r>
        <w:rPr>
          <w:rFonts w:ascii="Palatino Linotype" w:hAnsi="Palatino Linotype"/>
          <w:i/>
          <w:iCs/>
          <w:color w:val="000000" w:themeColor="text1"/>
          <w:sz w:val="22"/>
          <w:szCs w:val="22"/>
          <w:lang w:eastAsia="es-MX"/>
        </w:rPr>
        <w:t xml:space="preserve"> respecto de la información solicitada del Organismo Público Descentralizado para la Prestación de Servicios de Agua Potable, Alcantarillado y Saneamiento de Zinacantepec.”</w:t>
      </w:r>
    </w:p>
    <w:p w:rsidR="00DD4175" w:rsidRDefault="00DD4175">
      <w:pPr>
        <w:ind w:right="902"/>
        <w:jc w:val="both"/>
        <w:rPr>
          <w:rFonts w:ascii="Palatino Linotype" w:hAnsi="Palatino Linotype"/>
          <w:i/>
          <w:iCs/>
          <w:color w:val="000000" w:themeColor="text1"/>
          <w:sz w:val="22"/>
          <w:szCs w:val="22"/>
          <w:lang w:eastAsia="es-MX"/>
        </w:rPr>
      </w:pPr>
    </w:p>
    <w:p w:rsidR="00DD4175" w:rsidRDefault="00212EF2">
      <w:pPr>
        <w:pStyle w:val="Prrafodelista"/>
        <w:widowControl w:val="0"/>
        <w:numPr>
          <w:ilvl w:val="0"/>
          <w:numId w:val="5"/>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w:t>
      </w:r>
      <w:r>
        <w:rPr>
          <w:rFonts w:ascii="Palatino Linotype" w:hAnsi="Palatino Linotype" w:cs="Arial"/>
        </w:rPr>
        <w:t>Titular</w:t>
      </w:r>
      <w:r>
        <w:rPr>
          <w:rFonts w:ascii="Palatino Linotype" w:hAnsi="Palatino Linotype"/>
          <w:shd w:val="clear" w:color="auto" w:fill="FFFFFF"/>
        </w:rPr>
        <w:t xml:space="preserve"> de la Unidad de Transparencia del</w:t>
      </w:r>
      <w:r>
        <w:rPr>
          <w:rStyle w:val="apple-converted-space"/>
          <w:rFonts w:ascii="Palatino Linotype"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resolución.</w:t>
      </w:r>
    </w:p>
    <w:p w:rsidR="00DD4175" w:rsidRDefault="00212EF2">
      <w:pPr>
        <w:pStyle w:val="Prrafodelista"/>
        <w:widowControl w:val="0"/>
        <w:numPr>
          <w:ilvl w:val="0"/>
          <w:numId w:val="5"/>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DD4175" w:rsidRDefault="00212EF2">
      <w:pPr>
        <w:pStyle w:val="Prrafodelista"/>
        <w:widowControl w:val="0"/>
        <w:numPr>
          <w:ilvl w:val="0"/>
          <w:numId w:val="5"/>
        </w:numPr>
        <w:tabs>
          <w:tab w:val="left" w:pos="1701"/>
        </w:tabs>
        <w:spacing w:before="240"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Notifíquese</w:t>
      </w:r>
      <w:r>
        <w:rPr>
          <w:rFonts w:ascii="Palatino Linotype" w:hAnsi="Palatino Linotype"/>
          <w:szCs w:val="17"/>
          <w:lang w:eastAsia="es-ES_tradnl"/>
        </w:rPr>
        <w:t xml:space="preserve"> al</w:t>
      </w:r>
      <w:r>
        <w:rPr>
          <w:rFonts w:ascii="Palatino Linotype" w:hAnsi="Palatino Linotype" w:cs="Arial"/>
          <w:b/>
        </w:rPr>
        <w:t xml:space="preserve"> 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 así como, el Informe Justificado y su anexo</w:t>
      </w:r>
      <w:r>
        <w:rPr>
          <w:rFonts w:ascii="Palatino Linotype" w:hAnsi="Palatino Linotype"/>
          <w:szCs w:val="17"/>
          <w:lang w:eastAsia="es-ES_tradnl"/>
        </w:rPr>
        <w:t>.</w:t>
      </w:r>
    </w:p>
    <w:p w:rsidR="00DD4175" w:rsidRDefault="00212EF2">
      <w:pPr>
        <w:pStyle w:val="Prrafodelista"/>
        <w:widowControl w:val="0"/>
        <w:numPr>
          <w:ilvl w:val="0"/>
          <w:numId w:val="5"/>
        </w:numPr>
        <w:tabs>
          <w:tab w:val="left" w:pos="1701"/>
        </w:tabs>
        <w:spacing w:before="240" w:afterAutospacing="1"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lastRenderedPageBreak/>
        <w:t>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del</w:t>
      </w:r>
      <w:r>
        <w:rPr>
          <w:rFonts w:ascii="Palatino Linotype" w:hAnsi="Palatino Linotype" w:cs="Arial"/>
          <w:b/>
        </w:rPr>
        <w:t xml:space="preserve"> 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rsidR="00DD4175" w:rsidRDefault="00212EF2">
      <w:pPr>
        <w:pStyle w:val="Prrafodelista"/>
        <w:widowControl w:val="0"/>
        <w:tabs>
          <w:tab w:val="left" w:pos="1701"/>
        </w:tabs>
        <w:spacing w:before="240" w:afterAutospacing="1" w:line="360" w:lineRule="auto"/>
        <w:ind w:left="0"/>
        <w:jc w:val="both"/>
        <w:rPr>
          <w:rFonts w:ascii="Palatino Linotype" w:hAnsi="Palatino Linotype"/>
          <w:szCs w:val="17"/>
          <w:lang w:eastAsia="es-ES_tradnl"/>
        </w:rPr>
      </w:pPr>
      <w:r>
        <w:rPr>
          <w:rFonts w:ascii="Palatino Linotype" w:hAnsi="Palatino Linotype"/>
          <w:szCs w:val="17"/>
          <w:lang w:eastAsia="es-ES_tradnl"/>
        </w:rPr>
        <w:t xml:space="preserve">Se dejan a salvo los derechos del </w:t>
      </w:r>
      <w:r>
        <w:rPr>
          <w:rFonts w:ascii="Palatino Linotype" w:hAnsi="Palatino Linotype"/>
          <w:b/>
          <w:szCs w:val="17"/>
          <w:lang w:eastAsia="es-ES_tradnl"/>
        </w:rPr>
        <w:t>RECURRENTE</w:t>
      </w:r>
      <w:r>
        <w:rPr>
          <w:rFonts w:ascii="Palatino Linotype" w:hAnsi="Palatino Linotype"/>
          <w:szCs w:val="17"/>
          <w:lang w:eastAsia="es-ES_tradnl"/>
        </w:rPr>
        <w:t>, a fin de que formule las solicitudes de acceso a la información pública ante el Sujeto Obligado competente que estime conveniente.</w:t>
      </w:r>
    </w:p>
    <w:p w:rsidR="00DD4175" w:rsidRDefault="00212EF2">
      <w:pPr>
        <w:spacing w:beforeAutospacing="1" w:afterAutospacing="1"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EMITIENDO VOTO PARTICULAR; EVA ABAID YAPUR; JOSÉ GUADALUPE LUNA HERNÁNDEZ; JAVIER MARTÍNEZ CRUZ Y LUIS GUSTAVO PARRA NORIEGA; EN LA DÉCIMA </w:t>
      </w:r>
      <w:r>
        <w:rPr>
          <w:rFonts w:ascii="Palatino Linotype" w:hAnsi="Palatino Linotype" w:cs="Arial"/>
          <w:color w:val="000000"/>
        </w:rPr>
        <w:t>CUARTA</w:t>
      </w:r>
      <w:r>
        <w:rPr>
          <w:rFonts w:ascii="Palatino Linotype" w:hAnsi="Palatino Linotype" w:cs="Arial"/>
        </w:rPr>
        <w:t xml:space="preserve"> SESIÓN ORDINARIA CELEBRADA EL DÍA </w:t>
      </w:r>
      <w:r>
        <w:rPr>
          <w:rFonts w:ascii="Palatino Linotype" w:hAnsi="Palatino Linotype" w:cs="Arial"/>
          <w:color w:val="000000"/>
        </w:rPr>
        <w:t>DIECINUEVE</w:t>
      </w:r>
      <w:r>
        <w:rPr>
          <w:rFonts w:ascii="Palatino Linotype" w:hAnsi="Palatino Linotype" w:cs="Arial"/>
        </w:rPr>
        <w:t xml:space="preserve"> DE AGOSTO DE DOS MIL VEINTE, ANTE EL SECRETARIO TÉCNICO DEL PLENO, ALEXIS TAPIA RAMÍREZ.</w:t>
      </w:r>
    </w:p>
    <w:tbl>
      <w:tblPr>
        <w:tblW w:w="9214" w:type="dxa"/>
        <w:jc w:val="center"/>
        <w:tblLook w:val="04A0" w:firstRow="1" w:lastRow="0" w:firstColumn="1" w:lastColumn="0" w:noHBand="0" w:noVBand="1"/>
      </w:tblPr>
      <w:tblGrid>
        <w:gridCol w:w="4757"/>
        <w:gridCol w:w="4457"/>
      </w:tblGrid>
      <w:tr w:rsidR="00DD4175">
        <w:trPr>
          <w:jc w:val="center"/>
        </w:trPr>
        <w:tc>
          <w:tcPr>
            <w:tcW w:w="9213" w:type="dxa"/>
            <w:gridSpan w:val="2"/>
            <w:shd w:val="clear" w:color="auto" w:fill="auto"/>
          </w:tcPr>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DD4175" w:rsidRDefault="00212EF2">
            <w:pPr>
              <w:jc w:val="center"/>
              <w:rPr>
                <w:rFonts w:ascii="Palatino Linotype" w:hAnsi="Palatino Linotype" w:cs="Arial"/>
                <w:b/>
                <w:lang w:val="es-ES_tradnl"/>
              </w:rPr>
            </w:pPr>
            <w:r>
              <w:rPr>
                <w:rFonts w:ascii="Palatino Linotype" w:hAnsi="Palatino Linotype" w:cs="Arial"/>
                <w:b/>
                <w:lang w:val="es-ES_tradnl"/>
              </w:rPr>
              <w:t>Zulema Martínez Sánchez</w:t>
            </w:r>
          </w:p>
          <w:p w:rsidR="00DD4175" w:rsidRDefault="00212EF2">
            <w:pPr>
              <w:jc w:val="center"/>
              <w:rPr>
                <w:rFonts w:ascii="Palatino Linotype" w:hAnsi="Palatino Linotype" w:cs="Arial"/>
                <w:b/>
                <w:lang w:val="es-ES_tradnl"/>
              </w:rPr>
            </w:pPr>
            <w:r>
              <w:rPr>
                <w:rFonts w:ascii="Palatino Linotype" w:hAnsi="Palatino Linotype" w:cs="Arial"/>
                <w:lang w:val="es-ES_tradnl"/>
              </w:rPr>
              <w:t>Comisionada Presidenta</w:t>
            </w:r>
          </w:p>
          <w:p w:rsidR="00DD4175" w:rsidRDefault="00212EF2">
            <w:pPr>
              <w:jc w:val="center"/>
              <w:rPr>
                <w:rFonts w:ascii="Palatino Linotype" w:hAnsi="Palatino Linotype" w:cs="Arial"/>
                <w:b/>
                <w:lang w:val="es-ES_tradnl"/>
              </w:rPr>
            </w:pPr>
            <w:r>
              <w:rPr>
                <w:rFonts w:ascii="Palatino Linotype" w:hAnsi="Palatino Linotype" w:cs="Arial"/>
                <w:b/>
                <w:lang w:val="es-ES_tradnl"/>
              </w:rPr>
              <w:t>(RÚBRICA)</w:t>
            </w:r>
          </w:p>
        </w:tc>
      </w:tr>
      <w:tr w:rsidR="00DD4175">
        <w:trPr>
          <w:jc w:val="center"/>
        </w:trPr>
        <w:tc>
          <w:tcPr>
            <w:tcW w:w="4756" w:type="dxa"/>
            <w:shd w:val="clear" w:color="auto" w:fill="auto"/>
          </w:tcPr>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DD4175" w:rsidRDefault="00212EF2">
            <w:pPr>
              <w:jc w:val="center"/>
              <w:rPr>
                <w:rFonts w:ascii="Palatino Linotype" w:hAnsi="Palatino Linotype" w:cs="Arial"/>
                <w:b/>
                <w:lang w:val="es-ES_tradnl"/>
              </w:rPr>
            </w:pPr>
            <w:r>
              <w:rPr>
                <w:rFonts w:ascii="Palatino Linotype" w:hAnsi="Palatino Linotype" w:cs="Arial"/>
                <w:b/>
                <w:lang w:val="es-ES_tradnl"/>
              </w:rPr>
              <w:t>Eva Abaid Yapur</w:t>
            </w:r>
          </w:p>
          <w:p w:rsidR="00DD4175" w:rsidRDefault="00212EF2">
            <w:pPr>
              <w:jc w:val="center"/>
              <w:rPr>
                <w:rFonts w:ascii="Palatino Linotype" w:hAnsi="Palatino Linotype" w:cs="Arial"/>
                <w:lang w:val="es-ES_tradnl"/>
              </w:rPr>
            </w:pPr>
            <w:r>
              <w:rPr>
                <w:rFonts w:ascii="Palatino Linotype" w:hAnsi="Palatino Linotype" w:cs="Arial"/>
                <w:lang w:val="es-ES_tradnl"/>
              </w:rPr>
              <w:t>Comisionada</w:t>
            </w:r>
          </w:p>
          <w:p w:rsidR="00DD4175" w:rsidRDefault="00212EF2">
            <w:pPr>
              <w:jc w:val="center"/>
              <w:rPr>
                <w:rFonts w:ascii="Palatino Linotype" w:hAnsi="Palatino Linotype" w:cs="Arial"/>
                <w:b/>
                <w:lang w:val="es-ES_tradnl"/>
              </w:rPr>
            </w:pPr>
            <w:r>
              <w:rPr>
                <w:rFonts w:ascii="Palatino Linotype" w:hAnsi="Palatino Linotype" w:cs="Arial"/>
                <w:b/>
                <w:lang w:val="es-ES_tradnl"/>
              </w:rPr>
              <w:t>(RÚBRICA)</w:t>
            </w:r>
          </w:p>
        </w:tc>
        <w:tc>
          <w:tcPr>
            <w:tcW w:w="4457" w:type="dxa"/>
            <w:shd w:val="clear" w:color="auto" w:fill="auto"/>
          </w:tcPr>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DD4175" w:rsidRDefault="00212EF2">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DD4175" w:rsidRDefault="00212EF2">
            <w:pPr>
              <w:jc w:val="center"/>
              <w:rPr>
                <w:rFonts w:ascii="Palatino Linotype" w:hAnsi="Palatino Linotype" w:cs="Arial"/>
                <w:lang w:val="es-ES_tradnl"/>
              </w:rPr>
            </w:pPr>
            <w:r>
              <w:rPr>
                <w:rFonts w:ascii="Palatino Linotype" w:hAnsi="Palatino Linotype" w:cs="Arial"/>
                <w:lang w:val="es-ES_tradnl"/>
              </w:rPr>
              <w:t>Comisionado</w:t>
            </w:r>
          </w:p>
          <w:p w:rsidR="00DD4175" w:rsidRDefault="00212EF2">
            <w:pPr>
              <w:jc w:val="center"/>
              <w:rPr>
                <w:rFonts w:ascii="Palatino Linotype" w:hAnsi="Palatino Linotype" w:cs="Arial"/>
                <w:b/>
                <w:lang w:val="es-ES_tradnl"/>
              </w:rPr>
            </w:pPr>
            <w:r>
              <w:rPr>
                <w:rFonts w:ascii="Palatino Linotype" w:hAnsi="Palatino Linotype" w:cs="Arial"/>
                <w:b/>
                <w:lang w:val="es-ES_tradnl"/>
              </w:rPr>
              <w:t>(RÚBRICA)</w:t>
            </w:r>
          </w:p>
        </w:tc>
      </w:tr>
      <w:tr w:rsidR="00DD4175">
        <w:trPr>
          <w:jc w:val="center"/>
        </w:trPr>
        <w:tc>
          <w:tcPr>
            <w:tcW w:w="4756" w:type="dxa"/>
            <w:shd w:val="clear" w:color="auto" w:fill="auto"/>
          </w:tcPr>
          <w:p w:rsidR="00DD4175" w:rsidRDefault="00DD4175">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DD4175" w:rsidRDefault="00212EF2">
            <w:pPr>
              <w:jc w:val="center"/>
              <w:rPr>
                <w:rFonts w:ascii="Palatino Linotype" w:hAnsi="Palatino Linotype" w:cs="Arial"/>
                <w:b/>
                <w:lang w:val="es-ES_tradnl"/>
              </w:rPr>
            </w:pPr>
            <w:r>
              <w:rPr>
                <w:rFonts w:ascii="Palatino Linotype" w:hAnsi="Palatino Linotype" w:cs="Arial"/>
                <w:b/>
                <w:lang w:val="es-ES_tradnl"/>
              </w:rPr>
              <w:t>Javier Martínez Cruz</w:t>
            </w:r>
          </w:p>
          <w:p w:rsidR="00DD4175" w:rsidRDefault="00212EF2">
            <w:pPr>
              <w:jc w:val="center"/>
              <w:rPr>
                <w:rFonts w:ascii="Palatino Linotype" w:hAnsi="Palatino Linotype" w:cs="Arial"/>
                <w:lang w:val="es-ES_tradnl"/>
              </w:rPr>
            </w:pPr>
            <w:r>
              <w:rPr>
                <w:rFonts w:ascii="Palatino Linotype" w:hAnsi="Palatino Linotype" w:cs="Arial"/>
                <w:lang w:val="es-ES_tradnl"/>
              </w:rPr>
              <w:t>Comisionado</w:t>
            </w:r>
          </w:p>
          <w:p w:rsidR="00DD4175" w:rsidRDefault="00212EF2">
            <w:pPr>
              <w:jc w:val="center"/>
              <w:rPr>
                <w:rFonts w:ascii="Palatino Linotype" w:hAnsi="Palatino Linotype" w:cs="Arial"/>
                <w:lang w:val="es-ES_tradnl"/>
              </w:rPr>
            </w:pPr>
            <w:r>
              <w:rPr>
                <w:rFonts w:ascii="Palatino Linotype" w:hAnsi="Palatino Linotype" w:cs="Arial"/>
                <w:b/>
                <w:lang w:val="es-ES_tradnl"/>
              </w:rPr>
              <w:t>(RÚBRICA)</w:t>
            </w:r>
          </w:p>
        </w:tc>
        <w:tc>
          <w:tcPr>
            <w:tcW w:w="4457" w:type="dxa"/>
            <w:shd w:val="clear" w:color="auto" w:fill="auto"/>
          </w:tcPr>
          <w:p w:rsidR="00DD4175" w:rsidRDefault="00DD4175">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DD4175" w:rsidRDefault="00212EF2">
            <w:pPr>
              <w:jc w:val="center"/>
              <w:rPr>
                <w:rFonts w:ascii="Palatino Linotype" w:hAnsi="Palatino Linotype" w:cs="Arial"/>
                <w:b/>
                <w:lang w:val="es-ES_tradnl"/>
              </w:rPr>
            </w:pPr>
            <w:r>
              <w:rPr>
                <w:rFonts w:ascii="Palatino Linotype" w:hAnsi="Palatino Linotype" w:cs="Arial"/>
                <w:b/>
                <w:lang w:val="es-ES_tradnl"/>
              </w:rPr>
              <w:t>Luis Gustavo Parra Noriega</w:t>
            </w:r>
          </w:p>
          <w:p w:rsidR="00DD4175" w:rsidRDefault="00212EF2">
            <w:pPr>
              <w:jc w:val="center"/>
              <w:rPr>
                <w:rFonts w:ascii="Palatino Linotype" w:hAnsi="Palatino Linotype" w:cs="Arial"/>
                <w:lang w:val="es-ES_tradnl"/>
              </w:rPr>
            </w:pPr>
            <w:r>
              <w:rPr>
                <w:rFonts w:ascii="Palatino Linotype" w:hAnsi="Palatino Linotype" w:cs="Arial"/>
                <w:lang w:val="es-ES_tradnl"/>
              </w:rPr>
              <w:t>Comisionado</w:t>
            </w:r>
          </w:p>
          <w:p w:rsidR="00DD4175" w:rsidRDefault="00212EF2">
            <w:pPr>
              <w:jc w:val="center"/>
              <w:rPr>
                <w:rFonts w:ascii="Palatino Linotype" w:hAnsi="Palatino Linotype" w:cs="Arial"/>
                <w:b/>
                <w:lang w:val="es-ES_tradnl"/>
              </w:rPr>
            </w:pPr>
            <w:r>
              <w:rPr>
                <w:rFonts w:ascii="Palatino Linotype" w:hAnsi="Palatino Linotype" w:cs="Arial"/>
                <w:b/>
                <w:lang w:val="es-ES_tradnl"/>
              </w:rPr>
              <w:t>(RÚBRICA)</w:t>
            </w:r>
          </w:p>
        </w:tc>
      </w:tr>
      <w:tr w:rsidR="00DD4175">
        <w:trPr>
          <w:jc w:val="center"/>
        </w:trPr>
        <w:tc>
          <w:tcPr>
            <w:tcW w:w="9213" w:type="dxa"/>
            <w:gridSpan w:val="2"/>
            <w:shd w:val="clear" w:color="auto" w:fill="auto"/>
          </w:tcPr>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FE5496" w:rsidRDefault="00FE5496">
            <w:pPr>
              <w:jc w:val="center"/>
              <w:rPr>
                <w:rFonts w:ascii="Palatino Linotype" w:hAnsi="Palatino Linotype" w:cs="Arial"/>
                <w:b/>
                <w:lang w:val="es-ES_tradnl"/>
              </w:rPr>
            </w:pPr>
          </w:p>
          <w:p w:rsidR="00DD4175" w:rsidRDefault="00212EF2">
            <w:pPr>
              <w:jc w:val="center"/>
              <w:rPr>
                <w:rFonts w:ascii="Palatino Linotype" w:hAnsi="Palatino Linotype" w:cs="Arial"/>
                <w:b/>
                <w:lang w:val="es-ES_tradnl"/>
              </w:rPr>
            </w:pPr>
            <w:r>
              <w:rPr>
                <w:rFonts w:ascii="Palatino Linotype" w:hAnsi="Palatino Linotype" w:cs="Arial"/>
                <w:b/>
                <w:lang w:val="es-ES_tradnl"/>
              </w:rPr>
              <w:t>Alexis Tapia Ramírez</w:t>
            </w:r>
          </w:p>
          <w:p w:rsidR="00DD4175" w:rsidRDefault="00212EF2">
            <w:pPr>
              <w:jc w:val="center"/>
              <w:rPr>
                <w:rFonts w:ascii="Palatino Linotype" w:hAnsi="Palatino Linotype" w:cs="Arial"/>
                <w:lang w:val="es-ES_tradnl"/>
              </w:rPr>
            </w:pPr>
            <w:r>
              <w:rPr>
                <w:rFonts w:ascii="Palatino Linotype" w:hAnsi="Palatino Linotype" w:cs="Arial"/>
                <w:lang w:val="es-ES_tradnl"/>
              </w:rPr>
              <w:t>Secretario Técnico del Pleno</w:t>
            </w:r>
          </w:p>
          <w:p w:rsidR="00DD4175" w:rsidRDefault="00212EF2" w:rsidP="00FE5496">
            <w:pPr>
              <w:jc w:val="center"/>
              <w:rPr>
                <w:rFonts w:ascii="Palatino Linotype" w:hAnsi="Palatino Linotype" w:cs="Arial"/>
                <w:lang w:val="es-ES_tradnl"/>
              </w:rPr>
            </w:pPr>
            <w:r>
              <w:rPr>
                <w:rFonts w:ascii="Palatino Linotype" w:hAnsi="Palatino Linotype" w:cs="Arial"/>
                <w:b/>
                <w:lang w:val="es-ES_tradnl"/>
              </w:rPr>
              <w:t>(RÚBRICA)</w:t>
            </w:r>
            <w:r>
              <w:rPr>
                <w:rFonts w:ascii="Palatino Linotype" w:hAnsi="Palatino Linotype" w:cs="Arial"/>
                <w:lang w:val="es-ES_tradnl"/>
              </w:rPr>
              <w:t xml:space="preserve"> </w:t>
            </w:r>
          </w:p>
        </w:tc>
      </w:tr>
    </w:tbl>
    <w:p w:rsidR="00FE5496" w:rsidRDefault="00FE5496">
      <w:pPr>
        <w:jc w:val="both"/>
        <w:rPr>
          <w:rFonts w:ascii="Palatino Linotype" w:hAnsi="Palatino Linotype" w:cs="Arial"/>
          <w:sz w:val="22"/>
          <w:szCs w:val="22"/>
          <w:lang w:val="es-ES"/>
        </w:rPr>
      </w:pPr>
    </w:p>
    <w:p w:rsidR="00DD4175" w:rsidRDefault="00212EF2">
      <w:pPr>
        <w:jc w:val="both"/>
        <w:rPr>
          <w:rFonts w:ascii="Palatino Linotype" w:hAnsi="Palatino Linotype" w:cs="Arial"/>
          <w:sz w:val="22"/>
          <w:szCs w:val="22"/>
          <w:lang w:val="es-ES"/>
        </w:rPr>
      </w:pPr>
      <w:r>
        <w:rPr>
          <w:rFonts w:ascii="Palatino Linotype" w:hAnsi="Palatino Linotype" w:cs="Arial"/>
          <w:sz w:val="22"/>
          <w:szCs w:val="22"/>
          <w:lang w:val="es-ES"/>
        </w:rPr>
        <w:t xml:space="preserve">Esta hoja corresponde a la resolución de fecha diecinueve de agosto de dos mil veinte, emitida en el recurso de revisión número 01052/INFOEM/IP/RR/2020. </w:t>
      </w:r>
    </w:p>
    <w:p w:rsidR="00DD4175" w:rsidRDefault="00212EF2">
      <w:pPr>
        <w:spacing w:beforeAutospacing="1" w:afterAutospacing="1" w:line="360" w:lineRule="auto"/>
        <w:jc w:val="both"/>
        <w:rPr>
          <w:rFonts w:ascii="Palatino Linotype" w:hAnsi="Palatino Linotype" w:cs="Arial"/>
          <w:sz w:val="22"/>
          <w:szCs w:val="22"/>
          <w:lang w:val="es-ES"/>
        </w:rPr>
      </w:pPr>
      <w:r>
        <w:rPr>
          <w:rFonts w:ascii="Palatino Linotype" w:hAnsi="Palatino Linotype" w:cs="Arial"/>
          <w:sz w:val="22"/>
          <w:szCs w:val="22"/>
          <w:lang w:val="es-ES"/>
        </w:rPr>
        <w:t>YSM/CBO</w:t>
      </w:r>
    </w:p>
    <w:sectPr w:rsidR="00DD4175">
      <w:headerReference w:type="default" r:id="rId12"/>
      <w:footerReference w:type="default" r:id="rId13"/>
      <w:headerReference w:type="first" r:id="rId14"/>
      <w:footerReference w:type="first" r:id="rId1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B9D" w:rsidRDefault="00EC1B9D">
      <w:r>
        <w:separator/>
      </w:r>
    </w:p>
  </w:endnote>
  <w:endnote w:type="continuationSeparator" w:id="0">
    <w:p w:rsidR="00EC1B9D" w:rsidRDefault="00EC1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75" w:rsidRDefault="00212EF2">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BC7AA3">
      <w:rPr>
        <w:rFonts w:ascii="Palatino Linotype" w:hAnsi="Palatino Linotype" w:cs="Arial"/>
        <w:bCs/>
        <w:noProof/>
        <w:sz w:val="22"/>
        <w:szCs w:val="22"/>
      </w:rPr>
      <w:t>11</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BC7AA3">
      <w:rPr>
        <w:rFonts w:ascii="Palatino Linotype" w:hAnsi="Palatino Linotype" w:cs="Arial"/>
        <w:bCs/>
        <w:noProof/>
        <w:sz w:val="22"/>
        <w:szCs w:val="22"/>
      </w:rPr>
      <w:t>41</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75" w:rsidRDefault="00212EF2">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BC7AA3">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BC7AA3">
      <w:rPr>
        <w:rFonts w:ascii="Palatino Linotype" w:hAnsi="Palatino Linotype" w:cs="Arial"/>
        <w:bCs/>
        <w:noProof/>
        <w:sz w:val="22"/>
        <w:szCs w:val="22"/>
      </w:rPr>
      <w:t>41</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B9D" w:rsidRDefault="00EC1B9D">
      <w:pPr>
        <w:rPr>
          <w:sz w:val="12"/>
        </w:rPr>
      </w:pPr>
      <w:r>
        <w:separator/>
      </w:r>
    </w:p>
  </w:footnote>
  <w:footnote w:type="continuationSeparator" w:id="0">
    <w:p w:rsidR="00EC1B9D" w:rsidRDefault="00EC1B9D">
      <w:pPr>
        <w:rPr>
          <w:sz w:val="12"/>
        </w:rPr>
      </w:pPr>
      <w:r>
        <w:continuationSeparator/>
      </w:r>
    </w:p>
  </w:footnote>
  <w:footnote w:id="1">
    <w:p w:rsidR="00DD4175" w:rsidRDefault="00212EF2">
      <w:pPr>
        <w:pStyle w:val="Textonotapie"/>
        <w:jc w:val="both"/>
        <w:rPr>
          <w:rFonts w:ascii="Palatino Linotype" w:hAnsi="Palatino Linotype"/>
        </w:rPr>
      </w:pPr>
      <w:r>
        <w:rPr>
          <w:rStyle w:val="Caracteresdenotaalpie"/>
        </w:rPr>
        <w:footnoteRef/>
      </w:r>
      <w:r>
        <w:t xml:space="preserve"> </w:t>
      </w:r>
      <w:r>
        <w:rPr>
          <w:rFonts w:ascii="Palatino Linotype" w:hAnsi="Palatino Linotype"/>
        </w:rPr>
        <w:t xml:space="preserve">Denominaciones advertidas por este Instituto en al artículo del Bando Municipal de Zinacantepec 2020, ubicable en la siguiente liga electrónica: </w:t>
      </w:r>
      <w:hyperlink r:id="rId1">
        <w:r>
          <w:rPr>
            <w:rStyle w:val="EnlacedeInternet"/>
          </w:rPr>
          <w:t>http://legislacion.edomex.gob.mx/sites/legislacion.edomex.gob.mx/files/files/pdf/bdo/bdo2020/bdo123.pdf</w:t>
        </w:r>
      </w:hyperlink>
    </w:p>
  </w:footnote>
  <w:footnote w:id="2">
    <w:p w:rsidR="00DD4175" w:rsidRDefault="00212EF2">
      <w:pPr>
        <w:pStyle w:val="Textonotapie"/>
        <w:jc w:val="both"/>
        <w:rPr>
          <w:rFonts w:ascii="Palatino Linotype" w:hAnsi="Palatino Linotype"/>
        </w:rPr>
      </w:pPr>
      <w:r>
        <w:rPr>
          <w:rStyle w:val="Caracteresdenotaalpie"/>
        </w:rPr>
        <w:footnoteRef/>
      </w:r>
      <w:r>
        <w:t xml:space="preserve"> </w:t>
      </w:r>
      <w:r>
        <w:rPr>
          <w:rFonts w:ascii="Palatino Linotype" w:hAnsi="Palatino Linotype"/>
        </w:rPr>
        <w:t>Al respecto, se destaca que el artículo 163 de la Ley de Transparencia y Acceso a la Información Pública del Estado de México y Municipios establece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aconteció.</w:t>
      </w:r>
    </w:p>
  </w:footnote>
  <w:footnote w:id="3">
    <w:p w:rsidR="00DD4175" w:rsidRDefault="00212EF2">
      <w:pPr>
        <w:pStyle w:val="Textonotapie"/>
        <w:jc w:val="both"/>
      </w:pPr>
      <w:r>
        <w:rPr>
          <w:rStyle w:val="Caracteresdenotaalpie"/>
        </w:rPr>
        <w:footnoteRef/>
      </w:r>
      <w:r>
        <w:t xml:space="preserve"> </w:t>
      </w:r>
      <w:r>
        <w:rPr>
          <w:rFonts w:ascii="Palatino Linotype" w:hAnsi="Palatino Linotype"/>
        </w:rPr>
        <w:t>Se destaca que el DIF no fue verificado, análisis que será debidamente abordado en líneas posteriores.</w:t>
      </w:r>
    </w:p>
  </w:footnote>
  <w:footnote w:id="4">
    <w:p w:rsidR="00DD4175" w:rsidRDefault="00212EF2">
      <w:pPr>
        <w:pStyle w:val="Textonotapie"/>
        <w:jc w:val="both"/>
      </w:pPr>
      <w:r>
        <w:rPr>
          <w:rStyle w:val="Caracteresdenotaalpie"/>
        </w:rPr>
        <w:footnoteRef/>
      </w:r>
      <w:r>
        <w:t xml:space="preserve"> </w:t>
      </w:r>
      <w:r>
        <w:rPr>
          <w:rFonts w:ascii="Palatino Linotype" w:hAnsi="Palatino Linotype"/>
        </w:rPr>
        <w:t xml:space="preserve">De conformidad con la información publicada en la siguiente liga electrónica: </w:t>
      </w:r>
      <w:hyperlink r:id="rId2">
        <w:r>
          <w:rPr>
            <w:rStyle w:val="EnlacedeInternet"/>
            <w:rFonts w:ascii="Palatino Linotype" w:hAnsi="Palatino Linotype"/>
          </w:rPr>
          <w:t>http://infoem.org.mx/es/contenido/transparencia/verificaci%C3%B3n-virtual-oficiosa-201</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75" w:rsidRDefault="00212EF2">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39" behindDoc="1" locked="0" layoutInCell="1" allowOverlap="1">
          <wp:simplePos x="0" y="0"/>
          <wp:positionH relativeFrom="column">
            <wp:align>center</wp:align>
          </wp:positionH>
          <wp:positionV relativeFrom="margin">
            <wp:align>center</wp:align>
          </wp:positionV>
          <wp:extent cx="6858635" cy="9144635"/>
          <wp:effectExtent l="0" t="0" r="0" b="0"/>
          <wp:wrapNone/>
          <wp:docPr id="8"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3"/>
      <w:gridCol w:w="2557"/>
      <w:gridCol w:w="3724"/>
    </w:tblGrid>
    <w:tr w:rsidR="00DD4175">
      <w:tc>
        <w:tcPr>
          <w:tcW w:w="3253" w:type="dxa"/>
          <w:vMerge w:val="restart"/>
        </w:tcPr>
        <w:p w:rsidR="00DD4175" w:rsidRDefault="00212EF2">
          <w:pPr>
            <w:rPr>
              <w:rFonts w:ascii="Palatino Linotype" w:hAnsi="Palatino Linotype"/>
              <w:b/>
              <w:sz w:val="22"/>
              <w:szCs w:val="22"/>
              <w:lang w:val="es-ES_tradnl"/>
            </w:rPr>
          </w:pPr>
          <w:r>
            <w:rPr>
              <w:noProof/>
              <w:lang w:eastAsia="es-MX"/>
            </w:rPr>
            <w:drawing>
              <wp:inline distT="0" distB="0" distL="0" distR="0">
                <wp:extent cx="1663700" cy="838200"/>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rsidR="00DD4175" w:rsidRDefault="00212EF2">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DD4175" w:rsidRDefault="00212EF2">
          <w:pPr>
            <w:jc w:val="both"/>
            <w:rPr>
              <w:rFonts w:ascii="Palatino Linotype" w:hAnsi="Palatino Linotype"/>
              <w:b/>
              <w:sz w:val="22"/>
              <w:szCs w:val="22"/>
              <w:lang w:val="es-ES_tradnl"/>
            </w:rPr>
          </w:pPr>
          <w:r>
            <w:rPr>
              <w:rFonts w:ascii="Palatino Linotype" w:hAnsi="Palatino Linotype"/>
              <w:b/>
              <w:sz w:val="22"/>
              <w:szCs w:val="22"/>
              <w:lang w:val="es-ES_tradnl"/>
            </w:rPr>
            <w:t>01052/INFOEM/IP/RR/2020</w:t>
          </w:r>
        </w:p>
      </w:tc>
    </w:tr>
    <w:tr w:rsidR="00DD4175">
      <w:tc>
        <w:tcPr>
          <w:tcW w:w="3253" w:type="dxa"/>
          <w:vMerge/>
        </w:tcPr>
        <w:p w:rsidR="00DD4175" w:rsidRDefault="00DD4175">
          <w:pPr>
            <w:rPr>
              <w:rFonts w:ascii="Palatino Linotype" w:hAnsi="Palatino Linotype"/>
              <w:b/>
              <w:sz w:val="22"/>
              <w:szCs w:val="22"/>
              <w:lang w:val="es-ES_tradnl"/>
            </w:rPr>
          </w:pPr>
        </w:p>
      </w:tc>
      <w:tc>
        <w:tcPr>
          <w:tcW w:w="2557" w:type="dxa"/>
          <w:shd w:val="clear" w:color="auto" w:fill="auto"/>
        </w:tcPr>
        <w:p w:rsidR="00DD4175" w:rsidRDefault="00212EF2">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DD4175" w:rsidRDefault="00212EF2">
          <w:pPr>
            <w:jc w:val="both"/>
            <w:rPr>
              <w:rFonts w:ascii="Palatino Linotype" w:hAnsi="Palatino Linotype"/>
              <w:b/>
              <w:sz w:val="22"/>
              <w:szCs w:val="22"/>
            </w:rPr>
          </w:pPr>
          <w:r>
            <w:rPr>
              <w:rFonts w:ascii="Palatino Linotype" w:hAnsi="Palatino Linotype"/>
              <w:b/>
              <w:bCs/>
              <w:sz w:val="22"/>
              <w:szCs w:val="22"/>
            </w:rPr>
            <w:t>Ayuntamiento de Zinacantepec</w:t>
          </w:r>
        </w:p>
      </w:tc>
    </w:tr>
    <w:tr w:rsidR="00DD4175">
      <w:trPr>
        <w:trHeight w:val="228"/>
      </w:trPr>
      <w:tc>
        <w:tcPr>
          <w:tcW w:w="3253" w:type="dxa"/>
          <w:vMerge/>
        </w:tcPr>
        <w:p w:rsidR="00DD4175" w:rsidRDefault="00DD4175">
          <w:pPr>
            <w:rPr>
              <w:rFonts w:ascii="Palatino Linotype" w:hAnsi="Palatino Linotype"/>
              <w:b/>
              <w:sz w:val="22"/>
              <w:szCs w:val="22"/>
              <w:lang w:val="es-ES_tradnl"/>
            </w:rPr>
          </w:pPr>
        </w:p>
      </w:tc>
      <w:tc>
        <w:tcPr>
          <w:tcW w:w="2557" w:type="dxa"/>
          <w:shd w:val="clear" w:color="auto" w:fill="auto"/>
        </w:tcPr>
        <w:p w:rsidR="00DD4175" w:rsidRDefault="00212EF2">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DD4175" w:rsidRDefault="00212EF2">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D4175" w:rsidRDefault="00DD4175">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75" w:rsidRDefault="00212EF2">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40" behindDoc="1" locked="0" layoutInCell="1" allowOverlap="1">
          <wp:simplePos x="0" y="0"/>
          <wp:positionH relativeFrom="column">
            <wp:align>center</wp:align>
          </wp:positionH>
          <wp:positionV relativeFrom="margin">
            <wp:align>center</wp:align>
          </wp:positionV>
          <wp:extent cx="6858635" cy="9144635"/>
          <wp:effectExtent l="0" t="0" r="0" b="0"/>
          <wp:wrapNone/>
          <wp:docPr id="10"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DD4175">
      <w:tc>
        <w:tcPr>
          <w:tcW w:w="4250" w:type="dxa"/>
          <w:vMerge w:val="restart"/>
          <w:shd w:val="clear" w:color="auto" w:fill="auto"/>
        </w:tcPr>
        <w:p w:rsidR="00DD4175" w:rsidRDefault="00212EF2">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DD4175" w:rsidRDefault="00212EF2">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DD4175" w:rsidRDefault="00212EF2">
          <w:pPr>
            <w:jc w:val="both"/>
            <w:rPr>
              <w:rFonts w:ascii="Palatino Linotype" w:hAnsi="Palatino Linotype"/>
              <w:b/>
              <w:sz w:val="22"/>
              <w:szCs w:val="22"/>
              <w:lang w:val="es-ES_tradnl"/>
            </w:rPr>
          </w:pPr>
          <w:r>
            <w:rPr>
              <w:rFonts w:ascii="Palatino Linotype" w:hAnsi="Palatino Linotype"/>
              <w:b/>
              <w:sz w:val="22"/>
              <w:szCs w:val="22"/>
              <w:lang w:val="es-ES_tradnl"/>
            </w:rPr>
            <w:t>01052/INFOEM/IP/RR/2020</w:t>
          </w:r>
        </w:p>
      </w:tc>
    </w:tr>
    <w:tr w:rsidR="00DD4175">
      <w:tc>
        <w:tcPr>
          <w:tcW w:w="4250" w:type="dxa"/>
          <w:vMerge/>
          <w:shd w:val="clear" w:color="auto" w:fill="auto"/>
        </w:tcPr>
        <w:p w:rsidR="00DD4175" w:rsidRDefault="00DD4175">
          <w:pPr>
            <w:rPr>
              <w:rFonts w:ascii="Palatino Linotype" w:hAnsi="Palatino Linotype"/>
              <w:b/>
              <w:sz w:val="22"/>
              <w:szCs w:val="22"/>
              <w:lang w:val="es-ES_tradnl"/>
            </w:rPr>
          </w:pPr>
        </w:p>
      </w:tc>
      <w:tc>
        <w:tcPr>
          <w:tcW w:w="2548" w:type="dxa"/>
          <w:shd w:val="clear" w:color="auto" w:fill="auto"/>
        </w:tcPr>
        <w:p w:rsidR="00DD4175" w:rsidRDefault="00212EF2">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DD4175" w:rsidRDefault="00BC7AA3">
          <w:pPr>
            <w:jc w:val="both"/>
            <w:rPr>
              <w:rFonts w:ascii="Palatino Linotype" w:hAnsi="Palatino Linotype"/>
              <w:b/>
              <w:sz w:val="22"/>
              <w:szCs w:val="22"/>
              <w:lang w:val="es-ES_tradnl"/>
            </w:rPr>
          </w:pPr>
          <w:r w:rsidRPr="00BC7AA3">
            <w:rPr>
              <w:rFonts w:ascii="Palatino Linotype" w:hAnsi="Palatino Linotype"/>
              <w:b/>
              <w:sz w:val="22"/>
              <w:szCs w:val="22"/>
              <w:lang w:val="es-ES_tradnl"/>
            </w:rPr>
            <w:t>XXXX XXX XXXX XX XXXXX</w:t>
          </w:r>
        </w:p>
      </w:tc>
    </w:tr>
    <w:tr w:rsidR="00DD4175">
      <w:trPr>
        <w:trHeight w:val="228"/>
      </w:trPr>
      <w:tc>
        <w:tcPr>
          <w:tcW w:w="4250" w:type="dxa"/>
          <w:vMerge/>
          <w:shd w:val="clear" w:color="auto" w:fill="auto"/>
        </w:tcPr>
        <w:p w:rsidR="00DD4175" w:rsidRDefault="00DD4175">
          <w:pPr>
            <w:rPr>
              <w:rFonts w:ascii="Palatino Linotype" w:hAnsi="Palatino Linotype"/>
              <w:b/>
              <w:sz w:val="22"/>
              <w:szCs w:val="22"/>
              <w:lang w:val="es-ES_tradnl"/>
            </w:rPr>
          </w:pPr>
        </w:p>
      </w:tc>
      <w:tc>
        <w:tcPr>
          <w:tcW w:w="2548" w:type="dxa"/>
          <w:shd w:val="clear" w:color="auto" w:fill="auto"/>
        </w:tcPr>
        <w:p w:rsidR="00DD4175" w:rsidRDefault="00212EF2">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DD4175" w:rsidRDefault="00212EF2">
          <w:pPr>
            <w:jc w:val="both"/>
            <w:rPr>
              <w:rFonts w:ascii="Palatino Linotype" w:hAnsi="Palatino Linotype"/>
              <w:b/>
              <w:sz w:val="22"/>
              <w:szCs w:val="22"/>
            </w:rPr>
          </w:pPr>
          <w:r>
            <w:rPr>
              <w:rFonts w:ascii="Palatino Linotype" w:hAnsi="Palatino Linotype"/>
              <w:b/>
              <w:bCs/>
              <w:sz w:val="22"/>
              <w:szCs w:val="22"/>
            </w:rPr>
            <w:t>Ayuntamiento de Zinacantepec</w:t>
          </w:r>
        </w:p>
      </w:tc>
    </w:tr>
    <w:tr w:rsidR="00DD4175">
      <w:tc>
        <w:tcPr>
          <w:tcW w:w="4250" w:type="dxa"/>
          <w:vMerge/>
          <w:shd w:val="clear" w:color="auto" w:fill="auto"/>
        </w:tcPr>
        <w:p w:rsidR="00DD4175" w:rsidRDefault="00DD4175">
          <w:pPr>
            <w:rPr>
              <w:rFonts w:ascii="Palatino Linotype" w:hAnsi="Palatino Linotype"/>
              <w:b/>
              <w:sz w:val="22"/>
              <w:szCs w:val="22"/>
              <w:lang w:val="es-ES_tradnl"/>
            </w:rPr>
          </w:pPr>
        </w:p>
      </w:tc>
      <w:tc>
        <w:tcPr>
          <w:tcW w:w="2548" w:type="dxa"/>
          <w:shd w:val="clear" w:color="auto" w:fill="auto"/>
        </w:tcPr>
        <w:p w:rsidR="00DD4175" w:rsidRDefault="00212EF2">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DD4175" w:rsidRDefault="00212EF2">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D4175" w:rsidRDefault="00DD4175">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46BDA"/>
    <w:multiLevelType w:val="multilevel"/>
    <w:tmpl w:val="C0E838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288360C"/>
    <w:multiLevelType w:val="multilevel"/>
    <w:tmpl w:val="76724F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BD200C"/>
    <w:multiLevelType w:val="multilevel"/>
    <w:tmpl w:val="2A52EE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77C53FA"/>
    <w:multiLevelType w:val="multilevel"/>
    <w:tmpl w:val="AEE2AB98"/>
    <w:lvl w:ilvl="0">
      <w:start w:val="1"/>
      <w:numFmt w:val="upperRoman"/>
      <w:lvlText w:val="%1."/>
      <w:lvlJc w:val="left"/>
      <w:pPr>
        <w:ind w:left="720" w:hanging="360"/>
      </w:pPr>
      <w:rPr>
        <w:b/>
        <w:i w:val="0"/>
        <w:caps/>
        <w:color w:val="auto"/>
        <w:sz w:val="28"/>
      </w:rPr>
    </w:lvl>
    <w:lvl w:ilvl="1">
      <w:start w:val="1"/>
      <w:numFmt w:val="bullet"/>
      <w:lvlText w:val=""/>
      <w:lvlJc w:val="left"/>
      <w:pPr>
        <w:ind w:left="4500" w:hanging="360"/>
      </w:pPr>
      <w:rPr>
        <w:rFonts w:ascii="Symbol" w:hAnsi="Symbol" w:cs="Symbol" w:hint="default"/>
      </w:rPr>
    </w:lvl>
    <w:lvl w:ilvl="2">
      <w:start w:val="1"/>
      <w:numFmt w:val="bullet"/>
      <w:lvlText w:val=""/>
      <w:lvlJc w:val="left"/>
      <w:pPr>
        <w:ind w:left="4500" w:hanging="360"/>
      </w:pPr>
      <w:rPr>
        <w:rFonts w:ascii="Symbol" w:hAnsi="Symbol" w:cs="Symbol" w:hint="default"/>
      </w:r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147FC7"/>
    <w:multiLevelType w:val="multilevel"/>
    <w:tmpl w:val="AB4C2B66"/>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bullet"/>
      <w:lvlText w:val=""/>
      <w:lvlJc w:val="left"/>
      <w:pPr>
        <w:ind w:left="4500" w:hanging="360"/>
      </w:pPr>
      <w:rPr>
        <w:rFonts w:ascii="Symbol" w:hAnsi="Symbol" w:cs="Arial" w:hint="default"/>
      </w:rPr>
    </w:lvl>
    <w:lvl w:ilvl="6">
      <w:start w:val="1"/>
      <w:numFmt w:val="upperLetter"/>
      <w:lvlText w:val="%7)"/>
      <w:lvlJc w:val="left"/>
      <w:pPr>
        <w:ind w:left="5085" w:hanging="405"/>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B9E593C"/>
    <w:multiLevelType w:val="multilevel"/>
    <w:tmpl w:val="FEDE3C6A"/>
    <w:lvl w:ilvl="0">
      <w:start w:val="1"/>
      <w:numFmt w:val="ordinalText"/>
      <w:lvlText w:val="%1."/>
      <w:lvlJc w:val="left"/>
      <w:pPr>
        <w:ind w:left="720" w:hanging="360"/>
      </w:pPr>
      <w:rPr>
        <w:rFonts w:hint="default"/>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CE00B10"/>
    <w:multiLevelType w:val="multilevel"/>
    <w:tmpl w:val="0694CFE2"/>
    <w:lvl w:ilvl="0">
      <w:start w:val="1"/>
      <w:numFmt w:val="ordinalText"/>
      <w:lvlText w:val="%1."/>
      <w:lvlJc w:val="left"/>
      <w:pPr>
        <w:ind w:left="720"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1"/>
  </w:num>
  <w:num w:numId="4">
    <w:abstractNumId w:val="0"/>
  </w:num>
  <w:num w:numId="5">
    <w:abstractNumId w:val="6"/>
  </w:num>
  <w:num w:numId="6">
    <w:abstractNumId w:val="3"/>
  </w:num>
  <w:num w:numId="7">
    <w:abstractNumId w:val="2"/>
  </w:num>
  <w:num w:numId="8">
    <w:abstractNumId w:val="4"/>
    <w:lvlOverride w:ilvl="0">
      <w:lvl w:ilvl="0">
        <w:start w:val="1"/>
        <w:numFmt w:val="upperRoman"/>
        <w:lvlText w:val="%1."/>
        <w:lvlJc w:val="left"/>
        <w:pPr>
          <w:ind w:left="720" w:hanging="360"/>
        </w:pPr>
        <w:rPr>
          <w:b/>
          <w:i w:val="0"/>
          <w:caps/>
          <w:color w:val="auto"/>
          <w:sz w:val="28"/>
        </w:rPr>
      </w:lvl>
    </w:lvlOverride>
    <w:lvlOverride w:ilvl="1">
      <w:lvl w:ilvl="1">
        <w:start w:val="1"/>
        <w:numFmt w:val="bullet"/>
        <w:lvlText w:val=""/>
        <w:lvlJc w:val="left"/>
        <w:pPr>
          <w:ind w:left="4500" w:hanging="360"/>
        </w:pPr>
        <w:rPr>
          <w:rFonts w:ascii="Symbol" w:hAnsi="Symbol" w:cs="Symbol" w:hint="default"/>
        </w:rPr>
      </w:lvl>
    </w:lvlOverride>
    <w:lvlOverride w:ilvl="2">
      <w:lvl w:ilvl="2">
        <w:start w:val="1"/>
        <w:numFmt w:val="bullet"/>
        <w:lvlText w:val=""/>
        <w:lvlJc w:val="left"/>
        <w:pPr>
          <w:ind w:left="4500" w:hanging="360"/>
        </w:pPr>
        <w:rPr>
          <w:rFonts w:ascii="Symbol" w:hAnsi="Symbol" w:cs="Symbol" w:hint="default"/>
        </w:rPr>
      </w:lvl>
    </w:lvlOverride>
    <w:lvlOverride w:ilvl="5">
      <w:lvl w:ilvl="5">
        <w:start w:val="1"/>
        <w:numFmt w:val="bullet"/>
        <w:lvlText w:val=""/>
        <w:lvlJc w:val="left"/>
        <w:pPr>
          <w:ind w:left="4500" w:hanging="360"/>
        </w:pPr>
        <w:rPr>
          <w:rFonts w:ascii="Symbol" w:hAnsi="Symbol" w:cs="Aria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175"/>
    <w:rsid w:val="00212EF2"/>
    <w:rsid w:val="00BC7AA3"/>
    <w:rsid w:val="00DD4175"/>
    <w:rsid w:val="00EC1B9D"/>
    <w:rsid w:val="00FE5496"/>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0FED65-B549-46CD-A758-409A3B992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10">
    <w:name w:val="Título1"/>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infoem.org.mx/es/contenido/transparencia/verificaci&#243;n-virtual-oficiosa-201" TargetMode="External"/><Relationship Id="rId1" Type="http://schemas.openxmlformats.org/officeDocument/2006/relationships/hyperlink" Target="http://legislacion.edomex.gob.mx/sites/legislacion.edomex.gob.mx/files/files/pdf/bdo/bdo2020/bdo12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2C036-B078-47B9-B6A0-65095E257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9943</Words>
  <Characters>54687</Characters>
  <Application>Microsoft Office Word</Application>
  <DocSecurity>0</DocSecurity>
  <Lines>455</Lines>
  <Paragraphs>129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USUARIO INFOEM</cp:lastModifiedBy>
  <cp:revision>2</cp:revision>
  <cp:lastPrinted>2020-01-22T19:55:00Z</cp:lastPrinted>
  <dcterms:created xsi:type="dcterms:W3CDTF">2020-08-27T00:07:00Z</dcterms:created>
  <dcterms:modified xsi:type="dcterms:W3CDTF">2020-08-27T00:07:00Z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