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DAC" w:rsidRDefault="00CC3CB2">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dos mil veinte.</w:t>
      </w:r>
    </w:p>
    <w:p w:rsidR="00D22DAC" w:rsidRDefault="00CC3CB2">
      <w:pPr>
        <w:spacing w:beforeAutospacing="1" w:afterAutospacing="1" w:line="360" w:lineRule="auto"/>
        <w:jc w:val="both"/>
        <w:rPr>
          <w:rFonts w:ascii="Palatino Linotype" w:hAnsi="Palatino Linotype"/>
          <w:b/>
          <w:lang w:val="es-ES_tradnl"/>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 xml:space="preserve">01167/INFOEM/IP/RR/2020 </w:t>
      </w:r>
      <w:r>
        <w:rPr>
          <w:rFonts w:ascii="Palatino Linotype" w:hAnsi="Palatino Linotype"/>
        </w:rPr>
        <w:t>promovido por</w:t>
      </w:r>
      <w:r>
        <w:rPr>
          <w:rFonts w:ascii="Palatino Linotype" w:hAnsi="Palatino Linotype"/>
          <w:lang w:val="es-ES_tradnl"/>
        </w:rPr>
        <w:t xml:space="preserve"> la C</w:t>
      </w:r>
      <w:r>
        <w:rPr>
          <w:rFonts w:ascii="Palatino Linotype" w:hAnsi="Palatino Linotype"/>
          <w:b/>
          <w:lang w:val="es-ES_tradnl"/>
        </w:rPr>
        <w:t>.</w:t>
      </w:r>
      <w:r w:rsidR="00102A45" w:rsidRPr="00102A45">
        <w:rPr>
          <w:rFonts w:ascii="Palatino Linotype" w:hAnsi="Palatino Linotype"/>
          <w:b/>
          <w:sz w:val="22"/>
          <w:szCs w:val="22"/>
          <w:lang w:val="es-ES_tradnl"/>
        </w:rPr>
        <w:t xml:space="preserve"> </w:t>
      </w:r>
      <w:r w:rsidR="00102A45" w:rsidRPr="00102A45">
        <w:rPr>
          <w:rFonts w:ascii="Palatino Linotype" w:hAnsi="Palatino Linotype"/>
          <w:b/>
          <w:lang w:val="es-ES_tradnl"/>
        </w:rPr>
        <w:t>Xxxxx Xxxxxx</w:t>
      </w:r>
      <w:r w:rsidR="00102A45" w:rsidRPr="00102A45">
        <w:t xml:space="preserve"> </w:t>
      </w:r>
      <w:r w:rsidR="00102A45" w:rsidRPr="00102A45">
        <w:rPr>
          <w:rFonts w:ascii="Palatino Linotype" w:hAnsi="Palatino Linotype"/>
          <w:b/>
          <w:lang w:val="es-ES_tradnl"/>
        </w:rPr>
        <w:t xml:space="preserve">Xxxxxxx </w:t>
      </w:r>
      <w:proofErr w:type="spellStart"/>
      <w:r w:rsidR="00102A45" w:rsidRPr="00102A45">
        <w:rPr>
          <w:rFonts w:ascii="Palatino Linotype" w:hAnsi="Palatino Linotype"/>
          <w:b/>
          <w:lang w:val="es-ES_tradnl"/>
        </w:rPr>
        <w:t>Xxxxxxxx</w:t>
      </w:r>
      <w:proofErr w:type="spellEnd"/>
      <w:r>
        <w:rPr>
          <w:rFonts w:ascii="Palatino Linotype" w:hAnsi="Palatino Linotype"/>
          <w:lang w:val="es-ES_tradnl"/>
        </w:rPr>
        <w:t>,</w:t>
      </w:r>
      <w:r>
        <w:rPr>
          <w:rFonts w:ascii="Palatino Linotype" w:hAnsi="Palatino Linotype" w:cs="Arial"/>
          <w:b/>
        </w:rPr>
        <w:t xml:space="preserve"> </w:t>
      </w:r>
      <w:r>
        <w:rPr>
          <w:rFonts w:ascii="Palatino Linotype" w:hAnsi="Palatino Linotype" w:cs="Arial"/>
        </w:rPr>
        <w:t>en lo sucesivo</w:t>
      </w:r>
      <w:r>
        <w:rPr>
          <w:rFonts w:ascii="Palatino Linotype" w:hAnsi="Palatino Linotype" w:cs="Arial"/>
          <w:b/>
        </w:rPr>
        <w:t xml:space="preserve"> LA RECURRENTE</w:t>
      </w:r>
      <w:r>
        <w:rPr>
          <w:rFonts w:ascii="Palatino Linotype" w:hAnsi="Palatino Linotype"/>
        </w:rPr>
        <w:t>, en contra de la respuesta del</w:t>
      </w:r>
      <w:r>
        <w:rPr>
          <w:rFonts w:ascii="Palatino Linotype" w:hAnsi="Palatino Linotype"/>
          <w:b/>
          <w:bCs/>
        </w:rPr>
        <w:t xml:space="preserve"> Sistema Municipal Para el Desarrollo Integral de la Familia de San Mateo Atenco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bookmarkStart w:id="0" w:name="_GoBack"/>
      <w:bookmarkEnd w:id="0"/>
    </w:p>
    <w:p w:rsidR="00D22DAC" w:rsidRDefault="00CC3CB2">
      <w:pPr>
        <w:spacing w:beforeAutospacing="1" w:afterAutospacing="1" w:line="360" w:lineRule="auto"/>
        <w:jc w:val="center"/>
        <w:rPr>
          <w:rFonts w:ascii="Palatino Linotype" w:hAnsi="Palatino Linotype"/>
          <w:b/>
          <w:bCs/>
          <w:spacing w:val="40"/>
          <w:sz w:val="28"/>
        </w:rPr>
      </w:pPr>
      <w:r>
        <w:rPr>
          <w:rFonts w:ascii="Palatino Linotype" w:hAnsi="Palatino Linotype"/>
          <w:b/>
          <w:bCs/>
          <w:spacing w:val="40"/>
          <w:sz w:val="28"/>
        </w:rPr>
        <w:t>RESULTANDO</w:t>
      </w:r>
    </w:p>
    <w:p w:rsidR="00D22DAC" w:rsidRDefault="00CC3CB2">
      <w:pPr>
        <w:numPr>
          <w:ilvl w:val="0"/>
          <w:numId w:val="1"/>
        </w:numPr>
        <w:tabs>
          <w:tab w:val="left" w:pos="360"/>
        </w:tabs>
        <w:spacing w:line="360" w:lineRule="auto"/>
        <w:ind w:left="0" w:firstLine="0"/>
        <w:jc w:val="both"/>
        <w:rPr>
          <w:rFonts w:ascii="Palatino Linotype" w:hAnsi="Palatino Linotype" w:cs="Arial"/>
        </w:rPr>
      </w:pPr>
      <w:r>
        <w:rPr>
          <w:rFonts w:ascii="Palatino Linotype" w:hAnsi="Palatino Linotype"/>
        </w:rPr>
        <w:t xml:space="preserve">En fecha diecinueve de enero de dos mil veinte, se tuvo por presentada a través del Sistema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información pública, a la que se le asignó el número</w:t>
      </w:r>
      <w:r>
        <w:rPr>
          <w:rFonts w:ascii="Verdana" w:hAnsi="Verdana"/>
          <w:b/>
          <w:bCs/>
          <w:color w:val="FF0000"/>
        </w:rPr>
        <w:t xml:space="preserve"> </w:t>
      </w:r>
      <w:r>
        <w:rPr>
          <w:rFonts w:ascii="Palatino Linotype" w:hAnsi="Palatino Linotype"/>
          <w:b/>
          <w:bCs/>
        </w:rPr>
        <w:t>00004/DIFMATEOAT/IP/2020</w:t>
      </w:r>
      <w:r>
        <w:rPr>
          <w:rFonts w:ascii="Palatino Linotype" w:hAnsi="Palatino Linotype"/>
          <w:bCs/>
          <w:color w:val="000000" w:themeColor="text1"/>
        </w:rPr>
        <w:t>,</w:t>
      </w:r>
      <w:r>
        <w:rPr>
          <w:rFonts w:ascii="Palatino Linotype" w:hAnsi="Palatino Linotype"/>
          <w:b/>
          <w:bCs/>
          <w:color w:val="000000" w:themeColor="text1"/>
        </w:rPr>
        <w:t xml:space="preserve"> </w:t>
      </w:r>
      <w:r>
        <w:rPr>
          <w:rFonts w:ascii="Palatino Linotype" w:hAnsi="Palatino Linotype"/>
        </w:rPr>
        <w:t>mediante la cual requirió lo siguiente:</w:t>
      </w:r>
    </w:p>
    <w:p w:rsidR="00D22DAC" w:rsidRDefault="00D22DAC">
      <w:pPr>
        <w:tabs>
          <w:tab w:val="left" w:pos="360"/>
        </w:tabs>
        <w:spacing w:line="360" w:lineRule="auto"/>
        <w:jc w:val="both"/>
        <w:rPr>
          <w:rFonts w:ascii="Palatino Linotype" w:hAnsi="Palatino Linotype" w:cs="Arial"/>
        </w:rPr>
      </w:pPr>
    </w:p>
    <w:p w:rsidR="00D22DAC" w:rsidRDefault="00CC3CB2">
      <w:pPr>
        <w:ind w:left="709" w:right="760"/>
        <w:jc w:val="both"/>
        <w:rPr>
          <w:rFonts w:ascii="Palatino Linotype" w:hAnsi="Palatino Linotype"/>
          <w:i/>
          <w:sz w:val="22"/>
          <w:szCs w:val="22"/>
        </w:rPr>
      </w:pPr>
      <w:r>
        <w:rPr>
          <w:rFonts w:ascii="Palatino Linotype" w:hAnsi="Palatino Linotype"/>
          <w:i/>
          <w:sz w:val="22"/>
          <w:szCs w:val="22"/>
        </w:rPr>
        <w:t xml:space="preserve">“Me interesa saber </w:t>
      </w:r>
      <w:proofErr w:type="spellStart"/>
      <w:r>
        <w:rPr>
          <w:rFonts w:ascii="Palatino Linotype" w:hAnsi="Palatino Linotype"/>
          <w:i/>
          <w:sz w:val="22"/>
          <w:szCs w:val="22"/>
        </w:rPr>
        <w:t>cual</w:t>
      </w:r>
      <w:proofErr w:type="spellEnd"/>
      <w:r>
        <w:rPr>
          <w:rFonts w:ascii="Palatino Linotype" w:hAnsi="Palatino Linotype"/>
          <w:i/>
          <w:sz w:val="22"/>
          <w:szCs w:val="22"/>
        </w:rPr>
        <w:t xml:space="preserve"> es el presupuesto que se le asigna a la niñez en el estado de México (municipio de San Mateo Atenco), si se cuentan con programas sociales que distribuyan dichos recursos a toda la población infantil y quienes los aplican o ponen en marcha dichos programas, además me interesa conocer el </w:t>
      </w:r>
      <w:proofErr w:type="spellStart"/>
      <w:r>
        <w:rPr>
          <w:rFonts w:ascii="Palatino Linotype" w:hAnsi="Palatino Linotype"/>
          <w:i/>
          <w:sz w:val="22"/>
          <w:szCs w:val="22"/>
        </w:rPr>
        <w:t>numero</w:t>
      </w:r>
      <w:proofErr w:type="spellEnd"/>
      <w:r>
        <w:rPr>
          <w:rFonts w:ascii="Palatino Linotype" w:hAnsi="Palatino Linotype"/>
          <w:i/>
          <w:sz w:val="22"/>
          <w:szCs w:val="22"/>
        </w:rPr>
        <w:t xml:space="preserve"> que se tiene de niños que vivan al interior de centros penitenciarios con madres reclusas y si ellos cuentan con algún apoyo económico del Gobierno del Estado (San Mateo Atenco). “(Sic)</w:t>
      </w:r>
    </w:p>
    <w:p w:rsidR="00D22DAC" w:rsidRDefault="00D22DAC">
      <w:pPr>
        <w:ind w:right="709"/>
        <w:jc w:val="both"/>
        <w:rPr>
          <w:rFonts w:ascii="Palatino Linotype" w:hAnsi="Palatino Linotype" w:cs="Arial"/>
          <w:b/>
        </w:rPr>
      </w:pPr>
    </w:p>
    <w:p w:rsidR="00D22DAC" w:rsidRDefault="00CC3CB2">
      <w:pPr>
        <w:spacing w:line="360" w:lineRule="auto"/>
        <w:ind w:right="709"/>
        <w:jc w:val="both"/>
        <w:rPr>
          <w:rFonts w:ascii="Palatino Linotype" w:hAnsi="Palatino Linotype" w:cs="Arial"/>
        </w:rPr>
      </w:pPr>
      <w:r>
        <w:rPr>
          <w:rFonts w:ascii="Palatino Linotype" w:hAnsi="Palatino Linotype" w:cs="Arial"/>
          <w:b/>
        </w:rPr>
        <w:t>MODALIDAD DE ENTREGA:</w:t>
      </w:r>
      <w:r>
        <w:rPr>
          <w:rFonts w:ascii="Palatino Linotype" w:hAnsi="Palatino Linotype" w:cs="Arial"/>
        </w:rPr>
        <w:t xml:space="preserve"> correo electrónico.</w:t>
      </w:r>
    </w:p>
    <w:p w:rsidR="00D22DAC" w:rsidRDefault="00CC3CB2">
      <w:pPr>
        <w:numPr>
          <w:ilvl w:val="0"/>
          <w:numId w:val="1"/>
        </w:numPr>
        <w:tabs>
          <w:tab w:val="left" w:pos="567"/>
        </w:tabs>
        <w:spacing w:line="360" w:lineRule="auto"/>
        <w:ind w:left="0" w:firstLine="0"/>
        <w:jc w:val="both"/>
        <w:rPr>
          <w:rFonts w:ascii="Palatino Linotype" w:hAnsi="Palatino Linotype" w:cs="Arial"/>
        </w:rPr>
      </w:pPr>
      <w:r>
        <w:rPr>
          <w:rFonts w:ascii="Palatino Linotype" w:hAnsi="Palatino Linotype" w:cs="Arial"/>
        </w:rPr>
        <w:lastRenderedPageBreak/>
        <w:t xml:space="preserve">De las constancias que obran en el expediente electrónico del </w:t>
      </w:r>
      <w:r>
        <w:rPr>
          <w:rFonts w:ascii="Palatino Linotype" w:hAnsi="Palatino Linotype" w:cs="Arial"/>
          <w:b/>
        </w:rPr>
        <w:t>SAIMEX</w:t>
      </w:r>
      <w:r>
        <w:rPr>
          <w:rFonts w:ascii="Palatino Linotype" w:hAnsi="Palatino Linotype" w:cs="Arial"/>
        </w:rPr>
        <w:t xml:space="preserve">, se advierte que en fecha veintiuno de febrero de dos mil veinte, </w:t>
      </w:r>
      <w:r>
        <w:rPr>
          <w:rFonts w:ascii="Palatino Linotype" w:hAnsi="Palatino Linotype" w:cs="Arial"/>
          <w:b/>
        </w:rPr>
        <w:t>EL SUJETO OBLIGADO</w:t>
      </w:r>
      <w:r>
        <w:rPr>
          <w:rFonts w:ascii="Palatino Linotype" w:hAnsi="Palatino Linotype" w:cs="Arial"/>
        </w:rPr>
        <w:t xml:space="preserve"> dio respuesta a la </w:t>
      </w:r>
      <w:r>
        <w:rPr>
          <w:rFonts w:ascii="Palatino Linotype" w:hAnsi="Palatino Linotype"/>
        </w:rPr>
        <w:t>solicitud</w:t>
      </w:r>
      <w:r>
        <w:rPr>
          <w:rFonts w:ascii="Palatino Linotype" w:hAnsi="Palatino Linotype" w:cs="Arial"/>
        </w:rPr>
        <w:t xml:space="preserve"> de </w:t>
      </w:r>
      <w:r>
        <w:rPr>
          <w:rFonts w:ascii="Palatino Linotype" w:hAnsi="Palatino Linotype"/>
        </w:rPr>
        <w:t>acceso</w:t>
      </w:r>
      <w:r>
        <w:rPr>
          <w:rFonts w:ascii="Palatino Linotype" w:hAnsi="Palatino Linotype" w:cs="Arial"/>
        </w:rPr>
        <w:t xml:space="preserve"> a la información pública realizada por </w:t>
      </w:r>
      <w:r>
        <w:rPr>
          <w:rFonts w:ascii="Palatino Linotype" w:hAnsi="Palatino Linotype"/>
          <w:b/>
        </w:rPr>
        <w:t>LA RECURRENTE</w:t>
      </w:r>
      <w:r>
        <w:rPr>
          <w:rFonts w:ascii="Palatino Linotype" w:hAnsi="Palatino Linotype" w:cs="Arial"/>
        </w:rPr>
        <w:t>, en la cual señaló lo siguiente:</w:t>
      </w:r>
    </w:p>
    <w:p w:rsidR="00D22DAC" w:rsidRDefault="00D22DAC">
      <w:pPr>
        <w:tabs>
          <w:tab w:val="left" w:pos="567"/>
        </w:tabs>
        <w:spacing w:before="120" w:after="120"/>
        <w:ind w:left="709" w:right="709"/>
        <w:jc w:val="both"/>
        <w:rPr>
          <w:rFonts w:ascii="Palatino Linotype" w:hAnsi="Palatino Linotype"/>
          <w:i/>
          <w:spacing w:val="-2"/>
          <w:sz w:val="22"/>
          <w:szCs w:val="22"/>
        </w:rPr>
      </w:pPr>
    </w:p>
    <w:p w:rsidR="00D22DAC" w:rsidRDefault="00CC3CB2">
      <w:pPr>
        <w:tabs>
          <w:tab w:val="left" w:pos="567"/>
        </w:tabs>
        <w:spacing w:before="120" w:after="120"/>
        <w:ind w:left="709" w:right="709"/>
        <w:jc w:val="both"/>
        <w:rPr>
          <w:rFonts w:ascii="Palatino Linotype" w:hAnsi="Palatino Linotype"/>
          <w:i/>
          <w:spacing w:val="-2"/>
          <w:sz w:val="22"/>
          <w:szCs w:val="22"/>
        </w:rPr>
      </w:pPr>
      <w:r>
        <w:rPr>
          <w:rFonts w:ascii="Palatino Linotype" w:hAnsi="Palatino Linotype"/>
          <w:i/>
          <w:spacing w:val="-2"/>
          <w:sz w:val="22"/>
          <w:szCs w:val="22"/>
        </w:rPr>
        <w:t xml:space="preserve">“…En respuesta con oficio DIF/SMA/DG/019/2020 de fecha 21 de febrero del presente año, en relación a la pregunta INFORMACIÓN SOBRE ACCIONES EN MATERIA ARCHIVÍSTICA (SIC) la Directora General del Sistema Municipal para el Desarrollo Integral de la Familia; informa que con fundamento en la Ley de archivo en este sistema municipal DIF San Mateo Atenco, a partir del ejercicio fiscal 2020 se incorpora un área específica para realizar las funciones que dicha ley establece de acuerdo a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Las acciones a realizar a corto plazo: • Capacitación del personal de temas en relación a la Ley de archivo vigente. • Estructura física del lugar donde se resguardará la información • Utilización de la digitalización en determinados documentos Lo anterior para garantizar la protección de los datos y la información que se encuentra dentro de la institución que en su momento ha sido útil para garantizar los derechos de niñas niños y adolescentes, adultos mayores, mujeres y hombres; así como también el aprovechamiento de programas sociales de diversos temas. Sin otro particular, reciba un cordial saludo. ATENTAMENTE MAP. GRISSEL ESMERALDA RAMÍREZ HERRERA. TITULAR DE LA UNIDAD DE INFORMACIÓN, PLANEACION, PROGRAMACIÓN, EVALUACIÓN Y TRANSPARENCIA DEL SMDIFSMA.” </w:t>
      </w:r>
      <w:r>
        <w:rPr>
          <w:rFonts w:ascii="Palatino Linotype" w:hAnsi="Palatino Linotype"/>
          <w:i/>
          <w:sz w:val="22"/>
          <w:szCs w:val="22"/>
        </w:rPr>
        <w:t>(Sic)</w:t>
      </w:r>
    </w:p>
    <w:p w:rsidR="00D22DAC" w:rsidRDefault="00D22DAC">
      <w:pPr>
        <w:tabs>
          <w:tab w:val="left" w:pos="567"/>
        </w:tabs>
        <w:spacing w:before="120" w:after="120"/>
        <w:ind w:left="709" w:right="709"/>
        <w:jc w:val="right"/>
        <w:rPr>
          <w:rFonts w:ascii="Palatino Linotype" w:hAnsi="Palatino Linotype"/>
          <w:i/>
          <w:spacing w:val="-2"/>
          <w:sz w:val="22"/>
          <w:szCs w:val="22"/>
        </w:rPr>
      </w:pPr>
    </w:p>
    <w:p w:rsidR="00D22DAC" w:rsidRDefault="00CC3CB2">
      <w:pPr>
        <w:tabs>
          <w:tab w:val="left" w:pos="567"/>
        </w:tabs>
        <w:spacing w:line="360" w:lineRule="auto"/>
        <w:ind w:right="51"/>
        <w:jc w:val="both"/>
        <w:rPr>
          <w:rFonts w:ascii="Palatino Linotype" w:hAnsi="Palatino Linotype"/>
        </w:rPr>
      </w:pPr>
      <w:r>
        <w:rPr>
          <w:rFonts w:ascii="Palatino Linotype" w:hAnsi="Palatino Linotype"/>
        </w:rPr>
        <w:t xml:space="preserve">Así mismo, adjuntó el archivo electrónico denominado </w:t>
      </w:r>
      <w:r>
        <w:rPr>
          <w:rFonts w:ascii="Palatino Linotype" w:hAnsi="Palatino Linotype"/>
          <w:b/>
          <w:i/>
        </w:rPr>
        <w:t>SAIMEX.pdf</w:t>
      </w:r>
      <w:r>
        <w:rPr>
          <w:rFonts w:ascii="Palatino Linotype" w:hAnsi="Palatino Linotype"/>
          <w:b/>
        </w:rPr>
        <w:t xml:space="preserve">, </w:t>
      </w:r>
      <w:r>
        <w:rPr>
          <w:rFonts w:ascii="Palatino Linotype" w:hAnsi="Palatino Linotype"/>
        </w:rPr>
        <w:t xml:space="preserve">consistente en el oficio de fecha veintiuno de febrero de dos mil veinte, signado por la Titular de la Unidad de Información, Planeación, Programación, Evaluación y Transparencia, </w:t>
      </w:r>
      <w:r>
        <w:rPr>
          <w:rFonts w:ascii="Palatino Linotype" w:hAnsi="Palatino Linotype"/>
        </w:rPr>
        <w:lastRenderedPageBreak/>
        <w:t>mediante el cual, señaló las acciones a realizar, relacionadas con la Ley de Archivo vigente.</w:t>
      </w:r>
    </w:p>
    <w:p w:rsidR="00D22DAC" w:rsidRDefault="00D22DAC">
      <w:pPr>
        <w:tabs>
          <w:tab w:val="left" w:pos="567"/>
        </w:tabs>
        <w:spacing w:line="360" w:lineRule="auto"/>
        <w:ind w:right="51"/>
        <w:jc w:val="both"/>
        <w:rPr>
          <w:rFonts w:ascii="Palatino Linotype" w:hAnsi="Palatino Linotype"/>
        </w:rPr>
      </w:pPr>
    </w:p>
    <w:p w:rsidR="00D22DAC" w:rsidRDefault="00CC3CB2">
      <w:pPr>
        <w:numPr>
          <w:ilvl w:val="0"/>
          <w:numId w:val="1"/>
        </w:numPr>
        <w:tabs>
          <w:tab w:val="left" w:pos="426"/>
        </w:tabs>
        <w:spacing w:line="360" w:lineRule="auto"/>
        <w:ind w:left="0" w:right="49" w:firstLine="0"/>
        <w:jc w:val="both"/>
        <w:rPr>
          <w:rFonts w:ascii="Palatino Linotype" w:hAnsi="Palatino Linotype"/>
          <w:b/>
          <w:lang w:val="es-ES" w:eastAsia="x-none"/>
        </w:rPr>
      </w:pPr>
      <w:bookmarkStart w:id="1" w:name="_Ref490476121"/>
      <w:r>
        <w:rPr>
          <w:rFonts w:ascii="Palatino Linotype" w:hAnsi="Palatino Linotype"/>
        </w:rPr>
        <w:t xml:space="preserve">Inconforme con la respuesta del </w:t>
      </w:r>
      <w:r>
        <w:rPr>
          <w:rFonts w:ascii="Palatino Linotype" w:hAnsi="Palatino Linotype"/>
          <w:b/>
        </w:rPr>
        <w:t>SUJETO OBLIGADO</w:t>
      </w:r>
      <w:r>
        <w:rPr>
          <w:rFonts w:ascii="Palatino Linotype" w:hAnsi="Palatino Linotype"/>
        </w:rPr>
        <w:t xml:space="preserve">, el veintiuno de febrero de dos mil veinte, </w:t>
      </w:r>
      <w:bookmarkEnd w:id="1"/>
      <w:r>
        <w:rPr>
          <w:rFonts w:ascii="Palatino Linotype" w:hAnsi="Palatino Linotype"/>
          <w:b/>
          <w:lang w:val="es-ES" w:eastAsia="x-none"/>
        </w:rPr>
        <w:t>LA RECURRENTE</w:t>
      </w:r>
      <w:r>
        <w:rPr>
          <w:rFonts w:ascii="Palatino Linotype" w:hAnsi="Palatino Linotype"/>
          <w:lang w:val="es-ES" w:eastAsia="x-none"/>
        </w:rPr>
        <w:t xml:space="preserve"> mediante </w:t>
      </w:r>
      <w:r>
        <w:rPr>
          <w:rFonts w:ascii="Palatino Linotype" w:hAnsi="Palatino Linotype"/>
          <w:b/>
          <w:lang w:val="es-ES" w:eastAsia="x-none"/>
        </w:rPr>
        <w:t xml:space="preserve">EL SAIMEX </w:t>
      </w:r>
      <w:r>
        <w:rPr>
          <w:rFonts w:ascii="Palatino Linotype" w:hAnsi="Palatino Linotype"/>
          <w:lang w:val="es-ES" w:eastAsia="x-none"/>
        </w:rPr>
        <w:t xml:space="preserve">interpuso el recurso de revisión objeto del </w:t>
      </w:r>
      <w:r>
        <w:rPr>
          <w:rFonts w:ascii="Palatino Linotype" w:hAnsi="Palatino Linotype" w:cs="Arial"/>
          <w:lang w:val="es-ES" w:eastAsia="x-none"/>
        </w:rPr>
        <w:t>presente</w:t>
      </w:r>
      <w:r>
        <w:rPr>
          <w:rFonts w:ascii="Palatino Linotype" w:hAnsi="Palatino Linotype"/>
          <w:lang w:val="es-ES" w:eastAsia="x-none"/>
        </w:rPr>
        <w:t xml:space="preserve"> estudio, al que se le asignó el </w:t>
      </w:r>
      <w:r>
        <w:rPr>
          <w:rFonts w:ascii="Palatino Linotype" w:hAnsi="Palatino Linotype" w:cs="Arial"/>
          <w:lang w:val="es-ES" w:eastAsia="x-none"/>
        </w:rPr>
        <w:t>número</w:t>
      </w:r>
      <w:r>
        <w:rPr>
          <w:rFonts w:ascii="Palatino Linotype" w:hAnsi="Palatino Linotype"/>
          <w:b/>
          <w:bCs/>
          <w:color w:val="FF0000"/>
          <w:lang w:val="es-ES" w:eastAsia="x-none"/>
        </w:rPr>
        <w:t xml:space="preserve"> </w:t>
      </w:r>
      <w:r>
        <w:rPr>
          <w:rFonts w:ascii="Palatino Linotype" w:hAnsi="Palatino Linotype" w:cs="Arial"/>
          <w:b/>
          <w:bCs/>
          <w:lang w:val="es-ES" w:eastAsia="x-none"/>
        </w:rPr>
        <w:t>01167/INFOEM/IP/RR/2020</w:t>
      </w:r>
      <w:r>
        <w:rPr>
          <w:rFonts w:ascii="Palatino Linotype" w:hAnsi="Palatino Linotype" w:cs="Arial"/>
          <w:lang w:val="es-ES" w:eastAsia="x-none"/>
        </w:rPr>
        <w:t>, en el que señaló como acto impugnado, lo siguiente:</w:t>
      </w:r>
    </w:p>
    <w:p w:rsidR="00D22DAC" w:rsidRDefault="00CC3CB2">
      <w:pPr>
        <w:spacing w:before="200" w:after="200"/>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RESPUESTA QUE SE DA A MI SOLICITUD DE ACCESO A LA INFORMACIÓN, LA CUAL ES INCORRECTA PUES NO CORRESPONDE A LA INFORMACIÓN SOLICITADA.” </w:t>
      </w:r>
      <w:r>
        <w:rPr>
          <w:rFonts w:ascii="Palatino Linotype" w:hAnsi="Palatino Linotype" w:cs="Arial"/>
          <w:sz w:val="22"/>
          <w:szCs w:val="22"/>
          <w:lang w:eastAsia="es-MX"/>
        </w:rPr>
        <w:t>(Sic)</w:t>
      </w:r>
    </w:p>
    <w:p w:rsidR="00D22DAC" w:rsidRDefault="00CC3CB2">
      <w:pPr>
        <w:tabs>
          <w:tab w:val="left" w:pos="567"/>
        </w:tabs>
        <w:spacing w:before="160" w:after="160" w:line="360" w:lineRule="auto"/>
        <w:jc w:val="both"/>
        <w:rPr>
          <w:rFonts w:ascii="Palatino Linotype" w:hAnsi="Palatino Linotype"/>
          <w:lang w:val="es-ES" w:eastAsia="x-none"/>
        </w:rPr>
      </w:pPr>
      <w:r>
        <w:rPr>
          <w:rFonts w:ascii="Palatino Linotype" w:hAnsi="Palatino Linotype"/>
          <w:lang w:val="es-ES" w:eastAsia="x-none"/>
        </w:rPr>
        <w:t xml:space="preserve">Asimismo, </w:t>
      </w:r>
      <w:r>
        <w:rPr>
          <w:rFonts w:ascii="Palatino Linotype" w:hAnsi="Palatino Linotype"/>
          <w:b/>
          <w:lang w:val="es-ES" w:eastAsia="x-none"/>
        </w:rPr>
        <w:t>LA RECURRENTE</w:t>
      </w:r>
      <w:r>
        <w:rPr>
          <w:rFonts w:ascii="Palatino Linotype" w:hAnsi="Palatino Linotype"/>
          <w:lang w:val="es-ES" w:eastAsia="x-none"/>
        </w:rPr>
        <w:t xml:space="preserve"> indicó como razones o motivos de inconformidad: </w:t>
      </w:r>
    </w:p>
    <w:p w:rsidR="00D22DAC" w:rsidRDefault="00CC3CB2">
      <w:pPr>
        <w:ind w:left="709" w:right="709"/>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”NI SIQUIERA VIENE DIRIGIDA A MI PERSONA COMO TITULAR DE LA SOLICITUD, FUE ENVIADA CLARAMENTE EN CONTESTACIÓN A OTRA USUARIA DEL DERECHO A LA INFORMACIÓN, PIDO QUE SE REVISE Y QUE SE RECTIFIQUE; HACIENDOME LLEGAR A MI LA RESPUESTA A LA INFORMACIÓN QUE SÍ SOLICITE Y A LA USUARIA REFERIDA EN EL DOCUMENTO, EL DOCUMENTO EN SÍ.” (Sic)</w:t>
      </w:r>
    </w:p>
    <w:p w:rsidR="00D22DAC" w:rsidRDefault="00D22DAC">
      <w:pPr>
        <w:spacing w:line="360" w:lineRule="auto"/>
        <w:ind w:right="-93"/>
        <w:jc w:val="both"/>
        <w:rPr>
          <w:rFonts w:ascii="Palatino Linotype" w:hAnsi="Palatino Linotype" w:cs="Arial"/>
          <w:spacing w:val="-6"/>
          <w:lang w:eastAsia="es-MX"/>
        </w:rPr>
      </w:pPr>
    </w:p>
    <w:p w:rsidR="00D22DAC" w:rsidRDefault="00CC3CB2">
      <w:pPr>
        <w:spacing w:line="360" w:lineRule="auto"/>
        <w:ind w:right="-93"/>
        <w:jc w:val="both"/>
        <w:rPr>
          <w:rFonts w:ascii="Palatino Linotype" w:hAnsi="Palatino Linotype" w:cs="Arial"/>
          <w:b/>
          <w:i/>
          <w:spacing w:val="-6"/>
          <w:lang w:eastAsia="es-MX"/>
        </w:rPr>
      </w:pPr>
      <w:r>
        <w:rPr>
          <w:rFonts w:ascii="Palatino Linotype" w:hAnsi="Palatino Linotype" w:cs="Arial"/>
          <w:spacing w:val="-6"/>
          <w:lang w:eastAsia="es-MX"/>
        </w:rPr>
        <w:t>De igual forma</w:t>
      </w:r>
      <w:r>
        <w:rPr>
          <w:rFonts w:ascii="Palatino Linotype" w:hAnsi="Palatino Linotype" w:cs="Arial"/>
          <w:b/>
          <w:i/>
          <w:spacing w:val="-6"/>
          <w:lang w:eastAsia="es-MX"/>
        </w:rPr>
        <w:t xml:space="preserve">, </w:t>
      </w:r>
      <w:r>
        <w:rPr>
          <w:rFonts w:ascii="Palatino Linotype" w:hAnsi="Palatino Linotype" w:cs="Arial"/>
          <w:b/>
          <w:spacing w:val="-6"/>
          <w:lang w:eastAsia="es-MX"/>
        </w:rPr>
        <w:t>LA RECURRENTE</w:t>
      </w:r>
      <w:r>
        <w:rPr>
          <w:rFonts w:ascii="Palatino Linotype" w:hAnsi="Palatino Linotype" w:cs="Arial"/>
          <w:spacing w:val="-6"/>
          <w:lang w:eastAsia="es-MX"/>
        </w:rPr>
        <w:t xml:space="preserve">, adjuntó el archivo electrónico </w:t>
      </w:r>
      <w:r>
        <w:rPr>
          <w:rFonts w:ascii="Palatino Linotype" w:hAnsi="Palatino Linotype" w:cs="Arial"/>
          <w:b/>
          <w:i/>
          <w:spacing w:val="-6"/>
          <w:lang w:eastAsia="es-MX"/>
        </w:rPr>
        <w:t xml:space="preserve">SAIMEX.pdf, </w:t>
      </w:r>
      <w:r>
        <w:rPr>
          <w:rFonts w:ascii="Palatino Linotype" w:hAnsi="Palatino Linotype" w:cs="Arial"/>
          <w:spacing w:val="-6"/>
          <w:lang w:eastAsia="es-MX"/>
        </w:rPr>
        <w:t>consistente en el oficio</w:t>
      </w:r>
      <w:r>
        <w:rPr>
          <w:rFonts w:ascii="Palatino Linotype" w:hAnsi="Palatino Linotype" w:cs="Arial"/>
          <w:b/>
          <w:i/>
          <w:spacing w:val="-6"/>
          <w:lang w:eastAsia="es-MX"/>
        </w:rPr>
        <w:t xml:space="preserve"> </w:t>
      </w:r>
      <w:r>
        <w:rPr>
          <w:rFonts w:ascii="Palatino Linotype" w:hAnsi="Palatino Linotype"/>
        </w:rPr>
        <w:t>en el oficio de fecha veintiuno de febrero de dos mil veinte, signado por la Titular de la Unidad de Información, Planeación, Programación, Evaluación y Transparencia, remitido en respuesta.</w:t>
      </w:r>
    </w:p>
    <w:p w:rsidR="00D22DAC" w:rsidRDefault="00D22DAC">
      <w:pPr>
        <w:spacing w:line="360" w:lineRule="auto"/>
        <w:ind w:right="-93"/>
        <w:jc w:val="both"/>
        <w:rPr>
          <w:rFonts w:ascii="Palatino Linotype" w:hAnsi="Palatino Linotype" w:cs="Arial"/>
          <w:b/>
          <w:i/>
          <w:spacing w:val="-6"/>
          <w:lang w:eastAsia="es-MX"/>
        </w:rPr>
      </w:pPr>
    </w:p>
    <w:p w:rsidR="00D22DAC" w:rsidRDefault="00CC3CB2">
      <w:pPr>
        <w:numPr>
          <w:ilvl w:val="0"/>
          <w:numId w:val="1"/>
        </w:numPr>
        <w:tabs>
          <w:tab w:val="left" w:pos="567"/>
        </w:tabs>
        <w:spacing w:line="360" w:lineRule="auto"/>
        <w:ind w:left="0" w:firstLine="0"/>
        <w:jc w:val="both"/>
        <w:rPr>
          <w:rFonts w:ascii="Palatino Linotype" w:hAnsi="Palatino Linotype" w:cs="Arial"/>
          <w:lang w:val="es-ES_tradnl"/>
        </w:rPr>
      </w:pPr>
      <w:r>
        <w:rPr>
          <w:rFonts w:ascii="Palatino Linotype" w:hAnsi="Palatino Linotype" w:cs="Arial"/>
        </w:rPr>
        <w:t>En fecha veintiuno de febrero de dos mil veinte</w:t>
      </w:r>
      <w:r>
        <w:rPr>
          <w:rFonts w:ascii="Palatino Linotype" w:hAnsi="Palatino Linotype"/>
        </w:rPr>
        <w:t>, el</w:t>
      </w:r>
      <w:r>
        <w:rPr>
          <w:rFonts w:ascii="Palatino Linotype" w:hAnsi="Palatino Linotype" w:cs="Arial"/>
        </w:rPr>
        <w:t xml:space="preserve"> </w:t>
      </w:r>
      <w:r>
        <w:rPr>
          <w:rFonts w:ascii="Palatino Linotype" w:hAnsi="Palatino Linotype" w:cs="Arial"/>
          <w:lang w:val="es-ES_tradnl"/>
        </w:rPr>
        <w:t>recurso de que</w:t>
      </w:r>
      <w:r>
        <w:rPr>
          <w:rFonts w:ascii="Palatino Linotype" w:hAnsi="Palatino Linotype" w:cs="Arial"/>
        </w:rPr>
        <w:t xml:space="preserve"> se trata</w:t>
      </w:r>
      <w:r>
        <w:rPr>
          <w:rFonts w:ascii="Palatino Linotype" w:hAnsi="Palatino Linotype" w:cs="Arial"/>
          <w:lang w:val="es-ES_tradnl"/>
        </w:rPr>
        <w:t xml:space="preserve"> se envió </w:t>
      </w:r>
      <w:r>
        <w:rPr>
          <w:rFonts w:ascii="Palatino Linotype" w:hAnsi="Palatino Linotype"/>
        </w:rPr>
        <w:t>electrónicamente</w:t>
      </w:r>
      <w:r>
        <w:rPr>
          <w:rFonts w:ascii="Palatino Linotype" w:hAnsi="Palatino Linotype" w:cs="Arial"/>
          <w:lang w:val="es-ES_tradnl"/>
        </w:rPr>
        <w:t xml:space="preserve"> </w:t>
      </w:r>
      <w:r>
        <w:rPr>
          <w:rFonts w:ascii="Palatino Linotype" w:hAnsi="Palatino Linotype" w:cs="Arial"/>
        </w:rPr>
        <w:t>al</w:t>
      </w:r>
      <w:r>
        <w:rPr>
          <w:rFonts w:ascii="Palatino Linotype" w:hAnsi="Palatino Linotype" w:cs="Arial"/>
          <w:lang w:val="es-ES_tradnl"/>
        </w:rPr>
        <w:t xml:space="preserve"> </w:t>
      </w:r>
      <w:r>
        <w:rPr>
          <w:rFonts w:ascii="Palatino Linotype" w:hAnsi="Palatino Linotype" w:cs="Arial"/>
        </w:rPr>
        <w:t>Instituto</w:t>
      </w:r>
      <w:r>
        <w:rPr>
          <w:rFonts w:ascii="Palatino Linotype" w:hAnsi="Palatino Linotype" w:cs="Arial"/>
          <w:lang w:val="es-ES_tradnl"/>
        </w:rPr>
        <w:t xml:space="preserve"> de </w:t>
      </w:r>
      <w:r>
        <w:rPr>
          <w:rFonts w:ascii="Palatino Linotype" w:eastAsia="Arial Unicode MS" w:hAnsi="Palatino Linotype" w:cs="Arial"/>
        </w:rPr>
        <w:t>Transparencia</w:t>
      </w:r>
      <w:r>
        <w:rPr>
          <w:rFonts w:ascii="Palatino Linotype" w:hAnsi="Palatino Linotype" w:cs="Arial"/>
          <w:lang w:val="es-ES_tradnl"/>
        </w:rPr>
        <w:t xml:space="preserve">, Acceso a la Información Pública y Protección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del Estado de México y Municipios y con fundamento </w:t>
      </w:r>
      <w:r>
        <w:rPr>
          <w:rFonts w:ascii="Palatino Linotype" w:hAnsi="Palatino Linotype" w:cs="Arial"/>
          <w:lang w:val="es-ES_tradnl"/>
        </w:rPr>
        <w:lastRenderedPageBreak/>
        <w:t xml:space="preserve">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D22DAC" w:rsidRDefault="00D22DAC">
      <w:pPr>
        <w:tabs>
          <w:tab w:val="left" w:pos="567"/>
        </w:tabs>
        <w:spacing w:line="360" w:lineRule="auto"/>
        <w:jc w:val="both"/>
        <w:rPr>
          <w:rFonts w:ascii="Palatino Linotype" w:hAnsi="Palatino Linotype" w:cs="Arial"/>
          <w:lang w:val="es-ES_tradnl"/>
        </w:rPr>
      </w:pPr>
    </w:p>
    <w:p w:rsidR="00D22DAC" w:rsidRDefault="00CC3CB2">
      <w:pPr>
        <w:pStyle w:val="Prrafodelista"/>
        <w:widowControl w:val="0"/>
        <w:numPr>
          <w:ilvl w:val="0"/>
          <w:numId w:val="1"/>
        </w:numPr>
        <w:tabs>
          <w:tab w:val="left" w:pos="360"/>
        </w:tabs>
        <w:spacing w:line="360" w:lineRule="auto"/>
        <w:ind w:left="0" w:firstLine="0"/>
        <w:jc w:val="both"/>
        <w:rPr>
          <w:rFonts w:ascii="Palatino Linotype" w:hAnsi="Palatino Linotype" w:cs="Arial"/>
        </w:rPr>
      </w:pPr>
      <w:r>
        <w:rPr>
          <w:rFonts w:ascii="Palatino Linotype" w:hAnsi="Palatino Linotype" w:cs="Arial"/>
        </w:rPr>
        <w:t>De las constancias del expediente electrónico del</w:t>
      </w:r>
      <w:r>
        <w:rPr>
          <w:rFonts w:ascii="Palatino Linotype" w:hAnsi="Palatino Linotype" w:cs="Arial"/>
          <w:b/>
        </w:rPr>
        <w:t xml:space="preserve"> SAIMEX</w:t>
      </w:r>
      <w:r>
        <w:rPr>
          <w:rFonts w:ascii="Palatino Linotype" w:hAnsi="Palatino Linotype" w:cs="Arial"/>
        </w:rPr>
        <w:t xml:space="preserve">, se advierte que en fecha veintisiete de febrero de dos mil veinte, atento a lo dispuesto en el artículo 185 fracciones I, II y IV de la </w:t>
      </w:r>
      <w:r>
        <w:rPr>
          <w:rFonts w:ascii="Palatino Linotype" w:hAnsi="Palatino Linotype"/>
        </w:rPr>
        <w:t xml:space="preserve">Ley de Transparencia y Acceso a la Información Pública del Estado </w:t>
      </w:r>
      <w:r>
        <w:rPr>
          <w:rFonts w:ascii="Palatino Linotype" w:hAnsi="Palatino Linotype" w:cs="Arial"/>
          <w:lang w:val="es-ES_tradnl"/>
        </w:rPr>
        <w:t>de</w:t>
      </w:r>
      <w:r>
        <w:rPr>
          <w:rFonts w:ascii="Palatino Linotype" w:hAnsi="Palatino Linotype"/>
        </w:rPr>
        <w:t xml:space="preserv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integración del expediente respectivo, mismo que se puso a disposición de las partes, para </w:t>
      </w:r>
      <w:r>
        <w:rPr>
          <w:rFonts w:ascii="Palatino Linotype" w:hAnsi="Palatino Linotype"/>
        </w:rPr>
        <w:t>que</w:t>
      </w:r>
      <w:r>
        <w:rPr>
          <w:rFonts w:ascii="Palatino Linotype" w:hAnsi="Palatino Linotype" w:cs="Arial"/>
        </w:rPr>
        <w:t xml:space="preserve"> en el plazo máximo de siete días hábiles, </w:t>
      </w:r>
      <w:r>
        <w:rPr>
          <w:rFonts w:ascii="Palatino Linotype" w:hAnsi="Palatino Linotype"/>
          <w:b/>
        </w:rPr>
        <w:t>LA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D22DAC" w:rsidRDefault="00D22DAC">
      <w:pPr>
        <w:pStyle w:val="Prrafodelista"/>
        <w:widowControl w:val="0"/>
        <w:tabs>
          <w:tab w:val="left" w:pos="360"/>
        </w:tabs>
        <w:spacing w:line="360" w:lineRule="auto"/>
        <w:ind w:left="0"/>
        <w:jc w:val="both"/>
        <w:rPr>
          <w:rFonts w:ascii="Palatino Linotype" w:hAnsi="Palatino Linotype" w:cs="Arial"/>
        </w:rPr>
      </w:pPr>
    </w:p>
    <w:p w:rsidR="00D22DAC" w:rsidRDefault="00CC3CB2">
      <w:pPr>
        <w:pStyle w:val="Prrafodelista"/>
        <w:widowControl w:val="0"/>
        <w:numPr>
          <w:ilvl w:val="0"/>
          <w:numId w:val="1"/>
        </w:numPr>
        <w:tabs>
          <w:tab w:val="left" w:pos="142"/>
        </w:tabs>
        <w:spacing w:line="360" w:lineRule="auto"/>
        <w:ind w:left="0" w:firstLine="0"/>
        <w:jc w:val="both"/>
        <w:rPr>
          <w:rFonts w:ascii="Palatino Linotype" w:eastAsia="Arial Unicode MS" w:hAnsi="Palatino Linotype" w:cs="Arial"/>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 xml:space="preserve">en fechas cuatro y cinco de marzo de dos mil veinte,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w:t>
      </w:r>
      <w:r>
        <w:rPr>
          <w:rFonts w:ascii="Palatino Linotype" w:hAnsi="Palatino Linotype"/>
          <w:lang w:val="es-ES_tradnl"/>
        </w:rPr>
        <w:t>rindió su Informe Justificado adjuntando los archivos electrónicos siguientes:</w:t>
      </w:r>
    </w:p>
    <w:p w:rsidR="00D22DAC" w:rsidRDefault="00CC3CB2">
      <w:pPr>
        <w:pStyle w:val="Prrafodelista"/>
        <w:numPr>
          <w:ilvl w:val="0"/>
          <w:numId w:val="3"/>
        </w:numPr>
        <w:spacing w:line="360" w:lineRule="auto"/>
        <w:ind w:left="714" w:hanging="357"/>
        <w:jc w:val="both"/>
        <w:rPr>
          <w:rFonts w:ascii="Palatino Linotype" w:eastAsia="Arial Unicode MS" w:hAnsi="Palatino Linotype" w:cs="Arial"/>
          <w:b/>
        </w:rPr>
      </w:pPr>
      <w:r>
        <w:rPr>
          <w:rFonts w:ascii="Palatino Linotype" w:eastAsia="Arial Unicode MS" w:hAnsi="Palatino Linotype" w:cs="Arial"/>
          <w:b/>
        </w:rPr>
        <w:t>SAIMEX04</w:t>
      </w:r>
      <w:proofErr w:type="gramStart"/>
      <w:r>
        <w:rPr>
          <w:rFonts w:ascii="Palatino Linotype" w:eastAsia="Arial Unicode MS" w:hAnsi="Palatino Linotype" w:cs="Arial"/>
          <w:b/>
        </w:rPr>
        <w:t>..</w:t>
      </w:r>
      <w:proofErr w:type="gramEnd"/>
      <w:r>
        <w:rPr>
          <w:rFonts w:ascii="Palatino Linotype" w:eastAsia="Arial Unicode MS" w:hAnsi="Palatino Linotype" w:cs="Arial"/>
          <w:b/>
        </w:rPr>
        <w:t xml:space="preserve">pdf, </w:t>
      </w:r>
      <w:r>
        <w:rPr>
          <w:rFonts w:ascii="Palatino Linotype" w:eastAsia="Arial Unicode MS" w:hAnsi="Palatino Linotype" w:cs="Arial"/>
        </w:rPr>
        <w:t xml:space="preserve">consistente en el oficio de fecha veintiséis de febrero de 2020, mediante el cual, la Titular de la Unidad de Información, Planeación, Programación, Evaluación y Transparencia , manifestó que la Tesorera del </w:t>
      </w:r>
      <w:r>
        <w:rPr>
          <w:rFonts w:ascii="Palatino Linotype" w:eastAsia="Arial Unicode MS" w:hAnsi="Palatino Linotype" w:cs="Arial"/>
          <w:b/>
        </w:rPr>
        <w:t>SUJETO OBLIGADO</w:t>
      </w:r>
      <w:r>
        <w:rPr>
          <w:rFonts w:ascii="Palatino Linotype" w:eastAsia="Arial Unicode MS" w:hAnsi="Palatino Linotype" w:cs="Arial"/>
        </w:rPr>
        <w:t xml:space="preserve">, informó que para el ejercicio fiscal 2020, el presupuesto </w:t>
      </w:r>
      <w:r>
        <w:rPr>
          <w:rFonts w:ascii="Palatino Linotype" w:eastAsia="Arial Unicode MS" w:hAnsi="Palatino Linotype" w:cs="Arial"/>
        </w:rPr>
        <w:lastRenderedPageBreak/>
        <w:t>asignado a los proyectos que se ejecuta y el número de servidores públicos que desarrollan sus funciones son las siguientes:</w:t>
      </w:r>
    </w:p>
    <w:p w:rsidR="00D22DAC" w:rsidRDefault="00CC3CB2">
      <w:pPr>
        <w:tabs>
          <w:tab w:val="left" w:pos="851"/>
        </w:tabs>
        <w:spacing w:line="360" w:lineRule="auto"/>
        <w:ind w:left="709" w:firstLine="284"/>
        <w:jc w:val="both"/>
        <w:rPr>
          <w:rFonts w:ascii="Palatino Linotype" w:eastAsia="Arial Unicode MS" w:hAnsi="Palatino Linotype" w:cs="Arial"/>
          <w:b/>
        </w:rPr>
      </w:pPr>
      <w:r>
        <w:rPr>
          <w:rFonts w:ascii="Palatino Linotype" w:eastAsia="Arial Unicode MS" w:hAnsi="Palatino Linotype" w:cs="Arial"/>
        </w:rPr>
        <w:br/>
      </w:r>
      <w:r>
        <w:rPr>
          <w:noProof/>
          <w:lang w:eastAsia="es-MX"/>
        </w:rPr>
        <w:drawing>
          <wp:inline distT="0" distB="0" distL="0" distR="0">
            <wp:extent cx="5304790" cy="315277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8"/>
                    <a:srcRect l="19953" t="27067" r="20880" b="27362"/>
                    <a:stretch>
                      <a:fillRect/>
                    </a:stretch>
                  </pic:blipFill>
                  <pic:spPr bwMode="auto">
                    <a:xfrm>
                      <a:off x="0" y="0"/>
                      <a:ext cx="5304790" cy="3152775"/>
                    </a:xfrm>
                    <a:prstGeom prst="rect">
                      <a:avLst/>
                    </a:prstGeom>
                  </pic:spPr>
                </pic:pic>
              </a:graphicData>
            </a:graphic>
          </wp:inline>
        </w:drawing>
      </w:r>
    </w:p>
    <w:p w:rsidR="00D22DAC" w:rsidRDefault="00D22DAC">
      <w:pPr>
        <w:tabs>
          <w:tab w:val="left" w:pos="851"/>
        </w:tabs>
        <w:spacing w:line="360" w:lineRule="auto"/>
        <w:ind w:left="709" w:firstLine="284"/>
        <w:jc w:val="both"/>
        <w:rPr>
          <w:rFonts w:ascii="Palatino Linotype" w:eastAsia="Arial Unicode MS" w:hAnsi="Palatino Linotype" w:cs="Arial"/>
          <w:b/>
        </w:rPr>
      </w:pPr>
    </w:p>
    <w:p w:rsidR="00D22DAC" w:rsidRDefault="00CC3CB2">
      <w:pPr>
        <w:pStyle w:val="Prrafodelista"/>
        <w:spacing w:line="360" w:lineRule="auto"/>
        <w:ind w:left="714"/>
        <w:jc w:val="both"/>
        <w:rPr>
          <w:rFonts w:ascii="Palatino Linotype" w:eastAsia="Arial Unicode MS" w:hAnsi="Palatino Linotype" w:cs="Arial"/>
        </w:rPr>
      </w:pPr>
      <w:r>
        <w:rPr>
          <w:rFonts w:ascii="Palatino Linotype" w:eastAsia="Arial Unicode MS" w:hAnsi="Palatino Linotype" w:cs="Arial"/>
        </w:rPr>
        <w:t xml:space="preserve">Así mismo, la Titular de la Unidad de Información, Planeación, Programación, Evaluación y Transparencia, enuncio el objetivo de cada proyecto, de acuerdo al Plan de Desarrollo del Estado de México y su relación con la agenda 2030, a través de una tabla con los rubros PROYECTO y DESCRIPCIÓN y finalmente manifestó que con respecto al número de niños que vivían al interior de los centros penitenciarios, con madres reclusas y si ellos cuentan con algún apoyo económico del  Gobierno del Estado (San Mateo Atenco), </w:t>
      </w:r>
      <w:r>
        <w:rPr>
          <w:rFonts w:ascii="Palatino Linotype" w:eastAsia="Arial Unicode MS" w:hAnsi="Palatino Linotype" w:cs="Arial"/>
          <w:b/>
        </w:rPr>
        <w:t>EL SUJETO OBLIGADO</w:t>
      </w:r>
      <w:r>
        <w:rPr>
          <w:rFonts w:ascii="Palatino Linotype" w:eastAsia="Arial Unicode MS" w:hAnsi="Palatino Linotype" w:cs="Arial"/>
        </w:rPr>
        <w:t xml:space="preserve">,  no era la ejecutora de la información, lo era la Secretaría de Seguridad, a través de la  Subsecretaría de Control Penitenciario quien se </w:t>
      </w:r>
      <w:r>
        <w:rPr>
          <w:rFonts w:ascii="Palatino Linotype" w:eastAsia="Arial Unicode MS" w:hAnsi="Palatino Linotype" w:cs="Arial"/>
        </w:rPr>
        <w:lastRenderedPageBreak/>
        <w:t>encarga de ejecutar las acciones en los Centros Penitenciarios y de Reinserción Social del Estado de México, a quien corresponde la ejecución de las sanciones privativas y medidas restrictivas de libertad, así como la dirección y el control  de la administración y la seguridad de todos los Centros Penitenciaros y de Reinserción social, los cuales integran la base central del Sistema penitenciario  del Estado de México.</w:t>
      </w:r>
    </w:p>
    <w:p w:rsidR="00D22DAC" w:rsidRDefault="00CC3CB2">
      <w:pPr>
        <w:rPr>
          <w:rFonts w:ascii="Palatino Linotype" w:eastAsia="Arial Unicode MS" w:hAnsi="Palatino Linotype" w:cs="Arial"/>
          <w:b/>
        </w:rPr>
      </w:pPr>
      <w:r>
        <w:rPr>
          <w:rFonts w:ascii="Palatino Linotype" w:eastAsia="Arial Unicode MS" w:hAnsi="Palatino Linotype" w:cs="Arial"/>
        </w:rPr>
        <w:t xml:space="preserve"> </w:t>
      </w:r>
    </w:p>
    <w:p w:rsidR="00D22DAC" w:rsidRDefault="00CC3CB2">
      <w:pPr>
        <w:pStyle w:val="Prrafodelista"/>
        <w:widowControl w:val="0"/>
        <w:numPr>
          <w:ilvl w:val="0"/>
          <w:numId w:val="3"/>
        </w:numPr>
        <w:tabs>
          <w:tab w:val="left" w:pos="142"/>
        </w:tabs>
        <w:spacing w:line="360" w:lineRule="auto"/>
        <w:jc w:val="both"/>
        <w:rPr>
          <w:rFonts w:ascii="Palatino Linotype" w:eastAsia="Arial Unicode MS" w:hAnsi="Palatino Linotype" w:cs="Arial"/>
        </w:rPr>
      </w:pPr>
      <w:r>
        <w:rPr>
          <w:rFonts w:ascii="Palatino Linotype" w:eastAsia="Arial Unicode MS" w:hAnsi="Palatino Linotype" w:cs="Arial"/>
          <w:b/>
        </w:rPr>
        <w:t>oficio, manifestación</w:t>
      </w:r>
      <w:proofErr w:type="gramStart"/>
      <w:r>
        <w:rPr>
          <w:rFonts w:ascii="Palatino Linotype" w:eastAsia="Arial Unicode MS" w:hAnsi="Palatino Linotype" w:cs="Arial"/>
          <w:b/>
        </w:rPr>
        <w:t>..</w:t>
      </w:r>
      <w:proofErr w:type="spellStart"/>
      <w:proofErr w:type="gramEnd"/>
      <w:r>
        <w:rPr>
          <w:rFonts w:ascii="Palatino Linotype" w:eastAsia="Arial Unicode MS" w:hAnsi="Palatino Linotype" w:cs="Arial"/>
          <w:b/>
        </w:rPr>
        <w:t>pdf</w:t>
      </w:r>
      <w:proofErr w:type="spellEnd"/>
      <w:r>
        <w:rPr>
          <w:rFonts w:ascii="Palatino Linotype" w:eastAsia="Arial Unicode MS" w:hAnsi="Palatino Linotype" w:cs="Arial"/>
          <w:b/>
        </w:rPr>
        <w:t xml:space="preserve">, </w:t>
      </w:r>
      <w:r>
        <w:rPr>
          <w:rFonts w:ascii="Palatino Linotype" w:eastAsia="Arial Unicode MS" w:hAnsi="Palatino Linotype" w:cs="Arial"/>
        </w:rPr>
        <w:t xml:space="preserve">consistente en el oficio de fecha cinco de marzo de 2020, mediante el cual, la Titular de la Unidad de Información, Planeación, Programación, Evaluación y Transparencia, refirió que por un error humano, se emitió una respuesta distinta a lo solicitado por la particular; sin embargo, en el acto se daba respuesta a lo requerido.  </w:t>
      </w:r>
    </w:p>
    <w:p w:rsidR="00D22DAC" w:rsidRDefault="00D22DAC">
      <w:pPr>
        <w:pStyle w:val="Prrafodelista"/>
        <w:rPr>
          <w:rFonts w:ascii="Palatino Linotype" w:eastAsia="Arial Unicode MS" w:hAnsi="Palatino Linotype" w:cs="Arial"/>
          <w:b/>
        </w:rPr>
      </w:pPr>
    </w:p>
    <w:p w:rsidR="00D22DAC" w:rsidRDefault="00CC3CB2">
      <w:pPr>
        <w:pStyle w:val="Prrafodelista"/>
        <w:widowControl w:val="0"/>
        <w:tabs>
          <w:tab w:val="left" w:pos="360"/>
        </w:tabs>
        <w:spacing w:line="360" w:lineRule="auto"/>
        <w:ind w:left="0"/>
        <w:jc w:val="both"/>
        <w:rPr>
          <w:rFonts w:ascii="Palatino Linotype" w:hAnsi="Palatino Linotype" w:cs="Arial"/>
          <w:b/>
        </w:rPr>
      </w:pPr>
      <w:r>
        <w:rPr>
          <w:rFonts w:ascii="Palatino Linotype" w:eastAsia="Arial Unicode MS" w:hAnsi="Palatino Linotype" w:cs="Arial"/>
        </w:rPr>
        <w:t>Atento a lo anterior y en razón a que</w:t>
      </w:r>
      <w:r>
        <w:rPr>
          <w:rFonts w:ascii="Palatino Linotype" w:eastAsia="Arial Unicode MS" w:hAnsi="Palatino Linotype" w:cs="Arial"/>
          <w:lang w:val="es-ES_tradnl"/>
        </w:rPr>
        <w:t xml:space="preserve"> se actualizó lo dispuesto por la fracción III del artículo 185 de la Ley de Transparencia y Acceso a la Información Pública de Estado de México, el Informe Justificado fue puesto a la vista de </w:t>
      </w:r>
      <w:r>
        <w:rPr>
          <w:rFonts w:ascii="Palatino Linotype" w:eastAsia="Arial Unicode MS" w:hAnsi="Palatino Linotype" w:cs="Arial"/>
          <w:b/>
          <w:lang w:val="es-ES_tradnl"/>
        </w:rPr>
        <w:t>LA</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 xml:space="preserve">RECURRENTE </w:t>
      </w:r>
      <w:r>
        <w:rPr>
          <w:rFonts w:ascii="Palatino Linotype" w:eastAsia="Arial Unicode MS" w:hAnsi="Palatino Linotype" w:cs="Arial"/>
          <w:lang w:val="es-ES_tradnl"/>
        </w:rPr>
        <w:t>el once de marzo de 2020; a efecto de que manifestara lo que a su derecho corresponda</w:t>
      </w:r>
      <w:r>
        <w:t xml:space="preserve"> y </w:t>
      </w:r>
      <w:r>
        <w:rPr>
          <w:rFonts w:ascii="Palatino Linotype" w:eastAsia="Arial Unicode MS" w:hAnsi="Palatino Linotype" w:cs="Arial"/>
          <w:lang w:val="es-ES_tradnl"/>
        </w:rPr>
        <w:t>presentará pruebas o alegatos, situación que no ocurrió, sirve de manera ilustrativa, la siguiente imagen:</w:t>
      </w:r>
    </w:p>
    <w:p w:rsidR="00D22DAC" w:rsidRDefault="00CC3CB2">
      <w:pPr>
        <w:spacing w:line="360" w:lineRule="auto"/>
        <w:jc w:val="both"/>
        <w:rPr>
          <w:rFonts w:ascii="Palatino Linotype" w:eastAsia="Arial Unicode MS" w:hAnsi="Palatino Linotype" w:cs="Arial"/>
          <w:lang w:val="es-ES_tradnl"/>
        </w:rPr>
      </w:pPr>
      <w:r>
        <w:rPr>
          <w:noProof/>
          <w:lang w:eastAsia="es-MX"/>
        </w:rPr>
        <w:lastRenderedPageBreak/>
        <w:drawing>
          <wp:inline distT="0" distB="0" distL="0" distR="0">
            <wp:extent cx="5697220" cy="226060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pic:cNvPicPr>
                      <a:picLocks noChangeAspect="1" noChangeArrowheads="1"/>
                    </pic:cNvPicPr>
                  </pic:nvPicPr>
                  <pic:blipFill>
                    <a:blip r:embed="rId9"/>
                    <a:srcRect l="15266" t="32387" r="15502" b="36614"/>
                    <a:stretch>
                      <a:fillRect/>
                    </a:stretch>
                  </pic:blipFill>
                  <pic:spPr bwMode="auto">
                    <a:xfrm>
                      <a:off x="0" y="0"/>
                      <a:ext cx="5697220" cy="2260600"/>
                    </a:xfrm>
                    <a:prstGeom prst="rect">
                      <a:avLst/>
                    </a:prstGeom>
                  </pic:spPr>
                </pic:pic>
              </a:graphicData>
            </a:graphic>
          </wp:inline>
        </w:drawing>
      </w:r>
    </w:p>
    <w:p w:rsidR="00D22DAC" w:rsidRDefault="00CC3CB2">
      <w:pPr>
        <w:spacing w:before="240" w:after="240" w:line="360" w:lineRule="auto"/>
        <w:jc w:val="both"/>
        <w:rPr>
          <w:rFonts w:ascii="Palatino Linotype" w:hAnsi="Palatino Linotype" w:cs="Arial"/>
        </w:rPr>
      </w:pPr>
      <w:r>
        <w:rPr>
          <w:rFonts w:ascii="Palatino Linotype" w:hAnsi="Palatino Linotype"/>
          <w:b/>
          <w:sz w:val="28"/>
          <w:szCs w:val="28"/>
        </w:rPr>
        <w:t xml:space="preserve">IX. </w:t>
      </w:r>
      <w:r>
        <w:rPr>
          <w:rFonts w:ascii="Palatino Linotype" w:hAnsi="Palatino Linotype" w:cs="Arial"/>
        </w:rPr>
        <w:t xml:space="preserve">Una vez analizado el estado procesal que guardaba el expediente, en fecha diecinueve de marzo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rsidR="00D22DAC" w:rsidRDefault="00CC3CB2">
      <w:pPr>
        <w:spacing w:beforeAutospacing="1" w:afterAutospacing="1" w:line="360" w:lineRule="auto"/>
        <w:jc w:val="center"/>
        <w:rPr>
          <w:rFonts w:ascii="Palatino Linotype" w:hAnsi="Palatino Linotype"/>
          <w:b/>
          <w:bCs/>
          <w:spacing w:val="40"/>
          <w:sz w:val="28"/>
        </w:rPr>
      </w:pPr>
      <w:r>
        <w:rPr>
          <w:rFonts w:ascii="Palatino Linotype" w:hAnsi="Palatino Linotype"/>
          <w:b/>
          <w:bCs/>
          <w:spacing w:val="40"/>
          <w:sz w:val="28"/>
        </w:rPr>
        <w:t>CONSIDERANDO</w:t>
      </w:r>
    </w:p>
    <w:p w:rsidR="00D22DAC" w:rsidRDefault="00CC3CB2">
      <w:pPr>
        <w:pStyle w:val="Prrafodelista"/>
        <w:widowControl w:val="0"/>
        <w:numPr>
          <w:ilvl w:val="0"/>
          <w:numId w:val="2"/>
        </w:numPr>
        <w:tabs>
          <w:tab w:val="left" w:pos="1701"/>
          <w:tab w:val="left" w:pos="1843"/>
        </w:tabs>
        <w:spacing w:line="360" w:lineRule="auto"/>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w:t>
      </w:r>
      <w:r>
        <w:rPr>
          <w:rFonts w:ascii="Palatino Linotype" w:hAnsi="Palatino Linotype"/>
        </w:rPr>
        <w:lastRenderedPageBreak/>
        <w:t>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 toda vez que, se trata de un recurso de revisión interpuesto por una Ciudadana en términos de la Ley de la materia.</w:t>
      </w:r>
    </w:p>
    <w:p w:rsidR="00D22DAC" w:rsidRDefault="00D22DAC">
      <w:pPr>
        <w:pStyle w:val="Prrafodelista"/>
        <w:widowControl w:val="0"/>
        <w:tabs>
          <w:tab w:val="left" w:pos="1701"/>
          <w:tab w:val="left" w:pos="1843"/>
        </w:tabs>
        <w:spacing w:line="360" w:lineRule="auto"/>
        <w:ind w:left="0"/>
        <w:jc w:val="both"/>
        <w:rPr>
          <w:rFonts w:ascii="Palatino Linotype" w:hAnsi="Palatino Linotype" w:cs="Arial"/>
        </w:rPr>
      </w:pPr>
    </w:p>
    <w:p w:rsidR="00D22DAC" w:rsidRDefault="00CC3CB2">
      <w:pPr>
        <w:pStyle w:val="Prrafodelista"/>
        <w:widowControl w:val="0"/>
        <w:numPr>
          <w:ilvl w:val="0"/>
          <w:numId w:val="2"/>
        </w:numPr>
        <w:tabs>
          <w:tab w:val="left" w:pos="1701"/>
          <w:tab w:val="left" w:pos="1843"/>
        </w:tabs>
        <w:spacing w:line="360" w:lineRule="auto"/>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LA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acceso a la información pública </w:t>
      </w:r>
      <w:r>
        <w:rPr>
          <w:rFonts w:ascii="Palatino Linotype" w:hAnsi="Palatino Linotype"/>
        </w:rPr>
        <w:t>número</w:t>
      </w:r>
      <w:r>
        <w:rPr>
          <w:rFonts w:ascii="Verdana" w:hAnsi="Verdana"/>
          <w:b/>
          <w:bCs/>
          <w:color w:val="FF0000"/>
        </w:rPr>
        <w:t xml:space="preserve"> </w:t>
      </w:r>
      <w:r>
        <w:rPr>
          <w:rFonts w:ascii="Palatino Linotype" w:hAnsi="Palatino Linotype"/>
          <w:b/>
          <w:bCs/>
        </w:rPr>
        <w:t>00004/DIFMATEOAT/IP/2020.</w:t>
      </w:r>
    </w:p>
    <w:p w:rsidR="00D22DAC" w:rsidRDefault="00D22DAC">
      <w:pPr>
        <w:pStyle w:val="Prrafodelista"/>
        <w:widowControl w:val="0"/>
        <w:tabs>
          <w:tab w:val="left" w:pos="1701"/>
          <w:tab w:val="left" w:pos="1843"/>
        </w:tabs>
        <w:spacing w:line="360" w:lineRule="auto"/>
        <w:ind w:left="0"/>
        <w:jc w:val="both"/>
        <w:rPr>
          <w:rFonts w:ascii="Palatino Linotype" w:hAnsi="Palatino Linotype" w:cs="Arial"/>
          <w:lang w:val="es-ES_tradnl"/>
        </w:rPr>
      </w:pPr>
    </w:p>
    <w:p w:rsidR="00D22DAC" w:rsidRDefault="00CC3CB2">
      <w:pPr>
        <w:pStyle w:val="Prrafodelista"/>
        <w:widowControl w:val="0"/>
        <w:numPr>
          <w:ilvl w:val="0"/>
          <w:numId w:val="2"/>
        </w:numPr>
        <w:tabs>
          <w:tab w:val="left" w:pos="1701"/>
        </w:tabs>
        <w:spacing w:line="360" w:lineRule="auto"/>
        <w:ind w:right="49"/>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lang w:val="es-ES"/>
        </w:rPr>
        <w:t xml:space="preserve">El recurso de revisión fue interpuesto dentro del plazo de quince días hábiles contados a partir del día siguiente al en que </w:t>
      </w:r>
      <w:r>
        <w:rPr>
          <w:rFonts w:ascii="Palatino Linotype" w:hAnsi="Palatino Linotype" w:cs="Arial"/>
          <w:b/>
          <w:lang w:val="es-ES"/>
        </w:rPr>
        <w:t xml:space="preserve">LA RECURRENTE </w:t>
      </w:r>
      <w:r>
        <w:rPr>
          <w:rFonts w:ascii="Palatino Linotype" w:hAnsi="Palatino Linotype" w:cs="Arial"/>
          <w:lang w:val="es-ES"/>
        </w:rPr>
        <w:t xml:space="preserve">tuvo conocimiento de la respuesta impugnada, tal y como lo prevé el artículo 178 de la Ley de Transparencia y Acceso a la Información Pública del Estado de México y Municipios, que establece: </w:t>
      </w:r>
    </w:p>
    <w:p w:rsidR="00D22DAC" w:rsidRDefault="00D22DAC">
      <w:pPr>
        <w:ind w:left="851" w:right="899"/>
        <w:jc w:val="both"/>
        <w:rPr>
          <w:rFonts w:ascii="Palatino Linotype" w:hAnsi="Palatino Linotype" w:cs="Arial"/>
          <w:lang w:val="es-ES"/>
        </w:rPr>
      </w:pPr>
    </w:p>
    <w:p w:rsidR="00D22DAC" w:rsidRDefault="00CC3CB2">
      <w:pPr>
        <w:tabs>
          <w:tab w:val="left" w:pos="8222"/>
        </w:tabs>
        <w:ind w:left="851" w:right="1134"/>
        <w:jc w:val="both"/>
        <w:rPr>
          <w:rFonts w:ascii="Palatino Linotype" w:hAnsi="Palatino Linotype" w:cs="Arial"/>
          <w:i/>
          <w:sz w:val="22"/>
          <w:szCs w:val="22"/>
          <w:lang w:val="es-ES"/>
        </w:rPr>
      </w:pPr>
      <w:r>
        <w:rPr>
          <w:rFonts w:ascii="Palatino Linotype" w:hAnsi="Palatino Linotype" w:cs="Arial"/>
          <w:b/>
          <w:i/>
          <w:sz w:val="22"/>
          <w:szCs w:val="22"/>
          <w:lang w:val="es-ES"/>
        </w:rPr>
        <w:t>“Artículo 178.</w:t>
      </w:r>
      <w:r>
        <w:rPr>
          <w:rFonts w:ascii="Palatino Linotype" w:hAnsi="Palatino Linotype" w:cs="Arial"/>
          <w:i/>
          <w:sz w:val="22"/>
          <w:szCs w:val="22"/>
          <w:lang w:val="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22DAC" w:rsidRDefault="00CC3CB2">
      <w:pPr>
        <w:tabs>
          <w:tab w:val="left" w:pos="8222"/>
        </w:tabs>
        <w:ind w:left="851" w:right="1134"/>
        <w:jc w:val="both"/>
        <w:rPr>
          <w:rFonts w:ascii="Palatino Linotype" w:hAnsi="Palatino Linotype" w:cs="Arial"/>
          <w:i/>
          <w:sz w:val="22"/>
          <w:szCs w:val="22"/>
          <w:lang w:val="es-ES"/>
        </w:rPr>
      </w:pPr>
      <w:r>
        <w:rPr>
          <w:rFonts w:ascii="Palatino Linotype" w:hAnsi="Palatino Linotype" w:cs="Arial"/>
          <w:i/>
          <w:sz w:val="22"/>
          <w:szCs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22DAC" w:rsidRDefault="00CC3CB2">
      <w:pPr>
        <w:tabs>
          <w:tab w:val="left" w:pos="8222"/>
        </w:tabs>
        <w:ind w:left="851" w:right="1134"/>
        <w:jc w:val="both"/>
        <w:rPr>
          <w:rFonts w:ascii="Palatino Linotype" w:hAnsi="Palatino Linotype" w:cs="Arial"/>
          <w:b/>
          <w:i/>
          <w:sz w:val="22"/>
          <w:szCs w:val="22"/>
          <w:lang w:val="es-ES"/>
        </w:rPr>
      </w:pPr>
      <w:r>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r>
        <w:rPr>
          <w:rFonts w:ascii="Palatino Linotype" w:hAnsi="Palatino Linotype" w:cs="Arial"/>
          <w:b/>
          <w:i/>
          <w:sz w:val="22"/>
          <w:szCs w:val="22"/>
          <w:lang w:val="es-ES"/>
        </w:rPr>
        <w:t>”</w:t>
      </w:r>
    </w:p>
    <w:p w:rsidR="00D22DAC" w:rsidRDefault="00D22DAC">
      <w:pPr>
        <w:tabs>
          <w:tab w:val="left" w:pos="8222"/>
        </w:tabs>
        <w:ind w:right="1134"/>
        <w:jc w:val="both"/>
        <w:rPr>
          <w:rFonts w:ascii="Palatino Linotype" w:hAnsi="Palatino Linotype" w:cs="Arial"/>
          <w:i/>
          <w:sz w:val="22"/>
          <w:szCs w:val="22"/>
          <w:lang w:val="es-ES"/>
        </w:rPr>
      </w:pPr>
    </w:p>
    <w:p w:rsidR="00D22DAC" w:rsidRDefault="00CC3CB2">
      <w:pPr>
        <w:spacing w:line="360" w:lineRule="auto"/>
        <w:jc w:val="both"/>
        <w:rPr>
          <w:rFonts w:ascii="Palatino Linotype" w:hAnsi="Palatino Linotype" w:cs="Arial"/>
        </w:rPr>
      </w:pPr>
      <w:r>
        <w:rPr>
          <w:rFonts w:ascii="Palatino Linotype" w:eastAsiaTheme="minorEastAsia" w:hAnsi="Palatino Linotype" w:cs="Arial"/>
          <w:lang w:val="es-ES_tradnl"/>
        </w:rPr>
        <w:lastRenderedPageBreak/>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veintiuno de febrero de dos mil veinte; </w:t>
      </w:r>
      <w:r>
        <w:rPr>
          <w:rFonts w:ascii="Palatino Linotype" w:hAnsi="Palatino Linotype" w:cs="Arial"/>
        </w:rPr>
        <w:t xml:space="preserve">en consecuencia, el plazo de quince días hábiles que el artículo 178 de la ley de la materia otorga a </w:t>
      </w:r>
      <w:r>
        <w:rPr>
          <w:rFonts w:ascii="Palatino Linotype" w:eastAsia="Arial Unicode MS" w:hAnsi="Palatino Linotype" w:cs="Arial"/>
          <w:b/>
          <w:lang w:val="es-ES_tradnl"/>
        </w:rPr>
        <w:t>LA</w:t>
      </w:r>
      <w:r>
        <w:rPr>
          <w:rFonts w:ascii="Palatino Linotype" w:hAnsi="Palatino Linotype" w:cs="Arial"/>
          <w:b/>
        </w:rPr>
        <w:t xml:space="preserve"> RECURRENTE</w:t>
      </w:r>
      <w:r>
        <w:rPr>
          <w:rFonts w:ascii="Palatino Linotype" w:hAnsi="Palatino Linotype" w:cs="Arial"/>
        </w:rPr>
        <w:t xml:space="preserve"> para presentar el recurso de revisión, transcurrió del</w:t>
      </w:r>
      <w:r>
        <w:rPr>
          <w:rFonts w:ascii="Palatino Linotype" w:hAnsi="Palatino Linotype" w:cs="Arial"/>
          <w:b/>
        </w:rPr>
        <w:t xml:space="preserve"> veinticuatro de febrero al diecisiete de marzo de dos mil veinte</w:t>
      </w:r>
      <w:r>
        <w:rPr>
          <w:rFonts w:ascii="Palatino Linotype" w:hAnsi="Palatino Linotype" w:cs="Arial"/>
        </w:rPr>
        <w:t xml:space="preserve">, sin contemplar en el cómputo los días veintidós, veintitrés y veintinueve de febrero; uno, siete, ocho, catorce y quince de marzo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los días dos y dieciséis de marzo de dos mil veinte, por suspensión de labores en el Instituto,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D22DAC" w:rsidRDefault="00CC3CB2">
      <w:pPr>
        <w:spacing w:beforeAutospacing="1" w:afterAutospacing="1" w:line="360" w:lineRule="auto"/>
        <w:jc w:val="both"/>
        <w:rPr>
          <w:rFonts w:ascii="Palatino Linotype" w:hAnsi="Palatino Linotype" w:cs="Arial"/>
        </w:rPr>
      </w:pPr>
      <w:r>
        <w:rPr>
          <w:rFonts w:ascii="Palatino Linotype" w:hAnsi="Palatino Linotype" w:cs="Arial"/>
        </w:rPr>
        <w:t xml:space="preserve">Si bien es cierto que, </w:t>
      </w:r>
      <w:r>
        <w:rPr>
          <w:rFonts w:ascii="Palatino Linotype" w:hAnsi="Palatino Linotype" w:cs="Arial"/>
          <w:b/>
          <w:color w:val="000000"/>
        </w:rPr>
        <w:t>LA RECURRENTE</w:t>
      </w:r>
      <w:r>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Pr>
          <w:rFonts w:ascii="Palatino Linotype" w:hAnsi="Palatino Linotype" w:cs="Arial"/>
          <w:b/>
          <w:color w:val="000000"/>
        </w:rPr>
        <w:t>LA RECURRENTE</w:t>
      </w:r>
      <w:r>
        <w:rPr>
          <w:rFonts w:ascii="Palatino Linotype" w:hAnsi="Palatino Linotype" w:cs="Arial"/>
        </w:rPr>
        <w:t xml:space="preserve"> tenga conocimiento de la respuesta impugnada; sin embargo, no prohíbe que se presente el mismo día en que ésta le sea notificada; esto es, que no señala </w:t>
      </w:r>
      <w:r>
        <w:rPr>
          <w:rFonts w:ascii="Palatino Linotype" w:hAnsi="Palatino Linotype" w:cs="Arial"/>
        </w:rPr>
        <w:lastRenderedPageBreak/>
        <w:t>que de presentarse el recurso de revisión el mismo día en que se notifica, éste resulte extemporáneo.</w:t>
      </w:r>
    </w:p>
    <w:p w:rsidR="00D22DAC" w:rsidRDefault="00CC3CB2">
      <w:pPr>
        <w:spacing w:beforeAutospacing="1" w:afterAutospacing="1" w:line="360" w:lineRule="auto"/>
        <w:jc w:val="both"/>
        <w:rPr>
          <w:rFonts w:ascii="Palatino Linotype" w:hAnsi="Palatino Linotype" w:cs="Arial"/>
        </w:rPr>
      </w:pPr>
      <w:r>
        <w:rPr>
          <w:rFonts w:ascii="Palatino Linotype" w:hAnsi="Palatino Linotype" w:cs="Arial"/>
        </w:rPr>
        <w:t>En sustento a lo anterior, es aplicable por analogía la Jurisprudencia número 1a</w:t>
      </w:r>
      <w:proofErr w:type="gramStart"/>
      <w:r>
        <w:rPr>
          <w:rFonts w:ascii="Palatino Linotype" w:hAnsi="Palatino Linotype" w:cs="Arial"/>
        </w:rPr>
        <w:t>./</w:t>
      </w:r>
      <w:proofErr w:type="gramEnd"/>
      <w:r>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D22DAC" w:rsidRDefault="00CC3CB2">
      <w:pPr>
        <w:ind w:left="851" w:right="902"/>
        <w:contextualSpacing/>
        <w:jc w:val="both"/>
        <w:rPr>
          <w:rFonts w:ascii="Palatino Linotype" w:hAnsi="Palatino Linotype" w:cs="Arial"/>
          <w:b/>
          <w:i/>
          <w:sz w:val="22"/>
          <w:szCs w:val="22"/>
        </w:rPr>
      </w:pPr>
      <w:r>
        <w:rPr>
          <w:rFonts w:ascii="Palatino Linotype" w:hAnsi="Palatino Linotype" w:cs="Arial"/>
          <w:i/>
          <w:sz w:val="22"/>
          <w:szCs w:val="22"/>
        </w:rPr>
        <w:t>“</w:t>
      </w:r>
      <w:r>
        <w:rPr>
          <w:rFonts w:ascii="Palatino Linotype" w:hAnsi="Palatino Linotype" w:cs="Arial"/>
          <w:b/>
          <w:i/>
          <w:sz w:val="22"/>
          <w:szCs w:val="22"/>
        </w:rPr>
        <w:t xml:space="preserve">RECURSO DE RECLAMACIÓN. SU INTERPOSICIÓN NO ES EXTEMPORÁNEA SI SE </w:t>
      </w:r>
      <w:r>
        <w:rPr>
          <w:rFonts w:ascii="Palatino Linotype" w:hAnsi="Palatino Linotype" w:cs="Arial"/>
          <w:b/>
          <w:i/>
          <w:color w:val="000000"/>
          <w:sz w:val="22"/>
          <w:szCs w:val="22"/>
        </w:rPr>
        <w:t>REALIZA</w:t>
      </w:r>
      <w:r>
        <w:rPr>
          <w:rFonts w:ascii="Palatino Linotype" w:hAnsi="Palatino Linotype" w:cs="Arial"/>
          <w:b/>
          <w:i/>
          <w:sz w:val="22"/>
          <w:szCs w:val="22"/>
        </w:rPr>
        <w:t xml:space="preserve"> ANTES DE QUE INICIE EL PLAZO PARA HACERLO.</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t xml:space="preserve">Conforme al artículo 104, párrafo segundo, de la Ley de Amparo, el recurso de reclamación podrá interponerse por </w:t>
      </w:r>
      <w:r>
        <w:rPr>
          <w:rFonts w:ascii="Palatino Linotype" w:hAnsi="Palatino Linotype" w:cs="Arial"/>
          <w:i/>
          <w:color w:val="000000"/>
          <w:sz w:val="22"/>
          <w:szCs w:val="22"/>
        </w:rPr>
        <w:t>cualquiera</w:t>
      </w:r>
      <w:r>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Pr>
          <w:rFonts w:ascii="Palatino Linotype" w:hAnsi="Palatino Linotype" w:cs="Arial"/>
          <w:i/>
          <w:sz w:val="22"/>
          <w:szCs w:val="22"/>
        </w:rPr>
        <w:t>Arboleya</w:t>
      </w:r>
      <w:proofErr w:type="spellEnd"/>
      <w:r>
        <w:rPr>
          <w:rFonts w:ascii="Palatino Linotype" w:hAnsi="Palatino Linotype" w:cs="Arial"/>
          <w:i/>
          <w:sz w:val="22"/>
          <w:szCs w:val="22"/>
        </w:rPr>
        <w:t>.</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Pr>
          <w:rFonts w:ascii="Palatino Linotype" w:hAnsi="Palatino Linotype" w:cs="Arial"/>
          <w:i/>
          <w:sz w:val="22"/>
          <w:szCs w:val="22"/>
        </w:rPr>
        <w:t>Goslinga</w:t>
      </w:r>
      <w:proofErr w:type="spellEnd"/>
      <w:r>
        <w:rPr>
          <w:rFonts w:ascii="Palatino Linotype" w:hAnsi="Palatino Linotype" w:cs="Arial"/>
          <w:i/>
          <w:sz w:val="22"/>
          <w:szCs w:val="22"/>
        </w:rPr>
        <w:t xml:space="preserve"> </w:t>
      </w:r>
      <w:proofErr w:type="spellStart"/>
      <w:r>
        <w:rPr>
          <w:rFonts w:ascii="Palatino Linotype" w:hAnsi="Palatino Linotype" w:cs="Arial"/>
          <w:i/>
          <w:sz w:val="22"/>
          <w:szCs w:val="22"/>
        </w:rPr>
        <w:t>Remírez</w:t>
      </w:r>
      <w:proofErr w:type="spellEnd"/>
      <w:r>
        <w:rPr>
          <w:rFonts w:ascii="Palatino Linotype" w:hAnsi="Palatino Linotype" w:cs="Arial"/>
          <w:i/>
          <w:sz w:val="22"/>
          <w:szCs w:val="22"/>
        </w:rPr>
        <w:t>.</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t>Tesis de jurisprudencia 41/2015 (10a.). Aprobada por la Primera Sala de este Alto Tribunal, en sesión privada de veintisiete de mayo de dos mil quince.</w:t>
      </w:r>
    </w:p>
    <w:p w:rsidR="00D22DAC" w:rsidRDefault="00CC3CB2">
      <w:pPr>
        <w:ind w:left="851" w:right="902"/>
        <w:contextualSpacing/>
        <w:jc w:val="both"/>
        <w:rPr>
          <w:rFonts w:ascii="Palatino Linotype" w:hAnsi="Palatino Linotype" w:cs="Arial"/>
          <w:i/>
          <w:sz w:val="22"/>
          <w:szCs w:val="22"/>
        </w:rPr>
      </w:pPr>
      <w:r>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D22DAC" w:rsidRDefault="00D22DAC">
      <w:pPr>
        <w:spacing w:line="360" w:lineRule="auto"/>
        <w:jc w:val="both"/>
        <w:rPr>
          <w:rFonts w:ascii="Palatino Linotype" w:hAnsi="Palatino Linotype" w:cs="Arial"/>
          <w:lang w:val="es-ES"/>
        </w:rPr>
      </w:pPr>
    </w:p>
    <w:p w:rsidR="00D22DAC" w:rsidRDefault="00CC3CB2">
      <w:pPr>
        <w:spacing w:line="360" w:lineRule="auto"/>
        <w:jc w:val="both"/>
        <w:rPr>
          <w:rFonts w:ascii="Palatino Linotype" w:hAnsi="Palatino Linotype" w:cs="Arial"/>
          <w:lang w:val="es-ES"/>
        </w:rPr>
      </w:pPr>
      <w:r>
        <w:rPr>
          <w:rFonts w:ascii="Palatino Linotype" w:hAnsi="Palatino Linotype" w:cs="Arial"/>
          <w:lang w:val="es-ES"/>
        </w:rPr>
        <w:t>En ese tenor, si el recurso de revisión que nos ocupa, se interpuso el</w:t>
      </w:r>
      <w:r>
        <w:rPr>
          <w:rFonts w:ascii="Palatino Linotype" w:hAnsi="Palatino Linotype" w:cs="Arial"/>
          <w:b/>
          <w:u w:val="single"/>
          <w:lang w:val="es-ES"/>
        </w:rPr>
        <w:t xml:space="preserve"> veintiuno de febrero de dos mil veinte</w:t>
      </w:r>
      <w:r>
        <w:rPr>
          <w:rFonts w:ascii="Palatino Linotype" w:hAnsi="Palatino Linotype" w:cs="Arial"/>
          <w:lang w:val="es-ES"/>
        </w:rPr>
        <w:t>, éste se encuentra dentro de los márgenes temporales previstos en el citado precepto legal y, por tanto, se considera oportuno.</w:t>
      </w:r>
    </w:p>
    <w:p w:rsidR="00D22DAC" w:rsidRDefault="00D22DAC">
      <w:pPr>
        <w:ind w:right="899"/>
        <w:jc w:val="both"/>
        <w:rPr>
          <w:rFonts w:ascii="Palatino Linotype" w:hAnsi="Palatino Linotype" w:cs="Arial"/>
          <w:lang w:val="es-ES"/>
        </w:rPr>
      </w:pPr>
    </w:p>
    <w:p w:rsidR="00D22DAC" w:rsidRDefault="00CC3CB2">
      <w:pPr>
        <w:pStyle w:val="Prrafodelista"/>
        <w:widowControl w:val="0"/>
        <w:numPr>
          <w:ilvl w:val="0"/>
          <w:numId w:val="2"/>
        </w:numPr>
        <w:tabs>
          <w:tab w:val="left" w:pos="1701"/>
          <w:tab w:val="left" w:pos="1843"/>
        </w:tabs>
        <w:spacing w:line="360" w:lineRule="auto"/>
        <w:jc w:val="both"/>
        <w:rPr>
          <w:rFonts w:ascii="Palatino Linotype" w:hAnsi="Palatino Linotype"/>
          <w:color w:val="000000" w:themeColor="text1"/>
        </w:rPr>
      </w:pPr>
      <w:r>
        <w:rPr>
          <w:rFonts w:ascii="Palatino Linotype" w:hAnsi="Palatino Linotype" w:cs="Arial"/>
          <w:b/>
        </w:rPr>
        <w:t xml:space="preserve">Procedibilidad. </w:t>
      </w:r>
      <w:r>
        <w:rPr>
          <w:rFonts w:ascii="Palatino Linotype" w:hAnsi="Palatino Linotype" w:cs="Arial"/>
        </w:rPr>
        <w:t xml:space="preserve">Del análisis efectuado, se advierte la </w:t>
      </w:r>
      <w:proofErr w:type="spellStart"/>
      <w:r>
        <w:rPr>
          <w:rFonts w:ascii="Palatino Linotype" w:hAnsi="Palatino Linotype" w:cs="Arial"/>
        </w:rPr>
        <w:t>procedibilidad</w:t>
      </w:r>
      <w:proofErr w:type="spellEnd"/>
      <w:r>
        <w:rPr>
          <w:rFonts w:ascii="Palatino Linotype" w:hAnsi="Palatino Linotype" w:cs="Arial"/>
        </w:rPr>
        <w:t xml:space="preserve">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D22DAC" w:rsidRDefault="00D22DAC">
      <w:pPr>
        <w:widowControl w:val="0"/>
        <w:tabs>
          <w:tab w:val="left" w:pos="1701"/>
          <w:tab w:val="left" w:pos="1843"/>
        </w:tabs>
        <w:spacing w:line="360" w:lineRule="auto"/>
        <w:jc w:val="both"/>
        <w:rPr>
          <w:rFonts w:ascii="Palatino Linotype" w:hAnsi="Palatino Linotype"/>
          <w:color w:val="000000" w:themeColor="text1"/>
        </w:rPr>
      </w:pPr>
    </w:p>
    <w:p w:rsidR="00D22DAC" w:rsidRDefault="00CC3CB2">
      <w:pPr>
        <w:pStyle w:val="Prrafodelista"/>
        <w:widowControl w:val="0"/>
        <w:numPr>
          <w:ilvl w:val="0"/>
          <w:numId w:val="2"/>
        </w:numPr>
        <w:tabs>
          <w:tab w:val="left" w:pos="1560"/>
          <w:tab w:val="left" w:pos="1843"/>
        </w:tabs>
        <w:spacing w:line="360" w:lineRule="auto"/>
        <w:jc w:val="both"/>
        <w:rPr>
          <w:rFonts w:ascii="Palatino Linotype" w:hAnsi="Palatino Linotype" w:cs="Arial"/>
        </w:rPr>
      </w:pPr>
      <w:r>
        <w:rPr>
          <w:rFonts w:ascii="Palatino Linotype" w:hAnsi="Palatino Linotype"/>
          <w:lang w:val="es-ES"/>
        </w:rPr>
        <w:t xml:space="preserve"> </w:t>
      </w:r>
      <w:r>
        <w:rPr>
          <w:rFonts w:ascii="Palatino Linotype" w:hAnsi="Palatino Linotype" w:cs="Arial"/>
          <w:b/>
          <w:color w:val="000000"/>
        </w:rPr>
        <w:t xml:space="preserve">Estudio y resolución del asunto. </w:t>
      </w:r>
      <w:r>
        <w:rPr>
          <w:rFonts w:ascii="Palatino Linotype" w:hAnsi="Palatino Linotype" w:cs="Arial"/>
        </w:rPr>
        <w:t>Del análisis efectuado se advierte que el recurso de revisión de que se trata es procedente; toda vez, que se actualiza la hipótesis prevista en la fracción VI del artículo 179 de la Ley de la materia, que a la letra indica:</w:t>
      </w:r>
    </w:p>
    <w:p w:rsidR="00D22DAC" w:rsidRDefault="00D22DAC">
      <w:pPr>
        <w:pStyle w:val="Prrafodelista"/>
        <w:widowControl w:val="0"/>
        <w:tabs>
          <w:tab w:val="left" w:pos="1560"/>
          <w:tab w:val="left" w:pos="1843"/>
        </w:tabs>
        <w:spacing w:line="360" w:lineRule="auto"/>
        <w:ind w:left="0"/>
        <w:jc w:val="both"/>
        <w:rPr>
          <w:rFonts w:ascii="Palatino Linotype" w:hAnsi="Palatino Linotype" w:cs="Arial"/>
        </w:rPr>
      </w:pPr>
    </w:p>
    <w:p w:rsidR="00D22DAC" w:rsidRDefault="00CC3CB2">
      <w:pPr>
        <w:ind w:left="709" w:right="709"/>
        <w:jc w:val="both"/>
        <w:rPr>
          <w:rFonts w:ascii="Palatino Linotype" w:hAnsi="Palatino Linotype" w:cs="Arial"/>
          <w:b/>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D22DAC" w:rsidRDefault="00CC3CB2">
      <w:pPr>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D22DAC" w:rsidRDefault="00CC3CB2">
      <w:pPr>
        <w:ind w:left="709" w:right="709"/>
        <w:jc w:val="both"/>
        <w:rPr>
          <w:rFonts w:ascii="Palatino Linotype" w:hAnsi="Palatino Linotype" w:cs="Arial"/>
          <w:b/>
          <w:bCs/>
          <w:i/>
          <w:sz w:val="22"/>
          <w:szCs w:val="22"/>
        </w:rPr>
      </w:pPr>
      <w:r>
        <w:rPr>
          <w:rFonts w:ascii="Palatino Linotype" w:hAnsi="Palatino Linotype" w:cs="Arial"/>
          <w:b/>
          <w:bCs/>
          <w:i/>
          <w:sz w:val="22"/>
          <w:szCs w:val="22"/>
        </w:rPr>
        <w:t>VI. La entrega de información que no corresponda con lo solicitado;</w:t>
      </w:r>
    </w:p>
    <w:p w:rsidR="00D22DAC" w:rsidRDefault="00CC3CB2">
      <w:pPr>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D22DAC" w:rsidRDefault="00D22DAC">
      <w:pPr>
        <w:ind w:left="709" w:right="709"/>
        <w:jc w:val="both"/>
        <w:rPr>
          <w:rFonts w:ascii="Palatino Linotype" w:hAnsi="Palatino Linotype" w:cs="Arial"/>
          <w:b/>
          <w:bCs/>
          <w:i/>
          <w:sz w:val="22"/>
          <w:szCs w:val="22"/>
        </w:rPr>
      </w:pPr>
    </w:p>
    <w:p w:rsidR="00D22DAC" w:rsidRDefault="00CC3CB2">
      <w:pPr>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D22DAC" w:rsidRDefault="00D22DAC">
      <w:pPr>
        <w:spacing w:line="276" w:lineRule="auto"/>
        <w:ind w:left="709" w:right="709"/>
        <w:jc w:val="both"/>
        <w:rPr>
          <w:rFonts w:ascii="Palatino Linotype" w:hAnsi="Palatino Linotype" w:cs="Arial"/>
          <w:b/>
          <w:bCs/>
          <w:i/>
          <w:sz w:val="22"/>
          <w:szCs w:val="22"/>
        </w:rPr>
      </w:pPr>
    </w:p>
    <w:p w:rsidR="00D22DAC" w:rsidRDefault="00CC3CB2">
      <w:pPr>
        <w:tabs>
          <w:tab w:val="left" w:pos="567"/>
        </w:tabs>
        <w:spacing w:line="360" w:lineRule="auto"/>
        <w:ind w:right="51"/>
        <w:jc w:val="both"/>
        <w:rPr>
          <w:rFonts w:ascii="Palatino Linotype" w:hAnsi="Palatino Linotype"/>
        </w:rPr>
      </w:pPr>
      <w:r>
        <w:rPr>
          <w:rFonts w:ascii="Palatino Linotype" w:hAnsi="Palatino Linotype" w:cs="Arial"/>
        </w:rPr>
        <w:t>El precepto legal antes citado, establece como supuesto de procedencia del recurso de revisión, la</w:t>
      </w:r>
      <w:r>
        <w:t xml:space="preserve"> </w:t>
      </w:r>
      <w:r>
        <w:rPr>
          <w:rFonts w:ascii="Palatino Linotype" w:hAnsi="Palatino Linotype" w:cs="Arial"/>
        </w:rPr>
        <w:t xml:space="preserve">entrega de información que no corresponda a lo solicitado, como sucede en el presente caso, en razón de que la particular requirió conocer el presupuesto que se le asigna a la niñez, los programas sociales dirigidos a la población infantil, autoridades que aplican o ponen en marcha dichos programas, el número de niños que vivan al interior de centros penitenciarios con madres reclusas y si ellos cuentan con algún apoyo económico; sin embargo mediante respuesta, </w:t>
      </w:r>
      <w:r>
        <w:rPr>
          <w:rFonts w:ascii="Palatino Linotype" w:hAnsi="Palatino Linotype" w:cs="Arial"/>
          <w:b/>
        </w:rPr>
        <w:t xml:space="preserve">EL SUJETO OBLIGADO, </w:t>
      </w:r>
      <w:r>
        <w:rPr>
          <w:rFonts w:ascii="Palatino Linotype" w:hAnsi="Palatino Linotype" w:cs="Arial"/>
        </w:rPr>
        <w:t xml:space="preserve">remitió </w:t>
      </w:r>
      <w:r>
        <w:rPr>
          <w:rFonts w:ascii="Palatino Linotype" w:hAnsi="Palatino Linotype"/>
        </w:rPr>
        <w:t>las acciones a realizar, relacionadas con la Ley de Archivo vigente.</w:t>
      </w:r>
    </w:p>
    <w:p w:rsidR="00D22DAC" w:rsidRDefault="00D22DAC">
      <w:pPr>
        <w:widowControl w:val="0"/>
        <w:spacing w:line="360" w:lineRule="auto"/>
        <w:jc w:val="both"/>
        <w:rPr>
          <w:rFonts w:ascii="Palatino Linotype" w:hAnsi="Palatino Linotype" w:cs="Arial"/>
        </w:rPr>
      </w:pPr>
    </w:p>
    <w:p w:rsidR="00D22DAC" w:rsidRDefault="00CC3CB2">
      <w:pPr>
        <w:widowControl w:val="0"/>
        <w:spacing w:line="360" w:lineRule="auto"/>
        <w:jc w:val="both"/>
        <w:rPr>
          <w:rFonts w:ascii="Palatino Linotype" w:hAnsi="Palatino Linotype" w:cs="Arial"/>
          <w:lang w:val="es-ES"/>
        </w:rPr>
      </w:pPr>
      <w:r>
        <w:rPr>
          <w:rFonts w:ascii="Palatino Linotype" w:hAnsi="Palatino Linotype" w:cs="Arial"/>
        </w:rPr>
        <w:t xml:space="preserve">Una vez determinada la vía, sobre la que versará el presente estudio, </w:t>
      </w:r>
      <w:r>
        <w:rPr>
          <w:rFonts w:ascii="Palatino Linotype" w:hAnsi="Palatino Linotype" w:cs="Arial"/>
          <w:lang w:val="es-ES"/>
        </w:rPr>
        <w:t>se puede advertir que</w:t>
      </w:r>
      <w:r>
        <w:rPr>
          <w:rFonts w:ascii="Palatino Linotype" w:hAnsi="Palatino Linotype" w:cs="Arial"/>
          <w:b/>
          <w:lang w:val="es-ES"/>
        </w:rPr>
        <w:t xml:space="preserve"> LA RECURRENTE </w:t>
      </w:r>
      <w:r>
        <w:rPr>
          <w:rFonts w:ascii="Palatino Linotype" w:hAnsi="Palatino Linotype" w:cs="Arial"/>
          <w:lang w:val="es-ES"/>
        </w:rPr>
        <w:t xml:space="preserve">solicitó del </w:t>
      </w:r>
      <w:r>
        <w:rPr>
          <w:rFonts w:ascii="Palatino Linotype" w:hAnsi="Palatino Linotype" w:cs="Arial"/>
          <w:b/>
        </w:rPr>
        <w:t>SUJETO OBLIGADO</w:t>
      </w:r>
      <w:r>
        <w:rPr>
          <w:rFonts w:ascii="Palatino Linotype" w:hAnsi="Palatino Linotype" w:cs="Arial"/>
          <w:bCs/>
          <w:lang w:val="es-ES"/>
        </w:rPr>
        <w:t>, vía correo electrónico</w:t>
      </w:r>
      <w:r>
        <w:rPr>
          <w:rFonts w:ascii="Palatino Linotype" w:hAnsi="Palatino Linotype" w:cs="Arial"/>
          <w:lang w:val="es-ES"/>
        </w:rPr>
        <w:t>, el documento o documentos donde conste, lo siguiente:</w:t>
      </w:r>
    </w:p>
    <w:p w:rsidR="00D22DAC" w:rsidRDefault="00D22DAC">
      <w:pPr>
        <w:widowControl w:val="0"/>
        <w:spacing w:line="360" w:lineRule="auto"/>
        <w:jc w:val="both"/>
        <w:rPr>
          <w:rFonts w:ascii="Palatino Linotype" w:hAnsi="Palatino Linotype" w:cs="Arial"/>
          <w:sz w:val="18"/>
          <w:szCs w:val="18"/>
        </w:rPr>
      </w:pPr>
    </w:p>
    <w:p w:rsidR="00D22DAC" w:rsidRDefault="00CC3CB2">
      <w:pPr>
        <w:pStyle w:val="Prrafodelista"/>
        <w:widowControl w:val="0"/>
        <w:numPr>
          <w:ilvl w:val="0"/>
          <w:numId w:val="3"/>
        </w:numPr>
        <w:spacing w:line="360" w:lineRule="auto"/>
        <w:jc w:val="both"/>
        <w:rPr>
          <w:rFonts w:ascii="Palatino Linotype" w:hAnsi="Palatino Linotype" w:cs="Arial"/>
          <w:b/>
          <w:i/>
          <w:sz w:val="18"/>
          <w:szCs w:val="18"/>
          <w:lang w:val="es-ES"/>
        </w:rPr>
      </w:pPr>
      <w:r>
        <w:rPr>
          <w:rFonts w:ascii="Palatino Linotype" w:hAnsi="Palatino Linotype" w:cs="Arial"/>
          <w:b/>
        </w:rPr>
        <w:t xml:space="preserve">El presupuesto que se le asigna a la niñez, </w:t>
      </w:r>
    </w:p>
    <w:p w:rsidR="00D22DAC" w:rsidRDefault="00CC3CB2">
      <w:pPr>
        <w:pStyle w:val="Prrafodelista"/>
        <w:widowControl w:val="0"/>
        <w:numPr>
          <w:ilvl w:val="0"/>
          <w:numId w:val="3"/>
        </w:numPr>
        <w:spacing w:line="360" w:lineRule="auto"/>
        <w:jc w:val="both"/>
        <w:rPr>
          <w:rFonts w:ascii="Palatino Linotype" w:hAnsi="Palatino Linotype" w:cs="Arial"/>
          <w:b/>
          <w:i/>
          <w:sz w:val="18"/>
          <w:szCs w:val="18"/>
          <w:lang w:val="es-ES"/>
        </w:rPr>
      </w:pPr>
      <w:r>
        <w:rPr>
          <w:rFonts w:ascii="Palatino Linotype" w:hAnsi="Palatino Linotype" w:cs="Arial"/>
          <w:b/>
        </w:rPr>
        <w:t>Los programas sociales dirigidos a la población infantil</w:t>
      </w:r>
    </w:p>
    <w:p w:rsidR="00D22DAC" w:rsidRDefault="00CC3CB2">
      <w:pPr>
        <w:pStyle w:val="Prrafodelista"/>
        <w:widowControl w:val="0"/>
        <w:numPr>
          <w:ilvl w:val="0"/>
          <w:numId w:val="3"/>
        </w:numPr>
        <w:spacing w:line="360" w:lineRule="auto"/>
        <w:jc w:val="both"/>
        <w:rPr>
          <w:rFonts w:ascii="Palatino Linotype" w:hAnsi="Palatino Linotype" w:cs="Arial"/>
          <w:b/>
          <w:i/>
          <w:sz w:val="18"/>
          <w:szCs w:val="18"/>
          <w:lang w:val="es-ES"/>
        </w:rPr>
      </w:pPr>
      <w:r>
        <w:rPr>
          <w:rFonts w:ascii="Palatino Linotype" w:hAnsi="Palatino Linotype" w:cs="Arial"/>
          <w:b/>
        </w:rPr>
        <w:t>Las autoridades que aplican o ponen en marcha los programas sociales dirigidos a la población infantil</w:t>
      </w:r>
    </w:p>
    <w:p w:rsidR="00D22DAC" w:rsidRDefault="00CC3CB2">
      <w:pPr>
        <w:pStyle w:val="Prrafodelista"/>
        <w:widowControl w:val="0"/>
        <w:numPr>
          <w:ilvl w:val="0"/>
          <w:numId w:val="3"/>
        </w:numPr>
        <w:spacing w:line="360" w:lineRule="auto"/>
        <w:jc w:val="both"/>
        <w:rPr>
          <w:rFonts w:ascii="Palatino Linotype" w:hAnsi="Palatino Linotype" w:cs="Arial"/>
          <w:b/>
          <w:i/>
          <w:sz w:val="18"/>
          <w:szCs w:val="18"/>
          <w:lang w:val="es-ES"/>
        </w:rPr>
      </w:pPr>
      <w:r>
        <w:rPr>
          <w:rFonts w:ascii="Palatino Linotype" w:hAnsi="Palatino Linotype" w:cs="Arial"/>
          <w:b/>
        </w:rPr>
        <w:lastRenderedPageBreak/>
        <w:t xml:space="preserve">El número de niños que viven al interior de centros penitenciarios con madres reclusas </w:t>
      </w:r>
    </w:p>
    <w:p w:rsidR="00D22DAC" w:rsidRDefault="00CC3CB2">
      <w:pPr>
        <w:pStyle w:val="Prrafodelista"/>
        <w:widowControl w:val="0"/>
        <w:numPr>
          <w:ilvl w:val="0"/>
          <w:numId w:val="3"/>
        </w:numPr>
        <w:spacing w:line="360" w:lineRule="auto"/>
        <w:jc w:val="both"/>
        <w:rPr>
          <w:rFonts w:ascii="Palatino Linotype" w:hAnsi="Palatino Linotype" w:cs="Arial"/>
          <w:b/>
          <w:i/>
          <w:sz w:val="18"/>
          <w:szCs w:val="18"/>
          <w:lang w:val="es-ES"/>
        </w:rPr>
      </w:pPr>
      <w:r>
        <w:rPr>
          <w:rFonts w:ascii="Palatino Linotype" w:hAnsi="Palatino Linotype" w:cs="Arial"/>
          <w:b/>
        </w:rPr>
        <w:t>Apoyos económicos dirigidos a niños que viven al interior de centros penitenciarios</w:t>
      </w:r>
    </w:p>
    <w:p w:rsidR="00D22DAC" w:rsidRDefault="00D22DAC">
      <w:pPr>
        <w:widowControl w:val="0"/>
        <w:spacing w:line="360" w:lineRule="auto"/>
        <w:jc w:val="both"/>
        <w:rPr>
          <w:rFonts w:ascii="Palatino Linotype" w:hAnsi="Palatino Linotype" w:cs="Arial"/>
          <w:b/>
          <w:i/>
          <w:sz w:val="14"/>
          <w:szCs w:val="14"/>
          <w:lang w:val="es-ES"/>
        </w:rPr>
      </w:pPr>
    </w:p>
    <w:p w:rsidR="00D22DAC" w:rsidRDefault="00CC3CB2">
      <w:pPr>
        <w:widowControl w:val="0"/>
        <w:spacing w:line="360" w:lineRule="auto"/>
        <w:jc w:val="both"/>
        <w:rPr>
          <w:rFonts w:ascii="Palatino Linotype" w:hAnsi="Palatino Linotype" w:cs="Arial"/>
          <w:b/>
          <w:i/>
          <w:sz w:val="18"/>
          <w:szCs w:val="18"/>
          <w:lang w:val="es-ES"/>
        </w:rPr>
      </w:pPr>
      <w:r>
        <w:rPr>
          <w:rFonts w:ascii="Palatino Linotype" w:hAnsi="Palatino Linotype"/>
          <w:color w:val="000000"/>
        </w:rPr>
        <w:t>E</w:t>
      </w:r>
      <w:r>
        <w:rPr>
          <w:rFonts w:ascii="Palatino Linotype" w:hAnsi="Palatino Linotype" w:cs="Arial"/>
        </w:rPr>
        <w:t xml:space="preserve">n </w:t>
      </w:r>
      <w:r>
        <w:rPr>
          <w:rFonts w:ascii="Palatino Linotype" w:hAnsi="Palatino Linotype"/>
        </w:rPr>
        <w:t>respuesta</w:t>
      </w:r>
      <w:r>
        <w:rPr>
          <w:rFonts w:ascii="Palatino Linotype" w:hAnsi="Palatino Linotype" w:cs="Arial"/>
        </w:rPr>
        <w:t xml:space="preserve"> a la solicitud de acceso a la información pública, </w:t>
      </w:r>
      <w:r>
        <w:rPr>
          <w:rFonts w:ascii="Palatino Linotype" w:hAnsi="Palatino Linotype" w:cs="Arial"/>
          <w:b/>
        </w:rPr>
        <w:t>EL SUJETO OBLIGADO</w:t>
      </w:r>
      <w:r>
        <w:rPr>
          <w:rFonts w:ascii="Palatino Linotype" w:hAnsi="Palatino Linotype"/>
        </w:rPr>
        <w:t xml:space="preserve"> </w:t>
      </w:r>
      <w:r>
        <w:rPr>
          <w:rFonts w:ascii="Palatino Linotype" w:hAnsi="Palatino Linotype" w:cs="Arial"/>
        </w:rPr>
        <w:t xml:space="preserve">remitió </w:t>
      </w:r>
      <w:r>
        <w:rPr>
          <w:rFonts w:ascii="Palatino Linotype" w:hAnsi="Palatino Linotype"/>
        </w:rPr>
        <w:t>las acciones a realizar, relacionadas con la Ley de Archivo vigente, con lo cual pretendió dar respuesta a la solicitud de mérito.</w:t>
      </w:r>
    </w:p>
    <w:p w:rsidR="00D22DAC" w:rsidRDefault="00CC3CB2">
      <w:pPr>
        <w:tabs>
          <w:tab w:val="left" w:pos="567"/>
        </w:tabs>
        <w:spacing w:line="360" w:lineRule="auto"/>
        <w:ind w:right="51"/>
        <w:jc w:val="both"/>
        <w:rPr>
          <w:rFonts w:ascii="Palatino Linotype" w:hAnsi="Palatino Linotype"/>
        </w:rPr>
      </w:pPr>
      <w:r>
        <w:rPr>
          <w:rFonts w:ascii="Palatino Linotype" w:hAnsi="Palatino Linotype" w:cs="Arial"/>
        </w:rPr>
        <w:t xml:space="preserve">Por otra parte, de las constancias que obran en el </w:t>
      </w:r>
      <w:r>
        <w:rPr>
          <w:rFonts w:ascii="Palatino Linotype" w:hAnsi="Palatino Linotype" w:cs="Arial"/>
          <w:b/>
        </w:rPr>
        <w:t>SAIMEX,</w:t>
      </w:r>
      <w:r>
        <w:rPr>
          <w:rFonts w:ascii="Palatino Linotype" w:hAnsi="Palatino Linotype" w:cs="Arial"/>
        </w:rPr>
        <w:t xml:space="preserve"> se advierte que </w:t>
      </w:r>
      <w:r>
        <w:rPr>
          <w:rFonts w:ascii="Palatino Linotype" w:eastAsia="Arial Unicode MS" w:hAnsi="Palatino Linotype" w:cs="Arial"/>
          <w:b/>
        </w:rPr>
        <w:t>LA RECURRENTE</w:t>
      </w:r>
      <w:r>
        <w:rPr>
          <w:rFonts w:ascii="Palatino Linotype" w:eastAsia="Arial Unicode MS" w:hAnsi="Palatino Linotype" w:cs="Arial"/>
        </w:rPr>
        <w:t xml:space="preserve"> no realizó manifestación alguna, ni presentó pruebas o alegatos; mientras que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rindió su Informe Justificado, adjuntando los archivos electrónicos descritos en el resultando </w:t>
      </w:r>
      <w:r>
        <w:rPr>
          <w:rFonts w:ascii="Palatino Linotype" w:eastAsia="Arial Unicode MS" w:hAnsi="Palatino Linotype" w:cs="Arial"/>
          <w:b/>
        </w:rPr>
        <w:t xml:space="preserve">VI, </w:t>
      </w:r>
      <w:r>
        <w:rPr>
          <w:rFonts w:ascii="Palatino Linotype" w:eastAsia="Arial Unicode MS" w:hAnsi="Palatino Linotype" w:cs="Arial"/>
        </w:rPr>
        <w:t>mismos que fueron puestos a la vista de la particular.</w:t>
      </w:r>
    </w:p>
    <w:p w:rsidR="00D22DAC" w:rsidRDefault="00CC3CB2">
      <w:pPr>
        <w:widowControl w:val="0"/>
        <w:tabs>
          <w:tab w:val="left" w:pos="1701"/>
          <w:tab w:val="left" w:pos="1843"/>
        </w:tabs>
        <w:spacing w:before="360" w:after="240" w:line="360" w:lineRule="auto"/>
        <w:jc w:val="both"/>
        <w:rPr>
          <w:rFonts w:ascii="Palatino Linotype" w:eastAsia="Calibri" w:hAnsi="Palatino Linotype"/>
          <w:szCs w:val="22"/>
          <w:lang w:eastAsia="en-US"/>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LA RECURRENTE</w:t>
      </w:r>
      <w:r>
        <w:rPr>
          <w:rFonts w:ascii="Palatino Linotype" w:hAnsi="Palatino Linotype"/>
        </w:rPr>
        <w:t xml:space="preserve"> devienen</w:t>
      </w:r>
      <w:r>
        <w:rPr>
          <w:rFonts w:ascii="Palatino Linotype" w:hAnsi="Palatino Linotype"/>
          <w:b/>
        </w:rPr>
        <w:t xml:space="preserve"> fundados</w:t>
      </w:r>
      <w:r>
        <w:rPr>
          <w:rFonts w:ascii="Palatino Linotype" w:hAnsi="Palatino Linotype"/>
        </w:rPr>
        <w:t>, conforme a las siguientes consideraciones de hecho y de derecho:</w:t>
      </w:r>
    </w:p>
    <w:p w:rsidR="00D22DAC" w:rsidRDefault="00CC3CB2">
      <w:pPr>
        <w:spacing w:beforeAutospacing="1" w:afterAutospacing="1"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Informe Justificado, a fin de dar atención a la solicitud planteada, este Instituto no está facultado para manifestarse sobre la veracidad de la información proporcionada, conforme al artículo 36 de la Ley de la Materia.</w:t>
      </w:r>
    </w:p>
    <w:p w:rsidR="00D22DAC" w:rsidRDefault="00CC3CB2">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22DAC" w:rsidRDefault="00CC3CB2">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2395/09 Secretaría de Economía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0837/10 Administración Portuaria Integral de Veracruz, S.A. de C.V.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w:t>
      </w:r>
    </w:p>
    <w:p w:rsidR="00D22DAC" w:rsidRDefault="00CC3CB2">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D22DAC" w:rsidRDefault="00CC3CB2">
      <w:pPr>
        <w:widowControl w:val="0"/>
        <w:tabs>
          <w:tab w:val="left" w:pos="1701"/>
          <w:tab w:val="left" w:pos="1843"/>
        </w:tabs>
        <w:spacing w:beforeAutospacing="1" w:afterAutospacing="1" w:line="360" w:lineRule="auto"/>
        <w:jc w:val="both"/>
        <w:rPr>
          <w:rFonts w:ascii="Palatino Linotype" w:eastAsia="Calibri" w:hAnsi="Palatino Linotype" w:cstheme="minorBidi"/>
          <w:lang w:eastAsia="en-US"/>
        </w:rPr>
      </w:pPr>
      <w:r>
        <w:rPr>
          <w:rFonts w:ascii="Palatino Linotype" w:eastAsia="Calibri" w:hAnsi="Palatino Linotype" w:cstheme="minorBidi"/>
          <w:lang w:eastAsia="en-US"/>
        </w:rPr>
        <w:t>Ahora bien, es importante mencionar que la particular realizó algunos de sus requerimientos en forma de preguntas; no obstante a ello, la hoy</w:t>
      </w:r>
      <w:r>
        <w:rPr>
          <w:rFonts w:ascii="Palatino Linotype" w:eastAsia="Calibri" w:hAnsi="Palatino Linotype" w:cstheme="minorBidi"/>
          <w:b/>
          <w:lang w:eastAsia="en-US"/>
        </w:rPr>
        <w:t xml:space="preserve"> RECURRENTE</w:t>
      </w:r>
      <w:r>
        <w:rPr>
          <w:rFonts w:ascii="Palatino Linotype" w:eastAsia="Calibri" w:hAnsi="Palatino Linotype" w:cstheme="minorBidi"/>
          <w:lang w:eastAsia="en-US"/>
        </w:rPr>
        <w:t xml:space="preserve">, no es experta en la materia de acceso a la información pública; por ello, ésta autoridad suple la deficiencia en que incurre de conformidad con los artículos </w:t>
      </w:r>
      <w:r>
        <w:rPr>
          <w:rFonts w:ascii="Palatino Linotype" w:eastAsia="Calibri" w:hAnsi="Palatino Linotype" w:cs="Arial"/>
          <w:lang w:eastAsia="en-US"/>
        </w:rPr>
        <w:t xml:space="preserve">13 y 181, cuarto párrafo de la Ley de Transparencia y Acceso a la Información del Estado de México y Municipios </w:t>
      </w:r>
      <w:r>
        <w:rPr>
          <w:rFonts w:ascii="Palatino Linotype" w:eastAsia="Calibri" w:hAnsi="Palatino Linotype" w:cstheme="minorBidi"/>
          <w:lang w:eastAsia="en-US"/>
        </w:rPr>
        <w:t xml:space="preserve">y ordena la entrega de la expresión documental que satisfaga el </w:t>
      </w:r>
      <w:r>
        <w:rPr>
          <w:rFonts w:ascii="Palatino Linotype" w:eastAsia="Calibri" w:hAnsi="Palatino Linotype" w:cstheme="minorBidi"/>
          <w:lang w:eastAsia="en-US"/>
        </w:rPr>
        <w:lastRenderedPageBreak/>
        <w:t>requerimiento de información, privilegiando en todo momento el principio de máxima publicidad.</w:t>
      </w:r>
    </w:p>
    <w:p w:rsidR="00D22DAC" w:rsidRDefault="00CC3CB2">
      <w:pPr>
        <w:spacing w:before="240" w:after="240" w:line="360" w:lineRule="auto"/>
        <w:jc w:val="both"/>
        <w:rPr>
          <w:rFonts w:ascii="Palatino Linotype" w:eastAsiaTheme="minorHAnsi" w:hAnsi="Palatino Linotype" w:cs="Arial"/>
          <w:lang w:val="es-ES" w:eastAsia="en-US"/>
        </w:rPr>
      </w:pPr>
      <w:r>
        <w:rPr>
          <w:rFonts w:ascii="Palatino Linotype" w:eastAsiaTheme="minorHAnsi" w:hAnsi="Palatino Linotype" w:cstheme="minorBidi"/>
          <w:lang w:val="es-ES" w:eastAsia="en-US"/>
        </w:rPr>
        <w:t xml:space="preserve">Siendo necesario hacer hincapié que, </w:t>
      </w:r>
      <w:r>
        <w:rPr>
          <w:rFonts w:ascii="Palatino Linotype" w:eastAsiaTheme="minorHAnsi" w:hAnsi="Palatino Linotype" w:cs="Arial"/>
          <w:lang w:val="es-ES" w:eastAsia="en-U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Pr>
          <w:rFonts w:ascii="Palatino Linotype" w:eastAsiaTheme="minorHAnsi" w:hAnsi="Palatino Linotype" w:cs="Arial"/>
          <w:b/>
          <w:lang w:val="es-ES" w:eastAsia="en-US"/>
        </w:rPr>
        <w:t>expresión documental</w:t>
      </w:r>
      <w:r>
        <w:rPr>
          <w:rFonts w:ascii="Palatino Linotype" w:eastAsiaTheme="minorHAnsi" w:hAnsi="Palatino Linotype" w:cs="Arial"/>
          <w:lang w:val="es-ES" w:eastAsia="en-US"/>
        </w:rPr>
        <w:t>, deben atenderlas. Lo anterior, tiene apoyo en el criterio 16/17, emitido por el Pleno del INAI, el cual menciona lo siguiente:</w:t>
      </w:r>
    </w:p>
    <w:p w:rsidR="00D22DAC" w:rsidRDefault="00CC3CB2">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b/>
          <w:i/>
          <w:sz w:val="22"/>
          <w:szCs w:val="22"/>
          <w:lang w:val="es-ES" w:eastAsia="en-US"/>
        </w:rPr>
        <w:t xml:space="preserve">Expresión documental. </w:t>
      </w:r>
      <w:r>
        <w:rPr>
          <w:rFonts w:ascii="Palatino Linotype" w:eastAsiaTheme="minorHAnsi" w:hAnsi="Palatino Linotype" w:cs="Arial"/>
          <w:i/>
          <w:sz w:val="22"/>
          <w:szCs w:val="22"/>
          <w:lang w:val="es-ES" w:eastAsia="en-U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D22DAC" w:rsidRDefault="00CC3CB2">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Resoluciones:</w:t>
      </w:r>
    </w:p>
    <w:p w:rsidR="00D22DAC" w:rsidRDefault="00CC3CB2">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 xml:space="preserve">RRA 0774/16. Secretaría de Salud. 31 de agosto de 2016. Por unanimidad. Comisionada Ponente María Patricia </w:t>
      </w:r>
      <w:proofErr w:type="spellStart"/>
      <w:r>
        <w:rPr>
          <w:rFonts w:ascii="Palatino Linotype" w:eastAsiaTheme="minorHAnsi" w:hAnsi="Palatino Linotype" w:cs="Arial"/>
          <w:i/>
          <w:sz w:val="22"/>
          <w:szCs w:val="22"/>
          <w:lang w:val="es-ES" w:eastAsia="en-US"/>
        </w:rPr>
        <w:t>Kurczyn</w:t>
      </w:r>
      <w:proofErr w:type="spellEnd"/>
      <w:r>
        <w:rPr>
          <w:rFonts w:ascii="Palatino Linotype" w:eastAsiaTheme="minorHAnsi" w:hAnsi="Palatino Linotype" w:cs="Arial"/>
          <w:i/>
          <w:sz w:val="22"/>
          <w:szCs w:val="22"/>
          <w:lang w:val="es-ES" w:eastAsia="en-US"/>
        </w:rPr>
        <w:t xml:space="preserve"> Villalobos.</w:t>
      </w:r>
    </w:p>
    <w:p w:rsidR="00D22DAC" w:rsidRDefault="00CC3CB2">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 xml:space="preserve">RRA 0143/17. Universidad Autónoma Agraria Antonio Narro. 22 de febrero de 2017. Por unanimidad. Comisionado Ponente Oscar Mauricio Guerra Ford. </w:t>
      </w:r>
    </w:p>
    <w:p w:rsidR="00D22DAC" w:rsidRDefault="00CC3CB2">
      <w:pPr>
        <w:spacing w:before="120" w:after="120" w:line="259" w:lineRule="auto"/>
        <w:ind w:left="567" w:right="618"/>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ab/>
        <w:t>RRA 0540/17. Secretaría de Economía. 08 de marzo del 2017. Por unanimidad. Comisionado Ponente Francisco Javier Acuña Llamas.” (Sic)</w:t>
      </w:r>
    </w:p>
    <w:p w:rsidR="00D22DAC" w:rsidRDefault="00CC3CB2">
      <w:pPr>
        <w:spacing w:before="120" w:after="120" w:line="259" w:lineRule="auto"/>
        <w:ind w:left="567" w:right="618"/>
        <w:jc w:val="both"/>
        <w:rPr>
          <w:rFonts w:ascii="Palatino Linotype" w:eastAsiaTheme="minorHAnsi" w:hAnsi="Palatino Linotype" w:cs="Arial"/>
          <w:sz w:val="22"/>
          <w:szCs w:val="22"/>
          <w:lang w:val="es-ES" w:eastAsia="en-US"/>
        </w:rPr>
      </w:pPr>
      <w:r>
        <w:rPr>
          <w:rFonts w:ascii="Palatino Linotype" w:eastAsiaTheme="minorHAnsi" w:hAnsi="Palatino Linotype" w:cs="Arial"/>
          <w:sz w:val="22"/>
          <w:szCs w:val="22"/>
          <w:lang w:val="es-ES" w:eastAsia="en-US"/>
        </w:rPr>
        <w:t>(Énfasis añadido)</w:t>
      </w:r>
    </w:p>
    <w:p w:rsidR="00D22DAC" w:rsidRDefault="00CC3CB2">
      <w:pPr>
        <w:spacing w:beforeAutospacing="1" w:afterAutospacing="1" w:line="360" w:lineRule="auto"/>
        <w:jc w:val="both"/>
        <w:rPr>
          <w:rFonts w:ascii="Palatino Linotype" w:hAnsi="Palatino Linotype" w:cs="Arial"/>
        </w:rPr>
      </w:pPr>
      <w:r>
        <w:rPr>
          <w:rFonts w:ascii="Palatino Linotype" w:hAnsi="Palatino Linotype"/>
        </w:rPr>
        <w:t xml:space="preserve">Es este mismo contexto, es </w:t>
      </w:r>
      <w:r>
        <w:rPr>
          <w:rFonts w:ascii="Palatino Linotype" w:hAnsi="Palatino Linotype" w:cs="Arial"/>
        </w:rPr>
        <w:t xml:space="preserve">importante resaltar que </w:t>
      </w:r>
      <w:r>
        <w:rPr>
          <w:rFonts w:ascii="Palatino Linotype" w:hAnsi="Palatino Linotype"/>
          <w:color w:val="212121"/>
        </w:rPr>
        <w:t>los Sujetos Obligados deben garantizar el derecho de acceso a la información de los particulares, proporcionando la información con la que cuentan, en el formato en que la misma obre en sus archivos; sin necesidad de elaborar documentos </w:t>
      </w:r>
      <w:r>
        <w:rPr>
          <w:rFonts w:ascii="Palatino Linotype" w:hAnsi="Palatino Linotype"/>
          <w:i/>
          <w:iCs/>
          <w:color w:val="212121"/>
        </w:rPr>
        <w:t>ad hoc </w:t>
      </w:r>
      <w:r>
        <w:rPr>
          <w:rFonts w:ascii="Palatino Linotype" w:hAnsi="Palatino Linotype"/>
          <w:color w:val="212121"/>
        </w:rPr>
        <w:t xml:space="preserve">para atender las solicitudes de </w:t>
      </w:r>
      <w:r>
        <w:rPr>
          <w:rFonts w:ascii="Palatino Linotype" w:hAnsi="Palatino Linotype"/>
          <w:color w:val="212121"/>
        </w:rPr>
        <w:lastRenderedPageBreak/>
        <w:t>información, argumento que se fortalece con el criterio número 03/17 emitido por el Instituto Nacional de Transparencia, Acceso a la Información y Protección de Datos Personales (INAI), cuyo contenido se inserta a continuación:</w:t>
      </w:r>
    </w:p>
    <w:p w:rsidR="00D22DAC" w:rsidRDefault="00CC3CB2">
      <w:pPr>
        <w:ind w:left="851" w:right="902"/>
        <w:jc w:val="both"/>
        <w:rPr>
          <w:rFonts w:ascii="Palatino Linotype" w:hAnsi="Palatino Linotype"/>
          <w:i/>
          <w:iCs/>
          <w:color w:val="212121"/>
          <w:sz w:val="21"/>
          <w:szCs w:val="21"/>
          <w:lang w:val="es-ES" w:eastAsia="es-MX"/>
        </w:rPr>
      </w:pPr>
      <w:r>
        <w:rPr>
          <w:rFonts w:ascii="Palatino Linotype" w:hAnsi="Palatino Linotype"/>
          <w:b/>
          <w:bCs/>
          <w:i/>
          <w:iCs/>
          <w:color w:val="212121"/>
          <w:sz w:val="21"/>
          <w:szCs w:val="21"/>
          <w:lang w:val="es-ES" w:eastAsia="es-MX"/>
        </w:rPr>
        <w:t>“No existe obligación de elaborar </w:t>
      </w:r>
      <w:r>
        <w:rPr>
          <w:rFonts w:ascii="Palatino Linotype" w:hAnsi="Palatino Linotype"/>
          <w:b/>
          <w:bCs/>
          <w:i/>
          <w:iCs/>
          <w:color w:val="212121"/>
          <w:spacing w:val="-3"/>
          <w:sz w:val="21"/>
          <w:szCs w:val="21"/>
          <w:lang w:val="es-ES" w:eastAsia="es-MX"/>
        </w:rPr>
        <w:t>d</w:t>
      </w:r>
      <w:r>
        <w:rPr>
          <w:rFonts w:ascii="Palatino Linotype" w:hAnsi="Palatino Linotype"/>
          <w:b/>
          <w:bCs/>
          <w:i/>
          <w:iCs/>
          <w:color w:val="212121"/>
          <w:sz w:val="21"/>
          <w:szCs w:val="21"/>
          <w:lang w:val="es-ES" w:eastAsia="es-MX"/>
        </w:rPr>
        <w:t>ocum</w:t>
      </w:r>
      <w:r>
        <w:rPr>
          <w:rFonts w:ascii="Palatino Linotype" w:hAnsi="Palatino Linotype"/>
          <w:b/>
          <w:bCs/>
          <w:i/>
          <w:iCs/>
          <w:color w:val="212121"/>
          <w:spacing w:val="1"/>
          <w:sz w:val="21"/>
          <w:szCs w:val="21"/>
          <w:lang w:val="es-ES" w:eastAsia="es-MX"/>
        </w:rPr>
        <w:t>e</w:t>
      </w:r>
      <w:r>
        <w:rPr>
          <w:rFonts w:ascii="Palatino Linotype" w:hAnsi="Palatino Linotype"/>
          <w:b/>
          <w:bCs/>
          <w:i/>
          <w:iCs/>
          <w:color w:val="212121"/>
          <w:sz w:val="21"/>
          <w:szCs w:val="21"/>
          <w:lang w:val="es-ES" w:eastAsia="es-MX"/>
        </w:rPr>
        <w:t>n</w:t>
      </w:r>
      <w:r>
        <w:rPr>
          <w:rFonts w:ascii="Palatino Linotype" w:hAnsi="Palatino Linotype"/>
          <w:b/>
          <w:bCs/>
          <w:i/>
          <w:iCs/>
          <w:color w:val="212121"/>
          <w:spacing w:val="-1"/>
          <w:sz w:val="21"/>
          <w:szCs w:val="21"/>
          <w:lang w:val="es-ES" w:eastAsia="es-MX"/>
        </w:rPr>
        <w:t>t</w:t>
      </w:r>
      <w:r>
        <w:rPr>
          <w:rFonts w:ascii="Palatino Linotype" w:hAnsi="Palatino Linotype"/>
          <w:b/>
          <w:bCs/>
          <w:i/>
          <w:iCs/>
          <w:color w:val="212121"/>
          <w:sz w:val="21"/>
          <w:szCs w:val="21"/>
          <w:lang w:val="es-ES" w:eastAsia="es-MX"/>
        </w:rPr>
        <w:t>os</w:t>
      </w:r>
      <w:r>
        <w:rPr>
          <w:rFonts w:ascii="Palatino Linotype" w:hAnsi="Palatino Linotype"/>
          <w:b/>
          <w:bCs/>
          <w:i/>
          <w:iCs/>
          <w:color w:val="212121"/>
          <w:spacing w:val="14"/>
          <w:sz w:val="21"/>
          <w:szCs w:val="21"/>
          <w:lang w:val="es-ES" w:eastAsia="es-MX"/>
        </w:rPr>
        <w:t> </w:t>
      </w:r>
      <w:r>
        <w:rPr>
          <w:rFonts w:ascii="Palatino Linotype" w:hAnsi="Palatino Linotype"/>
          <w:b/>
          <w:bCs/>
          <w:i/>
          <w:iCs/>
          <w:color w:val="212121"/>
          <w:spacing w:val="-1"/>
          <w:sz w:val="21"/>
          <w:szCs w:val="21"/>
          <w:lang w:val="es-ES" w:eastAsia="es-MX"/>
        </w:rPr>
        <w:t>ad </w:t>
      </w:r>
      <w:r>
        <w:rPr>
          <w:rFonts w:ascii="Palatino Linotype" w:hAnsi="Palatino Linotype"/>
          <w:b/>
          <w:bCs/>
          <w:i/>
          <w:iCs/>
          <w:color w:val="212121"/>
          <w:sz w:val="21"/>
          <w:szCs w:val="21"/>
          <w:lang w:val="es-ES" w:eastAsia="es-MX"/>
        </w:rPr>
        <w:t>hoc</w:t>
      </w:r>
      <w:r>
        <w:rPr>
          <w:rFonts w:ascii="Palatino Linotype" w:hAnsi="Palatino Linotype"/>
          <w:b/>
          <w:bCs/>
          <w:i/>
          <w:iCs/>
          <w:color w:val="212121"/>
          <w:spacing w:val="11"/>
          <w:sz w:val="21"/>
          <w:szCs w:val="21"/>
          <w:lang w:val="es-ES" w:eastAsia="es-MX"/>
        </w:rPr>
        <w:t> </w:t>
      </w:r>
      <w:r>
        <w:rPr>
          <w:rFonts w:ascii="Palatino Linotype" w:hAnsi="Palatino Linotype"/>
          <w:b/>
          <w:bCs/>
          <w:i/>
          <w:iCs/>
          <w:color w:val="212121"/>
          <w:sz w:val="21"/>
          <w:szCs w:val="21"/>
          <w:lang w:val="es-ES" w:eastAsia="es-MX"/>
        </w:rPr>
        <w:t>para</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atender las sol</w:t>
      </w:r>
      <w:r>
        <w:rPr>
          <w:rFonts w:ascii="Palatino Linotype" w:hAnsi="Palatino Linotype"/>
          <w:b/>
          <w:bCs/>
          <w:i/>
          <w:iCs/>
          <w:color w:val="212121"/>
          <w:spacing w:val="-2"/>
          <w:sz w:val="21"/>
          <w:szCs w:val="21"/>
          <w:lang w:val="es-ES" w:eastAsia="es-MX"/>
        </w:rPr>
        <w:t>i</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z w:val="21"/>
          <w:szCs w:val="21"/>
          <w:lang w:val="es-ES" w:eastAsia="es-MX"/>
        </w:rPr>
        <w:t>itudes</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de</w:t>
      </w:r>
      <w:r>
        <w:rPr>
          <w:rFonts w:ascii="Palatino Linotype" w:hAnsi="Palatino Linotype"/>
          <w:b/>
          <w:bCs/>
          <w:i/>
          <w:iCs/>
          <w:color w:val="212121"/>
          <w:spacing w:val="9"/>
          <w:sz w:val="21"/>
          <w:szCs w:val="21"/>
          <w:lang w:val="es-ES" w:eastAsia="es-MX"/>
        </w:rPr>
        <w:t> </w:t>
      </w:r>
      <w:r>
        <w:rPr>
          <w:rFonts w:ascii="Palatino Linotype" w:hAnsi="Palatino Linotype"/>
          <w:b/>
          <w:bCs/>
          <w:i/>
          <w:iCs/>
          <w:color w:val="212121"/>
          <w:spacing w:val="1"/>
          <w:sz w:val="21"/>
          <w:szCs w:val="21"/>
          <w:lang w:val="es-ES" w:eastAsia="es-MX"/>
        </w:rPr>
        <w:t>ac</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pacing w:val="1"/>
          <w:sz w:val="21"/>
          <w:szCs w:val="21"/>
          <w:lang w:val="es-ES" w:eastAsia="es-MX"/>
        </w:rPr>
        <w:t>es</w:t>
      </w:r>
      <w:r>
        <w:rPr>
          <w:rFonts w:ascii="Palatino Linotype" w:hAnsi="Palatino Linotype"/>
          <w:b/>
          <w:bCs/>
          <w:i/>
          <w:iCs/>
          <w:color w:val="212121"/>
          <w:sz w:val="21"/>
          <w:szCs w:val="21"/>
          <w:lang w:val="es-ES" w:eastAsia="es-MX"/>
        </w:rPr>
        <w:t>o</w:t>
      </w:r>
      <w:r>
        <w:rPr>
          <w:rFonts w:ascii="Palatino Linotype" w:hAnsi="Palatino Linotype"/>
          <w:b/>
          <w:bCs/>
          <w:i/>
          <w:iCs/>
          <w:color w:val="212121"/>
          <w:spacing w:val="11"/>
          <w:sz w:val="21"/>
          <w:szCs w:val="21"/>
          <w:lang w:val="es-ES" w:eastAsia="es-MX"/>
        </w:rPr>
        <w:t> </w:t>
      </w:r>
      <w:r>
        <w:rPr>
          <w:rFonts w:ascii="Palatino Linotype" w:hAnsi="Palatino Linotype"/>
          <w:b/>
          <w:bCs/>
          <w:i/>
          <w:iCs/>
          <w:color w:val="212121"/>
          <w:sz w:val="21"/>
          <w:szCs w:val="21"/>
          <w:lang w:val="es-ES" w:eastAsia="es-MX"/>
        </w:rPr>
        <w:t>a</w:t>
      </w:r>
      <w:r>
        <w:rPr>
          <w:rFonts w:ascii="Palatino Linotype" w:hAnsi="Palatino Linotype"/>
          <w:b/>
          <w:bCs/>
          <w:i/>
          <w:iCs/>
          <w:color w:val="212121"/>
          <w:spacing w:val="9"/>
          <w:sz w:val="21"/>
          <w:szCs w:val="21"/>
          <w:lang w:val="es-ES" w:eastAsia="es-MX"/>
        </w:rPr>
        <w:t> </w:t>
      </w:r>
      <w:r>
        <w:rPr>
          <w:rFonts w:ascii="Palatino Linotype" w:hAnsi="Palatino Linotype"/>
          <w:b/>
          <w:bCs/>
          <w:i/>
          <w:iCs/>
          <w:color w:val="212121"/>
          <w:sz w:val="21"/>
          <w:szCs w:val="21"/>
          <w:lang w:val="es-ES" w:eastAsia="es-MX"/>
        </w:rPr>
        <w:t>la</w:t>
      </w:r>
      <w:r>
        <w:rPr>
          <w:rFonts w:ascii="Palatino Linotype" w:hAnsi="Palatino Linotype"/>
          <w:b/>
          <w:bCs/>
          <w:i/>
          <w:iCs/>
          <w:color w:val="212121"/>
          <w:spacing w:val="10"/>
          <w:sz w:val="21"/>
          <w:szCs w:val="21"/>
          <w:lang w:val="es-ES" w:eastAsia="es-MX"/>
        </w:rPr>
        <w:t> </w:t>
      </w:r>
      <w:r>
        <w:rPr>
          <w:rFonts w:ascii="Palatino Linotype" w:hAnsi="Palatino Linotype"/>
          <w:b/>
          <w:bCs/>
          <w:i/>
          <w:iCs/>
          <w:color w:val="212121"/>
          <w:sz w:val="21"/>
          <w:szCs w:val="21"/>
          <w:lang w:val="es-ES" w:eastAsia="es-MX"/>
        </w:rPr>
        <w:t>informa</w:t>
      </w:r>
      <w:r>
        <w:rPr>
          <w:rFonts w:ascii="Palatino Linotype" w:hAnsi="Palatino Linotype"/>
          <w:b/>
          <w:bCs/>
          <w:i/>
          <w:iCs/>
          <w:color w:val="212121"/>
          <w:spacing w:val="1"/>
          <w:sz w:val="21"/>
          <w:szCs w:val="21"/>
          <w:lang w:val="es-ES" w:eastAsia="es-MX"/>
        </w:rPr>
        <w:t>c</w:t>
      </w:r>
      <w:r>
        <w:rPr>
          <w:rFonts w:ascii="Palatino Linotype" w:hAnsi="Palatino Linotype"/>
          <w:b/>
          <w:bCs/>
          <w:i/>
          <w:iCs/>
          <w:color w:val="212121"/>
          <w:sz w:val="21"/>
          <w:szCs w:val="21"/>
          <w:lang w:val="es-ES" w:eastAsia="es-MX"/>
        </w:rPr>
        <w:t>ió</w:t>
      </w:r>
      <w:r>
        <w:rPr>
          <w:rFonts w:ascii="Palatino Linotype" w:hAnsi="Palatino Linotype"/>
          <w:b/>
          <w:bCs/>
          <w:i/>
          <w:iCs/>
          <w:color w:val="212121"/>
          <w:spacing w:val="-2"/>
          <w:sz w:val="21"/>
          <w:szCs w:val="21"/>
          <w:lang w:val="es-ES" w:eastAsia="es-MX"/>
        </w:rPr>
        <w:t>n</w:t>
      </w:r>
      <w:r>
        <w:rPr>
          <w:rFonts w:ascii="Palatino Linotype" w:hAnsi="Palatino Linotype"/>
          <w:b/>
          <w:bCs/>
          <w:i/>
          <w:iCs/>
          <w:color w:val="212121"/>
          <w:sz w:val="21"/>
          <w:szCs w:val="21"/>
          <w:lang w:val="es-ES" w:eastAsia="es-MX"/>
        </w:rPr>
        <w:t>.</w:t>
      </w:r>
      <w:r>
        <w:rPr>
          <w:rFonts w:ascii="Palatino Linotype" w:hAnsi="Palatino Linotype"/>
          <w:b/>
          <w:bCs/>
          <w:i/>
          <w:iCs/>
          <w:color w:val="212121"/>
          <w:spacing w:val="18"/>
          <w:sz w:val="21"/>
          <w:szCs w:val="21"/>
          <w:lang w:val="es-ES" w:eastAsia="es-MX"/>
        </w:rPr>
        <w:t> </w:t>
      </w:r>
      <w:r>
        <w:rPr>
          <w:rFonts w:ascii="Palatino Linotype" w:hAnsi="Palatino Linotype"/>
          <w:i/>
          <w:iCs/>
          <w:color w:val="212121"/>
          <w:spacing w:val="18"/>
          <w:sz w:val="21"/>
          <w:szCs w:val="21"/>
          <w:lang w:val="es-ES" w:eastAsia="es-MX"/>
        </w:rPr>
        <w:t>L</w:t>
      </w:r>
      <w:r>
        <w:rPr>
          <w:rFonts w:ascii="Palatino Linotype" w:hAnsi="Palatino Linotype"/>
          <w:i/>
          <w:iCs/>
          <w:color w:val="212121"/>
          <w:spacing w:val="-1"/>
          <w:sz w:val="21"/>
          <w:szCs w:val="21"/>
          <w:lang w:val="es-ES" w:eastAsia="es-MX"/>
        </w:rPr>
        <w:t>os </w:t>
      </w:r>
      <w:r>
        <w:rPr>
          <w:rFonts w:ascii="Palatino Linotype" w:hAnsi="Palatino Linotype"/>
          <w:i/>
          <w:iCs/>
          <w:color w:val="212121"/>
          <w:spacing w:val="1"/>
          <w:sz w:val="21"/>
          <w:szCs w:val="21"/>
          <w:lang w:val="es-ES" w:eastAsia="es-MX"/>
        </w:rPr>
        <w:t>a</w:t>
      </w:r>
      <w:r>
        <w:rPr>
          <w:rFonts w:ascii="Palatino Linotype" w:hAnsi="Palatino Linotype"/>
          <w:i/>
          <w:iCs/>
          <w:color w:val="212121"/>
          <w:sz w:val="21"/>
          <w:szCs w:val="21"/>
          <w:lang w:val="es-ES" w:eastAsia="es-MX"/>
        </w:rPr>
        <w:t>rt</w:t>
      </w:r>
      <w:r>
        <w:rPr>
          <w:rFonts w:ascii="Palatino Linotype" w:hAnsi="Palatino Linotype"/>
          <w:i/>
          <w:iCs/>
          <w:color w:val="212121"/>
          <w:spacing w:val="-2"/>
          <w:sz w:val="21"/>
          <w:szCs w:val="21"/>
          <w:lang w:val="es-ES" w:eastAsia="es-MX"/>
        </w:rPr>
        <w:t>í</w:t>
      </w:r>
      <w:r>
        <w:rPr>
          <w:rFonts w:ascii="Palatino Linotype" w:hAnsi="Palatino Linotype"/>
          <w:i/>
          <w:iCs/>
          <w:color w:val="212121"/>
          <w:sz w:val="21"/>
          <w:szCs w:val="21"/>
          <w:lang w:val="es-ES" w:eastAsia="es-MX"/>
        </w:rPr>
        <w:t>c</w:t>
      </w:r>
      <w:r>
        <w:rPr>
          <w:rFonts w:ascii="Palatino Linotype" w:hAnsi="Palatino Linotype"/>
          <w:i/>
          <w:iCs/>
          <w:color w:val="212121"/>
          <w:spacing w:val="1"/>
          <w:sz w:val="21"/>
          <w:szCs w:val="21"/>
          <w:lang w:val="es-ES" w:eastAsia="es-MX"/>
        </w:rPr>
        <w:t>u</w:t>
      </w:r>
      <w:r>
        <w:rPr>
          <w:rFonts w:ascii="Palatino Linotype" w:hAnsi="Palatino Linotype"/>
          <w:i/>
          <w:iCs/>
          <w:color w:val="212121"/>
          <w:sz w:val="21"/>
          <w:szCs w:val="21"/>
          <w:lang w:val="es-ES" w:eastAsia="es-MX"/>
        </w:rPr>
        <w:t>los</w:t>
      </w:r>
      <w:r>
        <w:rPr>
          <w:rFonts w:ascii="Palatino Linotype" w:hAnsi="Palatino Linotype"/>
          <w:i/>
          <w:iCs/>
          <w:color w:val="212121"/>
          <w:spacing w:val="8"/>
          <w:sz w:val="21"/>
          <w:szCs w:val="21"/>
          <w:lang w:val="es-ES" w:eastAsia="es-MX"/>
        </w:rPr>
        <w:t> 129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z w:val="21"/>
          <w:szCs w:val="21"/>
          <w:lang w:val="es-ES" w:eastAsia="es-MX"/>
        </w:rPr>
        <w:t>la</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L</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y</w:t>
      </w:r>
      <w:r>
        <w:rPr>
          <w:rFonts w:ascii="Palatino Linotype" w:hAnsi="Palatino Linotype"/>
          <w:i/>
          <w:iCs/>
          <w:color w:val="212121"/>
          <w:spacing w:val="8"/>
          <w:sz w:val="21"/>
          <w:szCs w:val="21"/>
          <w:lang w:val="es-ES" w:eastAsia="es-MX"/>
        </w:rPr>
        <w:t> </w:t>
      </w:r>
      <w:r>
        <w:rPr>
          <w:rFonts w:ascii="Palatino Linotype" w:hAnsi="Palatino Linotype"/>
          <w:i/>
          <w:iCs/>
          <w:color w:val="212121"/>
          <w:sz w:val="21"/>
          <w:szCs w:val="21"/>
          <w:lang w:val="es-ES" w:eastAsia="es-MX"/>
        </w:rPr>
        <w:t>General</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pacing w:val="2"/>
          <w:sz w:val="21"/>
          <w:szCs w:val="21"/>
          <w:lang w:val="es-ES" w:eastAsia="es-MX"/>
        </w:rPr>
        <w:t>T</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a</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s</w:t>
      </w:r>
      <w:r>
        <w:rPr>
          <w:rFonts w:ascii="Palatino Linotype" w:hAnsi="Palatino Linotype"/>
          <w:i/>
          <w:iCs/>
          <w:color w:val="212121"/>
          <w:spacing w:val="1"/>
          <w:sz w:val="21"/>
          <w:szCs w:val="21"/>
          <w:lang w:val="es-ES" w:eastAsia="es-MX"/>
        </w:rPr>
        <w:t>pa</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e</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cia y Acc</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so</w:t>
      </w:r>
      <w:r>
        <w:rPr>
          <w:rFonts w:ascii="Palatino Linotype" w:hAnsi="Palatino Linotype"/>
          <w:i/>
          <w:iCs/>
          <w:color w:val="212121"/>
          <w:spacing w:val="3"/>
          <w:sz w:val="21"/>
          <w:szCs w:val="21"/>
          <w:lang w:val="es-ES" w:eastAsia="es-MX"/>
        </w:rPr>
        <w:t> </w:t>
      </w:r>
      <w:r>
        <w:rPr>
          <w:rFonts w:ascii="Palatino Linotype" w:hAnsi="Palatino Linotype"/>
          <w:i/>
          <w:iCs/>
          <w:color w:val="212121"/>
          <w:sz w:val="21"/>
          <w:szCs w:val="21"/>
          <w:lang w:val="es-ES" w:eastAsia="es-MX"/>
        </w:rPr>
        <w:t>a</w:t>
      </w:r>
      <w:r>
        <w:rPr>
          <w:rFonts w:ascii="Palatino Linotype" w:hAnsi="Palatino Linotype"/>
          <w:i/>
          <w:iCs/>
          <w:color w:val="212121"/>
          <w:spacing w:val="1"/>
          <w:sz w:val="21"/>
          <w:szCs w:val="21"/>
          <w:lang w:val="es-ES" w:eastAsia="es-MX"/>
        </w:rPr>
        <w:t> </w:t>
      </w:r>
      <w:r>
        <w:rPr>
          <w:rFonts w:ascii="Palatino Linotype" w:hAnsi="Palatino Linotype"/>
          <w:i/>
          <w:iCs/>
          <w:color w:val="212121"/>
          <w:sz w:val="21"/>
          <w:szCs w:val="21"/>
          <w:lang w:val="es-ES" w:eastAsia="es-MX"/>
        </w:rPr>
        <w:t>la I</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f</w:t>
      </w:r>
      <w:r>
        <w:rPr>
          <w:rFonts w:ascii="Palatino Linotype" w:hAnsi="Palatino Linotype"/>
          <w:i/>
          <w:iCs/>
          <w:color w:val="212121"/>
          <w:spacing w:val="1"/>
          <w:sz w:val="21"/>
          <w:szCs w:val="21"/>
          <w:lang w:val="es-ES" w:eastAsia="es-MX"/>
        </w:rPr>
        <w:t>o</w:t>
      </w:r>
      <w:r>
        <w:rPr>
          <w:rFonts w:ascii="Palatino Linotype" w:hAnsi="Palatino Linotype"/>
          <w:i/>
          <w:iCs/>
          <w:color w:val="212121"/>
          <w:spacing w:val="-3"/>
          <w:sz w:val="21"/>
          <w:szCs w:val="21"/>
          <w:lang w:val="es-ES" w:eastAsia="es-MX"/>
        </w:rPr>
        <w:t>r</w:t>
      </w:r>
      <w:r>
        <w:rPr>
          <w:rFonts w:ascii="Palatino Linotype" w:hAnsi="Palatino Linotype"/>
          <w:i/>
          <w:iCs/>
          <w:color w:val="212121"/>
          <w:spacing w:val="1"/>
          <w:sz w:val="21"/>
          <w:szCs w:val="21"/>
          <w:lang w:val="es-ES" w:eastAsia="es-MX"/>
        </w:rPr>
        <w:t>ma</w:t>
      </w:r>
      <w:r>
        <w:rPr>
          <w:rFonts w:ascii="Palatino Linotype" w:hAnsi="Palatino Linotype"/>
          <w:i/>
          <w:iCs/>
          <w:color w:val="212121"/>
          <w:sz w:val="21"/>
          <w:szCs w:val="21"/>
          <w:lang w:val="es-ES" w:eastAsia="es-MX"/>
        </w:rPr>
        <w:t>ci</w:t>
      </w:r>
      <w:r>
        <w:rPr>
          <w:rFonts w:ascii="Palatino Linotype" w:hAnsi="Palatino Linotype"/>
          <w:i/>
          <w:iCs/>
          <w:color w:val="212121"/>
          <w:spacing w:val="-2"/>
          <w:sz w:val="21"/>
          <w:szCs w:val="21"/>
          <w:lang w:val="es-ES" w:eastAsia="es-MX"/>
        </w:rPr>
        <w:t>ó</w:t>
      </w:r>
      <w:r>
        <w:rPr>
          <w:rFonts w:ascii="Palatino Linotype" w:hAnsi="Palatino Linotype"/>
          <w:i/>
          <w:iCs/>
          <w:color w:val="212121"/>
          <w:sz w:val="21"/>
          <w:szCs w:val="21"/>
          <w:lang w:val="es-ES" w:eastAsia="es-MX"/>
        </w:rPr>
        <w:t>n</w:t>
      </w:r>
      <w:r>
        <w:rPr>
          <w:rFonts w:ascii="Palatino Linotype" w:hAnsi="Palatino Linotype"/>
          <w:i/>
          <w:iCs/>
          <w:color w:val="212121"/>
          <w:spacing w:val="6"/>
          <w:sz w:val="21"/>
          <w:szCs w:val="21"/>
          <w:lang w:val="es-ES" w:eastAsia="es-MX"/>
        </w:rPr>
        <w:t> </w:t>
      </w:r>
      <w:r>
        <w:rPr>
          <w:rFonts w:ascii="Palatino Linotype" w:hAnsi="Palatino Linotype"/>
          <w:i/>
          <w:iCs/>
          <w:color w:val="212121"/>
          <w:spacing w:val="-2"/>
          <w:sz w:val="21"/>
          <w:szCs w:val="21"/>
          <w:lang w:val="es-ES" w:eastAsia="es-MX"/>
        </w:rPr>
        <w:t>P</w:t>
      </w:r>
      <w:r>
        <w:rPr>
          <w:rFonts w:ascii="Palatino Linotype" w:hAnsi="Palatino Linotype"/>
          <w:i/>
          <w:iCs/>
          <w:color w:val="212121"/>
          <w:spacing w:val="1"/>
          <w:sz w:val="21"/>
          <w:szCs w:val="21"/>
          <w:lang w:val="es-ES" w:eastAsia="es-MX"/>
        </w:rPr>
        <w:t>úb</w:t>
      </w:r>
      <w:r>
        <w:rPr>
          <w:rFonts w:ascii="Palatino Linotype" w:hAnsi="Palatino Linotype"/>
          <w:i/>
          <w:iCs/>
          <w:color w:val="212121"/>
          <w:sz w:val="21"/>
          <w:szCs w:val="21"/>
          <w:lang w:val="es-ES" w:eastAsia="es-MX"/>
        </w:rPr>
        <w:t>l</w:t>
      </w:r>
      <w:r>
        <w:rPr>
          <w:rFonts w:ascii="Palatino Linotype" w:hAnsi="Palatino Linotype"/>
          <w:i/>
          <w:iCs/>
          <w:color w:val="212121"/>
          <w:spacing w:val="-1"/>
          <w:sz w:val="21"/>
          <w:szCs w:val="21"/>
          <w:lang w:val="es-ES" w:eastAsia="es-MX"/>
        </w:rPr>
        <w:t>i</w:t>
      </w:r>
      <w:r>
        <w:rPr>
          <w:rFonts w:ascii="Palatino Linotype" w:hAnsi="Palatino Linotype"/>
          <w:i/>
          <w:iCs/>
          <w:color w:val="212121"/>
          <w:sz w:val="21"/>
          <w:szCs w:val="21"/>
          <w:lang w:val="es-ES" w:eastAsia="es-MX"/>
        </w:rPr>
        <w:t>ca y </w:t>
      </w:r>
      <w:r>
        <w:rPr>
          <w:rFonts w:ascii="Palatino Linotype" w:hAnsi="Palatino Linotype"/>
          <w:i/>
          <w:iCs/>
          <w:color w:val="212121"/>
          <w:spacing w:val="8"/>
          <w:sz w:val="21"/>
          <w:szCs w:val="21"/>
          <w:lang w:val="es-ES" w:eastAsia="es-MX"/>
        </w:rPr>
        <w:t>130, párrafo cuarto,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z w:val="21"/>
          <w:szCs w:val="21"/>
          <w:lang w:val="es-ES" w:eastAsia="es-MX"/>
        </w:rPr>
        <w:t>la</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L</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y</w:t>
      </w:r>
      <w:r>
        <w:rPr>
          <w:rFonts w:ascii="Palatino Linotype" w:hAnsi="Palatino Linotype"/>
          <w:i/>
          <w:iCs/>
          <w:color w:val="212121"/>
          <w:spacing w:val="8"/>
          <w:sz w:val="21"/>
          <w:szCs w:val="21"/>
          <w:lang w:val="es-ES" w:eastAsia="es-MX"/>
        </w:rPr>
        <w:t> </w:t>
      </w:r>
      <w:r>
        <w:rPr>
          <w:rFonts w:ascii="Palatino Linotype" w:hAnsi="Palatino Linotype"/>
          <w:i/>
          <w:iCs/>
          <w:color w:val="212121"/>
          <w:sz w:val="21"/>
          <w:szCs w:val="21"/>
          <w:lang w:val="es-ES" w:eastAsia="es-MX"/>
        </w:rPr>
        <w:t>Fe</w:t>
      </w:r>
      <w:r>
        <w:rPr>
          <w:rFonts w:ascii="Palatino Linotype" w:hAnsi="Palatino Linotype"/>
          <w:i/>
          <w:iCs/>
          <w:color w:val="212121"/>
          <w:spacing w:val="1"/>
          <w:sz w:val="21"/>
          <w:szCs w:val="21"/>
          <w:lang w:val="es-ES" w:eastAsia="es-MX"/>
        </w:rPr>
        <w:t>de</w:t>
      </w:r>
      <w:r>
        <w:rPr>
          <w:rFonts w:ascii="Palatino Linotype" w:hAnsi="Palatino Linotype"/>
          <w:i/>
          <w:iCs/>
          <w:color w:val="212121"/>
          <w:sz w:val="21"/>
          <w:szCs w:val="21"/>
          <w:lang w:val="es-ES" w:eastAsia="es-MX"/>
        </w:rPr>
        <w:t>ral</w:t>
      </w:r>
      <w:r>
        <w:rPr>
          <w:rFonts w:ascii="Palatino Linotype" w:hAnsi="Palatino Linotype"/>
          <w:i/>
          <w:iCs/>
          <w:color w:val="212121"/>
          <w:spacing w:val="10"/>
          <w:sz w:val="21"/>
          <w:szCs w:val="21"/>
          <w:lang w:val="es-ES" w:eastAsia="es-MX"/>
        </w:rPr>
        <w:t> </w:t>
      </w:r>
      <w:r>
        <w:rPr>
          <w:rFonts w:ascii="Palatino Linotype" w:hAnsi="Palatino Linotype"/>
          <w:i/>
          <w:iCs/>
          <w:color w:val="212121"/>
          <w:spacing w:val="-1"/>
          <w:sz w:val="21"/>
          <w:szCs w:val="21"/>
          <w:lang w:val="es-ES" w:eastAsia="es-MX"/>
        </w:rPr>
        <w:t>d</w:t>
      </w:r>
      <w:r>
        <w:rPr>
          <w:rFonts w:ascii="Palatino Linotype" w:hAnsi="Palatino Linotype"/>
          <w:i/>
          <w:iCs/>
          <w:color w:val="212121"/>
          <w:sz w:val="21"/>
          <w:szCs w:val="21"/>
          <w:lang w:val="es-ES" w:eastAsia="es-MX"/>
        </w:rPr>
        <w:t>e</w:t>
      </w:r>
      <w:r>
        <w:rPr>
          <w:rFonts w:ascii="Palatino Linotype" w:hAnsi="Palatino Linotype"/>
          <w:i/>
          <w:iCs/>
          <w:color w:val="212121"/>
          <w:spacing w:val="9"/>
          <w:sz w:val="21"/>
          <w:szCs w:val="21"/>
          <w:lang w:val="es-ES" w:eastAsia="es-MX"/>
        </w:rPr>
        <w:t> </w:t>
      </w:r>
      <w:r>
        <w:rPr>
          <w:rFonts w:ascii="Palatino Linotype" w:hAnsi="Palatino Linotype"/>
          <w:i/>
          <w:iCs/>
          <w:color w:val="212121"/>
          <w:spacing w:val="2"/>
          <w:sz w:val="21"/>
          <w:szCs w:val="21"/>
          <w:lang w:val="es-ES" w:eastAsia="es-MX"/>
        </w:rPr>
        <w:t>T</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a</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s</w:t>
      </w:r>
      <w:r>
        <w:rPr>
          <w:rFonts w:ascii="Palatino Linotype" w:hAnsi="Palatino Linotype"/>
          <w:i/>
          <w:iCs/>
          <w:color w:val="212121"/>
          <w:spacing w:val="1"/>
          <w:sz w:val="21"/>
          <w:szCs w:val="21"/>
          <w:lang w:val="es-ES" w:eastAsia="es-MX"/>
        </w:rPr>
        <w:t>pa</w:t>
      </w:r>
      <w:r>
        <w:rPr>
          <w:rFonts w:ascii="Palatino Linotype" w:hAnsi="Palatino Linotype"/>
          <w:i/>
          <w:iCs/>
          <w:color w:val="212121"/>
          <w:sz w:val="21"/>
          <w:szCs w:val="21"/>
          <w:lang w:val="es-ES" w:eastAsia="es-MX"/>
        </w:rPr>
        <w:t>r</w:t>
      </w:r>
      <w:r>
        <w:rPr>
          <w:rFonts w:ascii="Palatino Linotype" w:hAnsi="Palatino Linotype"/>
          <w:i/>
          <w:iCs/>
          <w:color w:val="212121"/>
          <w:spacing w:val="-2"/>
          <w:sz w:val="21"/>
          <w:szCs w:val="21"/>
          <w:lang w:val="es-ES" w:eastAsia="es-MX"/>
        </w:rPr>
        <w:t>e</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cia y Acc</w:t>
      </w:r>
      <w:r>
        <w:rPr>
          <w:rFonts w:ascii="Palatino Linotype" w:hAnsi="Palatino Linotype"/>
          <w:i/>
          <w:iCs/>
          <w:color w:val="212121"/>
          <w:spacing w:val="1"/>
          <w:sz w:val="21"/>
          <w:szCs w:val="21"/>
          <w:lang w:val="es-ES" w:eastAsia="es-MX"/>
        </w:rPr>
        <w:t>e</w:t>
      </w:r>
      <w:r>
        <w:rPr>
          <w:rFonts w:ascii="Palatino Linotype" w:hAnsi="Palatino Linotype"/>
          <w:i/>
          <w:iCs/>
          <w:color w:val="212121"/>
          <w:sz w:val="21"/>
          <w:szCs w:val="21"/>
          <w:lang w:val="es-ES" w:eastAsia="es-MX"/>
        </w:rPr>
        <w:t>so</w:t>
      </w:r>
      <w:r>
        <w:rPr>
          <w:rFonts w:ascii="Palatino Linotype" w:hAnsi="Palatino Linotype"/>
          <w:i/>
          <w:iCs/>
          <w:color w:val="212121"/>
          <w:spacing w:val="3"/>
          <w:sz w:val="21"/>
          <w:szCs w:val="21"/>
          <w:lang w:val="es-ES" w:eastAsia="es-MX"/>
        </w:rPr>
        <w:t> </w:t>
      </w:r>
      <w:r>
        <w:rPr>
          <w:rFonts w:ascii="Palatino Linotype" w:hAnsi="Palatino Linotype"/>
          <w:i/>
          <w:iCs/>
          <w:color w:val="212121"/>
          <w:sz w:val="21"/>
          <w:szCs w:val="21"/>
          <w:lang w:val="es-ES" w:eastAsia="es-MX"/>
        </w:rPr>
        <w:t>a</w:t>
      </w:r>
      <w:r>
        <w:rPr>
          <w:rFonts w:ascii="Palatino Linotype" w:hAnsi="Palatino Linotype"/>
          <w:i/>
          <w:iCs/>
          <w:color w:val="212121"/>
          <w:spacing w:val="1"/>
          <w:sz w:val="21"/>
          <w:szCs w:val="21"/>
          <w:lang w:val="es-ES" w:eastAsia="es-MX"/>
        </w:rPr>
        <w:t> </w:t>
      </w:r>
      <w:r>
        <w:rPr>
          <w:rFonts w:ascii="Palatino Linotype" w:hAnsi="Palatino Linotype"/>
          <w:i/>
          <w:iCs/>
          <w:color w:val="212121"/>
          <w:sz w:val="21"/>
          <w:szCs w:val="21"/>
          <w:lang w:val="es-ES" w:eastAsia="es-MX"/>
        </w:rPr>
        <w:t>la I</w:t>
      </w:r>
      <w:r>
        <w:rPr>
          <w:rFonts w:ascii="Palatino Linotype" w:hAnsi="Palatino Linotype"/>
          <w:i/>
          <w:iCs/>
          <w:color w:val="212121"/>
          <w:spacing w:val="-1"/>
          <w:sz w:val="21"/>
          <w:szCs w:val="21"/>
          <w:lang w:val="es-ES" w:eastAsia="es-MX"/>
        </w:rPr>
        <w:t>n</w:t>
      </w:r>
      <w:r>
        <w:rPr>
          <w:rFonts w:ascii="Palatino Linotype" w:hAnsi="Palatino Linotype"/>
          <w:i/>
          <w:iCs/>
          <w:color w:val="212121"/>
          <w:sz w:val="21"/>
          <w:szCs w:val="21"/>
          <w:lang w:val="es-ES" w:eastAsia="es-MX"/>
        </w:rPr>
        <w:t>f</w:t>
      </w:r>
      <w:r>
        <w:rPr>
          <w:rFonts w:ascii="Palatino Linotype" w:hAnsi="Palatino Linotype"/>
          <w:i/>
          <w:iCs/>
          <w:color w:val="212121"/>
          <w:spacing w:val="1"/>
          <w:sz w:val="21"/>
          <w:szCs w:val="21"/>
          <w:lang w:val="es-ES" w:eastAsia="es-MX"/>
        </w:rPr>
        <w:t>o</w:t>
      </w:r>
      <w:r>
        <w:rPr>
          <w:rFonts w:ascii="Palatino Linotype" w:hAnsi="Palatino Linotype"/>
          <w:i/>
          <w:iCs/>
          <w:color w:val="212121"/>
          <w:spacing w:val="-3"/>
          <w:sz w:val="21"/>
          <w:szCs w:val="21"/>
          <w:lang w:val="es-ES" w:eastAsia="es-MX"/>
        </w:rPr>
        <w:t>r</w:t>
      </w:r>
      <w:r>
        <w:rPr>
          <w:rFonts w:ascii="Palatino Linotype" w:hAnsi="Palatino Linotype"/>
          <w:i/>
          <w:iCs/>
          <w:color w:val="212121"/>
          <w:spacing w:val="1"/>
          <w:sz w:val="21"/>
          <w:szCs w:val="21"/>
          <w:lang w:val="es-ES" w:eastAsia="es-MX"/>
        </w:rPr>
        <w:t>ma</w:t>
      </w:r>
      <w:r>
        <w:rPr>
          <w:rFonts w:ascii="Palatino Linotype" w:hAnsi="Palatino Linotype"/>
          <w:i/>
          <w:iCs/>
          <w:color w:val="212121"/>
          <w:sz w:val="21"/>
          <w:szCs w:val="21"/>
          <w:lang w:val="es-ES" w:eastAsia="es-MX"/>
        </w:rPr>
        <w:t>ci</w:t>
      </w:r>
      <w:r>
        <w:rPr>
          <w:rFonts w:ascii="Palatino Linotype" w:hAnsi="Palatino Linotype"/>
          <w:i/>
          <w:iCs/>
          <w:color w:val="212121"/>
          <w:spacing w:val="-2"/>
          <w:sz w:val="21"/>
          <w:szCs w:val="21"/>
          <w:lang w:val="es-ES" w:eastAsia="es-MX"/>
        </w:rPr>
        <w:t>ó</w:t>
      </w:r>
      <w:r>
        <w:rPr>
          <w:rFonts w:ascii="Palatino Linotype" w:hAnsi="Palatino Linotype"/>
          <w:i/>
          <w:iCs/>
          <w:color w:val="212121"/>
          <w:sz w:val="21"/>
          <w:szCs w:val="21"/>
          <w:lang w:val="es-ES" w:eastAsia="es-MX"/>
        </w:rPr>
        <w:t>n</w:t>
      </w:r>
      <w:r>
        <w:rPr>
          <w:rFonts w:ascii="Palatino Linotype" w:hAnsi="Palatino Linotype"/>
          <w:i/>
          <w:iCs/>
          <w:color w:val="212121"/>
          <w:spacing w:val="6"/>
          <w:sz w:val="21"/>
          <w:szCs w:val="21"/>
          <w:lang w:val="es-ES" w:eastAsia="es-MX"/>
        </w:rPr>
        <w:t> </w:t>
      </w:r>
      <w:r>
        <w:rPr>
          <w:rFonts w:ascii="Palatino Linotype" w:hAnsi="Palatino Linotype"/>
          <w:i/>
          <w:iCs/>
          <w:color w:val="212121"/>
          <w:spacing w:val="-2"/>
          <w:sz w:val="21"/>
          <w:szCs w:val="21"/>
          <w:lang w:val="es-ES" w:eastAsia="es-MX"/>
        </w:rPr>
        <w:t>P</w:t>
      </w:r>
      <w:r>
        <w:rPr>
          <w:rFonts w:ascii="Palatino Linotype" w:hAnsi="Palatino Linotype"/>
          <w:i/>
          <w:iCs/>
          <w:color w:val="212121"/>
          <w:spacing w:val="1"/>
          <w:sz w:val="21"/>
          <w:szCs w:val="21"/>
          <w:lang w:val="es-ES" w:eastAsia="es-MX"/>
        </w:rPr>
        <w:t>úb</w:t>
      </w:r>
      <w:r>
        <w:rPr>
          <w:rFonts w:ascii="Palatino Linotype" w:hAnsi="Palatino Linotype"/>
          <w:i/>
          <w:iCs/>
          <w:color w:val="212121"/>
          <w:sz w:val="21"/>
          <w:szCs w:val="21"/>
          <w:lang w:val="es-ES" w:eastAsia="es-MX"/>
        </w:rPr>
        <w:t>l</w:t>
      </w:r>
      <w:r>
        <w:rPr>
          <w:rFonts w:ascii="Palatino Linotype" w:hAnsi="Palatino Linotype"/>
          <w:i/>
          <w:iCs/>
          <w:color w:val="212121"/>
          <w:spacing w:val="-1"/>
          <w:sz w:val="21"/>
          <w:szCs w:val="21"/>
          <w:lang w:val="es-ES" w:eastAsia="es-MX"/>
        </w:rPr>
        <w:t>i</w:t>
      </w:r>
      <w:r>
        <w:rPr>
          <w:rFonts w:ascii="Palatino Linotype" w:hAnsi="Palatino Linotype"/>
          <w:i/>
          <w:iCs/>
          <w:color w:val="212121"/>
          <w:sz w:val="21"/>
          <w:szCs w:val="21"/>
          <w:lang w:val="es-ES" w:eastAsia="es-MX"/>
        </w:rPr>
        <w:t>ca, </w:t>
      </w:r>
      <w:r>
        <w:rPr>
          <w:rFonts w:ascii="Palatino Linotype" w:hAnsi="Palatino Linotype"/>
          <w:i/>
          <w:iCs/>
          <w:color w:val="212121"/>
          <w:spacing w:val="-1"/>
          <w:sz w:val="21"/>
          <w:szCs w:val="21"/>
          <w:lang w:val="es-ES" w:eastAsia="es-MX"/>
        </w:rPr>
        <w:t>señalan</w:t>
      </w:r>
      <w:r>
        <w:rPr>
          <w:rFonts w:ascii="Palatino Linotype" w:hAnsi="Palatino Linotype"/>
          <w:i/>
          <w:iCs/>
          <w:color w:val="212121"/>
          <w:spacing w:val="1"/>
          <w:sz w:val="21"/>
          <w:szCs w:val="21"/>
          <w:lang w:val="es-ES" w:eastAsia="es-MX"/>
        </w:rPr>
        <w:t> </w:t>
      </w:r>
      <w:r>
        <w:rPr>
          <w:rFonts w:ascii="Palatino Linotype" w:hAnsi="Palatino Linotype"/>
          <w:i/>
          <w:iCs/>
          <w:color w:val="212121"/>
          <w:spacing w:val="-1"/>
          <w:sz w:val="21"/>
          <w:szCs w:val="21"/>
          <w:lang w:val="es-ES" w:eastAsia="es-MX"/>
        </w:rPr>
        <w:t>q</w:t>
      </w:r>
      <w:r>
        <w:rPr>
          <w:rFonts w:ascii="Palatino Linotype" w:hAnsi="Palatino Linotype"/>
          <w:i/>
          <w:iCs/>
          <w:color w:val="212121"/>
          <w:spacing w:val="1"/>
          <w:sz w:val="21"/>
          <w:szCs w:val="21"/>
          <w:lang w:val="es-ES" w:eastAsia="es-MX"/>
        </w:rPr>
        <w:t>u</w:t>
      </w:r>
      <w:r>
        <w:rPr>
          <w:rFonts w:ascii="Palatino Linotype" w:hAnsi="Palatino Linotype"/>
          <w:i/>
          <w:iCs/>
          <w:color w:val="212121"/>
          <w:sz w:val="21"/>
          <w:szCs w:val="2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22DAC" w:rsidRDefault="00CC3CB2">
      <w:pPr>
        <w:ind w:left="851" w:right="902"/>
        <w:jc w:val="both"/>
        <w:rPr>
          <w:rFonts w:ascii="Palatino Linotype" w:hAnsi="Palatino Linotype" w:cs="Arial"/>
          <w:i/>
          <w:color w:val="000000"/>
          <w:sz w:val="21"/>
          <w:szCs w:val="21"/>
        </w:rPr>
      </w:pPr>
      <w:r>
        <w:rPr>
          <w:rFonts w:ascii="Palatino Linotype" w:hAnsi="Palatino Linotype" w:cs="Arial"/>
          <w:i/>
          <w:color w:val="000000"/>
          <w:sz w:val="21"/>
          <w:szCs w:val="21"/>
        </w:rPr>
        <w:t xml:space="preserve">Resoluciones: </w:t>
      </w:r>
    </w:p>
    <w:p w:rsidR="00D22DAC" w:rsidRDefault="00CC3CB2">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D22DAC" w:rsidRDefault="00CC3CB2">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D22DAC" w:rsidRDefault="00CC3CB2">
      <w:pPr>
        <w:ind w:left="851" w:right="902"/>
        <w:jc w:val="both"/>
        <w:rPr>
          <w:rFonts w:ascii="Palatino Linotype" w:hAnsi="Palatino Linotype" w:cs="Arial"/>
          <w:i/>
          <w:color w:val="000000"/>
          <w:sz w:val="21"/>
          <w:szCs w:val="21"/>
        </w:rPr>
      </w:pPr>
      <w:r>
        <w:rPr>
          <w:rFonts w:ascii="Symbol" w:eastAsia="Symbol" w:hAnsi="Symbol" w:cs="Symbol"/>
          <w:i/>
          <w:color w:val="000000"/>
          <w:sz w:val="21"/>
          <w:szCs w:val="21"/>
        </w:rPr>
        <w:t></w:t>
      </w:r>
      <w:r>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D22DAC" w:rsidRDefault="00CC3CB2">
      <w:pPr>
        <w:ind w:left="851" w:right="902"/>
        <w:jc w:val="both"/>
        <w:rPr>
          <w:rFonts w:ascii="Palatino Linotype" w:hAnsi="Palatino Linotype" w:cs="Arial"/>
          <w:i/>
          <w:color w:val="000000"/>
          <w:sz w:val="21"/>
          <w:szCs w:val="21"/>
        </w:rPr>
      </w:pPr>
      <w:r>
        <w:rPr>
          <w:rFonts w:ascii="Palatino Linotype" w:hAnsi="Palatino Linotype" w:cs="Arial"/>
          <w:i/>
          <w:color w:val="000000"/>
          <w:sz w:val="21"/>
          <w:szCs w:val="21"/>
        </w:rPr>
        <w:t>(Sic)</w:t>
      </w:r>
    </w:p>
    <w:p w:rsidR="00D22DAC" w:rsidRDefault="00CC3CB2">
      <w:pPr>
        <w:spacing w:beforeAutospacing="1" w:afterAutospacing="1" w:line="360" w:lineRule="auto"/>
        <w:jc w:val="both"/>
        <w:rPr>
          <w:rFonts w:ascii="Palatino Linotype" w:hAnsi="Palatino Linotype"/>
        </w:rPr>
      </w:pPr>
      <w:r>
        <w:rPr>
          <w:rFonts w:ascii="Palatino Linotype" w:hAnsi="Palatino Linotype"/>
        </w:rPr>
        <w:t xml:space="preserve">Así, los Sujetos Obligados, están constreñidos a entregar la información; tal y como, la generan y obran en sus archivos; por lo que, deben entregar aquella que contenga </w:t>
      </w:r>
      <w:r>
        <w:rPr>
          <w:rFonts w:ascii="Palatino Linotype" w:hAnsi="Palatino Linotype"/>
          <w:b/>
        </w:rPr>
        <w:t>el mayor grado de desagregación posible</w:t>
      </w:r>
      <w:r>
        <w:rPr>
          <w:rFonts w:ascii="Palatino Linotype" w:hAnsi="Palatino Linotype"/>
        </w:rPr>
        <w:t>; sin que, dicha situación conlleve a la realización de un documento en específico.</w:t>
      </w:r>
    </w:p>
    <w:p w:rsidR="00D22DAC" w:rsidRDefault="00CC3CB2">
      <w:pPr>
        <w:spacing w:line="360" w:lineRule="auto"/>
        <w:jc w:val="both"/>
        <w:rPr>
          <w:rFonts w:ascii="Palatino Linotype" w:hAnsi="Palatino Linotype"/>
        </w:rPr>
      </w:pPr>
      <w:r>
        <w:rPr>
          <w:rFonts w:ascii="Palatino Linotype" w:hAnsi="Palatino Linotype" w:cs="Arial"/>
        </w:rPr>
        <w:t xml:space="preserve">Una vez precisado lo anterior, </w:t>
      </w:r>
      <w:r>
        <w:rPr>
          <w:rFonts w:ascii="Palatino Linotype" w:hAnsi="Palatino Linotype"/>
          <w:lang w:val="es-AR"/>
        </w:rPr>
        <w:t xml:space="preserve">es importante señalar </w:t>
      </w:r>
      <w:r>
        <w:rPr>
          <w:rFonts w:ascii="Palatino Linotype" w:hAnsi="Palatino Linotype" w:cs="Arial"/>
          <w:lang w:val="es-ES"/>
        </w:rPr>
        <w:t xml:space="preserve">que la particular </w:t>
      </w:r>
      <w:r>
        <w:rPr>
          <w:rFonts w:ascii="Palatino Linotype" w:hAnsi="Palatino Linotype"/>
          <w:lang w:val="es-ES"/>
        </w:rPr>
        <w:t xml:space="preserve">al momento de presentar su solicitud de acceso a la información, omitió precisar la temporalidad; </w:t>
      </w:r>
      <w:r>
        <w:rPr>
          <w:rFonts w:ascii="Palatino Linotype" w:hAnsi="Palatino Linotype"/>
        </w:rPr>
        <w:t>b</w:t>
      </w:r>
      <w:r>
        <w:rPr>
          <w:rFonts w:ascii="Palatino Linotype" w:hAnsi="Palatino Linotype" w:cs="Arial"/>
        </w:rPr>
        <w:t xml:space="preserve">ajo </w:t>
      </w:r>
      <w:r>
        <w:rPr>
          <w:rFonts w:ascii="Palatino Linotype" w:hAnsi="Palatino Linotype" w:cs="Arial"/>
        </w:rPr>
        <w:lastRenderedPageBreak/>
        <w:t xml:space="preserve">ese contexto, este Órgano Garante en el ámbito de sus atribuciones establecidas en los artículos 13 y 181 de la Ley de Transparencia y Acceso a la Información Pública del Estado de México y Municipios; </w:t>
      </w:r>
      <w:r>
        <w:rPr>
          <w:rFonts w:ascii="Palatino Linotype" w:hAnsi="Palatino Linotype"/>
        </w:rPr>
        <w:t xml:space="preserve">bajo el amparo del principio de máxima publicidad y pro persona; </w:t>
      </w:r>
      <w:r>
        <w:rPr>
          <w:rFonts w:ascii="Palatino Linotype" w:hAnsi="Palatino Linotype" w:cs="Arial"/>
          <w:color w:val="000000" w:themeColor="text1"/>
          <w:lang w:val="es-ES"/>
        </w:rPr>
        <w:t xml:space="preserve">determina que la información solicitada corresponderá a la generada, poseída o administrada vigente a la fecha de la solicitud, es decir, al </w:t>
      </w:r>
      <w:r>
        <w:rPr>
          <w:rFonts w:ascii="Palatino Linotype" w:hAnsi="Palatino Linotype"/>
        </w:rPr>
        <w:t>diecinueve de enero de dos mil veinte.</w:t>
      </w:r>
    </w:p>
    <w:p w:rsidR="00D22DAC" w:rsidRDefault="00D22DAC">
      <w:pPr>
        <w:spacing w:line="360" w:lineRule="auto"/>
        <w:jc w:val="both"/>
        <w:rPr>
          <w:rFonts w:ascii="Palatino Linotype" w:hAnsi="Palatino Linotype"/>
        </w:rPr>
      </w:pPr>
    </w:p>
    <w:p w:rsidR="00D22DAC" w:rsidRDefault="00CC3CB2">
      <w:pPr>
        <w:spacing w:line="360" w:lineRule="auto"/>
        <w:contextualSpacing/>
        <w:jc w:val="both"/>
        <w:rPr>
          <w:rFonts w:ascii="Palatino Linotype" w:eastAsia="Calibri" w:hAnsi="Palatino Linotype" w:cs="Arial"/>
          <w:b/>
        </w:rPr>
      </w:pPr>
      <w:r>
        <w:rPr>
          <w:rFonts w:ascii="Palatino Linotype" w:eastAsia="Calibri" w:hAnsi="Palatino Linotype" w:cs="Arial"/>
        </w:rPr>
        <w:t xml:space="preserve">Ahora bien, es importante desglosar la información solicitada, con la remitida en el Informe Justificado,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 la ahora</w:t>
      </w:r>
      <w:r>
        <w:rPr>
          <w:rFonts w:ascii="Palatino Linotype" w:eastAsia="Calibri" w:hAnsi="Palatino Linotype" w:cs="Arial"/>
          <w:b/>
        </w:rPr>
        <w:t xml:space="preserve"> RECURRENTE.</w:t>
      </w:r>
    </w:p>
    <w:p w:rsidR="00D22DAC" w:rsidRDefault="00D22DAC">
      <w:pPr>
        <w:spacing w:beforeAutospacing="1" w:afterAutospacing="1" w:line="360" w:lineRule="auto"/>
        <w:contextualSpacing/>
        <w:jc w:val="both"/>
        <w:rPr>
          <w:rFonts w:ascii="Palatino Linotype" w:eastAsia="Calibri" w:hAnsi="Palatino Linotype" w:cs="Arial"/>
          <w:b/>
        </w:rPr>
      </w:pPr>
    </w:p>
    <w:tbl>
      <w:tblPr>
        <w:tblW w:w="9111" w:type="dxa"/>
        <w:tblLook w:val="04A0" w:firstRow="1" w:lastRow="0" w:firstColumn="1" w:lastColumn="0" w:noHBand="0" w:noVBand="1"/>
      </w:tblPr>
      <w:tblGrid>
        <w:gridCol w:w="1696"/>
        <w:gridCol w:w="5386"/>
        <w:gridCol w:w="2029"/>
      </w:tblGrid>
      <w:tr w:rsidR="00D22DAC">
        <w:tc>
          <w:tcPr>
            <w:tcW w:w="1696" w:type="dxa"/>
            <w:shd w:val="clear" w:color="auto" w:fill="4A442A" w:themeFill="background2" w:themeFillShade="40"/>
          </w:tcPr>
          <w:p w:rsidR="00D22DAC" w:rsidRDefault="00CC3CB2">
            <w:pPr>
              <w:spacing w:beforeAutospacing="1" w:line="360" w:lineRule="auto"/>
              <w:contextualSpacing/>
              <w:jc w:val="both"/>
              <w:rPr>
                <w:rFonts w:ascii="Palatino Linotype" w:eastAsia="Calibri" w:hAnsi="Palatino Linotype" w:cs="Arial"/>
                <w:b/>
                <w:sz w:val="22"/>
                <w:szCs w:val="22"/>
              </w:rPr>
            </w:pPr>
            <w:r>
              <w:rPr>
                <w:rFonts w:ascii="Palatino Linotype" w:eastAsia="Calibri" w:hAnsi="Palatino Linotype" w:cs="Arial"/>
                <w:b/>
                <w:sz w:val="22"/>
                <w:szCs w:val="22"/>
              </w:rPr>
              <w:t>Solicitud</w:t>
            </w:r>
          </w:p>
        </w:tc>
        <w:tc>
          <w:tcPr>
            <w:tcW w:w="5386" w:type="dxa"/>
            <w:shd w:val="clear" w:color="auto" w:fill="4A442A" w:themeFill="background2" w:themeFillShade="40"/>
          </w:tcPr>
          <w:p w:rsidR="00D22DAC" w:rsidRDefault="00CC3CB2">
            <w:pPr>
              <w:spacing w:beforeAutospacing="1" w:line="360" w:lineRule="auto"/>
              <w:contextualSpacing/>
              <w:jc w:val="both"/>
              <w:rPr>
                <w:rFonts w:ascii="Palatino Linotype" w:eastAsia="Calibri" w:hAnsi="Palatino Linotype" w:cs="Arial"/>
                <w:b/>
                <w:sz w:val="22"/>
                <w:szCs w:val="22"/>
              </w:rPr>
            </w:pPr>
            <w:r>
              <w:rPr>
                <w:rFonts w:ascii="Palatino Linotype" w:eastAsia="Calibri" w:hAnsi="Palatino Linotype" w:cs="Arial"/>
                <w:b/>
                <w:sz w:val="22"/>
                <w:szCs w:val="22"/>
              </w:rPr>
              <w:t>Informe Justificado</w:t>
            </w:r>
          </w:p>
        </w:tc>
        <w:tc>
          <w:tcPr>
            <w:tcW w:w="2029" w:type="dxa"/>
            <w:shd w:val="clear" w:color="auto" w:fill="4A442A" w:themeFill="background2" w:themeFillShade="40"/>
          </w:tcPr>
          <w:p w:rsidR="00D22DAC" w:rsidRDefault="00CC3CB2">
            <w:pPr>
              <w:spacing w:beforeAutospacing="1" w:line="360" w:lineRule="auto"/>
              <w:contextualSpacing/>
              <w:jc w:val="both"/>
              <w:rPr>
                <w:rFonts w:ascii="Palatino Linotype" w:eastAsia="Calibri" w:hAnsi="Palatino Linotype" w:cs="Arial"/>
                <w:b/>
                <w:sz w:val="22"/>
                <w:szCs w:val="22"/>
              </w:rPr>
            </w:pPr>
            <w:r>
              <w:rPr>
                <w:rFonts w:ascii="Palatino Linotype" w:eastAsia="Calibri" w:hAnsi="Palatino Linotype" w:cs="Arial"/>
                <w:b/>
                <w:sz w:val="22"/>
                <w:szCs w:val="22"/>
              </w:rPr>
              <w:t>Colmó</w:t>
            </w:r>
          </w:p>
        </w:tc>
      </w:tr>
      <w:tr w:rsidR="00D22DAC">
        <w:tc>
          <w:tcPr>
            <w:tcW w:w="1696" w:type="dxa"/>
            <w:shd w:val="clear" w:color="auto" w:fill="FFFFFF" w:themeFill="background1"/>
          </w:tcPr>
          <w:p w:rsidR="00D22DAC" w:rsidRDefault="00CC3CB2">
            <w:pPr>
              <w:tabs>
                <w:tab w:val="left" w:pos="567"/>
              </w:tabs>
              <w:spacing w:line="360" w:lineRule="auto"/>
              <w:ind w:right="51"/>
              <w:jc w:val="both"/>
              <w:rPr>
                <w:rFonts w:ascii="Palatino Linotype" w:hAnsi="Palatino Linotype"/>
                <w:i/>
                <w:color w:val="000000"/>
                <w:sz w:val="20"/>
                <w:szCs w:val="20"/>
                <w:lang w:val="es-ES"/>
              </w:rPr>
            </w:pPr>
            <w:r>
              <w:rPr>
                <w:rFonts w:ascii="Palatino Linotype" w:hAnsi="Palatino Linotype"/>
                <w:color w:val="000000"/>
                <w:sz w:val="20"/>
                <w:szCs w:val="20"/>
              </w:rPr>
              <w:t>El presupuesto que se le asigna a la niñez</w:t>
            </w:r>
          </w:p>
          <w:p w:rsidR="00D22DAC" w:rsidRDefault="00CC3CB2">
            <w:pPr>
              <w:tabs>
                <w:tab w:val="left" w:pos="567"/>
              </w:tabs>
              <w:spacing w:line="360" w:lineRule="auto"/>
              <w:ind w:right="51"/>
              <w:jc w:val="both"/>
              <w:rPr>
                <w:rFonts w:ascii="Palatino Linotype" w:hAnsi="Palatino Linotype"/>
                <w:i/>
                <w:color w:val="000000"/>
                <w:sz w:val="20"/>
                <w:szCs w:val="20"/>
                <w:lang w:val="es-ES"/>
              </w:rPr>
            </w:pPr>
            <w:r>
              <w:rPr>
                <w:rFonts w:ascii="Palatino Linotype" w:hAnsi="Palatino Linotype"/>
                <w:color w:val="000000"/>
                <w:sz w:val="20"/>
                <w:szCs w:val="20"/>
                <w:lang w:val="es-ES"/>
              </w:rPr>
              <w:br/>
            </w:r>
          </w:p>
          <w:p w:rsidR="00D22DAC" w:rsidRDefault="00D22DAC">
            <w:pPr>
              <w:tabs>
                <w:tab w:val="left" w:pos="567"/>
              </w:tabs>
              <w:spacing w:line="360" w:lineRule="auto"/>
              <w:ind w:right="51"/>
              <w:jc w:val="both"/>
              <w:rPr>
                <w:rFonts w:ascii="Palatino Linotype" w:hAnsi="Palatino Linotype"/>
                <w:color w:val="000000"/>
                <w:sz w:val="20"/>
                <w:szCs w:val="20"/>
              </w:rPr>
            </w:pPr>
          </w:p>
        </w:tc>
        <w:tc>
          <w:tcPr>
            <w:tcW w:w="5386" w:type="dxa"/>
            <w:shd w:val="clear" w:color="auto" w:fill="FFFFFF" w:themeFill="background1"/>
          </w:tcPr>
          <w:p w:rsidR="00D22DAC" w:rsidRDefault="00CC3CB2">
            <w:pPr>
              <w:tabs>
                <w:tab w:val="left" w:pos="567"/>
              </w:tabs>
              <w:spacing w:line="360" w:lineRule="auto"/>
              <w:ind w:right="51"/>
              <w:jc w:val="both"/>
              <w:rPr>
                <w:rFonts w:ascii="Palatino Linotype" w:hAnsi="Palatino Linotype"/>
                <w:sz w:val="20"/>
                <w:szCs w:val="20"/>
              </w:rPr>
            </w:pPr>
            <w:r>
              <w:rPr>
                <w:rFonts w:ascii="Palatino Linotype" w:hAnsi="Palatino Linotype"/>
                <w:sz w:val="20"/>
                <w:szCs w:val="20"/>
              </w:rPr>
              <w:t xml:space="preserve">Mediante Informe Justificado </w:t>
            </w:r>
            <w:r>
              <w:rPr>
                <w:rFonts w:ascii="Palatino Linotype" w:hAnsi="Palatino Linotype"/>
                <w:b/>
                <w:sz w:val="20"/>
                <w:szCs w:val="20"/>
              </w:rPr>
              <w:t>EL SUJETO OBLIGADO</w:t>
            </w:r>
            <w:r>
              <w:rPr>
                <w:rFonts w:ascii="Palatino Linotype" w:hAnsi="Palatino Linotype"/>
                <w:sz w:val="20"/>
                <w:szCs w:val="20"/>
              </w:rPr>
              <w:t xml:space="preserve"> remitió la siguiente información:</w:t>
            </w:r>
          </w:p>
          <w:p w:rsidR="00D22DAC" w:rsidRDefault="00CC3CB2">
            <w:pPr>
              <w:tabs>
                <w:tab w:val="left" w:pos="567"/>
              </w:tabs>
              <w:spacing w:line="360" w:lineRule="auto"/>
              <w:ind w:right="51"/>
              <w:jc w:val="both"/>
              <w:rPr>
                <w:rFonts w:ascii="Palatino Linotype" w:hAnsi="Palatino Linotype"/>
                <w:sz w:val="20"/>
                <w:szCs w:val="20"/>
              </w:rPr>
            </w:pPr>
            <w:r>
              <w:rPr>
                <w:lang w:eastAsia="es-MX"/>
              </w:rPr>
              <w:t xml:space="preserve"> </w:t>
            </w:r>
            <w:r>
              <w:rPr>
                <w:noProof/>
                <w:lang w:eastAsia="es-MX"/>
              </w:rPr>
              <w:drawing>
                <wp:inline distT="0" distB="0" distL="0" distR="0">
                  <wp:extent cx="3200400" cy="19621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0"/>
                          <a:srcRect l="19902" t="26309" r="29129" b="28524"/>
                          <a:stretch>
                            <a:fillRect/>
                          </a:stretch>
                        </pic:blipFill>
                        <pic:spPr bwMode="auto">
                          <a:xfrm>
                            <a:off x="0" y="0"/>
                            <a:ext cx="3200400" cy="1962150"/>
                          </a:xfrm>
                          <a:prstGeom prst="rect">
                            <a:avLst/>
                          </a:prstGeom>
                        </pic:spPr>
                      </pic:pic>
                    </a:graphicData>
                  </a:graphic>
                </wp:inline>
              </w:drawing>
            </w:r>
          </w:p>
        </w:tc>
        <w:tc>
          <w:tcPr>
            <w:tcW w:w="2029" w:type="dxa"/>
            <w:shd w:val="clear" w:color="auto" w:fill="FFFFFF" w:themeFill="background1"/>
          </w:tcPr>
          <w:p w:rsidR="00D22DAC" w:rsidRDefault="00CC3CB2">
            <w:pPr>
              <w:spacing w:beforeAutospacing="1" w:afterAutospacing="1" w:line="360" w:lineRule="auto"/>
              <w:contextualSpacing/>
              <w:jc w:val="both"/>
              <w:rPr>
                <w:rFonts w:ascii="Palatino Linotype" w:eastAsia="Calibri" w:hAnsi="Palatino Linotype" w:cs="Arial"/>
                <w:b/>
                <w:sz w:val="20"/>
                <w:szCs w:val="20"/>
              </w:rPr>
            </w:pPr>
            <w:r>
              <w:rPr>
                <w:rFonts w:ascii="Palatino Linotype" w:eastAsia="Calibri" w:hAnsi="Palatino Linotype" w:cs="Arial"/>
                <w:b/>
                <w:sz w:val="20"/>
                <w:szCs w:val="20"/>
              </w:rPr>
              <w:t>Colmó</w:t>
            </w:r>
          </w:p>
          <w:p w:rsidR="00D22DAC" w:rsidRDefault="00CC3CB2">
            <w:pPr>
              <w:spacing w:beforeAutospacing="1" w:line="360" w:lineRule="auto"/>
              <w:contextualSpacing/>
              <w:jc w:val="both"/>
              <w:rPr>
                <w:rFonts w:ascii="Palatino Linotype" w:eastAsia="Calibri" w:hAnsi="Palatino Linotype" w:cs="Arial"/>
                <w:sz w:val="20"/>
                <w:szCs w:val="20"/>
              </w:rPr>
            </w:pPr>
            <w:r>
              <w:rPr>
                <w:rFonts w:ascii="Palatino Linotype" w:eastAsia="Calibri" w:hAnsi="Palatino Linotype" w:cs="Arial"/>
                <w:sz w:val="20"/>
                <w:szCs w:val="20"/>
              </w:rPr>
              <w:t>Señaló la cantidad de $2</w:t>
            </w:r>
            <w:proofErr w:type="gramStart"/>
            <w:r>
              <w:rPr>
                <w:rFonts w:ascii="Palatino Linotype" w:eastAsia="Calibri" w:hAnsi="Palatino Linotype" w:cs="Arial"/>
                <w:sz w:val="20"/>
                <w:szCs w:val="20"/>
              </w:rPr>
              <w:t>,568,590.89</w:t>
            </w:r>
            <w:proofErr w:type="gramEnd"/>
            <w:r>
              <w:rPr>
                <w:rFonts w:ascii="Palatino Linotype" w:eastAsia="Calibri" w:hAnsi="Palatino Linotype" w:cs="Arial"/>
                <w:sz w:val="20"/>
                <w:szCs w:val="20"/>
              </w:rPr>
              <w:t xml:space="preserve"> (Dos millones quinientos sesenta y ocho mil quinientos noventa pesos 89/100 M.N.) , como presupuesto asignado a la niñez.</w:t>
            </w:r>
          </w:p>
        </w:tc>
      </w:tr>
      <w:tr w:rsidR="00D22DAC">
        <w:tc>
          <w:tcPr>
            <w:tcW w:w="1696" w:type="dxa"/>
            <w:shd w:val="clear" w:color="auto" w:fill="FFFFFF" w:themeFill="background1"/>
          </w:tcPr>
          <w:p w:rsidR="00D22DAC" w:rsidRDefault="00CC3CB2">
            <w:pPr>
              <w:tabs>
                <w:tab w:val="left" w:pos="567"/>
              </w:tabs>
              <w:spacing w:line="360" w:lineRule="auto"/>
              <w:ind w:right="51"/>
              <w:jc w:val="both"/>
              <w:rPr>
                <w:rFonts w:ascii="Palatino Linotype" w:hAnsi="Palatino Linotype"/>
                <w:i/>
                <w:color w:val="000000"/>
                <w:sz w:val="20"/>
                <w:szCs w:val="20"/>
                <w:lang w:val="es-ES"/>
              </w:rPr>
            </w:pPr>
            <w:r>
              <w:rPr>
                <w:rFonts w:ascii="Palatino Linotype" w:hAnsi="Palatino Linotype"/>
                <w:color w:val="000000"/>
                <w:sz w:val="20"/>
                <w:szCs w:val="20"/>
              </w:rPr>
              <w:t xml:space="preserve">Los programas sociales dirigidos a la </w:t>
            </w:r>
            <w:r>
              <w:rPr>
                <w:rFonts w:ascii="Palatino Linotype" w:hAnsi="Palatino Linotype"/>
                <w:color w:val="000000"/>
                <w:sz w:val="20"/>
                <w:szCs w:val="20"/>
              </w:rPr>
              <w:lastRenderedPageBreak/>
              <w:t>población infantil</w:t>
            </w:r>
          </w:p>
          <w:p w:rsidR="00D22DAC" w:rsidRDefault="00D22DAC">
            <w:pPr>
              <w:tabs>
                <w:tab w:val="left" w:pos="567"/>
              </w:tabs>
              <w:spacing w:line="360" w:lineRule="auto"/>
              <w:ind w:right="51"/>
              <w:jc w:val="both"/>
              <w:rPr>
                <w:rFonts w:ascii="Palatino Linotype" w:hAnsi="Palatino Linotype"/>
                <w:color w:val="000000"/>
                <w:sz w:val="20"/>
                <w:szCs w:val="20"/>
              </w:rPr>
            </w:pPr>
          </w:p>
        </w:tc>
        <w:tc>
          <w:tcPr>
            <w:tcW w:w="5386" w:type="dxa"/>
            <w:shd w:val="clear" w:color="auto" w:fill="FFFFFF" w:themeFill="background1"/>
          </w:tcPr>
          <w:p w:rsidR="00D22DAC" w:rsidRDefault="00CC3CB2">
            <w:pPr>
              <w:tabs>
                <w:tab w:val="left" w:pos="567"/>
              </w:tabs>
              <w:spacing w:line="360" w:lineRule="auto"/>
              <w:ind w:right="51"/>
              <w:jc w:val="both"/>
              <w:rPr>
                <w:rFonts w:ascii="Palatino Linotype" w:hAnsi="Palatino Linotype"/>
                <w:sz w:val="20"/>
                <w:szCs w:val="20"/>
              </w:rPr>
            </w:pPr>
            <w:r>
              <w:rPr>
                <w:rFonts w:ascii="Palatino Linotype" w:hAnsi="Palatino Linotype"/>
                <w:sz w:val="20"/>
                <w:szCs w:val="20"/>
              </w:rPr>
              <w:lastRenderedPageBreak/>
              <w:t xml:space="preserve">Mediante Informe Justificado, </w:t>
            </w:r>
            <w:r>
              <w:rPr>
                <w:rFonts w:ascii="Palatino Linotype" w:hAnsi="Palatino Linotype"/>
                <w:b/>
                <w:sz w:val="20"/>
                <w:szCs w:val="20"/>
              </w:rPr>
              <w:t>EL SUJETO OBLIGADO</w:t>
            </w:r>
            <w:r>
              <w:rPr>
                <w:rFonts w:ascii="Palatino Linotype" w:hAnsi="Palatino Linotype"/>
                <w:sz w:val="20"/>
                <w:szCs w:val="20"/>
              </w:rPr>
              <w:t>, señaló los programas dirigidos a la población infantil, así como sus objetivos.</w:t>
            </w:r>
          </w:p>
          <w:p w:rsidR="00D22DAC" w:rsidRDefault="00CC3CB2">
            <w:pPr>
              <w:tabs>
                <w:tab w:val="left" w:pos="567"/>
              </w:tabs>
              <w:spacing w:line="360" w:lineRule="auto"/>
              <w:ind w:right="51"/>
              <w:jc w:val="both"/>
              <w:rPr>
                <w:rFonts w:ascii="Palatino Linotype" w:hAnsi="Palatino Linotype"/>
                <w:i/>
                <w:sz w:val="20"/>
                <w:szCs w:val="20"/>
              </w:rPr>
            </w:pPr>
            <w:r>
              <w:rPr>
                <w:noProof/>
                <w:lang w:eastAsia="es-MX"/>
              </w:rPr>
              <w:lastRenderedPageBreak/>
              <w:drawing>
                <wp:inline distT="0" distB="0" distL="0" distR="0">
                  <wp:extent cx="3228975" cy="2181225"/>
                  <wp:effectExtent l="0" t="0" r="0"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pic:cNvPicPr>
                            <a:picLocks noChangeAspect="1" noChangeArrowheads="1"/>
                          </pic:cNvPicPr>
                        </pic:nvPicPr>
                        <pic:blipFill>
                          <a:blip r:embed="rId10"/>
                          <a:srcRect l="19902" t="26309" r="38080" b="28524"/>
                          <a:stretch>
                            <a:fillRect/>
                          </a:stretch>
                        </pic:blipFill>
                        <pic:spPr bwMode="auto">
                          <a:xfrm>
                            <a:off x="0" y="0"/>
                            <a:ext cx="3228975" cy="2181225"/>
                          </a:xfrm>
                          <a:prstGeom prst="rect">
                            <a:avLst/>
                          </a:prstGeom>
                        </pic:spPr>
                      </pic:pic>
                    </a:graphicData>
                  </a:graphic>
                </wp:inline>
              </w:drawing>
            </w:r>
          </w:p>
        </w:tc>
        <w:tc>
          <w:tcPr>
            <w:tcW w:w="2029" w:type="dxa"/>
            <w:shd w:val="clear" w:color="auto" w:fill="FFFFFF" w:themeFill="background1"/>
          </w:tcPr>
          <w:p w:rsidR="00D22DAC" w:rsidRDefault="00CC3CB2">
            <w:pPr>
              <w:spacing w:beforeAutospacing="1" w:line="360" w:lineRule="auto"/>
              <w:contextualSpacing/>
              <w:jc w:val="both"/>
              <w:rPr>
                <w:rFonts w:ascii="Palatino Linotype" w:eastAsia="Calibri" w:hAnsi="Palatino Linotype" w:cs="Arial"/>
                <w:b/>
                <w:sz w:val="20"/>
                <w:szCs w:val="20"/>
              </w:rPr>
            </w:pPr>
            <w:r>
              <w:rPr>
                <w:rFonts w:ascii="Palatino Linotype" w:eastAsia="Calibri" w:hAnsi="Palatino Linotype" w:cs="Arial"/>
                <w:b/>
                <w:sz w:val="20"/>
                <w:szCs w:val="20"/>
              </w:rPr>
              <w:lastRenderedPageBreak/>
              <w:t>Colmó</w:t>
            </w:r>
          </w:p>
        </w:tc>
      </w:tr>
      <w:tr w:rsidR="00D22DAC">
        <w:tc>
          <w:tcPr>
            <w:tcW w:w="1696" w:type="dxa"/>
            <w:shd w:val="clear" w:color="auto" w:fill="FFFFFF" w:themeFill="background1"/>
          </w:tcPr>
          <w:p w:rsidR="00D22DAC" w:rsidRDefault="00CC3CB2">
            <w:pPr>
              <w:tabs>
                <w:tab w:val="left" w:pos="567"/>
              </w:tabs>
              <w:spacing w:line="360" w:lineRule="auto"/>
              <w:ind w:right="51"/>
              <w:jc w:val="both"/>
              <w:rPr>
                <w:rFonts w:ascii="Palatino Linotype" w:hAnsi="Palatino Linotype"/>
                <w:i/>
                <w:color w:val="000000"/>
                <w:sz w:val="20"/>
                <w:szCs w:val="20"/>
                <w:lang w:val="es-ES"/>
              </w:rPr>
            </w:pPr>
            <w:r>
              <w:rPr>
                <w:rFonts w:ascii="Palatino Linotype" w:hAnsi="Palatino Linotype"/>
                <w:color w:val="000000"/>
                <w:sz w:val="20"/>
                <w:szCs w:val="20"/>
              </w:rPr>
              <w:t>Las autoridades que aplican o ponen en marcha los programas sociales dirigidos a la población infantil</w:t>
            </w:r>
          </w:p>
          <w:p w:rsidR="00D22DAC" w:rsidRDefault="00D22DAC">
            <w:pPr>
              <w:tabs>
                <w:tab w:val="left" w:pos="567"/>
              </w:tabs>
              <w:spacing w:line="360" w:lineRule="auto"/>
              <w:ind w:right="51"/>
              <w:jc w:val="both"/>
              <w:rPr>
                <w:rFonts w:ascii="Palatino Linotype" w:hAnsi="Palatino Linotype"/>
                <w:color w:val="000000"/>
                <w:sz w:val="20"/>
                <w:szCs w:val="20"/>
              </w:rPr>
            </w:pPr>
          </w:p>
        </w:tc>
        <w:tc>
          <w:tcPr>
            <w:tcW w:w="5386" w:type="dxa"/>
            <w:shd w:val="clear" w:color="auto" w:fill="FFFFFF" w:themeFill="background1"/>
          </w:tcPr>
          <w:p w:rsidR="00D22DAC" w:rsidRDefault="00CC3CB2">
            <w:pPr>
              <w:tabs>
                <w:tab w:val="left" w:pos="567"/>
              </w:tabs>
              <w:spacing w:line="360" w:lineRule="auto"/>
              <w:ind w:right="51"/>
              <w:jc w:val="both"/>
              <w:rPr>
                <w:rFonts w:ascii="Palatino Linotype" w:hAnsi="Palatino Linotype"/>
                <w:sz w:val="20"/>
                <w:szCs w:val="20"/>
              </w:rPr>
            </w:pPr>
            <w:r>
              <w:rPr>
                <w:rFonts w:ascii="Palatino Linotype" w:hAnsi="Palatino Linotype"/>
                <w:sz w:val="20"/>
                <w:szCs w:val="20"/>
              </w:rPr>
              <w:t xml:space="preserve">Mediante Informe Justificado </w:t>
            </w:r>
            <w:r>
              <w:rPr>
                <w:rFonts w:ascii="Palatino Linotype" w:hAnsi="Palatino Linotype"/>
                <w:b/>
                <w:sz w:val="20"/>
                <w:szCs w:val="20"/>
              </w:rPr>
              <w:t>EL SUJETO OBLIGADO</w:t>
            </w:r>
            <w:r>
              <w:rPr>
                <w:rFonts w:ascii="Palatino Linotype" w:hAnsi="Palatino Linotype"/>
                <w:sz w:val="20"/>
                <w:szCs w:val="20"/>
              </w:rPr>
              <w:t xml:space="preserve">, remitió el número de servidores públicos que aplican o ponen en marcha los </w:t>
            </w:r>
            <w:r>
              <w:rPr>
                <w:rFonts w:ascii="Palatino Linotype" w:hAnsi="Palatino Linotype"/>
                <w:color w:val="000000"/>
                <w:sz w:val="20"/>
                <w:szCs w:val="20"/>
              </w:rPr>
              <w:t>programas sociales dirigidos a la población infantil de la siguiente forma:</w:t>
            </w:r>
          </w:p>
          <w:p w:rsidR="00D22DAC" w:rsidRDefault="00CC3CB2">
            <w:pPr>
              <w:tabs>
                <w:tab w:val="left" w:pos="567"/>
              </w:tabs>
              <w:spacing w:line="360" w:lineRule="auto"/>
              <w:ind w:right="51"/>
              <w:jc w:val="both"/>
              <w:rPr>
                <w:rFonts w:ascii="Palatino Linotype" w:hAnsi="Palatino Linotype"/>
                <w:sz w:val="20"/>
                <w:szCs w:val="20"/>
              </w:rPr>
            </w:pPr>
            <w:r>
              <w:rPr>
                <w:noProof/>
                <w:lang w:eastAsia="es-MX"/>
              </w:rPr>
              <w:drawing>
                <wp:inline distT="0" distB="0" distL="0" distR="0">
                  <wp:extent cx="781050" cy="1685925"/>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
                          <pic:cNvPicPr>
                            <a:picLocks noChangeAspect="1" noChangeArrowheads="1"/>
                          </pic:cNvPicPr>
                        </pic:nvPicPr>
                        <pic:blipFill>
                          <a:blip r:embed="rId11"/>
                          <a:srcRect l="70561" t="16225" r="20736" b="37520"/>
                          <a:stretch>
                            <a:fillRect/>
                          </a:stretch>
                        </pic:blipFill>
                        <pic:spPr bwMode="auto">
                          <a:xfrm>
                            <a:off x="0" y="0"/>
                            <a:ext cx="781050" cy="1685925"/>
                          </a:xfrm>
                          <a:prstGeom prst="rect">
                            <a:avLst/>
                          </a:prstGeom>
                        </pic:spPr>
                      </pic:pic>
                    </a:graphicData>
                  </a:graphic>
                </wp:inline>
              </w:drawing>
            </w:r>
          </w:p>
          <w:p w:rsidR="00D22DAC" w:rsidRDefault="00D22DAC">
            <w:pPr>
              <w:tabs>
                <w:tab w:val="left" w:pos="567"/>
              </w:tabs>
              <w:spacing w:line="360" w:lineRule="auto"/>
              <w:ind w:right="51"/>
              <w:jc w:val="both"/>
              <w:rPr>
                <w:rFonts w:ascii="Palatino Linotype" w:hAnsi="Palatino Linotype"/>
                <w:sz w:val="20"/>
                <w:szCs w:val="20"/>
              </w:rPr>
            </w:pPr>
          </w:p>
        </w:tc>
        <w:tc>
          <w:tcPr>
            <w:tcW w:w="2029" w:type="dxa"/>
            <w:shd w:val="clear" w:color="auto" w:fill="FFFFFF" w:themeFill="background1"/>
          </w:tcPr>
          <w:p w:rsidR="00D22DAC" w:rsidRDefault="00CC3CB2">
            <w:pPr>
              <w:spacing w:beforeAutospacing="1" w:afterAutospacing="1" w:line="360" w:lineRule="auto"/>
              <w:contextualSpacing/>
              <w:jc w:val="both"/>
              <w:rPr>
                <w:rFonts w:ascii="Palatino Linotype" w:eastAsia="Calibri" w:hAnsi="Palatino Linotype" w:cs="Arial"/>
                <w:b/>
                <w:sz w:val="20"/>
                <w:szCs w:val="20"/>
              </w:rPr>
            </w:pPr>
            <w:r>
              <w:rPr>
                <w:rFonts w:ascii="Palatino Linotype" w:eastAsia="Calibri" w:hAnsi="Palatino Linotype" w:cs="Arial"/>
                <w:b/>
                <w:sz w:val="20"/>
                <w:szCs w:val="20"/>
              </w:rPr>
              <w:t xml:space="preserve">Parcialmente </w:t>
            </w:r>
          </w:p>
          <w:p w:rsidR="00D22DAC" w:rsidRDefault="00CC3CB2">
            <w:pPr>
              <w:tabs>
                <w:tab w:val="left" w:pos="567"/>
              </w:tabs>
              <w:spacing w:line="360" w:lineRule="auto"/>
              <w:ind w:right="51"/>
              <w:jc w:val="both"/>
              <w:rPr>
                <w:rFonts w:ascii="Palatino Linotype" w:eastAsia="Calibri" w:hAnsi="Palatino Linotype" w:cs="Arial"/>
                <w:b/>
                <w:sz w:val="20"/>
                <w:szCs w:val="20"/>
              </w:rPr>
            </w:pPr>
            <w:r>
              <w:rPr>
                <w:rFonts w:ascii="Palatino Linotype" w:eastAsia="Calibri" w:hAnsi="Palatino Linotype" w:cs="Arial"/>
                <w:sz w:val="20"/>
                <w:szCs w:val="20"/>
              </w:rPr>
              <w:t xml:space="preserve">La particular requirió conocer quiénes </w:t>
            </w:r>
            <w:r>
              <w:rPr>
                <w:rFonts w:ascii="Palatino Linotype" w:hAnsi="Palatino Linotype"/>
                <w:sz w:val="20"/>
                <w:szCs w:val="20"/>
              </w:rPr>
              <w:t xml:space="preserve">aplican o ponen en marcha los </w:t>
            </w:r>
            <w:r>
              <w:rPr>
                <w:rFonts w:ascii="Palatino Linotype" w:hAnsi="Palatino Linotype"/>
                <w:color w:val="000000"/>
                <w:sz w:val="20"/>
                <w:szCs w:val="20"/>
              </w:rPr>
              <w:t xml:space="preserve">programas sociales dirigidos a la población infantil y únicamente se les dio el número de servidores públicos.  </w:t>
            </w:r>
          </w:p>
        </w:tc>
      </w:tr>
      <w:tr w:rsidR="00D22DAC">
        <w:tc>
          <w:tcPr>
            <w:tcW w:w="1696" w:type="dxa"/>
            <w:shd w:val="clear" w:color="auto" w:fill="FFFFFF" w:themeFill="background1"/>
          </w:tcPr>
          <w:p w:rsidR="00D22DAC" w:rsidRDefault="00CC3CB2">
            <w:pPr>
              <w:tabs>
                <w:tab w:val="left" w:pos="567"/>
              </w:tabs>
              <w:spacing w:line="360" w:lineRule="auto"/>
              <w:ind w:right="51"/>
              <w:jc w:val="both"/>
              <w:rPr>
                <w:rFonts w:ascii="Palatino Linotype" w:hAnsi="Palatino Linotype"/>
                <w:i/>
                <w:color w:val="000000"/>
                <w:sz w:val="20"/>
                <w:szCs w:val="20"/>
                <w:lang w:val="es-ES"/>
              </w:rPr>
            </w:pPr>
            <w:r>
              <w:rPr>
                <w:rFonts w:ascii="Palatino Linotype" w:hAnsi="Palatino Linotype"/>
                <w:color w:val="000000"/>
                <w:sz w:val="20"/>
                <w:szCs w:val="20"/>
              </w:rPr>
              <w:t xml:space="preserve">El número de niños que viven al interior de los centros penitenciarios con madres reclusas </w:t>
            </w:r>
          </w:p>
        </w:tc>
        <w:tc>
          <w:tcPr>
            <w:tcW w:w="5386" w:type="dxa"/>
            <w:shd w:val="clear" w:color="auto" w:fill="FFFFFF" w:themeFill="background1"/>
          </w:tcPr>
          <w:p w:rsidR="00D22DAC" w:rsidRDefault="00CC3CB2">
            <w:pPr>
              <w:tabs>
                <w:tab w:val="left" w:pos="567"/>
              </w:tabs>
              <w:spacing w:line="360" w:lineRule="auto"/>
              <w:ind w:right="51"/>
              <w:jc w:val="both"/>
              <w:rPr>
                <w:rFonts w:ascii="Palatino Linotype" w:hAnsi="Palatino Linotype"/>
                <w:sz w:val="20"/>
                <w:szCs w:val="20"/>
              </w:rPr>
            </w:pPr>
            <w:r>
              <w:rPr>
                <w:rFonts w:ascii="Palatino Linotype" w:hAnsi="Palatino Linotype"/>
                <w:b/>
                <w:sz w:val="20"/>
                <w:szCs w:val="20"/>
              </w:rPr>
              <w:t>EL SUJETO OBLIGADO</w:t>
            </w:r>
            <w:r>
              <w:rPr>
                <w:rFonts w:ascii="Palatino Linotype" w:hAnsi="Palatino Linotype"/>
                <w:sz w:val="20"/>
                <w:szCs w:val="20"/>
              </w:rPr>
              <w:t xml:space="preserve">, mediante Informe Justificado, manifestó que no era la ejecutora de la información, lo era la Secretaría de Seguridad, a través de la  Subsecretaría de Control Penitenciario quien se encarga de ejecutar las acciones en los Centros Penitenciarios y de Reinserción Social del Estado de México, a quien corresponde la ejecución de las sanciones privativas y medidas </w:t>
            </w:r>
            <w:r>
              <w:rPr>
                <w:rFonts w:ascii="Palatino Linotype" w:hAnsi="Palatino Linotype"/>
                <w:sz w:val="20"/>
                <w:szCs w:val="20"/>
              </w:rPr>
              <w:lastRenderedPageBreak/>
              <w:t>restrictivas de libertad, así como la dirección y el control  de la administración y la seguridad de todos los Centros Penitenciaros y de Reinserción social, los cuales integran la base central del Sistema penitenciario  del Estado de México.</w:t>
            </w:r>
          </w:p>
        </w:tc>
        <w:tc>
          <w:tcPr>
            <w:tcW w:w="2029" w:type="dxa"/>
            <w:shd w:val="clear" w:color="auto" w:fill="FFFFFF" w:themeFill="background1"/>
          </w:tcPr>
          <w:p w:rsidR="00D22DAC" w:rsidRDefault="00CC3CB2">
            <w:pPr>
              <w:spacing w:beforeAutospacing="1" w:afterAutospacing="1" w:line="360" w:lineRule="auto"/>
              <w:contextualSpacing/>
              <w:jc w:val="both"/>
              <w:rPr>
                <w:rFonts w:ascii="Palatino Linotype" w:eastAsia="Calibri" w:hAnsi="Palatino Linotype" w:cs="Arial"/>
                <w:b/>
                <w:sz w:val="20"/>
                <w:szCs w:val="20"/>
              </w:rPr>
            </w:pPr>
            <w:r>
              <w:rPr>
                <w:rFonts w:ascii="Palatino Linotype" w:eastAsia="Calibri" w:hAnsi="Palatino Linotype" w:cs="Arial"/>
                <w:b/>
                <w:sz w:val="20"/>
                <w:szCs w:val="20"/>
              </w:rPr>
              <w:lastRenderedPageBreak/>
              <w:t xml:space="preserve">Parcialmente </w:t>
            </w:r>
          </w:p>
          <w:p w:rsidR="00D22DAC" w:rsidRDefault="00CC3CB2">
            <w:pPr>
              <w:spacing w:beforeAutospacing="1" w:line="360" w:lineRule="auto"/>
              <w:contextualSpacing/>
              <w:jc w:val="both"/>
              <w:rPr>
                <w:rFonts w:ascii="Palatino Linotype" w:eastAsia="Calibri" w:hAnsi="Palatino Linotype" w:cs="Arial"/>
                <w:sz w:val="20"/>
                <w:szCs w:val="20"/>
              </w:rPr>
            </w:pPr>
            <w:r>
              <w:rPr>
                <w:rFonts w:ascii="Palatino Linotype" w:eastAsia="Calibri" w:hAnsi="Palatino Linotype" w:cs="Arial"/>
                <w:sz w:val="20"/>
                <w:szCs w:val="20"/>
              </w:rPr>
              <w:t xml:space="preserve">Si bien no genera, posee o administra la información solicitada, debió remitir el Acuerdo </w:t>
            </w:r>
            <w:r>
              <w:rPr>
                <w:rFonts w:ascii="Palatino Linotype" w:eastAsia="Calibri" w:hAnsi="Palatino Linotype" w:cs="Arial"/>
                <w:sz w:val="20"/>
                <w:szCs w:val="20"/>
              </w:rPr>
              <w:lastRenderedPageBreak/>
              <w:t>de Incompetencia correspondiente.</w:t>
            </w:r>
          </w:p>
        </w:tc>
      </w:tr>
      <w:tr w:rsidR="00D22DAC">
        <w:tc>
          <w:tcPr>
            <w:tcW w:w="1696" w:type="dxa"/>
            <w:shd w:val="clear" w:color="auto" w:fill="FFFFFF" w:themeFill="background1"/>
          </w:tcPr>
          <w:p w:rsidR="00D22DAC" w:rsidRDefault="00CC3CB2">
            <w:pPr>
              <w:tabs>
                <w:tab w:val="left" w:pos="567"/>
              </w:tabs>
              <w:spacing w:line="360" w:lineRule="auto"/>
              <w:ind w:right="51"/>
              <w:jc w:val="both"/>
              <w:rPr>
                <w:rFonts w:ascii="Palatino Linotype" w:hAnsi="Palatino Linotype"/>
                <w:color w:val="000000"/>
                <w:sz w:val="20"/>
                <w:szCs w:val="20"/>
              </w:rPr>
            </w:pPr>
            <w:r>
              <w:rPr>
                <w:rFonts w:ascii="Palatino Linotype" w:hAnsi="Palatino Linotype"/>
                <w:color w:val="000000"/>
                <w:sz w:val="20"/>
                <w:szCs w:val="20"/>
              </w:rPr>
              <w:lastRenderedPageBreak/>
              <w:t>Apoyos económicos dirigidos a niños que viven al interior de centros penitenciarios</w:t>
            </w:r>
          </w:p>
        </w:tc>
        <w:tc>
          <w:tcPr>
            <w:tcW w:w="5386" w:type="dxa"/>
            <w:shd w:val="clear" w:color="auto" w:fill="FFFFFF" w:themeFill="background1"/>
          </w:tcPr>
          <w:p w:rsidR="00D22DAC" w:rsidRDefault="00CC3CB2">
            <w:pPr>
              <w:tabs>
                <w:tab w:val="left" w:pos="567"/>
              </w:tabs>
              <w:spacing w:line="360" w:lineRule="auto"/>
              <w:ind w:right="51"/>
              <w:jc w:val="both"/>
              <w:rPr>
                <w:rFonts w:ascii="Palatino Linotype" w:hAnsi="Palatino Linotype"/>
                <w:sz w:val="20"/>
                <w:szCs w:val="20"/>
              </w:rPr>
            </w:pPr>
            <w:r>
              <w:rPr>
                <w:rFonts w:ascii="Palatino Linotype" w:hAnsi="Palatino Linotype"/>
                <w:b/>
                <w:sz w:val="20"/>
                <w:szCs w:val="20"/>
              </w:rPr>
              <w:t>EL SUJETO OBLIGADO</w:t>
            </w:r>
            <w:r>
              <w:rPr>
                <w:rFonts w:ascii="Palatino Linotype" w:hAnsi="Palatino Linotype"/>
                <w:sz w:val="20"/>
                <w:szCs w:val="20"/>
              </w:rPr>
              <w:t>, mediante Informe Justificado, manifestó que no era la ejecutora de la información, lo era la Secretaría de Seguridad, a través de la Subsecretaría de Control Penitenciario.</w:t>
            </w:r>
          </w:p>
          <w:p w:rsidR="00D22DAC" w:rsidRDefault="00D22DAC">
            <w:pPr>
              <w:tabs>
                <w:tab w:val="left" w:pos="567"/>
              </w:tabs>
              <w:spacing w:line="360" w:lineRule="auto"/>
              <w:ind w:right="51"/>
              <w:jc w:val="both"/>
              <w:rPr>
                <w:rFonts w:ascii="Palatino Linotype" w:hAnsi="Palatino Linotype"/>
                <w:sz w:val="20"/>
                <w:szCs w:val="20"/>
              </w:rPr>
            </w:pPr>
          </w:p>
        </w:tc>
        <w:tc>
          <w:tcPr>
            <w:tcW w:w="2029" w:type="dxa"/>
            <w:shd w:val="clear" w:color="auto" w:fill="FFFFFF" w:themeFill="background1"/>
          </w:tcPr>
          <w:p w:rsidR="00D22DAC" w:rsidRDefault="00CC3CB2">
            <w:pPr>
              <w:spacing w:beforeAutospacing="1" w:line="360" w:lineRule="auto"/>
              <w:contextualSpacing/>
              <w:jc w:val="both"/>
              <w:rPr>
                <w:rFonts w:ascii="Palatino Linotype" w:eastAsia="Calibri" w:hAnsi="Palatino Linotype" w:cs="Arial"/>
                <w:b/>
                <w:sz w:val="20"/>
                <w:szCs w:val="20"/>
              </w:rPr>
            </w:pPr>
            <w:r>
              <w:rPr>
                <w:rFonts w:ascii="Palatino Linotype" w:eastAsia="Calibri" w:hAnsi="Palatino Linotype" w:cs="Arial"/>
                <w:b/>
                <w:sz w:val="20"/>
                <w:szCs w:val="20"/>
              </w:rPr>
              <w:t>No colmó</w:t>
            </w:r>
          </w:p>
        </w:tc>
      </w:tr>
    </w:tbl>
    <w:p w:rsidR="00D22DAC" w:rsidRDefault="00D22DAC">
      <w:pPr>
        <w:spacing w:beforeAutospacing="1" w:afterAutospacing="1" w:line="360" w:lineRule="auto"/>
        <w:contextualSpacing/>
        <w:jc w:val="both"/>
        <w:rPr>
          <w:rFonts w:ascii="Palatino Linotype" w:eastAsia="Calibri" w:hAnsi="Palatino Linotype" w:cs="Arial"/>
        </w:rPr>
      </w:pPr>
    </w:p>
    <w:p w:rsidR="00D22DAC" w:rsidRDefault="00CC3CB2">
      <w:pPr>
        <w:spacing w:beforeAutospacing="1" w:afterAutospacing="1" w:line="360" w:lineRule="auto"/>
        <w:contextualSpacing/>
        <w:jc w:val="both"/>
        <w:rPr>
          <w:rFonts w:ascii="Palatino Linotype" w:eastAsia="Calibri" w:hAnsi="Palatino Linotype" w:cs="Arial"/>
        </w:rPr>
      </w:pPr>
      <w:r>
        <w:rPr>
          <w:rFonts w:ascii="Palatino Linotype" w:eastAsia="Calibri" w:hAnsi="Palatino Linotype" w:cs="Arial"/>
        </w:rPr>
        <w:t xml:space="preserve">En ese contexto, este Instituto analizó la totalidad de las constancias que integran el expediente electrónico del </w:t>
      </w:r>
      <w:r>
        <w:rPr>
          <w:rFonts w:ascii="Palatino Linotype" w:eastAsia="Calibri" w:hAnsi="Palatino Linotype" w:cs="Arial"/>
          <w:b/>
        </w:rPr>
        <w:t xml:space="preserve">SAIMEX, </w:t>
      </w:r>
      <w:r>
        <w:rPr>
          <w:rFonts w:ascii="Palatino Linotype" w:eastAsia="Calibri" w:hAnsi="Palatino Linotype" w:cs="Arial"/>
        </w:rPr>
        <w:t xml:space="preserve">y se concluye que la controversia en el presente asunto radica en que </w:t>
      </w:r>
      <w:r>
        <w:rPr>
          <w:rFonts w:ascii="Palatino Linotype" w:eastAsia="Calibri" w:hAnsi="Palatino Linotype" w:cs="Arial"/>
          <w:b/>
        </w:rPr>
        <w:t xml:space="preserve">EL SUJETO OBLIGADO </w:t>
      </w:r>
      <w:r>
        <w:rPr>
          <w:rFonts w:ascii="Palatino Linotype" w:eastAsia="Calibri" w:hAnsi="Palatino Linotype" w:cs="Arial"/>
        </w:rPr>
        <w:t>no satisfizo en su totalidad el derecho de acceso a la información pública de la particular.</w:t>
      </w:r>
    </w:p>
    <w:p w:rsidR="00D22DAC" w:rsidRDefault="00D22DAC">
      <w:pPr>
        <w:spacing w:line="360" w:lineRule="auto"/>
        <w:jc w:val="both"/>
        <w:rPr>
          <w:rFonts w:ascii="Palatino Linotype" w:hAnsi="Palatino Linotype"/>
        </w:rPr>
      </w:pPr>
    </w:p>
    <w:p w:rsidR="00D22DAC" w:rsidRDefault="00CC3CB2">
      <w:pPr>
        <w:spacing w:line="360" w:lineRule="auto"/>
        <w:jc w:val="both"/>
        <w:rPr>
          <w:rFonts w:ascii="Palatino Linotype" w:hAnsi="Palatino Linotype"/>
        </w:rPr>
      </w:pPr>
      <w:r>
        <w:rPr>
          <w:rFonts w:ascii="Palatino Linotype" w:hAnsi="Palatino Linotype"/>
        </w:rPr>
        <w:t xml:space="preserve">Ahora bien, respecto a los apoyos económicos dirigidos a niños que viven al interior de centros penitenciarios, </w:t>
      </w:r>
      <w:r>
        <w:rPr>
          <w:rFonts w:ascii="Palatino Linotype" w:hAnsi="Palatino Linotype"/>
          <w:b/>
        </w:rPr>
        <w:t>EL SUJETO OBLIGADO</w:t>
      </w:r>
      <w:r>
        <w:rPr>
          <w:rFonts w:ascii="Palatino Linotype" w:hAnsi="Palatino Linotype"/>
        </w:rPr>
        <w:t xml:space="preserve">, manifestó mediante Informe Justificado, que no era la ejecutora de la información, y que </w:t>
      </w:r>
      <w:r>
        <w:rPr>
          <w:rFonts w:ascii="Palatino Linotype" w:hAnsi="Palatino Linotype"/>
          <w:b/>
        </w:rPr>
        <w:t>EL SUJETO OBLIGADO</w:t>
      </w:r>
      <w:r>
        <w:rPr>
          <w:rFonts w:ascii="Palatino Linotype" w:hAnsi="Palatino Linotype"/>
        </w:rPr>
        <w:t xml:space="preserve"> competente era la Secretaría de Seguridad, a través de la Subsecretaría de Control Penitenciario.</w:t>
      </w:r>
    </w:p>
    <w:p w:rsidR="00D22DAC" w:rsidRDefault="00D22DAC">
      <w:pPr>
        <w:spacing w:line="360" w:lineRule="auto"/>
        <w:jc w:val="both"/>
        <w:rPr>
          <w:rFonts w:ascii="Palatino Linotype" w:hAnsi="Palatino Linotype"/>
        </w:rPr>
      </w:pPr>
    </w:p>
    <w:p w:rsidR="00D22DAC" w:rsidRDefault="00CC3CB2">
      <w:pPr>
        <w:spacing w:line="360" w:lineRule="auto"/>
        <w:jc w:val="both"/>
        <w:rPr>
          <w:rFonts w:ascii="Palatino Linotype" w:hAnsi="Palatino Linotype"/>
        </w:rPr>
      </w:pPr>
      <w:r>
        <w:rPr>
          <w:rFonts w:ascii="Palatino Linotype" w:hAnsi="Palatino Linotype"/>
        </w:rPr>
        <w:lastRenderedPageBreak/>
        <w:t>Atento a lo anterior, es importante traer a contexto lo estipulado por la Ley de Asistencia Social del Estado de México y Municipios, que señala lo siguiente:</w:t>
      </w:r>
    </w:p>
    <w:p w:rsidR="00D22DAC" w:rsidRDefault="00D22DAC">
      <w:pPr>
        <w:spacing w:line="360" w:lineRule="auto"/>
        <w:jc w:val="both"/>
        <w:rPr>
          <w:rFonts w:ascii="Palatino Linotype" w:hAnsi="Palatino Linotype"/>
        </w:rPr>
      </w:pP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“Artículo 1.-</w:t>
      </w:r>
      <w:r>
        <w:rPr>
          <w:rFonts w:ascii="Palatino Linotype" w:hAnsi="Palatino Linotype"/>
          <w:i/>
          <w:sz w:val="22"/>
          <w:szCs w:val="22"/>
        </w:rPr>
        <w:t xml:space="preserve"> </w:t>
      </w:r>
      <w:r>
        <w:rPr>
          <w:rFonts w:ascii="Palatino Linotype" w:hAnsi="Palatino Linotype"/>
          <w:b/>
          <w:i/>
          <w:sz w:val="22"/>
          <w:szCs w:val="22"/>
          <w:u w:val="single"/>
        </w:rPr>
        <w:t xml:space="preserve">La presente Ley es de orden público e interés social y tiene como finalidad establecer las bases, objetivos y procedimientos del Sistema Estatal de Asistencia Social, que promueva los programas, acciones y prestación de los servicios de asistencia social que establecen los ordenamientos de la materia; así como coordinar el acceso a los mismos, garantizando la concurrencia de esta entidad federativa, de los municipios que la componen </w:t>
      </w:r>
      <w:r>
        <w:rPr>
          <w:rFonts w:ascii="Palatino Linotype" w:hAnsi="Palatino Linotype"/>
          <w:i/>
          <w:sz w:val="22"/>
          <w:szCs w:val="22"/>
        </w:rPr>
        <w:t xml:space="preserve">y de los sectores social y privado. </w:t>
      </w:r>
    </w:p>
    <w:p w:rsidR="00D22DAC" w:rsidRDefault="00D22DAC">
      <w:pPr>
        <w:ind w:left="851" w:right="899"/>
        <w:jc w:val="both"/>
        <w:rPr>
          <w:rFonts w:ascii="Palatino Linotype" w:hAnsi="Palatino Linotype"/>
          <w:i/>
          <w:sz w:val="22"/>
          <w:szCs w:val="22"/>
        </w:rPr>
      </w:pP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Artículo 2.-</w:t>
      </w:r>
      <w:r>
        <w:rPr>
          <w:rFonts w:ascii="Palatino Linotype" w:hAnsi="Palatino Linotype"/>
          <w:i/>
          <w:sz w:val="22"/>
          <w:szCs w:val="22"/>
        </w:rPr>
        <w:t xml:space="preserve"> </w:t>
      </w:r>
      <w:r>
        <w:rPr>
          <w:rFonts w:ascii="Palatino Linotype" w:hAnsi="Palatino Linotype"/>
          <w:b/>
          <w:i/>
          <w:sz w:val="22"/>
          <w:szCs w:val="22"/>
          <w:u w:val="single"/>
        </w:rPr>
        <w:t>El Estado y los municipios desarrollarán programas, ejecutarán acciones y proporcionarán servicios asistenciales encaminados a la protección y desarrollo integral de la familia, proveyendo a los miembros del grupo familiar, de los elementos que requieren en las diversas etapas de su desarrollo, apoyándolos en su formación y subsistencia, así como a aquellos grupos vulnerables con carencias familiares esenciales no superables en forma autónoma.</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Artículo 3.-</w:t>
      </w:r>
      <w:r>
        <w:rPr>
          <w:rFonts w:ascii="Palatino Linotype" w:hAnsi="Palatino Linotype"/>
          <w:i/>
          <w:sz w:val="22"/>
          <w:szCs w:val="22"/>
        </w:rPr>
        <w:t xml:space="preserve"> En el diseño, establecimiento e implementación de los programas, acciones y servicios a que se refiere el artículo anterior, </w:t>
      </w:r>
      <w:r>
        <w:rPr>
          <w:rFonts w:ascii="Palatino Linotype" w:hAnsi="Palatino Linotype"/>
          <w:b/>
          <w:i/>
          <w:sz w:val="22"/>
          <w:szCs w:val="22"/>
        </w:rPr>
        <w:t xml:space="preserve">se entenderá por asistencia social al conjunto de acciones tendientes a modificar y mejorar las circunstancias de carácter social que impidan al individuo su desarrollo integral, </w:t>
      </w:r>
      <w:r>
        <w:rPr>
          <w:rFonts w:ascii="Palatino Linotype" w:hAnsi="Palatino Linotype"/>
          <w:b/>
          <w:i/>
          <w:sz w:val="22"/>
          <w:szCs w:val="22"/>
          <w:u w:val="single"/>
        </w:rPr>
        <w:t>por las circunstancias de vulnerabilidad</w:t>
      </w:r>
      <w:r>
        <w:rPr>
          <w:rFonts w:ascii="Palatino Linotype" w:hAnsi="Palatino Linotype"/>
          <w:b/>
          <w:i/>
          <w:sz w:val="22"/>
          <w:szCs w:val="22"/>
        </w:rPr>
        <w:t xml:space="preserve"> en que se encuentra, así como la protección física, mental y social, </w:t>
      </w:r>
      <w:r>
        <w:rPr>
          <w:rFonts w:ascii="Palatino Linotype" w:hAnsi="Palatino Linotype"/>
          <w:b/>
          <w:i/>
          <w:sz w:val="22"/>
          <w:szCs w:val="22"/>
          <w:u w:val="single"/>
        </w:rPr>
        <w:t>en tanto logra su restablecimiento, para incorporarse a una vida plena y productiva</w:t>
      </w:r>
      <w:r>
        <w:rPr>
          <w:rFonts w:ascii="Palatino Linotype" w:hAnsi="Palatino Linotype"/>
          <w:i/>
          <w:sz w:val="22"/>
          <w:szCs w:val="22"/>
        </w:rPr>
        <w:t>.</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Artículo 5</w:t>
      </w:r>
      <w:r>
        <w:rPr>
          <w:rFonts w:ascii="Palatino Linotype" w:hAnsi="Palatino Linotype"/>
          <w:i/>
          <w:sz w:val="22"/>
          <w:szCs w:val="22"/>
        </w:rPr>
        <w:t>.- Para los efectos de esta Ley se entiende por:</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III. Beneficiario:</w:t>
      </w:r>
      <w:r>
        <w:rPr>
          <w:rFonts w:ascii="Palatino Linotype" w:hAnsi="Palatino Linotype"/>
          <w:i/>
          <w:sz w:val="22"/>
          <w:szCs w:val="22"/>
        </w:rPr>
        <w:t xml:space="preserve"> Persona que es atendida a través de los programas, acciones y servicios de asistencia social, que cumplen los requisitos de la normatividad correspondiente. </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IV. DIFEM: Al Sistema para el Desarrollo Integral de la Familia del Estado de México;</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V. Familia:</w:t>
      </w:r>
      <w:r>
        <w:rPr>
          <w:rFonts w:ascii="Palatino Linotype" w:hAnsi="Palatino Linotype"/>
          <w:i/>
          <w:sz w:val="22"/>
          <w:szCs w:val="22"/>
        </w:rPr>
        <w:t xml:space="preserve"> Al conjunto de personas organizadas en roles fijos de padre, madre, hermanos, con vínculos consanguíneos o no, orientadas hacia el desarrollo integral de sus miembros y el bien común de la sociedad;</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lastRenderedPageBreak/>
        <w:t>…</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VIII. Niña o niño:</w:t>
      </w:r>
      <w:r>
        <w:rPr>
          <w:rFonts w:ascii="Palatino Linotype" w:hAnsi="Palatino Linotype"/>
          <w:i/>
          <w:sz w:val="22"/>
          <w:szCs w:val="22"/>
        </w:rPr>
        <w:t xml:space="preserve"> A todo ser humano menor de doce años de edad;</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XI. SMDIF: A los Sistemas Municipales para el Desarrollo Integral de la Familia en el territorio del Estado de México.</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w:t>
      </w:r>
    </w:p>
    <w:p w:rsidR="00D22DAC" w:rsidRDefault="00CC3CB2">
      <w:pPr>
        <w:ind w:left="851" w:right="899"/>
        <w:jc w:val="both"/>
        <w:rPr>
          <w:rFonts w:ascii="Palatino Linotype" w:hAnsi="Palatino Linotype"/>
          <w:b/>
          <w:i/>
          <w:sz w:val="22"/>
          <w:szCs w:val="22"/>
          <w:u w:val="single"/>
        </w:rPr>
      </w:pPr>
      <w:r>
        <w:rPr>
          <w:rFonts w:ascii="Palatino Linotype" w:hAnsi="Palatino Linotype"/>
          <w:b/>
          <w:i/>
          <w:sz w:val="22"/>
          <w:szCs w:val="22"/>
          <w:u w:val="single"/>
        </w:rPr>
        <w:t>XIII. Vulnerabilidad: Situación de una persona o grupo de personas en que debido a sus condiciones de pobreza, marginación y condiciones de vida, enfrentan situaciones de riesgo o discriminación que les impiden alcanzar mejores niveles de vida.</w:t>
      </w:r>
    </w:p>
    <w:p w:rsidR="00D22DAC" w:rsidRDefault="00D22DAC">
      <w:pPr>
        <w:ind w:left="851" w:right="899"/>
        <w:jc w:val="both"/>
        <w:rPr>
          <w:rFonts w:ascii="Palatino Linotype" w:hAnsi="Palatino Linotype"/>
          <w:i/>
          <w:sz w:val="22"/>
          <w:szCs w:val="22"/>
        </w:rPr>
      </w:pP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Quedan sujetos a esta Ley y a las disposiciones jurídicas que de la misma emanen: </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 xml:space="preserve">I. El DIFEM;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 xml:space="preserve">II. Las dependencias y organismos auxiliares estatales y municipales, con funciones u objeto relacionados con la asistencia social; </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 xml:space="preserve">III. Los SMDIF;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 xml:space="preserve">IV. Las personas físicas o jurídicas colectivas que realicen actividades, acciones o presten servicios de asistencia social en el territorio del Estado; y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V. Los beneficiarios de los programas, acciones y servicios de asistencia social, que serán preferentemente, niñas, niños y adolescentes considerando su interés superior, así como los individuos y familias que por sus condiciones físicas, mentales, jurídicas o socioeconómicas, requieran de servicios especializados para su protección y el restablecimiento de las circunstancias de vulnerabilidad que le impiden su pleno desarrollo.</w:t>
      </w:r>
    </w:p>
    <w:p w:rsidR="00D22DAC" w:rsidRDefault="00D22DAC">
      <w:pPr>
        <w:ind w:left="851" w:right="899"/>
        <w:jc w:val="both"/>
        <w:rPr>
          <w:rFonts w:ascii="Palatino Linotype" w:hAnsi="Palatino Linotype"/>
          <w:i/>
          <w:sz w:val="22"/>
          <w:szCs w:val="22"/>
        </w:rPr>
      </w:pP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Artículo 7. Se consideran beneficiarios de los programas, acciones y servicios de asistencia social, de manera prioritaria:</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u w:val="single"/>
        </w:rPr>
        <w:t>I. Todas las niñas, niños y adolescentes, en especial aquellos que se encuentren en condiciones de vulnerabilidad</w:t>
      </w:r>
      <w:r>
        <w:rPr>
          <w:rFonts w:ascii="Palatino Linotype" w:hAnsi="Palatino Linotype"/>
          <w:i/>
          <w:sz w:val="22"/>
          <w:szCs w:val="22"/>
        </w:rPr>
        <w:t>, situación de riesgo o afectados por:</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a) Desnutrición;</w:t>
      </w:r>
    </w:p>
    <w:p w:rsidR="00D22DAC" w:rsidRDefault="00CC3CB2">
      <w:pPr>
        <w:ind w:left="851" w:right="899"/>
        <w:jc w:val="both"/>
        <w:rPr>
          <w:rFonts w:ascii="Palatino Linotype" w:hAnsi="Palatino Linotype"/>
          <w:b/>
          <w:i/>
          <w:sz w:val="22"/>
          <w:szCs w:val="22"/>
          <w:u w:val="single"/>
        </w:rPr>
      </w:pPr>
      <w:r>
        <w:rPr>
          <w:rFonts w:ascii="Palatino Linotype" w:hAnsi="Palatino Linotype"/>
          <w:b/>
          <w:i/>
          <w:sz w:val="22"/>
          <w:szCs w:val="22"/>
          <w:u w:val="single"/>
        </w:rPr>
        <w:t>b) Deficiencias en su desarrollo físico o mental, o cuando éste sea afectado por condiciones familiares adversas;</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c) Maltrato, abuso o violencia.</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d) Abandono, ausencia o irresponsabilidad de progenitores, de tutores, de quienes tengan la guarda y cuidado, en el cumplimiento y garantía de sus derechos.</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e) Ser víctimas de cualquier tipo de explotación;</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f) Vivir en la calle;</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g) Ser víctimas de la trata de personas, la pornografía y el comercio sexual;</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lastRenderedPageBreak/>
        <w:t>h) Trabajar en condiciones que afecten su desarrollo e integridad física y mental;</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i) Infractores y víctimas del delito;</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j) Ser hijas o hijos de padres que padezcan enfermedades terminales o en condiciones de pobreza;</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k) Ser migrantes y repatriados en situación de riesgo o vulnerabilidad.</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I) Ser víctimas de conflictos armados, de persecución o de discriminación.</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m) Ser padres adolescentes”</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(Énfasis añadido)</w:t>
      </w:r>
    </w:p>
    <w:p w:rsidR="00D22DAC" w:rsidRDefault="00D22DAC">
      <w:pPr>
        <w:ind w:left="851" w:right="899"/>
        <w:jc w:val="both"/>
        <w:rPr>
          <w:rFonts w:ascii="Palatino Linotype" w:hAnsi="Palatino Linotype"/>
          <w:i/>
          <w:sz w:val="22"/>
          <w:szCs w:val="22"/>
        </w:rPr>
      </w:pPr>
    </w:p>
    <w:p w:rsidR="00D22DAC" w:rsidRDefault="00CC3CB2">
      <w:pPr>
        <w:spacing w:line="360" w:lineRule="auto"/>
        <w:jc w:val="both"/>
        <w:rPr>
          <w:rFonts w:ascii="Palatino Linotype" w:hAnsi="Palatino Linotype"/>
          <w:sz w:val="22"/>
          <w:szCs w:val="22"/>
        </w:rPr>
      </w:pPr>
      <w:r>
        <w:rPr>
          <w:rFonts w:ascii="Palatino Linotype" w:hAnsi="Palatino Linotype"/>
          <w:sz w:val="22"/>
          <w:szCs w:val="22"/>
        </w:rPr>
        <w:t xml:space="preserve">De la normatividad expuesta con anterioridad, se advierte que los programas de apoyo y de asistencia social que están dirigidos a los niños y niñas, deben ser programados e implementados por el </w:t>
      </w:r>
      <w:r>
        <w:rPr>
          <w:rFonts w:ascii="Palatino Linotype" w:hAnsi="Palatino Linotype"/>
          <w:b/>
          <w:sz w:val="22"/>
          <w:szCs w:val="22"/>
        </w:rPr>
        <w:t xml:space="preserve">DIFEM </w:t>
      </w:r>
      <w:r>
        <w:rPr>
          <w:rFonts w:ascii="Palatino Linotype" w:hAnsi="Palatino Linotype"/>
          <w:sz w:val="22"/>
          <w:szCs w:val="22"/>
        </w:rPr>
        <w:t>y los</w:t>
      </w:r>
      <w:r>
        <w:rPr>
          <w:rFonts w:ascii="Palatino Linotype" w:hAnsi="Palatino Linotype"/>
          <w:b/>
          <w:sz w:val="22"/>
          <w:szCs w:val="22"/>
        </w:rPr>
        <w:t xml:space="preserve"> SMDIF,</w:t>
      </w:r>
      <w:r>
        <w:rPr>
          <w:rFonts w:ascii="Palatino Linotype" w:hAnsi="Palatino Linotype"/>
          <w:b/>
          <w:i/>
          <w:sz w:val="22"/>
          <w:szCs w:val="22"/>
        </w:rPr>
        <w:t xml:space="preserve"> </w:t>
      </w:r>
      <w:r>
        <w:rPr>
          <w:rFonts w:ascii="Palatino Linotype" w:hAnsi="Palatino Linotype"/>
          <w:sz w:val="22"/>
          <w:szCs w:val="22"/>
        </w:rPr>
        <w:t xml:space="preserve">entre los cuales se encuentra </w:t>
      </w:r>
      <w:r>
        <w:rPr>
          <w:rFonts w:ascii="Palatino Linotype" w:hAnsi="Palatino Linotype"/>
          <w:b/>
          <w:sz w:val="22"/>
          <w:szCs w:val="22"/>
        </w:rPr>
        <w:t xml:space="preserve">EL SUJETO OBLIGADO, </w:t>
      </w:r>
      <w:r>
        <w:rPr>
          <w:rFonts w:ascii="Palatino Linotype" w:hAnsi="Palatino Linotype"/>
          <w:sz w:val="22"/>
          <w:szCs w:val="22"/>
        </w:rPr>
        <w:t xml:space="preserve">y los mismos deben atender a la situación de vulnerabilidad y situaciones de riesgos de los menores, definiendo la vulnerabilidad como el estado de una persona o grupo de personas en que debido a sus condiciones de pobreza, marginación y condiciones de vida, enfrentan situaciones de riesgo o discriminación que les impiden alcanzar mejores niveles de vida, por lo que, es claro que los niños y niñas que se encuentran viviendo en centros penitenciaros con sus madres, se encuentran en estado de vulnerabilidad; en consecuencia, el Estado a través del </w:t>
      </w:r>
      <w:r>
        <w:rPr>
          <w:rFonts w:ascii="Palatino Linotype" w:hAnsi="Palatino Linotype"/>
          <w:b/>
          <w:sz w:val="22"/>
          <w:szCs w:val="22"/>
        </w:rPr>
        <w:t>DIFEM</w:t>
      </w:r>
      <w:r>
        <w:rPr>
          <w:rFonts w:ascii="Palatino Linotype" w:hAnsi="Palatino Linotype"/>
          <w:sz w:val="22"/>
          <w:szCs w:val="22"/>
        </w:rPr>
        <w:t xml:space="preserve"> y los Municipios a través de los </w:t>
      </w:r>
      <w:r>
        <w:rPr>
          <w:rFonts w:ascii="Palatino Linotype" w:hAnsi="Palatino Linotype"/>
          <w:b/>
          <w:sz w:val="22"/>
          <w:szCs w:val="22"/>
        </w:rPr>
        <w:t xml:space="preserve">SMDIF, </w:t>
      </w:r>
      <w:r>
        <w:rPr>
          <w:rFonts w:ascii="Palatino Linotype" w:hAnsi="Palatino Linotype"/>
          <w:sz w:val="22"/>
          <w:szCs w:val="22"/>
        </w:rPr>
        <w:t>deben velar por el interés superior del menor y buscar mediante los programas de apoyo y de asistencia social una mejor calidad de vida para ellos.</w:t>
      </w:r>
    </w:p>
    <w:p w:rsidR="00D22DAC" w:rsidRDefault="00D22DAC">
      <w:pPr>
        <w:spacing w:line="360" w:lineRule="auto"/>
        <w:jc w:val="both"/>
        <w:rPr>
          <w:rFonts w:ascii="Palatino Linotype" w:hAnsi="Palatino Linotype"/>
          <w:sz w:val="22"/>
          <w:szCs w:val="22"/>
        </w:rPr>
      </w:pPr>
    </w:p>
    <w:p w:rsidR="00D22DAC" w:rsidRDefault="00CC3CB2">
      <w:pPr>
        <w:spacing w:line="360" w:lineRule="auto"/>
        <w:jc w:val="both"/>
        <w:rPr>
          <w:rFonts w:ascii="Palatino Linotype" w:hAnsi="Palatino Linotype"/>
          <w:b/>
          <w:bCs/>
          <w:i/>
          <w:sz w:val="22"/>
          <w:szCs w:val="22"/>
        </w:rPr>
      </w:pPr>
      <w:r>
        <w:rPr>
          <w:rFonts w:ascii="Palatino Linotype" w:hAnsi="Palatino Linotype"/>
          <w:sz w:val="22"/>
          <w:szCs w:val="22"/>
        </w:rPr>
        <w:t xml:space="preserve">En este mismo orden de ideas y conforme al Manual de Procedimientos del </w:t>
      </w:r>
      <w:r>
        <w:rPr>
          <w:rFonts w:ascii="Palatino Linotype" w:hAnsi="Palatino Linotype"/>
          <w:bCs/>
          <w:sz w:val="22"/>
          <w:szCs w:val="22"/>
        </w:rPr>
        <w:t>Sistema Municipal para el Desarrollo Integral de la Familia de San Mateo Atenco</w:t>
      </w:r>
      <w:r>
        <w:rPr>
          <w:rStyle w:val="Ancladenotaalpie"/>
          <w:rFonts w:ascii="Palatino Linotype" w:hAnsi="Palatino Linotype"/>
          <w:bCs/>
          <w:sz w:val="22"/>
          <w:szCs w:val="22"/>
        </w:rPr>
        <w:footnoteReference w:id="1"/>
      </w:r>
      <w:r>
        <w:rPr>
          <w:rFonts w:ascii="Palatino Linotype" w:hAnsi="Palatino Linotype"/>
          <w:b/>
          <w:bCs/>
          <w:sz w:val="22"/>
          <w:szCs w:val="22"/>
        </w:rPr>
        <w:t xml:space="preserve">, EL SUJETO OBLIGADO </w:t>
      </w:r>
      <w:r>
        <w:rPr>
          <w:rFonts w:ascii="Palatino Linotype" w:hAnsi="Palatino Linotype"/>
          <w:bCs/>
          <w:sz w:val="22"/>
          <w:szCs w:val="22"/>
        </w:rPr>
        <w:t xml:space="preserve">tiene como objetivo, </w:t>
      </w:r>
      <w:r>
        <w:rPr>
          <w:rFonts w:ascii="Palatino Linotype" w:hAnsi="Palatino Linotype"/>
          <w:b/>
          <w:bCs/>
          <w:i/>
          <w:sz w:val="22"/>
          <w:szCs w:val="22"/>
          <w:u w:val="single"/>
        </w:rPr>
        <w:t xml:space="preserve">promover el desarrollo familiar mediante la aplicación adecuada y oportuna de programas y servicios encaminados a incrementar la calidad de vida y bienestar de las </w:t>
      </w:r>
      <w:r>
        <w:rPr>
          <w:rFonts w:ascii="Palatino Linotype" w:hAnsi="Palatino Linotype"/>
          <w:b/>
          <w:bCs/>
          <w:i/>
          <w:sz w:val="22"/>
          <w:szCs w:val="22"/>
          <w:u w:val="single"/>
        </w:rPr>
        <w:lastRenderedPageBreak/>
        <w:t>niñas, niños,</w:t>
      </w:r>
      <w:r>
        <w:rPr>
          <w:rFonts w:ascii="Palatino Linotype" w:hAnsi="Palatino Linotype"/>
          <w:b/>
          <w:bCs/>
          <w:i/>
          <w:sz w:val="22"/>
          <w:szCs w:val="22"/>
        </w:rPr>
        <w:t xml:space="preserve"> mujeres, hombres, adultos mayores, personas con capacidades diferentes y comunidades más vulnerables, conforme al marco de las normas Nacional y Estatal.</w:t>
      </w:r>
    </w:p>
    <w:p w:rsidR="00D22DAC" w:rsidRDefault="00D22DAC">
      <w:pPr>
        <w:spacing w:line="360" w:lineRule="auto"/>
        <w:jc w:val="both"/>
        <w:rPr>
          <w:rFonts w:ascii="Palatino Linotype" w:hAnsi="Palatino Linotype"/>
          <w:bCs/>
        </w:rPr>
      </w:pPr>
    </w:p>
    <w:p w:rsidR="00D22DAC" w:rsidRDefault="00CC3CB2">
      <w:pPr>
        <w:spacing w:line="360" w:lineRule="auto"/>
        <w:jc w:val="both"/>
        <w:rPr>
          <w:rFonts w:ascii="Palatino Linotype" w:hAnsi="Palatino Linotype"/>
        </w:rPr>
      </w:pPr>
      <w:r>
        <w:rPr>
          <w:rFonts w:ascii="Palatino Linotype" w:hAnsi="Palatino Linotype"/>
          <w:bCs/>
        </w:rPr>
        <w:t>Para el cumplimiento de su objetivo y para la implementación de los programas sociales,</w:t>
      </w:r>
      <w:r>
        <w:rPr>
          <w:rFonts w:ascii="Palatino Linotype" w:hAnsi="Palatino Linotype"/>
          <w:b/>
          <w:bCs/>
        </w:rPr>
        <w:t xml:space="preserve"> EL</w:t>
      </w:r>
      <w:r>
        <w:rPr>
          <w:rFonts w:ascii="Palatino Linotype" w:hAnsi="Palatino Linotype"/>
          <w:bCs/>
        </w:rPr>
        <w:t xml:space="preserve"> </w:t>
      </w:r>
      <w:r>
        <w:rPr>
          <w:rFonts w:ascii="Palatino Linotype" w:hAnsi="Palatino Linotype"/>
          <w:b/>
          <w:bCs/>
        </w:rPr>
        <w:t>SUJETO OBLIGADO</w:t>
      </w:r>
      <w:r>
        <w:rPr>
          <w:rFonts w:ascii="Palatino Linotype" w:hAnsi="Palatino Linotype"/>
          <w:bCs/>
        </w:rPr>
        <w:t xml:space="preserve"> se auxiliara de las siguientes unidades administrativas:</w:t>
      </w:r>
    </w:p>
    <w:p w:rsidR="00D22DAC" w:rsidRDefault="00CC3CB2">
      <w:pPr>
        <w:spacing w:beforeAutospacing="1" w:afterAutospacing="1" w:line="360" w:lineRule="auto"/>
        <w:jc w:val="both"/>
        <w:rPr>
          <w:rFonts w:ascii="Palatino Linotype" w:hAnsi="Palatino Linotype"/>
        </w:rPr>
      </w:pPr>
      <w:r>
        <w:rPr>
          <w:noProof/>
          <w:lang w:eastAsia="es-MX"/>
        </w:rPr>
        <w:drawing>
          <wp:inline distT="0" distB="0" distL="0" distR="0">
            <wp:extent cx="5772150" cy="2095500"/>
            <wp:effectExtent l="0" t="0" r="0" b="0"/>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5"/>
                    <pic:cNvPicPr>
                      <a:picLocks noChangeAspect="1" noChangeArrowheads="1"/>
                    </pic:cNvPicPr>
                  </pic:nvPicPr>
                  <pic:blipFill>
                    <a:blip r:embed="rId12"/>
                    <a:srcRect l="12664" t="19065" r="13993" b="31206"/>
                    <a:stretch>
                      <a:fillRect/>
                    </a:stretch>
                  </pic:blipFill>
                  <pic:spPr bwMode="auto">
                    <a:xfrm>
                      <a:off x="0" y="0"/>
                      <a:ext cx="5772150" cy="2095500"/>
                    </a:xfrm>
                    <a:prstGeom prst="rect">
                      <a:avLst/>
                    </a:prstGeom>
                  </pic:spPr>
                </pic:pic>
              </a:graphicData>
            </a:graphic>
          </wp:inline>
        </w:drawing>
      </w:r>
      <w:r>
        <w:rPr>
          <w:noProof/>
          <w:lang w:eastAsia="es-MX"/>
        </w:rPr>
        <mc:AlternateContent>
          <mc:Choice Requires="wps">
            <w:drawing>
              <wp:anchor distT="0" distB="0" distL="0" distR="0" simplePos="0" relativeHeight="96" behindDoc="0" locked="0" layoutInCell="1" allowOverlap="1" wp14:anchorId="1C4232A6">
                <wp:simplePos x="0" y="0"/>
                <wp:positionH relativeFrom="margin">
                  <wp:align>left</wp:align>
                </wp:positionH>
                <wp:positionV relativeFrom="paragraph">
                  <wp:posOffset>2092960</wp:posOffset>
                </wp:positionV>
                <wp:extent cx="5639435" cy="29210"/>
                <wp:effectExtent l="19050" t="19050" r="19050" b="28575"/>
                <wp:wrapNone/>
                <wp:docPr id="6" name="Conector recto 22"/>
                <wp:cNvGraphicFramePr/>
                <a:graphic xmlns:a="http://schemas.openxmlformats.org/drawingml/2006/main">
                  <a:graphicData uri="http://schemas.microsoft.com/office/word/2010/wordprocessingShape">
                    <wps:wsp>
                      <wps:cNvCnPr/>
                      <wps:spPr>
                        <a:xfrm flipV="1">
                          <a:off x="0" y="0"/>
                          <a:ext cx="5638680" cy="28440"/>
                        </a:xfrm>
                        <a:prstGeom prst="line">
                          <a:avLst/>
                        </a:prstGeom>
                        <a:ln w="28440">
                          <a:solidFill>
                            <a:srgbClr val="5B9BD5"/>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63.7pt" to="443.95pt,165.9pt" ID="Conector recto 22" stroked="t" style="position:absolute;flip:y;mso-position-horizontal:left;mso-position-horizontal-relative:margin" wp14:anchorId="1C4232A6">
                <v:stroke color="#5b9bd5" weight="28440" joinstyle="miter" endcap="flat"/>
                <v:fill o:detectmouseclick="t" on="false"/>
              </v:line>
            </w:pict>
          </mc:Fallback>
        </mc:AlternateContent>
      </w:r>
    </w:p>
    <w:p w:rsidR="00D22DAC" w:rsidRDefault="00CC3CB2">
      <w:pPr>
        <w:spacing w:beforeAutospacing="1" w:afterAutospacing="1" w:line="360" w:lineRule="auto"/>
        <w:jc w:val="both"/>
        <w:rPr>
          <w:lang w:eastAsia="es-MX"/>
        </w:rPr>
      </w:pPr>
      <w:r>
        <w:rPr>
          <w:noProof/>
          <w:lang w:eastAsia="es-MX"/>
        </w:rPr>
        <mc:AlternateContent>
          <mc:Choice Requires="wps">
            <w:drawing>
              <wp:anchor distT="0" distB="0" distL="0" distR="0" simplePos="0" relativeHeight="94" behindDoc="0" locked="0" layoutInCell="1" allowOverlap="1" wp14:anchorId="4EAB358C">
                <wp:simplePos x="0" y="0"/>
                <wp:positionH relativeFrom="column">
                  <wp:posOffset>15240</wp:posOffset>
                </wp:positionH>
                <wp:positionV relativeFrom="paragraph">
                  <wp:posOffset>1354455</wp:posOffset>
                </wp:positionV>
                <wp:extent cx="5639435" cy="29210"/>
                <wp:effectExtent l="19050" t="19050" r="19050" b="28575"/>
                <wp:wrapNone/>
                <wp:docPr id="8" name="Conector recto 20"/>
                <wp:cNvGraphicFramePr/>
                <a:graphic xmlns:a="http://schemas.openxmlformats.org/drawingml/2006/main">
                  <a:graphicData uri="http://schemas.microsoft.com/office/word/2010/wordprocessingShape">
                    <wps:wsp>
                      <wps:cNvCnPr/>
                      <wps:spPr>
                        <a:xfrm flipV="1">
                          <a:off x="0" y="0"/>
                          <a:ext cx="5638680" cy="28440"/>
                        </a:xfrm>
                        <a:prstGeom prst="line">
                          <a:avLst/>
                        </a:prstGeom>
                        <a:ln w="28440"/>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2pt,105.55pt" to="445.15pt,107.75pt" ID="Conector recto 20" stroked="t" style="position:absolute;flip:y" wp14:anchorId="4EAB358C">
                <v:stroke color="#5b9bd5" weight="28440" joinstyle="miter" endcap="flat"/>
                <v:fill o:detectmouseclick="t" on="false"/>
              </v:line>
            </w:pict>
          </mc:Fallback>
        </mc:AlternateContent>
      </w:r>
      <w:r>
        <w:rPr>
          <w:noProof/>
          <w:lang w:eastAsia="es-MX"/>
        </w:rPr>
        <mc:AlternateContent>
          <mc:Choice Requires="wps">
            <w:drawing>
              <wp:anchor distT="0" distB="0" distL="0" distR="0" simplePos="0" relativeHeight="95" behindDoc="0" locked="0" layoutInCell="1" allowOverlap="1" wp14:anchorId="2140FCAD">
                <wp:simplePos x="0" y="0"/>
                <wp:positionH relativeFrom="margin">
                  <wp:align>center</wp:align>
                </wp:positionH>
                <wp:positionV relativeFrom="paragraph">
                  <wp:posOffset>2078355</wp:posOffset>
                </wp:positionV>
                <wp:extent cx="5639435" cy="29210"/>
                <wp:effectExtent l="19050" t="19050" r="19050" b="28575"/>
                <wp:wrapNone/>
                <wp:docPr id="9" name="Conector recto 21"/>
                <wp:cNvGraphicFramePr/>
                <a:graphic xmlns:a="http://schemas.openxmlformats.org/drawingml/2006/main">
                  <a:graphicData uri="http://schemas.microsoft.com/office/word/2010/wordprocessingShape">
                    <wps:wsp>
                      <wps:cNvCnPr/>
                      <wps:spPr>
                        <a:xfrm flipV="1">
                          <a:off x="0" y="0"/>
                          <a:ext cx="5638680" cy="28440"/>
                        </a:xfrm>
                        <a:prstGeom prst="line">
                          <a:avLst/>
                        </a:prstGeom>
                        <a:ln w="28440">
                          <a:solidFill>
                            <a:srgbClr val="5B9BD5"/>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6pt,162.55pt" to="449.95pt,164.75pt" ID="Conector recto 21" stroked="t" style="position:absolute;flip:y;mso-position-horizontal:center;mso-position-horizontal-relative:margin" wp14:anchorId="2140FCAD">
                <v:stroke color="#5b9bd5" weight="28440" joinstyle="miter" endcap="flat"/>
                <v:fill o:detectmouseclick="t" on="false"/>
              </v:line>
            </w:pict>
          </mc:Fallback>
        </mc:AlternateContent>
      </w:r>
      <w:r>
        <w:rPr>
          <w:lang w:eastAsia="es-MX"/>
        </w:rPr>
        <w:t xml:space="preserve"> </w:t>
      </w:r>
      <w:r>
        <w:rPr>
          <w:noProof/>
          <w:lang w:eastAsia="es-MX"/>
        </w:rPr>
        <w:drawing>
          <wp:inline distT="0" distB="0" distL="0" distR="0">
            <wp:extent cx="5667375" cy="2647950"/>
            <wp:effectExtent l="0" t="0" r="0" b="0"/>
            <wp:docPr id="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6"/>
                    <pic:cNvPicPr>
                      <a:picLocks noChangeAspect="1" noChangeArrowheads="1"/>
                    </pic:cNvPicPr>
                  </pic:nvPicPr>
                  <pic:blipFill>
                    <a:blip r:embed="rId13"/>
                    <a:srcRect l="16281" t="21048" r="13498" b="39272"/>
                    <a:stretch>
                      <a:fillRect/>
                    </a:stretch>
                  </pic:blipFill>
                  <pic:spPr bwMode="auto">
                    <a:xfrm>
                      <a:off x="0" y="0"/>
                      <a:ext cx="5667375" cy="2647950"/>
                    </a:xfrm>
                    <a:prstGeom prst="rect">
                      <a:avLst/>
                    </a:prstGeom>
                  </pic:spPr>
                </pic:pic>
              </a:graphicData>
            </a:graphic>
          </wp:inline>
        </w:drawing>
      </w:r>
    </w:p>
    <w:p w:rsidR="00D22DAC" w:rsidRDefault="00CC3CB2">
      <w:pPr>
        <w:spacing w:beforeAutospacing="1" w:afterAutospacing="1" w:line="360" w:lineRule="auto"/>
        <w:jc w:val="both"/>
        <w:rPr>
          <w:rFonts w:ascii="Palatino Linotype" w:hAnsi="Palatino Linotype"/>
        </w:rPr>
      </w:pPr>
      <w:r>
        <w:rPr>
          <w:noProof/>
          <w:lang w:eastAsia="es-MX"/>
        </w:rPr>
        <w:lastRenderedPageBreak/>
        <w:drawing>
          <wp:inline distT="0" distB="0" distL="0" distR="0">
            <wp:extent cx="5753100" cy="2581275"/>
            <wp:effectExtent l="0" t="0" r="0" b="0"/>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9"/>
                    <pic:cNvPicPr>
                      <a:picLocks noChangeAspect="1" noChangeArrowheads="1"/>
                    </pic:cNvPicPr>
                  </pic:nvPicPr>
                  <pic:blipFill>
                    <a:blip r:embed="rId14"/>
                    <a:srcRect l="15956" t="13376" r="13498" b="46068"/>
                    <a:stretch>
                      <a:fillRect/>
                    </a:stretch>
                  </pic:blipFill>
                  <pic:spPr bwMode="auto">
                    <a:xfrm>
                      <a:off x="0" y="0"/>
                      <a:ext cx="5753100" cy="2581275"/>
                    </a:xfrm>
                    <a:prstGeom prst="rect">
                      <a:avLst/>
                    </a:prstGeom>
                  </pic:spPr>
                </pic:pic>
              </a:graphicData>
            </a:graphic>
          </wp:inline>
        </w:drawing>
      </w:r>
      <w:r>
        <w:rPr>
          <w:noProof/>
          <w:lang w:eastAsia="es-MX"/>
        </w:rPr>
        <mc:AlternateContent>
          <mc:Choice Requires="wps">
            <w:drawing>
              <wp:anchor distT="0" distB="0" distL="0" distR="0" simplePos="0" relativeHeight="97" behindDoc="0" locked="0" layoutInCell="1" allowOverlap="1" wp14:anchorId="127EA85F">
                <wp:simplePos x="0" y="0"/>
                <wp:positionH relativeFrom="page">
                  <wp:align>center</wp:align>
                </wp:positionH>
                <wp:positionV relativeFrom="paragraph">
                  <wp:posOffset>655955</wp:posOffset>
                </wp:positionV>
                <wp:extent cx="5639435" cy="29210"/>
                <wp:effectExtent l="19050" t="19050" r="19050" b="28575"/>
                <wp:wrapNone/>
                <wp:docPr id="11" name="Conector recto 23"/>
                <wp:cNvGraphicFramePr/>
                <a:graphic xmlns:a="http://schemas.openxmlformats.org/drawingml/2006/main">
                  <a:graphicData uri="http://schemas.microsoft.com/office/word/2010/wordprocessingShape">
                    <wps:wsp>
                      <wps:cNvCnPr/>
                      <wps:spPr>
                        <a:xfrm flipV="1">
                          <a:off x="0" y="0"/>
                          <a:ext cx="5638680" cy="28440"/>
                        </a:xfrm>
                        <a:prstGeom prst="line">
                          <a:avLst/>
                        </a:prstGeom>
                        <a:ln w="28440">
                          <a:solidFill>
                            <a:srgbClr val="5B9BD5"/>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84pt,50.55pt" to="527.95pt,52.75pt" ID="Conector recto 23" stroked="t" style="position:absolute;flip:y;mso-position-horizontal:center;mso-position-horizontal-relative:page" wp14:anchorId="127EA85F">
                <v:stroke color="#5b9bd5" weight="28440" joinstyle="miter" endcap="flat"/>
                <v:fill o:detectmouseclick="t" on="false"/>
              </v:line>
            </w:pict>
          </mc:Fallback>
        </mc:AlternateContent>
      </w:r>
      <w:r>
        <w:rPr>
          <w:noProof/>
          <w:lang w:eastAsia="es-MX"/>
        </w:rPr>
        <mc:AlternateContent>
          <mc:Choice Requires="wps">
            <w:drawing>
              <wp:anchor distT="0" distB="0" distL="0" distR="0" simplePos="0" relativeHeight="98" behindDoc="0" locked="0" layoutInCell="1" allowOverlap="1" wp14:anchorId="7AEEABDA">
                <wp:simplePos x="0" y="0"/>
                <wp:positionH relativeFrom="margin">
                  <wp:align>center</wp:align>
                </wp:positionH>
                <wp:positionV relativeFrom="paragraph">
                  <wp:posOffset>2341880</wp:posOffset>
                </wp:positionV>
                <wp:extent cx="5639435" cy="29210"/>
                <wp:effectExtent l="19050" t="19050" r="19050" b="28575"/>
                <wp:wrapNone/>
                <wp:docPr id="12" name="Conector recto 24"/>
                <wp:cNvGraphicFramePr/>
                <a:graphic xmlns:a="http://schemas.openxmlformats.org/drawingml/2006/main">
                  <a:graphicData uri="http://schemas.microsoft.com/office/word/2010/wordprocessingShape">
                    <wps:wsp>
                      <wps:cNvCnPr/>
                      <wps:spPr>
                        <a:xfrm flipV="1">
                          <a:off x="0" y="0"/>
                          <a:ext cx="5638680" cy="28440"/>
                        </a:xfrm>
                        <a:prstGeom prst="line">
                          <a:avLst/>
                        </a:prstGeom>
                        <a:ln w="28440">
                          <a:solidFill>
                            <a:srgbClr val="5B9BD5"/>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shape_0" from="6pt,183.3pt" to="449.95pt,185.5pt" ID="Conector recto 24" stroked="t" style="position:absolute;flip:y;mso-position-horizontal:center;mso-position-horizontal-relative:margin" wp14:anchorId="7AEEABDA">
                <v:stroke color="#5b9bd5" weight="28440" joinstyle="miter" endcap="flat"/>
                <v:fill o:detectmouseclick="t" on="false"/>
              </v:line>
            </w:pict>
          </mc:Fallback>
        </mc:AlternateContent>
      </w:r>
    </w:p>
    <w:p w:rsidR="00D22DAC" w:rsidRDefault="00CC3CB2">
      <w:pPr>
        <w:spacing w:beforeAutospacing="1" w:afterAutospacing="1" w:line="360" w:lineRule="auto"/>
        <w:jc w:val="both"/>
        <w:rPr>
          <w:rFonts w:ascii="Palatino Linotype" w:hAnsi="Palatino Linotype"/>
        </w:rPr>
      </w:pPr>
      <w:r>
        <w:rPr>
          <w:rFonts w:ascii="Palatino Linotype" w:hAnsi="Palatino Linotype"/>
        </w:rPr>
        <w:t xml:space="preserve">De lo anterior, se advierte que </w:t>
      </w:r>
      <w:r>
        <w:rPr>
          <w:rFonts w:ascii="Palatino Linotype" w:hAnsi="Palatino Linotype"/>
          <w:b/>
        </w:rPr>
        <w:t>EL SUJETO OBLIGADO</w:t>
      </w:r>
      <w:r>
        <w:rPr>
          <w:rFonts w:ascii="Palatino Linotype" w:hAnsi="Palatino Linotype"/>
        </w:rPr>
        <w:t>, tiene entre sus atribuciones brindar asistencia social a los grupos vulnerables dentro de los cuales se encuentran los niños y niñas, así como promover y coordinar el funcionamiento y la operatividad de los programas sociales a su cargo, contando con la infraestructura administrativa para ejecutarlos.</w:t>
      </w:r>
    </w:p>
    <w:p w:rsidR="00D22DAC" w:rsidRDefault="00CC3CB2">
      <w:pPr>
        <w:spacing w:beforeAutospacing="1" w:afterAutospacing="1" w:line="360" w:lineRule="auto"/>
        <w:jc w:val="both"/>
        <w:rPr>
          <w:rFonts w:ascii="Palatino Linotype" w:hAnsi="Palatino Linotype"/>
        </w:rPr>
      </w:pPr>
      <w:r>
        <w:rPr>
          <w:rFonts w:ascii="Palatino Linotype" w:hAnsi="Palatino Linotype"/>
        </w:rPr>
        <w:t xml:space="preserve">Cabe mencionar que tanto la Ley de Asistencia Social del Estado de México y Municipios, como la normatividad que rige al </w:t>
      </w:r>
      <w:r>
        <w:rPr>
          <w:rFonts w:ascii="Palatino Linotype" w:hAnsi="Palatino Linotype"/>
          <w:b/>
        </w:rPr>
        <w:t>SUJETO OBLIGADO</w:t>
      </w:r>
      <w:r>
        <w:rPr>
          <w:rFonts w:ascii="Palatino Linotype" w:hAnsi="Palatino Linotype"/>
        </w:rPr>
        <w:t xml:space="preserve">, no exime de la implementación y operatividad de los programas sociales a niños y niñas que viven en los centros penitenciaros y generaliza el apoyo a aquellos que se encuentren en situación de vulnerabilidad y estado de riesgo, lo que en efecto se cumple, por ello, es claro que de haber menores viviendo en los centros penitenciarios con sus madres, pertenecientes al Municipio de San Mateo Atenco, los mismos tienen derecho a acceder a todos los programas sociales que se implementan para niños y niñas en el Municipio, por lo que, de ser el caso, deberá de hacer entrega de los apoyos económicos dirigidos </w:t>
      </w:r>
      <w:r>
        <w:rPr>
          <w:rFonts w:ascii="Palatino Linotype" w:hAnsi="Palatino Linotype"/>
        </w:rPr>
        <w:lastRenderedPageBreak/>
        <w:t>a niños y niñas que viven al interior de centros penitenciarios, con la salvedad de que para el caso, de que no se estén otorgando apoyos a menores en dicha situación, bastara con hacerlo del conocimiento a la particular.</w:t>
      </w:r>
    </w:p>
    <w:p w:rsidR="00D22DAC" w:rsidRDefault="00CC3CB2">
      <w:pPr>
        <w:widowControl w:val="0"/>
        <w:spacing w:line="360" w:lineRule="auto"/>
        <w:contextualSpacing/>
        <w:jc w:val="both"/>
        <w:rPr>
          <w:rFonts w:ascii="Palatino Linotype" w:hAnsi="Palatino Linotype" w:cs="Arial"/>
        </w:rPr>
      </w:pPr>
      <w:r>
        <w:rPr>
          <w:rFonts w:ascii="Palatino Linotype" w:hAnsi="Palatino Linotype" w:cs="Arial"/>
        </w:rPr>
        <w:t xml:space="preserve">Bajo este contexto, y para el caso de que dicha información contenga datos personales, susceptibles de ser considerados confidenciales, deberá hacer entrega de la misma, en </w:t>
      </w:r>
      <w:r>
        <w:rPr>
          <w:rFonts w:ascii="Palatino Linotype" w:hAnsi="Palatino Linotype" w:cs="Arial"/>
          <w:b/>
        </w:rPr>
        <w:t>versión publica</w:t>
      </w:r>
      <w:r>
        <w:rPr>
          <w:rFonts w:ascii="Palatino Linotype" w:hAnsi="Palatino Linotype" w:cs="Arial"/>
        </w:rPr>
        <w:t>, acompañado por el Acuerdo de Clasificación respectivo, teniendo en claro la protección de la información privada y datos personales de los titulares, adoptando las medidas de seguridad administrativas, físicas y técnicas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D22DAC" w:rsidRDefault="00CC3CB2">
      <w:pPr>
        <w:spacing w:beforeAutospacing="1" w:afterAutospacing="1" w:line="360" w:lineRule="auto"/>
        <w:ind w:right="51"/>
        <w:jc w:val="both"/>
        <w:rPr>
          <w:rFonts w:ascii="Palatino Linotype" w:hAnsi="Palatino Linotype" w:cs="Arial"/>
        </w:rPr>
      </w:pPr>
      <w:r>
        <w:rPr>
          <w:rFonts w:ascii="Palatino Linotype" w:hAnsi="Palatino Linotype" w:cs="Arial"/>
          <w:color w:val="000000"/>
        </w:rPr>
        <w:t xml:space="preserve">En ese sentido, es de precisar que </w:t>
      </w:r>
      <w:r>
        <w:rPr>
          <w:rFonts w:ascii="Palatino Linotype" w:eastAsia="Calibri" w:hAnsi="Palatino Linotype" w:cs="Bookman Old Style,Bold"/>
          <w:bCs/>
          <w:color w:val="0D0D0D"/>
          <w:lang w:eastAsia="en-US"/>
        </w:rPr>
        <w:t xml:space="preserve">la clasificación de la información no se da por el simple mandato de la Ley,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cuando clasifique algún documento o información, ya sea todo o en parte, debe atender lo dispuesto por </w:t>
      </w:r>
      <w:r>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Pr>
          <w:rFonts w:ascii="Palatino Linotype" w:hAnsi="Palatino Linotype" w:cs="Arial"/>
          <w:b/>
        </w:rPr>
        <w:t>SUJETO OBLIGADO</w:t>
      </w:r>
      <w:r>
        <w:rPr>
          <w:rFonts w:ascii="Palatino Linotype" w:hAnsi="Palatino Linotype" w:cs="Arial"/>
        </w:rPr>
        <w:t xml:space="preserve">, teniendo el deber los primeros de ellos de presentar ante la Unidad de Transparencia la propuesta de la clasificación de la información, para que luego ésta se presente ante al Comité de </w:t>
      </w:r>
      <w:r>
        <w:rPr>
          <w:rFonts w:ascii="Palatino Linotype" w:hAnsi="Palatino Linotype" w:cs="Arial"/>
        </w:rPr>
        <w:lastRenderedPageBreak/>
        <w:t>Transparencia de así resultar procedente el proyecto de clasificación de la información y que finalmente sea éste último quien apruebe, modifique o revoque la misma.</w:t>
      </w:r>
    </w:p>
    <w:p w:rsidR="00D22DAC" w:rsidRDefault="00CC3CB2">
      <w:pPr>
        <w:spacing w:beforeAutospacing="1" w:afterAutospacing="1" w:line="360" w:lineRule="auto"/>
        <w:jc w:val="both"/>
        <w:rPr>
          <w:rFonts w:ascii="Palatino Linotype" w:hAnsi="Palatino Linotype" w:cs="Arial"/>
        </w:rPr>
      </w:pPr>
      <w:r>
        <w:rPr>
          <w:rFonts w:ascii="Palatino Linotype" w:hAnsi="Palatino Linotype" w:cs="Arial"/>
        </w:rPr>
        <w:t>Así las cosas, dentro de los datos personales que pudieran contenerse de manera enunciativa más no limitativa son el RFC, CURP, nombres, domicilios, teléfonos, o cualquier otro dato de identificación de particulares, así mismo, pueden destacarse datos personales sensibles, los cuales son aquellos pertenecientes a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así como cualquier otro dato personal que incida en la vida privada y seguridad personal de los particulares o servidores públicos.</w:t>
      </w:r>
    </w:p>
    <w:p w:rsidR="00D22DAC" w:rsidRDefault="00CC3CB2">
      <w:pPr>
        <w:spacing w:beforeAutospacing="1" w:afterAutospacing="1" w:line="360" w:lineRule="auto"/>
        <w:jc w:val="both"/>
        <w:rPr>
          <w:rFonts w:ascii="Palatino Linotype" w:hAnsi="Palatino Linotype" w:cs="Arial"/>
          <w:lang w:val="es-ES_tradnl"/>
        </w:rPr>
      </w:pPr>
      <w:r>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Pr>
          <w:rFonts w:ascii="Palatino Linotype" w:hAnsi="Palatino Linotype" w:cs="Arial"/>
          <w:lang w:val="es-ES_tradnl"/>
        </w:rPr>
        <w:t>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w:t>
      </w:r>
      <w:r>
        <w:rPr>
          <w:rFonts w:ascii="Palatino Linotype" w:hAnsi="Palatino Linotype" w:cs="Arial"/>
          <w:lang w:val="es-ES_tradnl"/>
        </w:rPr>
        <w:lastRenderedPageBreak/>
        <w:t>Información, así como para la elaboración de Versiones Públicas, que literalmente expresan:</w:t>
      </w:r>
    </w:p>
    <w:p w:rsidR="00D22DAC" w:rsidRDefault="00CC3CB2">
      <w:pPr>
        <w:ind w:left="709" w:right="709"/>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w:t>
      </w:r>
      <w:r>
        <w:rPr>
          <w:rFonts w:ascii="Palatino Linotype" w:hAnsi="Palatino Linotype" w:cs="Arial"/>
          <w:b/>
          <w:i/>
          <w:sz w:val="22"/>
          <w:szCs w:val="22"/>
          <w:u w:val="single"/>
          <w:lang w:eastAsia="es-MX"/>
        </w:rPr>
        <w:t>la clasificación de la información</w:t>
      </w:r>
      <w:r>
        <w:rPr>
          <w:rFonts w:ascii="Palatino Linotype" w:hAnsi="Palatino Linotype" w:cs="Arial"/>
          <w:i/>
          <w:sz w:val="22"/>
          <w:szCs w:val="22"/>
          <w:lang w:eastAsia="es-MX"/>
        </w:rPr>
        <w:t>;</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Se determine mediante resolución de autoridad competente</w:t>
      </w:r>
      <w:r>
        <w:rPr>
          <w:rFonts w:ascii="Palatino Linotype" w:hAnsi="Palatino Linotype" w:cs="Arial"/>
          <w:i/>
          <w:sz w:val="22"/>
          <w:szCs w:val="22"/>
          <w:lang w:eastAsia="es-MX"/>
        </w:rPr>
        <w:t>; o</w:t>
      </w:r>
    </w:p>
    <w:p w:rsidR="00D22DAC" w:rsidRDefault="00CC3CB2">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 de manera total</w:t>
      </w:r>
      <w:r>
        <w:rPr>
          <w:rFonts w:ascii="Palatino Linotype" w:hAnsi="Palatino Linotype" w:cs="Arial"/>
          <w:i/>
          <w:sz w:val="22"/>
          <w:szCs w:val="22"/>
          <w:lang w:eastAsia="es-MX"/>
        </w:rPr>
        <w:t xml:space="preserve"> o parcial, </w:t>
      </w:r>
      <w:r>
        <w:rPr>
          <w:rFonts w:ascii="Palatino Linotype" w:hAnsi="Palatino Linotype" w:cs="Arial"/>
          <w:b/>
          <w:i/>
          <w:sz w:val="22"/>
          <w:szCs w:val="22"/>
          <w:u w:val="single"/>
          <w:lang w:eastAsia="es-MX"/>
        </w:rPr>
        <w:t xml:space="preserve">el titular del </w:t>
      </w:r>
      <w:r>
        <w:rPr>
          <w:rFonts w:ascii="Palatino Linotype" w:hAnsi="Palatino Linotype" w:cs="Arial"/>
          <w:b/>
          <w:bCs/>
          <w:i/>
          <w:sz w:val="22"/>
          <w:szCs w:val="22"/>
          <w:u w:val="single"/>
        </w:rPr>
        <w:t>área</w:t>
      </w:r>
      <w:r>
        <w:rPr>
          <w:rFonts w:ascii="Palatino Linotype" w:hAnsi="Palatino Linotype" w:cs="Arial"/>
          <w:b/>
          <w:i/>
          <w:sz w:val="22"/>
          <w:szCs w:val="22"/>
          <w:u w:val="single"/>
          <w:lang w:eastAsia="es-MX"/>
        </w:rPr>
        <w:t xml:space="preserve"> del sujeto </w:t>
      </w:r>
      <w:r>
        <w:rPr>
          <w:rFonts w:ascii="Palatino Linotype" w:hAnsi="Palatino Linotype" w:cs="Arial"/>
          <w:b/>
          <w:i/>
          <w:sz w:val="22"/>
          <w:szCs w:val="22"/>
          <w:u w:val="single"/>
        </w:rPr>
        <w:t>obligado</w:t>
      </w:r>
      <w:r>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Pr>
          <w:rFonts w:ascii="Palatino Linotype" w:hAnsi="Palatino Linotype" w:cs="Arial"/>
          <w:i/>
          <w:sz w:val="22"/>
          <w:szCs w:val="22"/>
          <w:lang w:eastAsia="es-MX"/>
        </w:rPr>
        <w:t xml:space="preserve"> la Ley General, la Ley Federal y </w:t>
      </w:r>
      <w:r>
        <w:rPr>
          <w:rFonts w:ascii="Palatino Linotype" w:hAnsi="Palatino Linotype" w:cs="Arial"/>
          <w:b/>
          <w:i/>
          <w:sz w:val="22"/>
          <w:szCs w:val="22"/>
          <w:u w:val="single"/>
          <w:lang w:eastAsia="es-MX"/>
        </w:rPr>
        <w:t xml:space="preserve">leyes estatales, </w:t>
      </w:r>
      <w:r>
        <w:rPr>
          <w:rFonts w:ascii="Palatino Linotype" w:hAnsi="Palatino Linotype" w:cs="Arial"/>
          <w:b/>
          <w:i/>
          <w:sz w:val="22"/>
          <w:szCs w:val="22"/>
          <w:u w:val="single"/>
        </w:rPr>
        <w:t>corresponderá</w:t>
      </w:r>
      <w:r>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Los sujetos obligados no podrán emitir acuerdos de carácter general</w:t>
      </w:r>
      <w:r>
        <w:rPr>
          <w:rFonts w:ascii="Palatino Linotype" w:hAnsi="Palatino Linotype" w:cs="Arial"/>
          <w:i/>
          <w:sz w:val="22"/>
          <w:szCs w:val="22"/>
          <w:lang w:eastAsia="es-MX"/>
        </w:rPr>
        <w:t xml:space="preserve">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 xml:space="preserve">La clasificación de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realizará conforme a un análisis caso por caso</w:t>
      </w:r>
      <w:r>
        <w:rPr>
          <w:rFonts w:ascii="Palatino Linotype" w:hAnsi="Palatino Linotype" w:cs="Arial"/>
          <w:i/>
          <w:sz w:val="22"/>
          <w:szCs w:val="22"/>
          <w:lang w:eastAsia="es-MX"/>
        </w:rPr>
        <w:t xml:space="preserve">,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La clasificación </w:t>
      </w:r>
      <w:r>
        <w:rPr>
          <w:rFonts w:ascii="Palatino Linotype" w:hAnsi="Palatino Linotype" w:cs="Arial"/>
          <w:b/>
          <w:bCs/>
          <w:i/>
          <w:sz w:val="22"/>
          <w:szCs w:val="22"/>
          <w:u w:val="single"/>
        </w:rPr>
        <w:t>de</w:t>
      </w:r>
      <w:r>
        <w:rPr>
          <w:rFonts w:ascii="Palatino Linotype" w:hAnsi="Palatino Linotype" w:cs="Arial"/>
          <w:b/>
          <w:i/>
          <w:sz w:val="22"/>
          <w:szCs w:val="22"/>
          <w:u w:val="single"/>
          <w:lang w:eastAsia="es-MX"/>
        </w:rPr>
        <w:t xml:space="preserve"> la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llevará a cabo en el momento en que</w:t>
      </w:r>
      <w:r>
        <w:rPr>
          <w:rFonts w:ascii="Palatino Linotype" w:hAnsi="Palatino Linotype" w:cs="Arial"/>
          <w:i/>
          <w:sz w:val="22"/>
          <w:szCs w:val="22"/>
          <w:lang w:eastAsia="es-MX"/>
        </w:rPr>
        <w:t>:</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Se determine </w:t>
      </w:r>
      <w:r>
        <w:rPr>
          <w:rFonts w:ascii="Palatino Linotype" w:hAnsi="Palatino Linotype" w:cs="Arial"/>
          <w:b/>
          <w:bCs/>
          <w:i/>
          <w:sz w:val="22"/>
          <w:szCs w:val="22"/>
          <w:u w:val="single"/>
        </w:rPr>
        <w:t>mediante</w:t>
      </w:r>
      <w:r>
        <w:rPr>
          <w:rFonts w:ascii="Palatino Linotype" w:hAnsi="Palatino Linotype" w:cs="Arial"/>
          <w:b/>
          <w:i/>
          <w:sz w:val="22"/>
          <w:szCs w:val="22"/>
          <w:u w:val="single"/>
          <w:lang w:eastAsia="es-MX"/>
        </w:rPr>
        <w:t xml:space="preserve"> resolución de autoridad competente</w:t>
      </w:r>
      <w:r>
        <w:rPr>
          <w:rFonts w:ascii="Palatino Linotype" w:hAnsi="Palatino Linotype" w:cs="Arial"/>
          <w:i/>
          <w:sz w:val="22"/>
          <w:szCs w:val="22"/>
          <w:lang w:eastAsia="es-MX"/>
        </w:rPr>
        <w:t>, o</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Pr>
          <w:rFonts w:ascii="Palatino Linotype" w:hAnsi="Palatino Linotype" w:cs="Arial"/>
          <w:b/>
          <w:bCs/>
          <w:i/>
          <w:sz w:val="22"/>
          <w:szCs w:val="22"/>
          <w:u w:val="single"/>
        </w:rPr>
        <w:t>expresamente</w:t>
      </w:r>
      <w:r>
        <w:rPr>
          <w:rFonts w:ascii="Palatino Linotype" w:hAnsi="Palatino Linotype" w:cs="Arial"/>
          <w:b/>
          <w:i/>
          <w:sz w:val="22"/>
          <w:szCs w:val="22"/>
          <w:u w:val="single"/>
          <w:lang w:eastAsia="es-MX"/>
        </w:rPr>
        <w:t xml:space="preserve"> le otorga el carácter de</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w:t>
      </w:r>
      <w:r>
        <w:rPr>
          <w:rFonts w:ascii="Palatino Linotype" w:hAnsi="Palatino Linotype" w:cs="Arial"/>
          <w:i/>
          <w:sz w:val="22"/>
          <w:szCs w:val="22"/>
          <w:lang w:eastAsia="es-MX"/>
        </w:rPr>
        <w:t>.</w:t>
      </w:r>
    </w:p>
    <w:p w:rsidR="00D22DAC" w:rsidRDefault="00CC3CB2">
      <w:pPr>
        <w:ind w:left="709" w:right="709"/>
        <w:jc w:val="both"/>
        <w:rPr>
          <w:rFonts w:ascii="Palatino Linotype" w:hAnsi="Palatino Linotype" w:cs="Arial"/>
          <w:bCs/>
          <w:i/>
          <w:sz w:val="22"/>
          <w:szCs w:val="22"/>
        </w:rPr>
      </w:pPr>
      <w:r>
        <w:rPr>
          <w:rFonts w:ascii="Palatino Linotype" w:hAnsi="Palatino Linotype" w:cs="Arial"/>
          <w:b/>
          <w:i/>
          <w:sz w:val="22"/>
          <w:szCs w:val="22"/>
          <w:u w:val="single"/>
          <w:lang w:eastAsia="es-MX"/>
        </w:rPr>
        <w:t xml:space="preserve">Para </w:t>
      </w:r>
      <w:r>
        <w:rPr>
          <w:rFonts w:ascii="Palatino Linotype" w:hAnsi="Palatino Linotype" w:cs="Arial"/>
          <w:b/>
          <w:bCs/>
          <w:i/>
          <w:sz w:val="22"/>
          <w:szCs w:val="22"/>
          <w:u w:val="single"/>
        </w:rPr>
        <w:t xml:space="preserve">motivar la clasificación se deberán señalar las razones o circunstancias especiales que lo </w:t>
      </w:r>
      <w:r>
        <w:rPr>
          <w:rFonts w:ascii="Palatino Linotype" w:hAnsi="Palatino Linotype" w:cs="Arial"/>
          <w:b/>
          <w:i/>
          <w:sz w:val="22"/>
          <w:szCs w:val="22"/>
          <w:u w:val="single"/>
          <w:lang w:eastAsia="es-MX"/>
        </w:rPr>
        <w:t>llevaron</w:t>
      </w:r>
      <w:r>
        <w:rPr>
          <w:rFonts w:ascii="Palatino Linotype" w:hAnsi="Palatino Linotype" w:cs="Arial"/>
          <w:b/>
          <w:bCs/>
          <w:i/>
          <w:sz w:val="22"/>
          <w:szCs w:val="22"/>
          <w:u w:val="single"/>
        </w:rPr>
        <w:t xml:space="preserve"> a concluir que el caso particular se ajusta al supuesto previsto por la norma legal invocada </w:t>
      </w:r>
      <w:r>
        <w:rPr>
          <w:rFonts w:ascii="Palatino Linotype" w:hAnsi="Palatino Linotype" w:cs="Arial"/>
          <w:bCs/>
          <w:i/>
          <w:sz w:val="22"/>
          <w:szCs w:val="22"/>
        </w:rPr>
        <w:t>como fundamento.</w:t>
      </w:r>
    </w:p>
    <w:p w:rsidR="00D22DAC" w:rsidRDefault="00CC3CB2">
      <w:pPr>
        <w:ind w:left="709" w:right="709"/>
        <w:jc w:val="both"/>
        <w:rPr>
          <w:rFonts w:ascii="Palatino Linotype" w:hAnsi="Palatino Linotype" w:cs="Arial"/>
          <w:bCs/>
          <w:i/>
          <w:sz w:val="22"/>
          <w:szCs w:val="22"/>
        </w:rPr>
      </w:pPr>
      <w:r>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D22DAC" w:rsidRDefault="00CC3CB2">
      <w:pPr>
        <w:ind w:left="709" w:right="709"/>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Cs/>
          <w:i/>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Pr>
          <w:rFonts w:ascii="Palatino Linotype" w:hAnsi="Palatino Linotype" w:cs="Arial"/>
          <w:b/>
          <w:i/>
          <w:sz w:val="22"/>
          <w:szCs w:val="22"/>
          <w:u w:val="single"/>
        </w:rPr>
        <w:t>documentos</w:t>
      </w:r>
      <w:r>
        <w:rPr>
          <w:rFonts w:ascii="Palatino Linotype" w:hAnsi="Palatino Linotype" w:cs="Arial"/>
          <w:b/>
          <w:i/>
          <w:sz w:val="22"/>
          <w:szCs w:val="22"/>
          <w:u w:val="single"/>
          <w:lang w:eastAsia="es-MX"/>
        </w:rPr>
        <w:t xml:space="preserve"> clasificados</w:t>
      </w:r>
      <w:r>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Pr>
          <w:rFonts w:ascii="Palatino Linotype" w:hAnsi="Palatino Linotype" w:cs="Arial"/>
          <w:i/>
          <w:sz w:val="22"/>
          <w:szCs w:val="22"/>
          <w:lang w:eastAsia="es-MX"/>
        </w:rPr>
        <w:t xml:space="preserve"> de conformidad con lo dispuesto en el Capítulo VIII de los presentes lineamientos.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22DAC" w:rsidRDefault="00CC3CB2">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D22DAC" w:rsidRDefault="00CC3CB2">
      <w:pPr>
        <w:ind w:left="709" w:right="709"/>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D22DAC" w:rsidRDefault="00CC3CB2">
      <w:pPr>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W w:w="7680" w:type="dxa"/>
        <w:jc w:val="center"/>
        <w:tblLook w:val="04A0" w:firstRow="1" w:lastRow="0" w:firstColumn="1" w:lastColumn="0" w:noHBand="0" w:noVBand="1"/>
      </w:tblPr>
      <w:tblGrid>
        <w:gridCol w:w="1159"/>
        <w:gridCol w:w="1990"/>
        <w:gridCol w:w="4531"/>
      </w:tblGrid>
      <w:tr w:rsidR="00D22DAC">
        <w:trPr>
          <w:jc w:val="center"/>
        </w:trPr>
        <w:tc>
          <w:tcPr>
            <w:tcW w:w="1158" w:type="dxa"/>
            <w:tcBorders>
              <w:top w:val="nil"/>
              <w:left w:val="nil"/>
            </w:tcBorders>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b/>
                <w:i/>
              </w:rPr>
            </w:pPr>
            <w:r>
              <w:rPr>
                <w:rFonts w:ascii="Palatino Linotype" w:hAnsi="Palatino Linotype"/>
                <w:b/>
                <w:i/>
              </w:rPr>
              <w:t>Concepto</w:t>
            </w:r>
          </w:p>
        </w:tc>
        <w:tc>
          <w:tcPr>
            <w:tcW w:w="4532" w:type="dxa"/>
          </w:tcPr>
          <w:p w:rsidR="00D22DAC" w:rsidRDefault="00CC3CB2">
            <w:pPr>
              <w:jc w:val="center"/>
              <w:rPr>
                <w:rFonts w:ascii="Palatino Linotype" w:hAnsi="Palatino Linotype"/>
                <w:b/>
                <w:i/>
              </w:rPr>
            </w:pPr>
            <w:r>
              <w:rPr>
                <w:rFonts w:ascii="Palatino Linotype" w:hAnsi="Palatino Linotype"/>
                <w:b/>
                <w:i/>
              </w:rPr>
              <w:t>Dónde:</w:t>
            </w:r>
          </w:p>
        </w:tc>
      </w:tr>
      <w:tr w:rsidR="00D22DAC">
        <w:trPr>
          <w:jc w:val="center"/>
        </w:trPr>
        <w:tc>
          <w:tcPr>
            <w:tcW w:w="1158" w:type="dxa"/>
            <w:vMerge w:val="restart"/>
            <w:vAlign w:val="center"/>
          </w:tcPr>
          <w:p w:rsidR="00D22DAC" w:rsidRDefault="00CC3CB2">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Área</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Pr>
                <w:rFonts w:ascii="Palatino Linotype" w:hAnsi="Palatino Linotype" w:cs="Arial"/>
                <w:i/>
                <w:lang w:eastAsia="es-MX"/>
              </w:rPr>
              <w:t>anotarán</w:t>
            </w:r>
            <w:proofErr w:type="gramEnd"/>
            <w:r>
              <w:rPr>
                <w:rFonts w:ascii="Palatino Linotype" w:hAnsi="Palatino Linotype" w:cs="Arial"/>
                <w:i/>
                <w:lang w:eastAsia="es-MX"/>
              </w:rPr>
              <w:t xml:space="preserve"> todas las páginas que lo conforman. Si el documento no contiene información reservada, se tachará este apartado.</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Periodo de reserva</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Fundamento legal</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b/>
                <w:i/>
                <w:u w:val="single"/>
                <w:lang w:eastAsia="es-MX"/>
              </w:rPr>
            </w:pPr>
            <w:r>
              <w:rPr>
                <w:rFonts w:ascii="Palatino Linotype" w:hAnsi="Palatino Linotype" w:cs="Arial"/>
                <w:b/>
                <w:i/>
                <w:u w:val="single"/>
                <w:lang w:eastAsia="es-MX"/>
              </w:rPr>
              <w:t>Confidencial</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 xml:space="preserve">Se indicarán, en su caso, </w:t>
            </w:r>
            <w:r>
              <w:rPr>
                <w:rFonts w:ascii="Palatino Linotype" w:hAnsi="Palatino Linotype" w:cs="Arial"/>
                <w:b/>
                <w:i/>
                <w:u w:val="single"/>
                <w:lang w:eastAsia="es-MX"/>
              </w:rPr>
              <w:t>las partes o páginas del documento que se clasifica como confidencial</w:t>
            </w:r>
            <w:r>
              <w:rPr>
                <w:rFonts w:ascii="Palatino Linotype" w:hAnsi="Palatino Linotype" w:cs="Arial"/>
                <w:i/>
                <w:lang w:eastAsia="es-MX"/>
              </w:rPr>
              <w:t xml:space="preserve">. </w:t>
            </w:r>
            <w:r>
              <w:rPr>
                <w:rFonts w:ascii="Palatino Linotype" w:hAnsi="Palatino Linotype" w:cs="Arial"/>
                <w:b/>
                <w:i/>
                <w:u w:val="single"/>
                <w:lang w:eastAsia="es-MX"/>
              </w:rPr>
              <w:t>Si el documento fuera confidencial en su totalidad, se anotarán todas las páginas que lo conforman</w:t>
            </w:r>
            <w:r>
              <w:rPr>
                <w:rFonts w:ascii="Palatino Linotype" w:hAnsi="Palatino Linotype" w:cs="Arial"/>
                <w:i/>
                <w:lang w:eastAsia="es-MX"/>
              </w:rPr>
              <w:t xml:space="preserve">. Si el </w:t>
            </w:r>
            <w:r>
              <w:rPr>
                <w:rFonts w:ascii="Palatino Linotype" w:hAnsi="Palatino Linotype" w:cs="Arial"/>
                <w:i/>
                <w:lang w:eastAsia="es-MX"/>
              </w:rPr>
              <w:lastRenderedPageBreak/>
              <w:t>documento no contiene información confidencial, se tachará este apartado.</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Fundamento legal</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2" w:type="dxa"/>
          </w:tcPr>
          <w:p w:rsidR="00D22DAC" w:rsidRDefault="00CC3CB2">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D22DAC">
        <w:trPr>
          <w:jc w:val="center"/>
        </w:trPr>
        <w:tc>
          <w:tcPr>
            <w:tcW w:w="1158" w:type="dxa"/>
            <w:vMerge/>
          </w:tcPr>
          <w:p w:rsidR="00D22DAC" w:rsidRDefault="00D22DAC">
            <w:pPr>
              <w:jc w:val="both"/>
              <w:rPr>
                <w:rFonts w:ascii="Palatino Linotype" w:hAnsi="Palatino Linotype" w:cs="Arial"/>
                <w:i/>
                <w:lang w:eastAsia="es-MX"/>
              </w:rPr>
            </w:pPr>
          </w:p>
        </w:tc>
        <w:tc>
          <w:tcPr>
            <w:tcW w:w="1990" w:type="dxa"/>
          </w:tcPr>
          <w:p w:rsidR="00D22DAC" w:rsidRDefault="00CC3CB2">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2" w:type="dxa"/>
            <w:vAlign w:val="center"/>
          </w:tcPr>
          <w:p w:rsidR="00D22DAC" w:rsidRDefault="00CC3CB2">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D22DAC" w:rsidRDefault="00CC3CB2">
      <w:pPr>
        <w:ind w:left="709" w:right="70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D22DAC" w:rsidRDefault="00CC3CB2">
      <w:pPr>
        <w:spacing w:beforeAutospacing="1" w:afterAutospacing="1" w:line="360" w:lineRule="auto"/>
        <w:jc w:val="both"/>
        <w:rPr>
          <w:rFonts w:ascii="Palatino Linotype" w:hAnsi="Palatino Linotype" w:cs="Arial"/>
          <w:i/>
          <w:sz w:val="22"/>
          <w:szCs w:val="22"/>
        </w:rPr>
      </w:pPr>
      <w:r>
        <w:rPr>
          <w:rFonts w:ascii="Palatino Linotype" w:hAnsi="Palatino Linotype" w:cs="Arial"/>
        </w:rPr>
        <w:t>Por lo tanto,</w:t>
      </w:r>
      <w:r>
        <w:rPr>
          <w:rFonts w:ascii="Palatino Linotype" w:hAnsi="Palatino Linotype"/>
        </w:rPr>
        <w:t xml:space="preserve"> es importante reiterar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D22DAC" w:rsidRDefault="00CC3CB2">
      <w:pPr>
        <w:spacing w:beforeAutospacing="1" w:afterAutospacing="1" w:line="360" w:lineRule="auto"/>
        <w:jc w:val="both"/>
        <w:rPr>
          <w:rFonts w:ascii="Palatino Linotype" w:hAnsi="Palatino Linotype"/>
        </w:rPr>
      </w:pPr>
      <w:r>
        <w:rPr>
          <w:rFonts w:ascii="Palatino Linotype" w:hAnsi="Palatino Linotype"/>
        </w:rPr>
        <w:t xml:space="preserve">En este mismo contexto, respecto al número de niños que viven al interior de los centros penitenciarios con madres reclusas, mediante Informe Justificado, </w:t>
      </w:r>
      <w:r>
        <w:rPr>
          <w:rFonts w:ascii="Palatino Linotype" w:hAnsi="Palatino Linotype"/>
          <w:b/>
        </w:rPr>
        <w:t xml:space="preserve">EL SUJETO OBLIGADO </w:t>
      </w:r>
      <w:r>
        <w:rPr>
          <w:rFonts w:ascii="Palatino Linotype" w:hAnsi="Palatino Linotype"/>
        </w:rPr>
        <w:t xml:space="preserve">manifestó que no era la ejecutora de la información, lo era la Secretaría de Seguridad, a través de la  Subsecretaría de Control Penitenciario quien se encarga de ejecutar las acciones en los Centros Penitenciarios y de Reinserción Social del Estado </w:t>
      </w:r>
      <w:r>
        <w:rPr>
          <w:rFonts w:ascii="Palatino Linotype" w:hAnsi="Palatino Linotype"/>
        </w:rPr>
        <w:lastRenderedPageBreak/>
        <w:t>de México, a quien corresponde la ejecución de las sanciones privativas y medidas restrictivas de libertad, así como la dirección y el control  de la administración y la seguridad de todos los Centros Penitenciaros y de Reinserción social, los cuales integran la base central del Sistema penitenciario  del Estado de México.</w:t>
      </w:r>
    </w:p>
    <w:p w:rsidR="00D22DAC" w:rsidRDefault="00CC3CB2">
      <w:pPr>
        <w:spacing w:beforeAutospacing="1" w:afterAutospacing="1" w:line="360" w:lineRule="auto"/>
        <w:jc w:val="both"/>
        <w:rPr>
          <w:rFonts w:ascii="Palatino Linotype" w:hAnsi="Palatino Linotype"/>
          <w:b/>
        </w:rPr>
      </w:pPr>
      <w:r>
        <w:rPr>
          <w:rFonts w:ascii="Palatino Linotype" w:hAnsi="Palatino Linotype"/>
        </w:rPr>
        <w:t xml:space="preserve">Atento a ello, la Ley Nacional de Ejecución Penal, estipula como derecho de las mujeres privadas de su libertad, el de disfrutar de la maternidad y la lactancia, conservar la guardia y custodia de su hija o hijo menor de tres años en el Centro Penitenciario, la Autoridad Penitenciaria establecerá los criterios para garantizar el ingreso de la niña o el niño y se notificará a la Procuraduría Federal de Protección de Niñas, Niños y Adolescentes o a sus equivalentes en las entidades federativas, es decir a </w:t>
      </w:r>
      <w:r>
        <w:rPr>
          <w:rFonts w:ascii="Palatino Linotype" w:hAnsi="Palatino Linotype"/>
          <w:b/>
        </w:rPr>
        <w:t xml:space="preserve">la Procuraduría de Protección de Niñas, Niños y Adolescentes del Estado de México, </w:t>
      </w:r>
      <w:r>
        <w:rPr>
          <w:rFonts w:ascii="Palatino Linotype" w:hAnsi="Palatino Linotype"/>
        </w:rPr>
        <w:t>el cual, tiene como principal objetivo el de dar respuesta a las demandas de la población vulnerable que no tiene acceso a la justicia en materia familiar, proporcionando orientación social y asistencia jurídica a las niñas, niños y adolescentes en estado de vulnerabilidad y a familias de escasos recursos, para garantizar el respeto a sus derechos, instrumentando y promoviendo programas preventivos que contribuyan a la integración familiar, así como brindar apoyo a familiares de pacientes internados en hospitales gubernamentales en la Clínica Albergue Familiar que por su condición económica así lo requieran, mismo que depende del DIFEM, tal como se advierte a continuación:</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LEY NACIONAL DE EJECUCIÓN PENAL</w:t>
      </w:r>
    </w:p>
    <w:p w:rsidR="00D22DAC" w:rsidRDefault="00D22DAC">
      <w:pPr>
        <w:ind w:left="851" w:right="899"/>
        <w:jc w:val="both"/>
        <w:rPr>
          <w:rFonts w:ascii="Palatino Linotype" w:hAnsi="Palatino Linotype"/>
          <w:b/>
          <w:i/>
          <w:sz w:val="22"/>
          <w:szCs w:val="22"/>
        </w:rPr>
      </w:pP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“Artículo 10.</w:t>
      </w:r>
      <w:r>
        <w:rPr>
          <w:rFonts w:ascii="Palatino Linotype" w:hAnsi="Palatino Linotype"/>
          <w:i/>
          <w:sz w:val="22"/>
          <w:szCs w:val="22"/>
        </w:rPr>
        <w:t xml:space="preserve"> </w:t>
      </w:r>
      <w:r>
        <w:rPr>
          <w:rFonts w:ascii="Palatino Linotype" w:hAnsi="Palatino Linotype"/>
          <w:b/>
          <w:i/>
          <w:sz w:val="22"/>
          <w:szCs w:val="22"/>
        </w:rPr>
        <w:t xml:space="preserve">Derechos de las mujeres privadas de su libertad en un Centro Penitenciario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lastRenderedPageBreak/>
        <w:t xml:space="preserve">Además de los derechos establecidos en el artículo anterior, las mujeres privadas de la libertad tendrán derecho a: </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La maternidad y la lactancia;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VI.</w:t>
      </w:r>
      <w:r>
        <w:rPr>
          <w:rFonts w:ascii="Palatino Linotype" w:hAnsi="Palatino Linotype"/>
          <w:i/>
          <w:sz w:val="22"/>
          <w:szCs w:val="22"/>
        </w:rPr>
        <w:t xml:space="preserve"> Conservar la guardia y custodia de su hija o hijo menor de tres años a fin de que pueda permanecer con la madre en el Centro Penitenciario, de conformidad a las disposiciones aplicables; </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Recibir la alimentación adecuada y saludable para sus hijas e hijos, acorde con su edad y sus necesidades de salud con la finalidad de contribuir a su desarrollo físico y mental, en caso de que permanezcan con sus madres en el Centro Penitenciario; </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VIII</w:t>
      </w:r>
      <w:r>
        <w:rPr>
          <w:rFonts w:ascii="Palatino Linotype" w:hAnsi="Palatino Linotype"/>
          <w:i/>
          <w:sz w:val="22"/>
          <w:szCs w:val="22"/>
        </w:rPr>
        <w:t xml:space="preserve">. Recibir educación inicial para sus hijas e hijos, vestimenta acorde a su edad y etapa de desarrollo, y atención pediátrica cuando sea necesario en caso de que permanezcan con sus madres en el Centro Penitenciario, en términos de la legislación aplicable; </w:t>
      </w:r>
    </w:p>
    <w:p w:rsidR="00D22DAC" w:rsidRDefault="00CC3CB2">
      <w:pPr>
        <w:ind w:left="851" w:right="899"/>
        <w:jc w:val="both"/>
        <w:rPr>
          <w:rFonts w:ascii="Palatino Linotype" w:hAnsi="Palatino Linotype"/>
          <w:i/>
          <w:sz w:val="22"/>
          <w:szCs w:val="22"/>
          <w:u w:val="single"/>
        </w:rPr>
      </w:pPr>
      <w:r>
        <w:rPr>
          <w:rFonts w:ascii="Palatino Linotype" w:hAnsi="Palatino Linotype"/>
          <w:b/>
          <w:i/>
          <w:sz w:val="22"/>
          <w:szCs w:val="22"/>
        </w:rPr>
        <w:t>IX.</w:t>
      </w:r>
      <w:r>
        <w:rPr>
          <w:rFonts w:ascii="Palatino Linotype" w:hAnsi="Palatino Linotype"/>
          <w:i/>
          <w:sz w:val="22"/>
          <w:szCs w:val="22"/>
        </w:rPr>
        <w:t xml:space="preserve"> </w:t>
      </w:r>
      <w:r>
        <w:rPr>
          <w:rFonts w:ascii="Palatino Linotype" w:hAnsi="Palatino Linotype"/>
          <w:b/>
          <w:i/>
          <w:sz w:val="22"/>
          <w:szCs w:val="22"/>
        </w:rPr>
        <w:t>Acceder, a los medios necesarios que les permitan a las mujeres con hijas e hijos a su cargo adoptar disposiciones respecto a su cuidado. Para el caso de las mujeres que deseen conservar la custodia de la hija o el hijo menor de tres años, durante su estancia en el Centro Penitenciario y no hubiera familiar que pudiera hacerse responsable en la familia de origen, la Autoridad Penitenciaria establecerá los criterios para garantizar el ingreso de la niña o el niño.</w:t>
      </w:r>
      <w:r>
        <w:rPr>
          <w:rFonts w:ascii="Palatino Linotype" w:hAnsi="Palatino Linotype"/>
          <w:i/>
          <w:sz w:val="22"/>
          <w:szCs w:val="22"/>
        </w:rPr>
        <w:t xml:space="preserve"> </w:t>
      </w:r>
      <w:r>
        <w:rPr>
          <w:rFonts w:ascii="Palatino Linotype" w:hAnsi="Palatino Linotype"/>
          <w:b/>
          <w:i/>
          <w:sz w:val="22"/>
          <w:szCs w:val="22"/>
          <w:u w:val="single"/>
        </w:rPr>
        <w:t>Se notificará a la Procuraduría Federal de Protección de Niñas, Niños y Adolescentes o a sus equivalentes en las entidades federativas;</w:t>
      </w:r>
      <w:r>
        <w:rPr>
          <w:rFonts w:ascii="Palatino Linotype" w:hAnsi="Palatino Linotype"/>
          <w:i/>
          <w:sz w:val="22"/>
          <w:szCs w:val="22"/>
          <w:u w:val="single"/>
        </w:rPr>
        <w:t xml:space="preserve"> </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X.</w:t>
      </w:r>
      <w:r>
        <w:rPr>
          <w:rFonts w:ascii="Palatino Linotype" w:hAnsi="Palatino Linotype"/>
          <w:i/>
          <w:sz w:val="22"/>
          <w:szCs w:val="22"/>
        </w:rPr>
        <w:t xml:space="preserve"> Contar con las instalaciones adecuadas para que sus hijas e hijos reciban la atención médica, de conformidad con el interés superior de la niñez, atendiendo a su edad, condiciones y a sus necesidades de salud específicas, y </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XI.</w:t>
      </w:r>
      <w:r>
        <w:rPr>
          <w:rFonts w:ascii="Palatino Linotype" w:hAnsi="Palatino Linotype"/>
          <w:i/>
          <w:sz w:val="22"/>
          <w:szCs w:val="22"/>
        </w:rPr>
        <w:t xml:space="preserve"> Los demás previstos en las disposiciones legales aplicables. La Autoridad Penitenciaria coadyuvará con las autoridades corresponsables, en el ámbito de su competencia, para proporcionar las condiciones de vida que garanticen el sano desarrollo de niñas y niños. Para los efectos de las fracciones I y IV de este artículo, las mujeres en reclusión podrán conservar la custodia de sus hijas e hijos en el interior de los Centros Penitenciarios. La Autoridad Penitenciaria, atendiendo el interés superior de la niñez, deberá emitir el dictamen correspondiente. Si la hija o el hijo </w:t>
      </w:r>
      <w:proofErr w:type="gramStart"/>
      <w:r>
        <w:rPr>
          <w:rFonts w:ascii="Palatino Linotype" w:hAnsi="Palatino Linotype"/>
          <w:i/>
          <w:sz w:val="22"/>
          <w:szCs w:val="22"/>
        </w:rPr>
        <w:t>tuviera</w:t>
      </w:r>
      <w:proofErr w:type="gramEnd"/>
      <w:r>
        <w:rPr>
          <w:rFonts w:ascii="Palatino Linotype" w:hAnsi="Palatino Linotype"/>
          <w:i/>
          <w:sz w:val="22"/>
          <w:szCs w:val="22"/>
        </w:rPr>
        <w:t xml:space="preserve"> una discapacidad, se podrá solicitar a la Autoridad Penitenciaria la ampliación del plazo de estancia al cuidado de la madre. En todo caso, se resolverá ponderando el interés superior de la niñez. En el supuesto de que la madre no deseara conservar la custodia de sus hijas e hijos, estos serán entregados a la institución de asistencia social competente, en un término no mayor a veinticuatro horas, en donde </w:t>
      </w:r>
      <w:r>
        <w:rPr>
          <w:rFonts w:ascii="Palatino Linotype" w:hAnsi="Palatino Linotype"/>
          <w:i/>
          <w:sz w:val="22"/>
          <w:szCs w:val="22"/>
        </w:rPr>
        <w:lastRenderedPageBreak/>
        <w:t xml:space="preserve">se harán los trámites correspondientes, de acuerdo con la legislación aplicable. La Autoridad Penitenciaria deberá garantizar que en los Centros Penitenciarios para mujeres haya espacios adecuados para el desarrollo integral de </w:t>
      </w:r>
      <w:proofErr w:type="gramStart"/>
      <w:r>
        <w:rPr>
          <w:rFonts w:ascii="Palatino Linotype" w:hAnsi="Palatino Linotype"/>
          <w:i/>
          <w:sz w:val="22"/>
          <w:szCs w:val="22"/>
        </w:rPr>
        <w:t>los</w:t>
      </w:r>
      <w:proofErr w:type="gramEnd"/>
      <w:r>
        <w:rPr>
          <w:rFonts w:ascii="Palatino Linotype" w:hAnsi="Palatino Linotype"/>
          <w:i/>
          <w:sz w:val="22"/>
          <w:szCs w:val="22"/>
        </w:rPr>
        <w:t xml:space="preserve"> hijas o hijos de las mujeres privadas de su libertad, o en su defecto, para el esparcimiento del niño o niña en las visitas a su madre. En el supuesto en el que las Autoridades determinen el traslado de una mujer embarazada o </w:t>
      </w:r>
      <w:proofErr w:type="gramStart"/>
      <w:r>
        <w:rPr>
          <w:rFonts w:ascii="Palatino Linotype" w:hAnsi="Palatino Linotype"/>
          <w:i/>
          <w:sz w:val="22"/>
          <w:szCs w:val="22"/>
        </w:rPr>
        <w:t>cuyos</w:t>
      </w:r>
      <w:proofErr w:type="gramEnd"/>
      <w:r>
        <w:rPr>
          <w:rFonts w:ascii="Palatino Linotype" w:hAnsi="Palatino Linotype"/>
          <w:i/>
          <w:sz w:val="22"/>
          <w:szCs w:val="22"/>
        </w:rPr>
        <w:t xml:space="preserve"> hijas o hijos vivan en el Centro Penitenciario con ella, se garantizará en todo momento el interés superior de la niñez. Las disposiciones aplicables preverán un régimen específico de visitas para las personas menores de edad que no superen los diez años y no convivan con la madre en el Centro Penitenciario. Estas visitas se realizarán sin restricciones de ningún tipo en cuanto a frecuencia e intimidad, y su duración y horario se ajustarán a la organización interna de los Centros.”</w:t>
      </w:r>
    </w:p>
    <w:p w:rsidR="00D22DAC" w:rsidRDefault="00D22DAC">
      <w:pPr>
        <w:ind w:left="851" w:right="899"/>
        <w:jc w:val="both"/>
        <w:rPr>
          <w:rFonts w:ascii="Palatino Linotype" w:hAnsi="Palatino Linotype"/>
          <w:b/>
          <w:i/>
          <w:sz w:val="22"/>
          <w:szCs w:val="22"/>
        </w:rPr>
      </w:pP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(Énfasis añadido)</w:t>
      </w:r>
    </w:p>
    <w:p w:rsidR="00D22DAC" w:rsidRDefault="00D22DAC">
      <w:pPr>
        <w:ind w:left="851" w:right="899"/>
        <w:jc w:val="both"/>
        <w:rPr>
          <w:rFonts w:ascii="Palatino Linotype" w:hAnsi="Palatino Linotype"/>
          <w:i/>
          <w:sz w:val="22"/>
          <w:szCs w:val="22"/>
        </w:rPr>
      </w:pPr>
    </w:p>
    <w:p w:rsidR="00D22DAC" w:rsidRDefault="00D22DAC">
      <w:pPr>
        <w:spacing w:line="360" w:lineRule="auto"/>
        <w:ind w:right="51"/>
        <w:jc w:val="both"/>
        <w:rPr>
          <w:rFonts w:ascii="Palatino Linotype" w:hAnsi="Palatino Linotype"/>
        </w:rPr>
      </w:pPr>
    </w:p>
    <w:p w:rsidR="00D22DAC" w:rsidRDefault="00CC3CB2">
      <w:pPr>
        <w:spacing w:line="360" w:lineRule="auto"/>
        <w:ind w:right="51"/>
        <w:jc w:val="both"/>
        <w:rPr>
          <w:rFonts w:ascii="Palatino Linotype" w:hAnsi="Palatino Linotype"/>
        </w:rPr>
      </w:pPr>
      <w:r>
        <w:rPr>
          <w:rFonts w:ascii="Palatino Linotype" w:hAnsi="Palatino Linotype"/>
        </w:rPr>
        <w:t xml:space="preserve">En este mismo orden de ideas y de acuerdo a lo señalado por </w:t>
      </w:r>
      <w:r>
        <w:rPr>
          <w:rFonts w:ascii="Palatino Linotype" w:hAnsi="Palatino Linotype"/>
          <w:b/>
        </w:rPr>
        <w:t>EL SUJETO OBLIGADO</w:t>
      </w:r>
      <w:r>
        <w:rPr>
          <w:rFonts w:ascii="Palatino Linotype" w:hAnsi="Palatino Linotype"/>
        </w:rPr>
        <w:t>,  mediante Informe Justificado, refirió que el número de niños que viven al interior de los centros penitenciarios con sus madres, correspondía a información generada por la es la Secretaría de Seguridad, a través de la Subsecretaría de Control Penitenciario.</w:t>
      </w:r>
    </w:p>
    <w:p w:rsidR="00D22DAC" w:rsidRDefault="00D22DAC">
      <w:pPr>
        <w:spacing w:line="360" w:lineRule="auto"/>
        <w:ind w:right="51"/>
        <w:jc w:val="both"/>
        <w:rPr>
          <w:rFonts w:ascii="Palatino Linotype" w:hAnsi="Palatino Linotype"/>
        </w:rPr>
      </w:pPr>
    </w:p>
    <w:p w:rsidR="00D22DAC" w:rsidRDefault="00CC3CB2">
      <w:pPr>
        <w:spacing w:line="360" w:lineRule="auto"/>
        <w:ind w:right="51"/>
        <w:jc w:val="both"/>
        <w:rPr>
          <w:rFonts w:ascii="Palatino Linotype" w:hAnsi="Palatino Linotype"/>
        </w:rPr>
      </w:pPr>
      <w:r>
        <w:rPr>
          <w:rFonts w:ascii="Palatino Linotype" w:hAnsi="Palatino Linotype"/>
        </w:rPr>
        <w:t xml:space="preserve">De esta manera, </w:t>
      </w:r>
      <w:r>
        <w:rPr>
          <w:rFonts w:ascii="Palatino Linotype" w:hAnsi="Palatino Linotype"/>
          <w:b/>
          <w:u w:val="single"/>
        </w:rPr>
        <w:t>a la Secretaría de Seguridad le corresponde establecer y vigilar la operación de los procedimientos de administración, seguridad, control, vigilancia y apoyo logístico del sistema penitenciario</w:t>
      </w:r>
      <w:r>
        <w:rPr>
          <w:rFonts w:ascii="Palatino Linotype" w:hAnsi="Palatino Linotype"/>
        </w:rPr>
        <w:t xml:space="preserve">, de conformidad con el  artículo 21 Bis, fracción XIX de la Ley Orgánica de la Administración Pública del Estado de México y de acuerdo al artículo 17 del Reglamento Interior de la Secretaría de Seguridad, la Subsecretaría de Control Penitenciario, entre otras cosas se encarga de coordinar, supervisar y evaluar las acciones que en materia de información penitenciaria que se </w:t>
      </w:r>
      <w:r>
        <w:rPr>
          <w:rFonts w:ascii="Palatino Linotype" w:hAnsi="Palatino Linotype"/>
        </w:rPr>
        <w:lastRenderedPageBreak/>
        <w:t>generen para la compilación estadística de los Centros e implementar programas para la dignificación de la población penitenciara, tal como se advierte a continuación:</w:t>
      </w:r>
    </w:p>
    <w:p w:rsidR="00D22DAC" w:rsidRDefault="00D22DAC">
      <w:pPr>
        <w:ind w:right="899"/>
        <w:jc w:val="both"/>
        <w:rPr>
          <w:rFonts w:ascii="Palatino Linotype" w:hAnsi="Palatino Linotype"/>
          <w:b/>
          <w:i/>
          <w:sz w:val="22"/>
          <w:szCs w:val="22"/>
        </w:rPr>
      </w:pP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“Artículo 8.</w:t>
      </w:r>
      <w:r>
        <w:rPr>
          <w:rFonts w:ascii="Palatino Linotype" w:hAnsi="Palatino Linotype"/>
          <w:i/>
          <w:sz w:val="22"/>
          <w:szCs w:val="22"/>
        </w:rPr>
        <w:t xml:space="preserve"> Para el estudio, planeación y despacho de los asuntos de su competencia, así como para atender las funciones de control y evaluación que le corresponden, la Secretaría se auxiliará de las Unidades Administrativas siguientes: </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 xml:space="preserve">I. Subsecretaría de Control Penitenciario;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a) Dirección General de Prevención y Reinserción Social;</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Artículo 17</w:t>
      </w:r>
      <w:r>
        <w:rPr>
          <w:rFonts w:ascii="Palatino Linotype" w:hAnsi="Palatino Linotype"/>
          <w:i/>
          <w:sz w:val="22"/>
          <w:szCs w:val="22"/>
        </w:rPr>
        <w:t xml:space="preserve">. </w:t>
      </w:r>
      <w:r>
        <w:rPr>
          <w:rFonts w:ascii="Palatino Linotype" w:hAnsi="Palatino Linotype"/>
          <w:b/>
          <w:i/>
          <w:sz w:val="22"/>
          <w:szCs w:val="22"/>
        </w:rPr>
        <w:t>Corresponden a la Subsecretaría de Control Penitenciario las siguientes atribuciones:</w:t>
      </w:r>
      <w:r>
        <w:rPr>
          <w:rFonts w:ascii="Palatino Linotype" w:hAnsi="Palatino Linotype"/>
          <w:i/>
          <w:sz w:val="22"/>
          <w:szCs w:val="22"/>
        </w:rPr>
        <w:t xml:space="preserve">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 xml:space="preserve">I. Establecer políticas para la ejecución de los programas, previamente aprobados por el Secretario, para la reinserción social de las Personas Privadas de su Libertad, de conformidad con la normatividad aplicable en la materia;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 xml:space="preserve">II. Organizar y llevar a cabo la aplicación de políticas, programas, tratamientos y procesos técnicos de reinserción social que respondan a las condiciones socioeconómicas del Estado y a las características de las Personas Privadas de su Libertad, a fin de prevenir la seguridad de éstas;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 xml:space="preserve">III. Dirigir la aplicación de los tratamientos y asistencia técnica de reinserción social con base en el trabajo, la capacitación para el mismo, la educación, la salud y el deporte como medios para lograr la reinserción de las y los sentenciados a la sociedad; </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 xml:space="preserve">IV. Instruir la elaboración de informes estadísticos de la población de Personas Privadas de su Libertad en los Centros;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 xml:space="preserve">V. Administrar, supervisar y mantener actualizados los registros institucionales, referentes a los antecedentes personales, judiciales, criminógenos y administrativos penitenciarios de las Personas Privadas de su Libertad por resolución de la autoridad competente; </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VI. Controlar el sistema de registro dactilar, generando procesos que permitan optimizar dicho proceso;</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VII. Instruir el registro y el traslado de las Personas Privadas de su Libertad, en los casos previstos en las disposiciones jurídicas en la materia;</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VIII. Vigilar el cumplimiento de lo señalado en la Ley Nacional de Ejecución Penal, Ley Nacional del Sistema Integral de Justicia Penal para Adolescentes y demás disposiciones jurídicas aplicables, en el ámbito de su competencia;</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IX. Coadyuvar en la instrumentación adecuada de los programas de mejoramiento a la infraestructura de los Centros;</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 Supervisar los proyectos para la construcción y remodelación de los Centros;</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lastRenderedPageBreak/>
        <w:t>XI. Participar de manera coordinada con las autoridades competentes, a fin de llevar a cabo actividades y programas tendientes a mejorar las condiciones de las y los adolescentes privados de su libertad;</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XII. Supervisar y evaluar en el ámbito de su competencia, las funciones directivas, técnicas, administrativas, de seguridad y custodia de los Centros, proponiendo al Secretario las medidas que estime necesarias para su mejoramiento;</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XIII. Vigilar que las o los titulares de los Centros, pongan en inmediata libertad a las personas sentenciadas, indiciadas, procesadas, cuando así sea ordenado por la autoridad competente o que hayan recibido un beneficio de libertad anticipada, siempre y cuando no se encuentren a disposición de alguna otra autoridad competente por la cual deban permanecer detenidas;</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XIV. Implementar programas educativos y culturales, así como de producción laboral penitenciaria, con retribución económica justa a las Personas Privadas de su Libertad del fuero común, en los términos de las disposiciones jurídicas de la materia;</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XV. Planear, programar y presupuestar las actividades que le correspondan, así como formular, controlar y evaluar los programas que requiera para el desarrollo de sus atribuciones;</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XVI. Proponer al Secretario la celebración de contratos y convenios relativos al ejercicio de sus atribuciones;</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XVII. Coordinar acciones y actividades con otras Unidades Administrativas, para el cumplimiento eficaz de sus atribuciones;</w:t>
      </w: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XVIII. Coordinar, supervisar y evaluar las acciones que en materia de información penitenciaria se generen para la compilación estadística de los Centros;</w:t>
      </w:r>
    </w:p>
    <w:p w:rsidR="00D22DAC" w:rsidRDefault="00CC3CB2">
      <w:pPr>
        <w:ind w:left="851" w:right="899"/>
        <w:jc w:val="both"/>
        <w:rPr>
          <w:rFonts w:ascii="Palatino Linotype" w:hAnsi="Palatino Linotype"/>
          <w:i/>
          <w:sz w:val="22"/>
          <w:szCs w:val="22"/>
        </w:rPr>
      </w:pPr>
      <w:r>
        <w:rPr>
          <w:rFonts w:ascii="Palatino Linotype" w:hAnsi="Palatino Linotype"/>
          <w:b/>
          <w:i/>
          <w:sz w:val="22"/>
          <w:szCs w:val="22"/>
        </w:rPr>
        <w:t>XIX. Implementar programas para la dignificación de la población penitenciara</w:t>
      </w:r>
      <w:r>
        <w:rPr>
          <w:rFonts w:ascii="Palatino Linotype" w:hAnsi="Palatino Linotype"/>
          <w:i/>
          <w:sz w:val="22"/>
          <w:szCs w:val="22"/>
        </w:rPr>
        <w:t>;</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XX. Promover periódicamente la actualización de los cuerpos de seguridad de los Centros, mediante la impartición de cursos en materia de seguridad aplicables al desempeño de su labor;</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XXI. Aprobar y supervisar los programas de trabajo de las Unidades Administrativas adscritas a la Subsecretaría a su cargo;</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XXII. Proponer al Secretario, los programas, lineamientos, políticas y medidas necesarias para la prevención del delito;</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t>XXIII. Autorizar los nombramientos, adscripciones y comisiones de los Servidores Públicos de las áreas administrativas a su cargo, con excepción de los Titulares de las Unidades Administrativas, conforme a las necesidades del servicio, informando a la Oficialía Mayor para los efectos administrativos conducentes, y</w:t>
      </w:r>
    </w:p>
    <w:p w:rsidR="00D22DAC" w:rsidRDefault="00CC3CB2">
      <w:pPr>
        <w:ind w:left="851" w:right="899"/>
        <w:jc w:val="both"/>
        <w:rPr>
          <w:rFonts w:ascii="Palatino Linotype" w:hAnsi="Palatino Linotype"/>
          <w:i/>
          <w:sz w:val="22"/>
          <w:szCs w:val="22"/>
        </w:rPr>
      </w:pPr>
      <w:r>
        <w:rPr>
          <w:rFonts w:ascii="Palatino Linotype" w:hAnsi="Palatino Linotype"/>
          <w:i/>
          <w:sz w:val="22"/>
          <w:szCs w:val="22"/>
        </w:rPr>
        <w:lastRenderedPageBreak/>
        <w:t>XXIV. Las demás que le confieran otras disposiciones jurídicas y las que le encomiende el Secretario.”</w:t>
      </w:r>
    </w:p>
    <w:p w:rsidR="00D22DAC" w:rsidRDefault="00D22DAC">
      <w:pPr>
        <w:ind w:left="851" w:right="899"/>
        <w:jc w:val="both"/>
        <w:rPr>
          <w:rFonts w:ascii="Palatino Linotype" w:hAnsi="Palatino Linotype"/>
          <w:b/>
          <w:i/>
          <w:sz w:val="22"/>
          <w:szCs w:val="22"/>
        </w:rPr>
      </w:pPr>
    </w:p>
    <w:p w:rsidR="00D22DAC" w:rsidRDefault="00CC3CB2">
      <w:pPr>
        <w:ind w:left="851" w:right="899"/>
        <w:jc w:val="both"/>
        <w:rPr>
          <w:rFonts w:ascii="Palatino Linotype" w:hAnsi="Palatino Linotype"/>
          <w:b/>
          <w:i/>
          <w:sz w:val="22"/>
          <w:szCs w:val="22"/>
        </w:rPr>
      </w:pPr>
      <w:r>
        <w:rPr>
          <w:rFonts w:ascii="Palatino Linotype" w:hAnsi="Palatino Linotype"/>
          <w:b/>
          <w:i/>
          <w:sz w:val="22"/>
          <w:szCs w:val="22"/>
        </w:rPr>
        <w:t>(Énfasis añadido)</w:t>
      </w:r>
    </w:p>
    <w:p w:rsidR="00D22DAC" w:rsidRDefault="00D22DAC">
      <w:pPr>
        <w:spacing w:line="360" w:lineRule="auto"/>
        <w:jc w:val="both"/>
        <w:rPr>
          <w:rFonts w:ascii="Palatino Linotype" w:hAnsi="Palatino Linotype"/>
        </w:rPr>
      </w:pPr>
    </w:p>
    <w:p w:rsidR="00D22DAC" w:rsidRDefault="00CC3CB2">
      <w:pPr>
        <w:spacing w:line="360" w:lineRule="auto"/>
        <w:jc w:val="both"/>
        <w:rPr>
          <w:rFonts w:ascii="Palatino Linotype" w:hAnsi="Palatino Linotype" w:cs="Arial"/>
          <w:lang w:eastAsia="es-MX"/>
        </w:rPr>
      </w:pPr>
      <w:r>
        <w:rPr>
          <w:rFonts w:ascii="Palatino Linotype" w:hAnsi="Palatino Linotype" w:cs="Arial"/>
          <w:lang w:eastAsia="es-MX"/>
        </w:rPr>
        <w:t xml:space="preserve">De lo anterior, se denota la notoria incompetencia del </w:t>
      </w:r>
      <w:r>
        <w:rPr>
          <w:rFonts w:ascii="Palatino Linotype" w:hAnsi="Palatino Linotype" w:cs="Arial"/>
          <w:b/>
          <w:lang w:eastAsia="es-MX"/>
        </w:rPr>
        <w:t>SUJETO OBLIGADO</w:t>
      </w:r>
      <w:r>
        <w:rPr>
          <w:rFonts w:ascii="Palatino Linotype" w:hAnsi="Palatino Linotype" w:cs="Arial"/>
          <w:lang w:eastAsia="es-MX"/>
        </w:rPr>
        <w:t xml:space="preserve">, para generar, poseer o administrar, la información relacionada con el número de niños que viven al interior de los centros penitenciarios con madres reclusas; </w:t>
      </w:r>
      <w:r>
        <w:rPr>
          <w:rFonts w:ascii="Palatino Linotype" w:eastAsia="Calibri" w:hAnsi="Palatino Linotype" w:cs="Arial"/>
        </w:rPr>
        <w:t>por ello, es importante mencionar que de conformidad con el artículo 167 de la Ley de Transparencia y Acceso a la Información Pública, que indica que cuando los Sujetos Obligados no son competentes para atender una solicitud de acceso a la información o parte de ella, deberán notificarlo a la particular</w:t>
      </w:r>
      <w:r>
        <w:t xml:space="preserve"> </w:t>
      </w:r>
      <w:r>
        <w:rPr>
          <w:rFonts w:ascii="Palatino Linotype" w:eastAsia="Calibri" w:hAnsi="Palatino Linotype" w:cs="Arial"/>
        </w:rPr>
        <w:t xml:space="preserve">dentro de los tres días hábiles posteriores a la recepción de la solicitud y de ser el caso, orientarlo con el Sujeto Obligado competente, situación que no ocurrió en el presente caso, dicha incompetencia tiene que ser aprobada por el Comité de Transparencia del </w:t>
      </w:r>
      <w:r>
        <w:rPr>
          <w:rFonts w:ascii="Palatino Linotype" w:eastAsia="Calibri" w:hAnsi="Palatino Linotype" w:cs="Arial"/>
          <w:b/>
        </w:rPr>
        <w:t>SUJETO OBLIGADO</w:t>
      </w:r>
      <w:r>
        <w:rPr>
          <w:rFonts w:ascii="Palatino Linotype" w:eastAsia="Calibri" w:hAnsi="Palatino Linotype" w:cs="Arial"/>
        </w:rPr>
        <w:t xml:space="preserve"> en términos del artículo 49 fracciones I y II de la Ley de Transparencia y Acceso a la Información Pública del Estado de México y Municipios, que literalmente  señala:</w:t>
      </w:r>
    </w:p>
    <w:p w:rsidR="00D22DAC" w:rsidRDefault="00D22DAC">
      <w:pPr>
        <w:spacing w:line="360" w:lineRule="auto"/>
        <w:jc w:val="both"/>
        <w:rPr>
          <w:rFonts w:ascii="Palatino Linotype" w:eastAsia="Calibri" w:hAnsi="Palatino Linotype" w:cs="Arial"/>
        </w:rPr>
      </w:pPr>
    </w:p>
    <w:p w:rsidR="00D22DAC" w:rsidRDefault="00CC3CB2">
      <w:pPr>
        <w:ind w:left="709" w:right="757"/>
        <w:jc w:val="both"/>
        <w:rPr>
          <w:rFonts w:ascii="Palatino Linotype" w:eastAsia="Calibri" w:hAnsi="Palatino Linotype" w:cs="Arial"/>
          <w:i/>
          <w:sz w:val="22"/>
        </w:rPr>
      </w:pPr>
      <w:r>
        <w:rPr>
          <w:rFonts w:ascii="Palatino Linotype" w:eastAsia="Calibri" w:hAnsi="Palatino Linotype" w:cs="Arial"/>
          <w:i/>
          <w:sz w:val="22"/>
        </w:rPr>
        <w:t>“</w:t>
      </w:r>
      <w:r>
        <w:rPr>
          <w:rFonts w:ascii="Palatino Linotype" w:eastAsia="Calibri" w:hAnsi="Palatino Linotype" w:cs="Arial"/>
          <w:b/>
          <w:i/>
          <w:sz w:val="22"/>
        </w:rPr>
        <w:t>Artículo 49</w:t>
      </w:r>
      <w:r>
        <w:rPr>
          <w:rFonts w:ascii="Palatino Linotype" w:eastAsia="Calibri" w:hAnsi="Palatino Linotype" w:cs="Arial"/>
          <w:i/>
          <w:sz w:val="22"/>
        </w:rPr>
        <w:t xml:space="preserve">. </w:t>
      </w:r>
      <w:r>
        <w:rPr>
          <w:rFonts w:ascii="Palatino Linotype" w:eastAsia="Calibri" w:hAnsi="Palatino Linotype" w:cs="Arial"/>
          <w:b/>
          <w:i/>
          <w:sz w:val="22"/>
        </w:rPr>
        <w:t>Los Comités de Transparencia tendrán las siguientes atribuciones</w:t>
      </w:r>
      <w:r>
        <w:rPr>
          <w:rFonts w:ascii="Palatino Linotype" w:eastAsia="Calibri" w:hAnsi="Palatino Linotype" w:cs="Arial"/>
          <w:i/>
          <w:sz w:val="22"/>
        </w:rPr>
        <w:t>:</w:t>
      </w:r>
    </w:p>
    <w:p w:rsidR="00D22DAC" w:rsidRDefault="00D22DAC">
      <w:pPr>
        <w:ind w:left="709" w:right="757"/>
        <w:jc w:val="both"/>
        <w:rPr>
          <w:rFonts w:ascii="Palatino Linotype" w:eastAsia="Calibri" w:hAnsi="Palatino Linotype" w:cs="Arial"/>
          <w:i/>
          <w:sz w:val="22"/>
        </w:rPr>
      </w:pPr>
    </w:p>
    <w:p w:rsidR="00D22DAC" w:rsidRDefault="00CC3CB2">
      <w:pPr>
        <w:ind w:left="709" w:right="757"/>
        <w:jc w:val="both"/>
        <w:rPr>
          <w:rFonts w:ascii="Palatino Linotype" w:eastAsia="Calibri" w:hAnsi="Palatino Linotype" w:cs="Arial"/>
          <w:i/>
          <w:sz w:val="22"/>
        </w:rPr>
      </w:pPr>
      <w:r>
        <w:rPr>
          <w:rFonts w:ascii="Palatino Linotype" w:eastAsia="Calibri" w:hAnsi="Palatino Linotype" w:cs="Arial"/>
          <w:b/>
          <w:i/>
          <w:sz w:val="22"/>
        </w:rPr>
        <w:t>I</w:t>
      </w:r>
      <w:r>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D22DAC" w:rsidRDefault="00D22DAC">
      <w:pPr>
        <w:ind w:left="709" w:right="757"/>
        <w:jc w:val="both"/>
        <w:rPr>
          <w:rFonts w:ascii="Palatino Linotype" w:eastAsia="Calibri" w:hAnsi="Palatino Linotype" w:cs="Arial"/>
          <w:i/>
          <w:sz w:val="22"/>
        </w:rPr>
      </w:pPr>
    </w:p>
    <w:p w:rsidR="00D22DAC" w:rsidRDefault="00CC3CB2">
      <w:pPr>
        <w:ind w:left="709" w:right="757"/>
        <w:jc w:val="both"/>
        <w:rPr>
          <w:rFonts w:ascii="Palatino Linotype" w:eastAsia="Calibri" w:hAnsi="Palatino Linotype" w:cs="Arial"/>
          <w:i/>
          <w:sz w:val="22"/>
        </w:rPr>
      </w:pPr>
      <w:r>
        <w:rPr>
          <w:rFonts w:ascii="Palatino Linotype" w:eastAsia="Calibri" w:hAnsi="Palatino Linotype" w:cs="Arial"/>
          <w:b/>
          <w:i/>
          <w:sz w:val="22"/>
        </w:rPr>
        <w:t>II</w:t>
      </w:r>
      <w:r>
        <w:rPr>
          <w:rFonts w:ascii="Palatino Linotype" w:eastAsia="Calibri" w:hAnsi="Palatino Linotype" w:cs="Arial"/>
          <w:i/>
          <w:sz w:val="22"/>
        </w:rPr>
        <w:t xml:space="preserve">. </w:t>
      </w:r>
      <w:r>
        <w:rPr>
          <w:rFonts w:ascii="Palatino Linotype" w:eastAsia="Calibri" w:hAnsi="Palatino Linotype" w:cs="Arial"/>
          <w:b/>
          <w:i/>
          <w:sz w:val="22"/>
          <w:u w:val="single"/>
        </w:rPr>
        <w:t>Confirmar, modificar o revocar las determinaciones</w:t>
      </w:r>
      <w:r>
        <w:rPr>
          <w:rFonts w:ascii="Palatino Linotype" w:eastAsia="Calibri" w:hAnsi="Palatino Linotype" w:cs="Arial"/>
          <w:i/>
          <w:sz w:val="22"/>
        </w:rPr>
        <w:t xml:space="preserve"> que en materia de ampliación del plazo de respuesta, clasificación de la información y declaración de </w:t>
      </w:r>
      <w:r>
        <w:rPr>
          <w:rFonts w:ascii="Palatino Linotype" w:eastAsia="Calibri" w:hAnsi="Palatino Linotype" w:cs="Arial"/>
          <w:i/>
          <w:sz w:val="22"/>
        </w:rPr>
        <w:lastRenderedPageBreak/>
        <w:t xml:space="preserve">inexistencia o </w:t>
      </w:r>
      <w:r>
        <w:rPr>
          <w:rFonts w:ascii="Palatino Linotype" w:eastAsia="Calibri" w:hAnsi="Palatino Linotype" w:cs="Arial"/>
          <w:b/>
          <w:i/>
          <w:sz w:val="22"/>
          <w:u w:val="single"/>
        </w:rPr>
        <w:t>de incompetencia realicen los titulares de las áreas de los sujetos obligados</w:t>
      </w:r>
      <w:r>
        <w:rPr>
          <w:rFonts w:ascii="Palatino Linotype" w:eastAsia="Calibri" w:hAnsi="Palatino Linotype" w:cs="Arial"/>
          <w:i/>
          <w:sz w:val="22"/>
        </w:rPr>
        <w:t>;”</w:t>
      </w:r>
    </w:p>
    <w:p w:rsidR="00D22DAC" w:rsidRDefault="00D22DAC">
      <w:pPr>
        <w:spacing w:line="360" w:lineRule="auto"/>
        <w:jc w:val="both"/>
        <w:rPr>
          <w:rFonts w:ascii="Palatino Linotype" w:eastAsia="Calibri" w:hAnsi="Palatino Linotype" w:cs="Arial"/>
        </w:rPr>
      </w:pPr>
    </w:p>
    <w:p w:rsidR="00D22DAC" w:rsidRDefault="00CC3CB2">
      <w:pPr>
        <w:spacing w:line="360" w:lineRule="auto"/>
        <w:jc w:val="both"/>
        <w:rPr>
          <w:rFonts w:ascii="Palatino Linotype" w:eastAsia="Calibri" w:hAnsi="Palatino Linotype" w:cs="Arial"/>
        </w:rPr>
      </w:pPr>
      <w:r>
        <w:rPr>
          <w:rFonts w:ascii="Palatino Linotype" w:eastAsia="Calibri" w:hAnsi="Palatino Linotype" w:cs="Arial"/>
        </w:rPr>
        <w:t xml:space="preserve">En efecto, si bien </w:t>
      </w:r>
      <w:r>
        <w:rPr>
          <w:rFonts w:ascii="Palatino Linotype" w:eastAsia="Calibri" w:hAnsi="Palatino Linotype" w:cs="Arial"/>
          <w:b/>
        </w:rPr>
        <w:t>EL SUJETO OBLIGADO</w:t>
      </w:r>
      <w:r>
        <w:rPr>
          <w:rFonts w:ascii="Palatino Linotype" w:eastAsia="Calibri" w:hAnsi="Palatino Linotype" w:cs="Arial"/>
        </w:rPr>
        <w:t xml:space="preserve"> no tiene competencia para administrar, generar o poseer la información solicitada por </w:t>
      </w:r>
      <w:r>
        <w:rPr>
          <w:rFonts w:ascii="Palatino Linotype" w:eastAsia="Calibri" w:hAnsi="Palatino Linotype" w:cs="Arial"/>
          <w:b/>
        </w:rPr>
        <w:t xml:space="preserve">LA RECURRENTE, </w:t>
      </w:r>
      <w:r>
        <w:rPr>
          <w:rFonts w:ascii="Palatino Linotype" w:eastAsia="Calibri" w:hAnsi="Palatino Linotype" w:cs="Arial"/>
        </w:rPr>
        <w:t>respecto del número de niños que viven al interior de los centros penitenciarios con madres</w:t>
      </w:r>
      <w:r>
        <w:rPr>
          <w:rFonts w:ascii="Palatino Linotype" w:eastAsia="Calibri" w:hAnsi="Palatino Linotype" w:cs="Arial"/>
          <w:b/>
        </w:rPr>
        <w:t xml:space="preserve"> </w:t>
      </w:r>
      <w:r>
        <w:rPr>
          <w:rFonts w:ascii="Palatino Linotype" w:eastAsia="Calibri" w:hAnsi="Palatino Linotype" w:cs="Arial"/>
        </w:rPr>
        <w:t>reclusas, en virtud de ser atribución de diversos Sujeto Obligados denominados</w:t>
      </w:r>
      <w:r>
        <w:rPr>
          <w:rFonts w:ascii="Palatino Linotype" w:hAnsi="Palatino Linotype" w:cs="Arial"/>
        </w:rPr>
        <w:t xml:space="preserve"> Secretaría de la Seguridad y Sistema para el Desarrollo Integral de la Familia del Estado de México</w:t>
      </w:r>
      <w:r>
        <w:rPr>
          <w:rFonts w:ascii="Palatino Linotype" w:eastAsia="Calibri" w:hAnsi="Palatino Linotype" w:cs="Arial"/>
        </w:rPr>
        <w:t xml:space="preserve">, como se vio anteriormente, también lo es que, dicha incompetencia debió haber sido confirmada, modificada o revocada por el Comité de Transparencia del </w:t>
      </w:r>
      <w:r>
        <w:rPr>
          <w:rFonts w:ascii="Palatino Linotype" w:eastAsia="Calibri" w:hAnsi="Palatino Linotype" w:cs="Arial"/>
          <w:b/>
        </w:rPr>
        <w:t>SUJETO OBLIGADO</w:t>
      </w:r>
      <w:r>
        <w:rPr>
          <w:rFonts w:ascii="Palatino Linotype" w:eastAsia="Calibri" w:hAnsi="Palatino Linotype" w:cs="Arial"/>
        </w:rPr>
        <w:t xml:space="preserve"> en términos del precepto legal referido, razón por la cual se considera viable ordenar al </w:t>
      </w:r>
      <w:r>
        <w:rPr>
          <w:rFonts w:ascii="Palatino Linotype" w:eastAsia="Calibri" w:hAnsi="Palatino Linotype" w:cs="Arial"/>
          <w:b/>
        </w:rPr>
        <w:t>SUJETO OBLIGADO</w:t>
      </w:r>
      <w:r>
        <w:rPr>
          <w:rFonts w:ascii="Palatino Linotype" w:eastAsia="Calibri" w:hAnsi="Palatino Linotype" w:cs="Arial"/>
        </w:rPr>
        <w:t xml:space="preserve"> realizar a través de su Comité de Transparencia, el Acuerdo mediante el cual se confirme su incompetencia, respecto </w:t>
      </w:r>
      <w:r>
        <w:rPr>
          <w:rFonts w:ascii="Palatino Linotype" w:hAnsi="Palatino Linotype" w:cs="Arial"/>
          <w:lang w:eastAsia="es-MX"/>
        </w:rPr>
        <w:t>al número de niños que viven al interior de los centros penitenciarios con madres reclusas</w:t>
      </w:r>
      <w:r>
        <w:rPr>
          <w:rFonts w:ascii="Palatino Linotype" w:eastAsia="Calibri" w:hAnsi="Palatino Linotype" w:cs="Arial"/>
        </w:rPr>
        <w:t>, debiendo notificarle de igual forma el Acuerdo de referencia.</w:t>
      </w:r>
    </w:p>
    <w:p w:rsidR="00D22DAC" w:rsidRDefault="00D22DAC">
      <w:pPr>
        <w:spacing w:line="360" w:lineRule="auto"/>
        <w:jc w:val="both"/>
        <w:rPr>
          <w:rFonts w:ascii="Palatino Linotype" w:eastAsia="Calibri" w:hAnsi="Palatino Linotype" w:cs="Arial"/>
        </w:rPr>
      </w:pPr>
    </w:p>
    <w:p w:rsidR="00D22DAC" w:rsidRDefault="00CC3CB2">
      <w:pPr>
        <w:spacing w:line="360" w:lineRule="auto"/>
        <w:jc w:val="both"/>
        <w:rPr>
          <w:rFonts w:ascii="Palatino Linotype" w:eastAsia="Calibri" w:hAnsi="Palatino Linotype" w:cs="Arial"/>
        </w:rPr>
      </w:pPr>
      <w:r>
        <w:rPr>
          <w:rFonts w:ascii="Palatino Linotype" w:eastAsia="Calibri"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señalada, corresponde con atribuciones de Sujetos Obligados distintos al que le fue presentada la solicitud, y a fin de no dilatar el derecho de acceso a la información, se dejan a salvo los derechos de </w:t>
      </w:r>
      <w:r>
        <w:rPr>
          <w:rFonts w:ascii="Palatino Linotype" w:eastAsia="Calibri" w:hAnsi="Palatino Linotype" w:cs="Arial"/>
          <w:b/>
        </w:rPr>
        <w:t>LA</w:t>
      </w:r>
      <w:r>
        <w:rPr>
          <w:rFonts w:ascii="Palatino Linotype" w:eastAsia="Calibri" w:hAnsi="Palatino Linotype" w:cs="Arial"/>
        </w:rPr>
        <w:t xml:space="preserve"> </w:t>
      </w:r>
      <w:r>
        <w:rPr>
          <w:rFonts w:ascii="Palatino Linotype" w:eastAsia="Calibri" w:hAnsi="Palatino Linotype" w:cs="Arial"/>
          <w:b/>
        </w:rPr>
        <w:t>RECURRENTE</w:t>
      </w:r>
      <w:r>
        <w:rPr>
          <w:rFonts w:ascii="Palatino Linotype" w:eastAsia="Calibri" w:hAnsi="Palatino Linotype" w:cs="Arial"/>
        </w:rPr>
        <w:t xml:space="preserve"> para que pueda realizar la solicitud de información ante el Sujeto Obligado correspondiente.</w:t>
      </w:r>
    </w:p>
    <w:p w:rsidR="00D22DAC" w:rsidRDefault="00D22DAC">
      <w:pPr>
        <w:spacing w:line="360" w:lineRule="auto"/>
        <w:jc w:val="both"/>
        <w:rPr>
          <w:rFonts w:ascii="Palatino Linotype" w:eastAsia="Calibri" w:hAnsi="Palatino Linotype" w:cs="Arial"/>
        </w:rPr>
      </w:pPr>
    </w:p>
    <w:p w:rsidR="00D22DAC" w:rsidRDefault="00CC3CB2">
      <w:pPr>
        <w:spacing w:beforeAutospacing="1" w:afterAutospacing="1" w:line="360" w:lineRule="auto"/>
        <w:contextualSpacing/>
        <w:jc w:val="both"/>
        <w:rPr>
          <w:rFonts w:ascii="Palatino Linotype" w:hAnsi="Palatino Linotype" w:cs="Arial"/>
        </w:rPr>
      </w:pPr>
      <w:r>
        <w:rPr>
          <w:rFonts w:ascii="Palatino Linotype" w:hAnsi="Palatino Linotype" w:cs="Arial"/>
        </w:rPr>
        <w:lastRenderedPageBreak/>
        <w:t>Finalmente, de los expedientes electrónicos del SAIMEX</w:t>
      </w:r>
      <w:r>
        <w:rPr>
          <w:rFonts w:ascii="Palatino Linotype" w:hAnsi="Palatino Linotype" w:cs="Arial"/>
          <w:b/>
        </w:rPr>
        <w:t xml:space="preserve">; </w:t>
      </w:r>
      <w:r>
        <w:rPr>
          <w:rFonts w:ascii="Palatino Linotype" w:eastAsiaTheme="minorEastAsia" w:hAnsi="Palatino Linotype" w:cs="Arial"/>
          <w:lang w:val="es-ES_tradnl"/>
        </w:rPr>
        <w:t xml:space="preserve">se observa que </w:t>
      </w:r>
      <w:r>
        <w:rPr>
          <w:rFonts w:ascii="Palatino Linotype" w:hAnsi="Palatino Linotype" w:cs="Arial"/>
        </w:rPr>
        <w:t xml:space="preserve">la </w:t>
      </w:r>
      <w:r>
        <w:rPr>
          <w:rFonts w:ascii="Palatino Linotype" w:hAnsi="Palatino Linotype"/>
          <w:color w:val="222222"/>
          <w:shd w:val="clear" w:color="auto" w:fill="FFFFFF"/>
        </w:rPr>
        <w:t>Titular de la Unidad de Transparencia</w:t>
      </w:r>
      <w:r>
        <w:rPr>
          <w:rFonts w:ascii="Palatino Linotype" w:hAnsi="Palatino Linotype" w:cs="Arial"/>
        </w:rPr>
        <w:t xml:space="preserve"> omitió turnar la solicitud a todas la áreas que pudieran contar o podrían ser competentes para contar con la información solicitada por la particular de acuerdo a sus facultades, competencias y funciones, con el objeto de que se realizara una búsqueda exhaustiva y razonable de la información solicitada.</w:t>
      </w:r>
    </w:p>
    <w:p w:rsidR="00D22DAC" w:rsidRDefault="00D22DAC">
      <w:pPr>
        <w:spacing w:beforeAutospacing="1" w:afterAutospacing="1" w:line="360" w:lineRule="auto"/>
        <w:contextualSpacing/>
        <w:jc w:val="both"/>
        <w:rPr>
          <w:rFonts w:ascii="Palatino Linotype" w:hAnsi="Palatino Linotype" w:cs="Arial"/>
        </w:rPr>
      </w:pPr>
    </w:p>
    <w:p w:rsidR="00D22DAC" w:rsidRDefault="00CC3CB2">
      <w:pPr>
        <w:spacing w:beforeAutospacing="1" w:afterAutospacing="1" w:line="360" w:lineRule="auto"/>
        <w:contextualSpacing/>
        <w:jc w:val="both"/>
        <w:rPr>
          <w:rFonts w:ascii="Palatino Linotype" w:hAnsi="Palatino Linotype" w:cs="Arial"/>
        </w:rPr>
      </w:pPr>
      <w:r>
        <w:rPr>
          <w:rFonts w:ascii="Palatino Linotype" w:hAnsi="Palatino Linotype" w:cs="Arial"/>
        </w:rPr>
        <w:t>Ahora bien, a efecto de determinar la legalidad de la respuesta proporcionada, es necesario tomar en cuenta las siguientes disposiciones de la Ley adjetiva en la materia.</w:t>
      </w:r>
    </w:p>
    <w:p w:rsidR="00D22DAC" w:rsidRDefault="00D22DAC">
      <w:pPr>
        <w:spacing w:beforeAutospacing="1" w:afterAutospacing="1"/>
        <w:ind w:left="851" w:right="901"/>
        <w:contextualSpacing/>
        <w:jc w:val="both"/>
        <w:rPr>
          <w:rFonts w:ascii="Palatino Linotype" w:hAnsi="Palatino Linotype"/>
          <w:i/>
          <w:sz w:val="22"/>
          <w:szCs w:val="22"/>
        </w:rPr>
      </w:pP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50.</w:t>
      </w:r>
      <w:r>
        <w:rPr>
          <w:rFonts w:ascii="Palatino Linotype" w:hAnsi="Palatino Linotype"/>
          <w:i/>
          <w:sz w:val="22"/>
          <w:szCs w:val="22"/>
        </w:rPr>
        <w:t xml:space="preserve"> Los sujetos obligados contarán con un área responsable para la atención de las solicitudes de </w:t>
      </w:r>
      <w:r>
        <w:rPr>
          <w:rFonts w:ascii="Palatino Linotype" w:hAnsi="Palatino Linotype" w:cs="Arial"/>
          <w:i/>
          <w:sz w:val="22"/>
          <w:szCs w:val="22"/>
          <w:lang w:eastAsia="es-MX"/>
        </w:rPr>
        <w:t>información</w:t>
      </w:r>
      <w:r>
        <w:rPr>
          <w:rFonts w:ascii="Palatino Linotype" w:hAnsi="Palatino Linotype"/>
          <w:i/>
          <w:sz w:val="22"/>
          <w:szCs w:val="22"/>
        </w:rPr>
        <w:t>, a la que se le denominará Unidad de Transparencia.</w:t>
      </w:r>
    </w:p>
    <w:p w:rsidR="00D22DAC" w:rsidRDefault="00D22DAC">
      <w:pPr>
        <w:spacing w:beforeAutospacing="1" w:afterAutospacing="1"/>
        <w:ind w:left="567" w:right="618"/>
        <w:contextualSpacing/>
        <w:jc w:val="both"/>
        <w:rPr>
          <w:rFonts w:ascii="Palatino Linotype" w:hAnsi="Palatino Linotype"/>
          <w:i/>
          <w:sz w:val="22"/>
          <w:szCs w:val="22"/>
        </w:rPr>
      </w:pP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b/>
          <w:i/>
          <w:sz w:val="22"/>
          <w:szCs w:val="22"/>
        </w:rPr>
        <w:t>Artículo 51</w:t>
      </w:r>
      <w:r>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Pr>
          <w:rFonts w:ascii="Palatino Linotype" w:hAnsi="Palatino Linotype" w:cs="Arial"/>
          <w:i/>
          <w:sz w:val="22"/>
          <w:szCs w:val="22"/>
          <w:lang w:eastAsia="es-MX"/>
        </w:rPr>
        <w:t>internamente</w:t>
      </w:r>
      <w:r>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22DAC" w:rsidRDefault="00D22DAC">
      <w:pPr>
        <w:spacing w:beforeAutospacing="1" w:afterAutospacing="1"/>
        <w:ind w:left="567" w:right="618"/>
        <w:contextualSpacing/>
        <w:jc w:val="both"/>
        <w:rPr>
          <w:rFonts w:ascii="Palatino Linotype" w:hAnsi="Palatino Linotype"/>
          <w:i/>
          <w:sz w:val="22"/>
          <w:szCs w:val="22"/>
        </w:rPr>
      </w:pP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b/>
          <w:i/>
          <w:sz w:val="22"/>
          <w:szCs w:val="22"/>
        </w:rPr>
        <w:t>Artículo 53</w:t>
      </w:r>
      <w:r>
        <w:rPr>
          <w:rFonts w:ascii="Palatino Linotype" w:hAnsi="Palatino Linotype"/>
          <w:i/>
          <w:sz w:val="22"/>
          <w:szCs w:val="22"/>
        </w:rPr>
        <w:t xml:space="preserve">. Las Unidades de </w:t>
      </w:r>
      <w:r>
        <w:rPr>
          <w:rFonts w:ascii="Palatino Linotype" w:hAnsi="Palatino Linotype" w:cs="Arial"/>
          <w:i/>
          <w:sz w:val="22"/>
          <w:szCs w:val="22"/>
          <w:lang w:eastAsia="es-MX"/>
        </w:rPr>
        <w:t>Transparencia</w:t>
      </w:r>
      <w:r>
        <w:rPr>
          <w:rFonts w:ascii="Palatino Linotype" w:hAnsi="Palatino Linotype"/>
          <w:i/>
          <w:sz w:val="22"/>
          <w:szCs w:val="22"/>
        </w:rPr>
        <w:t xml:space="preserve"> tendrán las siguientes funciones:</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 xml:space="preserve">I. Recabar, difundir y actualizar la información relativa a las obligaciones de transparencia comunes y específicas a la </w:t>
      </w:r>
      <w:r>
        <w:rPr>
          <w:rFonts w:ascii="Palatino Linotype" w:hAnsi="Palatino Linotype" w:cs="Arial"/>
          <w:i/>
          <w:sz w:val="22"/>
          <w:szCs w:val="22"/>
          <w:lang w:eastAsia="es-MX"/>
        </w:rPr>
        <w:t>que</w:t>
      </w:r>
      <w:r>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D22DAC" w:rsidRDefault="00CC3CB2">
      <w:pPr>
        <w:spacing w:beforeAutospacing="1" w:afterAutospacing="1"/>
        <w:ind w:left="851" w:right="901"/>
        <w:contextualSpacing/>
        <w:jc w:val="both"/>
        <w:rPr>
          <w:rFonts w:ascii="Palatino Linotype" w:hAnsi="Palatino Linotype"/>
          <w:b/>
          <w:i/>
          <w:sz w:val="22"/>
          <w:szCs w:val="22"/>
        </w:rPr>
      </w:pPr>
      <w:r>
        <w:rPr>
          <w:rFonts w:ascii="Palatino Linotype" w:hAnsi="Palatino Linotype"/>
          <w:b/>
          <w:i/>
          <w:sz w:val="22"/>
          <w:szCs w:val="22"/>
        </w:rPr>
        <w:t xml:space="preserve">II. Recibir, </w:t>
      </w:r>
      <w:r>
        <w:rPr>
          <w:rFonts w:ascii="Palatino Linotype" w:hAnsi="Palatino Linotype"/>
          <w:b/>
          <w:i/>
          <w:sz w:val="22"/>
          <w:szCs w:val="22"/>
          <w:u w:val="single"/>
        </w:rPr>
        <w:t>tramitar</w:t>
      </w:r>
      <w:r>
        <w:rPr>
          <w:rFonts w:ascii="Palatino Linotype" w:hAnsi="Palatino Linotype"/>
          <w:b/>
          <w:i/>
          <w:sz w:val="22"/>
          <w:szCs w:val="22"/>
        </w:rPr>
        <w:t xml:space="preserve"> y dar respuesta a las solicitudes de acceso a la información;</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 xml:space="preserve">III. Auxiliar a los particulares en la elaboración de solicitudes de acceso a la información y, en su caso, orientarlos sobre los sujetos </w:t>
      </w:r>
      <w:r>
        <w:rPr>
          <w:rFonts w:ascii="Palatino Linotype" w:hAnsi="Palatino Linotype" w:cs="Arial"/>
          <w:i/>
          <w:sz w:val="22"/>
          <w:szCs w:val="22"/>
          <w:lang w:eastAsia="es-MX"/>
        </w:rPr>
        <w:t>obligados</w:t>
      </w:r>
      <w:r>
        <w:rPr>
          <w:rFonts w:ascii="Palatino Linotype" w:hAnsi="Palatino Linotype"/>
          <w:i/>
          <w:sz w:val="22"/>
          <w:szCs w:val="22"/>
        </w:rPr>
        <w:t xml:space="preserve"> competentes conforme a la normatividad aplicable;</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IV. Realizar, con efectividad, los trámites internos necesarios para la atención de las solicitudes de acceso a la información;</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lastRenderedPageBreak/>
        <w:t>V. Entregar, en su caso, a los particulares la información solicitada;</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VI. Efectuar las notificaciones a los solicitantes;</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X. Presentar ante el Comité, el proyecto de clasificación de información;</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XI. Promover e implementar políticas de transparencia proactiva procurando su accesibilidad;</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XII. Fomentar la transparencia y accesibilidad al interior del sujeto obligado;</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XIII. Hacer del conocimiento de la instancia competente la probable responsabilidad por el incumplimiento de las obligaciones previstas en la presente Ley; y</w:t>
      </w:r>
    </w:p>
    <w:p w:rsidR="00D22DAC" w:rsidRDefault="00D22DAC">
      <w:pPr>
        <w:spacing w:beforeAutospacing="1" w:afterAutospacing="1"/>
        <w:ind w:left="851" w:right="901"/>
        <w:contextualSpacing/>
        <w:jc w:val="both"/>
        <w:rPr>
          <w:rFonts w:ascii="Palatino Linotype" w:hAnsi="Palatino Linotype"/>
          <w:i/>
          <w:sz w:val="22"/>
          <w:szCs w:val="22"/>
        </w:rPr>
      </w:pP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22DAC" w:rsidRDefault="00D22DAC">
      <w:pPr>
        <w:spacing w:beforeAutospacing="1" w:afterAutospacing="1"/>
        <w:ind w:left="567" w:right="618"/>
        <w:contextualSpacing/>
        <w:jc w:val="both"/>
        <w:rPr>
          <w:rFonts w:ascii="Palatino Linotype" w:hAnsi="Palatino Linotype"/>
          <w:i/>
          <w:sz w:val="22"/>
          <w:szCs w:val="22"/>
        </w:rPr>
      </w:pP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Los servidores públicos habilitados tendrán las funciones siguientes:</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I. Localizar la información que le solicite la Unidad de Transparencia;</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II. Proporcionar la información que obre en los archivos y que le sea solicitada por la Unidad de Transparencia;</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lastRenderedPageBreak/>
        <w:t>III. Apoyar a la Unidad de Transparencia en lo que esta le solicite para el cumplimiento de sus funciones;</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IV. Proporcionar a la Unidad de Transparencia, las modificaciones a la información pública de oficio que obre en su poder;</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VI. Verificar, una vez analizado el contenido de la información, que no se encuentre en los supuestos de información clasificada; y</w:t>
      </w: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i/>
          <w:sz w:val="22"/>
          <w:szCs w:val="22"/>
        </w:rPr>
        <w:t>VII. Dar cuenta a la Unidad de Transparencia del vencimiento de los plazos de reserva.</w:t>
      </w:r>
    </w:p>
    <w:p w:rsidR="00D22DAC" w:rsidRDefault="00D22DAC">
      <w:pPr>
        <w:spacing w:beforeAutospacing="1" w:afterAutospacing="1"/>
        <w:ind w:left="567" w:right="618"/>
        <w:contextualSpacing/>
        <w:jc w:val="both"/>
        <w:rPr>
          <w:rFonts w:ascii="Palatino Linotype" w:hAnsi="Palatino Linotype"/>
          <w:i/>
          <w:sz w:val="22"/>
          <w:szCs w:val="22"/>
        </w:rPr>
      </w:pPr>
    </w:p>
    <w:p w:rsidR="00D22DAC" w:rsidRDefault="00CC3CB2">
      <w:pPr>
        <w:spacing w:beforeAutospacing="1" w:afterAutospacing="1"/>
        <w:ind w:left="851" w:right="901"/>
        <w:contextualSpacing/>
        <w:jc w:val="both"/>
        <w:rPr>
          <w:rFonts w:ascii="Palatino Linotype" w:hAnsi="Palatino Linotype"/>
          <w:i/>
          <w:sz w:val="22"/>
          <w:szCs w:val="22"/>
        </w:rPr>
      </w:pPr>
      <w:r>
        <w:rPr>
          <w:rFonts w:ascii="Palatino Linotype" w:hAnsi="Palatino Linotype"/>
          <w:b/>
          <w:i/>
          <w:sz w:val="22"/>
          <w:szCs w:val="22"/>
        </w:rPr>
        <w:t>Artículo 162</w:t>
      </w:r>
      <w:r>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22DAC" w:rsidRDefault="00D22DAC">
      <w:pPr>
        <w:spacing w:beforeAutospacing="1" w:afterAutospacing="1"/>
        <w:contextualSpacing/>
        <w:jc w:val="both"/>
        <w:rPr>
          <w:rFonts w:ascii="Palatino Linotype" w:hAnsi="Palatino Linotype" w:cs="Arial"/>
        </w:rPr>
      </w:pPr>
    </w:p>
    <w:p w:rsidR="00D22DAC" w:rsidRDefault="00CC3CB2">
      <w:pPr>
        <w:spacing w:beforeAutospacing="1" w:afterAutospacing="1" w:line="360" w:lineRule="auto"/>
        <w:contextualSpacing/>
        <w:jc w:val="both"/>
        <w:rPr>
          <w:rFonts w:ascii="Palatino Linotype" w:eastAsia="Calibri" w:hAnsi="Palatino Linotype"/>
        </w:rPr>
      </w:pPr>
      <w:r>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eastAsia="Calibri" w:hAnsi="Palatino Linotype"/>
          <w:b/>
        </w:rPr>
        <w:t>EL SUJETO OBLIGADO</w:t>
      </w:r>
      <w:r>
        <w:rPr>
          <w:rFonts w:ascii="Palatino Linotype" w:eastAsia="Calibri" w:hAnsi="Palatino Linotype"/>
        </w:rPr>
        <w:t xml:space="preserve"> y los solicitantes, y tiene bajo su responsabilidad el tramitar internamente la solicitud de información.</w:t>
      </w:r>
    </w:p>
    <w:p w:rsidR="00D22DAC" w:rsidRDefault="00D22DAC">
      <w:pPr>
        <w:spacing w:beforeAutospacing="1" w:afterAutospacing="1" w:line="360" w:lineRule="auto"/>
        <w:ind w:left="426"/>
        <w:contextualSpacing/>
        <w:jc w:val="both"/>
        <w:rPr>
          <w:rFonts w:ascii="Palatino Linotype" w:eastAsia="Calibri" w:hAnsi="Palatino Linotype"/>
        </w:rPr>
      </w:pPr>
    </w:p>
    <w:p w:rsidR="00D22DAC" w:rsidRDefault="00CC3CB2">
      <w:pPr>
        <w:spacing w:beforeAutospacing="1" w:afterAutospacing="1" w:line="360" w:lineRule="auto"/>
        <w:contextualSpacing/>
        <w:jc w:val="both"/>
        <w:rPr>
          <w:rFonts w:ascii="Palatino Linotype" w:eastAsia="Calibri" w:hAnsi="Palatino Linotype"/>
        </w:rPr>
      </w:pPr>
      <w:r>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Pr>
          <w:rFonts w:ascii="Palatino Linotype" w:eastAsia="Calibri" w:hAnsi="Palatino Linotype"/>
          <w:b/>
        </w:rPr>
        <w:t xml:space="preserve">SUJETO OBLIGADO; </w:t>
      </w:r>
      <w:r>
        <w:rPr>
          <w:rFonts w:ascii="Palatino Linotype" w:eastAsia="Calibri" w:hAnsi="Palatino Linotype"/>
        </w:rPr>
        <w:t xml:space="preserve">es por ello que, debe turnar la solicitud a </w:t>
      </w:r>
      <w:r>
        <w:rPr>
          <w:rFonts w:ascii="Palatino Linotype" w:hAnsi="Palatino Linotype" w:cs="Arial"/>
        </w:rPr>
        <w:t xml:space="preserve">todas las áreas mismas que </w:t>
      </w:r>
      <w:r>
        <w:rPr>
          <w:rFonts w:ascii="Palatino Linotype" w:eastAsia="Calibri" w:hAnsi="Palatino Linotype"/>
        </w:rPr>
        <w:t>pudieran generar, administrar o poseer la información requerida por la particular; pues tienen como función, buscar, localizar y poseer la información, así como entregarla.</w:t>
      </w:r>
    </w:p>
    <w:p w:rsidR="00D22DAC" w:rsidRDefault="00D22DAC">
      <w:pPr>
        <w:spacing w:beforeAutospacing="1" w:afterAutospacing="1" w:line="360" w:lineRule="auto"/>
        <w:contextualSpacing/>
        <w:jc w:val="both"/>
        <w:rPr>
          <w:rFonts w:ascii="Palatino Linotype" w:eastAsia="Calibri" w:hAnsi="Palatino Linotype"/>
        </w:rPr>
      </w:pPr>
    </w:p>
    <w:p w:rsidR="00D22DAC" w:rsidRDefault="00CC3CB2">
      <w:pPr>
        <w:spacing w:beforeAutospacing="1" w:afterAutospacing="1" w:line="360" w:lineRule="auto"/>
        <w:contextualSpacing/>
        <w:jc w:val="both"/>
        <w:rPr>
          <w:rFonts w:ascii="Palatino Linotype" w:eastAsia="Calibri" w:hAnsi="Palatino Linotype"/>
        </w:rPr>
      </w:pPr>
      <w:r>
        <w:rPr>
          <w:rFonts w:ascii="Palatino Linotype" w:eastAsia="Calibri" w:hAnsi="Palatino Linotype"/>
        </w:rPr>
        <w:t xml:space="preserve">En atención de lo anterior, se observa que </w:t>
      </w:r>
      <w:r>
        <w:rPr>
          <w:rFonts w:ascii="Palatino Linotype" w:eastAsia="Calibri" w:hAnsi="Palatino Linotype"/>
          <w:b/>
        </w:rPr>
        <w:t>EL SUJETO OBLIGADO</w:t>
      </w:r>
      <w:r>
        <w:rPr>
          <w:rFonts w:ascii="Palatino Linotype" w:eastAsia="Calibri" w:hAnsi="Palatino Linotype"/>
        </w:rPr>
        <w:t xml:space="preserve"> no acreditó la búsqueda exhaustiva y razonable de la Información y no se advierte que haya requerido la información solicitada a todas las áreas competentes y que las mismas hayan actuado conforme a lo que establece la ley de la materia.</w:t>
      </w:r>
    </w:p>
    <w:p w:rsidR="00D22DAC" w:rsidRDefault="00D22DAC">
      <w:pPr>
        <w:spacing w:beforeAutospacing="1" w:afterAutospacing="1" w:line="360" w:lineRule="auto"/>
        <w:contextualSpacing/>
        <w:jc w:val="both"/>
        <w:rPr>
          <w:rFonts w:ascii="Palatino Linotype" w:hAnsi="Palatino Linotype" w:cs="Bookman Old Style,Bold"/>
          <w:bCs/>
        </w:rPr>
      </w:pPr>
    </w:p>
    <w:p w:rsidR="00D22DAC" w:rsidRDefault="00CC3CB2">
      <w:pPr>
        <w:spacing w:beforeAutospacing="1" w:afterAutospacing="1" w:line="360" w:lineRule="auto"/>
        <w:contextualSpacing/>
        <w:jc w:val="both"/>
        <w:rPr>
          <w:rFonts w:ascii="Palatino Linotype" w:eastAsia="Calibri" w:hAnsi="Palatino Linotype"/>
        </w:rPr>
      </w:pPr>
      <w:r>
        <w:rPr>
          <w:rFonts w:ascii="Palatino Linotype" w:hAnsi="Palatino Linotype" w:cs="Bookman Old Style,Bold"/>
          <w:bCs/>
        </w:rPr>
        <w:t xml:space="preserve">Así, es </w:t>
      </w:r>
      <w:r>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Pr>
          <w:rFonts w:ascii="Palatino Linotype" w:hAnsi="Palatino Linotype" w:cs="Arial"/>
          <w:lang w:val="es-ES_tradnl"/>
        </w:rPr>
        <w:t>3, fracción XXXIX, de la Ley de la materia, mismo que se transcriben a continuación:</w:t>
      </w:r>
    </w:p>
    <w:p w:rsidR="00D22DAC" w:rsidRDefault="00D22DAC">
      <w:pPr>
        <w:spacing w:beforeAutospacing="1" w:afterAutospacing="1"/>
        <w:ind w:left="851" w:right="616"/>
        <w:contextualSpacing/>
        <w:jc w:val="both"/>
        <w:rPr>
          <w:rFonts w:ascii="Palatino Linotype" w:hAnsi="Palatino Linotype" w:cs="Arial"/>
          <w:i/>
          <w:sz w:val="22"/>
          <w:szCs w:val="22"/>
        </w:rPr>
      </w:pPr>
    </w:p>
    <w:p w:rsidR="00D22DAC" w:rsidRDefault="00CC3CB2">
      <w:pPr>
        <w:spacing w:beforeAutospacing="1" w:afterAutospacing="1"/>
        <w:ind w:left="851" w:right="616"/>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3</w:t>
      </w:r>
      <w:r>
        <w:rPr>
          <w:rFonts w:ascii="Palatino Linotype" w:hAnsi="Palatino Linotype" w:cs="Arial"/>
          <w:i/>
          <w:sz w:val="22"/>
          <w:szCs w:val="22"/>
        </w:rPr>
        <w:t xml:space="preserve">. </w:t>
      </w:r>
      <w:r>
        <w:rPr>
          <w:rFonts w:ascii="Palatino Linotype" w:hAnsi="Palatino Linotype" w:cs="Arial"/>
          <w:b/>
          <w:i/>
          <w:sz w:val="22"/>
          <w:szCs w:val="22"/>
        </w:rPr>
        <w:t>Para los efectos de la presente Ley se entenderá por</w:t>
      </w:r>
      <w:r>
        <w:rPr>
          <w:rFonts w:ascii="Palatino Linotype" w:hAnsi="Palatino Linotype" w:cs="Arial"/>
          <w:i/>
          <w:sz w:val="22"/>
          <w:szCs w:val="22"/>
        </w:rPr>
        <w:t xml:space="preserve">: </w:t>
      </w:r>
    </w:p>
    <w:p w:rsidR="00D22DAC" w:rsidRDefault="00CC3CB2">
      <w:pPr>
        <w:spacing w:beforeAutospacing="1" w:afterAutospacing="1"/>
        <w:ind w:left="851" w:right="616"/>
        <w:contextualSpacing/>
        <w:jc w:val="both"/>
        <w:rPr>
          <w:rFonts w:ascii="Palatino Linotype" w:hAnsi="Palatino Linotype" w:cs="Arial"/>
          <w:i/>
          <w:sz w:val="22"/>
          <w:szCs w:val="22"/>
        </w:rPr>
      </w:pPr>
      <w:r>
        <w:rPr>
          <w:rFonts w:ascii="Palatino Linotype" w:hAnsi="Palatino Linotype" w:cs="Arial"/>
          <w:b/>
          <w:i/>
          <w:sz w:val="22"/>
          <w:szCs w:val="22"/>
        </w:rPr>
        <w:t>XXXIX</w:t>
      </w:r>
      <w:r>
        <w:rPr>
          <w:rFonts w:ascii="Palatino Linotype" w:hAnsi="Palatino Linotype" w:cs="Arial"/>
          <w:i/>
          <w:sz w:val="22"/>
          <w:szCs w:val="22"/>
        </w:rPr>
        <w:t xml:space="preserve">. </w:t>
      </w:r>
      <w:r>
        <w:rPr>
          <w:rFonts w:ascii="Palatino Linotype" w:hAnsi="Palatino Linotype" w:cs="Arial"/>
          <w:b/>
          <w:i/>
          <w:sz w:val="22"/>
          <w:szCs w:val="22"/>
        </w:rPr>
        <w:t>Servidor público habilitado</w:t>
      </w:r>
      <w:r>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22DAC" w:rsidRDefault="00D22DAC">
      <w:pPr>
        <w:spacing w:beforeAutospacing="1" w:afterAutospacing="1" w:line="360" w:lineRule="auto"/>
        <w:contextualSpacing/>
        <w:jc w:val="both"/>
        <w:rPr>
          <w:rFonts w:ascii="Palatino Linotype" w:hAnsi="Palatino Linotype"/>
          <w:color w:val="000000"/>
        </w:rPr>
      </w:pPr>
    </w:p>
    <w:p w:rsidR="00D22DAC" w:rsidRDefault="00CC3CB2">
      <w:pPr>
        <w:spacing w:beforeAutospacing="1" w:afterAutospacing="1" w:line="360" w:lineRule="auto"/>
        <w:contextualSpacing/>
        <w:jc w:val="both"/>
        <w:rPr>
          <w:rFonts w:ascii="Palatino Linotype" w:hAnsi="Palatino Linotype"/>
          <w:lang w:eastAsia="es-MX"/>
        </w:rPr>
      </w:pPr>
      <w:r>
        <w:rPr>
          <w:rFonts w:ascii="Palatino Linotype" w:hAnsi="Palatino Linotype"/>
          <w:color w:val="000000"/>
        </w:rPr>
        <w:t xml:space="preserve">De esta manera, </w:t>
      </w:r>
      <w:r>
        <w:rPr>
          <w:rFonts w:ascii="Palatino Linotype" w:hAnsi="Palatino Linotype"/>
          <w:lang w:eastAsia="es-MX"/>
        </w:rPr>
        <w:t xml:space="preserve">del expediente electrónico del SAIMEX, no se advierte que la Titular de la Unidad de Transparencia, haya realizado algún turno de requerimiento de información para algún Servidor Público Habilitado y de manera unilateral emitió las respuestas, por lo que a la entrega de la información solicitada, deberá  hacer la búsqueda exhaustiva y razonable de la información, de manera enunciativa mas no </w:t>
      </w:r>
      <w:r>
        <w:rPr>
          <w:rFonts w:ascii="Palatino Linotype" w:hAnsi="Palatino Linotype"/>
          <w:lang w:eastAsia="es-MX"/>
        </w:rPr>
        <w:lastRenderedPageBreak/>
        <w:t xml:space="preserve">limitativa en la Dirección de programas sociales y gestión de fondos así como en el departamento de Trabajo Social. </w:t>
      </w:r>
    </w:p>
    <w:p w:rsidR="00D22DAC" w:rsidRDefault="00D22DAC">
      <w:pPr>
        <w:widowControl w:val="0"/>
        <w:spacing w:line="360" w:lineRule="auto"/>
        <w:jc w:val="both"/>
        <w:rPr>
          <w:rFonts w:ascii="Palatino Linotype" w:eastAsia="Calibri" w:hAnsi="Palatino Linotype" w:cs="Arial"/>
        </w:rPr>
      </w:pPr>
    </w:p>
    <w:p w:rsidR="00D22DAC" w:rsidRDefault="00CC3CB2">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y ante lo </w:t>
      </w:r>
      <w:r>
        <w:rPr>
          <w:rFonts w:ascii="Palatino Linotype" w:eastAsia="Calibri" w:hAnsi="Palatino Linotype" w:cs="Arial"/>
          <w:b/>
        </w:rPr>
        <w:t>fundado</w:t>
      </w:r>
      <w:r>
        <w:rPr>
          <w:rFonts w:ascii="Palatino Linotype" w:eastAsia="Calibri" w:hAnsi="Palatino Linotype" w:cs="Arial"/>
        </w:rPr>
        <w:t xml:space="preserve"> de las razones y motivos de inconformidad aludidas por </w:t>
      </w:r>
      <w:r>
        <w:rPr>
          <w:rFonts w:ascii="Palatino Linotype" w:eastAsia="Calibri" w:hAnsi="Palatino Linotype" w:cs="Arial"/>
          <w:b/>
        </w:rPr>
        <w:t>LA RECURRENTE</w:t>
      </w:r>
      <w:r>
        <w:rPr>
          <w:rFonts w:ascii="Palatino Linotype" w:eastAsia="Calibri" w:hAnsi="Palatino Linotype" w:cs="Arial"/>
        </w:rPr>
        <w:t xml:space="preserve">, se determina </w:t>
      </w:r>
      <w:r>
        <w:rPr>
          <w:rFonts w:ascii="Palatino Linotype" w:eastAsia="Calibri" w:hAnsi="Palatino Linotype" w:cs="Arial"/>
          <w:b/>
        </w:rPr>
        <w:t xml:space="preserve">REVOCAR </w:t>
      </w:r>
      <w:r>
        <w:rPr>
          <w:rFonts w:ascii="Palatino Linotype" w:eastAsia="Calibri" w:hAnsi="Palatino Linotype" w:cs="Arial"/>
        </w:rPr>
        <w:t xml:space="preserve">la respuesta del </w:t>
      </w:r>
      <w:r>
        <w:rPr>
          <w:rFonts w:ascii="Palatino Linotype" w:eastAsia="Calibri" w:hAnsi="Palatino Linotype" w:cs="Arial"/>
          <w:b/>
        </w:rPr>
        <w:t>SUJETO OBLIGADO</w:t>
      </w:r>
      <w:r>
        <w:rPr>
          <w:rFonts w:ascii="Palatino Linotype" w:eastAsia="Calibri" w:hAnsi="Palatino Linotype" w:cs="Arial"/>
        </w:rPr>
        <w:t xml:space="preserve"> y ordenar la entrega de lo que ha quedado precisado</w:t>
      </w:r>
      <w:r>
        <w:rPr>
          <w:rFonts w:ascii="Palatino Linotype" w:eastAsia="Calibri" w:hAnsi="Palatino Linotype" w:cs="Arial"/>
          <w:b/>
        </w:rPr>
        <w:t xml:space="preserve">, previa búsqueda exhaustiva y razonable </w:t>
      </w:r>
      <w:r>
        <w:rPr>
          <w:rFonts w:ascii="Palatino Linotype" w:eastAsia="Calibri" w:hAnsi="Palatino Linotype" w:cs="Arial"/>
        </w:rPr>
        <w:t>y de ser procedente en</w:t>
      </w:r>
      <w:r>
        <w:rPr>
          <w:rFonts w:ascii="Palatino Linotype" w:eastAsia="Calibri" w:hAnsi="Palatino Linotype" w:cs="Arial"/>
          <w:b/>
        </w:rPr>
        <w:t xml:space="preserve"> versión pública</w:t>
      </w:r>
      <w:r>
        <w:rPr>
          <w:rFonts w:ascii="Palatino Linotype" w:eastAsia="Calibri" w:hAnsi="Palatino Linotype" w:cs="Arial"/>
        </w:rPr>
        <w:t>, así como la entrega del Acuerdo que emita el Comité de Transparencia en el que se confirme la declaración de incompetencia respecto de la información que ha sido especificada.</w:t>
      </w:r>
    </w:p>
    <w:p w:rsidR="00D22DAC" w:rsidRDefault="00D22DAC">
      <w:pPr>
        <w:spacing w:line="360" w:lineRule="auto"/>
        <w:jc w:val="both"/>
        <w:rPr>
          <w:rFonts w:ascii="Palatino Linotype" w:hAnsi="Palatino Linotype" w:cs="Arial"/>
          <w:lang w:eastAsia="es-MX"/>
        </w:rPr>
      </w:pPr>
    </w:p>
    <w:p w:rsidR="00D22DAC" w:rsidRDefault="00CC3CB2">
      <w:pPr>
        <w:spacing w:line="360" w:lineRule="auto"/>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D22DAC" w:rsidRDefault="00D22DAC">
      <w:pPr>
        <w:rPr>
          <w:rFonts w:ascii="Palatino Linotype" w:eastAsia="Calibri" w:hAnsi="Palatino Linotype" w:cs="Arial"/>
          <w:b/>
          <w:spacing w:val="30"/>
          <w:sz w:val="28"/>
        </w:rPr>
      </w:pPr>
    </w:p>
    <w:p w:rsidR="00D22DAC" w:rsidRDefault="00D22DAC">
      <w:pPr>
        <w:jc w:val="center"/>
        <w:rPr>
          <w:rFonts w:ascii="Palatino Linotype" w:eastAsia="Calibri" w:hAnsi="Palatino Linotype" w:cs="Arial"/>
          <w:b/>
          <w:spacing w:val="30"/>
          <w:sz w:val="28"/>
        </w:rPr>
      </w:pPr>
    </w:p>
    <w:p w:rsidR="00D22DAC" w:rsidRDefault="00CC3CB2">
      <w:pPr>
        <w:jc w:val="center"/>
        <w:rPr>
          <w:rFonts w:ascii="Palatino Linotype" w:eastAsia="Calibri" w:hAnsi="Palatino Linotype" w:cs="Arial"/>
          <w:b/>
          <w:spacing w:val="30"/>
          <w:sz w:val="28"/>
        </w:rPr>
      </w:pPr>
      <w:r>
        <w:rPr>
          <w:rFonts w:ascii="Palatino Linotype" w:eastAsia="Calibri" w:hAnsi="Palatino Linotype" w:cs="Arial"/>
          <w:b/>
          <w:spacing w:val="30"/>
          <w:sz w:val="28"/>
        </w:rPr>
        <w:t>RESUELVE</w:t>
      </w:r>
    </w:p>
    <w:p w:rsidR="00D22DAC" w:rsidRDefault="00D22DAC">
      <w:pPr>
        <w:ind w:left="851" w:right="899"/>
        <w:jc w:val="both"/>
        <w:rPr>
          <w:rFonts w:ascii="Palatino Linotype" w:hAnsi="Palatino Linotype" w:cs="Arial"/>
          <w:b/>
          <w:sz w:val="28"/>
          <w:szCs w:val="28"/>
        </w:rPr>
      </w:pPr>
    </w:p>
    <w:p w:rsidR="00D22DAC" w:rsidRDefault="00CC3CB2">
      <w:pPr>
        <w:spacing w:line="360" w:lineRule="auto"/>
        <w:ind w:right="51"/>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Resultan </w:t>
      </w:r>
      <w:r>
        <w:rPr>
          <w:rFonts w:ascii="Palatino Linotype" w:hAnsi="Palatino Linotype" w:cs="Arial"/>
          <w:b/>
        </w:rPr>
        <w:t>fundadas</w:t>
      </w:r>
      <w:r>
        <w:rPr>
          <w:rFonts w:ascii="Palatino Linotype" w:hAnsi="Palatino Linotype" w:cs="Arial"/>
        </w:rPr>
        <w:t xml:space="preserve"> las razones o motivos de inconformidad planteadas por </w:t>
      </w:r>
      <w:r>
        <w:rPr>
          <w:rFonts w:ascii="Palatino Linotype" w:hAnsi="Palatino Linotype" w:cs="Arial"/>
          <w:b/>
        </w:rPr>
        <w:t>LA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D22DAC" w:rsidRDefault="00CC3CB2">
      <w:pPr>
        <w:spacing w:line="360" w:lineRule="auto"/>
        <w:ind w:right="51"/>
        <w:jc w:val="both"/>
        <w:rPr>
          <w:rFonts w:ascii="Palatino Linotype" w:hAnsi="Palatino Linotype"/>
          <w:highlight w:val="white"/>
        </w:rPr>
      </w:pPr>
      <w:r>
        <w:rPr>
          <w:rFonts w:ascii="Palatino Linotype" w:hAnsi="Palatino Linotype" w:cs="Arial"/>
          <w:b/>
          <w:sz w:val="28"/>
          <w:szCs w:val="28"/>
        </w:rPr>
        <w:lastRenderedPageBreak/>
        <w:t>SEGUNDO</w:t>
      </w:r>
      <w:r>
        <w:rPr>
          <w:rFonts w:ascii="Palatino Linotype" w:hAnsi="Palatino Linotype" w:cs="Arial"/>
          <w:sz w:val="28"/>
          <w:szCs w:val="28"/>
        </w:rPr>
        <w:t>.</w:t>
      </w:r>
      <w:r>
        <w:rPr>
          <w:rFonts w:ascii="Palatino Linotype" w:hAnsi="Palatino Linotype" w:cs="Arial"/>
        </w:rPr>
        <w:t xml:space="preserve"> </w:t>
      </w:r>
      <w:r>
        <w:rPr>
          <w:rFonts w:ascii="Palatino Linotype" w:eastAsia="Calibri" w:hAnsi="Palatino Linotype" w:cs="Arial"/>
        </w:rPr>
        <w:t xml:space="preserve">Se </w:t>
      </w:r>
      <w:r>
        <w:rPr>
          <w:rFonts w:ascii="Palatino Linotype" w:eastAsia="Calibri" w:hAnsi="Palatino Linotype" w:cs="Arial"/>
          <w:b/>
        </w:rPr>
        <w:t xml:space="preserve">REVOCA </w:t>
      </w:r>
      <w:r>
        <w:rPr>
          <w:rFonts w:ascii="Palatino Linotype" w:eastAsia="Calibri" w:hAnsi="Palatino Linotype" w:cs="Arial"/>
        </w:rPr>
        <w:t xml:space="preserve">la respuesta proporcionada por </w:t>
      </w:r>
      <w:r>
        <w:rPr>
          <w:rFonts w:ascii="Palatino Linotype" w:eastAsia="Calibri" w:hAnsi="Palatino Linotype" w:cs="Arial"/>
          <w:b/>
        </w:rPr>
        <w:t xml:space="preserve">EL SUJETO OBLIGADO </w:t>
      </w:r>
      <w:r>
        <w:rPr>
          <w:rFonts w:ascii="Palatino Linotype" w:eastAsia="Calibri" w:hAnsi="Palatino Linotype" w:cs="Arial"/>
        </w:rPr>
        <w:t xml:space="preserve">y se </w:t>
      </w:r>
      <w:r>
        <w:rPr>
          <w:rFonts w:ascii="Palatino Linotype" w:eastAsia="Calibri" w:hAnsi="Palatino Linotype" w:cs="Arial"/>
          <w:b/>
        </w:rPr>
        <w:t xml:space="preserve">ordena </w:t>
      </w:r>
      <w:r>
        <w:rPr>
          <w:rFonts w:ascii="Palatino Linotype" w:eastAsia="Calibri" w:hAnsi="Palatino Linotype" w:cs="Arial"/>
        </w:rPr>
        <w:t>atienda la solicitud de información</w:t>
      </w:r>
      <w:r>
        <w:rPr>
          <w:rFonts w:ascii="Palatino Linotype" w:hAnsi="Palatino Linotype"/>
          <w:b/>
          <w:bCs/>
        </w:rPr>
        <w:t xml:space="preserve"> </w:t>
      </w:r>
      <w:r>
        <w:rPr>
          <w:rFonts w:ascii="Palatino Linotype" w:hAnsi="Palatino Linotype"/>
          <w:bCs/>
        </w:rPr>
        <w:t xml:space="preserve">motivo del recurso de revisión </w:t>
      </w:r>
      <w:r>
        <w:rPr>
          <w:rFonts w:ascii="Palatino Linotype" w:hAnsi="Palatino Linotype"/>
          <w:b/>
          <w:bCs/>
          <w:lang w:val="es-ES_tradnl"/>
        </w:rPr>
        <w:t>01167/INFOEM/IP/RR/2020</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 y haga entrega a </w:t>
      </w:r>
      <w:r>
        <w:rPr>
          <w:rFonts w:ascii="Palatino Linotype" w:hAnsi="Palatino Linotype" w:cs="Arial"/>
          <w:b/>
        </w:rPr>
        <w:t>LA</w:t>
      </w:r>
      <w:r>
        <w:rPr>
          <w:rFonts w:ascii="Palatino Linotype" w:hAnsi="Palatino Linotype" w:cs="Arial"/>
        </w:rPr>
        <w:t xml:space="preserve"> </w:t>
      </w:r>
      <w:r>
        <w:rPr>
          <w:rFonts w:ascii="Palatino Linotype" w:hAnsi="Palatino Linotype" w:cs="Arial"/>
          <w:b/>
        </w:rPr>
        <w:t>RECURRENTE</w:t>
      </w:r>
      <w:r>
        <w:rPr>
          <w:rFonts w:ascii="Palatino Linotype" w:hAnsi="Palatino Linotype" w:cs="Arial"/>
        </w:rPr>
        <w:t xml:space="preserve">, </w:t>
      </w:r>
      <w:r>
        <w:rPr>
          <w:rFonts w:ascii="Palatino Linotype" w:hAnsi="Palatino Linotype" w:cs="Arial"/>
          <w:b/>
        </w:rPr>
        <w:t>previa búsqueda exhaustiva y razonable</w:t>
      </w:r>
      <w:r>
        <w:rPr>
          <w:rFonts w:ascii="Palatino Linotype" w:hAnsi="Palatino Linotype" w:cs="Arial"/>
        </w:rPr>
        <w:t xml:space="preserve"> de la información, vía </w:t>
      </w:r>
      <w:r>
        <w:rPr>
          <w:rFonts w:ascii="Palatino Linotype" w:hAnsi="Palatino Linotype" w:cs="Arial"/>
          <w:b/>
        </w:rPr>
        <w:t xml:space="preserve">SAIMEX </w:t>
      </w:r>
      <w:r>
        <w:rPr>
          <w:rFonts w:ascii="Palatino Linotype" w:hAnsi="Palatino Linotype" w:cs="Arial"/>
        </w:rPr>
        <w:t>y</w:t>
      </w:r>
      <w:r>
        <w:rPr>
          <w:rFonts w:ascii="Palatino Linotype" w:hAnsi="Palatino Linotype" w:cs="Arial"/>
          <w:b/>
        </w:rPr>
        <w:t xml:space="preserve"> correo electrónico</w:t>
      </w:r>
      <w:r>
        <w:rPr>
          <w:rFonts w:ascii="Palatino Linotype" w:hAnsi="Palatino Linotype" w:cs="Arial"/>
        </w:rPr>
        <w:t xml:space="preserve">, de ser procedente en </w:t>
      </w:r>
      <w:r>
        <w:rPr>
          <w:rFonts w:ascii="Palatino Linotype" w:hAnsi="Palatino Linotype" w:cs="Arial"/>
          <w:b/>
        </w:rPr>
        <w:t>versión publica</w:t>
      </w:r>
      <w:r>
        <w:rPr>
          <w:rFonts w:ascii="Palatino Linotype" w:hAnsi="Palatino Linotype" w:cs="Arial"/>
        </w:rPr>
        <w:t>, lo siguiente:</w:t>
      </w:r>
    </w:p>
    <w:p w:rsidR="00D22DAC" w:rsidRDefault="00D22DAC">
      <w:pPr>
        <w:spacing w:line="276" w:lineRule="auto"/>
        <w:jc w:val="both"/>
        <w:rPr>
          <w:rFonts w:ascii="Palatino Linotype" w:hAnsi="Palatino Linotype" w:cs="Arial"/>
          <w:szCs w:val="22"/>
        </w:rPr>
      </w:pPr>
    </w:p>
    <w:p w:rsidR="00D22DAC" w:rsidRDefault="00CC3CB2">
      <w:pPr>
        <w:ind w:left="1418" w:right="1469"/>
        <w:jc w:val="both"/>
        <w:rPr>
          <w:rFonts w:ascii="Palatino Linotype" w:hAnsi="Palatino Linotype"/>
          <w:i/>
          <w:sz w:val="22"/>
          <w:szCs w:val="22"/>
        </w:rPr>
      </w:pPr>
      <w:r>
        <w:rPr>
          <w:rFonts w:ascii="Palatino Linotype" w:hAnsi="Palatino Linotype"/>
          <w:i/>
        </w:rPr>
        <w:t>“</w:t>
      </w:r>
      <w:r>
        <w:rPr>
          <w:rFonts w:ascii="Palatino Linotype" w:hAnsi="Palatino Linotype"/>
          <w:i/>
          <w:sz w:val="22"/>
          <w:szCs w:val="22"/>
        </w:rPr>
        <w:t>a) El documento o documentos donde consten los nombres de servidores públicos que aplican o ponen en marcha los programas sociales dirigidos a la población infantil.</w:t>
      </w:r>
    </w:p>
    <w:p w:rsidR="00D22DAC" w:rsidRDefault="00D22DAC">
      <w:pPr>
        <w:ind w:left="1418" w:right="1469"/>
        <w:jc w:val="both"/>
        <w:rPr>
          <w:rFonts w:ascii="Palatino Linotype" w:hAnsi="Palatino Linotype"/>
          <w:i/>
          <w:sz w:val="22"/>
          <w:szCs w:val="22"/>
        </w:rPr>
      </w:pPr>
    </w:p>
    <w:p w:rsidR="00D22DAC" w:rsidRDefault="00CC3CB2">
      <w:pPr>
        <w:ind w:left="1418" w:right="1469"/>
        <w:jc w:val="both"/>
        <w:rPr>
          <w:rFonts w:ascii="Palatino Linotype" w:hAnsi="Palatino Linotype"/>
          <w:i/>
          <w:sz w:val="22"/>
          <w:szCs w:val="22"/>
          <w:lang w:val="es-ES"/>
        </w:rPr>
      </w:pPr>
      <w:r>
        <w:rPr>
          <w:rFonts w:ascii="Palatino Linotype" w:hAnsi="Palatino Linotype"/>
          <w:i/>
          <w:sz w:val="22"/>
          <w:szCs w:val="22"/>
        </w:rPr>
        <w:t>b) Los apoyos económicos dirigidos a niños que viven al interior de centros penitenciarios.</w:t>
      </w:r>
    </w:p>
    <w:p w:rsidR="00D22DAC" w:rsidRDefault="00D22DAC">
      <w:pPr>
        <w:ind w:left="1418" w:right="1469"/>
        <w:jc w:val="both"/>
        <w:rPr>
          <w:rFonts w:ascii="Palatino Linotype" w:hAnsi="Palatino Linotype"/>
          <w:i/>
          <w:sz w:val="22"/>
          <w:szCs w:val="22"/>
        </w:rPr>
      </w:pPr>
    </w:p>
    <w:p w:rsidR="00D22DAC" w:rsidRDefault="00CC3CB2">
      <w:pPr>
        <w:ind w:left="1418" w:right="1469"/>
        <w:jc w:val="both"/>
        <w:rPr>
          <w:rFonts w:ascii="Palatino Linotype" w:hAnsi="Palatino Linotype"/>
          <w:b/>
          <w:i/>
          <w:sz w:val="22"/>
          <w:szCs w:val="22"/>
        </w:rPr>
      </w:pPr>
      <w:r>
        <w:rPr>
          <w:rFonts w:ascii="Palatino Linotype" w:hAnsi="Palatino Linotype"/>
          <w:i/>
          <w:sz w:val="22"/>
          <w:szCs w:val="22"/>
        </w:rPr>
        <w:t xml:space="preserve">Para el caso de que no se hayan otorgados apoyos económicos a menores que viven al interior de los centros penitenciarios, deberá de hacerlo del conocimiento de manera fundada y motivada a </w:t>
      </w:r>
      <w:r>
        <w:rPr>
          <w:rFonts w:ascii="Palatino Linotype" w:hAnsi="Palatino Linotype"/>
          <w:b/>
          <w:i/>
          <w:sz w:val="22"/>
          <w:szCs w:val="22"/>
        </w:rPr>
        <w:t xml:space="preserve">LA RECURRENTE. </w:t>
      </w:r>
    </w:p>
    <w:p w:rsidR="00D22DAC" w:rsidRDefault="00D22DAC">
      <w:pPr>
        <w:ind w:left="1418" w:right="1469"/>
        <w:jc w:val="both"/>
        <w:rPr>
          <w:rFonts w:ascii="Palatino Linotype" w:hAnsi="Palatino Linotype"/>
          <w:b/>
          <w:i/>
          <w:sz w:val="22"/>
          <w:szCs w:val="22"/>
        </w:rPr>
      </w:pPr>
    </w:p>
    <w:p w:rsidR="00D22DAC" w:rsidRDefault="00CC3CB2">
      <w:pPr>
        <w:ind w:left="1418" w:right="1469"/>
        <w:jc w:val="both"/>
        <w:rPr>
          <w:rFonts w:ascii="Palatino Linotype" w:hAnsi="Palatino Linotype"/>
          <w:b/>
          <w:i/>
          <w:sz w:val="22"/>
          <w:szCs w:val="22"/>
        </w:rPr>
      </w:pPr>
      <w:r>
        <w:rPr>
          <w:rFonts w:ascii="Palatino Linotype" w:hAnsi="Palatino Linotype"/>
          <w:i/>
          <w:iCs/>
          <w:color w:val="222222"/>
          <w:sz w:val="22"/>
          <w:szCs w:val="22"/>
          <w:lang w:eastAsia="es-MX"/>
        </w:rPr>
        <w:t xml:space="preserve">Debiendo notificar a </w:t>
      </w:r>
      <w:r>
        <w:rPr>
          <w:rFonts w:ascii="Palatino Linotype" w:hAnsi="Palatino Linotype"/>
          <w:b/>
          <w:i/>
          <w:iCs/>
          <w:color w:val="222222"/>
          <w:sz w:val="22"/>
          <w:szCs w:val="22"/>
          <w:lang w:eastAsia="es-MX"/>
        </w:rPr>
        <w:t>LA</w:t>
      </w:r>
      <w:r>
        <w:rPr>
          <w:rFonts w:ascii="Palatino Linotype" w:hAnsi="Palatino Linotype"/>
          <w:i/>
          <w:iCs/>
          <w:color w:val="222222"/>
          <w:sz w:val="22"/>
          <w:szCs w:val="22"/>
          <w:lang w:eastAsia="es-MX"/>
        </w:rPr>
        <w:t xml:space="preserve">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p>
    <w:p w:rsidR="00D22DAC" w:rsidRDefault="00D22DAC">
      <w:pPr>
        <w:ind w:left="1418" w:right="1469"/>
        <w:jc w:val="both"/>
        <w:rPr>
          <w:rFonts w:ascii="Palatino Linotype" w:hAnsi="Palatino Linotype"/>
          <w:i/>
          <w:sz w:val="22"/>
          <w:szCs w:val="22"/>
        </w:rPr>
      </w:pPr>
    </w:p>
    <w:p w:rsidR="00D22DAC" w:rsidRDefault="00CC3CB2">
      <w:pPr>
        <w:ind w:left="1418" w:right="1469"/>
        <w:jc w:val="both"/>
        <w:rPr>
          <w:rFonts w:ascii="Palatino Linotype" w:hAnsi="Palatino Linotype"/>
          <w:i/>
          <w:sz w:val="22"/>
          <w:szCs w:val="22"/>
        </w:rPr>
      </w:pPr>
      <w:r>
        <w:rPr>
          <w:rFonts w:ascii="Palatino Linotype" w:hAnsi="Palatino Linotype"/>
          <w:i/>
          <w:sz w:val="22"/>
          <w:szCs w:val="22"/>
        </w:rPr>
        <w:t>c) El Acuerdo que emita el Comité de Transparencia en el que se confirme la declaración de incompetencia respecto del número de niños que viven al interior de los centros penitenciarios con sus madres.”</w:t>
      </w:r>
    </w:p>
    <w:p w:rsidR="00D22DAC" w:rsidRDefault="00D22DAC">
      <w:pPr>
        <w:spacing w:line="276" w:lineRule="auto"/>
        <w:jc w:val="both"/>
        <w:rPr>
          <w:rFonts w:ascii="Palatino Linotype" w:hAnsi="Palatino Linotype"/>
          <w:b/>
          <w:color w:val="222222"/>
          <w:sz w:val="28"/>
          <w:szCs w:val="28"/>
          <w:highlight w:val="white"/>
        </w:rPr>
      </w:pPr>
    </w:p>
    <w:p w:rsidR="00D22DAC" w:rsidRDefault="00CC3CB2">
      <w:pPr>
        <w:spacing w:line="360" w:lineRule="auto"/>
        <w:ind w:right="51"/>
        <w:jc w:val="both"/>
        <w:rPr>
          <w:rFonts w:ascii="Palatino Linotype" w:hAnsi="Palatino Linotype"/>
          <w:color w:val="222222"/>
          <w:highlight w:val="white"/>
        </w:rPr>
      </w:pPr>
      <w:r>
        <w:rPr>
          <w:rFonts w:ascii="Palatino Linotype" w:hAnsi="Palatino Linotype"/>
          <w:b/>
          <w:color w:val="222222"/>
          <w:sz w:val="28"/>
          <w:szCs w:val="28"/>
          <w:shd w:val="clear" w:color="auto" w:fill="FFFFFF"/>
        </w:rPr>
        <w:t>TERCERO.</w:t>
      </w:r>
      <w:r>
        <w:rPr>
          <w:rFonts w:ascii="Palatino Linotype" w:hAnsi="Palatino Linotype"/>
          <w:b/>
          <w:color w:val="222222"/>
          <w:shd w:val="clear" w:color="auto" w:fill="FFFFFF"/>
        </w:rPr>
        <w:t> </w:t>
      </w:r>
      <w:r>
        <w:rPr>
          <w:rFonts w:ascii="Palatino Linotype" w:hAnsi="Palatino Linotype"/>
          <w:b/>
          <w:color w:val="222222"/>
          <w:lang w:eastAsia="es-ES_tradnl"/>
        </w:rPr>
        <w:t>Notifíquese</w:t>
      </w:r>
      <w:r>
        <w:rPr>
          <w:rFonts w:ascii="Palatino Linotype" w:hAnsi="Palatino Linotype"/>
          <w:color w:val="222222"/>
          <w:lang w:eastAsia="es-ES_tradnl"/>
        </w:rPr>
        <w:t xml:space="preserve"> </w:t>
      </w:r>
      <w:r>
        <w:rPr>
          <w:rFonts w:ascii="Palatino Linotype" w:hAnsi="Palatino Linotype"/>
          <w:color w:val="222222"/>
          <w:shd w:val="clear" w:color="auto" w:fill="FFFFFF"/>
        </w:rPr>
        <w:t>al Titular de la Unidad de Transparencia del</w:t>
      </w:r>
      <w:r>
        <w:rPr>
          <w:rFonts w:ascii="Palatino Linotype" w:hAnsi="Palatino Linotype"/>
          <w:b/>
          <w:color w:val="222222"/>
          <w:shd w:val="clear" w:color="auto" w:fill="FFFFFF"/>
        </w:rPr>
        <w:t> SUJETO OBLIGADO</w:t>
      </w:r>
      <w:r>
        <w:rPr>
          <w:rFonts w:ascii="Palatino Linotype" w:hAnsi="Palatino Linotype"/>
          <w:color w:val="222222"/>
          <w:shd w:val="clear" w:color="auto" w:fill="FFFFFF"/>
        </w:rPr>
        <w:t xml:space="preserve">, para que conforme a los artículos 186, último párrafo y 189, párrafo segundo de la Ley de </w:t>
      </w:r>
      <w:r>
        <w:rPr>
          <w:rFonts w:ascii="Palatino Linotype" w:hAnsi="Palatino Linotype" w:cs="Arial"/>
        </w:rPr>
        <w:t>Transparencia</w:t>
      </w:r>
      <w:r>
        <w:rPr>
          <w:rFonts w:ascii="Palatino Linotype" w:hAnsi="Palatino Linotype"/>
          <w:color w:val="222222"/>
          <w:shd w:val="clear" w:color="auto" w:fill="FFFFFF"/>
        </w:rPr>
        <w:t xml:space="preserve"> y Acceso a la Información Pública del Estado de México y Municipios, dé </w:t>
      </w:r>
      <w:r>
        <w:rPr>
          <w:rFonts w:ascii="Palatino Linotype" w:hAnsi="Palatino Linotype" w:cs="Arial"/>
        </w:rPr>
        <w:t>cumplimiento</w:t>
      </w:r>
      <w:r>
        <w:rPr>
          <w:rFonts w:ascii="Palatino Linotype" w:hAnsi="Palatino Linotype"/>
          <w:color w:val="222222"/>
          <w:shd w:val="clear" w:color="auto" w:fill="FFFFFF"/>
        </w:rPr>
        <w:t xml:space="preserve"> a lo ordenado dentro del plazo de diez días </w:t>
      </w:r>
      <w:r>
        <w:rPr>
          <w:rFonts w:ascii="Palatino Linotype" w:hAnsi="Palatino Linotype"/>
          <w:color w:val="222222"/>
          <w:shd w:val="clear" w:color="auto" w:fill="FFFFFF"/>
        </w:rPr>
        <w:lastRenderedPageBreak/>
        <w:t xml:space="preserve">hábiles, debiendo </w:t>
      </w:r>
      <w:r>
        <w:rPr>
          <w:rFonts w:ascii="Palatino Linotype" w:hAnsi="Palatino Linotype" w:cs="Arial"/>
        </w:rPr>
        <w:t>informar</w:t>
      </w:r>
      <w:r>
        <w:rPr>
          <w:rFonts w:ascii="Palatino Linotype" w:hAnsi="Palatino Linotype"/>
          <w:color w:val="222222"/>
          <w:shd w:val="clear" w:color="auto" w:fill="FFFFFF"/>
        </w:rPr>
        <w:t xml:space="preserve"> a este Instituto en un plazo </w:t>
      </w:r>
      <w:r>
        <w:rPr>
          <w:rFonts w:ascii="Palatino Linotype" w:hAnsi="Palatino Linotype"/>
          <w:color w:val="222222"/>
          <w:lang w:eastAsia="es-ES_tradnl"/>
        </w:rPr>
        <w:t>de</w:t>
      </w:r>
      <w:r>
        <w:rPr>
          <w:rFonts w:ascii="Palatino Linotype" w:hAnsi="Palatino Linotype"/>
          <w:color w:val="222222"/>
          <w:shd w:val="clear" w:color="auto" w:fill="FFFFFF"/>
        </w:rPr>
        <w:t xml:space="preserve"> tres días hábiles siguientes sobre el cumplimiento dado a la presente resolución.</w:t>
      </w:r>
    </w:p>
    <w:p w:rsidR="00D22DAC" w:rsidRDefault="00D22DAC">
      <w:pPr>
        <w:spacing w:line="360" w:lineRule="auto"/>
        <w:ind w:right="51"/>
        <w:jc w:val="both"/>
        <w:rPr>
          <w:rFonts w:ascii="Palatino Linotype" w:hAnsi="Palatino Linotype"/>
          <w:b/>
          <w:color w:val="222222"/>
          <w:highlight w:val="white"/>
        </w:rPr>
      </w:pPr>
    </w:p>
    <w:p w:rsidR="00D22DAC" w:rsidRDefault="00CC3CB2">
      <w:pPr>
        <w:spacing w:line="360" w:lineRule="auto"/>
        <w:ind w:right="51"/>
        <w:jc w:val="both"/>
        <w:rPr>
          <w:rFonts w:ascii="Palatino Linotype" w:hAnsi="Palatino Linotype" w:cs="Arial"/>
          <w:b/>
          <w:bCs/>
          <w:color w:val="222222"/>
          <w:lang w:eastAsia="es-MX"/>
        </w:rPr>
      </w:pPr>
      <w:r>
        <w:rPr>
          <w:rFonts w:ascii="Palatino Linotype" w:hAnsi="Palatino Linotype"/>
          <w:b/>
          <w:color w:val="222222"/>
          <w:sz w:val="28"/>
          <w:szCs w:val="28"/>
          <w:shd w:val="clear" w:color="auto" w:fill="FFFFFF"/>
        </w:rPr>
        <w:t>CUARTO</w:t>
      </w:r>
      <w:r>
        <w:rPr>
          <w:rFonts w:ascii="Palatino Linotype" w:hAnsi="Palatino Linotype" w:cs="Arial"/>
          <w:b/>
          <w:bCs/>
          <w:color w:val="222222"/>
          <w:lang w:eastAsia="es-MX"/>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D22DAC" w:rsidRDefault="00D22DAC">
      <w:pPr>
        <w:spacing w:line="360" w:lineRule="auto"/>
        <w:ind w:right="51"/>
        <w:jc w:val="both"/>
        <w:rPr>
          <w:rFonts w:ascii="Palatino Linotype" w:hAnsi="Palatino Linotype"/>
          <w:b/>
          <w:color w:val="222222"/>
          <w:lang w:eastAsia="es-ES_tradnl"/>
        </w:rPr>
      </w:pPr>
    </w:p>
    <w:p w:rsidR="00D22DAC" w:rsidRDefault="00CC3CB2">
      <w:pPr>
        <w:spacing w:line="360" w:lineRule="auto"/>
        <w:ind w:right="51"/>
        <w:jc w:val="both"/>
        <w:rPr>
          <w:rFonts w:ascii="Palatino Linotype" w:eastAsia="Calibri" w:hAnsi="Palatino Linotype" w:cs="Arial"/>
        </w:rPr>
      </w:pPr>
      <w:r>
        <w:rPr>
          <w:rFonts w:ascii="Palatino Linotype" w:hAnsi="Palatino Linotype"/>
          <w:b/>
          <w:color w:val="222222"/>
          <w:sz w:val="28"/>
          <w:szCs w:val="28"/>
          <w:shd w:val="clear" w:color="auto" w:fill="FFFFFF"/>
        </w:rPr>
        <w:t>QUINTO</w:t>
      </w:r>
      <w:r>
        <w:rPr>
          <w:rFonts w:ascii="Palatino Linotype" w:hAnsi="Palatino Linotype" w:cs="Arial"/>
          <w:b/>
          <w:bCs/>
          <w:color w:val="222222"/>
          <w:sz w:val="28"/>
          <w:lang w:eastAsia="es-MX"/>
        </w:rPr>
        <w:t>.</w:t>
      </w:r>
      <w:r>
        <w:rPr>
          <w:rFonts w:ascii="Palatino Linotype" w:hAnsi="Palatino Linotype"/>
          <w:color w:val="222222"/>
          <w:szCs w:val="17"/>
          <w:lang w:eastAsia="es-ES_tradnl"/>
        </w:rPr>
        <w:t xml:space="preserve"> </w:t>
      </w:r>
      <w:r>
        <w:rPr>
          <w:rFonts w:ascii="Palatino Linotype" w:hAnsi="Palatino Linotype"/>
          <w:b/>
          <w:color w:val="222222"/>
          <w:lang w:eastAsia="es-ES_tradnl"/>
        </w:rPr>
        <w:t>Notifíquese</w:t>
      </w:r>
      <w:r>
        <w:rPr>
          <w:rFonts w:ascii="Palatino Linotype" w:hAnsi="Palatino Linotype"/>
          <w:color w:val="222222"/>
          <w:lang w:eastAsia="es-ES_tradnl"/>
        </w:rPr>
        <w:t xml:space="preserve"> a </w:t>
      </w:r>
      <w:r>
        <w:rPr>
          <w:rFonts w:ascii="Palatino Linotype" w:hAnsi="Palatino Linotype"/>
          <w:b/>
          <w:color w:val="222222"/>
          <w:lang w:eastAsia="es-ES_tradnl"/>
        </w:rPr>
        <w:t>LA</w:t>
      </w:r>
      <w:r>
        <w:rPr>
          <w:rFonts w:ascii="Palatino Linotype" w:hAnsi="Palatino Linotype"/>
          <w:color w:val="222222"/>
          <w:lang w:eastAsia="es-ES_tradnl"/>
        </w:rPr>
        <w:t xml:space="preserve"> </w:t>
      </w:r>
      <w:r>
        <w:rPr>
          <w:rFonts w:ascii="Palatino Linotype" w:hAnsi="Palatino Linotype"/>
          <w:b/>
          <w:color w:val="222222"/>
          <w:lang w:eastAsia="es-ES_tradnl"/>
        </w:rPr>
        <w:t>RECURRENTE</w:t>
      </w:r>
      <w:r>
        <w:rPr>
          <w:rFonts w:ascii="Palatino Linotype" w:hAnsi="Palatino Linotype"/>
          <w:color w:val="222222"/>
          <w:lang w:eastAsia="es-ES_tradnl"/>
        </w:rPr>
        <w:t xml:space="preserve"> la </w:t>
      </w:r>
      <w:r>
        <w:rPr>
          <w:rFonts w:ascii="Palatino Linotype" w:hAnsi="Palatino Linotype" w:cs="Arial"/>
        </w:rPr>
        <w:t>presente</w:t>
      </w:r>
      <w:r>
        <w:rPr>
          <w:rFonts w:ascii="Palatino Linotype" w:hAnsi="Palatino Linotype"/>
          <w:color w:val="222222"/>
          <w:lang w:eastAsia="es-ES_tradnl"/>
        </w:rPr>
        <w:t xml:space="preserve"> resolución.</w:t>
      </w:r>
    </w:p>
    <w:p w:rsidR="00D22DAC" w:rsidRDefault="00D22DAC">
      <w:pPr>
        <w:spacing w:line="360" w:lineRule="auto"/>
        <w:ind w:right="51"/>
        <w:jc w:val="both"/>
        <w:rPr>
          <w:rFonts w:ascii="Palatino Linotype" w:hAnsi="Palatino Linotype" w:cs="Arial"/>
          <w:b/>
          <w:bCs/>
          <w:color w:val="222222"/>
          <w:lang w:eastAsia="es-MX"/>
        </w:rPr>
      </w:pPr>
    </w:p>
    <w:p w:rsidR="00D22DAC" w:rsidRDefault="00CC3CB2">
      <w:pPr>
        <w:spacing w:line="360" w:lineRule="auto"/>
        <w:ind w:right="51"/>
        <w:jc w:val="both"/>
        <w:rPr>
          <w:rFonts w:ascii="Palatino Linotype" w:hAnsi="Palatino Linotype"/>
          <w:color w:val="222222"/>
          <w:lang w:eastAsia="es-ES_tradnl"/>
        </w:rPr>
      </w:pPr>
      <w:r>
        <w:rPr>
          <w:rFonts w:ascii="Palatino Linotype" w:hAnsi="Palatino Linotype"/>
          <w:b/>
          <w:color w:val="222222"/>
          <w:sz w:val="28"/>
          <w:szCs w:val="28"/>
          <w:shd w:val="clear" w:color="auto" w:fill="FFFFFF"/>
        </w:rPr>
        <w:t>SEXTO</w:t>
      </w:r>
      <w:r>
        <w:rPr>
          <w:rFonts w:ascii="Palatino Linotype" w:hAnsi="Palatino Linotype" w:cs="Arial"/>
          <w:b/>
          <w:bCs/>
          <w:color w:val="222222"/>
          <w:sz w:val="28"/>
          <w:lang w:eastAsia="es-MX"/>
        </w:rPr>
        <w:t>.</w:t>
      </w:r>
      <w:r>
        <w:rPr>
          <w:rFonts w:ascii="Palatino Linotype" w:hAnsi="Palatino Linotype"/>
          <w:color w:val="222222"/>
          <w:szCs w:val="17"/>
          <w:lang w:eastAsia="es-ES_tradnl"/>
        </w:rPr>
        <w:t xml:space="preserve"> </w:t>
      </w:r>
      <w:r>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a </w:t>
      </w:r>
      <w:r>
        <w:rPr>
          <w:rFonts w:ascii="Palatino Linotype" w:hAnsi="Palatino Linotype"/>
          <w:b/>
          <w:color w:val="222222"/>
          <w:lang w:eastAsia="es-ES_tradnl"/>
        </w:rPr>
        <w:t>LA</w:t>
      </w:r>
      <w:r>
        <w:rPr>
          <w:rFonts w:ascii="Palatino Linotype" w:hAnsi="Palatino Linotype"/>
          <w:color w:val="222222"/>
          <w:lang w:eastAsia="es-ES_tradnl"/>
        </w:rPr>
        <w:t xml:space="preserve"> </w:t>
      </w:r>
      <w:r>
        <w:rPr>
          <w:rFonts w:ascii="Palatino Linotype" w:hAnsi="Palatino Linotype"/>
          <w:b/>
          <w:color w:val="222222"/>
          <w:lang w:eastAsia="es-ES_tradnl"/>
        </w:rPr>
        <w:t>RECURRENTE</w:t>
      </w:r>
      <w:r>
        <w:rPr>
          <w:rFonts w:ascii="Palatino Linotype" w:hAnsi="Palatino Linotype"/>
          <w:color w:val="222222"/>
          <w:lang w:eastAsia="es-ES_tradnl"/>
        </w:rPr>
        <w:t xml:space="preserve"> que de conformidad con lo establecido en el </w:t>
      </w:r>
      <w:r>
        <w:rPr>
          <w:rFonts w:ascii="Palatino Linotype" w:hAnsi="Palatino Linotype" w:cs="Arial"/>
        </w:rPr>
        <w:t>artículo</w:t>
      </w:r>
      <w:r>
        <w:rPr>
          <w:rFonts w:ascii="Palatino Linotype" w:hAnsi="Palatino Linotype"/>
          <w:color w:val="222222"/>
          <w:lang w:eastAsia="es-ES_tradnl"/>
        </w:rPr>
        <w:t xml:space="preserve"> 196 de la </w:t>
      </w:r>
      <w:r>
        <w:rPr>
          <w:rFonts w:ascii="Palatino Linotype" w:hAnsi="Palatino Linotype" w:cs="Arial"/>
        </w:rPr>
        <w:t>Ley</w:t>
      </w:r>
      <w:r>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22DAC" w:rsidRDefault="00D22DAC">
      <w:pPr>
        <w:spacing w:line="360" w:lineRule="auto"/>
        <w:ind w:right="51"/>
        <w:jc w:val="both"/>
        <w:rPr>
          <w:rFonts w:ascii="Palatino Linotype" w:hAnsi="Palatino Linotype"/>
          <w:lang w:eastAsia="es-ES_tradnl"/>
        </w:rPr>
      </w:pPr>
    </w:p>
    <w:p w:rsidR="00D22DAC" w:rsidRDefault="00CC3CB2">
      <w:pPr>
        <w:spacing w:line="360" w:lineRule="auto"/>
        <w:ind w:right="51"/>
        <w:jc w:val="both"/>
        <w:rPr>
          <w:rFonts w:ascii="Palatino Linotype" w:hAnsi="Palatino Linotype"/>
          <w:i/>
        </w:rPr>
      </w:pPr>
      <w:r>
        <w:rPr>
          <w:rFonts w:ascii="Palatino Linotype" w:hAnsi="Palatino Linotype"/>
          <w:color w:val="222222"/>
          <w:lang w:eastAsia="es-ES_tradnl"/>
        </w:rPr>
        <w:t>Se dejan a salvo los derechos de</w:t>
      </w:r>
      <w:r>
        <w:rPr>
          <w:rFonts w:ascii="Palatino Linotype" w:hAnsi="Palatino Linotype"/>
          <w:b/>
          <w:color w:val="222222"/>
          <w:lang w:eastAsia="es-ES_tradnl"/>
        </w:rPr>
        <w:t xml:space="preserve"> LA</w:t>
      </w:r>
      <w:r>
        <w:rPr>
          <w:rFonts w:ascii="Palatino Linotype" w:hAnsi="Palatino Linotype"/>
          <w:color w:val="222222"/>
          <w:lang w:eastAsia="es-ES_tradnl"/>
        </w:rPr>
        <w:t xml:space="preserve"> </w:t>
      </w:r>
      <w:r>
        <w:rPr>
          <w:rFonts w:ascii="Palatino Linotype" w:hAnsi="Palatino Linotype"/>
          <w:b/>
          <w:color w:val="222222"/>
          <w:lang w:eastAsia="es-ES_tradnl"/>
        </w:rPr>
        <w:t>RECURRENTE</w:t>
      </w:r>
      <w:r>
        <w:rPr>
          <w:rFonts w:ascii="Palatino Linotype" w:hAnsi="Palatino Linotype"/>
          <w:color w:val="222222"/>
          <w:lang w:eastAsia="es-ES_tradnl"/>
        </w:rPr>
        <w:t xml:space="preserve"> para que formule las solicitudes que a su derecho convenga al Sujeto Obligado que considere competente.</w:t>
      </w:r>
    </w:p>
    <w:p w:rsidR="00D22DAC" w:rsidRDefault="00D22DAC">
      <w:pPr>
        <w:pStyle w:val="Prrafodelista"/>
        <w:widowControl w:val="0"/>
        <w:tabs>
          <w:tab w:val="left" w:pos="1560"/>
          <w:tab w:val="left" w:pos="1843"/>
        </w:tabs>
        <w:spacing w:line="360" w:lineRule="auto"/>
        <w:ind w:left="0"/>
        <w:jc w:val="both"/>
        <w:rPr>
          <w:rFonts w:ascii="Palatino Linotype" w:hAnsi="Palatino Linotype" w:cs="Arial"/>
        </w:rPr>
      </w:pPr>
    </w:p>
    <w:p w:rsidR="00D22DAC" w:rsidRDefault="00CC3CB2">
      <w:pPr>
        <w:pStyle w:val="Prrafodelista"/>
        <w:widowControl w:val="0"/>
        <w:tabs>
          <w:tab w:val="left" w:pos="1560"/>
          <w:tab w:val="left" w:pos="1843"/>
        </w:tabs>
        <w:spacing w:line="360" w:lineRule="auto"/>
        <w:ind w:left="0"/>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w:t>
      </w:r>
      <w:r>
        <w:rPr>
          <w:rFonts w:ascii="Palatino Linotype" w:hAnsi="Palatino Linotype" w:cs="Arial"/>
        </w:rPr>
        <w:lastRenderedPageBreak/>
        <w:t xml:space="preserve">EVA ABAID YAPUR; JOSÉ GUADALUPE LUNA HERNÁNDEZ, JAVIER MARTÍNEZ CRUZ Y LUIS GUSTAVO PARRA NORIEGA; EN LA DÉCIMA CUARTA SESIÓN ORDINARIA CELEBRADA EL DIECINUEVE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10074" w:type="dxa"/>
        <w:jc w:val="center"/>
        <w:tblLook w:val="04A0" w:firstRow="1" w:lastRow="0" w:firstColumn="1" w:lastColumn="0" w:noHBand="0" w:noVBand="1"/>
      </w:tblPr>
      <w:tblGrid>
        <w:gridCol w:w="4971"/>
        <w:gridCol w:w="4881"/>
        <w:gridCol w:w="222"/>
      </w:tblGrid>
      <w:tr w:rsidR="00D22DAC">
        <w:trPr>
          <w:trHeight w:val="1510"/>
          <w:jc w:val="center"/>
        </w:trPr>
        <w:tc>
          <w:tcPr>
            <w:tcW w:w="10073" w:type="dxa"/>
            <w:gridSpan w:val="3"/>
          </w:tcPr>
          <w:p w:rsidR="00D22DAC" w:rsidRDefault="00D22DAC">
            <w:pPr>
              <w:rPr>
                <w:rFonts w:ascii="Palatino Linotype" w:hAnsi="Palatino Linotype" w:cs="Arial"/>
                <w:b/>
              </w:rPr>
            </w:pPr>
          </w:p>
          <w:p w:rsidR="00D22DAC" w:rsidRDefault="00D22DAC">
            <w:pPr>
              <w:rPr>
                <w:rFonts w:ascii="Palatino Linotype" w:hAnsi="Palatino Linotype" w:cs="Arial"/>
                <w:b/>
              </w:rPr>
            </w:pPr>
          </w:p>
          <w:p w:rsidR="00D22DAC" w:rsidRDefault="00CC3CB2">
            <w:pPr>
              <w:jc w:val="center"/>
              <w:rPr>
                <w:rFonts w:ascii="Palatino Linotype" w:hAnsi="Palatino Linotype" w:cs="Arial"/>
                <w:b/>
              </w:rPr>
            </w:pPr>
            <w:r>
              <w:rPr>
                <w:rFonts w:ascii="Palatino Linotype" w:hAnsi="Palatino Linotype" w:cs="Arial"/>
                <w:b/>
              </w:rPr>
              <w:t>Zulema Martínez Sánchez</w:t>
            </w:r>
          </w:p>
          <w:p w:rsidR="00D22DAC" w:rsidRDefault="00CC3CB2">
            <w:pPr>
              <w:jc w:val="center"/>
              <w:rPr>
                <w:rFonts w:ascii="Palatino Linotype" w:hAnsi="Palatino Linotype" w:cs="Arial"/>
                <w:b/>
              </w:rPr>
            </w:pPr>
            <w:r>
              <w:rPr>
                <w:rFonts w:ascii="Palatino Linotype" w:hAnsi="Palatino Linotype" w:cs="Arial"/>
              </w:rPr>
              <w:t>Comisionada Presidenta</w:t>
            </w:r>
          </w:p>
          <w:p w:rsidR="00D22DAC" w:rsidRDefault="00CC3CB2">
            <w:pPr>
              <w:jc w:val="center"/>
              <w:rPr>
                <w:rFonts w:ascii="Palatino Linotype" w:hAnsi="Palatino Linotype" w:cs="Arial"/>
                <w:b/>
              </w:rPr>
            </w:pPr>
            <w:r>
              <w:rPr>
                <w:rFonts w:ascii="Palatino Linotype" w:hAnsi="Palatino Linotype" w:cs="Arial"/>
                <w:b/>
              </w:rPr>
              <w:t xml:space="preserve">(RÚBRICA) </w:t>
            </w:r>
          </w:p>
        </w:tc>
      </w:tr>
      <w:tr w:rsidR="00D22DAC">
        <w:trPr>
          <w:trHeight w:val="1256"/>
          <w:jc w:val="center"/>
        </w:trPr>
        <w:tc>
          <w:tcPr>
            <w:tcW w:w="5034" w:type="dxa"/>
          </w:tcPr>
          <w:p w:rsidR="00D22DAC" w:rsidRDefault="00D22DAC">
            <w:pPr>
              <w:rPr>
                <w:rFonts w:ascii="Palatino Linotype" w:hAnsi="Palatino Linotype" w:cs="Arial"/>
                <w:b/>
              </w:rPr>
            </w:pPr>
          </w:p>
          <w:p w:rsidR="00FE1861" w:rsidRDefault="00FE1861">
            <w:pPr>
              <w:rPr>
                <w:rFonts w:ascii="Palatino Linotype" w:hAnsi="Palatino Linotype" w:cs="Arial"/>
                <w:b/>
              </w:rPr>
            </w:pPr>
          </w:p>
          <w:p w:rsidR="00D22DAC" w:rsidRDefault="00D22DAC">
            <w:pPr>
              <w:jc w:val="center"/>
              <w:rPr>
                <w:rFonts w:ascii="Palatino Linotype" w:hAnsi="Palatino Linotype" w:cs="Arial"/>
                <w:b/>
              </w:rPr>
            </w:pPr>
          </w:p>
          <w:p w:rsidR="00D22DAC" w:rsidRDefault="00CC3CB2">
            <w:pPr>
              <w:jc w:val="center"/>
              <w:rPr>
                <w:rFonts w:ascii="Palatino Linotype" w:hAnsi="Palatino Linotype" w:cs="Arial"/>
                <w:b/>
              </w:rPr>
            </w:pPr>
            <w:r>
              <w:rPr>
                <w:rFonts w:ascii="Palatino Linotype" w:hAnsi="Palatino Linotype" w:cs="Arial"/>
                <w:b/>
              </w:rPr>
              <w:t>Eva Abaid Yapur</w:t>
            </w:r>
          </w:p>
          <w:p w:rsidR="00D22DAC" w:rsidRDefault="00CC3CB2">
            <w:pPr>
              <w:jc w:val="center"/>
              <w:rPr>
                <w:rFonts w:ascii="Palatino Linotype" w:hAnsi="Palatino Linotype" w:cs="Arial"/>
              </w:rPr>
            </w:pPr>
            <w:r>
              <w:rPr>
                <w:rFonts w:ascii="Palatino Linotype" w:hAnsi="Palatino Linotype" w:cs="Arial"/>
              </w:rPr>
              <w:t>Comisionada</w:t>
            </w:r>
          </w:p>
          <w:p w:rsidR="00D22DAC" w:rsidRDefault="00CC3CB2">
            <w:pPr>
              <w:jc w:val="center"/>
              <w:rPr>
                <w:rFonts w:ascii="Palatino Linotype" w:hAnsi="Palatino Linotype" w:cs="Arial"/>
                <w:b/>
              </w:rPr>
            </w:pPr>
            <w:r>
              <w:rPr>
                <w:rFonts w:ascii="Palatino Linotype" w:hAnsi="Palatino Linotype" w:cs="Arial"/>
                <w:b/>
              </w:rPr>
              <w:t>(RÚBRICA)</w:t>
            </w:r>
          </w:p>
        </w:tc>
        <w:tc>
          <w:tcPr>
            <w:tcW w:w="5039" w:type="dxa"/>
            <w:gridSpan w:val="2"/>
          </w:tcPr>
          <w:p w:rsidR="00D22DAC" w:rsidRDefault="00D22DAC">
            <w:pPr>
              <w:rPr>
                <w:rFonts w:ascii="Palatino Linotype" w:hAnsi="Palatino Linotype" w:cs="Arial"/>
                <w:b/>
              </w:rPr>
            </w:pPr>
          </w:p>
          <w:p w:rsidR="00D22DAC" w:rsidRDefault="00D22DAC">
            <w:pPr>
              <w:jc w:val="center"/>
              <w:rPr>
                <w:rFonts w:ascii="Palatino Linotype" w:hAnsi="Palatino Linotype" w:cs="Arial"/>
                <w:b/>
              </w:rPr>
            </w:pPr>
          </w:p>
          <w:p w:rsidR="00FE1861" w:rsidRDefault="00FE1861">
            <w:pPr>
              <w:jc w:val="center"/>
              <w:rPr>
                <w:rFonts w:ascii="Palatino Linotype" w:hAnsi="Palatino Linotype" w:cs="Arial"/>
                <w:b/>
              </w:rPr>
            </w:pPr>
          </w:p>
          <w:p w:rsidR="00D22DAC" w:rsidRDefault="00CC3CB2">
            <w:pPr>
              <w:jc w:val="center"/>
              <w:rPr>
                <w:rFonts w:ascii="Palatino Linotype" w:hAnsi="Palatino Linotype" w:cs="Arial"/>
                <w:b/>
              </w:rPr>
            </w:pPr>
            <w:r>
              <w:rPr>
                <w:rFonts w:ascii="Palatino Linotype" w:hAnsi="Palatino Linotype" w:cs="Arial"/>
                <w:b/>
              </w:rPr>
              <w:t>José Guadalupe Luna Hernández</w:t>
            </w:r>
          </w:p>
          <w:p w:rsidR="00D22DAC" w:rsidRDefault="00CC3CB2">
            <w:pPr>
              <w:jc w:val="center"/>
              <w:rPr>
                <w:rFonts w:ascii="Palatino Linotype" w:hAnsi="Palatino Linotype" w:cs="Arial"/>
              </w:rPr>
            </w:pPr>
            <w:r>
              <w:rPr>
                <w:rFonts w:ascii="Palatino Linotype" w:hAnsi="Palatino Linotype" w:cs="Arial"/>
              </w:rPr>
              <w:t>Comisionado</w:t>
            </w:r>
          </w:p>
          <w:p w:rsidR="00D22DAC" w:rsidRDefault="00CC3CB2">
            <w:pPr>
              <w:jc w:val="center"/>
              <w:rPr>
                <w:rFonts w:ascii="Palatino Linotype" w:hAnsi="Palatino Linotype" w:cs="Arial"/>
                <w:b/>
              </w:rPr>
            </w:pPr>
            <w:r>
              <w:rPr>
                <w:rFonts w:ascii="Palatino Linotype" w:hAnsi="Palatino Linotype" w:cs="Arial"/>
                <w:b/>
              </w:rPr>
              <w:t>(RÚBRICA)</w:t>
            </w:r>
          </w:p>
        </w:tc>
      </w:tr>
      <w:tr w:rsidR="00D22DAC">
        <w:trPr>
          <w:trHeight w:val="1798"/>
          <w:jc w:val="center"/>
        </w:trPr>
        <w:tc>
          <w:tcPr>
            <w:tcW w:w="5034" w:type="dxa"/>
          </w:tcPr>
          <w:p w:rsidR="00D22DAC" w:rsidRDefault="00D22DAC">
            <w:pPr>
              <w:rPr>
                <w:rFonts w:ascii="Palatino Linotype" w:hAnsi="Palatino Linotype" w:cs="Arial"/>
                <w:b/>
              </w:rPr>
            </w:pPr>
          </w:p>
          <w:p w:rsidR="00D22DAC" w:rsidRDefault="00D22DAC">
            <w:pPr>
              <w:rPr>
                <w:rFonts w:ascii="Palatino Linotype" w:hAnsi="Palatino Linotype" w:cs="Arial"/>
                <w:b/>
              </w:rPr>
            </w:pPr>
          </w:p>
          <w:p w:rsidR="00D22DAC" w:rsidRDefault="00D22DAC">
            <w:pPr>
              <w:rPr>
                <w:rFonts w:ascii="Palatino Linotype" w:hAnsi="Palatino Linotype" w:cs="Arial"/>
                <w:b/>
              </w:rPr>
            </w:pPr>
          </w:p>
          <w:p w:rsidR="00D22DAC" w:rsidRDefault="00CC3CB2">
            <w:pPr>
              <w:jc w:val="center"/>
              <w:rPr>
                <w:rFonts w:ascii="Palatino Linotype" w:hAnsi="Palatino Linotype" w:cs="Arial"/>
                <w:b/>
              </w:rPr>
            </w:pPr>
            <w:r>
              <w:rPr>
                <w:rFonts w:ascii="Palatino Linotype" w:hAnsi="Palatino Linotype" w:cs="Arial"/>
                <w:b/>
              </w:rPr>
              <w:t>Javier Martínez Cruz</w:t>
            </w:r>
          </w:p>
          <w:p w:rsidR="00D22DAC" w:rsidRDefault="00CC3CB2">
            <w:pPr>
              <w:tabs>
                <w:tab w:val="center" w:pos="2513"/>
                <w:tab w:val="left" w:pos="3750"/>
              </w:tabs>
              <w:rPr>
                <w:rFonts w:ascii="Palatino Linotype" w:hAnsi="Palatino Linotype" w:cs="Arial"/>
              </w:rPr>
            </w:pPr>
            <w:r>
              <w:rPr>
                <w:rFonts w:ascii="Palatino Linotype" w:hAnsi="Palatino Linotype" w:cs="Arial"/>
              </w:rPr>
              <w:tab/>
              <w:t>Comisionado</w:t>
            </w:r>
            <w:r>
              <w:rPr>
                <w:rFonts w:ascii="Palatino Linotype" w:hAnsi="Palatino Linotype" w:cs="Arial"/>
              </w:rPr>
              <w:tab/>
            </w:r>
          </w:p>
          <w:p w:rsidR="00D22DAC" w:rsidRDefault="00CC3CB2">
            <w:pPr>
              <w:jc w:val="center"/>
              <w:rPr>
                <w:rFonts w:ascii="Palatino Linotype" w:hAnsi="Palatino Linotype" w:cs="Arial"/>
                <w:b/>
              </w:rPr>
            </w:pPr>
            <w:r>
              <w:rPr>
                <w:rFonts w:ascii="Palatino Linotype" w:hAnsi="Palatino Linotype" w:cs="Arial"/>
                <w:b/>
              </w:rPr>
              <w:t>(RÚBRICA)</w:t>
            </w:r>
          </w:p>
        </w:tc>
        <w:tc>
          <w:tcPr>
            <w:tcW w:w="5039" w:type="dxa"/>
            <w:gridSpan w:val="2"/>
          </w:tcPr>
          <w:p w:rsidR="00D22DAC" w:rsidRDefault="00D22DAC">
            <w:pPr>
              <w:jc w:val="center"/>
              <w:rPr>
                <w:rFonts w:ascii="Palatino Linotype" w:hAnsi="Palatino Linotype" w:cs="Arial"/>
                <w:b/>
              </w:rPr>
            </w:pPr>
          </w:p>
          <w:p w:rsidR="00D22DAC" w:rsidRDefault="00D22DAC">
            <w:pPr>
              <w:jc w:val="center"/>
              <w:rPr>
                <w:rFonts w:ascii="Palatino Linotype" w:hAnsi="Palatino Linotype" w:cs="Arial"/>
                <w:b/>
              </w:rPr>
            </w:pPr>
          </w:p>
          <w:p w:rsidR="00D22DAC" w:rsidRDefault="00D22DAC">
            <w:pPr>
              <w:rPr>
                <w:rFonts w:ascii="Palatino Linotype" w:hAnsi="Palatino Linotype" w:cs="Arial"/>
                <w:b/>
              </w:rPr>
            </w:pPr>
          </w:p>
          <w:p w:rsidR="00D22DAC" w:rsidRDefault="00CC3CB2">
            <w:pPr>
              <w:jc w:val="center"/>
              <w:rPr>
                <w:rFonts w:ascii="Palatino Linotype" w:hAnsi="Palatino Linotype" w:cs="Arial"/>
                <w:b/>
              </w:rPr>
            </w:pPr>
            <w:r>
              <w:rPr>
                <w:rFonts w:ascii="Palatino Linotype" w:hAnsi="Palatino Linotype" w:cs="Arial"/>
                <w:b/>
              </w:rPr>
              <w:t>Luis Gustavo Parra Noriega</w:t>
            </w:r>
          </w:p>
          <w:p w:rsidR="00D22DAC" w:rsidRDefault="00CC3CB2">
            <w:pPr>
              <w:jc w:val="center"/>
              <w:rPr>
                <w:rFonts w:ascii="Palatino Linotype" w:hAnsi="Palatino Linotype" w:cs="Arial"/>
              </w:rPr>
            </w:pPr>
            <w:r>
              <w:rPr>
                <w:rFonts w:ascii="Palatino Linotype" w:hAnsi="Palatino Linotype" w:cs="Arial"/>
              </w:rPr>
              <w:t>Comisionado</w:t>
            </w:r>
          </w:p>
          <w:p w:rsidR="00D22DAC" w:rsidRDefault="00CC3CB2">
            <w:pPr>
              <w:jc w:val="center"/>
              <w:rPr>
                <w:rFonts w:ascii="Palatino Linotype" w:hAnsi="Palatino Linotype" w:cs="Arial"/>
                <w:b/>
              </w:rPr>
            </w:pPr>
            <w:r>
              <w:rPr>
                <w:rFonts w:ascii="Palatino Linotype" w:hAnsi="Palatino Linotype" w:cs="Arial"/>
                <w:b/>
              </w:rPr>
              <w:t>(RÚBRICA)</w:t>
            </w:r>
          </w:p>
        </w:tc>
      </w:tr>
      <w:tr w:rsidR="00D22DAC">
        <w:trPr>
          <w:trHeight w:val="1033"/>
          <w:jc w:val="center"/>
        </w:trPr>
        <w:tc>
          <w:tcPr>
            <w:tcW w:w="10073" w:type="dxa"/>
            <w:gridSpan w:val="3"/>
          </w:tcPr>
          <w:p w:rsidR="00D22DAC" w:rsidRDefault="00D22DAC">
            <w:pPr>
              <w:rPr>
                <w:rFonts w:ascii="Palatino Linotype" w:hAnsi="Palatino Linotype" w:cs="Arial"/>
                <w:b/>
              </w:rPr>
            </w:pPr>
          </w:p>
          <w:p w:rsidR="00754F45" w:rsidRDefault="00754F45">
            <w:pPr>
              <w:rPr>
                <w:rFonts w:ascii="Palatino Linotype" w:hAnsi="Palatino Linotype" w:cs="Arial"/>
                <w:b/>
              </w:rPr>
            </w:pPr>
          </w:p>
          <w:p w:rsidR="00754F45" w:rsidRDefault="00754F45">
            <w:pPr>
              <w:rPr>
                <w:rFonts w:ascii="Palatino Linotype" w:hAnsi="Palatino Linotype" w:cs="Arial"/>
                <w:b/>
              </w:rPr>
            </w:pPr>
          </w:p>
          <w:p w:rsidR="00D22DAC" w:rsidRDefault="00D22DAC">
            <w:pPr>
              <w:jc w:val="center"/>
              <w:rPr>
                <w:rFonts w:ascii="Palatino Linotype" w:hAnsi="Palatino Linotype" w:cs="Arial"/>
                <w:b/>
              </w:rPr>
            </w:pPr>
          </w:p>
          <w:p w:rsidR="00D22DAC" w:rsidRDefault="00CC3CB2">
            <w:pPr>
              <w:jc w:val="center"/>
              <w:rPr>
                <w:rFonts w:ascii="Palatino Linotype" w:hAnsi="Palatino Linotype" w:cs="Arial"/>
                <w:b/>
              </w:rPr>
            </w:pPr>
            <w:r>
              <w:rPr>
                <w:rFonts w:ascii="Palatino Linotype" w:hAnsi="Palatino Linotype" w:cs="Arial"/>
                <w:b/>
              </w:rPr>
              <w:t>Alexis Tapia Ramírez</w:t>
            </w:r>
          </w:p>
          <w:p w:rsidR="00D22DAC" w:rsidRDefault="00CC3CB2">
            <w:pPr>
              <w:jc w:val="center"/>
              <w:rPr>
                <w:rFonts w:ascii="Palatino Linotype" w:hAnsi="Palatino Linotype" w:cs="Arial"/>
              </w:rPr>
            </w:pPr>
            <w:r>
              <w:rPr>
                <w:rFonts w:ascii="Palatino Linotype" w:hAnsi="Palatino Linotype" w:cs="Arial"/>
              </w:rPr>
              <w:t>Secretario Técnico del Pleno</w:t>
            </w:r>
          </w:p>
          <w:p w:rsidR="00D22DAC" w:rsidRDefault="00CC3CB2">
            <w:pPr>
              <w:pStyle w:val="Piedepgina"/>
              <w:jc w:val="center"/>
              <w:rPr>
                <w:rFonts w:ascii="Palatino Linotype" w:hAnsi="Palatino Linotype" w:cs="Arial"/>
                <w:b/>
              </w:rPr>
            </w:pPr>
            <w:r>
              <w:rPr>
                <w:rFonts w:ascii="Palatino Linotype" w:hAnsi="Palatino Linotype" w:cs="Arial"/>
                <w:b/>
              </w:rPr>
              <w:t>(RÚBRICA)</w:t>
            </w:r>
          </w:p>
        </w:tc>
      </w:tr>
      <w:tr w:rsidR="00D22DAC">
        <w:trPr>
          <w:trHeight w:val="253"/>
          <w:jc w:val="center"/>
        </w:trPr>
        <w:tc>
          <w:tcPr>
            <w:tcW w:w="10059" w:type="dxa"/>
            <w:gridSpan w:val="2"/>
          </w:tcPr>
          <w:p w:rsidR="00D22DAC" w:rsidRDefault="00CC3CB2">
            <w:pPr>
              <w:jc w:val="both"/>
              <w:rPr>
                <w:rFonts w:ascii="Palatino Linotype" w:hAnsi="Palatino Linotype" w:cs="Arial"/>
                <w:sz w:val="22"/>
                <w:szCs w:val="22"/>
                <w:lang w:val="es-ES"/>
              </w:rPr>
            </w:pPr>
            <w:r>
              <w:rPr>
                <w:rFonts w:ascii="Palatino Linotype" w:hAnsi="Palatino Linotype" w:cs="Arial"/>
                <w:sz w:val="22"/>
                <w:szCs w:val="22"/>
                <w:lang w:val="es-ES"/>
              </w:rPr>
              <w:t>Esta hoja corresponde a la resolución de fecha diecinueve de agosto de dos mil veinte, emitida en el recurso de revisión 01167/INFOEM/IP/RR/2020.</w:t>
            </w:r>
          </w:p>
          <w:p w:rsidR="00D22DAC" w:rsidRDefault="00CC3CB2">
            <w:pPr>
              <w:jc w:val="both"/>
              <w:rPr>
                <w:rFonts w:ascii="Palatino Linotype" w:hAnsi="Palatino Linotype" w:cs="Arial"/>
              </w:rPr>
            </w:pPr>
            <w:r>
              <w:rPr>
                <w:rFonts w:ascii="Palatino Linotype" w:hAnsi="Palatino Linotype" w:cs="Arial"/>
                <w:sz w:val="22"/>
                <w:szCs w:val="22"/>
                <w:lang w:val="es-ES"/>
              </w:rPr>
              <w:t>YSM/AAS</w:t>
            </w:r>
          </w:p>
        </w:tc>
        <w:tc>
          <w:tcPr>
            <w:tcW w:w="14" w:type="dxa"/>
          </w:tcPr>
          <w:p w:rsidR="00D22DAC" w:rsidRDefault="00D22DAC"/>
        </w:tc>
      </w:tr>
    </w:tbl>
    <w:p w:rsidR="00D22DAC" w:rsidRDefault="00D22DAC" w:rsidP="00754F45">
      <w:pPr>
        <w:spacing w:before="240" w:line="360" w:lineRule="auto"/>
        <w:jc w:val="both"/>
        <w:rPr>
          <w:rFonts w:ascii="Palatino Linotype" w:hAnsi="Palatino Linotype"/>
        </w:rPr>
      </w:pPr>
    </w:p>
    <w:sectPr w:rsidR="00D22DAC">
      <w:headerReference w:type="default" r:id="rId15"/>
      <w:footerReference w:type="default" r:id="rId16"/>
      <w:headerReference w:type="first" r:id="rId17"/>
      <w:footerReference w:type="first" r:id="rId18"/>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1D3" w:rsidRDefault="005C31D3">
      <w:r>
        <w:separator/>
      </w:r>
    </w:p>
  </w:endnote>
  <w:endnote w:type="continuationSeparator" w:id="0">
    <w:p w:rsidR="005C31D3" w:rsidRDefault="005C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DAC" w:rsidRDefault="00CC3CB2">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02A45">
      <w:rPr>
        <w:rFonts w:ascii="Palatino Linotype" w:hAnsi="Palatino Linotype" w:cs="Arial"/>
        <w:bCs/>
        <w:noProof/>
        <w:sz w:val="22"/>
        <w:szCs w:val="22"/>
      </w:rPr>
      <w:t>16</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02A45">
      <w:rPr>
        <w:rFonts w:ascii="Palatino Linotype" w:hAnsi="Palatino Linotype" w:cs="Arial"/>
        <w:bCs/>
        <w:noProof/>
        <w:sz w:val="22"/>
        <w:szCs w:val="22"/>
      </w:rPr>
      <w:t>45</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DAC" w:rsidRDefault="00CC3CB2">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102A45">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102A45">
      <w:rPr>
        <w:rFonts w:ascii="Palatino Linotype" w:hAnsi="Palatino Linotype" w:cs="Arial"/>
        <w:bCs/>
        <w:noProof/>
        <w:sz w:val="22"/>
        <w:szCs w:val="22"/>
      </w:rPr>
      <w:t>45</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1D3" w:rsidRDefault="005C31D3">
      <w:pPr>
        <w:rPr>
          <w:sz w:val="12"/>
        </w:rPr>
      </w:pPr>
      <w:r>
        <w:separator/>
      </w:r>
    </w:p>
  </w:footnote>
  <w:footnote w:type="continuationSeparator" w:id="0">
    <w:p w:rsidR="005C31D3" w:rsidRDefault="005C31D3">
      <w:pPr>
        <w:rPr>
          <w:sz w:val="12"/>
        </w:rPr>
      </w:pPr>
      <w:r>
        <w:continuationSeparator/>
      </w:r>
    </w:p>
  </w:footnote>
  <w:footnote w:id="1">
    <w:p w:rsidR="00D22DAC" w:rsidRDefault="00CC3CB2">
      <w:pPr>
        <w:pStyle w:val="Textonotapie"/>
        <w:rPr>
          <w:rFonts w:ascii="Palatino Linotype" w:hAnsi="Palatino Linotype"/>
          <w:sz w:val="18"/>
          <w:szCs w:val="18"/>
        </w:rPr>
      </w:pPr>
      <w:r>
        <w:rPr>
          <w:rStyle w:val="Caracteresdenotaalpie"/>
        </w:rPr>
        <w:footnoteRef/>
      </w:r>
      <w:r>
        <w:rPr>
          <w:rFonts w:ascii="Palatino Linotype" w:hAnsi="Palatino Linotype"/>
          <w:sz w:val="18"/>
          <w:szCs w:val="18"/>
        </w:rPr>
        <w:t xml:space="preserve"> Visible en la página electrónica </w:t>
      </w:r>
      <w:hyperlink r:id="rId1">
        <w:r>
          <w:rPr>
            <w:rFonts w:ascii="Palatino Linotype" w:eastAsia="Times New Roman" w:hAnsi="Palatino Linotype" w:cs="Times New Roman"/>
            <w:color w:val="0000FF"/>
            <w:sz w:val="18"/>
            <w:szCs w:val="18"/>
            <w:u w:val="single"/>
            <w:lang w:eastAsia="es-ES"/>
          </w:rPr>
          <w:t>https://www.ipomex.org.mx/recursos/ipo/files_ipo3/2019/42897/10/13bec27066946d2dc1e80d352f84c7c0.pdf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DAC" w:rsidRDefault="00CC3CB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2" behindDoc="1" locked="0" layoutInCell="1" allowOverlap="1">
          <wp:simplePos x="0" y="0"/>
          <wp:positionH relativeFrom="column">
            <wp:align>center</wp:align>
          </wp:positionH>
          <wp:positionV relativeFrom="margin">
            <wp:align>center</wp:align>
          </wp:positionV>
          <wp:extent cx="6858635" cy="9144635"/>
          <wp:effectExtent l="0" t="0" r="0" b="0"/>
          <wp:wrapNone/>
          <wp:docPr id="1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5"/>
      <w:gridCol w:w="2555"/>
      <w:gridCol w:w="3724"/>
    </w:tblGrid>
    <w:tr w:rsidR="00D22DAC">
      <w:tc>
        <w:tcPr>
          <w:tcW w:w="3255" w:type="dxa"/>
          <w:vMerge w:val="restart"/>
        </w:tcPr>
        <w:p w:rsidR="00D22DAC" w:rsidRDefault="00CC3CB2">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rsidR="00D22DAC" w:rsidRDefault="00CC3CB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D22DAC" w:rsidRDefault="00CC3CB2">
          <w:pPr>
            <w:jc w:val="both"/>
            <w:rPr>
              <w:rFonts w:ascii="Palatino Linotype" w:hAnsi="Palatino Linotype"/>
              <w:b/>
              <w:sz w:val="22"/>
              <w:szCs w:val="22"/>
              <w:lang w:val="es-ES_tradnl"/>
            </w:rPr>
          </w:pPr>
          <w:r>
            <w:rPr>
              <w:rFonts w:ascii="Palatino Linotype" w:hAnsi="Palatino Linotype"/>
              <w:b/>
              <w:sz w:val="22"/>
              <w:szCs w:val="22"/>
              <w:lang w:val="es-ES_tradnl"/>
            </w:rPr>
            <w:t>01167/INFOEM/IP/RR/2020</w:t>
          </w:r>
        </w:p>
      </w:tc>
    </w:tr>
    <w:tr w:rsidR="00D22DAC">
      <w:tc>
        <w:tcPr>
          <w:tcW w:w="3255" w:type="dxa"/>
          <w:vMerge/>
        </w:tcPr>
        <w:p w:rsidR="00D22DAC" w:rsidRDefault="00D22DAC">
          <w:pPr>
            <w:rPr>
              <w:rFonts w:ascii="Palatino Linotype" w:hAnsi="Palatino Linotype"/>
              <w:b/>
              <w:sz w:val="22"/>
              <w:szCs w:val="22"/>
              <w:lang w:val="es-ES_tradnl"/>
            </w:rPr>
          </w:pPr>
        </w:p>
      </w:tc>
      <w:tc>
        <w:tcPr>
          <w:tcW w:w="2555" w:type="dxa"/>
          <w:shd w:val="clear" w:color="auto" w:fill="auto"/>
        </w:tcPr>
        <w:p w:rsidR="00D22DAC" w:rsidRDefault="00CC3CB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D22DAC" w:rsidRDefault="00CC3CB2">
          <w:pPr>
            <w:jc w:val="both"/>
            <w:rPr>
              <w:rFonts w:ascii="Palatino Linotype" w:hAnsi="Palatino Linotype"/>
              <w:b/>
              <w:sz w:val="22"/>
              <w:szCs w:val="22"/>
            </w:rPr>
          </w:pPr>
          <w:r>
            <w:rPr>
              <w:rFonts w:ascii="Palatino Linotype" w:hAnsi="Palatino Linotype"/>
              <w:b/>
              <w:bCs/>
              <w:sz w:val="22"/>
              <w:szCs w:val="22"/>
            </w:rPr>
            <w:t>Sistema Municipal Para el Desarrollo Integral de la Familia de San Mateo Atenco</w:t>
          </w:r>
        </w:p>
      </w:tc>
    </w:tr>
    <w:tr w:rsidR="00D22DAC">
      <w:trPr>
        <w:trHeight w:val="228"/>
      </w:trPr>
      <w:tc>
        <w:tcPr>
          <w:tcW w:w="3255" w:type="dxa"/>
          <w:vMerge/>
        </w:tcPr>
        <w:p w:rsidR="00D22DAC" w:rsidRDefault="00D22DAC">
          <w:pPr>
            <w:rPr>
              <w:rFonts w:ascii="Palatino Linotype" w:hAnsi="Palatino Linotype"/>
              <w:b/>
              <w:sz w:val="22"/>
              <w:szCs w:val="22"/>
              <w:lang w:val="es-ES_tradnl"/>
            </w:rPr>
          </w:pPr>
        </w:p>
      </w:tc>
      <w:tc>
        <w:tcPr>
          <w:tcW w:w="2555" w:type="dxa"/>
          <w:shd w:val="clear" w:color="auto" w:fill="auto"/>
        </w:tcPr>
        <w:p w:rsidR="00D22DAC" w:rsidRDefault="00CC3CB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D22DAC" w:rsidRDefault="00CC3CB2">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22DAC" w:rsidRDefault="00D22DA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DAC" w:rsidRDefault="00CC3CB2">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3" behindDoc="1" locked="0" layoutInCell="1" allowOverlap="1">
          <wp:simplePos x="0" y="0"/>
          <wp:positionH relativeFrom="column">
            <wp:align>center</wp:align>
          </wp:positionH>
          <wp:positionV relativeFrom="margin">
            <wp:align>center</wp:align>
          </wp:positionV>
          <wp:extent cx="6858635" cy="9144635"/>
          <wp:effectExtent l="0" t="0" r="0" b="0"/>
          <wp:wrapNone/>
          <wp:docPr id="1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9"/>
      <w:gridCol w:w="3691"/>
    </w:tblGrid>
    <w:tr w:rsidR="00D22DAC">
      <w:tc>
        <w:tcPr>
          <w:tcW w:w="4250" w:type="dxa"/>
          <w:vMerge w:val="restart"/>
          <w:shd w:val="clear" w:color="auto" w:fill="auto"/>
        </w:tcPr>
        <w:p w:rsidR="00D22DAC" w:rsidRDefault="00CC3CB2">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rsidR="00D22DAC" w:rsidRDefault="00CC3CB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rsidR="00D22DAC" w:rsidRDefault="00CC3CB2">
          <w:pPr>
            <w:jc w:val="both"/>
            <w:rPr>
              <w:rFonts w:ascii="Palatino Linotype" w:hAnsi="Palatino Linotype"/>
              <w:b/>
              <w:sz w:val="22"/>
              <w:szCs w:val="22"/>
              <w:lang w:val="es-ES_tradnl"/>
            </w:rPr>
          </w:pPr>
          <w:r>
            <w:rPr>
              <w:rFonts w:ascii="Palatino Linotype" w:hAnsi="Palatino Linotype"/>
              <w:b/>
              <w:sz w:val="22"/>
              <w:szCs w:val="22"/>
              <w:lang w:val="es-ES_tradnl"/>
            </w:rPr>
            <w:t xml:space="preserve">01167/INFOEM/IP/RR/2020 </w:t>
          </w:r>
        </w:p>
      </w:tc>
    </w:tr>
    <w:tr w:rsidR="00D22DAC">
      <w:tc>
        <w:tcPr>
          <w:tcW w:w="4250" w:type="dxa"/>
          <w:vMerge/>
          <w:shd w:val="clear" w:color="auto" w:fill="auto"/>
        </w:tcPr>
        <w:p w:rsidR="00D22DAC" w:rsidRDefault="00D22DAC">
          <w:pPr>
            <w:rPr>
              <w:rFonts w:ascii="Palatino Linotype" w:hAnsi="Palatino Linotype"/>
              <w:b/>
              <w:sz w:val="22"/>
              <w:szCs w:val="22"/>
              <w:lang w:val="es-ES_tradnl"/>
            </w:rPr>
          </w:pPr>
        </w:p>
      </w:tc>
      <w:tc>
        <w:tcPr>
          <w:tcW w:w="2549" w:type="dxa"/>
          <w:shd w:val="clear" w:color="auto" w:fill="auto"/>
        </w:tcPr>
        <w:p w:rsidR="00D22DAC" w:rsidRDefault="00CC3CB2">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rsidR="00D22DAC" w:rsidRDefault="00102A45">
          <w:pPr>
            <w:jc w:val="both"/>
            <w:rPr>
              <w:rFonts w:ascii="Palatino Linotype" w:hAnsi="Palatino Linotype"/>
              <w:b/>
              <w:sz w:val="22"/>
              <w:szCs w:val="22"/>
              <w:lang w:val="es-ES_tradnl"/>
            </w:rPr>
          </w:pPr>
          <w:r>
            <w:rPr>
              <w:rFonts w:ascii="Palatino Linotype" w:hAnsi="Palatino Linotype"/>
              <w:b/>
              <w:sz w:val="22"/>
              <w:szCs w:val="22"/>
              <w:lang w:val="es-ES_tradnl"/>
            </w:rPr>
            <w:t>Xxxxx Xxxxxx</w:t>
          </w:r>
          <w:r w:rsidR="00CC3CB2">
            <w:rPr>
              <w:sz w:val="22"/>
              <w:szCs w:val="22"/>
            </w:rPr>
            <w:t xml:space="preserve"> </w:t>
          </w: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Xxxxxxxx</w:t>
          </w:r>
          <w:proofErr w:type="spellEnd"/>
        </w:p>
      </w:tc>
    </w:tr>
    <w:tr w:rsidR="00D22DAC">
      <w:trPr>
        <w:trHeight w:val="228"/>
      </w:trPr>
      <w:tc>
        <w:tcPr>
          <w:tcW w:w="4250" w:type="dxa"/>
          <w:vMerge/>
          <w:shd w:val="clear" w:color="auto" w:fill="auto"/>
        </w:tcPr>
        <w:p w:rsidR="00D22DAC" w:rsidRDefault="00D22DAC">
          <w:pPr>
            <w:rPr>
              <w:rFonts w:ascii="Palatino Linotype" w:hAnsi="Palatino Linotype"/>
              <w:b/>
              <w:sz w:val="22"/>
              <w:szCs w:val="22"/>
              <w:lang w:val="es-ES_tradnl"/>
            </w:rPr>
          </w:pPr>
        </w:p>
      </w:tc>
      <w:tc>
        <w:tcPr>
          <w:tcW w:w="2549" w:type="dxa"/>
          <w:shd w:val="clear" w:color="auto" w:fill="auto"/>
        </w:tcPr>
        <w:p w:rsidR="00D22DAC" w:rsidRDefault="00CC3CB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rsidR="00D22DAC" w:rsidRDefault="00CC3CB2">
          <w:pPr>
            <w:jc w:val="both"/>
            <w:rPr>
              <w:rFonts w:ascii="Palatino Linotype" w:hAnsi="Palatino Linotype"/>
              <w:b/>
              <w:sz w:val="22"/>
              <w:szCs w:val="22"/>
            </w:rPr>
          </w:pPr>
          <w:r>
            <w:rPr>
              <w:rFonts w:ascii="Palatino Linotype" w:hAnsi="Palatino Linotype"/>
              <w:b/>
              <w:bCs/>
              <w:sz w:val="22"/>
              <w:szCs w:val="22"/>
            </w:rPr>
            <w:t>Sistema Municipal Para el Desarrollo Integral de la Familia de San Mateo Atenco</w:t>
          </w:r>
        </w:p>
      </w:tc>
    </w:tr>
    <w:tr w:rsidR="00D22DAC">
      <w:tc>
        <w:tcPr>
          <w:tcW w:w="4250" w:type="dxa"/>
          <w:vMerge/>
          <w:shd w:val="clear" w:color="auto" w:fill="auto"/>
        </w:tcPr>
        <w:p w:rsidR="00D22DAC" w:rsidRDefault="00D22DAC">
          <w:pPr>
            <w:rPr>
              <w:rFonts w:ascii="Palatino Linotype" w:hAnsi="Palatino Linotype"/>
              <w:b/>
              <w:sz w:val="22"/>
              <w:szCs w:val="22"/>
              <w:lang w:val="es-ES_tradnl"/>
            </w:rPr>
          </w:pPr>
        </w:p>
      </w:tc>
      <w:tc>
        <w:tcPr>
          <w:tcW w:w="2549" w:type="dxa"/>
          <w:shd w:val="clear" w:color="auto" w:fill="auto"/>
        </w:tcPr>
        <w:p w:rsidR="00D22DAC" w:rsidRDefault="00CC3CB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rsidR="00D22DAC" w:rsidRDefault="00CC3CB2">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22DAC" w:rsidRDefault="00D22DA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C4298"/>
    <w:multiLevelType w:val="multilevel"/>
    <w:tmpl w:val="F0349142"/>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551F7C"/>
    <w:multiLevelType w:val="multilevel"/>
    <w:tmpl w:val="165056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D271D07"/>
    <w:multiLevelType w:val="multilevel"/>
    <w:tmpl w:val="93EA1E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AED25D0"/>
    <w:multiLevelType w:val="multilevel"/>
    <w:tmpl w:val="8E746E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DAC"/>
    <w:rsid w:val="00102A45"/>
    <w:rsid w:val="005C31D3"/>
    <w:rsid w:val="00754F45"/>
    <w:rsid w:val="00CC3CB2"/>
    <w:rsid w:val="00D22DAC"/>
    <w:rsid w:val="00FE186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2609EF-B3A5-4AA5-A9D5-D322340D3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9/42897/10/13bec27066946d2dc1e80d352f84c7c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0B897-6D60-4363-89DE-9860C3A6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11746</Words>
  <Characters>64605</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2020-08-26T22:36:00Z</dcterms:created>
  <dcterms:modified xsi:type="dcterms:W3CDTF">2020-08-26T22:36:00Z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