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EA000" w14:textId="77777777" w:rsidR="001A299F" w:rsidRPr="00645E2C" w:rsidRDefault="00B06BC7" w:rsidP="001A299F">
      <w:pPr>
        <w:spacing w:line="360" w:lineRule="auto"/>
        <w:jc w:val="both"/>
        <w:rPr>
          <w:rFonts w:ascii="Palatino Linotype" w:hAnsi="Palatino Linotype"/>
        </w:rPr>
      </w:pPr>
      <w:r w:rsidRPr="00C5057E">
        <w:rPr>
          <w:rFonts w:ascii="Palatino Linotype" w:hAnsi="Palatino Linotype"/>
        </w:rPr>
        <w:t>Resolución del Pleno del Instituto de Transparencia, Acceso a la Información Pública y Protección de Datos Personales del Estado de México y Municipios, con domicilio en Mete</w:t>
      </w:r>
      <w:r>
        <w:rPr>
          <w:rFonts w:ascii="Palatino Linotype" w:hAnsi="Palatino Linotype"/>
        </w:rPr>
        <w:t xml:space="preserve">pec, Estado de México, de fecha </w:t>
      </w:r>
      <w:r w:rsidR="001A299F">
        <w:rPr>
          <w:rFonts w:ascii="Palatino Linotype" w:hAnsi="Palatino Linotype"/>
        </w:rPr>
        <w:t>once</w:t>
      </w:r>
      <w:r w:rsidR="001A299F" w:rsidRPr="00645E2C">
        <w:rPr>
          <w:rFonts w:ascii="Palatino Linotype" w:hAnsi="Palatino Linotype"/>
        </w:rPr>
        <w:t xml:space="preserve"> de </w:t>
      </w:r>
      <w:r w:rsidR="001A299F">
        <w:rPr>
          <w:rFonts w:ascii="Palatino Linotype" w:hAnsi="Palatino Linotype"/>
        </w:rPr>
        <w:t>noviembre</w:t>
      </w:r>
      <w:r w:rsidR="001A299F" w:rsidRPr="00645E2C">
        <w:rPr>
          <w:rFonts w:ascii="Palatino Linotype" w:hAnsi="Palatino Linotype"/>
        </w:rPr>
        <w:t xml:space="preserve"> de dos mil veinte.</w:t>
      </w:r>
    </w:p>
    <w:p w14:paraId="0DB8A469" w14:textId="77777777" w:rsidR="00B06BC7" w:rsidRPr="00C5057E" w:rsidRDefault="00B06BC7" w:rsidP="00B06BC7">
      <w:pPr>
        <w:spacing w:before="100" w:beforeAutospacing="1" w:after="100" w:afterAutospacing="1" w:line="360" w:lineRule="auto"/>
        <w:contextualSpacing/>
        <w:jc w:val="both"/>
        <w:rPr>
          <w:rFonts w:ascii="Palatino Linotype" w:hAnsi="Palatino Linotype"/>
        </w:rPr>
      </w:pPr>
    </w:p>
    <w:p w14:paraId="612A1C2A" w14:textId="3F4C804D" w:rsidR="001A299F" w:rsidRPr="00645E2C" w:rsidRDefault="001A299F" w:rsidP="001A299F">
      <w:pPr>
        <w:spacing w:line="360" w:lineRule="auto"/>
        <w:jc w:val="both"/>
        <w:rPr>
          <w:rFonts w:ascii="Palatino Linotype" w:hAnsi="Palatino Linotype"/>
          <w:b/>
        </w:rPr>
      </w:pPr>
      <w:r w:rsidRPr="00645E2C">
        <w:rPr>
          <w:rFonts w:ascii="Palatino Linotype" w:hAnsi="Palatino Linotype"/>
          <w:b/>
        </w:rPr>
        <w:t>VISTO</w:t>
      </w:r>
      <w:r w:rsidRPr="00645E2C">
        <w:rPr>
          <w:rFonts w:ascii="Palatino Linotype" w:hAnsi="Palatino Linotype"/>
        </w:rPr>
        <w:t xml:space="preserve"> el expediente formado con motivo del recurso de revisión </w:t>
      </w:r>
      <w:r w:rsidRPr="00645E2C">
        <w:rPr>
          <w:rFonts w:ascii="Palatino Linotype" w:hAnsi="Palatino Linotype"/>
          <w:b/>
        </w:rPr>
        <w:t>0</w:t>
      </w:r>
      <w:r>
        <w:rPr>
          <w:rFonts w:ascii="Palatino Linotype" w:hAnsi="Palatino Linotype"/>
          <w:b/>
        </w:rPr>
        <w:t>4062</w:t>
      </w:r>
      <w:r w:rsidRPr="00645E2C">
        <w:rPr>
          <w:rFonts w:ascii="Palatino Linotype" w:hAnsi="Palatino Linotype"/>
          <w:b/>
        </w:rPr>
        <w:t>/INFOEM/IP/RR/2020</w:t>
      </w:r>
      <w:r w:rsidRPr="00645E2C">
        <w:rPr>
          <w:rFonts w:ascii="Palatino Linotype" w:hAnsi="Palatino Linotype"/>
        </w:rPr>
        <w:t>, promovido por</w:t>
      </w:r>
      <w:r w:rsidRPr="00645E2C">
        <w:rPr>
          <w:rFonts w:ascii="Palatino Linotype" w:hAnsi="Palatino Linotype" w:cs="Arial"/>
        </w:rPr>
        <w:t xml:space="preserve"> </w:t>
      </w:r>
      <w:r>
        <w:rPr>
          <w:rFonts w:ascii="Palatino Linotype" w:hAnsi="Palatino Linotype" w:cs="Arial"/>
        </w:rPr>
        <w:t>la</w:t>
      </w:r>
      <w:r w:rsidRPr="00645E2C">
        <w:rPr>
          <w:rFonts w:ascii="Palatino Linotype" w:hAnsi="Palatino Linotype" w:cs="Arial"/>
        </w:rPr>
        <w:t xml:space="preserve"> </w:t>
      </w:r>
      <w:r w:rsidRPr="00645E2C">
        <w:rPr>
          <w:rFonts w:ascii="Palatino Linotype" w:hAnsi="Palatino Linotype" w:cs="Arial"/>
          <w:b/>
        </w:rPr>
        <w:t xml:space="preserve">C. </w:t>
      </w:r>
      <w:proofErr w:type="spellStart"/>
      <w:r w:rsidR="00565362">
        <w:rPr>
          <w:rFonts w:ascii="Palatino Linotype" w:hAnsi="Palatino Linotype"/>
          <w:b/>
          <w:sz w:val="22"/>
          <w:szCs w:val="22"/>
          <w:lang w:val="es-ES_tradnl"/>
        </w:rPr>
        <w:t>Xxxxxxxx</w:t>
      </w:r>
      <w:proofErr w:type="spellEnd"/>
      <w:r w:rsidR="00565362">
        <w:rPr>
          <w:rFonts w:ascii="Palatino Linotype" w:hAnsi="Palatino Linotype"/>
          <w:b/>
          <w:sz w:val="22"/>
          <w:szCs w:val="22"/>
          <w:lang w:val="es-ES_tradnl"/>
        </w:rPr>
        <w:t xml:space="preserve"> </w:t>
      </w:r>
      <w:proofErr w:type="spellStart"/>
      <w:r w:rsidR="00565362">
        <w:rPr>
          <w:rFonts w:ascii="Palatino Linotype" w:hAnsi="Palatino Linotype"/>
          <w:b/>
          <w:sz w:val="22"/>
          <w:szCs w:val="22"/>
          <w:lang w:val="es-ES_tradnl"/>
        </w:rPr>
        <w:t>Xxxxx</w:t>
      </w:r>
      <w:proofErr w:type="spellEnd"/>
      <w:r w:rsidR="00565362">
        <w:rPr>
          <w:rFonts w:ascii="Palatino Linotype" w:hAnsi="Palatino Linotype"/>
          <w:b/>
          <w:sz w:val="22"/>
          <w:szCs w:val="22"/>
          <w:lang w:val="es-ES_tradnl"/>
        </w:rPr>
        <w:t xml:space="preserve"> </w:t>
      </w:r>
      <w:proofErr w:type="spellStart"/>
      <w:r w:rsidR="00565362">
        <w:rPr>
          <w:rFonts w:ascii="Palatino Linotype" w:hAnsi="Palatino Linotype"/>
          <w:b/>
          <w:sz w:val="22"/>
          <w:szCs w:val="22"/>
          <w:lang w:val="es-ES_tradnl"/>
        </w:rPr>
        <w:t>Xxxxxxx</w:t>
      </w:r>
      <w:proofErr w:type="spellEnd"/>
      <w:r w:rsidR="00565362">
        <w:rPr>
          <w:rFonts w:ascii="Palatino Linotype" w:hAnsi="Palatino Linotype"/>
          <w:b/>
          <w:sz w:val="22"/>
          <w:szCs w:val="22"/>
          <w:lang w:val="es-ES_tradnl"/>
        </w:rPr>
        <w:t xml:space="preserve"> </w:t>
      </w:r>
      <w:proofErr w:type="spellStart"/>
      <w:r w:rsidR="00565362">
        <w:rPr>
          <w:rFonts w:ascii="Palatino Linotype" w:hAnsi="Palatino Linotype"/>
          <w:b/>
          <w:sz w:val="22"/>
          <w:szCs w:val="22"/>
          <w:lang w:val="es-ES_tradnl"/>
        </w:rPr>
        <w:t>Xxxxxx</w:t>
      </w:r>
      <w:proofErr w:type="spellEnd"/>
      <w:r w:rsidR="00565362">
        <w:rPr>
          <w:rFonts w:ascii="Palatino Linotype" w:hAnsi="Palatino Linotype"/>
          <w:b/>
          <w:sz w:val="22"/>
          <w:szCs w:val="22"/>
          <w:lang w:val="es-ES_tradnl"/>
        </w:rPr>
        <w:t xml:space="preserve"> </w:t>
      </w:r>
      <w:proofErr w:type="spellStart"/>
      <w:r w:rsidR="00565362">
        <w:rPr>
          <w:rFonts w:ascii="Palatino Linotype" w:hAnsi="Palatino Linotype"/>
          <w:b/>
          <w:sz w:val="22"/>
          <w:szCs w:val="22"/>
          <w:lang w:val="es-ES_tradnl"/>
        </w:rPr>
        <w:t>Xxxxx</w:t>
      </w:r>
      <w:proofErr w:type="spellEnd"/>
      <w:r w:rsidRPr="00645E2C">
        <w:rPr>
          <w:rFonts w:ascii="Palatino Linotype" w:hAnsi="Palatino Linotype" w:cs="Arial"/>
          <w:b/>
        </w:rPr>
        <w:t xml:space="preserve">, </w:t>
      </w:r>
      <w:r w:rsidRPr="00645E2C">
        <w:rPr>
          <w:rFonts w:ascii="Palatino Linotype" w:hAnsi="Palatino Linotype" w:cs="Arial"/>
        </w:rPr>
        <w:t>en lo sucesivo</w:t>
      </w:r>
      <w:r w:rsidRPr="00645E2C">
        <w:rPr>
          <w:rFonts w:ascii="Palatino Linotype" w:hAnsi="Palatino Linotype" w:cs="Arial"/>
          <w:b/>
        </w:rPr>
        <w:t xml:space="preserve"> </w:t>
      </w:r>
      <w:r>
        <w:rPr>
          <w:rFonts w:ascii="Palatino Linotype" w:hAnsi="Palatino Linotype" w:cs="Arial"/>
          <w:b/>
        </w:rPr>
        <w:t>LA</w:t>
      </w:r>
      <w:r w:rsidRPr="00645E2C">
        <w:rPr>
          <w:rFonts w:ascii="Palatino Linotype" w:hAnsi="Palatino Linotype" w:cs="Arial"/>
          <w:b/>
        </w:rPr>
        <w:t xml:space="preserve"> RECURRENTE,</w:t>
      </w:r>
      <w:r w:rsidRPr="00645E2C">
        <w:rPr>
          <w:rFonts w:ascii="Palatino Linotype" w:hAnsi="Palatino Linotype"/>
        </w:rPr>
        <w:t xml:space="preserve"> en contra de la respuesta emitida por el </w:t>
      </w:r>
      <w:r w:rsidRPr="00645E2C">
        <w:rPr>
          <w:rFonts w:ascii="Palatino Linotype" w:hAnsi="Palatino Linotype" w:cs="Arial"/>
          <w:b/>
        </w:rPr>
        <w:t xml:space="preserve">Ayuntamiento de </w:t>
      </w:r>
      <w:r>
        <w:rPr>
          <w:rFonts w:ascii="Palatino Linotype" w:hAnsi="Palatino Linotype" w:cs="Arial"/>
          <w:b/>
        </w:rPr>
        <w:t>Atizapán de Zaragoza</w:t>
      </w:r>
      <w:r w:rsidRPr="00645E2C">
        <w:rPr>
          <w:rFonts w:ascii="Palatino Linotype" w:hAnsi="Palatino Linotype" w:cs="Arial"/>
          <w:b/>
        </w:rPr>
        <w:t>,</w:t>
      </w:r>
      <w:r w:rsidRPr="00645E2C">
        <w:rPr>
          <w:rFonts w:ascii="Palatino Linotype" w:hAnsi="Palatino Linotype"/>
        </w:rPr>
        <w:t xml:space="preserve"> en lo sucesivo </w:t>
      </w:r>
      <w:r w:rsidRPr="00645E2C">
        <w:rPr>
          <w:rFonts w:ascii="Palatino Linotype" w:hAnsi="Palatino Linotype"/>
          <w:b/>
        </w:rPr>
        <w:t>EL SUJETO OBLIGADO</w:t>
      </w:r>
      <w:r w:rsidRPr="00645E2C">
        <w:rPr>
          <w:rFonts w:ascii="Palatino Linotype" w:hAnsi="Palatino Linotype"/>
        </w:rPr>
        <w:t xml:space="preserve">, se procede a dictar la presente resolución con base en lo siguiente: </w:t>
      </w:r>
    </w:p>
    <w:p w14:paraId="2391D34F" w14:textId="77777777" w:rsidR="00B06BC7" w:rsidRPr="00C5057E" w:rsidRDefault="00B06BC7" w:rsidP="00B06BC7">
      <w:pPr>
        <w:spacing w:before="100" w:beforeAutospacing="1" w:after="100" w:afterAutospacing="1"/>
        <w:contextualSpacing/>
        <w:jc w:val="center"/>
        <w:rPr>
          <w:rFonts w:ascii="Palatino Linotype" w:hAnsi="Palatino Linotype"/>
        </w:rPr>
      </w:pPr>
    </w:p>
    <w:p w14:paraId="2C6450F2" w14:textId="77777777" w:rsidR="00B06BC7" w:rsidRPr="00C5057E" w:rsidRDefault="00B06BC7" w:rsidP="00B06BC7">
      <w:pPr>
        <w:spacing w:before="100" w:beforeAutospacing="1" w:after="100" w:afterAutospacing="1"/>
        <w:contextualSpacing/>
        <w:jc w:val="center"/>
        <w:rPr>
          <w:rFonts w:ascii="Palatino Linotype" w:hAnsi="Palatino Linotype"/>
          <w:b/>
          <w:bCs/>
          <w:spacing w:val="40"/>
          <w:sz w:val="28"/>
        </w:rPr>
      </w:pPr>
      <w:r w:rsidRPr="00C5057E">
        <w:rPr>
          <w:rFonts w:ascii="Palatino Linotype" w:hAnsi="Palatino Linotype"/>
          <w:b/>
          <w:bCs/>
          <w:spacing w:val="40"/>
          <w:sz w:val="28"/>
        </w:rPr>
        <w:t>RESULTANDO</w:t>
      </w:r>
    </w:p>
    <w:p w14:paraId="1F822630" w14:textId="77777777" w:rsidR="00B06BC7" w:rsidRPr="00C5057E" w:rsidRDefault="00B06BC7" w:rsidP="00B06BC7">
      <w:pPr>
        <w:spacing w:before="100" w:beforeAutospacing="1" w:after="100" w:afterAutospacing="1"/>
        <w:contextualSpacing/>
        <w:jc w:val="center"/>
        <w:rPr>
          <w:rFonts w:ascii="Palatino Linotype" w:hAnsi="Palatino Linotype"/>
          <w:b/>
          <w:bCs/>
          <w:spacing w:val="40"/>
        </w:rPr>
      </w:pPr>
    </w:p>
    <w:p w14:paraId="4994B319" w14:textId="77777777" w:rsidR="001A299F" w:rsidRPr="00645E2C" w:rsidRDefault="001A299F" w:rsidP="001A299F">
      <w:pPr>
        <w:spacing w:line="360" w:lineRule="auto"/>
        <w:jc w:val="both"/>
        <w:rPr>
          <w:rFonts w:ascii="Palatino Linotype" w:hAnsi="Palatino Linotype" w:cs="Arial"/>
          <w:b/>
          <w:bCs/>
        </w:rPr>
      </w:pPr>
      <w:r w:rsidRPr="00645E2C">
        <w:rPr>
          <w:rFonts w:ascii="Palatino Linotype" w:hAnsi="Palatino Linotype"/>
          <w:b/>
          <w:sz w:val="28"/>
          <w:szCs w:val="28"/>
        </w:rPr>
        <w:t xml:space="preserve">I. </w:t>
      </w:r>
      <w:r w:rsidRPr="00645E2C">
        <w:rPr>
          <w:rFonts w:ascii="Palatino Linotype" w:hAnsi="Palatino Linotype"/>
        </w:rPr>
        <w:t xml:space="preserve">En </w:t>
      </w:r>
      <w:r w:rsidRPr="00645E2C">
        <w:rPr>
          <w:rFonts w:ascii="Palatino Linotype" w:hAnsi="Palatino Linotype" w:cs="Arial"/>
          <w:lang w:val="es-ES"/>
        </w:rPr>
        <w:t>fecha</w:t>
      </w:r>
      <w:r w:rsidRPr="00645E2C">
        <w:rPr>
          <w:rFonts w:ascii="Palatino Linotype" w:hAnsi="Palatino Linotype"/>
        </w:rPr>
        <w:t xml:space="preserve"> </w:t>
      </w:r>
      <w:r w:rsidRPr="00587B90">
        <w:rPr>
          <w:rFonts w:ascii="Palatino Linotype" w:hAnsi="Palatino Linotype"/>
          <w:b/>
          <w:bCs/>
        </w:rPr>
        <w:t>treinta y uno de agosto de dos mil veinte</w:t>
      </w:r>
      <w:r w:rsidRPr="00645E2C">
        <w:rPr>
          <w:rFonts w:ascii="Palatino Linotype" w:hAnsi="Palatino Linotype"/>
        </w:rPr>
        <w:t xml:space="preserve">, </w:t>
      </w:r>
      <w:r w:rsidRPr="00645E2C">
        <w:rPr>
          <w:rFonts w:ascii="Palatino Linotype" w:hAnsi="Palatino Linotype"/>
          <w:b/>
        </w:rPr>
        <w:t>L</w:t>
      </w:r>
      <w:r>
        <w:rPr>
          <w:rFonts w:ascii="Palatino Linotype" w:hAnsi="Palatino Linotype"/>
          <w:b/>
        </w:rPr>
        <w:t>A</w:t>
      </w:r>
      <w:r w:rsidRPr="00645E2C">
        <w:rPr>
          <w:rFonts w:ascii="Palatino Linotype" w:hAnsi="Palatino Linotype"/>
          <w:b/>
        </w:rPr>
        <w:t xml:space="preserve"> RECURRENTE</w:t>
      </w:r>
      <w:r w:rsidRPr="00645E2C">
        <w:rPr>
          <w:rFonts w:ascii="Palatino Linotype" w:hAnsi="Palatino Linotype" w:cs="Arial"/>
        </w:rPr>
        <w:t xml:space="preserve"> presentó a </w:t>
      </w:r>
      <w:r w:rsidRPr="00645E2C">
        <w:rPr>
          <w:rFonts w:ascii="Palatino Linotype" w:hAnsi="Palatino Linotype"/>
        </w:rPr>
        <w:t xml:space="preserve">través </w:t>
      </w:r>
      <w:r w:rsidRPr="00645E2C">
        <w:rPr>
          <w:rFonts w:ascii="Palatino Linotype" w:hAnsi="Palatino Linotype" w:cs="Arial"/>
        </w:rPr>
        <w:t xml:space="preserve">del Sistema de Acceso a la Información Mexiquense, en lo subsecuente </w:t>
      </w:r>
      <w:r w:rsidRPr="00645E2C">
        <w:rPr>
          <w:rFonts w:ascii="Palatino Linotype" w:hAnsi="Palatino Linotype" w:cs="Arial"/>
          <w:b/>
        </w:rPr>
        <w:t>EL SAIMEX</w:t>
      </w:r>
      <w:r w:rsidRPr="00645E2C">
        <w:rPr>
          <w:rFonts w:ascii="Palatino Linotype" w:hAnsi="Palatino Linotype" w:cs="Arial"/>
        </w:rPr>
        <w:t xml:space="preserve"> ante </w:t>
      </w:r>
      <w:r w:rsidRPr="00645E2C">
        <w:rPr>
          <w:rFonts w:ascii="Palatino Linotype" w:hAnsi="Palatino Linotype" w:cs="Arial"/>
          <w:b/>
        </w:rPr>
        <w:t>EL SUJETO OBLIGADO</w:t>
      </w:r>
      <w:r w:rsidRPr="00645E2C">
        <w:rPr>
          <w:rFonts w:ascii="Palatino Linotype" w:hAnsi="Palatino Linotype" w:cs="Arial"/>
        </w:rPr>
        <w:t xml:space="preserve">, la solicitud de acceso a la información pública, a la que se le asignó el número de expediente </w:t>
      </w:r>
      <w:r w:rsidRPr="00645E2C">
        <w:rPr>
          <w:rFonts w:ascii="Palatino Linotype" w:hAnsi="Palatino Linotype" w:cs="Arial"/>
          <w:b/>
          <w:bCs/>
        </w:rPr>
        <w:t>00</w:t>
      </w:r>
      <w:r>
        <w:rPr>
          <w:rFonts w:ascii="Palatino Linotype" w:hAnsi="Palatino Linotype" w:cs="Arial"/>
          <w:b/>
          <w:bCs/>
        </w:rPr>
        <w:t>464</w:t>
      </w:r>
      <w:r w:rsidRPr="00645E2C">
        <w:rPr>
          <w:rFonts w:ascii="Palatino Linotype" w:hAnsi="Palatino Linotype" w:cs="Arial"/>
          <w:b/>
          <w:bCs/>
        </w:rPr>
        <w:t>/</w:t>
      </w:r>
      <w:r>
        <w:rPr>
          <w:rFonts w:ascii="Palatino Linotype" w:hAnsi="Palatino Linotype" w:cs="Arial"/>
          <w:b/>
          <w:bCs/>
        </w:rPr>
        <w:t>ATIZARA</w:t>
      </w:r>
      <w:r w:rsidRPr="00645E2C">
        <w:rPr>
          <w:rFonts w:ascii="Palatino Linotype" w:hAnsi="Palatino Linotype" w:cs="Arial"/>
          <w:b/>
          <w:bCs/>
        </w:rPr>
        <w:t>/IP/20</w:t>
      </w:r>
      <w:r>
        <w:rPr>
          <w:rFonts w:ascii="Palatino Linotype" w:hAnsi="Palatino Linotype" w:cs="Arial"/>
          <w:b/>
          <w:bCs/>
        </w:rPr>
        <w:t>20</w:t>
      </w:r>
      <w:r w:rsidRPr="00645E2C">
        <w:rPr>
          <w:rFonts w:ascii="Palatino Linotype" w:hAnsi="Palatino Linotype" w:cs="Arial"/>
        </w:rPr>
        <w:t>, mediante la cual requirió:</w:t>
      </w:r>
    </w:p>
    <w:p w14:paraId="68A7A53D" w14:textId="77777777" w:rsidR="001A299F" w:rsidRPr="00645E2C" w:rsidRDefault="001A299F" w:rsidP="001A299F">
      <w:pPr>
        <w:ind w:left="851" w:right="899"/>
        <w:jc w:val="both"/>
        <w:rPr>
          <w:rFonts w:ascii="Palatino Linotype" w:hAnsi="Palatino Linotype" w:cs="Arial"/>
          <w:i/>
          <w:sz w:val="22"/>
          <w:szCs w:val="22"/>
        </w:rPr>
      </w:pPr>
    </w:p>
    <w:p w14:paraId="027B093A" w14:textId="77777777" w:rsidR="001A299F" w:rsidRPr="00645E2C" w:rsidRDefault="001A299F" w:rsidP="001A299F">
      <w:pPr>
        <w:ind w:left="851" w:right="899"/>
        <w:jc w:val="both"/>
        <w:rPr>
          <w:rFonts w:ascii="Palatino Linotype" w:hAnsi="Palatino Linotype" w:cs="Arial"/>
          <w:i/>
          <w:sz w:val="22"/>
          <w:szCs w:val="22"/>
        </w:rPr>
      </w:pPr>
      <w:r w:rsidRPr="00645E2C">
        <w:rPr>
          <w:rFonts w:ascii="Palatino Linotype" w:hAnsi="Palatino Linotype" w:cs="Arial"/>
          <w:i/>
          <w:sz w:val="22"/>
          <w:szCs w:val="22"/>
        </w:rPr>
        <w:t>“</w:t>
      </w:r>
      <w:r w:rsidRPr="00C3363B">
        <w:rPr>
          <w:rFonts w:ascii="Palatino Linotype" w:hAnsi="Palatino Linotype" w:cs="Arial"/>
          <w:i/>
          <w:sz w:val="22"/>
          <w:szCs w:val="22"/>
        </w:rPr>
        <w:t>Solicito respetuosamente una copia simple de la Tabla de Usos de Suelo Vigente para nuestro municipio.</w:t>
      </w:r>
      <w:r w:rsidRPr="00645E2C">
        <w:rPr>
          <w:rFonts w:ascii="Palatino Linotype" w:hAnsi="Palatino Linotype" w:cs="Arial"/>
          <w:i/>
          <w:sz w:val="22"/>
          <w:szCs w:val="22"/>
        </w:rPr>
        <w:t>” (Sic).</w:t>
      </w:r>
    </w:p>
    <w:p w14:paraId="2011F99C" w14:textId="77777777" w:rsidR="001A299F" w:rsidRDefault="001A299F" w:rsidP="001A299F">
      <w:pPr>
        <w:spacing w:line="360" w:lineRule="auto"/>
        <w:jc w:val="both"/>
        <w:rPr>
          <w:rFonts w:ascii="Palatino Linotype" w:hAnsi="Palatino Linotype" w:cs="Arial"/>
          <w:b/>
        </w:rPr>
      </w:pPr>
    </w:p>
    <w:p w14:paraId="6CA1A492" w14:textId="77777777" w:rsidR="001A299F" w:rsidRPr="00645E2C" w:rsidRDefault="001A299F" w:rsidP="001A299F">
      <w:pPr>
        <w:spacing w:line="360" w:lineRule="auto"/>
        <w:jc w:val="both"/>
        <w:rPr>
          <w:rFonts w:ascii="Palatino Linotype" w:hAnsi="Palatino Linotype" w:cs="Arial"/>
        </w:rPr>
      </w:pPr>
      <w:r w:rsidRPr="00645E2C">
        <w:rPr>
          <w:rFonts w:ascii="Palatino Linotype" w:hAnsi="Palatino Linotype" w:cs="Arial"/>
          <w:b/>
        </w:rPr>
        <w:t>MODALIDAD DE ENTREGA:</w:t>
      </w:r>
      <w:r w:rsidRPr="00645E2C">
        <w:rPr>
          <w:rFonts w:ascii="Palatino Linotype" w:hAnsi="Palatino Linotype" w:cs="Arial"/>
        </w:rPr>
        <w:t xml:space="preserve"> Vía </w:t>
      </w:r>
      <w:r w:rsidRPr="00645E2C">
        <w:rPr>
          <w:rFonts w:ascii="Palatino Linotype" w:hAnsi="Palatino Linotype" w:cs="Arial"/>
          <w:b/>
        </w:rPr>
        <w:t>SAIMEX</w:t>
      </w:r>
      <w:r w:rsidRPr="00645E2C">
        <w:rPr>
          <w:rFonts w:ascii="Palatino Linotype" w:hAnsi="Palatino Linotype" w:cs="Arial"/>
        </w:rPr>
        <w:t>.</w:t>
      </w:r>
    </w:p>
    <w:p w14:paraId="2ECB9058" w14:textId="77777777" w:rsidR="001A299F" w:rsidRPr="0002628A" w:rsidRDefault="001A299F" w:rsidP="001A299F">
      <w:pPr>
        <w:spacing w:before="100" w:beforeAutospacing="1" w:after="100" w:afterAutospacing="1" w:line="360" w:lineRule="auto"/>
        <w:jc w:val="both"/>
        <w:rPr>
          <w:rFonts w:ascii="Palatino Linotype" w:hAnsi="Palatino Linotype" w:cs="Arial"/>
          <w:noProof/>
          <w:color w:val="000000" w:themeColor="text1"/>
        </w:rPr>
      </w:pPr>
      <w:r w:rsidRPr="00645E2C">
        <w:rPr>
          <w:rFonts w:ascii="Palatino Linotype" w:hAnsi="Palatino Linotype"/>
          <w:b/>
          <w:sz w:val="28"/>
          <w:szCs w:val="28"/>
        </w:rPr>
        <w:t>II.</w:t>
      </w:r>
      <w:r>
        <w:rPr>
          <w:rFonts w:ascii="Palatino Linotype" w:hAnsi="Palatino Linotype"/>
          <w:b/>
          <w:sz w:val="28"/>
          <w:szCs w:val="28"/>
        </w:rPr>
        <w:t xml:space="preserve"> </w:t>
      </w:r>
      <w:r w:rsidRPr="0002628A">
        <w:rPr>
          <w:rFonts w:ascii="Palatino Linotype" w:hAnsi="Palatino Linotype" w:cs="Arial"/>
          <w:color w:val="000000" w:themeColor="text1"/>
        </w:rPr>
        <w:t xml:space="preserve">En cumplimiento al artículo 162 de la Ley de Transparencia y Acceso a la Información Pública del Estado de México y Municipios, el </w:t>
      </w:r>
      <w:r w:rsidRPr="00D9086E">
        <w:rPr>
          <w:rFonts w:ascii="Palatino Linotype" w:hAnsi="Palatino Linotype" w:cs="Arial"/>
          <w:b/>
          <w:bCs/>
          <w:color w:val="000000" w:themeColor="text1"/>
        </w:rPr>
        <w:t xml:space="preserve">dos de septiembre de dos </w:t>
      </w:r>
      <w:r w:rsidRPr="00D9086E">
        <w:rPr>
          <w:rFonts w:ascii="Palatino Linotype" w:hAnsi="Palatino Linotype" w:cs="Arial"/>
          <w:b/>
          <w:bCs/>
          <w:color w:val="000000" w:themeColor="text1"/>
        </w:rPr>
        <w:lastRenderedPageBreak/>
        <w:t>mil veinte</w:t>
      </w:r>
      <w:r w:rsidRPr="0002628A">
        <w:rPr>
          <w:rFonts w:ascii="Palatino Linotype" w:hAnsi="Palatino Linotype" w:cs="Arial"/>
          <w:color w:val="000000" w:themeColor="text1"/>
        </w:rPr>
        <w:t xml:space="preserve">, la Titular de la Unidad de Transparencia del </w:t>
      </w:r>
      <w:r w:rsidRPr="0002628A">
        <w:rPr>
          <w:rFonts w:ascii="Palatino Linotype" w:hAnsi="Palatino Linotype" w:cs="Arial"/>
          <w:b/>
          <w:color w:val="000000" w:themeColor="text1"/>
        </w:rPr>
        <w:t>SUJETO OBLIGADO</w:t>
      </w:r>
      <w:r w:rsidRPr="0002628A">
        <w:rPr>
          <w:rFonts w:ascii="Palatino Linotype" w:hAnsi="Palatino Linotype" w:cs="Arial"/>
          <w:color w:val="000000" w:themeColor="text1"/>
        </w:rPr>
        <w:t xml:space="preserve">, </w:t>
      </w:r>
      <w:r w:rsidRPr="0002628A">
        <w:rPr>
          <w:rFonts w:ascii="Palatino Linotype" w:hAnsi="Palatino Linotype"/>
          <w:bCs/>
          <w:color w:val="000000" w:themeColor="text1"/>
        </w:rPr>
        <w:t>turnó los requerimientos de información a</w:t>
      </w:r>
      <w:r>
        <w:rPr>
          <w:rFonts w:ascii="Palatino Linotype" w:hAnsi="Palatino Linotype"/>
          <w:bCs/>
          <w:color w:val="000000" w:themeColor="text1"/>
        </w:rPr>
        <w:t xml:space="preserve"> </w:t>
      </w:r>
      <w:r w:rsidRPr="0002628A">
        <w:rPr>
          <w:rFonts w:ascii="Palatino Linotype" w:hAnsi="Palatino Linotype"/>
          <w:bCs/>
          <w:color w:val="000000" w:themeColor="text1"/>
        </w:rPr>
        <w:t>l</w:t>
      </w:r>
      <w:r>
        <w:rPr>
          <w:rFonts w:ascii="Palatino Linotype" w:hAnsi="Palatino Linotype"/>
          <w:bCs/>
          <w:color w:val="000000" w:themeColor="text1"/>
        </w:rPr>
        <w:t>os</w:t>
      </w:r>
      <w:r w:rsidRPr="0002628A">
        <w:rPr>
          <w:rFonts w:ascii="Palatino Linotype" w:hAnsi="Palatino Linotype"/>
          <w:bCs/>
          <w:color w:val="000000" w:themeColor="text1"/>
        </w:rPr>
        <w:t xml:space="preserve"> Servidor</w:t>
      </w:r>
      <w:r>
        <w:rPr>
          <w:rFonts w:ascii="Palatino Linotype" w:hAnsi="Palatino Linotype"/>
          <w:bCs/>
          <w:color w:val="000000" w:themeColor="text1"/>
        </w:rPr>
        <w:t>es</w:t>
      </w:r>
      <w:r w:rsidRPr="0002628A">
        <w:rPr>
          <w:rFonts w:ascii="Palatino Linotype" w:hAnsi="Palatino Linotype"/>
          <w:bCs/>
          <w:color w:val="000000" w:themeColor="text1"/>
        </w:rPr>
        <w:t xml:space="preserve"> Público</w:t>
      </w:r>
      <w:r>
        <w:rPr>
          <w:rFonts w:ascii="Palatino Linotype" w:hAnsi="Palatino Linotype"/>
          <w:bCs/>
          <w:color w:val="000000" w:themeColor="text1"/>
        </w:rPr>
        <w:t>s</w:t>
      </w:r>
      <w:r w:rsidRPr="0002628A">
        <w:rPr>
          <w:rFonts w:ascii="Palatino Linotype" w:hAnsi="Palatino Linotype"/>
          <w:bCs/>
          <w:color w:val="000000" w:themeColor="text1"/>
        </w:rPr>
        <w:t xml:space="preserve"> Habilitado</w:t>
      </w:r>
      <w:r>
        <w:rPr>
          <w:rFonts w:ascii="Palatino Linotype" w:hAnsi="Palatino Linotype"/>
          <w:bCs/>
          <w:color w:val="000000" w:themeColor="text1"/>
        </w:rPr>
        <w:t>s</w:t>
      </w:r>
      <w:r w:rsidRPr="0002628A">
        <w:rPr>
          <w:rFonts w:ascii="Palatino Linotype" w:hAnsi="Palatino Linotype"/>
          <w:bCs/>
          <w:color w:val="000000" w:themeColor="text1"/>
        </w:rPr>
        <w:t xml:space="preserve"> que estimó competente</w:t>
      </w:r>
      <w:r>
        <w:rPr>
          <w:rFonts w:ascii="Palatino Linotype" w:hAnsi="Palatino Linotype"/>
          <w:bCs/>
          <w:color w:val="000000" w:themeColor="text1"/>
        </w:rPr>
        <w:t>s</w:t>
      </w:r>
      <w:r w:rsidRPr="0002628A">
        <w:rPr>
          <w:rFonts w:ascii="Palatino Linotype" w:hAnsi="Palatino Linotype"/>
          <w:bCs/>
          <w:color w:val="000000" w:themeColor="text1"/>
        </w:rPr>
        <w:t xml:space="preserve">, </w:t>
      </w:r>
      <w:r w:rsidRPr="0002628A">
        <w:rPr>
          <w:rFonts w:ascii="Palatino Linotype" w:hAnsi="Palatino Linotype" w:cs="Arial"/>
          <w:color w:val="000000" w:themeColor="text1"/>
        </w:rPr>
        <w:t>a efecto de que realizara</w:t>
      </w:r>
      <w:r>
        <w:rPr>
          <w:rFonts w:ascii="Palatino Linotype" w:hAnsi="Palatino Linotype" w:cs="Arial"/>
          <w:color w:val="000000" w:themeColor="text1"/>
        </w:rPr>
        <w:t>n</w:t>
      </w:r>
      <w:r w:rsidRPr="0002628A">
        <w:rPr>
          <w:rFonts w:ascii="Palatino Linotype" w:hAnsi="Palatino Linotype" w:cs="Arial"/>
          <w:color w:val="000000" w:themeColor="text1"/>
        </w:rPr>
        <w:t xml:space="preserve"> la búsqueda y localización de la información; tal como se desprende a continuación:</w:t>
      </w:r>
      <w:r w:rsidRPr="0002628A">
        <w:rPr>
          <w:rFonts w:ascii="Palatino Linotype" w:hAnsi="Palatino Linotype" w:cs="Arial"/>
          <w:noProof/>
          <w:color w:val="000000" w:themeColor="text1"/>
        </w:rPr>
        <w:t xml:space="preserve"> </w:t>
      </w:r>
    </w:p>
    <w:p w14:paraId="526D4880" w14:textId="77777777" w:rsidR="001A299F" w:rsidRDefault="001A299F" w:rsidP="001A299F">
      <w:pPr>
        <w:spacing w:line="360" w:lineRule="auto"/>
        <w:jc w:val="center"/>
        <w:rPr>
          <w:rFonts w:ascii="Palatino Linotype" w:hAnsi="Palatino Linotype"/>
          <w:b/>
          <w:sz w:val="28"/>
          <w:szCs w:val="28"/>
        </w:rPr>
      </w:pPr>
      <w:r>
        <w:rPr>
          <w:noProof/>
          <w:lang w:eastAsia="es-MX"/>
        </w:rPr>
        <w:drawing>
          <wp:inline distT="0" distB="0" distL="0" distR="0" wp14:anchorId="33AA9878" wp14:editId="190D33D1">
            <wp:extent cx="5705475" cy="120100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815" t="32761" r="13661" b="51103"/>
                    <a:stretch/>
                  </pic:blipFill>
                  <pic:spPr bwMode="auto">
                    <a:xfrm>
                      <a:off x="0" y="0"/>
                      <a:ext cx="5705475" cy="120100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559E92D8" w14:textId="77777777" w:rsidR="001A299F" w:rsidRPr="00645E2C" w:rsidRDefault="001A299F" w:rsidP="001A299F">
      <w:pPr>
        <w:spacing w:line="360" w:lineRule="auto"/>
        <w:jc w:val="both"/>
        <w:rPr>
          <w:rFonts w:ascii="Palatino Linotype" w:hAnsi="Palatino Linotype" w:cs="Arial"/>
          <w:lang w:val="es-ES_tradnl"/>
        </w:rPr>
      </w:pPr>
      <w:r>
        <w:rPr>
          <w:rFonts w:ascii="Palatino Linotype" w:hAnsi="Palatino Linotype"/>
          <w:b/>
          <w:sz w:val="28"/>
          <w:szCs w:val="28"/>
        </w:rPr>
        <w:t xml:space="preserve">III. </w:t>
      </w:r>
      <w:r w:rsidRPr="00645E2C">
        <w:rPr>
          <w:rFonts w:ascii="Palatino Linotype" w:hAnsi="Palatino Linotype"/>
        </w:rPr>
        <w:t xml:space="preserve">De las constancias que obran en </w:t>
      </w:r>
      <w:r w:rsidRPr="00645E2C">
        <w:rPr>
          <w:rFonts w:ascii="Palatino Linotype" w:hAnsi="Palatino Linotype"/>
          <w:b/>
        </w:rPr>
        <w:t>EL SAIMEX,</w:t>
      </w:r>
      <w:r w:rsidRPr="00645E2C">
        <w:rPr>
          <w:rFonts w:ascii="Palatino Linotype" w:hAnsi="Palatino Linotype"/>
        </w:rPr>
        <w:t xml:space="preserve"> se advierte que en fecha </w:t>
      </w:r>
      <w:r w:rsidRPr="005D1E7E">
        <w:rPr>
          <w:rFonts w:ascii="Palatino Linotype" w:hAnsi="Palatino Linotype"/>
          <w:b/>
          <w:bCs/>
        </w:rPr>
        <w:t xml:space="preserve">veintidós de septiembre de dos mil </w:t>
      </w:r>
      <w:r w:rsidRPr="005D1E7E">
        <w:rPr>
          <w:rFonts w:ascii="Palatino Linotype" w:hAnsi="Palatino Linotype" w:cs="Arial"/>
          <w:b/>
          <w:bCs/>
        </w:rPr>
        <w:t>veinte</w:t>
      </w:r>
      <w:r w:rsidRPr="00645E2C">
        <w:rPr>
          <w:rFonts w:ascii="Palatino Linotype" w:hAnsi="Palatino Linotype"/>
        </w:rPr>
        <w:t xml:space="preserve">, </w:t>
      </w:r>
      <w:r w:rsidRPr="00645E2C">
        <w:rPr>
          <w:rFonts w:ascii="Palatino Linotype" w:hAnsi="Palatino Linotype" w:cs="Arial"/>
          <w:lang w:val="es-ES_tradnl"/>
        </w:rPr>
        <w:t>l</w:t>
      </w:r>
      <w:r>
        <w:rPr>
          <w:rFonts w:ascii="Palatino Linotype" w:hAnsi="Palatino Linotype" w:cs="Arial"/>
          <w:lang w:val="es-ES_tradnl"/>
        </w:rPr>
        <w:t>a</w:t>
      </w:r>
      <w:r w:rsidRPr="00645E2C">
        <w:rPr>
          <w:rFonts w:ascii="Palatino Linotype" w:hAnsi="Palatino Linotype" w:cs="Arial"/>
          <w:lang w:val="es-ES_tradnl"/>
        </w:rPr>
        <w:t xml:space="preserve"> responsable de la Unidad de Transparencia del</w:t>
      </w:r>
      <w:r w:rsidRPr="00645E2C">
        <w:rPr>
          <w:rFonts w:ascii="Palatino Linotype" w:hAnsi="Palatino Linotype" w:cs="Arial"/>
          <w:b/>
          <w:lang w:val="es-ES_tradnl"/>
        </w:rPr>
        <w:t xml:space="preserve"> SUJETO OBLIGADO</w:t>
      </w:r>
      <w:r w:rsidRPr="00645E2C">
        <w:rPr>
          <w:rFonts w:ascii="Palatino Linotype" w:hAnsi="Palatino Linotype" w:cs="Arial"/>
          <w:lang w:val="es-ES_tradnl"/>
        </w:rPr>
        <w:t xml:space="preserve"> dio respuesta a la solicitud de información, en los siguientes términos:</w:t>
      </w:r>
    </w:p>
    <w:p w14:paraId="3F7443F5" w14:textId="77777777" w:rsidR="001A299F" w:rsidRPr="00645E2C" w:rsidRDefault="001A299F" w:rsidP="001A299F">
      <w:pPr>
        <w:ind w:left="851" w:right="899"/>
        <w:jc w:val="both"/>
        <w:rPr>
          <w:rFonts w:ascii="Palatino Linotype" w:hAnsi="Palatino Linotype" w:cs="Arial"/>
          <w:i/>
          <w:sz w:val="22"/>
          <w:szCs w:val="22"/>
        </w:rPr>
      </w:pPr>
    </w:p>
    <w:p w14:paraId="6A5FDF86" w14:textId="77777777" w:rsidR="001A299F" w:rsidRPr="005D1E7E" w:rsidRDefault="001A299F" w:rsidP="001A299F">
      <w:pPr>
        <w:ind w:left="851" w:right="899"/>
        <w:jc w:val="both"/>
        <w:rPr>
          <w:rFonts w:ascii="Palatino Linotype" w:hAnsi="Palatino Linotype"/>
          <w:i/>
          <w:color w:val="000000"/>
          <w:sz w:val="22"/>
          <w:szCs w:val="22"/>
        </w:rPr>
      </w:pPr>
      <w:r w:rsidRPr="005D1E7E">
        <w:rPr>
          <w:rFonts w:ascii="Palatino Linotype" w:hAnsi="Palatino Linotype" w:cs="Arial"/>
          <w:i/>
          <w:sz w:val="28"/>
          <w:szCs w:val="28"/>
        </w:rPr>
        <w:t>“…</w:t>
      </w:r>
      <w:r w:rsidRPr="005D1E7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0F097E" w14:textId="77777777" w:rsidR="001A299F" w:rsidRPr="005D1E7E" w:rsidRDefault="001A299F" w:rsidP="001A299F">
      <w:pPr>
        <w:ind w:left="851" w:right="899"/>
        <w:jc w:val="both"/>
        <w:rPr>
          <w:rFonts w:ascii="Palatino Linotype" w:hAnsi="Palatino Linotype" w:cs="Arial"/>
          <w:i/>
          <w:sz w:val="28"/>
          <w:szCs w:val="28"/>
        </w:rPr>
      </w:pPr>
    </w:p>
    <w:p w14:paraId="0296B587" w14:textId="44B3CDAB" w:rsidR="001A299F" w:rsidRPr="005D1E7E" w:rsidRDefault="001A299F" w:rsidP="00864DFC">
      <w:pPr>
        <w:ind w:left="851" w:right="902"/>
        <w:jc w:val="both"/>
        <w:rPr>
          <w:rFonts w:ascii="Palatino Linotype" w:hAnsi="Palatino Linotype" w:cs="Arial"/>
          <w:i/>
          <w:sz w:val="28"/>
          <w:szCs w:val="28"/>
        </w:rPr>
      </w:pPr>
      <w:r w:rsidRPr="005D1E7E">
        <w:rPr>
          <w:rFonts w:ascii="Palatino Linotype" w:hAnsi="Palatino Linotype"/>
          <w:i/>
          <w:color w:val="000000"/>
          <w:sz w:val="22"/>
          <w:szCs w:val="22"/>
        </w:rPr>
        <w:t>En atención a su solicitud número 00464/ATIZARA/IP/2020, al respecto me permito anexar en archivo electrónico la Tabla de Usos del Suelo, vigente, correspondiente al Municipio de Atizapán de Zaragoza, Estado de México. Sin otro particular de momento, quedo de usted. A T E N T A M E N T E ING. ARQ. NINA HERMOSILLO MIRANDA DIRECTORA GENERAL DE DESARROLLO TERRITORIAL</w:t>
      </w:r>
      <w:r w:rsidR="00864DFC">
        <w:rPr>
          <w:rFonts w:ascii="Palatino Linotype" w:hAnsi="Palatino Linotype" w:cs="Arial"/>
          <w:i/>
          <w:sz w:val="28"/>
          <w:szCs w:val="28"/>
        </w:rPr>
        <w:t>.</w:t>
      </w:r>
      <w:r w:rsidRPr="005D1E7E">
        <w:rPr>
          <w:rFonts w:ascii="Palatino Linotype" w:hAnsi="Palatino Linotype" w:cs="Arial"/>
          <w:i/>
          <w:sz w:val="28"/>
          <w:szCs w:val="28"/>
        </w:rPr>
        <w:t>” (</w:t>
      </w:r>
      <w:r w:rsidRPr="00054EDA">
        <w:rPr>
          <w:rFonts w:ascii="Palatino Linotype" w:hAnsi="Palatino Linotype" w:cs="Arial"/>
          <w:i/>
          <w:sz w:val="22"/>
          <w:szCs w:val="22"/>
        </w:rPr>
        <w:t>Sic</w:t>
      </w:r>
      <w:r w:rsidRPr="005D1E7E">
        <w:rPr>
          <w:rFonts w:ascii="Palatino Linotype" w:hAnsi="Palatino Linotype" w:cs="Arial"/>
          <w:i/>
          <w:sz w:val="28"/>
          <w:szCs w:val="28"/>
        </w:rPr>
        <w:t>)</w:t>
      </w:r>
    </w:p>
    <w:p w14:paraId="22FE6C94" w14:textId="77777777" w:rsidR="002811FA" w:rsidRPr="005D1E7E" w:rsidRDefault="002811FA" w:rsidP="001A299F">
      <w:pPr>
        <w:ind w:right="899"/>
        <w:jc w:val="both"/>
        <w:rPr>
          <w:rFonts w:ascii="Palatino Linotype" w:hAnsi="Palatino Linotype"/>
          <w:sz w:val="28"/>
          <w:szCs w:val="28"/>
        </w:rPr>
      </w:pPr>
    </w:p>
    <w:p w14:paraId="2FE6BDF4" w14:textId="3ACB8B96" w:rsidR="001A299F" w:rsidRPr="00054EDA" w:rsidRDefault="001A299F" w:rsidP="008B4523">
      <w:pPr>
        <w:pStyle w:val="Prrafodelista"/>
        <w:spacing w:line="360" w:lineRule="auto"/>
        <w:ind w:left="0"/>
        <w:jc w:val="both"/>
        <w:rPr>
          <w:rFonts w:ascii="Palatino Linotype" w:hAnsi="Palatino Linotype" w:cs="Arial"/>
        </w:rPr>
      </w:pPr>
      <w:r w:rsidRPr="00645E2C">
        <w:rPr>
          <w:rFonts w:ascii="Palatino Linotype" w:hAnsi="Palatino Linotype"/>
        </w:rPr>
        <w:t xml:space="preserve">Advirtiendo de dicha respuesta, que </w:t>
      </w:r>
      <w:r w:rsidRPr="00645E2C">
        <w:rPr>
          <w:rFonts w:ascii="Palatino Linotype" w:hAnsi="Palatino Linotype" w:cs="Arial"/>
          <w:b/>
        </w:rPr>
        <w:t>EL SUJETO OBLIGADO</w:t>
      </w:r>
      <w:r w:rsidRPr="00645E2C">
        <w:rPr>
          <w:rFonts w:ascii="Palatino Linotype" w:hAnsi="Palatino Linotype"/>
        </w:rPr>
        <w:t xml:space="preserve"> acompañó el archivo </w:t>
      </w:r>
      <w:r w:rsidRPr="00170B89">
        <w:rPr>
          <w:rFonts w:ascii="Palatino Linotype" w:hAnsi="Palatino Linotype"/>
          <w:i/>
          <w:iCs/>
        </w:rPr>
        <w:t>“</w:t>
      </w:r>
      <w:hyperlink r:id="rId8" w:tgtFrame="_blank" w:history="1">
        <w:r w:rsidRPr="00170B89">
          <w:rPr>
            <w:rFonts w:ascii="Palatino Linotype" w:hAnsi="Palatino Linotype" w:cs="Arial"/>
            <w:b/>
            <w:i/>
            <w:iCs/>
          </w:rPr>
          <w:t>sol.0464-ATIZ-OFICIO.pdf</w:t>
        </w:r>
      </w:hyperlink>
      <w:r w:rsidRPr="00170B89">
        <w:rPr>
          <w:rFonts w:ascii="Palatino Linotype" w:hAnsi="Palatino Linotype" w:cs="Arial"/>
          <w:b/>
          <w:i/>
          <w:iCs/>
        </w:rPr>
        <w:t>”</w:t>
      </w:r>
      <w:r w:rsidRPr="00645E2C">
        <w:rPr>
          <w:rFonts w:ascii="Palatino Linotype" w:hAnsi="Palatino Linotype" w:cs="Arial"/>
        </w:rPr>
        <w:t xml:space="preserve">, el cual </w:t>
      </w:r>
      <w:r w:rsidR="00054EDA">
        <w:rPr>
          <w:rFonts w:ascii="Palatino Linotype" w:hAnsi="Palatino Linotype" w:cs="Arial"/>
        </w:rPr>
        <w:t xml:space="preserve">contiene el oficio </w:t>
      </w:r>
      <w:r w:rsidR="00AE19B4">
        <w:rPr>
          <w:rFonts w:ascii="Palatino Linotype" w:hAnsi="Palatino Linotype" w:cs="Arial"/>
        </w:rPr>
        <w:t>número</w:t>
      </w:r>
      <w:r w:rsidR="00054EDA">
        <w:rPr>
          <w:rFonts w:ascii="Palatino Linotype" w:hAnsi="Palatino Linotype" w:cs="Arial"/>
        </w:rPr>
        <w:t xml:space="preserve"> DGDT/EJ/4505/2020,  </w:t>
      </w:r>
      <w:r w:rsidR="00054EDA">
        <w:rPr>
          <w:rFonts w:ascii="Palatino Linotype" w:hAnsi="Palatino Linotype" w:cs="Arial"/>
        </w:rPr>
        <w:lastRenderedPageBreak/>
        <w:t xml:space="preserve">de fecha diez de septiembre del año en curso, mediante el cual la Directora General de Desarrollo Territorial, remite en relación a la solicitud de la </w:t>
      </w:r>
      <w:r w:rsidR="00054EDA">
        <w:rPr>
          <w:rFonts w:ascii="Palatino Linotype" w:hAnsi="Palatino Linotype" w:cs="Arial"/>
          <w:b/>
          <w:bCs/>
        </w:rPr>
        <w:t xml:space="preserve">RECURRENTE, </w:t>
      </w:r>
      <w:r w:rsidR="00054EDA">
        <w:rPr>
          <w:rFonts w:ascii="Palatino Linotype" w:hAnsi="Palatino Linotype" w:cs="Arial"/>
        </w:rPr>
        <w:t>archivo electrónico de la Tabla de Usos del Suelo vigente, correspondiente al municipio de Atizapán de Zaragoza, Estado de México.</w:t>
      </w:r>
      <w:r w:rsidR="00054EDA">
        <w:rPr>
          <w:rFonts w:ascii="Palatino Linotype" w:hAnsi="Palatino Linotype" w:cs="Arial"/>
          <w:b/>
          <w:bCs/>
        </w:rPr>
        <w:t xml:space="preserve"> </w:t>
      </w:r>
    </w:p>
    <w:p w14:paraId="42120159" w14:textId="7A51D935" w:rsidR="001A299F" w:rsidRDefault="001A299F" w:rsidP="001A299F">
      <w:pPr>
        <w:pStyle w:val="Prrafodelista"/>
        <w:spacing w:line="360" w:lineRule="auto"/>
        <w:ind w:left="0"/>
        <w:jc w:val="center"/>
        <w:rPr>
          <w:rFonts w:ascii="Palatino Linotype" w:hAnsi="Palatino Linotype" w:cs="Arial"/>
        </w:rPr>
      </w:pPr>
    </w:p>
    <w:p w14:paraId="47CA86A7" w14:textId="32C9D684" w:rsidR="001A299F" w:rsidRDefault="001A299F" w:rsidP="001A299F">
      <w:pPr>
        <w:pStyle w:val="Prrafodelista"/>
        <w:spacing w:line="360" w:lineRule="auto"/>
        <w:ind w:left="0"/>
        <w:jc w:val="both"/>
        <w:rPr>
          <w:rFonts w:ascii="Palatino Linotype" w:hAnsi="Palatino Linotype" w:cs="Arial"/>
        </w:rPr>
      </w:pPr>
      <w:r>
        <w:rPr>
          <w:rFonts w:ascii="Palatino Linotype" w:hAnsi="Palatino Linotype"/>
        </w:rPr>
        <w:t xml:space="preserve">Así como </w:t>
      </w:r>
      <w:r w:rsidRPr="00645E2C">
        <w:rPr>
          <w:rFonts w:ascii="Palatino Linotype" w:hAnsi="Palatino Linotype"/>
        </w:rPr>
        <w:t xml:space="preserve">el archivo </w:t>
      </w:r>
      <w:r w:rsidRPr="00170B89">
        <w:rPr>
          <w:rFonts w:ascii="Palatino Linotype" w:hAnsi="Palatino Linotype"/>
          <w:i/>
          <w:iCs/>
        </w:rPr>
        <w:t>“</w:t>
      </w:r>
      <w:hyperlink r:id="rId9" w:tgtFrame="_blank" w:history="1">
        <w:r w:rsidRPr="00170B89">
          <w:rPr>
            <w:rFonts w:ascii="Palatino Linotype" w:hAnsi="Palatino Linotype" w:cs="Arial"/>
            <w:b/>
            <w:i/>
            <w:iCs/>
          </w:rPr>
          <w:t>TABLA DE USOS ATIZAPAN 2003.pdf</w:t>
        </w:r>
      </w:hyperlink>
      <w:r>
        <w:rPr>
          <w:rFonts w:ascii="Palatino Linotype" w:hAnsi="Palatino Linotype" w:cs="Arial"/>
          <w:b/>
        </w:rPr>
        <w:t>”</w:t>
      </w:r>
      <w:r w:rsidRPr="00645E2C">
        <w:rPr>
          <w:rFonts w:ascii="Palatino Linotype" w:hAnsi="Palatino Linotype" w:cs="Arial"/>
        </w:rPr>
        <w:t xml:space="preserve">, </w:t>
      </w:r>
      <w:r>
        <w:rPr>
          <w:rFonts w:ascii="Palatino Linotype" w:hAnsi="Palatino Linotype" w:cs="Arial"/>
        </w:rPr>
        <w:t>mediante el cual se anexa</w:t>
      </w:r>
      <w:r w:rsidR="008A2389">
        <w:rPr>
          <w:rFonts w:ascii="Palatino Linotype" w:hAnsi="Palatino Linotype" w:cs="Arial"/>
        </w:rPr>
        <w:t xml:space="preserve"> la mencionada</w:t>
      </w:r>
      <w:r>
        <w:rPr>
          <w:rFonts w:ascii="Palatino Linotype" w:hAnsi="Palatino Linotype" w:cs="Arial"/>
        </w:rPr>
        <w:t xml:space="preserve"> tabla del Plan Municipal de Desarrollo Urbano de Atizapán de Zaragoza.</w:t>
      </w:r>
    </w:p>
    <w:p w14:paraId="3F9C8DE8" w14:textId="77777777" w:rsidR="001A299F" w:rsidRPr="00645E2C" w:rsidRDefault="001A299F" w:rsidP="001A299F">
      <w:pPr>
        <w:spacing w:line="360" w:lineRule="auto"/>
        <w:ind w:right="899"/>
        <w:jc w:val="both"/>
        <w:rPr>
          <w:rFonts w:ascii="Palatino Linotype" w:hAnsi="Palatino Linotype"/>
        </w:rPr>
      </w:pPr>
    </w:p>
    <w:p w14:paraId="73FCE3EE" w14:textId="77777777" w:rsidR="001A299F" w:rsidRPr="00645E2C" w:rsidRDefault="001A299F" w:rsidP="001A299F">
      <w:pPr>
        <w:spacing w:line="360" w:lineRule="auto"/>
        <w:jc w:val="both"/>
        <w:rPr>
          <w:rFonts w:ascii="Palatino Linotype" w:hAnsi="Palatino Linotype"/>
          <w:b/>
        </w:rPr>
      </w:pPr>
      <w:r w:rsidRPr="00645E2C">
        <w:rPr>
          <w:rFonts w:ascii="Palatino Linotype" w:hAnsi="Palatino Linotype"/>
          <w:b/>
          <w:sz w:val="28"/>
          <w:szCs w:val="28"/>
        </w:rPr>
        <w:t>I</w:t>
      </w:r>
      <w:r>
        <w:rPr>
          <w:rFonts w:ascii="Palatino Linotype" w:hAnsi="Palatino Linotype"/>
          <w:b/>
          <w:sz w:val="28"/>
          <w:szCs w:val="28"/>
        </w:rPr>
        <w:t>V</w:t>
      </w:r>
      <w:r w:rsidRPr="00645E2C">
        <w:rPr>
          <w:rFonts w:ascii="Palatino Linotype" w:hAnsi="Palatino Linotype"/>
          <w:b/>
          <w:sz w:val="28"/>
          <w:szCs w:val="28"/>
        </w:rPr>
        <w:t>.</w:t>
      </w:r>
      <w:r w:rsidRPr="00645E2C">
        <w:rPr>
          <w:rFonts w:ascii="Palatino Linotype" w:hAnsi="Palatino Linotype"/>
          <w:b/>
        </w:rPr>
        <w:t xml:space="preserve"> </w:t>
      </w:r>
      <w:r w:rsidRPr="00645E2C">
        <w:rPr>
          <w:rFonts w:ascii="Palatino Linotype" w:hAnsi="Palatino Linotype"/>
        </w:rPr>
        <w:t xml:space="preserve">Inconforme con la </w:t>
      </w:r>
      <w:r w:rsidRPr="00645E2C">
        <w:rPr>
          <w:rFonts w:ascii="Palatino Linotype" w:hAnsi="Palatino Linotype" w:cs="Arial"/>
        </w:rPr>
        <w:t xml:space="preserve">respuesta, el </w:t>
      </w:r>
      <w:r>
        <w:rPr>
          <w:rFonts w:ascii="Palatino Linotype" w:hAnsi="Palatino Linotype" w:cs="Arial"/>
          <w:b/>
          <w:bCs/>
        </w:rPr>
        <w:t>veintiocho de septiembre de dos mil veinte</w:t>
      </w:r>
      <w:r w:rsidRPr="00645E2C">
        <w:rPr>
          <w:rFonts w:ascii="Palatino Linotype" w:hAnsi="Palatino Linotype" w:cs="Arial"/>
        </w:rPr>
        <w:t xml:space="preserve">, </w:t>
      </w:r>
      <w:r w:rsidRPr="00645E2C">
        <w:rPr>
          <w:rFonts w:ascii="Palatino Linotype" w:hAnsi="Palatino Linotype"/>
          <w:b/>
        </w:rPr>
        <w:t>L</w:t>
      </w:r>
      <w:r>
        <w:rPr>
          <w:rFonts w:ascii="Palatino Linotype" w:hAnsi="Palatino Linotype"/>
          <w:b/>
        </w:rPr>
        <w:t>A</w:t>
      </w:r>
      <w:r w:rsidRPr="00645E2C">
        <w:rPr>
          <w:rFonts w:ascii="Palatino Linotype" w:hAnsi="Palatino Linotype"/>
          <w:b/>
        </w:rPr>
        <w:t xml:space="preserve"> RECURRENTE</w:t>
      </w:r>
      <w:r w:rsidRPr="00645E2C">
        <w:rPr>
          <w:rFonts w:ascii="Palatino Linotype" w:hAnsi="Palatino Linotype"/>
        </w:rPr>
        <w:t xml:space="preserve"> interpuso el recurso de revisión objeto del presente estudio, el cual fue registrado en </w:t>
      </w:r>
      <w:r w:rsidRPr="00645E2C">
        <w:rPr>
          <w:rFonts w:ascii="Palatino Linotype" w:hAnsi="Palatino Linotype"/>
          <w:b/>
        </w:rPr>
        <w:t>EL SAIMEX</w:t>
      </w:r>
      <w:r w:rsidRPr="00645E2C">
        <w:rPr>
          <w:rFonts w:ascii="Palatino Linotype" w:hAnsi="Palatino Linotype"/>
        </w:rPr>
        <w:t xml:space="preserve"> y se le asignó el número de expediente </w:t>
      </w:r>
      <w:r w:rsidRPr="00645E2C">
        <w:rPr>
          <w:rFonts w:ascii="Palatino Linotype" w:hAnsi="Palatino Linotype" w:cs="Arial"/>
          <w:b/>
          <w:bCs/>
        </w:rPr>
        <w:t>0</w:t>
      </w:r>
      <w:r>
        <w:rPr>
          <w:rFonts w:ascii="Palatino Linotype" w:hAnsi="Palatino Linotype" w:cs="Arial"/>
          <w:b/>
          <w:bCs/>
        </w:rPr>
        <w:t>406</w:t>
      </w:r>
      <w:r w:rsidRPr="00645E2C">
        <w:rPr>
          <w:rFonts w:ascii="Palatino Linotype" w:hAnsi="Palatino Linotype" w:cs="Arial"/>
          <w:b/>
          <w:bCs/>
        </w:rPr>
        <w:t>2/INFOEM/IP/RR/2020</w:t>
      </w:r>
      <w:r w:rsidRPr="00645E2C">
        <w:rPr>
          <w:rFonts w:ascii="Palatino Linotype" w:hAnsi="Palatino Linotype" w:cs="Arial"/>
        </w:rPr>
        <w:t>, en el que señaló como acto impugnado:</w:t>
      </w:r>
    </w:p>
    <w:p w14:paraId="47C11BD2" w14:textId="77777777" w:rsidR="001A299F" w:rsidRPr="00645E2C" w:rsidRDefault="001A299F" w:rsidP="001A299F">
      <w:pPr>
        <w:ind w:left="851" w:right="899"/>
        <w:jc w:val="both"/>
        <w:rPr>
          <w:rFonts w:ascii="Palatino Linotype" w:hAnsi="Palatino Linotype" w:cs="Arial"/>
          <w:i/>
          <w:sz w:val="22"/>
          <w:szCs w:val="22"/>
        </w:rPr>
      </w:pPr>
    </w:p>
    <w:p w14:paraId="56551297" w14:textId="77777777" w:rsidR="001A299F" w:rsidRPr="00170B89" w:rsidRDefault="001A299F" w:rsidP="001A299F">
      <w:pPr>
        <w:ind w:left="851" w:right="899"/>
        <w:jc w:val="both"/>
        <w:rPr>
          <w:rFonts w:ascii="Palatino Linotype" w:hAnsi="Palatino Linotype" w:cs="Arial"/>
          <w:i/>
          <w:sz w:val="22"/>
          <w:szCs w:val="22"/>
        </w:rPr>
      </w:pPr>
      <w:r w:rsidRPr="00170B89">
        <w:rPr>
          <w:rFonts w:ascii="Palatino Linotype" w:hAnsi="Palatino Linotype" w:cs="Arial"/>
          <w:i/>
          <w:sz w:val="22"/>
          <w:szCs w:val="22"/>
        </w:rPr>
        <w:t>“</w:t>
      </w:r>
      <w:r w:rsidRPr="00170B89">
        <w:rPr>
          <w:rFonts w:ascii="Palatino Linotype" w:hAnsi="Palatino Linotype"/>
          <w:i/>
          <w:color w:val="000000"/>
          <w:sz w:val="22"/>
          <w:szCs w:val="22"/>
        </w:rPr>
        <w:t xml:space="preserve">La respuesta que obtuve a mi solicitud, no es la modalidad en la que lo solicité y no estoy de acuerdo con la respuesta que me dieron, pues solicito que sea entregada </w:t>
      </w:r>
      <w:proofErr w:type="spellStart"/>
      <w:r w:rsidRPr="00170B89">
        <w:rPr>
          <w:rFonts w:ascii="Palatino Linotype" w:hAnsi="Palatino Linotype"/>
          <w:i/>
          <w:color w:val="000000"/>
          <w:sz w:val="22"/>
          <w:szCs w:val="22"/>
        </w:rPr>
        <w:t>via</w:t>
      </w:r>
      <w:proofErr w:type="spellEnd"/>
      <w:r w:rsidRPr="00170B89">
        <w:rPr>
          <w:rFonts w:ascii="Palatino Linotype" w:hAnsi="Palatino Linotype"/>
          <w:i/>
          <w:color w:val="000000"/>
          <w:sz w:val="22"/>
          <w:szCs w:val="22"/>
        </w:rPr>
        <w:t xml:space="preserve"> </w:t>
      </w:r>
      <w:proofErr w:type="spellStart"/>
      <w:r w:rsidRPr="00170B89">
        <w:rPr>
          <w:rFonts w:ascii="Palatino Linotype" w:hAnsi="Palatino Linotype"/>
          <w:i/>
          <w:color w:val="000000"/>
          <w:sz w:val="22"/>
          <w:szCs w:val="22"/>
        </w:rPr>
        <w:t>Saimex</w:t>
      </w:r>
      <w:proofErr w:type="spellEnd"/>
      <w:r w:rsidRPr="00170B89">
        <w:rPr>
          <w:rFonts w:ascii="Palatino Linotype" w:hAnsi="Palatino Linotype"/>
          <w:i/>
          <w:color w:val="000000"/>
          <w:sz w:val="22"/>
          <w:szCs w:val="22"/>
        </w:rPr>
        <w:t>, y no por medio de una visita al ayuntamiento.</w:t>
      </w:r>
      <w:r w:rsidRPr="00170B89">
        <w:rPr>
          <w:rFonts w:ascii="Palatino Linotype" w:hAnsi="Palatino Linotype" w:cs="Arial"/>
          <w:i/>
          <w:sz w:val="22"/>
          <w:szCs w:val="22"/>
        </w:rPr>
        <w:t>" (Sic)</w:t>
      </w:r>
    </w:p>
    <w:p w14:paraId="18B719C1" w14:textId="77777777" w:rsidR="001A299F" w:rsidRPr="00645E2C" w:rsidRDefault="001A299F" w:rsidP="001A299F">
      <w:pPr>
        <w:ind w:left="851" w:right="899"/>
        <w:jc w:val="both"/>
        <w:rPr>
          <w:rFonts w:ascii="Palatino Linotype" w:hAnsi="Palatino Linotype" w:cs="Arial"/>
          <w:i/>
          <w:sz w:val="22"/>
          <w:szCs w:val="22"/>
        </w:rPr>
      </w:pPr>
    </w:p>
    <w:p w14:paraId="4363ADFF" w14:textId="77777777" w:rsidR="001A299F" w:rsidRPr="00645E2C" w:rsidRDefault="001A299F" w:rsidP="001A299F">
      <w:pPr>
        <w:spacing w:line="360" w:lineRule="auto"/>
        <w:jc w:val="both"/>
        <w:rPr>
          <w:rFonts w:ascii="Palatino Linotype" w:hAnsi="Palatino Linotype" w:cs="Arial"/>
        </w:rPr>
      </w:pPr>
      <w:r w:rsidRPr="00645E2C">
        <w:rPr>
          <w:rFonts w:ascii="Palatino Linotype" w:hAnsi="Palatino Linotype" w:cs="Arial"/>
        </w:rPr>
        <w:t xml:space="preserve">Asimismo, como razones o motivos de inconformidad:  </w:t>
      </w:r>
    </w:p>
    <w:p w14:paraId="6216E1E8" w14:textId="77777777" w:rsidR="001A299F" w:rsidRPr="00645E2C" w:rsidRDefault="001A299F" w:rsidP="001A299F">
      <w:pPr>
        <w:ind w:left="851" w:right="899"/>
        <w:jc w:val="both"/>
        <w:rPr>
          <w:rFonts w:ascii="Palatino Linotype" w:hAnsi="Palatino Linotype" w:cs="Arial"/>
          <w:i/>
          <w:sz w:val="22"/>
          <w:szCs w:val="22"/>
        </w:rPr>
      </w:pPr>
    </w:p>
    <w:p w14:paraId="22E56C0E" w14:textId="77777777" w:rsidR="001A299F" w:rsidRPr="00645E2C" w:rsidRDefault="001A299F" w:rsidP="001A299F">
      <w:pPr>
        <w:ind w:left="851" w:right="899"/>
        <w:jc w:val="both"/>
        <w:rPr>
          <w:rFonts w:ascii="Palatino Linotype" w:hAnsi="Palatino Linotype" w:cs="Arial"/>
          <w:i/>
          <w:sz w:val="22"/>
          <w:szCs w:val="22"/>
        </w:rPr>
      </w:pPr>
      <w:r w:rsidRPr="00CB40D9">
        <w:rPr>
          <w:rFonts w:ascii="Palatino Linotype" w:hAnsi="Palatino Linotype" w:cs="Arial"/>
          <w:i/>
          <w:sz w:val="22"/>
          <w:szCs w:val="22"/>
        </w:rPr>
        <w:t>“</w:t>
      </w:r>
      <w:r w:rsidRPr="00CB40D9">
        <w:rPr>
          <w:rFonts w:ascii="Palatino Linotype" w:hAnsi="Palatino Linotype"/>
          <w:i/>
          <w:color w:val="000000"/>
          <w:sz w:val="22"/>
          <w:szCs w:val="22"/>
        </w:rPr>
        <w:t xml:space="preserve">Siempre se me ha otorgado una copia simple sin problema por el </w:t>
      </w:r>
      <w:proofErr w:type="spellStart"/>
      <w:r w:rsidRPr="00CB40D9">
        <w:rPr>
          <w:rFonts w:ascii="Palatino Linotype" w:hAnsi="Palatino Linotype"/>
          <w:i/>
          <w:color w:val="000000"/>
          <w:sz w:val="22"/>
          <w:szCs w:val="22"/>
        </w:rPr>
        <w:t>Saimex</w:t>
      </w:r>
      <w:proofErr w:type="spellEnd"/>
      <w:r w:rsidRPr="00CB40D9">
        <w:rPr>
          <w:rFonts w:ascii="Palatino Linotype" w:hAnsi="Palatino Linotype"/>
          <w:i/>
          <w:color w:val="000000"/>
          <w:sz w:val="22"/>
          <w:szCs w:val="22"/>
        </w:rPr>
        <w:t>, y ahora solicitan que vaya al ayuntamiento sólo a ver los expedientes, sin pensar en que no deberíamos arriesgarnos durante la pandemia. Solicito sea entregada la respuesta en la modalidad en la que la solicité.</w:t>
      </w:r>
      <w:r w:rsidRPr="00CB40D9">
        <w:rPr>
          <w:rFonts w:ascii="Palatino Linotype" w:hAnsi="Palatino Linotype" w:cs="Arial"/>
          <w:i/>
          <w:sz w:val="22"/>
          <w:szCs w:val="22"/>
        </w:rPr>
        <w:t>”</w:t>
      </w:r>
      <w:r w:rsidRPr="00645E2C">
        <w:rPr>
          <w:rFonts w:ascii="Palatino Linotype" w:hAnsi="Palatino Linotype" w:cs="Arial"/>
          <w:i/>
          <w:sz w:val="22"/>
          <w:szCs w:val="22"/>
        </w:rPr>
        <w:t xml:space="preserve"> (Sic)</w:t>
      </w:r>
    </w:p>
    <w:p w14:paraId="566F28B4" w14:textId="77777777" w:rsidR="001A299F" w:rsidRPr="00645E2C" w:rsidRDefault="001A299F" w:rsidP="001A299F">
      <w:pPr>
        <w:ind w:left="851" w:right="899"/>
        <w:jc w:val="both"/>
        <w:rPr>
          <w:rFonts w:ascii="Palatino Linotype" w:hAnsi="Palatino Linotype" w:cs="Arial"/>
          <w:i/>
          <w:sz w:val="22"/>
          <w:szCs w:val="22"/>
        </w:rPr>
      </w:pPr>
    </w:p>
    <w:p w14:paraId="01797682" w14:textId="0A30E46E" w:rsidR="001A299F" w:rsidRPr="00645E2C" w:rsidRDefault="001A299F" w:rsidP="001A299F">
      <w:pPr>
        <w:pStyle w:val="Default"/>
        <w:spacing w:line="360" w:lineRule="auto"/>
        <w:ind w:right="49"/>
        <w:jc w:val="both"/>
        <w:rPr>
          <w:rFonts w:ascii="Palatino Linotype" w:hAnsi="Palatino Linotype"/>
          <w:lang w:val="es-ES_tradnl"/>
        </w:rPr>
      </w:pPr>
      <w:r w:rsidRPr="00645E2C">
        <w:rPr>
          <w:rFonts w:ascii="Palatino Linotype" w:hAnsi="Palatino Linotype"/>
          <w:b/>
          <w:sz w:val="28"/>
          <w:szCs w:val="28"/>
        </w:rPr>
        <w:t xml:space="preserve">V. </w:t>
      </w:r>
      <w:r w:rsidRPr="00645E2C">
        <w:rPr>
          <w:rFonts w:ascii="Palatino Linotype" w:hAnsi="Palatino Linotype"/>
        </w:rPr>
        <w:t>El</w:t>
      </w:r>
      <w:r w:rsidRPr="00645E2C">
        <w:rPr>
          <w:rFonts w:ascii="Palatino Linotype" w:hAnsi="Palatino Linotype"/>
          <w:b/>
          <w:sz w:val="28"/>
          <w:szCs w:val="28"/>
        </w:rPr>
        <w:t xml:space="preserve"> </w:t>
      </w:r>
      <w:r>
        <w:rPr>
          <w:rFonts w:ascii="Palatino Linotype" w:hAnsi="Palatino Linotype"/>
          <w:b/>
          <w:bCs/>
        </w:rPr>
        <w:t>veinti</w:t>
      </w:r>
      <w:r w:rsidR="00E350FC">
        <w:rPr>
          <w:rFonts w:ascii="Palatino Linotype" w:hAnsi="Palatino Linotype"/>
          <w:b/>
          <w:bCs/>
        </w:rPr>
        <w:t>ocho</w:t>
      </w:r>
      <w:r>
        <w:rPr>
          <w:rFonts w:ascii="Palatino Linotype" w:hAnsi="Palatino Linotype"/>
          <w:b/>
          <w:bCs/>
        </w:rPr>
        <w:t xml:space="preserve"> de septiembre</w:t>
      </w:r>
      <w:r w:rsidRPr="00645E2C">
        <w:rPr>
          <w:rFonts w:ascii="Palatino Linotype" w:hAnsi="Palatino Linotype"/>
        </w:rPr>
        <w:t xml:space="preserve"> </w:t>
      </w:r>
      <w:r w:rsidRPr="00CB40D9">
        <w:rPr>
          <w:rFonts w:ascii="Palatino Linotype" w:hAnsi="Palatino Linotype"/>
          <w:b/>
          <w:bCs/>
        </w:rPr>
        <w:t>dos mil veinte</w:t>
      </w:r>
      <w:r w:rsidRPr="00645E2C">
        <w:rPr>
          <w:rFonts w:ascii="Palatino Linotype" w:hAnsi="Palatino Linotype"/>
        </w:rPr>
        <w:t xml:space="preserve">, el </w:t>
      </w:r>
      <w:r w:rsidRPr="00645E2C">
        <w:rPr>
          <w:rFonts w:ascii="Palatino Linotype" w:hAnsi="Palatino Linotype"/>
          <w:lang w:val="es-ES_tradnl"/>
        </w:rPr>
        <w:t>recurso de que</w:t>
      </w:r>
      <w:r w:rsidRPr="00645E2C">
        <w:rPr>
          <w:rFonts w:ascii="Palatino Linotype" w:hAnsi="Palatino Linotype"/>
        </w:rPr>
        <w:t xml:space="preserve"> se trata</w:t>
      </w:r>
      <w:r w:rsidRPr="00645E2C">
        <w:rPr>
          <w:rFonts w:ascii="Palatino Linotype" w:hAnsi="Palatino Linotype"/>
          <w:lang w:val="es-ES_tradnl"/>
        </w:rPr>
        <w:t xml:space="preserve"> se envió electrónicamente al Instituto de </w:t>
      </w:r>
      <w:r w:rsidRPr="00645E2C">
        <w:rPr>
          <w:rFonts w:ascii="Palatino Linotype" w:eastAsia="Arial Unicode MS" w:hAnsi="Palatino Linotype"/>
        </w:rPr>
        <w:t>Transparencia</w:t>
      </w:r>
      <w:r w:rsidRPr="00645E2C">
        <w:rPr>
          <w:rFonts w:ascii="Palatino Linotype" w:hAnsi="Palatino Linotype"/>
          <w:lang w:val="es-ES_tradnl"/>
        </w:rPr>
        <w:t xml:space="preserve">, Acceso a la Información Pública y Protección de Datos Personales del Estado de México y Municipios y con </w:t>
      </w:r>
      <w:r w:rsidRPr="00645E2C">
        <w:rPr>
          <w:rFonts w:ascii="Palatino Linotype" w:hAnsi="Palatino Linotype"/>
          <w:lang w:val="es-ES_tradnl"/>
        </w:rPr>
        <w:lastRenderedPageBreak/>
        <w:t xml:space="preserve">fundamento </w:t>
      </w:r>
      <w:r>
        <w:rPr>
          <w:rFonts w:ascii="Palatino Linotype" w:hAnsi="Palatino Linotype"/>
          <w:lang w:val="es-ES_tradnl"/>
        </w:rPr>
        <w:t>e</w:t>
      </w:r>
      <w:r w:rsidRPr="00645E2C">
        <w:rPr>
          <w:rFonts w:ascii="Palatino Linotype" w:hAnsi="Palatino Linotype"/>
          <w:lang w:val="es-ES_tradnl"/>
        </w:rPr>
        <w:t xml:space="preserve">n el artículo 185, fracción I de la </w:t>
      </w:r>
      <w:r w:rsidRPr="00645E2C">
        <w:rPr>
          <w:rFonts w:ascii="Palatino Linotype" w:hAnsi="Palatino Linotype"/>
        </w:rPr>
        <w:t>Ley de Transparencia y Acceso a la Información Pública del Estado de México y Municipios</w:t>
      </w:r>
      <w:r w:rsidRPr="00645E2C">
        <w:rPr>
          <w:rFonts w:ascii="Palatino Linotype" w:hAnsi="Palatino Linotype"/>
          <w:lang w:val="es-ES_tradnl"/>
        </w:rPr>
        <w:t>, se turnó, a través del</w:t>
      </w:r>
      <w:r w:rsidRPr="00645E2C">
        <w:rPr>
          <w:rFonts w:ascii="Palatino Linotype" w:eastAsia="Arial Unicode MS" w:hAnsi="Palatino Linotype"/>
          <w:lang w:val="es-ES_tradnl"/>
        </w:rPr>
        <w:t xml:space="preserve"> </w:t>
      </w:r>
      <w:r w:rsidRPr="00645E2C">
        <w:rPr>
          <w:rFonts w:ascii="Palatino Linotype" w:eastAsia="Arial Unicode MS" w:hAnsi="Palatino Linotype"/>
          <w:b/>
          <w:lang w:val="es-ES_tradnl"/>
        </w:rPr>
        <w:t>SAIMEX</w:t>
      </w:r>
      <w:r w:rsidRPr="00645E2C">
        <w:rPr>
          <w:rFonts w:ascii="Palatino Linotype" w:hAnsi="Palatino Linotype"/>
        </w:rPr>
        <w:t xml:space="preserve">, a la </w:t>
      </w:r>
      <w:r w:rsidRPr="00645E2C">
        <w:rPr>
          <w:rFonts w:ascii="Palatino Linotype" w:hAnsi="Palatino Linotype"/>
          <w:lang w:val="es-ES_tradnl"/>
        </w:rPr>
        <w:t xml:space="preserve">Comisionada </w:t>
      </w:r>
      <w:r w:rsidRPr="00645E2C">
        <w:rPr>
          <w:rFonts w:ascii="Palatino Linotype" w:hAnsi="Palatino Linotype"/>
          <w:b/>
          <w:lang w:val="es-ES_tradnl"/>
        </w:rPr>
        <w:t>EVA ABAID YAPUR</w:t>
      </w:r>
      <w:r w:rsidRPr="00645E2C">
        <w:rPr>
          <w:rFonts w:ascii="Palatino Linotype" w:hAnsi="Palatino Linotype"/>
        </w:rPr>
        <w:t>,</w:t>
      </w:r>
      <w:r w:rsidRPr="00645E2C">
        <w:rPr>
          <w:rFonts w:ascii="Palatino Linotype" w:hAnsi="Palatino Linotype"/>
          <w:lang w:val="es-ES_tradnl"/>
        </w:rPr>
        <w:t xml:space="preserve"> a efecto de decretar su admisión o </w:t>
      </w:r>
      <w:proofErr w:type="spellStart"/>
      <w:r w:rsidRPr="00645E2C">
        <w:rPr>
          <w:rFonts w:ascii="Palatino Linotype" w:hAnsi="Palatino Linotype"/>
          <w:lang w:val="es-ES_tradnl"/>
        </w:rPr>
        <w:t>desechamiento</w:t>
      </w:r>
      <w:proofErr w:type="spellEnd"/>
      <w:r w:rsidRPr="00645E2C">
        <w:rPr>
          <w:rFonts w:ascii="Palatino Linotype" w:hAnsi="Palatino Linotype"/>
          <w:lang w:val="es-ES_tradnl"/>
        </w:rPr>
        <w:t>.</w:t>
      </w:r>
    </w:p>
    <w:p w14:paraId="2BC40908" w14:textId="77777777" w:rsidR="001A299F" w:rsidRPr="00645E2C" w:rsidRDefault="001A299F" w:rsidP="001A299F">
      <w:pPr>
        <w:pStyle w:val="Default"/>
        <w:spacing w:line="360" w:lineRule="auto"/>
        <w:ind w:right="49"/>
        <w:jc w:val="both"/>
        <w:rPr>
          <w:rFonts w:ascii="Palatino Linotype" w:hAnsi="Palatino Linotype"/>
          <w:lang w:val="es-ES_tradnl"/>
        </w:rPr>
      </w:pPr>
    </w:p>
    <w:p w14:paraId="3A903514" w14:textId="77777777" w:rsidR="003E0AA1" w:rsidRDefault="001A299F" w:rsidP="003E0AA1">
      <w:pPr>
        <w:pStyle w:val="Piedepgina"/>
        <w:spacing w:line="360" w:lineRule="auto"/>
        <w:jc w:val="both"/>
        <w:rPr>
          <w:rFonts w:ascii="Palatino Linotype" w:hAnsi="Palatino Linotype" w:cs="Arial"/>
        </w:rPr>
      </w:pPr>
      <w:r w:rsidRPr="00645E2C">
        <w:rPr>
          <w:rFonts w:ascii="Palatino Linotype" w:hAnsi="Palatino Linotype" w:cs="Arial"/>
          <w:b/>
          <w:sz w:val="28"/>
        </w:rPr>
        <w:t>V</w:t>
      </w:r>
      <w:r>
        <w:rPr>
          <w:rFonts w:ascii="Palatino Linotype" w:hAnsi="Palatino Linotype" w:cs="Arial"/>
          <w:b/>
          <w:sz w:val="28"/>
        </w:rPr>
        <w:t>I</w:t>
      </w:r>
      <w:r w:rsidRPr="00645E2C">
        <w:rPr>
          <w:rFonts w:ascii="Palatino Linotype" w:hAnsi="Palatino Linotype" w:cs="Arial"/>
          <w:b/>
          <w:sz w:val="28"/>
        </w:rPr>
        <w:t xml:space="preserve">. </w:t>
      </w:r>
      <w:r w:rsidR="003E0AA1" w:rsidRPr="00645E2C">
        <w:rPr>
          <w:rFonts w:ascii="Palatino Linotype" w:hAnsi="Palatino Linotype" w:cs="Arial"/>
        </w:rPr>
        <w:t xml:space="preserve">En fecha </w:t>
      </w:r>
      <w:r w:rsidR="003E0AA1" w:rsidRPr="00AA16AD">
        <w:rPr>
          <w:rFonts w:ascii="Palatino Linotype" w:hAnsi="Palatino Linotype" w:cs="Arial"/>
          <w:b/>
          <w:bCs/>
        </w:rPr>
        <w:t>veintisiete de septiembre de dos mil veinte</w:t>
      </w:r>
      <w:r w:rsidR="003E0AA1" w:rsidRPr="00645E2C">
        <w:rPr>
          <w:rFonts w:ascii="Palatino Linotype" w:hAnsi="Palatino Linotype" w:cs="Arial"/>
        </w:rPr>
        <w:t xml:space="preserve">, mediante el </w:t>
      </w:r>
      <w:r w:rsidR="003E0AA1">
        <w:rPr>
          <w:rFonts w:ascii="Palatino Linotype" w:hAnsi="Palatino Linotype" w:cs="Arial"/>
        </w:rPr>
        <w:t>s</w:t>
      </w:r>
      <w:r w:rsidR="003E0AA1" w:rsidRPr="00645E2C">
        <w:rPr>
          <w:rFonts w:ascii="Palatino Linotype" w:hAnsi="Palatino Linotype" w:cs="Arial"/>
        </w:rPr>
        <w:t xml:space="preserve">istema automático del </w:t>
      </w:r>
      <w:r w:rsidR="003E0AA1" w:rsidRPr="00645E2C">
        <w:rPr>
          <w:rFonts w:ascii="Palatino Linotype" w:hAnsi="Palatino Linotype" w:cs="Arial"/>
          <w:b/>
        </w:rPr>
        <w:t>SAIMEX</w:t>
      </w:r>
      <w:r w:rsidR="003E0AA1" w:rsidRPr="00645E2C">
        <w:rPr>
          <w:rFonts w:ascii="Palatino Linotype" w:hAnsi="Palatino Linotype" w:cs="Arial"/>
        </w:rPr>
        <w:t xml:space="preserve">, </w:t>
      </w:r>
      <w:r w:rsidR="003E0AA1" w:rsidRPr="00645E2C">
        <w:rPr>
          <w:rFonts w:ascii="Palatino Linotype" w:hAnsi="Palatino Linotype" w:cs="Arial"/>
          <w:b/>
        </w:rPr>
        <w:t>L</w:t>
      </w:r>
      <w:r w:rsidR="003E0AA1">
        <w:rPr>
          <w:rFonts w:ascii="Palatino Linotype" w:hAnsi="Palatino Linotype" w:cs="Arial"/>
          <w:b/>
        </w:rPr>
        <w:t>A</w:t>
      </w:r>
      <w:r w:rsidR="003E0AA1" w:rsidRPr="00645E2C">
        <w:rPr>
          <w:rFonts w:ascii="Palatino Linotype" w:hAnsi="Palatino Linotype" w:cs="Arial"/>
        </w:rPr>
        <w:t xml:space="preserve"> </w:t>
      </w:r>
      <w:r w:rsidR="003E0AA1" w:rsidRPr="00645E2C">
        <w:rPr>
          <w:rFonts w:ascii="Palatino Linotype" w:hAnsi="Palatino Linotype" w:cs="Arial"/>
          <w:b/>
        </w:rPr>
        <w:t>RECURRENTE</w:t>
      </w:r>
      <w:r w:rsidR="003E0AA1" w:rsidRPr="00645E2C">
        <w:rPr>
          <w:rFonts w:ascii="Palatino Linotype" w:hAnsi="Palatino Linotype" w:cs="Arial"/>
        </w:rPr>
        <w:t xml:space="preserve"> presentó su desistimiento respecto del presente recurso, tal y como muestra a continuación:</w:t>
      </w:r>
    </w:p>
    <w:p w14:paraId="49512485" w14:textId="77777777" w:rsidR="003E0AA1" w:rsidRPr="00645E2C" w:rsidRDefault="003E0AA1" w:rsidP="003E0AA1">
      <w:pPr>
        <w:pStyle w:val="Piedepgina"/>
        <w:spacing w:line="360" w:lineRule="auto"/>
        <w:jc w:val="both"/>
        <w:rPr>
          <w:rFonts w:ascii="Palatino Linotype" w:hAnsi="Palatino Linotype" w:cs="Arial"/>
        </w:rPr>
      </w:pPr>
    </w:p>
    <w:p w14:paraId="48F2DD81" w14:textId="56BD483D" w:rsidR="003E0AA1" w:rsidRDefault="008804B7" w:rsidP="003E0AA1">
      <w:pPr>
        <w:pStyle w:val="Piedepgina"/>
        <w:spacing w:line="360" w:lineRule="auto"/>
        <w:jc w:val="center"/>
        <w:rPr>
          <w:rFonts w:ascii="Palatino Linotype" w:hAnsi="Palatino Linotype" w:cs="Arial"/>
          <w:noProof/>
          <w:lang w:val="es-MX" w:eastAsia="es-MX"/>
        </w:rPr>
      </w:pPr>
      <w:bookmarkStart w:id="0" w:name="_GoBack"/>
      <w:r>
        <w:rPr>
          <w:rFonts w:ascii="Palatino Linotype" w:hAnsi="Palatino Linotype" w:cs="Arial"/>
          <w:noProof/>
          <w:lang w:val="es-MX" w:eastAsia="es-MX"/>
        </w:rPr>
        <w:drawing>
          <wp:inline distT="0" distB="0" distL="0" distR="0" wp14:anchorId="36891F8E" wp14:editId="42E8082A">
            <wp:extent cx="5113463" cy="3078747"/>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113463" cy="3078747"/>
                    </a:xfrm>
                    <a:prstGeom prst="rect">
                      <a:avLst/>
                    </a:prstGeom>
                  </pic:spPr>
                </pic:pic>
              </a:graphicData>
            </a:graphic>
          </wp:inline>
        </w:drawing>
      </w:r>
      <w:bookmarkEnd w:id="0"/>
    </w:p>
    <w:p w14:paraId="0097F4C5" w14:textId="07D9910F" w:rsidR="003E0AA1" w:rsidRDefault="00896A30" w:rsidP="001A299F">
      <w:pPr>
        <w:pStyle w:val="Piedepgina"/>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409EB282" wp14:editId="4C1DDDB2">
                <wp:simplePos x="0" y="0"/>
                <wp:positionH relativeFrom="column">
                  <wp:posOffset>358140</wp:posOffset>
                </wp:positionH>
                <wp:positionV relativeFrom="paragraph">
                  <wp:posOffset>116205</wp:posOffset>
                </wp:positionV>
                <wp:extent cx="5143500" cy="12001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143500"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66479" id="Conector recto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2pt,9.15pt" to="433.2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" strokecolor="#5b9bd5 [3204]" strokeweight=".5pt">
                <v:stroke joinstyle="miter"/>
              </v:line>
            </w:pict>
          </mc:Fallback>
        </mc:AlternateContent>
      </w:r>
    </w:p>
    <w:p w14:paraId="65349FB5" w14:textId="77777777" w:rsidR="002515EC" w:rsidRDefault="002515EC" w:rsidP="008B4523">
      <w:pPr>
        <w:pStyle w:val="Piedepgina"/>
        <w:spacing w:line="360" w:lineRule="auto"/>
        <w:jc w:val="center"/>
        <w:rPr>
          <w:rFonts w:ascii="Palatino Linotype" w:hAnsi="Palatino Linotype" w:cs="Arial"/>
        </w:rPr>
      </w:pPr>
    </w:p>
    <w:p w14:paraId="5A9A6AA3" w14:textId="77777777" w:rsidR="002515EC" w:rsidRDefault="002515EC" w:rsidP="008B4523">
      <w:pPr>
        <w:pStyle w:val="Piedepgina"/>
        <w:spacing w:line="360" w:lineRule="auto"/>
        <w:jc w:val="center"/>
        <w:rPr>
          <w:rFonts w:ascii="Palatino Linotype" w:hAnsi="Palatino Linotype" w:cs="Arial"/>
        </w:rPr>
      </w:pPr>
    </w:p>
    <w:p w14:paraId="3AAE43BB" w14:textId="77777777" w:rsidR="002515EC" w:rsidRDefault="002515EC" w:rsidP="008B4523">
      <w:pPr>
        <w:pStyle w:val="Piedepgina"/>
        <w:spacing w:line="360" w:lineRule="auto"/>
        <w:jc w:val="center"/>
        <w:rPr>
          <w:rFonts w:ascii="Palatino Linotype" w:hAnsi="Palatino Linotype" w:cs="Arial"/>
        </w:rPr>
      </w:pPr>
    </w:p>
    <w:p w14:paraId="6C733EEA" w14:textId="5F358772" w:rsidR="00AE19B4" w:rsidRDefault="00AE19B4" w:rsidP="008B4523">
      <w:pPr>
        <w:pStyle w:val="Piedepgina"/>
        <w:spacing w:line="360" w:lineRule="auto"/>
        <w:jc w:val="center"/>
        <w:rPr>
          <w:noProof/>
          <w:lang w:val="es-MX" w:eastAsia="es-MX"/>
        </w:rPr>
      </w:pPr>
    </w:p>
    <w:p w14:paraId="28E16B8E" w14:textId="0D64F554" w:rsidR="002515EC" w:rsidRDefault="002515EC" w:rsidP="008B4523">
      <w:pPr>
        <w:pStyle w:val="Piedepgina"/>
        <w:spacing w:line="360" w:lineRule="auto"/>
        <w:jc w:val="center"/>
        <w:rPr>
          <w:noProof/>
          <w:lang w:val="es-MX" w:eastAsia="es-MX"/>
        </w:rPr>
      </w:pPr>
    </w:p>
    <w:p w14:paraId="75243C9A" w14:textId="3DEF654B" w:rsidR="002515EC" w:rsidRDefault="002515EC" w:rsidP="008B4523">
      <w:pPr>
        <w:pStyle w:val="Piedepgina"/>
        <w:spacing w:line="360" w:lineRule="auto"/>
        <w:jc w:val="center"/>
        <w:rPr>
          <w:rFonts w:ascii="Palatino Linotype" w:hAnsi="Palatino Linotype" w:cs="Arial"/>
        </w:rPr>
      </w:pPr>
      <w:r>
        <w:rPr>
          <w:noProof/>
          <w:lang w:val="es-MX" w:eastAsia="es-MX"/>
        </w:rPr>
        <w:drawing>
          <wp:inline distT="0" distB="0" distL="0" distR="0" wp14:anchorId="240DC145" wp14:editId="36F7A6EB">
            <wp:extent cx="4705350" cy="32956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438" t="35686" r="27146" b="11076"/>
                    <a:stretch/>
                  </pic:blipFill>
                  <pic:spPr bwMode="auto">
                    <a:xfrm>
                      <a:off x="0" y="0"/>
                      <a:ext cx="4705350" cy="3295650"/>
                    </a:xfrm>
                    <a:prstGeom prst="rect">
                      <a:avLst/>
                    </a:prstGeom>
                    <a:ln>
                      <a:noFill/>
                    </a:ln>
                    <a:extLst>
                      <a:ext uri="{53640926-AAD7-44D8-BBD7-CCE9431645EC}">
                        <a14:shadowObscured xmlns:a14="http://schemas.microsoft.com/office/drawing/2010/main"/>
                      </a:ext>
                    </a:extLst>
                  </pic:spPr>
                </pic:pic>
              </a:graphicData>
            </a:graphic>
          </wp:inline>
        </w:drawing>
      </w:r>
    </w:p>
    <w:p w14:paraId="1A9B4D67" w14:textId="74D9D98C" w:rsidR="001A299F" w:rsidRPr="00645E2C" w:rsidRDefault="003E0AA1" w:rsidP="001A299F">
      <w:pPr>
        <w:pStyle w:val="Piedepgina"/>
        <w:spacing w:line="360" w:lineRule="auto"/>
        <w:jc w:val="both"/>
        <w:rPr>
          <w:rFonts w:ascii="Palatino Linotype" w:hAnsi="Palatino Linotype" w:cs="Arial"/>
        </w:rPr>
      </w:pPr>
      <w:r>
        <w:rPr>
          <w:rFonts w:ascii="Palatino Linotype" w:hAnsi="Palatino Linotype" w:cs="Arial"/>
          <w:b/>
          <w:bCs/>
        </w:rPr>
        <w:t xml:space="preserve">VII. </w:t>
      </w:r>
      <w:r w:rsidR="001A299F" w:rsidRPr="00645E2C">
        <w:rPr>
          <w:rFonts w:ascii="Palatino Linotype" w:hAnsi="Palatino Linotype" w:cs="Arial"/>
        </w:rPr>
        <w:t>De las constancias del expediente electrónico del</w:t>
      </w:r>
      <w:r w:rsidR="001A299F" w:rsidRPr="00645E2C">
        <w:rPr>
          <w:rFonts w:ascii="Palatino Linotype" w:hAnsi="Palatino Linotype" w:cs="Arial"/>
          <w:b/>
        </w:rPr>
        <w:t xml:space="preserve"> SAIMEX</w:t>
      </w:r>
      <w:r w:rsidR="001A299F" w:rsidRPr="00645E2C">
        <w:rPr>
          <w:rFonts w:ascii="Palatino Linotype" w:hAnsi="Palatino Linotype" w:cs="Arial"/>
        </w:rPr>
        <w:t xml:space="preserve">, se advierte que en fecha </w:t>
      </w:r>
      <w:r w:rsidR="001A299F" w:rsidRPr="00CB40D9">
        <w:rPr>
          <w:rFonts w:ascii="Palatino Linotype" w:hAnsi="Palatino Linotype" w:cs="Arial"/>
          <w:b/>
          <w:bCs/>
        </w:rPr>
        <w:t>dos de octubre de dos mil veinte</w:t>
      </w:r>
      <w:r w:rsidR="001A299F" w:rsidRPr="00645E2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1A299F" w:rsidRPr="00645E2C">
        <w:rPr>
          <w:rFonts w:ascii="Palatino Linotype" w:hAnsi="Palatino Linotype" w:cs="Arial"/>
          <w:b/>
        </w:rPr>
        <w:t xml:space="preserve">EL SUJETO OBLIGADO </w:t>
      </w:r>
      <w:r w:rsidR="001A299F" w:rsidRPr="00645E2C">
        <w:rPr>
          <w:rFonts w:ascii="Palatino Linotype" w:hAnsi="Palatino Linotype" w:cs="Arial"/>
        </w:rPr>
        <w:t>rindiera su</w:t>
      </w:r>
      <w:r w:rsidR="001A299F" w:rsidRPr="00645E2C">
        <w:rPr>
          <w:rFonts w:ascii="Palatino Linotype" w:hAnsi="Palatino Linotype" w:cs="Arial"/>
          <w:b/>
        </w:rPr>
        <w:t xml:space="preserve"> </w:t>
      </w:r>
      <w:r w:rsidR="001A299F" w:rsidRPr="00645E2C">
        <w:rPr>
          <w:rFonts w:ascii="Palatino Linotype" w:hAnsi="Palatino Linotype" w:cs="Arial"/>
        </w:rPr>
        <w:t>Informe Justificado.</w:t>
      </w:r>
    </w:p>
    <w:p w14:paraId="52F5310F" w14:textId="5743F32A" w:rsidR="001A299F" w:rsidRPr="00645E2C" w:rsidRDefault="008B4523" w:rsidP="001A299F">
      <w:pPr>
        <w:pStyle w:val="Default"/>
        <w:spacing w:line="360" w:lineRule="auto"/>
        <w:ind w:right="49"/>
        <w:jc w:val="both"/>
        <w:rPr>
          <w:rFonts w:ascii="Palatino Linotype" w:hAnsi="Palatino Linotype"/>
          <w:lang w:val="es-ES_tradnl"/>
        </w:rPr>
      </w:pPr>
      <w:r w:rsidRPr="00574F67">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64D482A6" wp14:editId="1BFBD82E">
                <wp:simplePos x="0" y="0"/>
                <wp:positionH relativeFrom="column">
                  <wp:posOffset>5714</wp:posOffset>
                </wp:positionH>
                <wp:positionV relativeFrom="paragraph">
                  <wp:posOffset>5715</wp:posOffset>
                </wp:positionV>
                <wp:extent cx="5800725" cy="7810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80072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D1C2C" id="Conector recto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5pt,.45pt" to="457.2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" strokecolor="#5b9bd5 [3204]" strokeweight=".5pt">
                <v:stroke joinstyle="miter"/>
              </v:line>
            </w:pict>
          </mc:Fallback>
        </mc:AlternateContent>
      </w:r>
    </w:p>
    <w:p w14:paraId="2367FD55" w14:textId="647BCBF0" w:rsidR="001A299F" w:rsidRPr="000B19C8" w:rsidRDefault="001A299F" w:rsidP="001A299F">
      <w:pPr>
        <w:spacing w:line="360" w:lineRule="auto"/>
        <w:jc w:val="both"/>
        <w:rPr>
          <w:rFonts w:ascii="Palatino Linotype" w:eastAsiaTheme="minorEastAsia" w:hAnsi="Palatino Linotype" w:cs="Arial"/>
          <w:lang w:val="es-ES_tradnl"/>
        </w:rPr>
      </w:pPr>
      <w:r w:rsidRPr="00645E2C">
        <w:rPr>
          <w:rFonts w:ascii="Palatino Linotype" w:hAnsi="Palatino Linotype" w:cs="Arial"/>
          <w:b/>
          <w:sz w:val="28"/>
        </w:rPr>
        <w:lastRenderedPageBreak/>
        <w:t>V</w:t>
      </w:r>
      <w:r>
        <w:rPr>
          <w:rFonts w:ascii="Palatino Linotype" w:hAnsi="Palatino Linotype" w:cs="Arial"/>
          <w:b/>
          <w:sz w:val="28"/>
        </w:rPr>
        <w:t>I</w:t>
      </w:r>
      <w:r w:rsidRPr="00645E2C">
        <w:rPr>
          <w:rFonts w:ascii="Palatino Linotype" w:hAnsi="Palatino Linotype" w:cs="Arial"/>
          <w:b/>
          <w:sz w:val="28"/>
        </w:rPr>
        <w:t>I</w:t>
      </w:r>
      <w:r w:rsidR="003E0AA1">
        <w:rPr>
          <w:rFonts w:ascii="Palatino Linotype" w:hAnsi="Palatino Linotype" w:cs="Arial"/>
          <w:b/>
          <w:sz w:val="28"/>
        </w:rPr>
        <w:t>I</w:t>
      </w:r>
      <w:r w:rsidRPr="00645E2C">
        <w:rPr>
          <w:rFonts w:ascii="Palatino Linotype" w:hAnsi="Palatino Linotype" w:cs="Arial"/>
          <w:b/>
          <w:sz w:val="28"/>
        </w:rPr>
        <w:t>.</w:t>
      </w:r>
      <w:r>
        <w:rPr>
          <w:rFonts w:ascii="Palatino Linotype" w:hAnsi="Palatino Linotype" w:cs="Arial"/>
          <w:b/>
          <w:sz w:val="28"/>
        </w:rPr>
        <w:t xml:space="preserve"> </w:t>
      </w:r>
      <w:r w:rsidRPr="000B19C8">
        <w:rPr>
          <w:rFonts w:ascii="Palatino Linotype" w:eastAsiaTheme="minorEastAsia" w:hAnsi="Palatino Linotype" w:cs="Arial"/>
          <w:lang w:val="es-ES_tradnl"/>
        </w:rPr>
        <w:t>En cumplimiento a lo anterior, de las constancias del expediente electrónico del</w:t>
      </w:r>
      <w:r w:rsidRPr="000B19C8">
        <w:rPr>
          <w:rFonts w:ascii="Palatino Linotype" w:hAnsi="Palatino Linotype" w:cs="Arial"/>
          <w:b/>
          <w:sz w:val="28"/>
        </w:rPr>
        <w:t xml:space="preserve"> SAIMEX, </w:t>
      </w:r>
      <w:r w:rsidRPr="000B19C8">
        <w:rPr>
          <w:rFonts w:ascii="Palatino Linotype" w:eastAsiaTheme="minorEastAsia" w:hAnsi="Palatino Linotype" w:cs="Arial"/>
          <w:lang w:val="es-ES_tradnl"/>
        </w:rPr>
        <w:t>se observa que el día siete de octubre de dos mil veinte</w:t>
      </w:r>
      <w:r w:rsidRPr="000B19C8">
        <w:rPr>
          <w:rFonts w:ascii="Palatino Linotype" w:hAnsi="Palatino Linotype" w:cs="Arial"/>
          <w:b/>
          <w:sz w:val="28"/>
        </w:rPr>
        <w:t xml:space="preserve">, EL SUJETO OBLIGADO </w:t>
      </w:r>
      <w:r w:rsidRPr="000B19C8">
        <w:rPr>
          <w:rFonts w:ascii="Palatino Linotype" w:eastAsiaTheme="minorEastAsia" w:hAnsi="Palatino Linotype" w:cs="Arial"/>
          <w:lang w:val="es-ES_tradnl"/>
        </w:rPr>
        <w:t xml:space="preserve">envió el Informe Justificado, como se desprende a continuación: </w:t>
      </w:r>
    </w:p>
    <w:p w14:paraId="676E5ED3" w14:textId="77777777" w:rsidR="001A299F" w:rsidRDefault="001A299F" w:rsidP="001A299F">
      <w:pPr>
        <w:spacing w:line="360" w:lineRule="auto"/>
        <w:jc w:val="both"/>
        <w:rPr>
          <w:rFonts w:ascii="Palatino Linotype" w:hAnsi="Palatino Linotype" w:cs="Arial"/>
          <w:b/>
          <w:sz w:val="28"/>
        </w:rPr>
      </w:pPr>
      <w:r w:rsidRPr="000B19C8">
        <w:rPr>
          <w:rFonts w:ascii="Palatino Linotype" w:hAnsi="Palatino Linotype" w:cs="Arial"/>
          <w:b/>
          <w:sz w:val="28"/>
        </w:rPr>
        <w:t xml:space="preserve"> </w:t>
      </w:r>
    </w:p>
    <w:p w14:paraId="1038A04B" w14:textId="77777777" w:rsidR="001A299F" w:rsidRPr="000B19C8" w:rsidRDefault="001A299F" w:rsidP="001A299F">
      <w:pPr>
        <w:spacing w:line="360" w:lineRule="auto"/>
        <w:jc w:val="center"/>
        <w:rPr>
          <w:rFonts w:ascii="Palatino Linotype" w:hAnsi="Palatino Linotype" w:cs="Arial"/>
          <w:b/>
          <w:sz w:val="28"/>
        </w:rPr>
      </w:pPr>
      <w:r>
        <w:rPr>
          <w:noProof/>
          <w:lang w:eastAsia="es-MX"/>
        </w:rPr>
        <w:drawing>
          <wp:inline distT="0" distB="0" distL="0" distR="0" wp14:anchorId="2732EB8C" wp14:editId="67831C3E">
            <wp:extent cx="4895850" cy="15525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215" t="33639" r="21719" b="38865"/>
                    <a:stretch/>
                  </pic:blipFill>
                  <pic:spPr bwMode="auto">
                    <a:xfrm>
                      <a:off x="0" y="0"/>
                      <a:ext cx="4895850" cy="15525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676A1657" w14:textId="77777777" w:rsidR="001A299F" w:rsidRDefault="001A299F" w:rsidP="001A299F">
      <w:pPr>
        <w:spacing w:line="360" w:lineRule="auto"/>
        <w:jc w:val="both"/>
        <w:rPr>
          <w:rFonts w:ascii="Palatino Linotype" w:hAnsi="Palatino Linotype" w:cs="Arial"/>
          <w:b/>
          <w:sz w:val="28"/>
        </w:rPr>
      </w:pPr>
    </w:p>
    <w:p w14:paraId="6BE7F12D" w14:textId="77777777" w:rsidR="001A299F" w:rsidRDefault="001A299F" w:rsidP="001A299F">
      <w:pPr>
        <w:spacing w:line="360" w:lineRule="auto"/>
        <w:jc w:val="both"/>
        <w:rPr>
          <w:rFonts w:ascii="Palatino Linotype" w:eastAsiaTheme="minorEastAsia" w:hAnsi="Palatino Linotype" w:cs="Arial"/>
          <w:lang w:val="es-ES_tradnl"/>
        </w:rPr>
      </w:pPr>
      <w:r w:rsidRPr="000B19C8">
        <w:rPr>
          <w:rFonts w:ascii="Palatino Linotype" w:eastAsiaTheme="minorEastAsia" w:hAnsi="Palatino Linotype" w:cs="Arial"/>
          <w:lang w:val="es-ES_tradnl"/>
        </w:rPr>
        <w:t>Advirtiendo que, en dicho informe</w:t>
      </w:r>
      <w:r w:rsidRPr="000B19C8">
        <w:rPr>
          <w:rFonts w:ascii="Palatino Linotype" w:hAnsi="Palatino Linotype" w:cs="Arial"/>
          <w:b/>
          <w:sz w:val="28"/>
        </w:rPr>
        <w:t xml:space="preserve">, EL SUJETO OBLIGADO </w:t>
      </w:r>
      <w:r w:rsidRPr="000B19C8">
        <w:rPr>
          <w:rFonts w:ascii="Palatino Linotype" w:eastAsiaTheme="minorEastAsia" w:hAnsi="Palatino Linotype" w:cs="Arial"/>
          <w:lang w:val="es-ES_tradnl"/>
        </w:rPr>
        <w:t xml:space="preserve">anexó los archivos electrónicos </w:t>
      </w:r>
      <w:r>
        <w:rPr>
          <w:rFonts w:ascii="Palatino Linotype" w:eastAsiaTheme="minorEastAsia" w:hAnsi="Palatino Linotype" w:cs="Arial"/>
          <w:b/>
          <w:bCs/>
          <w:lang w:val="es-ES_tradnl"/>
        </w:rPr>
        <w:t>“</w:t>
      </w:r>
      <w:r>
        <w:rPr>
          <w:rFonts w:ascii="Palatino Linotype" w:eastAsiaTheme="minorEastAsia" w:hAnsi="Palatino Linotype" w:cs="Arial"/>
          <w:b/>
          <w:bCs/>
          <w:i/>
          <w:iCs/>
          <w:lang w:val="es-ES_tradnl"/>
        </w:rPr>
        <w:t xml:space="preserve">04062.pdf” </w:t>
      </w:r>
      <w:r>
        <w:rPr>
          <w:rFonts w:ascii="Palatino Linotype" w:eastAsiaTheme="minorEastAsia" w:hAnsi="Palatino Linotype" w:cs="Arial"/>
          <w:lang w:val="es-ES_tradnl"/>
        </w:rPr>
        <w:t xml:space="preserve">y </w:t>
      </w:r>
      <w:r>
        <w:rPr>
          <w:rFonts w:ascii="Palatino Linotype" w:eastAsiaTheme="minorEastAsia" w:hAnsi="Palatino Linotype" w:cs="Arial"/>
          <w:b/>
          <w:bCs/>
          <w:i/>
          <w:iCs/>
          <w:lang w:val="es-ES_tradnl"/>
        </w:rPr>
        <w:t xml:space="preserve">“7.7ma Ordinaria 02.10.2020.pdf” </w:t>
      </w:r>
      <w:r w:rsidRPr="000B19C8">
        <w:rPr>
          <w:rFonts w:ascii="Palatino Linotype" w:eastAsiaTheme="minorEastAsia" w:hAnsi="Palatino Linotype" w:cs="Arial"/>
          <w:lang w:val="es-ES_tradnl"/>
        </w:rPr>
        <w:t xml:space="preserve">*, los cuales si bien hacen referencia al recurso materia del presente asunto, de su contenido se advierte que se encuentra relacionado con diversa solicitud; </w:t>
      </w:r>
      <w:r w:rsidRPr="00AA16AD">
        <w:rPr>
          <w:rFonts w:ascii="Palatino Linotype" w:eastAsiaTheme="minorEastAsia" w:hAnsi="Palatino Linotype" w:cs="Arial"/>
          <w:lang w:val="es-ES_tradnl"/>
        </w:rPr>
        <w:t>motivo por el cual no fue puesto a disposición de la particular, en razón de que no se actualizó el supuesto de la fracción III del artículo 185 de la Ley de Transparencia y Acceso a la Información Pública del Estado de México y Municipios.</w:t>
      </w:r>
    </w:p>
    <w:p w14:paraId="3C1C48EE" w14:textId="77777777" w:rsidR="001A299F" w:rsidRDefault="001A299F" w:rsidP="001A299F">
      <w:pPr>
        <w:spacing w:line="360" w:lineRule="auto"/>
        <w:jc w:val="both"/>
        <w:rPr>
          <w:rFonts w:ascii="Palatino Linotype" w:eastAsiaTheme="minorEastAsia" w:hAnsi="Palatino Linotype" w:cs="Arial"/>
          <w:lang w:val="es-ES_tradnl"/>
        </w:rPr>
      </w:pPr>
    </w:p>
    <w:p w14:paraId="2426966C" w14:textId="1894FDB6" w:rsidR="001A299F" w:rsidRDefault="001A299F" w:rsidP="001A299F">
      <w:pPr>
        <w:spacing w:line="360" w:lineRule="auto"/>
        <w:jc w:val="both"/>
        <w:rPr>
          <w:rFonts w:ascii="Palatino Linotype" w:eastAsiaTheme="minorEastAsia" w:hAnsi="Palatino Linotype" w:cs="Arial"/>
          <w:lang w:val="es-ES_tradnl"/>
        </w:rPr>
      </w:pPr>
      <w:r w:rsidRPr="00AA16AD">
        <w:rPr>
          <w:rFonts w:ascii="Palatino Linotype" w:eastAsiaTheme="minorEastAsia" w:hAnsi="Palatino Linotype" w:cs="Arial"/>
          <w:lang w:val="es-ES_tradnl"/>
        </w:rPr>
        <w:t>Por su parte, el particular no realizó manifestación alguna, ni presentó pruebas o alegatos.</w:t>
      </w:r>
    </w:p>
    <w:p w14:paraId="26D5F7F3" w14:textId="77777777" w:rsidR="00896A30" w:rsidRDefault="00896A30" w:rsidP="001A299F">
      <w:pPr>
        <w:spacing w:line="360" w:lineRule="auto"/>
        <w:jc w:val="both"/>
        <w:rPr>
          <w:rFonts w:ascii="Palatino Linotype" w:eastAsiaTheme="minorEastAsia" w:hAnsi="Palatino Linotype" w:cs="Arial"/>
          <w:lang w:val="es-ES_tradnl"/>
        </w:rPr>
      </w:pPr>
    </w:p>
    <w:p w14:paraId="5443C6A2" w14:textId="70B11B9B" w:rsidR="001A299F" w:rsidRPr="0002628A" w:rsidRDefault="003E0AA1" w:rsidP="00896A30">
      <w:pPr>
        <w:pStyle w:val="Piedepgina"/>
        <w:spacing w:line="360" w:lineRule="auto"/>
        <w:jc w:val="both"/>
        <w:rPr>
          <w:rFonts w:ascii="Palatino Linotype" w:hAnsi="Palatino Linotype" w:cs="Arial"/>
          <w:color w:val="000000" w:themeColor="text1"/>
        </w:rPr>
      </w:pPr>
      <w:r>
        <w:rPr>
          <w:rFonts w:ascii="Palatino Linotype" w:hAnsi="Palatino Linotype"/>
          <w:b/>
          <w:sz w:val="28"/>
          <w:szCs w:val="28"/>
        </w:rPr>
        <w:lastRenderedPageBreak/>
        <w:t>IX</w:t>
      </w:r>
      <w:r w:rsidR="001A299F" w:rsidRPr="00645E2C">
        <w:rPr>
          <w:rFonts w:ascii="Palatino Linotype" w:hAnsi="Palatino Linotype"/>
          <w:b/>
          <w:sz w:val="28"/>
          <w:szCs w:val="28"/>
        </w:rPr>
        <w:t xml:space="preserve">. </w:t>
      </w:r>
      <w:r w:rsidR="001A299F" w:rsidRPr="0002628A">
        <w:rPr>
          <w:rFonts w:ascii="Palatino Linotype" w:hAnsi="Palatino Linotype" w:cs="Arial"/>
          <w:color w:val="000000" w:themeColor="text1"/>
        </w:rPr>
        <w:t xml:space="preserve">Una vez analizado el estado procesal que guarda </w:t>
      </w:r>
      <w:r w:rsidR="001A299F">
        <w:rPr>
          <w:rFonts w:ascii="Palatino Linotype" w:hAnsi="Palatino Linotype" w:cs="Arial"/>
          <w:color w:val="000000" w:themeColor="text1"/>
        </w:rPr>
        <w:t>e</w:t>
      </w:r>
      <w:r w:rsidR="001A299F" w:rsidRPr="0002628A">
        <w:rPr>
          <w:rFonts w:ascii="Palatino Linotype" w:hAnsi="Palatino Linotype" w:cs="Arial"/>
          <w:color w:val="000000" w:themeColor="text1"/>
        </w:rPr>
        <w:t>l expediente,</w:t>
      </w:r>
      <w:r w:rsidR="001A299F" w:rsidRPr="0008269A">
        <w:rPr>
          <w:rFonts w:ascii="Palatino Linotype" w:hAnsi="Palatino Linotype"/>
        </w:rPr>
        <w:t xml:space="preserve"> </w:t>
      </w:r>
      <w:r w:rsidR="001A299F">
        <w:rPr>
          <w:rFonts w:ascii="Palatino Linotype" w:hAnsi="Palatino Linotype"/>
        </w:rPr>
        <w:t>e</w:t>
      </w:r>
      <w:r w:rsidR="001A299F" w:rsidRPr="00645E2C">
        <w:rPr>
          <w:rFonts w:ascii="Palatino Linotype" w:hAnsi="Palatino Linotype"/>
        </w:rPr>
        <w:t xml:space="preserve">n fecha </w:t>
      </w:r>
      <w:r w:rsidR="001A299F">
        <w:rPr>
          <w:rFonts w:ascii="Palatino Linotype" w:hAnsi="Palatino Linotype"/>
          <w:b/>
          <w:bCs/>
        </w:rPr>
        <w:t>cuatro de noviembre</w:t>
      </w:r>
      <w:r w:rsidR="001A299F" w:rsidRPr="00645E2C">
        <w:rPr>
          <w:rFonts w:ascii="Palatino Linotype" w:hAnsi="Palatino Linotype"/>
        </w:rPr>
        <w:t xml:space="preserve"> </w:t>
      </w:r>
      <w:r w:rsidR="001A299F" w:rsidRPr="0008435E">
        <w:rPr>
          <w:rFonts w:ascii="Palatino Linotype" w:hAnsi="Palatino Linotype"/>
          <w:b/>
          <w:bCs/>
        </w:rPr>
        <w:t>de dos mil veinte</w:t>
      </w:r>
      <w:r w:rsidR="001A299F" w:rsidRPr="00645E2C">
        <w:rPr>
          <w:rFonts w:ascii="Palatino Linotype" w:hAnsi="Palatino Linotype"/>
        </w:rPr>
        <w:t xml:space="preserve">, </w:t>
      </w:r>
      <w:r w:rsidR="002811FA">
        <w:rPr>
          <w:rFonts w:ascii="Palatino Linotype" w:hAnsi="Palatino Linotype" w:cs="Arial"/>
          <w:color w:val="000000" w:themeColor="text1"/>
        </w:rPr>
        <w:t>se</w:t>
      </w:r>
      <w:r w:rsidR="001A299F" w:rsidRPr="0002628A">
        <w:rPr>
          <w:rFonts w:ascii="Palatino Linotype" w:hAnsi="Palatino Linotype" w:cs="Arial"/>
          <w:b/>
          <w:color w:val="000000" w:themeColor="text1"/>
        </w:rPr>
        <w:t xml:space="preserve"> </w:t>
      </w:r>
      <w:r w:rsidR="001A299F" w:rsidRPr="0002628A">
        <w:rPr>
          <w:rFonts w:ascii="Palatino Linotype" w:hAnsi="Palatino Linotype" w:cs="Arial"/>
          <w:color w:val="000000" w:themeColor="text1"/>
        </w:rPr>
        <w:t xml:space="preserve">acordó el cierre de instrucción en </w:t>
      </w:r>
      <w:r w:rsidR="001A299F">
        <w:rPr>
          <w:rFonts w:ascii="Palatino Linotype" w:hAnsi="Palatino Linotype" w:cs="Arial"/>
          <w:color w:val="000000" w:themeColor="text1"/>
        </w:rPr>
        <w:t>e</w:t>
      </w:r>
      <w:r w:rsidR="001A299F" w:rsidRPr="0002628A">
        <w:rPr>
          <w:rFonts w:ascii="Palatino Linotype" w:hAnsi="Palatino Linotype" w:cs="Arial"/>
          <w:color w:val="000000" w:themeColor="text1"/>
        </w:rPr>
        <w:t>l recurso de revisión; así como, la remisión del expediente, a efecto de ser resuelto, de conformidad con lo establecido en el artículo 185 fracciones VI y VIII de la Ley de Transparencia y Acceso a la Información Pública del Estado de México y Municipios.</w:t>
      </w:r>
    </w:p>
    <w:p w14:paraId="68C6F4CF" w14:textId="557D06E3" w:rsidR="001A299F" w:rsidRPr="00645E2C" w:rsidRDefault="001A299F" w:rsidP="001A299F">
      <w:pPr>
        <w:spacing w:line="360" w:lineRule="auto"/>
        <w:ind w:right="50"/>
        <w:jc w:val="both"/>
        <w:rPr>
          <w:rFonts w:ascii="Palatino Linotype" w:hAnsi="Palatino Linotype" w:cs="Arial"/>
        </w:rPr>
      </w:pPr>
      <w:r w:rsidRPr="00645E2C">
        <w:rPr>
          <w:rFonts w:ascii="Palatino Linotype" w:hAnsi="Palatino Linotype" w:cs="Arial"/>
          <w:b/>
          <w:sz w:val="28"/>
        </w:rPr>
        <w:t>X.</w:t>
      </w:r>
      <w:r w:rsidRPr="00645E2C">
        <w:rPr>
          <w:rFonts w:ascii="Palatino Linotype" w:hAnsi="Palatino Linotype" w:cs="Arial"/>
          <w:b/>
        </w:rPr>
        <w:t xml:space="preserve"> </w:t>
      </w:r>
      <w:r w:rsidRPr="00645E2C">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645E2C">
        <w:rPr>
          <w:rFonts w:ascii="Palatino Linotype" w:hAnsi="Palatino Linotype" w:cs="Arial"/>
          <w:b/>
        </w:rPr>
        <w:t>EVA ABAID YAPUR</w:t>
      </w:r>
      <w:r w:rsidRPr="00645E2C">
        <w:rPr>
          <w:rFonts w:ascii="Palatino Linotype" w:hAnsi="Palatino Linotype" w:cs="Arial"/>
        </w:rPr>
        <w:t xml:space="preserve"> formule y presente al Pleno el proyecto de resolución correspondiente; y</w:t>
      </w:r>
    </w:p>
    <w:p w14:paraId="4F072B9B" w14:textId="77777777" w:rsidR="00B06BC7" w:rsidRPr="00C5057E" w:rsidRDefault="00B06BC7" w:rsidP="00B06BC7">
      <w:pPr>
        <w:spacing w:before="100" w:beforeAutospacing="1" w:after="100" w:afterAutospacing="1"/>
        <w:jc w:val="center"/>
        <w:rPr>
          <w:rFonts w:ascii="Palatino Linotype" w:hAnsi="Palatino Linotype"/>
          <w:b/>
          <w:bCs/>
          <w:spacing w:val="40"/>
          <w:sz w:val="28"/>
        </w:rPr>
      </w:pPr>
      <w:r w:rsidRPr="00C5057E">
        <w:rPr>
          <w:rFonts w:ascii="Palatino Linotype" w:hAnsi="Palatino Linotype"/>
          <w:b/>
          <w:bCs/>
          <w:spacing w:val="40"/>
          <w:sz w:val="28"/>
        </w:rPr>
        <w:t>CONSIDERANDO</w:t>
      </w:r>
    </w:p>
    <w:p w14:paraId="6120B026" w14:textId="77777777" w:rsidR="00B06BC7" w:rsidRPr="00C5057E" w:rsidRDefault="00B06BC7" w:rsidP="00B06BC7">
      <w:pPr>
        <w:spacing w:before="100" w:beforeAutospacing="1" w:after="100" w:afterAutospacing="1" w:line="360" w:lineRule="auto"/>
        <w:ind w:right="50"/>
        <w:jc w:val="both"/>
        <w:rPr>
          <w:rFonts w:ascii="Palatino Linotype" w:hAnsi="Palatino Linotype" w:cs="Arial"/>
        </w:rPr>
      </w:pPr>
      <w:r w:rsidRPr="00C5057E">
        <w:rPr>
          <w:rFonts w:ascii="Palatino Linotype" w:hAnsi="Palatino Linotype"/>
          <w:b/>
          <w:sz w:val="28"/>
          <w:szCs w:val="28"/>
        </w:rPr>
        <w:t>PRIMERO</w:t>
      </w:r>
      <w:r w:rsidRPr="00C5057E">
        <w:rPr>
          <w:rFonts w:ascii="Palatino Linotype" w:hAnsi="Palatino Linotype"/>
          <w:b/>
        </w:rPr>
        <w:t>.</w:t>
      </w:r>
      <w:r w:rsidRPr="00C5057E">
        <w:rPr>
          <w:rFonts w:ascii="Palatino Linotype" w:hAnsi="Palatino Linotype"/>
        </w:rPr>
        <w:t xml:space="preserve"> </w:t>
      </w:r>
      <w:r w:rsidRPr="00C5057E">
        <w:rPr>
          <w:rFonts w:ascii="Palatino Linotype" w:hAnsi="Palatino Linotype"/>
          <w:b/>
        </w:rPr>
        <w:t>Competencia</w:t>
      </w:r>
      <w:r w:rsidRPr="00C5057E">
        <w:rPr>
          <w:rFonts w:ascii="Palatino Linotype" w:hAnsi="Palatino Linotype"/>
        </w:rPr>
        <w:t>.</w:t>
      </w:r>
      <w:r w:rsidRPr="00C5057E">
        <w:rPr>
          <w:rFonts w:ascii="Palatino Linotype" w:hAnsi="Palatino Linotype"/>
          <w:b/>
        </w:rPr>
        <w:t xml:space="preserve"> </w:t>
      </w:r>
      <w:r w:rsidRPr="00C5057E">
        <w:rPr>
          <w:rFonts w:ascii="Palatino Linotype" w:hAnsi="Palatino Linotype"/>
        </w:rPr>
        <w:t xml:space="preserve">Este Instituto de </w:t>
      </w:r>
      <w:r w:rsidRPr="00C5057E">
        <w:rPr>
          <w:rFonts w:ascii="Palatino Linotype" w:hAnsi="Palatino Linotype" w:cs="Arial"/>
        </w:rPr>
        <w:t>Transparencia</w:t>
      </w:r>
      <w:r w:rsidRPr="00C5057E">
        <w:rPr>
          <w:rFonts w:ascii="Palatino Linotype" w:hAnsi="Palatino Linotype"/>
        </w:rPr>
        <w:t xml:space="preserve">,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w:t>
      </w:r>
      <w:r w:rsidRPr="00C5057E">
        <w:rPr>
          <w:rFonts w:ascii="Palatino Linotype" w:eastAsia="Calibri" w:hAnsi="Palatino Linotype" w:cs="Arial"/>
        </w:rPr>
        <w:t xml:space="preserve">párrafos </w:t>
      </w:r>
      <w:r w:rsidRPr="00C5057E">
        <w:rPr>
          <w:rFonts w:ascii="Palatino Linotype" w:hAnsi="Palatino Linotype"/>
        </w:rPr>
        <w:t xml:space="preserve">vigésimo </w:t>
      </w:r>
      <w:r w:rsidRPr="00C5057E">
        <w:rPr>
          <w:rFonts w:ascii="Palatino Linotype" w:hAnsi="Palatino Linotype" w:cs="Arial"/>
        </w:rPr>
        <w:t>segundo,</w:t>
      </w:r>
      <w:r w:rsidRPr="00C5057E">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5057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128FA6" w14:textId="7909E99A" w:rsidR="00B06BC7" w:rsidRPr="00C5057E" w:rsidRDefault="00B06BC7" w:rsidP="00B06BC7">
      <w:pPr>
        <w:spacing w:before="100" w:beforeAutospacing="1" w:after="100" w:afterAutospacing="1" w:line="360" w:lineRule="auto"/>
        <w:jc w:val="both"/>
        <w:rPr>
          <w:rFonts w:ascii="Palatino Linotype" w:hAnsi="Palatino Linotype" w:cs="Arial"/>
          <w:b/>
          <w:snapToGrid w:val="0"/>
        </w:rPr>
      </w:pPr>
      <w:r w:rsidRPr="00C5057E">
        <w:rPr>
          <w:rFonts w:ascii="Palatino Linotype" w:hAnsi="Palatino Linotype" w:cs="Arial"/>
          <w:b/>
          <w:sz w:val="28"/>
        </w:rPr>
        <w:lastRenderedPageBreak/>
        <w:t>SEGUNDO</w:t>
      </w:r>
      <w:r w:rsidRPr="00C5057E">
        <w:rPr>
          <w:rFonts w:ascii="Palatino Linotype" w:hAnsi="Palatino Linotype" w:cs="Arial"/>
          <w:b/>
        </w:rPr>
        <w:t xml:space="preserve">. Interés. </w:t>
      </w:r>
      <w:r>
        <w:rPr>
          <w:rFonts w:ascii="Palatino Linotype" w:hAnsi="Palatino Linotype" w:cs="Arial"/>
          <w:bCs/>
        </w:rPr>
        <w:t xml:space="preserve">El recurso de </w:t>
      </w:r>
      <w:r w:rsidRPr="00C5057E">
        <w:rPr>
          <w:rFonts w:ascii="Palatino Linotype" w:hAnsi="Palatino Linotype" w:cs="Arial"/>
          <w:bCs/>
        </w:rPr>
        <w:t xml:space="preserve">revisión fue interpuesto por parte legítima, en atención a que se presentó por </w:t>
      </w:r>
      <w:r w:rsidRPr="00C5057E">
        <w:rPr>
          <w:rFonts w:ascii="Palatino Linotype" w:hAnsi="Palatino Linotype" w:cs="Arial"/>
          <w:b/>
          <w:bCs/>
        </w:rPr>
        <w:t>L</w:t>
      </w:r>
      <w:r w:rsidR="001A299F">
        <w:rPr>
          <w:rFonts w:ascii="Palatino Linotype" w:hAnsi="Palatino Linotype" w:cs="Arial"/>
          <w:b/>
          <w:bCs/>
        </w:rPr>
        <w:t>A</w:t>
      </w:r>
      <w:r w:rsidRPr="00C5057E">
        <w:rPr>
          <w:rFonts w:ascii="Palatino Linotype" w:hAnsi="Palatino Linotype" w:cs="Arial"/>
          <w:b/>
          <w:bCs/>
        </w:rPr>
        <w:t xml:space="preserve"> RECURRENTE,</w:t>
      </w:r>
      <w:r w:rsidRPr="00C5057E">
        <w:rPr>
          <w:rFonts w:ascii="Palatino Linotype" w:hAnsi="Palatino Linotype" w:cs="Arial"/>
          <w:bCs/>
        </w:rPr>
        <w:t xml:space="preserve"> quien es l</w:t>
      </w:r>
      <w:r>
        <w:rPr>
          <w:rFonts w:ascii="Palatino Linotype" w:hAnsi="Palatino Linotype" w:cs="Arial"/>
          <w:bCs/>
        </w:rPr>
        <w:t xml:space="preserve">a misma persona que formuló la </w:t>
      </w:r>
      <w:r w:rsidRPr="00C5057E">
        <w:rPr>
          <w:rFonts w:ascii="Palatino Linotype" w:hAnsi="Palatino Linotype" w:cs="Arial"/>
          <w:bCs/>
        </w:rPr>
        <w:t>solicitud de información pública.</w:t>
      </w:r>
    </w:p>
    <w:p w14:paraId="691DB815" w14:textId="2DCC67DC" w:rsidR="00B06BC7" w:rsidRPr="00C5057E" w:rsidRDefault="00B06BC7" w:rsidP="00B06BC7">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C5057E">
        <w:rPr>
          <w:rFonts w:ascii="Palatino Linotype" w:hAnsi="Palatino Linotype" w:cs="Arial"/>
          <w:b/>
          <w:sz w:val="28"/>
          <w:szCs w:val="28"/>
        </w:rPr>
        <w:t>TERCERO. O</w:t>
      </w:r>
      <w:r w:rsidRPr="00C5057E">
        <w:rPr>
          <w:rFonts w:ascii="Palatino Linotype" w:hAnsi="Palatino Linotype" w:cs="Arial"/>
          <w:b/>
        </w:rPr>
        <w:t xml:space="preserve">portunidad. </w:t>
      </w:r>
      <w:r>
        <w:rPr>
          <w:rFonts w:ascii="Palatino Linotype" w:hAnsi="Palatino Linotype" w:cs="Arial"/>
        </w:rPr>
        <w:t xml:space="preserve">El recurso de </w:t>
      </w:r>
      <w:r w:rsidRPr="00C5057E">
        <w:rPr>
          <w:rFonts w:ascii="Palatino Linotype" w:hAnsi="Palatino Linotype" w:cs="Arial"/>
        </w:rPr>
        <w:t xml:space="preserve">revisión fue interpuesto dentro del plazo de quince días hábiles contados a partir del día siguiente al en que </w:t>
      </w:r>
      <w:r w:rsidR="001A299F">
        <w:rPr>
          <w:rFonts w:ascii="Palatino Linotype" w:hAnsi="Palatino Linotype" w:cs="Arial"/>
          <w:b/>
        </w:rPr>
        <w:t>LA</w:t>
      </w:r>
      <w:r w:rsidRPr="00C5057E">
        <w:rPr>
          <w:rFonts w:ascii="Palatino Linotype" w:hAnsi="Palatino Linotype" w:cs="Arial"/>
          <w:b/>
        </w:rPr>
        <w:t xml:space="preserve"> RECURRENTE </w:t>
      </w:r>
      <w:r w:rsidRPr="00C5057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342BE33C" w14:textId="77777777" w:rsidR="00B06BC7" w:rsidRPr="00C5057E" w:rsidRDefault="00B06BC7" w:rsidP="00B06BC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12B933F7" w14:textId="77777777" w:rsidR="00B06BC7" w:rsidRPr="00C5057E"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b/>
          <w:i/>
          <w:sz w:val="22"/>
          <w:szCs w:val="22"/>
          <w:lang w:val="es-ES_tradnl"/>
        </w:rPr>
        <w:t>“Artículo 178.</w:t>
      </w:r>
      <w:r w:rsidRPr="00C5057E">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0B42ED" w14:textId="77777777" w:rsidR="00B06BC7" w:rsidRPr="00C5057E"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1360C7" w14:textId="77777777" w:rsidR="00B06BC7" w:rsidRPr="00C5057E"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5057E">
        <w:rPr>
          <w:rFonts w:ascii="Palatino Linotype" w:eastAsiaTheme="minorEastAsia" w:hAnsi="Palatino Linotype" w:cs="Arial"/>
          <w:b/>
          <w:i/>
          <w:sz w:val="22"/>
          <w:szCs w:val="22"/>
          <w:lang w:val="es-ES_tradnl"/>
        </w:rPr>
        <w:t>”</w:t>
      </w:r>
    </w:p>
    <w:p w14:paraId="57749499" w14:textId="77777777" w:rsidR="00B06BC7" w:rsidRPr="00C5057E" w:rsidRDefault="00B06BC7" w:rsidP="00B06BC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2E759769" w14:textId="4D66F5D3" w:rsidR="00B06BC7" w:rsidRPr="006F0A02" w:rsidRDefault="00B06BC7" w:rsidP="00B06BC7">
      <w:pPr>
        <w:spacing w:before="100" w:beforeAutospacing="1" w:after="100" w:afterAutospacing="1" w:line="360" w:lineRule="auto"/>
        <w:jc w:val="both"/>
        <w:rPr>
          <w:rFonts w:ascii="Palatino Linotype" w:hAnsi="Palatino Linotype" w:cs="Arial"/>
          <w:color w:val="000000" w:themeColor="text1"/>
        </w:rPr>
      </w:pPr>
      <w:r w:rsidRPr="006F0A02">
        <w:rPr>
          <w:rFonts w:ascii="Palatino Linotype" w:eastAsiaTheme="minorEastAsia" w:hAnsi="Palatino Linotype" w:cs="Arial"/>
          <w:color w:val="000000" w:themeColor="text1"/>
          <w:lang w:val="es-ES_tradnl"/>
        </w:rPr>
        <w:t>En efecto, atendiendo a que</w:t>
      </w:r>
      <w:r>
        <w:rPr>
          <w:rFonts w:ascii="Palatino Linotype" w:eastAsiaTheme="minorEastAsia" w:hAnsi="Palatino Linotype" w:cs="Arial"/>
          <w:color w:val="000000" w:themeColor="text1"/>
          <w:lang w:val="es-ES_tradnl"/>
        </w:rPr>
        <w:t xml:space="preserve"> </w:t>
      </w:r>
      <w:r w:rsidRPr="006F0A02">
        <w:rPr>
          <w:rFonts w:ascii="Palatino Linotype" w:eastAsiaTheme="minorEastAsia" w:hAnsi="Palatino Linotype" w:cs="Arial"/>
          <w:b/>
          <w:color w:val="000000" w:themeColor="text1"/>
          <w:lang w:val="es-ES_tradnl"/>
        </w:rPr>
        <w:t>EL SUJETO OBLIGADO</w:t>
      </w:r>
      <w:r w:rsidRPr="006F0A02">
        <w:rPr>
          <w:rFonts w:ascii="Palatino Linotype" w:eastAsiaTheme="minorEastAsia" w:hAnsi="Palatino Linotype" w:cs="Arial"/>
          <w:color w:val="000000" w:themeColor="text1"/>
          <w:lang w:val="es-ES_tradnl"/>
        </w:rPr>
        <w:t xml:space="preserve"> notificó la respuesta a la solicitud de información pública el </w:t>
      </w:r>
      <w:r w:rsidR="001A299F">
        <w:rPr>
          <w:rFonts w:ascii="Palatino Linotype" w:eastAsiaTheme="minorEastAsia" w:hAnsi="Palatino Linotype" w:cs="Arial"/>
          <w:b/>
          <w:color w:val="000000" w:themeColor="text1"/>
          <w:lang w:val="es-ES_tradnl"/>
        </w:rPr>
        <w:t>veintidós de septiembre</w:t>
      </w:r>
      <w:r w:rsidR="00D6753C">
        <w:rPr>
          <w:rFonts w:ascii="Palatino Linotype" w:eastAsiaTheme="minorEastAsia" w:hAnsi="Palatino Linotype" w:cs="Arial"/>
          <w:b/>
          <w:color w:val="000000" w:themeColor="text1"/>
          <w:lang w:val="es-ES_tradnl"/>
        </w:rPr>
        <w:t xml:space="preserve"> </w:t>
      </w:r>
      <w:r w:rsidRPr="006F0A02">
        <w:rPr>
          <w:rFonts w:ascii="Palatino Linotype" w:eastAsiaTheme="minorEastAsia" w:hAnsi="Palatino Linotype" w:cs="Arial"/>
          <w:b/>
          <w:color w:val="000000" w:themeColor="text1"/>
          <w:lang w:val="es-ES_tradnl"/>
        </w:rPr>
        <w:t xml:space="preserve">de dos mil veinte; </w:t>
      </w:r>
      <w:r>
        <w:rPr>
          <w:rFonts w:ascii="Palatino Linotype" w:hAnsi="Palatino Linotype" w:cs="Arial"/>
          <w:color w:val="000000" w:themeColor="text1"/>
        </w:rPr>
        <w:t>en</w:t>
      </w:r>
      <w:r w:rsidRPr="006F0A02">
        <w:rPr>
          <w:rFonts w:ascii="Palatino Linotype" w:hAnsi="Palatino Linotype" w:cs="Arial"/>
          <w:color w:val="000000" w:themeColor="text1"/>
        </w:rPr>
        <w:t xml:space="preserve"> consecuencia, el plazo de quince días hábiles que el artículo 178 de la ley de la materia otorga a</w:t>
      </w:r>
      <w:r w:rsidR="001A299F">
        <w:rPr>
          <w:rFonts w:ascii="Palatino Linotype" w:hAnsi="Palatino Linotype" w:cs="Arial"/>
          <w:color w:val="000000" w:themeColor="text1"/>
        </w:rPr>
        <w:t xml:space="preserve"> </w:t>
      </w:r>
      <w:r w:rsidRPr="006F0A02">
        <w:rPr>
          <w:rFonts w:ascii="Palatino Linotype" w:hAnsi="Palatino Linotype" w:cs="Arial"/>
          <w:color w:val="000000" w:themeColor="text1"/>
        </w:rPr>
        <w:t>l</w:t>
      </w:r>
      <w:r w:rsidR="001A299F">
        <w:rPr>
          <w:rFonts w:ascii="Palatino Linotype" w:hAnsi="Palatino Linotype" w:cs="Arial"/>
          <w:color w:val="000000" w:themeColor="text1"/>
        </w:rPr>
        <w:t>a</w:t>
      </w:r>
      <w:r w:rsidRPr="006F0A02">
        <w:rPr>
          <w:rFonts w:ascii="Palatino Linotype" w:hAnsi="Palatino Linotype" w:cs="Arial"/>
          <w:b/>
          <w:color w:val="000000" w:themeColor="text1"/>
        </w:rPr>
        <w:t xml:space="preserve"> RECURRENTE</w:t>
      </w:r>
      <w:r w:rsidRPr="006F0A02">
        <w:rPr>
          <w:rFonts w:ascii="Palatino Linotype" w:hAnsi="Palatino Linotype" w:cs="Arial"/>
          <w:color w:val="000000" w:themeColor="text1"/>
        </w:rPr>
        <w:t xml:space="preserve"> para presentar el recurso de revisión, transcurrió del</w:t>
      </w:r>
      <w:r w:rsidR="00D6753C">
        <w:rPr>
          <w:rFonts w:ascii="Palatino Linotype" w:hAnsi="Palatino Linotype" w:cs="Arial"/>
          <w:b/>
          <w:color w:val="000000" w:themeColor="text1"/>
        </w:rPr>
        <w:t xml:space="preserve"> </w:t>
      </w:r>
      <w:r w:rsidR="001A299F">
        <w:rPr>
          <w:rFonts w:ascii="Palatino Linotype" w:hAnsi="Palatino Linotype" w:cs="Arial"/>
          <w:b/>
          <w:color w:val="000000" w:themeColor="text1"/>
        </w:rPr>
        <w:t xml:space="preserve">veintitrés </w:t>
      </w:r>
      <w:r w:rsidR="00D6753C">
        <w:rPr>
          <w:rFonts w:ascii="Palatino Linotype" w:hAnsi="Palatino Linotype" w:cs="Arial"/>
          <w:b/>
          <w:color w:val="000000" w:themeColor="text1"/>
        </w:rPr>
        <w:t xml:space="preserve">al </w:t>
      </w:r>
      <w:r w:rsidR="001A299F">
        <w:rPr>
          <w:rFonts w:ascii="Palatino Linotype" w:hAnsi="Palatino Linotype" w:cs="Arial"/>
          <w:b/>
          <w:color w:val="000000" w:themeColor="text1"/>
        </w:rPr>
        <w:t>trece de octubre</w:t>
      </w:r>
      <w:r w:rsidR="00D6753C">
        <w:rPr>
          <w:rFonts w:ascii="Palatino Linotype" w:hAnsi="Palatino Linotype" w:cs="Arial"/>
          <w:b/>
          <w:color w:val="000000" w:themeColor="text1"/>
        </w:rPr>
        <w:t xml:space="preserve"> </w:t>
      </w:r>
      <w:r w:rsidRPr="006F0A02">
        <w:rPr>
          <w:rFonts w:ascii="Palatino Linotype" w:hAnsi="Palatino Linotype" w:cs="Arial"/>
          <w:b/>
          <w:color w:val="000000" w:themeColor="text1"/>
        </w:rPr>
        <w:t>de dos mil veinte</w:t>
      </w:r>
      <w:r w:rsidRPr="006F0A02">
        <w:rPr>
          <w:rFonts w:ascii="Palatino Linotype" w:hAnsi="Palatino Linotype" w:cs="Arial"/>
          <w:color w:val="000000" w:themeColor="text1"/>
        </w:rPr>
        <w:t xml:space="preserve">, sin contemplar en el cómputo los días </w:t>
      </w:r>
      <w:r w:rsidR="001A299F">
        <w:rPr>
          <w:rFonts w:ascii="Palatino Linotype" w:hAnsi="Palatino Linotype" w:cs="Arial"/>
          <w:color w:val="000000" w:themeColor="text1"/>
        </w:rPr>
        <w:t>veintiséis, veintisiete de septiembre;</w:t>
      </w:r>
      <w:r w:rsidR="00D6753C">
        <w:rPr>
          <w:rFonts w:ascii="Palatino Linotype" w:hAnsi="Palatino Linotype" w:cs="Arial"/>
          <w:color w:val="000000" w:themeColor="text1"/>
        </w:rPr>
        <w:t xml:space="preserve"> </w:t>
      </w:r>
      <w:r w:rsidR="001A299F">
        <w:rPr>
          <w:rFonts w:ascii="Palatino Linotype" w:hAnsi="Palatino Linotype" w:cs="Arial"/>
          <w:color w:val="000000" w:themeColor="text1"/>
        </w:rPr>
        <w:t>tres, cuatro, diez y once</w:t>
      </w:r>
      <w:r w:rsidR="00D6753C">
        <w:rPr>
          <w:rFonts w:ascii="Palatino Linotype" w:hAnsi="Palatino Linotype" w:cs="Arial"/>
          <w:color w:val="000000" w:themeColor="text1"/>
        </w:rPr>
        <w:t xml:space="preserve"> de </w:t>
      </w:r>
      <w:r w:rsidR="001A299F">
        <w:rPr>
          <w:rFonts w:ascii="Palatino Linotype" w:hAnsi="Palatino Linotype" w:cs="Arial"/>
          <w:color w:val="000000" w:themeColor="text1"/>
        </w:rPr>
        <w:t xml:space="preserve">octubre </w:t>
      </w:r>
      <w:r w:rsidR="00D6753C">
        <w:rPr>
          <w:rFonts w:ascii="Palatino Linotype" w:hAnsi="Palatino Linotype" w:cs="Arial"/>
          <w:color w:val="000000" w:themeColor="text1"/>
        </w:rPr>
        <w:t xml:space="preserve">del </w:t>
      </w:r>
      <w:r w:rsidR="00D6753C">
        <w:rPr>
          <w:rFonts w:ascii="Palatino Linotype" w:hAnsi="Palatino Linotype" w:cs="Arial"/>
          <w:color w:val="000000" w:themeColor="text1"/>
        </w:rPr>
        <w:lastRenderedPageBreak/>
        <w:t xml:space="preserve">presente año, </w:t>
      </w:r>
      <w:r w:rsidRPr="006F0A02">
        <w:rPr>
          <w:rFonts w:ascii="Palatino Linotype" w:hAnsi="Palatino Linotype" w:cs="Arial"/>
          <w:color w:val="000000" w:themeColor="text1"/>
        </w:rPr>
        <w:t>por corresponder a sábados y domingos, considerados como días inhábiles, en términos del artículo 3, fracción X de la Ley de Transparencia y Ac</w:t>
      </w:r>
      <w:r w:rsidR="00D6753C">
        <w:rPr>
          <w:rFonts w:ascii="Palatino Linotype" w:hAnsi="Palatino Linotype" w:cs="Arial"/>
          <w:color w:val="000000" w:themeColor="text1"/>
        </w:rPr>
        <w:t xml:space="preserve">ceso a la Información Pública así como de conformidad con </w:t>
      </w:r>
      <w:r w:rsidRPr="006F0A02">
        <w:rPr>
          <w:rFonts w:ascii="Palatino Linotype" w:hAnsi="Palatino Linotype"/>
          <w:color w:val="000000" w:themeColor="text1"/>
        </w:rPr>
        <w:t xml:space="preserve">el </w:t>
      </w:r>
      <w:r w:rsidRPr="006F0A02">
        <w:rPr>
          <w:rFonts w:ascii="Palatino Linotype" w:hAnsi="Palatino Linotype" w:cs="Arial"/>
          <w:color w:val="000000" w:themeColor="text1"/>
        </w:rPr>
        <w:t>Calendario Oficial en Materia de Transparencia, Acceso a la Información Pública y Protección de Datos Personales del Estado de México y Municipios, publicado en el Periódico Oficial “Gaceta del Gobierno”, el diecinueve de diciembre de dos mil diecinueve</w:t>
      </w:r>
      <w:r w:rsidR="001A299F">
        <w:rPr>
          <w:rFonts w:ascii="Palatino Linotype" w:hAnsi="Palatino Linotype" w:cs="Arial"/>
          <w:color w:val="000000" w:themeColor="text1"/>
        </w:rPr>
        <w:t>.</w:t>
      </w:r>
      <w:r w:rsidRPr="00C5057E">
        <w:rPr>
          <w:rFonts w:ascii="Palatino Linotype" w:hAnsi="Palatino Linotype" w:cs="Arial"/>
          <w:color w:val="000000" w:themeColor="text1"/>
        </w:rPr>
        <w:t xml:space="preserve"> </w:t>
      </w:r>
    </w:p>
    <w:p w14:paraId="703E6B36" w14:textId="01F1724D" w:rsidR="00B06BC7" w:rsidRPr="00C5057E" w:rsidRDefault="00B06BC7" w:rsidP="00B06BC7">
      <w:pPr>
        <w:spacing w:before="100" w:beforeAutospacing="1" w:after="100" w:afterAutospacing="1" w:line="360" w:lineRule="auto"/>
        <w:jc w:val="both"/>
        <w:rPr>
          <w:rFonts w:ascii="Palatino Linotype" w:eastAsiaTheme="minorEastAsia" w:hAnsi="Palatino Linotype" w:cs="Arial"/>
          <w:lang w:val="es-ES_tradnl"/>
        </w:rPr>
      </w:pPr>
      <w:r w:rsidRPr="00C5057E">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w:t>
      </w:r>
      <w:r w:rsidR="001A299F">
        <w:rPr>
          <w:rFonts w:ascii="Palatino Linotype" w:eastAsiaTheme="minorEastAsia" w:hAnsi="Palatino Linotype" w:cs="Arial"/>
          <w:b/>
          <w:lang w:val="es-ES_tradnl"/>
        </w:rPr>
        <w:t>veintisiete de septiembre</w:t>
      </w:r>
      <w:r>
        <w:rPr>
          <w:rFonts w:ascii="Palatino Linotype" w:eastAsiaTheme="minorEastAsia" w:hAnsi="Palatino Linotype" w:cs="Arial"/>
          <w:b/>
          <w:lang w:val="es-ES_tradnl"/>
        </w:rPr>
        <w:t xml:space="preserve"> de</w:t>
      </w:r>
      <w:r w:rsidRPr="00C5057E">
        <w:rPr>
          <w:rFonts w:ascii="Palatino Linotype" w:eastAsiaTheme="minorEastAsia" w:hAnsi="Palatino Linotype" w:cs="Arial"/>
          <w:b/>
          <w:lang w:val="es-ES_tradnl"/>
        </w:rPr>
        <w:t xml:space="preserve"> dos mil veinte,</w:t>
      </w:r>
      <w:r w:rsidRPr="00C5057E">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25A3EF2E" w14:textId="77777777" w:rsidR="00B06BC7" w:rsidRPr="00C5057E" w:rsidRDefault="00B06BC7" w:rsidP="00B06BC7">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C5057E">
        <w:rPr>
          <w:rFonts w:ascii="Palatino Linotype" w:hAnsi="Palatino Linotype" w:cs="Arial"/>
          <w:b/>
          <w:sz w:val="28"/>
          <w:szCs w:val="28"/>
        </w:rPr>
        <w:t xml:space="preserve">CUARTO. </w:t>
      </w:r>
      <w:r w:rsidRPr="00C5057E">
        <w:rPr>
          <w:rFonts w:ascii="Palatino Linotype" w:hAnsi="Palatino Linotype" w:cs="Arial"/>
          <w:b/>
          <w:szCs w:val="28"/>
        </w:rPr>
        <w:t xml:space="preserve">Procedibilidad. </w:t>
      </w:r>
      <w:r w:rsidRPr="00C5057E">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C5057E">
        <w:rPr>
          <w:rFonts w:ascii="Palatino Linotype" w:hAnsi="Palatino Linotype" w:cs="Arial"/>
          <w:b/>
          <w:szCs w:val="28"/>
        </w:rPr>
        <w:t>SAIMEX.</w:t>
      </w:r>
    </w:p>
    <w:p w14:paraId="1D1B753B" w14:textId="26BAB4DD" w:rsidR="00B06BC7" w:rsidRPr="00E23F3E"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4554BF">
        <w:rPr>
          <w:rFonts w:ascii="Palatino Linotype" w:hAnsi="Palatino Linotype"/>
          <w:b/>
          <w:sz w:val="28"/>
          <w:szCs w:val="20"/>
          <w:lang w:val="es-ES_tradnl"/>
        </w:rPr>
        <w:t xml:space="preserve">QUINTO. </w:t>
      </w:r>
      <w:r w:rsidRPr="004554BF">
        <w:rPr>
          <w:rFonts w:ascii="Palatino Linotype" w:hAnsi="Palatino Linotype" w:cs="Arial"/>
          <w:b/>
        </w:rPr>
        <w:t>Análisis de la causal de sobreseimiento.</w:t>
      </w:r>
      <w:r w:rsidRPr="004554BF">
        <w:rPr>
          <w:rFonts w:ascii="Palatino Linotype" w:hAnsi="Palatino Linotype" w:cs="Arial"/>
        </w:rPr>
        <w:t xml:space="preserve"> </w:t>
      </w:r>
      <w:r w:rsidRPr="004554BF">
        <w:rPr>
          <w:rFonts w:ascii="Palatino Linotype" w:hAnsi="Palatino Linotype" w:cs="Arial"/>
          <w:color w:val="000000" w:themeColor="text1"/>
        </w:rPr>
        <w:t xml:space="preserve">A efecto de continuar con el presente estudio y previo análisis de las constancias que integran el expediente electrónico, se advierte que </w:t>
      </w:r>
      <w:r w:rsidR="004554BF">
        <w:rPr>
          <w:rFonts w:ascii="Palatino Linotype" w:hAnsi="Palatino Linotype" w:cs="Arial"/>
          <w:b/>
        </w:rPr>
        <w:t>L</w:t>
      </w:r>
      <w:r w:rsidR="001644A5">
        <w:rPr>
          <w:rFonts w:ascii="Palatino Linotype" w:hAnsi="Palatino Linotype" w:cs="Arial"/>
          <w:b/>
        </w:rPr>
        <w:t>A</w:t>
      </w:r>
      <w:r w:rsidRPr="004554BF">
        <w:rPr>
          <w:rFonts w:ascii="Palatino Linotype" w:hAnsi="Palatino Linotype" w:cs="Arial"/>
          <w:b/>
        </w:rPr>
        <w:t xml:space="preserve"> RECURRENTE</w:t>
      </w:r>
      <w:r w:rsidRPr="004554BF">
        <w:rPr>
          <w:rFonts w:ascii="Palatino Linotype" w:hAnsi="Palatino Linotype"/>
          <w:color w:val="000000"/>
        </w:rPr>
        <w:t xml:space="preserve"> solicitó </w:t>
      </w:r>
      <w:r w:rsidRPr="004554BF">
        <w:rPr>
          <w:rFonts w:ascii="Palatino Linotype" w:hAnsi="Palatino Linotype" w:cs="Arial"/>
        </w:rPr>
        <w:t>del</w:t>
      </w:r>
      <w:r w:rsidRPr="004554BF">
        <w:rPr>
          <w:rFonts w:ascii="Palatino Linotype" w:hAnsi="Palatino Linotype"/>
          <w:color w:val="000000"/>
        </w:rPr>
        <w:t xml:space="preserve"> </w:t>
      </w:r>
      <w:r w:rsidRPr="004554BF">
        <w:rPr>
          <w:rFonts w:ascii="Palatino Linotype" w:hAnsi="Palatino Linotype" w:cs="Arial"/>
          <w:b/>
          <w:color w:val="000000"/>
        </w:rPr>
        <w:t>SUJETO OBLIGADO</w:t>
      </w:r>
      <w:r w:rsidRPr="004554BF">
        <w:rPr>
          <w:rFonts w:ascii="Palatino Linotype" w:hAnsi="Palatino Linotype" w:cs="Arial"/>
        </w:rPr>
        <w:t xml:space="preserve">, </w:t>
      </w:r>
      <w:r w:rsidRPr="004554BF">
        <w:rPr>
          <w:rFonts w:ascii="Palatino Linotype" w:hAnsi="Palatino Linotype"/>
        </w:rPr>
        <w:t xml:space="preserve">vía </w:t>
      </w:r>
      <w:r w:rsidRPr="00E23F3E">
        <w:rPr>
          <w:rFonts w:ascii="Palatino Linotype" w:hAnsi="Palatino Linotype"/>
          <w:b/>
        </w:rPr>
        <w:t>EL</w:t>
      </w:r>
      <w:r w:rsidRPr="00E23F3E">
        <w:rPr>
          <w:rFonts w:ascii="Palatino Linotype" w:hAnsi="Palatino Linotype"/>
        </w:rPr>
        <w:t xml:space="preserve"> </w:t>
      </w:r>
      <w:r w:rsidRPr="00E23F3E">
        <w:rPr>
          <w:rFonts w:ascii="Palatino Linotype" w:hAnsi="Palatino Linotype"/>
          <w:b/>
        </w:rPr>
        <w:t>SAIMEX</w:t>
      </w:r>
      <w:r w:rsidRPr="00E23F3E">
        <w:rPr>
          <w:rFonts w:ascii="Palatino Linotype" w:hAnsi="Palatino Linotype"/>
        </w:rPr>
        <w:t>,</w:t>
      </w:r>
      <w:r w:rsidRPr="00E23F3E">
        <w:rPr>
          <w:rFonts w:ascii="Palatino Linotype" w:hAnsi="Palatino Linotype" w:cs="Arial"/>
        </w:rPr>
        <w:t xml:space="preserve"> la siguiente información:</w:t>
      </w:r>
    </w:p>
    <w:p w14:paraId="0418196E" w14:textId="77777777" w:rsidR="001644A5" w:rsidRPr="00645E2C" w:rsidRDefault="001644A5" w:rsidP="001644A5">
      <w:pPr>
        <w:ind w:left="851" w:right="899"/>
        <w:jc w:val="both"/>
        <w:rPr>
          <w:rFonts w:ascii="Palatino Linotype" w:hAnsi="Palatino Linotype" w:cs="Arial"/>
          <w:i/>
          <w:sz w:val="22"/>
          <w:szCs w:val="22"/>
        </w:rPr>
      </w:pPr>
      <w:r w:rsidRPr="00645E2C">
        <w:rPr>
          <w:rFonts w:ascii="Palatino Linotype" w:hAnsi="Palatino Linotype" w:cs="Arial"/>
          <w:i/>
          <w:sz w:val="22"/>
          <w:szCs w:val="22"/>
        </w:rPr>
        <w:t>“</w:t>
      </w:r>
      <w:r w:rsidRPr="00C3363B">
        <w:rPr>
          <w:rFonts w:ascii="Palatino Linotype" w:hAnsi="Palatino Linotype" w:cs="Arial"/>
          <w:i/>
          <w:sz w:val="22"/>
          <w:szCs w:val="22"/>
        </w:rPr>
        <w:t>Solicito respetuosamente una copia simple de la Tabla de Usos de Suelo Vigente para nuestro municipio.</w:t>
      </w:r>
      <w:r w:rsidRPr="00645E2C">
        <w:rPr>
          <w:rFonts w:ascii="Palatino Linotype" w:hAnsi="Palatino Linotype" w:cs="Arial"/>
          <w:i/>
          <w:sz w:val="22"/>
          <w:szCs w:val="22"/>
        </w:rPr>
        <w:t>” (Sic).</w:t>
      </w:r>
    </w:p>
    <w:p w14:paraId="2B944A35" w14:textId="77777777" w:rsidR="001644A5" w:rsidRPr="00645E2C" w:rsidRDefault="001644A5" w:rsidP="001644A5">
      <w:pPr>
        <w:ind w:left="851" w:right="899"/>
        <w:jc w:val="both"/>
        <w:rPr>
          <w:rFonts w:ascii="Palatino Linotype" w:hAnsi="Palatino Linotype" w:cs="Arial"/>
          <w:i/>
          <w:sz w:val="22"/>
          <w:szCs w:val="22"/>
        </w:rPr>
      </w:pPr>
    </w:p>
    <w:p w14:paraId="102992EA" w14:textId="243F71AB" w:rsidR="00B06BC7"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2811FA">
        <w:rPr>
          <w:rFonts w:ascii="Palatino Linotype" w:hAnsi="Palatino Linotype" w:cs="Arial"/>
        </w:rPr>
        <w:t xml:space="preserve">Se destaca que, </w:t>
      </w:r>
      <w:r w:rsidRPr="002811FA">
        <w:rPr>
          <w:rFonts w:ascii="Palatino Linotype" w:hAnsi="Palatino Linotype" w:cs="Arial"/>
          <w:b/>
        </w:rPr>
        <w:t xml:space="preserve">EL SUJETO OBLIGADO </w:t>
      </w:r>
      <w:r w:rsidRPr="002811FA">
        <w:rPr>
          <w:rFonts w:ascii="Palatino Linotype" w:hAnsi="Palatino Linotype" w:cs="Arial"/>
        </w:rPr>
        <w:t>dio respuesta a la solicitud</w:t>
      </w:r>
      <w:r w:rsidRPr="008A72D9">
        <w:rPr>
          <w:rFonts w:ascii="Palatino Linotype" w:hAnsi="Palatino Linotype" w:cs="Arial"/>
        </w:rPr>
        <w:t xml:space="preserve"> de a</w:t>
      </w:r>
      <w:r>
        <w:rPr>
          <w:rFonts w:ascii="Palatino Linotype" w:hAnsi="Palatino Linotype" w:cs="Arial"/>
        </w:rPr>
        <w:t xml:space="preserve">cceso a la </w:t>
      </w:r>
      <w:r>
        <w:rPr>
          <w:rFonts w:ascii="Palatino Linotype" w:hAnsi="Palatino Linotype" w:cs="Arial"/>
        </w:rPr>
        <w:lastRenderedPageBreak/>
        <w:t>información pública, en los siguientes términos:</w:t>
      </w:r>
    </w:p>
    <w:p w14:paraId="61DC6F96" w14:textId="77777777" w:rsidR="001644A5" w:rsidRPr="005D1E7E" w:rsidRDefault="001644A5" w:rsidP="001644A5">
      <w:pPr>
        <w:ind w:left="851" w:right="899"/>
        <w:jc w:val="both"/>
        <w:rPr>
          <w:rFonts w:ascii="Palatino Linotype" w:hAnsi="Palatino Linotype"/>
          <w:i/>
          <w:color w:val="000000"/>
          <w:sz w:val="22"/>
          <w:szCs w:val="22"/>
        </w:rPr>
      </w:pPr>
      <w:r w:rsidRPr="005D1E7E">
        <w:rPr>
          <w:rFonts w:ascii="Palatino Linotype" w:hAnsi="Palatino Linotype" w:cs="Arial"/>
          <w:i/>
          <w:sz w:val="28"/>
          <w:szCs w:val="28"/>
        </w:rPr>
        <w:t>“…</w:t>
      </w:r>
      <w:r w:rsidRPr="005D1E7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B1C095" w14:textId="77777777" w:rsidR="001644A5" w:rsidRPr="005D1E7E" w:rsidRDefault="001644A5" w:rsidP="001644A5">
      <w:pPr>
        <w:ind w:left="851" w:right="899"/>
        <w:jc w:val="both"/>
        <w:rPr>
          <w:rFonts w:ascii="Palatino Linotype" w:hAnsi="Palatino Linotype" w:cs="Arial"/>
          <w:i/>
          <w:sz w:val="28"/>
          <w:szCs w:val="28"/>
        </w:rPr>
      </w:pPr>
    </w:p>
    <w:p w14:paraId="3248C59E" w14:textId="46114310" w:rsidR="001644A5" w:rsidRPr="005D1E7E" w:rsidRDefault="001644A5" w:rsidP="00864DFC">
      <w:pPr>
        <w:ind w:left="851" w:right="902"/>
        <w:jc w:val="both"/>
        <w:rPr>
          <w:rFonts w:ascii="Palatino Linotype" w:hAnsi="Palatino Linotype" w:cs="Arial"/>
          <w:i/>
          <w:sz w:val="28"/>
          <w:szCs w:val="28"/>
        </w:rPr>
      </w:pPr>
      <w:r w:rsidRPr="005D1E7E">
        <w:rPr>
          <w:rFonts w:ascii="Palatino Linotype" w:hAnsi="Palatino Linotype"/>
          <w:i/>
          <w:color w:val="000000"/>
          <w:sz w:val="22"/>
          <w:szCs w:val="22"/>
        </w:rPr>
        <w:t>En atención a su solicitud número 00464/ATIZARA/IP/2020, al respecto me permito anexar en archivo electrónico la Tabla de Usos del Suelo, vigente, correspondiente al Municipio de Atizapán de Zaragoza, Estado de México. Sin otro particular de momento, quedo de usted. A T E N T A M E N T E ING. ARQ. NINA HERMOSILLO MIRANDA DIRECTORA GENERAL DE DESARROLLO TERRITORIAL</w:t>
      </w:r>
      <w:r w:rsidRPr="005D1E7E">
        <w:rPr>
          <w:rFonts w:ascii="Palatino Linotype" w:hAnsi="Palatino Linotype" w:cs="Arial"/>
          <w:i/>
          <w:sz w:val="28"/>
          <w:szCs w:val="28"/>
        </w:rPr>
        <w:t xml:space="preserve">” </w:t>
      </w:r>
      <w:r w:rsidRPr="003E0AA1">
        <w:rPr>
          <w:rFonts w:ascii="Palatino Linotype" w:hAnsi="Palatino Linotype" w:cs="Arial"/>
          <w:i/>
          <w:sz w:val="22"/>
          <w:szCs w:val="22"/>
        </w:rPr>
        <w:t>(Sic</w:t>
      </w:r>
      <w:r w:rsidRPr="005D1E7E">
        <w:rPr>
          <w:rFonts w:ascii="Palatino Linotype" w:hAnsi="Palatino Linotype" w:cs="Arial"/>
          <w:i/>
          <w:sz w:val="28"/>
          <w:szCs w:val="28"/>
        </w:rPr>
        <w:t>)</w:t>
      </w:r>
    </w:p>
    <w:p w14:paraId="2CD1FA7E" w14:textId="77777777" w:rsidR="001644A5" w:rsidRPr="005D1E7E" w:rsidRDefault="001644A5" w:rsidP="001644A5">
      <w:pPr>
        <w:ind w:right="899"/>
        <w:jc w:val="both"/>
        <w:rPr>
          <w:rFonts w:ascii="Palatino Linotype" w:hAnsi="Palatino Linotype"/>
          <w:sz w:val="28"/>
          <w:szCs w:val="28"/>
        </w:rPr>
      </w:pPr>
    </w:p>
    <w:p w14:paraId="564CA602" w14:textId="4148EA03" w:rsidR="001644A5" w:rsidRDefault="001644A5" w:rsidP="001644A5">
      <w:pPr>
        <w:pStyle w:val="Prrafodelista"/>
        <w:spacing w:line="360" w:lineRule="auto"/>
        <w:ind w:left="0"/>
        <w:jc w:val="both"/>
        <w:rPr>
          <w:rFonts w:ascii="Palatino Linotype" w:hAnsi="Palatino Linotype" w:cs="Arial"/>
        </w:rPr>
      </w:pPr>
      <w:r>
        <w:rPr>
          <w:rFonts w:ascii="Palatino Linotype" w:hAnsi="Palatino Linotype"/>
        </w:rPr>
        <w:t>Anexando</w:t>
      </w:r>
      <w:r w:rsidRPr="00645E2C">
        <w:rPr>
          <w:rFonts w:ascii="Palatino Linotype" w:hAnsi="Palatino Linotype"/>
        </w:rPr>
        <w:t xml:space="preserve"> </w:t>
      </w:r>
      <w:r>
        <w:rPr>
          <w:rFonts w:ascii="Palatino Linotype" w:hAnsi="Palatino Linotype"/>
        </w:rPr>
        <w:t>los</w:t>
      </w:r>
      <w:r w:rsidRPr="00645E2C">
        <w:rPr>
          <w:rFonts w:ascii="Palatino Linotype" w:hAnsi="Palatino Linotype"/>
        </w:rPr>
        <w:t xml:space="preserve"> archivo</w:t>
      </w:r>
      <w:r>
        <w:rPr>
          <w:rFonts w:ascii="Palatino Linotype" w:hAnsi="Palatino Linotype"/>
        </w:rPr>
        <w:t>s</w:t>
      </w:r>
      <w:r w:rsidRPr="00645E2C">
        <w:rPr>
          <w:rFonts w:ascii="Palatino Linotype" w:hAnsi="Palatino Linotype"/>
        </w:rPr>
        <w:t xml:space="preserve"> </w:t>
      </w:r>
      <w:r w:rsidRPr="00170B89">
        <w:rPr>
          <w:rFonts w:ascii="Palatino Linotype" w:hAnsi="Palatino Linotype"/>
          <w:i/>
          <w:iCs/>
        </w:rPr>
        <w:t>“</w:t>
      </w:r>
      <w:hyperlink r:id="rId13" w:tgtFrame="_blank" w:history="1">
        <w:r w:rsidRPr="00170B89">
          <w:rPr>
            <w:rFonts w:ascii="Palatino Linotype" w:hAnsi="Palatino Linotype" w:cs="Arial"/>
            <w:b/>
            <w:i/>
            <w:iCs/>
          </w:rPr>
          <w:t>sol.0464-ATIZ-OFICIO.pdf</w:t>
        </w:r>
      </w:hyperlink>
      <w:r w:rsidRPr="00170B89">
        <w:rPr>
          <w:rFonts w:ascii="Palatino Linotype" w:hAnsi="Palatino Linotype" w:cs="Arial"/>
          <w:b/>
          <w:i/>
          <w:iCs/>
        </w:rPr>
        <w:t>”</w:t>
      </w:r>
      <w:r w:rsidRPr="00645E2C">
        <w:rPr>
          <w:rFonts w:ascii="Palatino Linotype" w:hAnsi="Palatino Linotype" w:cs="Arial"/>
        </w:rPr>
        <w:t xml:space="preserve">, </w:t>
      </w:r>
      <w:r>
        <w:rPr>
          <w:rFonts w:ascii="Palatino Linotype" w:hAnsi="Palatino Linotype" w:cs="Arial"/>
        </w:rPr>
        <w:t xml:space="preserve">el cual contiene el oficio número DGDT/EJ/4505/2020, de fecha diez de septiembre del año en curso, mediante el cual en atención a la solicitud, la Directora General de Desarrollo Territorial, remitió en archivo electrónico la Tabla de Usos del Suelo vigente del municipio en comento; y, </w:t>
      </w:r>
      <w:r w:rsidRPr="00170B89">
        <w:rPr>
          <w:rFonts w:ascii="Palatino Linotype" w:hAnsi="Palatino Linotype"/>
          <w:i/>
          <w:iCs/>
        </w:rPr>
        <w:t>“</w:t>
      </w:r>
      <w:hyperlink r:id="rId14" w:tgtFrame="_blank" w:history="1">
        <w:r w:rsidRPr="00170B89">
          <w:rPr>
            <w:rFonts w:ascii="Palatino Linotype" w:hAnsi="Palatino Linotype" w:cs="Arial"/>
            <w:b/>
            <w:i/>
            <w:iCs/>
          </w:rPr>
          <w:t>TABLA DE USOS ATIZAPAN 2003.pdf</w:t>
        </w:r>
      </w:hyperlink>
      <w:r>
        <w:rPr>
          <w:rFonts w:ascii="Palatino Linotype" w:hAnsi="Palatino Linotype" w:cs="Arial"/>
          <w:b/>
        </w:rPr>
        <w:t>”</w:t>
      </w:r>
      <w:r w:rsidRPr="00645E2C">
        <w:rPr>
          <w:rFonts w:ascii="Palatino Linotype" w:hAnsi="Palatino Linotype" w:cs="Arial"/>
        </w:rPr>
        <w:t xml:space="preserve">, </w:t>
      </w:r>
      <w:r>
        <w:rPr>
          <w:rFonts w:ascii="Palatino Linotype" w:hAnsi="Palatino Linotype" w:cs="Arial"/>
        </w:rPr>
        <w:t>que contiene la tabla del Plan Municipal de Desarrollo Urbano de Atizapán de Zaragoza.</w:t>
      </w:r>
    </w:p>
    <w:p w14:paraId="629C75E7" w14:textId="2F380524" w:rsidR="00B06BC7" w:rsidRPr="009B19AA" w:rsidRDefault="00D84F23"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2811FA">
        <w:rPr>
          <w:rFonts w:ascii="Palatino Linotype" w:hAnsi="Palatino Linotype" w:cs="Arial"/>
          <w:iCs/>
        </w:rPr>
        <w:t>Por lo que</w:t>
      </w:r>
      <w:r>
        <w:rPr>
          <w:rFonts w:ascii="Palatino Linotype" w:hAnsi="Palatino Linotype" w:cs="Arial"/>
          <w:iCs/>
          <w:sz w:val="22"/>
          <w:szCs w:val="22"/>
        </w:rPr>
        <w:t xml:space="preserve">, </w:t>
      </w:r>
      <w:r>
        <w:rPr>
          <w:rFonts w:ascii="Palatino Linotype" w:hAnsi="Palatino Linotype" w:cs="Arial"/>
        </w:rPr>
        <w:t>d</w:t>
      </w:r>
      <w:r w:rsidR="00B06BC7">
        <w:rPr>
          <w:rFonts w:ascii="Palatino Linotype" w:hAnsi="Palatino Linotype" w:cs="Arial"/>
        </w:rPr>
        <w:t xml:space="preserve">erivado de la respuesta otorgada por </w:t>
      </w:r>
      <w:r w:rsidR="00B06BC7">
        <w:rPr>
          <w:rFonts w:ascii="Palatino Linotype" w:hAnsi="Palatino Linotype" w:cs="Arial"/>
          <w:b/>
        </w:rPr>
        <w:t>EL SUJETO OBLIGADO</w:t>
      </w:r>
      <w:r>
        <w:rPr>
          <w:rFonts w:ascii="Palatino Linotype" w:hAnsi="Palatino Linotype" w:cs="Arial"/>
          <w:b/>
        </w:rPr>
        <w:t>,</w:t>
      </w:r>
      <w:r w:rsidR="00B06BC7">
        <w:rPr>
          <w:rFonts w:ascii="Palatino Linotype" w:hAnsi="Palatino Linotype" w:cs="Arial"/>
          <w:b/>
        </w:rPr>
        <w:t xml:space="preserve"> </w:t>
      </w:r>
      <w:r w:rsidR="004554BF">
        <w:rPr>
          <w:rFonts w:ascii="Palatino Linotype" w:hAnsi="Palatino Linotype" w:cs="Arial"/>
          <w:b/>
        </w:rPr>
        <w:t>L</w:t>
      </w:r>
      <w:r>
        <w:rPr>
          <w:rFonts w:ascii="Palatino Linotype" w:hAnsi="Palatino Linotype" w:cs="Arial"/>
          <w:b/>
        </w:rPr>
        <w:t>A</w:t>
      </w:r>
      <w:r w:rsidR="00B06BC7">
        <w:rPr>
          <w:rFonts w:ascii="Palatino Linotype" w:hAnsi="Palatino Linotype" w:cs="Arial"/>
          <w:b/>
        </w:rPr>
        <w:t xml:space="preserve"> RECURRENTE </w:t>
      </w:r>
      <w:r w:rsidR="00B06BC7">
        <w:rPr>
          <w:rFonts w:ascii="Palatino Linotype" w:hAnsi="Palatino Linotype" w:cs="Arial"/>
        </w:rPr>
        <w:t>presentó el recurso de revisión que nos ocupa.</w:t>
      </w:r>
    </w:p>
    <w:p w14:paraId="276414A2" w14:textId="0C0B5CD9" w:rsidR="00B06BC7" w:rsidRDefault="00DF4216"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Pr>
          <w:rFonts w:ascii="Palatino Linotype" w:hAnsi="Palatino Linotype" w:cs="Arial"/>
          <w:noProof/>
          <w:lang w:eastAsia="es-MX"/>
        </w:rPr>
        <mc:AlternateContent>
          <mc:Choice Requires="wps">
            <w:drawing>
              <wp:anchor distT="0" distB="0" distL="114300" distR="114300" simplePos="0" relativeHeight="251670528" behindDoc="0" locked="0" layoutInCell="1" allowOverlap="1" wp14:anchorId="2AF5B205" wp14:editId="68F95102">
                <wp:simplePos x="0" y="0"/>
                <wp:positionH relativeFrom="column">
                  <wp:posOffset>59055</wp:posOffset>
                </wp:positionH>
                <wp:positionV relativeFrom="paragraph">
                  <wp:posOffset>657225</wp:posOffset>
                </wp:positionV>
                <wp:extent cx="5770245" cy="966470"/>
                <wp:effectExtent l="0" t="0" r="20955" b="49530"/>
                <wp:wrapNone/>
                <wp:docPr id="1" name="Conector recto 1"/>
                <wp:cNvGraphicFramePr/>
                <a:graphic xmlns:a="http://schemas.openxmlformats.org/drawingml/2006/main">
                  <a:graphicData uri="http://schemas.microsoft.com/office/word/2010/wordprocessingShape">
                    <wps:wsp>
                      <wps:cNvCnPr/>
                      <wps:spPr>
                        <a:xfrm>
                          <a:off x="0" y="0"/>
                          <a:ext cx="5770245" cy="966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32247D" id="Conector recto 1"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5pt,51.75pt" to="459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" strokecolor="#5b9bd5 [3204]" strokeweight=".5pt">
                <v:stroke joinstyle="miter"/>
              </v:line>
            </w:pict>
          </mc:Fallback>
        </mc:AlternateContent>
      </w:r>
      <w:r w:rsidR="00B06BC7" w:rsidRPr="008A72D9">
        <w:rPr>
          <w:rFonts w:ascii="Palatino Linotype" w:hAnsi="Palatino Linotype" w:cs="Arial"/>
        </w:rPr>
        <w:t xml:space="preserve">Ulteriormente, </w:t>
      </w:r>
      <w:r w:rsidR="004554BF">
        <w:rPr>
          <w:rFonts w:ascii="Palatino Linotype" w:hAnsi="Palatino Linotype" w:cs="Arial"/>
          <w:b/>
        </w:rPr>
        <w:t>L</w:t>
      </w:r>
      <w:r w:rsidR="00D84F23">
        <w:rPr>
          <w:rFonts w:ascii="Palatino Linotype" w:hAnsi="Palatino Linotype" w:cs="Arial"/>
          <w:b/>
        </w:rPr>
        <w:t>A</w:t>
      </w:r>
      <w:r w:rsidR="00B06BC7" w:rsidRPr="008A72D9">
        <w:rPr>
          <w:rFonts w:ascii="Palatino Linotype" w:hAnsi="Palatino Linotype" w:cs="Arial"/>
          <w:b/>
        </w:rPr>
        <w:t xml:space="preserve"> </w:t>
      </w:r>
      <w:r w:rsidR="00B06BC7" w:rsidRPr="00633DD0">
        <w:rPr>
          <w:rFonts w:ascii="Palatino Linotype" w:hAnsi="Palatino Linotype" w:cs="Arial"/>
          <w:b/>
        </w:rPr>
        <w:t>RECURRENTE</w:t>
      </w:r>
      <w:r w:rsidR="00B06BC7" w:rsidRPr="00633DD0">
        <w:rPr>
          <w:rFonts w:ascii="Palatino Linotype" w:hAnsi="Palatino Linotype" w:cs="Arial"/>
        </w:rPr>
        <w:t xml:space="preserve"> </w:t>
      </w:r>
      <w:r w:rsidR="00B06BC7" w:rsidRPr="00633DD0">
        <w:rPr>
          <w:rFonts w:ascii="Palatino Linotype" w:hAnsi="Palatino Linotype"/>
        </w:rPr>
        <w:t>presentó</w:t>
      </w:r>
      <w:r w:rsidR="00B06BC7" w:rsidRPr="00633DD0">
        <w:rPr>
          <w:rFonts w:ascii="Palatino Linotype" w:hAnsi="Palatino Linotype" w:cs="Arial"/>
          <w:color w:val="000000"/>
          <w:lang w:eastAsia="es-MX"/>
        </w:rPr>
        <w:t xml:space="preserve"> su desistimiento con respecto a la acción en el presente recurso de revisión</w:t>
      </w:r>
      <w:r w:rsidR="00B06BC7" w:rsidRPr="002811FA">
        <w:rPr>
          <w:rFonts w:ascii="Palatino Linotype" w:hAnsi="Palatino Linotype" w:cs="Arial"/>
          <w:color w:val="000000"/>
          <w:lang w:eastAsia="es-MX"/>
        </w:rPr>
        <w:t xml:space="preserve"> co</w:t>
      </w:r>
      <w:r w:rsidR="00B06BC7">
        <w:rPr>
          <w:rFonts w:ascii="Palatino Linotype" w:hAnsi="Palatino Linotype" w:cs="Arial"/>
          <w:color w:val="000000"/>
          <w:lang w:eastAsia="es-MX"/>
        </w:rPr>
        <w:t>mo se muestra a continuación:</w:t>
      </w:r>
    </w:p>
    <w:p w14:paraId="71282949" w14:textId="72557E8F" w:rsidR="00852688" w:rsidRDefault="002515EC"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Pr>
          <w:rFonts w:ascii="Palatino Linotype" w:hAnsi="Palatino Linotype"/>
          <w:b/>
          <w:noProof/>
          <w:sz w:val="28"/>
          <w:szCs w:val="28"/>
          <w:lang w:eastAsia="es-MX"/>
        </w:rPr>
        <mc:AlternateContent>
          <mc:Choice Requires="wps">
            <w:drawing>
              <wp:anchor distT="0" distB="0" distL="114300" distR="114300" simplePos="0" relativeHeight="251667456" behindDoc="0" locked="0" layoutInCell="1" allowOverlap="1" wp14:anchorId="3FEC5575" wp14:editId="35C1F8A3">
                <wp:simplePos x="0" y="0"/>
                <wp:positionH relativeFrom="column">
                  <wp:posOffset>129540</wp:posOffset>
                </wp:positionH>
                <wp:positionV relativeFrom="paragraph">
                  <wp:posOffset>3422650</wp:posOffset>
                </wp:positionV>
                <wp:extent cx="2266950" cy="200025"/>
                <wp:effectExtent l="0" t="0" r="19050" b="28575"/>
                <wp:wrapNone/>
                <wp:docPr id="19" name="Rectángulo 19"/>
                <wp:cNvGraphicFramePr/>
                <a:graphic xmlns:a="http://schemas.openxmlformats.org/drawingml/2006/main">
                  <a:graphicData uri="http://schemas.microsoft.com/office/word/2010/wordprocessingShape">
                    <wps:wsp>
                      <wps:cNvSpPr/>
                      <wps:spPr>
                        <a:xfrm>
                          <a:off x="0" y="0"/>
                          <a:ext cx="2266950" cy="2000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251D0" id="Rectángulo 19" o:spid="_x0000_s1026" style="position:absolute;margin-left:10.2pt;margin-top:269.5pt;width:178.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" fillcolor="windowText" strokeweight="1pt"/>
            </w:pict>
          </mc:Fallback>
        </mc:AlternateContent>
      </w:r>
      <w:r w:rsidR="00852688" w:rsidRPr="00645E2C">
        <w:rPr>
          <w:rFonts w:ascii="Palatino Linotype" w:hAnsi="Palatino Linotype"/>
          <w:b/>
          <w:noProof/>
          <w:sz w:val="28"/>
          <w:szCs w:val="28"/>
          <w:lang w:eastAsia="es-MX"/>
        </w:rPr>
        <mc:AlternateContent>
          <mc:Choice Requires="wps">
            <w:drawing>
              <wp:anchor distT="0" distB="0" distL="114300" distR="114300" simplePos="0" relativeHeight="251650048" behindDoc="0" locked="0" layoutInCell="1" allowOverlap="1" wp14:anchorId="08BC6637" wp14:editId="54E5223E">
                <wp:simplePos x="0" y="0"/>
                <wp:positionH relativeFrom="column">
                  <wp:posOffset>129761</wp:posOffset>
                </wp:positionH>
                <wp:positionV relativeFrom="paragraph">
                  <wp:posOffset>2461068</wp:posOffset>
                </wp:positionV>
                <wp:extent cx="3627917" cy="608271"/>
                <wp:effectExtent l="19050" t="19050" r="10795" b="20955"/>
                <wp:wrapNone/>
                <wp:docPr id="16" name="Rectángulo redondeado 2"/>
                <wp:cNvGraphicFramePr/>
                <a:graphic xmlns:a="http://schemas.openxmlformats.org/drawingml/2006/main">
                  <a:graphicData uri="http://schemas.microsoft.com/office/word/2010/wordprocessingShape">
                    <wps:wsp>
                      <wps:cNvSpPr/>
                      <wps:spPr>
                        <a:xfrm>
                          <a:off x="0" y="0"/>
                          <a:ext cx="3627917" cy="60827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F8A1A" id="Rectángulo redondeado 2" o:spid="_x0000_s1026" style="position:absolute;margin-left:10.2pt;margin-top:193.8pt;width:285.65pt;height:4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" filled="f" strokecolor="red" strokeweight="2.25pt">
                <v:stroke joinstyle="miter"/>
              </v:roundrect>
            </w:pict>
          </mc:Fallback>
        </mc:AlternateContent>
      </w:r>
    </w:p>
    <w:p w14:paraId="6FFAF6F3" w14:textId="461CCB81" w:rsidR="002515EC" w:rsidRDefault="002515EC"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p>
    <w:p w14:paraId="59B800A8" w14:textId="018C83C4" w:rsidR="002515EC" w:rsidRDefault="002515EC" w:rsidP="002515EC">
      <w:pPr>
        <w:pStyle w:val="Prrafodelista"/>
        <w:widowControl w:val="0"/>
        <w:tabs>
          <w:tab w:val="left" w:pos="1701"/>
          <w:tab w:val="left" w:pos="1843"/>
        </w:tabs>
        <w:autoSpaceDE w:val="0"/>
        <w:autoSpaceDN w:val="0"/>
        <w:adjustRightInd w:val="0"/>
        <w:spacing w:before="200" w:after="200" w:line="360" w:lineRule="auto"/>
        <w:ind w:left="0"/>
        <w:jc w:val="center"/>
        <w:rPr>
          <w:rFonts w:ascii="Palatino Linotype" w:hAnsi="Palatino Linotype" w:cs="Arial"/>
          <w:color w:val="000000"/>
          <w:lang w:eastAsia="es-MX"/>
        </w:rPr>
      </w:pPr>
      <w:r>
        <w:rPr>
          <w:noProof/>
          <w:lang w:eastAsia="es-MX"/>
        </w:rPr>
        <w:lastRenderedPageBreak/>
        <w:drawing>
          <wp:inline distT="0" distB="0" distL="0" distR="0" wp14:anchorId="06A79620" wp14:editId="4E4FAD26">
            <wp:extent cx="4705350" cy="32670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628" t="31006" r="26324" b="16341"/>
                    <a:stretch/>
                  </pic:blipFill>
                  <pic:spPr bwMode="auto">
                    <a:xfrm>
                      <a:off x="0" y="0"/>
                      <a:ext cx="4705350" cy="3267075"/>
                    </a:xfrm>
                    <a:prstGeom prst="rect">
                      <a:avLst/>
                    </a:prstGeom>
                    <a:ln>
                      <a:noFill/>
                    </a:ln>
                    <a:extLst>
                      <a:ext uri="{53640926-AAD7-44D8-BBD7-CCE9431645EC}">
                        <a14:shadowObscured xmlns:a14="http://schemas.microsoft.com/office/drawing/2010/main"/>
                      </a:ext>
                    </a:extLst>
                  </pic:spPr>
                </pic:pic>
              </a:graphicData>
            </a:graphic>
          </wp:inline>
        </w:drawing>
      </w:r>
    </w:p>
    <w:p w14:paraId="3309F686" w14:textId="5923418E" w:rsidR="00B06BC7" w:rsidRPr="008A72D9" w:rsidRDefault="00B06BC7" w:rsidP="00B06BC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8A72D9">
        <w:rPr>
          <w:rFonts w:ascii="Palatino Linotype" w:hAnsi="Palatino Linotype" w:cs="Arial"/>
          <w:color w:val="000000"/>
          <w:lang w:eastAsia="es-MX"/>
        </w:rPr>
        <w:t xml:space="preserve">Precisado lo anterior, debe señalarse que </w:t>
      </w:r>
      <w:r w:rsidRPr="008A72D9">
        <w:rPr>
          <w:rFonts w:ascii="Palatino Linotype" w:eastAsia="Arial Unicode MS" w:hAnsi="Palatino Linotype" w:cs="Arial"/>
          <w:color w:val="000000"/>
          <w:lang w:eastAsia="es-MX"/>
        </w:rPr>
        <w:t xml:space="preserve">el desistimiento en el procedimiento de revisión, sólo puede ser activado por </w:t>
      </w:r>
      <w:r w:rsidR="004554BF">
        <w:rPr>
          <w:rFonts w:ascii="Palatino Linotype" w:hAnsi="Palatino Linotype" w:cs="Arial"/>
          <w:b/>
        </w:rPr>
        <w:t>L</w:t>
      </w:r>
      <w:r w:rsidR="003E0AA1">
        <w:rPr>
          <w:rFonts w:ascii="Palatino Linotype" w:hAnsi="Palatino Linotype" w:cs="Arial"/>
          <w:b/>
        </w:rPr>
        <w:t>A</w:t>
      </w:r>
      <w:r w:rsidRPr="008A72D9">
        <w:rPr>
          <w:rFonts w:ascii="Palatino Linotype" w:hAnsi="Palatino Linotype" w:cs="Arial"/>
          <w:b/>
        </w:rPr>
        <w:t xml:space="preserve"> RECURRENTE</w:t>
      </w:r>
      <w:r w:rsidRPr="008A72D9">
        <w:rPr>
          <w:rFonts w:ascii="Palatino Linotype" w:eastAsia="Arial Unicode MS" w:hAnsi="Palatino Linotype" w:cs="Arial"/>
          <w:color w:val="000000"/>
          <w:lang w:eastAsia="es-MX"/>
        </w:rPr>
        <w:t xml:space="preserve"> mediante el ingreso al </w:t>
      </w:r>
      <w:r w:rsidRPr="008A72D9">
        <w:rPr>
          <w:rFonts w:ascii="Palatino Linotype" w:hAnsi="Palatino Linotype" w:cs="Arial"/>
          <w:b/>
        </w:rPr>
        <w:t>SAIMEX</w:t>
      </w:r>
      <w:r w:rsidRPr="008A72D9">
        <w:rPr>
          <w:rFonts w:ascii="Palatino Linotype" w:hAnsi="Palatino Linotype"/>
        </w:rPr>
        <w:t xml:space="preserve">, utilizando </w:t>
      </w:r>
      <w:r w:rsidRPr="008A72D9">
        <w:rPr>
          <w:rFonts w:ascii="Palatino Linotype" w:eastAsia="Arial Unicode MS" w:hAnsi="Palatino Linotype" w:cs="Arial"/>
          <w:color w:val="000000"/>
          <w:lang w:eastAsia="es-MX"/>
        </w:rPr>
        <w:t xml:space="preserve">su clave de usuario y contraseña; por lo que, no existe duda de que </w:t>
      </w:r>
      <w:r w:rsidRPr="008A72D9">
        <w:rPr>
          <w:rFonts w:ascii="Palatino Linotype" w:hAnsi="Palatino Linotype" w:cs="Arial"/>
          <w:lang w:val="es-ES_tradnl"/>
        </w:rPr>
        <w:t>se</w:t>
      </w:r>
      <w:r w:rsidRPr="008A72D9">
        <w:rPr>
          <w:rFonts w:ascii="Palatino Linotype" w:eastAsia="Arial Unicode MS" w:hAnsi="Palatino Linotype" w:cs="Arial"/>
          <w:color w:val="000000"/>
          <w:lang w:eastAsia="es-MX"/>
        </w:rPr>
        <w:t xml:space="preserve"> </w:t>
      </w:r>
      <w:r w:rsidRPr="008A72D9">
        <w:rPr>
          <w:rFonts w:ascii="Palatino Linotype" w:hAnsi="Palatino Linotype"/>
        </w:rPr>
        <w:t>trata</w:t>
      </w:r>
      <w:r w:rsidRPr="008A72D9">
        <w:rPr>
          <w:rFonts w:ascii="Palatino Linotype" w:eastAsia="Arial Unicode MS" w:hAnsi="Palatino Linotype" w:cs="Arial"/>
          <w:color w:val="000000"/>
          <w:lang w:eastAsia="es-MX"/>
        </w:rPr>
        <w:t xml:space="preserve"> de un </w:t>
      </w:r>
      <w:r w:rsidRPr="008A72D9">
        <w:rPr>
          <w:rFonts w:ascii="Palatino Linotype" w:eastAsia="Arial Unicode MS" w:hAnsi="Palatino Linotype" w:cs="Arial"/>
          <w:b/>
          <w:color w:val="000000"/>
          <w:lang w:eastAsia="es-MX"/>
        </w:rPr>
        <w:t>desistimiento expreso</w:t>
      </w:r>
      <w:r w:rsidRPr="008A72D9">
        <w:rPr>
          <w:rFonts w:ascii="Palatino Linotype" w:eastAsia="Arial Unicode MS" w:hAnsi="Palatino Linotype" w:cs="Arial"/>
          <w:color w:val="000000"/>
          <w:lang w:eastAsia="es-MX"/>
        </w:rPr>
        <w:t xml:space="preserve"> por parte de</w:t>
      </w:r>
      <w:r w:rsidR="004554BF">
        <w:rPr>
          <w:rFonts w:ascii="Palatino Linotype" w:eastAsia="Arial Unicode MS" w:hAnsi="Palatino Linotype" w:cs="Arial"/>
          <w:color w:val="000000"/>
          <w:lang w:eastAsia="es-MX"/>
        </w:rPr>
        <w:t>l particular</w:t>
      </w:r>
      <w:r w:rsidRPr="008A72D9">
        <w:rPr>
          <w:rFonts w:ascii="Palatino Linotype" w:eastAsia="Arial Unicode MS" w:hAnsi="Palatino Linotype" w:cs="Arial"/>
          <w:color w:val="000000"/>
          <w:lang w:eastAsia="es-MX"/>
        </w:rPr>
        <w:t xml:space="preserve">, en virtud de lo cual, el </w:t>
      </w:r>
      <w:r w:rsidRPr="008A72D9">
        <w:rPr>
          <w:rFonts w:ascii="Palatino Linotype" w:hAnsi="Palatino Linotype" w:cs="Arial"/>
        </w:rPr>
        <w:t xml:space="preserve">presente recurso de revisión </w:t>
      </w:r>
      <w:r w:rsidRPr="008A72D9">
        <w:rPr>
          <w:rFonts w:ascii="Palatino Linotype" w:hAnsi="Palatino Linotype" w:cs="Arial"/>
          <w:b/>
        </w:rPr>
        <w:t>ha quedado sin materia</w:t>
      </w:r>
      <w:r w:rsidRPr="008A72D9">
        <w:rPr>
          <w:rFonts w:ascii="Palatino Linotype" w:hAnsi="Palatino Linotype" w:cs="Arial"/>
        </w:rPr>
        <w:t>.</w:t>
      </w:r>
    </w:p>
    <w:p w14:paraId="204332D2" w14:textId="77777777" w:rsidR="00B06BC7" w:rsidRPr="008A72D9" w:rsidRDefault="00B06BC7" w:rsidP="00B06BC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8A72D9">
        <w:rPr>
          <w:rFonts w:ascii="Palatino Linotype" w:hAnsi="Palatino Linotype" w:cs="Arial"/>
          <w:lang w:val="es-ES_tradnl"/>
        </w:rPr>
        <w:t xml:space="preserve">En atención a </w:t>
      </w:r>
      <w:r w:rsidRPr="008A72D9">
        <w:rPr>
          <w:rFonts w:ascii="Palatino Linotype" w:hAnsi="Palatino Linotype"/>
          <w:color w:val="000000"/>
        </w:rPr>
        <w:t>las</w:t>
      </w:r>
      <w:r w:rsidRPr="008A72D9">
        <w:rPr>
          <w:rFonts w:ascii="Palatino Linotype" w:hAnsi="Palatino Linotype" w:cs="Arial"/>
          <w:lang w:val="es-ES_tradnl"/>
        </w:rPr>
        <w:t xml:space="preserve"> consideraciones anteriores, esta Ponencia Resolutora</w:t>
      </w:r>
      <w:r w:rsidRPr="008A72D9">
        <w:rPr>
          <w:rFonts w:ascii="Palatino Linotype" w:hAnsi="Palatino Linotype"/>
          <w:color w:val="000000" w:themeColor="text1"/>
        </w:rPr>
        <w:t xml:space="preserve"> advierte que, en el presente </w:t>
      </w:r>
      <w:r w:rsidRPr="008A72D9">
        <w:rPr>
          <w:rFonts w:ascii="Palatino Linotype" w:hAnsi="Palatino Linotype"/>
        </w:rPr>
        <w:t>caso</w:t>
      </w:r>
      <w:r w:rsidRPr="008A72D9">
        <w:rPr>
          <w:rFonts w:ascii="Palatino Linotype" w:hAnsi="Palatino Linotype"/>
          <w:color w:val="000000" w:themeColor="text1"/>
        </w:rPr>
        <w:t xml:space="preserve">, se actualiza la hipótesis prevista en </w:t>
      </w:r>
      <w:r w:rsidRPr="008A72D9">
        <w:rPr>
          <w:rFonts w:ascii="Palatino Linotype" w:hAnsi="Palatino Linotype" w:cs="Arial"/>
          <w:lang w:val="es-ES_tradnl"/>
        </w:rPr>
        <w:t xml:space="preserve">el </w:t>
      </w:r>
      <w:r w:rsidRPr="008A72D9">
        <w:rPr>
          <w:rFonts w:ascii="Palatino Linotype" w:hAnsi="Palatino Linotype"/>
          <w:color w:val="000000" w:themeColor="text1"/>
        </w:rPr>
        <w:t>artículo 192, fracción I de</w:t>
      </w:r>
      <w:r w:rsidRPr="008A72D9">
        <w:rPr>
          <w:rFonts w:ascii="Palatino Linotype" w:hAnsi="Palatino Linotype" w:cs="Arial"/>
          <w:lang w:val="es-ES_tradnl"/>
        </w:rPr>
        <w:t xml:space="preserve"> la </w:t>
      </w:r>
      <w:r w:rsidRPr="008A72D9">
        <w:rPr>
          <w:rFonts w:ascii="Palatino Linotype" w:hAnsi="Palatino Linotype"/>
        </w:rPr>
        <w:t xml:space="preserve">Ley de Transparencia y Acceso a la Información Pública del Estado de México y Municipios, </w:t>
      </w:r>
      <w:r w:rsidRPr="008A72D9">
        <w:rPr>
          <w:rFonts w:ascii="Palatino Linotype" w:hAnsi="Palatino Linotype"/>
          <w:color w:val="000000" w:themeColor="text1"/>
        </w:rPr>
        <w:t xml:space="preserve">que dispone lo siguiente: </w:t>
      </w:r>
    </w:p>
    <w:p w14:paraId="4D016859"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Artículo 192.</w:t>
      </w:r>
      <w:r w:rsidRPr="008A72D9">
        <w:rPr>
          <w:rFonts w:ascii="Palatino Linotype" w:hAnsi="Palatino Linotype" w:cs="Arial"/>
          <w:i/>
          <w:sz w:val="22"/>
        </w:rPr>
        <w:t xml:space="preserve"> </w:t>
      </w:r>
      <w:r w:rsidRPr="008A72D9">
        <w:rPr>
          <w:rFonts w:ascii="Palatino Linotype" w:hAnsi="Palatino Linotype" w:cs="Arial"/>
          <w:b/>
          <w:i/>
          <w:sz w:val="22"/>
          <w:u w:val="single"/>
        </w:rPr>
        <w:t>El recurso será sobreseído</w:t>
      </w:r>
      <w:r w:rsidRPr="008A72D9">
        <w:rPr>
          <w:rFonts w:ascii="Palatino Linotype" w:hAnsi="Palatino Linotype" w:cs="Arial"/>
          <w:i/>
          <w:sz w:val="22"/>
        </w:rPr>
        <w:t xml:space="preserve">, en todo o en parte, </w:t>
      </w:r>
      <w:r w:rsidRPr="008A72D9">
        <w:rPr>
          <w:rFonts w:ascii="Palatino Linotype" w:hAnsi="Palatino Linotype" w:cs="Arial"/>
          <w:b/>
          <w:i/>
          <w:sz w:val="22"/>
          <w:u w:val="single"/>
        </w:rPr>
        <w:t>cuando una vez admitido</w:t>
      </w:r>
      <w:r w:rsidRPr="008A72D9">
        <w:rPr>
          <w:rFonts w:ascii="Palatino Linotype" w:hAnsi="Palatino Linotype" w:cs="Arial"/>
          <w:i/>
          <w:sz w:val="22"/>
        </w:rPr>
        <w:t>, se actualicen alguno de los siguientes supuestos:</w:t>
      </w:r>
    </w:p>
    <w:p w14:paraId="4A0CF1CD" w14:textId="77777777"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b/>
          <w:i/>
          <w:sz w:val="22"/>
        </w:rPr>
        <w:t>I.</w:t>
      </w:r>
      <w:r w:rsidRPr="008A72D9">
        <w:rPr>
          <w:rFonts w:ascii="Palatino Linotype" w:hAnsi="Palatino Linotype" w:cs="Arial"/>
          <w:i/>
          <w:sz w:val="22"/>
        </w:rPr>
        <w:t xml:space="preserve"> </w:t>
      </w:r>
      <w:r w:rsidRPr="008A72D9">
        <w:rPr>
          <w:rFonts w:ascii="Palatino Linotype" w:hAnsi="Palatino Linotype" w:cs="Arial"/>
          <w:b/>
          <w:i/>
          <w:sz w:val="22"/>
          <w:u w:val="single"/>
        </w:rPr>
        <w:t>El recurrente se desista expresamente del recurso</w:t>
      </w:r>
      <w:r w:rsidRPr="008A72D9">
        <w:rPr>
          <w:rFonts w:ascii="Palatino Linotype" w:hAnsi="Palatino Linotype" w:cs="Arial"/>
          <w:i/>
          <w:sz w:val="22"/>
        </w:rPr>
        <w:t>;”</w:t>
      </w:r>
    </w:p>
    <w:p w14:paraId="6DA52CA5" w14:textId="77777777"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lastRenderedPageBreak/>
        <w:t>(Énfasis añadido)</w:t>
      </w:r>
    </w:p>
    <w:p w14:paraId="74AEBAB6" w14:textId="77777777" w:rsidR="00B06BC7" w:rsidRPr="008A72D9" w:rsidRDefault="00B06BC7" w:rsidP="00B06BC7">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8A72D9">
        <w:rPr>
          <w:rFonts w:ascii="Palatino Linotype" w:hAnsi="Palatino Linotype"/>
          <w:color w:val="000000"/>
        </w:rPr>
        <w:t xml:space="preserve">En </w:t>
      </w:r>
      <w:r w:rsidRPr="008A72D9">
        <w:rPr>
          <w:rFonts w:ascii="Palatino Linotype" w:eastAsia="Calibri" w:hAnsi="Palatino Linotype" w:cs="Arial"/>
        </w:rPr>
        <w:t>consecuencia</w:t>
      </w:r>
      <w:r w:rsidRPr="008A72D9">
        <w:rPr>
          <w:rFonts w:ascii="Palatino Linotype" w:hAnsi="Palatino Linotype"/>
          <w:color w:val="000000"/>
        </w:rPr>
        <w:t xml:space="preserve">, </w:t>
      </w:r>
      <w:r w:rsidRPr="008A72D9">
        <w:rPr>
          <w:rFonts w:ascii="Palatino Linotype" w:hAnsi="Palatino Linotype"/>
        </w:rPr>
        <w:t xml:space="preserve">se </w:t>
      </w:r>
      <w:r w:rsidRPr="008A72D9">
        <w:rPr>
          <w:rFonts w:ascii="Palatino Linotype" w:hAnsi="Palatino Linotype" w:cs="Arial"/>
          <w:lang w:val="es-ES_tradnl"/>
        </w:rPr>
        <w:t xml:space="preserve">determina </w:t>
      </w:r>
      <w:r w:rsidRPr="008A72D9">
        <w:rPr>
          <w:rFonts w:ascii="Palatino Linotype" w:hAnsi="Palatino Linotype" w:cs="Arial"/>
          <w:b/>
          <w:lang w:val="es-ES_tradnl"/>
        </w:rPr>
        <w:t>SOBRESEER</w:t>
      </w:r>
      <w:r w:rsidRPr="008A72D9">
        <w:rPr>
          <w:rFonts w:ascii="Palatino Linotype" w:hAnsi="Palatino Linotype" w:cs="Arial"/>
          <w:lang w:val="es-ES_tradnl"/>
        </w:rPr>
        <w:t xml:space="preserve"> en el presente Recurso de Revisión, en </w:t>
      </w:r>
      <w:r w:rsidRPr="008A72D9">
        <w:rPr>
          <w:rFonts w:ascii="Palatino Linotype" w:hAnsi="Palatino Linotype"/>
          <w:bCs/>
        </w:rPr>
        <w:t>términos</w:t>
      </w:r>
      <w:r w:rsidRPr="008A72D9">
        <w:rPr>
          <w:rFonts w:ascii="Palatino Linotype" w:hAnsi="Palatino Linotype" w:cs="Arial"/>
          <w:lang w:val="es-ES_tradnl"/>
        </w:rPr>
        <w:t xml:space="preserve"> del artículo 186, fracción I de la </w:t>
      </w:r>
      <w:r w:rsidRPr="008A72D9">
        <w:rPr>
          <w:rFonts w:ascii="Palatino Linotype" w:eastAsia="Calibri" w:hAnsi="Palatino Linotype" w:cs="Arial"/>
        </w:rPr>
        <w:t>Ley de Transparencia y Acceso a la Información Pública del Estado de México y Municipios:</w:t>
      </w:r>
    </w:p>
    <w:p w14:paraId="6E3DD339"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 xml:space="preserve">Artículo 186. </w:t>
      </w:r>
      <w:r w:rsidRPr="008A72D9">
        <w:rPr>
          <w:rFonts w:ascii="Palatino Linotype" w:hAnsi="Palatino Linotype" w:cs="Arial"/>
          <w:b/>
          <w:i/>
          <w:sz w:val="22"/>
          <w:u w:val="single"/>
        </w:rPr>
        <w:t>Las resoluciones del Instituto podrán</w:t>
      </w:r>
      <w:r w:rsidRPr="008A72D9">
        <w:rPr>
          <w:rFonts w:ascii="Palatino Linotype" w:hAnsi="Palatino Linotype" w:cs="Arial"/>
          <w:i/>
          <w:sz w:val="22"/>
        </w:rPr>
        <w:t xml:space="preserve">: </w:t>
      </w:r>
    </w:p>
    <w:p w14:paraId="54DD1C54"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b/>
          <w:i/>
          <w:sz w:val="22"/>
        </w:rPr>
        <w:t xml:space="preserve">I. </w:t>
      </w:r>
      <w:r w:rsidRPr="008A72D9">
        <w:rPr>
          <w:rFonts w:ascii="Palatino Linotype" w:hAnsi="Palatino Linotype" w:cs="Arial"/>
          <w:i/>
          <w:sz w:val="22"/>
        </w:rPr>
        <w:t xml:space="preserve">Desechar o </w:t>
      </w:r>
      <w:r w:rsidRPr="008A72D9">
        <w:rPr>
          <w:rFonts w:ascii="Palatino Linotype" w:hAnsi="Palatino Linotype" w:cs="Arial"/>
          <w:b/>
          <w:i/>
          <w:sz w:val="22"/>
          <w:u w:val="single"/>
        </w:rPr>
        <w:t>sobreseer el recurso</w:t>
      </w:r>
      <w:r w:rsidRPr="008A72D9">
        <w:rPr>
          <w:rFonts w:ascii="Palatino Linotype" w:hAnsi="Palatino Linotype" w:cs="Arial"/>
          <w:i/>
          <w:sz w:val="22"/>
        </w:rPr>
        <w:t xml:space="preserve">;” </w:t>
      </w:r>
    </w:p>
    <w:p w14:paraId="4194AEA3" w14:textId="77777777"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t>(Énfasis añadido)</w:t>
      </w:r>
    </w:p>
    <w:p w14:paraId="7FFC812C" w14:textId="77777777" w:rsidR="00B06BC7" w:rsidRPr="008A72D9" w:rsidRDefault="00B06BC7" w:rsidP="00B06BC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hAnsi="Palatino Linotype" w:cs="Arial"/>
          <w:lang w:val="es-ES_tradnl"/>
        </w:rPr>
        <w:t xml:space="preserve">Asimismo, como </w:t>
      </w:r>
      <w:r w:rsidRPr="008A72D9">
        <w:rPr>
          <w:rFonts w:ascii="Palatino Linotype" w:hAnsi="Palatino Linotype"/>
          <w:color w:val="000000"/>
        </w:rPr>
        <w:t>consecuencia</w:t>
      </w:r>
      <w:r w:rsidRPr="008A72D9">
        <w:rPr>
          <w:rFonts w:ascii="Palatino Linotype" w:hAnsi="Palatino Linotype" w:cs="Arial"/>
          <w:lang w:val="es-ES_tradnl"/>
        </w:rPr>
        <w:t xml:space="preserve"> de la anterior determinación, resultan </w:t>
      </w:r>
      <w:r w:rsidRPr="008A72D9">
        <w:rPr>
          <w:rFonts w:ascii="Palatino Linotype" w:hAnsi="Palatino Linotype"/>
        </w:rPr>
        <w:t xml:space="preserve">inatendibles las razones o motivos de inconformidad expuestos por </w:t>
      </w:r>
      <w:r w:rsidR="004554BF">
        <w:rPr>
          <w:rFonts w:ascii="Palatino Linotype" w:hAnsi="Palatino Linotype" w:cs="Arial"/>
          <w:b/>
        </w:rPr>
        <w:t>EL</w:t>
      </w:r>
      <w:r w:rsidRPr="008A72D9">
        <w:rPr>
          <w:rFonts w:ascii="Palatino Linotype" w:hAnsi="Palatino Linotype" w:cs="Arial"/>
          <w:b/>
        </w:rPr>
        <w:t xml:space="preserve"> RECURRENTE</w:t>
      </w:r>
      <w:r w:rsidRPr="008A72D9">
        <w:rPr>
          <w:rFonts w:ascii="Palatino Linotype" w:hAnsi="Palatino Linotype"/>
        </w:rPr>
        <w:t xml:space="preserve">, en virtud de que el medio de impugnación </w:t>
      </w:r>
      <w:r w:rsidRPr="008A72D9">
        <w:rPr>
          <w:rFonts w:ascii="Palatino Linotype" w:hAnsi="Palatino Linotype"/>
          <w:b/>
        </w:rPr>
        <w:t>ha quedado sin materia</w:t>
      </w:r>
      <w:r w:rsidRPr="008A72D9">
        <w:rPr>
          <w:rFonts w:ascii="Palatino Linotype" w:hAnsi="Palatino Linotype"/>
        </w:rPr>
        <w:t xml:space="preserve">; por lo que, se concluye que la </w:t>
      </w:r>
      <w:r>
        <w:rPr>
          <w:rFonts w:ascii="Palatino Linotype" w:hAnsi="Palatino Linotype"/>
        </w:rPr>
        <w:t>manifestación de la voluntad de la</w:t>
      </w:r>
      <w:r w:rsidRPr="008A72D9">
        <w:rPr>
          <w:rFonts w:ascii="Palatino Linotype" w:hAnsi="Palatino Linotype"/>
        </w:rPr>
        <w:t xml:space="preserve"> promovente respecto a desistirse de la acción ejercida, se entiende que acepta de manera expresa que el procedimiento concluya sin suscitar consecuencias de derecho; asimismo, como lo señala la </w:t>
      </w:r>
      <w:r w:rsidRPr="008A72D9">
        <w:rPr>
          <w:rFonts w:ascii="Palatino Linotype" w:hAnsi="Palatino Linotype" w:cs="Arial"/>
        </w:rPr>
        <w:t xml:space="preserve">Tesis Jurisprudencial con número de registro 2012059 de la Segunda Sala de la Suprema Corte de Justicia de la Nación, correspondiente a la Décima Época, publicada en el Libro 32, Tomo I, </w:t>
      </w:r>
      <w:proofErr w:type="spellStart"/>
      <w:r w:rsidRPr="008A72D9">
        <w:rPr>
          <w:rFonts w:ascii="Palatino Linotype" w:hAnsi="Palatino Linotype" w:cs="Arial"/>
        </w:rPr>
        <w:t>pag</w:t>
      </w:r>
      <w:proofErr w:type="spellEnd"/>
      <w:r w:rsidRPr="008A72D9">
        <w:rPr>
          <w:rFonts w:ascii="Palatino Linotype" w:hAnsi="Palatino Linotype" w:cs="Arial"/>
        </w:rPr>
        <w:t>. 462 de la Gaceta del Semanario Judicial de la Federación de julio de 2016, el desistimiento del recurso genera que el Resolutor deba desocuparse del análisis de los planteamientos aducidos, sin necesidad de examinar las razones o motivos de inconformidad:</w:t>
      </w:r>
    </w:p>
    <w:p w14:paraId="14F46CA6"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DESISTIMIENTO DE LA ACCIÓN DE AMPARO. SUS CONSECUENCIAS</w:t>
      </w:r>
      <w:r w:rsidRPr="008A72D9">
        <w:rPr>
          <w:rFonts w:ascii="Palatino Linotype" w:hAnsi="Palatino Linotype" w:cs="Arial"/>
          <w:i/>
          <w:sz w:val="22"/>
        </w:rPr>
        <w:t xml:space="preserve">. </w:t>
      </w:r>
      <w:r w:rsidRPr="008A72D9">
        <w:rPr>
          <w:rFonts w:ascii="Palatino Linotype" w:hAnsi="Palatino Linotype" w:cs="Arial"/>
          <w:b/>
          <w:i/>
          <w:sz w:val="22"/>
          <w:u w:val="single"/>
        </w:rPr>
        <w:t>El desistimiento</w:t>
      </w:r>
      <w:r w:rsidRPr="008A72D9">
        <w:rPr>
          <w:rFonts w:ascii="Palatino Linotype" w:hAnsi="Palatino Linotype" w:cs="Arial"/>
          <w:i/>
          <w:sz w:val="22"/>
        </w:rPr>
        <w:t xml:space="preserve"> de la acción de amparo </w:t>
      </w:r>
      <w:r w:rsidRPr="008A72D9">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Pr="008A72D9">
        <w:rPr>
          <w:rFonts w:ascii="Palatino Linotype" w:hAnsi="Palatino Linotype" w:cs="Arial"/>
          <w:i/>
          <w:sz w:val="22"/>
        </w:rPr>
        <w:t xml:space="preserve"> de amparo, independientemente de la etapa en que se encuentre (desde el inicio del juicio hasta antes de que cause ejecutoria la sentencia que se </w:t>
      </w:r>
      <w:r w:rsidRPr="008A72D9">
        <w:rPr>
          <w:rFonts w:ascii="Palatino Linotype" w:hAnsi="Palatino Linotype" w:cs="Arial"/>
          <w:i/>
          <w:sz w:val="22"/>
        </w:rPr>
        <w:lastRenderedPageBreak/>
        <w:t xml:space="preserve">dicte) y </w:t>
      </w:r>
      <w:r w:rsidRPr="008A72D9">
        <w:rPr>
          <w:rFonts w:ascii="Palatino Linotype" w:hAnsi="Palatino Linotype" w:cs="Arial"/>
          <w:b/>
          <w:i/>
          <w:sz w:val="22"/>
          <w:u w:val="single"/>
        </w:rPr>
        <w:t>sin necesidad de examinar los conceptos de violación o, en su caso, los agravios</w:t>
      </w:r>
      <w:r w:rsidRPr="008A72D9">
        <w:rPr>
          <w:rFonts w:ascii="Palatino Linotype" w:hAnsi="Palatino Linotype" w:cs="Arial"/>
          <w:i/>
          <w:sz w:val="22"/>
        </w:rPr>
        <w:t xml:space="preserve">. </w:t>
      </w:r>
    </w:p>
    <w:p w14:paraId="7FF8D2ED"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14:paraId="07C0B7E6"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en revisión 1377/2015. Alfa New </w:t>
      </w:r>
      <w:proofErr w:type="spellStart"/>
      <w:r w:rsidRPr="008A72D9">
        <w:rPr>
          <w:rFonts w:ascii="Palatino Linotype" w:hAnsi="Palatino Linotype" w:cs="Arial"/>
          <w:i/>
          <w:sz w:val="22"/>
        </w:rPr>
        <w:t>Life</w:t>
      </w:r>
      <w:proofErr w:type="spellEnd"/>
      <w:r w:rsidRPr="008A72D9">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Dayán. Ponente: Eduardo Medina Mora I. Secretaria: Paola </w:t>
      </w:r>
      <w:proofErr w:type="spellStart"/>
      <w:r w:rsidRPr="008A72D9">
        <w:rPr>
          <w:rFonts w:ascii="Palatino Linotype" w:hAnsi="Palatino Linotype" w:cs="Arial"/>
          <w:i/>
          <w:sz w:val="22"/>
        </w:rPr>
        <w:t>Yaber</w:t>
      </w:r>
      <w:proofErr w:type="spellEnd"/>
      <w:r w:rsidRPr="008A72D9">
        <w:rPr>
          <w:rFonts w:ascii="Palatino Linotype" w:hAnsi="Palatino Linotype" w:cs="Arial"/>
          <w:i/>
          <w:sz w:val="22"/>
        </w:rPr>
        <w:t xml:space="preserve"> Coronado.</w:t>
      </w:r>
    </w:p>
    <w:p w14:paraId="075BB851"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en revisión 1551/2015. Distribuidora </w:t>
      </w:r>
      <w:proofErr w:type="spellStart"/>
      <w:r w:rsidRPr="008A72D9">
        <w:rPr>
          <w:rFonts w:ascii="Palatino Linotype" w:hAnsi="Palatino Linotype" w:cs="Arial"/>
          <w:i/>
          <w:sz w:val="22"/>
        </w:rPr>
        <w:t>Teyvi</w:t>
      </w:r>
      <w:proofErr w:type="spellEnd"/>
      <w:r w:rsidRPr="008A72D9">
        <w:rPr>
          <w:rFonts w:ascii="Palatino Linotype" w:hAnsi="Palatino Linotype" w:cs="Arial"/>
          <w:i/>
          <w:sz w:val="22"/>
        </w:rPr>
        <w:t>,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14:paraId="64BAB305"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14:paraId="6972BE7A"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14:paraId="72022B3B"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Tesis de jurisprudencia 82/2016 (10a.). Aprobada por la Segunda Sala de este Alto Tribunal, en sesión privada del veintidós de junio de dos mil dieciséis.”</w:t>
      </w:r>
    </w:p>
    <w:p w14:paraId="58415943" w14:textId="77777777"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t>(Énfasis añadido)</w:t>
      </w:r>
    </w:p>
    <w:p w14:paraId="5E0A4FA8" w14:textId="025E3D04" w:rsidR="00B06BC7" w:rsidRPr="008A72D9" w:rsidRDefault="00B06BC7" w:rsidP="00B06BC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eastAsia="Calibri" w:hAnsi="Palatino Linotype" w:cs="Arial"/>
        </w:rPr>
        <w:t xml:space="preserve">Aunado a lo anterior, sirve de apoyo lo establecido en </w:t>
      </w:r>
      <w:r w:rsidRPr="008A72D9">
        <w:rPr>
          <w:rFonts w:ascii="Palatino Linotype" w:hAnsi="Palatino Linotype"/>
        </w:rPr>
        <w:t xml:space="preserve">la </w:t>
      </w:r>
      <w:r w:rsidRPr="008A72D9">
        <w:rPr>
          <w:rFonts w:ascii="Palatino Linotype" w:hAnsi="Palatino Linotype" w:cs="Arial"/>
        </w:rPr>
        <w:t xml:space="preserve">Tesis Aislada, con número de registro </w:t>
      </w:r>
      <w:r w:rsidRPr="008A72D9">
        <w:rPr>
          <w:rFonts w:ascii="Palatino Linotype" w:eastAsia="Calibri" w:hAnsi="Palatino Linotype" w:cs="Arial"/>
        </w:rPr>
        <w:t xml:space="preserve">211360 </w:t>
      </w:r>
      <w:r w:rsidRPr="008A72D9">
        <w:rPr>
          <w:rFonts w:ascii="Palatino Linotype" w:hAnsi="Palatino Linotype" w:cs="Arial"/>
        </w:rPr>
        <w:t xml:space="preserve">de la Octava Época, emitida por el Segundo Tribunal Colegiado del Sexto Circuito, publicada en el Tomo XIV, </w:t>
      </w:r>
      <w:r w:rsidR="00852688" w:rsidRPr="008A72D9">
        <w:rPr>
          <w:rFonts w:ascii="Palatino Linotype" w:hAnsi="Palatino Linotype" w:cs="Arial"/>
        </w:rPr>
        <w:t>pág.</w:t>
      </w:r>
      <w:r w:rsidRPr="008A72D9">
        <w:rPr>
          <w:rFonts w:ascii="Palatino Linotype" w:hAnsi="Palatino Linotype" w:cs="Arial"/>
        </w:rPr>
        <w:t xml:space="preserve"> 547 del Semanario Judicial de la Federación de julio de 1994, cuyo rubro y texto esgrimen lo siguiente:</w:t>
      </w:r>
    </w:p>
    <w:p w14:paraId="4C9EC496"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lastRenderedPageBreak/>
        <w:t>“</w:t>
      </w:r>
      <w:r w:rsidRPr="008A72D9">
        <w:rPr>
          <w:rFonts w:ascii="Palatino Linotype" w:hAnsi="Palatino Linotype" w:cs="Arial"/>
          <w:b/>
          <w:i/>
          <w:sz w:val="22"/>
        </w:rPr>
        <w:t>DESISTIMIENTOS DE LA ACCION Y DE LA DEMANDA. DIFERENCIAS</w:t>
      </w:r>
      <w:r w:rsidRPr="008A72D9">
        <w:rPr>
          <w:rFonts w:ascii="Palatino Linotype" w:hAnsi="Palatino Linotype" w:cs="Arial"/>
          <w:i/>
          <w:sz w:val="22"/>
        </w:rPr>
        <w:t xml:space="preserve">. No es lo mismo desistir de la acción que de la demanda o instancia, ya que </w:t>
      </w:r>
      <w:r w:rsidRPr="008A72D9">
        <w:rPr>
          <w:rFonts w:ascii="Palatino Linotype" w:hAnsi="Palatino Linotype" w:cs="Arial"/>
          <w:b/>
          <w:i/>
          <w:sz w:val="22"/>
          <w:u w:val="single"/>
        </w:rPr>
        <w:t>en el desistimiento de la demanda se pierden todos los derechos y situaciones procesales</w:t>
      </w:r>
      <w:r w:rsidRPr="008A72D9">
        <w:rPr>
          <w:rFonts w:ascii="Palatino Linotype" w:hAnsi="Palatino Linotype" w:cs="Arial"/>
          <w:i/>
          <w:sz w:val="22"/>
        </w:rPr>
        <w:t xml:space="preserve">; y si no ha prescrito la acción, puede volverse a ejercitar mediante la presentación de una nueva demanda; mientras que </w:t>
      </w:r>
      <w:r w:rsidRPr="008A72D9">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Pr="008A72D9">
        <w:rPr>
          <w:rFonts w:ascii="Palatino Linotype" w:hAnsi="Palatino Linotype" w:cs="Arial"/>
          <w:i/>
          <w:sz w:val="22"/>
        </w:rPr>
        <w:t>.</w:t>
      </w:r>
    </w:p>
    <w:p w14:paraId="01E87F32"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SEGUNDO TRIBUNAL COLEGIADO DEL SEXTO CIRCUITO.</w:t>
      </w:r>
    </w:p>
    <w:p w14:paraId="4F644654"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14:paraId="54EAE1F4" w14:textId="77777777"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329/92. Jaime Vera López. 1o. de septiembre de 1992. Unanimidad de votos. Ponente: José Galván Rojas. Secretario: Armando Cortés Galván.”</w:t>
      </w:r>
    </w:p>
    <w:p w14:paraId="51EB2B86" w14:textId="77777777"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t>(Énfasis añadido)</w:t>
      </w:r>
    </w:p>
    <w:p w14:paraId="45F1A45F" w14:textId="77777777" w:rsidR="00B06BC7" w:rsidRPr="008A72D9" w:rsidRDefault="00B06BC7" w:rsidP="00B06BC7">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8A72D9">
        <w:rPr>
          <w:rFonts w:ascii="Palatino Linotype" w:eastAsia="Calibri" w:hAnsi="Palatino Linotype" w:cs="Arial"/>
        </w:rPr>
        <w:t xml:space="preserve">Así, con </w:t>
      </w:r>
      <w:r w:rsidRPr="008A72D9">
        <w:rPr>
          <w:rFonts w:ascii="Palatino Linotype" w:hAnsi="Palatino Linotype" w:cs="Arial"/>
        </w:rPr>
        <w:t>fundamento</w:t>
      </w:r>
      <w:r w:rsidRPr="008A72D9">
        <w:rPr>
          <w:rFonts w:ascii="Palatino Linotype" w:eastAsia="Calibri" w:hAnsi="Palatino Linotype" w:cs="Arial"/>
        </w:rPr>
        <w:t xml:space="preserve"> en lo prescrito en los artículos 5, </w:t>
      </w:r>
      <w:r w:rsidRPr="008A72D9">
        <w:rPr>
          <w:rFonts w:ascii="Palatino Linotype" w:hAnsi="Palatino Linotype"/>
        </w:rPr>
        <w:t>párrafos vigésimo segundo, vigésimo tercero y vigésimo cuarto</w:t>
      </w:r>
      <w:r w:rsidRPr="008A72D9">
        <w:rPr>
          <w:rFonts w:ascii="Palatino Linotype" w:hAnsi="Palatino Linotype" w:cs="Arial"/>
        </w:rPr>
        <w:t>,</w:t>
      </w:r>
      <w:r w:rsidRPr="008A72D9">
        <w:rPr>
          <w:rFonts w:ascii="Palatino Linotype" w:hAnsi="Palatino Linotype"/>
        </w:rPr>
        <w:t xml:space="preserve"> fracciones IV y V,</w:t>
      </w:r>
      <w:r w:rsidRPr="008A72D9">
        <w:rPr>
          <w:rFonts w:ascii="Palatino Linotype" w:eastAsia="Calibri" w:hAnsi="Palatino Linotype" w:cs="Arial"/>
        </w:rPr>
        <w:t xml:space="preserve"> de la Constitución Política del Estado Libre y Soberano de </w:t>
      </w:r>
      <w:r w:rsidRPr="008A72D9">
        <w:rPr>
          <w:rFonts w:ascii="Palatino Linotype" w:hAnsi="Palatino Linotype" w:cs="Arial"/>
          <w:lang w:val="es-ES_tradnl"/>
        </w:rPr>
        <w:t>México</w:t>
      </w:r>
      <w:r w:rsidRPr="008A72D9">
        <w:rPr>
          <w:rFonts w:ascii="Palatino Linotype" w:eastAsia="Calibri" w:hAnsi="Palatino Linotype" w:cs="Arial"/>
        </w:rPr>
        <w:t xml:space="preserve"> y los artículos </w:t>
      </w:r>
      <w:r w:rsidRPr="008A72D9">
        <w:rPr>
          <w:rFonts w:ascii="Palatino Linotype" w:hAnsi="Palatino Linotype"/>
        </w:rPr>
        <w:t xml:space="preserve">2, </w:t>
      </w:r>
      <w:r w:rsidRPr="008A72D9">
        <w:rPr>
          <w:rFonts w:ascii="Palatino Linotype" w:hAnsi="Palatino Linotype" w:cs="Arial"/>
        </w:rPr>
        <w:t>fracción</w:t>
      </w:r>
      <w:r w:rsidRPr="008A72D9">
        <w:rPr>
          <w:rFonts w:ascii="Palatino Linotype" w:hAnsi="Palatino Linotype"/>
        </w:rPr>
        <w:t xml:space="preserve"> II, 9, </w:t>
      </w:r>
      <w:r w:rsidRPr="008A72D9">
        <w:rPr>
          <w:rFonts w:ascii="Palatino Linotype" w:hAnsi="Palatino Linotype" w:cs="Arial"/>
          <w:lang w:val="es-ES_tradnl"/>
        </w:rPr>
        <w:t>29</w:t>
      </w:r>
      <w:r w:rsidRPr="008A72D9">
        <w:rPr>
          <w:rFonts w:ascii="Palatino Linotype" w:hAnsi="Palatino Linotype"/>
        </w:rPr>
        <w:t xml:space="preserve">, 36, fracciones I y II, 176, 178, </w:t>
      </w:r>
      <w:r>
        <w:rPr>
          <w:rFonts w:ascii="Palatino Linotype" w:hAnsi="Palatino Linotype"/>
        </w:rPr>
        <w:t xml:space="preserve">179, 181, 185, fracción I, 186, </w:t>
      </w:r>
      <w:r w:rsidRPr="008A72D9">
        <w:rPr>
          <w:rFonts w:ascii="Palatino Linotype" w:hAnsi="Palatino Linotype"/>
        </w:rPr>
        <w:t>188</w:t>
      </w:r>
      <w:r>
        <w:rPr>
          <w:rFonts w:ascii="Palatino Linotype" w:hAnsi="Palatino Linotype"/>
        </w:rPr>
        <w:t xml:space="preserve"> y 192, fracción I</w:t>
      </w:r>
      <w:r w:rsidRPr="008A72D9">
        <w:rPr>
          <w:rFonts w:ascii="Palatino Linotype" w:eastAsia="Calibri" w:hAnsi="Palatino Linotype" w:cs="Arial"/>
        </w:rPr>
        <w:t xml:space="preserve"> de la Ley de Transparencia y Acceso a la Información Pública del Estado de México y </w:t>
      </w:r>
      <w:r w:rsidRPr="008A72D9">
        <w:rPr>
          <w:rFonts w:ascii="Palatino Linotype" w:hAnsi="Palatino Linotype" w:cs="Arial"/>
        </w:rPr>
        <w:t>Municipios</w:t>
      </w:r>
      <w:r w:rsidRPr="008A72D9">
        <w:rPr>
          <w:rFonts w:ascii="Palatino Linotype" w:eastAsia="Calibri" w:hAnsi="Palatino Linotype" w:cs="Arial"/>
        </w:rPr>
        <w:t xml:space="preserve">, </w:t>
      </w:r>
      <w:r w:rsidRPr="008A72D9">
        <w:rPr>
          <w:rFonts w:ascii="Palatino Linotype" w:hAnsi="Palatino Linotype"/>
        </w:rPr>
        <w:t>este</w:t>
      </w:r>
      <w:r w:rsidRPr="008A72D9">
        <w:rPr>
          <w:rFonts w:ascii="Palatino Linotype" w:eastAsia="Calibri" w:hAnsi="Palatino Linotype" w:cs="Arial"/>
        </w:rPr>
        <w:t xml:space="preserve"> Pleno:</w:t>
      </w:r>
    </w:p>
    <w:p w14:paraId="623BB18B" w14:textId="77777777" w:rsidR="00B06BC7" w:rsidRPr="00C5057E" w:rsidRDefault="00B06BC7" w:rsidP="00B06BC7">
      <w:pPr>
        <w:spacing w:before="100" w:beforeAutospacing="1" w:after="100" w:afterAutospacing="1"/>
        <w:contextualSpacing/>
        <w:jc w:val="center"/>
        <w:rPr>
          <w:rFonts w:ascii="Palatino Linotype" w:hAnsi="Palatino Linotype"/>
          <w:b/>
          <w:bCs/>
          <w:color w:val="000000" w:themeColor="text1"/>
          <w:spacing w:val="40"/>
          <w:sz w:val="28"/>
        </w:rPr>
      </w:pPr>
      <w:r w:rsidRPr="00C5057E">
        <w:rPr>
          <w:rFonts w:ascii="Palatino Linotype" w:hAnsi="Palatino Linotype"/>
          <w:b/>
          <w:bCs/>
          <w:color w:val="000000" w:themeColor="text1"/>
          <w:spacing w:val="40"/>
          <w:sz w:val="28"/>
        </w:rPr>
        <w:t>RESUELVE</w:t>
      </w:r>
    </w:p>
    <w:p w14:paraId="271703F4" w14:textId="77777777" w:rsidR="00B06BC7" w:rsidRPr="00C5057E" w:rsidRDefault="00B06BC7" w:rsidP="00B06BC7">
      <w:pPr>
        <w:spacing w:before="100" w:beforeAutospacing="1" w:after="100" w:afterAutospacing="1"/>
        <w:contextualSpacing/>
        <w:jc w:val="center"/>
        <w:rPr>
          <w:rFonts w:ascii="Palatino Linotype" w:hAnsi="Palatino Linotype"/>
          <w:b/>
          <w:bCs/>
          <w:color w:val="000000" w:themeColor="text1"/>
          <w:spacing w:val="40"/>
          <w:sz w:val="28"/>
        </w:rPr>
      </w:pPr>
    </w:p>
    <w:p w14:paraId="38FF750B" w14:textId="5931AA32" w:rsidR="00B06BC7" w:rsidRPr="008A72D9"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color w:val="000000" w:themeColor="text1"/>
        </w:rPr>
      </w:pPr>
      <w:r w:rsidRPr="00C5057E">
        <w:rPr>
          <w:rFonts w:ascii="Palatino Linotype" w:hAnsi="Palatino Linotype" w:cs="Arial"/>
          <w:b/>
          <w:color w:val="000000" w:themeColor="text1"/>
          <w:sz w:val="28"/>
          <w:szCs w:val="28"/>
          <w:lang w:val="es-ES"/>
        </w:rPr>
        <w:t>PRIMERO</w:t>
      </w:r>
      <w:r w:rsidRPr="00C5057E">
        <w:rPr>
          <w:rFonts w:ascii="Palatino Linotype" w:hAnsi="Palatino Linotype" w:cs="Arial"/>
          <w:color w:val="000000" w:themeColor="text1"/>
          <w:sz w:val="28"/>
          <w:szCs w:val="28"/>
          <w:lang w:val="es-ES"/>
        </w:rPr>
        <w:t>.</w:t>
      </w:r>
      <w:r w:rsidRPr="00C5057E">
        <w:rPr>
          <w:rFonts w:ascii="Palatino Linotype" w:hAnsi="Palatino Linotype" w:cs="Arial"/>
          <w:color w:val="000000" w:themeColor="text1"/>
          <w:lang w:val="es-ES"/>
        </w:rPr>
        <w:t xml:space="preserve"> </w:t>
      </w:r>
      <w:r w:rsidRPr="008A72D9">
        <w:rPr>
          <w:rFonts w:ascii="Palatino Linotype" w:hAnsi="Palatino Linotype" w:cs="Arial"/>
          <w:color w:val="000000" w:themeColor="text1"/>
        </w:rPr>
        <w:t>Se</w:t>
      </w:r>
      <w:r w:rsidRPr="008A72D9">
        <w:rPr>
          <w:rFonts w:ascii="Palatino Linotype" w:hAnsi="Palatino Linotype" w:cs="Arial"/>
          <w:b/>
          <w:color w:val="000000" w:themeColor="text1"/>
        </w:rPr>
        <w:t xml:space="preserve"> SOBRESEE </w:t>
      </w:r>
      <w:r w:rsidRPr="008A72D9">
        <w:rPr>
          <w:rFonts w:ascii="Palatino Linotype" w:hAnsi="Palatino Linotype" w:cs="Arial"/>
          <w:color w:val="000000" w:themeColor="text1"/>
        </w:rPr>
        <w:t xml:space="preserve">el </w:t>
      </w:r>
      <w:r w:rsidRPr="008A72D9">
        <w:rPr>
          <w:rFonts w:ascii="Palatino Linotype" w:hAnsi="Palatino Linotype" w:cs="Arial"/>
          <w:color w:val="222222"/>
          <w:shd w:val="clear" w:color="auto" w:fill="FFFFFF"/>
        </w:rPr>
        <w:t>Recurso</w:t>
      </w:r>
      <w:r w:rsidRPr="008A72D9">
        <w:rPr>
          <w:rFonts w:ascii="Palatino Linotype" w:hAnsi="Palatino Linotype" w:cs="Arial"/>
          <w:color w:val="000000" w:themeColor="text1"/>
        </w:rPr>
        <w:t xml:space="preserve"> de </w:t>
      </w:r>
      <w:r w:rsidRPr="008A72D9">
        <w:rPr>
          <w:rFonts w:ascii="Palatino Linotype" w:hAnsi="Palatino Linotype"/>
          <w:lang w:eastAsia="es-ES_tradnl"/>
        </w:rPr>
        <w:t>Revisión</w:t>
      </w:r>
      <w:r w:rsidRPr="008A72D9">
        <w:rPr>
          <w:rFonts w:ascii="Palatino Linotype" w:hAnsi="Palatino Linotype" w:cs="Arial"/>
          <w:color w:val="000000" w:themeColor="text1"/>
        </w:rPr>
        <w:t xml:space="preserve"> número</w:t>
      </w:r>
      <w:r w:rsidRPr="008A72D9">
        <w:rPr>
          <w:rFonts w:ascii="Palatino Linotype" w:hAnsi="Palatino Linotype" w:cs="Arial"/>
          <w:b/>
          <w:color w:val="000000" w:themeColor="text1"/>
        </w:rPr>
        <w:t xml:space="preserve"> </w:t>
      </w:r>
      <w:r w:rsidRPr="002811FA">
        <w:rPr>
          <w:rFonts w:ascii="Palatino Linotype" w:hAnsi="Palatino Linotype" w:cs="Arial"/>
          <w:b/>
          <w:bCs/>
          <w:color w:val="000000" w:themeColor="text1"/>
        </w:rPr>
        <w:t>0</w:t>
      </w:r>
      <w:r w:rsidR="00852688" w:rsidRPr="002811FA">
        <w:rPr>
          <w:rFonts w:ascii="Palatino Linotype" w:hAnsi="Palatino Linotype" w:cs="Arial"/>
          <w:b/>
          <w:bCs/>
          <w:color w:val="000000" w:themeColor="text1"/>
        </w:rPr>
        <w:t>4062</w:t>
      </w:r>
      <w:r w:rsidRPr="002811FA">
        <w:rPr>
          <w:rFonts w:ascii="Palatino Linotype" w:hAnsi="Palatino Linotype" w:cs="Arial"/>
          <w:b/>
          <w:bCs/>
          <w:color w:val="000000" w:themeColor="text1"/>
        </w:rPr>
        <w:t>/INFOEM/IP/RR/2020</w:t>
      </w:r>
      <w:r w:rsidRPr="008A72D9">
        <w:rPr>
          <w:rFonts w:ascii="Palatino Linotype" w:hAnsi="Palatino Linotype" w:cs="Arial"/>
          <w:color w:val="000000" w:themeColor="text1"/>
        </w:rPr>
        <w:t xml:space="preserve">, </w:t>
      </w:r>
      <w:r w:rsidRPr="008A72D9">
        <w:rPr>
          <w:rFonts w:ascii="Palatino Linotype" w:hAnsi="Palatino Linotype"/>
        </w:rPr>
        <w:t xml:space="preserve">por </w:t>
      </w:r>
      <w:r w:rsidRPr="008A72D9">
        <w:rPr>
          <w:rFonts w:ascii="Palatino Linotype" w:hAnsi="Palatino Linotype"/>
          <w:b/>
        </w:rPr>
        <w:t xml:space="preserve">haberse desistido expresamente </w:t>
      </w:r>
      <w:r w:rsidR="004554BF">
        <w:rPr>
          <w:rFonts w:ascii="Palatino Linotype" w:hAnsi="Palatino Linotype" w:cs="Arial"/>
          <w:b/>
        </w:rPr>
        <w:t>L</w:t>
      </w:r>
      <w:r w:rsidR="00852688">
        <w:rPr>
          <w:rFonts w:ascii="Palatino Linotype" w:hAnsi="Palatino Linotype" w:cs="Arial"/>
          <w:b/>
        </w:rPr>
        <w:t>A</w:t>
      </w:r>
      <w:r w:rsidRPr="008A72D9">
        <w:rPr>
          <w:rFonts w:ascii="Palatino Linotype" w:hAnsi="Palatino Linotype" w:cs="Arial"/>
          <w:b/>
        </w:rPr>
        <w:t xml:space="preserve"> RECURRENTE</w:t>
      </w:r>
      <w:r w:rsidRPr="008A72D9">
        <w:rPr>
          <w:rFonts w:ascii="Palatino Linotype" w:hAnsi="Palatino Linotype"/>
        </w:rPr>
        <w:t>,</w:t>
      </w:r>
      <w:r w:rsidRPr="008A72D9">
        <w:rPr>
          <w:rFonts w:ascii="Palatino Linotype" w:hAnsi="Palatino Linotype" w:cs="Arial"/>
          <w:color w:val="000000" w:themeColor="text1"/>
        </w:rPr>
        <w:t xml:space="preserve"> en </w:t>
      </w:r>
      <w:r w:rsidRPr="008A72D9">
        <w:rPr>
          <w:rFonts w:ascii="Palatino Linotype" w:hAnsi="Palatino Linotype"/>
          <w:lang w:eastAsia="es-ES_tradnl"/>
        </w:rPr>
        <w:t>términos</w:t>
      </w:r>
      <w:r w:rsidRPr="008A72D9">
        <w:rPr>
          <w:rFonts w:ascii="Palatino Linotype" w:hAnsi="Palatino Linotype" w:cs="Arial"/>
          <w:color w:val="000000" w:themeColor="text1"/>
        </w:rPr>
        <w:t xml:space="preserve"> del Considerando</w:t>
      </w:r>
      <w:r w:rsidRPr="008A72D9">
        <w:rPr>
          <w:rFonts w:ascii="Palatino Linotype" w:hAnsi="Palatino Linotype" w:cs="Arial"/>
          <w:b/>
          <w:color w:val="000000" w:themeColor="text1"/>
        </w:rPr>
        <w:t xml:space="preserve"> </w:t>
      </w:r>
      <w:r w:rsidRPr="008A72D9">
        <w:rPr>
          <w:rFonts w:ascii="Palatino Linotype" w:hAnsi="Palatino Linotype" w:cs="Arial"/>
          <w:b/>
          <w:color w:val="000000" w:themeColor="text1"/>
        </w:rPr>
        <w:fldChar w:fldCharType="begin"/>
      </w:r>
      <w:r w:rsidRPr="008A72D9">
        <w:rPr>
          <w:rFonts w:ascii="Palatino Linotype" w:hAnsi="Palatino Linotype" w:cs="Arial"/>
          <w:b/>
          <w:color w:val="000000" w:themeColor="text1"/>
        </w:rPr>
        <w:instrText xml:space="preserve"> REF _Ref528751948 \r \h  \* MERGEFORMAT </w:instrText>
      </w:r>
      <w:r w:rsidRPr="008A72D9">
        <w:rPr>
          <w:rFonts w:ascii="Palatino Linotype" w:hAnsi="Palatino Linotype" w:cs="Arial"/>
          <w:b/>
          <w:color w:val="000000" w:themeColor="text1"/>
        </w:rPr>
      </w:r>
      <w:r w:rsidRPr="008A72D9">
        <w:rPr>
          <w:rFonts w:ascii="Palatino Linotype" w:hAnsi="Palatino Linotype" w:cs="Arial"/>
          <w:b/>
          <w:color w:val="000000" w:themeColor="text1"/>
        </w:rPr>
        <w:fldChar w:fldCharType="separate"/>
      </w:r>
      <w:r w:rsidRPr="008A72D9">
        <w:rPr>
          <w:rFonts w:ascii="Palatino Linotype" w:hAnsi="Palatino Linotype" w:cs="Arial"/>
          <w:b/>
          <w:color w:val="000000" w:themeColor="text1"/>
        </w:rPr>
        <w:t>QUINTO</w:t>
      </w:r>
      <w:r w:rsidRPr="008A72D9">
        <w:rPr>
          <w:rFonts w:ascii="Palatino Linotype" w:hAnsi="Palatino Linotype" w:cs="Arial"/>
          <w:b/>
          <w:color w:val="000000" w:themeColor="text1"/>
        </w:rPr>
        <w:fldChar w:fldCharType="end"/>
      </w:r>
      <w:r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de la presente resolución.</w:t>
      </w:r>
    </w:p>
    <w:p w14:paraId="3B39F2D3" w14:textId="77777777" w:rsidR="00B06BC7" w:rsidRPr="008A72D9"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935EB5">
        <w:rPr>
          <w:rFonts w:ascii="Palatino Linotype" w:hAnsi="Palatino Linotype" w:cs="Arial"/>
          <w:b/>
          <w:color w:val="222222"/>
          <w:sz w:val="28"/>
          <w:szCs w:val="28"/>
          <w:shd w:val="clear" w:color="auto" w:fill="FFFFFF"/>
        </w:rPr>
        <w:t>SEGUNDO</w:t>
      </w:r>
      <w:r>
        <w:rPr>
          <w:rFonts w:ascii="Palatino Linotype" w:hAnsi="Palatino Linotype" w:cs="Arial"/>
          <w:b/>
          <w:color w:val="222222"/>
          <w:shd w:val="clear" w:color="auto" w:fill="FFFFFF"/>
        </w:rPr>
        <w:t xml:space="preserve">. </w:t>
      </w:r>
      <w:r w:rsidRPr="008A72D9">
        <w:rPr>
          <w:rFonts w:ascii="Palatino Linotype" w:hAnsi="Palatino Linotype" w:cs="Arial"/>
          <w:b/>
          <w:color w:val="222222"/>
          <w:shd w:val="clear" w:color="auto" w:fill="FFFFFF"/>
        </w:rPr>
        <w:t xml:space="preserve">Notifíquese </w:t>
      </w:r>
      <w:r w:rsidRPr="008A72D9">
        <w:rPr>
          <w:rFonts w:ascii="Palatino Linotype" w:hAnsi="Palatino Linotype" w:cs="Arial"/>
          <w:color w:val="222222"/>
          <w:shd w:val="clear" w:color="auto" w:fill="FFFFFF"/>
        </w:rPr>
        <w:t xml:space="preserve">al </w:t>
      </w:r>
      <w:r w:rsidRPr="00935EB5">
        <w:rPr>
          <w:rFonts w:ascii="Palatino Linotype" w:hAnsi="Palatino Linotype" w:cs="Arial"/>
          <w:color w:val="000000" w:themeColor="text1"/>
        </w:rPr>
        <w:t>Titular de la Unidad de Transparencia</w:t>
      </w:r>
      <w:r w:rsidRPr="008A72D9">
        <w:rPr>
          <w:rFonts w:ascii="Palatino Linotype" w:hAnsi="Palatino Linotype" w:cs="Arial"/>
          <w:color w:val="222222"/>
          <w:shd w:val="clear" w:color="auto" w:fill="FFFFFF"/>
        </w:rPr>
        <w:t xml:space="preserve"> del</w:t>
      </w:r>
      <w:r w:rsidRPr="008A72D9">
        <w:rPr>
          <w:rStyle w:val="apple-converted-space"/>
          <w:rFonts w:ascii="Palatino Linotype" w:hAnsi="Palatino Linotype" w:cs="Arial"/>
          <w:color w:val="222222"/>
          <w:shd w:val="clear" w:color="auto" w:fill="FFFFFF"/>
        </w:rPr>
        <w:t xml:space="preserve"> </w:t>
      </w:r>
      <w:r w:rsidRPr="008A72D9">
        <w:rPr>
          <w:rFonts w:ascii="Palatino Linotype" w:hAnsi="Palatino Linotype" w:cs="Arial"/>
          <w:b/>
          <w:color w:val="222222"/>
          <w:shd w:val="clear" w:color="auto" w:fill="FFFFFF"/>
        </w:rPr>
        <w:t>SUJETO OBLIGADO</w:t>
      </w:r>
      <w:r w:rsidRPr="008A72D9">
        <w:rPr>
          <w:rFonts w:ascii="Palatino Linotype" w:hAnsi="Palatino Linotype" w:cs="Arial"/>
          <w:color w:val="222222"/>
          <w:shd w:val="clear" w:color="auto" w:fill="FFFFFF"/>
        </w:rPr>
        <w:t xml:space="preserve"> para su conocimiento.</w:t>
      </w:r>
    </w:p>
    <w:p w14:paraId="39255B99" w14:textId="3DDDC8BE" w:rsidR="00B06BC7" w:rsidRPr="008A72D9"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eastAsiaTheme="minorEastAsia" w:hAnsi="Palatino Linotype"/>
          <w:color w:val="222222"/>
          <w:lang w:eastAsia="es-ES_tradnl"/>
        </w:rPr>
      </w:pPr>
      <w:r w:rsidRPr="00935EB5">
        <w:rPr>
          <w:rFonts w:ascii="Palatino Linotype" w:eastAsiaTheme="minorEastAsia" w:hAnsi="Palatino Linotype"/>
          <w:b/>
          <w:color w:val="222222"/>
          <w:sz w:val="28"/>
          <w:szCs w:val="28"/>
          <w:lang w:eastAsia="es-ES_tradnl"/>
        </w:rPr>
        <w:lastRenderedPageBreak/>
        <w:t>TERCERO</w:t>
      </w:r>
      <w:r>
        <w:rPr>
          <w:rFonts w:ascii="Palatino Linotype" w:eastAsiaTheme="minorEastAsia" w:hAnsi="Palatino Linotype"/>
          <w:b/>
          <w:color w:val="222222"/>
          <w:lang w:eastAsia="es-ES_tradnl"/>
        </w:rPr>
        <w:t xml:space="preserve">. </w:t>
      </w:r>
      <w:r w:rsidRPr="00DF4216">
        <w:rPr>
          <w:rFonts w:ascii="Palatino Linotype" w:eastAsiaTheme="minorEastAsia" w:hAnsi="Palatino Linotype"/>
          <w:b/>
          <w:color w:val="222222"/>
          <w:lang w:eastAsia="es-ES_tradnl"/>
        </w:rPr>
        <w:t>Notifíquese</w:t>
      </w:r>
      <w:r w:rsidRPr="00DF4216">
        <w:rPr>
          <w:rFonts w:ascii="Palatino Linotype" w:eastAsiaTheme="minorEastAsia" w:hAnsi="Palatino Linotype"/>
          <w:color w:val="222222"/>
          <w:lang w:eastAsia="es-ES_tradnl"/>
        </w:rPr>
        <w:t xml:space="preserve"> a</w:t>
      </w:r>
      <w:r w:rsidR="00852688" w:rsidRPr="00DF4216">
        <w:rPr>
          <w:rFonts w:ascii="Palatino Linotype" w:eastAsiaTheme="minorEastAsia" w:hAnsi="Palatino Linotype"/>
          <w:color w:val="222222"/>
          <w:lang w:eastAsia="es-ES_tradnl"/>
        </w:rPr>
        <w:t xml:space="preserve"> </w:t>
      </w:r>
      <w:r w:rsidR="00DF4216">
        <w:rPr>
          <w:rFonts w:ascii="Palatino Linotype" w:eastAsiaTheme="minorEastAsia" w:hAnsi="Palatino Linotype"/>
          <w:b/>
          <w:bCs/>
          <w:color w:val="222222"/>
          <w:lang w:eastAsia="es-ES_tradnl"/>
        </w:rPr>
        <w:t xml:space="preserve">LA </w:t>
      </w:r>
      <w:r w:rsidR="00852688" w:rsidRPr="00DF4216">
        <w:rPr>
          <w:rFonts w:ascii="Palatino Linotype" w:eastAsiaTheme="minorEastAsia" w:hAnsi="Palatino Linotype"/>
          <w:b/>
          <w:bCs/>
          <w:color w:val="222222"/>
          <w:lang w:eastAsia="es-ES_tradnl"/>
        </w:rPr>
        <w:t>RECURRENTE</w:t>
      </w:r>
      <w:r w:rsidRPr="00DF4216">
        <w:rPr>
          <w:rFonts w:ascii="Palatino Linotype" w:eastAsiaTheme="minorEastAsia" w:hAnsi="Palatino Linotype"/>
          <w:color w:val="222222"/>
          <w:lang w:eastAsia="es-ES_tradnl"/>
        </w:rPr>
        <w:t xml:space="preserve"> la</w:t>
      </w:r>
      <w:r w:rsidRPr="008A72D9">
        <w:rPr>
          <w:rFonts w:ascii="Palatino Linotype" w:eastAsiaTheme="minorEastAsia" w:hAnsi="Palatino Linotype"/>
          <w:color w:val="222222"/>
          <w:lang w:eastAsia="es-ES_tradnl"/>
        </w:rPr>
        <w:t xml:space="preserve"> </w:t>
      </w:r>
      <w:r w:rsidRPr="008A72D9">
        <w:rPr>
          <w:rFonts w:ascii="Palatino Linotype" w:hAnsi="Palatino Linotype"/>
          <w:lang w:eastAsia="es-ES_tradnl"/>
        </w:rPr>
        <w:t>presente</w:t>
      </w:r>
      <w:r w:rsidRPr="008A72D9">
        <w:rPr>
          <w:rFonts w:ascii="Palatino Linotype" w:eastAsiaTheme="minorEastAsia" w:hAnsi="Palatino Linotype"/>
          <w:color w:val="222222"/>
          <w:lang w:eastAsia="es-ES_tradnl"/>
        </w:rPr>
        <w:t xml:space="preserve"> resolución.</w:t>
      </w:r>
    </w:p>
    <w:p w14:paraId="6937D957" w14:textId="660A3EDF" w:rsidR="00B06BC7" w:rsidRPr="008A72D9" w:rsidRDefault="00B06BC7" w:rsidP="00B06BC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olor w:val="222222"/>
          <w:lang w:eastAsia="es-MX"/>
        </w:rPr>
      </w:pPr>
      <w:r w:rsidRPr="00935EB5">
        <w:rPr>
          <w:rFonts w:ascii="Palatino Linotype" w:eastAsiaTheme="minorEastAsia" w:hAnsi="Palatino Linotype"/>
          <w:b/>
          <w:color w:val="222222"/>
          <w:sz w:val="28"/>
          <w:szCs w:val="28"/>
          <w:lang w:eastAsia="es-ES_tradnl"/>
        </w:rPr>
        <w:t>CUARTO</w:t>
      </w:r>
      <w:r>
        <w:rPr>
          <w:rFonts w:ascii="Palatino Linotype" w:eastAsiaTheme="minorEastAsia" w:hAnsi="Palatino Linotype"/>
          <w:b/>
          <w:color w:val="222222"/>
          <w:lang w:eastAsia="es-ES_tradnl"/>
        </w:rPr>
        <w:t xml:space="preserve">. </w:t>
      </w:r>
      <w:r w:rsidRPr="008A72D9">
        <w:rPr>
          <w:rFonts w:ascii="Palatino Linotype" w:eastAsiaTheme="minorEastAsia" w:hAnsi="Palatino Linotype"/>
          <w:b/>
          <w:color w:val="222222"/>
          <w:lang w:eastAsia="es-ES_tradnl"/>
        </w:rPr>
        <w:t xml:space="preserve">Hágase del </w:t>
      </w:r>
      <w:r w:rsidRPr="00DF4216">
        <w:rPr>
          <w:rFonts w:ascii="Palatino Linotype" w:eastAsiaTheme="minorEastAsia" w:hAnsi="Palatino Linotype"/>
          <w:b/>
          <w:color w:val="222222"/>
          <w:lang w:eastAsia="es-ES_tradnl"/>
        </w:rPr>
        <w:t>conocimiento</w:t>
      </w:r>
      <w:r w:rsidRPr="00DF4216">
        <w:rPr>
          <w:rFonts w:ascii="Palatino Linotype" w:eastAsiaTheme="minorEastAsia" w:hAnsi="Palatino Linotype"/>
          <w:color w:val="222222"/>
          <w:lang w:eastAsia="es-ES_tradnl"/>
        </w:rPr>
        <w:t xml:space="preserve"> a</w:t>
      </w:r>
      <w:r w:rsidR="00852688" w:rsidRPr="00DF4216">
        <w:rPr>
          <w:rFonts w:ascii="Palatino Linotype" w:eastAsiaTheme="minorEastAsia" w:hAnsi="Palatino Linotype"/>
          <w:color w:val="222222"/>
          <w:lang w:eastAsia="es-ES_tradnl"/>
        </w:rPr>
        <w:t xml:space="preserve"> </w:t>
      </w:r>
      <w:r w:rsidR="00DF4216" w:rsidRPr="00DF4216">
        <w:rPr>
          <w:rFonts w:ascii="Palatino Linotype" w:eastAsiaTheme="minorEastAsia" w:hAnsi="Palatino Linotype"/>
          <w:b/>
          <w:bCs/>
          <w:color w:val="222222"/>
          <w:lang w:eastAsia="es-ES_tradnl"/>
        </w:rPr>
        <w:t>LA</w:t>
      </w:r>
      <w:r w:rsidRPr="00DF4216">
        <w:rPr>
          <w:rFonts w:ascii="Palatino Linotype" w:hAnsi="Palatino Linotype"/>
          <w:b/>
        </w:rPr>
        <w:t xml:space="preserve"> RECURRENTE</w:t>
      </w:r>
      <w:r w:rsidRPr="00DF4216">
        <w:rPr>
          <w:rFonts w:ascii="Palatino Linotype" w:eastAsiaTheme="minorEastAsia" w:hAnsi="Palatino Linotype"/>
          <w:color w:val="222222"/>
          <w:lang w:eastAsia="es-ES_tradnl"/>
        </w:rPr>
        <w:t xml:space="preserve"> que</w:t>
      </w:r>
      <w:r w:rsidRPr="008A72D9">
        <w:rPr>
          <w:rFonts w:ascii="Palatino Linotype" w:eastAsiaTheme="minorEastAsia" w:hAnsi="Palatino Linotype"/>
          <w:color w:val="222222"/>
          <w:lang w:eastAsia="es-ES_tradnl"/>
        </w:rPr>
        <w:t xml:space="preserve">, de </w:t>
      </w:r>
      <w:r w:rsidRPr="008A72D9">
        <w:rPr>
          <w:rFonts w:ascii="Palatino Linotype" w:hAnsi="Palatino Linotype"/>
          <w:lang w:eastAsia="es-ES_tradnl"/>
        </w:rPr>
        <w:t>conformidad</w:t>
      </w:r>
      <w:r w:rsidRPr="008A72D9">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1E99D9DD" w14:textId="45683A0C" w:rsidR="00B06BC7" w:rsidRPr="008F6701" w:rsidRDefault="00B06BC7" w:rsidP="00B06BC7">
      <w:pPr>
        <w:spacing w:before="100" w:beforeAutospacing="1" w:after="100" w:afterAutospacing="1" w:line="360" w:lineRule="auto"/>
        <w:contextualSpacing/>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t xml:space="preserve">ASÍ LO RESUELVE, POR </w:t>
      </w:r>
      <w:r w:rsidR="00574F67">
        <w:rPr>
          <w:rFonts w:ascii="Palatino Linotype" w:hAnsi="Palatino Linotype" w:cs="Arial"/>
          <w:color w:val="000000" w:themeColor="text1"/>
          <w:lang w:val="es-ES"/>
        </w:rPr>
        <w:t xml:space="preserve">UNANIMIDAD </w:t>
      </w:r>
      <w:r w:rsidRPr="008F6701">
        <w:rPr>
          <w:rFonts w:ascii="Palatino Linotype" w:hAnsi="Palatino Linotype" w:cs="Arial"/>
          <w:color w:val="000000" w:themeColor="text1"/>
          <w:lang w:val="es-ES"/>
        </w:rPr>
        <w:t>DE VOTOS EL PLENO DEL</w:t>
      </w:r>
      <w:r w:rsidRPr="008F6701">
        <w:rPr>
          <w:rFonts w:ascii="Palatino Linotype" w:eastAsia="Arial Unicode MS" w:hAnsi="Palatino Linotype" w:cs="Arial"/>
          <w:color w:val="000000" w:themeColor="text1"/>
          <w:lang w:val="es-ES"/>
        </w:rPr>
        <w:t xml:space="preserve"> INSTITUTO DE </w:t>
      </w:r>
      <w:r w:rsidRPr="008F6701">
        <w:rPr>
          <w:rFonts w:ascii="Palatino Linotype" w:hAnsi="Palatino Linotype"/>
          <w:color w:val="000000" w:themeColor="text1"/>
          <w:lang w:val="es-ES" w:eastAsia="en-US"/>
        </w:rPr>
        <w:t>TRANSPARENCIA</w:t>
      </w:r>
      <w:r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Pr="008F6701">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8F6701">
        <w:rPr>
          <w:rFonts w:ascii="Palatino Linotype" w:hAnsi="Palatino Linotype" w:cs="Arial"/>
          <w:color w:val="000000" w:themeColor="text1"/>
          <w:shd w:val="clear" w:color="auto" w:fill="FFFFFF" w:themeFill="background1"/>
          <w:lang w:val="es-ES"/>
        </w:rPr>
        <w:t xml:space="preserve">EN </w:t>
      </w:r>
      <w:r w:rsidRPr="00574F67">
        <w:rPr>
          <w:rFonts w:ascii="Palatino Linotype" w:hAnsi="Palatino Linotype" w:cs="Arial"/>
          <w:color w:val="000000" w:themeColor="text1"/>
          <w:shd w:val="clear" w:color="auto" w:fill="FFFFFF" w:themeFill="background1"/>
          <w:lang w:val="es-ES"/>
        </w:rPr>
        <w:t xml:space="preserve">LA </w:t>
      </w:r>
      <w:r w:rsidR="002811FA" w:rsidRPr="00574F67">
        <w:rPr>
          <w:rFonts w:ascii="Palatino Linotype" w:hAnsi="Palatino Linotype" w:cs="Arial"/>
          <w:color w:val="000000" w:themeColor="text1"/>
          <w:shd w:val="clear" w:color="auto" w:fill="FFFFFF" w:themeFill="background1"/>
          <w:lang w:val="es-ES"/>
        </w:rPr>
        <w:t>VIG</w:t>
      </w:r>
      <w:r w:rsidR="006879BB" w:rsidRPr="00574F67">
        <w:rPr>
          <w:rFonts w:ascii="Palatino Linotype" w:hAnsi="Palatino Linotype" w:cs="Arial"/>
          <w:color w:val="000000" w:themeColor="text1"/>
          <w:shd w:val="clear" w:color="auto" w:fill="FFFFFF" w:themeFill="background1"/>
          <w:lang w:val="es-ES"/>
        </w:rPr>
        <w:t>É</w:t>
      </w:r>
      <w:r w:rsidR="00574F67" w:rsidRPr="00574F67">
        <w:rPr>
          <w:rFonts w:ascii="Palatino Linotype" w:hAnsi="Palatino Linotype" w:cs="Arial"/>
          <w:color w:val="000000" w:themeColor="text1"/>
          <w:shd w:val="clear" w:color="auto" w:fill="FFFFFF" w:themeFill="background1"/>
          <w:lang w:val="es-ES"/>
        </w:rPr>
        <w:t>SIMA</w:t>
      </w:r>
      <w:r w:rsidR="002811FA" w:rsidRPr="00574F67">
        <w:rPr>
          <w:rFonts w:ascii="Palatino Linotype" w:hAnsi="Palatino Linotype" w:cs="Arial"/>
          <w:color w:val="000000" w:themeColor="text1"/>
          <w:shd w:val="clear" w:color="auto" w:fill="FFFFFF" w:themeFill="background1"/>
          <w:lang w:val="es-ES"/>
        </w:rPr>
        <w:t xml:space="preserve"> SEXTA</w:t>
      </w:r>
      <w:r w:rsidRPr="00574F67">
        <w:rPr>
          <w:rFonts w:ascii="Palatino Linotype" w:hAnsi="Palatino Linotype" w:cs="Arial"/>
          <w:color w:val="000000" w:themeColor="text1"/>
          <w:shd w:val="clear" w:color="auto" w:fill="FFFFFF" w:themeFill="background1"/>
          <w:lang w:val="es-ES"/>
        </w:rPr>
        <w:t xml:space="preserve"> </w:t>
      </w:r>
      <w:r w:rsidRPr="00574F67">
        <w:rPr>
          <w:rFonts w:ascii="Palatino Linotype" w:hAnsi="Palatino Linotype" w:cs="Arial"/>
          <w:color w:val="000000" w:themeColor="text1"/>
          <w:lang w:val="es-ES"/>
        </w:rPr>
        <w:t xml:space="preserve">SESIÓN ORDINARIA CELEBRADA EL </w:t>
      </w:r>
      <w:r w:rsidR="00852688" w:rsidRPr="00574F67">
        <w:rPr>
          <w:rFonts w:ascii="Palatino Linotype" w:hAnsi="Palatino Linotype" w:cs="Arial"/>
          <w:color w:val="000000" w:themeColor="text1"/>
          <w:lang w:val="es-ES"/>
        </w:rPr>
        <w:t>ONCE DE NOVIEMBRE</w:t>
      </w:r>
      <w:r w:rsidRPr="00574F67">
        <w:rPr>
          <w:rFonts w:ascii="Palatino Linotype" w:hAnsi="Palatino Linotype" w:cs="Arial"/>
          <w:color w:val="000000" w:themeColor="text1"/>
          <w:lang w:val="es-ES"/>
        </w:rPr>
        <w:t xml:space="preserve"> DE DOS MIL VEINTE, ANTE EL SECRETARIO TÉCNICO DEL PLENO, </w:t>
      </w:r>
      <w:r w:rsidRPr="00574F67">
        <w:rPr>
          <w:rFonts w:ascii="Palatino Linotype" w:eastAsia="Arial Unicode MS" w:hAnsi="Palatino Linotype" w:cs="Arial"/>
          <w:color w:val="000000" w:themeColor="text1"/>
          <w:lang w:val="es-ES"/>
        </w:rPr>
        <w:t>ALEXIS</w:t>
      </w:r>
      <w:r w:rsidRPr="00574F67">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B06BC7" w:rsidRPr="008F6701" w14:paraId="3982A57A" w14:textId="77777777" w:rsidTr="00175AA3">
        <w:trPr>
          <w:jc w:val="center"/>
        </w:trPr>
        <w:tc>
          <w:tcPr>
            <w:tcW w:w="10368" w:type="dxa"/>
          </w:tcPr>
          <w:p w14:paraId="0F47C569"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F6D039E"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430A043"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880F856"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B06BC7" w:rsidRPr="008F6701" w14:paraId="3FD24DF4" w14:textId="77777777" w:rsidTr="00175AA3">
              <w:trPr>
                <w:jc w:val="center"/>
              </w:trPr>
              <w:tc>
                <w:tcPr>
                  <w:tcW w:w="10365" w:type="dxa"/>
                  <w:gridSpan w:val="2"/>
                  <w:shd w:val="clear" w:color="auto" w:fill="auto"/>
                </w:tcPr>
                <w:p w14:paraId="06C3FED2"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14:paraId="28137045" w14:textId="77777777" w:rsidR="00B06BC7" w:rsidRPr="002E0EBF" w:rsidRDefault="00B06BC7" w:rsidP="00175AA3">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2E0EBF">
                    <w:rPr>
                      <w:rFonts w:ascii="Palatino Linotype" w:eastAsiaTheme="minorEastAsia" w:hAnsi="Palatino Linotype" w:cs="Arial"/>
                      <w:color w:val="000000" w:themeColor="text1"/>
                      <w:lang w:val="es-ES_tradnl"/>
                    </w:rPr>
                    <w:t>Comisionada Presidenta</w:t>
                  </w:r>
                </w:p>
                <w:p w14:paraId="0CC6C077"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61D1B">
                    <w:rPr>
                      <w:rFonts w:ascii="Palatino Linotype" w:eastAsiaTheme="minorEastAsia" w:hAnsi="Palatino Linotype" w:cs="Arial"/>
                      <w:b/>
                      <w:color w:val="FFFFFF" w:themeColor="background1"/>
                      <w:lang w:val="es-ES_tradnl"/>
                    </w:rPr>
                    <w:t xml:space="preserve">(RÚBRICA) </w:t>
                  </w:r>
                </w:p>
              </w:tc>
            </w:tr>
            <w:tr w:rsidR="00B06BC7" w:rsidRPr="008F6701" w14:paraId="04BE3E8A" w14:textId="77777777" w:rsidTr="00175AA3">
              <w:trPr>
                <w:jc w:val="center"/>
              </w:trPr>
              <w:tc>
                <w:tcPr>
                  <w:tcW w:w="5182" w:type="dxa"/>
                  <w:shd w:val="clear" w:color="auto" w:fill="auto"/>
                </w:tcPr>
                <w:p w14:paraId="02055061"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0E93856"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E22FD55" w14:textId="77777777" w:rsidR="00B06BC7"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D813E9B" w14:textId="77777777" w:rsidR="002E0EBF" w:rsidRDefault="002E0EBF"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24B9C8C" w14:textId="77777777" w:rsidR="002E0EBF" w:rsidRPr="008F6701" w:rsidRDefault="002E0EBF"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F5D784E"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FDCF452"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Eva </w:t>
                  </w:r>
                  <w:proofErr w:type="spellStart"/>
                  <w:r w:rsidRPr="008F6701">
                    <w:rPr>
                      <w:rFonts w:ascii="Palatino Linotype" w:eastAsiaTheme="minorEastAsia" w:hAnsi="Palatino Linotype" w:cs="Arial"/>
                      <w:b/>
                      <w:color w:val="000000" w:themeColor="text1"/>
                      <w:lang w:val="es-ES_tradnl"/>
                    </w:rPr>
                    <w:t>Abaid</w:t>
                  </w:r>
                  <w:proofErr w:type="spellEnd"/>
                  <w:r w:rsidRPr="008F6701">
                    <w:rPr>
                      <w:rFonts w:ascii="Palatino Linotype" w:eastAsiaTheme="minorEastAsia" w:hAnsi="Palatino Linotype" w:cs="Arial"/>
                      <w:b/>
                      <w:color w:val="000000" w:themeColor="text1"/>
                      <w:lang w:val="es-ES_tradnl"/>
                    </w:rPr>
                    <w:t xml:space="preserve"> </w:t>
                  </w:r>
                  <w:proofErr w:type="spellStart"/>
                  <w:r w:rsidRPr="008F6701">
                    <w:rPr>
                      <w:rFonts w:ascii="Palatino Linotype" w:eastAsiaTheme="minorEastAsia" w:hAnsi="Palatino Linotype" w:cs="Arial"/>
                      <w:b/>
                      <w:color w:val="000000" w:themeColor="text1"/>
                      <w:lang w:val="es-ES_tradnl"/>
                    </w:rPr>
                    <w:t>Yapur</w:t>
                  </w:r>
                  <w:proofErr w:type="spellEnd"/>
                </w:p>
                <w:p w14:paraId="2A95B92B" w14:textId="77777777" w:rsidR="00B06BC7" w:rsidRPr="002E0EBF" w:rsidRDefault="00B06BC7" w:rsidP="00175AA3">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2E0EBF">
                    <w:rPr>
                      <w:rFonts w:ascii="Palatino Linotype" w:eastAsiaTheme="minorEastAsia" w:hAnsi="Palatino Linotype" w:cs="Arial"/>
                      <w:color w:val="000000" w:themeColor="text1"/>
                      <w:lang w:val="es-ES_tradnl"/>
                    </w:rPr>
                    <w:t>Comisionada</w:t>
                  </w:r>
                </w:p>
                <w:p w14:paraId="4CED761F"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61D1B">
                    <w:rPr>
                      <w:rFonts w:ascii="Palatino Linotype" w:eastAsiaTheme="minorEastAsia" w:hAnsi="Palatino Linotype" w:cs="Arial"/>
                      <w:b/>
                      <w:color w:val="FFFFFF" w:themeColor="background1"/>
                      <w:lang w:val="es-ES_tradnl"/>
                    </w:rPr>
                    <w:t>(RÚBRICA)</w:t>
                  </w:r>
                </w:p>
              </w:tc>
              <w:tc>
                <w:tcPr>
                  <w:tcW w:w="5183" w:type="dxa"/>
                  <w:shd w:val="clear" w:color="auto" w:fill="auto"/>
                </w:tcPr>
                <w:p w14:paraId="4CD95263"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83A729C"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54BB1ED"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3F5901D" w14:textId="77777777" w:rsidR="00B06BC7"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9C17156" w14:textId="77777777" w:rsidR="002E0EBF" w:rsidRDefault="002E0EBF"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D25DF36" w14:textId="77777777" w:rsidR="002E0EBF" w:rsidRPr="008F6701" w:rsidRDefault="002E0EBF"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EA67929"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14:paraId="1382DE75" w14:textId="77777777" w:rsidR="00B06BC7" w:rsidRPr="002E0EBF" w:rsidRDefault="00B06BC7" w:rsidP="00175AA3">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2E0EBF">
                    <w:rPr>
                      <w:rFonts w:ascii="Palatino Linotype" w:eastAsiaTheme="minorEastAsia" w:hAnsi="Palatino Linotype" w:cs="Arial"/>
                      <w:color w:val="000000" w:themeColor="text1"/>
                      <w:lang w:val="es-ES_tradnl"/>
                    </w:rPr>
                    <w:t>Comisionado</w:t>
                  </w:r>
                </w:p>
                <w:p w14:paraId="1E9CE9B3"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61D1B">
                    <w:rPr>
                      <w:rFonts w:ascii="Palatino Linotype" w:eastAsiaTheme="minorEastAsia" w:hAnsi="Palatino Linotype" w:cs="Arial"/>
                      <w:b/>
                      <w:color w:val="FFFFFF" w:themeColor="background1"/>
                      <w:lang w:val="es-ES_tradnl"/>
                    </w:rPr>
                    <w:t>(RÚBRICA)</w:t>
                  </w:r>
                </w:p>
              </w:tc>
            </w:tr>
            <w:tr w:rsidR="00B06BC7" w:rsidRPr="008F6701" w14:paraId="5FE71E01" w14:textId="77777777" w:rsidTr="00175AA3">
              <w:trPr>
                <w:jc w:val="center"/>
              </w:trPr>
              <w:tc>
                <w:tcPr>
                  <w:tcW w:w="5182" w:type="dxa"/>
                  <w:shd w:val="clear" w:color="auto" w:fill="auto"/>
                </w:tcPr>
                <w:p w14:paraId="1171E4B1"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95F0263" w14:textId="77777777" w:rsidR="00B06BC7"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0F0F4D4" w14:textId="77777777" w:rsidR="002E0EBF" w:rsidRPr="008F6701" w:rsidRDefault="002E0EBF"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CEB70A0"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F4C69BD"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18159AB"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14:paraId="2A59BF14" w14:textId="77777777" w:rsidR="00B06BC7" w:rsidRPr="002E0EBF" w:rsidRDefault="00B06BC7" w:rsidP="00175AA3">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2E0EBF">
                    <w:rPr>
                      <w:rFonts w:ascii="Palatino Linotype" w:eastAsiaTheme="minorEastAsia" w:hAnsi="Palatino Linotype" w:cs="Arial"/>
                      <w:color w:val="000000" w:themeColor="text1"/>
                      <w:lang w:val="es-ES_tradnl"/>
                    </w:rPr>
                    <w:t>Comisionado</w:t>
                  </w:r>
                </w:p>
                <w:p w14:paraId="50042075"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61D1B">
                    <w:rPr>
                      <w:rFonts w:ascii="Palatino Linotype" w:eastAsiaTheme="minorEastAsia" w:hAnsi="Palatino Linotype" w:cs="Arial"/>
                      <w:b/>
                      <w:color w:val="FFFFFF" w:themeColor="background1"/>
                      <w:lang w:val="es-ES_tradnl"/>
                    </w:rPr>
                    <w:t>(RÚBRICA)</w:t>
                  </w:r>
                </w:p>
              </w:tc>
              <w:tc>
                <w:tcPr>
                  <w:tcW w:w="5183" w:type="dxa"/>
                  <w:shd w:val="clear" w:color="auto" w:fill="auto"/>
                </w:tcPr>
                <w:p w14:paraId="495DF934"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52E0B6B"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278E54F" w14:textId="77777777" w:rsidR="00B06BC7"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6ED5D87" w14:textId="77777777" w:rsidR="002E0EBF" w:rsidRPr="008F6701" w:rsidRDefault="002E0EBF"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301CE95"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75EFD86"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14:paraId="4230DDE3" w14:textId="77777777" w:rsidR="00B06BC7" w:rsidRPr="002E0EBF" w:rsidRDefault="00B06BC7" w:rsidP="00175AA3">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2E0EBF">
                    <w:rPr>
                      <w:rFonts w:ascii="Palatino Linotype" w:eastAsiaTheme="minorEastAsia" w:hAnsi="Palatino Linotype" w:cs="Arial"/>
                      <w:color w:val="000000" w:themeColor="text1"/>
                      <w:lang w:val="es-ES_tradnl"/>
                    </w:rPr>
                    <w:t>Comisionado</w:t>
                  </w:r>
                </w:p>
                <w:p w14:paraId="67BD2FFE"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61D1B">
                    <w:rPr>
                      <w:rFonts w:ascii="Palatino Linotype" w:eastAsiaTheme="minorEastAsia" w:hAnsi="Palatino Linotype" w:cs="Arial"/>
                      <w:b/>
                      <w:color w:val="FFFFFF" w:themeColor="background1"/>
                      <w:lang w:val="es-ES_tradnl"/>
                    </w:rPr>
                    <w:t>(RÚBRICA)</w:t>
                  </w:r>
                </w:p>
              </w:tc>
            </w:tr>
            <w:tr w:rsidR="00B06BC7" w:rsidRPr="008F6701" w14:paraId="511BC8B1" w14:textId="77777777" w:rsidTr="00175AA3">
              <w:trPr>
                <w:jc w:val="center"/>
              </w:trPr>
              <w:tc>
                <w:tcPr>
                  <w:tcW w:w="10365" w:type="dxa"/>
                  <w:gridSpan w:val="2"/>
                  <w:shd w:val="clear" w:color="auto" w:fill="auto"/>
                </w:tcPr>
                <w:p w14:paraId="4076FA6F"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F7247A5"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E335E2E"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3B0F15D" w14:textId="77777777" w:rsidR="00B06BC7"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B29EF44" w14:textId="77777777" w:rsidR="002E0EBF" w:rsidRPr="008F6701" w:rsidRDefault="002E0EBF"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62850C7"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14:paraId="63AFD3E2" w14:textId="77777777" w:rsidR="00B06BC7" w:rsidRPr="002E0EBF" w:rsidRDefault="00B06BC7" w:rsidP="00175AA3">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2E0EBF">
                    <w:rPr>
                      <w:rFonts w:ascii="Palatino Linotype" w:eastAsiaTheme="minorEastAsia" w:hAnsi="Palatino Linotype" w:cs="Arial"/>
                      <w:color w:val="000000" w:themeColor="text1"/>
                      <w:lang w:val="es-ES_tradnl"/>
                    </w:rPr>
                    <w:t>Secretario Técnico del Pleno</w:t>
                  </w:r>
                </w:p>
                <w:p w14:paraId="6B606D06" w14:textId="77777777" w:rsidR="00B06BC7" w:rsidRPr="00361D1B" w:rsidRDefault="00B06BC7" w:rsidP="00175AA3">
                  <w:pPr>
                    <w:spacing w:before="100" w:beforeAutospacing="1" w:after="100" w:afterAutospacing="1"/>
                    <w:contextualSpacing/>
                    <w:jc w:val="center"/>
                    <w:rPr>
                      <w:rFonts w:ascii="Palatino Linotype" w:eastAsiaTheme="minorEastAsia" w:hAnsi="Palatino Linotype" w:cs="Arial"/>
                      <w:b/>
                      <w:color w:val="FFFFFF" w:themeColor="background1"/>
                      <w:lang w:val="es-ES_tradnl"/>
                    </w:rPr>
                  </w:pPr>
                  <w:r w:rsidRPr="00361D1B">
                    <w:rPr>
                      <w:rFonts w:ascii="Palatino Linotype" w:eastAsiaTheme="minorEastAsia" w:hAnsi="Palatino Linotype" w:cs="Arial"/>
                      <w:b/>
                      <w:color w:val="FFFFFF" w:themeColor="background1"/>
                      <w:lang w:val="es-ES_tradnl"/>
                    </w:rPr>
                    <w:t xml:space="preserve">(RÚBRICA) </w:t>
                  </w:r>
                </w:p>
                <w:p w14:paraId="6D437CE8"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31EF043F" w14:textId="77777777" w:rsidR="00B06BC7" w:rsidRPr="008F6701" w:rsidRDefault="00B06BC7" w:rsidP="00175AA3">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52CCDAC5" w14:textId="77777777" w:rsidR="002E0EBF" w:rsidRDefault="002E0EBF"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17F193F5" w14:textId="77777777" w:rsidR="002E0EBF" w:rsidRDefault="002E0EBF"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29C5D00F" w14:textId="77777777" w:rsidR="002E0EBF" w:rsidRDefault="002E0EBF"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24CB8FD1" w14:textId="77777777" w:rsidR="002E0EBF" w:rsidRDefault="002E0EBF"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3058F987" w14:textId="77777777" w:rsidR="002E0EBF" w:rsidRDefault="002E0EBF"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0697726" w14:textId="77777777" w:rsidR="002E0EBF" w:rsidRDefault="002E0EBF"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490CD51B" w14:textId="77777777" w:rsidR="002E0EBF" w:rsidRDefault="002E0EBF"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14:paraId="641302D3" w14:textId="75ACB51E" w:rsidR="00B06BC7" w:rsidRPr="008F6701" w:rsidRDefault="00B06BC7"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Esta hoja corresponde a la resolución de </w:t>
      </w:r>
      <w:r w:rsidR="00852688">
        <w:rPr>
          <w:rFonts w:ascii="Palatino Linotype" w:eastAsiaTheme="minorEastAsia" w:hAnsi="Palatino Linotype" w:cs="Arial"/>
          <w:color w:val="000000" w:themeColor="text1"/>
          <w:sz w:val="20"/>
          <w:szCs w:val="20"/>
          <w:lang w:val="es-ES_tradnl"/>
        </w:rPr>
        <w:t>once de noviembre</w:t>
      </w:r>
      <w:r>
        <w:rPr>
          <w:rFonts w:ascii="Palatino Linotype" w:eastAsiaTheme="minorEastAsia" w:hAnsi="Palatino Linotype" w:cs="Arial"/>
          <w:color w:val="000000" w:themeColor="text1"/>
          <w:sz w:val="20"/>
          <w:szCs w:val="20"/>
          <w:lang w:val="es-ES_tradnl"/>
        </w:rPr>
        <w:t xml:space="preserve"> </w:t>
      </w:r>
      <w:r w:rsidRPr="008F6701">
        <w:rPr>
          <w:rFonts w:ascii="Palatino Linotype" w:eastAsiaTheme="minorEastAsia" w:hAnsi="Palatino Linotype" w:cs="Arial"/>
          <w:color w:val="000000" w:themeColor="text1"/>
          <w:sz w:val="20"/>
          <w:szCs w:val="20"/>
          <w:lang w:val="es-ES_tradnl"/>
        </w:rPr>
        <w:t xml:space="preserve">de dos mil veinte, emitida en </w:t>
      </w:r>
      <w:r>
        <w:rPr>
          <w:rFonts w:ascii="Palatino Linotype" w:eastAsiaTheme="minorEastAsia" w:hAnsi="Palatino Linotype" w:cs="Arial"/>
          <w:color w:val="000000" w:themeColor="text1"/>
          <w:sz w:val="20"/>
          <w:szCs w:val="20"/>
          <w:lang w:val="es-ES_tradnl"/>
        </w:rPr>
        <w:t xml:space="preserve">el recurso </w:t>
      </w:r>
      <w:r w:rsidRPr="008F6701">
        <w:rPr>
          <w:rFonts w:ascii="Palatino Linotype" w:eastAsiaTheme="minorEastAsia" w:hAnsi="Palatino Linotype" w:cs="Arial"/>
          <w:color w:val="000000" w:themeColor="text1"/>
          <w:sz w:val="20"/>
          <w:szCs w:val="20"/>
          <w:lang w:val="es-ES_tradnl"/>
        </w:rPr>
        <w:t xml:space="preserve">de revisión </w:t>
      </w:r>
      <w:r w:rsidR="00852688" w:rsidRPr="008F6701">
        <w:rPr>
          <w:rFonts w:ascii="Palatino Linotype" w:eastAsiaTheme="minorEastAsia" w:hAnsi="Palatino Linotype" w:cs="Arial"/>
          <w:color w:val="000000" w:themeColor="text1"/>
          <w:sz w:val="20"/>
          <w:szCs w:val="20"/>
          <w:lang w:val="es-ES_tradnl"/>
        </w:rPr>
        <w:t>0</w:t>
      </w:r>
      <w:r w:rsidR="00852688">
        <w:rPr>
          <w:rFonts w:ascii="Palatino Linotype" w:eastAsiaTheme="minorEastAsia" w:hAnsi="Palatino Linotype" w:cs="Arial"/>
          <w:color w:val="000000" w:themeColor="text1"/>
          <w:sz w:val="20"/>
          <w:szCs w:val="20"/>
          <w:lang w:val="es-ES_tradnl"/>
        </w:rPr>
        <w:t>4062</w:t>
      </w:r>
      <w:r w:rsidRPr="008F6701">
        <w:rPr>
          <w:rFonts w:ascii="Palatino Linotype" w:eastAsiaTheme="minorEastAsia" w:hAnsi="Palatino Linotype" w:cs="Arial"/>
          <w:color w:val="000000" w:themeColor="text1"/>
          <w:sz w:val="20"/>
          <w:szCs w:val="20"/>
          <w:lang w:val="es-ES_tradnl"/>
        </w:rPr>
        <w:t>/INFOEM/IP/RR/2020.</w:t>
      </w:r>
    </w:p>
    <w:p w14:paraId="486039C2" w14:textId="68E2AFED" w:rsidR="00B06BC7" w:rsidRPr="008F6701" w:rsidRDefault="00B06BC7" w:rsidP="00B06BC7">
      <w:pPr>
        <w:spacing w:before="100" w:beforeAutospacing="1" w:after="100" w:afterAutospacing="1"/>
        <w:contextualSpacing/>
        <w:jc w:val="both"/>
        <w:rPr>
          <w:rFonts w:ascii="Palatino Linotype" w:hAnsi="Palatino Linotype"/>
        </w:rPr>
      </w:pPr>
      <w:r>
        <w:rPr>
          <w:rFonts w:ascii="Palatino Linotype" w:eastAsiaTheme="minorEastAsia" w:hAnsi="Palatino Linotype" w:cs="Arial"/>
          <w:color w:val="000000" w:themeColor="text1"/>
          <w:sz w:val="20"/>
          <w:szCs w:val="20"/>
          <w:lang w:val="es-ES_tradnl"/>
        </w:rPr>
        <w:t>YSM/AMV</w:t>
      </w:r>
      <w:r w:rsidR="00852688">
        <w:rPr>
          <w:rFonts w:ascii="Palatino Linotype" w:eastAsiaTheme="minorEastAsia" w:hAnsi="Palatino Linotype" w:cs="Arial"/>
          <w:color w:val="000000" w:themeColor="text1"/>
          <w:sz w:val="20"/>
          <w:szCs w:val="20"/>
          <w:lang w:val="es-ES_tradnl"/>
        </w:rPr>
        <w:t>/DMHR</w:t>
      </w:r>
    </w:p>
    <w:p w14:paraId="2E94B0E7" w14:textId="77777777" w:rsidR="005A3EC5" w:rsidRDefault="005A3EC5"/>
    <w:sectPr w:rsidR="005A3EC5"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5A58F" w14:textId="77777777" w:rsidR="00BE3A0A" w:rsidRDefault="00BE3A0A" w:rsidP="00B06BC7">
      <w:r>
        <w:separator/>
      </w:r>
    </w:p>
  </w:endnote>
  <w:endnote w:type="continuationSeparator" w:id="0">
    <w:p w14:paraId="316024A4" w14:textId="77777777" w:rsidR="00BE3A0A" w:rsidRDefault="00BE3A0A" w:rsidP="00B0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B935" w14:textId="77777777" w:rsidR="00747BE5" w:rsidRPr="0010196A" w:rsidRDefault="000C732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04B7">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04B7">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C2953" w14:textId="77777777" w:rsidR="00747BE5" w:rsidRPr="0010196A" w:rsidRDefault="000C732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04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04B7">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228A0" w14:textId="77777777" w:rsidR="00BE3A0A" w:rsidRDefault="00BE3A0A" w:rsidP="00B06BC7">
      <w:r>
        <w:separator/>
      </w:r>
    </w:p>
  </w:footnote>
  <w:footnote w:type="continuationSeparator" w:id="0">
    <w:p w14:paraId="461D61DF" w14:textId="77777777" w:rsidR="00BE3A0A" w:rsidRDefault="00BE3A0A" w:rsidP="00B0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FC0C" w14:textId="77777777" w:rsidR="00747BE5" w:rsidRDefault="008804B7">
    <w:pPr>
      <w:pStyle w:val="Encabezado"/>
    </w:pPr>
    <w:r>
      <w:rPr>
        <w:noProof/>
        <w:lang w:val="es-MX" w:eastAsia="es-MX"/>
      </w:rPr>
      <w:pict w14:anchorId="6B9BE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76E4" w14:textId="77777777" w:rsidR="00747BE5" w:rsidRPr="0010196A" w:rsidRDefault="008804B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6427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47BE5" w:rsidRPr="008F2CCC" w14:paraId="5D335BA6" w14:textId="77777777" w:rsidTr="00625FD4">
      <w:tc>
        <w:tcPr>
          <w:tcW w:w="3261" w:type="dxa"/>
          <w:vMerge w:val="restart"/>
        </w:tcPr>
        <w:p w14:paraId="1EA8DACD" w14:textId="77777777" w:rsidR="00747BE5" w:rsidRPr="008F2CCC" w:rsidRDefault="000C732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DE12AEB" wp14:editId="52386139">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EDEB95F" w14:textId="77777777" w:rsidR="00747BE5" w:rsidRPr="00664658" w:rsidRDefault="000C732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517A559D" w14:textId="3E72D4F5" w:rsidR="00747BE5" w:rsidRPr="00664658" w:rsidRDefault="00E23F3E" w:rsidP="00931B53">
          <w:pPr>
            <w:jc w:val="both"/>
            <w:rPr>
              <w:rFonts w:ascii="Palatino Linotype" w:hAnsi="Palatino Linotype"/>
              <w:b/>
              <w:sz w:val="22"/>
              <w:szCs w:val="22"/>
              <w:lang w:val="es-ES_tradnl"/>
            </w:rPr>
          </w:pPr>
          <w:r>
            <w:rPr>
              <w:rFonts w:ascii="Palatino Linotype" w:hAnsi="Palatino Linotype"/>
              <w:b/>
              <w:sz w:val="22"/>
              <w:szCs w:val="22"/>
              <w:lang w:val="es-ES_tradnl"/>
            </w:rPr>
            <w:t>04062</w:t>
          </w:r>
          <w:r w:rsidR="000C7321" w:rsidRPr="00E6045D">
            <w:rPr>
              <w:rFonts w:ascii="Palatino Linotype" w:hAnsi="Palatino Linotype"/>
              <w:b/>
              <w:sz w:val="22"/>
              <w:szCs w:val="22"/>
              <w:lang w:val="es-ES_tradnl"/>
            </w:rPr>
            <w:t>/INFOEM/IP/RR/20</w:t>
          </w:r>
          <w:r w:rsidR="000C7321">
            <w:rPr>
              <w:rFonts w:ascii="Palatino Linotype" w:hAnsi="Palatino Linotype"/>
              <w:b/>
              <w:sz w:val="22"/>
              <w:szCs w:val="22"/>
              <w:lang w:val="es-ES_tradnl"/>
            </w:rPr>
            <w:t>20</w:t>
          </w:r>
        </w:p>
      </w:tc>
    </w:tr>
    <w:tr w:rsidR="00747BE5" w:rsidRPr="008F2CCC" w14:paraId="6ACF9D81" w14:textId="77777777" w:rsidTr="00625FD4">
      <w:tc>
        <w:tcPr>
          <w:tcW w:w="3261" w:type="dxa"/>
          <w:vMerge/>
        </w:tcPr>
        <w:p w14:paraId="164FD390" w14:textId="77777777" w:rsidR="00747BE5" w:rsidRPr="008F2CCC" w:rsidRDefault="008804B7" w:rsidP="00D41D47">
          <w:pPr>
            <w:rPr>
              <w:rFonts w:ascii="Palatino Linotype" w:hAnsi="Palatino Linotype"/>
              <w:b/>
              <w:sz w:val="22"/>
              <w:szCs w:val="22"/>
              <w:lang w:val="es-ES_tradnl"/>
            </w:rPr>
          </w:pPr>
        </w:p>
      </w:tc>
      <w:tc>
        <w:tcPr>
          <w:tcW w:w="2551" w:type="dxa"/>
          <w:shd w:val="clear" w:color="auto" w:fill="auto"/>
        </w:tcPr>
        <w:p w14:paraId="0F73F024" w14:textId="77777777" w:rsidR="00747BE5" w:rsidRPr="00664658" w:rsidRDefault="000C732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DD04AB9" w14:textId="56608901" w:rsidR="00747BE5" w:rsidRPr="00D41D47" w:rsidRDefault="000C7321" w:rsidP="00B06BC7">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E23F3E">
            <w:rPr>
              <w:rFonts w:ascii="Palatino Linotype" w:hAnsi="Palatino Linotype"/>
              <w:b/>
              <w:sz w:val="22"/>
              <w:szCs w:val="22"/>
              <w:lang w:val="es-ES_tradnl"/>
            </w:rPr>
            <w:t>Atizapán de Zaragoza</w:t>
          </w:r>
        </w:p>
      </w:tc>
    </w:tr>
    <w:tr w:rsidR="00747BE5" w:rsidRPr="008F2CCC" w14:paraId="0023B6DA" w14:textId="77777777" w:rsidTr="00625FD4">
      <w:trPr>
        <w:trHeight w:val="228"/>
      </w:trPr>
      <w:tc>
        <w:tcPr>
          <w:tcW w:w="3261" w:type="dxa"/>
          <w:vMerge/>
        </w:tcPr>
        <w:p w14:paraId="39DA5945" w14:textId="77777777" w:rsidR="00747BE5" w:rsidRPr="008F2CCC" w:rsidRDefault="008804B7" w:rsidP="00070856">
          <w:pPr>
            <w:rPr>
              <w:rFonts w:ascii="Palatino Linotype" w:hAnsi="Palatino Linotype"/>
              <w:b/>
              <w:sz w:val="22"/>
              <w:szCs w:val="22"/>
              <w:lang w:val="es-ES_tradnl"/>
            </w:rPr>
          </w:pPr>
        </w:p>
      </w:tc>
      <w:tc>
        <w:tcPr>
          <w:tcW w:w="2551" w:type="dxa"/>
          <w:shd w:val="clear" w:color="auto" w:fill="auto"/>
        </w:tcPr>
        <w:p w14:paraId="089F8C34" w14:textId="77777777" w:rsidR="00747BE5" w:rsidRPr="00664658" w:rsidRDefault="000C732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6BD25C16" w14:textId="77777777" w:rsidR="00747BE5" w:rsidRPr="00664658" w:rsidRDefault="000C732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752A6A3C" w14:textId="77777777" w:rsidR="00747BE5" w:rsidRPr="0010196A" w:rsidRDefault="008804B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0A13A" w14:textId="77777777" w:rsidR="00747BE5" w:rsidRPr="0010196A" w:rsidRDefault="008804B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747BE5" w:rsidRPr="008F2CCC" w14:paraId="580A7B4C" w14:textId="77777777" w:rsidTr="00905693">
      <w:tc>
        <w:tcPr>
          <w:tcW w:w="4253" w:type="dxa"/>
          <w:vMerge w:val="restart"/>
          <w:shd w:val="clear" w:color="auto" w:fill="auto"/>
        </w:tcPr>
        <w:p w14:paraId="4765F63A" w14:textId="77777777" w:rsidR="00747BE5" w:rsidRPr="008F2CCC" w:rsidRDefault="000C732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7F6981B" wp14:editId="2A3619D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DA3E5D7" w14:textId="77777777" w:rsidR="00747BE5" w:rsidRPr="008F2CCC" w:rsidRDefault="000C73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03B5299F" w14:textId="5074C893" w:rsidR="00747BE5" w:rsidRPr="008F2CCC" w:rsidRDefault="001A299F" w:rsidP="003A3143">
          <w:pPr>
            <w:jc w:val="both"/>
            <w:rPr>
              <w:rFonts w:ascii="Palatino Linotype" w:hAnsi="Palatino Linotype"/>
              <w:b/>
              <w:sz w:val="22"/>
              <w:szCs w:val="22"/>
              <w:lang w:val="es-ES_tradnl"/>
            </w:rPr>
          </w:pPr>
          <w:r>
            <w:rPr>
              <w:rFonts w:ascii="Palatino Linotype" w:hAnsi="Palatino Linotype"/>
              <w:b/>
              <w:sz w:val="22"/>
              <w:szCs w:val="22"/>
              <w:lang w:val="es-ES_tradnl"/>
            </w:rPr>
            <w:t>04062</w:t>
          </w:r>
          <w:r w:rsidR="000C7321">
            <w:rPr>
              <w:rFonts w:ascii="Palatino Linotype" w:hAnsi="Palatino Linotype"/>
              <w:b/>
              <w:sz w:val="22"/>
              <w:szCs w:val="22"/>
              <w:lang w:val="es-ES_tradnl"/>
            </w:rPr>
            <w:t xml:space="preserve">/INFOEM/IP/RR/2020 </w:t>
          </w:r>
        </w:p>
      </w:tc>
    </w:tr>
    <w:tr w:rsidR="00747BE5" w:rsidRPr="008F2CCC" w14:paraId="44CC50AB" w14:textId="77777777" w:rsidTr="00905693">
      <w:tc>
        <w:tcPr>
          <w:tcW w:w="4253" w:type="dxa"/>
          <w:vMerge/>
          <w:shd w:val="clear" w:color="auto" w:fill="auto"/>
        </w:tcPr>
        <w:p w14:paraId="2528F7D7" w14:textId="77777777" w:rsidR="00747BE5" w:rsidRPr="008F2CCC" w:rsidRDefault="008804B7" w:rsidP="00A2780F">
          <w:pPr>
            <w:rPr>
              <w:rFonts w:ascii="Palatino Linotype" w:hAnsi="Palatino Linotype"/>
              <w:b/>
              <w:sz w:val="22"/>
              <w:szCs w:val="22"/>
              <w:lang w:val="es-ES_tradnl"/>
            </w:rPr>
          </w:pPr>
        </w:p>
      </w:tc>
      <w:tc>
        <w:tcPr>
          <w:tcW w:w="2552" w:type="dxa"/>
          <w:shd w:val="clear" w:color="auto" w:fill="auto"/>
        </w:tcPr>
        <w:p w14:paraId="2FB8B5CB" w14:textId="77777777" w:rsidR="00747BE5" w:rsidRPr="008F2CCC" w:rsidRDefault="000C732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5C22F98C" w14:textId="704B993A" w:rsidR="00747BE5" w:rsidRPr="008F2CCC" w:rsidRDefault="00565362"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1A299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1A299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1A299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1A299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747BE5" w:rsidRPr="008F2CCC" w14:paraId="3D177BE5" w14:textId="77777777" w:rsidTr="00905693">
      <w:trPr>
        <w:trHeight w:val="228"/>
      </w:trPr>
      <w:tc>
        <w:tcPr>
          <w:tcW w:w="4253" w:type="dxa"/>
          <w:vMerge/>
          <w:shd w:val="clear" w:color="auto" w:fill="auto"/>
        </w:tcPr>
        <w:p w14:paraId="6D3F7DAB" w14:textId="77777777" w:rsidR="00747BE5" w:rsidRPr="008F2CCC" w:rsidRDefault="008804B7" w:rsidP="00E37C88">
          <w:pPr>
            <w:rPr>
              <w:rFonts w:ascii="Palatino Linotype" w:hAnsi="Palatino Linotype"/>
              <w:b/>
              <w:sz w:val="22"/>
              <w:szCs w:val="22"/>
              <w:lang w:val="es-ES_tradnl"/>
            </w:rPr>
          </w:pPr>
        </w:p>
      </w:tc>
      <w:tc>
        <w:tcPr>
          <w:tcW w:w="2552" w:type="dxa"/>
          <w:shd w:val="clear" w:color="auto" w:fill="auto"/>
        </w:tcPr>
        <w:p w14:paraId="37C50940" w14:textId="77777777" w:rsidR="00747BE5" w:rsidRPr="008F2CCC" w:rsidRDefault="000C73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1D00A71B" w14:textId="2B3F87BF" w:rsidR="00747BE5" w:rsidRPr="00DC41C8" w:rsidRDefault="000C7321" w:rsidP="00B06BC7">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1A299F">
            <w:rPr>
              <w:rFonts w:ascii="Palatino Linotype" w:hAnsi="Palatino Linotype"/>
              <w:b/>
              <w:sz w:val="22"/>
              <w:szCs w:val="22"/>
              <w:lang w:val="es-ES_tradnl"/>
            </w:rPr>
            <w:t>Atizapán de Zaragoza</w:t>
          </w:r>
        </w:p>
      </w:tc>
    </w:tr>
    <w:tr w:rsidR="00747BE5" w:rsidRPr="008F2CCC" w14:paraId="477B2702" w14:textId="77777777" w:rsidTr="00905693">
      <w:tc>
        <w:tcPr>
          <w:tcW w:w="4253" w:type="dxa"/>
          <w:vMerge/>
          <w:shd w:val="clear" w:color="auto" w:fill="auto"/>
        </w:tcPr>
        <w:p w14:paraId="48F8C5CD" w14:textId="77777777" w:rsidR="00747BE5" w:rsidRPr="008F2CCC" w:rsidRDefault="008804B7" w:rsidP="00A2780F">
          <w:pPr>
            <w:rPr>
              <w:rFonts w:ascii="Palatino Linotype" w:hAnsi="Palatino Linotype"/>
              <w:b/>
              <w:sz w:val="22"/>
              <w:szCs w:val="22"/>
              <w:lang w:val="es-ES_tradnl"/>
            </w:rPr>
          </w:pPr>
        </w:p>
      </w:tc>
      <w:tc>
        <w:tcPr>
          <w:tcW w:w="2552" w:type="dxa"/>
          <w:shd w:val="clear" w:color="auto" w:fill="auto"/>
        </w:tcPr>
        <w:p w14:paraId="0AC91980" w14:textId="77777777" w:rsidR="00747BE5" w:rsidRPr="008F2CCC" w:rsidRDefault="000C732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5FE3F6AD" w14:textId="77777777" w:rsidR="00747BE5" w:rsidRPr="008F2CCC" w:rsidRDefault="000C732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5A946199" w14:textId="77777777" w:rsidR="00747BE5" w:rsidRPr="0010196A" w:rsidRDefault="008804B7" w:rsidP="00B8513C">
    <w:pPr>
      <w:rPr>
        <w:rFonts w:ascii="Palatino Linotype" w:hAnsi="Palatino Linotype"/>
        <w:sz w:val="28"/>
        <w:szCs w:val="28"/>
      </w:rPr>
    </w:pPr>
    <w:r>
      <w:rPr>
        <w:rFonts w:ascii="Palatino Linotype" w:hAnsi="Palatino Linotype"/>
        <w:noProof/>
        <w:sz w:val="28"/>
        <w:szCs w:val="28"/>
        <w:lang w:eastAsia="es-MX"/>
      </w:rPr>
      <w:pict w14:anchorId="7889A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9.4pt;margin-top:13.2pt;width:540pt;height:10in;z-index:-251655168;mso-position-horizontal-relative:margin;mso-position-vertical-relative:margin" o:allowincell="f">
          <v:imagedata r:id="rId2" o:title="RESOLUCIÓ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C7"/>
    <w:rsid w:val="00054EDA"/>
    <w:rsid w:val="00095021"/>
    <w:rsid w:val="000C7321"/>
    <w:rsid w:val="00110C89"/>
    <w:rsid w:val="00114CA1"/>
    <w:rsid w:val="001644A5"/>
    <w:rsid w:val="001A299F"/>
    <w:rsid w:val="002515EC"/>
    <w:rsid w:val="002811FA"/>
    <w:rsid w:val="00295985"/>
    <w:rsid w:val="002E0EBF"/>
    <w:rsid w:val="002E3C5F"/>
    <w:rsid w:val="00361D1B"/>
    <w:rsid w:val="003E0AA1"/>
    <w:rsid w:val="00411F9B"/>
    <w:rsid w:val="00434E32"/>
    <w:rsid w:val="004554BF"/>
    <w:rsid w:val="00457ABE"/>
    <w:rsid w:val="00477F96"/>
    <w:rsid w:val="004E5D5F"/>
    <w:rsid w:val="00521DE8"/>
    <w:rsid w:val="00565362"/>
    <w:rsid w:val="00574F67"/>
    <w:rsid w:val="005A3EC5"/>
    <w:rsid w:val="00633DD0"/>
    <w:rsid w:val="006879BB"/>
    <w:rsid w:val="0069155D"/>
    <w:rsid w:val="00771324"/>
    <w:rsid w:val="007C66D4"/>
    <w:rsid w:val="007F2B95"/>
    <w:rsid w:val="00852688"/>
    <w:rsid w:val="00864DFC"/>
    <w:rsid w:val="00876765"/>
    <w:rsid w:val="008804B7"/>
    <w:rsid w:val="00896A30"/>
    <w:rsid w:val="008A2389"/>
    <w:rsid w:val="008B4523"/>
    <w:rsid w:val="009B09C5"/>
    <w:rsid w:val="00A31ADE"/>
    <w:rsid w:val="00AE19B4"/>
    <w:rsid w:val="00B06BC7"/>
    <w:rsid w:val="00B97424"/>
    <w:rsid w:val="00BE3A0A"/>
    <w:rsid w:val="00D6753C"/>
    <w:rsid w:val="00D84F23"/>
    <w:rsid w:val="00DB5C40"/>
    <w:rsid w:val="00DB7C12"/>
    <w:rsid w:val="00DF4216"/>
    <w:rsid w:val="00E23F3E"/>
    <w:rsid w:val="00E350FC"/>
    <w:rsid w:val="00FD490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00385A8"/>
  <w15:docId w15:val="{AB5C079E-8028-4640-8871-C63BD186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BC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6BC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BC7"/>
    <w:rPr>
      <w:rFonts w:eastAsiaTheme="minorEastAsia"/>
      <w:sz w:val="24"/>
      <w:szCs w:val="24"/>
      <w:lang w:val="es-ES_tradnl" w:eastAsia="es-ES"/>
    </w:rPr>
  </w:style>
  <w:style w:type="paragraph" w:styleId="Piedepgina">
    <w:name w:val="footer"/>
    <w:basedOn w:val="Normal"/>
    <w:link w:val="PiedepginaCar"/>
    <w:uiPriority w:val="99"/>
    <w:unhideWhenUsed/>
    <w:rsid w:val="00B06BC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BC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BC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BC7"/>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06BC7"/>
  </w:style>
  <w:style w:type="character" w:styleId="Hipervnculo">
    <w:name w:val="Hyperlink"/>
    <w:basedOn w:val="Fuentedeprrafopredeter"/>
    <w:uiPriority w:val="99"/>
    <w:semiHidden/>
    <w:unhideWhenUsed/>
    <w:rsid w:val="00B06BC7"/>
    <w:rPr>
      <w:color w:val="0000FF"/>
      <w:u w:val="single"/>
    </w:rPr>
  </w:style>
  <w:style w:type="character" w:styleId="Refdecomentario">
    <w:name w:val="annotation reference"/>
    <w:basedOn w:val="Fuentedeprrafopredeter"/>
    <w:uiPriority w:val="99"/>
    <w:semiHidden/>
    <w:unhideWhenUsed/>
    <w:rsid w:val="00FD490D"/>
    <w:rPr>
      <w:sz w:val="16"/>
      <w:szCs w:val="16"/>
    </w:rPr>
  </w:style>
  <w:style w:type="paragraph" w:styleId="Textocomentario">
    <w:name w:val="annotation text"/>
    <w:basedOn w:val="Normal"/>
    <w:link w:val="TextocomentarioCar"/>
    <w:uiPriority w:val="99"/>
    <w:semiHidden/>
    <w:unhideWhenUsed/>
    <w:rsid w:val="00FD490D"/>
    <w:rPr>
      <w:sz w:val="20"/>
      <w:szCs w:val="20"/>
    </w:rPr>
  </w:style>
  <w:style w:type="character" w:customStyle="1" w:styleId="TextocomentarioCar">
    <w:name w:val="Texto comentario Car"/>
    <w:basedOn w:val="Fuentedeprrafopredeter"/>
    <w:link w:val="Textocomentario"/>
    <w:uiPriority w:val="99"/>
    <w:semiHidden/>
    <w:rsid w:val="00FD490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90D"/>
    <w:rPr>
      <w:b/>
      <w:bCs/>
    </w:rPr>
  </w:style>
  <w:style w:type="character" w:customStyle="1" w:styleId="AsuntodelcomentarioCar">
    <w:name w:val="Asunto del comentario Car"/>
    <w:basedOn w:val="TextocomentarioCar"/>
    <w:link w:val="Asuntodelcomentario"/>
    <w:uiPriority w:val="99"/>
    <w:semiHidden/>
    <w:rsid w:val="00FD490D"/>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49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90D"/>
    <w:rPr>
      <w:rFonts w:ascii="Segoe UI" w:eastAsia="Times New Roman" w:hAnsi="Segoe UI" w:cs="Segoe UI"/>
      <w:sz w:val="18"/>
      <w:szCs w:val="18"/>
      <w:lang w:eastAsia="es-ES"/>
    </w:rPr>
  </w:style>
  <w:style w:type="paragraph" w:customStyle="1" w:styleId="Default">
    <w:name w:val="Default"/>
    <w:rsid w:val="001A29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5586.page" TargetMode="External"/><Relationship Id="rId13" Type="http://schemas.openxmlformats.org/officeDocument/2006/relationships/hyperlink" Target="https://www.saimex.org.mx/saimex/solicitud/downloadAttach/855586.pag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855586.page" TargetMode="External"/><Relationship Id="rId14" Type="http://schemas.openxmlformats.org/officeDocument/2006/relationships/hyperlink" Target="https://www.saimex.org.mx/saimex/solicitud/downloadAttach/855586.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4919-E3F5-4F96-9643-97B32537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3211</Words>
  <Characters>17662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Rocío Popoca</cp:lastModifiedBy>
  <cp:revision>10</cp:revision>
  <dcterms:created xsi:type="dcterms:W3CDTF">2020-11-06T01:59:00Z</dcterms:created>
  <dcterms:modified xsi:type="dcterms:W3CDTF">2021-01-27T15:51:00Z</dcterms:modified>
</cp:coreProperties>
</file>