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52" w:rsidRDefault="00DE2A52" w:rsidP="00DE2A52">
      <w:pPr>
        <w:spacing w:after="0" w:line="360" w:lineRule="auto"/>
        <w:jc w:val="both"/>
        <w:rPr>
          <w:rFonts w:ascii="Palatino Linotype" w:eastAsia="Palatino Linotype" w:hAnsi="Palatino Linotype" w:cs="Palatino Linotype"/>
          <w:b/>
          <w:sz w:val="24"/>
          <w:szCs w:val="24"/>
        </w:rPr>
      </w:pPr>
      <w:bookmarkStart w:id="0" w:name="_GoBack"/>
      <w:bookmarkEnd w:id="0"/>
    </w:p>
    <w:p w:rsidR="00DE2A52" w:rsidRDefault="00DE2A52" w:rsidP="00DE2A52">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Oficio No. INFOEM/COM-JMC/</w:t>
      </w:r>
      <w:r w:rsidR="00E17DFD">
        <w:rPr>
          <w:rFonts w:ascii="Palatino Linotype" w:eastAsia="Palatino Linotype" w:hAnsi="Palatino Linotype" w:cs="Palatino Linotype"/>
          <w:b/>
        </w:rPr>
        <w:t>459</w:t>
      </w:r>
      <w:r>
        <w:rPr>
          <w:rFonts w:ascii="Palatino Linotype" w:eastAsia="Palatino Linotype" w:hAnsi="Palatino Linotype" w:cs="Palatino Linotype"/>
          <w:b/>
        </w:rPr>
        <w:t>/2020.</w:t>
      </w:r>
    </w:p>
    <w:p w:rsidR="00DE2A52" w:rsidRDefault="00DE2A52" w:rsidP="00DE2A52">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Metepec, Estado de México</w:t>
      </w:r>
    </w:p>
    <w:p w:rsidR="00DE2A52" w:rsidRDefault="00DE2A52" w:rsidP="00DE2A52">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24 de agosto de 2020.</w:t>
      </w:r>
    </w:p>
    <w:p w:rsidR="00DE2A52" w:rsidRDefault="00DE2A52" w:rsidP="00DE2A52">
      <w:pPr>
        <w:spacing w:after="0" w:line="240" w:lineRule="auto"/>
        <w:jc w:val="right"/>
        <w:rPr>
          <w:rFonts w:ascii="Palatino Linotype" w:eastAsia="Palatino Linotype" w:hAnsi="Palatino Linotype" w:cs="Palatino Linotype"/>
          <w:b/>
        </w:rPr>
      </w:pPr>
    </w:p>
    <w:p w:rsidR="00DE2A52" w:rsidRDefault="00DE2A52" w:rsidP="00DE2A52">
      <w:pPr>
        <w:spacing w:after="0" w:line="240" w:lineRule="auto"/>
        <w:jc w:val="right"/>
        <w:rPr>
          <w:rFonts w:ascii="Palatino Linotype" w:eastAsia="Palatino Linotype" w:hAnsi="Palatino Linotype" w:cs="Palatino Linotype"/>
          <w:b/>
        </w:rPr>
      </w:pPr>
    </w:p>
    <w:p w:rsidR="00DE2A52" w:rsidRDefault="00DE2A52" w:rsidP="00DE2A52">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LIC. ALEXIS TAPIA RAMÍREZ.</w:t>
      </w:r>
    </w:p>
    <w:p w:rsidR="00DE2A52" w:rsidRDefault="00DE2A52" w:rsidP="00DE2A52">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SECRETARIO TÉCNICO DEL PLENO</w:t>
      </w:r>
    </w:p>
    <w:p w:rsidR="00DE2A52" w:rsidRDefault="00DE2A52" w:rsidP="00DE2A52">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PRESENTE</w:t>
      </w:r>
    </w:p>
    <w:p w:rsidR="00DE2A52" w:rsidRDefault="00DE2A52" w:rsidP="00DE2A52">
      <w:pPr>
        <w:spacing w:after="0" w:line="240" w:lineRule="auto"/>
        <w:jc w:val="both"/>
        <w:rPr>
          <w:rFonts w:ascii="Palatino Linotype" w:eastAsia="Palatino Linotype" w:hAnsi="Palatino Linotype" w:cs="Palatino Linotype"/>
          <w:b/>
        </w:rPr>
      </w:pPr>
    </w:p>
    <w:p w:rsidR="00DE2A52" w:rsidRDefault="00DE2A52" w:rsidP="00DE2A52">
      <w:pPr>
        <w:spacing w:after="0" w:line="240" w:lineRule="auto"/>
        <w:jc w:val="both"/>
        <w:rPr>
          <w:rFonts w:ascii="Palatino Linotype" w:eastAsia="Palatino Linotype" w:hAnsi="Palatino Linotype" w:cs="Palatino Linotype"/>
        </w:rPr>
      </w:pPr>
    </w:p>
    <w:p w:rsidR="00DE2A52" w:rsidRDefault="00DE2A52" w:rsidP="00DE2A52">
      <w:pPr>
        <w:spacing w:after="0" w:line="360" w:lineRule="auto"/>
        <w:ind w:firstLine="709"/>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el artículo 14, fracción XI del Reglamento Interior del Instituto de Transparencia, Acceso a la Información Pública y Protección de Datos Personales del Estado de México y Municipios, adjunto al presente se servirá encontrar original del VOTO DISIDENTE, emitido por el Comisionado Javier Martínez Cruz, en la resolución del recurso de revisión </w:t>
      </w:r>
      <w:r w:rsidRPr="007039B3">
        <w:rPr>
          <w:rFonts w:ascii="Palatino Linotype" w:hAnsi="Palatino Linotype" w:cs="Arial"/>
          <w:b/>
        </w:rPr>
        <w:t>00783</w:t>
      </w:r>
      <w:r w:rsidRPr="007039B3">
        <w:rPr>
          <w:rFonts w:ascii="Palatino Linotype" w:hAnsi="Palatino Linotype"/>
          <w:b/>
          <w:lang w:val="es-ES_tradnl"/>
        </w:rPr>
        <w:t>/INFOEM/IP/RR/2020</w:t>
      </w:r>
      <w:r>
        <w:rPr>
          <w:rFonts w:ascii="Palatino Linotype" w:eastAsia="Palatino Linotype" w:hAnsi="Palatino Linotype" w:cs="Palatino Linotype"/>
        </w:rPr>
        <w:t xml:space="preserve">, aprobada en el pleno de este Instituto, en la Décima Cuarta Sesión Ordinaria, del diecinueve de agosto de dos mil veinte. </w:t>
      </w:r>
    </w:p>
    <w:p w:rsidR="00DE2A52" w:rsidRDefault="00DE2A52" w:rsidP="00DE2A52">
      <w:pPr>
        <w:spacing w:after="0" w:line="360" w:lineRule="auto"/>
        <w:jc w:val="both"/>
        <w:rPr>
          <w:rFonts w:ascii="Palatino Linotype" w:eastAsia="Palatino Linotype" w:hAnsi="Palatino Linotype" w:cs="Palatino Linotype"/>
        </w:rPr>
      </w:pPr>
    </w:p>
    <w:p w:rsidR="00DE2A52" w:rsidRDefault="00DE2A52" w:rsidP="00DE2A52">
      <w:pPr>
        <w:spacing w:after="0" w:line="360" w:lineRule="auto"/>
        <w:jc w:val="both"/>
        <w:rPr>
          <w:rFonts w:ascii="Palatino Linotype" w:eastAsia="Palatino Linotype" w:hAnsi="Palatino Linotype" w:cs="Palatino Linotype"/>
        </w:rPr>
      </w:pPr>
    </w:p>
    <w:p w:rsidR="00DE2A52" w:rsidRDefault="00DE2A52" w:rsidP="00DE2A52">
      <w:pPr>
        <w:spacing w:after="0" w:line="360" w:lineRule="auto"/>
        <w:jc w:val="center"/>
        <w:rPr>
          <w:rFonts w:ascii="Palatino Linotype" w:eastAsia="Palatino Linotype" w:hAnsi="Palatino Linotype" w:cs="Palatino Linotype"/>
          <w:b/>
        </w:rPr>
      </w:pPr>
    </w:p>
    <w:p w:rsidR="00DE2A52" w:rsidRDefault="00DE2A52" w:rsidP="00DE2A52">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ATENTAMENTE</w:t>
      </w:r>
    </w:p>
    <w:p w:rsidR="00DE2A52" w:rsidRDefault="00DE2A52" w:rsidP="00DE2A52">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COORDINADORA DE PROYECTOS</w:t>
      </w:r>
    </w:p>
    <w:p w:rsidR="00DE2A52" w:rsidRDefault="00DE2A52" w:rsidP="00DE2A52">
      <w:pPr>
        <w:spacing w:after="0" w:line="240" w:lineRule="auto"/>
        <w:jc w:val="center"/>
        <w:rPr>
          <w:rFonts w:ascii="Palatino Linotype" w:eastAsia="Palatino Linotype" w:hAnsi="Palatino Linotype" w:cs="Palatino Linotype"/>
          <w:b/>
        </w:rPr>
      </w:pPr>
    </w:p>
    <w:p w:rsidR="00DE2A52" w:rsidRDefault="00DE2A52" w:rsidP="00DE2A52">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NORMA ARANSASU VALDÉS PEDRAZA</w:t>
      </w:r>
    </w:p>
    <w:p w:rsidR="00DE2A52" w:rsidRDefault="00DE2A52" w:rsidP="00DE2A52">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(Rúbrica)</w:t>
      </w:r>
    </w:p>
    <w:p w:rsidR="00DE2A52" w:rsidRDefault="00DE2A52" w:rsidP="00DE2A52">
      <w:pPr>
        <w:spacing w:after="0" w:line="240" w:lineRule="auto"/>
        <w:rPr>
          <w:rFonts w:ascii="Palatino Linotype" w:eastAsia="Palatino Linotype" w:hAnsi="Palatino Linotype" w:cs="Palatino Linotype"/>
          <w:sz w:val="16"/>
          <w:szCs w:val="16"/>
        </w:rPr>
      </w:pPr>
    </w:p>
    <w:p w:rsidR="00DE2A52" w:rsidRDefault="00DE2A52" w:rsidP="00DE2A52">
      <w:pPr>
        <w:spacing w:after="0" w:line="240" w:lineRule="auto"/>
        <w:rPr>
          <w:rFonts w:ascii="Palatino Linotype" w:eastAsia="Palatino Linotype" w:hAnsi="Palatino Linotype" w:cs="Palatino Linotype"/>
          <w:sz w:val="16"/>
          <w:szCs w:val="16"/>
        </w:rPr>
      </w:pPr>
    </w:p>
    <w:p w:rsidR="00DE2A52" w:rsidRDefault="00DE2A52" w:rsidP="00DE2A52">
      <w:pPr>
        <w:spacing w:after="0" w:line="240" w:lineRule="auto"/>
        <w:rPr>
          <w:rFonts w:ascii="Palatino Linotype" w:eastAsia="Palatino Linotype" w:hAnsi="Palatino Linotype" w:cs="Palatino Linotype"/>
          <w:sz w:val="16"/>
          <w:szCs w:val="16"/>
        </w:rPr>
      </w:pPr>
    </w:p>
    <w:p w:rsidR="00DE2A52" w:rsidRDefault="00DE2A52" w:rsidP="00DE2A52">
      <w:pPr>
        <w:spacing w:after="0" w:line="240" w:lineRule="auto"/>
        <w:rPr>
          <w:rFonts w:ascii="Palatino Linotype" w:eastAsia="Palatino Linotype" w:hAnsi="Palatino Linotype" w:cs="Palatino Linotype"/>
          <w:sz w:val="16"/>
          <w:szCs w:val="16"/>
        </w:rPr>
      </w:pPr>
    </w:p>
    <w:p w:rsidR="00DE2A52" w:rsidRDefault="00DE2A52" w:rsidP="00DE2A52">
      <w:pPr>
        <w:spacing w:after="0" w:line="240" w:lineRule="auto"/>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C.c.p. </w:t>
      </w:r>
      <w:r>
        <w:rPr>
          <w:rFonts w:ascii="Palatino Linotype" w:eastAsia="Palatino Linotype" w:hAnsi="Palatino Linotype" w:cs="Palatino Linotype"/>
          <w:b/>
          <w:sz w:val="16"/>
          <w:szCs w:val="16"/>
        </w:rPr>
        <w:t xml:space="preserve">Mtro. Javier Martínez Cruz. </w:t>
      </w:r>
      <w:r>
        <w:rPr>
          <w:rFonts w:ascii="Palatino Linotype" w:eastAsia="Palatino Linotype" w:hAnsi="Palatino Linotype" w:cs="Palatino Linotype"/>
          <w:sz w:val="16"/>
          <w:szCs w:val="16"/>
        </w:rPr>
        <w:t xml:space="preserve">Comisionado. </w:t>
      </w:r>
    </w:p>
    <w:p w:rsidR="00DE2A52" w:rsidRDefault="00DE2A52" w:rsidP="00DE2A52">
      <w:pPr>
        <w:spacing w:after="0" w:line="240" w:lineRule="auto"/>
        <w:rPr>
          <w:rFonts w:ascii="Times New Roman" w:eastAsia="Times New Roman" w:hAnsi="Times New Roman" w:cs="Times New Roman"/>
          <w:sz w:val="24"/>
          <w:szCs w:val="24"/>
        </w:rPr>
      </w:pPr>
      <w:r>
        <w:rPr>
          <w:rFonts w:ascii="Palatino Linotype" w:eastAsia="Palatino Linotype" w:hAnsi="Palatino Linotype" w:cs="Palatino Linotype"/>
          <w:b/>
          <w:sz w:val="16"/>
          <w:szCs w:val="16"/>
        </w:rPr>
        <w:t xml:space="preserve">           </w:t>
      </w:r>
      <w:r>
        <w:rPr>
          <w:rFonts w:ascii="Palatino Linotype" w:eastAsia="Palatino Linotype" w:hAnsi="Palatino Linotype" w:cs="Palatino Linotype"/>
          <w:sz w:val="16"/>
          <w:szCs w:val="16"/>
        </w:rPr>
        <w:t>Minutario</w:t>
      </w:r>
    </w:p>
    <w:p w:rsidR="00DE2A52" w:rsidRDefault="00DE2A52" w:rsidP="00F10C3C">
      <w:pPr>
        <w:spacing w:after="0" w:line="360" w:lineRule="auto"/>
        <w:jc w:val="both"/>
        <w:rPr>
          <w:rFonts w:ascii="Palatino Linotype" w:hAnsi="Palatino Linotype"/>
          <w:b/>
          <w:sz w:val="24"/>
          <w:szCs w:val="24"/>
        </w:rPr>
      </w:pPr>
    </w:p>
    <w:p w:rsidR="00F10C3C" w:rsidRPr="007039B3" w:rsidRDefault="00F10C3C" w:rsidP="00F10C3C">
      <w:pPr>
        <w:spacing w:after="0" w:line="360" w:lineRule="auto"/>
        <w:jc w:val="both"/>
        <w:rPr>
          <w:rFonts w:ascii="Palatino Linotype" w:hAnsi="Palatino Linotype"/>
          <w:b/>
          <w:sz w:val="24"/>
          <w:szCs w:val="24"/>
        </w:rPr>
      </w:pPr>
      <w:r w:rsidRPr="007039B3">
        <w:rPr>
          <w:rFonts w:ascii="Palatino Linotype" w:hAnsi="Palatino Linotype"/>
          <w:b/>
          <w:sz w:val="24"/>
          <w:szCs w:val="24"/>
        </w:rPr>
        <w:t xml:space="preserve">VOTO </w:t>
      </w:r>
      <w:r w:rsidR="00961B3C" w:rsidRPr="007039B3">
        <w:rPr>
          <w:rFonts w:ascii="Palatino Linotype" w:hAnsi="Palatino Linotype"/>
          <w:b/>
          <w:sz w:val="24"/>
          <w:szCs w:val="24"/>
        </w:rPr>
        <w:t>DISIDENTE</w:t>
      </w:r>
      <w:r w:rsidRPr="007039B3">
        <w:rPr>
          <w:rFonts w:ascii="Palatino Linotype" w:hAnsi="Palatino Linotype"/>
          <w:b/>
          <w:sz w:val="24"/>
          <w:szCs w:val="24"/>
        </w:rPr>
        <w:t xml:space="preserve"> QUE FORMULA EL COMISIONADO JAVIER MARTÍNEZ CRUZ, EN RELACIÓN CON LA RESOLUCIÓN DICTADA POR EL PLENO DEL INSTITUTO DE TRANSPARENCIA, ACCESO A LA INFORMACIÓN PÚBLICA Y PROTECCIÓN DE DATOS PERSONALES DEL ESTADO DE MÉXICO Y MUNICIPIOS, </w:t>
      </w:r>
      <w:r w:rsidR="00A5569E">
        <w:rPr>
          <w:rFonts w:ascii="Palatino Linotype" w:hAnsi="Palatino Linotype"/>
          <w:b/>
          <w:sz w:val="23"/>
          <w:szCs w:val="23"/>
        </w:rPr>
        <w:t xml:space="preserve">EN LA DÉCIMA </w:t>
      </w:r>
      <w:r w:rsidR="00A5569E" w:rsidRPr="007A6393">
        <w:rPr>
          <w:rFonts w:ascii="Palatino Linotype" w:hAnsi="Palatino Linotype"/>
          <w:b/>
          <w:sz w:val="23"/>
          <w:szCs w:val="23"/>
        </w:rPr>
        <w:t>CUARTA SESIÓN</w:t>
      </w:r>
      <w:r w:rsidR="00A5569E" w:rsidRPr="00E114F9">
        <w:rPr>
          <w:rFonts w:ascii="Palatino Linotype" w:hAnsi="Palatino Linotype"/>
          <w:b/>
          <w:sz w:val="23"/>
          <w:szCs w:val="23"/>
        </w:rPr>
        <w:t xml:space="preserve"> ORDINARIA DEL </w:t>
      </w:r>
      <w:r w:rsidR="00A5569E">
        <w:rPr>
          <w:rFonts w:ascii="Palatino Linotype" w:hAnsi="Palatino Linotype"/>
          <w:b/>
          <w:sz w:val="23"/>
          <w:szCs w:val="23"/>
        </w:rPr>
        <w:t xml:space="preserve">DIECINUEVE </w:t>
      </w:r>
      <w:r w:rsidR="00A5569E" w:rsidRPr="00E114F9">
        <w:rPr>
          <w:rFonts w:ascii="Palatino Linotype" w:hAnsi="Palatino Linotype"/>
          <w:b/>
          <w:sz w:val="23"/>
          <w:szCs w:val="23"/>
        </w:rPr>
        <w:t xml:space="preserve">DE </w:t>
      </w:r>
      <w:r w:rsidR="00A5569E">
        <w:rPr>
          <w:rFonts w:ascii="Palatino Linotype" w:hAnsi="Palatino Linotype"/>
          <w:b/>
          <w:sz w:val="23"/>
          <w:szCs w:val="23"/>
        </w:rPr>
        <w:t>AGOSTO</w:t>
      </w:r>
      <w:r w:rsidR="00A5569E" w:rsidRPr="00E114F9">
        <w:rPr>
          <w:rFonts w:ascii="Palatino Linotype" w:hAnsi="Palatino Linotype"/>
          <w:b/>
          <w:sz w:val="23"/>
          <w:szCs w:val="23"/>
        </w:rPr>
        <w:t xml:space="preserve"> DE DOS MIL </w:t>
      </w:r>
      <w:r w:rsidR="00A5569E">
        <w:rPr>
          <w:rFonts w:ascii="Palatino Linotype" w:hAnsi="Palatino Linotype"/>
          <w:b/>
          <w:sz w:val="23"/>
          <w:szCs w:val="23"/>
        </w:rPr>
        <w:t>VEINTE</w:t>
      </w:r>
      <w:r w:rsidR="00A5569E" w:rsidRPr="00E114F9">
        <w:rPr>
          <w:rFonts w:ascii="Palatino Linotype" w:hAnsi="Palatino Linotype"/>
          <w:b/>
          <w:sz w:val="23"/>
          <w:szCs w:val="23"/>
        </w:rPr>
        <w:t xml:space="preserve">, EN EL RECURSO DE REVISIÓN </w:t>
      </w:r>
      <w:r w:rsidR="006058B6" w:rsidRPr="007039B3">
        <w:rPr>
          <w:rFonts w:ascii="Palatino Linotype" w:hAnsi="Palatino Linotype" w:cs="Arial"/>
          <w:b/>
        </w:rPr>
        <w:t>00</w:t>
      </w:r>
      <w:r w:rsidR="00C75563" w:rsidRPr="007039B3">
        <w:rPr>
          <w:rFonts w:ascii="Palatino Linotype" w:hAnsi="Palatino Linotype" w:cs="Arial"/>
          <w:b/>
        </w:rPr>
        <w:t>783</w:t>
      </w:r>
      <w:r w:rsidR="006058B6" w:rsidRPr="007039B3">
        <w:rPr>
          <w:rFonts w:ascii="Palatino Linotype" w:hAnsi="Palatino Linotype"/>
          <w:b/>
          <w:lang w:val="es-ES_tradnl"/>
        </w:rPr>
        <w:t>/INFOEM/IP/RR/2020</w:t>
      </w:r>
      <w:r w:rsidRPr="007039B3">
        <w:rPr>
          <w:rFonts w:ascii="Palatino Linotype" w:hAnsi="Palatino Linotype"/>
          <w:b/>
          <w:sz w:val="24"/>
          <w:szCs w:val="24"/>
        </w:rPr>
        <w:t>.</w:t>
      </w:r>
    </w:p>
    <w:p w:rsidR="005A1C8A" w:rsidRPr="007039B3" w:rsidRDefault="005A1C8A" w:rsidP="006113A8">
      <w:pPr>
        <w:spacing w:after="0" w:line="360" w:lineRule="auto"/>
        <w:jc w:val="both"/>
        <w:rPr>
          <w:rFonts w:ascii="Palatino Linotype" w:hAnsi="Palatino Linotype"/>
          <w:sz w:val="24"/>
          <w:szCs w:val="24"/>
        </w:rPr>
      </w:pPr>
    </w:p>
    <w:p w:rsidR="00FF0F62" w:rsidRPr="007039B3" w:rsidRDefault="000607BA" w:rsidP="006113A8">
      <w:pPr>
        <w:spacing w:after="0" w:line="360" w:lineRule="auto"/>
        <w:jc w:val="both"/>
        <w:rPr>
          <w:rFonts w:ascii="Palatino Linotype" w:hAnsi="Palatino Linotype"/>
          <w:sz w:val="24"/>
          <w:szCs w:val="24"/>
        </w:rPr>
      </w:pPr>
      <w:r w:rsidRPr="007039B3">
        <w:rPr>
          <w:rFonts w:ascii="Palatino Linotype" w:hAnsi="Palatino Linotype"/>
          <w:sz w:val="24"/>
          <w:szCs w:val="24"/>
        </w:rPr>
        <w:t xml:space="preserve">Con fundamento en lo dispuesto por el </w:t>
      </w:r>
      <w:r w:rsidR="00347C52" w:rsidRPr="007039B3">
        <w:rPr>
          <w:rFonts w:ascii="Palatino Linotype" w:hAnsi="Palatino Linotype"/>
          <w:sz w:val="24"/>
          <w:szCs w:val="24"/>
        </w:rPr>
        <w:t>artículo 14, fracciones X y XI, del Reglamento</w:t>
      </w:r>
      <w:r w:rsidR="00DB4B40" w:rsidRPr="007039B3">
        <w:rPr>
          <w:rFonts w:ascii="Palatino Linotype" w:hAnsi="Palatino Linotype"/>
          <w:sz w:val="24"/>
          <w:szCs w:val="24"/>
        </w:rPr>
        <w:t xml:space="preserve"> </w:t>
      </w:r>
      <w:r w:rsidR="00347C52" w:rsidRPr="007039B3">
        <w:rPr>
          <w:rFonts w:ascii="Palatino Linotype" w:hAnsi="Palatino Linotype"/>
          <w:sz w:val="24"/>
          <w:szCs w:val="24"/>
        </w:rPr>
        <w:t>del Instituto de Transparencia, Acceso a la Información Pública y Protección de Datos Personales del Estado de México</w:t>
      </w:r>
      <w:r w:rsidRPr="007039B3">
        <w:rPr>
          <w:rFonts w:ascii="Palatino Linotype" w:hAnsi="Palatino Linotype"/>
          <w:sz w:val="24"/>
          <w:szCs w:val="24"/>
        </w:rPr>
        <w:t xml:space="preserve">, </w:t>
      </w:r>
      <w:r w:rsidR="00C11623" w:rsidRPr="007039B3">
        <w:rPr>
          <w:rFonts w:ascii="Palatino Linotype" w:hAnsi="Palatino Linotype"/>
          <w:sz w:val="24"/>
          <w:szCs w:val="24"/>
        </w:rPr>
        <w:t>el Comisionado</w:t>
      </w:r>
      <w:r w:rsidR="00807B02" w:rsidRPr="007039B3">
        <w:rPr>
          <w:rFonts w:ascii="Palatino Linotype" w:hAnsi="Palatino Linotype"/>
          <w:sz w:val="24"/>
          <w:szCs w:val="24"/>
        </w:rPr>
        <w:t xml:space="preserve"> Javier Martíne</w:t>
      </w:r>
      <w:r w:rsidR="00C11623" w:rsidRPr="007039B3">
        <w:rPr>
          <w:rFonts w:ascii="Palatino Linotype" w:hAnsi="Palatino Linotype"/>
          <w:sz w:val="24"/>
          <w:szCs w:val="24"/>
        </w:rPr>
        <w:t xml:space="preserve">z Cruz emite </w:t>
      </w:r>
      <w:r w:rsidR="00C11623" w:rsidRPr="007039B3">
        <w:rPr>
          <w:rFonts w:ascii="Palatino Linotype" w:hAnsi="Palatino Linotype"/>
          <w:b/>
          <w:sz w:val="24"/>
          <w:szCs w:val="24"/>
        </w:rPr>
        <w:t xml:space="preserve">VOTO </w:t>
      </w:r>
      <w:r w:rsidR="00AE78A0" w:rsidRPr="00AE78A0">
        <w:rPr>
          <w:rFonts w:ascii="Palatino Linotype" w:hAnsi="Palatino Linotype"/>
          <w:b/>
          <w:sz w:val="24"/>
          <w:szCs w:val="24"/>
        </w:rPr>
        <w:t>DISIDENTE</w:t>
      </w:r>
      <w:r w:rsidR="00C11623" w:rsidRPr="007039B3">
        <w:rPr>
          <w:rFonts w:ascii="Palatino Linotype" w:hAnsi="Palatino Linotype"/>
          <w:sz w:val="24"/>
          <w:szCs w:val="24"/>
        </w:rPr>
        <w:t xml:space="preserve"> </w:t>
      </w:r>
      <w:r w:rsidR="00807B02" w:rsidRPr="007039B3">
        <w:rPr>
          <w:rFonts w:ascii="Palatino Linotype" w:hAnsi="Palatino Linotype"/>
          <w:sz w:val="24"/>
          <w:szCs w:val="24"/>
        </w:rPr>
        <w:t xml:space="preserve">respecto a la resolución dictada en el recurso de revisión número </w:t>
      </w:r>
      <w:r w:rsidR="006058B6" w:rsidRPr="007039B3">
        <w:rPr>
          <w:rFonts w:ascii="Palatino Linotype" w:hAnsi="Palatino Linotype" w:cs="Arial"/>
          <w:b/>
        </w:rPr>
        <w:t>00</w:t>
      </w:r>
      <w:r w:rsidR="00A5569E">
        <w:rPr>
          <w:rFonts w:ascii="Palatino Linotype" w:hAnsi="Palatino Linotype" w:cs="Arial"/>
          <w:b/>
        </w:rPr>
        <w:t>783</w:t>
      </w:r>
      <w:r w:rsidR="006058B6" w:rsidRPr="007039B3">
        <w:rPr>
          <w:rFonts w:ascii="Palatino Linotype" w:hAnsi="Palatino Linotype"/>
          <w:b/>
          <w:lang w:val="es-ES_tradnl"/>
        </w:rPr>
        <w:t>/INFOEM/IP/RR/2020</w:t>
      </w:r>
      <w:r w:rsidR="00807B02" w:rsidRPr="007039B3">
        <w:rPr>
          <w:rFonts w:ascii="Palatino Linotype" w:hAnsi="Palatino Linotype"/>
          <w:sz w:val="24"/>
          <w:szCs w:val="24"/>
        </w:rPr>
        <w:t>, pronunciada por el Pleno de este Instituto</w:t>
      </w:r>
      <w:r w:rsidR="00A5569E">
        <w:rPr>
          <w:rFonts w:ascii="Palatino Linotype" w:hAnsi="Palatino Linotype"/>
          <w:sz w:val="24"/>
          <w:szCs w:val="24"/>
        </w:rPr>
        <w:t xml:space="preserve">. </w:t>
      </w:r>
      <w:r w:rsidR="00807B02" w:rsidRPr="007039B3">
        <w:rPr>
          <w:rFonts w:ascii="Palatino Linotype" w:hAnsi="Palatino Linotype"/>
          <w:sz w:val="24"/>
          <w:szCs w:val="24"/>
        </w:rPr>
        <w:t xml:space="preserve"> </w:t>
      </w:r>
    </w:p>
    <w:p w:rsidR="00950C50" w:rsidRPr="007039B3" w:rsidRDefault="00950C50" w:rsidP="00950C50">
      <w:pPr>
        <w:pStyle w:val="Prrafodelista"/>
        <w:numPr>
          <w:ilvl w:val="0"/>
          <w:numId w:val="2"/>
        </w:numPr>
        <w:spacing w:before="120" w:after="120" w:line="360" w:lineRule="auto"/>
        <w:jc w:val="both"/>
        <w:rPr>
          <w:rFonts w:ascii="Palatino Linotype" w:hAnsi="Palatino Linotype"/>
          <w:b/>
        </w:rPr>
      </w:pPr>
      <w:r w:rsidRPr="007039B3">
        <w:rPr>
          <w:rFonts w:ascii="Palatino Linotype" w:hAnsi="Palatino Linotype"/>
          <w:b/>
        </w:rPr>
        <w:t>Antecedentes.</w:t>
      </w:r>
    </w:p>
    <w:p w:rsidR="00950C50" w:rsidRPr="007039B3" w:rsidRDefault="00950C50" w:rsidP="00FF0F62">
      <w:pPr>
        <w:spacing w:before="120" w:after="120" w:line="360" w:lineRule="auto"/>
        <w:jc w:val="both"/>
        <w:rPr>
          <w:rFonts w:ascii="Palatino Linotype" w:hAnsi="Palatino Linotype"/>
          <w:sz w:val="24"/>
          <w:szCs w:val="24"/>
        </w:rPr>
      </w:pPr>
      <w:r w:rsidRPr="007039B3">
        <w:rPr>
          <w:rFonts w:ascii="Palatino Linotype" w:hAnsi="Palatino Linotype"/>
          <w:sz w:val="24"/>
          <w:szCs w:val="24"/>
        </w:rPr>
        <w:t>Así las cosas</w:t>
      </w:r>
      <w:r w:rsidR="00FF0F62" w:rsidRPr="007039B3">
        <w:rPr>
          <w:rFonts w:ascii="Palatino Linotype" w:hAnsi="Palatino Linotype"/>
          <w:sz w:val="24"/>
          <w:szCs w:val="24"/>
        </w:rPr>
        <w:t xml:space="preserve">, </w:t>
      </w:r>
      <w:r w:rsidR="001E074C" w:rsidRPr="007039B3">
        <w:rPr>
          <w:rFonts w:ascii="Palatino Linotype" w:hAnsi="Palatino Linotype"/>
          <w:sz w:val="24"/>
          <w:szCs w:val="24"/>
        </w:rPr>
        <w:t>el</w:t>
      </w:r>
      <w:r w:rsidR="00F35B3C" w:rsidRPr="007039B3">
        <w:rPr>
          <w:rFonts w:ascii="Palatino Linotype" w:hAnsi="Palatino Linotype"/>
          <w:sz w:val="24"/>
          <w:szCs w:val="24"/>
        </w:rPr>
        <w:t xml:space="preserve"> </w:t>
      </w:r>
      <w:r w:rsidR="00FF0F62" w:rsidRPr="007039B3">
        <w:rPr>
          <w:rFonts w:ascii="Palatino Linotype" w:hAnsi="Palatino Linotype"/>
          <w:sz w:val="24"/>
          <w:szCs w:val="24"/>
        </w:rPr>
        <w:t>Comisionad</w:t>
      </w:r>
      <w:r w:rsidR="006058B6" w:rsidRPr="007039B3">
        <w:rPr>
          <w:rFonts w:ascii="Palatino Linotype" w:hAnsi="Palatino Linotype"/>
          <w:sz w:val="24"/>
          <w:szCs w:val="24"/>
        </w:rPr>
        <w:t>o</w:t>
      </w:r>
      <w:r w:rsidR="00FF0F62" w:rsidRPr="007039B3">
        <w:rPr>
          <w:rFonts w:ascii="Palatino Linotype" w:hAnsi="Palatino Linotype"/>
          <w:sz w:val="24"/>
          <w:szCs w:val="24"/>
        </w:rPr>
        <w:t xml:space="preserve"> ponente</w:t>
      </w:r>
      <w:r w:rsidRPr="007039B3">
        <w:rPr>
          <w:rFonts w:ascii="Palatino Linotype" w:hAnsi="Palatino Linotype"/>
          <w:sz w:val="24"/>
          <w:szCs w:val="24"/>
        </w:rPr>
        <w:t xml:space="preserve"> en la resolución presentada ante el Pleno de este Instituto, se </w:t>
      </w:r>
      <w:r w:rsidR="0034620B" w:rsidRPr="007039B3">
        <w:rPr>
          <w:rFonts w:ascii="Palatino Linotype" w:hAnsi="Palatino Linotype"/>
          <w:sz w:val="24"/>
          <w:szCs w:val="24"/>
        </w:rPr>
        <w:t>limita</w:t>
      </w:r>
      <w:r w:rsidRPr="007039B3">
        <w:rPr>
          <w:rFonts w:ascii="Palatino Linotype" w:hAnsi="Palatino Linotype"/>
          <w:sz w:val="24"/>
          <w:szCs w:val="24"/>
        </w:rPr>
        <w:t xml:space="preserve"> </w:t>
      </w:r>
      <w:r w:rsidR="00FF0F62" w:rsidRPr="007039B3">
        <w:rPr>
          <w:rFonts w:ascii="Palatino Linotype" w:hAnsi="Palatino Linotype"/>
          <w:sz w:val="24"/>
          <w:szCs w:val="24"/>
        </w:rPr>
        <w:t xml:space="preserve">a ordenar la entrega de una respuesta </w:t>
      </w:r>
      <w:r w:rsidR="002216D7" w:rsidRPr="007039B3">
        <w:rPr>
          <w:rFonts w:ascii="Palatino Linotype" w:hAnsi="Palatino Linotype"/>
          <w:sz w:val="24"/>
          <w:szCs w:val="24"/>
        </w:rPr>
        <w:t>sin que se determinara</w:t>
      </w:r>
      <w:r w:rsidR="00FF0F62" w:rsidRPr="007039B3">
        <w:rPr>
          <w:rFonts w:ascii="Palatino Linotype" w:hAnsi="Palatino Linotype"/>
          <w:sz w:val="24"/>
          <w:szCs w:val="24"/>
        </w:rPr>
        <w:t xml:space="preserve"> de trascendencia</w:t>
      </w:r>
      <w:r w:rsidR="002216D7" w:rsidRPr="007039B3">
        <w:rPr>
          <w:rFonts w:ascii="Palatino Linotype" w:hAnsi="Palatino Linotype"/>
          <w:sz w:val="24"/>
          <w:szCs w:val="24"/>
        </w:rPr>
        <w:t xml:space="preserve">, </w:t>
      </w:r>
      <w:r w:rsidR="00FF0F62" w:rsidRPr="007039B3">
        <w:rPr>
          <w:rFonts w:ascii="Palatino Linotype" w:hAnsi="Palatino Linotype"/>
          <w:sz w:val="24"/>
          <w:szCs w:val="24"/>
        </w:rPr>
        <w:t xml:space="preserve"> la obligación </w:t>
      </w:r>
      <w:r w:rsidRPr="007039B3">
        <w:rPr>
          <w:rFonts w:ascii="Palatino Linotype" w:hAnsi="Palatino Linotype"/>
          <w:sz w:val="24"/>
          <w:szCs w:val="24"/>
        </w:rPr>
        <w:t xml:space="preserve"> para este Órgano Garante</w:t>
      </w:r>
      <w:r w:rsidR="00FF0F62" w:rsidRPr="007039B3">
        <w:rPr>
          <w:rFonts w:ascii="Palatino Linotype" w:hAnsi="Palatino Linotype"/>
          <w:sz w:val="24"/>
          <w:szCs w:val="24"/>
        </w:rPr>
        <w:t xml:space="preserve"> el </w:t>
      </w:r>
      <w:r w:rsidR="00A816CE" w:rsidRPr="007039B3">
        <w:rPr>
          <w:rFonts w:ascii="Palatino Linotype" w:hAnsi="Palatino Linotype"/>
          <w:sz w:val="24"/>
          <w:szCs w:val="24"/>
        </w:rPr>
        <w:t xml:space="preserve"> analizar de manera exhaustiva</w:t>
      </w:r>
      <w:r w:rsidRPr="007039B3">
        <w:rPr>
          <w:rFonts w:ascii="Palatino Linotype" w:hAnsi="Palatino Linotype"/>
          <w:sz w:val="24"/>
          <w:szCs w:val="24"/>
        </w:rPr>
        <w:t xml:space="preserve">  la naturaleza y las atribuciones que ostenta el ente obligado para conocer de los requerimientos planteados</w:t>
      </w:r>
      <w:r w:rsidR="00FF0F62" w:rsidRPr="007039B3">
        <w:rPr>
          <w:rFonts w:ascii="Palatino Linotype" w:hAnsi="Palatino Linotype"/>
          <w:sz w:val="24"/>
          <w:szCs w:val="24"/>
        </w:rPr>
        <w:t xml:space="preserve">, delegando </w:t>
      </w:r>
      <w:r w:rsidR="0034620B" w:rsidRPr="007039B3">
        <w:rPr>
          <w:rFonts w:ascii="Palatino Linotype" w:hAnsi="Palatino Linotype"/>
          <w:sz w:val="24"/>
          <w:szCs w:val="24"/>
        </w:rPr>
        <w:t xml:space="preserve">este deber </w:t>
      </w:r>
      <w:r w:rsidR="00A816CE" w:rsidRPr="007039B3">
        <w:rPr>
          <w:rFonts w:ascii="Palatino Linotype" w:hAnsi="Palatino Linotype"/>
          <w:sz w:val="24"/>
          <w:szCs w:val="24"/>
        </w:rPr>
        <w:t xml:space="preserve">de sustanciar </w:t>
      </w:r>
      <w:r w:rsidRPr="007039B3">
        <w:rPr>
          <w:rFonts w:ascii="Palatino Linotype" w:hAnsi="Palatino Linotype"/>
          <w:sz w:val="24"/>
          <w:szCs w:val="24"/>
        </w:rPr>
        <w:t xml:space="preserve">todo el procedimiento de acceso a la información pública </w:t>
      </w:r>
      <w:r w:rsidR="0034620B" w:rsidRPr="007039B3">
        <w:rPr>
          <w:rFonts w:ascii="Palatino Linotype" w:hAnsi="Palatino Linotype"/>
          <w:sz w:val="24"/>
          <w:szCs w:val="24"/>
        </w:rPr>
        <w:t xml:space="preserve">en una instancia diferente. </w:t>
      </w:r>
    </w:p>
    <w:p w:rsidR="00FF0F62" w:rsidRPr="007039B3" w:rsidRDefault="00FF0F62" w:rsidP="00950C50">
      <w:pPr>
        <w:spacing w:before="120" w:after="120" w:line="360" w:lineRule="auto"/>
        <w:jc w:val="both"/>
        <w:rPr>
          <w:rFonts w:ascii="Palatino Linotype" w:hAnsi="Palatino Linotype"/>
          <w:sz w:val="24"/>
          <w:szCs w:val="24"/>
        </w:rPr>
      </w:pPr>
    </w:p>
    <w:p w:rsidR="006D51A5" w:rsidRPr="007039B3" w:rsidRDefault="00950C50" w:rsidP="006D51A5">
      <w:pPr>
        <w:pStyle w:val="Prrafodelista"/>
        <w:numPr>
          <w:ilvl w:val="0"/>
          <w:numId w:val="2"/>
        </w:numPr>
        <w:spacing w:before="120" w:after="120" w:line="360" w:lineRule="auto"/>
        <w:jc w:val="both"/>
        <w:rPr>
          <w:rFonts w:ascii="Palatino Linotype" w:hAnsi="Palatino Linotype"/>
          <w:b/>
        </w:rPr>
      </w:pPr>
      <w:r w:rsidRPr="007039B3">
        <w:rPr>
          <w:rFonts w:ascii="Palatino Linotype" w:hAnsi="Palatino Linotype"/>
          <w:b/>
        </w:rPr>
        <w:t>Razones del Vot</w:t>
      </w:r>
      <w:r w:rsidR="00A5569E">
        <w:rPr>
          <w:rFonts w:ascii="Palatino Linotype" w:hAnsi="Palatino Linotype"/>
          <w:b/>
        </w:rPr>
        <w:t>o</w:t>
      </w:r>
      <w:r w:rsidRPr="007039B3">
        <w:rPr>
          <w:rFonts w:ascii="Palatino Linotype" w:hAnsi="Palatino Linotype"/>
          <w:b/>
        </w:rPr>
        <w:t xml:space="preserve">. </w:t>
      </w:r>
    </w:p>
    <w:p w:rsidR="00C41B3E" w:rsidRPr="007039B3" w:rsidRDefault="00C41B3E" w:rsidP="00C41B3E">
      <w:pPr>
        <w:spacing w:line="360" w:lineRule="auto"/>
        <w:jc w:val="both"/>
        <w:rPr>
          <w:rFonts w:ascii="Palatino Linotype" w:hAnsi="Palatino Linotype"/>
          <w:b/>
          <w:sz w:val="24"/>
        </w:rPr>
      </w:pPr>
      <w:r w:rsidRPr="007039B3">
        <w:rPr>
          <w:rFonts w:ascii="Palatino Linotype" w:hAnsi="Palatino Linotype"/>
          <w:sz w:val="24"/>
        </w:rPr>
        <w:t xml:space="preserve">Cabe precisar, que la resolución presentada por un Servidor, fue bajo el criterio de la mayoría de los Comisionados del Pleno, consideraciones que de manera respetuosamente </w:t>
      </w:r>
      <w:r w:rsidRPr="007039B3">
        <w:rPr>
          <w:rFonts w:ascii="Palatino Linotype" w:hAnsi="Palatino Linotype"/>
          <w:b/>
          <w:sz w:val="24"/>
        </w:rPr>
        <w:t>no comparto</w:t>
      </w:r>
      <w:r w:rsidRPr="007039B3">
        <w:rPr>
          <w:rFonts w:ascii="Palatino Linotype" w:hAnsi="Palatino Linotype"/>
          <w:sz w:val="24"/>
        </w:rPr>
        <w:t xml:space="preserve">, en virtud de que la metodología adoptada en el desarrollo y resolución ofrecida al medio de impugnación que fue promovido por el particular, a mi criterio le falta un estudio de fondo  robusto y exhaustivo, que atienda las distintas facultades, competencias y funciones que los ordenamientos jurídicos le confieren al Sujeto Obligado en relación con la materia de la solicitud, así como la falta de razonamientos lógico-jurídicos y  la  indeterminación de  parámetros específicos que tendría que observar el ente recurrido para dar cumplimiento a la resolución, ocasionando  que: </w:t>
      </w:r>
      <w:r w:rsidRPr="007039B3">
        <w:rPr>
          <w:rFonts w:ascii="Palatino Linotype" w:hAnsi="Palatino Linotype"/>
          <w:b/>
          <w:sz w:val="24"/>
        </w:rPr>
        <w:t xml:space="preserve">a)  se transgreda el debido proceso en sede administrativa;  y,  b)  se debilite en la practica la eficacia del  Derecho de Acceso a la Información Pública.  </w:t>
      </w:r>
    </w:p>
    <w:p w:rsidR="00C41B3E" w:rsidRPr="007039B3" w:rsidRDefault="00C41B3E" w:rsidP="00C41B3E">
      <w:pPr>
        <w:spacing w:before="120" w:after="120" w:line="240" w:lineRule="auto"/>
        <w:jc w:val="both"/>
        <w:rPr>
          <w:rFonts w:ascii="Palatino Linotype" w:hAnsi="Palatino Linotype"/>
          <w:b/>
          <w:sz w:val="16"/>
          <w:szCs w:val="16"/>
        </w:rPr>
      </w:pPr>
    </w:p>
    <w:p w:rsidR="003D36F3" w:rsidRPr="007039B3" w:rsidRDefault="009503B7" w:rsidP="00BC0A51">
      <w:pPr>
        <w:spacing w:before="120" w:after="120" w:line="360" w:lineRule="auto"/>
        <w:jc w:val="both"/>
        <w:rPr>
          <w:rFonts w:ascii="Palatino Linotype" w:hAnsi="Palatino Linotype"/>
          <w:sz w:val="24"/>
          <w:szCs w:val="24"/>
        </w:rPr>
      </w:pPr>
      <w:r w:rsidRPr="007039B3">
        <w:rPr>
          <w:rFonts w:ascii="Palatino Linotype" w:hAnsi="Palatino Linotype"/>
          <w:sz w:val="24"/>
          <w:szCs w:val="24"/>
        </w:rPr>
        <w:t>Para demostrar lo que</w:t>
      </w:r>
      <w:r w:rsidR="00DE0208" w:rsidRPr="007039B3">
        <w:rPr>
          <w:rFonts w:ascii="Palatino Linotype" w:hAnsi="Palatino Linotype"/>
          <w:sz w:val="24"/>
          <w:szCs w:val="24"/>
        </w:rPr>
        <w:t xml:space="preserve"> he señalado</w:t>
      </w:r>
      <w:r w:rsidRPr="007039B3">
        <w:rPr>
          <w:rFonts w:ascii="Palatino Linotype" w:hAnsi="Palatino Linotype"/>
          <w:sz w:val="24"/>
          <w:szCs w:val="24"/>
        </w:rPr>
        <w:t xml:space="preserve"> en el inciso </w:t>
      </w:r>
      <w:r w:rsidRPr="007039B3">
        <w:rPr>
          <w:rFonts w:ascii="Palatino Linotype" w:hAnsi="Palatino Linotype"/>
          <w:b/>
          <w:sz w:val="24"/>
          <w:szCs w:val="24"/>
        </w:rPr>
        <w:t>a)</w:t>
      </w:r>
      <w:r w:rsidRPr="007039B3">
        <w:rPr>
          <w:rFonts w:ascii="Palatino Linotype" w:hAnsi="Palatino Linotype"/>
          <w:sz w:val="24"/>
          <w:szCs w:val="24"/>
        </w:rPr>
        <w:t xml:space="preserve"> </w:t>
      </w:r>
      <w:r w:rsidR="003D36F3" w:rsidRPr="007039B3">
        <w:rPr>
          <w:rFonts w:ascii="Palatino Linotype" w:hAnsi="Palatino Linotype"/>
          <w:sz w:val="24"/>
          <w:szCs w:val="24"/>
        </w:rPr>
        <w:t xml:space="preserve">es de referir en principio de cuentas </w:t>
      </w:r>
      <w:r w:rsidR="00C75563" w:rsidRPr="007039B3">
        <w:rPr>
          <w:rFonts w:ascii="Palatino Linotype" w:hAnsi="Palatino Linotype"/>
          <w:sz w:val="24"/>
          <w:szCs w:val="24"/>
        </w:rPr>
        <w:t>que, la</w:t>
      </w:r>
      <w:r w:rsidR="003D36F3" w:rsidRPr="007039B3">
        <w:rPr>
          <w:rFonts w:ascii="Palatino Linotype" w:hAnsi="Palatino Linotype"/>
          <w:sz w:val="24"/>
          <w:szCs w:val="24"/>
        </w:rPr>
        <w:t xml:space="preserve"> Corte Interamericana ha fijado posición sobre la aplicación de las garantías del debido proceso legal en ámbitos administrativos.</w:t>
      </w:r>
    </w:p>
    <w:p w:rsidR="003D36F3" w:rsidRPr="007039B3" w:rsidRDefault="003D36F3" w:rsidP="00C41B3E">
      <w:pPr>
        <w:spacing w:after="0" w:line="240" w:lineRule="auto"/>
        <w:contextualSpacing/>
        <w:jc w:val="both"/>
        <w:rPr>
          <w:rFonts w:ascii="Palatino Linotype" w:hAnsi="Palatino Linotype"/>
          <w:sz w:val="16"/>
          <w:szCs w:val="24"/>
        </w:rPr>
      </w:pPr>
    </w:p>
    <w:p w:rsidR="003D36F3" w:rsidRPr="007039B3" w:rsidRDefault="00821794" w:rsidP="00BC0A51">
      <w:pPr>
        <w:spacing w:before="120" w:after="120" w:line="360" w:lineRule="auto"/>
        <w:jc w:val="both"/>
        <w:rPr>
          <w:rFonts w:ascii="Palatino Linotype" w:hAnsi="Palatino Linotype"/>
          <w:color w:val="000000"/>
          <w:sz w:val="24"/>
          <w:szCs w:val="24"/>
        </w:rPr>
      </w:pPr>
      <w:r w:rsidRPr="007039B3">
        <w:rPr>
          <w:rFonts w:ascii="Palatino Linotype" w:hAnsi="Palatino Linotype"/>
          <w:sz w:val="24"/>
          <w:szCs w:val="24"/>
        </w:rPr>
        <w:t>Al respecto</w:t>
      </w:r>
      <w:r w:rsidR="00DE0208" w:rsidRPr="007039B3">
        <w:rPr>
          <w:rFonts w:ascii="Palatino Linotype" w:hAnsi="Palatino Linotype"/>
          <w:sz w:val="24"/>
          <w:szCs w:val="24"/>
        </w:rPr>
        <w:t>, a</w:t>
      </w:r>
      <w:r w:rsidR="003D36F3" w:rsidRPr="007039B3">
        <w:rPr>
          <w:rFonts w:ascii="Palatino Linotype" w:hAnsi="Palatino Linotype"/>
          <w:sz w:val="24"/>
          <w:szCs w:val="24"/>
        </w:rPr>
        <w:t xml:space="preserve">l </w:t>
      </w:r>
      <w:r w:rsidR="00C75563" w:rsidRPr="007039B3">
        <w:rPr>
          <w:rFonts w:ascii="Palatino Linotype" w:hAnsi="Palatino Linotype"/>
          <w:sz w:val="24"/>
          <w:szCs w:val="24"/>
        </w:rPr>
        <w:t>resolver el</w:t>
      </w:r>
      <w:r w:rsidR="003D36F3" w:rsidRPr="007039B3">
        <w:rPr>
          <w:rFonts w:ascii="Palatino Linotype" w:hAnsi="Palatino Linotype"/>
          <w:sz w:val="24"/>
          <w:szCs w:val="24"/>
        </w:rPr>
        <w:t xml:space="preserve"> caso Ricardo Baena y Otros contra Panamá en su párrafos 124 y 125,  fijo al interpretar el artículo 8 de la convención,  que </w:t>
      </w:r>
      <w:r w:rsidR="003D36F3" w:rsidRPr="007039B3">
        <w:rPr>
          <w:rFonts w:ascii="Palatino Linotype" w:hAnsi="Palatino Linotype"/>
          <w:color w:val="000000"/>
          <w:sz w:val="24"/>
          <w:szCs w:val="24"/>
        </w:rPr>
        <w:t>si bien el artículo 8 de la Convención Americana se titula “Garantías Judiciales”, su aplicación no se limita a los recursos judiciales en sentido estricto, señalando que  “….</w:t>
      </w:r>
      <w:r w:rsidR="003D36F3" w:rsidRPr="007039B3">
        <w:rPr>
          <w:rFonts w:ascii="Palatino Linotype" w:hAnsi="Palatino Linotype"/>
          <w:i/>
          <w:iCs/>
          <w:color w:val="000000"/>
          <w:sz w:val="24"/>
          <w:szCs w:val="24"/>
        </w:rPr>
        <w:t xml:space="preserve"> cualquier actuación u omisión de los órganos estatales dentro de un proceso, sea administrativo sancionatorio o jurisdiccional, debe respetar el debido proceso </w:t>
      </w:r>
      <w:r w:rsidR="00F77006" w:rsidRPr="007039B3">
        <w:rPr>
          <w:rFonts w:ascii="Palatino Linotype" w:hAnsi="Palatino Linotype"/>
          <w:i/>
          <w:iCs/>
          <w:color w:val="000000"/>
          <w:sz w:val="24"/>
          <w:szCs w:val="24"/>
        </w:rPr>
        <w:t>legal…</w:t>
      </w:r>
      <w:r w:rsidR="00F77006" w:rsidRPr="007039B3">
        <w:rPr>
          <w:rFonts w:ascii="Palatino Linotype" w:hAnsi="Palatino Linotype"/>
          <w:color w:val="000000"/>
          <w:sz w:val="24"/>
          <w:szCs w:val="24"/>
        </w:rPr>
        <w:t xml:space="preserve"> “</w:t>
      </w:r>
    </w:p>
    <w:p w:rsidR="00BD3556" w:rsidRPr="007039B3" w:rsidRDefault="00BD3556" w:rsidP="00BD3556">
      <w:pPr>
        <w:spacing w:after="0" w:line="240" w:lineRule="auto"/>
        <w:contextualSpacing/>
        <w:jc w:val="both"/>
        <w:rPr>
          <w:rFonts w:ascii="Palatino Linotype" w:hAnsi="Palatino Linotype"/>
          <w:sz w:val="16"/>
          <w:szCs w:val="16"/>
        </w:rPr>
      </w:pPr>
    </w:p>
    <w:p w:rsidR="00D63202" w:rsidRPr="007039B3" w:rsidRDefault="00D63202" w:rsidP="00D63202">
      <w:pPr>
        <w:spacing w:line="360" w:lineRule="auto"/>
        <w:jc w:val="both"/>
        <w:rPr>
          <w:rFonts w:ascii="Palatino Linotype" w:hAnsi="Palatino Linotype"/>
          <w:sz w:val="24"/>
          <w:szCs w:val="24"/>
        </w:rPr>
      </w:pPr>
      <w:r w:rsidRPr="007039B3">
        <w:rPr>
          <w:rFonts w:ascii="Palatino Linotype" w:hAnsi="Palatino Linotype"/>
          <w:sz w:val="24"/>
          <w:szCs w:val="24"/>
        </w:rPr>
        <w:t>En otra sentencia reciente, la Corte reafirmó la postura reseñada.  Se trata del Caso Claude Reyes y otros vs. Chile en que la Corte debió decidir sobre los alcances del derecho de acceder a la información pública, al señalar que e</w:t>
      </w:r>
      <w:r w:rsidRPr="007039B3">
        <w:rPr>
          <w:rFonts w:ascii="Palatino Linotype" w:hAnsi="Palatino Linotype"/>
          <w:color w:val="000000"/>
          <w:sz w:val="24"/>
          <w:szCs w:val="24"/>
        </w:rPr>
        <w:t>l artículo 8.1 de la Convención no se aplica solamente a jueces y tribunales judiciales, sino que “… </w:t>
      </w:r>
      <w:r w:rsidRPr="007039B3">
        <w:rPr>
          <w:rFonts w:ascii="Palatino Linotype" w:hAnsi="Palatino Linotype"/>
          <w:i/>
          <w:iCs/>
          <w:color w:val="000000"/>
          <w:sz w:val="24"/>
          <w:szCs w:val="24"/>
        </w:rPr>
        <w:t xml:space="preserve">Las garantías que establece esta norma deben ser observadas en los distintos procedimientos en que los órganos estatales </w:t>
      </w:r>
      <w:r w:rsidRPr="007039B3">
        <w:rPr>
          <w:rFonts w:ascii="Palatino Linotype" w:hAnsi="Palatino Linotype"/>
          <w:b/>
          <w:i/>
          <w:iCs/>
          <w:color w:val="000000"/>
          <w:sz w:val="24"/>
          <w:szCs w:val="24"/>
          <w:u w:val="single"/>
        </w:rPr>
        <w:t>adoptan decisiones sobre la determinación de los derechos de las personas, ya que el Estado también otorga a autoridades administrativas, colegiadas o unipersonales, la función de adoptar decisiones que determinan derechos</w:t>
      </w:r>
      <w:r w:rsidRPr="007039B3">
        <w:rPr>
          <w:rFonts w:ascii="Palatino Linotype" w:hAnsi="Palatino Linotype"/>
          <w:i/>
          <w:iCs/>
          <w:color w:val="000000"/>
          <w:sz w:val="24"/>
          <w:szCs w:val="24"/>
        </w:rPr>
        <w:t xml:space="preserve">…” </w:t>
      </w:r>
    </w:p>
    <w:p w:rsidR="00D63202" w:rsidRPr="007039B3" w:rsidRDefault="00D63202" w:rsidP="00BC0A51">
      <w:pPr>
        <w:spacing w:before="120" w:after="120" w:line="360" w:lineRule="auto"/>
        <w:jc w:val="both"/>
        <w:rPr>
          <w:rFonts w:ascii="Palatino Linotype" w:hAnsi="Palatino Linotype"/>
          <w:sz w:val="8"/>
          <w:szCs w:val="24"/>
        </w:rPr>
      </w:pPr>
    </w:p>
    <w:p w:rsidR="00274D27" w:rsidRPr="007039B3" w:rsidRDefault="003D36F3" w:rsidP="00BC0A51">
      <w:pPr>
        <w:spacing w:before="120" w:after="120" w:line="360" w:lineRule="auto"/>
        <w:jc w:val="both"/>
        <w:rPr>
          <w:rFonts w:ascii="Palatino Linotype" w:hAnsi="Palatino Linotype"/>
          <w:sz w:val="24"/>
          <w:szCs w:val="24"/>
        </w:rPr>
      </w:pPr>
      <w:r w:rsidRPr="007039B3">
        <w:rPr>
          <w:rFonts w:ascii="Palatino Linotype" w:hAnsi="Palatino Linotype"/>
          <w:sz w:val="24"/>
          <w:szCs w:val="24"/>
        </w:rPr>
        <w:t>Además</w:t>
      </w:r>
      <w:r w:rsidR="00DE0208" w:rsidRPr="007039B3">
        <w:rPr>
          <w:rFonts w:ascii="Palatino Linotype" w:hAnsi="Palatino Linotype"/>
          <w:sz w:val="24"/>
          <w:szCs w:val="24"/>
        </w:rPr>
        <w:t xml:space="preserve">, ha manifestado </w:t>
      </w:r>
      <w:r w:rsidRPr="007039B3">
        <w:rPr>
          <w:rFonts w:ascii="Palatino Linotype" w:hAnsi="Palatino Linotype"/>
          <w:sz w:val="24"/>
          <w:szCs w:val="24"/>
        </w:rPr>
        <w:t xml:space="preserve"> la obligación de los Estados de c</w:t>
      </w:r>
      <w:r w:rsidR="00DE0208" w:rsidRPr="007039B3">
        <w:rPr>
          <w:rFonts w:ascii="Palatino Linotype" w:hAnsi="Palatino Linotype"/>
          <w:sz w:val="24"/>
          <w:szCs w:val="24"/>
        </w:rPr>
        <w:t>ontar con reglas precisas</w:t>
      </w:r>
      <w:r w:rsidRPr="007039B3">
        <w:rPr>
          <w:rFonts w:ascii="Palatino Linotype" w:hAnsi="Palatino Linotype"/>
          <w:sz w:val="24"/>
          <w:szCs w:val="24"/>
        </w:rPr>
        <w:t xml:space="preserve"> para el comportamiento de sus </w:t>
      </w:r>
      <w:r w:rsidR="00DE0208" w:rsidRPr="007039B3">
        <w:rPr>
          <w:rFonts w:ascii="Palatino Linotype" w:hAnsi="Palatino Linotype"/>
          <w:sz w:val="24"/>
          <w:szCs w:val="24"/>
        </w:rPr>
        <w:t xml:space="preserve">funcionarios, a fin de evitar </w:t>
      </w:r>
      <w:r w:rsidR="006D3D34" w:rsidRPr="007039B3">
        <w:rPr>
          <w:rFonts w:ascii="Palatino Linotype" w:hAnsi="Palatino Linotype"/>
          <w:sz w:val="24"/>
          <w:szCs w:val="24"/>
        </w:rPr>
        <w:t>parámetros</w:t>
      </w:r>
      <w:r w:rsidRPr="007039B3">
        <w:rPr>
          <w:rFonts w:ascii="Palatino Linotype" w:hAnsi="Palatino Linotype"/>
          <w:sz w:val="24"/>
          <w:szCs w:val="24"/>
        </w:rPr>
        <w:t xml:space="preserve"> inadecuados de discrecionalidad en la esfera administrativa,</w:t>
      </w:r>
      <w:r w:rsidR="00395DB1" w:rsidRPr="007039B3">
        <w:rPr>
          <w:rFonts w:ascii="Palatino Linotype" w:hAnsi="Palatino Linotype" w:cs="Arial"/>
        </w:rPr>
        <w:t xml:space="preserve"> </w:t>
      </w:r>
      <w:r w:rsidR="00395DB1" w:rsidRPr="007039B3">
        <w:rPr>
          <w:rStyle w:val="Refdenotaalpie"/>
          <w:rFonts w:ascii="Palatino Linotype" w:hAnsi="Palatino Linotype" w:cs="Arial"/>
        </w:rPr>
        <w:footnoteReference w:id="1"/>
      </w:r>
      <w:r w:rsidRPr="007039B3">
        <w:rPr>
          <w:rFonts w:ascii="Palatino Linotype" w:hAnsi="Palatino Linotype"/>
          <w:sz w:val="24"/>
          <w:szCs w:val="24"/>
        </w:rPr>
        <w:t xml:space="preserve"> que puedan fomentar prácticas arbitrarias o discriminat</w:t>
      </w:r>
      <w:r w:rsidR="006D3D34" w:rsidRPr="007039B3">
        <w:rPr>
          <w:rFonts w:ascii="Palatino Linotype" w:hAnsi="Palatino Linotype"/>
          <w:sz w:val="24"/>
          <w:szCs w:val="24"/>
        </w:rPr>
        <w:t xml:space="preserve">orias.  </w:t>
      </w:r>
    </w:p>
    <w:p w:rsidR="002B0DFB" w:rsidRPr="007039B3" w:rsidRDefault="002B0DFB" w:rsidP="00BC0A51">
      <w:pPr>
        <w:spacing w:before="120" w:after="120" w:line="360" w:lineRule="auto"/>
        <w:jc w:val="both"/>
        <w:rPr>
          <w:rFonts w:ascii="Palatino Linotype" w:hAnsi="Palatino Linotype"/>
          <w:sz w:val="12"/>
          <w:szCs w:val="24"/>
        </w:rPr>
      </w:pPr>
    </w:p>
    <w:p w:rsidR="002B0DFB" w:rsidRPr="007039B3" w:rsidRDefault="002B0DFB" w:rsidP="002B0DFB">
      <w:pPr>
        <w:spacing w:line="360" w:lineRule="auto"/>
        <w:jc w:val="both"/>
        <w:rPr>
          <w:rFonts w:ascii="Palatino Linotype" w:hAnsi="Palatino Linotype"/>
          <w:sz w:val="24"/>
          <w:szCs w:val="24"/>
        </w:rPr>
      </w:pPr>
      <w:r w:rsidRPr="007039B3">
        <w:rPr>
          <w:rFonts w:ascii="Palatino Linotype" w:hAnsi="Palatino Linotype"/>
          <w:sz w:val="24"/>
          <w:szCs w:val="24"/>
        </w:rPr>
        <w:t xml:space="preserve">Una vez clarificada la posición de la Corte </w:t>
      </w:r>
      <w:r w:rsidR="00C75563" w:rsidRPr="007039B3">
        <w:rPr>
          <w:rFonts w:ascii="Palatino Linotype" w:hAnsi="Palatino Linotype"/>
          <w:sz w:val="24"/>
          <w:szCs w:val="24"/>
        </w:rPr>
        <w:t>Interamericana en</w:t>
      </w:r>
      <w:r w:rsidRPr="007039B3">
        <w:rPr>
          <w:rFonts w:ascii="Palatino Linotype" w:hAnsi="Palatino Linotype"/>
          <w:sz w:val="24"/>
          <w:szCs w:val="24"/>
        </w:rPr>
        <w:t xml:space="preserve"> relación con la aplicabilidad del debido proceso legal en sede administrativa, corresponde ahora especificar los distintos elementos que dichos órganos han ido identificando como sus componentes esenciales</w:t>
      </w:r>
      <w:r w:rsidR="003F1C9E" w:rsidRPr="007039B3">
        <w:rPr>
          <w:rFonts w:ascii="Palatino Linotype" w:hAnsi="Palatino Linotype"/>
          <w:sz w:val="24"/>
          <w:szCs w:val="24"/>
        </w:rPr>
        <w:t xml:space="preserve"> que deben ser tomados en consideración para garantizar el una tutela administrativa efectiva. </w:t>
      </w:r>
    </w:p>
    <w:p w:rsidR="003D36F3" w:rsidRPr="007039B3" w:rsidRDefault="002B0DFB" w:rsidP="00BC0A51">
      <w:pPr>
        <w:spacing w:before="120" w:after="120" w:line="360" w:lineRule="auto"/>
        <w:jc w:val="both"/>
        <w:rPr>
          <w:rFonts w:ascii="Palatino Linotype" w:hAnsi="Palatino Linotype"/>
          <w:sz w:val="24"/>
          <w:szCs w:val="24"/>
        </w:rPr>
      </w:pPr>
      <w:r w:rsidRPr="007039B3">
        <w:rPr>
          <w:rFonts w:ascii="Palatino Linotype" w:hAnsi="Palatino Linotype"/>
          <w:sz w:val="24"/>
          <w:szCs w:val="24"/>
        </w:rPr>
        <w:t>Así</w:t>
      </w:r>
      <w:r w:rsidR="006D3D34" w:rsidRPr="007039B3">
        <w:rPr>
          <w:rFonts w:ascii="Palatino Linotype" w:hAnsi="Palatino Linotype"/>
          <w:sz w:val="24"/>
          <w:szCs w:val="24"/>
        </w:rPr>
        <w:t xml:space="preserve">, la Corte Interamericana </w:t>
      </w:r>
      <w:r w:rsidR="003D36F3" w:rsidRPr="007039B3">
        <w:rPr>
          <w:rFonts w:ascii="Palatino Linotype" w:hAnsi="Palatino Linotype"/>
          <w:sz w:val="24"/>
          <w:szCs w:val="24"/>
        </w:rPr>
        <w:t xml:space="preserve"> ha </w:t>
      </w:r>
      <w:r w:rsidR="006D3D34" w:rsidRPr="007039B3">
        <w:rPr>
          <w:rFonts w:ascii="Palatino Linotype" w:hAnsi="Palatino Linotype"/>
          <w:sz w:val="24"/>
          <w:szCs w:val="24"/>
        </w:rPr>
        <w:t>identificado</w:t>
      </w:r>
      <w:r w:rsidR="003D36F3" w:rsidRPr="007039B3">
        <w:rPr>
          <w:rFonts w:ascii="Palatino Linotype" w:hAnsi="Palatino Linotype"/>
          <w:sz w:val="24"/>
          <w:szCs w:val="24"/>
        </w:rPr>
        <w:t xml:space="preserve"> ciertos estándares del debi</w:t>
      </w:r>
      <w:r w:rsidR="00395DB1" w:rsidRPr="007039B3">
        <w:rPr>
          <w:rFonts w:ascii="Palatino Linotype" w:hAnsi="Palatino Linotype"/>
          <w:sz w:val="24"/>
          <w:szCs w:val="24"/>
        </w:rPr>
        <w:t xml:space="preserve">do proceso legal que deben ser observados en todos los </w:t>
      </w:r>
      <w:r w:rsidR="003D36F3" w:rsidRPr="007039B3">
        <w:rPr>
          <w:rFonts w:ascii="Palatino Linotype" w:hAnsi="Palatino Linotype"/>
          <w:sz w:val="24"/>
          <w:szCs w:val="24"/>
        </w:rPr>
        <w:t xml:space="preserve"> procedimientos administrativos, tales como:</w:t>
      </w:r>
    </w:p>
    <w:p w:rsidR="003D36F3" w:rsidRPr="007039B3" w:rsidRDefault="003D36F3" w:rsidP="003D36F3">
      <w:pPr>
        <w:pStyle w:val="Prrafodelista"/>
        <w:numPr>
          <w:ilvl w:val="0"/>
          <w:numId w:val="5"/>
        </w:numPr>
        <w:spacing w:before="120" w:after="120" w:line="360" w:lineRule="auto"/>
        <w:jc w:val="both"/>
        <w:rPr>
          <w:rFonts w:ascii="Palatino Linotype" w:hAnsi="Palatino Linotype"/>
        </w:rPr>
      </w:pPr>
      <w:r w:rsidRPr="007039B3">
        <w:rPr>
          <w:rFonts w:ascii="Palatino Linotype" w:hAnsi="Palatino Linotype"/>
        </w:rPr>
        <w:t xml:space="preserve"> el plazo razonable;</w:t>
      </w:r>
    </w:p>
    <w:p w:rsidR="003D36F3" w:rsidRPr="007039B3" w:rsidRDefault="003D36F3" w:rsidP="003D36F3">
      <w:pPr>
        <w:pStyle w:val="Prrafodelista"/>
        <w:numPr>
          <w:ilvl w:val="0"/>
          <w:numId w:val="5"/>
        </w:numPr>
        <w:spacing w:before="120" w:after="120" w:line="360" w:lineRule="auto"/>
        <w:jc w:val="both"/>
        <w:rPr>
          <w:rFonts w:ascii="Palatino Linotype" w:hAnsi="Palatino Linotype"/>
        </w:rPr>
      </w:pPr>
      <w:r w:rsidRPr="007039B3">
        <w:rPr>
          <w:rFonts w:ascii="Palatino Linotype" w:hAnsi="Palatino Linotype"/>
        </w:rPr>
        <w:t>el derecho a la revisión judicial de decisiones administrativas;</w:t>
      </w:r>
    </w:p>
    <w:p w:rsidR="003D36F3" w:rsidRPr="007039B3" w:rsidRDefault="003D36F3" w:rsidP="003D36F3">
      <w:pPr>
        <w:pStyle w:val="Prrafodelista"/>
        <w:numPr>
          <w:ilvl w:val="0"/>
          <w:numId w:val="5"/>
        </w:numPr>
        <w:spacing w:before="120" w:after="120" w:line="360" w:lineRule="auto"/>
        <w:jc w:val="both"/>
        <w:rPr>
          <w:rFonts w:ascii="Palatino Linotype" w:hAnsi="Palatino Linotype"/>
        </w:rPr>
      </w:pPr>
      <w:r w:rsidRPr="007039B3">
        <w:rPr>
          <w:rFonts w:ascii="Palatino Linotype" w:hAnsi="Palatino Linotype"/>
        </w:rPr>
        <w:t xml:space="preserve"> a contar con un abogado;</w:t>
      </w:r>
    </w:p>
    <w:p w:rsidR="003D36F3" w:rsidRPr="007039B3" w:rsidRDefault="003D36F3" w:rsidP="003D36F3">
      <w:pPr>
        <w:pStyle w:val="Prrafodelista"/>
        <w:numPr>
          <w:ilvl w:val="0"/>
          <w:numId w:val="5"/>
        </w:numPr>
        <w:spacing w:before="120" w:after="120" w:line="360" w:lineRule="auto"/>
        <w:jc w:val="both"/>
        <w:rPr>
          <w:rFonts w:ascii="Palatino Linotype" w:hAnsi="Palatino Linotype"/>
          <w:b/>
        </w:rPr>
      </w:pPr>
      <w:r w:rsidRPr="007039B3">
        <w:rPr>
          <w:rFonts w:ascii="Palatino Linotype" w:hAnsi="Palatino Linotype"/>
          <w:b/>
        </w:rPr>
        <w:t xml:space="preserve"> a una decisión fundada;</w:t>
      </w:r>
      <w:r w:rsidR="00DE0208" w:rsidRPr="007039B3">
        <w:rPr>
          <w:rFonts w:ascii="Palatino Linotype" w:hAnsi="Palatino Linotype"/>
          <w:b/>
        </w:rPr>
        <w:t xml:space="preserve"> y, </w:t>
      </w:r>
    </w:p>
    <w:p w:rsidR="003D36F3" w:rsidRPr="007039B3" w:rsidRDefault="003D36F3" w:rsidP="003D36F3">
      <w:pPr>
        <w:pStyle w:val="Prrafodelista"/>
        <w:numPr>
          <w:ilvl w:val="0"/>
          <w:numId w:val="5"/>
        </w:numPr>
        <w:spacing w:before="120" w:after="120" w:line="360" w:lineRule="auto"/>
        <w:jc w:val="both"/>
        <w:rPr>
          <w:rFonts w:ascii="Palatino Linotype" w:hAnsi="Palatino Linotype"/>
        </w:rPr>
      </w:pPr>
      <w:r w:rsidRPr="007039B3">
        <w:rPr>
          <w:rFonts w:ascii="Palatino Linotype" w:hAnsi="Palatino Linotype"/>
        </w:rPr>
        <w:t xml:space="preserve"> a la publicidad del actuar de la administración, entre otros.</w:t>
      </w:r>
    </w:p>
    <w:p w:rsidR="002E72E8" w:rsidRPr="007039B3" w:rsidRDefault="002E72E8" w:rsidP="00BC0A51">
      <w:pPr>
        <w:spacing w:before="120" w:after="120" w:line="360" w:lineRule="auto"/>
        <w:jc w:val="both"/>
        <w:rPr>
          <w:rFonts w:ascii="Palatino Linotype" w:hAnsi="Palatino Linotype"/>
          <w:color w:val="000000"/>
          <w:szCs w:val="20"/>
          <w:lang w:val="es-ES_tradnl"/>
        </w:rPr>
      </w:pPr>
    </w:p>
    <w:p w:rsidR="002E72E8" w:rsidRPr="007039B3" w:rsidRDefault="00CD4760" w:rsidP="00BC0A51">
      <w:pPr>
        <w:spacing w:before="120" w:after="120" w:line="360" w:lineRule="auto"/>
        <w:jc w:val="both"/>
        <w:rPr>
          <w:rFonts w:ascii="Palatino Linotype" w:hAnsi="Palatino Linotype"/>
          <w:sz w:val="24"/>
          <w:szCs w:val="20"/>
          <w:lang w:val="es-ES_tradnl"/>
        </w:rPr>
      </w:pPr>
      <w:r w:rsidRPr="007039B3">
        <w:rPr>
          <w:rFonts w:ascii="Palatino Linotype" w:hAnsi="Palatino Linotype"/>
          <w:sz w:val="24"/>
          <w:szCs w:val="20"/>
          <w:u w:val="single"/>
          <w:lang w:val="es-ES_tradnl"/>
        </w:rPr>
        <w:t>En este sentido, e</w:t>
      </w:r>
      <w:r w:rsidR="00DE79F7" w:rsidRPr="007039B3">
        <w:rPr>
          <w:rFonts w:ascii="Palatino Linotype" w:hAnsi="Palatino Linotype"/>
          <w:sz w:val="24"/>
          <w:szCs w:val="20"/>
          <w:u w:val="single"/>
          <w:lang w:val="es-ES_tradnl"/>
        </w:rPr>
        <w:t>l </w:t>
      </w:r>
      <w:r w:rsidR="00DE79F7" w:rsidRPr="007039B3">
        <w:rPr>
          <w:rFonts w:ascii="Palatino Linotype" w:hAnsi="Palatino Linotype"/>
          <w:b/>
          <w:i/>
          <w:iCs/>
          <w:sz w:val="24"/>
          <w:szCs w:val="20"/>
          <w:u w:val="single"/>
          <w:lang w:val="es-ES_tradnl"/>
        </w:rPr>
        <w:t>derecho a contar con una decisión fundada sobre el fondo del asunto</w:t>
      </w:r>
      <w:r w:rsidR="00DE79F7" w:rsidRPr="007039B3">
        <w:rPr>
          <w:rFonts w:ascii="Palatino Linotype" w:hAnsi="Palatino Linotype"/>
          <w:sz w:val="24"/>
          <w:szCs w:val="20"/>
          <w:lang w:val="es-ES_tradnl"/>
        </w:rPr>
        <w:t> y la necesidad de garantizar </w:t>
      </w:r>
      <w:r w:rsidR="00DE79F7" w:rsidRPr="007039B3">
        <w:rPr>
          <w:rFonts w:ascii="Palatino Linotype" w:hAnsi="Palatino Linotype"/>
          <w:i/>
          <w:iCs/>
          <w:sz w:val="24"/>
          <w:szCs w:val="20"/>
          <w:lang w:val="es-ES_tradnl"/>
        </w:rPr>
        <w:t>la publicidad de la actuación administrativa</w:t>
      </w:r>
      <w:r w:rsidR="00DE79F7" w:rsidRPr="007039B3">
        <w:rPr>
          <w:rFonts w:ascii="Palatino Linotype" w:hAnsi="Palatino Linotype"/>
          <w:sz w:val="24"/>
          <w:szCs w:val="20"/>
          <w:lang w:val="es-ES_tradnl"/>
        </w:rPr>
        <w:t xml:space="preserve">, </w:t>
      </w:r>
      <w:r w:rsidR="00CD5A1A" w:rsidRPr="007039B3">
        <w:rPr>
          <w:rStyle w:val="Refdenotaalpie"/>
          <w:rFonts w:ascii="Palatino Linotype" w:hAnsi="Palatino Linotype" w:cs="Arial"/>
        </w:rPr>
        <w:footnoteReference w:id="2"/>
      </w:r>
      <w:r w:rsidR="00CD5A1A" w:rsidRPr="007039B3">
        <w:rPr>
          <w:rFonts w:ascii="Palatino Linotype" w:hAnsi="Palatino Linotype"/>
          <w:sz w:val="24"/>
          <w:szCs w:val="20"/>
          <w:lang w:val="es-ES_tradnl"/>
        </w:rPr>
        <w:t xml:space="preserve"> </w:t>
      </w:r>
      <w:r w:rsidR="00DE79F7" w:rsidRPr="007039B3">
        <w:rPr>
          <w:rFonts w:ascii="Palatino Linotype" w:hAnsi="Palatino Linotype"/>
          <w:sz w:val="24"/>
          <w:szCs w:val="20"/>
          <w:lang w:val="es-ES_tradnl"/>
        </w:rPr>
        <w:t xml:space="preserve"> han sido</w:t>
      </w:r>
      <w:r w:rsidR="002E72E8" w:rsidRPr="007039B3">
        <w:rPr>
          <w:rFonts w:ascii="Palatino Linotype" w:hAnsi="Palatino Linotype"/>
          <w:sz w:val="24"/>
          <w:szCs w:val="20"/>
          <w:lang w:val="es-ES_tradnl"/>
        </w:rPr>
        <w:t xml:space="preserve"> puntualizados tanto por la Comisión</w:t>
      </w:r>
      <w:r w:rsidR="00DE79F7" w:rsidRPr="007039B3">
        <w:rPr>
          <w:rFonts w:ascii="Palatino Linotype" w:hAnsi="Palatino Linotype"/>
          <w:sz w:val="24"/>
          <w:szCs w:val="20"/>
          <w:lang w:val="es-ES_tradnl"/>
        </w:rPr>
        <w:t xml:space="preserve"> como por la Corte</w:t>
      </w:r>
      <w:r w:rsidR="002E72E8" w:rsidRPr="007039B3">
        <w:rPr>
          <w:rFonts w:ascii="Palatino Linotype" w:hAnsi="Palatino Linotype"/>
          <w:sz w:val="24"/>
          <w:szCs w:val="20"/>
          <w:lang w:val="es-ES_tradnl"/>
        </w:rPr>
        <w:t xml:space="preserve"> interamericana</w:t>
      </w:r>
      <w:r w:rsidR="00DE79F7" w:rsidRPr="007039B3">
        <w:rPr>
          <w:rFonts w:ascii="Palatino Linotype" w:hAnsi="Palatino Linotype"/>
          <w:sz w:val="24"/>
          <w:szCs w:val="20"/>
          <w:lang w:val="es-ES_tradnl"/>
        </w:rPr>
        <w:t xml:space="preserve"> como elementos que integran el debido proceso legal.</w:t>
      </w:r>
      <w:r w:rsidR="00C614BC" w:rsidRPr="007039B3">
        <w:rPr>
          <w:rFonts w:ascii="Palatino Linotype" w:hAnsi="Palatino Linotype"/>
          <w:sz w:val="24"/>
          <w:szCs w:val="20"/>
          <w:lang w:val="es-ES_tradnl"/>
        </w:rPr>
        <w:t xml:space="preserve"> </w:t>
      </w:r>
      <w:r w:rsidR="002E72E8" w:rsidRPr="007039B3">
        <w:rPr>
          <w:rFonts w:ascii="Palatino Linotype" w:hAnsi="Palatino Linotype"/>
          <w:sz w:val="24"/>
        </w:rPr>
        <w:t>En el Caso Roger Herminio Salas Gamboa,</w:t>
      </w:r>
      <w:r w:rsidR="002E72E8" w:rsidRPr="007039B3">
        <w:rPr>
          <w:rFonts w:ascii="Palatino Linotype" w:hAnsi="Palatino Linotype"/>
          <w:i/>
          <w:iCs/>
          <w:sz w:val="24"/>
        </w:rPr>
        <w:t> </w:t>
      </w:r>
      <w:r w:rsidR="002E72E8" w:rsidRPr="007039B3">
        <w:rPr>
          <w:rFonts w:ascii="Palatino Linotype" w:hAnsi="Palatino Linotype"/>
          <w:sz w:val="24"/>
        </w:rPr>
        <w:t xml:space="preserve">el peticionario alegó la vulneración del artículo 8 de la Convención Americana por la negativa del Consejo Nacional de la Magistratura de motivar e informar a los magistrados sometidos a evaluación, los resultados de las mismas,  alegó que las decisiones del Consejo Nacional de la Magistratura son arbitrarias pues </w:t>
      </w:r>
      <w:r w:rsidR="002E72E8" w:rsidRPr="007039B3">
        <w:rPr>
          <w:rFonts w:ascii="Palatino Linotype" w:hAnsi="Palatino Linotype"/>
          <w:b/>
          <w:sz w:val="24"/>
        </w:rPr>
        <w:t>no se motivan, ni se informa a los evaluados sobre las razones que</w:t>
      </w:r>
      <w:r w:rsidR="002216D7" w:rsidRPr="007039B3">
        <w:rPr>
          <w:rFonts w:ascii="Palatino Linotype" w:hAnsi="Palatino Linotype"/>
          <w:b/>
          <w:sz w:val="24"/>
        </w:rPr>
        <w:t xml:space="preserve"> se tuvieron en cuenta en la decisión</w:t>
      </w:r>
      <w:r w:rsidR="002E72E8" w:rsidRPr="007039B3">
        <w:rPr>
          <w:rFonts w:ascii="Palatino Linotype" w:hAnsi="Palatino Linotype"/>
          <w:b/>
          <w:sz w:val="24"/>
        </w:rPr>
        <w:t xml:space="preserve"> adoptada</w:t>
      </w:r>
      <w:r w:rsidR="002216D7" w:rsidRPr="007039B3">
        <w:rPr>
          <w:rFonts w:ascii="Palatino Linotype" w:hAnsi="Palatino Linotype"/>
          <w:sz w:val="24"/>
        </w:rPr>
        <w:t>,</w:t>
      </w:r>
      <w:r w:rsidR="002E72E8" w:rsidRPr="007039B3">
        <w:rPr>
          <w:rFonts w:ascii="Palatino Linotype" w:hAnsi="Palatino Linotype"/>
          <w:sz w:val="24"/>
        </w:rPr>
        <w:t xml:space="preserve"> </w:t>
      </w:r>
      <w:r w:rsidR="002216D7" w:rsidRPr="007039B3">
        <w:rPr>
          <w:rFonts w:ascii="Palatino Linotype" w:hAnsi="Palatino Linotype"/>
          <w:sz w:val="24"/>
        </w:rPr>
        <w:t>e</w:t>
      </w:r>
      <w:r w:rsidR="002E72E8" w:rsidRPr="007039B3">
        <w:rPr>
          <w:rFonts w:ascii="Palatino Linotype" w:hAnsi="Palatino Linotype"/>
          <w:sz w:val="24"/>
        </w:rPr>
        <w:t xml:space="preserve">n este marco, la </w:t>
      </w:r>
      <w:r w:rsidR="008B647C" w:rsidRPr="007039B3">
        <w:rPr>
          <w:rFonts w:ascii="Palatino Linotype" w:hAnsi="Palatino Linotype"/>
          <w:sz w:val="24"/>
        </w:rPr>
        <w:t>Comisión</w:t>
      </w:r>
      <w:r w:rsidR="002E72E8" w:rsidRPr="007039B3">
        <w:rPr>
          <w:rFonts w:ascii="Palatino Linotype" w:hAnsi="Palatino Linotype"/>
          <w:sz w:val="24"/>
        </w:rPr>
        <w:t xml:space="preserve"> decidió declarar la admisibilidad del caso</w:t>
      </w:r>
      <w:r w:rsidR="008B647C" w:rsidRPr="007039B3">
        <w:rPr>
          <w:rFonts w:ascii="Palatino Linotype" w:hAnsi="Palatino Linotype"/>
          <w:sz w:val="24"/>
        </w:rPr>
        <w:t>.</w:t>
      </w:r>
      <w:r w:rsidR="008B647C" w:rsidRPr="007039B3">
        <w:rPr>
          <w:rStyle w:val="Refdenotaalpie"/>
          <w:rFonts w:ascii="Palatino Linotype" w:hAnsi="Palatino Linotype" w:cs="Arial"/>
        </w:rPr>
        <w:t xml:space="preserve"> </w:t>
      </w:r>
    </w:p>
    <w:p w:rsidR="00BC10BB" w:rsidRPr="007039B3" w:rsidRDefault="00BC10BB" w:rsidP="00BC10BB">
      <w:pPr>
        <w:spacing w:before="240" w:after="240" w:line="360" w:lineRule="auto"/>
        <w:jc w:val="both"/>
        <w:rPr>
          <w:rFonts w:ascii="Palatino Linotype" w:hAnsi="Palatino Linotype"/>
          <w:sz w:val="8"/>
          <w:szCs w:val="24"/>
        </w:rPr>
      </w:pPr>
    </w:p>
    <w:p w:rsidR="00896D8C" w:rsidRPr="007039B3" w:rsidRDefault="00BC10BB" w:rsidP="00BC10BB">
      <w:pPr>
        <w:spacing w:before="240" w:after="240" w:line="360" w:lineRule="auto"/>
        <w:jc w:val="both"/>
        <w:rPr>
          <w:rFonts w:ascii="Palatino Linotype" w:hAnsi="Palatino Linotype"/>
          <w:sz w:val="24"/>
          <w:szCs w:val="24"/>
        </w:rPr>
      </w:pPr>
      <w:r w:rsidRPr="007039B3">
        <w:rPr>
          <w:rFonts w:ascii="Palatino Linotype" w:hAnsi="Palatino Linotype"/>
          <w:sz w:val="24"/>
          <w:szCs w:val="24"/>
        </w:rPr>
        <w:t xml:space="preserve">En otras palabras una resolución no puede ser solamente el medio donde se explique de manera extensa lo dictado por la ley, sino que  sea en un medio que asegure la atención </w:t>
      </w:r>
      <w:r w:rsidR="00214FBA" w:rsidRPr="007039B3">
        <w:rPr>
          <w:rFonts w:ascii="Palatino Linotype" w:hAnsi="Palatino Linotype"/>
          <w:sz w:val="24"/>
          <w:szCs w:val="24"/>
        </w:rPr>
        <w:t xml:space="preserve"> a los fundamentos y razonamientos</w:t>
      </w:r>
      <w:r w:rsidRPr="007039B3">
        <w:rPr>
          <w:rFonts w:ascii="Palatino Linotype" w:hAnsi="Palatino Linotype"/>
          <w:sz w:val="24"/>
          <w:szCs w:val="24"/>
        </w:rPr>
        <w:t xml:space="preserve"> que fueron tomados en consideración</w:t>
      </w:r>
      <w:r w:rsidR="006947B4" w:rsidRPr="007039B3">
        <w:rPr>
          <w:rFonts w:ascii="Palatino Linotype" w:hAnsi="Palatino Linotype"/>
          <w:sz w:val="24"/>
          <w:szCs w:val="24"/>
        </w:rPr>
        <w:t xml:space="preserve"> por la autoridad al momento</w:t>
      </w:r>
      <w:r w:rsidR="00214FBA" w:rsidRPr="007039B3">
        <w:rPr>
          <w:rFonts w:ascii="Palatino Linotype" w:hAnsi="Palatino Linotype"/>
          <w:sz w:val="24"/>
          <w:szCs w:val="24"/>
        </w:rPr>
        <w:t xml:space="preserve"> de resolver. </w:t>
      </w:r>
    </w:p>
    <w:p w:rsidR="00CD5A1A" w:rsidRPr="007039B3" w:rsidRDefault="00CD5A1A" w:rsidP="00747D9A">
      <w:pPr>
        <w:spacing w:after="0" w:line="360" w:lineRule="auto"/>
        <w:ind w:right="18"/>
        <w:jc w:val="both"/>
        <w:rPr>
          <w:rFonts w:ascii="Palatino Linotype" w:hAnsi="Palatino Linotype"/>
          <w:sz w:val="24"/>
        </w:rPr>
      </w:pPr>
      <w:r w:rsidRPr="007039B3">
        <w:rPr>
          <w:rFonts w:ascii="Palatino Linotype" w:hAnsi="Palatino Linotype"/>
          <w:sz w:val="24"/>
        </w:rPr>
        <w:t>En e</w:t>
      </w:r>
      <w:r w:rsidR="00FA1FDD" w:rsidRPr="007039B3">
        <w:rPr>
          <w:rFonts w:ascii="Palatino Linotype" w:hAnsi="Palatino Linotype"/>
          <w:sz w:val="24"/>
        </w:rPr>
        <w:t>ste sentido, “</w:t>
      </w:r>
      <w:r w:rsidR="00FA1FDD" w:rsidRPr="007039B3">
        <w:rPr>
          <w:rFonts w:ascii="Palatino Linotype" w:hAnsi="Palatino Linotype"/>
          <w:b/>
          <w:sz w:val="24"/>
        </w:rPr>
        <w:t>motivar</w:t>
      </w:r>
      <w:r w:rsidR="00FA1FDD" w:rsidRPr="007039B3">
        <w:rPr>
          <w:rFonts w:ascii="Palatino Linotype" w:hAnsi="Palatino Linotype"/>
          <w:sz w:val="24"/>
        </w:rPr>
        <w:t>” tiene el significado de</w:t>
      </w:r>
      <w:r w:rsidRPr="007039B3">
        <w:rPr>
          <w:rFonts w:ascii="Palatino Linotype" w:hAnsi="Palatino Linotype"/>
          <w:sz w:val="24"/>
        </w:rPr>
        <w:t xml:space="preserve"> garantizar que la resolución, escogida entre mucha</w:t>
      </w:r>
      <w:r w:rsidR="00FA1FDD" w:rsidRPr="007039B3">
        <w:rPr>
          <w:rFonts w:ascii="Palatino Linotype" w:hAnsi="Palatino Linotype"/>
          <w:sz w:val="24"/>
        </w:rPr>
        <w:t>s otras, no responde</w:t>
      </w:r>
      <w:r w:rsidRPr="007039B3">
        <w:rPr>
          <w:rFonts w:ascii="Palatino Linotype" w:hAnsi="Palatino Linotype"/>
          <w:sz w:val="24"/>
        </w:rPr>
        <w:t xml:space="preserve"> a una decisión</w:t>
      </w:r>
      <w:r w:rsidR="00FA1FDD" w:rsidRPr="007039B3">
        <w:rPr>
          <w:rFonts w:ascii="Palatino Linotype" w:hAnsi="Palatino Linotype"/>
          <w:sz w:val="24"/>
        </w:rPr>
        <w:t xml:space="preserve"> unilateral o arbitraria </w:t>
      </w:r>
      <w:r w:rsidRPr="007039B3">
        <w:rPr>
          <w:rFonts w:ascii="Palatino Linotype" w:hAnsi="Palatino Linotype"/>
          <w:sz w:val="24"/>
        </w:rPr>
        <w:t xml:space="preserve"> del Juez</w:t>
      </w:r>
      <w:r w:rsidR="00FA1FDD" w:rsidRPr="007039B3">
        <w:rPr>
          <w:rFonts w:ascii="Palatino Linotype" w:hAnsi="Palatino Linotype"/>
          <w:sz w:val="24"/>
        </w:rPr>
        <w:t xml:space="preserve"> o de la autoridad</w:t>
      </w:r>
      <w:r w:rsidRPr="007039B3">
        <w:rPr>
          <w:rFonts w:ascii="Palatino Linotype" w:hAnsi="Palatino Linotype"/>
          <w:sz w:val="24"/>
        </w:rPr>
        <w:t>, sino</w:t>
      </w:r>
      <w:r w:rsidR="00FA1FDD" w:rsidRPr="007039B3">
        <w:rPr>
          <w:rFonts w:ascii="Palatino Linotype" w:hAnsi="Palatino Linotype"/>
          <w:sz w:val="24"/>
        </w:rPr>
        <w:t xml:space="preserve"> que la misma </w:t>
      </w:r>
      <w:r w:rsidR="00214FBA" w:rsidRPr="007039B3">
        <w:rPr>
          <w:rFonts w:ascii="Palatino Linotype" w:hAnsi="Palatino Linotype"/>
          <w:sz w:val="24"/>
        </w:rPr>
        <w:t xml:space="preserve">sea </w:t>
      </w:r>
      <w:r w:rsidR="00FA1FDD" w:rsidRPr="007039B3">
        <w:rPr>
          <w:rFonts w:ascii="Palatino Linotype" w:hAnsi="Palatino Linotype"/>
          <w:sz w:val="24"/>
        </w:rPr>
        <w:t>el producto de</w:t>
      </w:r>
      <w:r w:rsidR="00747D9A" w:rsidRPr="007039B3">
        <w:rPr>
          <w:rFonts w:ascii="Palatino Linotype" w:hAnsi="Palatino Linotype"/>
          <w:sz w:val="24"/>
        </w:rPr>
        <w:t xml:space="preserve"> la interpretación y aplicación de la ley. </w:t>
      </w:r>
    </w:p>
    <w:p w:rsidR="00BD3556" w:rsidRPr="007039B3" w:rsidRDefault="00BD3556" w:rsidP="00BD3556">
      <w:pPr>
        <w:spacing w:after="0" w:line="240" w:lineRule="auto"/>
        <w:ind w:right="18"/>
        <w:jc w:val="both"/>
        <w:rPr>
          <w:rFonts w:ascii="Palatino Linotype" w:hAnsi="Palatino Linotype"/>
          <w:sz w:val="16"/>
          <w:szCs w:val="16"/>
        </w:rPr>
      </w:pPr>
    </w:p>
    <w:p w:rsidR="00896D8C" w:rsidRPr="007039B3" w:rsidRDefault="00896D8C" w:rsidP="00896D8C">
      <w:pPr>
        <w:spacing w:before="120" w:after="120" w:line="360" w:lineRule="auto"/>
        <w:jc w:val="both"/>
        <w:rPr>
          <w:rFonts w:ascii="Palatino Linotype" w:hAnsi="Palatino Linotype"/>
          <w:sz w:val="24"/>
        </w:rPr>
      </w:pPr>
      <w:r w:rsidRPr="007039B3">
        <w:rPr>
          <w:rFonts w:ascii="Palatino Linotype" w:hAnsi="Palatino Linotype"/>
          <w:sz w:val="24"/>
        </w:rPr>
        <w:t>De esta manera, vemos cómo, se pone en evidencia que la motivación de las sentencias realiza una doble función, es decir:</w:t>
      </w:r>
    </w:p>
    <w:p w:rsidR="00896D8C" w:rsidRPr="007039B3" w:rsidRDefault="00896D8C" w:rsidP="00896D8C">
      <w:pPr>
        <w:spacing w:before="120" w:after="120" w:line="360" w:lineRule="auto"/>
        <w:ind w:left="708"/>
        <w:jc w:val="both"/>
        <w:rPr>
          <w:rFonts w:ascii="Palatino Linotype" w:hAnsi="Palatino Linotype"/>
          <w:b/>
          <w:sz w:val="24"/>
          <w:szCs w:val="24"/>
        </w:rPr>
      </w:pPr>
      <w:r w:rsidRPr="007039B3">
        <w:rPr>
          <w:rFonts w:ascii="Palatino Linotype" w:hAnsi="Palatino Linotype"/>
          <w:color w:val="FF0000"/>
          <w:sz w:val="24"/>
        </w:rPr>
        <w:t xml:space="preserve"> </w:t>
      </w:r>
      <w:r w:rsidR="00BA0556" w:rsidRPr="007039B3">
        <w:rPr>
          <w:rFonts w:ascii="Palatino Linotype" w:hAnsi="Palatino Linotype"/>
          <w:sz w:val="24"/>
          <w:szCs w:val="24"/>
        </w:rPr>
        <w:t xml:space="preserve">• </w:t>
      </w:r>
      <w:r w:rsidR="00BA0556" w:rsidRPr="007039B3">
        <w:rPr>
          <w:rFonts w:ascii="Palatino Linotype" w:hAnsi="Palatino Linotype"/>
          <w:b/>
          <w:sz w:val="24"/>
          <w:szCs w:val="24"/>
        </w:rPr>
        <w:t>R</w:t>
      </w:r>
      <w:r w:rsidRPr="007039B3">
        <w:rPr>
          <w:rFonts w:ascii="Palatino Linotype" w:hAnsi="Palatino Linotype"/>
          <w:b/>
          <w:sz w:val="24"/>
          <w:szCs w:val="24"/>
        </w:rPr>
        <w:t>epresentan una obligación</w:t>
      </w:r>
      <w:r w:rsidR="00BA0556" w:rsidRPr="007039B3">
        <w:rPr>
          <w:rFonts w:ascii="Palatino Linotype" w:hAnsi="Palatino Linotype"/>
          <w:b/>
          <w:sz w:val="24"/>
          <w:szCs w:val="24"/>
        </w:rPr>
        <w:t xml:space="preserve"> constitucional</w:t>
      </w:r>
      <w:r w:rsidRPr="007039B3">
        <w:rPr>
          <w:rFonts w:ascii="Palatino Linotype" w:hAnsi="Palatino Linotype"/>
          <w:b/>
          <w:sz w:val="24"/>
          <w:szCs w:val="24"/>
        </w:rPr>
        <w:t>;</w:t>
      </w:r>
      <w:r w:rsidR="00BA0556" w:rsidRPr="007039B3">
        <w:rPr>
          <w:rFonts w:ascii="Palatino Linotype" w:hAnsi="Palatino Linotype"/>
          <w:b/>
          <w:sz w:val="24"/>
          <w:szCs w:val="24"/>
        </w:rPr>
        <w:t xml:space="preserve"> y, </w:t>
      </w:r>
    </w:p>
    <w:p w:rsidR="00896D8C" w:rsidRPr="007039B3" w:rsidRDefault="00BA0556" w:rsidP="00896D8C">
      <w:pPr>
        <w:spacing w:before="120" w:after="120" w:line="360" w:lineRule="auto"/>
        <w:ind w:left="708"/>
        <w:jc w:val="both"/>
        <w:rPr>
          <w:rFonts w:ascii="Palatino Linotype" w:hAnsi="Palatino Linotype"/>
          <w:b/>
          <w:sz w:val="24"/>
          <w:szCs w:val="24"/>
        </w:rPr>
      </w:pPr>
      <w:r w:rsidRPr="007039B3">
        <w:rPr>
          <w:rFonts w:ascii="Palatino Linotype" w:hAnsi="Palatino Linotype"/>
          <w:b/>
          <w:sz w:val="24"/>
          <w:szCs w:val="24"/>
        </w:rPr>
        <w:t xml:space="preserve"> • Al</w:t>
      </w:r>
      <w:r w:rsidR="00896D8C" w:rsidRPr="007039B3">
        <w:rPr>
          <w:rFonts w:ascii="Palatino Linotype" w:hAnsi="Palatino Linotype"/>
          <w:b/>
          <w:sz w:val="24"/>
          <w:szCs w:val="24"/>
        </w:rPr>
        <w:t xml:space="preserve"> mismo tiempo, un derecho fundament</w:t>
      </w:r>
      <w:r w:rsidRPr="007039B3">
        <w:rPr>
          <w:rFonts w:ascii="Palatino Linotype" w:hAnsi="Palatino Linotype"/>
          <w:b/>
          <w:sz w:val="24"/>
          <w:szCs w:val="24"/>
        </w:rPr>
        <w:t xml:space="preserve">al de las partes. </w:t>
      </w:r>
    </w:p>
    <w:p w:rsidR="00C55960" w:rsidRPr="007039B3" w:rsidRDefault="00C55960" w:rsidP="00C55960">
      <w:pPr>
        <w:spacing w:after="0" w:line="240" w:lineRule="auto"/>
        <w:ind w:right="18"/>
        <w:jc w:val="both"/>
        <w:rPr>
          <w:rFonts w:ascii="Palatino Linotype" w:hAnsi="Palatino Linotype"/>
          <w:sz w:val="16"/>
          <w:szCs w:val="16"/>
        </w:rPr>
      </w:pPr>
    </w:p>
    <w:p w:rsidR="00747D9A" w:rsidRPr="007039B3" w:rsidRDefault="00747D9A" w:rsidP="00747D9A">
      <w:pPr>
        <w:spacing w:after="0" w:line="360" w:lineRule="auto"/>
        <w:ind w:right="18"/>
        <w:jc w:val="both"/>
        <w:rPr>
          <w:rFonts w:ascii="Palatino Linotype" w:hAnsi="Palatino Linotype"/>
          <w:sz w:val="24"/>
        </w:rPr>
      </w:pPr>
      <w:r w:rsidRPr="007039B3">
        <w:rPr>
          <w:rFonts w:ascii="Palatino Linotype" w:hAnsi="Palatino Linotype"/>
          <w:sz w:val="24"/>
        </w:rPr>
        <w:t>Otra a característica fundamental del deber de motivar es la “</w:t>
      </w:r>
      <w:r w:rsidRPr="007039B3">
        <w:rPr>
          <w:rFonts w:ascii="Palatino Linotype" w:hAnsi="Palatino Linotype"/>
          <w:b/>
          <w:sz w:val="24"/>
        </w:rPr>
        <w:t>congruencia</w:t>
      </w:r>
      <w:r w:rsidRPr="007039B3">
        <w:rPr>
          <w:rFonts w:ascii="Palatino Linotype" w:hAnsi="Palatino Linotype"/>
          <w:sz w:val="24"/>
        </w:rPr>
        <w:t xml:space="preserve">”, </w:t>
      </w:r>
      <w:r w:rsidR="00BA0556" w:rsidRPr="007039B3">
        <w:rPr>
          <w:rFonts w:ascii="Palatino Linotype" w:hAnsi="Palatino Linotype"/>
          <w:sz w:val="24"/>
        </w:rPr>
        <w:t xml:space="preserve">que </w:t>
      </w:r>
      <w:r w:rsidR="00BA0556" w:rsidRPr="007039B3">
        <w:rPr>
          <w:rFonts w:ascii="Palatino Linotype" w:hAnsi="Palatino Linotype"/>
          <w:b/>
          <w:sz w:val="24"/>
        </w:rPr>
        <w:t>exige una relación</w:t>
      </w:r>
      <w:r w:rsidRPr="007039B3">
        <w:rPr>
          <w:rFonts w:ascii="Palatino Linotype" w:hAnsi="Palatino Linotype"/>
          <w:b/>
          <w:sz w:val="24"/>
        </w:rPr>
        <w:t xml:space="preserve"> entre las pretensiones formuladas por las partes procesales y el contenido del fallo</w:t>
      </w:r>
      <w:r w:rsidRPr="007039B3">
        <w:rPr>
          <w:rFonts w:ascii="Palatino Linotype" w:hAnsi="Palatino Linotype"/>
          <w:sz w:val="24"/>
        </w:rPr>
        <w:t>. A este propósito cabe recordar el caso Ruiz Torija e Hiro Balani contra España, en el que el Tribunal de Estrasburgo  “</w:t>
      </w:r>
      <w:r w:rsidRPr="007039B3">
        <w:rPr>
          <w:rFonts w:ascii="Palatino Linotype" w:hAnsi="Palatino Linotype"/>
          <w:b/>
          <w:i/>
          <w:sz w:val="24"/>
          <w:u w:val="single"/>
        </w:rPr>
        <w:t>condenó al Estado español por un determinado tipo de incongruencia, definida “omisiva”, y consistente en el incumplimiento total de la obligación de resolver las pretensiones de las partes de manera congruente con los términos en que venían planteadas</w:t>
      </w:r>
      <w:r w:rsidRPr="007039B3">
        <w:rPr>
          <w:rFonts w:ascii="Palatino Linotype" w:hAnsi="Palatino Linotype"/>
          <w:i/>
          <w:sz w:val="24"/>
        </w:rPr>
        <w:t>.</w:t>
      </w:r>
      <w:r w:rsidRPr="007039B3">
        <w:rPr>
          <w:rFonts w:ascii="Palatino Linotype" w:hAnsi="Palatino Linotype"/>
          <w:sz w:val="24"/>
        </w:rPr>
        <w:t xml:space="preserve"> “</w:t>
      </w:r>
    </w:p>
    <w:p w:rsidR="00BA0556" w:rsidRPr="007039B3" w:rsidRDefault="00BA0556" w:rsidP="00BA0556">
      <w:pPr>
        <w:spacing w:after="0" w:line="360" w:lineRule="auto"/>
        <w:ind w:right="18"/>
        <w:jc w:val="both"/>
        <w:rPr>
          <w:rFonts w:ascii="Palatino Linotype" w:hAnsi="Palatino Linotype"/>
          <w:color w:val="FF0000"/>
          <w:sz w:val="24"/>
        </w:rPr>
      </w:pPr>
    </w:p>
    <w:p w:rsidR="00CD5A1A" w:rsidRPr="007039B3" w:rsidRDefault="00BA0556" w:rsidP="00BA0556">
      <w:pPr>
        <w:spacing w:after="0" w:line="360" w:lineRule="auto"/>
        <w:ind w:right="18"/>
        <w:jc w:val="both"/>
        <w:rPr>
          <w:rFonts w:ascii="Palatino Linotype" w:hAnsi="Palatino Linotype"/>
          <w:b/>
          <w:sz w:val="24"/>
        </w:rPr>
      </w:pPr>
      <w:r w:rsidRPr="007039B3">
        <w:rPr>
          <w:rFonts w:ascii="Palatino Linotype" w:hAnsi="Palatino Linotype"/>
          <w:b/>
          <w:sz w:val="24"/>
        </w:rPr>
        <w:t xml:space="preserve">En definitiva la expresión de fundamentos y </w:t>
      </w:r>
      <w:r w:rsidR="00340DE3" w:rsidRPr="007039B3">
        <w:rPr>
          <w:rFonts w:ascii="Palatino Linotype" w:hAnsi="Palatino Linotype"/>
          <w:b/>
          <w:sz w:val="24"/>
        </w:rPr>
        <w:t>razonamientos</w:t>
      </w:r>
      <w:r w:rsidRPr="007039B3">
        <w:rPr>
          <w:rFonts w:ascii="Palatino Linotype" w:hAnsi="Palatino Linotype"/>
          <w:b/>
          <w:sz w:val="24"/>
        </w:rPr>
        <w:t xml:space="preserve"> en cualquier sentencia o resolución </w:t>
      </w:r>
      <w:r w:rsidR="00CD5A1A" w:rsidRPr="007039B3">
        <w:rPr>
          <w:rFonts w:ascii="Palatino Linotype" w:hAnsi="Palatino Linotype"/>
          <w:b/>
          <w:sz w:val="24"/>
        </w:rPr>
        <w:t xml:space="preserve"> realiza, entre otras, la función de demostrar y de justificar, ante las partes del proceso y ante</w:t>
      </w:r>
      <w:r w:rsidR="00747D9A" w:rsidRPr="007039B3">
        <w:rPr>
          <w:rFonts w:ascii="Palatino Linotype" w:hAnsi="Palatino Linotype"/>
          <w:b/>
          <w:sz w:val="24"/>
        </w:rPr>
        <w:t xml:space="preserve"> la sociedad en general, el car</w:t>
      </w:r>
      <w:r w:rsidR="00CD5A1A" w:rsidRPr="007039B3">
        <w:rPr>
          <w:rFonts w:ascii="Palatino Linotype" w:hAnsi="Palatino Linotype"/>
          <w:b/>
          <w:sz w:val="24"/>
        </w:rPr>
        <w:t>ácter jurídico y no político</w:t>
      </w:r>
      <w:r w:rsidR="00E7439C" w:rsidRPr="007039B3">
        <w:rPr>
          <w:rFonts w:ascii="Palatino Linotype" w:hAnsi="Palatino Linotype"/>
          <w:b/>
          <w:sz w:val="24"/>
        </w:rPr>
        <w:t xml:space="preserve"> o personal</w:t>
      </w:r>
      <w:r w:rsidR="00CD5A1A" w:rsidRPr="007039B3">
        <w:rPr>
          <w:rFonts w:ascii="Palatino Linotype" w:hAnsi="Palatino Linotype"/>
          <w:b/>
          <w:sz w:val="24"/>
        </w:rPr>
        <w:t xml:space="preserve"> de una resolución judicial</w:t>
      </w:r>
      <w:r w:rsidR="00E7439C" w:rsidRPr="007039B3">
        <w:rPr>
          <w:rFonts w:ascii="Palatino Linotype" w:hAnsi="Palatino Linotype"/>
          <w:b/>
          <w:sz w:val="24"/>
        </w:rPr>
        <w:t xml:space="preserve"> o administrativa</w:t>
      </w:r>
      <w:r w:rsidR="00CD5A1A" w:rsidRPr="007039B3">
        <w:rPr>
          <w:rFonts w:ascii="Palatino Linotype" w:hAnsi="Palatino Linotype"/>
          <w:sz w:val="24"/>
        </w:rPr>
        <w:t>.</w:t>
      </w:r>
    </w:p>
    <w:p w:rsidR="00340DE3" w:rsidRPr="007039B3" w:rsidRDefault="00340DE3" w:rsidP="00340DE3">
      <w:pPr>
        <w:spacing w:before="240" w:after="240" w:line="360" w:lineRule="auto"/>
        <w:jc w:val="both"/>
        <w:rPr>
          <w:rFonts w:ascii="Palatino Linotype" w:hAnsi="Palatino Linotype"/>
          <w:b/>
          <w:sz w:val="24"/>
          <w:u w:val="single"/>
        </w:rPr>
      </w:pPr>
      <w:r w:rsidRPr="007039B3">
        <w:rPr>
          <w:rFonts w:ascii="Palatino Linotype" w:hAnsi="Palatino Linotype"/>
          <w:sz w:val="24"/>
        </w:rPr>
        <w:t xml:space="preserve">Por lo anterior, las sentencias y resoluciones no solo tienen que ser </w:t>
      </w:r>
      <w:r w:rsidRPr="007039B3">
        <w:rPr>
          <w:rFonts w:ascii="Palatino Linotype" w:hAnsi="Palatino Linotype"/>
          <w:b/>
          <w:sz w:val="24"/>
        </w:rPr>
        <w:t>objetivas</w:t>
      </w:r>
      <w:r w:rsidRPr="007039B3">
        <w:rPr>
          <w:rFonts w:ascii="Palatino Linotype" w:hAnsi="Palatino Linotype"/>
          <w:sz w:val="24"/>
        </w:rPr>
        <w:t xml:space="preserve">  sino también apegadas a la letra y al espíritu de la ley, y absolutamente clara y comprensibles</w:t>
      </w:r>
      <w:r w:rsidR="00C55960" w:rsidRPr="007039B3">
        <w:rPr>
          <w:rFonts w:ascii="Palatino Linotype" w:hAnsi="Palatino Linotype"/>
          <w:sz w:val="24"/>
        </w:rPr>
        <w:t xml:space="preserve">, es </w:t>
      </w:r>
      <w:r w:rsidRPr="007039B3">
        <w:rPr>
          <w:rFonts w:ascii="Palatino Linotype" w:hAnsi="Palatino Linotype"/>
          <w:sz w:val="24"/>
        </w:rPr>
        <w:t>decir</w:t>
      </w:r>
      <w:r w:rsidR="00C55960" w:rsidRPr="007039B3">
        <w:rPr>
          <w:rFonts w:ascii="Palatino Linotype" w:hAnsi="Palatino Linotype"/>
          <w:sz w:val="24"/>
        </w:rPr>
        <w:t xml:space="preserve">, </w:t>
      </w:r>
      <w:r w:rsidRPr="007039B3">
        <w:rPr>
          <w:rFonts w:ascii="Palatino Linotype" w:hAnsi="Palatino Linotype"/>
          <w:sz w:val="24"/>
        </w:rPr>
        <w:t xml:space="preserve">no deben de ser redactadas con lenguaje difícil, ni contener contradicciones, </w:t>
      </w:r>
      <w:r w:rsidRPr="007039B3">
        <w:rPr>
          <w:rFonts w:ascii="Palatino Linotype" w:hAnsi="Palatino Linotype"/>
          <w:b/>
          <w:sz w:val="24"/>
          <w:u w:val="single"/>
        </w:rPr>
        <w:t xml:space="preserve">ni de dejar vacíos que den motivo a interpretaciones opuestas. </w:t>
      </w:r>
    </w:p>
    <w:p w:rsidR="00340DE3" w:rsidRPr="007039B3" w:rsidRDefault="00340DE3" w:rsidP="00433A7F">
      <w:pPr>
        <w:spacing w:before="240" w:after="240" w:line="360" w:lineRule="auto"/>
        <w:jc w:val="both"/>
        <w:rPr>
          <w:rFonts w:ascii="Palatino Linotype" w:hAnsi="Palatino Linotype"/>
          <w:color w:val="FF0000"/>
          <w:sz w:val="8"/>
        </w:rPr>
      </w:pPr>
    </w:p>
    <w:p w:rsidR="006E34B0" w:rsidRPr="007039B3" w:rsidRDefault="00433A7F" w:rsidP="00340DE3">
      <w:pPr>
        <w:spacing w:before="240" w:after="240" w:line="360" w:lineRule="auto"/>
        <w:jc w:val="both"/>
        <w:rPr>
          <w:rFonts w:ascii="Palatino Linotype" w:hAnsi="Palatino Linotype"/>
          <w:sz w:val="24"/>
          <w:szCs w:val="24"/>
        </w:rPr>
      </w:pPr>
      <w:r w:rsidRPr="007039B3">
        <w:rPr>
          <w:rFonts w:ascii="Palatino Linotype" w:hAnsi="Palatino Linotype"/>
          <w:sz w:val="24"/>
          <w:szCs w:val="24"/>
        </w:rPr>
        <w:t xml:space="preserve">En concomitancia, </w:t>
      </w:r>
      <w:r w:rsidR="00883A75" w:rsidRPr="007039B3">
        <w:rPr>
          <w:rFonts w:ascii="Palatino Linotype" w:hAnsi="Palatino Linotype"/>
          <w:sz w:val="24"/>
          <w:szCs w:val="24"/>
        </w:rPr>
        <w:t xml:space="preserve">en materia de Acceso a la Información  </w:t>
      </w:r>
      <w:r w:rsidRPr="007039B3">
        <w:rPr>
          <w:rFonts w:ascii="Palatino Linotype" w:hAnsi="Palatino Linotype"/>
          <w:sz w:val="24"/>
          <w:szCs w:val="24"/>
        </w:rPr>
        <w:t>destacan las disposiciones rectoras del organismo autónomo</w:t>
      </w:r>
      <w:r w:rsidRPr="007039B3">
        <w:rPr>
          <w:rFonts w:ascii="Palatino Linotype" w:hAnsi="Palatino Linotype" w:cs="Arial"/>
          <w:sz w:val="24"/>
          <w:szCs w:val="24"/>
          <w:lang w:eastAsia="es-MX"/>
        </w:rPr>
        <w:t>, c</w:t>
      </w:r>
      <w:r w:rsidRPr="007039B3">
        <w:rPr>
          <w:rFonts w:ascii="Palatino Linotype" w:hAnsi="Palatino Linotype"/>
          <w:sz w:val="24"/>
          <w:szCs w:val="24"/>
        </w:rPr>
        <w:t>omo Órgano Garante al resolver los medio de impugnación no</w:t>
      </w:r>
      <w:r w:rsidR="00EC73A5" w:rsidRPr="007039B3">
        <w:rPr>
          <w:rFonts w:ascii="Palatino Linotype" w:hAnsi="Palatino Linotype"/>
          <w:sz w:val="24"/>
          <w:szCs w:val="24"/>
        </w:rPr>
        <w:t>s</w:t>
      </w:r>
      <w:r w:rsidRPr="007039B3">
        <w:rPr>
          <w:rFonts w:ascii="Palatino Linotype" w:hAnsi="Palatino Linotype"/>
          <w:sz w:val="24"/>
          <w:szCs w:val="24"/>
        </w:rPr>
        <w:t xml:space="preserve"> vemos obligados a observar loa principios de certeza y objetividad, los cuales habrán de permear durante el ejercicio del derecho de acceso a la información, tal y como lo mandata el diverso 9 de la Ley de Transparencia, Acceso a la Información Pública y Protección de Datos Personales del Estado de México</w:t>
      </w:r>
      <w:r w:rsidRPr="007039B3">
        <w:rPr>
          <w:rStyle w:val="Refdenotaalpie"/>
          <w:rFonts w:ascii="Palatino Linotype" w:hAnsi="Palatino Linotype" w:cs="Arial"/>
          <w:sz w:val="24"/>
          <w:szCs w:val="24"/>
        </w:rPr>
        <w:footnoteReference w:id="3"/>
      </w:r>
      <w:r w:rsidRPr="007039B3">
        <w:rPr>
          <w:rFonts w:ascii="Palatino Linotype" w:hAnsi="Palatino Linotype"/>
          <w:sz w:val="24"/>
          <w:szCs w:val="24"/>
        </w:rPr>
        <w:t>.</w:t>
      </w:r>
    </w:p>
    <w:p w:rsidR="006947B4" w:rsidRPr="007039B3" w:rsidRDefault="00340DE3" w:rsidP="00C2534B">
      <w:pPr>
        <w:spacing w:before="240" w:after="240" w:line="360" w:lineRule="auto"/>
        <w:jc w:val="both"/>
        <w:rPr>
          <w:rFonts w:ascii="Palatino Linotype" w:hAnsi="Palatino Linotype"/>
          <w:sz w:val="24"/>
          <w:szCs w:val="24"/>
        </w:rPr>
      </w:pPr>
      <w:r w:rsidRPr="007039B3">
        <w:rPr>
          <w:rFonts w:ascii="Palatino Linotype" w:hAnsi="Palatino Linotype"/>
          <w:sz w:val="24"/>
          <w:szCs w:val="24"/>
        </w:rPr>
        <w:t xml:space="preserve">En tal tesitura, si nos remitimos al significado de </w:t>
      </w:r>
      <w:r w:rsidRPr="007039B3">
        <w:rPr>
          <w:rFonts w:ascii="Palatino Linotype" w:hAnsi="Palatino Linotype"/>
          <w:i/>
          <w:sz w:val="24"/>
          <w:szCs w:val="24"/>
        </w:rPr>
        <w:t>garantizar</w:t>
      </w:r>
      <w:r w:rsidRPr="007039B3">
        <w:rPr>
          <w:rFonts w:ascii="Palatino Linotype" w:hAnsi="Palatino Linotype"/>
          <w:sz w:val="24"/>
          <w:szCs w:val="24"/>
        </w:rPr>
        <w:t xml:space="preserve"> tenemos que ello implica, asegurar, proteger, dar certeza o seguridad sobre algo</w:t>
      </w:r>
      <w:r w:rsidR="00694FB0" w:rsidRPr="007039B3">
        <w:rPr>
          <w:rFonts w:ascii="Palatino Linotype" w:hAnsi="Palatino Linotype"/>
          <w:sz w:val="24"/>
          <w:szCs w:val="24"/>
        </w:rPr>
        <w:t xml:space="preserve"> a través de la inmersión de elementos  lógico-jurídicos</w:t>
      </w:r>
      <w:r w:rsidRPr="007039B3">
        <w:rPr>
          <w:rFonts w:ascii="Palatino Linotype" w:hAnsi="Palatino Linotype"/>
          <w:sz w:val="24"/>
          <w:szCs w:val="24"/>
        </w:rPr>
        <w:t xml:space="preserve">; </w:t>
      </w:r>
      <w:r w:rsidR="00694FB0" w:rsidRPr="007039B3">
        <w:rPr>
          <w:rFonts w:ascii="Palatino Linotype" w:hAnsi="Palatino Linotype"/>
          <w:sz w:val="24"/>
          <w:szCs w:val="24"/>
        </w:rPr>
        <w:t xml:space="preserve">ahora, </w:t>
      </w:r>
      <w:r w:rsidRPr="007039B3">
        <w:rPr>
          <w:rFonts w:ascii="Palatino Linotype" w:hAnsi="Palatino Linotype"/>
          <w:sz w:val="24"/>
          <w:szCs w:val="24"/>
        </w:rPr>
        <w:t xml:space="preserve"> si ante una falta de respuesta a una solicitud de acceso a la información pública por parte de los Sujetos Obligados, el Órgano responsable de garantizar dicho derecho se limita</w:t>
      </w:r>
      <w:r w:rsidR="00E9051A" w:rsidRPr="007039B3">
        <w:rPr>
          <w:rFonts w:ascii="Palatino Linotype" w:hAnsi="Palatino Linotype"/>
          <w:sz w:val="24"/>
          <w:szCs w:val="24"/>
        </w:rPr>
        <w:t xml:space="preserve"> únicamente </w:t>
      </w:r>
      <w:r w:rsidR="00871521" w:rsidRPr="007039B3">
        <w:rPr>
          <w:rFonts w:ascii="Palatino Linotype" w:hAnsi="Palatino Linotype"/>
          <w:sz w:val="24"/>
          <w:szCs w:val="24"/>
        </w:rPr>
        <w:t>a ordena</w:t>
      </w:r>
      <w:r w:rsidR="00BD6FF1" w:rsidRPr="007039B3">
        <w:rPr>
          <w:rFonts w:ascii="Palatino Linotype" w:hAnsi="Palatino Linotype"/>
          <w:sz w:val="24"/>
          <w:szCs w:val="24"/>
        </w:rPr>
        <w:t xml:space="preserve">r dar atender la solicitud </w:t>
      </w:r>
      <w:r w:rsidR="00694FB0" w:rsidRPr="007039B3">
        <w:rPr>
          <w:rFonts w:ascii="Palatino Linotype" w:hAnsi="Palatino Linotype"/>
          <w:sz w:val="24"/>
          <w:szCs w:val="24"/>
        </w:rPr>
        <w:t>soslayando entrar al fondo del asunto</w:t>
      </w:r>
      <w:r w:rsidR="006E34B0" w:rsidRPr="007039B3">
        <w:rPr>
          <w:rFonts w:ascii="Palatino Linotype" w:hAnsi="Palatino Linotype"/>
          <w:sz w:val="24"/>
          <w:szCs w:val="24"/>
        </w:rPr>
        <w:t xml:space="preserve">, </w:t>
      </w:r>
      <w:r w:rsidR="00E9051A" w:rsidRPr="007039B3">
        <w:rPr>
          <w:rFonts w:ascii="Palatino Linotype" w:hAnsi="Palatino Linotype"/>
          <w:sz w:val="24"/>
          <w:szCs w:val="24"/>
        </w:rPr>
        <w:t>es una resolución que deja más dudas  sobre la procedencia</w:t>
      </w:r>
      <w:r w:rsidR="006E34B0" w:rsidRPr="007039B3">
        <w:rPr>
          <w:rFonts w:ascii="Palatino Linotype" w:hAnsi="Palatino Linotype"/>
          <w:sz w:val="24"/>
          <w:szCs w:val="24"/>
        </w:rPr>
        <w:t xml:space="preserve"> del derecho ejercido por el </w:t>
      </w:r>
      <w:r w:rsidR="00E9051A" w:rsidRPr="007039B3">
        <w:rPr>
          <w:rFonts w:ascii="Palatino Linotype" w:hAnsi="Palatino Linotype"/>
          <w:sz w:val="24"/>
          <w:szCs w:val="24"/>
        </w:rPr>
        <w:t xml:space="preserve"> particular</w:t>
      </w:r>
      <w:r w:rsidR="00BD6FF1" w:rsidRPr="007039B3">
        <w:rPr>
          <w:rFonts w:ascii="Palatino Linotype" w:hAnsi="Palatino Linotype"/>
          <w:sz w:val="24"/>
          <w:szCs w:val="24"/>
        </w:rPr>
        <w:t xml:space="preserve"> en consideración que queda a merced de lo que resuelva en materia de acceso a la información el ente recurrido.</w:t>
      </w:r>
    </w:p>
    <w:p w:rsidR="006947B4" w:rsidRPr="007039B3" w:rsidRDefault="006947B4" w:rsidP="006947B4">
      <w:pPr>
        <w:spacing w:before="240" w:after="240" w:line="360" w:lineRule="auto"/>
        <w:jc w:val="both"/>
        <w:rPr>
          <w:rFonts w:ascii="Palatino Linotype" w:hAnsi="Palatino Linotype"/>
        </w:rPr>
      </w:pPr>
      <w:r w:rsidRPr="007039B3">
        <w:rPr>
          <w:rFonts w:ascii="Palatino Linotype" w:hAnsi="Palatino Linotype"/>
          <w:sz w:val="24"/>
          <w:szCs w:val="24"/>
        </w:rPr>
        <w:t xml:space="preserve">Se afirma lo anterior, en virtud de que no se debe perder de vista que la Ley de Transparencia vigente en la </w:t>
      </w:r>
      <w:r w:rsidR="00EC73A5" w:rsidRPr="007039B3">
        <w:rPr>
          <w:rFonts w:ascii="Palatino Linotype" w:hAnsi="Palatino Linotype"/>
          <w:sz w:val="24"/>
          <w:szCs w:val="24"/>
        </w:rPr>
        <w:t>E</w:t>
      </w:r>
      <w:r w:rsidRPr="007039B3">
        <w:rPr>
          <w:rFonts w:ascii="Palatino Linotype" w:hAnsi="Palatino Linotype"/>
          <w:sz w:val="24"/>
          <w:szCs w:val="24"/>
        </w:rPr>
        <w:t>ntidad establece en sus artículos 1, 7, 29, 36 fracciones II, XVI, XXII, XXIII y XXVII; 176, 185, 186, 188, 195, 198, 199, 200, 214, 216, 220 fracciones XIX establecen términos generales que la ley tiene por objeto establecer los principios, bases generales y procedimientos para tutelar y garantizar la transparencia y el derecho humano de acceso a la información pública en posesión de los sujetos obligados, del mismo modo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w:t>
      </w:r>
      <w:r w:rsidRPr="007039B3">
        <w:rPr>
          <w:rFonts w:ascii="Palatino Linotype" w:hAnsi="Palatino Linotype"/>
          <w:b/>
          <w:sz w:val="24"/>
          <w:szCs w:val="24"/>
          <w:u w:val="single"/>
        </w:rPr>
        <w:t>esponsable de garantizar el ejercicio de los derechos de acceso a la información pública y la protección de datos personales en posesión de los sujetos obligados</w:t>
      </w:r>
      <w:r w:rsidRPr="007039B3">
        <w:rPr>
          <w:rFonts w:ascii="Palatino Linotype" w:hAnsi="Palatino Linotype"/>
          <w:sz w:val="24"/>
          <w:szCs w:val="24"/>
        </w:rPr>
        <w:t xml:space="preserve">, conforme a los principios y bases establecidas en la Constitución Federal, Constitución Local, Ley General, así como, lo previsto en esta Ley y demás disposiciones jurídicas aplicables, es de resaltar que el recurso de revisión es la garantía secundaria mediante la cual se pretende reparar cualquier posible afectación al derecho de acceso a la información pública, en donde las resoluciones de este </w:t>
      </w:r>
      <w:r w:rsidR="007712AF" w:rsidRPr="007039B3">
        <w:rPr>
          <w:rFonts w:ascii="Palatino Linotype" w:hAnsi="Palatino Linotype"/>
          <w:sz w:val="24"/>
          <w:szCs w:val="24"/>
        </w:rPr>
        <w:t>Órgano</w:t>
      </w:r>
      <w:r w:rsidRPr="007039B3">
        <w:rPr>
          <w:rFonts w:ascii="Palatino Linotype" w:hAnsi="Palatino Linotype"/>
          <w:sz w:val="24"/>
          <w:szCs w:val="24"/>
        </w:rPr>
        <w:t xml:space="preserve"> Garante puede</w:t>
      </w:r>
      <w:r w:rsidRPr="007039B3">
        <w:rPr>
          <w:rFonts w:ascii="Palatino Linotype" w:hAnsi="Palatino Linotype"/>
        </w:rPr>
        <w:t>:</w:t>
      </w:r>
    </w:p>
    <w:p w:rsidR="006947B4" w:rsidRPr="007039B3" w:rsidRDefault="006947B4" w:rsidP="006947B4">
      <w:pPr>
        <w:pStyle w:val="Prrafodelista"/>
        <w:numPr>
          <w:ilvl w:val="0"/>
          <w:numId w:val="6"/>
        </w:numPr>
        <w:spacing w:before="240" w:after="240" w:line="360" w:lineRule="auto"/>
        <w:jc w:val="both"/>
        <w:rPr>
          <w:rFonts w:ascii="Palatino Linotype" w:hAnsi="Palatino Linotype"/>
        </w:rPr>
      </w:pPr>
      <w:r w:rsidRPr="007039B3">
        <w:rPr>
          <w:rFonts w:ascii="Palatino Linotype" w:hAnsi="Palatino Linotype"/>
        </w:rPr>
        <w:t>Desechar o sobreseer el recurso</w:t>
      </w:r>
    </w:p>
    <w:p w:rsidR="006947B4" w:rsidRPr="007039B3" w:rsidRDefault="006947B4" w:rsidP="006947B4">
      <w:pPr>
        <w:pStyle w:val="Prrafodelista"/>
        <w:numPr>
          <w:ilvl w:val="0"/>
          <w:numId w:val="6"/>
        </w:numPr>
        <w:spacing w:before="240" w:after="240" w:line="360" w:lineRule="auto"/>
        <w:jc w:val="both"/>
        <w:rPr>
          <w:rFonts w:ascii="Palatino Linotype" w:hAnsi="Palatino Linotype"/>
        </w:rPr>
      </w:pPr>
      <w:r w:rsidRPr="007039B3">
        <w:rPr>
          <w:rFonts w:ascii="Palatino Linotype" w:hAnsi="Palatino Linotype"/>
        </w:rPr>
        <w:t>Confirma la respuesta del sujeto obligado</w:t>
      </w:r>
    </w:p>
    <w:p w:rsidR="006947B4" w:rsidRPr="007039B3" w:rsidRDefault="006947B4" w:rsidP="006947B4">
      <w:pPr>
        <w:pStyle w:val="Prrafodelista"/>
        <w:numPr>
          <w:ilvl w:val="0"/>
          <w:numId w:val="6"/>
        </w:numPr>
        <w:spacing w:before="240" w:after="240" w:line="360" w:lineRule="auto"/>
        <w:jc w:val="both"/>
        <w:rPr>
          <w:rFonts w:ascii="Palatino Linotype" w:hAnsi="Palatino Linotype"/>
        </w:rPr>
      </w:pPr>
      <w:r w:rsidRPr="007039B3">
        <w:rPr>
          <w:rFonts w:ascii="Palatino Linotype" w:hAnsi="Palatino Linotype"/>
        </w:rPr>
        <w:t xml:space="preserve">Revocar o modificar la respuesta del sujeto obligado; y </w:t>
      </w:r>
    </w:p>
    <w:p w:rsidR="006947B4" w:rsidRPr="007039B3" w:rsidRDefault="006947B4" w:rsidP="006947B4">
      <w:pPr>
        <w:pStyle w:val="Prrafodelista"/>
        <w:numPr>
          <w:ilvl w:val="0"/>
          <w:numId w:val="6"/>
        </w:numPr>
        <w:spacing w:before="240" w:after="240" w:line="360" w:lineRule="auto"/>
        <w:jc w:val="both"/>
        <w:rPr>
          <w:rFonts w:ascii="Palatino Linotype" w:hAnsi="Palatino Linotype"/>
        </w:rPr>
      </w:pPr>
      <w:r w:rsidRPr="007039B3">
        <w:rPr>
          <w:rFonts w:ascii="Palatino Linotype" w:hAnsi="Palatino Linotype"/>
        </w:rPr>
        <w:t>Ordenar la entrega de la información</w:t>
      </w:r>
    </w:p>
    <w:p w:rsidR="006947B4" w:rsidRPr="007039B3" w:rsidRDefault="006947B4" w:rsidP="006947B4">
      <w:pPr>
        <w:spacing w:before="240" w:after="240" w:line="360" w:lineRule="auto"/>
        <w:jc w:val="both"/>
        <w:rPr>
          <w:rFonts w:ascii="Palatino Linotype" w:hAnsi="Palatino Linotype"/>
          <w:sz w:val="24"/>
          <w:szCs w:val="24"/>
        </w:rPr>
      </w:pPr>
      <w:r w:rsidRPr="007039B3">
        <w:rPr>
          <w:rFonts w:ascii="Palatino Linotype" w:hAnsi="Palatino Linotype"/>
          <w:sz w:val="24"/>
          <w:szCs w:val="24"/>
        </w:rPr>
        <w:t>Cabe agregar que las resoluciones que pronuncie este Instituto deben contener cuatro aspectos importantes:</w:t>
      </w:r>
    </w:p>
    <w:p w:rsidR="006947B4" w:rsidRPr="007039B3" w:rsidRDefault="006947B4" w:rsidP="006947B4">
      <w:pPr>
        <w:pStyle w:val="Prrafodelista"/>
        <w:numPr>
          <w:ilvl w:val="0"/>
          <w:numId w:val="7"/>
        </w:numPr>
        <w:spacing w:before="240" w:after="240" w:line="360" w:lineRule="auto"/>
        <w:jc w:val="both"/>
        <w:rPr>
          <w:rFonts w:ascii="Palatino Linotype" w:hAnsi="Palatino Linotype"/>
        </w:rPr>
      </w:pPr>
      <w:r w:rsidRPr="007039B3">
        <w:rPr>
          <w:rFonts w:ascii="Palatino Linotype" w:hAnsi="Palatino Linotype"/>
        </w:rPr>
        <w:t>Lugar, fecha, el nombre del recurrente y del tercero interesado en su caso, sujeto obligado y un extracto de los hechos cuestionados;</w:t>
      </w:r>
    </w:p>
    <w:p w:rsidR="006947B4" w:rsidRPr="007039B3" w:rsidRDefault="006947B4" w:rsidP="006947B4">
      <w:pPr>
        <w:pStyle w:val="Prrafodelista"/>
        <w:numPr>
          <w:ilvl w:val="0"/>
          <w:numId w:val="7"/>
        </w:numPr>
        <w:spacing w:before="240" w:after="240" w:line="360" w:lineRule="auto"/>
        <w:jc w:val="both"/>
        <w:rPr>
          <w:rFonts w:ascii="Palatino Linotype" w:hAnsi="Palatino Linotype"/>
        </w:rPr>
      </w:pPr>
      <w:r w:rsidRPr="007039B3">
        <w:rPr>
          <w:rFonts w:ascii="Palatino Linotype" w:hAnsi="Palatino Linotype"/>
        </w:rPr>
        <w:t>Los preceptos en que se fundamenten y las consideraciones que las sustenten;</w:t>
      </w:r>
    </w:p>
    <w:p w:rsidR="006947B4" w:rsidRPr="007039B3" w:rsidRDefault="006947B4" w:rsidP="006947B4">
      <w:pPr>
        <w:pStyle w:val="Prrafodelista"/>
        <w:numPr>
          <w:ilvl w:val="0"/>
          <w:numId w:val="7"/>
        </w:numPr>
        <w:spacing w:before="240" w:after="240" w:line="360" w:lineRule="auto"/>
        <w:jc w:val="both"/>
        <w:rPr>
          <w:rFonts w:ascii="Palatino Linotype" w:hAnsi="Palatino Linotype"/>
        </w:rPr>
      </w:pPr>
      <w:r w:rsidRPr="007039B3">
        <w:rPr>
          <w:rFonts w:ascii="Palatino Linotype" w:hAnsi="Palatino Linotype"/>
          <w:b/>
        </w:rPr>
        <w:t>Los alcances y efectos de la resolución, fijando con precisión</w:t>
      </w:r>
      <w:r w:rsidRPr="007039B3">
        <w:rPr>
          <w:rFonts w:ascii="Palatino Linotype" w:hAnsi="Palatino Linotype"/>
        </w:rPr>
        <w:t xml:space="preserve">, en su caso, </w:t>
      </w:r>
      <w:r w:rsidRPr="007039B3">
        <w:rPr>
          <w:rFonts w:ascii="Palatino Linotype" w:hAnsi="Palatino Linotype"/>
          <w:b/>
          <w:u w:val="single"/>
        </w:rPr>
        <w:t>los sujetos y órganos obligados a cumplirla</w:t>
      </w:r>
      <w:r w:rsidRPr="007039B3">
        <w:rPr>
          <w:rFonts w:ascii="Palatino Linotype" w:hAnsi="Palatino Linotype"/>
        </w:rPr>
        <w:t>; y</w:t>
      </w:r>
    </w:p>
    <w:p w:rsidR="006947B4" w:rsidRPr="007039B3" w:rsidRDefault="006947B4" w:rsidP="006947B4">
      <w:pPr>
        <w:pStyle w:val="Prrafodelista"/>
        <w:numPr>
          <w:ilvl w:val="0"/>
          <w:numId w:val="7"/>
        </w:numPr>
        <w:spacing w:before="240" w:after="240" w:line="360" w:lineRule="auto"/>
        <w:jc w:val="both"/>
        <w:rPr>
          <w:rFonts w:ascii="Palatino Linotype" w:hAnsi="Palatino Linotype"/>
        </w:rPr>
      </w:pPr>
      <w:r w:rsidRPr="007039B3">
        <w:rPr>
          <w:rFonts w:ascii="Palatino Linotype" w:hAnsi="Palatino Linotype"/>
        </w:rPr>
        <w:t>Los puntos resolutivos.</w:t>
      </w:r>
    </w:p>
    <w:p w:rsidR="006947B4" w:rsidRPr="007039B3" w:rsidRDefault="006947B4" w:rsidP="006947B4">
      <w:pPr>
        <w:spacing w:before="240" w:after="240" w:line="360" w:lineRule="auto"/>
        <w:jc w:val="both"/>
        <w:rPr>
          <w:rFonts w:ascii="Palatino Linotype" w:hAnsi="Palatino Linotype"/>
          <w:sz w:val="24"/>
        </w:rPr>
      </w:pPr>
      <w:r w:rsidRPr="007039B3">
        <w:rPr>
          <w:rFonts w:ascii="Palatino Linotype" w:hAnsi="Palatino Linotype"/>
          <w:sz w:val="24"/>
        </w:rPr>
        <w:t>Sobre este punto</w:t>
      </w:r>
      <w:r w:rsidR="00EC73A5" w:rsidRPr="007039B3">
        <w:rPr>
          <w:rFonts w:ascii="Palatino Linotype" w:hAnsi="Palatino Linotype"/>
          <w:sz w:val="24"/>
        </w:rPr>
        <w:t xml:space="preserve">, </w:t>
      </w:r>
      <w:r w:rsidRPr="007039B3">
        <w:rPr>
          <w:rFonts w:ascii="Palatino Linotype" w:hAnsi="Palatino Linotype"/>
          <w:sz w:val="24"/>
        </w:rPr>
        <w:t xml:space="preserve">se considera de suma importancia mencionar que </w:t>
      </w:r>
      <w:r w:rsidR="00EC73A5" w:rsidRPr="007039B3">
        <w:rPr>
          <w:rFonts w:ascii="Palatino Linotype" w:hAnsi="Palatino Linotype"/>
          <w:sz w:val="24"/>
        </w:rPr>
        <w:t>los s</w:t>
      </w:r>
      <w:r w:rsidRPr="007039B3">
        <w:rPr>
          <w:rFonts w:ascii="Palatino Linotype" w:hAnsi="Palatino Linotype"/>
          <w:sz w:val="24"/>
        </w:rPr>
        <w:t>ujetos obligados, a través de la Unidad de Transparencia, darán estricto cumplimiento a las resoluciones del Instituto, debiendo rendir el informe respectivo, motivo por el cual el Instituto verificará de oficio la calidad de la información y, a más tardar al día siguiente de recibir el informe, dará vista al recurrente para que, dentro de los cinco días hábiles siguientes, manifieste lo que a su derecho convenga.</w:t>
      </w:r>
    </w:p>
    <w:p w:rsidR="006947B4" w:rsidRPr="007039B3" w:rsidRDefault="006947B4" w:rsidP="006947B4">
      <w:pPr>
        <w:spacing w:before="240" w:after="240" w:line="360" w:lineRule="auto"/>
        <w:jc w:val="both"/>
        <w:rPr>
          <w:rFonts w:ascii="Palatino Linotype" w:hAnsi="Palatino Linotype"/>
          <w:sz w:val="24"/>
          <w:szCs w:val="24"/>
        </w:rPr>
      </w:pPr>
      <w:r w:rsidRPr="007039B3">
        <w:rPr>
          <w:rFonts w:ascii="Palatino Linotype" w:hAnsi="Palatino Linotype"/>
          <w:sz w:val="24"/>
          <w:szCs w:val="24"/>
        </w:rPr>
        <w:t>Cabe agregar que este Instituto conforme a lo establecido en el artículo 26 fracciones XXVI, XXVII y XXVIII</w:t>
      </w:r>
      <w:r w:rsidRPr="007039B3">
        <w:rPr>
          <w:rStyle w:val="Refdenotaalpie"/>
          <w:rFonts w:ascii="Palatino Linotype" w:hAnsi="Palatino Linotype"/>
          <w:sz w:val="24"/>
          <w:szCs w:val="24"/>
        </w:rPr>
        <w:footnoteReference w:id="4"/>
      </w:r>
      <w:r w:rsidRPr="007039B3">
        <w:rPr>
          <w:rFonts w:ascii="Palatino Linotype" w:hAnsi="Palatino Linotype"/>
          <w:sz w:val="24"/>
          <w:szCs w:val="24"/>
        </w:rPr>
        <w:t xml:space="preserve">, a través de la  Contraloría Interna y Órgano de Control y Vigilancia está obligado a pronunciarse, en un plazo no mayor a cinco días hábiles, sobre todas las causas que el recurrente manifieste así como del resultado de la verificación realizada, para el caso de que se considere que se dio cumplimiento a la resolución, emitirá un acuerdo de cumplimiento y se ordenará el archivo del expediente. En caso contrario: </w:t>
      </w:r>
    </w:p>
    <w:p w:rsidR="006947B4" w:rsidRPr="007039B3" w:rsidRDefault="006947B4" w:rsidP="006947B4">
      <w:pPr>
        <w:pStyle w:val="Prrafodelista"/>
        <w:numPr>
          <w:ilvl w:val="0"/>
          <w:numId w:val="8"/>
        </w:numPr>
        <w:spacing w:before="240" w:after="240" w:line="360" w:lineRule="auto"/>
        <w:jc w:val="both"/>
        <w:rPr>
          <w:rFonts w:ascii="Palatino Linotype" w:hAnsi="Palatino Linotype"/>
        </w:rPr>
      </w:pPr>
      <w:r w:rsidRPr="007039B3">
        <w:rPr>
          <w:rFonts w:ascii="Palatino Linotype" w:hAnsi="Palatino Linotype"/>
        </w:rPr>
        <w:t>Emitirá un acuerdo de incumplimiento;</w:t>
      </w:r>
    </w:p>
    <w:p w:rsidR="006947B4" w:rsidRPr="007039B3" w:rsidRDefault="006947B4" w:rsidP="007712AF">
      <w:pPr>
        <w:pStyle w:val="Prrafodelista"/>
        <w:numPr>
          <w:ilvl w:val="0"/>
          <w:numId w:val="8"/>
        </w:numPr>
        <w:spacing w:before="240" w:after="240" w:line="360" w:lineRule="auto"/>
        <w:jc w:val="both"/>
        <w:rPr>
          <w:rFonts w:ascii="Palatino Linotype" w:hAnsi="Palatino Linotype"/>
        </w:rPr>
      </w:pPr>
      <w:r w:rsidRPr="007039B3">
        <w:rPr>
          <w:rFonts w:ascii="Palatino Linotype" w:hAnsi="Palatino Linotype"/>
        </w:rPr>
        <w:t>Notificará al superior jerárquico del responsable de dar cumplimiento, para el efecto de que, en un plazo no mayor a cinco días hábiles, se dé cumplimiento a la resolución, bajo el apercibimiento que de no demostrar que dio la orden, se le impondrá a su titular una medida de apremio, además de que incurrirá en las mismas responsabilidades del servidor público inferior; y</w:t>
      </w:r>
    </w:p>
    <w:p w:rsidR="006947B4" w:rsidRPr="007039B3" w:rsidRDefault="006947B4" w:rsidP="006947B4">
      <w:pPr>
        <w:pStyle w:val="Prrafodelista"/>
        <w:numPr>
          <w:ilvl w:val="0"/>
          <w:numId w:val="8"/>
        </w:numPr>
        <w:spacing w:before="240" w:after="240" w:line="360" w:lineRule="auto"/>
        <w:jc w:val="both"/>
        <w:rPr>
          <w:rFonts w:ascii="Palatino Linotype" w:hAnsi="Palatino Linotype"/>
        </w:rPr>
      </w:pPr>
      <w:r w:rsidRPr="007039B3">
        <w:rPr>
          <w:rFonts w:ascii="Palatino Linotype" w:hAnsi="Palatino Linotype"/>
        </w:rPr>
        <w:t>Determinará las medidas de apremio</w:t>
      </w:r>
      <w:r w:rsidRPr="007039B3">
        <w:rPr>
          <w:rStyle w:val="Refdenotaalpie"/>
          <w:rFonts w:ascii="Palatino Linotype" w:hAnsi="Palatino Linotype"/>
        </w:rPr>
        <w:footnoteReference w:id="5"/>
      </w:r>
      <w:r w:rsidRPr="007039B3">
        <w:rPr>
          <w:rFonts w:ascii="Palatino Linotype" w:hAnsi="Palatino Linotype"/>
        </w:rPr>
        <w:t xml:space="preserve">  o sanciones</w:t>
      </w:r>
      <w:r w:rsidRPr="007039B3">
        <w:rPr>
          <w:rStyle w:val="Refdenotaalpie"/>
          <w:rFonts w:ascii="Palatino Linotype" w:hAnsi="Palatino Linotype"/>
        </w:rPr>
        <w:footnoteReference w:id="6"/>
      </w:r>
      <w:r w:rsidRPr="007039B3">
        <w:rPr>
          <w:rFonts w:ascii="Palatino Linotype" w:hAnsi="Palatino Linotype"/>
        </w:rPr>
        <w:t xml:space="preserve">, según corresponda, que deberán imponerse o las acciones procedentes que deberán aplicarse, </w:t>
      </w:r>
    </w:p>
    <w:p w:rsidR="006947B4" w:rsidRPr="007039B3" w:rsidRDefault="006947B4" w:rsidP="006947B4">
      <w:pPr>
        <w:spacing w:before="240" w:after="240" w:line="360" w:lineRule="auto"/>
        <w:jc w:val="both"/>
        <w:rPr>
          <w:rFonts w:ascii="Palatino Linotype" w:hAnsi="Palatino Linotype"/>
          <w:sz w:val="24"/>
          <w:szCs w:val="24"/>
        </w:rPr>
      </w:pPr>
      <w:r w:rsidRPr="007039B3">
        <w:rPr>
          <w:rFonts w:ascii="Palatino Linotype" w:hAnsi="Palatino Linotype"/>
          <w:sz w:val="24"/>
          <w:szCs w:val="24"/>
        </w:rPr>
        <w:t>En este sentido debe mencionarse que del análisis realizado a la resolución materia del presente voto, si bien se precisó que el Sujeto Obligado debe emitir la respuesta que en derecho corresponda, sin embargo</w:t>
      </w:r>
      <w:r w:rsidR="00991A55" w:rsidRPr="007039B3">
        <w:rPr>
          <w:rFonts w:ascii="Palatino Linotype" w:hAnsi="Palatino Linotype"/>
          <w:sz w:val="24"/>
          <w:szCs w:val="24"/>
        </w:rPr>
        <w:t xml:space="preserve">, </w:t>
      </w:r>
      <w:r w:rsidRPr="007039B3">
        <w:rPr>
          <w:rFonts w:ascii="Palatino Linotype" w:hAnsi="Palatino Linotype"/>
          <w:sz w:val="24"/>
          <w:szCs w:val="24"/>
        </w:rPr>
        <w:t>a consideración del suscrito, ese pronunciamiento hace que la resolución se caracterice por ser ambigua, oscura e indeterminada, lo anterior, es así toda vez que no indica de manera precisa y detallada qu</w:t>
      </w:r>
      <w:r w:rsidR="00991A55" w:rsidRPr="007039B3">
        <w:rPr>
          <w:rFonts w:ascii="Palatino Linotype" w:hAnsi="Palatino Linotype"/>
          <w:sz w:val="24"/>
          <w:szCs w:val="24"/>
        </w:rPr>
        <w:t>é</w:t>
      </w:r>
      <w:r w:rsidRPr="007039B3">
        <w:rPr>
          <w:rFonts w:ascii="Palatino Linotype" w:hAnsi="Palatino Linotype"/>
          <w:sz w:val="24"/>
          <w:szCs w:val="24"/>
        </w:rPr>
        <w:t xml:space="preserve"> documentos y en qué términos el Sujeto Obligado debe proporcionarlos, para dar cumplimiento a la resolución, y con ello garantizar plenamente del ejercicio del derecho de acceso a la información pública de los gobernados, esto es, marca la pauta para que el Sujeto Obligado evada dar cumplimiento a una resolución emitida por el Pleno de este Instituto, con la excusa de que no se determinó de manera precisa que documentales de manera enunciativa más no limitativa satisfacen el o los requerimientos del solicitante.</w:t>
      </w:r>
    </w:p>
    <w:p w:rsidR="006947B4" w:rsidRPr="007039B3" w:rsidRDefault="006947B4" w:rsidP="006947B4">
      <w:pPr>
        <w:spacing w:before="240" w:after="240" w:line="360" w:lineRule="auto"/>
        <w:jc w:val="both"/>
        <w:rPr>
          <w:rFonts w:ascii="Palatino Linotype" w:hAnsi="Palatino Linotype"/>
          <w:sz w:val="24"/>
          <w:szCs w:val="24"/>
        </w:rPr>
      </w:pPr>
      <w:r w:rsidRPr="007039B3">
        <w:rPr>
          <w:rFonts w:ascii="Palatino Linotype" w:hAnsi="Palatino Linotype"/>
          <w:sz w:val="24"/>
          <w:szCs w:val="24"/>
        </w:rPr>
        <w:t>En mérito de lo anterior, arribo a las siguientes conclusiones:</w:t>
      </w:r>
    </w:p>
    <w:p w:rsidR="006947B4" w:rsidRPr="007039B3" w:rsidRDefault="006947B4" w:rsidP="006947B4">
      <w:pPr>
        <w:spacing w:before="240" w:after="240" w:line="360" w:lineRule="auto"/>
        <w:jc w:val="both"/>
        <w:rPr>
          <w:rFonts w:ascii="Palatino Linotype" w:hAnsi="Palatino Linotype"/>
          <w:sz w:val="24"/>
          <w:szCs w:val="24"/>
        </w:rPr>
      </w:pPr>
      <w:r w:rsidRPr="007039B3">
        <w:rPr>
          <w:rFonts w:ascii="Palatino Linotype" w:hAnsi="Palatino Linotype"/>
          <w:sz w:val="24"/>
          <w:szCs w:val="24"/>
        </w:rPr>
        <w:t>Este Instituto, al momento de emitir una resolución, está obligado a analizar y determinar la naturaleza jurídica de la información solicitada y la procedencia de su entrega, tomando como referencia las facultades y atribuciones del Sujeto Obligado, esto es, que la genere, administre o posea.</w:t>
      </w:r>
    </w:p>
    <w:p w:rsidR="006947B4" w:rsidRPr="007039B3" w:rsidRDefault="006947B4" w:rsidP="006947B4">
      <w:pPr>
        <w:spacing w:before="240" w:after="240" w:line="360" w:lineRule="auto"/>
        <w:jc w:val="both"/>
        <w:rPr>
          <w:rFonts w:ascii="Palatino Linotype" w:hAnsi="Palatino Linotype"/>
          <w:sz w:val="24"/>
          <w:szCs w:val="24"/>
        </w:rPr>
      </w:pPr>
      <w:r w:rsidRPr="007039B3">
        <w:rPr>
          <w:rFonts w:ascii="Palatino Linotype" w:hAnsi="Palatino Linotype"/>
          <w:sz w:val="24"/>
          <w:szCs w:val="24"/>
        </w:rPr>
        <w:t xml:space="preserve">Es decir, es factible y jurídicamente necesario que si existe obligación expresa por la Ley que rige la materia para hacer pública determinada información de los Sujetos Obligados cuando se presente una solicitud de información al respecto, se ordene la entrega de dicha información, aun cuando el Sujeto Obligado haya sido omiso en contestar en un inicio, pues no es necesario pedirle que analice sus facultades y la procedencia de la información cuando la publicidad de la información ya está expresamente ordenado por la Ley; incluso lo mismo ocurre, cuando se localiza </w:t>
      </w:r>
      <w:r w:rsidR="00991A55" w:rsidRPr="007039B3">
        <w:rPr>
          <w:rFonts w:ascii="Palatino Linotype" w:hAnsi="Palatino Linotype"/>
          <w:sz w:val="24"/>
          <w:szCs w:val="24"/>
        </w:rPr>
        <w:t xml:space="preserve">el </w:t>
      </w:r>
      <w:r w:rsidRPr="007039B3">
        <w:rPr>
          <w:rFonts w:ascii="Palatino Linotype" w:hAnsi="Palatino Linotype"/>
          <w:sz w:val="24"/>
          <w:szCs w:val="24"/>
        </w:rPr>
        <w:t>precepto normativo aplicable al Sujeto Obligado que haga indubitable que posee en su archivos la información que le es requerida, aun cuando no se trate de información pública de oficio; tarea que si bien no se logra en la garantía primaria del derecho de acceso a la información (</w:t>
      </w:r>
      <w:r w:rsidRPr="007039B3">
        <w:rPr>
          <w:rFonts w:ascii="Palatino Linotype" w:hAnsi="Palatino Linotype"/>
          <w:i/>
          <w:sz w:val="24"/>
          <w:szCs w:val="24"/>
        </w:rPr>
        <w:t>el procedimiento de su acceso</w:t>
      </w:r>
      <w:r w:rsidRPr="007039B3">
        <w:rPr>
          <w:rFonts w:ascii="Palatino Linotype" w:hAnsi="Palatino Linotype"/>
          <w:sz w:val="24"/>
          <w:szCs w:val="24"/>
        </w:rPr>
        <w:t>), por defecto en el actuar del Sujeto Obligado de que se trate, ello debe asegurarse en la garantía secundaria (</w:t>
      </w:r>
      <w:r w:rsidRPr="007039B3">
        <w:rPr>
          <w:rFonts w:ascii="Palatino Linotype" w:hAnsi="Palatino Linotype"/>
          <w:b/>
          <w:sz w:val="24"/>
          <w:szCs w:val="24"/>
        </w:rPr>
        <w:t>el recurso de revisión</w:t>
      </w:r>
      <w:r w:rsidRPr="007039B3">
        <w:rPr>
          <w:rFonts w:ascii="Palatino Linotype" w:hAnsi="Palatino Linotype"/>
          <w:sz w:val="24"/>
          <w:szCs w:val="24"/>
        </w:rPr>
        <w:t>) correspondiéndole esta función a este Órgano Garante.</w:t>
      </w:r>
    </w:p>
    <w:p w:rsidR="009002E1" w:rsidRPr="007039B3" w:rsidRDefault="006947B4" w:rsidP="00C2534B">
      <w:pPr>
        <w:spacing w:before="240" w:after="240" w:line="360" w:lineRule="auto"/>
        <w:jc w:val="both"/>
        <w:rPr>
          <w:rFonts w:ascii="Palatino Linotype" w:hAnsi="Palatino Linotype"/>
          <w:sz w:val="24"/>
          <w:szCs w:val="24"/>
        </w:rPr>
      </w:pPr>
      <w:r w:rsidRPr="007039B3">
        <w:rPr>
          <w:rFonts w:ascii="Palatino Linotype" w:hAnsi="Palatino Linotype"/>
          <w:sz w:val="24"/>
          <w:szCs w:val="24"/>
        </w:rPr>
        <w:t>De ahí, que no se comparta que la resolución se limite en los resolutivos a ordenar la atención a la solicitud de información y en su caso la entrega de la información; máxime que la Ley de Transparencia y Acceso a la Información Pública, no señala que eso pueda ser una posibilidad para las resoluciones que emite el Órgano Garante</w:t>
      </w:r>
      <w:r w:rsidRPr="007039B3">
        <w:rPr>
          <w:rStyle w:val="Refdenotaalpie"/>
          <w:rFonts w:ascii="Palatino Linotype" w:hAnsi="Palatino Linotype"/>
          <w:sz w:val="24"/>
          <w:szCs w:val="24"/>
        </w:rPr>
        <w:footnoteReference w:id="7"/>
      </w:r>
      <w:r w:rsidRPr="007039B3">
        <w:rPr>
          <w:rFonts w:ascii="Palatino Linotype" w:hAnsi="Palatino Linotype"/>
          <w:sz w:val="24"/>
          <w:szCs w:val="24"/>
        </w:rPr>
        <w:t>, ya que únicamente da la posibilidad a desechar o sobreseer el recurso, confirmar la respuesta del Sujeto Obligado, revocar o modificar la respuesta del Sujeto Obligado y ordenar la entrega de la información, siendo evidentemente la primera y última de las opciones sentidos en los que pudiera resolverse los casos de una omisión de respuesta.</w:t>
      </w:r>
    </w:p>
    <w:p w:rsidR="00991A55" w:rsidRPr="007039B3" w:rsidRDefault="00C2534B" w:rsidP="006113A8">
      <w:pPr>
        <w:spacing w:before="240" w:after="240" w:line="360" w:lineRule="auto"/>
        <w:jc w:val="both"/>
        <w:rPr>
          <w:rFonts w:ascii="Palatino Linotype" w:hAnsi="Palatino Linotype"/>
          <w:b/>
          <w:sz w:val="24"/>
          <w:szCs w:val="24"/>
        </w:rPr>
      </w:pPr>
      <w:r w:rsidRPr="007039B3">
        <w:rPr>
          <w:rFonts w:ascii="Palatino Linotype" w:hAnsi="Palatino Linotype"/>
          <w:b/>
          <w:sz w:val="24"/>
          <w:szCs w:val="24"/>
        </w:rPr>
        <w:t>De ahí, que no se comparta que la resolución</w:t>
      </w:r>
      <w:r w:rsidR="00560FA5" w:rsidRPr="007039B3">
        <w:rPr>
          <w:rFonts w:ascii="Palatino Linotype" w:hAnsi="Palatino Linotype"/>
          <w:b/>
          <w:sz w:val="24"/>
          <w:szCs w:val="24"/>
        </w:rPr>
        <w:t xml:space="preserve"> que</w:t>
      </w:r>
      <w:r w:rsidRPr="007039B3">
        <w:rPr>
          <w:rFonts w:ascii="Palatino Linotype" w:hAnsi="Palatino Linotype"/>
          <w:b/>
          <w:sz w:val="24"/>
          <w:szCs w:val="24"/>
        </w:rPr>
        <w:t xml:space="preserve"> limite en los resolutivos a ordenar la atención a </w:t>
      </w:r>
      <w:r w:rsidR="00560FA5" w:rsidRPr="007039B3">
        <w:rPr>
          <w:rFonts w:ascii="Palatino Linotype" w:hAnsi="Palatino Linotype"/>
          <w:b/>
          <w:sz w:val="24"/>
          <w:szCs w:val="24"/>
        </w:rPr>
        <w:t>las solicitudes de información dejando al arbitrio de los Sujeto Obligados la procedencia en la entrega de la información.</w:t>
      </w:r>
    </w:p>
    <w:p w:rsidR="00991A55" w:rsidRPr="007039B3" w:rsidRDefault="00991A55" w:rsidP="007A03D2">
      <w:pPr>
        <w:pStyle w:val="Prrafodelista"/>
        <w:numPr>
          <w:ilvl w:val="0"/>
          <w:numId w:val="2"/>
        </w:numPr>
        <w:spacing w:before="240" w:after="240" w:line="360" w:lineRule="auto"/>
        <w:jc w:val="both"/>
        <w:rPr>
          <w:rFonts w:ascii="Palatino Linotype" w:hAnsi="Palatino Linotype"/>
          <w:b/>
        </w:rPr>
      </w:pPr>
      <w:r w:rsidRPr="007039B3">
        <w:rPr>
          <w:rFonts w:ascii="Palatino Linotype" w:hAnsi="Palatino Linotype"/>
          <w:b/>
        </w:rPr>
        <w:t>Del principio de Tutela Jurisdiccional Efectiva y Acceso a un Recurso Legal Efectivo</w:t>
      </w:r>
      <w:r w:rsidR="000F6CC7" w:rsidRPr="007039B3">
        <w:rPr>
          <w:rFonts w:ascii="Palatino Linotype" w:hAnsi="Palatino Linotype"/>
          <w:b/>
        </w:rPr>
        <w:t xml:space="preserve">. </w:t>
      </w:r>
    </w:p>
    <w:p w:rsidR="00991A55" w:rsidRPr="007039B3" w:rsidRDefault="00991A55" w:rsidP="00991A55">
      <w:pPr>
        <w:spacing w:line="360" w:lineRule="auto"/>
        <w:jc w:val="both"/>
        <w:rPr>
          <w:rFonts w:ascii="Palatino Linotype" w:hAnsi="Palatino Linotype" w:cs="Calibri"/>
          <w:color w:val="000000"/>
          <w:sz w:val="24"/>
          <w:szCs w:val="24"/>
        </w:rPr>
      </w:pPr>
      <w:r w:rsidRPr="007039B3">
        <w:rPr>
          <w:rFonts w:ascii="Palatino Linotype" w:hAnsi="Palatino Linotype" w:cs="Calibri"/>
          <w:color w:val="000000"/>
          <w:sz w:val="24"/>
          <w:szCs w:val="24"/>
        </w:rPr>
        <w:t>El artículo </w:t>
      </w:r>
      <w:r w:rsidRPr="007039B3">
        <w:rPr>
          <w:rFonts w:ascii="Palatino Linotype" w:hAnsi="Palatino Linotype" w:cs="Calibri"/>
          <w:sz w:val="24"/>
          <w:szCs w:val="24"/>
        </w:rPr>
        <w:t>17 constitucional</w:t>
      </w:r>
      <w:r w:rsidRPr="007039B3">
        <w:rPr>
          <w:rFonts w:ascii="Palatino Linotype" w:hAnsi="Palatino Linotype" w:cs="Calibri"/>
          <w:color w:val="000000"/>
          <w:sz w:val="24"/>
          <w:szCs w:val="24"/>
        </w:rPr>
        <w:t xml:space="preserve"> consigna los principios rectores de la impartición de justicia para hacer efectivo el derecho a la jurisdicción. </w:t>
      </w:r>
    </w:p>
    <w:p w:rsidR="00991A55" w:rsidRPr="007039B3" w:rsidRDefault="00991A55" w:rsidP="00991A55">
      <w:pPr>
        <w:spacing w:line="360" w:lineRule="auto"/>
        <w:jc w:val="both"/>
        <w:rPr>
          <w:rFonts w:ascii="Palatino Linotype" w:hAnsi="Palatino Linotype" w:cs="Calibri"/>
          <w:color w:val="000000"/>
          <w:sz w:val="24"/>
          <w:szCs w:val="24"/>
        </w:rPr>
      </w:pPr>
      <w:r w:rsidRPr="007039B3">
        <w:rPr>
          <w:rFonts w:ascii="Palatino Linotype" w:hAnsi="Palatino Linotype" w:cs="Calibri"/>
          <w:color w:val="000000"/>
          <w:sz w:val="24"/>
          <w:szCs w:val="24"/>
        </w:rPr>
        <w:t xml:space="preserve">Uno de éstos es el de la </w:t>
      </w:r>
      <w:r w:rsidRPr="007039B3">
        <w:rPr>
          <w:rFonts w:ascii="Palatino Linotype" w:hAnsi="Palatino Linotype" w:cs="Calibri"/>
          <w:b/>
          <w:color w:val="000000"/>
          <w:sz w:val="24"/>
          <w:szCs w:val="24"/>
        </w:rPr>
        <w:t>completitud</w:t>
      </w:r>
      <w:r w:rsidRPr="007039B3">
        <w:rPr>
          <w:rFonts w:ascii="Palatino Linotype" w:hAnsi="Palatino Linotype" w:cs="Calibri"/>
          <w:color w:val="000000"/>
          <w:sz w:val="24"/>
          <w:szCs w:val="24"/>
        </w:rPr>
        <w:t xml:space="preserve">,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w:t>
      </w:r>
    </w:p>
    <w:p w:rsidR="00991A55" w:rsidRPr="007039B3" w:rsidRDefault="00991A55" w:rsidP="00991A55">
      <w:pPr>
        <w:spacing w:line="360" w:lineRule="auto"/>
        <w:jc w:val="both"/>
        <w:rPr>
          <w:rFonts w:ascii="Palatino Linotype" w:hAnsi="Palatino Linotype" w:cs="Calibri"/>
          <w:color w:val="000000"/>
          <w:sz w:val="24"/>
          <w:szCs w:val="24"/>
        </w:rPr>
      </w:pPr>
      <w:r w:rsidRPr="007039B3">
        <w:rPr>
          <w:rFonts w:ascii="Palatino Linotype" w:hAnsi="Palatino Linotype" w:cs="Calibri"/>
          <w:color w:val="000000"/>
          <w:sz w:val="24"/>
          <w:szCs w:val="24"/>
        </w:rPr>
        <w:t>Lo que en el caso específico no acontece pues el Comisionado ponente en la resolución materia del presente voto, en un acto de negligencia  e inobservancia a los principios constitucionales que rigen el actuar de los órganos encargados de dirimir controversias, es omiso en estudiar la Litis en su integridad, toda vez que no establece la competencia material del Sujeto Obligado para generar, poseer o administrar la información que permita ordenar su entrega y mucho menos realiza un estudio particularizado de la información requerida para determinar en su caso la procedencia de la versión publica, la clasificación de reserva o confidencialidad, que permita garantizar el Derecho de Acceso a la Información en plena expresión del artículo 1° del Pacto Federal en atención a los principios de universalidad, interdependencia, indivisibilidad y progresividad</w:t>
      </w:r>
    </w:p>
    <w:p w:rsidR="00991A55" w:rsidRPr="007039B3" w:rsidRDefault="00991A55" w:rsidP="00991A55">
      <w:pPr>
        <w:spacing w:line="360" w:lineRule="auto"/>
        <w:jc w:val="both"/>
        <w:rPr>
          <w:rFonts w:ascii="Palatino Linotype" w:hAnsi="Palatino Linotype" w:cs="Calibri"/>
          <w:color w:val="000000"/>
          <w:sz w:val="24"/>
          <w:szCs w:val="24"/>
        </w:rPr>
      </w:pPr>
      <w:r w:rsidRPr="007039B3">
        <w:rPr>
          <w:rFonts w:ascii="Palatino Linotype" w:hAnsi="Palatino Linotype" w:cs="Calibri"/>
          <w:color w:val="000000"/>
          <w:sz w:val="24"/>
          <w:szCs w:val="24"/>
        </w:rPr>
        <w:t xml:space="preserve">Así,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w:t>
      </w:r>
    </w:p>
    <w:p w:rsidR="00991A55" w:rsidRPr="007039B3" w:rsidRDefault="00991A55" w:rsidP="00991A55">
      <w:pPr>
        <w:spacing w:line="360" w:lineRule="auto"/>
        <w:jc w:val="both"/>
        <w:rPr>
          <w:rFonts w:ascii="Palatino Linotype" w:hAnsi="Palatino Linotype" w:cs="Calibri"/>
          <w:color w:val="000000"/>
          <w:sz w:val="24"/>
          <w:szCs w:val="24"/>
        </w:rPr>
      </w:pPr>
      <w:r w:rsidRPr="007039B3">
        <w:rPr>
          <w:rFonts w:ascii="Palatino Linotype" w:hAnsi="Palatino Linotype" w:cs="Calibri"/>
          <w:color w:val="000000"/>
          <w:sz w:val="24"/>
          <w:szCs w:val="24"/>
        </w:rPr>
        <w:t xml:space="preserve">El vocablo </w:t>
      </w:r>
      <w:r w:rsidRPr="007039B3">
        <w:rPr>
          <w:rFonts w:ascii="Palatino Linotype" w:hAnsi="Palatino Linotype" w:cs="Calibri"/>
          <w:b/>
          <w:color w:val="000000"/>
          <w:sz w:val="24"/>
          <w:szCs w:val="24"/>
        </w:rPr>
        <w:t>exhaustivo</w:t>
      </w:r>
      <w:r w:rsidRPr="007039B3">
        <w:rPr>
          <w:rFonts w:ascii="Palatino Linotype" w:hAnsi="Palatino Linotype" w:cs="Calibri"/>
          <w:color w:val="000000"/>
          <w:sz w:val="24"/>
          <w:szCs w:val="24"/>
        </w:rPr>
        <w:t xml:space="preserve"> es un adjetivo para expresar algo que se agota o apura por completo. El vocablo agotar hace referencia a llevar una acción de la manera más completa y total, sin dejarla inconclusa, ni en la más mínima parte o expresión como lo ilustra el Diccionario de la Lengua Española: </w:t>
      </w:r>
    </w:p>
    <w:p w:rsidR="00991A55" w:rsidRPr="007039B3" w:rsidRDefault="00991A55" w:rsidP="00991A55">
      <w:pPr>
        <w:spacing w:line="360" w:lineRule="auto"/>
        <w:ind w:left="284" w:right="333"/>
        <w:jc w:val="both"/>
        <w:rPr>
          <w:rFonts w:ascii="Palatino Linotype" w:hAnsi="Palatino Linotype" w:cs="Calibri"/>
          <w:i/>
          <w:color w:val="000000"/>
          <w:sz w:val="24"/>
          <w:szCs w:val="24"/>
        </w:rPr>
      </w:pPr>
      <w:r w:rsidRPr="007039B3">
        <w:rPr>
          <w:rFonts w:ascii="Palatino Linotype" w:hAnsi="Palatino Linotype" w:cs="Calibri"/>
          <w:i/>
          <w:color w:val="000000"/>
          <w:sz w:val="24"/>
          <w:szCs w:val="24"/>
        </w:rPr>
        <w:t xml:space="preserve">"Extraer todo el líquido que hay en una capacidad cualquiera; gastar del todo, consumir, agotar el caudal de las provisiones, el ingenio, la paciencia, agotarse una edición; cansar extremadamente". </w:t>
      </w:r>
    </w:p>
    <w:p w:rsidR="00991A55" w:rsidRPr="007039B3" w:rsidRDefault="00991A55" w:rsidP="00991A55">
      <w:pPr>
        <w:spacing w:line="360" w:lineRule="auto"/>
        <w:ind w:left="284" w:right="333"/>
        <w:jc w:val="both"/>
        <w:rPr>
          <w:rFonts w:ascii="Palatino Linotype" w:hAnsi="Palatino Linotype" w:cs="Calibri"/>
          <w:i/>
          <w:color w:val="000000"/>
          <w:sz w:val="24"/>
          <w:szCs w:val="24"/>
        </w:rPr>
      </w:pPr>
      <w:r w:rsidRPr="007039B3">
        <w:rPr>
          <w:rFonts w:ascii="Palatino Linotype" w:hAnsi="Palatino Linotype" w:cs="Calibri"/>
          <w:color w:val="000000"/>
          <w:sz w:val="24"/>
          <w:szCs w:val="24"/>
        </w:rPr>
        <w:t xml:space="preserve">Sobre el verbo </w:t>
      </w:r>
      <w:r w:rsidRPr="007039B3">
        <w:rPr>
          <w:rFonts w:ascii="Palatino Linotype" w:hAnsi="Palatino Linotype" w:cs="Calibri"/>
          <w:b/>
          <w:color w:val="000000"/>
          <w:sz w:val="24"/>
          <w:szCs w:val="24"/>
        </w:rPr>
        <w:t>apurar</w:t>
      </w:r>
      <w:r w:rsidRPr="007039B3">
        <w:rPr>
          <w:rFonts w:ascii="Palatino Linotype" w:hAnsi="Palatino Linotype" w:cs="Calibri"/>
          <w:color w:val="000000"/>
          <w:sz w:val="24"/>
          <w:szCs w:val="24"/>
        </w:rPr>
        <w:t xml:space="preserve">, el diccionario expone, entre otros, los siguientes conceptos: </w:t>
      </w:r>
      <w:r w:rsidRPr="007039B3">
        <w:rPr>
          <w:rFonts w:ascii="Palatino Linotype" w:hAnsi="Palatino Linotype" w:cs="Calibri"/>
          <w:i/>
          <w:color w:val="000000"/>
          <w:sz w:val="24"/>
          <w:szCs w:val="24"/>
        </w:rPr>
        <w:t xml:space="preserve">"Averiguar o desentrañar la verdad ahincadamente o exponerla sin omisión; extremar, llevar hasta el cabo; acabar, agotar; purificar o reducir algo al estado de pureza separando lo impuro o extraño; examinar atentamente". </w:t>
      </w:r>
    </w:p>
    <w:p w:rsidR="00991A55" w:rsidRPr="007039B3" w:rsidRDefault="00991A55" w:rsidP="00991A55">
      <w:pPr>
        <w:spacing w:line="360" w:lineRule="auto"/>
        <w:jc w:val="both"/>
        <w:rPr>
          <w:rFonts w:ascii="Palatino Linotype" w:hAnsi="Palatino Linotype" w:cs="Calibri"/>
          <w:color w:val="000000"/>
          <w:sz w:val="24"/>
          <w:szCs w:val="24"/>
        </w:rPr>
      </w:pPr>
      <w:r w:rsidRPr="007039B3">
        <w:rPr>
          <w:rFonts w:ascii="Palatino Linotype" w:hAnsi="Palatino Linotype" w:cs="Calibri"/>
          <w:color w:val="000000"/>
          <w:sz w:val="24"/>
          <w:szCs w:val="24"/>
        </w:rPr>
        <w:t xml:space="preserve">La correlación de los significados destacados, con miras a su aplicación al documento en que se asienta una decisión judicial, guía hacia una exigencia cualitativa, </w:t>
      </w:r>
      <w:r w:rsidRPr="007039B3">
        <w:rPr>
          <w:rFonts w:ascii="Palatino Linotype" w:hAnsi="Palatino Linotype" w:cs="Calibri"/>
          <w:b/>
          <w:color w:val="000000"/>
          <w:sz w:val="24"/>
          <w:szCs w:val="24"/>
        </w:rPr>
        <w:t>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w:t>
      </w:r>
      <w:r w:rsidRPr="007039B3">
        <w:rPr>
          <w:rFonts w:ascii="Palatino Linotype" w:hAnsi="Palatino Linotype" w:cs="Calibri"/>
          <w:color w:val="000000"/>
          <w:sz w:val="24"/>
          <w:szCs w:val="24"/>
        </w:rPr>
        <w:t xml:space="preserve">, </w:t>
      </w:r>
      <w:r w:rsidRPr="007039B3">
        <w:rPr>
          <w:rFonts w:ascii="Palatino Linotype" w:hAnsi="Palatino Linotype" w:cs="Calibri"/>
          <w:b/>
          <w:color w:val="000000"/>
          <w:sz w:val="24"/>
          <w:szCs w:val="24"/>
        </w:rPr>
        <w:t>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w:t>
      </w:r>
      <w:r w:rsidRPr="007039B3">
        <w:rPr>
          <w:rFonts w:ascii="Palatino Linotype" w:hAnsi="Palatino Linotype" w:cs="Calibri"/>
          <w:color w:val="000000"/>
          <w:sz w:val="24"/>
          <w:szCs w:val="24"/>
        </w:rPr>
        <w:t xml:space="preserve">, esto último cuando la sentencia recaiga a un medio impugnativo de cualquier naturaleza. </w:t>
      </w:r>
    </w:p>
    <w:p w:rsidR="00991A55" w:rsidRPr="007039B3" w:rsidRDefault="00991A55" w:rsidP="00991A55">
      <w:pPr>
        <w:spacing w:line="360" w:lineRule="auto"/>
        <w:jc w:val="both"/>
        <w:rPr>
          <w:rFonts w:ascii="Palatino Linotype" w:hAnsi="Palatino Linotype"/>
          <w:sz w:val="24"/>
          <w:szCs w:val="24"/>
        </w:rPr>
      </w:pPr>
      <w:r w:rsidRPr="007039B3">
        <w:rPr>
          <w:rFonts w:ascii="Palatino Linotype" w:hAnsi="Palatino Linotype" w:cs="Calibri"/>
          <w:color w:val="000000"/>
          <w:sz w:val="24"/>
          <w:szCs w:val="24"/>
        </w:rPr>
        <w:t>El principio de exhaustividad se orienta, pues, a que las consideraciones de estudio de la sentencia se revistan  a la más alta calidad posible, de completitud y de consistencia argumentativa, o</w:t>
      </w:r>
      <w:r w:rsidRPr="007039B3">
        <w:rPr>
          <w:rFonts w:ascii="Palatino Linotype" w:hAnsi="Palatino Linotype"/>
          <w:sz w:val="24"/>
          <w:szCs w:val="24"/>
        </w:rPr>
        <w:t xml:space="preserve">torgando al recurrente el cumplimiento al PRINCIPIO DE TUTELA JURISDICCIONAL EFECTIVA y de acceso a un </w:t>
      </w:r>
      <w:r w:rsidRPr="007039B3">
        <w:rPr>
          <w:rFonts w:ascii="Palatino Linotype" w:hAnsi="Palatino Linotype"/>
          <w:b/>
          <w:sz w:val="24"/>
          <w:szCs w:val="24"/>
        </w:rPr>
        <w:t>Recurso Adecuado y Efectivo.</w:t>
      </w:r>
    </w:p>
    <w:p w:rsidR="00991A55" w:rsidRPr="007039B3" w:rsidRDefault="00991A55" w:rsidP="00991A55">
      <w:pPr>
        <w:spacing w:line="360" w:lineRule="auto"/>
        <w:jc w:val="both"/>
        <w:rPr>
          <w:rFonts w:ascii="Palatino Linotype" w:hAnsi="Palatino Linotype"/>
          <w:sz w:val="24"/>
        </w:rPr>
      </w:pPr>
      <w:r w:rsidRPr="007039B3">
        <w:rPr>
          <w:rFonts w:ascii="Palatino Linotype" w:hAnsi="Palatino Linotype"/>
          <w:sz w:val="24"/>
        </w:rPr>
        <w:t>En ese sentido, la solución integral del conflicto conforme a los principios de congruencia y de exhaustividad, obligan a dirimir todas las cuestiones litigiosas, entre las que se encuentran tanto las que son materia de ejecución como las que quedaron definidas, siendo esta la materia esencial de la solicitud, o intocadas, que consisten en los argumentos que el Comisionado ponente, sostiene sin entrar al estudio de fondo de la cuestión planteada ni determinar la información que en todo caso deberá ordenar su entrega.</w:t>
      </w:r>
    </w:p>
    <w:p w:rsidR="000F6CC7" w:rsidRPr="007039B3" w:rsidRDefault="000F6CC7" w:rsidP="000F6CC7">
      <w:pPr>
        <w:spacing w:before="120" w:after="120" w:line="360" w:lineRule="auto"/>
        <w:jc w:val="both"/>
        <w:rPr>
          <w:rFonts w:ascii="Palatino Linotype" w:hAnsi="Palatino Linotype"/>
          <w:sz w:val="24"/>
          <w:szCs w:val="24"/>
        </w:rPr>
      </w:pPr>
      <w:r w:rsidRPr="007039B3">
        <w:rPr>
          <w:rFonts w:ascii="Palatino Linotype" w:hAnsi="Palatino Linotype"/>
          <w:sz w:val="24"/>
        </w:rPr>
        <w:t xml:space="preserve">Adicional a lo expuesto, </w:t>
      </w:r>
      <w:r w:rsidRPr="007039B3">
        <w:rPr>
          <w:rFonts w:ascii="Palatino Linotype" w:hAnsi="Palatino Linotype"/>
          <w:sz w:val="24"/>
          <w:szCs w:val="24"/>
        </w:rPr>
        <w:t xml:space="preserve">este Instituto en la etapa de la garantía secundaria prevista en el artículo 176 de la Ley de Transparencia indicada, debe garantizar el derecho de acceso a la información pública que le asiste a los particulares, por lo tanto, en el supuesto de una </w:t>
      </w:r>
      <w:r w:rsidRPr="007039B3">
        <w:rPr>
          <w:rFonts w:ascii="Palatino Linotype" w:hAnsi="Palatino Linotype"/>
          <w:b/>
          <w:sz w:val="24"/>
          <w:szCs w:val="24"/>
        </w:rPr>
        <w:t>negativa ficta</w:t>
      </w:r>
      <w:r w:rsidRPr="007039B3">
        <w:rPr>
          <w:rFonts w:ascii="Palatino Linotype" w:hAnsi="Palatino Linotype"/>
          <w:sz w:val="24"/>
          <w:szCs w:val="24"/>
        </w:rPr>
        <w:t xml:space="preserve">, es evidente el deber de reparar cualquier posible afectación al derecho violentado, ello en términos de la Ley citada.         </w:t>
      </w:r>
    </w:p>
    <w:p w:rsidR="000F6CC7" w:rsidRPr="007039B3" w:rsidRDefault="000F6CC7" w:rsidP="000F6CC7">
      <w:pPr>
        <w:spacing w:before="120" w:after="120" w:line="360" w:lineRule="auto"/>
        <w:jc w:val="both"/>
        <w:rPr>
          <w:rFonts w:ascii="Palatino Linotype" w:hAnsi="Palatino Linotype"/>
          <w:sz w:val="24"/>
          <w:szCs w:val="24"/>
        </w:rPr>
      </w:pPr>
      <w:r w:rsidRPr="007039B3">
        <w:rPr>
          <w:rFonts w:ascii="Palatino Linotype" w:hAnsi="Palatino Linotype"/>
          <w:sz w:val="24"/>
          <w:szCs w:val="24"/>
        </w:rPr>
        <w:t xml:space="preserve">Disposiciones de las que resulta la obligación a cargo este Órgano garante, para que a través de la resolución respectiva, debidamente motivada y fundada, se ordene al Sujeto Obligado la entrega, en su caso, de la </w:t>
      </w:r>
      <w:r w:rsidRPr="007039B3">
        <w:rPr>
          <w:rFonts w:ascii="Palatino Linotype" w:hAnsi="Palatino Linotype"/>
          <w:b/>
          <w:sz w:val="24"/>
          <w:szCs w:val="24"/>
        </w:rPr>
        <w:t>información procedente</w:t>
      </w:r>
      <w:r w:rsidRPr="007039B3">
        <w:rPr>
          <w:rFonts w:ascii="Palatino Linotype" w:hAnsi="Palatino Linotype"/>
          <w:sz w:val="24"/>
          <w:szCs w:val="24"/>
        </w:rPr>
        <w:t>, misma que deberá ser determinada en el estudio correspondiente (fuente obligacional) y ser especifica en sus resolutivos, ello en cumplimiento a lo dispuesto por los artículos 186, fracción IV y último párrafo; así como el diverso 188, fracciones II y IV, todos de la Ley de Transparencia multicitada.</w:t>
      </w:r>
    </w:p>
    <w:p w:rsidR="000F6CC7" w:rsidRPr="007039B3" w:rsidRDefault="000F6CC7" w:rsidP="000F6CC7">
      <w:pPr>
        <w:spacing w:before="120" w:after="120" w:line="360" w:lineRule="auto"/>
        <w:jc w:val="both"/>
        <w:rPr>
          <w:rFonts w:ascii="Palatino Linotype" w:hAnsi="Palatino Linotype"/>
          <w:b/>
          <w:sz w:val="24"/>
          <w:szCs w:val="24"/>
        </w:rPr>
      </w:pPr>
      <w:r w:rsidRPr="007039B3">
        <w:rPr>
          <w:rFonts w:ascii="Palatino Linotype" w:hAnsi="Palatino Linotype"/>
          <w:b/>
          <w:sz w:val="24"/>
          <w:szCs w:val="24"/>
        </w:rPr>
        <w:t xml:space="preserve">Criterio y deber que el Suscrito sostiene y evidencia en las resoluciones de los recursos que son turnados a mi Ponencia.  </w:t>
      </w:r>
    </w:p>
    <w:p w:rsidR="000F6CC7" w:rsidRPr="007039B3" w:rsidRDefault="000F6CC7" w:rsidP="000F6CC7">
      <w:pPr>
        <w:spacing w:before="120" w:after="120" w:line="360" w:lineRule="auto"/>
        <w:jc w:val="both"/>
        <w:rPr>
          <w:rFonts w:ascii="Palatino Linotype" w:hAnsi="Palatino Linotype"/>
          <w:sz w:val="24"/>
          <w:szCs w:val="24"/>
        </w:rPr>
      </w:pPr>
      <w:r w:rsidRPr="007039B3">
        <w:rPr>
          <w:rFonts w:ascii="Palatino Linotype" w:hAnsi="Palatino Linotype"/>
          <w:sz w:val="24"/>
          <w:szCs w:val="24"/>
        </w:rPr>
        <w:t xml:space="preserve">Lo anterior, adquiere sentido atento al contenido de los artículos 198, párrafo primero y 199, párrafos segundo y tercero de la Ley en cita, de los que se advierte, que los Sujetos Obligados darán estricto cumplimiento a las resoluciones de éste Instituto, quien a su vez verificará la calidad de la información y dará vista al recurrente para que éste manifieste si el cumplimiento corresponde o no a lo ordenado por el Instituto, expresando las causas específicas por las cuales así lo considera. </w:t>
      </w:r>
    </w:p>
    <w:p w:rsidR="00A11D57" w:rsidRPr="007039B3" w:rsidRDefault="000F6CC7" w:rsidP="000F6CC7">
      <w:pPr>
        <w:spacing w:before="120" w:after="120" w:line="360" w:lineRule="auto"/>
        <w:jc w:val="both"/>
        <w:rPr>
          <w:rFonts w:ascii="Palatino Linotype" w:hAnsi="Palatino Linotype"/>
          <w:sz w:val="24"/>
          <w:szCs w:val="24"/>
        </w:rPr>
      </w:pPr>
      <w:r w:rsidRPr="007039B3">
        <w:rPr>
          <w:rFonts w:ascii="Palatino Linotype" w:hAnsi="Palatino Linotype"/>
          <w:sz w:val="24"/>
          <w:szCs w:val="24"/>
        </w:rPr>
        <w:t xml:space="preserve">De lo expuesto, resulta evidente que las resoluciones bajo el supuesto de una </w:t>
      </w:r>
      <w:r w:rsidRPr="007039B3">
        <w:rPr>
          <w:rFonts w:ascii="Palatino Linotype" w:hAnsi="Palatino Linotype"/>
          <w:b/>
          <w:sz w:val="24"/>
          <w:szCs w:val="24"/>
        </w:rPr>
        <w:t>negativa ficta</w:t>
      </w:r>
      <w:r w:rsidRPr="007039B3">
        <w:rPr>
          <w:rFonts w:ascii="Palatino Linotype" w:hAnsi="Palatino Linotype"/>
          <w:sz w:val="24"/>
          <w:szCs w:val="24"/>
        </w:rPr>
        <w:t xml:space="preserve"> aprobadas por la mayoría del Pleno, </w:t>
      </w:r>
      <w:r w:rsidRPr="007039B3">
        <w:rPr>
          <w:rFonts w:ascii="Palatino Linotype" w:hAnsi="Palatino Linotype"/>
          <w:b/>
          <w:sz w:val="24"/>
          <w:szCs w:val="24"/>
        </w:rPr>
        <w:t>mismas que no comparto</w:t>
      </w:r>
      <w:r w:rsidRPr="007039B3">
        <w:rPr>
          <w:rFonts w:ascii="Palatino Linotype" w:hAnsi="Palatino Linotype"/>
          <w:sz w:val="24"/>
          <w:szCs w:val="24"/>
        </w:rPr>
        <w:t>, atentan contra los  principios de “certeza, eficacia, legalidad y objetividad”</w:t>
      </w:r>
      <w:r w:rsidRPr="007039B3">
        <w:rPr>
          <w:rStyle w:val="Refdenotaalpie"/>
          <w:rFonts w:ascii="Palatino Linotype" w:hAnsi="Palatino Linotype"/>
          <w:sz w:val="24"/>
          <w:szCs w:val="24"/>
        </w:rPr>
        <w:footnoteReference w:id="8"/>
      </w:r>
      <w:r w:rsidRPr="007039B3">
        <w:rPr>
          <w:rFonts w:ascii="Palatino Linotype" w:hAnsi="Palatino Linotype"/>
          <w:sz w:val="24"/>
          <w:szCs w:val="24"/>
        </w:rPr>
        <w:t xml:space="preserve"> previstos en el artículo 9 de la Ley en la materia, toda vez que ante la omisión y ausencia de un debido estudio que determine la naturaleza jurídica de la información requerida y en consecuencia la imprecisa información que se ordena entregar, con ello se transgrede, </w:t>
      </w:r>
      <w:r w:rsidRPr="007039B3">
        <w:rPr>
          <w:rFonts w:ascii="Palatino Linotype" w:hAnsi="Palatino Linotype"/>
          <w:b/>
          <w:sz w:val="24"/>
          <w:szCs w:val="24"/>
        </w:rPr>
        <w:t xml:space="preserve">nuevamente </w:t>
      </w:r>
      <w:r w:rsidRPr="007039B3">
        <w:rPr>
          <w:rFonts w:ascii="Palatino Linotype" w:hAnsi="Palatino Linotype"/>
          <w:sz w:val="24"/>
          <w:szCs w:val="24"/>
        </w:rPr>
        <w:t xml:space="preserve">el derecho de acceso a la información de los recurrentes, toda vez que dificulta a los particulares </w:t>
      </w:r>
      <w:r w:rsidR="00DD20D6" w:rsidRPr="007039B3">
        <w:rPr>
          <w:rFonts w:ascii="Palatino Linotype" w:hAnsi="Palatino Linotype"/>
          <w:sz w:val="24"/>
          <w:szCs w:val="24"/>
        </w:rPr>
        <w:t>“</w:t>
      </w:r>
      <w:r w:rsidRPr="007039B3">
        <w:rPr>
          <w:rFonts w:ascii="Palatino Linotype" w:hAnsi="Palatino Linotype"/>
          <w:i/>
          <w:sz w:val="24"/>
          <w:szCs w:val="24"/>
        </w:rPr>
        <w:t>si el cumplimiento de la resolución</w:t>
      </w:r>
      <w:r w:rsidR="00DD20D6" w:rsidRPr="007039B3">
        <w:rPr>
          <w:rFonts w:ascii="Palatino Linotype" w:hAnsi="Palatino Linotype"/>
          <w:i/>
          <w:sz w:val="24"/>
          <w:szCs w:val="24"/>
        </w:rPr>
        <w:t>”</w:t>
      </w:r>
      <w:r w:rsidRPr="007039B3">
        <w:rPr>
          <w:rFonts w:ascii="Palatino Linotype" w:hAnsi="Palatino Linotype"/>
          <w:sz w:val="24"/>
          <w:szCs w:val="24"/>
        </w:rPr>
        <w:t xml:space="preserve"> corresponde a lo ordenado por el Instituto, </w:t>
      </w:r>
      <w:r w:rsidR="00DD20D6" w:rsidRPr="007039B3">
        <w:rPr>
          <w:rFonts w:ascii="Palatino Linotype" w:hAnsi="Palatino Linotype"/>
          <w:sz w:val="24"/>
          <w:szCs w:val="24"/>
        </w:rPr>
        <w:t xml:space="preserve">por lo tanto, </w:t>
      </w:r>
      <w:r w:rsidRPr="007039B3">
        <w:rPr>
          <w:rFonts w:ascii="Palatino Linotype" w:hAnsi="Palatino Linotype"/>
          <w:sz w:val="24"/>
          <w:szCs w:val="24"/>
        </w:rPr>
        <w:t>si la información que se ordena entregar no fue específica, entonces el particular no tiene certeza de lo que debe</w:t>
      </w:r>
      <w:r w:rsidR="00DD20D6" w:rsidRPr="007039B3">
        <w:rPr>
          <w:rFonts w:ascii="Palatino Linotype" w:hAnsi="Palatino Linotype"/>
          <w:sz w:val="24"/>
          <w:szCs w:val="24"/>
        </w:rPr>
        <w:t>rá</w:t>
      </w:r>
      <w:r w:rsidRPr="007039B3">
        <w:rPr>
          <w:rFonts w:ascii="Palatino Linotype" w:hAnsi="Palatino Linotype"/>
          <w:sz w:val="24"/>
          <w:szCs w:val="24"/>
        </w:rPr>
        <w:t xml:space="preserve"> recibir y en consecuencia</w:t>
      </w:r>
      <w:r w:rsidR="00DD20D6" w:rsidRPr="007039B3">
        <w:rPr>
          <w:rFonts w:ascii="Palatino Linotype" w:hAnsi="Palatino Linotype"/>
          <w:sz w:val="24"/>
          <w:szCs w:val="24"/>
        </w:rPr>
        <w:t>,</w:t>
      </w:r>
      <w:r w:rsidRPr="007039B3">
        <w:rPr>
          <w:rFonts w:ascii="Palatino Linotype" w:hAnsi="Palatino Linotype"/>
          <w:sz w:val="24"/>
          <w:szCs w:val="24"/>
        </w:rPr>
        <w:t xml:space="preserve"> adolece de elementos suficientes para manifestar si el cumplimiento de la resolución corresponde </w:t>
      </w:r>
      <w:r w:rsidR="00DD20D6" w:rsidRPr="007039B3">
        <w:rPr>
          <w:rFonts w:ascii="Palatino Linotype" w:hAnsi="Palatino Linotype"/>
          <w:sz w:val="24"/>
          <w:szCs w:val="24"/>
        </w:rPr>
        <w:t xml:space="preserve">o no </w:t>
      </w:r>
      <w:r w:rsidRPr="007039B3">
        <w:rPr>
          <w:rFonts w:ascii="Palatino Linotype" w:hAnsi="Palatino Linotype"/>
          <w:sz w:val="24"/>
          <w:szCs w:val="24"/>
        </w:rPr>
        <w:t xml:space="preserve">a lo ordenado en la resolución.  </w:t>
      </w:r>
    </w:p>
    <w:p w:rsidR="00C622D3" w:rsidRPr="007039B3" w:rsidRDefault="00C622D3" w:rsidP="00F0275E">
      <w:pPr>
        <w:spacing w:before="120" w:after="120" w:line="240" w:lineRule="auto"/>
        <w:jc w:val="both"/>
        <w:rPr>
          <w:rFonts w:ascii="Palatino Linotype" w:hAnsi="Palatino Linotype"/>
          <w:sz w:val="24"/>
          <w:szCs w:val="24"/>
        </w:rPr>
      </w:pPr>
    </w:p>
    <w:p w:rsidR="004F52A3" w:rsidRPr="007039B3" w:rsidRDefault="004F52A3" w:rsidP="004F52A3">
      <w:pPr>
        <w:pStyle w:val="Prrafodelista"/>
        <w:numPr>
          <w:ilvl w:val="0"/>
          <w:numId w:val="2"/>
        </w:numPr>
        <w:spacing w:line="360" w:lineRule="auto"/>
        <w:jc w:val="both"/>
        <w:rPr>
          <w:rFonts w:ascii="Palatino Linotype" w:hAnsi="Palatino Linotype"/>
          <w:b/>
        </w:rPr>
      </w:pPr>
      <w:r w:rsidRPr="007039B3">
        <w:rPr>
          <w:rFonts w:ascii="Palatino Linotype" w:hAnsi="Palatino Linotype"/>
          <w:b/>
        </w:rPr>
        <w:t>De la Procedencia y Alcances del Juicio de Amparo</w:t>
      </w:r>
      <w:r w:rsidR="00122AB1" w:rsidRPr="007039B3">
        <w:rPr>
          <w:rFonts w:ascii="Palatino Linotype" w:hAnsi="Palatino Linotype"/>
          <w:b/>
        </w:rPr>
        <w:t xml:space="preserve">. </w:t>
      </w:r>
    </w:p>
    <w:p w:rsidR="004F52A3" w:rsidRPr="007039B3" w:rsidRDefault="004F52A3" w:rsidP="004F52A3">
      <w:pPr>
        <w:spacing w:line="360" w:lineRule="auto"/>
        <w:jc w:val="both"/>
        <w:rPr>
          <w:rFonts w:ascii="Palatino Linotype" w:hAnsi="Palatino Linotype"/>
          <w:sz w:val="24"/>
        </w:rPr>
      </w:pPr>
      <w:r w:rsidRPr="007039B3">
        <w:rPr>
          <w:rFonts w:ascii="Palatino Linotype" w:hAnsi="Palatino Linotype"/>
          <w:sz w:val="24"/>
        </w:rPr>
        <w:t xml:space="preserve">Ahora bien, no debe perderse de vista que atento al contenido del artículo 1° de la Constitución Política de los Estados Unidos Mexicanos, que reconoce a los Tratados Internacionales dentro del bloque constitucional y el parámetro de regularidad que deben observar todos los juzgadores del Estado Mexicano, es inevitable estar atento a lo dispuesto en el artículo 25 de la Convención Americana de Derechos Humanos que consagra el </w:t>
      </w:r>
      <w:r w:rsidRPr="007039B3">
        <w:rPr>
          <w:rFonts w:ascii="Palatino Linotype" w:hAnsi="Palatino Linotype"/>
          <w:b/>
          <w:sz w:val="24"/>
        </w:rPr>
        <w:t>Derecho a la Protección Judicial</w:t>
      </w:r>
      <w:r w:rsidRPr="007039B3">
        <w:rPr>
          <w:rFonts w:ascii="Palatino Linotype" w:hAnsi="Palatino Linotype"/>
          <w:sz w:val="24"/>
        </w:rPr>
        <w:t xml:space="preserve"> al establecer lo siguiente: </w:t>
      </w:r>
    </w:p>
    <w:p w:rsidR="004F52A3" w:rsidRPr="007039B3" w:rsidRDefault="004F52A3" w:rsidP="004F52A3">
      <w:pPr>
        <w:spacing w:line="240" w:lineRule="auto"/>
        <w:ind w:left="851" w:right="900"/>
        <w:jc w:val="both"/>
        <w:rPr>
          <w:rFonts w:ascii="Palatino Linotype" w:hAnsi="Palatino Linotype"/>
          <w:i/>
          <w:sz w:val="24"/>
        </w:rPr>
      </w:pPr>
      <w:r w:rsidRPr="007039B3">
        <w:rPr>
          <w:rFonts w:ascii="Palatino Linotype" w:hAnsi="Palatino Linotype"/>
          <w:i/>
          <w:sz w:val="24"/>
        </w:rPr>
        <w:t>“1.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p w:rsidR="004F52A3" w:rsidRPr="007039B3" w:rsidRDefault="004F52A3" w:rsidP="004F52A3">
      <w:pPr>
        <w:spacing w:line="240" w:lineRule="auto"/>
        <w:ind w:right="900"/>
        <w:rPr>
          <w:rFonts w:ascii="Palatino Linotype" w:hAnsi="Palatino Linotype"/>
          <w:i/>
          <w:sz w:val="16"/>
          <w:szCs w:val="16"/>
        </w:rPr>
      </w:pPr>
    </w:p>
    <w:p w:rsidR="004F52A3" w:rsidRPr="007039B3" w:rsidRDefault="004F52A3" w:rsidP="004F52A3">
      <w:pPr>
        <w:spacing w:line="360" w:lineRule="auto"/>
        <w:ind w:right="49"/>
        <w:jc w:val="both"/>
        <w:rPr>
          <w:rFonts w:ascii="Palatino Linotype" w:hAnsi="Palatino Linotype"/>
          <w:sz w:val="24"/>
        </w:rPr>
      </w:pPr>
      <w:r w:rsidRPr="007039B3">
        <w:rPr>
          <w:rFonts w:ascii="Palatino Linotype" w:hAnsi="Palatino Linotype"/>
          <w:sz w:val="24"/>
        </w:rPr>
        <w:t>De la porción normativa citada, se desprenden aspectos fundamentales del derecho la Protección Judicial que no fueron observados por el Comisionado Ponente y consentidos por mayoría de votos del Pleno del Instituto de Transparencia y Acceso a la Información Pública del Estado de México y Municipios, los cuales hacen referencia a la necesidad de toda persona, de contar con un recurso sencillo, rápido y efectivo.</w:t>
      </w:r>
    </w:p>
    <w:p w:rsidR="004F52A3" w:rsidRPr="007039B3" w:rsidRDefault="004F52A3" w:rsidP="004F52A3">
      <w:pPr>
        <w:spacing w:line="360" w:lineRule="auto"/>
        <w:ind w:right="49"/>
        <w:jc w:val="both"/>
        <w:rPr>
          <w:rFonts w:ascii="Palatino Linotype" w:hAnsi="Palatino Linotype"/>
          <w:sz w:val="24"/>
        </w:rPr>
      </w:pPr>
      <w:r w:rsidRPr="007039B3">
        <w:rPr>
          <w:rFonts w:ascii="Palatino Linotype" w:hAnsi="Palatino Linotype"/>
          <w:sz w:val="24"/>
        </w:rPr>
        <w:t xml:space="preserve">Así la </w:t>
      </w:r>
      <w:r w:rsidRPr="007039B3">
        <w:rPr>
          <w:rFonts w:ascii="Palatino Linotype" w:hAnsi="Palatino Linotype"/>
          <w:b/>
          <w:sz w:val="24"/>
        </w:rPr>
        <w:t>sencillez</w:t>
      </w:r>
      <w:r w:rsidRPr="007039B3">
        <w:rPr>
          <w:rFonts w:ascii="Palatino Linotype" w:hAnsi="Palatino Linotype"/>
          <w:sz w:val="24"/>
        </w:rPr>
        <w:t xml:space="preserve"> está íntimamente relacionada a la existencia de un procedimiento que regule el actuar del Órgano encargado de la impartición de justicia con la finalidad de garantizar el pleno acceso a la justicia, sin dejar de lado cuestiones por resolver o al libre albedrio de las partes. </w:t>
      </w:r>
    </w:p>
    <w:p w:rsidR="004F52A3" w:rsidRPr="007039B3" w:rsidRDefault="004F52A3" w:rsidP="004F52A3">
      <w:pPr>
        <w:spacing w:line="360" w:lineRule="auto"/>
        <w:ind w:right="49"/>
        <w:jc w:val="both"/>
        <w:rPr>
          <w:rFonts w:ascii="Palatino Linotype" w:hAnsi="Palatino Linotype"/>
          <w:sz w:val="24"/>
        </w:rPr>
      </w:pPr>
      <w:r w:rsidRPr="007039B3">
        <w:rPr>
          <w:rFonts w:ascii="Palatino Linotype" w:hAnsi="Palatino Linotype"/>
          <w:sz w:val="24"/>
        </w:rPr>
        <w:t xml:space="preserve">La </w:t>
      </w:r>
      <w:r w:rsidRPr="007039B3">
        <w:rPr>
          <w:rFonts w:ascii="Palatino Linotype" w:hAnsi="Palatino Linotype"/>
          <w:b/>
          <w:sz w:val="24"/>
        </w:rPr>
        <w:t>rapidez</w:t>
      </w:r>
      <w:r w:rsidRPr="007039B3">
        <w:rPr>
          <w:rFonts w:ascii="Palatino Linotype" w:hAnsi="Palatino Linotype"/>
          <w:sz w:val="24"/>
        </w:rPr>
        <w:t xml:space="preserve">, ligada estrechamente al plazo razonable, es decir la existencia de plazos y términos bajo los cuales la autoridad debe de reconocer en favor de los particulares, el derecho existente o bien la obligación que debe cumplir frente al otro. </w:t>
      </w:r>
    </w:p>
    <w:p w:rsidR="004F52A3" w:rsidRPr="007039B3" w:rsidRDefault="004F52A3" w:rsidP="004F52A3">
      <w:pPr>
        <w:spacing w:line="360" w:lineRule="auto"/>
        <w:ind w:right="49"/>
        <w:jc w:val="both"/>
        <w:rPr>
          <w:rFonts w:ascii="Palatino Linotype" w:hAnsi="Palatino Linotype"/>
          <w:sz w:val="24"/>
        </w:rPr>
      </w:pPr>
      <w:r w:rsidRPr="007039B3">
        <w:rPr>
          <w:rFonts w:ascii="Palatino Linotype" w:hAnsi="Palatino Linotype"/>
          <w:sz w:val="24"/>
        </w:rPr>
        <w:t xml:space="preserve">Y la </w:t>
      </w:r>
      <w:r w:rsidRPr="007039B3">
        <w:rPr>
          <w:rFonts w:ascii="Palatino Linotype" w:hAnsi="Palatino Linotype"/>
          <w:b/>
          <w:sz w:val="24"/>
        </w:rPr>
        <w:t>efectividad</w:t>
      </w:r>
      <w:r w:rsidRPr="007039B3">
        <w:rPr>
          <w:rFonts w:ascii="Palatino Linotype" w:hAnsi="Palatino Linotype"/>
          <w:sz w:val="24"/>
        </w:rPr>
        <w:t xml:space="preserve">, que debe ser entendida como el nivel de protección que se está concediendo con el dictado de una resolución que impone obligaciones a una de la partes y reconoce la existencia de un derecho legítimo a la otra. </w:t>
      </w:r>
    </w:p>
    <w:p w:rsidR="004F52A3" w:rsidRPr="007039B3" w:rsidRDefault="004F52A3" w:rsidP="004F52A3">
      <w:pPr>
        <w:spacing w:line="360" w:lineRule="auto"/>
        <w:ind w:right="49"/>
        <w:jc w:val="both"/>
        <w:rPr>
          <w:rFonts w:ascii="Palatino Linotype" w:hAnsi="Palatino Linotype"/>
          <w:sz w:val="24"/>
        </w:rPr>
      </w:pPr>
      <w:r w:rsidRPr="007039B3">
        <w:rPr>
          <w:rFonts w:ascii="Palatino Linotype" w:hAnsi="Palatino Linotype"/>
          <w:sz w:val="24"/>
        </w:rPr>
        <w:t>Sirve de apoyo a lo anterior, la tesis emitida por la Segunda Sala de la Suprema Corte de la Nación, visible en la página 351 del Tomo XXIV, del Semanario Judicial y su Gaceta, publicada en el mes de octubre de dos mil seis, bajo el número de registro 174094, que es del tenor siguiente:</w:t>
      </w:r>
    </w:p>
    <w:p w:rsidR="004F52A3" w:rsidRPr="007039B3" w:rsidRDefault="004F52A3" w:rsidP="004F52A3">
      <w:pPr>
        <w:spacing w:line="240" w:lineRule="auto"/>
        <w:ind w:left="851" w:right="900"/>
        <w:jc w:val="both"/>
        <w:rPr>
          <w:rFonts w:ascii="Palatino Linotype" w:hAnsi="Palatino Linotype"/>
          <w:i/>
        </w:rPr>
      </w:pPr>
      <w:r w:rsidRPr="007039B3">
        <w:rPr>
          <w:rFonts w:ascii="Palatino Linotype" w:hAnsi="Palatino Linotype"/>
          <w:b/>
          <w:bCs/>
          <w:i/>
        </w:rPr>
        <w:t xml:space="preserve">“GARANTÍA DE SEGURIDAD JURÍDICA. SUS ALCANCES. </w:t>
      </w:r>
      <w:r w:rsidRPr="007039B3">
        <w:rPr>
          <w:rFonts w:ascii="Palatino Linotype" w:hAnsi="Palatino Linotype"/>
          <w:i/>
        </w:rPr>
        <w:t>La garantía de seguridad jurídica prevista en el artículo </w:t>
      </w:r>
      <w:hyperlink r:id="rId8" w:history="1">
        <w:r w:rsidRPr="007039B3">
          <w:rPr>
            <w:rFonts w:ascii="Palatino Linotype" w:hAnsi="Palatino Linotype"/>
            <w:i/>
            <w:u w:val="single"/>
          </w:rPr>
          <w:t>16 de la Constitución Política de los Estados Unidos Mexicanos</w:t>
        </w:r>
      </w:hyperlink>
      <w:r w:rsidRPr="007039B3">
        <w:rPr>
          <w:rFonts w:ascii="Palatino Linotype" w:hAnsi="Palatino Linotype"/>
          <w:i/>
        </w:rPr>
        <w:t>, no debe entenderse en el sentido de que la ley ha de señalar de manera especial y precisa un procedimiento para regular cada una de las relaciones que se entablen entre las autoridades y los particulares, sino que debe contener los elementos mínimos para hacer valer el derecho del gobernado y para que, sobre este aspecto, la autoridad no incurra en arbitrariedades, lo que explica que existen trámites o relaciones que por su simplicidad o </w:t>
      </w:r>
      <w:r w:rsidRPr="007039B3">
        <w:rPr>
          <w:rFonts w:ascii="Palatino Linotype" w:hAnsi="Palatino Linotype"/>
          <w:b/>
          <w:bCs/>
          <w:i/>
        </w:rPr>
        <w:t>sencillez</w:t>
      </w:r>
      <w:r w:rsidRPr="007039B3">
        <w:rPr>
          <w:rFonts w:ascii="Palatino Linotype" w:hAnsi="Palatino Linotype"/>
          <w:i/>
        </w:rPr>
        <w:t>, no requieren de que la ley pormenorice un procedimiento detallado para ejercer el derecho correlativo. Lo anterior corrobora que es innecesario que en todos los supuestos de la ley se deba detallar minuciosamente el procedimiento, cuando éste se encuentra definido de manera sencilla para evidenciar la forma en que debe hacerse valer el derecho por el particular, así como las facultades y obligaciones que le corresponden a la autoridad.”</w:t>
      </w:r>
    </w:p>
    <w:p w:rsidR="004F52A3" w:rsidRPr="007039B3" w:rsidRDefault="004F52A3" w:rsidP="004F52A3">
      <w:pPr>
        <w:spacing w:line="240" w:lineRule="auto"/>
        <w:ind w:right="49"/>
        <w:jc w:val="both"/>
        <w:rPr>
          <w:rFonts w:ascii="Palatino Linotype" w:hAnsi="Palatino Linotype"/>
          <w:sz w:val="16"/>
          <w:szCs w:val="16"/>
        </w:rPr>
      </w:pPr>
    </w:p>
    <w:p w:rsidR="004F52A3" w:rsidRPr="007039B3" w:rsidRDefault="004F52A3" w:rsidP="004F52A3">
      <w:pPr>
        <w:spacing w:line="360" w:lineRule="auto"/>
        <w:ind w:right="49"/>
        <w:jc w:val="both"/>
        <w:rPr>
          <w:rFonts w:ascii="Palatino Linotype" w:hAnsi="Palatino Linotype"/>
          <w:sz w:val="24"/>
        </w:rPr>
      </w:pPr>
      <w:r w:rsidRPr="007039B3">
        <w:rPr>
          <w:rFonts w:ascii="Palatino Linotype" w:hAnsi="Palatino Linotype"/>
          <w:sz w:val="24"/>
        </w:rPr>
        <w:t>Criterio que determina la existencia de un procedimiento genérico que no debe señalar con especialidad los mecanismos para regular las relaciones entre los Sujeto Obligados y los particulares, sino más bien los principios bajo los cuales debe ajustarse el Órgano Garante para ejercer su potestad como Resolutor de la litis en materia de transparencia, tal como lo establece el artículo 176 de la Ley de la materia que al efecto cita:</w:t>
      </w:r>
    </w:p>
    <w:p w:rsidR="004F52A3" w:rsidRPr="007039B3" w:rsidRDefault="004F52A3" w:rsidP="004F52A3">
      <w:pPr>
        <w:autoSpaceDE w:val="0"/>
        <w:autoSpaceDN w:val="0"/>
        <w:adjustRightInd w:val="0"/>
        <w:spacing w:after="0" w:line="240" w:lineRule="auto"/>
        <w:ind w:left="851" w:right="900"/>
        <w:jc w:val="both"/>
        <w:rPr>
          <w:rFonts w:ascii="Palatino Linotype" w:hAnsi="Palatino Linotype" w:cs="Arial"/>
          <w:i/>
        </w:rPr>
      </w:pPr>
      <w:r w:rsidRPr="007039B3">
        <w:rPr>
          <w:rFonts w:ascii="Palatino Linotype" w:hAnsi="Palatino Linotype" w:cs="Arial"/>
          <w:b/>
          <w:bCs/>
          <w:i/>
        </w:rPr>
        <w:t xml:space="preserve">“Artículo 176. </w:t>
      </w:r>
      <w:r w:rsidRPr="007039B3">
        <w:rPr>
          <w:rFonts w:ascii="Palatino Linotype" w:hAnsi="Palatino Linotype" w:cs="Arial"/>
          <w:i/>
        </w:rPr>
        <w:t>El recurso de revisión es la garantía secundaria mediante la cual se pretende reparar cualquier posible afectación al derecho de acceso a la información pública en términos del presente y del siguiente Capítulo.”</w:t>
      </w:r>
    </w:p>
    <w:p w:rsidR="004F52A3" w:rsidRPr="007039B3" w:rsidRDefault="004F52A3" w:rsidP="004F52A3">
      <w:pPr>
        <w:autoSpaceDE w:val="0"/>
        <w:autoSpaceDN w:val="0"/>
        <w:adjustRightInd w:val="0"/>
        <w:spacing w:after="0" w:line="240" w:lineRule="auto"/>
        <w:ind w:right="900"/>
        <w:jc w:val="both"/>
        <w:rPr>
          <w:rFonts w:ascii="Palatino Linotype" w:hAnsi="Palatino Linotype" w:cs="Arial"/>
          <w:b/>
          <w:bCs/>
          <w:sz w:val="24"/>
          <w:szCs w:val="24"/>
        </w:rPr>
      </w:pPr>
    </w:p>
    <w:p w:rsidR="004F52A3" w:rsidRPr="007039B3" w:rsidRDefault="004F52A3" w:rsidP="004F52A3">
      <w:pPr>
        <w:autoSpaceDE w:val="0"/>
        <w:autoSpaceDN w:val="0"/>
        <w:adjustRightInd w:val="0"/>
        <w:spacing w:after="0" w:line="360" w:lineRule="auto"/>
        <w:ind w:right="49"/>
        <w:jc w:val="both"/>
        <w:rPr>
          <w:rFonts w:ascii="Palatino Linotype" w:hAnsi="Palatino Linotype" w:cs="Arial"/>
          <w:bCs/>
          <w:sz w:val="24"/>
          <w:szCs w:val="24"/>
        </w:rPr>
      </w:pPr>
      <w:r w:rsidRPr="007039B3">
        <w:rPr>
          <w:rFonts w:ascii="Palatino Linotype" w:hAnsi="Palatino Linotype" w:cs="Arial"/>
          <w:bCs/>
          <w:sz w:val="24"/>
          <w:szCs w:val="24"/>
        </w:rPr>
        <w:t xml:space="preserve">Del precepto referido, se advierte que la naturaleza jurídica del recurso de revisión es precisamente reparar cualquier posible afectación al derecho de acceso a la información, que en </w:t>
      </w:r>
      <w:r w:rsidR="00FC0053" w:rsidRPr="007039B3">
        <w:rPr>
          <w:rFonts w:ascii="Palatino Linotype" w:hAnsi="Palatino Linotype" w:cs="Arial"/>
          <w:bCs/>
          <w:sz w:val="24"/>
          <w:szCs w:val="24"/>
        </w:rPr>
        <w:t xml:space="preserve">el </w:t>
      </w:r>
      <w:r w:rsidRPr="007039B3">
        <w:rPr>
          <w:rFonts w:ascii="Palatino Linotype" w:hAnsi="Palatino Linotype" w:cs="Arial"/>
          <w:bCs/>
          <w:sz w:val="24"/>
          <w:szCs w:val="24"/>
        </w:rPr>
        <w:t>presente caso consiste en el silencio por parte del Sujeto Obligado para proporcionar la información, circunstancia que es vulnerada por el Comisionado Ponente y se consiente por la mayoría de los integrantes del Pleno del Instituto, pues en su estudio y resolución del asunto, se limitan a establecer los principios generales que regulan la materia de Transparencia y Acceso a la Información,  que por demás ya están precisados en la Ley de la Materia y que para los efectos de la resolución</w:t>
      </w:r>
      <w:r w:rsidR="00FC0053" w:rsidRPr="007039B3">
        <w:rPr>
          <w:rFonts w:ascii="Palatino Linotype" w:hAnsi="Palatino Linotype" w:cs="Arial"/>
          <w:bCs/>
          <w:sz w:val="24"/>
          <w:szCs w:val="24"/>
        </w:rPr>
        <w:t>, contravienen el derecho del particular</w:t>
      </w:r>
      <w:r w:rsidRPr="007039B3">
        <w:rPr>
          <w:rFonts w:ascii="Palatino Linotype" w:hAnsi="Palatino Linotype" w:cs="Arial"/>
          <w:bCs/>
          <w:sz w:val="24"/>
          <w:szCs w:val="24"/>
        </w:rPr>
        <w:t>.</w:t>
      </w:r>
    </w:p>
    <w:p w:rsidR="004F52A3" w:rsidRPr="007039B3" w:rsidRDefault="004F52A3" w:rsidP="004F52A3">
      <w:pPr>
        <w:autoSpaceDE w:val="0"/>
        <w:autoSpaceDN w:val="0"/>
        <w:adjustRightInd w:val="0"/>
        <w:spacing w:after="0" w:line="360" w:lineRule="auto"/>
        <w:ind w:right="49"/>
        <w:jc w:val="both"/>
        <w:rPr>
          <w:rFonts w:ascii="Palatino Linotype" w:hAnsi="Palatino Linotype" w:cs="Arial"/>
          <w:bCs/>
          <w:sz w:val="24"/>
          <w:szCs w:val="24"/>
        </w:rPr>
      </w:pPr>
    </w:p>
    <w:p w:rsidR="004F52A3" w:rsidRPr="007039B3" w:rsidRDefault="004F52A3" w:rsidP="004F52A3">
      <w:pPr>
        <w:autoSpaceDE w:val="0"/>
        <w:autoSpaceDN w:val="0"/>
        <w:adjustRightInd w:val="0"/>
        <w:spacing w:after="0" w:line="360" w:lineRule="auto"/>
        <w:ind w:right="49"/>
        <w:jc w:val="both"/>
        <w:rPr>
          <w:rFonts w:ascii="Palatino Linotype" w:hAnsi="Palatino Linotype" w:cs="Arial"/>
          <w:sz w:val="24"/>
          <w:szCs w:val="24"/>
        </w:rPr>
      </w:pPr>
      <w:r w:rsidRPr="007039B3">
        <w:rPr>
          <w:rFonts w:ascii="Palatino Linotype" w:hAnsi="Palatino Linotype" w:cs="Arial"/>
          <w:bCs/>
          <w:sz w:val="24"/>
          <w:szCs w:val="24"/>
        </w:rPr>
        <w:t>Atento a lo anterior, es inminente la existencia de una violación cometida en la misma resolución que deviene del procedimiento por virtud de la cual queda sin defensa el quejoso, trascendiendo al resultado de la resolución, consecuentemente, se actualiza</w:t>
      </w:r>
      <w:r w:rsidR="00E43B8F" w:rsidRPr="007039B3">
        <w:rPr>
          <w:rFonts w:ascii="Palatino Linotype" w:hAnsi="Palatino Linotype" w:cs="Arial"/>
          <w:bCs/>
          <w:sz w:val="24"/>
          <w:szCs w:val="24"/>
        </w:rPr>
        <w:t xml:space="preserve">, en su caso, </w:t>
      </w:r>
      <w:r w:rsidRPr="007039B3">
        <w:rPr>
          <w:rFonts w:ascii="Palatino Linotype" w:hAnsi="Palatino Linotype" w:cs="Arial"/>
          <w:bCs/>
          <w:sz w:val="24"/>
          <w:szCs w:val="24"/>
        </w:rPr>
        <w:t xml:space="preserve">la procedencia del Juicio de Amparo </w:t>
      </w:r>
      <w:r w:rsidR="00927CC3" w:rsidRPr="007039B3">
        <w:rPr>
          <w:rFonts w:ascii="Palatino Linotype" w:hAnsi="Palatino Linotype" w:cs="Arial"/>
          <w:bCs/>
          <w:sz w:val="24"/>
          <w:szCs w:val="24"/>
        </w:rPr>
        <w:t>Indi</w:t>
      </w:r>
      <w:r w:rsidRPr="007039B3">
        <w:rPr>
          <w:rFonts w:ascii="Palatino Linotype" w:hAnsi="Palatino Linotype" w:cs="Arial"/>
          <w:bCs/>
          <w:sz w:val="24"/>
          <w:szCs w:val="24"/>
        </w:rPr>
        <w:t xml:space="preserve">recto conforme al artículo 107 fracción III, inciso a) de la Ley de Amparo, procedimiento que corresponde al particular instaurar ante el órgano jurisdiccional competente, en caso de considerar que la resolución emitida  originó en su perjuicio, un agravio a su derecho de acceso a la información pública, ya no por el incumplimiento o defecto en el cumplimiento de la resolución, sino por la emisión de ésta sin observar los principios fundamentales como fue analizado.  </w:t>
      </w:r>
    </w:p>
    <w:p w:rsidR="00FC0053" w:rsidRPr="007039B3" w:rsidRDefault="00FC0053" w:rsidP="00FC0053">
      <w:pPr>
        <w:spacing w:before="240" w:after="240" w:line="360" w:lineRule="auto"/>
        <w:ind w:left="360"/>
        <w:jc w:val="both"/>
        <w:rPr>
          <w:rFonts w:ascii="Palatino Linotype" w:hAnsi="Palatino Linotype"/>
          <w:b/>
        </w:rPr>
      </w:pPr>
      <w:r w:rsidRPr="007039B3">
        <w:rPr>
          <w:rFonts w:ascii="Palatino Linotype" w:hAnsi="Palatino Linotype"/>
          <w:b/>
          <w:sz w:val="24"/>
          <w:szCs w:val="24"/>
        </w:rPr>
        <w:t>V</w:t>
      </w:r>
      <w:r w:rsidRPr="007039B3">
        <w:rPr>
          <w:rFonts w:ascii="Palatino Linotype" w:hAnsi="Palatino Linotype"/>
          <w:sz w:val="24"/>
          <w:szCs w:val="24"/>
        </w:rPr>
        <w:t>.</w:t>
      </w:r>
      <w:r w:rsidR="000F6CC7" w:rsidRPr="007039B3">
        <w:rPr>
          <w:rFonts w:ascii="Palatino Linotype" w:hAnsi="Palatino Linotype"/>
          <w:sz w:val="24"/>
          <w:szCs w:val="24"/>
        </w:rPr>
        <w:t xml:space="preserve"> </w:t>
      </w:r>
      <w:r w:rsidRPr="007039B3">
        <w:rPr>
          <w:rFonts w:ascii="Palatino Linotype" w:hAnsi="Palatino Linotype"/>
          <w:b/>
        </w:rPr>
        <w:t>Precisión de la</w:t>
      </w:r>
      <w:r w:rsidR="00D45590" w:rsidRPr="007039B3">
        <w:rPr>
          <w:rFonts w:ascii="Palatino Linotype" w:hAnsi="Palatino Linotype"/>
          <w:b/>
        </w:rPr>
        <w:t xml:space="preserve"> naturaleza jurídica de la i</w:t>
      </w:r>
      <w:r w:rsidRPr="007039B3">
        <w:rPr>
          <w:rFonts w:ascii="Palatino Linotype" w:hAnsi="Palatino Linotype"/>
          <w:b/>
        </w:rPr>
        <w:t>nformación</w:t>
      </w:r>
      <w:r w:rsidR="00D45590" w:rsidRPr="007039B3">
        <w:rPr>
          <w:rFonts w:ascii="Palatino Linotype" w:hAnsi="Palatino Linotype"/>
          <w:b/>
        </w:rPr>
        <w:t xml:space="preserve"> solicitada. </w:t>
      </w:r>
      <w:r w:rsidRPr="007039B3">
        <w:rPr>
          <w:rFonts w:ascii="Palatino Linotype" w:hAnsi="Palatino Linotype"/>
          <w:b/>
        </w:rPr>
        <w:t xml:space="preserve"> </w:t>
      </w:r>
    </w:p>
    <w:p w:rsidR="00FC0053" w:rsidRPr="007039B3" w:rsidRDefault="00A63AAB" w:rsidP="00FC0053">
      <w:pPr>
        <w:spacing w:before="240" w:after="240" w:line="360" w:lineRule="auto"/>
        <w:jc w:val="both"/>
        <w:rPr>
          <w:rFonts w:ascii="Palatino Linotype" w:hAnsi="Palatino Linotype"/>
          <w:sz w:val="24"/>
          <w:szCs w:val="24"/>
        </w:rPr>
      </w:pPr>
      <w:r w:rsidRPr="007039B3">
        <w:rPr>
          <w:rFonts w:ascii="Palatino Linotype" w:hAnsi="Palatino Linotype"/>
          <w:sz w:val="24"/>
          <w:szCs w:val="24"/>
        </w:rPr>
        <w:t>Referido lo a</w:t>
      </w:r>
      <w:r w:rsidR="00FC0053" w:rsidRPr="007039B3">
        <w:rPr>
          <w:rFonts w:ascii="Palatino Linotype" w:hAnsi="Palatino Linotype"/>
          <w:sz w:val="24"/>
          <w:szCs w:val="24"/>
        </w:rPr>
        <w:t xml:space="preserve">nterior, resulta de suma importancia para el Suscrito </w:t>
      </w:r>
      <w:r w:rsidR="00835EB9" w:rsidRPr="007039B3">
        <w:rPr>
          <w:rFonts w:ascii="Palatino Linotype" w:hAnsi="Palatino Linotype"/>
          <w:sz w:val="24"/>
          <w:szCs w:val="24"/>
        </w:rPr>
        <w:t>determinar l</w:t>
      </w:r>
      <w:r w:rsidR="00FC0053" w:rsidRPr="007039B3">
        <w:rPr>
          <w:rFonts w:ascii="Palatino Linotype" w:hAnsi="Palatino Linotype"/>
          <w:sz w:val="24"/>
          <w:szCs w:val="24"/>
        </w:rPr>
        <w:t>a naturaleza de la información solicitada, así como de la fuente obligacional que faculta al Sujeto Obligado a contar con el soporte documental donde obre lo requerido, ello atendiendo a los fines que se persiguen mediante la Constitución de Órganos Garantes de los Derechos Humanos, que ejercen su potestad estatal apegados a las directrices establecidas en el artículo 1°del Pacto Federal que obliga a todas las autoridades en el ámbito de sus competencias a promover, respetar, proteger y garantizar los derechos humanos de conformidad con los principios de universalidad, interdependencia, indivisibilidad y progresividad. </w:t>
      </w:r>
    </w:p>
    <w:p w:rsidR="007712AF" w:rsidRPr="007039B3" w:rsidRDefault="007712AF" w:rsidP="006113A8">
      <w:pPr>
        <w:spacing w:before="240" w:after="240" w:line="360" w:lineRule="auto"/>
        <w:jc w:val="both"/>
        <w:rPr>
          <w:rFonts w:ascii="Palatino Linotype" w:hAnsi="Palatino Linotype"/>
          <w:b/>
          <w:sz w:val="24"/>
          <w:szCs w:val="24"/>
        </w:rPr>
      </w:pPr>
    </w:p>
    <w:p w:rsidR="007712AF" w:rsidRPr="007039B3" w:rsidRDefault="007712AF" w:rsidP="00B71BFC">
      <w:pPr>
        <w:spacing w:after="0" w:line="360" w:lineRule="auto"/>
        <w:jc w:val="both"/>
        <w:rPr>
          <w:rFonts w:ascii="Palatino Linotype" w:hAnsi="Palatino Linotype"/>
          <w:sz w:val="24"/>
          <w:szCs w:val="24"/>
        </w:rPr>
      </w:pPr>
    </w:p>
    <w:p w:rsidR="006113A8" w:rsidRPr="007039B3" w:rsidRDefault="006113A8" w:rsidP="00B71BFC">
      <w:pPr>
        <w:spacing w:after="0" w:line="360" w:lineRule="auto"/>
        <w:jc w:val="both"/>
        <w:rPr>
          <w:rFonts w:ascii="Palatino Linotype" w:hAnsi="Palatino Linotype"/>
          <w:sz w:val="24"/>
          <w:szCs w:val="24"/>
        </w:rPr>
      </w:pPr>
    </w:p>
    <w:p w:rsidR="00B71BFC" w:rsidRPr="007039B3" w:rsidRDefault="00B71BFC" w:rsidP="00F13DA6">
      <w:pPr>
        <w:spacing w:after="0" w:line="276" w:lineRule="auto"/>
        <w:jc w:val="center"/>
        <w:rPr>
          <w:rFonts w:ascii="Palatino Linotype" w:hAnsi="Palatino Linotype"/>
          <w:b/>
          <w:sz w:val="28"/>
          <w:szCs w:val="28"/>
        </w:rPr>
      </w:pPr>
      <w:r w:rsidRPr="007039B3">
        <w:rPr>
          <w:rFonts w:ascii="Palatino Linotype" w:hAnsi="Palatino Linotype"/>
          <w:b/>
          <w:sz w:val="28"/>
          <w:szCs w:val="28"/>
        </w:rPr>
        <w:t xml:space="preserve">Javier Martínez Cruz               </w:t>
      </w:r>
    </w:p>
    <w:p w:rsidR="00BD3823" w:rsidRPr="007039B3" w:rsidRDefault="00B71BFC" w:rsidP="00F13DA6">
      <w:pPr>
        <w:spacing w:after="0" w:line="276" w:lineRule="auto"/>
        <w:jc w:val="center"/>
        <w:rPr>
          <w:rFonts w:ascii="Palatino Linotype" w:hAnsi="Palatino Linotype"/>
          <w:b/>
          <w:sz w:val="24"/>
          <w:szCs w:val="24"/>
        </w:rPr>
      </w:pPr>
      <w:r w:rsidRPr="007039B3">
        <w:rPr>
          <w:rFonts w:ascii="Palatino Linotype" w:hAnsi="Palatino Linotype"/>
          <w:b/>
          <w:sz w:val="24"/>
          <w:szCs w:val="24"/>
        </w:rPr>
        <w:t xml:space="preserve">Comisionado     </w:t>
      </w:r>
    </w:p>
    <w:p w:rsidR="002E6368" w:rsidRPr="006113A8" w:rsidRDefault="00BD3823" w:rsidP="006113A8">
      <w:pPr>
        <w:spacing w:after="0" w:line="276" w:lineRule="auto"/>
        <w:jc w:val="center"/>
        <w:rPr>
          <w:rFonts w:ascii="Palatino Linotype" w:hAnsi="Palatino Linotype"/>
          <w:b/>
          <w:sz w:val="24"/>
          <w:szCs w:val="24"/>
        </w:rPr>
      </w:pPr>
      <w:r w:rsidRPr="007039B3">
        <w:rPr>
          <w:rFonts w:ascii="Palatino Linotype" w:hAnsi="Palatino Linotype"/>
          <w:b/>
          <w:sz w:val="24"/>
          <w:szCs w:val="24"/>
        </w:rPr>
        <w:t>(Rúbrica)</w:t>
      </w:r>
      <w:r w:rsidR="00B71BFC" w:rsidRPr="00C2534B">
        <w:rPr>
          <w:rFonts w:ascii="Palatino Linotype" w:hAnsi="Palatino Linotype"/>
          <w:b/>
          <w:sz w:val="24"/>
          <w:szCs w:val="24"/>
        </w:rPr>
        <w:t xml:space="preserve">                       </w:t>
      </w:r>
    </w:p>
    <w:sectPr w:rsidR="002E6368" w:rsidRPr="006113A8" w:rsidSect="007F0307">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AE6" w:rsidRDefault="00204AE6" w:rsidP="00907451">
      <w:pPr>
        <w:spacing w:after="0" w:line="240" w:lineRule="auto"/>
      </w:pPr>
      <w:r>
        <w:separator/>
      </w:r>
    </w:p>
  </w:endnote>
  <w:endnote w:type="continuationSeparator" w:id="0">
    <w:p w:rsidR="00204AE6" w:rsidRDefault="00204AE6"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F6678">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F6678">
      <w:rPr>
        <w:rFonts w:ascii="Arial" w:hAnsi="Arial" w:cs="Arial"/>
        <w:b/>
        <w:bCs/>
        <w:noProof/>
        <w:sz w:val="20"/>
        <w:szCs w:val="20"/>
      </w:rPr>
      <w:t>23</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AE6" w:rsidRDefault="00204AE6" w:rsidP="00907451">
      <w:pPr>
        <w:spacing w:after="0" w:line="240" w:lineRule="auto"/>
      </w:pPr>
      <w:r>
        <w:separator/>
      </w:r>
    </w:p>
  </w:footnote>
  <w:footnote w:type="continuationSeparator" w:id="0">
    <w:p w:rsidR="00204AE6" w:rsidRDefault="00204AE6" w:rsidP="00907451">
      <w:pPr>
        <w:spacing w:after="0" w:line="240" w:lineRule="auto"/>
      </w:pPr>
      <w:r>
        <w:continuationSeparator/>
      </w:r>
    </w:p>
  </w:footnote>
  <w:footnote w:id="1">
    <w:p w:rsidR="00395DB1" w:rsidRDefault="00395DB1" w:rsidP="00395DB1">
      <w:pPr>
        <w:pStyle w:val="Textonotapie"/>
      </w:pPr>
      <w:r>
        <w:rPr>
          <w:rStyle w:val="Refdenotaalpie"/>
        </w:rPr>
        <w:footnoteRef/>
      </w:r>
      <w:r>
        <w:t xml:space="preserve"> </w:t>
      </w:r>
      <w:r w:rsidRPr="00395DB1">
        <w:t>Expresión de Huber, en el marco del derecho alemán, en el cual considera que la discrecionalidad administrativa es “Caballo de Troya del derecho administrativo del Estado de Derecho”</w:t>
      </w:r>
    </w:p>
  </w:footnote>
  <w:footnote w:id="2">
    <w:p w:rsidR="00CD5A1A" w:rsidRDefault="00CD5A1A" w:rsidP="00CD5A1A">
      <w:pPr>
        <w:pStyle w:val="Textonotapie"/>
        <w:jc w:val="both"/>
      </w:pPr>
      <w:r>
        <w:rPr>
          <w:rStyle w:val="Refdenotaalpie"/>
        </w:rPr>
        <w:footnoteRef/>
      </w:r>
      <w:r>
        <w:t xml:space="preserve"> Comisión Interamericana de Derechos Humanos. “</w:t>
      </w:r>
      <w:r w:rsidRPr="00C614BC">
        <w:rPr>
          <w:i/>
        </w:rPr>
        <w:t>EL ACCESO A LA JUSTICIA COMO GARANTÍA DE LOS DERECHOS ECONÓMICOS, SOCIALES Y CULTURALES.  ESTUDIO DE LOS ESTÁNDARES FIJADOS POR EL SISTEMA INTERAMERICANO DE DERECHOS HUMANOS”</w:t>
      </w:r>
    </w:p>
  </w:footnote>
  <w:footnote w:id="3">
    <w:p w:rsidR="00433A7F" w:rsidRDefault="00433A7F" w:rsidP="00433A7F">
      <w:pPr>
        <w:pStyle w:val="Textonotapie"/>
        <w:jc w:val="both"/>
      </w:pPr>
      <w:r>
        <w:rPr>
          <w:rStyle w:val="Refdenotaalpie"/>
        </w:rPr>
        <w:footnoteRef/>
      </w:r>
      <w:r>
        <w:t xml:space="preserve"> </w:t>
      </w:r>
      <w:r w:rsidRPr="00D51FEB">
        <w:t>Artículo 9. El Instituto deberá regir su funcionamiento de acue</w:t>
      </w:r>
      <w:r>
        <w:t>rdo a los siguientes principios:</w:t>
      </w:r>
    </w:p>
    <w:p w:rsidR="00433A7F" w:rsidRDefault="00433A7F" w:rsidP="00433A7F">
      <w:pPr>
        <w:pStyle w:val="Textonotapie"/>
        <w:jc w:val="both"/>
      </w:pPr>
    </w:p>
    <w:p w:rsidR="00433A7F" w:rsidRDefault="00433A7F" w:rsidP="00433A7F">
      <w:pPr>
        <w:pStyle w:val="Textonotapie"/>
        <w:jc w:val="both"/>
      </w:pPr>
      <w:r>
        <w:t xml:space="preserve">I. Certeza: Principio que otorga seguridad y certidumbre jurídica a los particulares, en virtud de que permite conocer si las acciones del Instituto son apegadas a derecho y garantiza que los procedimientos sean completamente verificables, fidedignos y confiables; </w:t>
      </w:r>
    </w:p>
    <w:p w:rsidR="00433A7F" w:rsidRDefault="00433A7F" w:rsidP="00433A7F">
      <w:pPr>
        <w:pStyle w:val="Textonotapie"/>
        <w:jc w:val="both"/>
      </w:pPr>
      <w:r>
        <w:t>...</w:t>
      </w:r>
    </w:p>
    <w:p w:rsidR="00433A7F" w:rsidRDefault="00433A7F" w:rsidP="00433A7F">
      <w:pPr>
        <w:pStyle w:val="Textonotapie"/>
        <w:jc w:val="both"/>
      </w:pPr>
      <w:r>
        <w:t xml:space="preserve">VIII. Objetividad: Obligación del Instituto de ajustar su actuación a los presupuestos de ley que deben ser aplicados al analizar el caso en concreto y resolver todos los hechos, prescindiendo de las consideraciones y criterios personales; </w:t>
      </w:r>
    </w:p>
  </w:footnote>
  <w:footnote w:id="4">
    <w:p w:rsidR="006947B4" w:rsidRPr="00077E2E" w:rsidRDefault="006947B4" w:rsidP="006947B4">
      <w:pPr>
        <w:pStyle w:val="Textonotapie"/>
        <w:jc w:val="both"/>
        <w:rPr>
          <w:rFonts w:ascii="Palatino Linotype" w:hAnsi="Palatino Linotype"/>
          <w:i/>
          <w:sz w:val="16"/>
        </w:rPr>
      </w:pPr>
      <w:r>
        <w:rPr>
          <w:rStyle w:val="Refdenotaalpie"/>
        </w:rPr>
        <w:footnoteRef/>
      </w:r>
      <w:r>
        <w:t xml:space="preserve"> </w:t>
      </w:r>
      <w:r w:rsidRPr="00077E2E">
        <w:rPr>
          <w:rFonts w:ascii="Palatino Linotype" w:hAnsi="Palatino Linotype"/>
          <w:i/>
          <w:sz w:val="16"/>
        </w:rPr>
        <w:t>“</w:t>
      </w:r>
      <w:r w:rsidRPr="00077E2E">
        <w:rPr>
          <w:rFonts w:ascii="Palatino Linotype" w:hAnsi="Palatino Linotype"/>
          <w:b/>
          <w:i/>
          <w:sz w:val="16"/>
        </w:rPr>
        <w:t>Artículo 26.</w:t>
      </w:r>
      <w:r w:rsidRPr="00077E2E">
        <w:rPr>
          <w:rFonts w:ascii="Palatino Linotype" w:hAnsi="Palatino Linotype"/>
          <w:i/>
          <w:sz w:val="16"/>
        </w:rPr>
        <w:t xml:space="preserve"> </w:t>
      </w:r>
      <w:r w:rsidRPr="00077E2E">
        <w:rPr>
          <w:rFonts w:ascii="Palatino Linotype" w:hAnsi="Palatino Linotype"/>
          <w:b/>
          <w:i/>
          <w:sz w:val="16"/>
          <w:u w:val="single"/>
        </w:rPr>
        <w:t>La Contraloría Interna y Órgano de Control y Vigilancia ejercerá las atribuciones siguientes</w:t>
      </w:r>
      <w:r w:rsidRPr="00077E2E">
        <w:rPr>
          <w:rFonts w:ascii="Palatino Linotype" w:hAnsi="Palatino Linotype"/>
          <w:i/>
          <w:sz w:val="16"/>
        </w:rPr>
        <w:t xml:space="preserve"> y se auxiliará de conformidad con la estructura de una autoridad investigadora, y una substanciadora y resolutora:</w:t>
      </w:r>
    </w:p>
    <w:p w:rsidR="006947B4" w:rsidRPr="00077E2E" w:rsidRDefault="006947B4" w:rsidP="006947B4">
      <w:pPr>
        <w:pStyle w:val="Textonotapie"/>
        <w:jc w:val="both"/>
        <w:rPr>
          <w:rFonts w:ascii="Palatino Linotype" w:hAnsi="Palatino Linotype"/>
          <w:i/>
          <w:sz w:val="16"/>
        </w:rPr>
      </w:pPr>
      <w:r w:rsidRPr="00077E2E">
        <w:rPr>
          <w:rFonts w:ascii="Palatino Linotype" w:hAnsi="Palatino Linotype"/>
          <w:i/>
          <w:sz w:val="16"/>
        </w:rPr>
        <w:t>…</w:t>
      </w:r>
    </w:p>
    <w:p w:rsidR="006947B4" w:rsidRPr="00077E2E" w:rsidRDefault="006947B4" w:rsidP="006947B4">
      <w:pPr>
        <w:pStyle w:val="Textonotapie"/>
        <w:jc w:val="both"/>
        <w:rPr>
          <w:rFonts w:ascii="Palatino Linotype" w:hAnsi="Palatino Linotype"/>
          <w:i/>
          <w:sz w:val="16"/>
        </w:rPr>
      </w:pPr>
      <w:r w:rsidRPr="00077E2E">
        <w:rPr>
          <w:rFonts w:ascii="Palatino Linotype" w:hAnsi="Palatino Linotype"/>
          <w:b/>
          <w:i/>
          <w:sz w:val="16"/>
        </w:rPr>
        <w:t>XXVI.</w:t>
      </w:r>
      <w:r w:rsidRPr="00077E2E">
        <w:rPr>
          <w:rFonts w:ascii="Palatino Linotype" w:hAnsi="Palatino Linotype"/>
          <w:i/>
          <w:sz w:val="16"/>
        </w:rPr>
        <w:t xml:space="preserve"> Vigilar el cumplimiento que los Sujetos Obligados deben observar en la atención de las resoluciones de los recursos de revisión;</w:t>
      </w:r>
    </w:p>
    <w:p w:rsidR="006947B4" w:rsidRPr="00077E2E" w:rsidRDefault="006947B4" w:rsidP="006947B4">
      <w:pPr>
        <w:pStyle w:val="Textonotapie"/>
        <w:jc w:val="both"/>
        <w:rPr>
          <w:rFonts w:ascii="Palatino Linotype" w:hAnsi="Palatino Linotype"/>
          <w:i/>
          <w:sz w:val="16"/>
        </w:rPr>
      </w:pPr>
      <w:r w:rsidRPr="00077E2E">
        <w:rPr>
          <w:rFonts w:ascii="Palatino Linotype" w:hAnsi="Palatino Linotype"/>
          <w:b/>
          <w:i/>
          <w:sz w:val="16"/>
        </w:rPr>
        <w:t>XXVII.</w:t>
      </w:r>
      <w:r w:rsidRPr="00077E2E">
        <w:rPr>
          <w:rFonts w:ascii="Palatino Linotype" w:hAnsi="Palatino Linotype"/>
          <w:i/>
          <w:sz w:val="16"/>
        </w:rPr>
        <w:t xml:space="preserve"> Recibir, tramitar, investigar y resolver el incumplimiento a las resoluciones que emita el Pleno e informar a éste de los resultados;</w:t>
      </w:r>
    </w:p>
    <w:p w:rsidR="006947B4" w:rsidRDefault="006947B4" w:rsidP="006947B4">
      <w:pPr>
        <w:pStyle w:val="Textonotapie"/>
        <w:jc w:val="both"/>
      </w:pPr>
      <w:r w:rsidRPr="00077E2E">
        <w:rPr>
          <w:rFonts w:ascii="Palatino Linotype" w:hAnsi="Palatino Linotype"/>
          <w:b/>
          <w:i/>
          <w:sz w:val="16"/>
        </w:rPr>
        <w:t>XXVIII.</w:t>
      </w:r>
      <w:r w:rsidRPr="00077E2E">
        <w:rPr>
          <w:rFonts w:ascii="Palatino Linotype" w:hAnsi="Palatino Linotype"/>
          <w:i/>
          <w:sz w:val="16"/>
        </w:rPr>
        <w:t xml:space="preserve"> Solicitar y, en su caso, apercibir a los integrantes de los Sujetos Obligados el cumplimiento de las resoluciones del Pleno, así como cualquier requerimiento del Instituto y, en su caso, determinar, imponer y promover la ejecución de las medidas de apremio de conformidad con la normatividad aplicable;.”</w:t>
      </w:r>
    </w:p>
  </w:footnote>
  <w:footnote w:id="5">
    <w:p w:rsidR="006947B4" w:rsidRDefault="006947B4" w:rsidP="006947B4">
      <w:pPr>
        <w:pStyle w:val="Textonotapie"/>
        <w:jc w:val="both"/>
        <w:rPr>
          <w:rFonts w:ascii="Palatino Linotype" w:hAnsi="Palatino Linotype"/>
          <w:i/>
          <w:sz w:val="16"/>
        </w:rPr>
      </w:pPr>
      <w:r>
        <w:rPr>
          <w:rStyle w:val="Refdenotaalpie"/>
        </w:rPr>
        <w:footnoteRef/>
      </w:r>
      <w:r>
        <w:t xml:space="preserve"> </w:t>
      </w:r>
      <w:r w:rsidRPr="00077E2E">
        <w:rPr>
          <w:rFonts w:ascii="Palatino Linotype" w:hAnsi="Palatino Linotype"/>
          <w:i/>
          <w:sz w:val="16"/>
        </w:rPr>
        <w:t>“</w:t>
      </w:r>
      <w:r w:rsidRPr="00077E2E">
        <w:rPr>
          <w:rFonts w:ascii="Palatino Linotype" w:hAnsi="Palatino Linotype"/>
          <w:b/>
          <w:i/>
          <w:sz w:val="16"/>
        </w:rPr>
        <w:t>Artículo 2</w:t>
      </w:r>
      <w:r>
        <w:rPr>
          <w:rFonts w:ascii="Palatino Linotype" w:hAnsi="Palatino Linotype"/>
          <w:b/>
          <w:i/>
          <w:sz w:val="16"/>
        </w:rPr>
        <w:t>14</w:t>
      </w:r>
      <w:r w:rsidRPr="00077E2E">
        <w:rPr>
          <w:rFonts w:ascii="Palatino Linotype" w:hAnsi="Palatino Linotype"/>
          <w:b/>
          <w:i/>
          <w:sz w:val="16"/>
        </w:rPr>
        <w:t>.</w:t>
      </w:r>
      <w:r w:rsidRPr="00F55FFC">
        <w:rPr>
          <w:sz w:val="22"/>
          <w:szCs w:val="22"/>
        </w:rPr>
        <w:t xml:space="preserve"> </w:t>
      </w:r>
      <w:r w:rsidRPr="00F55FFC">
        <w:rPr>
          <w:rFonts w:ascii="Palatino Linotype" w:hAnsi="Palatino Linotype"/>
          <w:i/>
          <w:sz w:val="16"/>
        </w:rPr>
        <w:t>El Instituto podrá imponer al servidor público encargado de cumplir con la resolución, o a los miembros de los sindicatos, partidos políticos o a la persona física o jurídico colectiva responsable, las siguientes medidas de apremio para asegurar el cumpl</w:t>
      </w:r>
      <w:r>
        <w:rPr>
          <w:rFonts w:ascii="Palatino Linotype" w:hAnsi="Palatino Linotype"/>
          <w:i/>
          <w:sz w:val="16"/>
        </w:rPr>
        <w:t>imiento, de sus determinaciones:</w:t>
      </w:r>
    </w:p>
    <w:p w:rsidR="006947B4" w:rsidRDefault="006947B4" w:rsidP="006947B4">
      <w:pPr>
        <w:pStyle w:val="Textonotapie"/>
        <w:jc w:val="both"/>
        <w:rPr>
          <w:rFonts w:ascii="Palatino Linotype" w:hAnsi="Palatino Linotype"/>
          <w:i/>
          <w:sz w:val="16"/>
        </w:rPr>
      </w:pPr>
      <w:r w:rsidRPr="00F55FFC">
        <w:rPr>
          <w:rFonts w:ascii="Palatino Linotype" w:hAnsi="Palatino Linotype"/>
          <w:b/>
          <w:i/>
          <w:sz w:val="16"/>
        </w:rPr>
        <w:t>I.</w:t>
      </w:r>
      <w:r w:rsidRPr="00F55FFC">
        <w:rPr>
          <w:rFonts w:ascii="Palatino Linotype" w:hAnsi="Palatino Linotype"/>
          <w:i/>
          <w:sz w:val="16"/>
        </w:rPr>
        <w:t xml:space="preserve"> Aperci</w:t>
      </w:r>
      <w:r>
        <w:rPr>
          <w:rFonts w:ascii="Palatino Linotype" w:hAnsi="Palatino Linotype"/>
          <w:i/>
          <w:sz w:val="16"/>
        </w:rPr>
        <w:t>bimiento;</w:t>
      </w:r>
    </w:p>
    <w:p w:rsidR="006947B4" w:rsidRDefault="006947B4" w:rsidP="006947B4">
      <w:pPr>
        <w:pStyle w:val="Textonotapie"/>
        <w:jc w:val="both"/>
        <w:rPr>
          <w:rFonts w:ascii="Palatino Linotype" w:hAnsi="Palatino Linotype"/>
          <w:i/>
          <w:sz w:val="16"/>
        </w:rPr>
      </w:pPr>
      <w:r w:rsidRPr="00F55FFC">
        <w:rPr>
          <w:rFonts w:ascii="Palatino Linotype" w:hAnsi="Palatino Linotype"/>
          <w:b/>
          <w:i/>
          <w:sz w:val="16"/>
        </w:rPr>
        <w:t>II.</w:t>
      </w:r>
      <w:r>
        <w:rPr>
          <w:rFonts w:ascii="Palatino Linotype" w:hAnsi="Palatino Linotype"/>
          <w:i/>
          <w:sz w:val="16"/>
        </w:rPr>
        <w:t xml:space="preserve"> Amonestación pública; y</w:t>
      </w:r>
    </w:p>
    <w:p w:rsidR="006947B4" w:rsidRDefault="006947B4" w:rsidP="006947B4">
      <w:pPr>
        <w:pStyle w:val="Textonotapie"/>
        <w:jc w:val="both"/>
        <w:rPr>
          <w:rFonts w:ascii="Palatino Linotype" w:hAnsi="Palatino Linotype"/>
          <w:i/>
          <w:sz w:val="16"/>
        </w:rPr>
      </w:pPr>
      <w:r w:rsidRPr="00F55FFC">
        <w:rPr>
          <w:rFonts w:ascii="Palatino Linotype" w:hAnsi="Palatino Linotype"/>
          <w:b/>
          <w:i/>
          <w:sz w:val="16"/>
        </w:rPr>
        <w:t>III.</w:t>
      </w:r>
      <w:r w:rsidRPr="00F55FFC">
        <w:rPr>
          <w:rFonts w:ascii="Palatino Linotype" w:hAnsi="Palatino Linotype"/>
          <w:i/>
          <w:sz w:val="16"/>
        </w:rPr>
        <w:t xml:space="preserve"> Multa, de ciento cincuenta has</w:t>
      </w:r>
      <w:r>
        <w:rPr>
          <w:rFonts w:ascii="Palatino Linotype" w:hAnsi="Palatino Linotype"/>
          <w:i/>
          <w:sz w:val="16"/>
        </w:rPr>
        <w:t>ta mil quinientas veces la UMA.</w:t>
      </w:r>
    </w:p>
    <w:p w:rsidR="006947B4" w:rsidRPr="00F55FFC" w:rsidRDefault="006947B4" w:rsidP="006947B4">
      <w:pPr>
        <w:pStyle w:val="Textonotapie"/>
        <w:jc w:val="both"/>
        <w:rPr>
          <w:rFonts w:ascii="Palatino Linotype" w:hAnsi="Palatino Linotype"/>
          <w:i/>
          <w:sz w:val="16"/>
        </w:rPr>
      </w:pPr>
      <w:r w:rsidRPr="00F55FFC">
        <w:rPr>
          <w:rFonts w:ascii="Palatino Linotype" w:hAnsi="Palatino Linotype"/>
          <w:i/>
          <w:sz w:val="16"/>
        </w:rPr>
        <w:t>La multa mínima se impondrá cuando la conducta sea por primera vez y ésta se incrementará en un tanto por cada reincidencia, hasta llegar al límite sup</w:t>
      </w:r>
      <w:r>
        <w:rPr>
          <w:rFonts w:ascii="Palatino Linotype" w:hAnsi="Palatino Linotype"/>
          <w:i/>
          <w:sz w:val="16"/>
        </w:rPr>
        <w:t>erior</w:t>
      </w:r>
      <w:r w:rsidRPr="00077E2E">
        <w:rPr>
          <w:rFonts w:ascii="Palatino Linotype" w:hAnsi="Palatino Linotype"/>
          <w:i/>
          <w:sz w:val="16"/>
        </w:rPr>
        <w:t>.”</w:t>
      </w:r>
    </w:p>
  </w:footnote>
  <w:footnote w:id="6">
    <w:p w:rsidR="006947B4" w:rsidRDefault="006947B4" w:rsidP="006947B4">
      <w:pPr>
        <w:pStyle w:val="Textonotapie"/>
        <w:jc w:val="both"/>
        <w:rPr>
          <w:rFonts w:ascii="Palatino Linotype" w:hAnsi="Palatino Linotype"/>
          <w:i/>
          <w:sz w:val="16"/>
        </w:rPr>
      </w:pPr>
      <w:r>
        <w:rPr>
          <w:rStyle w:val="Refdenotaalpie"/>
        </w:rPr>
        <w:footnoteRef/>
      </w:r>
      <w:r>
        <w:t xml:space="preserve"> </w:t>
      </w:r>
      <w:r w:rsidRPr="00077E2E">
        <w:rPr>
          <w:rFonts w:ascii="Palatino Linotype" w:hAnsi="Palatino Linotype"/>
          <w:i/>
          <w:sz w:val="16"/>
        </w:rPr>
        <w:t>“</w:t>
      </w:r>
      <w:r w:rsidRPr="00077E2E">
        <w:rPr>
          <w:rFonts w:ascii="Palatino Linotype" w:hAnsi="Palatino Linotype"/>
          <w:b/>
          <w:i/>
          <w:sz w:val="16"/>
        </w:rPr>
        <w:t>Artículo 2</w:t>
      </w:r>
      <w:r>
        <w:rPr>
          <w:rFonts w:ascii="Palatino Linotype" w:hAnsi="Palatino Linotype"/>
          <w:b/>
          <w:i/>
          <w:sz w:val="16"/>
        </w:rPr>
        <w:t>22</w:t>
      </w:r>
      <w:r w:rsidRPr="00077E2E">
        <w:rPr>
          <w:rFonts w:ascii="Palatino Linotype" w:hAnsi="Palatino Linotype"/>
          <w:b/>
          <w:i/>
          <w:sz w:val="16"/>
        </w:rPr>
        <w:t>.</w:t>
      </w:r>
      <w:r w:rsidRPr="00F55FFC">
        <w:rPr>
          <w:sz w:val="22"/>
          <w:szCs w:val="22"/>
        </w:rPr>
        <w:t xml:space="preserve"> </w:t>
      </w:r>
      <w:r w:rsidRPr="00F55FFC">
        <w:rPr>
          <w:rFonts w:ascii="Palatino Linotype" w:hAnsi="Palatino Linotype"/>
          <w:i/>
          <w:sz w:val="16"/>
        </w:rPr>
        <w:t>Son causas de responsabilidad administrativa de los servidores públicos de los sujetos obligados, por incumplimiento de las obligaciones establecidas en la materia de la presente Ley, las siguientes:</w:t>
      </w:r>
    </w:p>
    <w:p w:rsidR="006947B4" w:rsidRDefault="006947B4" w:rsidP="006947B4">
      <w:pPr>
        <w:pStyle w:val="Textonotapie"/>
        <w:jc w:val="both"/>
        <w:rPr>
          <w:rFonts w:ascii="Palatino Linotype" w:hAnsi="Palatino Linotype"/>
          <w:b/>
          <w:i/>
          <w:sz w:val="16"/>
        </w:rPr>
      </w:pPr>
      <w:r>
        <w:rPr>
          <w:rFonts w:ascii="Palatino Linotype" w:hAnsi="Palatino Linotype"/>
          <w:b/>
          <w:i/>
          <w:sz w:val="16"/>
        </w:rPr>
        <w:t>…</w:t>
      </w:r>
    </w:p>
    <w:p w:rsidR="006947B4" w:rsidRDefault="006947B4" w:rsidP="006947B4">
      <w:pPr>
        <w:pStyle w:val="Textonotapie"/>
        <w:jc w:val="both"/>
        <w:rPr>
          <w:rFonts w:ascii="Palatino Linotype" w:hAnsi="Palatino Linotype"/>
          <w:b/>
          <w:i/>
          <w:sz w:val="16"/>
        </w:rPr>
      </w:pPr>
      <w:r w:rsidRPr="00F55FFC">
        <w:rPr>
          <w:rFonts w:ascii="Palatino Linotype" w:hAnsi="Palatino Linotype"/>
          <w:b/>
          <w:i/>
          <w:sz w:val="16"/>
        </w:rPr>
        <w:t xml:space="preserve">XIX. </w:t>
      </w:r>
      <w:r w:rsidRPr="00F55FFC">
        <w:rPr>
          <w:rFonts w:ascii="Palatino Linotype" w:hAnsi="Palatino Linotype"/>
          <w:i/>
          <w:sz w:val="16"/>
        </w:rPr>
        <w:t>No atender los requerimientos establecidos en la presente Ley, emitidos por el Instituto;</w:t>
      </w:r>
    </w:p>
    <w:p w:rsidR="006947B4" w:rsidRDefault="006947B4" w:rsidP="006947B4">
      <w:pPr>
        <w:pStyle w:val="Textonotapie"/>
        <w:jc w:val="both"/>
        <w:rPr>
          <w:rFonts w:ascii="Palatino Linotype" w:hAnsi="Palatino Linotype"/>
          <w:b/>
          <w:i/>
          <w:sz w:val="16"/>
        </w:rPr>
      </w:pPr>
      <w:r w:rsidRPr="00F55FFC">
        <w:rPr>
          <w:rFonts w:ascii="Palatino Linotype" w:hAnsi="Palatino Linotype"/>
          <w:b/>
          <w:i/>
          <w:sz w:val="16"/>
        </w:rPr>
        <w:t xml:space="preserve">XX. </w:t>
      </w:r>
      <w:r w:rsidRPr="00F55FFC">
        <w:rPr>
          <w:rFonts w:ascii="Palatino Linotype" w:hAnsi="Palatino Linotype"/>
          <w:i/>
          <w:sz w:val="16"/>
        </w:rPr>
        <w:t>No acatar las resoluciones emitidas por el Instituto, en ejercicio de sus funciones; y</w:t>
      </w:r>
    </w:p>
    <w:p w:rsidR="006947B4" w:rsidRPr="00F55FFC" w:rsidRDefault="006947B4" w:rsidP="006947B4">
      <w:pPr>
        <w:pStyle w:val="Textonotapie"/>
        <w:jc w:val="both"/>
        <w:rPr>
          <w:rFonts w:ascii="Palatino Linotype" w:hAnsi="Palatino Linotype"/>
          <w:i/>
          <w:sz w:val="16"/>
        </w:rPr>
      </w:pPr>
      <w:r w:rsidRPr="00077E2E">
        <w:rPr>
          <w:rFonts w:ascii="Palatino Linotype" w:hAnsi="Palatino Linotype"/>
          <w:i/>
          <w:sz w:val="16"/>
        </w:rPr>
        <w:t>.”</w:t>
      </w:r>
    </w:p>
  </w:footnote>
  <w:footnote w:id="7">
    <w:p w:rsidR="006947B4" w:rsidRPr="00CC2A00" w:rsidRDefault="006947B4" w:rsidP="006947B4">
      <w:pPr>
        <w:pStyle w:val="Textonotapie"/>
        <w:jc w:val="both"/>
        <w:rPr>
          <w:rFonts w:ascii="Palatino Linotype" w:hAnsi="Palatino Linotype"/>
          <w:sz w:val="16"/>
        </w:rPr>
      </w:pPr>
      <w:r>
        <w:rPr>
          <w:rStyle w:val="Refdenotaalpie"/>
        </w:rPr>
        <w:footnoteRef/>
      </w:r>
      <w:r>
        <w:t xml:space="preserve"> </w:t>
      </w:r>
      <w:r w:rsidRPr="00CC2A00">
        <w:rPr>
          <w:rFonts w:ascii="Palatino Linotype" w:hAnsi="Palatino Linotype"/>
          <w:sz w:val="16"/>
        </w:rPr>
        <w:t xml:space="preserve">“Artículo 186. Las resoluciones del Instituto podrán: </w:t>
      </w:r>
    </w:p>
    <w:p w:rsidR="006947B4" w:rsidRPr="00CC2A00" w:rsidRDefault="006947B4" w:rsidP="006947B4">
      <w:pPr>
        <w:pStyle w:val="Textonotapie"/>
        <w:jc w:val="both"/>
        <w:rPr>
          <w:rFonts w:ascii="Palatino Linotype" w:hAnsi="Palatino Linotype"/>
          <w:sz w:val="16"/>
        </w:rPr>
      </w:pPr>
      <w:r w:rsidRPr="00CC2A00">
        <w:rPr>
          <w:rFonts w:ascii="Palatino Linotype" w:hAnsi="Palatino Linotype"/>
          <w:sz w:val="16"/>
        </w:rPr>
        <w:t xml:space="preserve">I. Desechar o sobreseer el recurso; </w:t>
      </w:r>
    </w:p>
    <w:p w:rsidR="006947B4" w:rsidRPr="00CC2A00" w:rsidRDefault="006947B4" w:rsidP="006947B4">
      <w:pPr>
        <w:pStyle w:val="Textonotapie"/>
        <w:jc w:val="both"/>
        <w:rPr>
          <w:rFonts w:ascii="Palatino Linotype" w:hAnsi="Palatino Linotype"/>
          <w:sz w:val="16"/>
        </w:rPr>
      </w:pPr>
      <w:r w:rsidRPr="00CC2A00">
        <w:rPr>
          <w:rFonts w:ascii="Palatino Linotype" w:hAnsi="Palatino Linotype"/>
          <w:sz w:val="16"/>
        </w:rPr>
        <w:t xml:space="preserve">II. Confirmar la respuesta del sujeto obligado; </w:t>
      </w:r>
    </w:p>
    <w:p w:rsidR="006947B4" w:rsidRPr="00CC2A00" w:rsidRDefault="006947B4" w:rsidP="006947B4">
      <w:pPr>
        <w:pStyle w:val="Textonotapie"/>
        <w:jc w:val="both"/>
        <w:rPr>
          <w:rFonts w:ascii="Palatino Linotype" w:hAnsi="Palatino Linotype"/>
          <w:sz w:val="16"/>
        </w:rPr>
      </w:pPr>
      <w:r w:rsidRPr="00CC2A00">
        <w:rPr>
          <w:rFonts w:ascii="Palatino Linotype" w:hAnsi="Palatino Linotype"/>
          <w:sz w:val="16"/>
        </w:rPr>
        <w:t xml:space="preserve">III. Revocar o modificar la respuesta del sujeto obligado; y </w:t>
      </w:r>
    </w:p>
    <w:p w:rsidR="006947B4" w:rsidRDefault="006947B4" w:rsidP="006947B4">
      <w:pPr>
        <w:pStyle w:val="Textonotapie"/>
        <w:jc w:val="both"/>
      </w:pPr>
      <w:r w:rsidRPr="00CC2A00">
        <w:rPr>
          <w:rFonts w:ascii="Palatino Linotype" w:hAnsi="Palatino Linotype"/>
          <w:sz w:val="16"/>
        </w:rPr>
        <w:t>IV. Ordenar la entrega de la información.”</w:t>
      </w:r>
    </w:p>
  </w:footnote>
  <w:footnote w:id="8">
    <w:p w:rsidR="000F6CC7" w:rsidRPr="00660478" w:rsidRDefault="000F6CC7" w:rsidP="000F6CC7">
      <w:pPr>
        <w:pStyle w:val="Textonotapie"/>
        <w:contextualSpacing/>
        <w:rPr>
          <w:rFonts w:ascii="Palatino Linotype" w:hAnsi="Palatino Linotype"/>
          <w:i/>
        </w:rPr>
      </w:pPr>
      <w:r w:rsidRPr="00660478">
        <w:rPr>
          <w:rStyle w:val="Refdenotaalpie"/>
          <w:rFonts w:ascii="Palatino Linotype" w:hAnsi="Palatino Linotype"/>
          <w:i/>
        </w:rPr>
        <w:footnoteRef/>
      </w:r>
      <w:r w:rsidRPr="00660478">
        <w:rPr>
          <w:rFonts w:ascii="Palatino Linotype" w:hAnsi="Palatino Linotype"/>
          <w:i/>
        </w:rPr>
        <w:t xml:space="preserve"> </w:t>
      </w:r>
      <w:r>
        <w:rPr>
          <w:rFonts w:ascii="Palatino Linotype" w:hAnsi="Palatino Linotype"/>
          <w:i/>
        </w:rPr>
        <w:t>“</w:t>
      </w:r>
      <w:r w:rsidRPr="00660478">
        <w:rPr>
          <w:rFonts w:ascii="Palatino Linotype" w:hAnsi="Palatino Linotype"/>
          <w:b/>
          <w:i/>
        </w:rPr>
        <w:t>Artículo 9</w:t>
      </w:r>
      <w:r w:rsidRPr="00660478">
        <w:rPr>
          <w:rFonts w:ascii="Palatino Linotype" w:hAnsi="Palatino Linotype"/>
          <w:i/>
        </w:rPr>
        <w:t xml:space="preserve">. El Instituto deberá regir su funcionamiento de acuerdo a los siguientes principios: </w:t>
      </w:r>
    </w:p>
    <w:p w:rsidR="000F6CC7" w:rsidRPr="00660478" w:rsidRDefault="000F6CC7" w:rsidP="000F6CC7">
      <w:pPr>
        <w:pStyle w:val="Textonotapie"/>
        <w:contextualSpacing/>
        <w:rPr>
          <w:rFonts w:ascii="Palatino Linotype" w:hAnsi="Palatino Linotype"/>
          <w:i/>
        </w:rPr>
      </w:pPr>
      <w:r w:rsidRPr="00660478">
        <w:rPr>
          <w:rFonts w:ascii="Palatino Linotype" w:hAnsi="Palatino Linotype"/>
          <w:i/>
        </w:rPr>
        <w:t xml:space="preserve"> </w:t>
      </w:r>
    </w:p>
    <w:p w:rsidR="000F6CC7" w:rsidRDefault="000F6CC7" w:rsidP="000F6CC7">
      <w:pPr>
        <w:pStyle w:val="Textonotapie"/>
        <w:numPr>
          <w:ilvl w:val="0"/>
          <w:numId w:val="9"/>
        </w:numPr>
        <w:contextualSpacing/>
        <w:rPr>
          <w:rFonts w:ascii="Palatino Linotype" w:hAnsi="Palatino Linotype"/>
          <w:i/>
        </w:rPr>
      </w:pPr>
      <w:r w:rsidRPr="003A32DF">
        <w:rPr>
          <w:rFonts w:ascii="Palatino Linotype" w:hAnsi="Palatino Linotype"/>
          <w:b/>
          <w:i/>
        </w:rPr>
        <w:t>Certeza</w:t>
      </w:r>
      <w:r w:rsidRPr="00660478">
        <w:rPr>
          <w:rFonts w:ascii="Palatino Linotype" w:hAnsi="Palatino Linotype"/>
          <w:i/>
        </w:rPr>
        <w:t>: Principio que otorga seguridad y certidumbre jurídica a los particulares, en virtud de que permite conocer si las acciones del Instituto son apegadas a derecho y garantiza que los procedimientos sean completamente verificables, fidedignos y confiables;</w:t>
      </w:r>
    </w:p>
    <w:p w:rsidR="000F6CC7" w:rsidRDefault="000F6CC7" w:rsidP="000F6CC7">
      <w:pPr>
        <w:pStyle w:val="Textonotapie"/>
        <w:numPr>
          <w:ilvl w:val="0"/>
          <w:numId w:val="9"/>
        </w:numPr>
        <w:contextualSpacing/>
        <w:rPr>
          <w:rFonts w:ascii="Palatino Linotype" w:hAnsi="Palatino Linotype"/>
          <w:i/>
        </w:rPr>
      </w:pPr>
      <w:r w:rsidRPr="003A32DF">
        <w:rPr>
          <w:rFonts w:ascii="Palatino Linotype" w:hAnsi="Palatino Linotype"/>
          <w:b/>
          <w:i/>
        </w:rPr>
        <w:t>Eficacia:</w:t>
      </w:r>
      <w:r w:rsidRPr="003A32DF">
        <w:rPr>
          <w:rFonts w:ascii="Palatino Linotype" w:hAnsi="Palatino Linotype"/>
          <w:i/>
        </w:rPr>
        <w:t xml:space="preserve"> Obligación del Instituto para tutelar, de manera efectiva, el derecho de acceso a la información;</w:t>
      </w:r>
    </w:p>
    <w:p w:rsidR="000F6CC7" w:rsidRDefault="000F6CC7" w:rsidP="000F6CC7">
      <w:pPr>
        <w:pStyle w:val="Textonotapie"/>
        <w:ind w:left="360"/>
        <w:contextualSpacing/>
        <w:rPr>
          <w:rFonts w:ascii="Palatino Linotype" w:hAnsi="Palatino Linotype"/>
          <w:i/>
        </w:rPr>
      </w:pPr>
      <w:r>
        <w:rPr>
          <w:rFonts w:ascii="Palatino Linotype" w:hAnsi="Palatino Linotype"/>
          <w:b/>
          <w:i/>
        </w:rPr>
        <w:t>…</w:t>
      </w:r>
      <w:r>
        <w:rPr>
          <w:rFonts w:ascii="Palatino Linotype" w:hAnsi="Palatino Linotype"/>
          <w:i/>
        </w:rPr>
        <w:t xml:space="preserve"> </w:t>
      </w:r>
    </w:p>
    <w:p w:rsidR="000F6CC7" w:rsidRDefault="000F6CC7" w:rsidP="000F6CC7">
      <w:pPr>
        <w:pStyle w:val="Textonotapie"/>
        <w:ind w:left="360"/>
        <w:contextualSpacing/>
        <w:rPr>
          <w:rFonts w:ascii="Palatino Linotype" w:hAnsi="Palatino Linotype"/>
          <w:i/>
        </w:rPr>
      </w:pPr>
    </w:p>
    <w:p w:rsidR="000F6CC7" w:rsidRDefault="000F6CC7" w:rsidP="000F6CC7">
      <w:pPr>
        <w:pStyle w:val="Textonotapie"/>
        <w:ind w:left="993" w:hanging="633"/>
        <w:contextualSpacing/>
        <w:rPr>
          <w:rFonts w:ascii="Palatino Linotype" w:hAnsi="Palatino Linotype"/>
          <w:i/>
        </w:rPr>
      </w:pPr>
      <w:r w:rsidRPr="003A32DF">
        <w:rPr>
          <w:rFonts w:ascii="Palatino Linotype" w:hAnsi="Palatino Linotype"/>
          <w:i/>
        </w:rPr>
        <w:t xml:space="preserve">VI. </w:t>
      </w:r>
      <w:r>
        <w:rPr>
          <w:rFonts w:ascii="Palatino Linotype" w:hAnsi="Palatino Linotype"/>
          <w:i/>
        </w:rPr>
        <w:t xml:space="preserve">       </w:t>
      </w:r>
      <w:r w:rsidRPr="003A32DF">
        <w:rPr>
          <w:rFonts w:ascii="Palatino Linotype" w:hAnsi="Palatino Linotype"/>
          <w:b/>
          <w:i/>
        </w:rPr>
        <w:t>Legalidad</w:t>
      </w:r>
      <w:r w:rsidRPr="003A32DF">
        <w:rPr>
          <w:rFonts w:ascii="Palatino Linotype" w:hAnsi="Palatino Linotype"/>
          <w:i/>
        </w:rPr>
        <w:t>: Obligación del Instituto de ajustar su actuación, que funde y motive sus resoluciones y actos en las normas aplicables;</w:t>
      </w:r>
    </w:p>
    <w:p w:rsidR="000F6CC7" w:rsidRDefault="000F6CC7" w:rsidP="000F6CC7">
      <w:pPr>
        <w:pStyle w:val="Textonotapie"/>
        <w:ind w:left="993" w:hanging="633"/>
        <w:contextualSpacing/>
        <w:rPr>
          <w:rFonts w:ascii="Palatino Linotype" w:hAnsi="Palatino Linotype"/>
          <w:i/>
        </w:rPr>
      </w:pPr>
    </w:p>
    <w:p w:rsidR="000F6CC7" w:rsidRDefault="000F6CC7" w:rsidP="000F6CC7">
      <w:pPr>
        <w:pStyle w:val="Textonotapie"/>
        <w:ind w:left="993" w:hanging="633"/>
        <w:contextualSpacing/>
        <w:rPr>
          <w:rFonts w:ascii="Palatino Linotype" w:hAnsi="Palatino Linotype"/>
          <w:i/>
        </w:rPr>
      </w:pPr>
      <w:r>
        <w:rPr>
          <w:rFonts w:ascii="Palatino Linotype" w:hAnsi="Palatino Linotype"/>
          <w:i/>
        </w:rPr>
        <w:t>…</w:t>
      </w:r>
    </w:p>
    <w:p w:rsidR="000F6CC7" w:rsidRDefault="000F6CC7" w:rsidP="000F6CC7">
      <w:pPr>
        <w:pStyle w:val="Textonotapie"/>
        <w:ind w:left="993" w:hanging="633"/>
        <w:contextualSpacing/>
        <w:rPr>
          <w:rFonts w:ascii="Palatino Linotype" w:hAnsi="Palatino Linotype"/>
          <w:i/>
        </w:rPr>
      </w:pPr>
    </w:p>
    <w:p w:rsidR="000F6CC7" w:rsidRDefault="000F6CC7" w:rsidP="000F6CC7">
      <w:pPr>
        <w:pStyle w:val="Textonotapie"/>
        <w:ind w:left="993" w:hanging="633"/>
        <w:contextualSpacing/>
        <w:rPr>
          <w:rFonts w:ascii="Palatino Linotype" w:hAnsi="Palatino Linotype"/>
          <w:i/>
        </w:rPr>
      </w:pPr>
      <w:r w:rsidRPr="003A32DF">
        <w:rPr>
          <w:rFonts w:ascii="Palatino Linotype" w:hAnsi="Palatino Linotype"/>
          <w:i/>
        </w:rPr>
        <w:t xml:space="preserve">VIII. </w:t>
      </w:r>
      <w:r>
        <w:rPr>
          <w:rFonts w:ascii="Palatino Linotype" w:hAnsi="Palatino Linotype"/>
          <w:i/>
        </w:rPr>
        <w:t xml:space="preserve">    </w:t>
      </w:r>
      <w:r w:rsidRPr="003A32DF">
        <w:rPr>
          <w:rFonts w:ascii="Palatino Linotype" w:hAnsi="Palatino Linotype"/>
          <w:b/>
          <w:i/>
        </w:rPr>
        <w:t>Objetividad</w:t>
      </w:r>
      <w:r w:rsidRPr="003A32DF">
        <w:rPr>
          <w:rFonts w:ascii="Palatino Linotype" w:hAnsi="Palatino Linotype"/>
          <w:i/>
        </w:rPr>
        <w:t>: Obligación del Instituto de ajustar su actuación a los presupuestos de ley que deben ser aplicados al analizar el caso en concreto y resolver todos los hechos, prescindiendo de las consideraciones y criterios personales;</w:t>
      </w:r>
    </w:p>
    <w:p w:rsidR="000F6CC7" w:rsidRPr="00660478" w:rsidRDefault="000F6CC7" w:rsidP="000F6CC7">
      <w:pPr>
        <w:pStyle w:val="Textonotapie"/>
        <w:ind w:left="360"/>
        <w:contextualSpacing/>
        <w:rPr>
          <w:rFonts w:ascii="Palatino Linotype" w:hAnsi="Palatino Linotype"/>
          <w:i/>
        </w:rPr>
      </w:pP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7039B3" w:rsidRDefault="007F0307" w:rsidP="007F0307">
    <w:pPr>
      <w:pStyle w:val="Encabezado"/>
      <w:jc w:val="right"/>
      <w:rPr>
        <w:rFonts w:ascii="Palatino Linotype" w:hAnsi="Palatino Linotype" w:cs="Arial"/>
        <w:b/>
        <w:sz w:val="20"/>
        <w:szCs w:val="20"/>
      </w:rPr>
    </w:pPr>
    <w:r w:rsidRPr="007039B3">
      <w:rPr>
        <w:rFonts w:ascii="Palatino Linotype" w:hAnsi="Palatino Linotype" w:cs="Arial"/>
        <w:b/>
        <w:sz w:val="20"/>
        <w:szCs w:val="20"/>
      </w:rPr>
      <w:t xml:space="preserve">VOTO </w:t>
    </w:r>
    <w:r w:rsidR="00005859" w:rsidRPr="007039B3">
      <w:rPr>
        <w:rFonts w:ascii="Palatino Linotype" w:hAnsi="Palatino Linotype" w:cs="Arial"/>
        <w:b/>
        <w:sz w:val="20"/>
        <w:szCs w:val="20"/>
      </w:rPr>
      <w:t>DISIDENTE</w:t>
    </w:r>
    <w:r w:rsidRPr="007039B3">
      <w:rPr>
        <w:rFonts w:ascii="Palatino Linotype" w:hAnsi="Palatino Linotype" w:cs="Arial"/>
        <w:b/>
        <w:sz w:val="20"/>
        <w:szCs w:val="20"/>
      </w:rPr>
      <w:t xml:space="preserve"> </w:t>
    </w:r>
  </w:p>
  <w:p w:rsidR="007F0307" w:rsidRDefault="007F0307" w:rsidP="00572030">
    <w:pPr>
      <w:pStyle w:val="Encabezado"/>
      <w:jc w:val="right"/>
      <w:rPr>
        <w:rFonts w:ascii="Palatino Linotype" w:hAnsi="Palatino Linotype" w:cs="Arial"/>
        <w:sz w:val="20"/>
        <w:szCs w:val="20"/>
      </w:rPr>
    </w:pPr>
    <w:r w:rsidRPr="007039B3">
      <w:rPr>
        <w:rFonts w:ascii="Palatino Linotype" w:hAnsi="Palatino Linotype" w:cs="Arial"/>
        <w:b/>
        <w:sz w:val="20"/>
        <w:szCs w:val="20"/>
      </w:rPr>
      <w:t xml:space="preserve">RECURSO DE REVISIÓN </w:t>
    </w:r>
    <w:bookmarkStart w:id="1" w:name="_Hlk47345637"/>
    <w:r w:rsidR="006058B6" w:rsidRPr="007039B3">
      <w:rPr>
        <w:rFonts w:ascii="Palatino Linotype" w:hAnsi="Palatino Linotype" w:cs="Arial"/>
        <w:b/>
        <w:sz w:val="22"/>
        <w:szCs w:val="22"/>
      </w:rPr>
      <w:t>00</w:t>
    </w:r>
    <w:r w:rsidR="00A14845" w:rsidRPr="007039B3">
      <w:rPr>
        <w:rFonts w:ascii="Palatino Linotype" w:hAnsi="Palatino Linotype" w:cs="Arial"/>
        <w:b/>
        <w:sz w:val="22"/>
        <w:szCs w:val="22"/>
      </w:rPr>
      <w:t>783</w:t>
    </w:r>
    <w:r w:rsidR="00A54206" w:rsidRPr="007039B3">
      <w:rPr>
        <w:rFonts w:ascii="Palatino Linotype" w:hAnsi="Palatino Linotype"/>
        <w:b/>
        <w:sz w:val="22"/>
        <w:szCs w:val="22"/>
        <w:lang w:val="es-ES_tradnl"/>
      </w:rPr>
      <w:t>/INFOEM/IP/RR/20</w:t>
    </w:r>
    <w:r w:rsidR="006058B6" w:rsidRPr="007039B3">
      <w:rPr>
        <w:rFonts w:ascii="Palatino Linotype" w:hAnsi="Palatino Linotype"/>
        <w:b/>
        <w:sz w:val="22"/>
        <w:szCs w:val="22"/>
        <w:lang w:val="es-ES_tradnl"/>
      </w:rPr>
      <w:t>20</w:t>
    </w:r>
    <w:bookmarkEnd w:id="1"/>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336C5"/>
    <w:multiLevelType w:val="hybridMultilevel"/>
    <w:tmpl w:val="8B98A8E2"/>
    <w:lvl w:ilvl="0" w:tplc="7B666928">
      <w:start w:val="1"/>
      <w:numFmt w:val="lowerRoman"/>
      <w:lvlText w:val="%1)"/>
      <w:lvlJc w:val="left"/>
      <w:pPr>
        <w:ind w:left="928" w:hanging="360"/>
      </w:pPr>
      <w:rPr>
        <w:rFonts w:ascii="Palatino Linotype" w:eastAsia="Calibri" w:hAnsi="Palatino Linotype" w:cs="Times New Roman"/>
        <w:b/>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 w15:restartNumberingAfterBreak="0">
    <w:nsid w:val="224B5E9F"/>
    <w:multiLevelType w:val="hybridMultilevel"/>
    <w:tmpl w:val="049E9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05477E"/>
    <w:multiLevelType w:val="hybridMultilevel"/>
    <w:tmpl w:val="733646EE"/>
    <w:lvl w:ilvl="0" w:tplc="8D1CE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1354D1"/>
    <w:multiLevelType w:val="hybridMultilevel"/>
    <w:tmpl w:val="33C69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8247C2"/>
    <w:multiLevelType w:val="hybridMultilevel"/>
    <w:tmpl w:val="9BFEFD9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2D4C81"/>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153979"/>
    <w:multiLevelType w:val="hybridMultilevel"/>
    <w:tmpl w:val="1660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10"/>
  </w:num>
  <w:num w:numId="5">
    <w:abstractNumId w:val="6"/>
  </w:num>
  <w:num w:numId="6">
    <w:abstractNumId w:val="9"/>
  </w:num>
  <w:num w:numId="7">
    <w:abstractNumId w:val="0"/>
  </w:num>
  <w:num w:numId="8">
    <w:abstractNumId w:val="5"/>
  </w:num>
  <w:num w:numId="9">
    <w:abstractNumId w:val="4"/>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5D3"/>
    <w:rsid w:val="00005859"/>
    <w:rsid w:val="00042A3C"/>
    <w:rsid w:val="00051C17"/>
    <w:rsid w:val="00057319"/>
    <w:rsid w:val="000607BA"/>
    <w:rsid w:val="000A734F"/>
    <w:rsid w:val="000B0829"/>
    <w:rsid w:val="000B16F3"/>
    <w:rsid w:val="000B35A4"/>
    <w:rsid w:val="000C2112"/>
    <w:rsid w:val="000C2E0E"/>
    <w:rsid w:val="000D4981"/>
    <w:rsid w:val="000D49C7"/>
    <w:rsid w:val="000E0B50"/>
    <w:rsid w:val="000F6CC7"/>
    <w:rsid w:val="0011440C"/>
    <w:rsid w:val="00122AB1"/>
    <w:rsid w:val="001241C8"/>
    <w:rsid w:val="00155046"/>
    <w:rsid w:val="001639F9"/>
    <w:rsid w:val="00166249"/>
    <w:rsid w:val="0016644C"/>
    <w:rsid w:val="001822F4"/>
    <w:rsid w:val="001858FB"/>
    <w:rsid w:val="0019050D"/>
    <w:rsid w:val="001A7C78"/>
    <w:rsid w:val="001B2D26"/>
    <w:rsid w:val="001D40EB"/>
    <w:rsid w:val="001D5B7E"/>
    <w:rsid w:val="001E074C"/>
    <w:rsid w:val="001E2225"/>
    <w:rsid w:val="002029C4"/>
    <w:rsid w:val="00202F1C"/>
    <w:rsid w:val="00204AE6"/>
    <w:rsid w:val="002073F9"/>
    <w:rsid w:val="00214FBA"/>
    <w:rsid w:val="00215353"/>
    <w:rsid w:val="002216D7"/>
    <w:rsid w:val="00232C29"/>
    <w:rsid w:val="002353A8"/>
    <w:rsid w:val="002618A9"/>
    <w:rsid w:val="00274D27"/>
    <w:rsid w:val="002910CF"/>
    <w:rsid w:val="002914F5"/>
    <w:rsid w:val="00292D40"/>
    <w:rsid w:val="00295FA4"/>
    <w:rsid w:val="00296F92"/>
    <w:rsid w:val="002A0A9B"/>
    <w:rsid w:val="002A33C2"/>
    <w:rsid w:val="002A5ADD"/>
    <w:rsid w:val="002A6359"/>
    <w:rsid w:val="002B0DFB"/>
    <w:rsid w:val="002D0DEE"/>
    <w:rsid w:val="002D4BDB"/>
    <w:rsid w:val="002E6368"/>
    <w:rsid w:val="002E72E8"/>
    <w:rsid w:val="002E765B"/>
    <w:rsid w:val="00302B83"/>
    <w:rsid w:val="00303E74"/>
    <w:rsid w:val="00304E98"/>
    <w:rsid w:val="00320BAF"/>
    <w:rsid w:val="00340DE3"/>
    <w:rsid w:val="0034620B"/>
    <w:rsid w:val="00347C52"/>
    <w:rsid w:val="00356493"/>
    <w:rsid w:val="00356585"/>
    <w:rsid w:val="0036408D"/>
    <w:rsid w:val="0036634A"/>
    <w:rsid w:val="00371106"/>
    <w:rsid w:val="00395DB1"/>
    <w:rsid w:val="003A32DF"/>
    <w:rsid w:val="003A42B2"/>
    <w:rsid w:val="003B33CF"/>
    <w:rsid w:val="003C6021"/>
    <w:rsid w:val="003C68AF"/>
    <w:rsid w:val="003D36F3"/>
    <w:rsid w:val="003F1C9E"/>
    <w:rsid w:val="004064FA"/>
    <w:rsid w:val="0040777D"/>
    <w:rsid w:val="00410917"/>
    <w:rsid w:val="00414AE2"/>
    <w:rsid w:val="00415946"/>
    <w:rsid w:val="00433A7F"/>
    <w:rsid w:val="00456467"/>
    <w:rsid w:val="00471208"/>
    <w:rsid w:val="00484E68"/>
    <w:rsid w:val="004A380F"/>
    <w:rsid w:val="004B35A0"/>
    <w:rsid w:val="004B7E3D"/>
    <w:rsid w:val="004C1D03"/>
    <w:rsid w:val="004F52A3"/>
    <w:rsid w:val="00503956"/>
    <w:rsid w:val="00505F5A"/>
    <w:rsid w:val="00521B18"/>
    <w:rsid w:val="005549ED"/>
    <w:rsid w:val="00560FA5"/>
    <w:rsid w:val="00572030"/>
    <w:rsid w:val="00574532"/>
    <w:rsid w:val="005777C1"/>
    <w:rsid w:val="00595165"/>
    <w:rsid w:val="005A111E"/>
    <w:rsid w:val="005A1C8A"/>
    <w:rsid w:val="005A4369"/>
    <w:rsid w:val="005C0F3D"/>
    <w:rsid w:val="005C2E7F"/>
    <w:rsid w:val="005D066B"/>
    <w:rsid w:val="005D5DD5"/>
    <w:rsid w:val="005D7CE1"/>
    <w:rsid w:val="005E7637"/>
    <w:rsid w:val="005F4C0C"/>
    <w:rsid w:val="006058B6"/>
    <w:rsid w:val="006113A8"/>
    <w:rsid w:val="00620227"/>
    <w:rsid w:val="006214D7"/>
    <w:rsid w:val="0063133C"/>
    <w:rsid w:val="00653E3A"/>
    <w:rsid w:val="00660478"/>
    <w:rsid w:val="00675C15"/>
    <w:rsid w:val="006929B3"/>
    <w:rsid w:val="006947B4"/>
    <w:rsid w:val="00694FB0"/>
    <w:rsid w:val="00696A57"/>
    <w:rsid w:val="006A2C89"/>
    <w:rsid w:val="006A6AF4"/>
    <w:rsid w:val="006C34A1"/>
    <w:rsid w:val="006C392E"/>
    <w:rsid w:val="006D3D34"/>
    <w:rsid w:val="006D51A5"/>
    <w:rsid w:val="006E048C"/>
    <w:rsid w:val="006E34B0"/>
    <w:rsid w:val="006E4179"/>
    <w:rsid w:val="006F1710"/>
    <w:rsid w:val="006F346D"/>
    <w:rsid w:val="00700B86"/>
    <w:rsid w:val="007039B3"/>
    <w:rsid w:val="00747D9A"/>
    <w:rsid w:val="007627B8"/>
    <w:rsid w:val="00764E2B"/>
    <w:rsid w:val="007712AF"/>
    <w:rsid w:val="00772638"/>
    <w:rsid w:val="007A03D2"/>
    <w:rsid w:val="007B6EE5"/>
    <w:rsid w:val="007C1492"/>
    <w:rsid w:val="007C4714"/>
    <w:rsid w:val="007C6C71"/>
    <w:rsid w:val="007D0C46"/>
    <w:rsid w:val="007E4A47"/>
    <w:rsid w:val="007F0307"/>
    <w:rsid w:val="007F20FB"/>
    <w:rsid w:val="007F7D28"/>
    <w:rsid w:val="00807896"/>
    <w:rsid w:val="00807B02"/>
    <w:rsid w:val="00817AA2"/>
    <w:rsid w:val="00821794"/>
    <w:rsid w:val="00826351"/>
    <w:rsid w:val="0082668B"/>
    <w:rsid w:val="00835EB9"/>
    <w:rsid w:val="008429FC"/>
    <w:rsid w:val="00852AF2"/>
    <w:rsid w:val="00871521"/>
    <w:rsid w:val="00871E3F"/>
    <w:rsid w:val="00883A75"/>
    <w:rsid w:val="00883ABB"/>
    <w:rsid w:val="00892DF4"/>
    <w:rsid w:val="0089354E"/>
    <w:rsid w:val="00895041"/>
    <w:rsid w:val="0089594D"/>
    <w:rsid w:val="00896D8C"/>
    <w:rsid w:val="00897E24"/>
    <w:rsid w:val="008A3415"/>
    <w:rsid w:val="008A4206"/>
    <w:rsid w:val="008B0C00"/>
    <w:rsid w:val="008B60A2"/>
    <w:rsid w:val="008B647C"/>
    <w:rsid w:val="008D7720"/>
    <w:rsid w:val="008E2933"/>
    <w:rsid w:val="009002E1"/>
    <w:rsid w:val="00902BEC"/>
    <w:rsid w:val="00907451"/>
    <w:rsid w:val="00920E5D"/>
    <w:rsid w:val="00921613"/>
    <w:rsid w:val="00927CC3"/>
    <w:rsid w:val="009338B8"/>
    <w:rsid w:val="00935ABC"/>
    <w:rsid w:val="009503B7"/>
    <w:rsid w:val="00950C50"/>
    <w:rsid w:val="00956FEF"/>
    <w:rsid w:val="009611D3"/>
    <w:rsid w:val="00961B3C"/>
    <w:rsid w:val="009630CB"/>
    <w:rsid w:val="0097311C"/>
    <w:rsid w:val="0098633B"/>
    <w:rsid w:val="00991A55"/>
    <w:rsid w:val="009B2E51"/>
    <w:rsid w:val="009C0226"/>
    <w:rsid w:val="009C6D4B"/>
    <w:rsid w:val="009D4A3C"/>
    <w:rsid w:val="009E3F48"/>
    <w:rsid w:val="009E4047"/>
    <w:rsid w:val="009F4EB8"/>
    <w:rsid w:val="009F597E"/>
    <w:rsid w:val="00A01E1E"/>
    <w:rsid w:val="00A1161D"/>
    <w:rsid w:val="00A11D57"/>
    <w:rsid w:val="00A14845"/>
    <w:rsid w:val="00A21005"/>
    <w:rsid w:val="00A32299"/>
    <w:rsid w:val="00A32D81"/>
    <w:rsid w:val="00A3530D"/>
    <w:rsid w:val="00A40E3F"/>
    <w:rsid w:val="00A509A7"/>
    <w:rsid w:val="00A54206"/>
    <w:rsid w:val="00A5569E"/>
    <w:rsid w:val="00A63AAB"/>
    <w:rsid w:val="00A6570E"/>
    <w:rsid w:val="00A74BE1"/>
    <w:rsid w:val="00A7552D"/>
    <w:rsid w:val="00A816CE"/>
    <w:rsid w:val="00AA53B5"/>
    <w:rsid w:val="00AB30BF"/>
    <w:rsid w:val="00AC1C6F"/>
    <w:rsid w:val="00AC49A7"/>
    <w:rsid w:val="00AC5D59"/>
    <w:rsid w:val="00AC6D4E"/>
    <w:rsid w:val="00AD0389"/>
    <w:rsid w:val="00AD2AC1"/>
    <w:rsid w:val="00AE0F71"/>
    <w:rsid w:val="00AE78A0"/>
    <w:rsid w:val="00B02DEB"/>
    <w:rsid w:val="00B03784"/>
    <w:rsid w:val="00B12CF1"/>
    <w:rsid w:val="00B148B0"/>
    <w:rsid w:val="00B1702C"/>
    <w:rsid w:val="00B33E31"/>
    <w:rsid w:val="00B42E5B"/>
    <w:rsid w:val="00B466B5"/>
    <w:rsid w:val="00B547F4"/>
    <w:rsid w:val="00B64C32"/>
    <w:rsid w:val="00B71BFC"/>
    <w:rsid w:val="00B95ED4"/>
    <w:rsid w:val="00B976C5"/>
    <w:rsid w:val="00BA0556"/>
    <w:rsid w:val="00BA4027"/>
    <w:rsid w:val="00BC0A51"/>
    <w:rsid w:val="00BC10BB"/>
    <w:rsid w:val="00BD3556"/>
    <w:rsid w:val="00BD3823"/>
    <w:rsid w:val="00BD6FF1"/>
    <w:rsid w:val="00BE0A3D"/>
    <w:rsid w:val="00BE1582"/>
    <w:rsid w:val="00BE6B5D"/>
    <w:rsid w:val="00C11005"/>
    <w:rsid w:val="00C11623"/>
    <w:rsid w:val="00C1364B"/>
    <w:rsid w:val="00C2534B"/>
    <w:rsid w:val="00C26FD7"/>
    <w:rsid w:val="00C35F28"/>
    <w:rsid w:val="00C371BF"/>
    <w:rsid w:val="00C41B3E"/>
    <w:rsid w:val="00C44E15"/>
    <w:rsid w:val="00C55960"/>
    <w:rsid w:val="00C614BC"/>
    <w:rsid w:val="00C62298"/>
    <w:rsid w:val="00C622D3"/>
    <w:rsid w:val="00C70348"/>
    <w:rsid w:val="00C75563"/>
    <w:rsid w:val="00C83BEE"/>
    <w:rsid w:val="00CB1CEB"/>
    <w:rsid w:val="00CC5CDC"/>
    <w:rsid w:val="00CD4064"/>
    <w:rsid w:val="00CD4760"/>
    <w:rsid w:val="00CD5A1A"/>
    <w:rsid w:val="00CE45F1"/>
    <w:rsid w:val="00CE7BF1"/>
    <w:rsid w:val="00CF29D2"/>
    <w:rsid w:val="00D0473A"/>
    <w:rsid w:val="00D32E4F"/>
    <w:rsid w:val="00D45590"/>
    <w:rsid w:val="00D54152"/>
    <w:rsid w:val="00D5623B"/>
    <w:rsid w:val="00D63202"/>
    <w:rsid w:val="00D7225C"/>
    <w:rsid w:val="00D870BC"/>
    <w:rsid w:val="00D960F2"/>
    <w:rsid w:val="00DA1D4F"/>
    <w:rsid w:val="00DA5669"/>
    <w:rsid w:val="00DA5981"/>
    <w:rsid w:val="00DB4053"/>
    <w:rsid w:val="00DB4B40"/>
    <w:rsid w:val="00DB70E3"/>
    <w:rsid w:val="00DC752B"/>
    <w:rsid w:val="00DD20D6"/>
    <w:rsid w:val="00DE0208"/>
    <w:rsid w:val="00DE2A52"/>
    <w:rsid w:val="00DE6C32"/>
    <w:rsid w:val="00DE79F7"/>
    <w:rsid w:val="00DF4D53"/>
    <w:rsid w:val="00DF5D2F"/>
    <w:rsid w:val="00DF6678"/>
    <w:rsid w:val="00E15A60"/>
    <w:rsid w:val="00E17DFD"/>
    <w:rsid w:val="00E20299"/>
    <w:rsid w:val="00E30FFD"/>
    <w:rsid w:val="00E35D2D"/>
    <w:rsid w:val="00E37108"/>
    <w:rsid w:val="00E43B8F"/>
    <w:rsid w:val="00E45F59"/>
    <w:rsid w:val="00E476F0"/>
    <w:rsid w:val="00E51B7E"/>
    <w:rsid w:val="00E61511"/>
    <w:rsid w:val="00E73445"/>
    <w:rsid w:val="00E7439C"/>
    <w:rsid w:val="00E82BA4"/>
    <w:rsid w:val="00E9051A"/>
    <w:rsid w:val="00E920D4"/>
    <w:rsid w:val="00E929BA"/>
    <w:rsid w:val="00EB25CE"/>
    <w:rsid w:val="00EC4E8B"/>
    <w:rsid w:val="00EC73A5"/>
    <w:rsid w:val="00EE6722"/>
    <w:rsid w:val="00EE7157"/>
    <w:rsid w:val="00F01460"/>
    <w:rsid w:val="00F0275E"/>
    <w:rsid w:val="00F05C30"/>
    <w:rsid w:val="00F10C3C"/>
    <w:rsid w:val="00F13DA6"/>
    <w:rsid w:val="00F20457"/>
    <w:rsid w:val="00F27093"/>
    <w:rsid w:val="00F35B3C"/>
    <w:rsid w:val="00F466F2"/>
    <w:rsid w:val="00F46E00"/>
    <w:rsid w:val="00F76B05"/>
    <w:rsid w:val="00F77006"/>
    <w:rsid w:val="00F775A8"/>
    <w:rsid w:val="00F87BAA"/>
    <w:rsid w:val="00F92B73"/>
    <w:rsid w:val="00F94632"/>
    <w:rsid w:val="00F96352"/>
    <w:rsid w:val="00F97255"/>
    <w:rsid w:val="00FA1FDD"/>
    <w:rsid w:val="00FA6398"/>
    <w:rsid w:val="00FC0053"/>
    <w:rsid w:val="00FD3336"/>
    <w:rsid w:val="00FE653C"/>
    <w:rsid w:val="00FF0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C75F4F6-0785-4CF0-88D9-465CEBD7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4629</Words>
  <Characters>25465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3</cp:revision>
  <cp:lastPrinted>2020-08-24T17:10:00Z</cp:lastPrinted>
  <dcterms:created xsi:type="dcterms:W3CDTF">2020-08-24T17:09:00Z</dcterms:created>
  <dcterms:modified xsi:type="dcterms:W3CDTF">2020-08-24T17:25:00Z</dcterms:modified>
</cp:coreProperties>
</file>