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8B9" w:rsidRDefault="0067144E">
      <w:pPr>
        <w:spacing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3B28B9" w:rsidRDefault="003B28B9">
      <w:pPr>
        <w:spacing w:line="360" w:lineRule="auto"/>
        <w:jc w:val="both"/>
        <w:rPr>
          <w:rFonts w:ascii="Palatino Linotype" w:hAnsi="Palatino Linotype"/>
        </w:rPr>
      </w:pPr>
    </w:p>
    <w:p w:rsidR="003B28B9" w:rsidRDefault="0067144E">
      <w:pPr>
        <w:spacing w:line="360" w:lineRule="auto"/>
        <w:jc w:val="both"/>
        <w:rPr>
          <w:rFonts w:ascii="Palatino Linotype" w:hAnsi="Palatino Linotype"/>
          <w:b/>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00997/INFOEM/IP/RR/2020</w:t>
      </w:r>
      <w:r>
        <w:rPr>
          <w:rFonts w:ascii="Palatino Linotype" w:hAnsi="Palatino Linotype"/>
        </w:rPr>
        <w:t xml:space="preserve">, promovido por el </w:t>
      </w:r>
      <w:r>
        <w:rPr>
          <w:rFonts w:ascii="Palatino Linotype" w:hAnsi="Palatino Linotype"/>
          <w:b/>
        </w:rPr>
        <w:t xml:space="preserve">C. </w:t>
      </w:r>
      <w:bookmarkStart w:id="0" w:name="_GoBack"/>
      <w:r w:rsidR="00E74291" w:rsidRPr="00E74291">
        <w:rPr>
          <w:rFonts w:ascii="Palatino Linotype" w:hAnsi="Palatino Linotype"/>
          <w:b/>
        </w:rPr>
        <w:t>XXXXXXX XXXX XXXXX</w:t>
      </w:r>
      <w:bookmarkEnd w:id="0"/>
      <w:r>
        <w:rPr>
          <w:rFonts w:ascii="Palatino Linotype" w:hAnsi="Palatino Linotype" w:cs="Arial"/>
          <w:b/>
        </w:rPr>
        <w:t xml:space="preserve">, </w:t>
      </w:r>
      <w:r>
        <w:rPr>
          <w:rFonts w:ascii="Palatino Linotype" w:hAnsi="Palatino Linotype" w:cs="Arial"/>
        </w:rPr>
        <w:t>en lo sucesivo</w:t>
      </w:r>
      <w:r>
        <w:rPr>
          <w:rFonts w:ascii="Palatino Linotype" w:hAnsi="Palatino Linotype" w:cs="Arial"/>
          <w:b/>
        </w:rPr>
        <w:t xml:space="preserve"> EL RECURRENTE,</w:t>
      </w:r>
      <w:r>
        <w:rPr>
          <w:rFonts w:ascii="Palatino Linotype" w:hAnsi="Palatino Linotype"/>
        </w:rPr>
        <w:t xml:space="preserve"> en contra de la respuesta emitida por el </w:t>
      </w:r>
      <w:r>
        <w:rPr>
          <w:rFonts w:ascii="Palatino Linotype" w:hAnsi="Palatino Linotype"/>
          <w:b/>
        </w:rPr>
        <w:t xml:space="preserve">Sistema de Agua Alcantarillado y Saneamiento de Ecatepec de Morelos, </w:t>
      </w:r>
      <w:r>
        <w:rPr>
          <w:rFonts w:ascii="Palatino Linotype" w:hAnsi="Palatino Linotype"/>
        </w:rPr>
        <w:t xml:space="preserve">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3B28B9" w:rsidRDefault="003B28B9">
      <w:pPr>
        <w:jc w:val="center"/>
        <w:rPr>
          <w:rFonts w:ascii="Palatino Linotype" w:hAnsi="Palatino Linotype"/>
        </w:rPr>
      </w:pPr>
    </w:p>
    <w:p w:rsidR="003B28B9" w:rsidRDefault="0067144E">
      <w:pPr>
        <w:jc w:val="center"/>
        <w:rPr>
          <w:rFonts w:ascii="Palatino Linotype" w:hAnsi="Palatino Linotype"/>
          <w:b/>
          <w:bCs/>
          <w:spacing w:val="40"/>
          <w:sz w:val="28"/>
        </w:rPr>
      </w:pPr>
      <w:r>
        <w:rPr>
          <w:rFonts w:ascii="Palatino Linotype" w:hAnsi="Palatino Linotype"/>
          <w:b/>
          <w:bCs/>
          <w:spacing w:val="40"/>
          <w:sz w:val="28"/>
        </w:rPr>
        <w:t>RESULTANDO</w:t>
      </w:r>
    </w:p>
    <w:p w:rsidR="003B28B9" w:rsidRDefault="003B28B9">
      <w:pPr>
        <w:jc w:val="center"/>
        <w:rPr>
          <w:rFonts w:ascii="Palatino Linotype" w:hAnsi="Palatino Linotype"/>
          <w:b/>
          <w:bCs/>
          <w:spacing w:val="40"/>
        </w:rPr>
      </w:pPr>
    </w:p>
    <w:p w:rsidR="003B28B9" w:rsidRDefault="0067144E">
      <w:pPr>
        <w:spacing w:line="360" w:lineRule="auto"/>
        <w:jc w:val="both"/>
        <w:rPr>
          <w:rFonts w:ascii="Palatino Linotype" w:hAnsi="Palatino Linotype" w:cs="Arial"/>
          <w:b/>
          <w:bCs/>
          <w:lang w:val="es-ES"/>
        </w:rPr>
      </w:pPr>
      <w:r>
        <w:rPr>
          <w:rFonts w:ascii="Palatino Linotype" w:hAnsi="Palatino Linotype"/>
          <w:b/>
          <w:sz w:val="28"/>
          <w:szCs w:val="28"/>
        </w:rPr>
        <w:t xml:space="preserve">I. </w:t>
      </w:r>
      <w:r>
        <w:rPr>
          <w:rFonts w:ascii="Palatino Linotype" w:hAnsi="Palatino Linotype" w:cs="Arial"/>
        </w:rPr>
        <w:t xml:space="preserve">En </w:t>
      </w:r>
      <w:r>
        <w:rPr>
          <w:rFonts w:ascii="Palatino Linotype" w:hAnsi="Palatino Linotype" w:cs="Arial"/>
          <w:lang w:val="es-ES"/>
        </w:rPr>
        <w:t>fecha</w:t>
      </w:r>
      <w:r>
        <w:rPr>
          <w:rFonts w:ascii="Palatino Linotype" w:hAnsi="Palatino Linotype"/>
          <w:lang w:val="es-ES"/>
        </w:rPr>
        <w:t xml:space="preserve"> </w:t>
      </w:r>
      <w:r>
        <w:rPr>
          <w:rFonts w:ascii="Palatino Linotype" w:hAnsi="Palatino Linotype" w:cs="Arial"/>
          <w:lang w:val="es-ES"/>
        </w:rPr>
        <w:t>catorce de enero de dos mil veinte</w:t>
      </w:r>
      <w:r>
        <w:rPr>
          <w:rFonts w:ascii="Palatino Linotype" w:hAnsi="Palatino Linotype"/>
          <w:lang w:val="es-ES"/>
        </w:rPr>
        <w:t xml:space="preserve">, </w:t>
      </w:r>
      <w:r>
        <w:rPr>
          <w:rFonts w:ascii="Palatino Linotype" w:hAnsi="Palatino Linotype"/>
          <w:b/>
          <w:lang w:val="es-ES"/>
        </w:rPr>
        <w:t>EL RECURRENTE</w:t>
      </w:r>
      <w:r>
        <w:rPr>
          <w:rFonts w:ascii="Palatino Linotype" w:hAnsi="Palatino Linotype" w:cs="Arial"/>
          <w:lang w:val="es-ES"/>
        </w:rPr>
        <w:t xml:space="preserve"> </w:t>
      </w:r>
      <w:r>
        <w:rPr>
          <w:rFonts w:ascii="Palatino Linotype" w:hAnsi="Palatino Linotype" w:cs="Arial"/>
        </w:rPr>
        <w:t xml:space="preserve">presentó a través del Sistema de Acceso a la Información Mexiquense, en lo subsecuente </w:t>
      </w:r>
      <w:r>
        <w:rPr>
          <w:rFonts w:ascii="Palatino Linotype" w:hAnsi="Palatino Linotype" w:cs="Arial"/>
          <w:b/>
        </w:rPr>
        <w:t>EL SAIMEX</w:t>
      </w:r>
      <w:r>
        <w:rPr>
          <w:rFonts w:ascii="Palatino Linotype" w:hAnsi="Palatino Linotype" w:cs="Arial"/>
        </w:rPr>
        <w:t xml:space="preserve"> ante </w:t>
      </w:r>
      <w:r>
        <w:rPr>
          <w:rFonts w:ascii="Palatino Linotype" w:hAnsi="Palatino Linotype" w:cs="Arial"/>
          <w:b/>
        </w:rPr>
        <w:t>EL SUJETO OBLIGADO</w:t>
      </w:r>
      <w:r>
        <w:rPr>
          <w:rFonts w:ascii="Palatino Linotype" w:hAnsi="Palatino Linotype" w:cs="Arial"/>
          <w:lang w:val="es-ES"/>
        </w:rPr>
        <w:t xml:space="preserve">, la solicitud de acceso a la información pública, a la que se le asignó el número de expediente </w:t>
      </w:r>
      <w:r>
        <w:rPr>
          <w:rFonts w:ascii="Palatino Linotype" w:hAnsi="Palatino Linotype" w:cs="Arial"/>
          <w:b/>
        </w:rPr>
        <w:t>00001/OASECATEPE/IP/2020</w:t>
      </w:r>
      <w:r>
        <w:rPr>
          <w:rFonts w:ascii="Palatino Linotype" w:hAnsi="Palatino Linotype" w:cs="Arial"/>
          <w:lang w:val="es-ES"/>
        </w:rPr>
        <w:t>, mediante la cual solicitó:</w:t>
      </w:r>
    </w:p>
    <w:p w:rsidR="003B28B9" w:rsidRDefault="003B28B9">
      <w:pPr>
        <w:tabs>
          <w:tab w:val="left" w:pos="851"/>
        </w:tabs>
        <w:ind w:left="851" w:right="901"/>
        <w:jc w:val="both"/>
        <w:rPr>
          <w:rFonts w:ascii="Palatino Linotype" w:hAnsi="Palatino Linotype" w:cs="Arial"/>
          <w:i/>
          <w:sz w:val="22"/>
          <w:szCs w:val="22"/>
        </w:rPr>
      </w:pPr>
    </w:p>
    <w:p w:rsidR="003B28B9" w:rsidRDefault="0067144E">
      <w:pPr>
        <w:tabs>
          <w:tab w:val="left" w:pos="851"/>
        </w:tabs>
        <w:ind w:left="851" w:right="901"/>
        <w:jc w:val="both"/>
        <w:rPr>
          <w:rFonts w:ascii="Palatino Linotype" w:hAnsi="Palatino Linotype" w:cs="Arial"/>
          <w:i/>
          <w:sz w:val="22"/>
          <w:szCs w:val="22"/>
        </w:rPr>
      </w:pPr>
      <w:r>
        <w:rPr>
          <w:rFonts w:ascii="Palatino Linotype" w:hAnsi="Palatino Linotype" w:cs="Arial"/>
          <w:i/>
          <w:sz w:val="22"/>
          <w:szCs w:val="22"/>
        </w:rPr>
        <w:t>“SOLICITO SE ME HAGA ENTREGA DEL CATALOGO, LISTA DE COSTOS, O BIEN CUALQUIER OTRO DOCUMENTO EN EL QUE SE ENCUENTREN</w:t>
      </w:r>
    </w:p>
    <w:p w:rsidR="003B28B9" w:rsidRDefault="0067144E">
      <w:pPr>
        <w:tabs>
          <w:tab w:val="left" w:pos="851"/>
        </w:tabs>
        <w:ind w:left="851" w:right="901"/>
        <w:jc w:val="both"/>
        <w:rPr>
          <w:rFonts w:ascii="Palatino Linotype" w:hAnsi="Palatino Linotype" w:cs="Arial"/>
          <w:i/>
          <w:sz w:val="22"/>
          <w:szCs w:val="22"/>
        </w:rPr>
      </w:pPr>
      <w:r>
        <w:rPr>
          <w:rFonts w:ascii="Palatino Linotype" w:hAnsi="Palatino Linotype" w:cs="Arial"/>
          <w:i/>
          <w:sz w:val="22"/>
          <w:szCs w:val="22"/>
        </w:rPr>
        <w:t xml:space="preserve">ESTABLECIDOS LOS MONTOS QUE SE DEBAN PAGAR ANTE SAPASE ECATEPEC POR CUALQUIER TRAMITE QUE SE REALICE ANTE ESE ORGANISMO, CONSIDERANDO AQUELLOS QUE HAYAN ESTADO VIGENTES DURANTES EL AÑO 2019 Y LOS QUE DEBERÁN CUBRIRSE DURANTE EL AÑO 2020. ASÍ MISMO SOLICITO S EME HAGA SABER TODOS AQUELLOS BENEFICIOS A LOS QUE PUEDEN ACCEDER O HACERSE ACREEDORES LOS HABITANTES DEL MUNICIPIO DE </w:t>
      </w:r>
      <w:r>
        <w:rPr>
          <w:rFonts w:ascii="Palatino Linotype" w:hAnsi="Palatino Linotype" w:cs="Arial"/>
          <w:i/>
          <w:sz w:val="22"/>
          <w:szCs w:val="22"/>
        </w:rPr>
        <w:lastRenderedPageBreak/>
        <w:t>ECATEPEC FRENTE A SAPASE, DEBIENDO CONSIDERAR AQUELLOS QUE SE ENCUENTREN VIGENTES A PARTIR DEL 1 DE ENERO DEL AÑO</w:t>
      </w:r>
    </w:p>
    <w:p w:rsidR="003B28B9" w:rsidRDefault="0067144E">
      <w:pPr>
        <w:tabs>
          <w:tab w:val="left" w:pos="851"/>
        </w:tabs>
        <w:ind w:left="851" w:right="901"/>
        <w:jc w:val="both"/>
        <w:rPr>
          <w:rFonts w:ascii="Palatino Linotype" w:hAnsi="Palatino Linotype" w:cs="Arial"/>
          <w:i/>
          <w:sz w:val="22"/>
          <w:szCs w:val="22"/>
        </w:rPr>
      </w:pPr>
      <w:r>
        <w:rPr>
          <w:rFonts w:ascii="Palatino Linotype" w:hAnsi="Palatino Linotype" w:cs="Arial"/>
          <w:i/>
          <w:sz w:val="22"/>
          <w:szCs w:val="22"/>
        </w:rPr>
        <w:t xml:space="preserve">2020. POR OTRO LADO SOLICITO SE ME HAGA ENTREGA EN FORMATO ELECTRÓNICO DE CUALQUIER FORMATO Y TODOS Y CADA UNO DE LOS REQUISITOS QUE DEBAN SER CUBIERTOS PARA LA REALIZACIÓN DE LOS DIVERSOS TRAMITES Y SERVICIOS QUE SE PRESTAN ANTE SAPASE. REQUIERO ASI MISMO SE ME INFORMEN LOS COSTOS Y FORMAS DE PAGO, QUE DEBERAN CUBRIR LOS HABITANTES DE ECATEPEC PARA ACCEDER A CADA UNO DE LOS DIVERSOS </w:t>
      </w:r>
      <w:proofErr w:type="gramStart"/>
      <w:r>
        <w:rPr>
          <w:rFonts w:ascii="Palatino Linotype" w:hAnsi="Palatino Linotype" w:cs="Arial"/>
          <w:i/>
          <w:sz w:val="22"/>
          <w:szCs w:val="22"/>
        </w:rPr>
        <w:t>TRAMITES ,</w:t>
      </w:r>
      <w:proofErr w:type="gramEnd"/>
      <w:r>
        <w:rPr>
          <w:rFonts w:ascii="Palatino Linotype" w:hAnsi="Palatino Linotype" w:cs="Arial"/>
          <w:i/>
          <w:sz w:val="22"/>
          <w:szCs w:val="22"/>
        </w:rPr>
        <w:t xml:space="preserve"> SERVICIOS, DERECHOS, O CUALQUIER OTRO CONCEPTO QUE SE ENCUENTRE ESTBLECIDO EN FORMA ECONOMICA.” (Sic)</w:t>
      </w:r>
    </w:p>
    <w:p w:rsidR="003B28B9" w:rsidRDefault="003B28B9">
      <w:pPr>
        <w:tabs>
          <w:tab w:val="left" w:pos="851"/>
        </w:tabs>
        <w:ind w:left="851" w:right="901"/>
        <w:jc w:val="both"/>
        <w:rPr>
          <w:rFonts w:ascii="Palatino Linotype" w:hAnsi="Palatino Linotype" w:cs="Arial"/>
          <w:i/>
          <w:sz w:val="22"/>
          <w:szCs w:val="22"/>
        </w:rPr>
      </w:pPr>
    </w:p>
    <w:p w:rsidR="003B28B9" w:rsidRDefault="0067144E">
      <w:pPr>
        <w:spacing w:line="360" w:lineRule="auto"/>
        <w:jc w:val="both"/>
        <w:rPr>
          <w:rFonts w:ascii="Palatino Linotype" w:hAnsi="Palatino Linotype" w:cs="Arial"/>
          <w:b/>
        </w:rPr>
      </w:pPr>
      <w:r>
        <w:rPr>
          <w:rFonts w:ascii="Palatino Linotype" w:hAnsi="Palatino Linotype" w:cs="Arial"/>
          <w:b/>
        </w:rPr>
        <w:t>MODALIDAD DE ENTREGA:</w:t>
      </w:r>
      <w:r>
        <w:rPr>
          <w:rFonts w:ascii="Palatino Linotype" w:hAnsi="Palatino Linotype" w:cs="Arial"/>
        </w:rPr>
        <w:t xml:space="preserve"> Vía </w:t>
      </w:r>
      <w:r>
        <w:rPr>
          <w:rFonts w:ascii="Palatino Linotype" w:hAnsi="Palatino Linotype" w:cs="Arial"/>
          <w:b/>
        </w:rPr>
        <w:t>SAIMEX.</w:t>
      </w:r>
    </w:p>
    <w:p w:rsidR="003B28B9" w:rsidRDefault="003B28B9">
      <w:pPr>
        <w:spacing w:line="360" w:lineRule="auto"/>
        <w:jc w:val="both"/>
        <w:rPr>
          <w:rFonts w:ascii="Palatino Linotype" w:hAnsi="Palatino Linotype" w:cs="Arial"/>
        </w:rPr>
      </w:pPr>
    </w:p>
    <w:p w:rsidR="003B28B9" w:rsidRDefault="0067144E">
      <w:pPr>
        <w:spacing w:line="360" w:lineRule="auto"/>
        <w:jc w:val="both"/>
        <w:rPr>
          <w:rFonts w:ascii="Palatino Linotype" w:hAnsi="Palatino Linotype" w:cs="Arial"/>
          <w:lang w:val="es-ES" w:eastAsia="es-MX"/>
        </w:rPr>
      </w:pPr>
      <w:r>
        <w:rPr>
          <w:rFonts w:ascii="Palatino Linotype" w:hAnsi="Palatino Linotype"/>
          <w:b/>
          <w:sz w:val="28"/>
          <w:szCs w:val="28"/>
        </w:rPr>
        <w:t xml:space="preserve">II. </w:t>
      </w:r>
      <w:r>
        <w:rPr>
          <w:rFonts w:ascii="Palatino Linotype" w:hAnsi="Palatino Linotype" w:cs="Arial"/>
          <w:lang w:val="es-ES"/>
        </w:rPr>
        <w:t xml:space="preserve">En cumplimiento al artículo 162 de la Ley de Transparencia y Acceso a la Información Pública del Estado de México y Municipios, el veintiocho de enero de dos mil veinte, el Titular de la Unidad de Transparencia del </w:t>
      </w:r>
      <w:r>
        <w:rPr>
          <w:rFonts w:ascii="Palatino Linotype" w:hAnsi="Palatino Linotype" w:cs="Arial"/>
          <w:b/>
          <w:lang w:val="es-ES"/>
        </w:rPr>
        <w:t>SUJETO OBLIGADO</w:t>
      </w:r>
      <w:r>
        <w:rPr>
          <w:rFonts w:ascii="Palatino Linotype" w:hAnsi="Palatino Linotype" w:cs="Arial"/>
          <w:lang w:val="es-ES"/>
        </w:rPr>
        <w:t xml:space="preserve">, </w:t>
      </w:r>
      <w:r>
        <w:rPr>
          <w:rFonts w:ascii="Palatino Linotype" w:hAnsi="Palatino Linotype"/>
          <w:bCs/>
          <w:lang w:val="es-ES"/>
        </w:rPr>
        <w:t xml:space="preserve">turnó el requerimiento de información a los Servidores Públicos Habilitados de la Dirección Técnica de Construcción, Operación y Mantenimiento, Departamento de Drenaje y Alcantarillado; así como, Departamento de Rezago, Cobranza, Convenios y Ejecución Fiscal, </w:t>
      </w:r>
      <w:r>
        <w:rPr>
          <w:rFonts w:ascii="Palatino Linotype" w:hAnsi="Palatino Linotype" w:cs="Arial"/>
          <w:lang w:val="es-ES"/>
        </w:rPr>
        <w:t>a efecto de que realizara la búsqueda y localización de la información tal como se desprende a continuación:</w:t>
      </w:r>
      <w:r>
        <w:rPr>
          <w:rFonts w:ascii="Palatino Linotype" w:hAnsi="Palatino Linotype" w:cs="Arial"/>
          <w:lang w:val="es-ES" w:eastAsia="es-MX"/>
        </w:rPr>
        <w:t xml:space="preserve"> </w:t>
      </w:r>
    </w:p>
    <w:p w:rsidR="003B28B9" w:rsidRDefault="0067144E">
      <w:pPr>
        <w:spacing w:line="360" w:lineRule="auto"/>
        <w:jc w:val="center"/>
        <w:rPr>
          <w:rFonts w:ascii="Palatino Linotype" w:hAnsi="Palatino Linotype" w:cs="Arial"/>
          <w:lang w:val="es-ES" w:eastAsia="es-MX"/>
        </w:rPr>
      </w:pPr>
      <w:r>
        <w:rPr>
          <w:noProof/>
          <w:lang w:eastAsia="es-MX"/>
        </w:rPr>
        <w:lastRenderedPageBreak/>
        <mc:AlternateContent>
          <mc:Choice Requires="wps">
            <w:drawing>
              <wp:anchor distT="0" distB="0" distL="114300" distR="114300" simplePos="0" relativeHeight="83" behindDoc="0" locked="0" layoutInCell="1" allowOverlap="1">
                <wp:simplePos x="0" y="0"/>
                <wp:positionH relativeFrom="column">
                  <wp:align>right</wp:align>
                </wp:positionH>
                <wp:positionV relativeFrom="paragraph">
                  <wp:posOffset>269875</wp:posOffset>
                </wp:positionV>
                <wp:extent cx="5633720" cy="791210"/>
                <wp:effectExtent l="0" t="0" r="0" b="0"/>
                <wp:wrapNone/>
                <wp:docPr id="1" name="Rectángulo redondeado 18"/>
                <wp:cNvGraphicFramePr/>
                <a:graphic xmlns:a="http://schemas.openxmlformats.org/drawingml/2006/main">
                  <a:graphicData uri="http://schemas.microsoft.com/office/word/2010/wordprocessingShape">
                    <wps:wsp>
                      <wps:cNvSpPr/>
                      <wps:spPr>
                        <a:xfrm>
                          <a:off x="0" y="0"/>
                          <a:ext cx="5632920" cy="790560"/>
                        </a:xfrm>
                        <a:prstGeom prst="roundRect">
                          <a:avLst/>
                        </a:prstGeom>
                        <a:noFill/>
                        <a:ln w="28440">
                          <a:solidFill>
                            <a:srgbClr val="FF0000"/>
                          </a:solidFill>
                          <a:round/>
                        </a:ln>
                      </wps:spPr>
                      <wps:bodyPr/>
                    </wps:wsp>
                  </a:graphicData>
                </a:graphic>
              </wp:anchor>
            </w:drawing>
          </mc:Choice>
          <mc:Fallback>
            <w:pict>
              <v:roundrect id="shape_0" ID="Rectángulo redondeado 18" stroked="t" style="position:absolute;margin-left:3.45pt;margin-top:21.25pt;width:443.5pt;height:62.2pt;mso-position-horizontal:right">
                <w10:wrap type="none"/>
                <v:fill o:detectmouseclick="t" on="false"/>
                <v:stroke color="red" weight="28440" joinstyle="round" endcap="flat"/>
              </v:roundrect>
            </w:pict>
          </mc:Fallback>
        </mc:AlternateContent>
      </w:r>
      <w:r>
        <w:rPr>
          <w:noProof/>
          <w:lang w:eastAsia="es-MX"/>
        </w:rPr>
        <w:drawing>
          <wp:inline distT="0" distB="0" distL="0" distR="0">
            <wp:extent cx="5791835" cy="1629410"/>
            <wp:effectExtent l="0" t="0" r="0" b="0"/>
            <wp:docPr id="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9"/>
                    <pic:cNvPicPr>
                      <a:picLocks noChangeAspect="1" noChangeArrowheads="1"/>
                    </pic:cNvPicPr>
                  </pic:nvPicPr>
                  <pic:blipFill>
                    <a:blip r:embed="rId8"/>
                    <a:stretch>
                      <a:fillRect/>
                    </a:stretch>
                  </pic:blipFill>
                  <pic:spPr bwMode="auto">
                    <a:xfrm>
                      <a:off x="0" y="0"/>
                      <a:ext cx="5791835" cy="1629410"/>
                    </a:xfrm>
                    <a:prstGeom prst="rect">
                      <a:avLst/>
                    </a:prstGeom>
                  </pic:spPr>
                </pic:pic>
              </a:graphicData>
            </a:graphic>
          </wp:inline>
        </w:drawing>
      </w:r>
      <w:r>
        <w:rPr>
          <w:noProof/>
          <w:lang w:eastAsia="es-MX"/>
        </w:rPr>
        <w:drawing>
          <wp:inline distT="0" distB="0" distL="0" distR="0">
            <wp:extent cx="5684520" cy="266700"/>
            <wp:effectExtent l="0" t="0" r="0" b="0"/>
            <wp:docPr id="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0"/>
                    <pic:cNvPicPr>
                      <a:picLocks noChangeAspect="1" noChangeArrowheads="1"/>
                    </pic:cNvPicPr>
                  </pic:nvPicPr>
                  <pic:blipFill>
                    <a:blip r:embed="rId9"/>
                    <a:stretch>
                      <a:fillRect/>
                    </a:stretch>
                  </pic:blipFill>
                  <pic:spPr bwMode="auto">
                    <a:xfrm>
                      <a:off x="0" y="0"/>
                      <a:ext cx="5684520" cy="266700"/>
                    </a:xfrm>
                    <a:prstGeom prst="rect">
                      <a:avLst/>
                    </a:prstGeom>
                  </pic:spPr>
                </pic:pic>
              </a:graphicData>
            </a:graphic>
          </wp:inline>
        </w:drawing>
      </w:r>
      <w:r>
        <w:rPr>
          <w:noProof/>
          <w:lang w:eastAsia="es-MX"/>
        </w:rPr>
        <w:drawing>
          <wp:inline distT="0" distB="0" distL="0" distR="0">
            <wp:extent cx="5623560" cy="1866900"/>
            <wp:effectExtent l="0" t="0" r="0" b="0"/>
            <wp:docPr id="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1"/>
                    <pic:cNvPicPr>
                      <a:picLocks noChangeAspect="1" noChangeArrowheads="1"/>
                    </pic:cNvPicPr>
                  </pic:nvPicPr>
                  <pic:blipFill>
                    <a:blip r:embed="rId10"/>
                    <a:stretch>
                      <a:fillRect/>
                    </a:stretch>
                  </pic:blipFill>
                  <pic:spPr bwMode="auto">
                    <a:xfrm>
                      <a:off x="0" y="0"/>
                      <a:ext cx="5623560" cy="1866900"/>
                    </a:xfrm>
                    <a:prstGeom prst="rect">
                      <a:avLst/>
                    </a:prstGeom>
                  </pic:spPr>
                </pic:pic>
              </a:graphicData>
            </a:graphic>
          </wp:inline>
        </w:drawing>
      </w:r>
      <w:r>
        <w:rPr>
          <w:noProof/>
          <w:lang w:eastAsia="es-MX"/>
        </w:rPr>
        <w:drawing>
          <wp:inline distT="0" distB="0" distL="0" distR="0">
            <wp:extent cx="5623560" cy="259080"/>
            <wp:effectExtent l="0" t="0" r="0" b="0"/>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pic:cNvPicPr>
                      <a:picLocks noChangeAspect="1" noChangeArrowheads="1"/>
                    </pic:cNvPicPr>
                  </pic:nvPicPr>
                  <pic:blipFill>
                    <a:blip r:embed="rId11"/>
                    <a:stretch>
                      <a:fillRect/>
                    </a:stretch>
                  </pic:blipFill>
                  <pic:spPr bwMode="auto">
                    <a:xfrm>
                      <a:off x="0" y="0"/>
                      <a:ext cx="5623560" cy="259080"/>
                    </a:xfrm>
                    <a:prstGeom prst="rect">
                      <a:avLst/>
                    </a:prstGeom>
                  </pic:spPr>
                </pic:pic>
              </a:graphicData>
            </a:graphic>
          </wp:inline>
        </w:drawing>
      </w:r>
      <w:r>
        <w:rPr>
          <w:noProof/>
          <w:lang w:eastAsia="es-MX"/>
        </w:rPr>
        <w:drawing>
          <wp:inline distT="0" distB="0" distL="0" distR="0">
            <wp:extent cx="5723890" cy="1844040"/>
            <wp:effectExtent l="0" t="0" r="0" b="0"/>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3"/>
                    <pic:cNvPicPr>
                      <a:picLocks noChangeAspect="1" noChangeArrowheads="1"/>
                    </pic:cNvPicPr>
                  </pic:nvPicPr>
                  <pic:blipFill>
                    <a:blip r:embed="rId12"/>
                    <a:stretch>
                      <a:fillRect/>
                    </a:stretch>
                  </pic:blipFill>
                  <pic:spPr bwMode="auto">
                    <a:xfrm>
                      <a:off x="0" y="0"/>
                      <a:ext cx="5723890" cy="1844040"/>
                    </a:xfrm>
                    <a:prstGeom prst="rect">
                      <a:avLst/>
                    </a:prstGeom>
                  </pic:spPr>
                </pic:pic>
              </a:graphicData>
            </a:graphic>
          </wp:inline>
        </w:drawing>
      </w:r>
    </w:p>
    <w:p w:rsidR="003B28B9" w:rsidRDefault="003B28B9">
      <w:pPr>
        <w:spacing w:line="360" w:lineRule="auto"/>
        <w:jc w:val="both"/>
        <w:rPr>
          <w:rFonts w:ascii="Palatino Linotype" w:hAnsi="Palatino Linotype"/>
          <w:b/>
          <w:sz w:val="28"/>
          <w:szCs w:val="28"/>
        </w:rPr>
      </w:pPr>
    </w:p>
    <w:p w:rsidR="003B28B9" w:rsidRDefault="0067144E">
      <w:pPr>
        <w:spacing w:line="360" w:lineRule="auto"/>
        <w:jc w:val="both"/>
        <w:rPr>
          <w:rFonts w:ascii="Palatino Linotype" w:hAnsi="Palatino Linotype"/>
        </w:rPr>
      </w:pPr>
      <w:r>
        <w:rPr>
          <w:rFonts w:ascii="Palatino Linotype" w:hAnsi="Palatino Linotype"/>
          <w:b/>
          <w:sz w:val="28"/>
          <w:szCs w:val="28"/>
        </w:rPr>
        <w:t>III.</w:t>
      </w:r>
      <w:r>
        <w:rPr>
          <w:rFonts w:ascii="Palatino Linotype" w:hAnsi="Palatino Linotype"/>
          <w:sz w:val="28"/>
          <w:szCs w:val="28"/>
        </w:rPr>
        <w:t xml:space="preserve">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cuatro de febrero de dos mil veinte, </w:t>
      </w:r>
      <w:r>
        <w:rPr>
          <w:rFonts w:ascii="Palatino Linotype" w:hAnsi="Palatino Linotype"/>
          <w:b/>
        </w:rPr>
        <w:t xml:space="preserve">EL SUJETO OBLIGADO </w:t>
      </w:r>
      <w:r>
        <w:rPr>
          <w:rFonts w:ascii="Palatino Linotype" w:hAnsi="Palatino Linotype"/>
        </w:rPr>
        <w:t xml:space="preserve">notificó una prórroga de siete días </w:t>
      </w:r>
      <w:r>
        <w:rPr>
          <w:rFonts w:ascii="Palatino Linotype" w:hAnsi="Palatino Linotype"/>
        </w:rPr>
        <w:lastRenderedPageBreak/>
        <w:t xml:space="preserve">para dar respuesta a la solicitud de información planteada por </w:t>
      </w:r>
      <w:r>
        <w:rPr>
          <w:rFonts w:ascii="Palatino Linotype" w:hAnsi="Palatino Linotype"/>
          <w:b/>
        </w:rPr>
        <w:t>EL RECURRENTE</w:t>
      </w:r>
      <w:r>
        <w:rPr>
          <w:rFonts w:ascii="Palatino Linotype" w:hAnsi="Palatino Linotype"/>
        </w:rPr>
        <w:t>, en los siguientes términos:</w:t>
      </w:r>
    </w:p>
    <w:p w:rsidR="003B28B9" w:rsidRDefault="003B28B9">
      <w:pPr>
        <w:ind w:left="851" w:right="901"/>
        <w:jc w:val="both"/>
        <w:rPr>
          <w:rFonts w:ascii="Palatino Linotype" w:hAnsi="Palatino Linotype" w:cs="Arial"/>
          <w:i/>
          <w:sz w:val="22"/>
          <w:szCs w:val="22"/>
          <w:lang w:eastAsia="es-MX"/>
        </w:rPr>
      </w:pPr>
    </w:p>
    <w:p w:rsidR="003B28B9" w:rsidRDefault="0067144E">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3B28B9" w:rsidRDefault="003B28B9">
      <w:pPr>
        <w:ind w:left="851" w:right="901"/>
        <w:jc w:val="both"/>
        <w:rPr>
          <w:rFonts w:ascii="Palatino Linotype" w:hAnsi="Palatino Linotype" w:cs="Arial"/>
          <w:i/>
          <w:sz w:val="22"/>
          <w:szCs w:val="22"/>
          <w:lang w:eastAsia="es-MX"/>
        </w:rPr>
      </w:pPr>
    </w:p>
    <w:p w:rsidR="003B28B9" w:rsidRDefault="0067144E">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Se le solicita dé cumplimiento en un plazo menor al solicitado, para estar en condiciones de atender la solicitud.</w:t>
      </w:r>
    </w:p>
    <w:p w:rsidR="003B28B9" w:rsidRDefault="003B28B9">
      <w:pPr>
        <w:ind w:left="851" w:right="901"/>
        <w:jc w:val="both"/>
        <w:rPr>
          <w:rFonts w:ascii="Palatino Linotype" w:hAnsi="Palatino Linotype" w:cs="Arial"/>
          <w:i/>
          <w:sz w:val="22"/>
          <w:szCs w:val="22"/>
          <w:lang w:eastAsia="es-MX"/>
        </w:rPr>
      </w:pPr>
    </w:p>
    <w:p w:rsidR="003B28B9" w:rsidRDefault="003B28B9">
      <w:pPr>
        <w:ind w:left="851" w:right="901"/>
        <w:jc w:val="both"/>
        <w:rPr>
          <w:rFonts w:ascii="Palatino Linotype" w:hAnsi="Palatino Linotype" w:cs="Arial"/>
          <w:i/>
          <w:sz w:val="22"/>
          <w:szCs w:val="22"/>
          <w:lang w:eastAsia="es-MX"/>
        </w:rPr>
      </w:pPr>
    </w:p>
    <w:p w:rsidR="003B28B9" w:rsidRDefault="0067144E">
      <w:pPr>
        <w:ind w:left="851" w:right="901"/>
        <w:jc w:val="both"/>
        <w:rPr>
          <w:rFonts w:ascii="Palatino Linotype" w:hAnsi="Palatino Linotype" w:cs="Arial"/>
          <w:i/>
          <w:sz w:val="22"/>
          <w:szCs w:val="22"/>
          <w:lang w:eastAsia="es-MX"/>
        </w:rPr>
      </w:pPr>
      <w:r>
        <w:rPr>
          <w:rFonts w:ascii="Palatino Linotype" w:hAnsi="Palatino Linotype" w:cs="Arial"/>
          <w:i/>
          <w:sz w:val="22"/>
          <w:szCs w:val="22"/>
          <w:lang w:eastAsia="es-MX"/>
        </w:rPr>
        <w:t>ING. MARIO LUNA ESCANEME</w:t>
      </w:r>
    </w:p>
    <w:p w:rsidR="003B28B9" w:rsidRDefault="0067144E">
      <w:pPr>
        <w:ind w:left="851" w:right="901"/>
        <w:jc w:val="both"/>
        <w:rPr>
          <w:rFonts w:ascii="Palatino Linotype" w:hAnsi="Palatino Linotype" w:cs="Arial"/>
          <w:i/>
          <w:sz w:val="22"/>
          <w:szCs w:val="22"/>
          <w:lang w:eastAsia="es-MX"/>
        </w:rPr>
      </w:pPr>
      <w:r>
        <w:rPr>
          <w:rFonts w:ascii="Palatino Linotype" w:hAnsi="Palatino Linotype" w:cs="Arial"/>
          <w:b/>
          <w:i/>
          <w:sz w:val="22"/>
          <w:szCs w:val="22"/>
          <w:lang w:eastAsia="es-MX"/>
        </w:rPr>
        <w:t>Responsable de la Unidad de Transparencia</w:t>
      </w:r>
      <w:r>
        <w:rPr>
          <w:rFonts w:ascii="Palatino Linotype" w:hAnsi="Palatino Linotype" w:cs="Arial"/>
          <w:i/>
          <w:sz w:val="22"/>
          <w:szCs w:val="22"/>
          <w:lang w:eastAsia="es-MX"/>
        </w:rPr>
        <w:t>” (Sic)</w:t>
      </w:r>
    </w:p>
    <w:p w:rsidR="003B28B9" w:rsidRDefault="003B28B9">
      <w:pPr>
        <w:ind w:left="851" w:right="901"/>
        <w:jc w:val="both"/>
        <w:rPr>
          <w:rFonts w:ascii="Palatino Linotype" w:hAnsi="Palatino Linotype" w:cs="Arial"/>
          <w:i/>
          <w:sz w:val="22"/>
          <w:szCs w:val="22"/>
          <w:lang w:eastAsia="es-MX"/>
        </w:rPr>
      </w:pPr>
    </w:p>
    <w:p w:rsidR="003B28B9" w:rsidRDefault="0067144E">
      <w:pPr>
        <w:spacing w:line="360" w:lineRule="auto"/>
        <w:jc w:val="both"/>
        <w:rPr>
          <w:rFonts w:ascii="Palatino Linotype" w:hAnsi="Palatino Linotype" w:cs="Arial"/>
        </w:rPr>
      </w:pPr>
      <w:r>
        <w:rPr>
          <w:rFonts w:ascii="Palatino Linotype" w:hAnsi="Palatino Linotype"/>
        </w:rPr>
        <w:t xml:space="preserve">Precisando que dicha prórroga no cumplió lo dispuesto en el artículo 163, párrafo segundo y 49, fracción II de la </w:t>
      </w:r>
      <w:r>
        <w:rPr>
          <w:rFonts w:ascii="Palatino Linotype" w:hAnsi="Palatino Linotype" w:cs="Arial"/>
        </w:rPr>
        <w:t>Ley de Transparencia y Acceso a la Información Pública del Estado de México y Municipios.</w:t>
      </w:r>
    </w:p>
    <w:p w:rsidR="003B28B9" w:rsidRDefault="003B28B9">
      <w:pPr>
        <w:spacing w:line="360" w:lineRule="auto"/>
        <w:jc w:val="both"/>
        <w:rPr>
          <w:rFonts w:ascii="Palatino Linotype" w:hAnsi="Palatino Linotype" w:cs="Arial"/>
        </w:rPr>
      </w:pPr>
    </w:p>
    <w:p w:rsidR="003B28B9" w:rsidRDefault="0067144E">
      <w:pPr>
        <w:spacing w:line="360" w:lineRule="auto"/>
        <w:jc w:val="both"/>
        <w:rPr>
          <w:rFonts w:ascii="Palatino Linotype" w:hAnsi="Palatino Linotype" w:cs="Arial"/>
          <w:lang w:val="es-ES_tradnl"/>
        </w:rPr>
      </w:pPr>
      <w:r>
        <w:rPr>
          <w:rFonts w:ascii="Palatino Linotype" w:hAnsi="Palatino Linotype"/>
          <w:b/>
          <w:sz w:val="28"/>
          <w:szCs w:val="28"/>
        </w:rPr>
        <w:t xml:space="preserve"> IV.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doce de febrero de dos mil veinte, </w:t>
      </w:r>
      <w:r>
        <w:rPr>
          <w:rFonts w:ascii="Palatino Linotype" w:hAnsi="Palatino Linotype" w:cs="Arial"/>
          <w:lang w:val="es-ES_tradnl"/>
        </w:rPr>
        <w:t>el Responsable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3B28B9" w:rsidRDefault="003B28B9">
      <w:pPr>
        <w:ind w:left="851" w:right="899"/>
        <w:jc w:val="both"/>
        <w:rPr>
          <w:rFonts w:ascii="Palatino Linotype" w:hAnsi="Palatino Linotype" w:cs="Arial"/>
          <w:i/>
          <w:sz w:val="22"/>
          <w:szCs w:val="22"/>
        </w:rPr>
      </w:pPr>
    </w:p>
    <w:p w:rsidR="003B28B9" w:rsidRDefault="0067144E">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B28B9" w:rsidRDefault="003B28B9">
      <w:pPr>
        <w:ind w:left="851" w:right="899"/>
        <w:jc w:val="both"/>
        <w:rPr>
          <w:rFonts w:ascii="Palatino Linotype" w:hAnsi="Palatino Linotype" w:cs="Arial"/>
          <w:i/>
          <w:sz w:val="22"/>
          <w:szCs w:val="22"/>
        </w:rPr>
      </w:pPr>
    </w:p>
    <w:p w:rsidR="003B28B9" w:rsidRDefault="0067144E">
      <w:pPr>
        <w:ind w:left="851" w:right="899"/>
        <w:jc w:val="both"/>
        <w:rPr>
          <w:rFonts w:ascii="Palatino Linotype" w:hAnsi="Palatino Linotype" w:cs="Arial"/>
          <w:i/>
          <w:sz w:val="22"/>
          <w:szCs w:val="22"/>
        </w:rPr>
      </w:pPr>
      <w:r>
        <w:rPr>
          <w:rFonts w:ascii="Palatino Linotype" w:hAnsi="Palatino Linotype" w:cs="Arial"/>
          <w:i/>
          <w:sz w:val="22"/>
          <w:szCs w:val="22"/>
        </w:rPr>
        <w:t>SE ADJUNTAN LOS OFICIOS DTCOM/072/2020, DC/033/2020 Y OFICIO DE RESPUESTA A SU PETICIÓN.</w:t>
      </w:r>
    </w:p>
    <w:p w:rsidR="003B28B9" w:rsidRDefault="003B28B9">
      <w:pPr>
        <w:ind w:left="851" w:right="899"/>
        <w:jc w:val="both"/>
        <w:rPr>
          <w:rFonts w:ascii="Palatino Linotype" w:hAnsi="Palatino Linotype" w:cs="Arial"/>
          <w:i/>
          <w:sz w:val="22"/>
          <w:szCs w:val="22"/>
        </w:rPr>
      </w:pPr>
    </w:p>
    <w:p w:rsidR="003B28B9" w:rsidRDefault="0067144E">
      <w:pPr>
        <w:ind w:left="851" w:right="899"/>
        <w:jc w:val="both"/>
        <w:rPr>
          <w:rFonts w:ascii="Palatino Linotype" w:hAnsi="Palatino Linotype" w:cs="Arial"/>
          <w:i/>
          <w:sz w:val="22"/>
          <w:szCs w:val="22"/>
        </w:rPr>
      </w:pPr>
      <w:r>
        <w:rPr>
          <w:rFonts w:ascii="Palatino Linotype" w:hAnsi="Palatino Linotype" w:cs="Arial"/>
          <w:i/>
          <w:sz w:val="22"/>
          <w:szCs w:val="22"/>
        </w:rPr>
        <w:t>ATENTAMENTE</w:t>
      </w:r>
    </w:p>
    <w:p w:rsidR="003B28B9" w:rsidRDefault="0067144E">
      <w:pPr>
        <w:ind w:left="851" w:right="899"/>
        <w:jc w:val="both"/>
        <w:rPr>
          <w:rFonts w:ascii="Palatino Linotype" w:hAnsi="Palatino Linotype" w:cs="Arial"/>
          <w:i/>
          <w:sz w:val="22"/>
          <w:szCs w:val="22"/>
        </w:rPr>
      </w:pPr>
      <w:r>
        <w:rPr>
          <w:rFonts w:ascii="Palatino Linotype" w:hAnsi="Palatino Linotype" w:cs="Arial"/>
          <w:i/>
          <w:sz w:val="22"/>
          <w:szCs w:val="22"/>
        </w:rPr>
        <w:lastRenderedPageBreak/>
        <w:t>ING. MARIO LUNA ESCANEME” (Sic)</w:t>
      </w:r>
    </w:p>
    <w:p w:rsidR="003B28B9" w:rsidRDefault="003B28B9">
      <w:pPr>
        <w:ind w:right="899"/>
        <w:jc w:val="both"/>
        <w:rPr>
          <w:rFonts w:ascii="Palatino Linotype" w:hAnsi="Palatino Linotype" w:cs="Arial"/>
          <w:i/>
          <w:sz w:val="22"/>
          <w:szCs w:val="22"/>
        </w:rPr>
      </w:pPr>
    </w:p>
    <w:p w:rsidR="003B28B9" w:rsidRDefault="0067144E">
      <w:pPr>
        <w:spacing w:line="360" w:lineRule="auto"/>
        <w:jc w:val="both"/>
        <w:rPr>
          <w:rFonts w:ascii="Palatino Linotype" w:hAnsi="Palatino Linotype"/>
        </w:rPr>
      </w:pPr>
      <w:r>
        <w:rPr>
          <w:rFonts w:ascii="Palatino Linotype" w:hAnsi="Palatino Linotype"/>
        </w:rPr>
        <w:t xml:space="preserve">Advirtiendo de dicha respuesta, que </w:t>
      </w:r>
      <w:r>
        <w:rPr>
          <w:rFonts w:ascii="Palatino Linotype" w:hAnsi="Palatino Linotype" w:cs="Arial"/>
          <w:b/>
        </w:rPr>
        <w:t>EL SUJETO OBLIGADO</w:t>
      </w:r>
      <w:r>
        <w:rPr>
          <w:rFonts w:ascii="Palatino Linotype" w:hAnsi="Palatino Linotype"/>
        </w:rPr>
        <w:t xml:space="preserve"> acompañó los archivos electrónicos siguientes: </w:t>
      </w:r>
    </w:p>
    <w:p w:rsidR="003B28B9" w:rsidRDefault="003B28B9">
      <w:pPr>
        <w:spacing w:line="360" w:lineRule="auto"/>
        <w:jc w:val="both"/>
        <w:rPr>
          <w:rFonts w:ascii="Palatino Linotype" w:hAnsi="Palatino Linotype" w:cs="Arial"/>
          <w:b/>
        </w:rPr>
      </w:pPr>
    </w:p>
    <w:p w:rsidR="003B28B9" w:rsidRDefault="00E74291">
      <w:pPr>
        <w:spacing w:line="360" w:lineRule="auto"/>
        <w:jc w:val="both"/>
        <w:rPr>
          <w:rFonts w:ascii="Palatino Linotype" w:hAnsi="Palatino Linotype" w:cs="Arial"/>
        </w:rPr>
      </w:pPr>
      <w:hyperlink r:id="rId13" w:tgtFrame="_blank">
        <w:r w:rsidR="0067144E">
          <w:rPr>
            <w:rFonts w:ascii="Palatino Linotype" w:hAnsi="Palatino Linotype" w:cs="Arial"/>
            <w:b/>
          </w:rPr>
          <w:t>DTCOM072.pdf</w:t>
        </w:r>
      </w:hyperlink>
      <w:r w:rsidR="0067144E">
        <w:rPr>
          <w:rFonts w:ascii="Palatino Linotype" w:hAnsi="Palatino Linotype" w:cs="Arial"/>
          <w:b/>
        </w:rPr>
        <w:t xml:space="preserve">: </w:t>
      </w:r>
      <w:r w:rsidR="0067144E">
        <w:rPr>
          <w:rFonts w:ascii="Palatino Linotype" w:hAnsi="Palatino Linotype" w:cs="Arial"/>
        </w:rPr>
        <w:t xml:space="preserve">el cual corresponde al oficio DTCOM/072/2020, por medio del cual el Director Técnico de Construcción Operación y Saneamiento informa al Director General del O.P.D.S.A.P.A.S.E, los costos de los siguientes trámites: </w:t>
      </w:r>
    </w:p>
    <w:p w:rsidR="003B28B9" w:rsidRDefault="003B28B9">
      <w:pPr>
        <w:spacing w:line="360" w:lineRule="auto"/>
        <w:jc w:val="both"/>
        <w:rPr>
          <w:rFonts w:ascii="Palatino Linotype" w:hAnsi="Palatino Linotype" w:cs="Arial"/>
        </w:rPr>
      </w:pPr>
    </w:p>
    <w:p w:rsidR="003B28B9" w:rsidRDefault="0067144E">
      <w:pPr>
        <w:spacing w:line="360" w:lineRule="auto"/>
        <w:jc w:val="center"/>
        <w:rPr>
          <w:rFonts w:ascii="Palatino Linotype" w:hAnsi="Palatino Linotype" w:cs="Arial"/>
        </w:rPr>
      </w:pPr>
      <w:r>
        <w:rPr>
          <w:noProof/>
          <w:lang w:eastAsia="es-MX"/>
        </w:rPr>
        <w:drawing>
          <wp:inline distT="0" distB="0" distL="0" distR="0">
            <wp:extent cx="4762500" cy="2273935"/>
            <wp:effectExtent l="0" t="0" r="0" b="0"/>
            <wp:docPr id="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5"/>
                    <pic:cNvPicPr>
                      <a:picLocks noChangeAspect="1" noChangeArrowheads="1"/>
                    </pic:cNvPicPr>
                  </pic:nvPicPr>
                  <pic:blipFill>
                    <a:blip r:embed="rId14"/>
                    <a:stretch>
                      <a:fillRect/>
                    </a:stretch>
                  </pic:blipFill>
                  <pic:spPr bwMode="auto">
                    <a:xfrm>
                      <a:off x="0" y="0"/>
                      <a:ext cx="4762500" cy="2273935"/>
                    </a:xfrm>
                    <a:prstGeom prst="rect">
                      <a:avLst/>
                    </a:prstGeom>
                  </pic:spPr>
                </pic:pic>
              </a:graphicData>
            </a:graphic>
          </wp:inline>
        </w:drawing>
      </w:r>
      <w:r>
        <w:rPr>
          <w:noProof/>
          <w:lang w:eastAsia="es-MX"/>
        </w:rPr>
        <w:drawing>
          <wp:inline distT="0" distB="0" distL="0" distR="0">
            <wp:extent cx="4648200" cy="1659890"/>
            <wp:effectExtent l="0" t="0" r="0" b="0"/>
            <wp:docPr id="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6"/>
                    <pic:cNvPicPr>
                      <a:picLocks noChangeAspect="1" noChangeArrowheads="1"/>
                    </pic:cNvPicPr>
                  </pic:nvPicPr>
                  <pic:blipFill>
                    <a:blip r:embed="rId15"/>
                    <a:stretch>
                      <a:fillRect/>
                    </a:stretch>
                  </pic:blipFill>
                  <pic:spPr bwMode="auto">
                    <a:xfrm>
                      <a:off x="0" y="0"/>
                      <a:ext cx="4648200" cy="1659890"/>
                    </a:xfrm>
                    <a:prstGeom prst="rect">
                      <a:avLst/>
                    </a:prstGeom>
                  </pic:spPr>
                </pic:pic>
              </a:graphicData>
            </a:graphic>
          </wp:inline>
        </w:drawing>
      </w:r>
    </w:p>
    <w:p w:rsidR="003B28B9" w:rsidRDefault="003B28B9">
      <w:pPr>
        <w:spacing w:line="360" w:lineRule="auto"/>
        <w:jc w:val="both"/>
        <w:rPr>
          <w:rFonts w:ascii="Palatino Linotype" w:hAnsi="Palatino Linotype" w:cs="Arial"/>
          <w:b/>
        </w:rPr>
      </w:pPr>
    </w:p>
    <w:p w:rsidR="003B28B9" w:rsidRDefault="00E74291">
      <w:pPr>
        <w:spacing w:line="360" w:lineRule="auto"/>
        <w:jc w:val="both"/>
        <w:rPr>
          <w:rFonts w:ascii="Palatino Linotype" w:hAnsi="Palatino Linotype" w:cs="Arial"/>
        </w:rPr>
      </w:pPr>
      <w:hyperlink r:id="rId16" w:tgtFrame="_blank">
        <w:r w:rsidR="0067144E">
          <w:rPr>
            <w:rFonts w:ascii="Palatino Linotype" w:hAnsi="Palatino Linotype" w:cs="Arial"/>
            <w:b/>
          </w:rPr>
          <w:t>DC-033.pdf</w:t>
        </w:r>
      </w:hyperlink>
      <w:r w:rsidR="0067144E">
        <w:rPr>
          <w:rFonts w:ascii="Palatino Linotype" w:hAnsi="Palatino Linotype" w:cs="Arial"/>
          <w:b/>
        </w:rPr>
        <w:t xml:space="preserve">: </w:t>
      </w:r>
      <w:r w:rsidR="0067144E">
        <w:rPr>
          <w:rFonts w:ascii="Palatino Linotype" w:hAnsi="Palatino Linotype" w:cs="Arial"/>
        </w:rPr>
        <w:t xml:space="preserve">el cual de su contenido se advierte el oficio DC/033/2020, por medio del cual el encargado de la Dirección de Comercialización, anexa el catálogo de servicios y costos que en el Organismo Operador a través de la Dirección de Comercialización ofrece a los usuarios; asimismo, se advierte el oficio DTCOM/072/2020 descrito en el archivo </w:t>
      </w:r>
      <w:hyperlink r:id="rId17" w:tgtFrame="_blank">
        <w:r w:rsidR="0067144E">
          <w:rPr>
            <w:rFonts w:ascii="Palatino Linotype" w:hAnsi="Palatino Linotype" w:cs="Arial"/>
          </w:rPr>
          <w:t>DTCOM072.pdf</w:t>
        </w:r>
      </w:hyperlink>
      <w:r w:rsidR="0067144E">
        <w:rPr>
          <w:rFonts w:ascii="Palatino Linotype" w:hAnsi="Palatino Linotype" w:cs="Arial"/>
        </w:rPr>
        <w:t>.</w:t>
      </w:r>
    </w:p>
    <w:p w:rsidR="003B28B9" w:rsidRDefault="0067144E">
      <w:pPr>
        <w:spacing w:line="360" w:lineRule="auto"/>
        <w:jc w:val="both"/>
        <w:rPr>
          <w:rFonts w:ascii="Palatino Linotype" w:hAnsi="Palatino Linotype" w:cs="Arial"/>
        </w:rPr>
      </w:pPr>
      <w:r>
        <w:rPr>
          <w:rFonts w:ascii="Palatino Linotype" w:hAnsi="Palatino Linotype" w:cs="Arial"/>
          <w:b/>
        </w:rPr>
        <w:br/>
      </w:r>
      <w:hyperlink r:id="rId18" w:tgtFrame="_blank">
        <w:r>
          <w:rPr>
            <w:rFonts w:ascii="Palatino Linotype" w:hAnsi="Palatino Linotype" w:cs="Arial"/>
            <w:b/>
          </w:rPr>
          <w:t>0001.pdf</w:t>
        </w:r>
      </w:hyperlink>
      <w:r>
        <w:rPr>
          <w:rFonts w:ascii="Palatino Linotype" w:hAnsi="Palatino Linotype" w:cs="Arial"/>
          <w:b/>
        </w:rPr>
        <w:t xml:space="preserve">: </w:t>
      </w:r>
      <w:r>
        <w:rPr>
          <w:rFonts w:ascii="Palatino Linotype" w:hAnsi="Palatino Linotype" w:cs="Arial"/>
        </w:rPr>
        <w:t>el cual corresponde a oficio de fecha doce de febrero de dos mil veinte, por medio del cual el Director General del O.P.D.S.A.P.A.S.E, refiere remitir las repuestas a la solicitud mediante los oficios DC/033/2020 y DTCOM/072/2020.</w:t>
      </w:r>
    </w:p>
    <w:p w:rsidR="003B28B9" w:rsidRDefault="003B28B9">
      <w:pPr>
        <w:spacing w:line="360" w:lineRule="auto"/>
        <w:jc w:val="both"/>
        <w:rPr>
          <w:rFonts w:ascii="Palatino Linotype" w:hAnsi="Palatino Linotype" w:cs="Arial"/>
          <w:b/>
        </w:rPr>
      </w:pPr>
    </w:p>
    <w:p w:rsidR="003B28B9" w:rsidRDefault="0067144E">
      <w:pPr>
        <w:spacing w:line="360" w:lineRule="auto"/>
        <w:jc w:val="both"/>
        <w:rPr>
          <w:rFonts w:ascii="Palatino Linotype" w:hAnsi="Palatino Linotype" w:cs="Arial"/>
        </w:rPr>
      </w:pPr>
      <w:r>
        <w:rPr>
          <w:rFonts w:ascii="Palatino Linotype" w:hAnsi="Palatino Linotype"/>
          <w:b/>
          <w:sz w:val="28"/>
          <w:szCs w:val="28"/>
        </w:rPr>
        <w:t>V.</w:t>
      </w:r>
      <w:r>
        <w:rPr>
          <w:rFonts w:ascii="Palatino Linotype" w:hAnsi="Palatino Linotype"/>
          <w:b/>
        </w:rPr>
        <w:t xml:space="preserve"> </w:t>
      </w:r>
      <w:r>
        <w:rPr>
          <w:rFonts w:ascii="Palatino Linotype" w:hAnsi="Palatino Linotype"/>
        </w:rPr>
        <w:t xml:space="preserve">Inconforme con la </w:t>
      </w:r>
      <w:r>
        <w:rPr>
          <w:rFonts w:ascii="Palatino Linotype" w:hAnsi="Palatino Linotype" w:cs="Arial"/>
        </w:rPr>
        <w:t xml:space="preserve">respuesta, el doce de febrero de dos mil veinte,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00997/INFOEM/IP/RR/2020</w:t>
      </w:r>
      <w:r>
        <w:rPr>
          <w:rFonts w:ascii="Palatino Linotype" w:hAnsi="Palatino Linotype" w:cs="Arial"/>
        </w:rPr>
        <w:t xml:space="preserve">, en el que señaló como acto impugnado: </w:t>
      </w:r>
    </w:p>
    <w:p w:rsidR="003B28B9" w:rsidRDefault="003B28B9">
      <w:pPr>
        <w:ind w:left="851" w:right="899"/>
        <w:jc w:val="both"/>
        <w:rPr>
          <w:rFonts w:ascii="Palatino Linotype" w:hAnsi="Palatino Linotype" w:cs="Arial"/>
          <w:i/>
          <w:sz w:val="22"/>
          <w:szCs w:val="22"/>
        </w:rPr>
      </w:pPr>
    </w:p>
    <w:p w:rsidR="003B28B9" w:rsidRDefault="0067144E">
      <w:pPr>
        <w:ind w:left="851" w:right="899"/>
        <w:jc w:val="both"/>
        <w:rPr>
          <w:rFonts w:ascii="Palatino Linotype" w:hAnsi="Palatino Linotype" w:cs="Arial"/>
          <w:i/>
          <w:sz w:val="22"/>
          <w:szCs w:val="22"/>
        </w:rPr>
      </w:pPr>
      <w:r>
        <w:rPr>
          <w:rFonts w:ascii="Palatino Linotype" w:hAnsi="Palatino Linotype" w:cs="Arial"/>
          <w:i/>
          <w:sz w:val="22"/>
          <w:szCs w:val="22"/>
        </w:rPr>
        <w:t>“la respuesta emitida por la autoridad” (sic)</w:t>
      </w:r>
    </w:p>
    <w:p w:rsidR="003B28B9" w:rsidRDefault="003B28B9">
      <w:pPr>
        <w:ind w:left="851" w:right="899"/>
        <w:jc w:val="both"/>
        <w:rPr>
          <w:rFonts w:ascii="Palatino Linotype" w:hAnsi="Palatino Linotype" w:cs="Arial"/>
          <w:i/>
          <w:sz w:val="22"/>
          <w:szCs w:val="22"/>
        </w:rPr>
      </w:pPr>
    </w:p>
    <w:p w:rsidR="003B28B9" w:rsidRDefault="0067144E">
      <w:pPr>
        <w:spacing w:line="360" w:lineRule="auto"/>
        <w:jc w:val="both"/>
        <w:rPr>
          <w:rFonts w:ascii="Palatino Linotype" w:hAnsi="Palatino Linotype" w:cs="Arial"/>
        </w:rPr>
      </w:pPr>
      <w:r>
        <w:rPr>
          <w:rFonts w:ascii="Palatino Linotype" w:hAnsi="Palatino Linotype" w:cs="Arial"/>
        </w:rPr>
        <w:t xml:space="preserve">Así como, razones o motivos de inconformidad, lo siguiente: </w:t>
      </w:r>
    </w:p>
    <w:p w:rsidR="003B28B9" w:rsidRDefault="003B28B9">
      <w:pPr>
        <w:ind w:left="851" w:right="899"/>
        <w:jc w:val="both"/>
        <w:rPr>
          <w:rFonts w:ascii="Palatino Linotype" w:hAnsi="Palatino Linotype" w:cs="Arial"/>
          <w:i/>
          <w:sz w:val="22"/>
          <w:szCs w:val="22"/>
        </w:rPr>
      </w:pPr>
    </w:p>
    <w:p w:rsidR="003B28B9" w:rsidRDefault="0067144E">
      <w:pPr>
        <w:ind w:left="851" w:right="899"/>
        <w:jc w:val="both"/>
        <w:rPr>
          <w:rFonts w:ascii="Palatino Linotype" w:hAnsi="Palatino Linotype" w:cs="Arial"/>
          <w:i/>
          <w:sz w:val="22"/>
          <w:szCs w:val="22"/>
        </w:rPr>
      </w:pPr>
      <w:r>
        <w:rPr>
          <w:rFonts w:ascii="Palatino Linotype" w:hAnsi="Palatino Linotype" w:cs="Arial"/>
          <w:i/>
          <w:sz w:val="22"/>
          <w:szCs w:val="22"/>
        </w:rPr>
        <w:t xml:space="preserve">“LA ENTREGA DE LA INFORMACION SE REALIZA DE FORMA PARCIAL E INCOMPLETA, YA QUE NO SE ANEXAN LOS FORMATOS QUE DEBERÁN UTILIZARSE PARA LA REALIZACION DE LOS DIVERSOS TRAMITES RELACIONADOS CON EL ÁREA REQURIDA, TAMPOCO SE ESTABLECE LA FORMA EN QUE SE PODRAN REALIZAR LOS PAGOS, ANTE ESE ORGANISMO. POR OTRO LADO, EN SU RESPUESTA SE ANEXA UN OFICIO CON NUMERO DTCOM/ 072 / 2020 EN EL CUAL EN LA PARTE FINAL DEL MISMO SE INFORMA QUE LOS COSTOS POR CONEXIÓN DE TOMA DE AGUA SON VARIABLES DE ACUERDO AL </w:t>
      </w:r>
      <w:r>
        <w:rPr>
          <w:rFonts w:ascii="Palatino Linotype" w:hAnsi="Palatino Linotype" w:cs="Arial"/>
          <w:i/>
          <w:sz w:val="22"/>
          <w:szCs w:val="22"/>
        </w:rPr>
        <w:lastRenderedPageBreak/>
        <w:t>DIAMETRO Y LONGITUD, ETC. LO MISMO SUCEDE EN EL CASO DE LA CONEXCIÓN DE DRENAJE, NO OBSTANTE DICHA RESPUESTA RESULTA OBSCURA Y CARECE DE LA CERTEZA NECESARIA PARA CONOCER LOS COSTOS POR CADA UNO DE ESOS CONCEPTOS, RAZÓN POR LA CUAL SOLICITO SE ACLARE Y ENTREGUE DE FORMA COMPLETA DICHA INFORMACIÓN, ESTO ES, SE ME INFORME SOBRE LA FORMA Y MONTOS DE CADA UNO DEESOS CONCEPTOS, ESTO ES, ME INFORMEN LOS COSTOS A PARTIR DEL DIAMETRO Y LONGITUD. DEBIENDO ESTABLECER LA FORMA Y COSTOS DE CADA UNA DE LOS</w:t>
      </w:r>
    </w:p>
    <w:p w:rsidR="003B28B9" w:rsidRDefault="0067144E">
      <w:pPr>
        <w:ind w:left="851" w:right="899"/>
        <w:jc w:val="both"/>
        <w:rPr>
          <w:rFonts w:ascii="Palatino Linotype" w:hAnsi="Palatino Linotype" w:cs="Arial"/>
          <w:i/>
          <w:sz w:val="22"/>
          <w:szCs w:val="22"/>
        </w:rPr>
      </w:pPr>
      <w:r>
        <w:rPr>
          <w:rFonts w:ascii="Palatino Linotype" w:hAnsi="Palatino Linotype" w:cs="Arial"/>
          <w:i/>
          <w:sz w:val="22"/>
          <w:szCs w:val="22"/>
        </w:rPr>
        <w:t>DISTINTOS CONCEPTOS QUE SE COBRAN ASÍ COMO LA FORMA EN QUE SE REALIZA ESE CALCULO.” (</w:t>
      </w:r>
      <w:proofErr w:type="gramStart"/>
      <w:r>
        <w:rPr>
          <w:rFonts w:ascii="Palatino Linotype" w:hAnsi="Palatino Linotype" w:cs="Arial"/>
          <w:i/>
          <w:sz w:val="22"/>
          <w:szCs w:val="22"/>
        </w:rPr>
        <w:t>sic</w:t>
      </w:r>
      <w:proofErr w:type="gramEnd"/>
      <w:r>
        <w:rPr>
          <w:rFonts w:ascii="Palatino Linotype" w:hAnsi="Palatino Linotype" w:cs="Arial"/>
          <w:i/>
          <w:sz w:val="22"/>
          <w:szCs w:val="22"/>
        </w:rPr>
        <w:t xml:space="preserve">) </w:t>
      </w:r>
    </w:p>
    <w:p w:rsidR="003B28B9" w:rsidRDefault="003B28B9">
      <w:pPr>
        <w:ind w:left="851" w:right="899"/>
        <w:jc w:val="both"/>
        <w:rPr>
          <w:rFonts w:ascii="Palatino Linotype" w:hAnsi="Palatino Linotype" w:cs="Arial"/>
          <w:i/>
          <w:sz w:val="22"/>
          <w:szCs w:val="22"/>
        </w:rPr>
      </w:pPr>
    </w:p>
    <w:p w:rsidR="003B28B9" w:rsidRDefault="0067144E">
      <w:pPr>
        <w:pStyle w:val="Default"/>
        <w:spacing w:line="360" w:lineRule="auto"/>
        <w:ind w:right="49"/>
        <w:jc w:val="both"/>
        <w:rPr>
          <w:rFonts w:ascii="Palatino Linotype" w:hAnsi="Palatino Linotype"/>
          <w:lang w:val="es-ES_tradnl"/>
        </w:rPr>
      </w:pPr>
      <w:r>
        <w:rPr>
          <w:rFonts w:ascii="Palatino Linotype" w:hAnsi="Palatino Linotype"/>
          <w:b/>
          <w:sz w:val="28"/>
          <w:szCs w:val="28"/>
        </w:rPr>
        <w:t xml:space="preserve">V. </w:t>
      </w:r>
      <w:r>
        <w:rPr>
          <w:rFonts w:ascii="Palatino Linotype" w:hAnsi="Palatino Linotype"/>
        </w:rPr>
        <w:t>El</w:t>
      </w:r>
      <w:r>
        <w:rPr>
          <w:rFonts w:ascii="Palatino Linotype" w:hAnsi="Palatino Linotype"/>
          <w:b/>
          <w:sz w:val="28"/>
          <w:szCs w:val="28"/>
        </w:rPr>
        <w:t xml:space="preserve"> </w:t>
      </w:r>
      <w:r>
        <w:rPr>
          <w:rFonts w:ascii="Palatino Linotype" w:hAnsi="Palatino Linotype"/>
        </w:rPr>
        <w:t xml:space="preserve">doce de febrero de dos mil veinte, el </w:t>
      </w:r>
      <w:r>
        <w:rPr>
          <w:rFonts w:ascii="Palatino Linotype" w:hAnsi="Palatino Linotype"/>
          <w:lang w:val="es-ES_tradnl"/>
        </w:rPr>
        <w:t>recurso de que</w:t>
      </w:r>
      <w:r>
        <w:rPr>
          <w:rFonts w:ascii="Palatino Linotype" w:hAnsi="Palatino Linotype"/>
        </w:rPr>
        <w:t xml:space="preserve"> se trata</w:t>
      </w:r>
      <w:r>
        <w:rPr>
          <w:rFonts w:ascii="Palatino Linotype" w:hAnsi="Palatino Linotype"/>
          <w:lang w:val="es-ES_tradnl"/>
        </w:rPr>
        <w:t xml:space="preserve"> se envió electrónicamente al Instituto de </w:t>
      </w:r>
      <w:r>
        <w:rPr>
          <w:rFonts w:ascii="Palatino Linotype" w:eastAsia="Arial Unicode MS" w:hAnsi="Palatino Linotype"/>
        </w:rPr>
        <w:t>Transparencia</w:t>
      </w:r>
      <w:r>
        <w:rPr>
          <w:rFonts w:ascii="Palatino Linotype" w:hAnsi="Palatino Linotype"/>
          <w:lang w:val="es-ES_tradnl"/>
        </w:rPr>
        <w:t xml:space="preserve">, Acceso a la Información Pública y Protección de Datos Personales del Estado de México y Municipios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lang w:val="es-ES_tradnl"/>
        </w:rPr>
        <w:t>, se turnó, a través del</w:t>
      </w:r>
      <w:r>
        <w:rPr>
          <w:rFonts w:ascii="Palatino Linotype" w:eastAsia="Arial Unicode MS" w:hAnsi="Palatino Linotype"/>
          <w:lang w:val="es-ES_tradnl"/>
        </w:rPr>
        <w:t xml:space="preserve"> </w:t>
      </w:r>
      <w:r>
        <w:rPr>
          <w:rFonts w:ascii="Palatino Linotype" w:eastAsia="Arial Unicode MS" w:hAnsi="Palatino Linotype"/>
          <w:b/>
          <w:lang w:val="es-ES_tradnl"/>
        </w:rPr>
        <w:t>SAIMEX</w:t>
      </w:r>
      <w:r>
        <w:rPr>
          <w:rFonts w:ascii="Palatino Linotype" w:hAnsi="Palatino Linotype"/>
        </w:rPr>
        <w:t xml:space="preserve">, a la </w:t>
      </w:r>
      <w:r>
        <w:rPr>
          <w:rFonts w:ascii="Palatino Linotype" w:hAnsi="Palatino Linotype"/>
          <w:lang w:val="es-ES_tradnl"/>
        </w:rPr>
        <w:t xml:space="preserve">Comisionada </w:t>
      </w:r>
      <w:r>
        <w:rPr>
          <w:rFonts w:ascii="Palatino Linotype" w:hAnsi="Palatino Linotype"/>
          <w:b/>
          <w:lang w:val="es-ES_tradnl"/>
        </w:rPr>
        <w:t>EVA ABAID YAPUR</w:t>
      </w:r>
      <w:r>
        <w:rPr>
          <w:rFonts w:ascii="Palatino Linotype" w:hAnsi="Palatino Linotype"/>
        </w:rPr>
        <w:t>,</w:t>
      </w:r>
      <w:r>
        <w:rPr>
          <w:rFonts w:ascii="Palatino Linotype" w:hAnsi="Palatino Linotype"/>
          <w:lang w:val="es-ES_tradnl"/>
        </w:rPr>
        <w:t xml:space="preserve"> a efecto de decretar su admisión o desechamiento.</w:t>
      </w:r>
    </w:p>
    <w:p w:rsidR="003B28B9" w:rsidRDefault="003B28B9">
      <w:pPr>
        <w:pStyle w:val="Default"/>
        <w:spacing w:line="360" w:lineRule="auto"/>
        <w:ind w:right="49"/>
        <w:jc w:val="both"/>
        <w:rPr>
          <w:rFonts w:ascii="Palatino Linotype" w:hAnsi="Palatino Linotype"/>
          <w:lang w:val="es-ES_tradnl"/>
        </w:rPr>
      </w:pPr>
    </w:p>
    <w:p w:rsidR="003B28B9" w:rsidRDefault="0067144E">
      <w:pPr>
        <w:pStyle w:val="Piedepgina"/>
        <w:spacing w:line="360" w:lineRule="auto"/>
        <w:jc w:val="both"/>
        <w:rPr>
          <w:rFonts w:ascii="Palatino Linotype" w:hAnsi="Palatino Linotype" w:cs="Arial"/>
        </w:rPr>
      </w:pPr>
      <w:r>
        <w:rPr>
          <w:rFonts w:ascii="Palatino Linotype" w:hAnsi="Palatino Linotype" w:cs="Arial"/>
          <w:b/>
          <w:sz w:val="28"/>
        </w:rPr>
        <w:t xml:space="preserve">VI. </w:t>
      </w:r>
      <w:r>
        <w:rPr>
          <w:rFonts w:ascii="Palatino Linotype" w:hAnsi="Palatino Linotype" w:cs="Arial"/>
        </w:rPr>
        <w:t>De las constancias del expediente electrónico del</w:t>
      </w:r>
      <w:r>
        <w:rPr>
          <w:rFonts w:ascii="Palatino Linotype" w:hAnsi="Palatino Linotype" w:cs="Arial"/>
          <w:b/>
        </w:rPr>
        <w:t xml:space="preserve"> SAIMEX</w:t>
      </w:r>
      <w:r>
        <w:rPr>
          <w:rFonts w:ascii="Palatino Linotype" w:hAnsi="Palatino Linotype" w:cs="Arial"/>
        </w:rPr>
        <w:t xml:space="preserve">, se advierte que en fecha dieciocho de febrero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hAnsi="Palatino Linotype" w:cs="Arial"/>
          <w:b/>
        </w:rPr>
        <w:t xml:space="preserve">EL SUJETO OBLIGADO </w:t>
      </w:r>
      <w:r>
        <w:rPr>
          <w:rFonts w:ascii="Palatino Linotype" w:hAnsi="Palatino Linotype" w:cs="Arial"/>
        </w:rPr>
        <w:t>rindiera su</w:t>
      </w:r>
      <w:r>
        <w:rPr>
          <w:rFonts w:ascii="Palatino Linotype" w:hAnsi="Palatino Linotype" w:cs="Arial"/>
          <w:b/>
        </w:rPr>
        <w:t xml:space="preserve"> </w:t>
      </w:r>
      <w:r>
        <w:rPr>
          <w:rFonts w:ascii="Palatino Linotype" w:hAnsi="Palatino Linotype" w:cs="Arial"/>
        </w:rPr>
        <w:t>Informe Justificado.</w:t>
      </w:r>
    </w:p>
    <w:p w:rsidR="003B28B9" w:rsidRDefault="003B28B9">
      <w:pPr>
        <w:pStyle w:val="Piedepgina"/>
        <w:spacing w:line="360" w:lineRule="auto"/>
        <w:jc w:val="both"/>
        <w:rPr>
          <w:rFonts w:ascii="Palatino Linotype" w:hAnsi="Palatino Linotype" w:cs="Arial"/>
        </w:rPr>
      </w:pPr>
    </w:p>
    <w:p w:rsidR="003B28B9" w:rsidRDefault="0067144E">
      <w:pPr>
        <w:spacing w:line="360" w:lineRule="auto"/>
        <w:jc w:val="both"/>
        <w:rPr>
          <w:rFonts w:ascii="Palatino Linotype" w:hAnsi="Palatino Linotype" w:cs="Arial"/>
        </w:rPr>
      </w:pPr>
      <w:r>
        <w:rPr>
          <w:rFonts w:ascii="Palatino Linotype" w:eastAsia="Arial Unicode MS" w:hAnsi="Palatino Linotype" w:cs="Arial"/>
          <w:b/>
          <w:sz w:val="28"/>
          <w:szCs w:val="28"/>
        </w:rPr>
        <w:lastRenderedPageBreak/>
        <w:t xml:space="preserve">VII. </w:t>
      </w:r>
      <w:r>
        <w:rPr>
          <w:rFonts w:ascii="Palatino Linotype" w:eastAsia="Arial Unicode MS" w:hAnsi="Palatino Linotype" w:cs="Arial"/>
        </w:rPr>
        <w:t xml:space="preserve">Conforme a las constancias del </w:t>
      </w:r>
      <w:r>
        <w:rPr>
          <w:rFonts w:ascii="Palatino Linotype" w:eastAsia="Arial Unicode MS" w:hAnsi="Palatino Linotype" w:cs="Arial"/>
          <w:b/>
        </w:rPr>
        <w:t>SAIMEX</w:t>
      </w:r>
      <w:r>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Pr>
          <w:rFonts w:ascii="Palatino Linotype" w:eastAsia="Arial Unicode MS" w:hAnsi="Palatino Linotype" w:cs="Arial"/>
          <w:b/>
        </w:rPr>
        <w:t>RECURRENTE</w:t>
      </w:r>
      <w:r>
        <w:rPr>
          <w:rFonts w:ascii="Palatino Linotype" w:eastAsia="Arial Unicode MS" w:hAnsi="Palatino Linotype" w:cs="Arial"/>
        </w:rPr>
        <w:t xml:space="preserve">, éste no realizó manifestación alguna, ni presentó pruebas o alegatos, así como tampoco </w:t>
      </w:r>
      <w:r>
        <w:rPr>
          <w:rFonts w:ascii="Palatino Linotype" w:eastAsia="Arial Unicode MS" w:hAnsi="Palatino Linotype" w:cs="Arial"/>
          <w:b/>
          <w:color w:val="000000"/>
          <w:lang w:eastAsia="es-MX"/>
        </w:rPr>
        <w:t>EL SUJETO OBLIGADO</w:t>
      </w:r>
      <w:r>
        <w:rPr>
          <w:rFonts w:ascii="Palatino Linotype" w:eastAsia="Arial Unicode MS" w:hAnsi="Palatino Linotype" w:cs="Arial"/>
        </w:rPr>
        <w:t xml:space="preserve"> rindió su Informe Justificado, tal y como se aprecia en la siguiente imagen: </w:t>
      </w:r>
      <w:r>
        <w:rPr>
          <w:rFonts w:ascii="Palatino Linotype" w:hAnsi="Palatino Linotype" w:cs="Arial"/>
        </w:rPr>
        <w:t xml:space="preserve"> </w:t>
      </w:r>
    </w:p>
    <w:p w:rsidR="003B28B9" w:rsidRDefault="0067144E">
      <w:pPr>
        <w:spacing w:line="360" w:lineRule="auto"/>
        <w:jc w:val="both"/>
        <w:rPr>
          <w:rFonts w:ascii="Palatino Linotype" w:hAnsi="Palatino Linotype" w:cs="Arial"/>
        </w:rPr>
      </w:pPr>
      <w:r>
        <w:rPr>
          <w:noProof/>
          <w:lang w:eastAsia="es-MX"/>
        </w:rPr>
        <w:drawing>
          <wp:inline distT="0" distB="0" distL="0" distR="0">
            <wp:extent cx="5768340" cy="1466850"/>
            <wp:effectExtent l="0" t="0" r="0" b="0"/>
            <wp:docPr id="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9"/>
                    <pic:cNvPicPr>
                      <a:picLocks noChangeAspect="1" noChangeArrowheads="1"/>
                    </pic:cNvPicPr>
                  </pic:nvPicPr>
                  <pic:blipFill>
                    <a:blip r:embed="rId19"/>
                    <a:stretch>
                      <a:fillRect/>
                    </a:stretch>
                  </pic:blipFill>
                  <pic:spPr bwMode="auto">
                    <a:xfrm>
                      <a:off x="0" y="0"/>
                      <a:ext cx="5768340" cy="1466850"/>
                    </a:xfrm>
                    <a:prstGeom prst="rect">
                      <a:avLst/>
                    </a:prstGeom>
                  </pic:spPr>
                </pic:pic>
              </a:graphicData>
            </a:graphic>
          </wp:inline>
        </w:drawing>
      </w:r>
    </w:p>
    <w:p w:rsidR="003B28B9" w:rsidRDefault="003B28B9">
      <w:pPr>
        <w:spacing w:line="360" w:lineRule="auto"/>
        <w:jc w:val="both"/>
        <w:rPr>
          <w:rFonts w:ascii="Palatino Linotype" w:hAnsi="Palatino Linotype" w:cs="Arial"/>
        </w:rPr>
      </w:pPr>
    </w:p>
    <w:p w:rsidR="003B28B9" w:rsidRDefault="000A7CF1">
      <w:pPr>
        <w:spacing w:line="360" w:lineRule="auto"/>
        <w:jc w:val="both"/>
        <w:rPr>
          <w:rFonts w:ascii="Palatino Linotype" w:hAnsi="Palatino Linotype"/>
        </w:rPr>
      </w:pPr>
      <w:r>
        <w:rPr>
          <w:rFonts w:ascii="Palatino Linotype" w:hAnsi="Palatino Linotype"/>
          <w:b/>
          <w:noProof/>
          <w:sz w:val="28"/>
          <w:szCs w:val="28"/>
          <w:lang w:eastAsia="es-MX"/>
        </w:rPr>
        <mc:AlternateContent>
          <mc:Choice Requires="wps">
            <w:drawing>
              <wp:anchor distT="0" distB="0" distL="114300" distR="114300" simplePos="0" relativeHeight="251659264" behindDoc="0" locked="0" layoutInCell="1" allowOverlap="1">
                <wp:simplePos x="0" y="0"/>
                <wp:positionH relativeFrom="column">
                  <wp:posOffset>-3811</wp:posOffset>
                </wp:positionH>
                <wp:positionV relativeFrom="paragraph">
                  <wp:posOffset>601980</wp:posOffset>
                </wp:positionV>
                <wp:extent cx="5991225" cy="2914650"/>
                <wp:effectExtent l="38100" t="19050" r="66675" b="95250"/>
                <wp:wrapNone/>
                <wp:docPr id="35" name="Conector recto 35"/>
                <wp:cNvGraphicFramePr/>
                <a:graphic xmlns:a="http://schemas.openxmlformats.org/drawingml/2006/main">
                  <a:graphicData uri="http://schemas.microsoft.com/office/word/2010/wordprocessingShape">
                    <wps:wsp>
                      <wps:cNvCnPr/>
                      <wps:spPr>
                        <a:xfrm>
                          <a:off x="0" y="0"/>
                          <a:ext cx="5991225" cy="2914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50839C" id="Conector recto 3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47.4pt" to="471.4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" strokecolor="#4f81bd [3204]" strokeweight="2pt">
                <v:shadow on="t" color="black" opacity="24903f" origin=",.5" offset="0,.55556mm"/>
              </v:line>
            </w:pict>
          </mc:Fallback>
        </mc:AlternateContent>
      </w:r>
      <w:r w:rsidR="0067144E">
        <w:rPr>
          <w:rFonts w:ascii="Palatino Linotype" w:hAnsi="Palatino Linotype"/>
          <w:b/>
          <w:sz w:val="28"/>
          <w:szCs w:val="28"/>
        </w:rPr>
        <w:t xml:space="preserve">VIII. </w:t>
      </w:r>
      <w:r w:rsidR="0067144E">
        <w:rPr>
          <w:rFonts w:ascii="Palatino Linotype" w:hAnsi="Palatino Linotype"/>
        </w:rPr>
        <w:t xml:space="preserve">En fecha </w:t>
      </w:r>
      <w:r w:rsidR="0067144E">
        <w:rPr>
          <w:rFonts w:ascii="Palatino Linotype" w:hAnsi="Palatino Linotype" w:cs="Arial"/>
        </w:rPr>
        <w:t>once de marzo de dos mil veinte</w:t>
      </w:r>
      <w:r w:rsidR="0067144E">
        <w:rPr>
          <w:rFonts w:ascii="Palatino Linotype" w:hAnsi="Palatino Linotype"/>
        </w:rPr>
        <w:t xml:space="preserve">, se notificó a las partes el Acuerdo de Cierre de Instrucción en los siguientes términos: </w:t>
      </w:r>
    </w:p>
    <w:p w:rsidR="003B28B9" w:rsidRDefault="0067144E">
      <w:pPr>
        <w:spacing w:line="360" w:lineRule="auto"/>
        <w:jc w:val="center"/>
        <w:rPr>
          <w:rFonts w:ascii="Palatino Linotype" w:hAnsi="Palatino Linotype"/>
        </w:rPr>
      </w:pPr>
      <w:r>
        <w:rPr>
          <w:noProof/>
          <w:lang w:eastAsia="es-MX"/>
        </w:rPr>
        <w:lastRenderedPageBreak/>
        <w:drawing>
          <wp:inline distT="0" distB="0" distL="0" distR="0">
            <wp:extent cx="3733800" cy="4162425"/>
            <wp:effectExtent l="0" t="0" r="0" b="0"/>
            <wp:docPr id="1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0"/>
                    <pic:cNvPicPr>
                      <a:picLocks noChangeAspect="1" noChangeArrowheads="1"/>
                    </pic:cNvPicPr>
                  </pic:nvPicPr>
                  <pic:blipFill>
                    <a:blip r:embed="rId20"/>
                    <a:stretch>
                      <a:fillRect/>
                    </a:stretch>
                  </pic:blipFill>
                  <pic:spPr bwMode="auto">
                    <a:xfrm>
                      <a:off x="0" y="0"/>
                      <a:ext cx="3733800" cy="4162425"/>
                    </a:xfrm>
                    <a:prstGeom prst="rect">
                      <a:avLst/>
                    </a:prstGeom>
                  </pic:spPr>
                </pic:pic>
              </a:graphicData>
            </a:graphic>
          </wp:inline>
        </w:drawing>
      </w:r>
    </w:p>
    <w:p w:rsidR="003B28B9" w:rsidRDefault="003B28B9">
      <w:pPr>
        <w:spacing w:line="360" w:lineRule="auto"/>
        <w:jc w:val="center"/>
        <w:rPr>
          <w:rFonts w:ascii="Palatino Linotype" w:hAnsi="Palatino Linotype"/>
        </w:rPr>
      </w:pPr>
    </w:p>
    <w:p w:rsidR="003B28B9" w:rsidRDefault="0067144E">
      <w:pPr>
        <w:spacing w:line="360" w:lineRule="auto"/>
        <w:ind w:right="50"/>
        <w:jc w:val="both"/>
        <w:rPr>
          <w:rFonts w:ascii="Palatino Linotype" w:hAnsi="Palatino Linotype" w:cs="Arial"/>
        </w:rPr>
      </w:pPr>
      <w:r>
        <w:rPr>
          <w:rFonts w:ascii="Palatino Linotype" w:hAnsi="Palatino Linotype" w:cs="Arial"/>
          <w:b/>
          <w:sz w:val="28"/>
        </w:rPr>
        <w:t>IX.</w:t>
      </w:r>
      <w:r>
        <w:rPr>
          <w:rFonts w:ascii="Palatino Linotype" w:hAnsi="Palatino Linotype" w:cs="Arial"/>
          <w:b/>
        </w:rPr>
        <w:t xml:space="preserve"> </w:t>
      </w:r>
      <w:r>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Pr>
          <w:rFonts w:ascii="Palatino Linotype" w:hAnsi="Palatino Linotype" w:cs="Arial"/>
          <w:b/>
        </w:rPr>
        <w:t>EVA ABAID YAPUR</w:t>
      </w:r>
      <w:r>
        <w:rPr>
          <w:rFonts w:ascii="Palatino Linotype" w:hAnsi="Palatino Linotype" w:cs="Arial"/>
        </w:rPr>
        <w:t xml:space="preserve"> formule y presente al Pleno el proyecto de resolución correspondiente; y</w:t>
      </w:r>
    </w:p>
    <w:p w:rsidR="003B28B9" w:rsidRDefault="003B28B9">
      <w:pPr>
        <w:jc w:val="center"/>
        <w:rPr>
          <w:rFonts w:ascii="Palatino Linotype" w:hAnsi="Palatino Linotype"/>
          <w:b/>
          <w:bCs/>
          <w:spacing w:val="40"/>
          <w:sz w:val="28"/>
        </w:rPr>
      </w:pPr>
    </w:p>
    <w:p w:rsidR="003B28B9" w:rsidRDefault="0067144E">
      <w:pPr>
        <w:jc w:val="center"/>
        <w:rPr>
          <w:rFonts w:ascii="Palatino Linotype" w:hAnsi="Palatino Linotype"/>
          <w:b/>
          <w:bCs/>
          <w:spacing w:val="40"/>
          <w:sz w:val="28"/>
        </w:rPr>
      </w:pPr>
      <w:r>
        <w:rPr>
          <w:rFonts w:ascii="Palatino Linotype" w:hAnsi="Palatino Linotype"/>
          <w:b/>
          <w:bCs/>
          <w:spacing w:val="40"/>
          <w:sz w:val="28"/>
        </w:rPr>
        <w:t>CONSIDERANDO</w:t>
      </w:r>
    </w:p>
    <w:p w:rsidR="003B28B9" w:rsidRDefault="003B28B9">
      <w:pPr>
        <w:jc w:val="center"/>
        <w:rPr>
          <w:rFonts w:ascii="Palatino Linotype" w:hAnsi="Palatino Linotype"/>
          <w:b/>
          <w:bCs/>
          <w:spacing w:val="40"/>
          <w:sz w:val="28"/>
        </w:rPr>
      </w:pPr>
    </w:p>
    <w:p w:rsidR="003B28B9" w:rsidRDefault="0067144E">
      <w:pPr>
        <w:spacing w:line="360" w:lineRule="auto"/>
        <w:ind w:right="50"/>
        <w:jc w:val="both"/>
        <w:rPr>
          <w:rFonts w:ascii="Palatino Linotype" w:hAnsi="Palatino Linotype" w:cs="Arial"/>
        </w:rPr>
      </w:pPr>
      <w:r>
        <w:rPr>
          <w:rFonts w:ascii="Palatino Linotype" w:hAnsi="Palatino Linotype"/>
          <w:b/>
          <w:sz w:val="28"/>
          <w:szCs w:val="28"/>
        </w:rPr>
        <w:t>PRIMERO</w:t>
      </w:r>
      <w:r>
        <w:rPr>
          <w:rFonts w:ascii="Palatino Linotype" w:hAnsi="Palatino Linotype"/>
          <w:b/>
        </w:rPr>
        <w:t>.</w:t>
      </w:r>
      <w:r>
        <w:rPr>
          <w:rFonts w:ascii="Palatino Linotype" w:hAnsi="Palatino Linotype"/>
        </w:rPr>
        <w:t xml:space="preserve"> </w:t>
      </w: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w:t>
      </w:r>
      <w:r>
        <w:rPr>
          <w:rFonts w:ascii="Palatino Linotype" w:hAnsi="Palatino Linotype" w:cs="Arial"/>
        </w:rPr>
        <w:t>Transparencia</w:t>
      </w:r>
      <w:r>
        <w:rPr>
          <w:rFonts w:ascii="Palatino Linotype" w:hAnsi="Palatino Linotype"/>
        </w:rPr>
        <w:t xml:space="preserve">, Acceso a la Información Pública y Protección de Datos Personales del Estado de México y Municipios, es </w:t>
      </w:r>
      <w:r>
        <w:rPr>
          <w:rFonts w:ascii="Palatino Linotype" w:hAnsi="Palatino Linotype"/>
        </w:rPr>
        <w:lastRenderedPageBreak/>
        <w:t xml:space="preserve">competente para conocer y resolver el presente recurso, conforme a lo dispuesto en los artículos 6, Letra A de la Constitución Política de los Estados Unidos Mexicanos; 5, </w:t>
      </w:r>
      <w:r>
        <w:rPr>
          <w:rFonts w:ascii="Palatino Linotype" w:eastAsia="Calibri" w:hAnsi="Palatino Linotype" w:cs="Arial"/>
        </w:rPr>
        <w:t xml:space="preserve">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3B28B9" w:rsidRDefault="003B28B9">
      <w:pPr>
        <w:spacing w:line="360" w:lineRule="auto"/>
        <w:ind w:right="50"/>
        <w:jc w:val="both"/>
        <w:rPr>
          <w:rFonts w:ascii="Palatino Linotype" w:hAnsi="Palatino Linotype" w:cs="Arial"/>
          <w:b/>
        </w:rPr>
      </w:pPr>
    </w:p>
    <w:p w:rsidR="003B28B9" w:rsidRDefault="0067144E">
      <w:pPr>
        <w:spacing w:line="360" w:lineRule="auto"/>
        <w:jc w:val="both"/>
        <w:rPr>
          <w:rFonts w:ascii="Palatino Linotype" w:hAnsi="Palatino Linotype" w:cs="Arial"/>
          <w:b/>
        </w:rPr>
      </w:pPr>
      <w:r>
        <w:rPr>
          <w:rFonts w:ascii="Palatino Linotype" w:hAnsi="Palatino Linotype" w:cs="Arial"/>
          <w:b/>
          <w:sz w:val="28"/>
        </w:rPr>
        <w:t>SEGUNDO</w:t>
      </w:r>
      <w:r>
        <w:rPr>
          <w:rFonts w:ascii="Palatino Linotype" w:hAnsi="Palatino Linotype" w:cs="Arial"/>
          <w:b/>
        </w:rPr>
        <w:t xml:space="preserve">. Interés. </w:t>
      </w:r>
      <w:r>
        <w:rPr>
          <w:rFonts w:ascii="Palatino Linotype" w:hAnsi="Palatino Linotype" w:cs="Arial"/>
          <w:bCs/>
        </w:rPr>
        <w:t xml:space="preserve">El recurso de revisión fue interpuesto por parte legítima, en atención a que se presentó por </w:t>
      </w:r>
      <w:r>
        <w:rPr>
          <w:rFonts w:ascii="Palatino Linotype" w:hAnsi="Palatino Linotype" w:cs="Arial"/>
          <w:b/>
          <w:bCs/>
        </w:rPr>
        <w:t>EL RECURRENTE,</w:t>
      </w:r>
      <w:r>
        <w:rPr>
          <w:rFonts w:ascii="Palatino Linotype" w:hAnsi="Palatino Linotype" w:cs="Arial"/>
          <w:bCs/>
        </w:rPr>
        <w:t xml:space="preserve"> quien es la misma persona que formuló la solicitud de acceso a la información pública al </w:t>
      </w:r>
      <w:r>
        <w:rPr>
          <w:rFonts w:ascii="Palatino Linotype" w:hAnsi="Palatino Linotype" w:cs="Arial"/>
          <w:b/>
          <w:bCs/>
        </w:rPr>
        <w:t>SUJETO OBLIGADO.</w:t>
      </w:r>
    </w:p>
    <w:p w:rsidR="003B28B9" w:rsidRDefault="003B28B9">
      <w:pPr>
        <w:spacing w:line="360" w:lineRule="auto"/>
        <w:jc w:val="both"/>
        <w:rPr>
          <w:rFonts w:ascii="Palatino Linotype" w:hAnsi="Palatino Linotype" w:cs="Arial"/>
          <w:b/>
          <w:szCs w:val="28"/>
        </w:rPr>
      </w:pPr>
    </w:p>
    <w:p w:rsidR="003B28B9" w:rsidRDefault="0067144E">
      <w:pPr>
        <w:pStyle w:val="Prrafodelista"/>
        <w:spacing w:line="360" w:lineRule="auto"/>
        <w:ind w:left="0" w:right="49"/>
        <w:jc w:val="both"/>
        <w:rPr>
          <w:rFonts w:ascii="Palatino Linotype" w:hAnsi="Palatino Linotype" w:cs="Arial"/>
        </w:rPr>
      </w:pPr>
      <w:r>
        <w:rPr>
          <w:rFonts w:ascii="Palatino Linotype" w:hAnsi="Palatino Linotype" w:cs="Arial"/>
          <w:b/>
          <w:sz w:val="28"/>
          <w:szCs w:val="28"/>
        </w:rPr>
        <w:t xml:space="preserve">TERCERO. </w:t>
      </w: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LA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3B28B9" w:rsidRDefault="003B28B9">
      <w:pPr>
        <w:ind w:left="851" w:right="902"/>
        <w:jc w:val="both"/>
        <w:rPr>
          <w:rFonts w:ascii="Palatino Linotype" w:eastAsiaTheme="minorEastAsia" w:hAnsi="Palatino Linotype" w:cs="Arial"/>
          <w:szCs w:val="20"/>
          <w:lang w:val="es-ES_tradnl"/>
        </w:rPr>
      </w:pPr>
    </w:p>
    <w:p w:rsidR="003B28B9" w:rsidRDefault="0067144E">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Pr>
          <w:rFonts w:ascii="Palatino Linotype" w:eastAsiaTheme="minorEastAsia" w:hAnsi="Palatino Linotype" w:cs="Arial"/>
          <w:i/>
          <w:sz w:val="22"/>
          <w:szCs w:val="22"/>
          <w:lang w:val="es-ES_tradnl"/>
        </w:rPr>
        <w:lastRenderedPageBreak/>
        <w:t>dentro de los quince días hábiles, siguientes a la fecha de la notificación de la respuesta.</w:t>
      </w:r>
    </w:p>
    <w:p w:rsidR="003B28B9" w:rsidRDefault="0067144E">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B28B9" w:rsidRDefault="0067144E">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3B28B9" w:rsidRDefault="003B28B9">
      <w:pPr>
        <w:ind w:left="851" w:right="902"/>
        <w:jc w:val="both"/>
        <w:rPr>
          <w:rFonts w:ascii="Palatino Linotype" w:eastAsiaTheme="minorEastAsia" w:hAnsi="Palatino Linotype" w:cs="Arial"/>
          <w:szCs w:val="20"/>
          <w:lang w:val="es-ES_tradnl"/>
        </w:rPr>
      </w:pPr>
    </w:p>
    <w:p w:rsidR="003B28B9" w:rsidRDefault="0067144E">
      <w:pPr>
        <w:spacing w:line="360" w:lineRule="auto"/>
        <w:jc w:val="both"/>
        <w:rPr>
          <w:rFonts w:ascii="Palatino Linotype" w:hAnsi="Palatino Linotype"/>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 </w:t>
      </w:r>
      <w:r>
        <w:rPr>
          <w:rFonts w:ascii="Palatino Linotype" w:eastAsiaTheme="minorEastAsia" w:hAnsi="Palatino Linotype" w:cs="Arial"/>
          <w:b/>
          <w:lang w:val="es-ES_tradnl"/>
        </w:rPr>
        <w:t xml:space="preserve">cuatro de febrero de dos mil veinte; </w:t>
      </w:r>
      <w:r>
        <w:rPr>
          <w:rFonts w:ascii="Palatino Linotype" w:hAnsi="Palatino Linotype" w:cs="Arial"/>
        </w:rPr>
        <w:t>en consecuencia,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w:t>
      </w:r>
      <w:r>
        <w:rPr>
          <w:rFonts w:ascii="Palatino Linotype" w:hAnsi="Palatino Linotype" w:cs="Arial"/>
          <w:b/>
        </w:rPr>
        <w:t xml:space="preserve"> cinco al veinticinco de febrero de dos mil veinte</w:t>
      </w:r>
      <w:r>
        <w:rPr>
          <w:rFonts w:ascii="Palatino Linotype" w:hAnsi="Palatino Linotype" w:cs="Arial"/>
        </w:rPr>
        <w:t xml:space="preserve">, sin contemplar en el cómputo los días ocho, nueve, nueve, quince, dieciséis, veintidós y veintitrés de febrero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p>
    <w:p w:rsidR="003B28B9" w:rsidRDefault="003B28B9">
      <w:pPr>
        <w:spacing w:line="360" w:lineRule="auto"/>
        <w:jc w:val="both"/>
        <w:rPr>
          <w:rFonts w:ascii="Palatino Linotype" w:eastAsiaTheme="minorEastAsia" w:hAnsi="Palatino Linotype" w:cs="Arial"/>
          <w:lang w:val="es-ES_tradnl"/>
        </w:rPr>
      </w:pPr>
    </w:p>
    <w:p w:rsidR="003B28B9" w:rsidRDefault="0067144E">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doce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3B28B9" w:rsidRDefault="003B28B9">
      <w:pPr>
        <w:spacing w:line="360" w:lineRule="auto"/>
        <w:jc w:val="both"/>
        <w:rPr>
          <w:rFonts w:ascii="Palatino Linotype" w:eastAsiaTheme="minorEastAsia" w:hAnsi="Palatino Linotype" w:cs="Arial"/>
          <w:lang w:val="es-ES_tradnl"/>
        </w:rPr>
      </w:pPr>
    </w:p>
    <w:p w:rsidR="003B28B9" w:rsidRDefault="0067144E">
      <w:pPr>
        <w:spacing w:line="360" w:lineRule="auto"/>
        <w:ind w:right="49"/>
        <w:jc w:val="both"/>
        <w:rPr>
          <w:rFonts w:ascii="Palatino Linotype" w:hAnsi="Palatino Linotype"/>
          <w:b/>
        </w:rPr>
      </w:pPr>
      <w:r>
        <w:rPr>
          <w:rFonts w:ascii="Palatino Linotype" w:hAnsi="Palatino Linotype" w:cs="Arial"/>
          <w:b/>
          <w:sz w:val="28"/>
          <w:szCs w:val="28"/>
        </w:rPr>
        <w:t>CUARTO</w:t>
      </w:r>
      <w:r>
        <w:rPr>
          <w:rFonts w:ascii="Palatino Linotype" w:hAnsi="Palatino Linotype"/>
          <w:b/>
          <w:sz w:val="28"/>
          <w:szCs w:val="28"/>
        </w:rPr>
        <w:t>.</w:t>
      </w:r>
      <w:r>
        <w:rPr>
          <w:rFonts w:ascii="Palatino Linotype" w:hAnsi="Palatino Linotype"/>
          <w:b/>
        </w:rPr>
        <w:t xml:space="preserve"> Procedibilidad. </w:t>
      </w:r>
      <w:r>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Pr>
          <w:rFonts w:ascii="Palatino Linotype" w:hAnsi="Palatino Linotype"/>
        </w:rPr>
        <w:t xml:space="preserve">Ley de Transparencia y </w:t>
      </w:r>
      <w:r>
        <w:rPr>
          <w:rFonts w:ascii="Palatino Linotype" w:hAnsi="Palatino Linotype"/>
        </w:rPr>
        <w:lastRenderedPageBreak/>
        <w:t xml:space="preserve">Acceso a la Información Pública del Estado de México y Municipios, en atención a que fueron presentados mediante el formato visible en </w:t>
      </w:r>
      <w:r>
        <w:rPr>
          <w:rFonts w:ascii="Palatino Linotype" w:hAnsi="Palatino Linotype"/>
          <w:b/>
        </w:rPr>
        <w:t>EL SAIMEX.</w:t>
      </w:r>
    </w:p>
    <w:p w:rsidR="003B28B9" w:rsidRDefault="003B28B9">
      <w:pPr>
        <w:spacing w:line="360" w:lineRule="auto"/>
        <w:ind w:right="49"/>
        <w:jc w:val="both"/>
        <w:rPr>
          <w:rFonts w:ascii="Palatino Linotype" w:eastAsiaTheme="minorEastAsia" w:hAnsi="Palatino Linotype" w:cs="Arial"/>
          <w:b/>
          <w:lang w:val="es-ES_tradnl"/>
        </w:rPr>
      </w:pPr>
    </w:p>
    <w:p w:rsidR="003B28B9" w:rsidRDefault="0067144E">
      <w:pPr>
        <w:spacing w:line="360" w:lineRule="auto"/>
        <w:jc w:val="both"/>
        <w:rPr>
          <w:rFonts w:ascii="Palatino Linotype" w:hAnsi="Palatino Linotype" w:cs="Arial"/>
        </w:rPr>
      </w:pPr>
      <w:r>
        <w:rPr>
          <w:rFonts w:ascii="Palatino Linotype" w:hAnsi="Palatino Linotype" w:cs="Arial"/>
          <w:b/>
          <w:sz w:val="28"/>
          <w:szCs w:val="28"/>
        </w:rPr>
        <w:t>QUINTO</w:t>
      </w:r>
      <w:r>
        <w:rPr>
          <w:rFonts w:ascii="Palatino Linotype" w:hAnsi="Palatino Linotype" w:cs="Arial"/>
          <w:b/>
        </w:rPr>
        <w:t xml:space="preserve">. </w:t>
      </w:r>
      <w:r>
        <w:rPr>
          <w:rFonts w:ascii="Palatino Linotype" w:eastAsiaTheme="minorEastAsia" w:hAnsi="Palatino Linotype" w:cs="Arial"/>
          <w:b/>
          <w:lang w:val="es-ES_tradnl"/>
        </w:rPr>
        <w:t>Estudio y resolución del asunto</w:t>
      </w:r>
      <w:r>
        <w:rPr>
          <w:rFonts w:ascii="Palatino Linotype" w:eastAsiaTheme="minorEastAsia" w:hAnsi="Palatino Linotype" w:cstheme="minorBidi"/>
          <w:b/>
          <w:lang w:val="es-ES_tradnl"/>
        </w:rPr>
        <w:t xml:space="preserve">. </w:t>
      </w:r>
      <w:r>
        <w:rPr>
          <w:rFonts w:ascii="Palatino Linotype" w:hAnsi="Palatino Linotype" w:cs="Arial"/>
        </w:rPr>
        <w:t xml:space="preserve">Una vez determinada la vía sobre la que versará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3B28B9" w:rsidRDefault="003B28B9">
      <w:pPr>
        <w:spacing w:line="360" w:lineRule="auto"/>
        <w:jc w:val="both"/>
        <w:rPr>
          <w:rFonts w:ascii="Palatino Linotype" w:eastAsia="Arial Unicode MS" w:hAnsi="Palatino Linotype" w:cs="Arial"/>
        </w:rPr>
      </w:pPr>
    </w:p>
    <w:p w:rsidR="003B28B9" w:rsidRDefault="0067144E">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Por lo anterior, es importante precisar que se obvia el análisis de la competencia por parte del </w:t>
      </w:r>
      <w:r>
        <w:rPr>
          <w:rFonts w:ascii="Palatino Linotype" w:hAnsi="Palatino Linotype"/>
          <w:b/>
          <w:bCs/>
          <w:color w:val="222222"/>
          <w:lang w:eastAsia="es-MX"/>
        </w:rPr>
        <w:t>SUJETO OBLIGADO</w:t>
      </w:r>
      <w:r>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3B28B9" w:rsidRDefault="003B28B9">
      <w:pPr>
        <w:spacing w:line="360" w:lineRule="auto"/>
        <w:jc w:val="both"/>
        <w:rPr>
          <w:rFonts w:ascii="Palatino Linotype" w:hAnsi="Palatino Linotype"/>
          <w:color w:val="222222"/>
          <w:lang w:eastAsia="es-MX"/>
        </w:rPr>
      </w:pPr>
    </w:p>
    <w:p w:rsidR="003B28B9" w:rsidRDefault="0067144E">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En efecto, el hecho de que </w:t>
      </w:r>
      <w:r>
        <w:rPr>
          <w:rFonts w:ascii="Palatino Linotype" w:hAnsi="Palatino Linotype"/>
          <w:b/>
          <w:bCs/>
          <w:color w:val="222222"/>
          <w:lang w:eastAsia="es-MX"/>
        </w:rPr>
        <w:t>EL SUJETO OBLIGADO</w:t>
      </w:r>
      <w:r>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w:t>
      </w:r>
      <w:r>
        <w:rPr>
          <w:rFonts w:ascii="Palatino Linotype" w:hAnsi="Palatino Linotype"/>
          <w:color w:val="222222"/>
          <w:lang w:eastAsia="es-MX"/>
        </w:rPr>
        <w:lastRenderedPageBreak/>
        <w:t>jurídico, previsto en el artículo 12 de la Ley de Transparencia y Acceso a la Información Pública del Estado de México y Municipios.</w:t>
      </w:r>
    </w:p>
    <w:p w:rsidR="003B28B9" w:rsidRDefault="003B28B9">
      <w:pPr>
        <w:jc w:val="both"/>
        <w:rPr>
          <w:rFonts w:ascii="Palatino Linotype" w:hAnsi="Palatino Linotype"/>
          <w:color w:val="222222"/>
          <w:lang w:eastAsia="es-MX"/>
        </w:rPr>
      </w:pPr>
    </w:p>
    <w:p w:rsidR="003B28B9" w:rsidRDefault="0067144E">
      <w:pPr>
        <w:shd w:val="clear" w:color="auto" w:fill="FFFFFF"/>
        <w:ind w:left="851" w:right="902"/>
        <w:jc w:val="both"/>
        <w:rPr>
          <w:rFonts w:ascii="Palatino Linotype" w:hAnsi="Palatino Linotype"/>
          <w:color w:val="222222"/>
          <w:lang w:eastAsia="es-MX"/>
        </w:rPr>
      </w:pPr>
      <w:r>
        <w:rPr>
          <w:rFonts w:ascii="Palatino Linotype" w:hAnsi="Palatino Linotype"/>
          <w:i/>
          <w:iCs/>
          <w:color w:val="222222"/>
          <w:sz w:val="22"/>
          <w:szCs w:val="22"/>
          <w:lang w:eastAsia="es-MX"/>
        </w:rPr>
        <w:t>“</w:t>
      </w:r>
      <w:r>
        <w:rPr>
          <w:rFonts w:ascii="Palatino Linotype" w:hAnsi="Palatino Linotype"/>
          <w:b/>
          <w:bCs/>
          <w:i/>
          <w:iCs/>
          <w:color w:val="222222"/>
          <w:sz w:val="22"/>
          <w:szCs w:val="22"/>
          <w:lang w:eastAsia="es-MX"/>
        </w:rPr>
        <w:t>Artículo 12.</w:t>
      </w:r>
      <w:r>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3B28B9" w:rsidRDefault="0067144E">
      <w:pPr>
        <w:shd w:val="clear" w:color="auto" w:fill="FFFFFF"/>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B28B9" w:rsidRDefault="003B28B9">
      <w:pPr>
        <w:shd w:val="clear" w:color="auto" w:fill="FFFFFF"/>
        <w:ind w:left="851" w:right="902"/>
        <w:jc w:val="both"/>
        <w:rPr>
          <w:rFonts w:ascii="Palatino Linotype" w:hAnsi="Palatino Linotype"/>
          <w:color w:val="222222"/>
          <w:lang w:eastAsia="es-MX"/>
        </w:rPr>
      </w:pPr>
    </w:p>
    <w:p w:rsidR="003B28B9" w:rsidRDefault="0067144E">
      <w:pPr>
        <w:spacing w:line="360" w:lineRule="auto"/>
        <w:jc w:val="both"/>
        <w:rPr>
          <w:rFonts w:ascii="Palatino Linotype" w:hAnsi="Palatino Linotype"/>
          <w:color w:val="222222"/>
          <w:lang w:eastAsia="es-MX"/>
        </w:rPr>
      </w:pPr>
      <w:r>
        <w:rPr>
          <w:rFonts w:ascii="Palatino Linotype" w:hAnsi="Palatino Linotype"/>
          <w:color w:val="222222"/>
          <w:lang w:eastAsia="es-MX"/>
        </w:rPr>
        <w:t>Así, el estudio de la naturaleza jurídica de la información pública solicitada, tiene por objeto determinar si ésta la genera, posee o administra </w:t>
      </w:r>
      <w:r>
        <w:rPr>
          <w:rFonts w:ascii="Palatino Linotype" w:hAnsi="Palatino Linotype"/>
          <w:b/>
          <w:bCs/>
          <w:color w:val="222222"/>
          <w:lang w:eastAsia="es-MX"/>
        </w:rPr>
        <w:t>EL SUJETO OBLIGADO</w:t>
      </w:r>
      <w:r>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3B28B9" w:rsidRDefault="003B28B9">
      <w:pPr>
        <w:spacing w:line="360" w:lineRule="auto"/>
        <w:jc w:val="both"/>
        <w:rPr>
          <w:rFonts w:ascii="Palatino Linotype" w:hAnsi="Palatino Linotype"/>
          <w:color w:val="222222"/>
          <w:lang w:val="es-ES" w:eastAsia="es-MX"/>
        </w:rPr>
      </w:pPr>
    </w:p>
    <w:p w:rsidR="003B28B9" w:rsidRDefault="0067144E">
      <w:pPr>
        <w:spacing w:line="360" w:lineRule="auto"/>
        <w:jc w:val="both"/>
        <w:rPr>
          <w:rFonts w:ascii="Palatino Linotype" w:hAnsi="Palatino Linotype" w:cs="Arial"/>
        </w:rPr>
      </w:pPr>
      <w:r>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Pr>
          <w:rFonts w:ascii="Palatino Linotype" w:eastAsiaTheme="minorEastAsia" w:hAnsi="Palatino Linotype" w:cs="Arial"/>
          <w:b/>
          <w:lang w:val="es-ES_tradnl"/>
        </w:rPr>
        <w:t xml:space="preserve">SUJETO OBLIGADO </w:t>
      </w:r>
      <w:r>
        <w:rPr>
          <w:rFonts w:ascii="Palatino Linotype" w:eastAsiaTheme="minorEastAsia" w:hAnsi="Palatino Linotype" w:cs="Arial"/>
          <w:lang w:val="es-ES_tradnl"/>
        </w:rPr>
        <w:t xml:space="preserve">mediante respuesta, se colma el derecho de </w:t>
      </w:r>
      <w:r>
        <w:rPr>
          <w:rFonts w:ascii="Palatino Linotype" w:hAnsi="Palatino Linotype" w:cs="Arial"/>
        </w:rPr>
        <w:t xml:space="preserve">acceso a la información ejercido por </w:t>
      </w:r>
      <w:r>
        <w:rPr>
          <w:rFonts w:ascii="Palatino Linotype" w:hAnsi="Palatino Linotype" w:cs="Arial"/>
          <w:b/>
        </w:rPr>
        <w:t>EL RECURRENTE</w:t>
      </w:r>
      <w:r>
        <w:rPr>
          <w:rFonts w:ascii="Palatino Linotype" w:hAnsi="Palatino Linotype" w:cs="Arial"/>
        </w:rPr>
        <w:t>; atento a ello, se realiza la siguiente tabla, para mayor entendimiento:</w:t>
      </w:r>
    </w:p>
    <w:p w:rsidR="003B28B9" w:rsidRDefault="003B28B9">
      <w:pPr>
        <w:spacing w:line="360" w:lineRule="auto"/>
        <w:jc w:val="both"/>
        <w:rPr>
          <w:rFonts w:ascii="Palatino Linotype" w:hAnsi="Palatino Linotype" w:cs="Arial"/>
        </w:rPr>
      </w:pPr>
    </w:p>
    <w:tbl>
      <w:tblPr>
        <w:tblStyle w:val="Tablaconcuadrcula"/>
        <w:tblW w:w="9111" w:type="dxa"/>
        <w:tblInd w:w="-108" w:type="dxa"/>
        <w:tblLook w:val="04A0" w:firstRow="1" w:lastRow="0" w:firstColumn="1" w:lastColumn="0" w:noHBand="0" w:noVBand="1"/>
      </w:tblPr>
      <w:tblGrid>
        <w:gridCol w:w="2278"/>
        <w:gridCol w:w="2538"/>
        <w:gridCol w:w="2018"/>
        <w:gridCol w:w="2277"/>
      </w:tblGrid>
      <w:tr w:rsidR="003B28B9">
        <w:trPr>
          <w:tblHeader/>
        </w:trPr>
        <w:tc>
          <w:tcPr>
            <w:tcW w:w="2277" w:type="dxa"/>
            <w:shd w:val="pct15" w:color="auto" w:fill="auto"/>
          </w:tcPr>
          <w:p w:rsidR="003B28B9" w:rsidRDefault="0067144E">
            <w:pPr>
              <w:ind w:right="49"/>
              <w:jc w:val="center"/>
              <w:rPr>
                <w:rFonts w:ascii="Palatino Linotype" w:hAnsi="Palatino Linotype" w:cs="Arial"/>
                <w:color w:val="000000" w:themeColor="text1"/>
              </w:rPr>
            </w:pPr>
            <w:r>
              <w:rPr>
                <w:rFonts w:ascii="Palatino Linotype" w:eastAsiaTheme="minorHAnsi" w:hAnsi="Palatino Linotype" w:cs="Bookman Old Style"/>
                <w:b/>
                <w:bCs/>
                <w:i/>
                <w:sz w:val="22"/>
              </w:rPr>
              <w:lastRenderedPageBreak/>
              <w:t>Solicitud</w:t>
            </w:r>
          </w:p>
        </w:tc>
        <w:tc>
          <w:tcPr>
            <w:tcW w:w="2538" w:type="dxa"/>
            <w:shd w:val="pct15" w:color="auto" w:fill="auto"/>
          </w:tcPr>
          <w:p w:rsidR="003B28B9" w:rsidRDefault="0067144E">
            <w:pPr>
              <w:ind w:right="49"/>
              <w:jc w:val="center"/>
              <w:rPr>
                <w:rFonts w:ascii="Palatino Linotype" w:hAnsi="Palatino Linotype" w:cs="Arial"/>
                <w:color w:val="000000" w:themeColor="text1"/>
              </w:rPr>
            </w:pPr>
            <w:r>
              <w:rPr>
                <w:rFonts w:ascii="Palatino Linotype" w:eastAsiaTheme="minorHAnsi" w:hAnsi="Palatino Linotype" w:cs="Bookman Old Style"/>
                <w:b/>
                <w:bCs/>
                <w:i/>
                <w:sz w:val="22"/>
              </w:rPr>
              <w:t xml:space="preserve">Respuesta </w:t>
            </w:r>
          </w:p>
        </w:tc>
        <w:tc>
          <w:tcPr>
            <w:tcW w:w="2018" w:type="dxa"/>
            <w:shd w:val="pct15" w:color="auto" w:fill="auto"/>
          </w:tcPr>
          <w:p w:rsidR="003B28B9" w:rsidRDefault="0067144E">
            <w:pPr>
              <w:ind w:right="49"/>
              <w:jc w:val="center"/>
              <w:rPr>
                <w:rFonts w:ascii="Palatino Linotype" w:hAnsi="Palatino Linotype" w:cs="Bookman Old Style"/>
                <w:b/>
                <w:bCs/>
                <w:i/>
              </w:rPr>
            </w:pPr>
            <w:r>
              <w:rPr>
                <w:rFonts w:ascii="Palatino Linotype" w:eastAsiaTheme="minorHAnsi" w:hAnsi="Palatino Linotype" w:cs="Bookman Old Style"/>
                <w:b/>
                <w:bCs/>
                <w:i/>
                <w:sz w:val="22"/>
              </w:rPr>
              <w:t>Observaciones</w:t>
            </w:r>
          </w:p>
        </w:tc>
        <w:tc>
          <w:tcPr>
            <w:tcW w:w="2277" w:type="dxa"/>
            <w:shd w:val="pct15" w:color="auto" w:fill="auto"/>
          </w:tcPr>
          <w:p w:rsidR="003B28B9" w:rsidRDefault="0067144E">
            <w:pPr>
              <w:pStyle w:val="Prrafodelista"/>
              <w:ind w:left="0"/>
              <w:jc w:val="center"/>
              <w:rPr>
                <w:rFonts w:ascii="Palatino Linotype" w:eastAsiaTheme="minorEastAsia" w:hAnsi="Palatino Linotype" w:cs="Bookman Old Style"/>
                <w:b/>
                <w:bCs/>
                <w:i/>
                <w:sz w:val="20"/>
                <w:szCs w:val="20"/>
                <w:lang w:eastAsia="es-MX"/>
              </w:rPr>
            </w:pPr>
            <w:r>
              <w:rPr>
                <w:rFonts w:ascii="Palatino Linotype" w:eastAsiaTheme="minorEastAsia" w:hAnsi="Palatino Linotype" w:cs="Bookman Old Style"/>
                <w:b/>
                <w:bCs/>
                <w:i/>
                <w:sz w:val="20"/>
                <w:szCs w:val="20"/>
                <w:lang w:eastAsia="es-MX"/>
              </w:rPr>
              <w:t>Colma</w:t>
            </w:r>
          </w:p>
          <w:p w:rsidR="003B28B9" w:rsidRDefault="0067144E">
            <w:pPr>
              <w:ind w:right="49"/>
              <w:jc w:val="center"/>
              <w:rPr>
                <w:rFonts w:ascii="Palatino Linotype" w:hAnsi="Palatino Linotype" w:cs="Arial"/>
                <w:color w:val="000000" w:themeColor="text1"/>
              </w:rPr>
            </w:pPr>
            <w:r>
              <w:rPr>
                <w:rFonts w:ascii="Palatino Linotype" w:eastAsiaTheme="minorHAnsi" w:hAnsi="Palatino Linotype" w:cs="Bookman Old Style"/>
                <w:b/>
                <w:bCs/>
                <w:i/>
                <w:sz w:val="22"/>
              </w:rPr>
              <w:t>Sí/No</w:t>
            </w:r>
          </w:p>
        </w:tc>
      </w:tr>
      <w:tr w:rsidR="003B28B9">
        <w:tc>
          <w:tcPr>
            <w:tcW w:w="2277" w:type="dxa"/>
          </w:tcPr>
          <w:p w:rsidR="003B28B9" w:rsidRDefault="0067144E">
            <w:pPr>
              <w:pStyle w:val="Prrafodelista"/>
              <w:numPr>
                <w:ilvl w:val="0"/>
                <w:numId w:val="1"/>
              </w:numPr>
              <w:ind w:left="313" w:right="49" w:hanging="284"/>
              <w:jc w:val="both"/>
              <w:rPr>
                <w:rFonts w:ascii="Palatino Linotype" w:hAnsi="Palatino Linotype" w:cs="Bookman Old Style"/>
                <w:bCs/>
                <w:sz w:val="20"/>
                <w:szCs w:val="20"/>
              </w:rPr>
            </w:pPr>
            <w:r>
              <w:rPr>
                <w:rFonts w:ascii="Palatino Linotype" w:eastAsiaTheme="minorHAnsi" w:hAnsi="Palatino Linotype"/>
                <w:color w:val="222222"/>
                <w:sz w:val="20"/>
                <w:lang w:val="es-ES" w:eastAsia="es-MX"/>
              </w:rPr>
              <w:t xml:space="preserve">Catálogo, lista de costos, o bien cualquier otro documento en el que se encuentren establecidos los montos que se deban pagar por cualquier trámite que se realice ante SAPASE Ecatepec, considerando aquellos que hayan estado vigentes durante el año 2019 y los que deberán cubrirse durante el año 2020. </w:t>
            </w:r>
          </w:p>
        </w:tc>
        <w:tc>
          <w:tcPr>
            <w:tcW w:w="2538" w:type="dxa"/>
          </w:tcPr>
          <w:p w:rsidR="003B28B9" w:rsidRDefault="0067144E">
            <w:pPr>
              <w:pStyle w:val="Prrafodelista"/>
              <w:ind w:left="0" w:right="49"/>
              <w:jc w:val="both"/>
              <w:rPr>
                <w:rFonts w:ascii="Palatino Linotype" w:hAnsi="Palatino Linotype" w:cs="Bookman Old Style"/>
                <w:bCs/>
                <w:sz w:val="20"/>
                <w:szCs w:val="20"/>
              </w:rPr>
            </w:pPr>
            <w:r>
              <w:rPr>
                <w:rFonts w:ascii="Palatino Linotype" w:hAnsi="Palatino Linotype" w:cs="Bookman Old Style"/>
                <w:bCs/>
                <w:sz w:val="20"/>
                <w:szCs w:val="20"/>
              </w:rPr>
              <w:t xml:space="preserve">Se remitió Catálogo de trámites y servicios que el Organismo Operador de Agua a través de la Dirección de Comercialización ofrece, correspondientes a los años 2019 y 2020, en los cuales se advierte el nombre del trámite o servicio a ofrecer, requisitos, costos y tiempo de respuesta.  </w:t>
            </w:r>
          </w:p>
          <w:p w:rsidR="003B28B9" w:rsidRDefault="003B28B9">
            <w:pPr>
              <w:pStyle w:val="Prrafodelista"/>
              <w:ind w:left="0" w:right="49"/>
              <w:jc w:val="both"/>
              <w:rPr>
                <w:rFonts w:ascii="Palatino Linotype" w:hAnsi="Palatino Linotype" w:cs="Bookman Old Style"/>
                <w:bCs/>
                <w:sz w:val="20"/>
                <w:szCs w:val="20"/>
              </w:rPr>
            </w:pPr>
          </w:p>
          <w:p w:rsidR="003B28B9" w:rsidRDefault="0067144E">
            <w:pPr>
              <w:pStyle w:val="Prrafodelista"/>
              <w:ind w:left="0" w:right="49"/>
              <w:jc w:val="both"/>
              <w:rPr>
                <w:rFonts w:ascii="Palatino Linotype" w:hAnsi="Palatino Linotype" w:cs="Bookman Old Style"/>
                <w:bCs/>
                <w:sz w:val="20"/>
                <w:szCs w:val="20"/>
              </w:rPr>
            </w:pPr>
            <w:r>
              <w:rPr>
                <w:rFonts w:ascii="Palatino Linotype" w:hAnsi="Palatino Linotype" w:cs="Bookman Old Style"/>
                <w:bCs/>
                <w:sz w:val="20"/>
                <w:szCs w:val="20"/>
              </w:rPr>
              <w:t xml:space="preserve">El Servidor Público Habilitado de la Dirección Técnica de Construcción, Operación y Mantenimiento, remitió un listado de los trámites y servicios que ofrece en los que se advierte el costo doméstico, comercial e industrial.   </w:t>
            </w:r>
          </w:p>
        </w:tc>
        <w:tc>
          <w:tcPr>
            <w:tcW w:w="2018" w:type="dxa"/>
          </w:tcPr>
          <w:p w:rsidR="003B28B9" w:rsidRDefault="0067144E">
            <w:pPr>
              <w:pStyle w:val="Prrafodelista"/>
              <w:ind w:left="91" w:right="49"/>
              <w:jc w:val="both"/>
              <w:rPr>
                <w:rFonts w:ascii="Palatino Linotype" w:hAnsi="Palatino Linotype" w:cs="Bookman Old Style"/>
                <w:bCs/>
                <w:sz w:val="20"/>
                <w:szCs w:val="20"/>
              </w:rPr>
            </w:pPr>
            <w:r>
              <w:rPr>
                <w:rFonts w:ascii="Palatino Linotype" w:hAnsi="Palatino Linotype" w:cs="Bookman Old Style"/>
                <w:bCs/>
                <w:sz w:val="20"/>
                <w:szCs w:val="20"/>
              </w:rPr>
              <w:t xml:space="preserve">Si bien, el Servidor Público Habilitado de la Dirección Técnica de Construcción, Operación y Mantenimiento, remitió un listado en los que se consideran los costos doméstico, comercial e industrial; del mismo no se advierte a qué año corresponde; argumentando con ello, que los costos se actualizan con la modificación de la UMA (Unidad de Medida de Actualización). </w:t>
            </w:r>
          </w:p>
        </w:tc>
        <w:tc>
          <w:tcPr>
            <w:tcW w:w="2277" w:type="dxa"/>
          </w:tcPr>
          <w:p w:rsidR="003B28B9" w:rsidRDefault="0067144E">
            <w:pPr>
              <w:ind w:right="49"/>
              <w:jc w:val="center"/>
              <w:rPr>
                <w:rFonts w:ascii="Palatino Linotype" w:hAnsi="Palatino Linotype" w:cs="Bookman Old Style"/>
                <w:b/>
                <w:bCs/>
                <w:i/>
              </w:rPr>
            </w:pPr>
            <w:r>
              <w:rPr>
                <w:rFonts w:ascii="Palatino Linotype" w:eastAsiaTheme="minorHAnsi" w:hAnsi="Palatino Linotype" w:cs="Bookman Old Style"/>
                <w:b/>
                <w:bCs/>
                <w:i/>
                <w:sz w:val="22"/>
              </w:rPr>
              <w:t xml:space="preserve">Parcialmente </w:t>
            </w:r>
          </w:p>
        </w:tc>
      </w:tr>
      <w:tr w:rsidR="003B28B9">
        <w:tc>
          <w:tcPr>
            <w:tcW w:w="2277" w:type="dxa"/>
          </w:tcPr>
          <w:p w:rsidR="003B28B9" w:rsidRDefault="0067144E">
            <w:pPr>
              <w:pStyle w:val="Prrafodelista"/>
              <w:numPr>
                <w:ilvl w:val="0"/>
                <w:numId w:val="1"/>
              </w:numPr>
              <w:ind w:left="313" w:right="49" w:hanging="284"/>
              <w:jc w:val="both"/>
              <w:rPr>
                <w:rFonts w:ascii="Palatino Linotype" w:hAnsi="Palatino Linotype"/>
                <w:color w:val="222222"/>
                <w:sz w:val="20"/>
                <w:lang w:val="es-ES" w:eastAsia="es-MX"/>
              </w:rPr>
            </w:pPr>
            <w:r>
              <w:rPr>
                <w:rFonts w:ascii="Palatino Linotype" w:eastAsiaTheme="minorHAnsi" w:hAnsi="Palatino Linotype"/>
                <w:color w:val="222222"/>
                <w:sz w:val="20"/>
                <w:lang w:val="es-ES" w:eastAsia="es-MX"/>
              </w:rPr>
              <w:t xml:space="preserve">Beneficios a los que pueden acceder o hacerse acreedores los habitantes del municipio de Ecatepec frente a SAPASE, vigentes a partir del 1 de enero del año 2020. </w:t>
            </w:r>
          </w:p>
        </w:tc>
        <w:tc>
          <w:tcPr>
            <w:tcW w:w="2538" w:type="dxa"/>
          </w:tcPr>
          <w:p w:rsidR="003B28B9" w:rsidRDefault="0067144E">
            <w:pPr>
              <w:pStyle w:val="Prrafodelista"/>
              <w:ind w:left="0" w:right="49"/>
              <w:jc w:val="both"/>
              <w:rPr>
                <w:rFonts w:ascii="Palatino Linotype" w:hAnsi="Palatino Linotype" w:cs="Bookman Old Style"/>
                <w:bCs/>
                <w:sz w:val="20"/>
                <w:szCs w:val="20"/>
              </w:rPr>
            </w:pPr>
            <w:r>
              <w:rPr>
                <w:rFonts w:ascii="Palatino Linotype" w:hAnsi="Palatino Linotype" w:cs="Bookman Old Style"/>
                <w:bCs/>
                <w:sz w:val="20"/>
                <w:szCs w:val="20"/>
              </w:rPr>
              <w:t xml:space="preserve">Omitió pronunciarse al respecto. </w:t>
            </w:r>
          </w:p>
        </w:tc>
        <w:tc>
          <w:tcPr>
            <w:tcW w:w="2018" w:type="dxa"/>
          </w:tcPr>
          <w:p w:rsidR="003B28B9" w:rsidRDefault="003B28B9">
            <w:pPr>
              <w:pStyle w:val="Prrafodelista"/>
              <w:ind w:left="91" w:right="49"/>
              <w:jc w:val="both"/>
              <w:rPr>
                <w:rFonts w:ascii="Palatino Linotype" w:hAnsi="Palatino Linotype" w:cs="Bookman Old Style"/>
                <w:bCs/>
                <w:sz w:val="20"/>
                <w:szCs w:val="20"/>
              </w:rPr>
            </w:pPr>
          </w:p>
        </w:tc>
        <w:tc>
          <w:tcPr>
            <w:tcW w:w="2277" w:type="dxa"/>
          </w:tcPr>
          <w:p w:rsidR="003B28B9" w:rsidRDefault="0067144E">
            <w:pPr>
              <w:ind w:right="49"/>
              <w:jc w:val="center"/>
              <w:rPr>
                <w:rFonts w:ascii="Palatino Linotype" w:hAnsi="Palatino Linotype" w:cs="Bookman Old Style"/>
                <w:b/>
                <w:bCs/>
                <w:i/>
                <w:sz w:val="36"/>
                <w:szCs w:val="36"/>
              </w:rPr>
            </w:pPr>
            <w:r>
              <w:rPr>
                <w:rFonts w:ascii="Palatino Linotype" w:eastAsiaTheme="minorHAnsi" w:hAnsi="Palatino Linotype" w:cs="Bookman Old Style"/>
                <w:b/>
                <w:bCs/>
                <w:i/>
                <w:sz w:val="36"/>
                <w:szCs w:val="36"/>
              </w:rPr>
              <w:t>X</w:t>
            </w:r>
          </w:p>
        </w:tc>
      </w:tr>
      <w:tr w:rsidR="003B28B9">
        <w:tc>
          <w:tcPr>
            <w:tcW w:w="2277" w:type="dxa"/>
          </w:tcPr>
          <w:p w:rsidR="003B28B9" w:rsidRDefault="0067144E">
            <w:pPr>
              <w:pStyle w:val="Prrafodelista"/>
              <w:numPr>
                <w:ilvl w:val="0"/>
                <w:numId w:val="1"/>
              </w:numPr>
              <w:ind w:left="313" w:right="49" w:hanging="284"/>
              <w:jc w:val="both"/>
              <w:rPr>
                <w:rFonts w:ascii="Palatino Linotype" w:hAnsi="Palatino Linotype"/>
                <w:color w:val="222222"/>
                <w:sz w:val="20"/>
                <w:lang w:val="es-ES" w:eastAsia="es-MX"/>
              </w:rPr>
            </w:pPr>
            <w:r>
              <w:rPr>
                <w:rFonts w:ascii="Palatino Linotype" w:eastAsiaTheme="minorHAnsi" w:hAnsi="Palatino Linotype"/>
                <w:color w:val="222222"/>
                <w:sz w:val="20"/>
                <w:lang w:val="es-ES" w:eastAsia="es-MX"/>
              </w:rPr>
              <w:t xml:space="preserve">Formatos y requisitos que deben ser cubiertos para la realización de los diversos trámites y servicios </w:t>
            </w:r>
            <w:r>
              <w:rPr>
                <w:rFonts w:ascii="Palatino Linotype" w:eastAsiaTheme="minorHAnsi" w:hAnsi="Palatino Linotype"/>
                <w:color w:val="222222"/>
                <w:sz w:val="20"/>
                <w:lang w:val="es-ES" w:eastAsia="es-MX"/>
              </w:rPr>
              <w:lastRenderedPageBreak/>
              <w:t xml:space="preserve">que se prestan ante SAPASE. </w:t>
            </w:r>
          </w:p>
        </w:tc>
        <w:tc>
          <w:tcPr>
            <w:tcW w:w="2538" w:type="dxa"/>
          </w:tcPr>
          <w:p w:rsidR="003B28B9" w:rsidRDefault="0067144E">
            <w:pPr>
              <w:pStyle w:val="Prrafodelista"/>
              <w:ind w:left="0" w:right="49"/>
              <w:jc w:val="both"/>
              <w:rPr>
                <w:rFonts w:ascii="Palatino Linotype" w:hAnsi="Palatino Linotype" w:cs="Bookman Old Style"/>
                <w:bCs/>
                <w:sz w:val="20"/>
                <w:szCs w:val="20"/>
              </w:rPr>
            </w:pPr>
            <w:r>
              <w:rPr>
                <w:rFonts w:ascii="Palatino Linotype" w:hAnsi="Palatino Linotype" w:cs="Bookman Old Style"/>
                <w:bCs/>
                <w:sz w:val="20"/>
                <w:szCs w:val="20"/>
              </w:rPr>
              <w:lastRenderedPageBreak/>
              <w:t xml:space="preserve">En el Catálogo de trámites y servicios que el Organismo Operador de Agua a través de la Dirección de Comercialización ofrece, </w:t>
            </w:r>
            <w:r>
              <w:rPr>
                <w:rFonts w:ascii="Palatino Linotype" w:hAnsi="Palatino Linotype" w:cs="Bookman Old Style"/>
                <w:bCs/>
                <w:sz w:val="20"/>
                <w:szCs w:val="20"/>
              </w:rPr>
              <w:lastRenderedPageBreak/>
              <w:t xml:space="preserve">no se advierte que se deba llenar alguno formato. </w:t>
            </w:r>
          </w:p>
          <w:p w:rsidR="003B28B9" w:rsidRDefault="0067144E">
            <w:pPr>
              <w:pStyle w:val="Prrafodelista"/>
              <w:ind w:left="0" w:right="49"/>
              <w:jc w:val="both"/>
              <w:rPr>
                <w:rFonts w:ascii="Palatino Linotype" w:hAnsi="Palatino Linotype" w:cs="Bookman Old Style"/>
                <w:bCs/>
                <w:sz w:val="20"/>
                <w:szCs w:val="20"/>
              </w:rPr>
            </w:pPr>
            <w:r>
              <w:rPr>
                <w:rFonts w:ascii="Palatino Linotype" w:hAnsi="Palatino Linotype" w:cs="Bookman Old Style"/>
                <w:bCs/>
                <w:sz w:val="20"/>
                <w:szCs w:val="20"/>
              </w:rPr>
              <w:t>Por su parte el Servidor Público Habilitado de la Dirección Técnica de Construcción, Operación y Mantenimiento, omitió pronunciarse al respecto.</w:t>
            </w:r>
          </w:p>
        </w:tc>
        <w:tc>
          <w:tcPr>
            <w:tcW w:w="2018" w:type="dxa"/>
          </w:tcPr>
          <w:p w:rsidR="003B28B9" w:rsidRDefault="0067144E">
            <w:pPr>
              <w:pStyle w:val="Prrafodelista"/>
              <w:ind w:left="91" w:right="49"/>
              <w:jc w:val="both"/>
              <w:rPr>
                <w:rFonts w:ascii="Palatino Linotype" w:hAnsi="Palatino Linotype" w:cs="Bookman Old Style"/>
                <w:bCs/>
                <w:sz w:val="20"/>
                <w:szCs w:val="20"/>
              </w:rPr>
            </w:pPr>
            <w:r>
              <w:rPr>
                <w:rFonts w:ascii="Palatino Linotype" w:hAnsi="Palatino Linotype" w:cs="Bookman Old Style"/>
                <w:bCs/>
                <w:sz w:val="20"/>
                <w:szCs w:val="20"/>
              </w:rPr>
              <w:lastRenderedPageBreak/>
              <w:t xml:space="preserve">A fin de otorgar certeza jurídica se deberán pronunciar al respecto, al ser trámites deben </w:t>
            </w:r>
            <w:r>
              <w:rPr>
                <w:rFonts w:ascii="Palatino Linotype" w:hAnsi="Palatino Linotype" w:cs="Bookman Old Style"/>
                <w:bCs/>
                <w:sz w:val="20"/>
                <w:szCs w:val="20"/>
              </w:rPr>
              <w:lastRenderedPageBreak/>
              <w:t>contar con formato.</w:t>
            </w:r>
          </w:p>
        </w:tc>
        <w:tc>
          <w:tcPr>
            <w:tcW w:w="2277" w:type="dxa"/>
          </w:tcPr>
          <w:p w:rsidR="003B28B9" w:rsidRDefault="0067144E">
            <w:pPr>
              <w:ind w:right="49"/>
              <w:jc w:val="center"/>
              <w:rPr>
                <w:rFonts w:ascii="Palatino Linotype" w:hAnsi="Palatino Linotype" w:cs="Bookman Old Style"/>
                <w:b/>
                <w:bCs/>
                <w:i/>
              </w:rPr>
            </w:pPr>
            <w:r>
              <w:rPr>
                <w:rFonts w:ascii="Palatino Linotype" w:eastAsiaTheme="minorHAnsi" w:hAnsi="Palatino Linotype" w:cs="Bookman Old Style"/>
                <w:b/>
                <w:bCs/>
                <w:i/>
                <w:sz w:val="22"/>
              </w:rPr>
              <w:lastRenderedPageBreak/>
              <w:t xml:space="preserve">Parcialmente </w:t>
            </w:r>
          </w:p>
        </w:tc>
      </w:tr>
      <w:tr w:rsidR="003B28B9">
        <w:tc>
          <w:tcPr>
            <w:tcW w:w="2277" w:type="dxa"/>
          </w:tcPr>
          <w:p w:rsidR="003B28B9" w:rsidRDefault="0067144E">
            <w:pPr>
              <w:pStyle w:val="Prrafodelista"/>
              <w:numPr>
                <w:ilvl w:val="0"/>
                <w:numId w:val="1"/>
              </w:numPr>
              <w:ind w:left="313" w:right="49" w:hanging="284"/>
              <w:jc w:val="both"/>
              <w:rPr>
                <w:rFonts w:ascii="Palatino Linotype" w:hAnsi="Palatino Linotype"/>
                <w:color w:val="222222"/>
                <w:sz w:val="20"/>
                <w:lang w:val="es-ES" w:eastAsia="es-MX"/>
              </w:rPr>
            </w:pPr>
            <w:r>
              <w:rPr>
                <w:rFonts w:ascii="Palatino Linotype" w:eastAsiaTheme="minorHAnsi" w:hAnsi="Palatino Linotype"/>
                <w:color w:val="222222"/>
                <w:sz w:val="20"/>
                <w:lang w:val="es-ES" w:eastAsia="es-MX"/>
              </w:rPr>
              <w:lastRenderedPageBreak/>
              <w:t>Costos y formas de pago, que deberán cubrir los habitantes de Ecatepec para acceder a cada uno de los diversos trámites, servicios, derechos, o cualquier otro concepto que se encuentre establecido en forma económica.</w:t>
            </w:r>
          </w:p>
        </w:tc>
        <w:tc>
          <w:tcPr>
            <w:tcW w:w="2538" w:type="dxa"/>
          </w:tcPr>
          <w:p w:rsidR="003B28B9" w:rsidRDefault="0067144E">
            <w:pPr>
              <w:pStyle w:val="Prrafodelista"/>
              <w:ind w:left="0" w:right="49"/>
              <w:jc w:val="both"/>
              <w:rPr>
                <w:rFonts w:ascii="Palatino Linotype" w:hAnsi="Palatino Linotype" w:cs="Bookman Old Style"/>
                <w:bCs/>
                <w:sz w:val="20"/>
                <w:szCs w:val="20"/>
              </w:rPr>
            </w:pPr>
            <w:r>
              <w:rPr>
                <w:rFonts w:ascii="Palatino Linotype" w:hAnsi="Palatino Linotype" w:cs="Bookman Old Style"/>
                <w:bCs/>
                <w:sz w:val="20"/>
                <w:szCs w:val="20"/>
              </w:rPr>
              <w:t xml:space="preserve">Se remitió Catálogo de trámites y servicios que el Organismo Operador de Agua a través de la Dirección de Comercialización ofrece, correspondientes a los años 2019 y 2020, en los cuales se advierte el nombre del trámite o servicio a ofrecer, requisitos, costos y tiempo de respuesta.  </w:t>
            </w:r>
          </w:p>
          <w:p w:rsidR="003B28B9" w:rsidRDefault="003B28B9">
            <w:pPr>
              <w:pStyle w:val="Prrafodelista"/>
              <w:ind w:left="0" w:right="49"/>
              <w:jc w:val="both"/>
              <w:rPr>
                <w:rFonts w:ascii="Palatino Linotype" w:hAnsi="Palatino Linotype" w:cs="Bookman Old Style"/>
                <w:bCs/>
                <w:sz w:val="20"/>
                <w:szCs w:val="20"/>
              </w:rPr>
            </w:pPr>
          </w:p>
          <w:p w:rsidR="003B28B9" w:rsidRDefault="0067144E">
            <w:pPr>
              <w:pStyle w:val="Prrafodelista"/>
              <w:ind w:left="0" w:right="49"/>
              <w:jc w:val="both"/>
              <w:rPr>
                <w:rFonts w:ascii="Palatino Linotype" w:hAnsi="Palatino Linotype" w:cs="Bookman Old Style"/>
                <w:bCs/>
                <w:sz w:val="20"/>
                <w:szCs w:val="20"/>
              </w:rPr>
            </w:pPr>
            <w:r>
              <w:rPr>
                <w:rFonts w:ascii="Palatino Linotype" w:hAnsi="Palatino Linotype" w:cs="Bookman Old Style"/>
                <w:bCs/>
                <w:sz w:val="20"/>
                <w:szCs w:val="20"/>
              </w:rPr>
              <w:t xml:space="preserve">El Servidor Público Habilitado de la Dirección Técnica de Construcción, Operación y Mantenimiento, remitió un listado de los trámites y servicios que ofrece en los que se advierte el costo doméstico, comercial e industrial.   </w:t>
            </w:r>
          </w:p>
        </w:tc>
        <w:tc>
          <w:tcPr>
            <w:tcW w:w="2018" w:type="dxa"/>
          </w:tcPr>
          <w:p w:rsidR="003B28B9" w:rsidRDefault="0067144E">
            <w:pPr>
              <w:pStyle w:val="Prrafodelista"/>
              <w:ind w:left="91" w:right="49"/>
              <w:jc w:val="both"/>
              <w:rPr>
                <w:rFonts w:ascii="Palatino Linotype" w:hAnsi="Palatino Linotype" w:cs="Bookman Old Style"/>
                <w:bCs/>
                <w:sz w:val="20"/>
                <w:szCs w:val="20"/>
              </w:rPr>
            </w:pPr>
            <w:r>
              <w:rPr>
                <w:rFonts w:ascii="Palatino Linotype" w:hAnsi="Palatino Linotype" w:cs="Bookman Old Style"/>
                <w:bCs/>
                <w:sz w:val="20"/>
                <w:szCs w:val="20"/>
              </w:rPr>
              <w:t xml:space="preserve">Se omitió pronunciar respecto de las formas de pago. </w:t>
            </w:r>
          </w:p>
        </w:tc>
        <w:tc>
          <w:tcPr>
            <w:tcW w:w="2277" w:type="dxa"/>
          </w:tcPr>
          <w:p w:rsidR="003B28B9" w:rsidRDefault="0067144E">
            <w:pPr>
              <w:ind w:right="49"/>
              <w:jc w:val="center"/>
              <w:rPr>
                <w:rFonts w:ascii="Palatino Linotype" w:hAnsi="Palatino Linotype" w:cs="Bookman Old Style"/>
                <w:b/>
                <w:bCs/>
                <w:i/>
              </w:rPr>
            </w:pPr>
            <w:r>
              <w:rPr>
                <w:rFonts w:ascii="Palatino Linotype" w:eastAsiaTheme="minorHAnsi" w:hAnsi="Palatino Linotype" w:cs="Bookman Old Style"/>
                <w:b/>
                <w:bCs/>
                <w:i/>
                <w:sz w:val="22"/>
              </w:rPr>
              <w:t xml:space="preserve">Parcialmente </w:t>
            </w:r>
          </w:p>
        </w:tc>
      </w:tr>
    </w:tbl>
    <w:p w:rsidR="003B28B9" w:rsidRDefault="003B28B9">
      <w:pPr>
        <w:spacing w:line="360" w:lineRule="auto"/>
        <w:jc w:val="both"/>
        <w:rPr>
          <w:rFonts w:ascii="Palatino Linotype" w:hAnsi="Palatino Linotype" w:cs="Arial"/>
        </w:rPr>
      </w:pPr>
    </w:p>
    <w:p w:rsidR="003B28B9" w:rsidRDefault="0067144E">
      <w:pPr>
        <w:spacing w:line="360" w:lineRule="auto"/>
        <w:jc w:val="both"/>
        <w:rPr>
          <w:rFonts w:ascii="Palatino Linotype" w:hAnsi="Palatino Linotype" w:cs="Arial"/>
        </w:rPr>
      </w:pPr>
      <w:r>
        <w:rPr>
          <w:rFonts w:ascii="Palatino Linotype" w:hAnsi="Palatino Linotype" w:cs="Arial"/>
        </w:rPr>
        <w:t xml:space="preserve">De lo anterior, se puede advertir que </w:t>
      </w:r>
      <w:r>
        <w:rPr>
          <w:rFonts w:ascii="Palatino Linotype" w:hAnsi="Palatino Linotype" w:cs="Arial"/>
          <w:b/>
        </w:rPr>
        <w:t xml:space="preserve">EL SUJETO OBLIGADO </w:t>
      </w:r>
      <w:r>
        <w:rPr>
          <w:rFonts w:ascii="Palatino Linotype" w:hAnsi="Palatino Linotype" w:cs="Arial"/>
        </w:rPr>
        <w:t>no satisfizo el derecho de acceso a la información ejercido por el particular, pues como se puede observar en la tabla que antecede, atendió de manera parcial la misma.</w:t>
      </w:r>
    </w:p>
    <w:p w:rsidR="003B28B9" w:rsidRDefault="003B28B9">
      <w:pPr>
        <w:spacing w:line="360" w:lineRule="auto"/>
        <w:jc w:val="both"/>
        <w:rPr>
          <w:rFonts w:ascii="Palatino Linotype" w:hAnsi="Palatino Linotype"/>
          <w:color w:val="222222"/>
          <w:lang w:val="es-ES" w:eastAsia="es-MX"/>
        </w:rPr>
      </w:pPr>
    </w:p>
    <w:p w:rsidR="003B28B9" w:rsidRDefault="000A7CF1">
      <w:pPr>
        <w:spacing w:line="360" w:lineRule="auto"/>
        <w:jc w:val="both"/>
        <w:rPr>
          <w:rFonts w:ascii="Palatino Linotype" w:hAnsi="Palatino Linotype" w:cs="Bookman Old Style"/>
          <w:bCs/>
        </w:rPr>
      </w:pPr>
      <w:r>
        <w:rPr>
          <w:rFonts w:ascii="Palatino Linotype" w:hAnsi="Palatino Linotype"/>
          <w:noProof/>
          <w:color w:val="222222"/>
          <w:lang w:eastAsia="es-MX"/>
        </w:rPr>
        <mc:AlternateContent>
          <mc:Choice Requires="wps">
            <w:drawing>
              <wp:anchor distT="0" distB="0" distL="114300" distR="114300" simplePos="0" relativeHeight="251660288" behindDoc="0" locked="0" layoutInCell="1" allowOverlap="1">
                <wp:simplePos x="0" y="0"/>
                <wp:positionH relativeFrom="column">
                  <wp:posOffset>-22861</wp:posOffset>
                </wp:positionH>
                <wp:positionV relativeFrom="paragraph">
                  <wp:posOffset>3010534</wp:posOffset>
                </wp:positionV>
                <wp:extent cx="5953125" cy="3819525"/>
                <wp:effectExtent l="38100" t="19050" r="66675" b="85725"/>
                <wp:wrapNone/>
                <wp:docPr id="36" name="Conector recto 36"/>
                <wp:cNvGraphicFramePr/>
                <a:graphic xmlns:a="http://schemas.openxmlformats.org/drawingml/2006/main">
                  <a:graphicData uri="http://schemas.microsoft.com/office/word/2010/wordprocessingShape">
                    <wps:wsp>
                      <wps:cNvCnPr/>
                      <wps:spPr>
                        <a:xfrm>
                          <a:off x="0" y="0"/>
                          <a:ext cx="5953125" cy="381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FAAC29" id="Conector recto 3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237.05pt" to="466.95pt,5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" strokecolor="#4f81bd [3204]" strokeweight="2pt">
                <v:shadow on="t" color="black" opacity="24903f" origin=",.5" offset="0,.55556mm"/>
              </v:line>
            </w:pict>
          </mc:Fallback>
        </mc:AlternateContent>
      </w:r>
      <w:r w:rsidR="0067144E">
        <w:rPr>
          <w:rFonts w:ascii="Palatino Linotype" w:hAnsi="Palatino Linotype"/>
          <w:color w:val="222222"/>
          <w:lang w:val="es-ES" w:eastAsia="es-MX"/>
        </w:rPr>
        <w:t xml:space="preserve">Lo anterior es así, pues respecto al requerimiento identificado con los numerales 1 y 3 relacionados con el </w:t>
      </w:r>
      <w:r w:rsidR="0067144E">
        <w:rPr>
          <w:rFonts w:ascii="Palatino Linotype" w:hAnsi="Palatino Linotype"/>
          <w:i/>
          <w:color w:val="222222"/>
          <w:lang w:val="es-ES" w:eastAsia="es-MX"/>
        </w:rPr>
        <w:t xml:space="preserve">catálogo, lista de costos, o bien cualquier otro documento en el que se encuentren establecidos los montos que se deban pagar por cualquier trámite que se realice ante SAPASE Ecatepec, considerando aquellos que hayan estado vigentes durante el año 2019 y los que deberán cubrirse durante el año 2020; </w:t>
      </w:r>
      <w:r w:rsidR="0067144E">
        <w:rPr>
          <w:rFonts w:ascii="Palatino Linotype" w:hAnsi="Palatino Linotype"/>
          <w:color w:val="222222"/>
          <w:lang w:val="es-ES" w:eastAsia="es-MX"/>
        </w:rPr>
        <w:t xml:space="preserve">así como, </w:t>
      </w:r>
      <w:r w:rsidR="0067144E">
        <w:rPr>
          <w:rFonts w:ascii="Palatino Linotype" w:hAnsi="Palatino Linotype"/>
          <w:i/>
          <w:color w:val="222222"/>
          <w:lang w:val="es-ES" w:eastAsia="es-MX"/>
        </w:rPr>
        <w:t xml:space="preserve">los formatos y requisitos que deben ser cubiertos para la realización de los diversos trámites y servicios que se prestan ante SAPASE;  </w:t>
      </w:r>
      <w:r w:rsidR="0067144E">
        <w:rPr>
          <w:rFonts w:ascii="Palatino Linotype" w:hAnsi="Palatino Linotype" w:cs="Bookman Old Style"/>
          <w:bCs/>
        </w:rPr>
        <w:t xml:space="preserve">el Servidor Público Habilitado de la Dirección de Comercialización remitió el Catálogo de trámites y servicios que ofrece, correspondientes a los años 2019 y 2020, en los cuales se advierte el nombre del trámite o servicio a ofrecer, requisitos, costos y tiempo de respuesta, para mayor referencia se insertan las siguientes imágenes: </w:t>
      </w:r>
    </w:p>
    <w:p w:rsidR="003B28B9" w:rsidRDefault="003B28B9">
      <w:pPr>
        <w:spacing w:line="360" w:lineRule="auto"/>
        <w:jc w:val="both"/>
        <w:rPr>
          <w:rFonts w:ascii="Palatino Linotype" w:hAnsi="Palatino Linotype" w:cs="Bookman Old Style"/>
          <w:bCs/>
        </w:rPr>
      </w:pPr>
    </w:p>
    <w:p w:rsidR="003B28B9" w:rsidRDefault="000A7CF1">
      <w:pPr>
        <w:spacing w:line="360" w:lineRule="auto"/>
        <w:jc w:val="center"/>
        <w:rPr>
          <w:rFonts w:ascii="Palatino Linotype" w:hAnsi="Palatino Linotype" w:cs="Bookman Old Style"/>
          <w:bCs/>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253365</wp:posOffset>
                </wp:positionH>
                <wp:positionV relativeFrom="paragraph">
                  <wp:posOffset>5128259</wp:posOffset>
                </wp:positionV>
                <wp:extent cx="5715000" cy="2085975"/>
                <wp:effectExtent l="38100" t="38100" r="76200" b="85725"/>
                <wp:wrapNone/>
                <wp:docPr id="37" name="Conector recto 37"/>
                <wp:cNvGraphicFramePr/>
                <a:graphic xmlns:a="http://schemas.openxmlformats.org/drawingml/2006/main">
                  <a:graphicData uri="http://schemas.microsoft.com/office/word/2010/wordprocessingShape">
                    <wps:wsp>
                      <wps:cNvCnPr/>
                      <wps:spPr>
                        <a:xfrm>
                          <a:off x="0" y="0"/>
                          <a:ext cx="5715000" cy="2085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52782A" id="Conector recto 3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95pt,403.8pt" to="469.95pt,5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" strokecolor="#4f81bd [3204]" strokeweight="2pt">
                <v:shadow on="t" color="black" opacity="24903f" origin=",.5" offset="0,.55556mm"/>
              </v:line>
            </w:pict>
          </mc:Fallback>
        </mc:AlternateContent>
      </w:r>
      <w:r w:rsidR="0067144E">
        <w:rPr>
          <w:noProof/>
          <w:lang w:eastAsia="es-MX"/>
        </w:rPr>
        <w:drawing>
          <wp:inline distT="0" distB="0" distL="0" distR="0">
            <wp:extent cx="5509260" cy="4972050"/>
            <wp:effectExtent l="0" t="0" r="0" b="0"/>
            <wp:docPr id="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4"/>
                    <pic:cNvPicPr>
                      <a:picLocks noChangeAspect="1" noChangeArrowheads="1"/>
                    </pic:cNvPicPr>
                  </pic:nvPicPr>
                  <pic:blipFill>
                    <a:blip r:embed="rId21"/>
                    <a:stretch>
                      <a:fillRect/>
                    </a:stretch>
                  </pic:blipFill>
                  <pic:spPr bwMode="auto">
                    <a:xfrm>
                      <a:off x="0" y="0"/>
                      <a:ext cx="5509260" cy="4972050"/>
                    </a:xfrm>
                    <a:prstGeom prst="rect">
                      <a:avLst/>
                    </a:prstGeom>
                  </pic:spPr>
                </pic:pic>
              </a:graphicData>
            </a:graphic>
          </wp:inline>
        </w:drawing>
      </w:r>
    </w:p>
    <w:p w:rsidR="003B28B9" w:rsidRDefault="000A7CF1">
      <w:pPr>
        <w:spacing w:line="360" w:lineRule="auto"/>
        <w:jc w:val="both"/>
        <w:rPr>
          <w:rFonts w:ascii="Palatino Linotype" w:hAnsi="Palatino Linotype" w:cs="Bookman Old Style"/>
          <w:bCs/>
        </w:rPr>
      </w:pPr>
      <w:r>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4880609</wp:posOffset>
                </wp:positionV>
                <wp:extent cx="6115050" cy="2295525"/>
                <wp:effectExtent l="38100" t="38100" r="76200" b="85725"/>
                <wp:wrapNone/>
                <wp:docPr id="38" name="Conector recto 38"/>
                <wp:cNvGraphicFramePr/>
                <a:graphic xmlns:a="http://schemas.openxmlformats.org/drawingml/2006/main">
                  <a:graphicData uri="http://schemas.microsoft.com/office/word/2010/wordprocessingShape">
                    <wps:wsp>
                      <wps:cNvCnPr/>
                      <wps:spPr>
                        <a:xfrm>
                          <a:off x="0" y="0"/>
                          <a:ext cx="6115050" cy="2295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230493" id="Conector recto 3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384.3pt" to="481.2pt,5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" strokecolor="#4f81bd [3204]" strokeweight="2pt">
                <v:shadow on="t" color="black" opacity="24903f" origin=",.5" offset="0,.55556mm"/>
              </v:line>
            </w:pict>
          </mc:Fallback>
        </mc:AlternateContent>
      </w:r>
      <w:r w:rsidR="0067144E">
        <w:rPr>
          <w:noProof/>
          <w:lang w:eastAsia="es-MX"/>
        </w:rPr>
        <w:drawing>
          <wp:inline distT="0" distB="0" distL="0" distR="0">
            <wp:extent cx="5455920" cy="4876800"/>
            <wp:effectExtent l="0" t="0" r="0" b="0"/>
            <wp:docPr id="1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5"/>
                    <pic:cNvPicPr>
                      <a:picLocks noChangeAspect="1" noChangeArrowheads="1"/>
                    </pic:cNvPicPr>
                  </pic:nvPicPr>
                  <pic:blipFill>
                    <a:blip r:embed="rId22"/>
                    <a:stretch>
                      <a:fillRect/>
                    </a:stretch>
                  </pic:blipFill>
                  <pic:spPr bwMode="auto">
                    <a:xfrm>
                      <a:off x="0" y="0"/>
                      <a:ext cx="5455920" cy="4876800"/>
                    </a:xfrm>
                    <a:prstGeom prst="rect">
                      <a:avLst/>
                    </a:prstGeom>
                  </pic:spPr>
                </pic:pic>
              </a:graphicData>
            </a:graphic>
          </wp:inline>
        </w:drawing>
      </w:r>
      <w:r w:rsidR="0067144E">
        <w:rPr>
          <w:noProof/>
          <w:lang w:eastAsia="es-MX"/>
        </w:rPr>
        <w:lastRenderedPageBreak/>
        <w:drawing>
          <wp:inline distT="0" distB="0" distL="0" distR="0">
            <wp:extent cx="5463540" cy="4267200"/>
            <wp:effectExtent l="0" t="0" r="0" b="0"/>
            <wp:docPr id="1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6"/>
                    <pic:cNvPicPr>
                      <a:picLocks noChangeAspect="1" noChangeArrowheads="1"/>
                    </pic:cNvPicPr>
                  </pic:nvPicPr>
                  <pic:blipFill>
                    <a:blip r:embed="rId23"/>
                    <a:stretch>
                      <a:fillRect/>
                    </a:stretch>
                  </pic:blipFill>
                  <pic:spPr bwMode="auto">
                    <a:xfrm>
                      <a:off x="0" y="0"/>
                      <a:ext cx="5463540" cy="4267200"/>
                    </a:xfrm>
                    <a:prstGeom prst="rect">
                      <a:avLst/>
                    </a:prstGeom>
                  </pic:spPr>
                </pic:pic>
              </a:graphicData>
            </a:graphic>
          </wp:inline>
        </w:drawing>
      </w:r>
      <w:r>
        <w:rPr>
          <w:noProof/>
          <w:lang w:eastAsia="es-MX"/>
        </w:rPr>
        <mc:AlternateContent>
          <mc:Choice Requires="wps">
            <w:drawing>
              <wp:anchor distT="0" distB="0" distL="114300" distR="114300" simplePos="0" relativeHeight="86" behindDoc="0" locked="0" layoutInCell="1" allowOverlap="1">
                <wp:simplePos x="0" y="0"/>
                <wp:positionH relativeFrom="column">
                  <wp:posOffset>-22860</wp:posOffset>
                </wp:positionH>
                <wp:positionV relativeFrom="paragraph">
                  <wp:posOffset>5899785</wp:posOffset>
                </wp:positionV>
                <wp:extent cx="5870575" cy="1470660"/>
                <wp:effectExtent l="19050" t="19050" r="34925" b="34290"/>
                <wp:wrapNone/>
                <wp:docPr id="12" name="Conector recto 42"/>
                <wp:cNvGraphicFramePr/>
                <a:graphic xmlns:a="http://schemas.openxmlformats.org/drawingml/2006/main">
                  <a:graphicData uri="http://schemas.microsoft.com/office/word/2010/wordprocessingShape">
                    <wps:wsp>
                      <wps:cNvCnPr/>
                      <wps:spPr>
                        <a:xfrm>
                          <a:off x="0" y="0"/>
                          <a:ext cx="5870575" cy="1470660"/>
                        </a:xfrm>
                        <a:prstGeom prst="line">
                          <a:avLst/>
                        </a:prstGeom>
                        <a:ln w="28575">
                          <a:solidFill>
                            <a:schemeClr val="accent1"/>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EBDBF5A" id="Conector recto 42" o:spid="_x0000_s1026" style="position:absolute;z-index: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464.55pt" to="460.45pt,5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" strokecolor="#4f81bd [3204]" strokeweight="2.25pt"/>
            </w:pict>
          </mc:Fallback>
        </mc:AlternateContent>
      </w:r>
      <w:r w:rsidR="0067144E">
        <w:rPr>
          <w:noProof/>
          <w:lang w:eastAsia="es-MX"/>
        </w:rPr>
        <w:drawing>
          <wp:inline distT="0" distB="0" distL="0" distR="0">
            <wp:extent cx="5471160" cy="1607820"/>
            <wp:effectExtent l="0" t="0" r="0" b="0"/>
            <wp:docPr id="1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37"/>
                    <pic:cNvPicPr>
                      <a:picLocks noChangeAspect="1" noChangeArrowheads="1"/>
                    </pic:cNvPicPr>
                  </pic:nvPicPr>
                  <pic:blipFill>
                    <a:blip r:embed="rId24"/>
                    <a:stretch>
                      <a:fillRect/>
                    </a:stretch>
                  </pic:blipFill>
                  <pic:spPr bwMode="auto">
                    <a:xfrm>
                      <a:off x="0" y="0"/>
                      <a:ext cx="5471160" cy="1607820"/>
                    </a:xfrm>
                    <a:prstGeom prst="rect">
                      <a:avLst/>
                    </a:prstGeom>
                  </pic:spPr>
                </pic:pic>
              </a:graphicData>
            </a:graphic>
          </wp:inline>
        </w:drawing>
      </w:r>
      <w:r w:rsidR="0067144E">
        <w:rPr>
          <w:noProof/>
          <w:lang w:eastAsia="es-MX"/>
        </w:rPr>
        <w:lastRenderedPageBreak/>
        <mc:AlternateContent>
          <mc:Choice Requires="wps">
            <w:drawing>
              <wp:anchor distT="0" distB="0" distL="114300" distR="114300" simplePos="0" relativeHeight="87" behindDoc="0" locked="0" layoutInCell="1" allowOverlap="1">
                <wp:simplePos x="0" y="0"/>
                <wp:positionH relativeFrom="column">
                  <wp:posOffset>-3810</wp:posOffset>
                </wp:positionH>
                <wp:positionV relativeFrom="paragraph">
                  <wp:posOffset>4356736</wp:posOffset>
                </wp:positionV>
                <wp:extent cx="5866765" cy="2876550"/>
                <wp:effectExtent l="0" t="0" r="19685" b="19050"/>
                <wp:wrapNone/>
                <wp:docPr id="15" name="Conector recto 43"/>
                <wp:cNvGraphicFramePr/>
                <a:graphic xmlns:a="http://schemas.openxmlformats.org/drawingml/2006/main">
                  <a:graphicData uri="http://schemas.microsoft.com/office/word/2010/wordprocessingShape">
                    <wps:wsp>
                      <wps:cNvCnPr/>
                      <wps:spPr>
                        <a:xfrm>
                          <a:off x="0" y="0"/>
                          <a:ext cx="5866765" cy="2876550"/>
                        </a:xfrm>
                        <a:prstGeom prst="line">
                          <a:avLst/>
                        </a:prstGeom>
                        <a:ln w="25560">
                          <a:solidFill>
                            <a:schemeClr val="accent1"/>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08FB591" id="Conector recto 43" o:spid="_x0000_s1026" style="position:absolute;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43.05pt" to="461.65pt,5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" strokecolor="#4f81bd [3204]" strokeweight=".71mm"/>
            </w:pict>
          </mc:Fallback>
        </mc:AlternateContent>
      </w:r>
      <w:r w:rsidR="0067144E">
        <w:rPr>
          <w:noProof/>
          <w:lang w:eastAsia="es-MX"/>
        </w:rPr>
        <w:drawing>
          <wp:inline distT="0" distB="0" distL="0" distR="0">
            <wp:extent cx="5440680" cy="4229100"/>
            <wp:effectExtent l="0" t="0" r="0" b="0"/>
            <wp:docPr id="1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8"/>
                    <pic:cNvPicPr>
                      <a:picLocks noChangeAspect="1" noChangeArrowheads="1"/>
                    </pic:cNvPicPr>
                  </pic:nvPicPr>
                  <pic:blipFill>
                    <a:blip r:embed="rId25"/>
                    <a:stretch>
                      <a:fillRect/>
                    </a:stretch>
                  </pic:blipFill>
                  <pic:spPr bwMode="auto">
                    <a:xfrm>
                      <a:off x="0" y="0"/>
                      <a:ext cx="5440680" cy="4229100"/>
                    </a:xfrm>
                    <a:prstGeom prst="rect">
                      <a:avLst/>
                    </a:prstGeom>
                  </pic:spPr>
                </pic:pic>
              </a:graphicData>
            </a:graphic>
          </wp:inline>
        </w:drawing>
      </w:r>
      <w:r w:rsidR="0067144E">
        <w:rPr>
          <w:noProof/>
          <w:lang w:eastAsia="es-MX"/>
        </w:rPr>
        <w:lastRenderedPageBreak/>
        <mc:AlternateContent>
          <mc:Choice Requires="wps">
            <w:drawing>
              <wp:anchor distT="0" distB="0" distL="114300" distR="114300" simplePos="0" relativeHeight="88" behindDoc="0" locked="0" layoutInCell="1" allowOverlap="1">
                <wp:simplePos x="0" y="0"/>
                <wp:positionH relativeFrom="column">
                  <wp:posOffset>-22860</wp:posOffset>
                </wp:positionH>
                <wp:positionV relativeFrom="paragraph">
                  <wp:posOffset>4490085</wp:posOffset>
                </wp:positionV>
                <wp:extent cx="5907405" cy="2818765"/>
                <wp:effectExtent l="0" t="0" r="36195" b="19685"/>
                <wp:wrapNone/>
                <wp:docPr id="17" name="Conector recto 44"/>
                <wp:cNvGraphicFramePr/>
                <a:graphic xmlns:a="http://schemas.openxmlformats.org/drawingml/2006/main">
                  <a:graphicData uri="http://schemas.microsoft.com/office/word/2010/wordprocessingShape">
                    <wps:wsp>
                      <wps:cNvCnPr/>
                      <wps:spPr>
                        <a:xfrm>
                          <a:off x="0" y="0"/>
                          <a:ext cx="5907405" cy="2818765"/>
                        </a:xfrm>
                        <a:prstGeom prst="line">
                          <a:avLst/>
                        </a:prstGeom>
                        <a:ln w="25560">
                          <a:solidFill>
                            <a:schemeClr val="accent1"/>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B285246" id="Conector recto 44" o:spid="_x0000_s1026" style="position:absolute;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53.55pt" to="463.3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" strokecolor="#4f81bd [3204]" strokeweight=".71mm"/>
            </w:pict>
          </mc:Fallback>
        </mc:AlternateContent>
      </w:r>
      <w:r w:rsidR="0067144E">
        <w:rPr>
          <w:noProof/>
          <w:lang w:eastAsia="es-MX"/>
        </w:rPr>
        <w:drawing>
          <wp:inline distT="0" distB="0" distL="0" distR="0">
            <wp:extent cx="5440680" cy="4259580"/>
            <wp:effectExtent l="0" t="0" r="0" b="0"/>
            <wp:docPr id="2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39"/>
                    <pic:cNvPicPr>
                      <a:picLocks noChangeAspect="1" noChangeArrowheads="1"/>
                    </pic:cNvPicPr>
                  </pic:nvPicPr>
                  <pic:blipFill>
                    <a:blip r:embed="rId26"/>
                    <a:stretch>
                      <a:fillRect/>
                    </a:stretch>
                  </pic:blipFill>
                  <pic:spPr bwMode="auto">
                    <a:xfrm>
                      <a:off x="0" y="0"/>
                      <a:ext cx="5440680" cy="4259580"/>
                    </a:xfrm>
                    <a:prstGeom prst="rect">
                      <a:avLst/>
                    </a:prstGeom>
                  </pic:spPr>
                </pic:pic>
              </a:graphicData>
            </a:graphic>
          </wp:inline>
        </w:drawing>
      </w:r>
      <w:r w:rsidR="0067144E">
        <w:rPr>
          <w:noProof/>
          <w:lang w:eastAsia="es-MX"/>
        </w:rPr>
        <w:lastRenderedPageBreak/>
        <w:drawing>
          <wp:inline distT="0" distB="0" distL="0" distR="0">
            <wp:extent cx="5471160" cy="4184650"/>
            <wp:effectExtent l="0" t="0" r="0" b="0"/>
            <wp:docPr id="2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40"/>
                    <pic:cNvPicPr>
                      <a:picLocks noChangeAspect="1" noChangeArrowheads="1"/>
                    </pic:cNvPicPr>
                  </pic:nvPicPr>
                  <pic:blipFill>
                    <a:blip r:embed="rId27"/>
                    <a:stretch>
                      <a:fillRect/>
                    </a:stretch>
                  </pic:blipFill>
                  <pic:spPr bwMode="auto">
                    <a:xfrm>
                      <a:off x="0" y="0"/>
                      <a:ext cx="5471160" cy="4184650"/>
                    </a:xfrm>
                    <a:prstGeom prst="rect">
                      <a:avLst/>
                    </a:prstGeom>
                  </pic:spPr>
                </pic:pic>
              </a:graphicData>
            </a:graphic>
          </wp:inline>
        </w:drawing>
      </w:r>
    </w:p>
    <w:p w:rsidR="003B28B9" w:rsidRDefault="003B28B9">
      <w:pPr>
        <w:spacing w:line="360" w:lineRule="auto"/>
        <w:jc w:val="both"/>
        <w:rPr>
          <w:rFonts w:ascii="Palatino Linotype" w:hAnsi="Palatino Linotype" w:cs="Bookman Old Style"/>
          <w:bCs/>
        </w:rPr>
      </w:pPr>
    </w:p>
    <w:p w:rsidR="003B28B9" w:rsidRDefault="0067144E">
      <w:pPr>
        <w:spacing w:line="360" w:lineRule="auto"/>
        <w:jc w:val="both"/>
        <w:rPr>
          <w:rFonts w:ascii="Palatino Linotype" w:hAnsi="Palatino Linotype" w:cs="Bookman Old Style"/>
          <w:bCs/>
        </w:rPr>
      </w:pPr>
      <w:r>
        <w:rPr>
          <w:noProof/>
          <w:lang w:eastAsia="es-MX"/>
        </w:rPr>
        <w:drawing>
          <wp:inline distT="0" distB="0" distL="0" distR="0">
            <wp:extent cx="5463540" cy="1670050"/>
            <wp:effectExtent l="0" t="0" r="0" b="0"/>
            <wp:docPr id="2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41"/>
                    <pic:cNvPicPr>
                      <a:picLocks noChangeAspect="1" noChangeArrowheads="1"/>
                    </pic:cNvPicPr>
                  </pic:nvPicPr>
                  <pic:blipFill>
                    <a:blip r:embed="rId28"/>
                    <a:stretch>
                      <a:fillRect/>
                    </a:stretch>
                  </pic:blipFill>
                  <pic:spPr bwMode="auto">
                    <a:xfrm>
                      <a:off x="0" y="0"/>
                      <a:ext cx="5463540" cy="1670050"/>
                    </a:xfrm>
                    <a:prstGeom prst="rect">
                      <a:avLst/>
                    </a:prstGeom>
                  </pic:spPr>
                </pic:pic>
              </a:graphicData>
            </a:graphic>
          </wp:inline>
        </w:drawing>
      </w:r>
    </w:p>
    <w:p w:rsidR="003B28B9" w:rsidRDefault="003B28B9">
      <w:pPr>
        <w:spacing w:line="360" w:lineRule="auto"/>
        <w:jc w:val="both"/>
        <w:rPr>
          <w:rFonts w:ascii="Palatino Linotype" w:hAnsi="Palatino Linotype" w:cs="Bookman Old Style"/>
          <w:bCs/>
        </w:rPr>
      </w:pPr>
    </w:p>
    <w:p w:rsidR="003B28B9" w:rsidRDefault="0067144E">
      <w:pPr>
        <w:spacing w:line="360" w:lineRule="auto"/>
        <w:jc w:val="both"/>
        <w:rPr>
          <w:rFonts w:ascii="Palatino Linotype" w:hAnsi="Palatino Linotype" w:cs="Bookman Old Style"/>
          <w:bCs/>
        </w:rPr>
      </w:pPr>
      <w:r>
        <w:rPr>
          <w:rFonts w:ascii="Palatino Linotype" w:hAnsi="Palatino Linotype" w:cs="Bookman Old Style"/>
          <w:bCs/>
        </w:rPr>
        <w:lastRenderedPageBreak/>
        <w:t xml:space="preserve">De lo anterior, se puede advertir que si bien, dicho Servidor Público Habilitado refiere los requisitos y costos para los años 2019 y 2020, también lo es que omitió pronunciarse respecto del llenado de alguno formato. </w:t>
      </w:r>
    </w:p>
    <w:p w:rsidR="003B28B9" w:rsidRDefault="003B28B9">
      <w:pPr>
        <w:spacing w:line="360" w:lineRule="auto"/>
        <w:jc w:val="both"/>
        <w:rPr>
          <w:rFonts w:ascii="Palatino Linotype" w:hAnsi="Palatino Linotype" w:cs="Bookman Old Style"/>
          <w:bCs/>
        </w:rPr>
      </w:pPr>
    </w:p>
    <w:p w:rsidR="003B28B9" w:rsidRDefault="0067144E">
      <w:pPr>
        <w:spacing w:line="360" w:lineRule="auto"/>
        <w:jc w:val="both"/>
        <w:rPr>
          <w:rFonts w:ascii="Palatino Linotype" w:hAnsi="Palatino Linotype" w:cs="Bookman Old Style"/>
          <w:bCs/>
        </w:rPr>
      </w:pPr>
      <w:r>
        <w:rPr>
          <w:rFonts w:ascii="Palatino Linotype" w:hAnsi="Palatino Linotype" w:cs="Bookman Old Style"/>
          <w:bCs/>
        </w:rPr>
        <w:t>Por su parte, el Servidor Público Habilitado de la Dirección Técnica de Construcción, Operación y Mantenimiento, remitió un listado de los trámites y servicios que ofrece en los que se advierte el costo doméstico, comercial e industrial; sin embargo, del análisis realizado se advierte que del mismo no se precisa a que año corresponden los costos; asimismo, omite hacer del conocimiento del particular los requisitos que debe cubrir para realizar el trámite correspondiente y si se debe de llenar alguno formato; para mayor referencia se insertan las siguientes imágenes:</w:t>
      </w:r>
    </w:p>
    <w:p w:rsidR="003B28B9" w:rsidRDefault="0067144E">
      <w:pPr>
        <w:spacing w:line="360" w:lineRule="auto"/>
        <w:jc w:val="center"/>
        <w:rPr>
          <w:rFonts w:ascii="Palatino Linotype" w:hAnsi="Palatino Linotype" w:cs="Arial"/>
        </w:rPr>
      </w:pPr>
      <w:r>
        <w:rPr>
          <w:noProof/>
          <w:lang w:eastAsia="es-MX"/>
        </w:rPr>
        <w:drawing>
          <wp:inline distT="0" distB="0" distL="0" distR="0">
            <wp:extent cx="4759960" cy="1676400"/>
            <wp:effectExtent l="0" t="0" r="0"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5"/>
                    <pic:cNvPicPr>
                      <a:picLocks noChangeAspect="1" noChangeArrowheads="1"/>
                    </pic:cNvPicPr>
                  </pic:nvPicPr>
                  <pic:blipFill>
                    <a:blip r:embed="rId14"/>
                    <a:stretch>
                      <a:fillRect/>
                    </a:stretch>
                  </pic:blipFill>
                  <pic:spPr bwMode="auto">
                    <a:xfrm>
                      <a:off x="0" y="0"/>
                      <a:ext cx="4759960" cy="1676400"/>
                    </a:xfrm>
                    <a:prstGeom prst="rect">
                      <a:avLst/>
                    </a:prstGeom>
                  </pic:spPr>
                </pic:pic>
              </a:graphicData>
            </a:graphic>
          </wp:inline>
        </w:drawing>
      </w:r>
    </w:p>
    <w:p w:rsidR="003B28B9" w:rsidRDefault="0067144E">
      <w:pPr>
        <w:spacing w:line="360" w:lineRule="auto"/>
        <w:jc w:val="center"/>
        <w:rPr>
          <w:rFonts w:ascii="Palatino Linotype" w:hAnsi="Palatino Linotype" w:cs="Arial"/>
        </w:rPr>
      </w:pPr>
      <w:r>
        <w:rPr>
          <w:noProof/>
          <w:lang w:eastAsia="es-MX"/>
        </w:rPr>
        <w:drawing>
          <wp:inline distT="0" distB="0" distL="0" distR="0">
            <wp:extent cx="4860290" cy="1714500"/>
            <wp:effectExtent l="0" t="0" r="0"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16"/>
                    <pic:cNvPicPr>
                      <a:picLocks noChangeAspect="1" noChangeArrowheads="1"/>
                    </pic:cNvPicPr>
                  </pic:nvPicPr>
                  <pic:blipFill>
                    <a:blip r:embed="rId15"/>
                    <a:stretch>
                      <a:fillRect/>
                    </a:stretch>
                  </pic:blipFill>
                  <pic:spPr bwMode="auto">
                    <a:xfrm>
                      <a:off x="0" y="0"/>
                      <a:ext cx="4860290" cy="1714500"/>
                    </a:xfrm>
                    <a:prstGeom prst="rect">
                      <a:avLst/>
                    </a:prstGeom>
                  </pic:spPr>
                </pic:pic>
              </a:graphicData>
            </a:graphic>
          </wp:inline>
        </w:drawing>
      </w:r>
    </w:p>
    <w:p w:rsidR="003B28B9" w:rsidRDefault="003B28B9">
      <w:pPr>
        <w:spacing w:line="360" w:lineRule="auto"/>
        <w:jc w:val="both"/>
        <w:rPr>
          <w:rFonts w:ascii="Palatino Linotype" w:hAnsi="Palatino Linotype" w:cs="Bookman Old Style"/>
          <w:bCs/>
          <w:sz w:val="20"/>
          <w:szCs w:val="20"/>
        </w:rPr>
      </w:pPr>
    </w:p>
    <w:p w:rsidR="003B28B9" w:rsidRDefault="0067144E">
      <w:pPr>
        <w:spacing w:line="360" w:lineRule="auto"/>
        <w:jc w:val="both"/>
        <w:rPr>
          <w:rFonts w:ascii="Palatino Linotype" w:hAnsi="Palatino Linotype" w:cs="Bookman Old Style"/>
          <w:bCs/>
        </w:rPr>
      </w:pPr>
      <w:r>
        <w:rPr>
          <w:rFonts w:ascii="Palatino Linotype" w:hAnsi="Palatino Linotype" w:cs="Bookman Old Style"/>
          <w:bCs/>
        </w:rPr>
        <w:lastRenderedPageBreak/>
        <w:t xml:space="preserve">En consecuencia, este Órgano Garante determina ordenar los requisitos y costos de los trámites y servicios ofrecidos por la Dirección Técnica de Construcción, Operación y Mantenimiento, correspondientes al año dos mil diecinueve y dos mil veinte; asimismo, deberá entregar los formatos ofrecidos por </w:t>
      </w:r>
      <w:r>
        <w:rPr>
          <w:rFonts w:ascii="Palatino Linotype" w:hAnsi="Palatino Linotype" w:cs="Bookman Old Style"/>
          <w:b/>
          <w:bCs/>
        </w:rPr>
        <w:t>EL SUJETO OBLIGADO</w:t>
      </w:r>
      <w:r>
        <w:rPr>
          <w:rFonts w:ascii="Palatino Linotype" w:hAnsi="Palatino Linotype" w:cs="Bookman Old Style"/>
          <w:bCs/>
        </w:rPr>
        <w:t xml:space="preserve"> para realizar los trámites ofrecidos en los años dos mil diecinueve y dos mil veinte.</w:t>
      </w:r>
    </w:p>
    <w:p w:rsidR="003B28B9" w:rsidRDefault="003B28B9">
      <w:pPr>
        <w:spacing w:line="360" w:lineRule="auto"/>
        <w:jc w:val="both"/>
        <w:rPr>
          <w:rFonts w:ascii="Palatino Linotype" w:hAnsi="Palatino Linotype" w:cs="Bookman Old Style"/>
          <w:bCs/>
          <w:sz w:val="20"/>
          <w:szCs w:val="20"/>
        </w:rPr>
      </w:pPr>
    </w:p>
    <w:p w:rsidR="003B28B9" w:rsidRDefault="0067144E">
      <w:pPr>
        <w:spacing w:line="360" w:lineRule="auto"/>
        <w:jc w:val="both"/>
        <w:rPr>
          <w:rFonts w:ascii="Palatino Linotype" w:hAnsi="Palatino Linotype" w:cs="Bookman Old Style"/>
          <w:bCs/>
        </w:rPr>
      </w:pPr>
      <w:r>
        <w:rPr>
          <w:rFonts w:ascii="Palatino Linotype" w:hAnsi="Palatino Linotype" w:cs="Bookman Old Style"/>
          <w:bCs/>
        </w:rPr>
        <w:t xml:space="preserve">Por otro lado, respecto al requerimiento identificado con el numeral 2, relacionado con los </w:t>
      </w:r>
      <w:r>
        <w:rPr>
          <w:rFonts w:ascii="Palatino Linotype" w:hAnsi="Palatino Linotype" w:cs="Bookman Old Style"/>
          <w:bCs/>
          <w:i/>
        </w:rPr>
        <w:t xml:space="preserve">beneficios a los que pueden acceder o hacerse acreedores los habitantes, vigentes a partir del 1 de enero del año 2020; </w:t>
      </w:r>
      <w:r>
        <w:rPr>
          <w:rFonts w:ascii="Palatino Linotype" w:hAnsi="Palatino Linotype" w:cs="Bookman Old Style"/>
          <w:bCs/>
        </w:rPr>
        <w:t xml:space="preserve">al respecto, </w:t>
      </w:r>
      <w:r>
        <w:rPr>
          <w:rFonts w:ascii="Palatino Linotype" w:hAnsi="Palatino Linotype" w:cs="Bookman Old Style"/>
          <w:b/>
          <w:bCs/>
        </w:rPr>
        <w:t xml:space="preserve">EL SUJETO OBLIGADO </w:t>
      </w:r>
      <w:r>
        <w:rPr>
          <w:rFonts w:ascii="Palatino Linotype" w:hAnsi="Palatino Linotype" w:cs="Bookman Old Style"/>
          <w:bCs/>
        </w:rPr>
        <w:t xml:space="preserve">omitió pronunciarse al respecto; por lo que, personal de la Ponencia Resolutora procedió a verificar la página oficial de dicho Organismo visible en </w:t>
      </w:r>
      <w:hyperlink r:id="rId29">
        <w:r>
          <w:rPr>
            <w:rFonts w:ascii="Palatino Linotype" w:hAnsi="Palatino Linotype" w:cs="Bookman Old Style"/>
            <w:bCs/>
            <w:i/>
            <w:u w:val="single"/>
          </w:rPr>
          <w:t>sapase.gob.mx</w:t>
        </w:r>
        <w:r>
          <w:rPr>
            <w:rFonts w:ascii="Palatino Linotype" w:hAnsi="Palatino Linotype" w:cs="Bookman Old Style"/>
            <w:bCs/>
          </w:rPr>
          <w:t xml:space="preserve">, en el que se pudo advertir los beneficios que se ofrecen, para mayor referencia se insertan las siguientes imágenes: </w:t>
        </w:r>
      </w:hyperlink>
    </w:p>
    <w:p w:rsidR="003B28B9" w:rsidRDefault="00E74291">
      <w:pPr>
        <w:spacing w:line="360" w:lineRule="auto"/>
        <w:jc w:val="both"/>
        <w:rPr>
          <w:rFonts w:ascii="Palatino Linotype" w:hAnsi="Palatino Linotype" w:cs="Bookman Old Style"/>
          <w:bCs/>
        </w:rPr>
      </w:pPr>
      <w:hyperlink r:id="rId30"/>
    </w:p>
    <w:p w:rsidR="003B28B9" w:rsidRDefault="00E74291">
      <w:pPr>
        <w:spacing w:line="360" w:lineRule="auto"/>
        <w:jc w:val="both"/>
        <w:rPr>
          <w:rFonts w:ascii="Palatino Linotype" w:hAnsi="Palatino Linotype" w:cs="Bookman Old Style"/>
          <w:bCs/>
        </w:rPr>
      </w:pPr>
      <w:hyperlink r:id="rId31">
        <w:r w:rsidR="0067144E">
          <w:rPr>
            <w:noProof/>
            <w:lang w:eastAsia="es-MX"/>
          </w:rPr>
          <w:drawing>
            <wp:inline distT="0" distB="0" distL="0" distR="0">
              <wp:extent cx="5791835" cy="812800"/>
              <wp:effectExtent l="0" t="0" r="0" b="0"/>
              <wp:docPr id="2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8"/>
                      <pic:cNvPicPr>
                        <a:picLocks noChangeAspect="1" noChangeArrowheads="1"/>
                      </pic:cNvPicPr>
                    </pic:nvPicPr>
                    <pic:blipFill>
                      <a:blip r:embed="rId32"/>
                      <a:stretch>
                        <a:fillRect/>
                      </a:stretch>
                    </pic:blipFill>
                    <pic:spPr bwMode="auto">
                      <a:xfrm>
                        <a:off x="0" y="0"/>
                        <a:ext cx="5791835" cy="812800"/>
                      </a:xfrm>
                      <a:prstGeom prst="rect">
                        <a:avLst/>
                      </a:prstGeom>
                    </pic:spPr>
                  </pic:pic>
                </a:graphicData>
              </a:graphic>
            </wp:inline>
          </w:drawing>
        </w:r>
      </w:hyperlink>
    </w:p>
    <w:p w:rsidR="003B28B9" w:rsidRDefault="00E74291">
      <w:pPr>
        <w:spacing w:line="360" w:lineRule="auto"/>
        <w:jc w:val="both"/>
        <w:rPr>
          <w:rFonts w:ascii="Palatino Linotype" w:hAnsi="Palatino Linotype" w:cs="Bookman Old Style"/>
          <w:bCs/>
          <w:lang w:eastAsia="es-MX"/>
        </w:rPr>
      </w:pPr>
      <w:hyperlink r:id="rId33"/>
    </w:p>
    <w:p w:rsidR="003B28B9" w:rsidRDefault="00E74291">
      <w:pPr>
        <w:spacing w:line="360" w:lineRule="auto"/>
        <w:jc w:val="both"/>
        <w:rPr>
          <w:rFonts w:ascii="Palatino Linotype" w:hAnsi="Palatino Linotype" w:cs="Bookman Old Style"/>
          <w:bCs/>
          <w:lang w:eastAsia="es-MX"/>
        </w:rPr>
      </w:pPr>
      <w:hyperlink r:id="rId34">
        <w:r w:rsidR="0067144E">
          <w:rPr>
            <w:noProof/>
            <w:lang w:eastAsia="es-MX"/>
          </w:rPr>
          <w:drawing>
            <wp:inline distT="0" distB="0" distL="0" distR="0">
              <wp:extent cx="5791835" cy="2689860"/>
              <wp:effectExtent l="0" t="0" r="0" b="0"/>
              <wp:docPr id="2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4"/>
                      <pic:cNvPicPr>
                        <a:picLocks noChangeAspect="1" noChangeArrowheads="1"/>
                      </pic:cNvPicPr>
                    </pic:nvPicPr>
                    <pic:blipFill>
                      <a:blip r:embed="rId35"/>
                      <a:stretch>
                        <a:fillRect/>
                      </a:stretch>
                    </pic:blipFill>
                    <pic:spPr bwMode="auto">
                      <a:xfrm>
                        <a:off x="0" y="0"/>
                        <a:ext cx="5791835" cy="2689860"/>
                      </a:xfrm>
                      <a:prstGeom prst="rect">
                        <a:avLst/>
                      </a:prstGeom>
                    </pic:spPr>
                  </pic:pic>
                </a:graphicData>
              </a:graphic>
            </wp:inline>
          </w:drawing>
        </w:r>
        <w:r w:rsidR="0067144E">
          <w:rPr>
            <w:noProof/>
            <w:lang w:eastAsia="es-MX"/>
          </w:rPr>
          <mc:AlternateContent>
            <mc:Choice Requires="wps">
              <w:drawing>
                <wp:anchor distT="0" distB="0" distL="114300" distR="114300" simplePos="0" relativeHeight="84" behindDoc="0" locked="0" layoutInCell="1" allowOverlap="1">
                  <wp:simplePos x="0" y="0"/>
                  <wp:positionH relativeFrom="column">
                    <wp:posOffset>263525</wp:posOffset>
                  </wp:positionH>
                  <wp:positionV relativeFrom="paragraph">
                    <wp:posOffset>1883410</wp:posOffset>
                  </wp:positionV>
                  <wp:extent cx="511175" cy="593090"/>
                  <wp:effectExtent l="0" t="0" r="0" b="0"/>
                  <wp:wrapNone/>
                  <wp:docPr id="26" name="Flecha abajo 31"/>
                  <wp:cNvGraphicFramePr/>
                  <a:graphic xmlns:a="http://schemas.openxmlformats.org/drawingml/2006/main">
                    <a:graphicData uri="http://schemas.microsoft.com/office/word/2010/wordprocessingShape">
                      <wps:wsp>
                        <wps:cNvSpPr/>
                        <wps:spPr>
                          <a:xfrm rot="14664600">
                            <a:off x="0" y="0"/>
                            <a:ext cx="510480" cy="592560"/>
                          </a:xfrm>
                          <a:custGeom>
                            <a:avLst/>
                            <a:gdLst/>
                            <a:ahLst/>
                            <a:cxnLst/>
                            <a:rect l="0" t="0" r="r" b="b"/>
                            <a:pathLst>
                              <a:path w="806" h="935">
                                <a:moveTo>
                                  <a:pt x="200" y="0"/>
                                </a:moveTo>
                                <a:lnTo>
                                  <a:pt x="200" y="531"/>
                                </a:lnTo>
                                <a:lnTo>
                                  <a:pt x="0" y="531"/>
                                </a:lnTo>
                                <a:lnTo>
                                  <a:pt x="403" y="934"/>
                                </a:lnTo>
                                <a:lnTo>
                                  <a:pt x="805" y="530"/>
                                </a:lnTo>
                                <a:lnTo>
                                  <a:pt x="603" y="531"/>
                                </a:lnTo>
                                <a:lnTo>
                                  <a:pt x="602" y="0"/>
                                </a:lnTo>
                                <a:lnTo>
                                  <a:pt x="200" y="0"/>
                                </a:lnTo>
                              </a:path>
                            </a:pathLst>
                          </a:custGeom>
                          <a:solidFill>
                            <a:srgbClr val="FF0000"/>
                          </a:solidFill>
                          <a:ln>
                            <a:solidFill>
                              <a:srgbClr val="FF0000"/>
                            </a:solidFill>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ID="Flecha abajo 31" fillcolor="red" stroked="t" style="position:absolute;margin-left:20.75pt;margin-top:148.3pt;width:40.15pt;height:46.6pt;rotation:244" type="shapetype_67">
                  <w10:wrap type="none"/>
                  <v:fill o:detectmouseclick="t" type="solid" color2="aqua"/>
                  <v:stroke color="red" joinstyle="miter" endcap="flat"/>
                </v:shape>
              </w:pict>
            </mc:Fallback>
          </mc:AlternateContent>
        </w:r>
      </w:hyperlink>
    </w:p>
    <w:p w:rsidR="003B28B9" w:rsidRDefault="00E74291">
      <w:pPr>
        <w:spacing w:line="360" w:lineRule="auto"/>
        <w:jc w:val="center"/>
        <w:rPr>
          <w:rFonts w:ascii="Arial" w:hAnsi="Arial" w:cs="Arial"/>
          <w:color w:val="660099"/>
        </w:rPr>
      </w:pPr>
      <w:hyperlink r:id="rId36">
        <w:r w:rsidR="0067144E">
          <w:rPr>
            <w:noProof/>
            <w:lang w:eastAsia="es-MX"/>
          </w:rPr>
          <w:drawing>
            <wp:inline distT="0" distB="0" distL="0" distR="0">
              <wp:extent cx="4556760" cy="247015"/>
              <wp:effectExtent l="0" t="0" r="0" b="0"/>
              <wp:docPr id="2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3"/>
                      <pic:cNvPicPr>
                        <a:picLocks noChangeAspect="1" noChangeArrowheads="1"/>
                      </pic:cNvPicPr>
                    </pic:nvPicPr>
                    <pic:blipFill>
                      <a:blip r:embed="rId37"/>
                      <a:srcRect r="26580"/>
                      <a:stretch>
                        <a:fillRect/>
                      </a:stretch>
                    </pic:blipFill>
                    <pic:spPr bwMode="auto">
                      <a:xfrm>
                        <a:off x="0" y="0"/>
                        <a:ext cx="4556760" cy="247015"/>
                      </a:xfrm>
                      <a:prstGeom prst="rect">
                        <a:avLst/>
                      </a:prstGeom>
                    </pic:spPr>
                  </pic:pic>
                </a:graphicData>
              </a:graphic>
            </wp:inline>
          </w:drawing>
        </w:r>
      </w:hyperlink>
    </w:p>
    <w:p w:rsidR="003B28B9" w:rsidRDefault="00E74291">
      <w:pPr>
        <w:shd w:val="clear" w:color="auto" w:fill="FFFFFF"/>
        <w:jc w:val="center"/>
        <w:rPr>
          <w:rFonts w:ascii="Arial" w:hAnsi="Arial" w:cs="Arial"/>
          <w:color w:val="222222"/>
          <w:sz w:val="20"/>
          <w:szCs w:val="20"/>
        </w:rPr>
      </w:pPr>
      <w:hyperlink r:id="rId38">
        <w:r w:rsidR="0067144E">
          <w:rPr>
            <w:noProof/>
            <w:lang w:eastAsia="es-MX"/>
          </w:rPr>
          <w:drawing>
            <wp:inline distT="0" distB="0" distL="0" distR="0">
              <wp:extent cx="4723765" cy="3646805"/>
              <wp:effectExtent l="0" t="0" r="0" b="0"/>
              <wp:docPr id="3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7"/>
                      <pic:cNvPicPr>
                        <a:picLocks noChangeAspect="1" noChangeArrowheads="1"/>
                      </pic:cNvPicPr>
                    </pic:nvPicPr>
                    <pic:blipFill>
                      <a:blip r:embed="rId39"/>
                      <a:stretch>
                        <a:fillRect/>
                      </a:stretch>
                    </pic:blipFill>
                    <pic:spPr bwMode="auto">
                      <a:xfrm>
                        <a:off x="0" y="0"/>
                        <a:ext cx="4723765" cy="3646805"/>
                      </a:xfrm>
                      <a:prstGeom prst="rect">
                        <a:avLst/>
                      </a:prstGeom>
                    </pic:spPr>
                  </pic:pic>
                </a:graphicData>
              </a:graphic>
            </wp:inline>
          </w:drawing>
        </w:r>
        <w:r w:rsidR="0067144E">
          <w:rPr>
            <w:noProof/>
            <w:lang w:eastAsia="es-MX"/>
          </w:rPr>
          <mc:AlternateContent>
            <mc:Choice Requires="wps">
              <w:drawing>
                <wp:anchor distT="0" distB="0" distL="114300" distR="114300" simplePos="0" relativeHeight="85" behindDoc="0" locked="0" layoutInCell="1" allowOverlap="1">
                  <wp:simplePos x="0" y="0"/>
                  <wp:positionH relativeFrom="column">
                    <wp:align>center</wp:align>
                  </wp:positionH>
                  <wp:positionV relativeFrom="paragraph">
                    <wp:posOffset>481965</wp:posOffset>
                  </wp:positionV>
                  <wp:extent cx="3665855" cy="343535"/>
                  <wp:effectExtent l="0" t="0" r="0" b="0"/>
                  <wp:wrapNone/>
                  <wp:docPr id="29" name="Elipse 32"/>
                  <wp:cNvGraphicFramePr/>
                  <a:graphic xmlns:a="http://schemas.openxmlformats.org/drawingml/2006/main">
                    <a:graphicData uri="http://schemas.microsoft.com/office/word/2010/wordprocessingShape">
                      <wps:wsp>
                        <wps:cNvSpPr/>
                        <wps:spPr>
                          <a:xfrm>
                            <a:off x="0" y="0"/>
                            <a:ext cx="3665160" cy="343080"/>
                          </a:xfrm>
                          <a:prstGeom prst="ellipse">
                            <a:avLst/>
                          </a:prstGeom>
                          <a:noFill/>
                          <a:ln w="28440">
                            <a:solidFill>
                              <a:srgbClr val="FF0000"/>
                            </a:solidFill>
                            <a:round/>
                          </a:ln>
                        </wps:spPr>
                        <wps:bodyPr/>
                      </wps:wsp>
                    </a:graphicData>
                  </a:graphic>
                </wp:anchor>
              </w:drawing>
            </mc:Choice>
            <mc:Fallback>
              <w:pict>
                <v:oval id="shape_0" ID="Elipse 32" stroked="t" style="position:absolute;margin-left:83.7pt;margin-top:37.95pt;width:288.55pt;height:26.95pt;mso-position-horizontal:center">
                  <w10:wrap type="none"/>
                  <v:fill o:detectmouseclick="t" on="false"/>
                  <v:stroke color="red" weight="28440" joinstyle="round" endcap="flat"/>
                </v:oval>
              </w:pict>
            </mc:Fallback>
          </mc:AlternateContent>
        </w:r>
      </w:hyperlink>
    </w:p>
    <w:p w:rsidR="003B28B9" w:rsidRDefault="003B28B9">
      <w:pPr>
        <w:spacing w:line="360" w:lineRule="auto"/>
        <w:jc w:val="both"/>
        <w:rPr>
          <w:rFonts w:ascii="Palatino Linotype" w:hAnsi="Palatino Linotype" w:cs="Bookman Old Style"/>
          <w:bCs/>
          <w:sz w:val="20"/>
          <w:szCs w:val="20"/>
        </w:rPr>
      </w:pPr>
    </w:p>
    <w:p w:rsidR="003B28B9" w:rsidRDefault="0067144E">
      <w:pPr>
        <w:spacing w:line="360" w:lineRule="auto"/>
        <w:jc w:val="both"/>
        <w:rPr>
          <w:rFonts w:ascii="Palatino Linotype" w:hAnsi="Palatino Linotype" w:cs="Bookman Old Style"/>
          <w:bCs/>
        </w:rPr>
      </w:pPr>
      <w:r>
        <w:rPr>
          <w:rFonts w:ascii="Palatino Linotype" w:hAnsi="Palatino Linotype" w:cs="Bookman Old Style"/>
          <w:bCs/>
        </w:rPr>
        <w:lastRenderedPageBreak/>
        <w:t xml:space="preserve">Es así que, este Órgano Garante determina ordenar el o los documentos donde consten los beneficios otorgados por </w:t>
      </w:r>
      <w:r>
        <w:rPr>
          <w:rFonts w:ascii="Palatino Linotype" w:hAnsi="Palatino Linotype" w:cs="Bookman Old Style"/>
          <w:b/>
          <w:bCs/>
        </w:rPr>
        <w:t>EL SUJETO OBLIGADO</w:t>
      </w:r>
      <w:r>
        <w:rPr>
          <w:rFonts w:ascii="Palatino Linotype" w:hAnsi="Palatino Linotype" w:cs="Bookman Old Style"/>
          <w:bCs/>
        </w:rPr>
        <w:t xml:space="preserve"> a los habitantes del Municipio, vigentes a partir del uno de enero del año dos mil veinte.</w:t>
      </w:r>
    </w:p>
    <w:p w:rsidR="003B28B9" w:rsidRDefault="003B28B9">
      <w:pPr>
        <w:spacing w:line="360" w:lineRule="auto"/>
        <w:jc w:val="both"/>
        <w:rPr>
          <w:rFonts w:ascii="Palatino Linotype" w:hAnsi="Palatino Linotype" w:cs="Bookman Old Style"/>
          <w:bCs/>
          <w:i/>
        </w:rPr>
      </w:pPr>
    </w:p>
    <w:p w:rsidR="003B28B9" w:rsidRDefault="0067144E">
      <w:pPr>
        <w:spacing w:line="360" w:lineRule="auto"/>
        <w:jc w:val="both"/>
        <w:rPr>
          <w:rFonts w:ascii="Palatino Linotype" w:hAnsi="Palatino Linotype" w:cs="Bookman Old Style"/>
          <w:bCs/>
        </w:rPr>
      </w:pPr>
      <w:r>
        <w:rPr>
          <w:rFonts w:ascii="Palatino Linotype" w:hAnsi="Palatino Linotype" w:cs="Bookman Old Style"/>
          <w:bCs/>
        </w:rPr>
        <w:t xml:space="preserve">Por otro lado, respecto al requerimiento identificado con el numeral 4, relacionado con los </w:t>
      </w:r>
      <w:r>
        <w:rPr>
          <w:rFonts w:ascii="Palatino Linotype" w:hAnsi="Palatino Linotype" w:cs="Bookman Old Style"/>
          <w:bCs/>
          <w:i/>
        </w:rPr>
        <w:t>costos y formas de pago, que deberán cubrir los habitantes de Ecatepec para acceder a cada uno de los diversos trámites, servicios, derechos, o cualquier otro concepto que se encuentre establecido en forma económica</w:t>
      </w:r>
      <w:r>
        <w:rPr>
          <w:rFonts w:ascii="Palatino Linotype" w:hAnsi="Palatino Linotype" w:cs="Bookman Old Style"/>
          <w:bCs/>
        </w:rPr>
        <w:t xml:space="preserve">; al respecto, es de señalar que si bien </w:t>
      </w:r>
      <w:r>
        <w:rPr>
          <w:rFonts w:ascii="Palatino Linotype" w:hAnsi="Palatino Linotype" w:cs="Bookman Old Style"/>
          <w:b/>
          <w:bCs/>
        </w:rPr>
        <w:t xml:space="preserve">EL SUJETO OBLIGADO </w:t>
      </w:r>
      <w:r>
        <w:rPr>
          <w:rFonts w:ascii="Palatino Linotype" w:hAnsi="Palatino Linotype" w:cs="Bookman Old Style"/>
          <w:bCs/>
        </w:rPr>
        <w:t xml:space="preserve">en respuesta refirió costos para acceder a los servicios y derechos ofrecidos; también lo es que, omitió señalar las formas de pago para cubrir los mismos; en consecuencia, este Órgano Garante determina ordenar dicha información. </w:t>
      </w:r>
    </w:p>
    <w:p w:rsidR="003B28B9" w:rsidRDefault="0067144E">
      <w:pPr>
        <w:spacing w:line="360" w:lineRule="auto"/>
        <w:jc w:val="both"/>
        <w:rPr>
          <w:rFonts w:ascii="Palatino Linotype" w:hAnsi="Palatino Linotype"/>
          <w:lang w:eastAsia="en-US"/>
        </w:rPr>
      </w:pPr>
      <w:r>
        <w:rPr>
          <w:rFonts w:ascii="Palatino Linotype" w:hAnsi="Palatino Linotype"/>
          <w:szCs w:val="22"/>
          <w:lang w:eastAsia="en-US"/>
        </w:rPr>
        <w:t xml:space="preserve">Ahora bien, no se omite comentar que el particular al momento de presentar el presente medio de impugnación manifestó como razones o motivos de inconformidad </w:t>
      </w:r>
      <w:r>
        <w:rPr>
          <w:rFonts w:ascii="Palatino Linotype" w:hAnsi="Palatino Linotype"/>
          <w:i/>
          <w:szCs w:val="22"/>
          <w:lang w:eastAsia="en-US"/>
        </w:rPr>
        <w:t xml:space="preserve">“EN SU RESPUESTA SE ANEXA UN OFICIO CON NUMERO DTCOM/ 072 / 2020 EN EL CUAL EN LA PARTE FINAL DEL MISMO SE INFORMA QUE LOS COSTOS POR CONEXIÓN DE TOMA DE AGUA SON VARIABLES DE ACUERDO AL DIAMETRO Y LONGITUD, ETC. LO MISMO SUCEDE EN EL CASO DE LA CONEXCIÓN DE DRENAJE, NO OBSTANTE DICHA RESPUESTA RESULTA OBSCURA Y CARECE DE LA CERTEZA NECESARIA PARA CONOCER LOS COSTOS POR CADA UNO DE ESOS CONCEPTOS, RAZÓN POR LA CUAL SOLICITO SE ACLARE Y ENTREGUE DE FORMA COMPLETA DICHA INFORMACIÓN, ESTO ES, SE ME INFORME SOBRE LA FORMA Y MONTOS DE CADA UNO DEESOS CONCEPTOS, ESTO ES, ME INFORMEN LOS COSTOS A PARTIR DEL DIAMETRO Y LONGITUD. DEBIENDO </w:t>
      </w:r>
      <w:r>
        <w:rPr>
          <w:rFonts w:ascii="Palatino Linotype" w:hAnsi="Palatino Linotype"/>
          <w:i/>
          <w:szCs w:val="22"/>
          <w:lang w:eastAsia="en-US"/>
        </w:rPr>
        <w:lastRenderedPageBreak/>
        <w:t xml:space="preserve">ESTABLECER LA FORMA Y COSTOS DE CADA UNA DE LOS DISTINTOS CONCEPTOS QUE SE COBRAN ASÍ COMO LA FORMA EN QUE SE REALIZA ESE CALCULO. SE ME INFORME SOBRE LA FORMA Y MONTOS DE CADA UNO DEESOS CONCEPTOS, ESTO ES, ME INFORMEN LOS COSTOS A PARTIR DEL DIAMETRO Y LONGITUD. DEBIENDO ESTABLECER LA FORMA Y COSTOS DE CADA UNA DE LOS DISTINTOS CONCEPTOS QUE SE COBRAN ASÍ COMO LA FORMA EN QUE SE REALIZA ESE CALCULO.”; </w:t>
      </w:r>
      <w:r>
        <w:rPr>
          <w:rFonts w:ascii="Palatino Linotype" w:hAnsi="Palatino Linotype"/>
          <w:szCs w:val="22"/>
          <w:lang w:eastAsia="en-US"/>
        </w:rPr>
        <w:t xml:space="preserve">al respecto, es de señalar que dicho requerimiento fue atendido por </w:t>
      </w:r>
      <w:r>
        <w:rPr>
          <w:rFonts w:ascii="Palatino Linotype" w:hAnsi="Palatino Linotype"/>
          <w:b/>
          <w:szCs w:val="22"/>
          <w:lang w:eastAsia="en-US"/>
        </w:rPr>
        <w:t>EL SUJETO OBLIGADO</w:t>
      </w:r>
      <w:r>
        <w:rPr>
          <w:rFonts w:ascii="Palatino Linotype" w:hAnsi="Palatino Linotype"/>
          <w:szCs w:val="22"/>
          <w:lang w:eastAsia="en-US"/>
        </w:rPr>
        <w:t xml:space="preserve">, pues el costo de dichos derechos varían conforme al diámetro, longitud etc., por lo que este Órgano Garante no considera conveniente su entrega, pues el costo dependerá del caso particular; tal como lo establece el Código </w:t>
      </w:r>
      <w:r>
        <w:rPr>
          <w:rFonts w:ascii="Palatino Linotype" w:hAnsi="Palatino Linotype"/>
          <w:lang w:eastAsia="en-US"/>
        </w:rPr>
        <w:t xml:space="preserve">Financiero del Estado de México y Municipios, en el Titulo Cuarto </w:t>
      </w:r>
      <w:r>
        <w:rPr>
          <w:rFonts w:ascii="Palatino Linotype" w:hAnsi="Palatino Linotype"/>
          <w:i/>
          <w:lang w:eastAsia="en-US"/>
        </w:rPr>
        <w:t xml:space="preserve">“De los ingresos de los Municipios” </w:t>
      </w:r>
      <w:r>
        <w:rPr>
          <w:rFonts w:ascii="Palatino Linotype" w:hAnsi="Palatino Linotype"/>
          <w:lang w:eastAsia="en-US"/>
        </w:rPr>
        <w:t xml:space="preserve">Capítulo Segundo </w:t>
      </w:r>
      <w:r>
        <w:rPr>
          <w:rFonts w:ascii="Palatino Linotype" w:hAnsi="Palatino Linotype"/>
          <w:i/>
          <w:lang w:eastAsia="en-US"/>
        </w:rPr>
        <w:t xml:space="preserve">“De los Derechos”, </w:t>
      </w:r>
      <w:r>
        <w:rPr>
          <w:rFonts w:ascii="Palatino Linotype" w:hAnsi="Palatino Linotype"/>
          <w:lang w:eastAsia="en-US"/>
        </w:rPr>
        <w:t xml:space="preserve">a partir del artículo 129 al 140, visible en la página electrónica </w:t>
      </w:r>
      <w:hyperlink r:id="rId40">
        <w:r>
          <w:rPr>
            <w:rFonts w:ascii="Palatino Linotype" w:hAnsi="Palatino Linotype"/>
            <w:i/>
            <w:lang w:eastAsia="en-US"/>
          </w:rPr>
          <w:t>http://legislacion.edomex.gob.mx/sites/legislacion.edomex.gob.mx/files/files/pdf/cod/vig/codvig007.pdf</w:t>
        </w:r>
      </w:hyperlink>
      <w:r>
        <w:rPr>
          <w:rFonts w:ascii="Palatino Linotype" w:hAnsi="Palatino Linotype"/>
        </w:rPr>
        <w:t xml:space="preserve">; así como,  del Manual Metodológico para el Cálculo Tarifario de los Derechos de Agua Potable, Drenaje, Alcantarillado y Recepción de los Caudales de Agua Residuales para su Tratamiento en el Estado de México (IHAEM), a partir del numeral 8.1, visible en link electrónico  </w:t>
      </w:r>
      <w:hyperlink r:id="rId41">
        <w:r>
          <w:rPr>
            <w:rFonts w:ascii="Palatino Linotype" w:hAnsi="Palatino Linotype"/>
            <w:i/>
            <w:lang w:eastAsia="en-US"/>
          </w:rPr>
          <w:t>https://legislacion.edomex.gob.mx/sites/legislacion.edomex.gob.mx/files/files/pdf/gct/2017/nov075.pdf</w:t>
        </w:r>
      </w:hyperlink>
      <w:r>
        <w:rPr>
          <w:rFonts w:ascii="Palatino Linotype" w:hAnsi="Palatino Linotype"/>
          <w:lang w:eastAsia="en-US"/>
        </w:rPr>
        <w:t xml:space="preserve">, dejando sin materia dicho requerimiento. </w:t>
      </w:r>
    </w:p>
    <w:p w:rsidR="003B28B9" w:rsidRDefault="003B28B9">
      <w:pPr>
        <w:spacing w:line="360" w:lineRule="auto"/>
        <w:jc w:val="both"/>
        <w:rPr>
          <w:rFonts w:ascii="Palatino Linotype" w:hAnsi="Palatino Linotype" w:cs="Bookman Old Style"/>
          <w:bCs/>
        </w:rPr>
      </w:pPr>
    </w:p>
    <w:p w:rsidR="003B28B9" w:rsidRDefault="0067144E">
      <w:pPr>
        <w:spacing w:line="360" w:lineRule="auto"/>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 xml:space="preserve">Finalmente, no se omite comentar que respecto a las documentales remitidas por </w:t>
      </w:r>
      <w:r>
        <w:rPr>
          <w:rFonts w:ascii="Palatino Linotype" w:eastAsiaTheme="minorEastAsia" w:hAnsi="Palatino Linotype" w:cstheme="minorBidi"/>
          <w:b/>
          <w:lang w:val="es-ES_tradnl"/>
        </w:rPr>
        <w:t>EL SUJETO OBLIGADO</w:t>
      </w:r>
      <w:r>
        <w:rPr>
          <w:rFonts w:ascii="Palatino Linotype" w:eastAsiaTheme="minorEastAsia" w:hAnsi="Palatino Linotype" w:cstheme="minorBidi"/>
          <w:lang w:val="es-ES_tradnl"/>
        </w:rPr>
        <w:t xml:space="preserve">, a fin de dar respuesta a la solicitud planteada, este Instituto no </w:t>
      </w:r>
      <w:r>
        <w:rPr>
          <w:rFonts w:ascii="Palatino Linotype" w:eastAsiaTheme="minorEastAsia" w:hAnsi="Palatino Linotype" w:cstheme="minorBidi"/>
          <w:lang w:val="es-ES_tradnl"/>
        </w:rPr>
        <w:lastRenderedPageBreak/>
        <w:t>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3B28B9" w:rsidRDefault="003B28B9">
      <w:pPr>
        <w:spacing w:line="360" w:lineRule="auto"/>
        <w:jc w:val="both"/>
        <w:rPr>
          <w:rFonts w:ascii="Palatino Linotype" w:eastAsiaTheme="minorEastAsia" w:hAnsi="Palatino Linotype" w:cs="Arial"/>
          <w:sz w:val="20"/>
          <w:szCs w:val="20"/>
          <w:lang w:val="es-ES_tradnl"/>
        </w:rPr>
      </w:pPr>
    </w:p>
    <w:p w:rsidR="003B28B9" w:rsidRDefault="0067144E">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3B28B9" w:rsidRDefault="003B28B9">
      <w:pPr>
        <w:jc w:val="both"/>
        <w:rPr>
          <w:rFonts w:ascii="Palatino Linotype" w:eastAsiaTheme="minorEastAsia" w:hAnsi="Palatino Linotype" w:cs="Arial"/>
          <w:sz w:val="20"/>
          <w:szCs w:val="20"/>
          <w:lang w:val="es-ES_tradnl"/>
        </w:rPr>
      </w:pPr>
    </w:p>
    <w:p w:rsidR="003B28B9" w:rsidRDefault="0067144E">
      <w:pPr>
        <w:ind w:left="709" w:right="899"/>
        <w:jc w:val="both"/>
        <w:rPr>
          <w:rFonts w:ascii="Palatino Linotype" w:eastAsiaTheme="minorEastAsia" w:hAnsi="Palatino Linotype" w:cs="Arial"/>
          <w:i/>
          <w:sz w:val="22"/>
          <w:szCs w:val="20"/>
          <w:lang w:val="es-ES_tradnl"/>
        </w:rPr>
      </w:pPr>
      <w:r>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2395/09 Secretaría de Economía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Pr>
          <w:rFonts w:ascii="Palatino Linotype" w:eastAsiaTheme="minorEastAsia" w:hAnsi="Palatino Linotype" w:cs="Arial"/>
          <w:i/>
          <w:sz w:val="22"/>
          <w:szCs w:val="20"/>
          <w:lang w:val="es-ES_tradnl"/>
        </w:rPr>
        <w:t>Marván</w:t>
      </w:r>
      <w:proofErr w:type="spellEnd"/>
      <w:r>
        <w:rPr>
          <w:rFonts w:ascii="Palatino Linotype" w:eastAsiaTheme="minorEastAsia" w:hAnsi="Palatino Linotype" w:cs="Arial"/>
          <w:i/>
          <w:sz w:val="22"/>
          <w:szCs w:val="20"/>
          <w:lang w:val="es-ES_tradnl"/>
        </w:rPr>
        <w:t xml:space="preserve"> Laborde </w:t>
      </w:r>
    </w:p>
    <w:p w:rsidR="003B28B9" w:rsidRDefault="0067144E">
      <w:pPr>
        <w:ind w:left="709" w:right="757"/>
        <w:jc w:val="both"/>
        <w:rPr>
          <w:rFonts w:ascii="Palatino Linotype" w:eastAsiaTheme="minorEastAsia" w:hAnsi="Palatino Linotype" w:cs="Arial"/>
          <w:b/>
          <w:i/>
          <w:sz w:val="22"/>
          <w:szCs w:val="20"/>
          <w:lang w:val="es-ES_tradnl"/>
        </w:rPr>
      </w:pPr>
      <w:r>
        <w:rPr>
          <w:rFonts w:ascii="Palatino Linotype" w:eastAsiaTheme="minorEastAsia" w:hAnsi="Palatino Linotype" w:cs="Arial"/>
          <w:i/>
          <w:sz w:val="22"/>
          <w:szCs w:val="20"/>
          <w:lang w:val="es-ES_tradnl"/>
        </w:rPr>
        <w:t>Criterio 31/10</w:t>
      </w:r>
      <w:r>
        <w:rPr>
          <w:rFonts w:ascii="Palatino Linotype" w:eastAsiaTheme="minorEastAsia" w:hAnsi="Palatino Linotype" w:cs="Arial"/>
          <w:b/>
          <w:i/>
          <w:sz w:val="22"/>
          <w:szCs w:val="20"/>
          <w:lang w:val="es-ES_tradnl"/>
        </w:rPr>
        <w:t>”</w:t>
      </w:r>
      <w:r>
        <w:rPr>
          <w:rFonts w:ascii="Palatino Linotype" w:eastAsiaTheme="minorEastAsia" w:hAnsi="Palatino Linotype" w:cs="Arial"/>
          <w:i/>
          <w:sz w:val="22"/>
          <w:szCs w:val="20"/>
          <w:lang w:val="es-ES_tradnl"/>
        </w:rPr>
        <w:t xml:space="preserve"> (sic)</w:t>
      </w:r>
    </w:p>
    <w:p w:rsidR="003B28B9" w:rsidRDefault="003B28B9">
      <w:pPr>
        <w:spacing w:line="360" w:lineRule="auto"/>
        <w:jc w:val="both"/>
        <w:rPr>
          <w:rFonts w:ascii="Palatino Linotype" w:hAnsi="Palatino Linotype" w:cs="Bookman Old Style"/>
          <w:bCs/>
        </w:rPr>
      </w:pPr>
    </w:p>
    <w:p w:rsidR="003B28B9" w:rsidRDefault="0067144E">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t xml:space="preserve">En razón de lo anteriormente expuesto, este Instituto estima que las razones o motivos de inconformidad hechos valer por </w:t>
      </w:r>
      <w:r>
        <w:rPr>
          <w:rFonts w:ascii="Palatino Linotype" w:hAnsi="Palatino Linotype" w:cs="Arial"/>
          <w:b/>
        </w:rPr>
        <w:t>EL RECURRENTE</w:t>
      </w:r>
      <w:r>
        <w:rPr>
          <w:rFonts w:ascii="Palatino Linotype" w:hAnsi="Palatino Linotype" w:cs="Arial"/>
        </w:rPr>
        <w:t xml:space="preserve"> devienen </w:t>
      </w:r>
      <w:r>
        <w:rPr>
          <w:rFonts w:ascii="Palatino Linotype" w:hAnsi="Palatino Linotype" w:cs="Arial"/>
          <w:b/>
        </w:rPr>
        <w:t xml:space="preserve">parcialmente </w:t>
      </w:r>
      <w:r>
        <w:rPr>
          <w:rFonts w:ascii="Palatino Linotype" w:hAnsi="Palatino Linotype" w:cs="Arial"/>
          <w:b/>
        </w:rPr>
        <w:lastRenderedPageBreak/>
        <w:t>fundadas</w:t>
      </w:r>
      <w:r>
        <w:rPr>
          <w:rFonts w:ascii="Palatino Linotype" w:hAnsi="Palatino Linotype" w:cs="Arial"/>
        </w:rPr>
        <w:t xml:space="preserve"> y suficientes para </w:t>
      </w:r>
      <w:r>
        <w:rPr>
          <w:rFonts w:ascii="Palatino Linotype" w:hAnsi="Palatino Linotype" w:cs="Arial"/>
          <w:b/>
        </w:rPr>
        <w:t>MODIFICAR</w:t>
      </w:r>
      <w:r>
        <w:rPr>
          <w:rFonts w:ascii="Palatino Linotype" w:hAnsi="Palatino Linotype" w:cs="Arial"/>
        </w:rPr>
        <w:t xml:space="preserve"> la respuesta del </w:t>
      </w:r>
      <w:r>
        <w:rPr>
          <w:rFonts w:ascii="Palatino Linotype" w:hAnsi="Palatino Linotype" w:cs="Arial"/>
          <w:b/>
        </w:rPr>
        <w:t>SUJETO OBLIGADO</w:t>
      </w:r>
      <w:r>
        <w:rPr>
          <w:rFonts w:ascii="Palatino Linotype" w:hAnsi="Palatino Linotype" w:cs="Arial"/>
        </w:rPr>
        <w:t xml:space="preserve"> y ordenarle haga entrega de la información descrita en el presente Considerando.</w:t>
      </w:r>
    </w:p>
    <w:p w:rsidR="003B28B9" w:rsidRDefault="003B28B9">
      <w:pPr>
        <w:spacing w:line="360" w:lineRule="auto"/>
        <w:ind w:right="51"/>
        <w:jc w:val="both"/>
        <w:rPr>
          <w:rFonts w:ascii="Palatino Linotype" w:hAnsi="Palatino Linotype"/>
          <w:color w:val="000000"/>
        </w:rPr>
      </w:pPr>
    </w:p>
    <w:p w:rsidR="003B28B9" w:rsidRDefault="0067144E">
      <w:pPr>
        <w:widowControl w:val="0"/>
        <w:spacing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w:t>
      </w:r>
      <w:r>
        <w:rPr>
          <w:rFonts w:ascii="Palatino Linotype" w:hAnsi="Palatino Linotype" w:cs="Arial"/>
        </w:rPr>
        <w:t>,</w:t>
      </w:r>
      <w:r>
        <w:rPr>
          <w:rFonts w:ascii="Palatino Linotype" w:hAnsi="Palatino Linotype"/>
        </w:rPr>
        <w:t xml:space="preserve"> fracciones IV y V,</w:t>
      </w:r>
      <w:r>
        <w:rPr>
          <w:rFonts w:ascii="Palatino Linotype" w:eastAsia="Calibri" w:hAnsi="Palatino Linotype" w:cs="Arial"/>
        </w:rPr>
        <w:t xml:space="preserve"> de la Constitución Política del Estado Libre y Soberano de </w:t>
      </w:r>
      <w:r>
        <w:rPr>
          <w:rFonts w:ascii="Palatino Linotype" w:hAnsi="Palatino Linotype" w:cs="Arial"/>
          <w:lang w:val="es-ES_tradnl"/>
        </w:rPr>
        <w:t>México</w:t>
      </w:r>
      <w:r>
        <w:rPr>
          <w:rFonts w:ascii="Palatino Linotype" w:eastAsia="Calibri" w:hAnsi="Palatino Linotype" w:cs="Arial"/>
        </w:rPr>
        <w:t xml:space="preserve">,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3B28B9" w:rsidRDefault="003B28B9">
      <w:pPr>
        <w:jc w:val="center"/>
        <w:rPr>
          <w:rFonts w:ascii="Palatino Linotype" w:hAnsi="Palatino Linotype"/>
          <w:b/>
          <w:bCs/>
          <w:spacing w:val="40"/>
          <w:sz w:val="28"/>
        </w:rPr>
      </w:pPr>
    </w:p>
    <w:p w:rsidR="003B28B9" w:rsidRDefault="003B28B9">
      <w:pPr>
        <w:jc w:val="center"/>
        <w:rPr>
          <w:rFonts w:ascii="Palatino Linotype" w:hAnsi="Palatino Linotype"/>
          <w:b/>
          <w:bCs/>
          <w:spacing w:val="40"/>
          <w:sz w:val="28"/>
        </w:rPr>
      </w:pPr>
    </w:p>
    <w:p w:rsidR="003B28B9" w:rsidRDefault="003B28B9">
      <w:pPr>
        <w:jc w:val="center"/>
        <w:rPr>
          <w:rFonts w:ascii="Palatino Linotype" w:hAnsi="Palatino Linotype"/>
          <w:b/>
          <w:bCs/>
          <w:spacing w:val="40"/>
          <w:sz w:val="28"/>
        </w:rPr>
      </w:pPr>
    </w:p>
    <w:p w:rsidR="003B28B9" w:rsidRDefault="0067144E">
      <w:pPr>
        <w:jc w:val="center"/>
        <w:rPr>
          <w:rFonts w:ascii="Palatino Linotype" w:hAnsi="Palatino Linotype"/>
          <w:b/>
          <w:bCs/>
          <w:spacing w:val="40"/>
          <w:sz w:val="28"/>
        </w:rPr>
      </w:pPr>
      <w:r>
        <w:rPr>
          <w:rFonts w:ascii="Palatino Linotype" w:hAnsi="Palatino Linotype"/>
          <w:b/>
          <w:bCs/>
          <w:spacing w:val="40"/>
          <w:sz w:val="28"/>
        </w:rPr>
        <w:t>RESUELVE</w:t>
      </w:r>
    </w:p>
    <w:p w:rsidR="003B28B9" w:rsidRDefault="003B28B9">
      <w:pPr>
        <w:jc w:val="center"/>
        <w:rPr>
          <w:rFonts w:ascii="Palatino Linotype" w:hAnsi="Palatino Linotype"/>
          <w:b/>
          <w:bCs/>
          <w:spacing w:val="40"/>
          <w:sz w:val="28"/>
        </w:rPr>
      </w:pPr>
    </w:p>
    <w:p w:rsidR="003B28B9" w:rsidRDefault="0067144E">
      <w:pPr>
        <w:spacing w:line="360" w:lineRule="auto"/>
        <w:jc w:val="both"/>
        <w:rPr>
          <w:rFonts w:ascii="Palatino Linotype" w:hAnsi="Palatino Linotype" w:cs="Arial"/>
          <w:lang w:val="es-ES"/>
        </w:rPr>
      </w:pPr>
      <w:r>
        <w:rPr>
          <w:rFonts w:ascii="Palatino Linotype" w:hAnsi="Palatino Linotype" w:cs="Arial"/>
          <w:b/>
          <w:sz w:val="28"/>
          <w:szCs w:val="28"/>
          <w:lang w:val="es-ES"/>
        </w:rPr>
        <w:t>PRIMERO</w:t>
      </w:r>
      <w:r>
        <w:rPr>
          <w:rFonts w:ascii="Palatino Linotype" w:hAnsi="Palatino Linotype" w:cs="Arial"/>
          <w:sz w:val="28"/>
          <w:szCs w:val="28"/>
          <w:lang w:val="es-ES"/>
        </w:rPr>
        <w:t>.</w:t>
      </w:r>
      <w:r>
        <w:rPr>
          <w:rFonts w:ascii="Palatino Linotype" w:hAnsi="Palatino Linotype" w:cs="Arial"/>
          <w:lang w:val="es-ES"/>
        </w:rPr>
        <w:t xml:space="preserve"> Resultan </w:t>
      </w:r>
      <w:r>
        <w:rPr>
          <w:rFonts w:ascii="Palatino Linotype" w:hAnsi="Palatino Linotype" w:cs="Arial"/>
          <w:b/>
          <w:lang w:val="es-ES"/>
        </w:rPr>
        <w:t>parcialmente fundadas</w:t>
      </w:r>
      <w:r>
        <w:rPr>
          <w:rFonts w:ascii="Palatino Linotype" w:hAnsi="Palatino Linotype" w:cs="Arial"/>
          <w:lang w:val="es-ES"/>
        </w:rPr>
        <w:t xml:space="preserve"> las razones o motivos de inconformidad planteadas por </w:t>
      </w:r>
      <w:r>
        <w:rPr>
          <w:rFonts w:ascii="Palatino Linotype" w:hAnsi="Palatino Linotype" w:cs="Arial"/>
          <w:b/>
          <w:lang w:val="es-ES"/>
        </w:rPr>
        <w:t>EL RECURRENTE</w:t>
      </w:r>
      <w:r>
        <w:rPr>
          <w:rFonts w:ascii="Palatino Linotype" w:hAnsi="Palatino Linotype" w:cs="Arial"/>
          <w:lang w:val="es-ES"/>
        </w:rPr>
        <w:t xml:space="preserve">, en términos del Considerando </w:t>
      </w:r>
      <w:r>
        <w:rPr>
          <w:rFonts w:ascii="Palatino Linotype" w:hAnsi="Palatino Linotype" w:cs="Arial"/>
          <w:b/>
          <w:lang w:val="es-ES"/>
        </w:rPr>
        <w:t>QUINTO</w:t>
      </w:r>
      <w:r>
        <w:rPr>
          <w:rFonts w:ascii="Palatino Linotype" w:hAnsi="Palatino Linotype" w:cs="Arial"/>
          <w:lang w:val="es-ES"/>
        </w:rPr>
        <w:t xml:space="preserve"> de la presente resolución.</w:t>
      </w:r>
    </w:p>
    <w:p w:rsidR="003B28B9" w:rsidRDefault="003B28B9">
      <w:pPr>
        <w:spacing w:line="360" w:lineRule="auto"/>
        <w:jc w:val="both"/>
        <w:rPr>
          <w:rFonts w:ascii="Palatino Linotype" w:hAnsi="Palatino Linotype" w:cs="Arial"/>
          <w:lang w:val="es-ES"/>
        </w:rPr>
      </w:pPr>
    </w:p>
    <w:p w:rsidR="003B28B9" w:rsidRDefault="0067144E">
      <w:pPr>
        <w:spacing w:line="360" w:lineRule="auto"/>
        <w:jc w:val="both"/>
        <w:rPr>
          <w:rFonts w:ascii="Palatino Linotype" w:hAnsi="Palatino Linotype" w:cs="Arial"/>
          <w:lang w:val="es-ES"/>
        </w:rPr>
      </w:pPr>
      <w:r>
        <w:rPr>
          <w:rFonts w:ascii="Palatino Linotype" w:hAnsi="Palatino Linotype" w:cs="Arial"/>
          <w:b/>
          <w:sz w:val="28"/>
          <w:szCs w:val="28"/>
          <w:lang w:val="es-ES"/>
        </w:rPr>
        <w:t>SEGUNDO</w:t>
      </w:r>
      <w:r>
        <w:rPr>
          <w:rFonts w:ascii="Palatino Linotype" w:hAnsi="Palatino Linotype" w:cs="Arial"/>
          <w:sz w:val="28"/>
          <w:szCs w:val="28"/>
          <w:lang w:val="es-ES"/>
        </w:rPr>
        <w:t>.</w:t>
      </w:r>
      <w:r>
        <w:rPr>
          <w:rFonts w:ascii="Palatino Linotype" w:hAnsi="Palatino Linotype" w:cs="Arial"/>
          <w:lang w:val="es-ES"/>
        </w:rPr>
        <w:t xml:space="preserve"> </w:t>
      </w:r>
      <w:r>
        <w:rPr>
          <w:rFonts w:ascii="Palatino Linotype" w:eastAsia="Calibri" w:hAnsi="Palatino Linotype" w:cs="Arial"/>
        </w:rPr>
        <w:t xml:space="preserve">Se </w:t>
      </w:r>
      <w:r>
        <w:rPr>
          <w:rFonts w:ascii="Palatino Linotype" w:eastAsia="Calibri" w:hAnsi="Palatino Linotype" w:cs="Arial"/>
          <w:b/>
        </w:rPr>
        <w:t xml:space="preserve">MODIFICA </w:t>
      </w:r>
      <w:r>
        <w:rPr>
          <w:rFonts w:ascii="Palatino Linotype" w:eastAsia="Calibri" w:hAnsi="Palatino Linotype" w:cs="Arial"/>
        </w:rPr>
        <w:t xml:space="preserve">la respuesta proporcionada por </w:t>
      </w:r>
      <w:r>
        <w:rPr>
          <w:rFonts w:ascii="Palatino Linotype" w:eastAsia="Calibri" w:hAnsi="Palatino Linotype" w:cs="Arial"/>
          <w:b/>
        </w:rPr>
        <w:t xml:space="preserve">EL SUJETO OBLIGADO </w:t>
      </w:r>
      <w:r>
        <w:rPr>
          <w:rFonts w:ascii="Palatino Linotype" w:eastAsia="Calibri" w:hAnsi="Palatino Linotype" w:cs="Arial"/>
        </w:rPr>
        <w:t xml:space="preserve">y se </w:t>
      </w:r>
      <w:r>
        <w:rPr>
          <w:rFonts w:ascii="Palatino Linotype" w:eastAsia="Calibri" w:hAnsi="Palatino Linotype" w:cs="Arial"/>
          <w:b/>
        </w:rPr>
        <w:t xml:space="preserve">ordena </w:t>
      </w:r>
      <w:r>
        <w:rPr>
          <w:rFonts w:ascii="Palatino Linotype" w:eastAsia="Calibri" w:hAnsi="Palatino Linotype" w:cs="Arial"/>
        </w:rPr>
        <w:t xml:space="preserve">atienda la solicitud de información </w:t>
      </w:r>
      <w:r>
        <w:rPr>
          <w:rFonts w:ascii="Palatino Linotype" w:eastAsia="Calibri" w:hAnsi="Palatino Linotype" w:cs="Arial"/>
          <w:b/>
        </w:rPr>
        <w:t>00001/OASECATEPE/IP/2020</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w:t>
      </w:r>
      <w:r>
        <w:rPr>
          <w:rFonts w:ascii="Palatino Linotype" w:hAnsi="Palatino Linotype" w:cs="Arial"/>
          <w:lang w:val="es-ES"/>
        </w:rPr>
        <w:t xml:space="preserve">de la presente resolución, y haga entrega al </w:t>
      </w:r>
      <w:r>
        <w:rPr>
          <w:rFonts w:ascii="Palatino Linotype" w:hAnsi="Palatino Linotype" w:cs="Arial"/>
          <w:b/>
          <w:lang w:val="es-ES"/>
        </w:rPr>
        <w:t>RECURRENTE</w:t>
      </w:r>
      <w:r>
        <w:rPr>
          <w:rFonts w:ascii="Palatino Linotype" w:hAnsi="Palatino Linotype" w:cs="Arial"/>
          <w:lang w:val="es-ES"/>
        </w:rPr>
        <w:t xml:space="preserve">, vía </w:t>
      </w:r>
      <w:r>
        <w:rPr>
          <w:rFonts w:ascii="Palatino Linotype" w:hAnsi="Palatino Linotype" w:cs="Arial"/>
          <w:b/>
          <w:lang w:val="es-ES"/>
        </w:rPr>
        <w:t>SAIMEX</w:t>
      </w:r>
      <w:r>
        <w:rPr>
          <w:rFonts w:ascii="Palatino Linotype" w:hAnsi="Palatino Linotype" w:cs="Arial"/>
          <w:lang w:val="es-ES"/>
        </w:rPr>
        <w:t>, lo siguiente:</w:t>
      </w:r>
    </w:p>
    <w:p w:rsidR="003B28B9" w:rsidRDefault="003B28B9">
      <w:pPr>
        <w:jc w:val="both"/>
        <w:rPr>
          <w:rFonts w:ascii="Palatino Linotype" w:eastAsiaTheme="minorEastAsia" w:hAnsi="Palatino Linotype" w:cs="Arial"/>
          <w:sz w:val="22"/>
          <w:szCs w:val="22"/>
          <w:lang w:val="es-ES_tradnl"/>
        </w:rPr>
      </w:pPr>
    </w:p>
    <w:p w:rsidR="003B28B9" w:rsidRDefault="0067144E">
      <w:pPr>
        <w:spacing w:line="276" w:lineRule="auto"/>
        <w:ind w:left="851" w:right="899" w:hanging="142"/>
        <w:jc w:val="both"/>
        <w:rPr>
          <w:rFonts w:ascii="Palatino Linotype" w:hAnsi="Palatino Linotype" w:cs="Bookman Old Style"/>
          <w:bCs/>
          <w:i/>
          <w:sz w:val="22"/>
          <w:szCs w:val="22"/>
        </w:rPr>
      </w:pPr>
      <w:r>
        <w:rPr>
          <w:rFonts w:ascii="Palatino Linotype" w:hAnsi="Palatino Linotype" w:cs="Bookman Old Style"/>
          <w:bCs/>
          <w:i/>
          <w:sz w:val="22"/>
          <w:szCs w:val="22"/>
        </w:rPr>
        <w:t xml:space="preserve">“a) Los requisitos y costos de los trámites y servicios ofrecidos por la Dirección Técnica de Construcción, Operación y Mantenimiento, correspondientes al año 2019 y 2020. </w:t>
      </w:r>
    </w:p>
    <w:p w:rsidR="003B28B9" w:rsidRDefault="003B28B9">
      <w:pPr>
        <w:spacing w:line="276" w:lineRule="auto"/>
        <w:ind w:left="851" w:right="899"/>
        <w:jc w:val="both"/>
        <w:rPr>
          <w:rFonts w:ascii="Palatino Linotype" w:hAnsi="Palatino Linotype" w:cs="Bookman Old Style"/>
          <w:bCs/>
          <w:i/>
          <w:sz w:val="22"/>
          <w:szCs w:val="22"/>
        </w:rPr>
      </w:pPr>
    </w:p>
    <w:p w:rsidR="003B28B9" w:rsidRDefault="0067144E">
      <w:pPr>
        <w:spacing w:line="276" w:lineRule="auto"/>
        <w:ind w:left="851" w:right="899"/>
        <w:jc w:val="both"/>
        <w:rPr>
          <w:rFonts w:ascii="Palatino Linotype" w:hAnsi="Palatino Linotype" w:cs="Bookman Old Style"/>
          <w:bCs/>
          <w:i/>
          <w:sz w:val="22"/>
          <w:szCs w:val="22"/>
        </w:rPr>
      </w:pPr>
      <w:r>
        <w:rPr>
          <w:rFonts w:ascii="Palatino Linotype" w:hAnsi="Palatino Linotype" w:cs="Bookman Old Style"/>
          <w:bCs/>
          <w:i/>
          <w:sz w:val="22"/>
          <w:szCs w:val="22"/>
        </w:rPr>
        <w:lastRenderedPageBreak/>
        <w:t xml:space="preserve">b) Los formatos que ofrece </w:t>
      </w:r>
      <w:r>
        <w:rPr>
          <w:rFonts w:ascii="Palatino Linotype" w:hAnsi="Palatino Linotype" w:cs="Bookman Old Style"/>
          <w:b/>
          <w:bCs/>
          <w:i/>
          <w:sz w:val="22"/>
          <w:szCs w:val="22"/>
        </w:rPr>
        <w:t xml:space="preserve">EL SUJETO OBIGADO </w:t>
      </w:r>
      <w:r>
        <w:rPr>
          <w:rFonts w:ascii="Palatino Linotype" w:hAnsi="Palatino Linotype" w:cs="Bookman Old Style"/>
          <w:bCs/>
          <w:i/>
          <w:sz w:val="22"/>
          <w:szCs w:val="22"/>
        </w:rPr>
        <w:t xml:space="preserve">para realizar los trámites referidos en respuesta, correspondientes al año 2019 y 2020. </w:t>
      </w:r>
    </w:p>
    <w:p w:rsidR="003B28B9" w:rsidRDefault="003B28B9">
      <w:pPr>
        <w:spacing w:line="276" w:lineRule="auto"/>
        <w:ind w:left="851" w:right="899"/>
        <w:jc w:val="both"/>
        <w:rPr>
          <w:rFonts w:ascii="Palatino Linotype" w:hAnsi="Palatino Linotype" w:cs="Bookman Old Style"/>
          <w:bCs/>
          <w:i/>
          <w:sz w:val="22"/>
          <w:szCs w:val="22"/>
        </w:rPr>
      </w:pPr>
    </w:p>
    <w:p w:rsidR="003B28B9" w:rsidRDefault="0067144E">
      <w:pPr>
        <w:spacing w:line="276" w:lineRule="auto"/>
        <w:ind w:left="851" w:right="899"/>
        <w:jc w:val="both"/>
        <w:rPr>
          <w:rFonts w:ascii="Palatino Linotype" w:hAnsi="Palatino Linotype" w:cs="Bookman Old Style"/>
          <w:bCs/>
          <w:i/>
          <w:sz w:val="22"/>
          <w:szCs w:val="22"/>
        </w:rPr>
      </w:pPr>
      <w:r>
        <w:rPr>
          <w:rFonts w:ascii="Palatino Linotype" w:hAnsi="Palatino Linotype" w:cs="Bookman Old Style"/>
          <w:bCs/>
          <w:i/>
          <w:sz w:val="22"/>
          <w:szCs w:val="22"/>
        </w:rPr>
        <w:t xml:space="preserve">c) Los beneficios otorgados por </w:t>
      </w:r>
      <w:r>
        <w:rPr>
          <w:rFonts w:ascii="Palatino Linotype" w:hAnsi="Palatino Linotype" w:cs="Bookman Old Style"/>
          <w:b/>
          <w:bCs/>
          <w:i/>
          <w:sz w:val="22"/>
          <w:szCs w:val="22"/>
        </w:rPr>
        <w:t>EL SUJETO OBLIGADO</w:t>
      </w:r>
      <w:r>
        <w:rPr>
          <w:rFonts w:ascii="Palatino Linotype" w:hAnsi="Palatino Linotype" w:cs="Bookman Old Style"/>
          <w:bCs/>
          <w:i/>
          <w:sz w:val="22"/>
          <w:szCs w:val="22"/>
        </w:rPr>
        <w:t xml:space="preserve"> a los habitantes del Municipio, a partir del 1 de enero del año 2020.</w:t>
      </w:r>
    </w:p>
    <w:p w:rsidR="003B28B9" w:rsidRDefault="003B28B9">
      <w:pPr>
        <w:spacing w:line="276" w:lineRule="auto"/>
        <w:ind w:left="851" w:right="899"/>
        <w:jc w:val="both"/>
        <w:rPr>
          <w:rFonts w:ascii="Palatino Linotype" w:hAnsi="Palatino Linotype" w:cs="Bookman Old Style"/>
          <w:bCs/>
          <w:i/>
          <w:sz w:val="22"/>
          <w:szCs w:val="22"/>
        </w:rPr>
      </w:pPr>
    </w:p>
    <w:p w:rsidR="003B28B9" w:rsidRDefault="0067144E">
      <w:pPr>
        <w:spacing w:line="276" w:lineRule="auto"/>
        <w:ind w:left="851" w:right="899"/>
        <w:jc w:val="both"/>
        <w:rPr>
          <w:rFonts w:ascii="Palatino Linotype" w:hAnsi="Palatino Linotype" w:cs="Bookman Old Style"/>
          <w:bCs/>
          <w:i/>
          <w:sz w:val="22"/>
          <w:szCs w:val="22"/>
        </w:rPr>
      </w:pPr>
      <w:r>
        <w:rPr>
          <w:rFonts w:ascii="Palatino Linotype" w:hAnsi="Palatino Linotype" w:cs="Bookman Old Style"/>
          <w:bCs/>
          <w:i/>
          <w:sz w:val="22"/>
          <w:szCs w:val="22"/>
        </w:rPr>
        <w:t xml:space="preserve">d) Las formas de pago para cubrir los costos para acceder a los servicios o derechos ofrecidos por </w:t>
      </w:r>
      <w:r>
        <w:rPr>
          <w:rFonts w:ascii="Palatino Linotype" w:hAnsi="Palatino Linotype" w:cs="Bookman Old Style"/>
          <w:b/>
          <w:bCs/>
          <w:i/>
          <w:sz w:val="22"/>
          <w:szCs w:val="22"/>
        </w:rPr>
        <w:t>EL SUJETO OBLIGADO.</w:t>
      </w:r>
      <w:r>
        <w:rPr>
          <w:rFonts w:ascii="Palatino Linotype" w:hAnsi="Palatino Linotype" w:cs="Bookman Old Style"/>
          <w:bCs/>
          <w:i/>
          <w:sz w:val="22"/>
          <w:szCs w:val="22"/>
        </w:rPr>
        <w:t>”</w:t>
      </w:r>
    </w:p>
    <w:p w:rsidR="003B28B9" w:rsidRDefault="003B28B9">
      <w:pPr>
        <w:spacing w:line="276" w:lineRule="auto"/>
        <w:ind w:right="899"/>
        <w:jc w:val="both"/>
        <w:rPr>
          <w:rFonts w:ascii="Palatino Linotype" w:eastAsia="Arial Unicode MS" w:hAnsi="Palatino Linotype" w:cs="Arial"/>
          <w:i/>
          <w:sz w:val="22"/>
          <w:szCs w:val="22"/>
        </w:rPr>
      </w:pPr>
    </w:p>
    <w:p w:rsidR="003B28B9" w:rsidRDefault="0067144E">
      <w:pPr>
        <w:spacing w:line="360" w:lineRule="auto"/>
        <w:jc w:val="both"/>
        <w:rPr>
          <w:rFonts w:ascii="Palatino Linotype" w:hAnsi="Palatino Linotype"/>
          <w:color w:val="222222"/>
          <w:highlight w:val="white"/>
        </w:rPr>
      </w:pPr>
      <w:r>
        <w:rPr>
          <w:rFonts w:ascii="Palatino Linotype" w:hAnsi="Palatino Linotype"/>
          <w:b/>
          <w:color w:val="222222"/>
          <w:sz w:val="28"/>
          <w:szCs w:val="28"/>
          <w:shd w:val="clear" w:color="auto" w:fill="FFFFFF"/>
        </w:rPr>
        <w:t>TERCERO.</w:t>
      </w:r>
      <w:r>
        <w:rPr>
          <w:rFonts w:ascii="Palatino Linotype" w:hAnsi="Palatino Linotype"/>
          <w:b/>
          <w:color w:val="222222"/>
          <w:shd w:val="clear" w:color="auto" w:fill="FFFFFF"/>
        </w:rPr>
        <w:t> </w:t>
      </w:r>
      <w:r>
        <w:rPr>
          <w:rFonts w:ascii="Palatino Linotype" w:hAnsi="Palatino Linotype"/>
          <w:b/>
          <w:color w:val="222222"/>
          <w:lang w:eastAsia="es-ES_tradnl"/>
        </w:rPr>
        <w:t>Notifíquese</w:t>
      </w:r>
      <w:r>
        <w:rPr>
          <w:rFonts w:ascii="Palatino Linotype" w:hAnsi="Palatino Linotype"/>
          <w:color w:val="222222"/>
          <w:lang w:eastAsia="es-ES_tradnl"/>
        </w:rPr>
        <w:t xml:space="preserve"> </w:t>
      </w:r>
      <w:r>
        <w:rPr>
          <w:rFonts w:ascii="Palatino Linotype" w:hAnsi="Palatino Linotype"/>
          <w:color w:val="222222"/>
          <w:shd w:val="clear" w:color="auto" w:fill="FFFFFF"/>
        </w:rPr>
        <w:t>al Titular de la Unidad de Transparencia del</w:t>
      </w:r>
      <w:r>
        <w:rPr>
          <w:rFonts w:ascii="Palatino Linotype" w:hAnsi="Palatino Linotype"/>
          <w:b/>
          <w:color w:val="222222"/>
          <w:shd w:val="clear" w:color="auto" w:fill="FFFFFF"/>
        </w:rPr>
        <w:t> SUJETO OBLIGADO</w:t>
      </w:r>
      <w:r>
        <w:rPr>
          <w:rFonts w:ascii="Palatino Linotype" w:hAnsi="Palatino Linotype"/>
          <w:color w:val="222222"/>
          <w:shd w:val="clear" w:color="auto" w:fill="FFFFFF"/>
        </w:rPr>
        <w:t xml:space="preserve">, para que conforme a los artículos 186, último párrafo y 189, párrafo segundo de la Ley de </w:t>
      </w:r>
      <w:r>
        <w:rPr>
          <w:rFonts w:ascii="Palatino Linotype" w:hAnsi="Palatino Linotype" w:cs="Arial"/>
        </w:rPr>
        <w:t>Transparencia</w:t>
      </w:r>
      <w:r>
        <w:rPr>
          <w:rFonts w:ascii="Palatino Linotype" w:hAnsi="Palatino Linotype"/>
          <w:color w:val="222222"/>
          <w:shd w:val="clear" w:color="auto" w:fill="FFFFFF"/>
        </w:rPr>
        <w:t xml:space="preserve"> y Acceso a la Información Pública del Estado de México y Municipios, dé </w:t>
      </w:r>
      <w:r>
        <w:rPr>
          <w:rFonts w:ascii="Palatino Linotype" w:hAnsi="Palatino Linotype" w:cs="Arial"/>
        </w:rPr>
        <w:t>cumplimiento</w:t>
      </w:r>
      <w:r>
        <w:rPr>
          <w:rFonts w:ascii="Palatino Linotype" w:hAnsi="Palatino Linotype"/>
          <w:color w:val="222222"/>
          <w:shd w:val="clear" w:color="auto" w:fill="FFFFFF"/>
        </w:rPr>
        <w:t xml:space="preserve"> a lo ordenado dentro del plazo de diez días hábiles, debiendo </w:t>
      </w:r>
      <w:r>
        <w:rPr>
          <w:rFonts w:ascii="Palatino Linotype" w:hAnsi="Palatino Linotype" w:cs="Arial"/>
        </w:rPr>
        <w:t>informar</w:t>
      </w:r>
      <w:r>
        <w:rPr>
          <w:rFonts w:ascii="Palatino Linotype" w:hAnsi="Palatino Linotype"/>
          <w:color w:val="222222"/>
          <w:shd w:val="clear" w:color="auto" w:fill="FFFFFF"/>
        </w:rPr>
        <w:t xml:space="preserve"> a este Instituto en un plazo </w:t>
      </w:r>
      <w:r>
        <w:rPr>
          <w:rFonts w:ascii="Palatino Linotype" w:hAnsi="Palatino Linotype"/>
          <w:color w:val="222222"/>
          <w:lang w:eastAsia="es-ES_tradnl"/>
        </w:rPr>
        <w:t>de</w:t>
      </w:r>
      <w:r>
        <w:rPr>
          <w:rFonts w:ascii="Palatino Linotype" w:hAnsi="Palatino Linotype"/>
          <w:color w:val="222222"/>
          <w:shd w:val="clear" w:color="auto" w:fill="FFFFFF"/>
        </w:rPr>
        <w:t xml:space="preserve"> tres días hábiles siguientes sobre el cumplimiento dado a la presente resolución.</w:t>
      </w:r>
    </w:p>
    <w:p w:rsidR="003B28B9" w:rsidRDefault="003B28B9">
      <w:pPr>
        <w:spacing w:line="360" w:lineRule="auto"/>
        <w:ind w:right="49"/>
        <w:jc w:val="both"/>
        <w:rPr>
          <w:rFonts w:ascii="Palatino Linotype" w:hAnsi="Palatino Linotype"/>
          <w:b/>
          <w:color w:val="222222"/>
          <w:highlight w:val="white"/>
        </w:rPr>
      </w:pPr>
    </w:p>
    <w:p w:rsidR="003B28B9" w:rsidRDefault="0067144E">
      <w:pPr>
        <w:spacing w:line="360" w:lineRule="auto"/>
        <w:ind w:right="49"/>
        <w:jc w:val="both"/>
        <w:rPr>
          <w:rFonts w:ascii="Palatino Linotype" w:hAnsi="Palatino Linotype"/>
          <w:highlight w:val="white"/>
          <w:lang w:eastAsia="es-MX"/>
        </w:rPr>
      </w:pPr>
      <w:r>
        <w:rPr>
          <w:rFonts w:ascii="Palatino Linotype" w:hAnsi="Palatino Linotype" w:cs="Arial"/>
          <w:b/>
          <w:bCs/>
          <w:color w:val="222222"/>
          <w:sz w:val="28"/>
          <w:lang w:eastAsia="es-MX"/>
        </w:rPr>
        <w:t xml:space="preserve">CUARTO. </w:t>
      </w:r>
      <w:r>
        <w:rPr>
          <w:rFonts w:ascii="Palatino Linotype" w:hAnsi="Palatino Linotype"/>
          <w:shd w:val="clear" w:color="auto" w:fill="FFFFFF"/>
          <w:lang w:eastAsia="es-MX"/>
        </w:rPr>
        <w:t xml:space="preserve">Con fundamento en el artículo 198 de la Ley de Transparencia y Acceso a la Información Pública del Estado de México y Municipios, se apercibe al </w:t>
      </w:r>
      <w:r>
        <w:rPr>
          <w:rFonts w:ascii="Palatino Linotype" w:hAnsi="Palatino Linotype"/>
          <w:b/>
          <w:shd w:val="clear" w:color="auto" w:fill="FFFFFF"/>
          <w:lang w:eastAsia="es-MX"/>
        </w:rPr>
        <w:t>SUJETO OBLIGADO</w:t>
      </w:r>
      <w:r>
        <w:rPr>
          <w:rFonts w:ascii="Palatino Linotype" w:hAnsi="Palatino Linotype"/>
          <w:shd w:val="clear" w:color="auto" w:fill="FFFFFF"/>
          <w:lang w:eastAsia="es-MX"/>
        </w:rPr>
        <w:t xml:space="preserve"> que, en caso de negarse a cumplir la presente resolución o hacerlo de manera parcial se actuará de conformidad con lo previsto en los artículos 213, 214, 216 y 217 de dicha Ley.</w:t>
      </w:r>
    </w:p>
    <w:p w:rsidR="003B28B9" w:rsidRDefault="003B28B9">
      <w:pPr>
        <w:spacing w:line="360" w:lineRule="auto"/>
        <w:ind w:right="49"/>
        <w:jc w:val="both"/>
        <w:rPr>
          <w:rFonts w:ascii="Palatino Linotype" w:hAnsi="Palatino Linotype"/>
          <w:highlight w:val="white"/>
          <w:lang w:eastAsia="es-MX"/>
        </w:rPr>
      </w:pPr>
    </w:p>
    <w:p w:rsidR="003B28B9" w:rsidRDefault="0067144E">
      <w:pPr>
        <w:spacing w:line="360" w:lineRule="auto"/>
        <w:ind w:right="49"/>
        <w:jc w:val="both"/>
        <w:rPr>
          <w:rFonts w:ascii="Palatino Linotype" w:hAnsi="Palatino Linotype"/>
          <w:b/>
          <w:color w:val="222222"/>
          <w:szCs w:val="17"/>
          <w:lang w:eastAsia="es-ES_tradnl"/>
        </w:rPr>
      </w:pPr>
      <w:r>
        <w:rPr>
          <w:rFonts w:ascii="Palatino Linotype" w:hAnsi="Palatino Linotype" w:cs="Arial"/>
          <w:b/>
          <w:bCs/>
          <w:color w:val="222222"/>
          <w:sz w:val="28"/>
          <w:lang w:eastAsia="es-MX"/>
        </w:rPr>
        <w:t>QUINTO.</w:t>
      </w:r>
      <w:r>
        <w:rPr>
          <w:rFonts w:ascii="Palatino Linotype" w:hAnsi="Palatino Linotype"/>
          <w:color w:val="222222"/>
          <w:szCs w:val="17"/>
          <w:lang w:eastAsia="es-ES_tradnl"/>
        </w:rPr>
        <w:t xml:space="preserve"> </w:t>
      </w:r>
      <w:r>
        <w:rPr>
          <w:rFonts w:ascii="Palatino Linotype" w:hAnsi="Palatino Linotype"/>
          <w:b/>
          <w:color w:val="222222"/>
          <w:szCs w:val="17"/>
          <w:lang w:eastAsia="es-ES_tradnl"/>
        </w:rPr>
        <w:t>Notifíquese</w:t>
      </w:r>
      <w:r>
        <w:rPr>
          <w:rFonts w:ascii="Palatino Linotype" w:hAnsi="Palatino Linotype"/>
          <w:color w:val="222222"/>
          <w:szCs w:val="17"/>
          <w:lang w:eastAsia="es-ES_tradnl"/>
        </w:rPr>
        <w:t xml:space="preserve"> al </w:t>
      </w:r>
      <w:r>
        <w:rPr>
          <w:rFonts w:ascii="Palatino Linotype" w:hAnsi="Palatino Linotype"/>
          <w:b/>
          <w:color w:val="222222"/>
          <w:szCs w:val="17"/>
          <w:lang w:eastAsia="es-ES_tradnl"/>
        </w:rPr>
        <w:t>RECURRENTE</w:t>
      </w:r>
      <w:r>
        <w:rPr>
          <w:rFonts w:ascii="Palatino Linotype" w:hAnsi="Palatino Linotype"/>
          <w:color w:val="222222"/>
          <w:szCs w:val="17"/>
          <w:lang w:eastAsia="es-ES_tradnl"/>
        </w:rPr>
        <w:t xml:space="preserve"> la presente resolución</w:t>
      </w:r>
      <w:r>
        <w:rPr>
          <w:rFonts w:ascii="Palatino Linotype" w:hAnsi="Palatino Linotype" w:cs="Arial"/>
        </w:rPr>
        <w:t>.</w:t>
      </w:r>
    </w:p>
    <w:p w:rsidR="003B28B9" w:rsidRDefault="003B28B9">
      <w:pPr>
        <w:widowControl w:val="0"/>
        <w:spacing w:line="360" w:lineRule="auto"/>
        <w:jc w:val="both"/>
        <w:rPr>
          <w:rFonts w:ascii="Palatino Linotype" w:eastAsiaTheme="minorEastAsia" w:hAnsi="Palatino Linotype"/>
          <w:color w:val="222222"/>
          <w:szCs w:val="17"/>
          <w:lang w:eastAsia="es-ES_tradnl"/>
        </w:rPr>
      </w:pPr>
    </w:p>
    <w:p w:rsidR="003B28B9" w:rsidRDefault="0067144E">
      <w:pPr>
        <w:spacing w:line="360" w:lineRule="auto"/>
        <w:ind w:right="49"/>
        <w:jc w:val="both"/>
        <w:rPr>
          <w:rFonts w:ascii="Palatino Linotype" w:hAnsi="Palatino Linotype"/>
          <w:color w:val="222222"/>
          <w:szCs w:val="17"/>
          <w:lang w:eastAsia="es-ES_tradnl"/>
        </w:rPr>
      </w:pPr>
      <w:r>
        <w:rPr>
          <w:rFonts w:ascii="Palatino Linotype" w:hAnsi="Palatino Linotype" w:cs="Arial"/>
          <w:b/>
          <w:bCs/>
          <w:color w:val="222222"/>
          <w:sz w:val="28"/>
          <w:lang w:eastAsia="es-MX"/>
        </w:rPr>
        <w:lastRenderedPageBreak/>
        <w:t>SEXTO.</w:t>
      </w:r>
      <w:r>
        <w:rPr>
          <w:rFonts w:ascii="Palatino Linotype" w:hAnsi="Palatino Linotype"/>
          <w:color w:val="222222"/>
          <w:szCs w:val="17"/>
          <w:lang w:eastAsia="es-ES_tradnl"/>
        </w:rPr>
        <w:t xml:space="preserve"> </w:t>
      </w:r>
      <w:r>
        <w:rPr>
          <w:rFonts w:ascii="Palatino Linotype" w:hAnsi="Palatino Linotype"/>
          <w:b/>
          <w:color w:val="222222"/>
          <w:szCs w:val="17"/>
          <w:lang w:eastAsia="es-ES_tradnl"/>
        </w:rPr>
        <w:t>Hágase del conocimiento</w:t>
      </w:r>
      <w:r>
        <w:rPr>
          <w:rFonts w:ascii="Palatino Linotype" w:hAnsi="Palatino Linotype"/>
          <w:color w:val="222222"/>
          <w:szCs w:val="17"/>
          <w:lang w:eastAsia="es-ES_tradnl"/>
        </w:rPr>
        <w:t xml:space="preserve"> al </w:t>
      </w:r>
      <w:r>
        <w:rPr>
          <w:rFonts w:ascii="Palatino Linotype" w:hAnsi="Palatino Linotype"/>
          <w:b/>
          <w:color w:val="222222"/>
          <w:szCs w:val="17"/>
          <w:lang w:eastAsia="es-ES_tradnl"/>
        </w:rPr>
        <w:t>RECURRENTE</w:t>
      </w:r>
      <w:r>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3B28B9" w:rsidRDefault="003B28B9">
      <w:pPr>
        <w:spacing w:line="360" w:lineRule="auto"/>
        <w:jc w:val="both"/>
        <w:rPr>
          <w:rFonts w:ascii="Palatino Linotype" w:hAnsi="Palatino Linotype"/>
          <w:color w:val="222222"/>
          <w:lang w:eastAsia="es-ES_tradnl"/>
        </w:rPr>
      </w:pPr>
    </w:p>
    <w:p w:rsidR="003B28B9" w:rsidRDefault="0067144E">
      <w:pPr>
        <w:spacing w:line="360" w:lineRule="auto"/>
        <w:jc w:val="both"/>
        <w:rPr>
          <w:rFonts w:ascii="Palatino Linotype" w:hAnsi="Palatino Linotype" w:cs="Arial"/>
          <w:lang w:val="es-ES"/>
        </w:rPr>
      </w:pPr>
      <w:r>
        <w:rPr>
          <w:rFonts w:ascii="Palatino Linotype" w:hAnsi="Palatino Linotype" w:cs="Arial"/>
          <w:lang w:val="es-ES"/>
        </w:rPr>
        <w:t xml:space="preserve">ASÍ LO RESUELVE, POR </w:t>
      </w:r>
      <w:r>
        <w:rPr>
          <w:rFonts w:ascii="Palatino Linotype" w:hAnsi="Palatino Linotype" w:cs="Arial"/>
          <w:color w:val="000000"/>
          <w:lang w:val="es-ES"/>
        </w:rPr>
        <w:t>UNANIMIDAD</w:t>
      </w:r>
      <w:r>
        <w:rPr>
          <w:rFonts w:ascii="Palatino Linotype" w:hAnsi="Palatino Linotype" w:cs="Arial"/>
          <w:lang w:val="es-ES"/>
        </w:rPr>
        <w:t xml:space="preserve"> DE VOTOS EL PLENO DEL</w:t>
      </w:r>
      <w:r>
        <w:rPr>
          <w:rFonts w:ascii="Palatino Linotype" w:eastAsia="Arial Unicode MS" w:hAnsi="Palatino Linotype" w:cs="Arial"/>
          <w:lang w:val="es-ES"/>
        </w:rPr>
        <w:t xml:space="preserve"> INSTITUTO DE </w:t>
      </w:r>
      <w:r>
        <w:rPr>
          <w:rFonts w:ascii="Palatino Linotype" w:hAnsi="Palatino Linotype"/>
          <w:lang w:val="es-ES" w:eastAsia="en-US"/>
        </w:rPr>
        <w:t>TRANSPARENCIA</w:t>
      </w:r>
      <w:r>
        <w:rPr>
          <w:rFonts w:ascii="Palatino Linotype" w:eastAsia="Arial Unicode MS" w:hAnsi="Palatino Linotype" w:cs="Arial"/>
          <w:lang w:val="es-ES"/>
        </w:rPr>
        <w:t>, ACCESO A LA INFORMACIÓN PÚBLICA Y PROTECCIÓN DE DATOS PERSONALES DEL ESTADO DE MÉXICO Y MUNICIPIOS</w:t>
      </w:r>
      <w:r>
        <w:rPr>
          <w:rFonts w:ascii="Palatino Linotype" w:hAnsi="Palatino Linotype" w:cs="Arial"/>
          <w:lang w:val="es-ES"/>
        </w:rPr>
        <w:t xml:space="preserve">, CONFORMADO POR LOS COMISIONADOS ZULEMA MARTÍNEZ SÁNCHEZ; EVA ABAID YAPUR; JOSÉ GUADALUPE LUNA HERNÁNDEZ, JAVIER MARTÍNEZ CRUZ Y LUIS GUSTAVO PARRA NORIEGA; EN LA DÉCIMA </w:t>
      </w:r>
      <w:r>
        <w:rPr>
          <w:rFonts w:ascii="Palatino Linotype" w:hAnsi="Palatino Linotype" w:cs="Arial"/>
          <w:color w:val="000000"/>
          <w:lang w:val="es-ES"/>
        </w:rPr>
        <w:t>CUARTA</w:t>
      </w:r>
      <w:r>
        <w:rPr>
          <w:rFonts w:ascii="Palatino Linotype" w:hAnsi="Palatino Linotype" w:cs="Arial"/>
          <w:lang w:val="es-ES"/>
        </w:rPr>
        <w:t xml:space="preserve"> SESIÓN ORDINARIA CELEBRADA EL </w:t>
      </w:r>
      <w:r>
        <w:rPr>
          <w:rFonts w:ascii="Palatino Linotype" w:hAnsi="Palatino Linotype" w:cs="Arial"/>
          <w:color w:val="000000"/>
          <w:lang w:val="es-ES"/>
        </w:rPr>
        <w:t>DIECINUEVE</w:t>
      </w:r>
      <w:r>
        <w:rPr>
          <w:rFonts w:ascii="Palatino Linotype" w:hAnsi="Palatino Linotype" w:cs="Arial"/>
          <w:lang w:val="es-ES"/>
        </w:rPr>
        <w:t xml:space="preserve"> DE AGOSTO DE DOS MIL VEINTE, ANTE EL SECRETARIO TÉCNICO DEL PLENO, </w:t>
      </w:r>
      <w:r>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10368" w:type="dxa"/>
        <w:jc w:val="center"/>
        <w:tblLook w:val="04A0" w:firstRow="1" w:lastRow="0" w:firstColumn="1" w:lastColumn="0" w:noHBand="0" w:noVBand="1"/>
      </w:tblPr>
      <w:tblGrid>
        <w:gridCol w:w="10581"/>
      </w:tblGrid>
      <w:tr w:rsidR="003B28B9">
        <w:trPr>
          <w:jc w:val="center"/>
        </w:trPr>
        <w:tc>
          <w:tcPr>
            <w:tcW w:w="10368" w:type="dxa"/>
          </w:tcPr>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tbl>
            <w:tblPr>
              <w:tblW w:w="10365" w:type="dxa"/>
              <w:jc w:val="center"/>
              <w:tblLook w:val="04A0" w:firstRow="1" w:lastRow="0" w:firstColumn="1" w:lastColumn="0" w:noHBand="0" w:noVBand="1"/>
            </w:tblPr>
            <w:tblGrid>
              <w:gridCol w:w="5182"/>
              <w:gridCol w:w="5183"/>
            </w:tblGrid>
            <w:tr w:rsidR="003B28B9">
              <w:trPr>
                <w:jc w:val="center"/>
              </w:trPr>
              <w:tc>
                <w:tcPr>
                  <w:tcW w:w="10364" w:type="dxa"/>
                  <w:gridSpan w:val="2"/>
                  <w:shd w:val="clear" w:color="auto" w:fill="auto"/>
                </w:tcPr>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Zulema Martínez Sánchez</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lang w:val="es-ES_tradnl"/>
                    </w:rPr>
                    <w:t>Comisionada Presidenta</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 xml:space="preserve">(RÚBRICA) </w:t>
                  </w:r>
                </w:p>
              </w:tc>
            </w:tr>
            <w:tr w:rsidR="003B28B9">
              <w:trPr>
                <w:jc w:val="center"/>
              </w:trPr>
              <w:tc>
                <w:tcPr>
                  <w:tcW w:w="5182" w:type="dxa"/>
                  <w:shd w:val="clear" w:color="auto" w:fill="auto"/>
                </w:tcPr>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Eva Abaid Yapur</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lang w:val="es-ES_tradnl"/>
                    </w:rPr>
                    <w:t>Comisionada</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(RÚBRICA)</w:t>
                  </w:r>
                </w:p>
              </w:tc>
              <w:tc>
                <w:tcPr>
                  <w:tcW w:w="5182" w:type="dxa"/>
                  <w:shd w:val="clear" w:color="auto" w:fill="auto"/>
                </w:tcPr>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José Guadalupe Luna Hernández</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lang w:val="es-ES_tradnl"/>
                    </w:rPr>
                    <w:t>Comisionado</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(RÚBRICA)</w:t>
                  </w:r>
                </w:p>
              </w:tc>
            </w:tr>
            <w:tr w:rsidR="003B28B9">
              <w:trPr>
                <w:jc w:val="center"/>
              </w:trPr>
              <w:tc>
                <w:tcPr>
                  <w:tcW w:w="5182" w:type="dxa"/>
                  <w:shd w:val="clear" w:color="auto" w:fill="auto"/>
                </w:tcPr>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Javier Martínez Cruz</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lang w:val="es-ES_tradnl"/>
                    </w:rPr>
                    <w:t>Comisionado</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(RÚBRICA)</w:t>
                  </w:r>
                </w:p>
              </w:tc>
              <w:tc>
                <w:tcPr>
                  <w:tcW w:w="5182" w:type="dxa"/>
                  <w:shd w:val="clear" w:color="auto" w:fill="auto"/>
                </w:tcPr>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Luis Gustavo Parra Noriega</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lang w:val="es-ES_tradnl"/>
                    </w:rPr>
                    <w:t>Comisionado</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(RÚBRICA)</w:t>
                  </w:r>
                </w:p>
              </w:tc>
            </w:tr>
            <w:tr w:rsidR="003B28B9">
              <w:trPr>
                <w:jc w:val="center"/>
              </w:trPr>
              <w:tc>
                <w:tcPr>
                  <w:tcW w:w="10364" w:type="dxa"/>
                  <w:gridSpan w:val="2"/>
                  <w:shd w:val="clear" w:color="auto" w:fill="auto"/>
                </w:tcPr>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0A7CF1" w:rsidRDefault="000A7CF1">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Alexis Tapia Ramírez</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lang w:val="es-ES_tradnl"/>
                    </w:rPr>
                    <w:t>Secretario Técnico del Pleno</w:t>
                  </w:r>
                </w:p>
                <w:p w:rsidR="003B28B9" w:rsidRDefault="0067144E">
                  <w:pPr>
                    <w:jc w:val="center"/>
                    <w:rPr>
                      <w:rFonts w:ascii="Palatino Linotype" w:eastAsiaTheme="minorEastAsia" w:hAnsi="Palatino Linotype" w:cs="Arial"/>
                      <w:b/>
                      <w:lang w:val="es-ES_tradnl"/>
                    </w:rPr>
                  </w:pPr>
                  <w:r>
                    <w:rPr>
                      <w:rFonts w:ascii="Palatino Linotype" w:eastAsiaTheme="minorEastAsia" w:hAnsi="Palatino Linotype" w:cs="Arial"/>
                      <w:b/>
                      <w:lang w:val="es-ES_tradnl"/>
                    </w:rPr>
                    <w:t>(RÚBRICA)</w:t>
                  </w:r>
                </w:p>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p w:rsidR="003B28B9" w:rsidRDefault="003B28B9">
                  <w:pPr>
                    <w:jc w:val="center"/>
                    <w:rPr>
                      <w:rFonts w:ascii="Palatino Linotype" w:eastAsiaTheme="minorEastAsia" w:hAnsi="Palatino Linotype" w:cs="Arial"/>
                      <w:b/>
                      <w:lang w:val="es-ES_tradnl"/>
                    </w:rPr>
                  </w:pPr>
                </w:p>
              </w:tc>
            </w:tr>
          </w:tbl>
          <w:p w:rsidR="003B28B9" w:rsidRDefault="003B28B9">
            <w:pPr>
              <w:jc w:val="center"/>
              <w:rPr>
                <w:rFonts w:ascii="Palatino Linotype" w:eastAsiaTheme="minorEastAsia" w:hAnsi="Palatino Linotype" w:cs="Arial"/>
                <w:b/>
                <w:lang w:val="es-ES_tradnl"/>
              </w:rPr>
            </w:pPr>
          </w:p>
        </w:tc>
      </w:tr>
    </w:tbl>
    <w:p w:rsidR="000A7CF1" w:rsidRDefault="000A7CF1">
      <w:pPr>
        <w:jc w:val="both"/>
        <w:rPr>
          <w:rFonts w:ascii="Palatino Linotype" w:eastAsiaTheme="minorEastAsia" w:hAnsi="Palatino Linotype" w:cs="Arial"/>
          <w:sz w:val="20"/>
          <w:szCs w:val="20"/>
          <w:lang w:val="es-ES_tradnl"/>
        </w:rPr>
      </w:pPr>
    </w:p>
    <w:p w:rsidR="003B28B9" w:rsidRDefault="0067144E">
      <w:pPr>
        <w:jc w:val="both"/>
        <w:rPr>
          <w:rFonts w:ascii="Palatino Linotype" w:eastAsiaTheme="minorEastAsia" w:hAnsi="Palatino Linotype" w:cs="Arial"/>
          <w:sz w:val="20"/>
          <w:szCs w:val="20"/>
          <w:lang w:val="es-ES_tradnl"/>
        </w:rPr>
      </w:pPr>
      <w:r>
        <w:rPr>
          <w:rFonts w:ascii="Palatino Linotype" w:eastAsiaTheme="minorEastAsia" w:hAnsi="Palatino Linotype" w:cs="Arial"/>
          <w:sz w:val="20"/>
          <w:szCs w:val="20"/>
          <w:lang w:val="es-ES_tradnl"/>
        </w:rPr>
        <w:t>Esta hoja corresponde a la resolución de diecinueve de agosto de dos mil veinte, emitida en el recurso de revisión número 00997/INFOEM/IP/RR/2020.</w:t>
      </w:r>
    </w:p>
    <w:p w:rsidR="003B28B9" w:rsidRDefault="0067144E">
      <w:pPr>
        <w:spacing w:beforeAutospacing="1" w:afterAutospacing="1" w:line="360" w:lineRule="auto"/>
        <w:jc w:val="both"/>
        <w:rPr>
          <w:rFonts w:ascii="Palatino Linotype" w:hAnsi="Palatino Linotype" w:cs="Arial"/>
          <w:sz w:val="18"/>
        </w:rPr>
      </w:pPr>
      <w:r>
        <w:rPr>
          <w:rFonts w:ascii="Palatino Linotype" w:eastAsiaTheme="minorEastAsia" w:hAnsi="Palatino Linotype" w:cs="Arial"/>
          <w:sz w:val="20"/>
          <w:szCs w:val="20"/>
          <w:lang w:val="es-ES_tradnl"/>
        </w:rPr>
        <w:t xml:space="preserve">YSM/RPG </w:t>
      </w:r>
    </w:p>
    <w:sectPr w:rsidR="003B28B9">
      <w:headerReference w:type="default" r:id="rId42"/>
      <w:footerReference w:type="default" r:id="rId43"/>
      <w:headerReference w:type="first" r:id="rId44"/>
      <w:footerReference w:type="first" r:id="rId4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44E" w:rsidRDefault="0067144E">
      <w:r>
        <w:separator/>
      </w:r>
    </w:p>
  </w:endnote>
  <w:endnote w:type="continuationSeparator" w:id="0">
    <w:p w:rsidR="0067144E" w:rsidRDefault="0067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8B9" w:rsidRDefault="0067144E">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E74291">
      <w:rPr>
        <w:rFonts w:ascii="Palatino Linotype" w:hAnsi="Palatino Linotype" w:cs="Arial"/>
        <w:bCs/>
        <w:noProof/>
        <w:sz w:val="22"/>
        <w:szCs w:val="22"/>
      </w:rPr>
      <w:t>31</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E74291">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8B9" w:rsidRDefault="0067144E">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E74291">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E74291">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44E" w:rsidRDefault="0067144E">
      <w:r>
        <w:separator/>
      </w:r>
    </w:p>
  </w:footnote>
  <w:footnote w:type="continuationSeparator" w:id="0">
    <w:p w:rsidR="0067144E" w:rsidRDefault="00671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8B9" w:rsidRDefault="0067144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29" behindDoc="1" locked="0" layoutInCell="1" allowOverlap="1">
          <wp:simplePos x="0" y="0"/>
          <wp:positionH relativeFrom="column">
            <wp:align>center</wp:align>
          </wp:positionH>
          <wp:positionV relativeFrom="margin">
            <wp:align>center</wp:align>
          </wp:positionV>
          <wp:extent cx="6858635" cy="9144635"/>
          <wp:effectExtent l="0" t="0" r="0" b="0"/>
          <wp:wrapNone/>
          <wp:docPr id="31"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5"/>
      <w:gridCol w:w="2555"/>
      <w:gridCol w:w="3724"/>
    </w:tblGrid>
    <w:tr w:rsidR="003B28B9">
      <w:tc>
        <w:tcPr>
          <w:tcW w:w="3255" w:type="dxa"/>
          <w:vMerge w:val="restart"/>
        </w:tcPr>
        <w:p w:rsidR="003B28B9" w:rsidRDefault="0067144E">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5" w:type="dxa"/>
          <w:shd w:val="clear" w:color="auto" w:fill="auto"/>
        </w:tcPr>
        <w:p w:rsidR="003B28B9" w:rsidRDefault="0067144E">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3B28B9" w:rsidRDefault="0067144E">
          <w:pPr>
            <w:jc w:val="both"/>
            <w:rPr>
              <w:rFonts w:ascii="Palatino Linotype" w:hAnsi="Palatino Linotype"/>
              <w:b/>
              <w:sz w:val="22"/>
              <w:szCs w:val="22"/>
              <w:lang w:val="es-ES_tradnl"/>
            </w:rPr>
          </w:pPr>
          <w:r>
            <w:rPr>
              <w:rFonts w:ascii="Palatino Linotype" w:hAnsi="Palatino Linotype"/>
              <w:b/>
              <w:sz w:val="22"/>
              <w:szCs w:val="22"/>
              <w:lang w:val="es-ES_tradnl"/>
            </w:rPr>
            <w:t>00997/INFOEM/IP/RR/2020</w:t>
          </w:r>
        </w:p>
      </w:tc>
    </w:tr>
    <w:tr w:rsidR="003B28B9">
      <w:tc>
        <w:tcPr>
          <w:tcW w:w="3255" w:type="dxa"/>
          <w:vMerge/>
        </w:tcPr>
        <w:p w:rsidR="003B28B9" w:rsidRDefault="003B28B9">
          <w:pPr>
            <w:rPr>
              <w:rFonts w:ascii="Palatino Linotype" w:hAnsi="Palatino Linotype"/>
              <w:b/>
              <w:sz w:val="22"/>
              <w:szCs w:val="22"/>
              <w:lang w:val="es-ES_tradnl"/>
            </w:rPr>
          </w:pPr>
        </w:p>
      </w:tc>
      <w:tc>
        <w:tcPr>
          <w:tcW w:w="2555" w:type="dxa"/>
          <w:shd w:val="clear" w:color="auto" w:fill="auto"/>
        </w:tcPr>
        <w:p w:rsidR="003B28B9" w:rsidRDefault="0067144E">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3B28B9" w:rsidRDefault="0067144E">
          <w:pPr>
            <w:jc w:val="both"/>
            <w:rPr>
              <w:rFonts w:ascii="Palatino Linotype" w:hAnsi="Palatino Linotype"/>
              <w:b/>
              <w:sz w:val="22"/>
              <w:szCs w:val="22"/>
            </w:rPr>
          </w:pPr>
          <w:r>
            <w:rPr>
              <w:rFonts w:ascii="Palatino Linotype" w:hAnsi="Palatino Linotype"/>
              <w:b/>
              <w:sz w:val="22"/>
              <w:szCs w:val="22"/>
            </w:rPr>
            <w:t>Sistema de Agua Alcantarillado y Saneamiento de Ecatepec de Morelos</w:t>
          </w:r>
        </w:p>
      </w:tc>
    </w:tr>
    <w:tr w:rsidR="003B28B9">
      <w:trPr>
        <w:trHeight w:val="228"/>
      </w:trPr>
      <w:tc>
        <w:tcPr>
          <w:tcW w:w="3255" w:type="dxa"/>
          <w:vMerge/>
        </w:tcPr>
        <w:p w:rsidR="003B28B9" w:rsidRDefault="003B28B9">
          <w:pPr>
            <w:rPr>
              <w:rFonts w:ascii="Palatino Linotype" w:hAnsi="Palatino Linotype"/>
              <w:b/>
              <w:sz w:val="22"/>
              <w:szCs w:val="22"/>
              <w:lang w:val="es-ES_tradnl"/>
            </w:rPr>
          </w:pPr>
        </w:p>
      </w:tc>
      <w:tc>
        <w:tcPr>
          <w:tcW w:w="2555" w:type="dxa"/>
          <w:shd w:val="clear" w:color="auto" w:fill="auto"/>
        </w:tcPr>
        <w:p w:rsidR="003B28B9" w:rsidRDefault="0067144E">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3B28B9" w:rsidRDefault="0067144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3B28B9" w:rsidRDefault="003B28B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8B9" w:rsidRDefault="0067144E">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30" behindDoc="1" locked="0" layoutInCell="1" allowOverlap="1">
          <wp:simplePos x="0" y="0"/>
          <wp:positionH relativeFrom="column">
            <wp:align>center</wp:align>
          </wp:positionH>
          <wp:positionV relativeFrom="margin">
            <wp:align>center</wp:align>
          </wp:positionV>
          <wp:extent cx="6858635" cy="9144635"/>
          <wp:effectExtent l="0" t="0" r="0" b="0"/>
          <wp:wrapNone/>
          <wp:docPr id="33"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9"/>
      <w:gridCol w:w="3691"/>
    </w:tblGrid>
    <w:tr w:rsidR="003B28B9">
      <w:tc>
        <w:tcPr>
          <w:tcW w:w="4250" w:type="dxa"/>
          <w:vMerge w:val="restart"/>
          <w:shd w:val="clear" w:color="auto" w:fill="auto"/>
        </w:tcPr>
        <w:p w:rsidR="003B28B9" w:rsidRDefault="0067144E">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9" w:type="dxa"/>
          <w:shd w:val="clear" w:color="auto" w:fill="auto"/>
        </w:tcPr>
        <w:p w:rsidR="003B28B9" w:rsidRDefault="0067144E">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1" w:type="dxa"/>
          <w:shd w:val="clear" w:color="auto" w:fill="auto"/>
          <w:vAlign w:val="center"/>
        </w:tcPr>
        <w:p w:rsidR="003B28B9" w:rsidRDefault="0067144E">
          <w:pPr>
            <w:jc w:val="both"/>
            <w:rPr>
              <w:rFonts w:ascii="Palatino Linotype" w:hAnsi="Palatino Linotype"/>
              <w:b/>
              <w:sz w:val="22"/>
              <w:szCs w:val="22"/>
              <w:lang w:val="es-ES_tradnl"/>
            </w:rPr>
          </w:pPr>
          <w:r>
            <w:rPr>
              <w:rFonts w:ascii="Palatino Linotype" w:hAnsi="Palatino Linotype"/>
              <w:b/>
              <w:sz w:val="22"/>
              <w:szCs w:val="22"/>
              <w:lang w:val="es-ES_tradnl"/>
            </w:rPr>
            <w:t>00997/INFOEM/IP/RR/2020</w:t>
          </w:r>
        </w:p>
      </w:tc>
    </w:tr>
    <w:tr w:rsidR="003B28B9">
      <w:tc>
        <w:tcPr>
          <w:tcW w:w="4250" w:type="dxa"/>
          <w:vMerge/>
          <w:shd w:val="clear" w:color="auto" w:fill="auto"/>
        </w:tcPr>
        <w:p w:rsidR="003B28B9" w:rsidRDefault="003B28B9">
          <w:pPr>
            <w:rPr>
              <w:rFonts w:ascii="Palatino Linotype" w:hAnsi="Palatino Linotype"/>
              <w:b/>
              <w:sz w:val="22"/>
              <w:szCs w:val="22"/>
              <w:lang w:val="es-ES_tradnl"/>
            </w:rPr>
          </w:pPr>
        </w:p>
      </w:tc>
      <w:tc>
        <w:tcPr>
          <w:tcW w:w="2549" w:type="dxa"/>
          <w:shd w:val="clear" w:color="auto" w:fill="auto"/>
        </w:tcPr>
        <w:p w:rsidR="003B28B9" w:rsidRDefault="0067144E">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1" w:type="dxa"/>
          <w:shd w:val="clear" w:color="auto" w:fill="auto"/>
          <w:vAlign w:val="center"/>
        </w:tcPr>
        <w:p w:rsidR="003B28B9" w:rsidRDefault="00E74291" w:rsidP="00E74291">
          <w:pPr>
            <w:jc w:val="both"/>
            <w:rPr>
              <w:rFonts w:ascii="Palatino Linotype" w:hAnsi="Palatino Linotype"/>
              <w:b/>
              <w:sz w:val="22"/>
              <w:szCs w:val="22"/>
              <w:lang w:val="es-ES_tradnl"/>
            </w:rPr>
          </w:pPr>
          <w:r>
            <w:rPr>
              <w:rFonts w:ascii="Palatino Linotype" w:hAnsi="Palatino Linotype"/>
              <w:b/>
              <w:sz w:val="22"/>
              <w:szCs w:val="22"/>
            </w:rPr>
            <w:t>XXXXXXX</w:t>
          </w:r>
          <w:r w:rsidR="0067144E">
            <w:rPr>
              <w:rFonts w:ascii="Palatino Linotype" w:hAnsi="Palatino Linotype"/>
              <w:b/>
              <w:sz w:val="22"/>
              <w:szCs w:val="22"/>
            </w:rPr>
            <w:t xml:space="preserve"> </w:t>
          </w:r>
          <w:r>
            <w:rPr>
              <w:rFonts w:ascii="Palatino Linotype" w:hAnsi="Palatino Linotype"/>
              <w:b/>
              <w:sz w:val="22"/>
              <w:szCs w:val="22"/>
            </w:rPr>
            <w:t>XXXX</w:t>
          </w:r>
          <w:r w:rsidR="0067144E">
            <w:rPr>
              <w:rFonts w:ascii="Palatino Linotype" w:hAnsi="Palatino Linotype"/>
              <w:b/>
              <w:sz w:val="22"/>
              <w:szCs w:val="22"/>
            </w:rPr>
            <w:t xml:space="preserve"> </w:t>
          </w:r>
          <w:r>
            <w:rPr>
              <w:rFonts w:ascii="Palatino Linotype" w:hAnsi="Palatino Linotype"/>
              <w:b/>
              <w:sz w:val="22"/>
              <w:szCs w:val="22"/>
            </w:rPr>
            <w:t>XXXXX</w:t>
          </w:r>
        </w:p>
      </w:tc>
    </w:tr>
    <w:tr w:rsidR="003B28B9">
      <w:trPr>
        <w:trHeight w:val="228"/>
      </w:trPr>
      <w:tc>
        <w:tcPr>
          <w:tcW w:w="4250" w:type="dxa"/>
          <w:vMerge/>
          <w:shd w:val="clear" w:color="auto" w:fill="auto"/>
        </w:tcPr>
        <w:p w:rsidR="003B28B9" w:rsidRDefault="003B28B9">
          <w:pPr>
            <w:rPr>
              <w:rFonts w:ascii="Palatino Linotype" w:hAnsi="Palatino Linotype"/>
              <w:b/>
              <w:sz w:val="22"/>
              <w:szCs w:val="22"/>
              <w:lang w:val="es-ES_tradnl"/>
            </w:rPr>
          </w:pPr>
        </w:p>
      </w:tc>
      <w:tc>
        <w:tcPr>
          <w:tcW w:w="2549" w:type="dxa"/>
          <w:shd w:val="clear" w:color="auto" w:fill="auto"/>
        </w:tcPr>
        <w:p w:rsidR="003B28B9" w:rsidRDefault="0067144E">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1" w:type="dxa"/>
          <w:shd w:val="clear" w:color="auto" w:fill="auto"/>
          <w:vAlign w:val="center"/>
        </w:tcPr>
        <w:p w:rsidR="003B28B9" w:rsidRDefault="0067144E">
          <w:pPr>
            <w:jc w:val="both"/>
            <w:rPr>
              <w:rFonts w:ascii="Palatino Linotype" w:hAnsi="Palatino Linotype"/>
              <w:b/>
              <w:sz w:val="22"/>
              <w:szCs w:val="22"/>
            </w:rPr>
          </w:pPr>
          <w:r>
            <w:rPr>
              <w:rFonts w:ascii="Palatino Linotype" w:hAnsi="Palatino Linotype"/>
              <w:b/>
              <w:sz w:val="22"/>
              <w:szCs w:val="22"/>
            </w:rPr>
            <w:t>Sistema de Agua Alcantarillado y Saneamiento de Ecatepec de Morelos</w:t>
          </w:r>
        </w:p>
      </w:tc>
    </w:tr>
    <w:tr w:rsidR="003B28B9">
      <w:tc>
        <w:tcPr>
          <w:tcW w:w="4250" w:type="dxa"/>
          <w:vMerge/>
          <w:shd w:val="clear" w:color="auto" w:fill="auto"/>
        </w:tcPr>
        <w:p w:rsidR="003B28B9" w:rsidRDefault="003B28B9">
          <w:pPr>
            <w:rPr>
              <w:rFonts w:ascii="Palatino Linotype" w:hAnsi="Palatino Linotype"/>
              <w:b/>
              <w:sz w:val="22"/>
              <w:szCs w:val="22"/>
              <w:lang w:val="es-ES_tradnl"/>
            </w:rPr>
          </w:pPr>
        </w:p>
      </w:tc>
      <w:tc>
        <w:tcPr>
          <w:tcW w:w="2549" w:type="dxa"/>
          <w:shd w:val="clear" w:color="auto" w:fill="auto"/>
        </w:tcPr>
        <w:p w:rsidR="003B28B9" w:rsidRDefault="0067144E">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1" w:type="dxa"/>
          <w:shd w:val="clear" w:color="auto" w:fill="auto"/>
        </w:tcPr>
        <w:p w:rsidR="003B28B9" w:rsidRDefault="0067144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3B28B9" w:rsidRDefault="003B28B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037317"/>
    <w:multiLevelType w:val="multilevel"/>
    <w:tmpl w:val="180E1C5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4D6B484B"/>
    <w:multiLevelType w:val="multilevel"/>
    <w:tmpl w:val="755CE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8B9"/>
    <w:rsid w:val="000A7CF1"/>
    <w:rsid w:val="003B28B9"/>
    <w:rsid w:val="0067144E"/>
    <w:rsid w:val="00E74291"/>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04C106-5ABB-45AE-A950-CFA1A2813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79835.page" TargetMode="External"/><Relationship Id="rId18" Type="http://schemas.openxmlformats.org/officeDocument/2006/relationships/hyperlink" Target="https://www.saimex.org.mx/saimex/solicitud/downloadAttach/879880.page" TargetMode="External"/><Relationship Id="rId26" Type="http://schemas.openxmlformats.org/officeDocument/2006/relationships/image" Target="media/image15.jpeg"/><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hyperlink" Target="https://sapase.gob.mx/"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879869.page" TargetMode="External"/><Relationship Id="rId29" Type="http://schemas.openxmlformats.org/officeDocument/2006/relationships/hyperlink" Target="https://sapase.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hyperlink" Target="http://legislacion.edomex.gob.mx/sites/legislacion.edomex.gob.mx/files/files/pdf/cod/vig/codvig007.pd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sapase.gob.mx/"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sapase.gob.mx/"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sapase.gob.mx/" TargetMode="External"/><Relationship Id="rId35" Type="http://schemas.openxmlformats.org/officeDocument/2006/relationships/image" Target="media/image19.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saimex.org.mx/saimex/solicitud/downloadAttach/879835.page" TargetMode="External"/><Relationship Id="rId25" Type="http://schemas.openxmlformats.org/officeDocument/2006/relationships/image" Target="media/image14.jpeg"/><Relationship Id="rId33" Type="http://schemas.openxmlformats.org/officeDocument/2006/relationships/hyperlink" Target="https://sapase.gob.mx/" TargetMode="External"/><Relationship Id="rId38" Type="http://schemas.openxmlformats.org/officeDocument/2006/relationships/hyperlink" Target="https://sapase.gob.mx/" TargetMode="Externa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s://legislacion.edomex.gob.mx/sites/legislacion.edomex.gob.mx/files/files/pdf/gct/2017/nov075.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A1F9C-C978-4957-BCEB-1CF0012F9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32</Pages>
  <Words>4821</Words>
  <Characters>26517</Characters>
  <Application>Microsoft Office Word</Application>
  <DocSecurity>0</DocSecurity>
  <Lines>220</Lines>
  <Paragraphs>62</Paragraphs>
  <ScaleCrop>false</ScaleCrop>
  <Company>INFOEM</Company>
  <LinksUpToDate>false</LinksUpToDate>
  <CharactersWithSpaces>31276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Rocío Popoca</cp:lastModifiedBy>
  <cp:revision>24</cp:revision>
  <cp:lastPrinted>2020-01-22T19:55:00Z</cp:lastPrinted>
  <dcterms:created xsi:type="dcterms:W3CDTF">2020-03-20T16:10:00Z</dcterms:created>
  <dcterms:modified xsi:type="dcterms:W3CDTF">2020-09-24T14:03:00Z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