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11F0" w:rsidRPr="0012204B" w:rsidRDefault="00CA11F0" w:rsidP="00CA11F0">
      <w:pPr>
        <w:spacing w:before="240" w:after="240" w:line="360" w:lineRule="auto"/>
        <w:rPr>
          <w:rFonts w:ascii="Palatino Linotype" w:eastAsia="MS Mincho" w:hAnsi="Palatino Linotype" w:cs="Times New Roman"/>
          <w:b/>
          <w:sz w:val="24"/>
          <w:szCs w:val="24"/>
          <w:lang w:val="es-ES_tradnl" w:eastAsia="es-ES"/>
        </w:rPr>
      </w:pPr>
      <w:r w:rsidRPr="0012204B">
        <w:rPr>
          <w:rFonts w:ascii="Palatino Linotype" w:eastAsia="MS Mincho" w:hAnsi="Palatino Linotype" w:cs="Times New Roman"/>
          <w:b/>
          <w:sz w:val="24"/>
          <w:szCs w:val="24"/>
          <w:lang w:val="es-ES_tradnl" w:eastAsia="es-ES"/>
        </w:rPr>
        <w:t>LÍNEAS ARGUMENTATIVAS.</w:t>
      </w:r>
    </w:p>
    <w:p w:rsidR="00CE51CB" w:rsidRPr="0012204B" w:rsidRDefault="00CE51CB" w:rsidP="00CE51CB">
      <w:pPr>
        <w:spacing w:before="240" w:after="240" w:line="360" w:lineRule="auto"/>
        <w:jc w:val="both"/>
        <w:rPr>
          <w:rFonts w:ascii="Palatino Linotype" w:eastAsia="Times New Roman" w:hAnsi="Palatino Linotype"/>
          <w:sz w:val="24"/>
          <w:szCs w:val="24"/>
          <w:lang w:val="es-ES_tradnl" w:eastAsia="es-ES"/>
        </w:rPr>
      </w:pPr>
      <w:r w:rsidRPr="0012204B">
        <w:rPr>
          <w:rFonts w:ascii="Palatino Linotype" w:eastAsia="Times New Roman" w:hAnsi="Palatino Linotype"/>
          <w:b/>
          <w:sz w:val="24"/>
          <w:szCs w:val="24"/>
          <w:lang w:val="es-ES_tradnl" w:eastAsia="es-ES"/>
        </w:rPr>
        <w:t xml:space="preserve">DEBERES DE LAS AUTORIDADES. </w:t>
      </w:r>
      <w:r w:rsidRPr="0012204B">
        <w:rPr>
          <w:rFonts w:ascii="Palatino Linotype" w:eastAsia="Times New Roman" w:hAnsi="Palatino Linotype"/>
          <w:sz w:val="24"/>
          <w:szCs w:val="24"/>
          <w:lang w:val="es-ES_tradnl" w:eastAsia="es-ES"/>
        </w:rPr>
        <w:t>El derecho humano de acceso a la información pública es un derecho humano constitucionalmente reconocido en consecuencia todas las autoridades en el ámbito de sus competencias tienen la obligación de respetarlo, protegerlo y garantizarlo.</w:t>
      </w:r>
    </w:p>
    <w:p w:rsidR="00CA11F0" w:rsidRPr="0012204B" w:rsidRDefault="00CA11F0" w:rsidP="00CA11F0">
      <w:pPr>
        <w:spacing w:before="240" w:after="240" w:line="360" w:lineRule="auto"/>
        <w:jc w:val="both"/>
        <w:rPr>
          <w:rFonts w:ascii="Palatino Linotype" w:eastAsia="Times New Roman" w:hAnsi="Palatino Linotype"/>
          <w:sz w:val="24"/>
          <w:szCs w:val="24"/>
          <w:lang w:val="es-ES_tradnl" w:eastAsia="es-ES"/>
        </w:rPr>
      </w:pPr>
      <w:r w:rsidRPr="0012204B">
        <w:rPr>
          <w:rFonts w:ascii="Palatino Linotype" w:eastAsia="Times New Roman" w:hAnsi="Palatino Linotype"/>
          <w:b/>
          <w:sz w:val="24"/>
          <w:szCs w:val="24"/>
          <w:lang w:eastAsia="es-ES"/>
        </w:rPr>
        <w:t xml:space="preserve">DE LAS RESPUESTAS INCOMPLETAS Y DEFICIENTES. </w:t>
      </w:r>
      <w:r w:rsidRPr="0012204B">
        <w:rPr>
          <w:rFonts w:ascii="Palatino Linotype" w:eastAsia="Times New Roman" w:hAnsi="Palatino Linotype"/>
          <w:sz w:val="24"/>
          <w:szCs w:val="24"/>
          <w:lang w:eastAsia="es-ES"/>
        </w:rPr>
        <w:t xml:space="preserve">Las respuestas proporcionadas por los sujetos obligados que resulten incongruentes con lo solicitado, trae como consecuencia que se retrase el </w:t>
      </w:r>
      <w:r w:rsidRPr="0012204B">
        <w:rPr>
          <w:rFonts w:ascii="Palatino Linotype" w:eastAsia="Times New Roman" w:hAnsi="Palatino Linotype"/>
          <w:sz w:val="24"/>
          <w:szCs w:val="24"/>
          <w:lang w:val="es-ES_tradnl" w:eastAsia="es-ES"/>
        </w:rPr>
        <w:t>acceso a la información pública vulnerando el derecho fundamental de la personas para acceder a la misma.</w:t>
      </w:r>
    </w:p>
    <w:p w:rsidR="00CE51CB" w:rsidRPr="0012204B" w:rsidRDefault="00CE51CB" w:rsidP="00CE51CB">
      <w:pPr>
        <w:spacing w:before="240" w:after="240" w:line="360" w:lineRule="auto"/>
        <w:jc w:val="both"/>
        <w:rPr>
          <w:rFonts w:ascii="Palatino Linotype" w:eastAsia="Times New Roman" w:hAnsi="Palatino Linotype"/>
          <w:sz w:val="24"/>
          <w:szCs w:val="24"/>
          <w:lang w:val="es-ES_tradnl" w:eastAsia="es-ES"/>
        </w:rPr>
      </w:pPr>
      <w:r w:rsidRPr="0012204B">
        <w:rPr>
          <w:rFonts w:ascii="Palatino Linotype" w:eastAsia="Times New Roman" w:hAnsi="Palatino Linotype"/>
          <w:b/>
          <w:sz w:val="24"/>
          <w:szCs w:val="24"/>
          <w:lang w:val="es-ES_tradnl" w:eastAsia="es-ES"/>
        </w:rPr>
        <w:t xml:space="preserve">INFORME JUSTIFICADO, FALTA DE. </w:t>
      </w:r>
      <w:r w:rsidRPr="0012204B">
        <w:rPr>
          <w:rFonts w:ascii="Palatino Linotype" w:eastAsia="Times New Roman" w:hAnsi="Palatino Linotype"/>
          <w:sz w:val="24"/>
          <w:szCs w:val="24"/>
          <w:lang w:val="es-ES_tradnl" w:eastAsia="es-ES"/>
        </w:rPr>
        <w:t xml:space="preserve">La falta de informe justificado no impide que este Órgano Garante conozca y resuelva el recurso de revisión, solo propicia que el </w:t>
      </w:r>
      <w:r w:rsidRPr="0012204B">
        <w:rPr>
          <w:rFonts w:ascii="Palatino Linotype" w:eastAsia="Times New Roman" w:hAnsi="Palatino Linotype"/>
          <w:b/>
          <w:sz w:val="24"/>
          <w:szCs w:val="24"/>
          <w:lang w:val="es-ES_tradnl" w:eastAsia="es-ES"/>
        </w:rPr>
        <w:t>SUJETO OBLIGADO</w:t>
      </w:r>
      <w:r w:rsidRPr="0012204B">
        <w:rPr>
          <w:rFonts w:ascii="Palatino Linotype" w:eastAsia="Times New Roman" w:hAnsi="Palatino Linotype"/>
          <w:sz w:val="24"/>
          <w:szCs w:val="24"/>
          <w:lang w:val="es-ES_tradnl" w:eastAsia="es-ES"/>
        </w:rPr>
        <w:t xml:space="preserve"> pierda la oportunidad de justificar su respuesta y manifestar lo que a su derecho convenga. </w:t>
      </w:r>
    </w:p>
    <w:p w:rsidR="00CE51CB" w:rsidRPr="0012204B" w:rsidRDefault="00CE51CB" w:rsidP="00CE51CB">
      <w:pPr>
        <w:spacing w:before="240" w:after="240" w:line="360" w:lineRule="auto"/>
        <w:jc w:val="both"/>
        <w:rPr>
          <w:rFonts w:ascii="Palatino Linotype" w:eastAsia="Times New Roman" w:hAnsi="Palatino Linotype"/>
          <w:sz w:val="24"/>
          <w:szCs w:val="24"/>
          <w:lang w:eastAsia="es-ES"/>
        </w:rPr>
      </w:pPr>
      <w:r w:rsidRPr="0012204B">
        <w:rPr>
          <w:rFonts w:ascii="Palatino Linotype" w:eastAsia="Times New Roman" w:hAnsi="Palatino Linotype"/>
          <w:b/>
          <w:sz w:val="24"/>
          <w:szCs w:val="24"/>
          <w:lang w:eastAsia="es-ES"/>
        </w:rPr>
        <w:t>DE LA ELABORACIÓN DE LAS VERSIONES PÚBLICAS</w:t>
      </w:r>
      <w:r w:rsidRPr="0012204B">
        <w:rPr>
          <w:rFonts w:ascii="Palatino Linotype" w:eastAsia="Times New Roman" w:hAnsi="Palatino Linotype"/>
          <w:sz w:val="24"/>
          <w:szCs w:val="24"/>
          <w:lang w:eastAsia="es-ES"/>
        </w:rPr>
        <w:t xml:space="preserve">. Los Sujetos Obligados  deberán de elaborar las versiones públicas respecto de aquella información que considere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w:t>
      </w:r>
    </w:p>
    <w:p w:rsidR="00CE51CB" w:rsidRPr="0012204B" w:rsidRDefault="00CE51CB" w:rsidP="00CE51CB">
      <w:pPr>
        <w:spacing w:before="240" w:after="240" w:line="360" w:lineRule="auto"/>
        <w:jc w:val="both"/>
        <w:rPr>
          <w:rFonts w:ascii="Palatino Linotype" w:eastAsia="Times New Roman" w:hAnsi="Palatino Linotype"/>
          <w:sz w:val="24"/>
          <w:szCs w:val="24"/>
          <w:lang w:eastAsia="es-ES"/>
        </w:rPr>
      </w:pPr>
    </w:p>
    <w:p w:rsidR="00CE51CB" w:rsidRPr="0012204B" w:rsidRDefault="00CE51CB" w:rsidP="00CE51CB">
      <w:pPr>
        <w:spacing w:before="240" w:after="240" w:line="360" w:lineRule="auto"/>
        <w:jc w:val="both"/>
        <w:rPr>
          <w:rFonts w:ascii="Palatino Linotype" w:eastAsia="Times New Roman" w:hAnsi="Palatino Linotype"/>
          <w:sz w:val="24"/>
          <w:szCs w:val="24"/>
          <w:lang w:val="es-ES_tradnl" w:eastAsia="es-ES"/>
        </w:rPr>
      </w:pPr>
      <w:r w:rsidRPr="0012204B">
        <w:rPr>
          <w:rFonts w:ascii="Palatino Linotype" w:eastAsia="Times New Roman" w:hAnsi="Palatino Linotype"/>
          <w:b/>
          <w:sz w:val="24"/>
          <w:szCs w:val="24"/>
          <w:lang w:val="es-ES_tradnl" w:eastAsia="es-ES"/>
        </w:rPr>
        <w:lastRenderedPageBreak/>
        <w:t>INFORMACIÓN CONFIDENCIAL, CLASIFICACIÓN DE LA</w:t>
      </w:r>
      <w:r w:rsidRPr="0012204B">
        <w:rPr>
          <w:rFonts w:ascii="Palatino Linotype" w:eastAsia="Times New Roman" w:hAnsi="Palatino Linotype"/>
          <w:sz w:val="24"/>
          <w:szCs w:val="24"/>
          <w:lang w:val="es-ES_tradnl" w:eastAsia="es-ES"/>
        </w:rPr>
        <w:t>. 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rsidR="00CA11F0" w:rsidRPr="0012204B" w:rsidRDefault="00CA11F0" w:rsidP="00CA11F0">
      <w:pPr>
        <w:spacing w:before="240" w:after="240" w:line="360" w:lineRule="auto"/>
        <w:jc w:val="both"/>
        <w:rPr>
          <w:rFonts w:ascii="Palatino Linotype" w:eastAsia="Times New Roman" w:hAnsi="Palatino Linotype"/>
          <w:sz w:val="24"/>
          <w:szCs w:val="24"/>
          <w:lang w:val="es-ES_tradnl" w:eastAsia="es-ES"/>
        </w:rPr>
      </w:pPr>
    </w:p>
    <w:p w:rsidR="00CA11F0" w:rsidRPr="0012204B" w:rsidRDefault="00CA11F0" w:rsidP="00CA11F0">
      <w:pPr>
        <w:spacing w:before="240" w:after="240" w:line="360" w:lineRule="auto"/>
        <w:jc w:val="center"/>
        <w:rPr>
          <w:rFonts w:ascii="Palatino Linotype" w:eastAsia="MS Mincho" w:hAnsi="Palatino Linotype" w:cs="Times New Roman"/>
          <w:b/>
          <w:sz w:val="24"/>
          <w:szCs w:val="24"/>
          <w:lang w:val="es-ES_tradnl" w:eastAsia="es-ES"/>
        </w:rPr>
      </w:pPr>
    </w:p>
    <w:p w:rsidR="00CA11F0" w:rsidRPr="0012204B" w:rsidRDefault="00CA11F0" w:rsidP="00CA11F0">
      <w:pPr>
        <w:spacing w:before="240" w:after="240" w:line="360" w:lineRule="auto"/>
        <w:jc w:val="center"/>
        <w:rPr>
          <w:rFonts w:ascii="Palatino Linotype" w:eastAsia="MS Mincho" w:hAnsi="Palatino Linotype" w:cs="Times New Roman"/>
          <w:b/>
          <w:sz w:val="24"/>
          <w:szCs w:val="24"/>
          <w:lang w:val="es-ES_tradnl" w:eastAsia="es-ES"/>
        </w:rPr>
      </w:pPr>
    </w:p>
    <w:p w:rsidR="00CA11F0" w:rsidRPr="0012204B" w:rsidRDefault="00CA11F0" w:rsidP="00CA11F0">
      <w:pPr>
        <w:spacing w:before="240" w:after="240" w:line="360" w:lineRule="auto"/>
        <w:jc w:val="center"/>
        <w:rPr>
          <w:rFonts w:ascii="Palatino Linotype" w:eastAsia="MS Mincho" w:hAnsi="Palatino Linotype" w:cs="Times New Roman"/>
          <w:b/>
          <w:sz w:val="24"/>
          <w:szCs w:val="24"/>
          <w:lang w:val="es-ES_tradnl" w:eastAsia="es-ES"/>
        </w:rPr>
      </w:pPr>
    </w:p>
    <w:p w:rsidR="0054612E" w:rsidRPr="0012204B" w:rsidRDefault="0054612E" w:rsidP="00CA11F0">
      <w:pPr>
        <w:spacing w:before="240" w:after="240" w:line="360" w:lineRule="auto"/>
        <w:jc w:val="center"/>
        <w:rPr>
          <w:rFonts w:ascii="Palatino Linotype" w:eastAsia="MS Mincho" w:hAnsi="Palatino Linotype" w:cs="Times New Roman"/>
          <w:b/>
          <w:sz w:val="24"/>
          <w:szCs w:val="24"/>
          <w:lang w:val="es-ES_tradnl" w:eastAsia="es-ES"/>
        </w:rPr>
      </w:pPr>
    </w:p>
    <w:p w:rsidR="0054612E" w:rsidRPr="0012204B" w:rsidRDefault="0054612E" w:rsidP="00CA11F0">
      <w:pPr>
        <w:spacing w:before="240" w:after="240" w:line="360" w:lineRule="auto"/>
        <w:jc w:val="center"/>
        <w:rPr>
          <w:rFonts w:ascii="Palatino Linotype" w:eastAsia="MS Mincho" w:hAnsi="Palatino Linotype" w:cs="Times New Roman"/>
          <w:b/>
          <w:sz w:val="24"/>
          <w:szCs w:val="24"/>
          <w:lang w:val="es-ES_tradnl" w:eastAsia="es-ES"/>
        </w:rPr>
      </w:pPr>
    </w:p>
    <w:p w:rsidR="0054612E" w:rsidRPr="0012204B" w:rsidRDefault="0054612E" w:rsidP="00CA11F0">
      <w:pPr>
        <w:spacing w:before="240" w:after="240" w:line="360" w:lineRule="auto"/>
        <w:jc w:val="center"/>
        <w:rPr>
          <w:rFonts w:ascii="Palatino Linotype" w:eastAsia="MS Mincho" w:hAnsi="Palatino Linotype" w:cs="Times New Roman"/>
          <w:b/>
          <w:sz w:val="24"/>
          <w:szCs w:val="24"/>
          <w:lang w:val="es-ES_tradnl" w:eastAsia="es-ES"/>
        </w:rPr>
      </w:pPr>
    </w:p>
    <w:p w:rsidR="0054612E" w:rsidRPr="0012204B" w:rsidRDefault="0054612E" w:rsidP="00CA11F0">
      <w:pPr>
        <w:spacing w:before="240" w:after="240" w:line="360" w:lineRule="auto"/>
        <w:jc w:val="center"/>
        <w:rPr>
          <w:rFonts w:ascii="Palatino Linotype" w:eastAsia="MS Mincho" w:hAnsi="Palatino Linotype" w:cs="Times New Roman"/>
          <w:b/>
          <w:sz w:val="24"/>
          <w:szCs w:val="24"/>
          <w:lang w:val="es-ES_tradnl" w:eastAsia="es-ES"/>
        </w:rPr>
      </w:pPr>
    </w:p>
    <w:p w:rsidR="00CE51CB" w:rsidRPr="0012204B" w:rsidRDefault="00CE51CB" w:rsidP="00CA11F0">
      <w:pPr>
        <w:spacing w:before="240" w:after="240" w:line="360" w:lineRule="auto"/>
        <w:jc w:val="center"/>
        <w:rPr>
          <w:rFonts w:ascii="Palatino Linotype" w:eastAsia="MS Mincho" w:hAnsi="Palatino Linotype" w:cs="Times New Roman"/>
          <w:b/>
          <w:sz w:val="24"/>
          <w:szCs w:val="24"/>
          <w:lang w:val="es-ES_tradnl" w:eastAsia="es-ES"/>
        </w:rPr>
      </w:pPr>
    </w:p>
    <w:p w:rsidR="00CA11F0" w:rsidRPr="0012204B" w:rsidRDefault="00CA11F0" w:rsidP="00CA11F0">
      <w:pPr>
        <w:spacing w:before="240" w:after="240" w:line="360" w:lineRule="auto"/>
        <w:jc w:val="center"/>
        <w:rPr>
          <w:rFonts w:ascii="Palatino Linotype" w:eastAsia="MS Mincho" w:hAnsi="Palatino Linotype" w:cs="Times New Roman"/>
          <w:b/>
          <w:sz w:val="24"/>
          <w:szCs w:val="24"/>
          <w:lang w:val="es-ES_tradnl" w:eastAsia="es-ES"/>
        </w:rPr>
      </w:pPr>
    </w:p>
    <w:p w:rsidR="00CA11F0" w:rsidRPr="0012204B" w:rsidRDefault="00CA11F0" w:rsidP="00CA11F0">
      <w:pPr>
        <w:spacing w:before="240" w:after="240" w:line="360" w:lineRule="auto"/>
        <w:jc w:val="center"/>
        <w:rPr>
          <w:rFonts w:ascii="Palatino Linotype" w:eastAsia="MS Mincho" w:hAnsi="Palatino Linotype" w:cs="Times New Roman"/>
          <w:b/>
          <w:sz w:val="24"/>
          <w:szCs w:val="24"/>
          <w:lang w:val="es-ES_tradnl" w:eastAsia="es-ES"/>
        </w:rPr>
      </w:pPr>
    </w:p>
    <w:p w:rsidR="00CA11F0" w:rsidRPr="0012204B" w:rsidRDefault="00CA11F0" w:rsidP="00CA11F0">
      <w:pPr>
        <w:spacing w:before="240" w:after="240" w:line="360" w:lineRule="auto"/>
        <w:jc w:val="center"/>
        <w:rPr>
          <w:rFonts w:ascii="Palatino Linotype" w:eastAsia="MS Mincho" w:hAnsi="Palatino Linotype" w:cs="Times New Roman"/>
          <w:sz w:val="24"/>
          <w:szCs w:val="24"/>
          <w:lang w:val="es-ES_tradnl" w:eastAsia="es-ES"/>
        </w:rPr>
      </w:pPr>
      <w:r w:rsidRPr="0012204B">
        <w:rPr>
          <w:rFonts w:ascii="Palatino Linotype" w:eastAsia="MS Mincho" w:hAnsi="Palatino Linotype" w:cs="Times New Roman"/>
          <w:b/>
          <w:sz w:val="24"/>
          <w:szCs w:val="24"/>
          <w:lang w:val="es-ES_tradnl" w:eastAsia="es-ES"/>
        </w:rPr>
        <w:lastRenderedPageBreak/>
        <w:t>Índice</w:t>
      </w:r>
      <w:r w:rsidRPr="0012204B">
        <w:rPr>
          <w:rFonts w:ascii="Palatino Linotype" w:eastAsia="MS Mincho" w:hAnsi="Palatino Linotype" w:cs="Times New Roman"/>
          <w:sz w:val="24"/>
          <w:szCs w:val="24"/>
          <w:lang w:val="es-ES_tradnl" w:eastAsia="es-ES"/>
        </w:rPr>
        <w:t>.</w:t>
      </w:r>
    </w:p>
    <w:sdt>
      <w:sdtPr>
        <w:rPr>
          <w:lang w:val="es-ES"/>
        </w:rPr>
        <w:id w:val="-1091387415"/>
        <w:docPartObj>
          <w:docPartGallery w:val="Table of Contents"/>
          <w:docPartUnique/>
        </w:docPartObj>
      </w:sdtPr>
      <w:sdtEndPr>
        <w:rPr>
          <w:b/>
          <w:bCs/>
        </w:rPr>
      </w:sdtEndPr>
      <w:sdtContent>
        <w:p w:rsidR="00CA11F0" w:rsidRPr="0012204B" w:rsidRDefault="00CA11F0" w:rsidP="00CA11F0">
          <w:pPr>
            <w:keepNext/>
            <w:keepLines/>
            <w:spacing w:before="240" w:after="0" w:line="360" w:lineRule="auto"/>
            <w:jc w:val="both"/>
            <w:rPr>
              <w:rFonts w:asciiTheme="majorHAnsi" w:eastAsiaTheme="majorEastAsia" w:hAnsiTheme="majorHAnsi" w:cstheme="majorBidi"/>
              <w:color w:val="2E74B5" w:themeColor="accent1" w:themeShade="BF"/>
              <w:sz w:val="32"/>
              <w:szCs w:val="32"/>
              <w:lang w:eastAsia="es-MX"/>
            </w:rPr>
          </w:pPr>
        </w:p>
        <w:p w:rsidR="00CE51CB" w:rsidRPr="0012204B" w:rsidRDefault="00CA11F0">
          <w:pPr>
            <w:pStyle w:val="TDC1"/>
            <w:tabs>
              <w:tab w:val="right" w:leader="dot" w:pos="8827"/>
            </w:tabs>
            <w:rPr>
              <w:noProof/>
            </w:rPr>
          </w:pPr>
          <w:r w:rsidRPr="0012204B">
            <w:fldChar w:fldCharType="begin"/>
          </w:r>
          <w:r w:rsidRPr="0012204B">
            <w:instrText xml:space="preserve"> TOC \o "1-3" \h \z \u </w:instrText>
          </w:r>
          <w:r w:rsidRPr="0012204B">
            <w:fldChar w:fldCharType="separate"/>
          </w:r>
          <w:hyperlink w:anchor="_Toc62209463" w:history="1">
            <w:r w:rsidR="00CE51CB" w:rsidRPr="0012204B">
              <w:rPr>
                <w:rStyle w:val="Hipervnculo"/>
                <w:rFonts w:ascii="Palatino Linotype" w:eastAsia="MS Gothic" w:hAnsi="Palatino Linotype" w:cs="Times New Roman"/>
                <w:b/>
                <w:noProof/>
              </w:rPr>
              <w:t>A N T E C E D E N T E S</w:t>
            </w:r>
            <w:r w:rsidR="00CE51CB" w:rsidRPr="0012204B">
              <w:rPr>
                <w:noProof/>
                <w:webHidden/>
              </w:rPr>
              <w:tab/>
            </w:r>
            <w:r w:rsidR="00CE51CB" w:rsidRPr="0012204B">
              <w:rPr>
                <w:noProof/>
                <w:webHidden/>
              </w:rPr>
              <w:fldChar w:fldCharType="begin"/>
            </w:r>
            <w:r w:rsidR="00CE51CB" w:rsidRPr="0012204B">
              <w:rPr>
                <w:noProof/>
                <w:webHidden/>
              </w:rPr>
              <w:instrText xml:space="preserve"> PAGEREF _Toc62209463 \h </w:instrText>
            </w:r>
            <w:r w:rsidR="00CE51CB" w:rsidRPr="0012204B">
              <w:rPr>
                <w:noProof/>
                <w:webHidden/>
              </w:rPr>
            </w:r>
            <w:r w:rsidR="00CE51CB" w:rsidRPr="0012204B">
              <w:rPr>
                <w:noProof/>
                <w:webHidden/>
              </w:rPr>
              <w:fldChar w:fldCharType="separate"/>
            </w:r>
            <w:r w:rsidR="00CE51CB" w:rsidRPr="0012204B">
              <w:rPr>
                <w:noProof/>
                <w:webHidden/>
              </w:rPr>
              <w:t>4</w:t>
            </w:r>
            <w:r w:rsidR="00CE51CB" w:rsidRPr="0012204B">
              <w:rPr>
                <w:noProof/>
                <w:webHidden/>
              </w:rPr>
              <w:fldChar w:fldCharType="end"/>
            </w:r>
          </w:hyperlink>
        </w:p>
        <w:p w:rsidR="00CE51CB" w:rsidRPr="0012204B" w:rsidRDefault="00197895">
          <w:pPr>
            <w:pStyle w:val="TDC1"/>
            <w:tabs>
              <w:tab w:val="right" w:leader="dot" w:pos="8827"/>
            </w:tabs>
            <w:rPr>
              <w:noProof/>
            </w:rPr>
          </w:pPr>
          <w:hyperlink w:anchor="_Toc62209464" w:history="1">
            <w:r w:rsidR="00CE51CB" w:rsidRPr="0012204B">
              <w:rPr>
                <w:rStyle w:val="Hipervnculo"/>
                <w:rFonts w:ascii="Palatino Linotype" w:eastAsia="MS Mincho" w:hAnsi="Palatino Linotype" w:cs="Times New Roman"/>
                <w:b/>
                <w:noProof/>
                <w:lang w:val="es-ES_tradnl" w:eastAsia="es-ES"/>
              </w:rPr>
              <w:t>C O N S I D E R A N D O</w:t>
            </w:r>
            <w:r w:rsidR="00CE51CB" w:rsidRPr="0012204B">
              <w:rPr>
                <w:noProof/>
                <w:webHidden/>
              </w:rPr>
              <w:tab/>
            </w:r>
            <w:r w:rsidR="00CE51CB" w:rsidRPr="0012204B">
              <w:rPr>
                <w:noProof/>
                <w:webHidden/>
              </w:rPr>
              <w:fldChar w:fldCharType="begin"/>
            </w:r>
            <w:r w:rsidR="00CE51CB" w:rsidRPr="0012204B">
              <w:rPr>
                <w:noProof/>
                <w:webHidden/>
              </w:rPr>
              <w:instrText xml:space="preserve"> PAGEREF _Toc62209464 \h </w:instrText>
            </w:r>
            <w:r w:rsidR="00CE51CB" w:rsidRPr="0012204B">
              <w:rPr>
                <w:noProof/>
                <w:webHidden/>
              </w:rPr>
            </w:r>
            <w:r w:rsidR="00CE51CB" w:rsidRPr="0012204B">
              <w:rPr>
                <w:noProof/>
                <w:webHidden/>
              </w:rPr>
              <w:fldChar w:fldCharType="separate"/>
            </w:r>
            <w:r w:rsidR="00CE51CB" w:rsidRPr="0012204B">
              <w:rPr>
                <w:noProof/>
                <w:webHidden/>
              </w:rPr>
              <w:t>8</w:t>
            </w:r>
            <w:r w:rsidR="00CE51CB" w:rsidRPr="0012204B">
              <w:rPr>
                <w:noProof/>
                <w:webHidden/>
              </w:rPr>
              <w:fldChar w:fldCharType="end"/>
            </w:r>
          </w:hyperlink>
        </w:p>
        <w:p w:rsidR="00CE51CB" w:rsidRPr="0012204B" w:rsidRDefault="00197895" w:rsidP="00CE51CB">
          <w:pPr>
            <w:pStyle w:val="TDC2"/>
            <w:tabs>
              <w:tab w:val="right" w:leader="dot" w:pos="8827"/>
            </w:tabs>
            <w:ind w:left="0"/>
            <w:rPr>
              <w:noProof/>
            </w:rPr>
          </w:pPr>
          <w:hyperlink w:anchor="_Toc62209465" w:history="1">
            <w:r w:rsidR="00CE51CB" w:rsidRPr="0012204B">
              <w:rPr>
                <w:rStyle w:val="Hipervnculo"/>
                <w:rFonts w:ascii="Palatino Linotype" w:eastAsia="MS Gothic" w:hAnsi="Palatino Linotype" w:cs="Times New Roman"/>
                <w:b/>
                <w:noProof/>
              </w:rPr>
              <w:t>PRIMERO. De la competencia.</w:t>
            </w:r>
            <w:r w:rsidR="00CE51CB" w:rsidRPr="0012204B">
              <w:rPr>
                <w:noProof/>
                <w:webHidden/>
              </w:rPr>
              <w:tab/>
            </w:r>
            <w:r w:rsidR="00CE51CB" w:rsidRPr="0012204B">
              <w:rPr>
                <w:noProof/>
                <w:webHidden/>
              </w:rPr>
              <w:fldChar w:fldCharType="begin"/>
            </w:r>
            <w:r w:rsidR="00CE51CB" w:rsidRPr="0012204B">
              <w:rPr>
                <w:noProof/>
                <w:webHidden/>
              </w:rPr>
              <w:instrText xml:space="preserve"> PAGEREF _Toc62209465 \h </w:instrText>
            </w:r>
            <w:r w:rsidR="00CE51CB" w:rsidRPr="0012204B">
              <w:rPr>
                <w:noProof/>
                <w:webHidden/>
              </w:rPr>
            </w:r>
            <w:r w:rsidR="00CE51CB" w:rsidRPr="0012204B">
              <w:rPr>
                <w:noProof/>
                <w:webHidden/>
              </w:rPr>
              <w:fldChar w:fldCharType="separate"/>
            </w:r>
            <w:r w:rsidR="00CE51CB" w:rsidRPr="0012204B">
              <w:rPr>
                <w:noProof/>
                <w:webHidden/>
              </w:rPr>
              <w:t>8</w:t>
            </w:r>
            <w:r w:rsidR="00CE51CB" w:rsidRPr="0012204B">
              <w:rPr>
                <w:noProof/>
                <w:webHidden/>
              </w:rPr>
              <w:fldChar w:fldCharType="end"/>
            </w:r>
          </w:hyperlink>
        </w:p>
        <w:p w:rsidR="00CE51CB" w:rsidRPr="0012204B" w:rsidRDefault="00197895" w:rsidP="00CE51CB">
          <w:pPr>
            <w:pStyle w:val="TDC2"/>
            <w:tabs>
              <w:tab w:val="right" w:leader="dot" w:pos="8827"/>
            </w:tabs>
            <w:ind w:left="0"/>
            <w:rPr>
              <w:noProof/>
            </w:rPr>
          </w:pPr>
          <w:hyperlink w:anchor="_Toc62209466" w:history="1">
            <w:r w:rsidR="00CE51CB" w:rsidRPr="0012204B">
              <w:rPr>
                <w:rStyle w:val="Hipervnculo"/>
                <w:rFonts w:ascii="Palatino Linotype" w:eastAsia="MS Gothic" w:hAnsi="Palatino Linotype" w:cs="Times New Roman"/>
                <w:b/>
                <w:noProof/>
              </w:rPr>
              <w:t>SEGUNDO. De la oportunidad y procedencia.</w:t>
            </w:r>
            <w:r w:rsidR="00CE51CB" w:rsidRPr="0012204B">
              <w:rPr>
                <w:noProof/>
                <w:webHidden/>
              </w:rPr>
              <w:tab/>
            </w:r>
            <w:r w:rsidR="00CE51CB" w:rsidRPr="0012204B">
              <w:rPr>
                <w:noProof/>
                <w:webHidden/>
              </w:rPr>
              <w:fldChar w:fldCharType="begin"/>
            </w:r>
            <w:r w:rsidR="00CE51CB" w:rsidRPr="0012204B">
              <w:rPr>
                <w:noProof/>
                <w:webHidden/>
              </w:rPr>
              <w:instrText xml:space="preserve"> PAGEREF _Toc62209466 \h </w:instrText>
            </w:r>
            <w:r w:rsidR="00CE51CB" w:rsidRPr="0012204B">
              <w:rPr>
                <w:noProof/>
                <w:webHidden/>
              </w:rPr>
            </w:r>
            <w:r w:rsidR="00CE51CB" w:rsidRPr="0012204B">
              <w:rPr>
                <w:noProof/>
                <w:webHidden/>
              </w:rPr>
              <w:fldChar w:fldCharType="separate"/>
            </w:r>
            <w:r w:rsidR="00CE51CB" w:rsidRPr="0012204B">
              <w:rPr>
                <w:noProof/>
                <w:webHidden/>
              </w:rPr>
              <w:t>9</w:t>
            </w:r>
            <w:r w:rsidR="00CE51CB" w:rsidRPr="0012204B">
              <w:rPr>
                <w:noProof/>
                <w:webHidden/>
              </w:rPr>
              <w:fldChar w:fldCharType="end"/>
            </w:r>
          </w:hyperlink>
        </w:p>
        <w:p w:rsidR="00CE51CB" w:rsidRPr="0012204B" w:rsidRDefault="00197895">
          <w:pPr>
            <w:pStyle w:val="TDC1"/>
            <w:tabs>
              <w:tab w:val="right" w:leader="dot" w:pos="8827"/>
            </w:tabs>
            <w:rPr>
              <w:noProof/>
            </w:rPr>
          </w:pPr>
          <w:hyperlink w:anchor="_Toc62209467" w:history="1">
            <w:r w:rsidR="00CE51CB" w:rsidRPr="0012204B">
              <w:rPr>
                <w:rStyle w:val="Hipervnculo"/>
                <w:rFonts w:ascii="Palatino Linotype" w:eastAsia="MS Mincho" w:hAnsi="Palatino Linotype" w:cstheme="majorBidi"/>
                <w:b/>
                <w:noProof/>
                <w:lang w:val="es-ES_tradnl" w:eastAsia="es-ES"/>
              </w:rPr>
              <w:t>TERCERO. Previo especial pronunciamiento</w:t>
            </w:r>
            <w:r w:rsidR="00CE51CB" w:rsidRPr="0012204B">
              <w:rPr>
                <w:noProof/>
                <w:webHidden/>
              </w:rPr>
              <w:tab/>
            </w:r>
            <w:r w:rsidR="00CE51CB" w:rsidRPr="0012204B">
              <w:rPr>
                <w:noProof/>
                <w:webHidden/>
              </w:rPr>
              <w:fldChar w:fldCharType="begin"/>
            </w:r>
            <w:r w:rsidR="00CE51CB" w:rsidRPr="0012204B">
              <w:rPr>
                <w:noProof/>
                <w:webHidden/>
              </w:rPr>
              <w:instrText xml:space="preserve"> PAGEREF _Toc62209467 \h </w:instrText>
            </w:r>
            <w:r w:rsidR="00CE51CB" w:rsidRPr="0012204B">
              <w:rPr>
                <w:noProof/>
                <w:webHidden/>
              </w:rPr>
            </w:r>
            <w:r w:rsidR="00CE51CB" w:rsidRPr="0012204B">
              <w:rPr>
                <w:noProof/>
                <w:webHidden/>
              </w:rPr>
              <w:fldChar w:fldCharType="separate"/>
            </w:r>
            <w:r w:rsidR="00CE51CB" w:rsidRPr="0012204B">
              <w:rPr>
                <w:noProof/>
                <w:webHidden/>
              </w:rPr>
              <w:t>12</w:t>
            </w:r>
            <w:r w:rsidR="00CE51CB" w:rsidRPr="0012204B">
              <w:rPr>
                <w:noProof/>
                <w:webHidden/>
              </w:rPr>
              <w:fldChar w:fldCharType="end"/>
            </w:r>
          </w:hyperlink>
        </w:p>
        <w:p w:rsidR="00CE51CB" w:rsidRPr="0012204B" w:rsidRDefault="00197895">
          <w:pPr>
            <w:pStyle w:val="TDC1"/>
            <w:tabs>
              <w:tab w:val="right" w:leader="dot" w:pos="8827"/>
            </w:tabs>
            <w:rPr>
              <w:noProof/>
            </w:rPr>
          </w:pPr>
          <w:hyperlink w:anchor="_Toc62209468" w:history="1">
            <w:r w:rsidR="00CE51CB" w:rsidRPr="0012204B">
              <w:rPr>
                <w:rStyle w:val="Hipervnculo"/>
                <w:rFonts w:ascii="Palatino Linotype" w:eastAsia="MS Mincho" w:hAnsi="Palatino Linotype" w:cs="Times New Roman"/>
                <w:b/>
                <w:noProof/>
                <w:lang w:val="es-ES_tradnl" w:eastAsia="es-ES"/>
              </w:rPr>
              <w:t xml:space="preserve">CUARTO. </w:t>
            </w:r>
            <w:r w:rsidR="00CE51CB" w:rsidRPr="0012204B">
              <w:rPr>
                <w:rStyle w:val="Hipervnculo"/>
                <w:rFonts w:ascii="Palatino Linotype" w:eastAsia="MS Mincho" w:hAnsi="Palatino Linotype"/>
                <w:b/>
                <w:noProof/>
                <w:lang w:val="es-ES_tradnl" w:eastAsia="es-ES"/>
              </w:rPr>
              <w:t>Del planteamiento de la Litis.</w:t>
            </w:r>
            <w:r w:rsidR="00CE51CB" w:rsidRPr="0012204B">
              <w:rPr>
                <w:noProof/>
                <w:webHidden/>
              </w:rPr>
              <w:tab/>
            </w:r>
            <w:r w:rsidR="00CE51CB" w:rsidRPr="0012204B">
              <w:rPr>
                <w:noProof/>
                <w:webHidden/>
              </w:rPr>
              <w:fldChar w:fldCharType="begin"/>
            </w:r>
            <w:r w:rsidR="00CE51CB" w:rsidRPr="0012204B">
              <w:rPr>
                <w:noProof/>
                <w:webHidden/>
              </w:rPr>
              <w:instrText xml:space="preserve"> PAGEREF _Toc62209468 \h </w:instrText>
            </w:r>
            <w:r w:rsidR="00CE51CB" w:rsidRPr="0012204B">
              <w:rPr>
                <w:noProof/>
                <w:webHidden/>
              </w:rPr>
            </w:r>
            <w:r w:rsidR="00CE51CB" w:rsidRPr="0012204B">
              <w:rPr>
                <w:noProof/>
                <w:webHidden/>
              </w:rPr>
              <w:fldChar w:fldCharType="separate"/>
            </w:r>
            <w:r w:rsidR="00CE51CB" w:rsidRPr="0012204B">
              <w:rPr>
                <w:noProof/>
                <w:webHidden/>
              </w:rPr>
              <w:t>17</w:t>
            </w:r>
            <w:r w:rsidR="00CE51CB" w:rsidRPr="0012204B">
              <w:rPr>
                <w:noProof/>
                <w:webHidden/>
              </w:rPr>
              <w:fldChar w:fldCharType="end"/>
            </w:r>
          </w:hyperlink>
        </w:p>
        <w:p w:rsidR="00CE51CB" w:rsidRPr="0012204B" w:rsidRDefault="00197895">
          <w:pPr>
            <w:pStyle w:val="TDC1"/>
            <w:tabs>
              <w:tab w:val="right" w:leader="dot" w:pos="8827"/>
            </w:tabs>
            <w:rPr>
              <w:noProof/>
            </w:rPr>
          </w:pPr>
          <w:hyperlink w:anchor="_Toc62209469" w:history="1">
            <w:r w:rsidR="00CE51CB" w:rsidRPr="0012204B">
              <w:rPr>
                <w:rStyle w:val="Hipervnculo"/>
                <w:rFonts w:ascii="Palatino Linotype" w:eastAsiaTheme="majorEastAsia" w:hAnsi="Palatino Linotype" w:cstheme="majorBidi"/>
                <w:b/>
                <w:noProof/>
              </w:rPr>
              <w:t>QUINTO. Del estudio de resolución del asunto.</w:t>
            </w:r>
            <w:r w:rsidR="00CE51CB" w:rsidRPr="0012204B">
              <w:rPr>
                <w:noProof/>
                <w:webHidden/>
              </w:rPr>
              <w:tab/>
            </w:r>
            <w:r w:rsidR="00CE51CB" w:rsidRPr="0012204B">
              <w:rPr>
                <w:noProof/>
                <w:webHidden/>
              </w:rPr>
              <w:fldChar w:fldCharType="begin"/>
            </w:r>
            <w:r w:rsidR="00CE51CB" w:rsidRPr="0012204B">
              <w:rPr>
                <w:noProof/>
                <w:webHidden/>
              </w:rPr>
              <w:instrText xml:space="preserve"> PAGEREF _Toc62209469 \h </w:instrText>
            </w:r>
            <w:r w:rsidR="00CE51CB" w:rsidRPr="0012204B">
              <w:rPr>
                <w:noProof/>
                <w:webHidden/>
              </w:rPr>
            </w:r>
            <w:r w:rsidR="00CE51CB" w:rsidRPr="0012204B">
              <w:rPr>
                <w:noProof/>
                <w:webHidden/>
              </w:rPr>
              <w:fldChar w:fldCharType="separate"/>
            </w:r>
            <w:r w:rsidR="00CE51CB" w:rsidRPr="0012204B">
              <w:rPr>
                <w:noProof/>
                <w:webHidden/>
              </w:rPr>
              <w:t>19</w:t>
            </w:r>
            <w:r w:rsidR="00CE51CB" w:rsidRPr="0012204B">
              <w:rPr>
                <w:noProof/>
                <w:webHidden/>
              </w:rPr>
              <w:fldChar w:fldCharType="end"/>
            </w:r>
          </w:hyperlink>
        </w:p>
        <w:p w:rsidR="00CE51CB" w:rsidRPr="0012204B" w:rsidRDefault="00197895" w:rsidP="00CE51CB">
          <w:pPr>
            <w:pStyle w:val="TDC2"/>
            <w:tabs>
              <w:tab w:val="left" w:pos="660"/>
              <w:tab w:val="right" w:leader="dot" w:pos="8827"/>
            </w:tabs>
            <w:ind w:left="0"/>
            <w:rPr>
              <w:noProof/>
            </w:rPr>
          </w:pPr>
          <w:hyperlink w:anchor="_Toc62209470" w:history="1">
            <w:r w:rsidR="00CE51CB" w:rsidRPr="0012204B">
              <w:rPr>
                <w:rStyle w:val="Hipervnculo"/>
                <w:rFonts w:ascii="Palatino Linotype" w:eastAsia="MS Mincho" w:hAnsi="Palatino Linotype" w:cstheme="majorBidi"/>
                <w:b/>
                <w:i/>
                <w:noProof/>
                <w:lang w:eastAsia="es-ES"/>
              </w:rPr>
              <w:t>I.</w:t>
            </w:r>
            <w:r w:rsidR="00CE51CB" w:rsidRPr="0012204B">
              <w:rPr>
                <w:noProof/>
              </w:rPr>
              <w:tab/>
            </w:r>
            <w:r w:rsidR="00CE51CB" w:rsidRPr="0012204B">
              <w:rPr>
                <w:rStyle w:val="Hipervnculo"/>
                <w:rFonts w:ascii="Palatino Linotype" w:eastAsia="MS Mincho" w:hAnsi="Palatino Linotype" w:cstheme="majorBidi"/>
                <w:b/>
                <w:i/>
                <w:noProof/>
                <w:lang w:eastAsia="es-ES"/>
              </w:rPr>
              <w:t>De la respuesta del Sujeto Obligado.</w:t>
            </w:r>
            <w:r w:rsidR="00CE51CB" w:rsidRPr="0012204B">
              <w:rPr>
                <w:noProof/>
                <w:webHidden/>
              </w:rPr>
              <w:tab/>
            </w:r>
            <w:r w:rsidR="00CE51CB" w:rsidRPr="0012204B">
              <w:rPr>
                <w:noProof/>
                <w:webHidden/>
              </w:rPr>
              <w:fldChar w:fldCharType="begin"/>
            </w:r>
            <w:r w:rsidR="00CE51CB" w:rsidRPr="0012204B">
              <w:rPr>
                <w:noProof/>
                <w:webHidden/>
              </w:rPr>
              <w:instrText xml:space="preserve"> PAGEREF _Toc62209470 \h </w:instrText>
            </w:r>
            <w:r w:rsidR="00CE51CB" w:rsidRPr="0012204B">
              <w:rPr>
                <w:noProof/>
                <w:webHidden/>
              </w:rPr>
            </w:r>
            <w:r w:rsidR="00CE51CB" w:rsidRPr="0012204B">
              <w:rPr>
                <w:noProof/>
                <w:webHidden/>
              </w:rPr>
              <w:fldChar w:fldCharType="separate"/>
            </w:r>
            <w:r w:rsidR="00CE51CB" w:rsidRPr="0012204B">
              <w:rPr>
                <w:noProof/>
                <w:webHidden/>
              </w:rPr>
              <w:t>21</w:t>
            </w:r>
            <w:r w:rsidR="00CE51CB" w:rsidRPr="0012204B">
              <w:rPr>
                <w:noProof/>
                <w:webHidden/>
              </w:rPr>
              <w:fldChar w:fldCharType="end"/>
            </w:r>
          </w:hyperlink>
        </w:p>
        <w:p w:rsidR="00CE51CB" w:rsidRPr="0012204B" w:rsidRDefault="00197895">
          <w:pPr>
            <w:pStyle w:val="TDC1"/>
            <w:tabs>
              <w:tab w:val="left" w:pos="660"/>
              <w:tab w:val="right" w:leader="dot" w:pos="8827"/>
            </w:tabs>
            <w:rPr>
              <w:noProof/>
            </w:rPr>
          </w:pPr>
          <w:hyperlink w:anchor="_Toc62209471" w:history="1">
            <w:r w:rsidR="00CE51CB" w:rsidRPr="0012204B">
              <w:rPr>
                <w:rStyle w:val="Hipervnculo"/>
                <w:rFonts w:ascii="Palatino Linotype" w:eastAsia="MS Mincho" w:hAnsi="Palatino Linotype"/>
                <w:b/>
                <w:i/>
                <w:noProof/>
                <w:lang w:val="es-ES_tradnl" w:eastAsia="es-ES"/>
              </w:rPr>
              <w:t>II.</w:t>
            </w:r>
            <w:r w:rsidR="00CE51CB" w:rsidRPr="0012204B">
              <w:rPr>
                <w:noProof/>
              </w:rPr>
              <w:tab/>
            </w:r>
            <w:r w:rsidR="00CE51CB" w:rsidRPr="0012204B">
              <w:rPr>
                <w:rStyle w:val="Hipervnculo"/>
                <w:rFonts w:ascii="Palatino Linotype" w:eastAsia="MS Mincho" w:hAnsi="Palatino Linotype"/>
                <w:b/>
                <w:i/>
                <w:noProof/>
                <w:lang w:val="es-ES_tradnl" w:eastAsia="es-ES"/>
              </w:rPr>
              <w:t>De las actas generadas por el Comité y Órgano Máximo de Gobierno</w:t>
            </w:r>
            <w:r w:rsidR="00CE51CB" w:rsidRPr="0012204B">
              <w:rPr>
                <w:noProof/>
                <w:webHidden/>
              </w:rPr>
              <w:tab/>
            </w:r>
            <w:r w:rsidR="00CE51CB" w:rsidRPr="0012204B">
              <w:rPr>
                <w:noProof/>
                <w:webHidden/>
              </w:rPr>
              <w:fldChar w:fldCharType="begin"/>
            </w:r>
            <w:r w:rsidR="00CE51CB" w:rsidRPr="0012204B">
              <w:rPr>
                <w:noProof/>
                <w:webHidden/>
              </w:rPr>
              <w:instrText xml:space="preserve"> PAGEREF _Toc62209471 \h </w:instrText>
            </w:r>
            <w:r w:rsidR="00CE51CB" w:rsidRPr="0012204B">
              <w:rPr>
                <w:noProof/>
                <w:webHidden/>
              </w:rPr>
            </w:r>
            <w:r w:rsidR="00CE51CB" w:rsidRPr="0012204B">
              <w:rPr>
                <w:noProof/>
                <w:webHidden/>
              </w:rPr>
              <w:fldChar w:fldCharType="separate"/>
            </w:r>
            <w:r w:rsidR="00CE51CB" w:rsidRPr="0012204B">
              <w:rPr>
                <w:noProof/>
                <w:webHidden/>
              </w:rPr>
              <w:t>25</w:t>
            </w:r>
            <w:r w:rsidR="00CE51CB" w:rsidRPr="0012204B">
              <w:rPr>
                <w:noProof/>
                <w:webHidden/>
              </w:rPr>
              <w:fldChar w:fldCharType="end"/>
            </w:r>
          </w:hyperlink>
        </w:p>
        <w:p w:rsidR="00CE51CB" w:rsidRPr="0012204B" w:rsidRDefault="00197895">
          <w:pPr>
            <w:pStyle w:val="TDC1"/>
            <w:tabs>
              <w:tab w:val="right" w:leader="dot" w:pos="8827"/>
            </w:tabs>
            <w:rPr>
              <w:noProof/>
            </w:rPr>
          </w:pPr>
          <w:hyperlink w:anchor="_Toc62209472" w:history="1">
            <w:r w:rsidR="00CE51CB" w:rsidRPr="0012204B">
              <w:rPr>
                <w:rStyle w:val="Hipervnculo"/>
                <w:rFonts w:ascii="Palatino Linotype" w:eastAsia="MS Mincho" w:hAnsi="Palatino Linotype" w:cstheme="majorBidi"/>
                <w:b/>
                <w:noProof/>
                <w:lang w:val="es-ES_tradnl" w:eastAsia="es-ES"/>
              </w:rPr>
              <w:t>SEXTO. De la versión pública.</w:t>
            </w:r>
            <w:r w:rsidR="00CE51CB" w:rsidRPr="0012204B">
              <w:rPr>
                <w:noProof/>
                <w:webHidden/>
              </w:rPr>
              <w:tab/>
            </w:r>
            <w:r w:rsidR="00CE51CB" w:rsidRPr="0012204B">
              <w:rPr>
                <w:noProof/>
                <w:webHidden/>
              </w:rPr>
              <w:fldChar w:fldCharType="begin"/>
            </w:r>
            <w:r w:rsidR="00CE51CB" w:rsidRPr="0012204B">
              <w:rPr>
                <w:noProof/>
                <w:webHidden/>
              </w:rPr>
              <w:instrText xml:space="preserve"> PAGEREF _Toc62209472 \h </w:instrText>
            </w:r>
            <w:r w:rsidR="00CE51CB" w:rsidRPr="0012204B">
              <w:rPr>
                <w:noProof/>
                <w:webHidden/>
              </w:rPr>
            </w:r>
            <w:r w:rsidR="00CE51CB" w:rsidRPr="0012204B">
              <w:rPr>
                <w:noProof/>
                <w:webHidden/>
              </w:rPr>
              <w:fldChar w:fldCharType="separate"/>
            </w:r>
            <w:r w:rsidR="00CE51CB" w:rsidRPr="0012204B">
              <w:rPr>
                <w:noProof/>
                <w:webHidden/>
              </w:rPr>
              <w:t>30</w:t>
            </w:r>
            <w:r w:rsidR="00CE51CB" w:rsidRPr="0012204B">
              <w:rPr>
                <w:noProof/>
                <w:webHidden/>
              </w:rPr>
              <w:fldChar w:fldCharType="end"/>
            </w:r>
          </w:hyperlink>
        </w:p>
        <w:p w:rsidR="00CE51CB" w:rsidRPr="0012204B" w:rsidRDefault="00197895">
          <w:pPr>
            <w:pStyle w:val="TDC1"/>
            <w:tabs>
              <w:tab w:val="right" w:leader="dot" w:pos="8827"/>
            </w:tabs>
            <w:rPr>
              <w:noProof/>
            </w:rPr>
          </w:pPr>
          <w:hyperlink w:anchor="_Toc62209473" w:history="1">
            <w:r w:rsidR="00CE51CB" w:rsidRPr="0012204B">
              <w:rPr>
                <w:rStyle w:val="Hipervnculo"/>
                <w:rFonts w:ascii="Palatino Linotype" w:eastAsia="Calibri" w:hAnsi="Palatino Linotype" w:cs="Times New Roman"/>
                <w:b/>
                <w:noProof/>
                <w:lang w:val="es-ES" w:eastAsia="es-ES"/>
              </w:rPr>
              <w:t>R E S O L U T I V O S</w:t>
            </w:r>
            <w:r w:rsidR="00CE51CB" w:rsidRPr="0012204B">
              <w:rPr>
                <w:noProof/>
                <w:webHidden/>
              </w:rPr>
              <w:tab/>
            </w:r>
            <w:r w:rsidR="00CE51CB" w:rsidRPr="0012204B">
              <w:rPr>
                <w:noProof/>
                <w:webHidden/>
              </w:rPr>
              <w:fldChar w:fldCharType="begin"/>
            </w:r>
            <w:r w:rsidR="00CE51CB" w:rsidRPr="0012204B">
              <w:rPr>
                <w:noProof/>
                <w:webHidden/>
              </w:rPr>
              <w:instrText xml:space="preserve"> PAGEREF _Toc62209473 \h </w:instrText>
            </w:r>
            <w:r w:rsidR="00CE51CB" w:rsidRPr="0012204B">
              <w:rPr>
                <w:noProof/>
                <w:webHidden/>
              </w:rPr>
            </w:r>
            <w:r w:rsidR="00CE51CB" w:rsidRPr="0012204B">
              <w:rPr>
                <w:noProof/>
                <w:webHidden/>
              </w:rPr>
              <w:fldChar w:fldCharType="separate"/>
            </w:r>
            <w:r w:rsidR="00CE51CB" w:rsidRPr="0012204B">
              <w:rPr>
                <w:noProof/>
                <w:webHidden/>
              </w:rPr>
              <w:t>42</w:t>
            </w:r>
            <w:r w:rsidR="00CE51CB" w:rsidRPr="0012204B">
              <w:rPr>
                <w:noProof/>
                <w:webHidden/>
              </w:rPr>
              <w:fldChar w:fldCharType="end"/>
            </w:r>
          </w:hyperlink>
        </w:p>
        <w:p w:rsidR="00CA11F0" w:rsidRPr="0012204B" w:rsidRDefault="00CA11F0" w:rsidP="00CA11F0">
          <w:pPr>
            <w:spacing w:line="360" w:lineRule="auto"/>
            <w:jc w:val="both"/>
            <w:rPr>
              <w:b/>
              <w:bCs/>
              <w:lang w:val="es-ES"/>
            </w:rPr>
          </w:pPr>
          <w:r w:rsidRPr="0012204B">
            <w:rPr>
              <w:b/>
              <w:bCs/>
              <w:lang w:val="es-ES"/>
            </w:rPr>
            <w:fldChar w:fldCharType="end"/>
          </w:r>
        </w:p>
      </w:sdtContent>
    </w:sdt>
    <w:p w:rsidR="00CA11F0" w:rsidRPr="0012204B" w:rsidRDefault="00CA11F0" w:rsidP="00CA11F0">
      <w:pPr>
        <w:spacing w:line="360" w:lineRule="auto"/>
        <w:jc w:val="both"/>
        <w:rPr>
          <w:rFonts w:ascii="Palatino Linotype" w:eastAsia="MS Mincho" w:hAnsi="Palatino Linotype" w:cs="Times New Roman"/>
          <w:sz w:val="24"/>
          <w:szCs w:val="24"/>
          <w:lang w:val="es-ES_tradnl" w:eastAsia="es-ES"/>
        </w:rPr>
      </w:pPr>
    </w:p>
    <w:p w:rsidR="00CA11F0" w:rsidRPr="0012204B" w:rsidRDefault="00CA11F0" w:rsidP="00CA11F0">
      <w:pPr>
        <w:spacing w:line="360" w:lineRule="auto"/>
        <w:jc w:val="both"/>
        <w:rPr>
          <w:rFonts w:ascii="Palatino Linotype" w:eastAsia="MS Mincho" w:hAnsi="Palatino Linotype" w:cs="Times New Roman"/>
          <w:sz w:val="24"/>
          <w:szCs w:val="24"/>
          <w:lang w:val="es-ES_tradnl" w:eastAsia="es-ES"/>
        </w:rPr>
      </w:pPr>
    </w:p>
    <w:p w:rsidR="00CA11F0" w:rsidRPr="0012204B" w:rsidRDefault="00CA11F0" w:rsidP="00CA11F0">
      <w:pPr>
        <w:spacing w:line="360" w:lineRule="auto"/>
        <w:jc w:val="both"/>
        <w:rPr>
          <w:rFonts w:ascii="Palatino Linotype" w:eastAsia="MS Mincho" w:hAnsi="Palatino Linotype" w:cs="Times New Roman"/>
          <w:sz w:val="24"/>
          <w:szCs w:val="24"/>
          <w:lang w:val="es-ES_tradnl" w:eastAsia="es-ES"/>
        </w:rPr>
      </w:pPr>
    </w:p>
    <w:p w:rsidR="00CA11F0" w:rsidRPr="0012204B" w:rsidRDefault="00CA11F0" w:rsidP="00CA11F0">
      <w:pPr>
        <w:spacing w:line="360" w:lineRule="auto"/>
        <w:jc w:val="both"/>
        <w:rPr>
          <w:rFonts w:ascii="Palatino Linotype" w:eastAsia="MS Mincho" w:hAnsi="Palatino Linotype" w:cs="Times New Roman"/>
          <w:sz w:val="24"/>
          <w:szCs w:val="24"/>
          <w:lang w:val="es-ES_tradnl" w:eastAsia="es-ES"/>
        </w:rPr>
      </w:pPr>
    </w:p>
    <w:p w:rsidR="0054612E" w:rsidRPr="0012204B" w:rsidRDefault="0054612E" w:rsidP="00CA11F0">
      <w:pPr>
        <w:spacing w:line="360" w:lineRule="auto"/>
        <w:jc w:val="both"/>
        <w:rPr>
          <w:rFonts w:ascii="Palatino Linotype" w:eastAsia="MS Mincho" w:hAnsi="Palatino Linotype" w:cs="Times New Roman"/>
          <w:sz w:val="24"/>
          <w:szCs w:val="24"/>
          <w:lang w:val="es-ES_tradnl" w:eastAsia="es-ES"/>
        </w:rPr>
      </w:pPr>
    </w:p>
    <w:p w:rsidR="0054612E" w:rsidRPr="0012204B" w:rsidRDefault="0054612E" w:rsidP="00CA11F0">
      <w:pPr>
        <w:spacing w:line="360" w:lineRule="auto"/>
        <w:jc w:val="both"/>
        <w:rPr>
          <w:rFonts w:ascii="Palatino Linotype" w:eastAsia="MS Mincho" w:hAnsi="Palatino Linotype" w:cs="Times New Roman"/>
          <w:sz w:val="24"/>
          <w:szCs w:val="24"/>
          <w:lang w:val="es-ES_tradnl" w:eastAsia="es-ES"/>
        </w:rPr>
      </w:pPr>
    </w:p>
    <w:p w:rsidR="0054612E" w:rsidRPr="0012204B" w:rsidRDefault="0054612E" w:rsidP="00CA11F0">
      <w:pPr>
        <w:spacing w:line="360" w:lineRule="auto"/>
        <w:jc w:val="both"/>
        <w:rPr>
          <w:rFonts w:ascii="Palatino Linotype" w:eastAsia="MS Mincho" w:hAnsi="Palatino Linotype" w:cs="Times New Roman"/>
          <w:sz w:val="24"/>
          <w:szCs w:val="24"/>
          <w:lang w:val="es-ES_tradnl" w:eastAsia="es-ES"/>
        </w:rPr>
      </w:pPr>
    </w:p>
    <w:p w:rsidR="0054612E" w:rsidRPr="0012204B" w:rsidRDefault="0054612E" w:rsidP="00CA11F0">
      <w:pPr>
        <w:spacing w:line="360" w:lineRule="auto"/>
        <w:jc w:val="both"/>
        <w:rPr>
          <w:rFonts w:ascii="Palatino Linotype" w:eastAsia="MS Mincho" w:hAnsi="Palatino Linotype" w:cs="Times New Roman"/>
          <w:sz w:val="24"/>
          <w:szCs w:val="24"/>
          <w:lang w:val="es-ES_tradnl" w:eastAsia="es-ES"/>
        </w:rPr>
      </w:pPr>
    </w:p>
    <w:p w:rsidR="00CA11F0" w:rsidRPr="0012204B" w:rsidRDefault="00CA11F0" w:rsidP="00CA11F0">
      <w:pPr>
        <w:spacing w:line="360" w:lineRule="auto"/>
        <w:jc w:val="both"/>
      </w:pPr>
      <w:r w:rsidRPr="0012204B">
        <w:rPr>
          <w:rFonts w:ascii="Palatino Linotype" w:eastAsia="MS Mincho" w:hAnsi="Palatino Linotype" w:cs="Times New Roman"/>
          <w:sz w:val="24"/>
          <w:szCs w:val="24"/>
          <w:lang w:val="es-ES_tradnl" w:eastAsia="es-ES"/>
        </w:rPr>
        <w:lastRenderedPageBreak/>
        <w:t xml:space="preserve">Resolución del Pleno del Instituto de Transparencia, Acceso a la Información Pública y Protección de Datos Personales del Estado de México y Municipios, con domicilio en Metepec, Estado de México; </w:t>
      </w:r>
      <w:r w:rsidR="0012204B">
        <w:rPr>
          <w:rFonts w:ascii="Palatino Linotype" w:eastAsia="MS Mincho" w:hAnsi="Palatino Linotype" w:cs="Times New Roman"/>
          <w:sz w:val="24"/>
          <w:szCs w:val="24"/>
          <w:lang w:val="es-ES_tradnl" w:eastAsia="es-ES"/>
        </w:rPr>
        <w:t>de fecha cuatro (04) de febrero de dos mil veintiuno</w:t>
      </w:r>
      <w:r w:rsidRPr="0012204B">
        <w:rPr>
          <w:rFonts w:ascii="Palatino Linotype" w:eastAsia="MS Mincho" w:hAnsi="Palatino Linotype" w:cs="Times New Roman"/>
          <w:sz w:val="24"/>
          <w:szCs w:val="24"/>
          <w:lang w:val="es-ES_tradnl" w:eastAsia="es-ES"/>
        </w:rPr>
        <w:t>.</w:t>
      </w:r>
    </w:p>
    <w:p w:rsidR="00CA11F0" w:rsidRPr="0012204B" w:rsidRDefault="00CA11F0" w:rsidP="00CA11F0">
      <w:pPr>
        <w:spacing w:before="240" w:after="360" w:line="360" w:lineRule="auto"/>
        <w:jc w:val="both"/>
        <w:rPr>
          <w:rFonts w:ascii="Palatino Linotype" w:eastAsia="MS Mincho" w:hAnsi="Palatino Linotype" w:cs="Times New Roman"/>
          <w:sz w:val="24"/>
          <w:szCs w:val="24"/>
          <w:lang w:val="es-ES_tradnl" w:eastAsia="es-ES"/>
        </w:rPr>
      </w:pPr>
      <w:r w:rsidRPr="0012204B">
        <w:rPr>
          <w:rFonts w:ascii="Palatino Linotype" w:eastAsia="MS Mincho" w:hAnsi="Palatino Linotype" w:cs="Times New Roman"/>
          <w:b/>
          <w:sz w:val="24"/>
          <w:szCs w:val="24"/>
          <w:lang w:val="es-ES_tradnl" w:eastAsia="es-ES"/>
        </w:rPr>
        <w:t>VISTO</w:t>
      </w:r>
      <w:r w:rsidRPr="0012204B">
        <w:rPr>
          <w:rFonts w:ascii="Palatino Linotype" w:eastAsia="MS Mincho" w:hAnsi="Palatino Linotype" w:cs="Times New Roman"/>
          <w:sz w:val="24"/>
          <w:szCs w:val="24"/>
          <w:lang w:val="es-ES_tradnl" w:eastAsia="es-ES"/>
        </w:rPr>
        <w:t xml:space="preserve"> el expediente electrónico formado con motivo del recurso de revisión</w:t>
      </w:r>
      <w:r w:rsidRPr="0012204B">
        <w:rPr>
          <w:rFonts w:ascii="Palatino Linotype" w:eastAsia="MS Mincho" w:hAnsi="Palatino Linotype" w:cs="Arial"/>
          <w:b/>
          <w:bCs/>
          <w:sz w:val="24"/>
          <w:szCs w:val="24"/>
          <w:lang w:val="es-ES_tradnl" w:eastAsia="es-ES"/>
        </w:rPr>
        <w:t xml:space="preserve">, 05598/INFOEM/IP/RR/2020 </w:t>
      </w:r>
      <w:r w:rsidRPr="0012204B">
        <w:rPr>
          <w:rFonts w:ascii="Palatino Linotype" w:eastAsia="MS Mincho" w:hAnsi="Palatino Linotype" w:cs="Times New Roman"/>
          <w:sz w:val="24"/>
          <w:szCs w:val="24"/>
          <w:lang w:val="es-ES_tradnl" w:eastAsia="es-ES"/>
        </w:rPr>
        <w:t>promovido por</w:t>
      </w:r>
      <w:r w:rsidRPr="0012204B">
        <w:rPr>
          <w:rFonts w:ascii="Palatino Linotype" w:eastAsia="MS Mincho" w:hAnsi="Palatino Linotype" w:cs="Times New Roman"/>
          <w:b/>
          <w:sz w:val="24"/>
          <w:szCs w:val="24"/>
          <w:lang w:val="es-ES_tradnl" w:eastAsia="es-ES"/>
        </w:rPr>
        <w:t xml:space="preserve"> </w:t>
      </w:r>
      <w:r w:rsidR="00B14470" w:rsidRPr="0012204B">
        <w:rPr>
          <w:rFonts w:ascii="Palatino Linotype" w:eastAsiaTheme="minorEastAsia" w:hAnsi="Palatino Linotype"/>
          <w:sz w:val="24"/>
          <w:szCs w:val="24"/>
          <w:lang w:val="es-ES_tradnl" w:eastAsia="es-ES"/>
        </w:rPr>
        <w:t xml:space="preserve">una </w:t>
      </w:r>
      <w:r w:rsidR="00B14470" w:rsidRPr="0012204B">
        <w:rPr>
          <w:rFonts w:ascii="Palatino Linotype" w:eastAsia="MS Mincho" w:hAnsi="Palatino Linotype" w:cs="Times New Roman"/>
          <w:bCs/>
          <w:sz w:val="24"/>
          <w:szCs w:val="24"/>
          <w:lang w:eastAsia="es-ES"/>
        </w:rPr>
        <w:t>persona usuaria del Sistema de Acceso a la Información Mexiquense</w:t>
      </w:r>
      <w:r w:rsidR="00B14470" w:rsidRPr="0012204B">
        <w:rPr>
          <w:rFonts w:ascii="Palatino Linotype" w:eastAsia="MS Mincho" w:hAnsi="Palatino Linotype" w:cs="Times New Roman"/>
          <w:b/>
          <w:bCs/>
          <w:sz w:val="24"/>
          <w:szCs w:val="24"/>
          <w:lang w:eastAsia="es-ES"/>
        </w:rPr>
        <w:t xml:space="preserve"> (SAIMEX), </w:t>
      </w:r>
      <w:r w:rsidR="00BE6F7D" w:rsidRPr="0012204B">
        <w:rPr>
          <w:rFonts w:ascii="Palatino Linotype" w:eastAsia="MS Mincho" w:hAnsi="Palatino Linotype" w:cs="Times New Roman"/>
          <w:bCs/>
          <w:sz w:val="24"/>
          <w:szCs w:val="24"/>
          <w:lang w:eastAsia="es-ES"/>
        </w:rPr>
        <w:t>quien no proporcionó</w:t>
      </w:r>
      <w:r w:rsidR="00B14470" w:rsidRPr="0012204B">
        <w:rPr>
          <w:rFonts w:ascii="Palatino Linotype" w:eastAsia="MS Mincho" w:hAnsi="Palatino Linotype" w:cs="Times New Roman"/>
          <w:bCs/>
          <w:sz w:val="24"/>
          <w:szCs w:val="24"/>
          <w:lang w:eastAsia="es-ES"/>
        </w:rPr>
        <w:t xml:space="preserve"> ningún nombre, seudónimo o carácter para poder ser identificado</w:t>
      </w:r>
      <w:r w:rsidR="00B14470" w:rsidRPr="0012204B">
        <w:rPr>
          <w:rFonts w:ascii="Palatino Linotype" w:eastAsiaTheme="minorEastAsia" w:hAnsi="Palatino Linotype"/>
          <w:sz w:val="24"/>
          <w:szCs w:val="24"/>
          <w:lang w:val="es-ES_tradnl" w:eastAsia="es-ES"/>
        </w:rPr>
        <w:t>,</w:t>
      </w:r>
      <w:r w:rsidR="00B14470" w:rsidRPr="0012204B">
        <w:rPr>
          <w:rFonts w:ascii="Palatino Linotype" w:hAnsi="Palatino Linotype" w:cs="Arial"/>
          <w:sz w:val="24"/>
          <w:szCs w:val="24"/>
        </w:rPr>
        <w:t xml:space="preserve"> </w:t>
      </w:r>
      <w:r w:rsidR="00B14470" w:rsidRPr="0012204B">
        <w:rPr>
          <w:rFonts w:ascii="Palatino Linotype" w:eastAsia="MS Mincho" w:hAnsi="Palatino Linotype" w:cs="Times New Roman"/>
          <w:sz w:val="24"/>
          <w:szCs w:val="24"/>
          <w:lang w:eastAsia="es-ES"/>
        </w:rPr>
        <w:t>por lo que en lo sucesivo será identificado en su calidad</w:t>
      </w:r>
      <w:r w:rsidR="00B14470" w:rsidRPr="0012204B">
        <w:rPr>
          <w:rFonts w:ascii="Palatino Linotype" w:eastAsia="MS Mincho" w:hAnsi="Palatino Linotype" w:cs="Times New Roman"/>
          <w:sz w:val="24"/>
          <w:szCs w:val="24"/>
          <w:lang w:val="es-ES_tradnl" w:eastAsia="es-ES"/>
        </w:rPr>
        <w:t xml:space="preserve"> </w:t>
      </w:r>
      <w:r w:rsidR="00B14470" w:rsidRPr="0012204B">
        <w:rPr>
          <w:rFonts w:ascii="Palatino Linotype" w:eastAsia="MS Mincho" w:hAnsi="Palatino Linotype" w:cs="Times New Roman"/>
          <w:sz w:val="24"/>
          <w:szCs w:val="24"/>
          <w:lang w:eastAsia="es-ES"/>
        </w:rPr>
        <w:t xml:space="preserve">de </w:t>
      </w:r>
      <w:r w:rsidR="00B14470" w:rsidRPr="0012204B">
        <w:rPr>
          <w:rFonts w:ascii="Palatino Linotype" w:hAnsi="Palatino Linotype" w:cs="Arial"/>
          <w:b/>
          <w:sz w:val="24"/>
          <w:szCs w:val="24"/>
        </w:rPr>
        <w:t xml:space="preserve">RECURRENTE, </w:t>
      </w:r>
      <w:r w:rsidRPr="0012204B">
        <w:rPr>
          <w:rFonts w:ascii="Palatino Linotype" w:eastAsia="MS Mincho" w:hAnsi="Palatino Linotype" w:cs="Arial"/>
          <w:sz w:val="24"/>
          <w:szCs w:val="24"/>
          <w:lang w:val="es-ES_tradnl" w:eastAsia="es-ES"/>
        </w:rPr>
        <w:t xml:space="preserve">en contra de la respuesta de la </w:t>
      </w:r>
      <w:r w:rsidRPr="0012204B">
        <w:rPr>
          <w:rFonts w:ascii="Palatino Linotype" w:eastAsia="MS Mincho" w:hAnsi="Palatino Linotype" w:cs="Arial"/>
          <w:b/>
          <w:sz w:val="24"/>
          <w:szCs w:val="24"/>
          <w:lang w:val="es-ES_tradnl" w:eastAsia="es-ES"/>
        </w:rPr>
        <w:t>Ayuntamiento de Papalotla</w:t>
      </w:r>
      <w:r w:rsidRPr="0012204B">
        <w:rPr>
          <w:rFonts w:ascii="Palatino Linotype" w:eastAsia="MS Mincho" w:hAnsi="Palatino Linotype" w:cs="Arial"/>
          <w:b/>
          <w:bCs/>
          <w:sz w:val="24"/>
          <w:szCs w:val="24"/>
          <w:lang w:eastAsia="es-ES"/>
        </w:rPr>
        <w:t>,</w:t>
      </w:r>
      <w:r w:rsidRPr="0012204B">
        <w:rPr>
          <w:rFonts w:ascii="Palatino Linotype" w:eastAsia="MS Mincho" w:hAnsi="Palatino Linotype" w:cs="Arial"/>
          <w:sz w:val="24"/>
          <w:szCs w:val="24"/>
          <w:lang w:val="es-ES_tradnl" w:eastAsia="es-ES"/>
        </w:rPr>
        <w:t xml:space="preserve"> </w:t>
      </w:r>
      <w:r w:rsidRPr="0012204B">
        <w:rPr>
          <w:rFonts w:ascii="Palatino Linotype" w:eastAsia="MS Mincho" w:hAnsi="Palatino Linotype" w:cs="Times New Roman"/>
          <w:sz w:val="24"/>
          <w:szCs w:val="24"/>
          <w:lang w:val="es-ES_tradnl" w:eastAsia="es-ES"/>
        </w:rPr>
        <w:t>en lo sucesivo el</w:t>
      </w:r>
      <w:r w:rsidRPr="0012204B">
        <w:rPr>
          <w:rFonts w:ascii="Palatino Linotype" w:eastAsia="MS Mincho" w:hAnsi="Palatino Linotype" w:cs="Times New Roman"/>
          <w:b/>
          <w:sz w:val="24"/>
          <w:szCs w:val="24"/>
          <w:lang w:val="es-ES_tradnl" w:eastAsia="es-ES"/>
        </w:rPr>
        <w:t xml:space="preserve"> SUJETO OBLIGADO, </w:t>
      </w:r>
      <w:r w:rsidRPr="0012204B">
        <w:rPr>
          <w:rFonts w:ascii="Palatino Linotype" w:eastAsia="MS Mincho" w:hAnsi="Palatino Linotype" w:cs="Times New Roman"/>
          <w:sz w:val="24"/>
          <w:szCs w:val="24"/>
          <w:lang w:val="es-ES_tradnl" w:eastAsia="es-ES"/>
        </w:rPr>
        <w:t>se procede a dictar la presente resolución, con base en los siguientes:</w:t>
      </w:r>
    </w:p>
    <w:p w:rsidR="00CA11F0" w:rsidRPr="0012204B" w:rsidRDefault="00CA11F0" w:rsidP="00CA11F0">
      <w:pPr>
        <w:keepNext/>
        <w:keepLines/>
        <w:spacing w:before="240" w:after="0" w:line="360" w:lineRule="auto"/>
        <w:jc w:val="center"/>
        <w:outlineLvl w:val="0"/>
        <w:rPr>
          <w:rFonts w:ascii="Palatino Linotype" w:eastAsia="MS Gothic" w:hAnsi="Palatino Linotype" w:cs="Times New Roman"/>
          <w:b/>
          <w:sz w:val="24"/>
          <w:szCs w:val="32"/>
        </w:rPr>
      </w:pPr>
      <w:r w:rsidRPr="0012204B">
        <w:rPr>
          <w:rFonts w:ascii="Palatino Linotype" w:eastAsia="MS Gothic" w:hAnsi="Palatino Linotype" w:cs="Times New Roman"/>
          <w:b/>
          <w:sz w:val="24"/>
          <w:szCs w:val="32"/>
        </w:rPr>
        <w:t xml:space="preserve"> </w:t>
      </w:r>
      <w:bookmarkStart w:id="0" w:name="_Toc62209463"/>
      <w:r w:rsidRPr="0012204B">
        <w:rPr>
          <w:rFonts w:ascii="Palatino Linotype" w:eastAsia="MS Gothic" w:hAnsi="Palatino Linotype" w:cs="Times New Roman"/>
          <w:b/>
          <w:sz w:val="24"/>
          <w:szCs w:val="32"/>
        </w:rPr>
        <w:t>A N T E C E D E N T E S</w:t>
      </w:r>
      <w:bookmarkEnd w:id="0"/>
    </w:p>
    <w:p w:rsidR="00CA11F0" w:rsidRPr="0012204B" w:rsidRDefault="00CA11F0" w:rsidP="00CA11F0">
      <w:pPr>
        <w:spacing w:before="240" w:after="240" w:line="360" w:lineRule="auto"/>
        <w:contextualSpacing/>
        <w:jc w:val="both"/>
        <w:rPr>
          <w:rFonts w:ascii="Palatino Linotype" w:eastAsia="Calibri" w:hAnsi="Palatino Linotype" w:cs="Arial"/>
          <w:sz w:val="24"/>
          <w:szCs w:val="24"/>
          <w:lang w:val="es-ES" w:eastAsia="es-ES"/>
        </w:rPr>
      </w:pPr>
    </w:p>
    <w:p w:rsidR="00CA11F0" w:rsidRPr="0012204B" w:rsidRDefault="00CA11F0" w:rsidP="00CA11F0">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12204B">
        <w:rPr>
          <w:rFonts w:ascii="Palatino Linotype" w:eastAsia="Calibri" w:hAnsi="Palatino Linotype" w:cs="Arial"/>
          <w:sz w:val="24"/>
          <w:szCs w:val="24"/>
          <w:lang w:val="es-ES" w:eastAsia="es-ES"/>
        </w:rPr>
        <w:t xml:space="preserve">El día </w:t>
      </w:r>
      <w:r w:rsidRPr="0012204B">
        <w:rPr>
          <w:rFonts w:ascii="Palatino Linotype" w:eastAsia="Calibri" w:hAnsi="Palatino Linotype" w:cs="Arial"/>
          <w:b/>
          <w:sz w:val="24"/>
          <w:szCs w:val="24"/>
          <w:lang w:val="es-ES" w:eastAsia="es-ES"/>
        </w:rPr>
        <w:t xml:space="preserve">veintinueve (29) </w:t>
      </w:r>
      <w:r w:rsidRPr="0012204B">
        <w:rPr>
          <w:rFonts w:ascii="Palatino Linotype" w:eastAsia="Times New Roman" w:hAnsi="Palatino Linotype" w:cs="Arial"/>
          <w:b/>
          <w:sz w:val="24"/>
          <w:szCs w:val="24"/>
          <w:lang w:val="es-ES" w:eastAsia="es-ES"/>
        </w:rPr>
        <w:t>de octubre de dos</w:t>
      </w:r>
      <w:r w:rsidRPr="0012204B">
        <w:rPr>
          <w:rFonts w:ascii="Palatino Linotype" w:eastAsia="Calibri" w:hAnsi="Palatino Linotype" w:cs="Arial"/>
          <w:sz w:val="24"/>
          <w:szCs w:val="24"/>
          <w:lang w:val="es-ES" w:eastAsia="es-ES"/>
        </w:rPr>
        <w:t xml:space="preserve"> mil veinte,</w:t>
      </w:r>
      <w:r w:rsidRPr="0012204B">
        <w:rPr>
          <w:rFonts w:ascii="Palatino Linotype" w:eastAsia="Calibri" w:hAnsi="Palatino Linotype" w:cs="Times New Roman"/>
          <w:sz w:val="24"/>
          <w:szCs w:val="24"/>
          <w:lang w:val="es-ES" w:eastAsia="es-ES"/>
        </w:rPr>
        <w:t xml:space="preserve"> se presentó </w:t>
      </w:r>
      <w:r w:rsidRPr="0012204B">
        <w:rPr>
          <w:rFonts w:ascii="Palatino Linotype" w:eastAsia="Calibri" w:hAnsi="Palatino Linotype" w:cs="Arial"/>
          <w:sz w:val="24"/>
          <w:szCs w:val="24"/>
          <w:lang w:val="es-ES" w:eastAsia="es-ES"/>
        </w:rPr>
        <w:t xml:space="preserve">ante el </w:t>
      </w:r>
      <w:r w:rsidRPr="0012204B">
        <w:rPr>
          <w:rFonts w:ascii="Palatino Linotype" w:eastAsia="Calibri" w:hAnsi="Palatino Linotype" w:cs="Arial"/>
          <w:b/>
          <w:sz w:val="24"/>
          <w:szCs w:val="24"/>
          <w:lang w:val="es-ES" w:eastAsia="es-ES"/>
        </w:rPr>
        <w:t>SUJETO OBLIGADO</w:t>
      </w:r>
      <w:r w:rsidRPr="0012204B">
        <w:rPr>
          <w:rFonts w:ascii="Palatino Linotype" w:eastAsia="Calibri" w:hAnsi="Palatino Linotype" w:cs="Arial"/>
          <w:sz w:val="24"/>
          <w:szCs w:val="24"/>
          <w:lang w:val="es-ES_tradnl" w:eastAsia="es-ES"/>
        </w:rPr>
        <w:t xml:space="preserve"> vía </w:t>
      </w:r>
      <w:r w:rsidRPr="0012204B">
        <w:rPr>
          <w:rFonts w:ascii="Palatino Linotype" w:eastAsia="Calibri" w:hAnsi="Palatino Linotype" w:cs="Arial"/>
          <w:sz w:val="24"/>
          <w:szCs w:val="24"/>
          <w:lang w:val="es-ES" w:eastAsia="es-ES"/>
        </w:rPr>
        <w:t xml:space="preserve">Sistema de Acceso a la Información Mexiquense </w:t>
      </w:r>
      <w:r w:rsidRPr="0012204B">
        <w:rPr>
          <w:rFonts w:ascii="Palatino Linotype" w:eastAsia="Calibri" w:hAnsi="Palatino Linotype" w:cs="Arial"/>
          <w:b/>
          <w:sz w:val="24"/>
          <w:szCs w:val="24"/>
          <w:lang w:val="es-ES" w:eastAsia="es-ES"/>
        </w:rPr>
        <w:t>(SAIMEX)</w:t>
      </w:r>
      <w:r w:rsidRPr="0012204B">
        <w:rPr>
          <w:rFonts w:ascii="Palatino Linotype" w:eastAsia="Calibri" w:hAnsi="Palatino Linotype" w:cs="Arial"/>
          <w:sz w:val="24"/>
          <w:szCs w:val="24"/>
          <w:lang w:val="es-ES" w:eastAsia="es-ES"/>
        </w:rPr>
        <w:t>, la solicitud de información pública, registrada con el número</w:t>
      </w:r>
      <w:r w:rsidRPr="0012204B">
        <w:rPr>
          <w:rFonts w:ascii="Palatino Linotype" w:eastAsia="Times New Roman" w:hAnsi="Palatino Linotype" w:cs="Arial"/>
          <w:b/>
          <w:sz w:val="24"/>
          <w:szCs w:val="24"/>
          <w:lang w:val="es-ES" w:eastAsia="es-ES"/>
        </w:rPr>
        <w:t xml:space="preserve"> </w:t>
      </w:r>
      <w:r w:rsidRPr="0012204B">
        <w:rPr>
          <w:rFonts w:ascii="Palatino Linotype" w:eastAsia="Times New Roman" w:hAnsi="Palatino Linotype" w:cs="Arial"/>
          <w:b/>
          <w:bCs/>
          <w:sz w:val="24"/>
          <w:szCs w:val="24"/>
          <w:lang w:eastAsia="es-ES"/>
        </w:rPr>
        <w:t xml:space="preserve">00321/PAPALOTLA/IP/2020 </w:t>
      </w:r>
      <w:r w:rsidRPr="0012204B">
        <w:rPr>
          <w:rFonts w:ascii="Palatino Linotype" w:eastAsia="Calibri" w:hAnsi="Palatino Linotype" w:cs="Arial"/>
          <w:sz w:val="24"/>
          <w:szCs w:val="24"/>
          <w:lang w:val="es-ES" w:eastAsia="es-ES"/>
        </w:rPr>
        <w:t>mediante las cuales se requirió:</w:t>
      </w:r>
    </w:p>
    <w:p w:rsidR="00CA11F0" w:rsidRPr="0012204B" w:rsidRDefault="00CA11F0" w:rsidP="00CA11F0">
      <w:pPr>
        <w:spacing w:before="240" w:after="240" w:line="360" w:lineRule="auto"/>
        <w:contextualSpacing/>
        <w:jc w:val="both"/>
        <w:rPr>
          <w:rFonts w:ascii="Palatino Linotype" w:eastAsia="Calibri" w:hAnsi="Palatino Linotype" w:cs="Arial"/>
          <w:sz w:val="24"/>
          <w:szCs w:val="24"/>
          <w:lang w:val="es-ES" w:eastAsia="es-ES"/>
        </w:rPr>
      </w:pPr>
    </w:p>
    <w:p w:rsidR="004646F6" w:rsidRPr="0012204B" w:rsidRDefault="00CA11F0" w:rsidP="00CA11F0">
      <w:pPr>
        <w:tabs>
          <w:tab w:val="left" w:pos="7938"/>
        </w:tabs>
        <w:spacing w:before="240" w:after="240" w:line="360" w:lineRule="auto"/>
        <w:ind w:left="567" w:right="615"/>
        <w:contextualSpacing/>
        <w:jc w:val="both"/>
        <w:rPr>
          <w:rFonts w:ascii="Palatino Linotype" w:eastAsia="Calibri" w:hAnsi="Palatino Linotype" w:cs="Arial"/>
          <w:i/>
          <w:sz w:val="24"/>
          <w:szCs w:val="24"/>
          <w:lang w:eastAsia="es-ES"/>
        </w:rPr>
      </w:pPr>
      <w:r w:rsidRPr="0012204B">
        <w:rPr>
          <w:rFonts w:ascii="Palatino Linotype" w:eastAsia="Calibri" w:hAnsi="Palatino Linotype" w:cs="Arial"/>
          <w:i/>
          <w:sz w:val="24"/>
          <w:szCs w:val="24"/>
          <w:lang w:eastAsia="es-ES"/>
        </w:rPr>
        <w:t xml:space="preserve">“Solicito copia simple de las </w:t>
      </w:r>
      <w:r w:rsidRPr="0012204B">
        <w:rPr>
          <w:rFonts w:ascii="Palatino Linotype" w:eastAsia="Calibri" w:hAnsi="Palatino Linotype" w:cs="Arial"/>
          <w:b/>
          <w:i/>
          <w:sz w:val="24"/>
          <w:szCs w:val="24"/>
          <w:lang w:eastAsia="es-ES"/>
        </w:rPr>
        <w:t>Actas Administrativas del Comité de Bienes Muebles e Inmuebles para dar de Baja bienes muebles por enajenación</w:t>
      </w:r>
      <w:r w:rsidRPr="0012204B">
        <w:rPr>
          <w:rFonts w:ascii="Palatino Linotype" w:eastAsia="Calibri" w:hAnsi="Palatino Linotype" w:cs="Arial"/>
          <w:i/>
          <w:sz w:val="24"/>
          <w:szCs w:val="24"/>
          <w:lang w:eastAsia="es-ES"/>
        </w:rPr>
        <w:t xml:space="preserve">, realizadas durante los </w:t>
      </w:r>
      <w:r w:rsidRPr="0012204B">
        <w:rPr>
          <w:rFonts w:ascii="Palatino Linotype" w:eastAsia="Calibri" w:hAnsi="Palatino Linotype" w:cs="Arial"/>
          <w:b/>
          <w:i/>
          <w:sz w:val="24"/>
          <w:szCs w:val="24"/>
          <w:lang w:eastAsia="es-ES"/>
        </w:rPr>
        <w:t>años 2018, 2019 y 2020</w:t>
      </w:r>
      <w:r w:rsidRPr="0012204B">
        <w:rPr>
          <w:rFonts w:ascii="Palatino Linotype" w:eastAsia="Calibri" w:hAnsi="Palatino Linotype" w:cs="Arial"/>
          <w:i/>
          <w:sz w:val="24"/>
          <w:szCs w:val="24"/>
          <w:lang w:eastAsia="es-ES"/>
        </w:rPr>
        <w:t xml:space="preserve">. Copia Simple de las </w:t>
      </w:r>
      <w:r w:rsidRPr="0012204B">
        <w:rPr>
          <w:rFonts w:ascii="Palatino Linotype" w:eastAsia="Calibri" w:hAnsi="Palatino Linotype" w:cs="Arial"/>
          <w:b/>
          <w:i/>
          <w:sz w:val="24"/>
          <w:szCs w:val="24"/>
          <w:lang w:eastAsia="es-ES"/>
        </w:rPr>
        <w:t>Actas de su órgano máximo de gobierno para dar de baja bienes muebles por enajenación</w:t>
      </w:r>
      <w:r w:rsidRPr="0012204B">
        <w:rPr>
          <w:rFonts w:ascii="Palatino Linotype" w:eastAsia="Calibri" w:hAnsi="Palatino Linotype" w:cs="Arial"/>
          <w:i/>
          <w:sz w:val="24"/>
          <w:szCs w:val="24"/>
          <w:lang w:eastAsia="es-ES"/>
        </w:rPr>
        <w:t xml:space="preserve">, realizadas durante los años </w:t>
      </w:r>
      <w:r w:rsidRPr="0012204B">
        <w:rPr>
          <w:rFonts w:ascii="Palatino Linotype" w:eastAsia="Calibri" w:hAnsi="Palatino Linotype" w:cs="Arial"/>
          <w:b/>
          <w:i/>
          <w:sz w:val="24"/>
          <w:szCs w:val="24"/>
          <w:lang w:eastAsia="es-ES"/>
        </w:rPr>
        <w:t>2018, 2019 y 2020</w:t>
      </w:r>
      <w:r w:rsidRPr="0012204B">
        <w:rPr>
          <w:rFonts w:ascii="Palatino Linotype" w:eastAsia="Calibri" w:hAnsi="Palatino Linotype" w:cs="Arial"/>
          <w:i/>
          <w:sz w:val="24"/>
          <w:szCs w:val="24"/>
          <w:lang w:eastAsia="es-ES"/>
        </w:rPr>
        <w:t xml:space="preserve">. Copia simple del las </w:t>
      </w:r>
      <w:r w:rsidRPr="0012204B">
        <w:rPr>
          <w:rFonts w:ascii="Palatino Linotype" w:eastAsia="Calibri" w:hAnsi="Palatino Linotype" w:cs="Arial"/>
          <w:b/>
          <w:i/>
          <w:sz w:val="24"/>
          <w:szCs w:val="24"/>
          <w:lang w:eastAsia="es-ES"/>
        </w:rPr>
        <w:t xml:space="preserve">Actas Administrativas levantadas por el titular del órgano de control interno o equivalente, para dar de baja bienes muebles por robo o </w:t>
      </w:r>
      <w:r w:rsidRPr="0012204B">
        <w:rPr>
          <w:rFonts w:ascii="Palatino Linotype" w:eastAsia="Calibri" w:hAnsi="Palatino Linotype" w:cs="Arial"/>
          <w:b/>
          <w:i/>
          <w:sz w:val="24"/>
          <w:szCs w:val="24"/>
          <w:lang w:eastAsia="es-ES"/>
        </w:rPr>
        <w:lastRenderedPageBreak/>
        <w:t>siniestro</w:t>
      </w:r>
      <w:r w:rsidRPr="0012204B">
        <w:rPr>
          <w:rFonts w:ascii="Palatino Linotype" w:eastAsia="Calibri" w:hAnsi="Palatino Linotype" w:cs="Arial"/>
          <w:i/>
          <w:sz w:val="24"/>
          <w:szCs w:val="24"/>
          <w:lang w:eastAsia="es-ES"/>
        </w:rPr>
        <w:t xml:space="preserve">, realizadas durante los años </w:t>
      </w:r>
      <w:r w:rsidRPr="0012204B">
        <w:rPr>
          <w:rFonts w:ascii="Palatino Linotype" w:eastAsia="Calibri" w:hAnsi="Palatino Linotype" w:cs="Arial"/>
          <w:b/>
          <w:i/>
          <w:sz w:val="24"/>
          <w:szCs w:val="24"/>
          <w:lang w:eastAsia="es-ES"/>
        </w:rPr>
        <w:t>2018, 2019 y 2020</w:t>
      </w:r>
      <w:r w:rsidRPr="0012204B">
        <w:rPr>
          <w:rFonts w:ascii="Palatino Linotype" w:eastAsia="Calibri" w:hAnsi="Palatino Linotype" w:cs="Arial"/>
          <w:i/>
          <w:sz w:val="24"/>
          <w:szCs w:val="24"/>
          <w:lang w:eastAsia="es-ES"/>
        </w:rPr>
        <w:t xml:space="preserve">. Copia simple de las </w:t>
      </w:r>
      <w:r w:rsidRPr="0012204B">
        <w:rPr>
          <w:rFonts w:ascii="Palatino Linotype" w:eastAsia="Calibri" w:hAnsi="Palatino Linotype" w:cs="Arial"/>
          <w:b/>
          <w:i/>
          <w:sz w:val="24"/>
          <w:szCs w:val="24"/>
          <w:lang w:eastAsia="es-ES"/>
        </w:rPr>
        <w:t>Actas del órgano máximo de gobierno donde autorice la baja del bien mueble por robo o siniestro</w:t>
      </w:r>
      <w:r w:rsidRPr="0012204B">
        <w:rPr>
          <w:rFonts w:ascii="Palatino Linotype" w:eastAsia="Calibri" w:hAnsi="Palatino Linotype" w:cs="Arial"/>
          <w:i/>
          <w:sz w:val="24"/>
          <w:szCs w:val="24"/>
          <w:lang w:eastAsia="es-ES"/>
        </w:rPr>
        <w:t xml:space="preserve">, realizadas durante los años </w:t>
      </w:r>
      <w:r w:rsidRPr="0012204B">
        <w:rPr>
          <w:rFonts w:ascii="Palatino Linotype" w:eastAsia="Calibri" w:hAnsi="Palatino Linotype" w:cs="Arial"/>
          <w:b/>
          <w:i/>
          <w:sz w:val="24"/>
          <w:szCs w:val="24"/>
          <w:lang w:eastAsia="es-ES"/>
        </w:rPr>
        <w:t>2018, 2019 y 2020</w:t>
      </w:r>
      <w:r w:rsidRPr="0012204B">
        <w:rPr>
          <w:rFonts w:ascii="Palatino Linotype" w:eastAsia="Calibri" w:hAnsi="Palatino Linotype" w:cs="Arial"/>
          <w:i/>
          <w:sz w:val="24"/>
          <w:szCs w:val="24"/>
          <w:lang w:eastAsia="es-ES"/>
        </w:rPr>
        <w:t xml:space="preserve">. Copia simple de las </w:t>
      </w:r>
      <w:r w:rsidRPr="0012204B">
        <w:rPr>
          <w:rFonts w:ascii="Palatino Linotype" w:eastAsia="Calibri" w:hAnsi="Palatino Linotype" w:cs="Arial"/>
          <w:b/>
          <w:i/>
          <w:sz w:val="24"/>
          <w:szCs w:val="24"/>
          <w:lang w:eastAsia="es-ES"/>
        </w:rPr>
        <w:t>Actas administrativas firmada por el comité de Bienes Muebles e Inmuebles, donde se avale los bienes susceptibles a destruir</w:t>
      </w:r>
      <w:r w:rsidRPr="0012204B">
        <w:rPr>
          <w:rFonts w:ascii="Palatino Linotype" w:eastAsia="Calibri" w:hAnsi="Palatino Linotype" w:cs="Arial"/>
          <w:i/>
          <w:sz w:val="24"/>
          <w:szCs w:val="24"/>
          <w:lang w:eastAsia="es-ES"/>
        </w:rPr>
        <w:t xml:space="preserve">, </w:t>
      </w:r>
    </w:p>
    <w:p w:rsidR="00CA11F0" w:rsidRPr="0012204B" w:rsidRDefault="00CA11F0" w:rsidP="00CA11F0">
      <w:pPr>
        <w:tabs>
          <w:tab w:val="left" w:pos="7938"/>
        </w:tabs>
        <w:spacing w:before="240" w:after="240" w:line="360" w:lineRule="auto"/>
        <w:ind w:left="567" w:right="615"/>
        <w:contextualSpacing/>
        <w:jc w:val="both"/>
        <w:rPr>
          <w:rFonts w:ascii="Palatino Linotype" w:eastAsia="Calibri" w:hAnsi="Palatino Linotype" w:cs="Arial"/>
          <w:i/>
          <w:sz w:val="24"/>
          <w:szCs w:val="24"/>
          <w:lang w:val="es-ES" w:eastAsia="es-ES"/>
        </w:rPr>
      </w:pPr>
      <w:r w:rsidRPr="0012204B">
        <w:rPr>
          <w:rFonts w:ascii="Palatino Linotype" w:eastAsia="Calibri" w:hAnsi="Palatino Linotype" w:cs="Arial"/>
          <w:i/>
          <w:sz w:val="24"/>
          <w:szCs w:val="24"/>
          <w:lang w:eastAsia="es-ES"/>
        </w:rPr>
        <w:t xml:space="preserve">realizadas durante los años </w:t>
      </w:r>
      <w:r w:rsidRPr="0012204B">
        <w:rPr>
          <w:rFonts w:ascii="Palatino Linotype" w:eastAsia="Calibri" w:hAnsi="Palatino Linotype" w:cs="Arial"/>
          <w:b/>
          <w:i/>
          <w:sz w:val="24"/>
          <w:szCs w:val="24"/>
          <w:lang w:eastAsia="es-ES"/>
        </w:rPr>
        <w:t>2018, 2019 y 2020</w:t>
      </w:r>
      <w:r w:rsidRPr="0012204B">
        <w:rPr>
          <w:rFonts w:ascii="Palatino Linotype" w:eastAsia="Calibri" w:hAnsi="Palatino Linotype" w:cs="Arial"/>
          <w:i/>
          <w:sz w:val="24"/>
          <w:szCs w:val="24"/>
          <w:lang w:eastAsia="es-ES"/>
        </w:rPr>
        <w:t xml:space="preserve">. Copia simple del las </w:t>
      </w:r>
      <w:r w:rsidRPr="0012204B">
        <w:rPr>
          <w:rFonts w:ascii="Palatino Linotype" w:eastAsia="Calibri" w:hAnsi="Palatino Linotype" w:cs="Arial"/>
          <w:b/>
          <w:i/>
          <w:sz w:val="24"/>
          <w:szCs w:val="24"/>
          <w:lang w:eastAsia="es-ES"/>
        </w:rPr>
        <w:t>Actas del órgano máximo de gobierno, en la que se autorice la baja de bienes muebles para su destrucción,</w:t>
      </w:r>
      <w:r w:rsidRPr="0012204B">
        <w:rPr>
          <w:rFonts w:ascii="Palatino Linotype" w:eastAsia="Calibri" w:hAnsi="Palatino Linotype" w:cs="Arial"/>
          <w:i/>
          <w:sz w:val="24"/>
          <w:szCs w:val="24"/>
          <w:lang w:eastAsia="es-ES"/>
        </w:rPr>
        <w:t xml:space="preserve"> realizadas durante los años </w:t>
      </w:r>
      <w:r w:rsidRPr="0012204B">
        <w:rPr>
          <w:rFonts w:ascii="Palatino Linotype" w:eastAsia="Calibri" w:hAnsi="Palatino Linotype" w:cs="Arial"/>
          <w:b/>
          <w:i/>
          <w:sz w:val="24"/>
          <w:szCs w:val="24"/>
          <w:lang w:eastAsia="es-ES"/>
        </w:rPr>
        <w:t>2018, 2019 y 2020.</w:t>
      </w:r>
      <w:r w:rsidRPr="0012204B">
        <w:rPr>
          <w:rFonts w:ascii="Palatino Linotype" w:eastAsia="Calibri" w:hAnsi="Palatino Linotype" w:cs="Arial"/>
          <w:i/>
          <w:sz w:val="24"/>
          <w:szCs w:val="24"/>
          <w:lang w:eastAsia="es-ES"/>
        </w:rPr>
        <w:t xml:space="preserve"> Copia simple de las </w:t>
      </w:r>
      <w:r w:rsidRPr="0012204B">
        <w:rPr>
          <w:rFonts w:ascii="Palatino Linotype" w:eastAsia="Calibri" w:hAnsi="Palatino Linotype" w:cs="Arial"/>
          <w:b/>
          <w:i/>
          <w:sz w:val="24"/>
          <w:szCs w:val="24"/>
          <w:lang w:eastAsia="es-ES"/>
        </w:rPr>
        <w:t>actas administrativas levantadas por el titular del órgano de control interno o equivalente, en la que se establezca fehacientemente que los bienes fueron buscados minuciosamente en las instalaciones de la entidad fiscalizable,</w:t>
      </w:r>
      <w:r w:rsidRPr="0012204B">
        <w:rPr>
          <w:rFonts w:ascii="Palatino Linotype" w:eastAsia="Calibri" w:hAnsi="Palatino Linotype" w:cs="Arial"/>
          <w:i/>
          <w:sz w:val="24"/>
          <w:szCs w:val="24"/>
          <w:lang w:eastAsia="es-ES"/>
        </w:rPr>
        <w:t xml:space="preserve"> realizadas durante los años 2018, 2019 y 2020. Copia simple de las r</w:t>
      </w:r>
      <w:r w:rsidRPr="0012204B">
        <w:rPr>
          <w:rFonts w:ascii="Palatino Linotype" w:eastAsia="Calibri" w:hAnsi="Palatino Linotype" w:cs="Arial"/>
          <w:b/>
          <w:i/>
          <w:sz w:val="24"/>
          <w:szCs w:val="24"/>
          <w:lang w:eastAsia="es-ES"/>
        </w:rPr>
        <w:t>esoluciones de los procedimientos administrativos correspondiente instaurado por el órgano de control interno o la actuación legal, para determinar la situación administrativa, financiera y legar a que haya lugar</w:t>
      </w:r>
      <w:r w:rsidRPr="0012204B">
        <w:rPr>
          <w:rFonts w:ascii="Palatino Linotype" w:eastAsia="Calibri" w:hAnsi="Palatino Linotype" w:cs="Arial"/>
          <w:i/>
          <w:sz w:val="24"/>
          <w:szCs w:val="24"/>
          <w:lang w:eastAsia="es-ES"/>
        </w:rPr>
        <w:t xml:space="preserve">, realizadas durante los años 2018, 2019 y 2020. Copia simple de las </w:t>
      </w:r>
      <w:r w:rsidRPr="0012204B">
        <w:rPr>
          <w:rFonts w:ascii="Palatino Linotype" w:eastAsia="Calibri" w:hAnsi="Palatino Linotype" w:cs="Arial"/>
          <w:b/>
          <w:i/>
          <w:sz w:val="24"/>
          <w:szCs w:val="24"/>
          <w:lang w:eastAsia="es-ES"/>
        </w:rPr>
        <w:t>actas administrativas firmadas por el comité de bienes muebles e inmuebles, que avale los bienes susceptibles a ser dados de baja por no localizados.</w:t>
      </w:r>
      <w:r w:rsidRPr="0012204B">
        <w:rPr>
          <w:rFonts w:ascii="Palatino Linotype" w:eastAsia="Calibri" w:hAnsi="Palatino Linotype" w:cs="Arial"/>
          <w:i/>
          <w:sz w:val="24"/>
          <w:szCs w:val="24"/>
          <w:lang w:eastAsia="es-ES"/>
        </w:rPr>
        <w:t xml:space="preserve"> Copia simple de las </w:t>
      </w:r>
      <w:r w:rsidRPr="0012204B">
        <w:rPr>
          <w:rFonts w:ascii="Palatino Linotype" w:eastAsia="Calibri" w:hAnsi="Palatino Linotype" w:cs="Arial"/>
          <w:b/>
          <w:i/>
          <w:sz w:val="24"/>
          <w:szCs w:val="24"/>
          <w:lang w:eastAsia="es-ES"/>
        </w:rPr>
        <w:t>actas del órgano máximo de gobierno, en la que se apruebe la baja de los bienes</w:t>
      </w:r>
      <w:r w:rsidRPr="0012204B">
        <w:rPr>
          <w:rFonts w:ascii="Palatino Linotype" w:eastAsia="Calibri" w:hAnsi="Palatino Linotype" w:cs="Arial"/>
          <w:i/>
          <w:sz w:val="24"/>
          <w:szCs w:val="24"/>
          <w:lang w:eastAsia="es-ES"/>
        </w:rPr>
        <w:t>.”</w:t>
      </w:r>
      <w:r w:rsidRPr="0012204B">
        <w:rPr>
          <w:rFonts w:ascii="Palatino Linotype" w:eastAsia="Calibri" w:hAnsi="Palatino Linotype" w:cs="Arial"/>
          <w:i/>
          <w:sz w:val="24"/>
          <w:szCs w:val="24"/>
          <w:lang w:val="es-ES" w:eastAsia="es-ES"/>
        </w:rPr>
        <w:t xml:space="preserve"> (Sic)</w:t>
      </w:r>
    </w:p>
    <w:p w:rsidR="00CA11F0" w:rsidRPr="0012204B" w:rsidRDefault="00CA11F0" w:rsidP="00CA11F0">
      <w:pPr>
        <w:tabs>
          <w:tab w:val="left" w:pos="7938"/>
        </w:tabs>
        <w:spacing w:before="240" w:after="240" w:line="360" w:lineRule="auto"/>
        <w:ind w:right="615"/>
        <w:contextualSpacing/>
        <w:jc w:val="both"/>
        <w:rPr>
          <w:rFonts w:ascii="Palatino Linotype" w:eastAsia="Calibri" w:hAnsi="Palatino Linotype" w:cs="Arial"/>
          <w:i/>
          <w:sz w:val="24"/>
          <w:szCs w:val="24"/>
          <w:lang w:val="es-ES" w:eastAsia="es-ES"/>
        </w:rPr>
      </w:pPr>
    </w:p>
    <w:p w:rsidR="00CA11F0" w:rsidRPr="0012204B" w:rsidRDefault="00CA11F0" w:rsidP="00CA11F0">
      <w:pPr>
        <w:numPr>
          <w:ilvl w:val="0"/>
          <w:numId w:val="1"/>
        </w:numPr>
        <w:spacing w:after="0" w:line="360" w:lineRule="auto"/>
        <w:contextualSpacing/>
        <w:jc w:val="both"/>
        <w:rPr>
          <w:rFonts w:ascii="Palatino Linotype" w:eastAsia="Times New Roman" w:hAnsi="Palatino Linotype" w:cs="Arial"/>
          <w:sz w:val="24"/>
          <w:szCs w:val="24"/>
          <w:lang w:val="es-ES" w:eastAsia="es-ES"/>
        </w:rPr>
      </w:pPr>
      <w:r w:rsidRPr="0012204B">
        <w:rPr>
          <w:rFonts w:ascii="Palatino Linotype" w:eastAsia="Times New Roman" w:hAnsi="Palatino Linotype" w:cs="Arial"/>
          <w:sz w:val="24"/>
          <w:szCs w:val="24"/>
          <w:lang w:val="es-ES" w:eastAsia="es-ES"/>
        </w:rPr>
        <w:t>Señaló como modalidad de entrega de la información</w:t>
      </w:r>
      <w:r w:rsidRPr="0012204B">
        <w:rPr>
          <w:rFonts w:ascii="Palatino Linotype" w:eastAsia="Times New Roman" w:hAnsi="Palatino Linotype" w:cs="Arial"/>
          <w:b/>
          <w:sz w:val="24"/>
          <w:szCs w:val="24"/>
          <w:lang w:val="es-ES" w:eastAsia="es-ES"/>
        </w:rPr>
        <w:t>:</w:t>
      </w:r>
      <w:r w:rsidRPr="0012204B">
        <w:rPr>
          <w:rFonts w:ascii="Palatino Linotype" w:eastAsia="Times New Roman" w:hAnsi="Palatino Linotype" w:cs="Arial"/>
          <w:sz w:val="24"/>
          <w:szCs w:val="24"/>
          <w:lang w:val="es-ES" w:eastAsia="es-ES"/>
        </w:rPr>
        <w:t xml:space="preserve"> </w:t>
      </w:r>
      <w:r w:rsidRPr="0012204B">
        <w:rPr>
          <w:rFonts w:ascii="Palatino Linotype" w:eastAsia="Times New Roman" w:hAnsi="Palatino Linotype" w:cs="Arial"/>
          <w:b/>
          <w:sz w:val="24"/>
          <w:szCs w:val="24"/>
          <w:lang w:val="es-ES" w:eastAsia="es-ES"/>
        </w:rPr>
        <w:t>a través de SAIMEX.</w:t>
      </w:r>
    </w:p>
    <w:p w:rsidR="00CA11F0" w:rsidRPr="0012204B" w:rsidRDefault="00CA11F0" w:rsidP="00CA11F0">
      <w:pPr>
        <w:spacing w:after="0" w:line="360" w:lineRule="auto"/>
        <w:contextualSpacing/>
        <w:jc w:val="both"/>
        <w:rPr>
          <w:rFonts w:ascii="Palatino Linotype" w:eastAsia="Times New Roman" w:hAnsi="Palatino Linotype" w:cs="Arial"/>
          <w:sz w:val="24"/>
          <w:szCs w:val="24"/>
          <w:lang w:val="es-ES" w:eastAsia="es-ES"/>
        </w:rPr>
      </w:pPr>
    </w:p>
    <w:p w:rsidR="00CA11F0" w:rsidRPr="0012204B" w:rsidRDefault="00CA11F0" w:rsidP="00CA11F0">
      <w:pPr>
        <w:numPr>
          <w:ilvl w:val="0"/>
          <w:numId w:val="2"/>
        </w:numPr>
        <w:spacing w:before="240" w:after="240" w:line="360" w:lineRule="auto"/>
        <w:contextualSpacing/>
        <w:jc w:val="both"/>
        <w:rPr>
          <w:rFonts w:ascii="Palatino Linotype" w:hAnsi="Palatino Linotype"/>
          <w:b/>
          <w:sz w:val="24"/>
          <w:szCs w:val="24"/>
          <w:lang w:val="es-ES" w:eastAsia="es-ES"/>
        </w:rPr>
      </w:pPr>
      <w:r w:rsidRPr="0012204B">
        <w:rPr>
          <w:rFonts w:ascii="Palatino Linotype" w:hAnsi="Palatino Linotype"/>
          <w:sz w:val="24"/>
          <w:szCs w:val="24"/>
          <w:lang w:val="es-ES" w:eastAsia="es-ES"/>
        </w:rPr>
        <w:lastRenderedPageBreak/>
        <w:t>El día diecinueve</w:t>
      </w:r>
      <w:r w:rsidRPr="0012204B">
        <w:rPr>
          <w:rFonts w:ascii="Palatino Linotype" w:hAnsi="Palatino Linotype"/>
          <w:b/>
          <w:sz w:val="24"/>
          <w:szCs w:val="24"/>
          <w:lang w:val="es-ES" w:eastAsia="es-ES"/>
        </w:rPr>
        <w:t xml:space="preserve"> (19) de noviembre </w:t>
      </w:r>
      <w:r w:rsidRPr="0012204B">
        <w:rPr>
          <w:rFonts w:ascii="Palatino Linotype" w:hAnsi="Palatino Linotype"/>
          <w:sz w:val="24"/>
          <w:szCs w:val="24"/>
          <w:lang w:val="es-ES" w:eastAsia="es-ES"/>
        </w:rPr>
        <w:t xml:space="preserve">de dos mil veinte el </w:t>
      </w:r>
      <w:r w:rsidRPr="0012204B">
        <w:rPr>
          <w:rFonts w:ascii="Palatino Linotype" w:hAnsi="Palatino Linotype"/>
          <w:b/>
          <w:sz w:val="24"/>
          <w:szCs w:val="24"/>
          <w:lang w:val="es-ES" w:eastAsia="es-ES"/>
        </w:rPr>
        <w:t>SUJETO OBLIGADO</w:t>
      </w:r>
      <w:r w:rsidRPr="0012204B">
        <w:rPr>
          <w:rFonts w:ascii="Palatino Linotype" w:hAnsi="Palatino Linotype"/>
          <w:sz w:val="24"/>
          <w:szCs w:val="24"/>
          <w:lang w:val="es-ES" w:eastAsia="es-ES"/>
        </w:rPr>
        <w:t xml:space="preserve"> emitió su respectiva respuesta, para lo cual precisó lo siguiente:</w:t>
      </w:r>
    </w:p>
    <w:p w:rsidR="00CA11F0" w:rsidRPr="0012204B" w:rsidRDefault="00CA11F0" w:rsidP="00CA11F0">
      <w:pPr>
        <w:spacing w:before="240" w:after="240" w:line="360" w:lineRule="auto"/>
        <w:contextualSpacing/>
        <w:jc w:val="both"/>
        <w:rPr>
          <w:rFonts w:ascii="Palatino Linotype" w:hAnsi="Palatino Linotype"/>
          <w:b/>
          <w:sz w:val="24"/>
          <w:szCs w:val="24"/>
          <w:lang w:val="es-ES" w:eastAsia="es-ES"/>
        </w:rPr>
      </w:pPr>
    </w:p>
    <w:p w:rsidR="00CA11F0" w:rsidRPr="0012204B" w:rsidRDefault="00CA11F0" w:rsidP="00CA11F0">
      <w:pPr>
        <w:spacing w:before="240" w:after="240" w:line="360" w:lineRule="auto"/>
        <w:ind w:left="426"/>
        <w:contextualSpacing/>
        <w:jc w:val="both"/>
        <w:rPr>
          <w:rFonts w:ascii="Palatino Linotype" w:hAnsi="Palatino Linotype"/>
          <w:i/>
          <w:sz w:val="24"/>
          <w:szCs w:val="24"/>
          <w:lang w:val="es-ES" w:eastAsia="es-ES"/>
        </w:rPr>
      </w:pPr>
      <w:r w:rsidRPr="0012204B">
        <w:rPr>
          <w:rFonts w:ascii="Palatino Linotype" w:hAnsi="Palatino Linotype"/>
          <w:i/>
          <w:sz w:val="24"/>
          <w:szCs w:val="24"/>
          <w:lang w:val="es-ES" w:eastAsia="es-ES"/>
        </w:rPr>
        <w:t>“…</w:t>
      </w:r>
      <w:r w:rsidRPr="0012204B">
        <w:rPr>
          <w:rFonts w:ascii="Palatino Linotype" w:hAnsi="Palatino Linotype"/>
          <w:i/>
          <w:sz w:val="24"/>
          <w:szCs w:val="24"/>
          <w:lang w:eastAsia="es-ES"/>
        </w:rPr>
        <w:t>me permito informarle que esta información la puede encontrar en la pagina https://www.ipomex.org.mx/ipo3/lgt/indice/papalotla.web, en el numeral 92 fracción XXXVII A, pudiendo consultar los diversos años de la gestión administrativa solicitante</w:t>
      </w:r>
      <w:r w:rsidRPr="0012204B">
        <w:rPr>
          <w:rFonts w:ascii="Palatino Linotype" w:hAnsi="Palatino Linotype"/>
          <w:i/>
          <w:sz w:val="24"/>
          <w:szCs w:val="24"/>
          <w:lang w:val="es-ES" w:eastAsia="es-ES"/>
        </w:rPr>
        <w:t>” (sic)</w:t>
      </w:r>
    </w:p>
    <w:p w:rsidR="00CA11F0" w:rsidRPr="0012204B" w:rsidRDefault="00CA11F0" w:rsidP="00CA11F0">
      <w:pPr>
        <w:spacing w:before="240" w:after="240" w:line="360" w:lineRule="auto"/>
        <w:contextualSpacing/>
        <w:jc w:val="both"/>
        <w:rPr>
          <w:rFonts w:ascii="Palatino Linotype" w:eastAsia="Calibri" w:hAnsi="Palatino Linotype" w:cs="Arial"/>
          <w:sz w:val="24"/>
          <w:szCs w:val="24"/>
          <w:lang w:val="es-ES" w:eastAsia="es-ES"/>
        </w:rPr>
      </w:pPr>
    </w:p>
    <w:p w:rsidR="00CA11F0" w:rsidRPr="0012204B" w:rsidRDefault="00CA11F0" w:rsidP="00CA11F0">
      <w:pPr>
        <w:numPr>
          <w:ilvl w:val="0"/>
          <w:numId w:val="2"/>
        </w:numPr>
        <w:spacing w:before="240" w:after="240" w:line="360" w:lineRule="auto"/>
        <w:contextualSpacing/>
        <w:jc w:val="both"/>
        <w:rPr>
          <w:rFonts w:ascii="Palatino Linotype" w:eastAsia="Calibri" w:hAnsi="Palatino Linotype" w:cs="Arial"/>
          <w:sz w:val="24"/>
          <w:szCs w:val="24"/>
          <w:lang w:val="es-ES" w:eastAsia="es-ES"/>
        </w:rPr>
      </w:pPr>
      <w:r w:rsidRPr="0012204B">
        <w:rPr>
          <w:rFonts w:ascii="Palatino Linotype" w:eastAsia="Times New Roman" w:hAnsi="Palatino Linotype" w:cs="Arial"/>
          <w:sz w:val="24"/>
          <w:szCs w:val="24"/>
          <w:lang w:val="es-ES" w:eastAsia="es-ES"/>
        </w:rPr>
        <w:t xml:space="preserve">El día </w:t>
      </w:r>
      <w:r w:rsidRPr="0012204B">
        <w:rPr>
          <w:rFonts w:ascii="Palatino Linotype" w:eastAsia="Times New Roman" w:hAnsi="Palatino Linotype" w:cs="Arial"/>
          <w:b/>
          <w:sz w:val="24"/>
          <w:szCs w:val="24"/>
          <w:lang w:val="es-ES" w:eastAsia="es-ES"/>
        </w:rPr>
        <w:t xml:space="preserve">veinte (20) de noviembre </w:t>
      </w:r>
      <w:r w:rsidRPr="0012204B">
        <w:rPr>
          <w:rFonts w:ascii="Palatino Linotype" w:eastAsia="Times New Roman" w:hAnsi="Palatino Linotype" w:cs="Arial"/>
          <w:sz w:val="24"/>
          <w:szCs w:val="24"/>
          <w:lang w:val="es-ES" w:eastAsia="es-ES"/>
        </w:rPr>
        <w:t xml:space="preserve">de dos mil veinte, estando en tiempo y forma, se </w:t>
      </w:r>
      <w:r w:rsidRPr="0012204B">
        <w:rPr>
          <w:rFonts w:ascii="Palatino Linotype" w:eastAsia="MS Mincho" w:hAnsi="Palatino Linotype"/>
          <w:sz w:val="24"/>
          <w:szCs w:val="24"/>
          <w:lang w:val="es-ES_tradnl" w:eastAsia="es-ES"/>
        </w:rPr>
        <w:t xml:space="preserve">interpuso el recurso de revisión en contra de la respuesta, señalando lo siguiente: </w:t>
      </w:r>
    </w:p>
    <w:p w:rsidR="00CA11F0" w:rsidRPr="0012204B" w:rsidRDefault="00CA11F0" w:rsidP="00CA11F0">
      <w:pPr>
        <w:spacing w:before="240" w:after="240" w:line="360" w:lineRule="auto"/>
        <w:contextualSpacing/>
        <w:jc w:val="both"/>
        <w:rPr>
          <w:rFonts w:ascii="Palatino Linotype" w:eastAsia="Calibri" w:hAnsi="Palatino Linotype" w:cs="Arial"/>
          <w:sz w:val="24"/>
          <w:szCs w:val="24"/>
          <w:lang w:val="es-ES" w:eastAsia="es-ES"/>
        </w:rPr>
      </w:pPr>
    </w:p>
    <w:p w:rsidR="00CA11F0" w:rsidRPr="0012204B" w:rsidRDefault="00CA11F0" w:rsidP="00CA11F0">
      <w:pPr>
        <w:numPr>
          <w:ilvl w:val="0"/>
          <w:numId w:val="3"/>
        </w:numPr>
        <w:spacing w:after="0" w:line="360" w:lineRule="auto"/>
        <w:ind w:right="567"/>
        <w:contextualSpacing/>
        <w:jc w:val="both"/>
        <w:rPr>
          <w:rFonts w:ascii="Palatino Linotype" w:eastAsia="MS Mincho" w:hAnsi="Palatino Linotype" w:cs="Times New Roman"/>
          <w:i/>
          <w:lang w:val="es-ES" w:eastAsia="es-ES"/>
        </w:rPr>
      </w:pPr>
      <w:r w:rsidRPr="0012204B">
        <w:rPr>
          <w:rFonts w:ascii="Palatino Linotype" w:eastAsia="MS Gothic" w:hAnsi="Palatino Linotype" w:cs="Times New Roman"/>
          <w:b/>
          <w:sz w:val="24"/>
          <w:szCs w:val="26"/>
          <w:lang w:val="es-ES"/>
        </w:rPr>
        <w:t>Acto impugnado</w:t>
      </w:r>
      <w:r w:rsidRPr="0012204B">
        <w:rPr>
          <w:rFonts w:ascii="Palatino Linotype" w:eastAsia="MS Mincho" w:hAnsi="Palatino Linotype" w:cs="Times New Roman"/>
          <w:i/>
          <w:lang w:val="es-ES_tradnl" w:eastAsia="es-ES"/>
        </w:rPr>
        <w:t xml:space="preserve">: </w:t>
      </w:r>
    </w:p>
    <w:p w:rsidR="00CA11F0" w:rsidRPr="0012204B" w:rsidRDefault="00CA11F0" w:rsidP="00CA11F0">
      <w:pPr>
        <w:spacing w:after="0" w:line="360" w:lineRule="auto"/>
        <w:ind w:left="709" w:right="567"/>
        <w:contextualSpacing/>
        <w:jc w:val="both"/>
        <w:rPr>
          <w:rFonts w:ascii="Palatino Linotype" w:eastAsia="MS Mincho" w:hAnsi="Palatino Linotype" w:cs="Times New Roman"/>
          <w:i/>
          <w:lang w:val="es-ES" w:eastAsia="es-ES"/>
        </w:rPr>
      </w:pPr>
      <w:r w:rsidRPr="0012204B">
        <w:rPr>
          <w:rFonts w:ascii="Palatino Linotype" w:eastAsia="MS Mincho" w:hAnsi="Palatino Linotype" w:cs="Times New Roman"/>
          <w:i/>
          <w:sz w:val="24"/>
          <w:szCs w:val="24"/>
          <w:lang w:val="es-ES_tradnl" w:eastAsia="es-ES"/>
        </w:rPr>
        <w:t>“</w:t>
      </w:r>
      <w:r w:rsidRPr="0012204B">
        <w:rPr>
          <w:rFonts w:ascii="Palatino Linotype" w:eastAsia="MS Mincho" w:hAnsi="Palatino Linotype" w:cs="Times New Roman"/>
          <w:i/>
          <w:sz w:val="24"/>
          <w:szCs w:val="24"/>
          <w:lang w:eastAsia="es-ES"/>
        </w:rPr>
        <w:t>la entrega de la información no corresponde con lo solicitado</w:t>
      </w:r>
      <w:r w:rsidRPr="0012204B">
        <w:rPr>
          <w:rFonts w:ascii="Palatino Linotype" w:eastAsia="MS Mincho" w:hAnsi="Palatino Linotype" w:cs="Times New Roman"/>
          <w:i/>
          <w:sz w:val="24"/>
          <w:szCs w:val="24"/>
          <w:lang w:val="es-ES_tradnl" w:eastAsia="es-ES"/>
        </w:rPr>
        <w:t>”</w:t>
      </w:r>
      <w:r w:rsidRPr="0012204B">
        <w:rPr>
          <w:rFonts w:ascii="Palatino Linotype" w:eastAsia="MS Mincho" w:hAnsi="Palatino Linotype" w:cs="Times New Roman"/>
          <w:i/>
          <w:lang w:val="es-ES_tradnl" w:eastAsia="es-ES"/>
        </w:rPr>
        <w:t xml:space="preserve"> (sic);  </w:t>
      </w:r>
      <w:r w:rsidRPr="0012204B">
        <w:rPr>
          <w:rFonts w:ascii="Palatino Linotype" w:eastAsia="MS Mincho" w:hAnsi="Palatino Linotype" w:cs="Times New Roman"/>
          <w:b/>
          <w:sz w:val="24"/>
          <w:szCs w:val="24"/>
          <w:lang w:val="es-ES_tradnl" w:eastAsia="es-ES"/>
        </w:rPr>
        <w:t>y como</w:t>
      </w:r>
    </w:p>
    <w:p w:rsidR="00CA11F0" w:rsidRPr="0012204B" w:rsidRDefault="00CA11F0" w:rsidP="00CA11F0">
      <w:pPr>
        <w:spacing w:after="0" w:line="360" w:lineRule="auto"/>
        <w:contextualSpacing/>
        <w:jc w:val="both"/>
        <w:rPr>
          <w:rFonts w:ascii="Palatino Linotype" w:eastAsia="MS Mincho" w:hAnsi="Palatino Linotype" w:cs="Times New Roman"/>
          <w:i/>
          <w:lang w:val="es-ES_tradnl" w:eastAsia="es-ES"/>
        </w:rPr>
      </w:pPr>
    </w:p>
    <w:p w:rsidR="00CA11F0" w:rsidRPr="0012204B" w:rsidRDefault="00CA11F0" w:rsidP="00CA11F0">
      <w:pPr>
        <w:numPr>
          <w:ilvl w:val="0"/>
          <w:numId w:val="3"/>
        </w:numPr>
        <w:spacing w:after="0" w:line="360" w:lineRule="auto"/>
        <w:ind w:right="567"/>
        <w:contextualSpacing/>
        <w:jc w:val="both"/>
        <w:rPr>
          <w:rFonts w:ascii="Palatino Linotype" w:eastAsia="MS Mincho" w:hAnsi="Palatino Linotype" w:cs="Times New Roman"/>
          <w:i/>
          <w:lang w:val="es-ES_tradnl" w:eastAsia="es-ES"/>
        </w:rPr>
      </w:pPr>
      <w:r w:rsidRPr="0012204B">
        <w:rPr>
          <w:rFonts w:ascii="Palatino Linotype" w:eastAsia="MS Gothic" w:hAnsi="Palatino Linotype" w:cs="Times New Roman"/>
          <w:b/>
          <w:sz w:val="24"/>
          <w:szCs w:val="26"/>
          <w:lang w:val="es-ES"/>
        </w:rPr>
        <w:t>Razones o Motivos de inconformidad</w:t>
      </w:r>
      <w:r w:rsidRPr="0012204B">
        <w:rPr>
          <w:rFonts w:ascii="Palatino Linotype" w:eastAsia="MS Mincho" w:hAnsi="Palatino Linotype" w:cs="Times New Roman"/>
          <w:i/>
          <w:lang w:val="es-ES_tradnl" w:eastAsia="es-ES"/>
        </w:rPr>
        <w:t xml:space="preserve">: </w:t>
      </w:r>
    </w:p>
    <w:p w:rsidR="00CA11F0" w:rsidRPr="0012204B" w:rsidRDefault="00CA11F0" w:rsidP="00CA11F0">
      <w:pPr>
        <w:spacing w:after="0" w:line="360" w:lineRule="auto"/>
        <w:ind w:left="567" w:right="567"/>
        <w:contextualSpacing/>
        <w:jc w:val="both"/>
        <w:rPr>
          <w:rFonts w:ascii="Palatino Linotype" w:eastAsia="MS Mincho" w:hAnsi="Palatino Linotype" w:cs="Times New Roman"/>
          <w:i/>
          <w:lang w:val="es-ES_tradnl" w:eastAsia="es-ES"/>
        </w:rPr>
      </w:pPr>
      <w:r w:rsidRPr="0012204B">
        <w:rPr>
          <w:rFonts w:ascii="Palatino Linotype" w:eastAsia="MS Mincho" w:hAnsi="Palatino Linotype" w:cs="Times New Roman"/>
          <w:i/>
          <w:sz w:val="24"/>
          <w:szCs w:val="24"/>
          <w:lang w:eastAsia="es-ES"/>
        </w:rPr>
        <w:t xml:space="preserve">“La Unidad Administrativa carece de comprensión lectora, pues dentro del portal ipomex al que alude solo se advierte el inventario de bienes de los ejercicios fiscales 2018. 2019 y 2020 sin embargo, no se aprecia nada relacionado a Actas Administrativas del Comité de Bienes Muebles e Inmuebles para dar de Baja bienes muebles por enajenación, realizadas durante los años 2018, 2019 y 2020. Copia Simple de las Actas de su órgano máximo de gobierno para dar de baja bienes muebles por enajenación, realizadas durante los años 2018, 2019 y 2020. Copia simple del las Actas Administrativas levantadas por el titular del órgano de control interno o equivalente, para dar de baja bienes muebles por robo o </w:t>
      </w:r>
      <w:r w:rsidRPr="0012204B">
        <w:rPr>
          <w:rFonts w:ascii="Palatino Linotype" w:eastAsia="MS Mincho" w:hAnsi="Palatino Linotype" w:cs="Times New Roman"/>
          <w:i/>
          <w:sz w:val="24"/>
          <w:szCs w:val="24"/>
          <w:lang w:eastAsia="es-ES"/>
        </w:rPr>
        <w:lastRenderedPageBreak/>
        <w:t>siniestro, realizadas durante los años 2018, 2019 y 2020. Copia simple de las Actas del órgano máximo de gobierno donde autorice la baja del bien mueble por robo o siniestro, realizadas durante los años 2018, 2019 y 2020. Copia simple de las Actas administrativas firmada por el comité de Bienes Muebles e Inmuebles, donde se avale los bienes susceptibles a destruir, realizadas durante los años 2018, 2019 y 2020. Copia simple del las Actas del órgano máximo de gobierno, en la que se autorice la baja de bienes muebles para su destrucción, realizadas durante los años 2018, 2019 y 2020. Copia simple de las actas administrativas levantadas por el titular del órgano de control interno o equivalente, en la que se establezca fehacientemente que los bienes fueron buscados minuciosamente en las instalaciones de la entidad fiscalizable, realizadas durante los años 2018, 2019 y 2020. Copia simple de las resoluciones de los procedimientos administrativos correspondiente instaurado por el órgano de control interno o la actuación legal, para determinar la situación administrativa, financiera y legar a que haya lugar, realizadas durante los años 2018, 2019 y 2020. Copia simple de las actas administrativas firmadas por el comité de bienes muebles e inmuebles, que avale los bienes susceptibles a ser dados de baja por no localizados. Copia simple de las actas del órgano máximo de gobierno, en la que se apruebe la baja de los bienes.</w:t>
      </w:r>
      <w:r w:rsidRPr="0012204B">
        <w:rPr>
          <w:rFonts w:ascii="Palatino Linotype" w:eastAsia="MS Mincho" w:hAnsi="Palatino Linotype" w:cs="Times New Roman"/>
          <w:i/>
          <w:sz w:val="24"/>
          <w:szCs w:val="24"/>
          <w:lang w:val="es-ES_tradnl" w:eastAsia="es-ES"/>
        </w:rPr>
        <w:t>”</w:t>
      </w:r>
      <w:r w:rsidRPr="0012204B">
        <w:rPr>
          <w:rFonts w:ascii="Palatino Linotype" w:eastAsia="MS Mincho" w:hAnsi="Palatino Linotype" w:cs="Times New Roman"/>
          <w:i/>
          <w:lang w:val="es-ES_tradnl" w:eastAsia="es-ES"/>
        </w:rPr>
        <w:t xml:space="preserve"> (Sic)</w:t>
      </w:r>
    </w:p>
    <w:p w:rsidR="00CA11F0" w:rsidRPr="0012204B" w:rsidRDefault="00CA11F0" w:rsidP="00CA11F0">
      <w:pPr>
        <w:spacing w:after="0" w:line="360" w:lineRule="auto"/>
        <w:ind w:right="567"/>
        <w:contextualSpacing/>
        <w:jc w:val="both"/>
        <w:rPr>
          <w:rFonts w:ascii="Palatino Linotype" w:eastAsia="MS Mincho" w:hAnsi="Palatino Linotype" w:cs="Times New Roman"/>
          <w:i/>
          <w:lang w:val="es-ES_tradnl" w:eastAsia="es-ES"/>
        </w:rPr>
      </w:pPr>
    </w:p>
    <w:p w:rsidR="00CA11F0" w:rsidRPr="0012204B" w:rsidRDefault="00CA11F0" w:rsidP="00CA11F0">
      <w:pPr>
        <w:numPr>
          <w:ilvl w:val="0"/>
          <w:numId w:val="2"/>
        </w:num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r w:rsidRPr="0012204B">
        <w:rPr>
          <w:rFonts w:ascii="Palatino Linotype" w:eastAsiaTheme="minorEastAsia" w:hAnsi="Palatino Linotype" w:cs="Arial"/>
          <w:bCs/>
          <w:sz w:val="24"/>
          <w:szCs w:val="24"/>
          <w:lang w:val="es-ES_tradnl" w:eastAsia="es-ES"/>
        </w:rPr>
        <w:t xml:space="preserve">Con fundamento en lo dispuesto por el </w:t>
      </w:r>
      <w:r w:rsidRPr="0012204B">
        <w:rPr>
          <w:rFonts w:ascii="Palatino Linotype" w:eastAsia="Calibri" w:hAnsi="Palatino Linotype" w:cs="Arial"/>
          <w:sz w:val="24"/>
          <w:szCs w:val="24"/>
          <w:lang w:val="es-ES" w:eastAsia="es-ES"/>
        </w:rPr>
        <w:t xml:space="preserve">artículo 185 fracción I de la </w:t>
      </w:r>
      <w:r w:rsidRPr="0012204B">
        <w:rPr>
          <w:rFonts w:ascii="Palatino Linotype" w:eastAsia="Calibri" w:hAnsi="Palatino Linotype" w:cs="Arial"/>
          <w:b/>
          <w:sz w:val="24"/>
          <w:szCs w:val="24"/>
          <w:lang w:val="es-ES" w:eastAsia="es-ES"/>
        </w:rPr>
        <w:t xml:space="preserve">Ley de Transparencia y Acceso a la Información Pública del Estado de México y Municipios </w:t>
      </w:r>
      <w:r w:rsidRPr="0012204B">
        <w:rPr>
          <w:rFonts w:ascii="Palatino Linotype" w:eastAsia="Times New Roman" w:hAnsi="Palatino Linotype" w:cs="Arial"/>
          <w:sz w:val="24"/>
          <w:szCs w:val="24"/>
          <w:lang w:val="es-ES" w:eastAsia="es-ES"/>
        </w:rPr>
        <w:t xml:space="preserve">se turnó al </w:t>
      </w:r>
      <w:r w:rsidRPr="0012204B">
        <w:rPr>
          <w:rFonts w:ascii="Palatino Linotype" w:eastAsia="Times New Roman" w:hAnsi="Palatino Linotype" w:cs="Arial"/>
          <w:b/>
          <w:sz w:val="24"/>
          <w:szCs w:val="24"/>
          <w:lang w:val="es-ES" w:eastAsia="es-ES"/>
        </w:rPr>
        <w:t xml:space="preserve">Comisionado José Guadalupe Luna Hernández </w:t>
      </w:r>
      <w:r w:rsidRPr="0012204B">
        <w:rPr>
          <w:rFonts w:ascii="Palatino Linotype" w:eastAsia="Times New Roman" w:hAnsi="Palatino Linotype" w:cs="Arial"/>
          <w:sz w:val="24"/>
          <w:szCs w:val="24"/>
          <w:lang w:val="es-ES" w:eastAsia="es-ES"/>
        </w:rPr>
        <w:t xml:space="preserve">con el objeto de </w:t>
      </w:r>
      <w:r w:rsidRPr="0012204B">
        <w:rPr>
          <w:rFonts w:ascii="Palatino Linotype" w:eastAsia="Times New Roman" w:hAnsi="Palatino Linotype" w:cs="Arial"/>
          <w:sz w:val="24"/>
          <w:szCs w:val="24"/>
          <w:lang w:eastAsia="es-ES"/>
        </w:rPr>
        <w:t>su análisis.</w:t>
      </w:r>
    </w:p>
    <w:p w:rsidR="00CA11F0" w:rsidRPr="0012204B" w:rsidRDefault="00CA11F0" w:rsidP="00CA11F0">
      <w:pPr>
        <w:autoSpaceDE w:val="0"/>
        <w:autoSpaceDN w:val="0"/>
        <w:adjustRightInd w:val="0"/>
        <w:spacing w:before="240" w:after="240" w:line="360" w:lineRule="auto"/>
        <w:contextualSpacing/>
        <w:jc w:val="both"/>
        <w:rPr>
          <w:rFonts w:ascii="Palatino Linotype" w:eastAsia="Times New Roman" w:hAnsi="Palatino Linotype" w:cs="Arial"/>
          <w:i/>
          <w:sz w:val="24"/>
          <w:szCs w:val="24"/>
        </w:rPr>
      </w:pPr>
    </w:p>
    <w:p w:rsidR="00CA11F0" w:rsidRPr="0012204B" w:rsidRDefault="00CA11F0" w:rsidP="00CA11F0">
      <w:pPr>
        <w:numPr>
          <w:ilvl w:val="0"/>
          <w:numId w:val="2"/>
        </w:numPr>
        <w:spacing w:before="240" w:after="0" w:line="360" w:lineRule="auto"/>
        <w:contextualSpacing/>
        <w:jc w:val="both"/>
        <w:rPr>
          <w:rFonts w:ascii="Palatino Linotype" w:eastAsia="MS Mincho" w:hAnsi="Palatino Linotype" w:cs="Times New Roman"/>
          <w:sz w:val="24"/>
          <w:szCs w:val="24"/>
          <w:lang w:val="es-ES_tradnl" w:eastAsia="es-ES"/>
        </w:rPr>
      </w:pPr>
      <w:r w:rsidRPr="0012204B">
        <w:rPr>
          <w:rFonts w:ascii="Palatino Linotype" w:eastAsia="Calibri" w:hAnsi="Palatino Linotype" w:cs="Arial"/>
          <w:color w:val="000000" w:themeColor="text1"/>
          <w:sz w:val="24"/>
          <w:szCs w:val="24"/>
          <w:lang w:val="es-ES" w:eastAsia="es-ES"/>
        </w:rPr>
        <w:lastRenderedPageBreak/>
        <w:t xml:space="preserve">El Comisionado Ponente con fundamento en lo dispuesto por el artículo 185 fracción II de la ley de la materia, a través del acuerdo de admisión de fecha </w:t>
      </w:r>
      <w:r w:rsidR="00CE51CB" w:rsidRPr="0012204B">
        <w:rPr>
          <w:rFonts w:ascii="Palatino Linotype" w:eastAsia="Calibri" w:hAnsi="Palatino Linotype" w:cs="Arial"/>
          <w:b/>
          <w:color w:val="000000" w:themeColor="text1"/>
          <w:sz w:val="24"/>
          <w:szCs w:val="24"/>
          <w:lang w:val="es-ES" w:eastAsia="es-ES"/>
        </w:rPr>
        <w:t>veintiséis</w:t>
      </w:r>
      <w:r w:rsidRPr="0012204B">
        <w:rPr>
          <w:rFonts w:ascii="Palatino Linotype" w:eastAsia="Calibri" w:hAnsi="Palatino Linotype" w:cs="Arial"/>
          <w:b/>
          <w:color w:val="000000" w:themeColor="text1"/>
          <w:sz w:val="24"/>
          <w:szCs w:val="24"/>
          <w:lang w:val="es-ES" w:eastAsia="es-ES"/>
        </w:rPr>
        <w:t xml:space="preserve"> (26) de noviembre </w:t>
      </w:r>
      <w:r w:rsidRPr="0012204B">
        <w:rPr>
          <w:rFonts w:ascii="Palatino Linotype" w:eastAsia="Calibri" w:hAnsi="Palatino Linotype" w:cs="Arial"/>
          <w:color w:val="000000" w:themeColor="text1"/>
          <w:sz w:val="24"/>
          <w:szCs w:val="24"/>
          <w:lang w:val="es-ES" w:eastAsia="es-ES"/>
        </w:rPr>
        <w:t xml:space="preserve">de dos mil veinte, se puso a disposición de las partes el expediente electrónico </w:t>
      </w:r>
      <w:r w:rsidRPr="0012204B">
        <w:rPr>
          <w:rFonts w:ascii="Palatino Linotype" w:eastAsia="Calibri" w:hAnsi="Palatino Linotype" w:cs="Arial"/>
          <w:color w:val="000000" w:themeColor="text1"/>
          <w:sz w:val="24"/>
          <w:szCs w:val="24"/>
          <w:lang w:val="es-ES_tradnl" w:eastAsia="es-ES"/>
        </w:rPr>
        <w:t xml:space="preserve">vía </w:t>
      </w:r>
      <w:r w:rsidRPr="0012204B">
        <w:rPr>
          <w:rFonts w:ascii="Palatino Linotype" w:eastAsia="Calibri" w:hAnsi="Palatino Linotype" w:cs="Arial"/>
          <w:color w:val="000000" w:themeColor="text1"/>
          <w:sz w:val="24"/>
          <w:szCs w:val="24"/>
          <w:lang w:val="es-ES" w:eastAsia="es-ES"/>
        </w:rPr>
        <w:t>Sistema de Acceso a la Información Mexiquense (</w:t>
      </w:r>
      <w:r w:rsidRPr="0012204B">
        <w:rPr>
          <w:rFonts w:ascii="Palatino Linotype" w:eastAsia="Calibri" w:hAnsi="Palatino Linotype" w:cs="Arial"/>
          <w:b/>
          <w:color w:val="000000" w:themeColor="text1"/>
          <w:sz w:val="24"/>
          <w:szCs w:val="24"/>
          <w:lang w:val="es-ES" w:eastAsia="es-ES"/>
        </w:rPr>
        <w:t xml:space="preserve">SAIMEX) </w:t>
      </w:r>
      <w:r w:rsidRPr="0012204B">
        <w:rPr>
          <w:rFonts w:ascii="Palatino Linotype" w:eastAsia="Calibri" w:hAnsi="Palatino Linotype" w:cs="Arial"/>
          <w:color w:val="000000" w:themeColor="text1"/>
          <w:sz w:val="24"/>
          <w:szCs w:val="24"/>
          <w:lang w:val="es-ES" w:eastAsia="es-ES"/>
        </w:rPr>
        <w:t xml:space="preserve">a efecto de que en un plazo máximo de siete días manifestaran lo que a derecho convinieran, ofrecieran pruebas y alegatos según corresponda al caso concreto, de esta forma para que el </w:t>
      </w:r>
      <w:r w:rsidRPr="0012204B">
        <w:rPr>
          <w:rFonts w:ascii="Palatino Linotype" w:eastAsia="Calibri" w:hAnsi="Palatino Linotype" w:cs="Arial"/>
          <w:b/>
          <w:color w:val="000000" w:themeColor="text1"/>
          <w:sz w:val="24"/>
          <w:szCs w:val="24"/>
          <w:lang w:val="es-ES" w:eastAsia="es-ES"/>
        </w:rPr>
        <w:t>SUJETO OBLIGADO</w:t>
      </w:r>
      <w:r w:rsidRPr="0012204B">
        <w:rPr>
          <w:rFonts w:ascii="Palatino Linotype" w:eastAsia="Calibri" w:hAnsi="Palatino Linotype" w:cs="Arial"/>
          <w:color w:val="000000" w:themeColor="text1"/>
          <w:sz w:val="24"/>
          <w:szCs w:val="24"/>
          <w:lang w:val="es-ES" w:eastAsia="es-ES"/>
        </w:rPr>
        <w:t xml:space="preserve"> presentará su Informe Justificado procedente, situación que no ocurrió.</w:t>
      </w:r>
    </w:p>
    <w:p w:rsidR="00CA11F0" w:rsidRPr="0012204B" w:rsidRDefault="00CA11F0" w:rsidP="00CA11F0">
      <w:pPr>
        <w:ind w:left="720"/>
        <w:contextualSpacing/>
        <w:rPr>
          <w:rFonts w:ascii="Palatino Linotype" w:eastAsia="MS Mincho" w:hAnsi="Palatino Linotype" w:cs="Times New Roman"/>
          <w:sz w:val="24"/>
          <w:szCs w:val="24"/>
          <w:lang w:val="es-ES_tradnl" w:eastAsia="es-ES"/>
        </w:rPr>
      </w:pPr>
    </w:p>
    <w:p w:rsidR="00CA11F0" w:rsidRPr="0012204B" w:rsidRDefault="00CA11F0" w:rsidP="00CA11F0">
      <w:pPr>
        <w:numPr>
          <w:ilvl w:val="0"/>
          <w:numId w:val="2"/>
        </w:numPr>
        <w:spacing w:before="240" w:after="240" w:line="360" w:lineRule="auto"/>
        <w:contextualSpacing/>
        <w:jc w:val="both"/>
        <w:rPr>
          <w:rFonts w:ascii="Palatino Linotype" w:hAnsi="Palatino Linotype"/>
          <w:sz w:val="24"/>
          <w:szCs w:val="24"/>
        </w:rPr>
      </w:pPr>
      <w:r w:rsidRPr="0012204B">
        <w:rPr>
          <w:rFonts w:ascii="Palatino Linotype" w:eastAsia="Calibri" w:hAnsi="Palatino Linotype" w:cs="Arial"/>
          <w:color w:val="000000" w:themeColor="text1"/>
          <w:sz w:val="24"/>
          <w:szCs w:val="24"/>
          <w:lang w:val="es-ES" w:eastAsia="es-ES"/>
        </w:rPr>
        <w:t>El Comisionado Ponente decr</w:t>
      </w:r>
      <w:bookmarkStart w:id="1" w:name="_GoBack"/>
      <w:bookmarkEnd w:id="1"/>
      <w:r w:rsidRPr="0012204B">
        <w:rPr>
          <w:rFonts w:ascii="Palatino Linotype" w:eastAsia="Calibri" w:hAnsi="Palatino Linotype" w:cs="Arial"/>
          <w:color w:val="000000" w:themeColor="text1"/>
          <w:sz w:val="24"/>
          <w:szCs w:val="24"/>
          <w:lang w:val="es-ES" w:eastAsia="es-ES"/>
        </w:rPr>
        <w:t xml:space="preserve">etó el cierre de instrucción mediante acuerdo de </w:t>
      </w:r>
      <w:r w:rsidRPr="0012204B">
        <w:rPr>
          <w:rFonts w:ascii="Palatino Linotype" w:eastAsia="MS Mincho" w:hAnsi="Palatino Linotype" w:cs="Times New Roman"/>
          <w:sz w:val="24"/>
          <w:szCs w:val="24"/>
          <w:lang w:val="es-ES_tradnl" w:eastAsia="es-ES"/>
        </w:rPr>
        <w:t xml:space="preserve">fecha </w:t>
      </w:r>
      <w:r w:rsidR="00197895" w:rsidRPr="00197895">
        <w:rPr>
          <w:rFonts w:ascii="Palatino Linotype" w:eastAsia="MS Mincho" w:hAnsi="Palatino Linotype" w:cs="Times New Roman"/>
          <w:sz w:val="24"/>
          <w:szCs w:val="24"/>
          <w:lang w:val="es-ES_tradnl" w:eastAsia="es-ES"/>
        </w:rPr>
        <w:t>dieciséis</w:t>
      </w:r>
      <w:r w:rsidRPr="00197895">
        <w:rPr>
          <w:rFonts w:ascii="Palatino Linotype" w:eastAsia="MS Mincho" w:hAnsi="Palatino Linotype" w:cs="Times New Roman"/>
          <w:sz w:val="24"/>
          <w:szCs w:val="24"/>
          <w:lang w:val="es-ES_tradnl" w:eastAsia="es-ES"/>
        </w:rPr>
        <w:t xml:space="preserve"> (</w:t>
      </w:r>
      <w:r w:rsidR="00197895" w:rsidRPr="00197895">
        <w:rPr>
          <w:rFonts w:ascii="Palatino Linotype" w:eastAsia="MS Mincho" w:hAnsi="Palatino Linotype" w:cs="Times New Roman"/>
          <w:sz w:val="24"/>
          <w:szCs w:val="24"/>
          <w:lang w:val="es-ES_tradnl" w:eastAsia="es-ES"/>
        </w:rPr>
        <w:t>16</w:t>
      </w:r>
      <w:r w:rsidRPr="00197895">
        <w:rPr>
          <w:rFonts w:ascii="Palatino Linotype" w:eastAsia="MS Mincho" w:hAnsi="Palatino Linotype" w:cs="Times New Roman"/>
          <w:sz w:val="24"/>
          <w:szCs w:val="24"/>
          <w:lang w:val="es-ES_tradnl" w:eastAsia="es-ES"/>
        </w:rPr>
        <w:t>) de diciembre</w:t>
      </w:r>
      <w:r w:rsidRPr="0012204B">
        <w:rPr>
          <w:rFonts w:ascii="Palatino Linotype" w:eastAsia="MS Mincho" w:hAnsi="Palatino Linotype" w:cs="Times New Roman"/>
          <w:b/>
          <w:sz w:val="24"/>
          <w:szCs w:val="24"/>
          <w:lang w:val="es-ES_tradnl" w:eastAsia="es-ES"/>
        </w:rPr>
        <w:t xml:space="preserve"> </w:t>
      </w:r>
      <w:r w:rsidRPr="0012204B">
        <w:rPr>
          <w:rFonts w:ascii="Palatino Linotype" w:eastAsia="Calibri" w:hAnsi="Palatino Linotype" w:cs="Arial"/>
          <w:color w:val="000000" w:themeColor="text1"/>
          <w:sz w:val="24"/>
          <w:szCs w:val="24"/>
          <w:lang w:val="es-ES" w:eastAsia="es-ES"/>
        </w:rPr>
        <w:t>de dos mil veinte, por lo que, ordenó turnar el expediente a resolución</w:t>
      </w:r>
      <w:r w:rsidRPr="0012204B">
        <w:rPr>
          <w:rFonts w:ascii="Palatino Linotype" w:eastAsiaTheme="minorEastAsia" w:hAnsi="Palatino Linotype" w:cs="Arial"/>
          <w:sz w:val="24"/>
          <w:szCs w:val="24"/>
          <w:lang w:val="es-ES_tradnl" w:eastAsia="es-ES"/>
        </w:rPr>
        <w:t xml:space="preserve">; por lo que no habiendo más que hacer constar, y  - - - - </w:t>
      </w:r>
    </w:p>
    <w:p w:rsidR="00CA11F0" w:rsidRPr="0012204B" w:rsidRDefault="00CA11F0" w:rsidP="00CA11F0">
      <w:pPr>
        <w:spacing w:before="240" w:after="240" w:line="360" w:lineRule="auto"/>
        <w:ind w:right="-142"/>
        <w:contextualSpacing/>
        <w:jc w:val="both"/>
        <w:rPr>
          <w:rFonts w:ascii="Palatino Linotype" w:eastAsiaTheme="minorEastAsia" w:hAnsi="Palatino Linotype"/>
          <w:sz w:val="24"/>
          <w:szCs w:val="24"/>
          <w:lang w:val="es-ES_tradnl" w:eastAsia="es-ES"/>
        </w:rPr>
      </w:pPr>
    </w:p>
    <w:p w:rsidR="00CA11F0" w:rsidRPr="0012204B" w:rsidRDefault="00CA11F0" w:rsidP="00CA11F0">
      <w:pPr>
        <w:spacing w:before="240" w:after="240" w:line="360" w:lineRule="auto"/>
        <w:contextualSpacing/>
        <w:jc w:val="both"/>
        <w:rPr>
          <w:rFonts w:ascii="Palatino Linotype" w:hAnsi="Palatino Linotype"/>
          <w:sz w:val="24"/>
          <w:szCs w:val="24"/>
        </w:rPr>
      </w:pPr>
    </w:p>
    <w:p w:rsidR="00CA11F0" w:rsidRPr="0012204B" w:rsidRDefault="00CA11F0" w:rsidP="00CA11F0">
      <w:pPr>
        <w:keepNext/>
        <w:keepLines/>
        <w:spacing w:before="240" w:after="0" w:line="360" w:lineRule="auto"/>
        <w:jc w:val="center"/>
        <w:outlineLvl w:val="0"/>
        <w:rPr>
          <w:rFonts w:ascii="Palatino Linotype" w:eastAsia="MS Mincho" w:hAnsi="Palatino Linotype" w:cs="Times New Roman"/>
          <w:b/>
          <w:sz w:val="24"/>
          <w:szCs w:val="24"/>
          <w:lang w:val="es-ES_tradnl" w:eastAsia="es-ES"/>
        </w:rPr>
      </w:pPr>
      <w:bookmarkStart w:id="2" w:name="_Toc62209464"/>
      <w:r w:rsidRPr="0012204B">
        <w:rPr>
          <w:rFonts w:ascii="Palatino Linotype" w:eastAsia="MS Mincho" w:hAnsi="Palatino Linotype" w:cs="Times New Roman"/>
          <w:b/>
          <w:sz w:val="24"/>
          <w:szCs w:val="24"/>
          <w:lang w:val="es-ES_tradnl" w:eastAsia="es-ES"/>
        </w:rPr>
        <w:t>C O N S I D E R A N D O</w:t>
      </w:r>
      <w:bookmarkEnd w:id="2"/>
      <w:r w:rsidRPr="0012204B">
        <w:rPr>
          <w:rFonts w:ascii="Palatino Linotype" w:eastAsia="MS Mincho" w:hAnsi="Palatino Linotype" w:cs="Times New Roman"/>
          <w:b/>
          <w:sz w:val="24"/>
          <w:szCs w:val="24"/>
          <w:lang w:val="es-ES_tradnl" w:eastAsia="es-ES"/>
        </w:rPr>
        <w:t xml:space="preserve"> </w:t>
      </w:r>
    </w:p>
    <w:p w:rsidR="00CA11F0" w:rsidRPr="0012204B" w:rsidRDefault="00CA11F0" w:rsidP="00CA11F0">
      <w:pPr>
        <w:spacing w:after="0" w:line="360" w:lineRule="auto"/>
        <w:rPr>
          <w:rFonts w:ascii="Palatino Linotype" w:eastAsia="MS Mincho" w:hAnsi="Palatino Linotype" w:cs="Times New Roman"/>
          <w:sz w:val="24"/>
          <w:szCs w:val="24"/>
        </w:rPr>
      </w:pPr>
    </w:p>
    <w:p w:rsidR="00CA11F0" w:rsidRPr="0012204B" w:rsidRDefault="00CA11F0" w:rsidP="00CA11F0">
      <w:pPr>
        <w:keepNext/>
        <w:keepLines/>
        <w:spacing w:before="40" w:after="0" w:line="360" w:lineRule="auto"/>
        <w:outlineLvl w:val="1"/>
        <w:rPr>
          <w:rFonts w:ascii="Palatino Linotype" w:eastAsia="MS Gothic" w:hAnsi="Palatino Linotype" w:cs="Times New Roman"/>
          <w:b/>
          <w:sz w:val="24"/>
          <w:szCs w:val="26"/>
        </w:rPr>
      </w:pPr>
      <w:bookmarkStart w:id="3" w:name="_Toc62209465"/>
      <w:r w:rsidRPr="0012204B">
        <w:rPr>
          <w:rFonts w:ascii="Palatino Linotype" w:eastAsia="MS Gothic" w:hAnsi="Palatino Linotype" w:cs="Times New Roman"/>
          <w:b/>
          <w:sz w:val="24"/>
          <w:szCs w:val="26"/>
        </w:rPr>
        <w:t>PRIMERO. De la competencia.</w:t>
      </w:r>
      <w:bookmarkEnd w:id="3"/>
    </w:p>
    <w:p w:rsidR="00CA11F0" w:rsidRPr="0012204B" w:rsidRDefault="00CA11F0" w:rsidP="00CA11F0">
      <w:pPr>
        <w:keepNext/>
        <w:keepLines/>
        <w:spacing w:before="40" w:after="0" w:line="360" w:lineRule="auto"/>
        <w:outlineLvl w:val="1"/>
        <w:rPr>
          <w:rFonts w:ascii="Palatino Linotype" w:eastAsia="MS Gothic" w:hAnsi="Palatino Linotype" w:cs="Times New Roman"/>
          <w:b/>
          <w:sz w:val="24"/>
          <w:szCs w:val="26"/>
        </w:rPr>
      </w:pPr>
    </w:p>
    <w:p w:rsidR="00CA11F0" w:rsidRPr="0012204B" w:rsidRDefault="00CA11F0" w:rsidP="002D5588">
      <w:pPr>
        <w:numPr>
          <w:ilvl w:val="0"/>
          <w:numId w:val="2"/>
        </w:numPr>
        <w:spacing w:before="240" w:after="240" w:line="360" w:lineRule="auto"/>
        <w:contextualSpacing/>
        <w:jc w:val="both"/>
        <w:rPr>
          <w:rFonts w:ascii="Palatino Linotype" w:eastAsia="MS Mincho" w:hAnsi="Palatino Linotype" w:cs="Times New Roman"/>
          <w:sz w:val="24"/>
          <w:szCs w:val="24"/>
          <w:lang w:val="es-ES_tradnl" w:eastAsia="es-ES"/>
        </w:rPr>
      </w:pPr>
      <w:r w:rsidRPr="0012204B">
        <w:rPr>
          <w:rFonts w:ascii="Palatino Linotype" w:eastAsia="Calibri" w:hAnsi="Palatino Linotype" w:cs="Times New Roman"/>
          <w:sz w:val="24"/>
          <w:szCs w:val="24"/>
          <w:lang w:val="es-ES" w:eastAsia="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2204B">
        <w:rPr>
          <w:rFonts w:ascii="Palatino Linotype" w:eastAsia="Calibri" w:hAnsi="Palatino Linotype" w:cs="Times New Roman"/>
          <w:b/>
          <w:sz w:val="24"/>
          <w:szCs w:val="24"/>
          <w:lang w:val="es-ES" w:eastAsia="es-ES"/>
        </w:rPr>
        <w:t>Constitución Política de los Estados Unidos Mexicanos</w:t>
      </w:r>
      <w:r w:rsidRPr="0012204B">
        <w:rPr>
          <w:rFonts w:ascii="Palatino Linotype" w:eastAsia="Calibri" w:hAnsi="Palatino Linotype" w:cs="Times New Roman"/>
          <w:sz w:val="24"/>
          <w:szCs w:val="24"/>
          <w:lang w:val="es-ES" w:eastAsia="es-ES"/>
        </w:rPr>
        <w:t xml:space="preserve">; </w:t>
      </w:r>
      <w:r w:rsidRPr="0012204B">
        <w:rPr>
          <w:rFonts w:ascii="Palatino Linotype" w:hAnsi="Palatino Linotype" w:cs="Arial"/>
          <w:bCs/>
          <w:color w:val="222222"/>
          <w:sz w:val="24"/>
          <w:szCs w:val="24"/>
          <w:lang w:val="es-ES"/>
        </w:rPr>
        <w:t>5, párrafos vigésimo segundo, vigésimo tercero y vigésimo cuarto fracciones IV y V </w:t>
      </w:r>
      <w:r w:rsidRPr="0012204B">
        <w:rPr>
          <w:rFonts w:ascii="Palatino Linotype" w:eastAsia="Calibri" w:hAnsi="Palatino Linotype" w:cs="Times New Roman"/>
          <w:sz w:val="24"/>
          <w:szCs w:val="24"/>
          <w:lang w:val="es-ES" w:eastAsia="es-ES"/>
        </w:rPr>
        <w:t xml:space="preserve"> de la </w:t>
      </w:r>
      <w:r w:rsidRPr="0012204B">
        <w:rPr>
          <w:rFonts w:ascii="Palatino Linotype" w:eastAsia="Calibri" w:hAnsi="Palatino Linotype" w:cs="Times New Roman"/>
          <w:b/>
          <w:sz w:val="24"/>
          <w:szCs w:val="24"/>
          <w:lang w:val="es-ES" w:eastAsia="es-ES"/>
        </w:rPr>
        <w:t>Constitución Política del Estado Libre y Soberano de México</w:t>
      </w:r>
      <w:r w:rsidRPr="0012204B">
        <w:rPr>
          <w:rFonts w:ascii="Palatino Linotype" w:eastAsia="Calibri" w:hAnsi="Palatino Linotype" w:cs="Times New Roman"/>
          <w:sz w:val="24"/>
          <w:szCs w:val="24"/>
          <w:lang w:val="es-ES" w:eastAsia="es-ES"/>
        </w:rPr>
        <w:t xml:space="preserve">; artículos 1, 2 fracción II, 13, 29, 36 fracciones I y II, 176, 178, </w:t>
      </w:r>
      <w:r w:rsidRPr="0012204B">
        <w:rPr>
          <w:rFonts w:ascii="Palatino Linotype" w:eastAsia="Calibri" w:hAnsi="Palatino Linotype" w:cs="Times New Roman"/>
          <w:sz w:val="24"/>
          <w:szCs w:val="24"/>
          <w:lang w:val="es-ES" w:eastAsia="es-ES"/>
        </w:rPr>
        <w:lastRenderedPageBreak/>
        <w:t xml:space="preserve">179, 181 párrafo tercero y 185 </w:t>
      </w:r>
      <w:r w:rsidRPr="0012204B">
        <w:rPr>
          <w:rFonts w:ascii="Palatino Linotype" w:eastAsia="Calibri" w:hAnsi="Palatino Linotype" w:cs="Arial"/>
          <w:sz w:val="24"/>
          <w:szCs w:val="24"/>
          <w:lang w:val="es-ES" w:eastAsia="es-ES"/>
        </w:rPr>
        <w:t xml:space="preserve">de la </w:t>
      </w:r>
      <w:r w:rsidRPr="0012204B">
        <w:rPr>
          <w:rFonts w:ascii="Palatino Linotype" w:eastAsia="Calibri" w:hAnsi="Palatino Linotype" w:cs="Arial"/>
          <w:b/>
          <w:sz w:val="24"/>
          <w:szCs w:val="24"/>
          <w:lang w:val="es-ES" w:eastAsia="es-ES"/>
        </w:rPr>
        <w:t>Ley de Transparencia y Acceso a la Información Pública del Estado de México y Municipios</w:t>
      </w:r>
      <w:r w:rsidRPr="0012204B">
        <w:rPr>
          <w:rFonts w:ascii="Palatino Linotype" w:eastAsia="Calibri" w:hAnsi="Palatino Linotype" w:cs="Arial"/>
          <w:sz w:val="24"/>
          <w:szCs w:val="24"/>
          <w:lang w:val="es-ES" w:eastAsia="es-ES"/>
        </w:rPr>
        <w:t xml:space="preserve">; </w:t>
      </w:r>
      <w:r w:rsidRPr="0012204B">
        <w:rPr>
          <w:rFonts w:ascii="Palatino Linotype" w:eastAsia="Calibri" w:hAnsi="Palatino Linotype" w:cs="Arial"/>
          <w:b/>
          <w:sz w:val="24"/>
          <w:szCs w:val="24"/>
          <w:lang w:val="es-ES" w:eastAsia="es-ES"/>
        </w:rPr>
        <w:t>7, 9 fracciones I y XXIV, y 11</w:t>
      </w:r>
      <w:r w:rsidRPr="0012204B">
        <w:rPr>
          <w:rFonts w:ascii="Palatino Linotype" w:eastAsia="Calibri" w:hAnsi="Palatino Linotype" w:cs="Arial"/>
          <w:sz w:val="24"/>
          <w:szCs w:val="24"/>
          <w:lang w:val="es-ES" w:eastAsia="es-ES"/>
        </w:rPr>
        <w:t xml:space="preserve"> del </w:t>
      </w:r>
      <w:r w:rsidRPr="0012204B">
        <w:rPr>
          <w:rFonts w:ascii="Palatino Linotype" w:eastAsia="Calibri" w:hAnsi="Palatino Linotype" w:cs="Arial"/>
          <w:b/>
          <w:sz w:val="24"/>
          <w:szCs w:val="24"/>
          <w:lang w:val="es-ES" w:eastAsia="es-ES"/>
        </w:rPr>
        <w:t>Reglamento Interior del Instituto de Transparencia, Acceso a la Información Pública y Protección de Datos Personales del Estado de México y Municipios</w:t>
      </w:r>
      <w:r w:rsidRPr="0012204B">
        <w:rPr>
          <w:rFonts w:ascii="Palatino Linotype" w:eastAsia="MS Mincho" w:hAnsi="Palatino Linotype" w:cs="Times New Roman"/>
          <w:sz w:val="24"/>
          <w:szCs w:val="24"/>
          <w:lang w:val="es-ES_tradnl" w:eastAsia="es-ES"/>
        </w:rPr>
        <w:t>.</w:t>
      </w:r>
    </w:p>
    <w:p w:rsidR="00CA11F0" w:rsidRPr="0012204B" w:rsidRDefault="00CA11F0" w:rsidP="00CA11F0">
      <w:pPr>
        <w:spacing w:before="240" w:after="240" w:line="360" w:lineRule="auto"/>
        <w:contextualSpacing/>
        <w:jc w:val="both"/>
        <w:rPr>
          <w:rFonts w:ascii="Palatino Linotype" w:eastAsia="MS Mincho" w:hAnsi="Palatino Linotype" w:cs="Times New Roman"/>
          <w:sz w:val="24"/>
          <w:szCs w:val="24"/>
          <w:lang w:val="es-ES_tradnl" w:eastAsia="es-ES"/>
        </w:rPr>
      </w:pPr>
    </w:p>
    <w:p w:rsidR="00CA11F0" w:rsidRPr="0012204B" w:rsidRDefault="00CA11F0" w:rsidP="00CA11F0">
      <w:pPr>
        <w:keepNext/>
        <w:keepLines/>
        <w:spacing w:before="40" w:after="0" w:line="360" w:lineRule="auto"/>
        <w:outlineLvl w:val="1"/>
        <w:rPr>
          <w:rFonts w:ascii="Palatino Linotype" w:eastAsia="MS Gothic" w:hAnsi="Palatino Linotype" w:cs="Times New Roman"/>
          <w:b/>
          <w:sz w:val="24"/>
          <w:szCs w:val="26"/>
        </w:rPr>
      </w:pPr>
      <w:bookmarkStart w:id="4" w:name="_Toc62209466"/>
      <w:r w:rsidRPr="0012204B">
        <w:rPr>
          <w:rFonts w:ascii="Palatino Linotype" w:eastAsia="MS Gothic" w:hAnsi="Palatino Linotype" w:cs="Times New Roman"/>
          <w:b/>
          <w:sz w:val="24"/>
          <w:szCs w:val="26"/>
        </w:rPr>
        <w:t>SEGUNDO. De la oportunidad y procedencia.</w:t>
      </w:r>
      <w:bookmarkEnd w:id="4"/>
    </w:p>
    <w:p w:rsidR="00CA11F0" w:rsidRPr="0012204B" w:rsidRDefault="00CA11F0" w:rsidP="00CA11F0">
      <w:pPr>
        <w:keepNext/>
        <w:keepLines/>
        <w:spacing w:before="40" w:after="0"/>
        <w:outlineLvl w:val="1"/>
        <w:rPr>
          <w:rFonts w:ascii="Palatino Linotype" w:eastAsia="MS Gothic" w:hAnsi="Palatino Linotype" w:cs="Times New Roman"/>
          <w:b/>
          <w:color w:val="2E74B5" w:themeColor="accent1" w:themeShade="BF"/>
          <w:sz w:val="24"/>
          <w:szCs w:val="26"/>
        </w:rPr>
      </w:pPr>
    </w:p>
    <w:p w:rsidR="00B14470" w:rsidRPr="0012204B" w:rsidRDefault="00CA11F0" w:rsidP="00B14470">
      <w:pPr>
        <w:numPr>
          <w:ilvl w:val="0"/>
          <w:numId w:val="2"/>
        </w:numPr>
        <w:spacing w:before="240" w:after="240" w:line="360" w:lineRule="auto"/>
        <w:contextualSpacing/>
        <w:jc w:val="both"/>
        <w:rPr>
          <w:rFonts w:ascii="Palatino Linotype" w:eastAsia="Calibri" w:hAnsi="Palatino Linotype" w:cs="Times New Roman"/>
          <w:sz w:val="24"/>
          <w:szCs w:val="24"/>
          <w:lang w:val="es-ES" w:eastAsia="es-ES"/>
        </w:rPr>
      </w:pPr>
      <w:r w:rsidRPr="0012204B">
        <w:rPr>
          <w:rFonts w:ascii="Palatino Linotype" w:eastAsia="Calibri" w:hAnsi="Palatino Linotype" w:cs="Arial"/>
          <w:sz w:val="24"/>
          <w:szCs w:val="24"/>
        </w:rPr>
        <w:t xml:space="preserve">El medio de impugnación fue presentado a través del </w:t>
      </w:r>
      <w:r w:rsidRPr="0012204B">
        <w:rPr>
          <w:rFonts w:ascii="Palatino Linotype" w:eastAsia="Calibri" w:hAnsi="Palatino Linotype" w:cs="Arial"/>
          <w:b/>
          <w:sz w:val="24"/>
          <w:szCs w:val="24"/>
        </w:rPr>
        <w:t>SAIMEX,</w:t>
      </w:r>
      <w:r w:rsidRPr="0012204B">
        <w:rPr>
          <w:rFonts w:ascii="Palatino Linotype" w:eastAsia="Calibri" w:hAnsi="Palatino Linotype" w:cs="Arial"/>
          <w:sz w:val="24"/>
          <w:szCs w:val="24"/>
        </w:rPr>
        <w:t xml:space="preserve"> en el formato previamente aprobado para tal efecto y dentro del plazo legal de quince días hábiles otorgados; para el caso en particular es de señalar que el </w:t>
      </w:r>
      <w:r w:rsidRPr="0012204B">
        <w:rPr>
          <w:rFonts w:ascii="Palatino Linotype" w:eastAsia="Calibri" w:hAnsi="Palatino Linotype" w:cs="Arial"/>
          <w:b/>
          <w:sz w:val="24"/>
          <w:szCs w:val="24"/>
        </w:rPr>
        <w:t>SUJETO OBLIGADO</w:t>
      </w:r>
      <w:r w:rsidRPr="0012204B">
        <w:rPr>
          <w:rFonts w:ascii="Palatino Linotype" w:eastAsia="Calibri" w:hAnsi="Palatino Linotype" w:cs="Arial"/>
          <w:sz w:val="24"/>
          <w:szCs w:val="24"/>
        </w:rPr>
        <w:t xml:space="preserve"> entregó las respuestas el </w:t>
      </w:r>
      <w:r w:rsidRPr="0012204B">
        <w:rPr>
          <w:rFonts w:ascii="Palatino Linotype" w:eastAsia="Calibri" w:hAnsi="Palatino Linotype" w:cs="Arial"/>
          <w:b/>
          <w:sz w:val="24"/>
          <w:szCs w:val="24"/>
        </w:rPr>
        <w:t xml:space="preserve">diecinueve (19) de noviembre </w:t>
      </w:r>
      <w:r w:rsidRPr="0012204B">
        <w:rPr>
          <w:rFonts w:ascii="Palatino Linotype" w:eastAsia="Calibri" w:hAnsi="Palatino Linotype" w:cs="Arial"/>
          <w:sz w:val="24"/>
          <w:szCs w:val="24"/>
        </w:rPr>
        <w:t xml:space="preserve">de dos mil veinte, </w:t>
      </w:r>
      <w:r w:rsidRPr="0012204B">
        <w:rPr>
          <w:rFonts w:ascii="Palatino Linotype" w:hAnsi="Palatino Linotype" w:cs="Arial"/>
          <w:sz w:val="24"/>
          <w:szCs w:val="24"/>
        </w:rPr>
        <w:t xml:space="preserve">de tal forma que el plazo para interponer el recurso transcurrió del día </w:t>
      </w:r>
      <w:r w:rsidRPr="0012204B">
        <w:rPr>
          <w:rFonts w:ascii="Palatino Linotype" w:hAnsi="Palatino Linotype" w:cs="Arial"/>
          <w:b/>
          <w:sz w:val="24"/>
          <w:szCs w:val="24"/>
        </w:rPr>
        <w:t xml:space="preserve">veinte (20) de noviembre al diez (10) diciembre </w:t>
      </w:r>
      <w:r w:rsidRPr="0012204B">
        <w:rPr>
          <w:rFonts w:ascii="Palatino Linotype" w:hAnsi="Palatino Linotype" w:cs="Arial"/>
          <w:sz w:val="24"/>
          <w:szCs w:val="24"/>
        </w:rPr>
        <w:t xml:space="preserve">de dos mil veinte; en consecuencia, presentó su inconformidad el día </w:t>
      </w:r>
      <w:r w:rsidRPr="0012204B">
        <w:rPr>
          <w:rFonts w:ascii="Palatino Linotype" w:hAnsi="Palatino Linotype" w:cs="Arial"/>
          <w:b/>
          <w:sz w:val="24"/>
          <w:szCs w:val="24"/>
        </w:rPr>
        <w:t xml:space="preserve">veinte (20) de noviembre </w:t>
      </w:r>
      <w:r w:rsidRPr="0012204B">
        <w:rPr>
          <w:rFonts w:ascii="Palatino Linotype" w:hAnsi="Palatino Linotype" w:cs="Arial"/>
          <w:sz w:val="24"/>
          <w:szCs w:val="24"/>
        </w:rPr>
        <w:t xml:space="preserve">de dos mil veinte, éste se encuentra dentro de los márgenes temporales previstos en el artículo 178 de la </w:t>
      </w:r>
      <w:r w:rsidRPr="0012204B">
        <w:rPr>
          <w:rFonts w:ascii="Palatino Linotype" w:hAnsi="Palatino Linotype" w:cs="Arial"/>
          <w:b/>
          <w:sz w:val="24"/>
          <w:szCs w:val="24"/>
        </w:rPr>
        <w:t>Ley de Transparencia y Acceso a la Información Pública del Estado de México y Municipios</w:t>
      </w:r>
      <w:r w:rsidRPr="0012204B">
        <w:rPr>
          <w:rFonts w:ascii="Palatino Linotype" w:hAnsi="Palatino Linotype" w:cs="Arial"/>
          <w:sz w:val="24"/>
          <w:szCs w:val="24"/>
        </w:rPr>
        <w:t>.</w:t>
      </w:r>
    </w:p>
    <w:p w:rsidR="00B14470" w:rsidRPr="0012204B" w:rsidRDefault="00B14470" w:rsidP="00B14470">
      <w:pPr>
        <w:spacing w:before="240" w:after="240" w:line="360" w:lineRule="auto"/>
        <w:ind w:left="360"/>
        <w:contextualSpacing/>
        <w:jc w:val="both"/>
        <w:rPr>
          <w:rFonts w:ascii="Palatino Linotype" w:eastAsia="Calibri" w:hAnsi="Palatino Linotype" w:cs="Times New Roman"/>
          <w:sz w:val="24"/>
          <w:szCs w:val="24"/>
          <w:lang w:val="es-ES" w:eastAsia="es-ES"/>
        </w:rPr>
      </w:pPr>
    </w:p>
    <w:p w:rsidR="00B14470" w:rsidRPr="0012204B" w:rsidRDefault="00B14470" w:rsidP="00B14470">
      <w:pPr>
        <w:numPr>
          <w:ilvl w:val="0"/>
          <w:numId w:val="2"/>
        </w:numPr>
        <w:spacing w:before="240" w:after="240" w:line="360" w:lineRule="auto"/>
        <w:contextualSpacing/>
        <w:jc w:val="both"/>
        <w:rPr>
          <w:rFonts w:ascii="Palatino Linotype" w:eastAsia="Calibri" w:hAnsi="Palatino Linotype" w:cs="Times New Roman"/>
          <w:sz w:val="24"/>
          <w:szCs w:val="24"/>
          <w:lang w:val="es-ES" w:eastAsia="es-ES"/>
        </w:rPr>
      </w:pPr>
      <w:r w:rsidRPr="0012204B">
        <w:rPr>
          <w:rFonts w:ascii="Palatino Linotype" w:hAnsi="Palatino Linotype" w:cs="Arial"/>
          <w:sz w:val="24"/>
          <w:szCs w:val="24"/>
        </w:rPr>
        <w:t xml:space="preserve">Ahora bien, de la </w:t>
      </w:r>
      <w:r w:rsidRPr="0012204B">
        <w:rPr>
          <w:rFonts w:ascii="Palatino Linotype" w:eastAsia="Calibri" w:hAnsi="Palatino Linotype" w:cs="Times New Roman"/>
          <w:sz w:val="24"/>
          <w:szCs w:val="24"/>
          <w:lang w:val="es-ES"/>
        </w:rPr>
        <w:t xml:space="preserve">revisión al expediente electrónico del </w:t>
      </w:r>
      <w:r w:rsidRPr="0012204B">
        <w:rPr>
          <w:rFonts w:ascii="Palatino Linotype" w:eastAsia="Calibri" w:hAnsi="Palatino Linotype" w:cs="Times New Roman"/>
          <w:i/>
          <w:sz w:val="24"/>
          <w:szCs w:val="24"/>
          <w:lang w:val="es-ES"/>
        </w:rPr>
        <w:t>SAIMEX,</w:t>
      </w:r>
      <w:r w:rsidRPr="0012204B">
        <w:rPr>
          <w:rFonts w:ascii="Palatino Linotype" w:eastAsia="Calibri" w:hAnsi="Palatino Linotype" w:cs="Times New Roman"/>
          <w:sz w:val="24"/>
          <w:szCs w:val="24"/>
          <w:lang w:val="es-ES"/>
        </w:rPr>
        <w:t xml:space="preserve"> se desprende que la parte </w:t>
      </w:r>
      <w:r w:rsidRPr="0012204B">
        <w:rPr>
          <w:rFonts w:ascii="Palatino Linotype" w:eastAsia="Calibri" w:hAnsi="Palatino Linotype" w:cs="Times New Roman"/>
          <w:b/>
          <w:sz w:val="24"/>
          <w:szCs w:val="24"/>
          <w:lang w:val="es-ES"/>
        </w:rPr>
        <w:t>SOLICITANTE</w:t>
      </w:r>
      <w:r w:rsidRPr="0012204B">
        <w:rPr>
          <w:rFonts w:ascii="Palatino Linotype" w:eastAsia="Calibri" w:hAnsi="Palatino Linotype" w:cs="Times New Roman"/>
          <w:sz w:val="24"/>
          <w:szCs w:val="24"/>
          <w:lang w:val="es-ES"/>
        </w:rPr>
        <w:t xml:space="preserve">, en ejercicio de su derecho de acceso a la información pública en el expediente que se revisa, tanto en la solicitud de información como en el recurso de revisión </w:t>
      </w:r>
      <w:r w:rsidRPr="0012204B">
        <w:rPr>
          <w:rFonts w:ascii="Palatino Linotype" w:eastAsia="Calibri" w:hAnsi="Palatino Linotype" w:cs="Times New Roman"/>
          <w:b/>
          <w:sz w:val="24"/>
          <w:szCs w:val="24"/>
          <w:lang w:val="es-ES"/>
        </w:rPr>
        <w:t xml:space="preserve">no proporcionó su nombre para que sea </w:t>
      </w:r>
      <w:r w:rsidRPr="0012204B">
        <w:rPr>
          <w:rFonts w:ascii="Palatino Linotype" w:eastAsia="Calibri" w:hAnsi="Palatino Linotype" w:cs="Times New Roman"/>
          <w:b/>
          <w:sz w:val="24"/>
          <w:szCs w:val="24"/>
          <w:u w:val="single"/>
          <w:lang w:val="es-ES"/>
        </w:rPr>
        <w:t>identificado</w:t>
      </w:r>
      <w:r w:rsidRPr="0012204B">
        <w:rPr>
          <w:rFonts w:ascii="Palatino Linotype" w:eastAsia="Calibri" w:hAnsi="Palatino Linotype" w:cs="Times New Roman"/>
          <w:b/>
          <w:sz w:val="24"/>
          <w:szCs w:val="24"/>
          <w:lang w:val="es-ES"/>
        </w:rPr>
        <w:t>,</w:t>
      </w:r>
      <w:r w:rsidRPr="0012204B">
        <w:rPr>
          <w:rFonts w:ascii="Palatino Linotype" w:eastAsia="Calibri" w:hAnsi="Palatino Linotype" w:cs="Times New Roman"/>
          <w:sz w:val="24"/>
          <w:szCs w:val="24"/>
          <w:lang w:val="es-ES"/>
        </w:rPr>
        <w:t xml:space="preserve"> ni se tiene la certeza sobre su identidad; sin embargo, es importante señalar también que </w:t>
      </w:r>
      <w:r w:rsidRPr="0012204B">
        <w:rPr>
          <w:rFonts w:ascii="Palatino Linotype" w:hAnsi="Palatino Linotype" w:cs="Arial"/>
          <w:sz w:val="24"/>
          <w:szCs w:val="24"/>
        </w:rPr>
        <w:t xml:space="preserve">el nombre de los Solicitantes y Recurrentes no </w:t>
      </w:r>
      <w:r w:rsidRPr="0012204B">
        <w:rPr>
          <w:rFonts w:ascii="Palatino Linotype" w:hAnsi="Palatino Linotype" w:cs="Arial"/>
          <w:sz w:val="24"/>
          <w:szCs w:val="24"/>
        </w:rPr>
        <w:lastRenderedPageBreak/>
        <w:t>es un requisito indispensable para la tramitación del acto procesal específico en materia de acceso a la información, ello en estricto apego al numeral 155 párrafo tercero de la Ley de Transparencia y Acceso a la Información Pública del Estado de México y Municipios, en concatenación con el 180 del mismo ordenamiento.</w:t>
      </w:r>
    </w:p>
    <w:p w:rsidR="00B14470" w:rsidRPr="0012204B" w:rsidRDefault="00B14470" w:rsidP="00B14470">
      <w:pPr>
        <w:pStyle w:val="Prrafodelista"/>
        <w:ind w:left="360" w:hanging="360"/>
        <w:rPr>
          <w:rFonts w:ascii="Palatino Linotype" w:hAnsi="Palatino Linotype" w:cs="Arial"/>
          <w:sz w:val="24"/>
          <w:szCs w:val="24"/>
        </w:rPr>
      </w:pPr>
    </w:p>
    <w:p w:rsidR="00B14470" w:rsidRPr="0012204B" w:rsidRDefault="00B14470" w:rsidP="00B14470">
      <w:pPr>
        <w:numPr>
          <w:ilvl w:val="0"/>
          <w:numId w:val="2"/>
        </w:numPr>
        <w:spacing w:before="240" w:after="240" w:line="360" w:lineRule="auto"/>
        <w:contextualSpacing/>
        <w:jc w:val="both"/>
        <w:rPr>
          <w:rFonts w:ascii="Palatino Linotype" w:hAnsi="Palatino Linotype"/>
          <w:sz w:val="24"/>
          <w:szCs w:val="24"/>
        </w:rPr>
      </w:pPr>
      <w:r w:rsidRPr="0012204B">
        <w:rPr>
          <w:rFonts w:ascii="Palatino Linotype" w:hAnsi="Palatino Linotype" w:cs="Arial"/>
          <w:sz w:val="24"/>
          <w:szCs w:val="24"/>
        </w:rPr>
        <w:t xml:space="preserve">Esto </w:t>
      </w:r>
      <w:r w:rsidRPr="0012204B">
        <w:rPr>
          <w:rFonts w:ascii="Palatino Linotype" w:eastAsia="Calibri" w:hAnsi="Palatino Linotype" w:cs="Times New Roman"/>
          <w:sz w:val="24"/>
          <w:szCs w:val="24"/>
          <w:lang w:val="es-ES"/>
        </w:rPr>
        <w:t xml:space="preserve">es así, ya que de conformidad con los artículos 6, apartado A, fracciones III y IV de la </w:t>
      </w:r>
      <w:r w:rsidRPr="0012204B">
        <w:rPr>
          <w:rFonts w:ascii="Palatino Linotype" w:eastAsia="Calibri" w:hAnsi="Palatino Linotype" w:cs="Times New Roman"/>
          <w:b/>
          <w:sz w:val="24"/>
          <w:szCs w:val="24"/>
          <w:lang w:val="es-ES"/>
        </w:rPr>
        <w:t>Constitución Política de los Estados Unidos Mexicanos</w:t>
      </w:r>
      <w:r w:rsidRPr="0012204B">
        <w:rPr>
          <w:rFonts w:ascii="Palatino Linotype" w:eastAsia="Calibri" w:hAnsi="Palatino Linotype" w:cs="Times New Roman"/>
          <w:sz w:val="24"/>
          <w:szCs w:val="24"/>
          <w:lang w:val="es-ES"/>
        </w:rPr>
        <w:t xml:space="preserve">; 5, párrafos vigésimo segundo, vigésimo tercero y vigésimo cuarto fracciones III, IV y V de la </w:t>
      </w:r>
      <w:r w:rsidRPr="0012204B">
        <w:rPr>
          <w:rFonts w:ascii="Palatino Linotype" w:eastAsia="Calibri" w:hAnsi="Palatino Linotype" w:cs="Times New Roman"/>
          <w:b/>
          <w:sz w:val="24"/>
          <w:szCs w:val="24"/>
          <w:lang w:val="es-ES"/>
        </w:rPr>
        <w:t>Constitución Política del Estado Libre y Soberano de México</w:t>
      </w:r>
      <w:r w:rsidRPr="0012204B">
        <w:rPr>
          <w:rFonts w:ascii="Palatino Linotype" w:eastAsia="Calibri" w:hAnsi="Palatino Linotype" w:cs="Times New Roman"/>
          <w:sz w:val="24"/>
          <w:szCs w:val="24"/>
          <w:lang w:val="es-ES"/>
        </w:rPr>
        <w:t>, se establece que toda persona, sin necesidad de acreditar interés alguno o justificar su utilización, tendrá acceso gratuito a la información pública, a sus datos personales o a la rectificación de éstos, además de que se establecerán mecanismos de acceso a la información y procedimientos de revisión expeditos que se sustanciarán ante los organismos autónomos especializados e imparciales que establece la Constitución Federal y Local.</w:t>
      </w:r>
    </w:p>
    <w:p w:rsidR="00B14470" w:rsidRPr="0012204B" w:rsidRDefault="00B14470" w:rsidP="00B14470">
      <w:pPr>
        <w:spacing w:before="240" w:after="240" w:line="360" w:lineRule="auto"/>
        <w:ind w:left="360" w:hanging="360"/>
        <w:contextualSpacing/>
        <w:jc w:val="both"/>
        <w:rPr>
          <w:rFonts w:ascii="Palatino Linotype" w:hAnsi="Palatino Linotype"/>
          <w:sz w:val="24"/>
          <w:szCs w:val="24"/>
        </w:rPr>
      </w:pPr>
    </w:p>
    <w:p w:rsidR="00B14470" w:rsidRPr="0012204B" w:rsidRDefault="00B14470" w:rsidP="00B14470">
      <w:pPr>
        <w:numPr>
          <w:ilvl w:val="0"/>
          <w:numId w:val="2"/>
        </w:numPr>
        <w:spacing w:before="240" w:after="240" w:line="360" w:lineRule="auto"/>
        <w:contextualSpacing/>
        <w:jc w:val="both"/>
        <w:rPr>
          <w:rFonts w:ascii="Palatino Linotype" w:hAnsi="Palatino Linotype"/>
          <w:sz w:val="24"/>
          <w:szCs w:val="24"/>
        </w:rPr>
      </w:pPr>
      <w:r w:rsidRPr="0012204B">
        <w:rPr>
          <w:rFonts w:ascii="Palatino Linotype" w:hAnsi="Palatino Linotype" w:cs="Arial"/>
          <w:sz w:val="24"/>
          <w:szCs w:val="24"/>
        </w:rPr>
        <w:t xml:space="preserve">Por </w:t>
      </w:r>
      <w:r w:rsidRPr="0012204B">
        <w:rPr>
          <w:rFonts w:ascii="Palatino Linotype" w:eastAsia="Calibri" w:hAnsi="Palatino Linotype" w:cs="Arial"/>
          <w:sz w:val="24"/>
          <w:szCs w:val="24"/>
        </w:rPr>
        <w:t xml:space="preserve">lo cual, </w:t>
      </w:r>
      <w:r w:rsidRPr="0012204B">
        <w:rPr>
          <w:rFonts w:ascii="Palatino Linotype" w:eastAsia="Calibri" w:hAnsi="Palatino Linotype" w:cs="Times New Roman"/>
          <w:sz w:val="24"/>
          <w:szCs w:val="24"/>
          <w:lang w:val="es-ES"/>
        </w:rPr>
        <w:t>de una interpretación sistemática, armónica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r w:rsidRPr="0012204B">
        <w:rPr>
          <w:rFonts w:ascii="Palatino Linotype" w:eastAsia="Calibri" w:hAnsi="Palatino Linotype" w:cs="Arial"/>
          <w:sz w:val="24"/>
          <w:szCs w:val="24"/>
        </w:rPr>
        <w:t>.</w:t>
      </w:r>
    </w:p>
    <w:p w:rsidR="00B14470" w:rsidRPr="0012204B" w:rsidRDefault="00B14470" w:rsidP="00B14470">
      <w:pPr>
        <w:pStyle w:val="Prrafodelista"/>
        <w:ind w:left="360" w:hanging="360"/>
        <w:rPr>
          <w:rFonts w:ascii="Palatino Linotype" w:hAnsi="Palatino Linotype" w:cs="Arial"/>
          <w:sz w:val="24"/>
          <w:szCs w:val="24"/>
        </w:rPr>
      </w:pPr>
    </w:p>
    <w:p w:rsidR="00B14470" w:rsidRPr="0012204B" w:rsidRDefault="00B14470" w:rsidP="00B14470">
      <w:pPr>
        <w:numPr>
          <w:ilvl w:val="0"/>
          <w:numId w:val="2"/>
        </w:numPr>
        <w:spacing w:before="240" w:after="240" w:line="360" w:lineRule="auto"/>
        <w:contextualSpacing/>
        <w:jc w:val="both"/>
        <w:rPr>
          <w:rFonts w:ascii="Palatino Linotype" w:hAnsi="Palatino Linotype"/>
          <w:sz w:val="24"/>
          <w:szCs w:val="24"/>
        </w:rPr>
      </w:pPr>
      <w:r w:rsidRPr="0012204B">
        <w:rPr>
          <w:rFonts w:ascii="Palatino Linotype" w:hAnsi="Palatino Linotype" w:cs="Arial"/>
          <w:sz w:val="24"/>
          <w:szCs w:val="24"/>
        </w:rPr>
        <w:t xml:space="preserve">Asimismo, </w:t>
      </w:r>
      <w:r w:rsidRPr="0012204B">
        <w:rPr>
          <w:rFonts w:ascii="Palatino Linotype" w:eastAsia="Calibri" w:hAnsi="Palatino Linotype" w:cs="Arial"/>
          <w:sz w:val="24"/>
          <w:szCs w:val="24"/>
        </w:rPr>
        <w:t>como lo establece la Convención Americana en su artículo 13, el derecho de acceso a la información es un derecho humano universal y en consecuencia, toda persona tiene derecho a solicitar acceso a la información.</w:t>
      </w:r>
    </w:p>
    <w:p w:rsidR="00B14470" w:rsidRPr="0012204B" w:rsidRDefault="00B14470" w:rsidP="00B14470">
      <w:pPr>
        <w:tabs>
          <w:tab w:val="left" w:pos="142"/>
          <w:tab w:val="left" w:pos="284"/>
          <w:tab w:val="left" w:pos="426"/>
        </w:tabs>
        <w:spacing w:before="240" w:after="240" w:line="360" w:lineRule="auto"/>
        <w:ind w:left="360" w:hanging="360"/>
        <w:contextualSpacing/>
        <w:jc w:val="both"/>
        <w:rPr>
          <w:rFonts w:ascii="Palatino Linotype" w:hAnsi="Palatino Linotype"/>
          <w:sz w:val="24"/>
          <w:szCs w:val="24"/>
        </w:rPr>
      </w:pPr>
    </w:p>
    <w:p w:rsidR="00B14470" w:rsidRPr="0012204B" w:rsidRDefault="00B14470" w:rsidP="00B14470">
      <w:pPr>
        <w:numPr>
          <w:ilvl w:val="0"/>
          <w:numId w:val="2"/>
        </w:numPr>
        <w:tabs>
          <w:tab w:val="left" w:pos="0"/>
          <w:tab w:val="left" w:pos="142"/>
        </w:tabs>
        <w:spacing w:before="240" w:after="240" w:line="360" w:lineRule="auto"/>
        <w:contextualSpacing/>
        <w:jc w:val="both"/>
        <w:rPr>
          <w:rFonts w:ascii="Palatino Linotype" w:hAnsi="Palatino Linotype"/>
          <w:sz w:val="24"/>
          <w:szCs w:val="24"/>
        </w:rPr>
      </w:pPr>
      <w:r w:rsidRPr="0012204B">
        <w:rPr>
          <w:rFonts w:ascii="Palatino Linotype" w:hAnsi="Palatino Linotype" w:cs="Arial"/>
          <w:sz w:val="24"/>
          <w:szCs w:val="24"/>
        </w:rPr>
        <w:t xml:space="preserve">De </w:t>
      </w:r>
      <w:r w:rsidRPr="0012204B">
        <w:rPr>
          <w:rFonts w:ascii="Palatino Linotype" w:eastAsia="Calibri" w:hAnsi="Palatino Linotype" w:cs="Arial"/>
          <w:sz w:val="24"/>
          <w:szCs w:val="24"/>
        </w:rPr>
        <w:t>igual forma, la Corte Interamericana ha precisado que no es necesario acreditar un interés directo ni una afectación personal para obtener la información en poder del Estado, excepto en los casos en que se aplique una legítima restricción permitida por la Convención Americana.</w:t>
      </w:r>
    </w:p>
    <w:p w:rsidR="00B14470" w:rsidRPr="0012204B" w:rsidRDefault="00B14470" w:rsidP="00B14470">
      <w:pPr>
        <w:ind w:left="360" w:hanging="360"/>
        <w:contextualSpacing/>
        <w:rPr>
          <w:rFonts w:ascii="Palatino Linotype" w:hAnsi="Palatino Linotype" w:cs="Arial"/>
          <w:sz w:val="24"/>
          <w:szCs w:val="24"/>
        </w:rPr>
      </w:pPr>
    </w:p>
    <w:p w:rsidR="00B14470" w:rsidRPr="0012204B" w:rsidRDefault="00B14470" w:rsidP="00B14470">
      <w:pPr>
        <w:numPr>
          <w:ilvl w:val="0"/>
          <w:numId w:val="2"/>
        </w:numPr>
        <w:tabs>
          <w:tab w:val="left" w:pos="0"/>
          <w:tab w:val="left" w:pos="142"/>
        </w:tabs>
        <w:spacing w:before="240" w:after="240" w:line="360" w:lineRule="auto"/>
        <w:contextualSpacing/>
        <w:jc w:val="both"/>
        <w:rPr>
          <w:rFonts w:ascii="Palatino Linotype" w:hAnsi="Palatino Linotype"/>
          <w:sz w:val="24"/>
          <w:szCs w:val="24"/>
        </w:rPr>
      </w:pPr>
      <w:r w:rsidRPr="0012204B">
        <w:rPr>
          <w:rFonts w:ascii="Palatino Linotype" w:hAnsi="Palatino Linotype" w:cs="Arial"/>
          <w:sz w:val="24"/>
          <w:szCs w:val="24"/>
        </w:rPr>
        <w:t xml:space="preserve">En ese </w:t>
      </w:r>
      <w:r w:rsidRPr="0012204B">
        <w:rPr>
          <w:rFonts w:ascii="Palatino Linotype" w:eastAsia="Calibri" w:hAnsi="Palatino Linotype" w:cs="Arial"/>
          <w:sz w:val="24"/>
          <w:szCs w:val="24"/>
        </w:rPr>
        <w:t>entendido, se omite un análisis más profundo en torno a los conceptos de interés jurídico y legitimación, debido a que se estima que a ningún efecto práctico conduciría, puesto que la propia estructura del derecho fundamental bajo análisis no lo exige.</w:t>
      </w:r>
    </w:p>
    <w:p w:rsidR="00B14470" w:rsidRPr="0012204B" w:rsidRDefault="00B14470" w:rsidP="00B14470">
      <w:pPr>
        <w:ind w:left="360" w:hanging="360"/>
        <w:contextualSpacing/>
        <w:rPr>
          <w:rFonts w:ascii="Palatino Linotype" w:hAnsi="Palatino Linotype" w:cs="Arial"/>
          <w:sz w:val="24"/>
          <w:szCs w:val="24"/>
        </w:rPr>
      </w:pPr>
    </w:p>
    <w:p w:rsidR="00B14470" w:rsidRPr="0012204B" w:rsidRDefault="00B14470" w:rsidP="00B14470">
      <w:pPr>
        <w:numPr>
          <w:ilvl w:val="0"/>
          <w:numId w:val="2"/>
        </w:numPr>
        <w:tabs>
          <w:tab w:val="left" w:pos="0"/>
          <w:tab w:val="left" w:pos="142"/>
        </w:tabs>
        <w:spacing w:before="240" w:after="240" w:line="360" w:lineRule="auto"/>
        <w:contextualSpacing/>
        <w:jc w:val="both"/>
        <w:rPr>
          <w:rFonts w:ascii="Palatino Linotype" w:hAnsi="Palatino Linotype"/>
          <w:sz w:val="24"/>
          <w:szCs w:val="24"/>
        </w:rPr>
      </w:pPr>
      <w:r w:rsidRPr="0012204B">
        <w:rPr>
          <w:rFonts w:ascii="Palatino Linotype" w:hAnsi="Palatino Linotype" w:cs="Arial"/>
          <w:sz w:val="24"/>
          <w:szCs w:val="24"/>
        </w:rPr>
        <w:t xml:space="preserve">Ergo, </w:t>
      </w:r>
      <w:r w:rsidRPr="0012204B">
        <w:rPr>
          <w:rFonts w:ascii="Palatino Linotype" w:eastAsia="Times New Roman" w:hAnsi="Palatino Linotype" w:cs="Arial"/>
          <w:sz w:val="24"/>
          <w:szCs w:val="24"/>
          <w:lang w:val="es-ES"/>
        </w:rPr>
        <w:t xml:space="preserve">el nombre del </w:t>
      </w:r>
      <w:r w:rsidRPr="0012204B">
        <w:rPr>
          <w:rFonts w:ascii="Palatino Linotype" w:eastAsia="Times New Roman" w:hAnsi="Palatino Linotype" w:cs="Arial"/>
          <w:b/>
          <w:sz w:val="24"/>
          <w:szCs w:val="24"/>
          <w:lang w:val="es-ES"/>
        </w:rPr>
        <w:t>SOLICITANTE</w:t>
      </w:r>
      <w:r w:rsidRPr="0012204B">
        <w:rPr>
          <w:rFonts w:ascii="Palatino Linotype" w:eastAsia="Times New Roman" w:hAnsi="Palatino Linotype" w:cs="Arial"/>
          <w:sz w:val="24"/>
          <w:szCs w:val="24"/>
          <w:lang w:val="es-ES"/>
        </w:rPr>
        <w:t xml:space="preserve"> y subsecuente </w:t>
      </w:r>
      <w:r w:rsidRPr="0012204B">
        <w:rPr>
          <w:rFonts w:ascii="Palatino Linotype" w:eastAsia="Times New Roman" w:hAnsi="Palatino Linotype" w:cs="Arial"/>
          <w:b/>
          <w:sz w:val="24"/>
          <w:szCs w:val="24"/>
          <w:lang w:val="es-ES"/>
        </w:rPr>
        <w:t>RECURRENTE</w:t>
      </w:r>
      <w:r w:rsidRPr="0012204B">
        <w:rPr>
          <w:rFonts w:ascii="Palatino Linotype" w:eastAsia="Times New Roman" w:hAnsi="Palatino Linotype" w:cs="Arial"/>
          <w:sz w:val="24"/>
          <w:szCs w:val="24"/>
          <w:lang w:val="es-ES"/>
        </w:rPr>
        <w:t xml:space="preserve"> no puede ser considerado un requisito indispensable de procedencia del recurso de revisión que nos ocupa, ya que el acceso a la información no está condicionado a acreditar algún interés jurídico o legítimo, máxime que es un elemento subsanable por este Órgano Resolutor.</w:t>
      </w:r>
    </w:p>
    <w:p w:rsidR="00B14470" w:rsidRPr="0012204B" w:rsidRDefault="00B14470" w:rsidP="00B14470">
      <w:pPr>
        <w:spacing w:after="0" w:line="360" w:lineRule="auto"/>
        <w:ind w:left="360" w:right="49" w:hanging="360"/>
        <w:contextualSpacing/>
        <w:jc w:val="both"/>
        <w:rPr>
          <w:rFonts w:ascii="Palatino Linotype" w:eastAsiaTheme="minorEastAsia" w:hAnsi="Palatino Linotype"/>
          <w:sz w:val="24"/>
          <w:szCs w:val="24"/>
          <w:lang w:val="es-ES_tradnl" w:eastAsia="es-ES"/>
        </w:rPr>
      </w:pPr>
    </w:p>
    <w:p w:rsidR="00CA11F0" w:rsidRPr="0012204B" w:rsidRDefault="00CA11F0" w:rsidP="00CE51CB">
      <w:pPr>
        <w:numPr>
          <w:ilvl w:val="0"/>
          <w:numId w:val="2"/>
        </w:numPr>
        <w:spacing w:after="0" w:line="360" w:lineRule="auto"/>
        <w:ind w:right="49"/>
        <w:contextualSpacing/>
        <w:jc w:val="both"/>
        <w:rPr>
          <w:rFonts w:ascii="Palatino Linotype" w:eastAsiaTheme="minorEastAsia" w:hAnsi="Palatino Linotype"/>
          <w:sz w:val="24"/>
          <w:szCs w:val="24"/>
          <w:lang w:val="es-ES_tradnl" w:eastAsia="es-ES"/>
        </w:rPr>
      </w:pPr>
      <w:r w:rsidRPr="0012204B">
        <w:rPr>
          <w:rFonts w:ascii="Palatino Linotype" w:eastAsia="Calibri" w:hAnsi="Palatino Linotype" w:cs="Arial"/>
          <w:sz w:val="24"/>
          <w:szCs w:val="24"/>
          <w:lang w:val="es-ES_tradnl" w:eastAsia="es-ES"/>
        </w:rPr>
        <w:t xml:space="preserve">Por otro lado, el escrito contiene las formalidades previstas por el artículo 180 último párrafo de la Ley de la materia actual, por lo que es procedente que este Instituto de Transparencia, Acceso a la Información Pública y Protección de </w:t>
      </w:r>
      <w:r w:rsidRPr="0012204B">
        <w:rPr>
          <w:rFonts w:ascii="Palatino Linotype" w:eastAsia="Calibri" w:hAnsi="Palatino Linotype" w:cs="Arial"/>
          <w:sz w:val="24"/>
          <w:szCs w:val="24"/>
          <w:lang w:val="es-ES_tradnl" w:eastAsia="es-ES"/>
        </w:rPr>
        <w:lastRenderedPageBreak/>
        <w:t>Datos Personales del Estado de México y Municipios, conozca y resuelva el presente recurso.</w:t>
      </w:r>
    </w:p>
    <w:p w:rsidR="00CA11F0" w:rsidRPr="0012204B" w:rsidRDefault="00CA11F0" w:rsidP="00CE51CB">
      <w:pPr>
        <w:keepNext/>
        <w:keepLines/>
        <w:spacing w:before="240" w:after="0"/>
        <w:ind w:left="360" w:hanging="360"/>
        <w:outlineLvl w:val="0"/>
        <w:rPr>
          <w:rFonts w:ascii="Palatino Linotype" w:eastAsia="MS Mincho" w:hAnsi="Palatino Linotype" w:cs="Times New Roman"/>
          <w:b/>
          <w:sz w:val="24"/>
          <w:szCs w:val="24"/>
          <w:lang w:val="es-ES_tradnl" w:eastAsia="es-ES"/>
        </w:rPr>
      </w:pPr>
      <w:bookmarkStart w:id="5" w:name="_Toc62209467"/>
      <w:r w:rsidRPr="0012204B">
        <w:rPr>
          <w:rFonts w:ascii="Palatino Linotype" w:eastAsia="MS Mincho" w:hAnsi="Palatino Linotype" w:cstheme="majorBidi"/>
          <w:b/>
          <w:sz w:val="24"/>
          <w:szCs w:val="24"/>
          <w:lang w:val="es-ES_tradnl" w:eastAsia="es-ES"/>
        </w:rPr>
        <w:t xml:space="preserve">TERCERO. </w:t>
      </w:r>
      <w:r w:rsidR="00CE51CB" w:rsidRPr="0012204B">
        <w:rPr>
          <w:rFonts w:ascii="Palatino Linotype" w:eastAsia="MS Mincho" w:hAnsi="Palatino Linotype" w:cstheme="majorBidi"/>
          <w:b/>
          <w:sz w:val="24"/>
          <w:szCs w:val="24"/>
          <w:lang w:val="es-ES_tradnl" w:eastAsia="es-ES"/>
        </w:rPr>
        <w:t>Previo especial pronunciamiento</w:t>
      </w:r>
      <w:bookmarkEnd w:id="5"/>
    </w:p>
    <w:p w:rsidR="00CA11F0" w:rsidRPr="0012204B" w:rsidRDefault="00CA11F0" w:rsidP="00CE51CB">
      <w:pPr>
        <w:spacing w:after="0" w:line="360" w:lineRule="auto"/>
        <w:ind w:left="360" w:hanging="360"/>
        <w:contextualSpacing/>
        <w:jc w:val="both"/>
        <w:rPr>
          <w:rFonts w:ascii="Palatino Linotype" w:eastAsia="MS Mincho" w:hAnsi="Palatino Linotype" w:cs="Times New Roman"/>
          <w:sz w:val="24"/>
          <w:szCs w:val="24"/>
          <w:lang w:val="es-ES_tradnl" w:eastAsia="es-ES"/>
        </w:rPr>
      </w:pPr>
    </w:p>
    <w:p w:rsidR="00CE51CB" w:rsidRPr="0012204B" w:rsidRDefault="00CE51CB" w:rsidP="00CE51CB">
      <w:pPr>
        <w:pStyle w:val="Prrafodelista"/>
        <w:numPr>
          <w:ilvl w:val="0"/>
          <w:numId w:val="2"/>
        </w:numPr>
        <w:spacing w:line="360" w:lineRule="auto"/>
        <w:jc w:val="both"/>
        <w:rPr>
          <w:rFonts w:ascii="Palatino Linotype" w:hAnsi="Palatino Linotype"/>
          <w:sz w:val="24"/>
          <w:szCs w:val="24"/>
          <w:lang w:val="es-ES"/>
        </w:rPr>
      </w:pPr>
      <w:r w:rsidRPr="0012204B">
        <w:rPr>
          <w:rFonts w:ascii="Palatino Linotype" w:hAnsi="Palatino Linotype"/>
          <w:sz w:val="24"/>
          <w:szCs w:val="24"/>
          <w:lang w:val="es-ES"/>
        </w:rPr>
        <w:t xml:space="preserve">Ahora bien, desde que inició, la crisis generada por el virus </w:t>
      </w:r>
      <w:r w:rsidRPr="0012204B">
        <w:rPr>
          <w:rFonts w:ascii="Palatino Linotype" w:hAnsi="Palatino Linotype"/>
          <w:b/>
          <w:sz w:val="24"/>
          <w:szCs w:val="24"/>
          <w:lang w:val="es-ES"/>
        </w:rPr>
        <w:t>SARS-Cov-2 -  COVID-19</w:t>
      </w:r>
      <w:r w:rsidRPr="0012204B">
        <w:rPr>
          <w:rFonts w:ascii="Palatino Linotype" w:hAnsi="Palatino Linotype"/>
          <w:sz w:val="24"/>
          <w:szCs w:val="24"/>
          <w:lang w:val="es-ES"/>
        </w:rPr>
        <w:t>, a finales del año 2019, la sociedad y los Estados, se han visto sometidos a una inusitada presión para tratar de adoptar las decisiones que permitan asegurar las mejores condiciones para la protección de salud y la vida de las personas al mismo tiempo que se hacen los mayores esfuerzos posibles para garantizar el funcionamiento social y gubernamental en un contexto de una nueva realidad o normalidad.</w:t>
      </w:r>
    </w:p>
    <w:p w:rsidR="00CE51CB" w:rsidRPr="0012204B" w:rsidRDefault="00CE51CB" w:rsidP="00CE51CB">
      <w:pPr>
        <w:pStyle w:val="Prrafodelista"/>
        <w:ind w:left="360" w:hanging="360"/>
        <w:jc w:val="both"/>
        <w:rPr>
          <w:rFonts w:ascii="Palatino Linotype" w:hAnsi="Palatino Linotype"/>
          <w:sz w:val="24"/>
          <w:szCs w:val="24"/>
          <w:lang w:val="es-ES"/>
        </w:rPr>
      </w:pPr>
    </w:p>
    <w:p w:rsidR="00CE51CB" w:rsidRPr="0012204B" w:rsidRDefault="00CE51CB" w:rsidP="00CE51CB">
      <w:pPr>
        <w:pStyle w:val="Prrafodelista"/>
        <w:numPr>
          <w:ilvl w:val="0"/>
          <w:numId w:val="2"/>
        </w:numPr>
        <w:spacing w:line="360" w:lineRule="auto"/>
        <w:jc w:val="both"/>
        <w:rPr>
          <w:rFonts w:ascii="Palatino Linotype" w:hAnsi="Palatino Linotype"/>
          <w:sz w:val="24"/>
          <w:szCs w:val="24"/>
          <w:lang w:val="es-ES"/>
        </w:rPr>
      </w:pPr>
      <w:r w:rsidRPr="0012204B">
        <w:rPr>
          <w:rFonts w:ascii="Palatino Linotype" w:hAnsi="Palatino Linotype"/>
          <w:sz w:val="24"/>
          <w:szCs w:val="24"/>
          <w:lang w:val="es-ES"/>
        </w:rPr>
        <w:t>Las acciones adoptadas al año pasado, y de mayor impacto, llegaron incluso a la suspensión de las actividades no prioritarias como una medida indispensable para disminuir la concurrencia de personas y, con ello, tratar de disminuir los contagios y sus efectos en la salud y en la vida, especialmente, de los grupos más vulnerables.</w:t>
      </w:r>
    </w:p>
    <w:p w:rsidR="00CE51CB" w:rsidRPr="0012204B" w:rsidRDefault="00CE51CB" w:rsidP="00CE51CB">
      <w:pPr>
        <w:pStyle w:val="Prrafodelista"/>
        <w:spacing w:line="360" w:lineRule="auto"/>
        <w:ind w:left="360" w:hanging="360"/>
        <w:jc w:val="both"/>
        <w:rPr>
          <w:rFonts w:ascii="Palatino Linotype" w:hAnsi="Palatino Linotype"/>
          <w:sz w:val="24"/>
          <w:szCs w:val="24"/>
          <w:lang w:val="es-ES"/>
        </w:rPr>
      </w:pPr>
    </w:p>
    <w:p w:rsidR="00CE51CB" w:rsidRPr="0012204B" w:rsidRDefault="00CE51CB" w:rsidP="00CE51CB">
      <w:pPr>
        <w:pStyle w:val="Prrafodelista"/>
        <w:numPr>
          <w:ilvl w:val="0"/>
          <w:numId w:val="2"/>
        </w:numPr>
        <w:spacing w:line="360" w:lineRule="auto"/>
        <w:jc w:val="both"/>
        <w:rPr>
          <w:rFonts w:ascii="Palatino Linotype" w:hAnsi="Palatino Linotype"/>
          <w:sz w:val="24"/>
          <w:szCs w:val="24"/>
          <w:lang w:val="es-ES"/>
        </w:rPr>
      </w:pPr>
      <w:r w:rsidRPr="0012204B">
        <w:rPr>
          <w:rFonts w:ascii="Palatino Linotype" w:hAnsi="Palatino Linotype"/>
          <w:sz w:val="24"/>
          <w:szCs w:val="24"/>
          <w:lang w:val="es-ES"/>
        </w:rPr>
        <w:t xml:space="preserve">Por esa razón, durante los meses de marzo, abril, mayo, junio y julio del año pasado, el Órgano Garante recurrió a la suspensión de plazos para la substanciación de los procedimientos establecidos en la Ley de Transparencia y Acceso a la Información Pública del Estado de México y Municipios así como en la Ley de Protección de Datos Personales en Posesión de los Sujetos Obligados del Estado de México y Municipios, lo que, combinado con los periodos de asueto y días inhábiles, permitieron evitar la concentración de personal de los </w:t>
      </w:r>
      <w:r w:rsidRPr="0012204B">
        <w:rPr>
          <w:rFonts w:ascii="Palatino Linotype" w:hAnsi="Palatino Linotype"/>
          <w:sz w:val="24"/>
          <w:szCs w:val="24"/>
          <w:lang w:val="es-ES"/>
        </w:rPr>
        <w:lastRenderedPageBreak/>
        <w:t>sujetos obligados para atender estos procedimientos, mientras el país y el estado enfrentaban las condiciones de semáforo rojo sanitario.</w:t>
      </w:r>
    </w:p>
    <w:p w:rsidR="00CE51CB" w:rsidRPr="0012204B" w:rsidRDefault="00CE51CB" w:rsidP="00CE51CB">
      <w:pPr>
        <w:pStyle w:val="Prrafodelista"/>
        <w:spacing w:line="360" w:lineRule="auto"/>
        <w:ind w:left="360" w:hanging="360"/>
        <w:jc w:val="both"/>
        <w:rPr>
          <w:rFonts w:ascii="Palatino Linotype" w:hAnsi="Palatino Linotype"/>
          <w:sz w:val="24"/>
          <w:szCs w:val="24"/>
          <w:lang w:val="es-ES"/>
        </w:rPr>
      </w:pPr>
    </w:p>
    <w:p w:rsidR="00CE51CB" w:rsidRPr="0012204B" w:rsidRDefault="00CE51CB" w:rsidP="00CE51CB">
      <w:pPr>
        <w:pStyle w:val="Prrafodelista"/>
        <w:numPr>
          <w:ilvl w:val="0"/>
          <w:numId w:val="2"/>
        </w:numPr>
        <w:spacing w:line="360" w:lineRule="auto"/>
        <w:jc w:val="both"/>
        <w:rPr>
          <w:rFonts w:ascii="Palatino Linotype" w:hAnsi="Palatino Linotype"/>
          <w:sz w:val="24"/>
          <w:szCs w:val="24"/>
          <w:lang w:val="es-ES"/>
        </w:rPr>
      </w:pPr>
      <w:r w:rsidRPr="0012204B">
        <w:rPr>
          <w:rFonts w:ascii="Palatino Linotype" w:hAnsi="Palatino Linotype"/>
          <w:sz w:val="24"/>
          <w:szCs w:val="24"/>
          <w:lang w:val="es-ES"/>
        </w:rPr>
        <w:t>Luego del periodo de agosto a diciembre, en el que las condiciones de riesgo bajaron para situar a algunos estados en semáforo verde, amarillo y naranja, administrado por las autoridades de salud, el cierre de 2020 y el inicio del presente año se han caracterizado por el regreso de nuestra entidad a las condiciones de alto riesgo por el incremento de contagios y por la incidencia de casos graves que volvieron a presionar al sistema de salud, razones que han conducido a las autoridades sanitarias a emitir nuevas disposiciones para suspender las funciones presenciales de las instituciones públicas, que incluyen tanto a los sujetos obligados como a este Órgano.</w:t>
      </w:r>
    </w:p>
    <w:p w:rsidR="00CE51CB" w:rsidRPr="0012204B" w:rsidRDefault="00CE51CB" w:rsidP="00CE51CB">
      <w:pPr>
        <w:pStyle w:val="Prrafodelista"/>
        <w:spacing w:line="360" w:lineRule="auto"/>
        <w:ind w:left="360" w:hanging="360"/>
        <w:jc w:val="both"/>
        <w:rPr>
          <w:rFonts w:ascii="Palatino Linotype" w:hAnsi="Palatino Linotype"/>
          <w:sz w:val="24"/>
          <w:szCs w:val="24"/>
          <w:lang w:val="es-ES"/>
        </w:rPr>
      </w:pPr>
    </w:p>
    <w:p w:rsidR="00CE51CB" w:rsidRPr="0012204B" w:rsidRDefault="00CE51CB" w:rsidP="00CE51CB">
      <w:pPr>
        <w:pStyle w:val="Prrafodelista"/>
        <w:numPr>
          <w:ilvl w:val="0"/>
          <w:numId w:val="2"/>
        </w:numPr>
        <w:spacing w:line="360" w:lineRule="auto"/>
        <w:jc w:val="both"/>
        <w:rPr>
          <w:rFonts w:ascii="Palatino Linotype" w:hAnsi="Palatino Linotype"/>
          <w:sz w:val="24"/>
          <w:szCs w:val="24"/>
          <w:lang w:val="es-ES"/>
        </w:rPr>
      </w:pPr>
      <w:r w:rsidRPr="0012204B">
        <w:rPr>
          <w:rFonts w:ascii="Palatino Linotype" w:hAnsi="Palatino Linotype"/>
          <w:sz w:val="24"/>
          <w:szCs w:val="24"/>
          <w:lang w:val="es-ES"/>
        </w:rPr>
        <w:t xml:space="preserve">Sin embargo, también es necesario señalar que, a pesar de las condiciones de suspensión de actividades del año anterior, es evidente y claro que los sujetos obligados continuaron ejerciendo determinadas facultades, competencias o funciones de carácter interno o de atención de contribuyentes, usuarios y beneficiarios de bienes y servicios públicos. Al ejercerlas, se han documentado las acciones y, en gran medida, este ejercicio y documentación de actos fue resultado de un proceso de rediseño del funcionamiento de las propias dependencias bajo la modalidad del hoy conocido como teletrabajo, trabajo en casa o trabajo a distancia, que ha priorizado el uso de las tecnologías de la información para estos fines, lo que ocurrió tanto en el sector público como en el privado, incluso, el propio Congreso de la Unión, recientemente aprobó la </w:t>
      </w:r>
      <w:r w:rsidRPr="0012204B">
        <w:rPr>
          <w:rFonts w:ascii="Palatino Linotype" w:hAnsi="Palatino Linotype"/>
          <w:sz w:val="24"/>
          <w:szCs w:val="24"/>
          <w:lang w:val="es-ES"/>
        </w:rPr>
        <w:lastRenderedPageBreak/>
        <w:t>reforma al artículo 311 y la adición del capítulo XII Bis a la Ley del Federal del Trabajo en materia de teletrabajo.</w:t>
      </w:r>
    </w:p>
    <w:p w:rsidR="00CE51CB" w:rsidRPr="0012204B" w:rsidRDefault="00CE51CB" w:rsidP="00CE51CB">
      <w:pPr>
        <w:pStyle w:val="Prrafodelista"/>
        <w:spacing w:line="360" w:lineRule="auto"/>
        <w:ind w:left="360" w:hanging="360"/>
        <w:jc w:val="both"/>
        <w:rPr>
          <w:rFonts w:ascii="Palatino Linotype" w:hAnsi="Palatino Linotype"/>
          <w:sz w:val="24"/>
          <w:szCs w:val="24"/>
          <w:lang w:val="es-ES"/>
        </w:rPr>
      </w:pPr>
    </w:p>
    <w:p w:rsidR="00CE51CB" w:rsidRPr="0012204B" w:rsidRDefault="00CE51CB" w:rsidP="00CE51CB">
      <w:pPr>
        <w:pStyle w:val="Prrafodelista"/>
        <w:numPr>
          <w:ilvl w:val="0"/>
          <w:numId w:val="2"/>
        </w:numPr>
        <w:spacing w:line="360" w:lineRule="auto"/>
        <w:jc w:val="both"/>
        <w:rPr>
          <w:rFonts w:ascii="Palatino Linotype" w:hAnsi="Palatino Linotype"/>
          <w:sz w:val="24"/>
          <w:szCs w:val="24"/>
          <w:lang w:val="es-ES"/>
        </w:rPr>
      </w:pPr>
      <w:r w:rsidRPr="0012204B">
        <w:rPr>
          <w:rFonts w:ascii="Palatino Linotype" w:hAnsi="Palatino Linotype"/>
          <w:sz w:val="24"/>
          <w:szCs w:val="24"/>
          <w:lang w:val="es-ES"/>
        </w:rPr>
        <w:t xml:space="preserve">El INFOEM, respetuoso de las medidas adoptadas por la autoridad sanitaria, así como la mayor parte de los sujetos obligados, hemos venido implementado una serie de medidas y acciones para darle continuidad a nuestro funcionamiento interno y, en la mayor medida posible, atender las demandas justas y legítimas de la población, adoptando esta modalidad de trabajo a distancia o trabajo en casa, para cumplir con el objetivo más importante de las medidas adoptadas contra el COVID-19, disminuir el tránsito de personas, evitar la concentración de las mismas y, con ello, tratar de frenar los contagios, acciones que se centran en el esfuerzo conjunto para evitar que los servidores públicos acudan a sus centros de trabajo para desempeñar sus funciones. </w:t>
      </w:r>
    </w:p>
    <w:p w:rsidR="00CE51CB" w:rsidRPr="0012204B" w:rsidRDefault="00CE51CB" w:rsidP="00CE51CB">
      <w:pPr>
        <w:pStyle w:val="Prrafodelista"/>
        <w:spacing w:line="360" w:lineRule="auto"/>
        <w:ind w:left="360" w:hanging="360"/>
        <w:jc w:val="both"/>
        <w:rPr>
          <w:rFonts w:ascii="Palatino Linotype" w:hAnsi="Palatino Linotype"/>
          <w:sz w:val="24"/>
          <w:szCs w:val="24"/>
          <w:lang w:val="es-ES"/>
        </w:rPr>
      </w:pPr>
    </w:p>
    <w:p w:rsidR="00CE51CB" w:rsidRPr="0012204B" w:rsidRDefault="00CE51CB" w:rsidP="00CE51CB">
      <w:pPr>
        <w:pStyle w:val="Prrafodelista"/>
        <w:numPr>
          <w:ilvl w:val="0"/>
          <w:numId w:val="2"/>
        </w:numPr>
        <w:spacing w:line="360" w:lineRule="auto"/>
        <w:jc w:val="both"/>
        <w:rPr>
          <w:rFonts w:ascii="Palatino Linotype" w:hAnsi="Palatino Linotype"/>
          <w:sz w:val="24"/>
          <w:szCs w:val="24"/>
          <w:lang w:val="es-ES"/>
        </w:rPr>
      </w:pPr>
      <w:r w:rsidRPr="0012204B">
        <w:rPr>
          <w:rFonts w:ascii="Palatino Linotype" w:hAnsi="Palatino Linotype"/>
          <w:sz w:val="24"/>
          <w:szCs w:val="24"/>
          <w:lang w:val="es-ES"/>
        </w:rPr>
        <w:t>El diseño de los procedimientos para el ejercicio de los derechos de acceso a la información pública y a la protección de los datos personales, ha descansado en procedimientos electrónicos a través de los sistemas implementados por el INFOEM como es el caso del de Información Pública de Oficio Mexiquense (IPOMEX), Sistema de Acceso a la Información Mexiquense (SAIMEX) y el Sistema de Acceso, Rectificación, Cancelación y oposición del Estado de México (SARCOEM). Lo que en su momento fue concebido bajo una perspectiva de asegurar la accesibilidad de los derechos, en el contexto actual de pandemia adquiere una mayor importancia ya que estas herramientas tecnológicas permiten que la atención de estos procedimientos sea compatible con la modalidad de trabajo a distancia o trabajo en casa.</w:t>
      </w:r>
    </w:p>
    <w:p w:rsidR="00CE51CB" w:rsidRPr="0012204B" w:rsidRDefault="00CE51CB" w:rsidP="00CE51CB">
      <w:pPr>
        <w:pStyle w:val="Prrafodelista"/>
        <w:spacing w:line="360" w:lineRule="auto"/>
        <w:ind w:left="360" w:hanging="360"/>
        <w:jc w:val="both"/>
        <w:rPr>
          <w:rFonts w:ascii="Palatino Linotype" w:hAnsi="Palatino Linotype"/>
          <w:sz w:val="24"/>
          <w:szCs w:val="24"/>
          <w:lang w:val="es-ES"/>
        </w:rPr>
      </w:pPr>
    </w:p>
    <w:p w:rsidR="00CE51CB" w:rsidRPr="0012204B" w:rsidRDefault="00CE51CB" w:rsidP="00CE51CB">
      <w:pPr>
        <w:pStyle w:val="Prrafodelista"/>
        <w:numPr>
          <w:ilvl w:val="0"/>
          <w:numId w:val="2"/>
        </w:numPr>
        <w:spacing w:line="360" w:lineRule="auto"/>
        <w:jc w:val="both"/>
        <w:rPr>
          <w:rFonts w:ascii="Palatino Linotype" w:hAnsi="Palatino Linotype"/>
          <w:sz w:val="24"/>
          <w:szCs w:val="24"/>
          <w:lang w:val="es-ES"/>
        </w:rPr>
      </w:pPr>
      <w:r w:rsidRPr="0012204B">
        <w:rPr>
          <w:rFonts w:ascii="Palatino Linotype" w:hAnsi="Palatino Linotype"/>
          <w:sz w:val="24"/>
          <w:szCs w:val="24"/>
          <w:lang w:val="es-ES"/>
        </w:rPr>
        <w:t>En virtud de lo anterior, este Órgano Garante considera que existen condiciones que permiten que los sujetos obligados atiendan las solicitudes de acceso a la información pública o las solicitudes de ejercicio de los derechos ARCO, ya sea explicando las razones que justifiquen el no ejercicio de determinadas facultades, competencias o funciones, como consecuencia de la suspensión de labores o bien entregando la información que si han generado porque corresponden a facultades, competencias o funciones que, pese a la suspensión de actividades, continuaron ejerciéndose, generando información que se administra tecnológicamente a través de la modalidad del trabajo a distancia o mediante el desempeño de equipos reducidos o guardias en las instalaciones públicas.</w:t>
      </w:r>
    </w:p>
    <w:p w:rsidR="00CE51CB" w:rsidRPr="0012204B" w:rsidRDefault="00CE51CB" w:rsidP="00CE51CB">
      <w:pPr>
        <w:pStyle w:val="Prrafodelista"/>
        <w:spacing w:line="360" w:lineRule="auto"/>
        <w:ind w:left="360" w:hanging="360"/>
        <w:jc w:val="both"/>
        <w:rPr>
          <w:rFonts w:ascii="Palatino Linotype" w:hAnsi="Palatino Linotype"/>
          <w:sz w:val="24"/>
          <w:szCs w:val="24"/>
          <w:lang w:val="es-ES"/>
        </w:rPr>
      </w:pPr>
    </w:p>
    <w:p w:rsidR="00CE51CB" w:rsidRPr="0012204B" w:rsidRDefault="00CE51CB" w:rsidP="00CE51CB">
      <w:pPr>
        <w:pStyle w:val="Prrafodelista"/>
        <w:numPr>
          <w:ilvl w:val="0"/>
          <w:numId w:val="2"/>
        </w:numPr>
        <w:spacing w:line="360" w:lineRule="auto"/>
        <w:jc w:val="both"/>
        <w:rPr>
          <w:rFonts w:ascii="Palatino Linotype" w:hAnsi="Palatino Linotype"/>
          <w:sz w:val="24"/>
          <w:szCs w:val="24"/>
          <w:lang w:val="es-ES"/>
        </w:rPr>
      </w:pPr>
      <w:r w:rsidRPr="0012204B">
        <w:rPr>
          <w:rFonts w:ascii="Palatino Linotype" w:hAnsi="Palatino Linotype"/>
          <w:sz w:val="24"/>
          <w:szCs w:val="24"/>
          <w:lang w:val="es-ES"/>
        </w:rPr>
        <w:t>Si bien esto podría considerarse como una nueva presión sobre el funcionamiento de los sujetos obligados, es muy importante destacar el papel e importancia que el acceso a la información pública, relacionada con las acciones que actualmente se realizan, tiene para una sociedad democrática. Este reto es un llamado para mejorar los procedimientos de gestión documental y el propio diseño administrativo, para ser más eficientes, eficaces y transparentes. El acceso a la información pública de manera oportuna puede ser la diferencia para incrementar la responsabilidad en la función pública y el mejor desempeño de nuestras labores, pero sobre todo para orientar a la población en el ejercicio de sus derechos y en la toma de decisiones que pueden tener enorme trascendencia en su proyecto de vida.</w:t>
      </w:r>
    </w:p>
    <w:p w:rsidR="00CE51CB" w:rsidRPr="0012204B" w:rsidRDefault="00CE51CB" w:rsidP="00CE51CB">
      <w:pPr>
        <w:pStyle w:val="Prrafodelista"/>
        <w:spacing w:line="360" w:lineRule="auto"/>
        <w:ind w:left="360" w:hanging="360"/>
        <w:jc w:val="both"/>
        <w:rPr>
          <w:rFonts w:ascii="Palatino Linotype" w:hAnsi="Palatino Linotype"/>
          <w:sz w:val="24"/>
          <w:szCs w:val="24"/>
          <w:lang w:val="es-ES"/>
        </w:rPr>
      </w:pPr>
    </w:p>
    <w:p w:rsidR="00CE51CB" w:rsidRPr="0012204B" w:rsidRDefault="00CE51CB" w:rsidP="00CE51CB">
      <w:pPr>
        <w:pStyle w:val="Prrafodelista"/>
        <w:numPr>
          <w:ilvl w:val="0"/>
          <w:numId w:val="2"/>
        </w:numPr>
        <w:spacing w:line="360" w:lineRule="auto"/>
        <w:jc w:val="both"/>
        <w:rPr>
          <w:rFonts w:ascii="Palatino Linotype" w:hAnsi="Palatino Linotype"/>
          <w:sz w:val="24"/>
          <w:szCs w:val="24"/>
          <w:lang w:val="es-ES"/>
        </w:rPr>
      </w:pPr>
      <w:r w:rsidRPr="0012204B">
        <w:rPr>
          <w:rFonts w:ascii="Palatino Linotype" w:hAnsi="Palatino Linotype"/>
          <w:sz w:val="24"/>
          <w:szCs w:val="24"/>
          <w:lang w:val="es-ES"/>
        </w:rPr>
        <w:lastRenderedPageBreak/>
        <w:t xml:space="preserve">Por esas razones y alentados por los esfuerzos emprendidos por los sujetos obligados para difundir información relevante en los meses pasados; considerando también  el tiempo que ha transcurrido desde el inicio de la pandemia y la obligación de todas las instituciones del Estado de no desaparecer de la escena pública sino, al contrario, confirmar su vocación de servicio; considerando la experiencia desarrollada para consolidar lo que hoy se conoce como la modalidad del trabajo a distancia o en casa y la accesibilidad a múltiples plataformas tecnológicas que lo han posibilitado, pero pensando sobre todo en los titulares de los derechos humanos bajo nuestra tutela, es que este Órgano Garante reitera su compromiso de contribuir al cumplimiento definido por las autoridades de salud para evitar la movilidad de personas, la concurrencia en instalaciones gubernamentales y con ello disminuir los contagios, lo que no colisiona sino que, se trata de armonizar, con la garantía plena en el ejercicio de los derechos de acceso a la información pública y a la protección de los datos personales. </w:t>
      </w:r>
    </w:p>
    <w:p w:rsidR="00CE51CB" w:rsidRPr="0012204B" w:rsidRDefault="00CE51CB" w:rsidP="00CE51CB">
      <w:pPr>
        <w:pStyle w:val="Prrafodelista"/>
        <w:spacing w:line="360" w:lineRule="auto"/>
        <w:ind w:left="360" w:hanging="360"/>
        <w:jc w:val="both"/>
        <w:rPr>
          <w:rFonts w:ascii="Palatino Linotype" w:hAnsi="Palatino Linotype"/>
          <w:sz w:val="24"/>
          <w:szCs w:val="24"/>
          <w:lang w:val="es-ES"/>
        </w:rPr>
      </w:pPr>
    </w:p>
    <w:p w:rsidR="00CE51CB" w:rsidRPr="0012204B" w:rsidRDefault="00CE51CB" w:rsidP="00CE51CB">
      <w:pPr>
        <w:pStyle w:val="Prrafodelista"/>
        <w:numPr>
          <w:ilvl w:val="0"/>
          <w:numId w:val="2"/>
        </w:numPr>
        <w:spacing w:line="360" w:lineRule="auto"/>
        <w:jc w:val="both"/>
        <w:rPr>
          <w:rFonts w:ascii="Palatino Linotype" w:hAnsi="Palatino Linotype"/>
          <w:sz w:val="24"/>
          <w:szCs w:val="24"/>
          <w:lang w:val="es-ES"/>
        </w:rPr>
      </w:pPr>
      <w:r w:rsidRPr="0012204B">
        <w:rPr>
          <w:rFonts w:ascii="Palatino Linotype" w:hAnsi="Palatino Linotype"/>
          <w:sz w:val="24"/>
          <w:szCs w:val="24"/>
          <w:lang w:val="es-ES"/>
        </w:rPr>
        <w:t xml:space="preserve">Desde nuestra perspectiva ello se consigue si dentro de las medidas adoptadas por los sujetos obligados para mantener el ejercicio de las facultades, competencias o funciones que, durante 2020 y en lo que va de 2021, ejercieron y siguen ejerciendo a pesar de las suspensiones de actividades, se adoptan medidas para asegurar que esa información se encuentre disponible para atender los procedimientos de estos derechos. Al mismo tiempo, como se ha manifestado públicamente y se hará, de ser el caso, en esta misma resolución, si dadas las condiciones de la información que se solicita, ya sea que corresponda a información de administraciones anteriores, que los requerimientos sean </w:t>
      </w:r>
      <w:r w:rsidRPr="0012204B">
        <w:rPr>
          <w:rFonts w:ascii="Palatino Linotype" w:hAnsi="Palatino Linotype"/>
          <w:sz w:val="24"/>
          <w:szCs w:val="24"/>
          <w:lang w:val="es-ES"/>
        </w:rPr>
        <w:lastRenderedPageBreak/>
        <w:t>extensos o que involucren a diferentes áreas y que ello implique que se tenga que desplazar personal a las instalaciones de los sujetos obligados, el Órgano garante será sensible a la adopción de medidas extraordinarias en materia de plazos para el cumplimiento de las resoluciones.</w:t>
      </w:r>
    </w:p>
    <w:p w:rsidR="00CE51CB" w:rsidRPr="0012204B" w:rsidRDefault="00CE51CB" w:rsidP="00CE51CB">
      <w:pPr>
        <w:pStyle w:val="Ttulo1"/>
        <w:rPr>
          <w:rFonts w:ascii="Palatino Linotype" w:eastAsia="MS Mincho" w:hAnsi="Palatino Linotype" w:cs="Times New Roman"/>
          <w:b/>
          <w:color w:val="auto"/>
          <w:sz w:val="24"/>
          <w:szCs w:val="24"/>
          <w:lang w:val="es-ES_tradnl" w:eastAsia="es-ES"/>
        </w:rPr>
      </w:pPr>
      <w:bookmarkStart w:id="6" w:name="_Toc62209468"/>
      <w:r w:rsidRPr="0012204B">
        <w:rPr>
          <w:rFonts w:ascii="Palatino Linotype" w:eastAsia="MS Mincho" w:hAnsi="Palatino Linotype" w:cs="Times New Roman"/>
          <w:b/>
          <w:color w:val="auto"/>
          <w:sz w:val="24"/>
          <w:szCs w:val="24"/>
          <w:lang w:val="es-ES_tradnl" w:eastAsia="es-ES"/>
        </w:rPr>
        <w:t xml:space="preserve">CUARTO. </w:t>
      </w:r>
      <w:r w:rsidRPr="0012204B">
        <w:rPr>
          <w:rFonts w:ascii="Palatino Linotype" w:eastAsia="MS Mincho" w:hAnsi="Palatino Linotype"/>
          <w:b/>
          <w:color w:val="auto"/>
          <w:sz w:val="24"/>
          <w:szCs w:val="24"/>
          <w:lang w:val="es-ES_tradnl" w:eastAsia="es-ES"/>
        </w:rPr>
        <w:t>Del planteamiento de la Litis.</w:t>
      </w:r>
      <w:bookmarkEnd w:id="6"/>
    </w:p>
    <w:p w:rsidR="00CE51CB" w:rsidRPr="0012204B" w:rsidRDefault="00CE51CB" w:rsidP="00CE51CB">
      <w:pPr>
        <w:spacing w:after="0" w:line="360" w:lineRule="auto"/>
        <w:ind w:left="360"/>
        <w:contextualSpacing/>
        <w:jc w:val="both"/>
        <w:rPr>
          <w:rFonts w:ascii="Palatino Linotype" w:eastAsia="MS Mincho" w:hAnsi="Palatino Linotype" w:cs="Times New Roman"/>
          <w:sz w:val="24"/>
          <w:szCs w:val="24"/>
          <w:lang w:val="es-ES_tradnl" w:eastAsia="es-ES"/>
        </w:rPr>
      </w:pPr>
    </w:p>
    <w:p w:rsidR="00CA11F0" w:rsidRPr="0012204B" w:rsidRDefault="00CA11F0" w:rsidP="00553BA1">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12204B">
        <w:rPr>
          <w:rFonts w:ascii="Palatino Linotype" w:eastAsia="Calibri" w:hAnsi="Palatino Linotype" w:cs="Arial"/>
          <w:sz w:val="24"/>
          <w:szCs w:val="24"/>
          <w:lang w:eastAsia="es-ES"/>
        </w:rPr>
        <w:t xml:space="preserve">De lo inicialmente solicitado se puede observar que el </w:t>
      </w:r>
      <w:r w:rsidRPr="0012204B">
        <w:rPr>
          <w:rFonts w:ascii="Palatino Linotype" w:eastAsia="Calibri" w:hAnsi="Palatino Linotype" w:cs="Arial"/>
          <w:b/>
          <w:sz w:val="24"/>
          <w:szCs w:val="24"/>
          <w:lang w:eastAsia="es-ES"/>
        </w:rPr>
        <w:t>SUJETO OBLIGADO</w:t>
      </w:r>
      <w:r w:rsidRPr="0012204B">
        <w:rPr>
          <w:rFonts w:ascii="Palatino Linotype" w:eastAsia="Calibri" w:hAnsi="Palatino Linotype" w:cs="Arial"/>
          <w:sz w:val="24"/>
          <w:szCs w:val="24"/>
          <w:lang w:eastAsia="es-ES"/>
        </w:rPr>
        <w:t xml:space="preserve">, a su consideración entregó su respuesta; sin embargo, la solicitante se inconformó argumentado en términos generales que </w:t>
      </w:r>
      <w:r w:rsidR="00B14470" w:rsidRPr="0012204B">
        <w:rPr>
          <w:rFonts w:ascii="Palatino Linotype" w:eastAsia="Calibri" w:hAnsi="Palatino Linotype" w:cs="Arial"/>
          <w:sz w:val="24"/>
          <w:szCs w:val="24"/>
          <w:lang w:eastAsia="es-ES"/>
        </w:rPr>
        <w:t xml:space="preserve">la información </w:t>
      </w:r>
      <w:r w:rsidR="00182DF5" w:rsidRPr="0012204B">
        <w:rPr>
          <w:rFonts w:ascii="Palatino Linotype" w:eastAsia="Calibri" w:hAnsi="Palatino Linotype" w:cs="Arial"/>
          <w:sz w:val="24"/>
          <w:szCs w:val="24"/>
          <w:lang w:eastAsia="es-ES"/>
        </w:rPr>
        <w:t>es incompleta.</w:t>
      </w:r>
    </w:p>
    <w:p w:rsidR="00B14470" w:rsidRPr="0012204B" w:rsidRDefault="00B14470" w:rsidP="00B14470">
      <w:pPr>
        <w:spacing w:after="0" w:line="360" w:lineRule="auto"/>
        <w:ind w:left="360"/>
        <w:contextualSpacing/>
        <w:jc w:val="both"/>
        <w:rPr>
          <w:rFonts w:ascii="Palatino Linotype" w:eastAsia="MS Mincho" w:hAnsi="Palatino Linotype" w:cs="Times New Roman"/>
          <w:sz w:val="24"/>
          <w:szCs w:val="24"/>
          <w:lang w:val="es-ES_tradnl" w:eastAsia="es-ES"/>
        </w:rPr>
      </w:pPr>
    </w:p>
    <w:p w:rsidR="00CA11F0" w:rsidRPr="0012204B" w:rsidRDefault="00CA11F0" w:rsidP="00182DF5">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12204B">
        <w:rPr>
          <w:rFonts w:ascii="Palatino Linotype" w:eastAsia="Calibri" w:hAnsi="Palatino Linotype" w:cs="Arial"/>
          <w:sz w:val="24"/>
          <w:szCs w:val="24"/>
          <w:lang w:eastAsia="es-ES"/>
        </w:rPr>
        <w:t xml:space="preserve">En </w:t>
      </w:r>
      <w:r w:rsidRPr="0012204B">
        <w:rPr>
          <w:rFonts w:ascii="Palatino Linotype" w:eastAsia="MS Mincho" w:hAnsi="Palatino Linotype" w:cs="Times New Roman"/>
          <w:sz w:val="24"/>
          <w:szCs w:val="24"/>
          <w:lang w:val="es-ES_tradnl" w:eastAsia="es-ES"/>
        </w:rPr>
        <w:t>consecuencia, el estudio de la presente resolución versará respecto al contenido de la respuesta, lo anterior con la finalidad de determinar si efectivamente se da cumplimiento al Derecho de Acceso a la Información Pública de la solicitante, tal  como establece la Ley para tal efecto, de no ser el caso, se ordenara la reparación de la afectación en la que se haya incurrido.</w:t>
      </w:r>
    </w:p>
    <w:p w:rsidR="00CA11F0" w:rsidRPr="0012204B" w:rsidRDefault="00CA11F0" w:rsidP="00182DF5">
      <w:pPr>
        <w:ind w:left="360" w:hanging="360"/>
        <w:contextualSpacing/>
        <w:rPr>
          <w:rFonts w:ascii="Palatino Linotype" w:eastAsia="MS Mincho" w:hAnsi="Palatino Linotype" w:cs="Times New Roman"/>
          <w:sz w:val="24"/>
          <w:szCs w:val="24"/>
          <w:lang w:val="es-ES_tradnl" w:eastAsia="es-ES"/>
        </w:rPr>
      </w:pPr>
    </w:p>
    <w:p w:rsidR="00182DF5" w:rsidRPr="0012204B" w:rsidRDefault="00182DF5" w:rsidP="00182DF5">
      <w:pPr>
        <w:numPr>
          <w:ilvl w:val="0"/>
          <w:numId w:val="2"/>
        </w:numPr>
        <w:spacing w:after="0" w:line="360" w:lineRule="auto"/>
        <w:contextualSpacing/>
        <w:jc w:val="both"/>
        <w:rPr>
          <w:rFonts w:ascii="Palatino Linotype" w:eastAsia="MS Mincho" w:hAnsi="Palatino Linotype" w:cs="Times New Roman"/>
          <w:sz w:val="24"/>
          <w:szCs w:val="24"/>
          <w:lang w:val="es-ES_tradnl" w:eastAsia="es-ES"/>
        </w:rPr>
      </w:pPr>
      <w:r w:rsidRPr="0012204B">
        <w:rPr>
          <w:rFonts w:ascii="Palatino Linotype" w:eastAsia="Calibri" w:hAnsi="Palatino Linotype" w:cs="Arial"/>
          <w:sz w:val="24"/>
          <w:szCs w:val="24"/>
          <w:lang w:eastAsia="es-ES"/>
        </w:rPr>
        <w:t xml:space="preserve">En </w:t>
      </w:r>
      <w:r w:rsidRPr="0012204B">
        <w:rPr>
          <w:rFonts w:ascii="Palatino Linotype" w:eastAsia="MS Mincho" w:hAnsi="Palatino Linotype" w:cs="Times New Roman"/>
          <w:sz w:val="24"/>
          <w:szCs w:val="24"/>
          <w:lang w:val="es-ES_tradnl" w:eastAsia="es-ES"/>
        </w:rPr>
        <w:t>consecuencia, el estudio de la presente resolución versará respecto al contenido de la respuesta, lo anterior con la finalidad de determinar si efectivamente se da cumplimiento al Derecho de Acceso a la Información Pública de la solicitante, tal  como establece la Ley para tal efecto, de no ser el caso, se ordenara la reparación de la afectación en la que se haya incurrido.</w:t>
      </w:r>
    </w:p>
    <w:p w:rsidR="00182DF5" w:rsidRPr="0012204B" w:rsidRDefault="00182DF5" w:rsidP="00182DF5">
      <w:pPr>
        <w:pStyle w:val="Prrafodelista"/>
        <w:ind w:left="360" w:hanging="360"/>
        <w:rPr>
          <w:rFonts w:ascii="Palatino Linotype" w:eastAsia="MS Mincho" w:hAnsi="Palatino Linotype" w:cs="Times New Roman"/>
          <w:sz w:val="24"/>
          <w:szCs w:val="24"/>
          <w:lang w:val="es-ES_tradnl" w:eastAsia="es-ES"/>
        </w:rPr>
      </w:pPr>
    </w:p>
    <w:p w:rsidR="00182DF5" w:rsidRPr="0012204B" w:rsidRDefault="00182DF5" w:rsidP="00182DF5">
      <w:pPr>
        <w:numPr>
          <w:ilvl w:val="0"/>
          <w:numId w:val="2"/>
        </w:numPr>
        <w:spacing w:before="240" w:after="240" w:line="360" w:lineRule="auto"/>
        <w:ind w:right="49"/>
        <w:contextualSpacing/>
        <w:jc w:val="both"/>
        <w:rPr>
          <w:rFonts w:ascii="Palatino Linotype" w:eastAsia="Times New Roman" w:hAnsi="Palatino Linotype" w:cs="Times New Roman"/>
          <w:color w:val="000000"/>
          <w:sz w:val="24"/>
          <w:szCs w:val="24"/>
          <w:lang w:val="es-US" w:eastAsia="es-ES_tradnl"/>
        </w:rPr>
      </w:pPr>
      <w:r w:rsidRPr="0012204B">
        <w:rPr>
          <w:rFonts w:ascii="Palatino Linotype" w:eastAsia="MS Mincho" w:hAnsi="Palatino Linotype" w:cs="Times New Roman"/>
          <w:sz w:val="24"/>
          <w:szCs w:val="24"/>
          <w:lang w:val="es-ES_tradnl" w:eastAsia="es-ES"/>
        </w:rPr>
        <w:t xml:space="preserve">Es necesario también precisar que el Sujeto Obligado fue omiso en rendir su informe justificado en el término de los siete días hábiles otorgados, ante este Órgano Garante para manifestar lo que a derecho le asistiera y conviniera; </w:t>
      </w:r>
      <w:r w:rsidRPr="0012204B">
        <w:rPr>
          <w:rFonts w:ascii="Palatino Linotype" w:eastAsia="MS Mincho" w:hAnsi="Palatino Linotype" w:cs="Times New Roman"/>
          <w:sz w:val="24"/>
          <w:szCs w:val="24"/>
          <w:lang w:val="es-ES_tradnl" w:eastAsia="es-ES"/>
        </w:rPr>
        <w:lastRenderedPageBreak/>
        <w:t>asimismo dejó de justificar las razones o motivos que lo llevaron a emitir una respuesta imprecisa que ahora se impugna, generando con esta omisión el perjuicio en su contra ya que impide que esta Autoridad conozca y resuelva el presente recurso con mayor cautela si consideramos lo que al respecto ha señalado la autoridad jurisdiccional al emitir el siguiente criterio:</w:t>
      </w:r>
    </w:p>
    <w:p w:rsidR="00182DF5" w:rsidRPr="0012204B" w:rsidRDefault="00182DF5" w:rsidP="00182DF5">
      <w:pPr>
        <w:tabs>
          <w:tab w:val="left" w:pos="0"/>
          <w:tab w:val="left" w:pos="142"/>
        </w:tabs>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182DF5" w:rsidRPr="0012204B" w:rsidRDefault="00182DF5" w:rsidP="00182DF5">
      <w:pPr>
        <w:tabs>
          <w:tab w:val="left" w:pos="0"/>
          <w:tab w:val="left" w:pos="142"/>
        </w:tabs>
        <w:spacing w:before="240" w:after="240" w:line="360" w:lineRule="auto"/>
        <w:ind w:left="567" w:right="567"/>
        <w:contextualSpacing/>
        <w:jc w:val="both"/>
        <w:rPr>
          <w:rFonts w:ascii="Palatino Linotype" w:eastAsia="MS Mincho" w:hAnsi="Palatino Linotype" w:cs="Times New Roman"/>
          <w:i/>
          <w:lang w:val="es-ES_tradnl" w:eastAsia="es-ES"/>
        </w:rPr>
      </w:pPr>
      <w:r w:rsidRPr="0012204B">
        <w:rPr>
          <w:rFonts w:ascii="Palatino Linotype" w:eastAsia="MS Mincho" w:hAnsi="Palatino Linotype" w:cs="Times New Roman"/>
          <w:b/>
          <w:i/>
          <w:lang w:val="es-ES_tradnl" w:eastAsia="es-ES"/>
        </w:rPr>
        <w:t>QUEJA, RECURSO DE. LA OMISION DE RENDIR EL INFORME RESPECTIVO NO IMPIDE QUE SE RESUELVA</w:t>
      </w:r>
      <w:r w:rsidRPr="0012204B">
        <w:rPr>
          <w:rFonts w:ascii="Palatino Linotype" w:eastAsia="MS Mincho" w:hAnsi="Palatino Linotype" w:cs="Times New Roman"/>
          <w:i/>
          <w:lang w:val="es-ES_tradnl" w:eastAsia="es-ES"/>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  </w:t>
      </w:r>
    </w:p>
    <w:p w:rsidR="00182DF5" w:rsidRPr="0012204B" w:rsidRDefault="00182DF5" w:rsidP="00182DF5">
      <w:pPr>
        <w:tabs>
          <w:tab w:val="left" w:pos="0"/>
          <w:tab w:val="left" w:pos="142"/>
        </w:tabs>
        <w:spacing w:before="240" w:after="240" w:line="360" w:lineRule="auto"/>
        <w:ind w:right="49"/>
        <w:contextualSpacing/>
        <w:jc w:val="both"/>
        <w:rPr>
          <w:rFonts w:ascii="Palatino Linotype" w:eastAsia="MS Mincho" w:hAnsi="Palatino Linotype" w:cs="Times New Roman"/>
          <w:i/>
          <w:sz w:val="24"/>
          <w:szCs w:val="24"/>
          <w:lang w:val="es-ES_tradnl" w:eastAsia="es-ES"/>
        </w:rPr>
      </w:pPr>
    </w:p>
    <w:p w:rsidR="00182DF5" w:rsidRPr="0012204B" w:rsidRDefault="00182DF5" w:rsidP="00182DF5">
      <w:pPr>
        <w:numPr>
          <w:ilvl w:val="0"/>
          <w:numId w:val="2"/>
        </w:numPr>
        <w:spacing w:before="240" w:after="240" w:line="360" w:lineRule="auto"/>
        <w:ind w:left="426" w:right="49" w:hanging="426"/>
        <w:contextualSpacing/>
        <w:jc w:val="both"/>
        <w:rPr>
          <w:rFonts w:ascii="Palatino Linotype" w:eastAsia="MS Mincho" w:hAnsi="Palatino Linotype" w:cs="Times New Roman"/>
          <w:i/>
          <w:sz w:val="24"/>
          <w:szCs w:val="24"/>
          <w:lang w:val="es-ES_tradnl" w:eastAsia="es-ES"/>
        </w:rPr>
      </w:pPr>
      <w:r w:rsidRPr="0012204B">
        <w:rPr>
          <w:rFonts w:ascii="Palatino Linotype" w:eastAsia="MS Mincho" w:hAnsi="Palatino Linotype" w:cs="Times New Roman"/>
          <w:sz w:val="24"/>
          <w:szCs w:val="24"/>
          <w:lang w:val="es-ES_tradnl" w:eastAsia="es-ES"/>
        </w:rPr>
        <w:t xml:space="preserve">Por lo cual se reitera, que la falta de informe justificado no impide que este Órgano Garante conozca y resuelva el recurso de revisión, solo propicia que el </w:t>
      </w:r>
      <w:r w:rsidRPr="0012204B">
        <w:rPr>
          <w:rFonts w:ascii="Palatino Linotype" w:eastAsia="MS Mincho" w:hAnsi="Palatino Linotype" w:cs="Times New Roman"/>
          <w:b/>
          <w:sz w:val="24"/>
          <w:szCs w:val="24"/>
          <w:lang w:val="es-ES_tradnl" w:eastAsia="es-ES"/>
        </w:rPr>
        <w:t>SUJETO OBLIGADO</w:t>
      </w:r>
      <w:r w:rsidRPr="0012204B">
        <w:rPr>
          <w:rFonts w:ascii="Palatino Linotype" w:eastAsia="MS Mincho" w:hAnsi="Palatino Linotype" w:cs="Times New Roman"/>
          <w:sz w:val="24"/>
          <w:szCs w:val="24"/>
          <w:lang w:val="es-ES_tradnl" w:eastAsia="es-ES"/>
        </w:rPr>
        <w:t xml:space="preserve"> pierda la oportunidad de justificar su respuesta imprecisa y manifestar lo que a su derecho convenga.</w:t>
      </w:r>
    </w:p>
    <w:p w:rsidR="00182DF5" w:rsidRPr="0012204B" w:rsidRDefault="00182DF5" w:rsidP="00182DF5">
      <w:pPr>
        <w:spacing w:before="240" w:after="240" w:line="360" w:lineRule="auto"/>
        <w:ind w:left="426" w:hanging="426"/>
        <w:contextualSpacing/>
        <w:jc w:val="both"/>
        <w:rPr>
          <w:rFonts w:ascii="Palatino Linotype" w:hAnsi="Palatino Linotype"/>
          <w:b/>
          <w:i/>
          <w:sz w:val="24"/>
          <w:szCs w:val="24"/>
        </w:rPr>
      </w:pPr>
    </w:p>
    <w:p w:rsidR="00CA11F0" w:rsidRPr="0012204B" w:rsidRDefault="00CA11F0" w:rsidP="00182DF5">
      <w:pPr>
        <w:numPr>
          <w:ilvl w:val="0"/>
          <w:numId w:val="2"/>
        </w:numPr>
        <w:spacing w:before="240" w:after="240" w:line="360" w:lineRule="auto"/>
        <w:ind w:left="426" w:hanging="426"/>
        <w:contextualSpacing/>
        <w:jc w:val="both"/>
        <w:rPr>
          <w:rFonts w:ascii="Palatino Linotype" w:hAnsi="Palatino Linotype"/>
          <w:b/>
          <w:i/>
          <w:sz w:val="24"/>
          <w:szCs w:val="24"/>
        </w:rPr>
      </w:pPr>
      <w:r w:rsidRPr="0012204B">
        <w:rPr>
          <w:rFonts w:ascii="Palatino Linotype" w:hAnsi="Palatino Linotype" w:cs="Arial"/>
          <w:sz w:val="24"/>
          <w:szCs w:val="24"/>
        </w:rPr>
        <w:t xml:space="preserve">Por lo anterior, el presente recurso de revisión del que se trata se circunscribe en determinar si se </w:t>
      </w:r>
      <w:r w:rsidRPr="0012204B">
        <w:rPr>
          <w:rFonts w:ascii="Palatino Linotype" w:eastAsia="Times New Roman" w:hAnsi="Palatino Linotype"/>
          <w:sz w:val="24"/>
          <w:szCs w:val="24"/>
        </w:rPr>
        <w:t xml:space="preserve">actualizan las hipótesis </w:t>
      </w:r>
      <w:r w:rsidRPr="0012204B">
        <w:rPr>
          <w:rFonts w:ascii="Palatino Linotype" w:eastAsia="Times New Roman" w:hAnsi="Palatino Linotype" w:cs="Arial"/>
          <w:sz w:val="24"/>
          <w:szCs w:val="24"/>
          <w:lang w:eastAsia="es-MX"/>
        </w:rPr>
        <w:t xml:space="preserve">contenidas en </w:t>
      </w:r>
      <w:r w:rsidRPr="0012204B">
        <w:rPr>
          <w:rFonts w:ascii="Palatino Linotype" w:eastAsia="Times New Roman" w:hAnsi="Palatino Linotype" w:cs="Arial"/>
          <w:sz w:val="24"/>
          <w:szCs w:val="24"/>
          <w:lang w:val="es-ES" w:eastAsia="es-MX"/>
        </w:rPr>
        <w:t>el artículo 179 fracción I</w:t>
      </w:r>
      <w:r w:rsidRPr="0012204B">
        <w:rPr>
          <w:rFonts w:ascii="Palatino Linotype" w:eastAsia="Times New Roman" w:hAnsi="Palatino Linotype" w:cs="Arial"/>
          <w:b/>
          <w:sz w:val="24"/>
          <w:szCs w:val="24"/>
          <w:lang w:val="es-ES" w:eastAsia="es-MX"/>
        </w:rPr>
        <w:t xml:space="preserve">V </w:t>
      </w:r>
      <w:r w:rsidRPr="0012204B">
        <w:rPr>
          <w:rFonts w:ascii="Palatino Linotype" w:eastAsia="Times New Roman" w:hAnsi="Palatino Linotype" w:cs="Arial"/>
          <w:sz w:val="24"/>
          <w:szCs w:val="24"/>
          <w:lang w:val="es-ES" w:eastAsia="es-MX"/>
        </w:rPr>
        <w:t xml:space="preserve">de la </w:t>
      </w:r>
      <w:r w:rsidRPr="0012204B">
        <w:rPr>
          <w:rFonts w:ascii="Palatino Linotype" w:eastAsia="Calibri" w:hAnsi="Palatino Linotype" w:cs="Arial"/>
          <w:b/>
          <w:sz w:val="24"/>
          <w:szCs w:val="24"/>
          <w:lang w:val="es-ES"/>
        </w:rPr>
        <w:t>Ley de Transparencia y Acceso a la Información Pública del Estado de México y Municipios</w:t>
      </w:r>
      <w:r w:rsidRPr="0012204B">
        <w:rPr>
          <w:rFonts w:ascii="Palatino Linotype" w:eastAsia="Times New Roman" w:hAnsi="Palatino Linotype" w:cs="Arial"/>
          <w:sz w:val="24"/>
          <w:szCs w:val="24"/>
          <w:lang w:val="es-ES" w:eastAsia="es-MX"/>
        </w:rPr>
        <w:t xml:space="preserve">. </w:t>
      </w:r>
    </w:p>
    <w:p w:rsidR="00CA11F0" w:rsidRPr="0012204B" w:rsidRDefault="00CA11F0" w:rsidP="00B14470">
      <w:pPr>
        <w:ind w:left="360" w:hanging="360"/>
        <w:rPr>
          <w:rFonts w:ascii="Palatino Linotype" w:hAnsi="Palatino Linotype"/>
          <w:b/>
          <w:i/>
          <w:sz w:val="24"/>
          <w:szCs w:val="24"/>
        </w:rPr>
      </w:pPr>
    </w:p>
    <w:p w:rsidR="00CA11F0" w:rsidRPr="0012204B" w:rsidRDefault="00CA11F0" w:rsidP="00B14470">
      <w:pPr>
        <w:ind w:left="709" w:hanging="360"/>
        <w:rPr>
          <w:rFonts w:ascii="Palatino Linotype" w:hAnsi="Palatino Linotype"/>
          <w:b/>
          <w:i/>
          <w:sz w:val="24"/>
          <w:szCs w:val="24"/>
        </w:rPr>
      </w:pPr>
      <w:r w:rsidRPr="0012204B">
        <w:rPr>
          <w:rFonts w:ascii="Palatino Linotype" w:hAnsi="Palatino Linotype"/>
          <w:b/>
          <w:i/>
          <w:sz w:val="24"/>
          <w:szCs w:val="24"/>
        </w:rPr>
        <w:t>Articulo. 179…</w:t>
      </w:r>
    </w:p>
    <w:p w:rsidR="00CA11F0" w:rsidRPr="0012204B" w:rsidRDefault="00CA11F0" w:rsidP="00B14470">
      <w:pPr>
        <w:numPr>
          <w:ilvl w:val="0"/>
          <w:numId w:val="5"/>
        </w:numPr>
        <w:ind w:left="709" w:hanging="360"/>
        <w:contextualSpacing/>
        <w:rPr>
          <w:rFonts w:ascii="Palatino Linotype" w:hAnsi="Palatino Linotype"/>
          <w:b/>
          <w:i/>
          <w:sz w:val="24"/>
          <w:szCs w:val="24"/>
        </w:rPr>
      </w:pPr>
      <w:r w:rsidRPr="0012204B">
        <w:rPr>
          <w:rFonts w:ascii="Palatino Linotype" w:hAnsi="Palatino Linotype"/>
          <w:b/>
          <w:i/>
          <w:sz w:val="24"/>
          <w:szCs w:val="24"/>
        </w:rPr>
        <w:t>La negativa a la información solicitada;</w:t>
      </w:r>
    </w:p>
    <w:p w:rsidR="00CA11F0" w:rsidRPr="0012204B" w:rsidRDefault="00CA11F0" w:rsidP="00B14470">
      <w:pPr>
        <w:ind w:left="709" w:hanging="360"/>
        <w:rPr>
          <w:rFonts w:ascii="Palatino Linotype" w:hAnsi="Palatino Linotype"/>
          <w:i/>
          <w:sz w:val="24"/>
          <w:szCs w:val="24"/>
        </w:rPr>
      </w:pPr>
      <w:r w:rsidRPr="0012204B">
        <w:rPr>
          <w:rFonts w:ascii="Palatino Linotype" w:hAnsi="Palatino Linotype"/>
          <w:i/>
          <w:sz w:val="24"/>
          <w:szCs w:val="24"/>
        </w:rPr>
        <w:t>II a la IV…</w:t>
      </w:r>
    </w:p>
    <w:p w:rsidR="00CA11F0" w:rsidRPr="0012204B" w:rsidRDefault="00CA11F0" w:rsidP="00B14470">
      <w:pPr>
        <w:spacing w:before="240" w:after="240" w:line="360" w:lineRule="auto"/>
        <w:ind w:left="709" w:hanging="360"/>
        <w:contextualSpacing/>
        <w:jc w:val="both"/>
        <w:rPr>
          <w:rFonts w:ascii="Palatino Linotype" w:hAnsi="Palatino Linotype"/>
          <w:b/>
          <w:i/>
          <w:sz w:val="24"/>
          <w:szCs w:val="24"/>
        </w:rPr>
      </w:pPr>
      <w:r w:rsidRPr="0012204B">
        <w:rPr>
          <w:rFonts w:ascii="Palatino Linotype" w:hAnsi="Palatino Linotype"/>
          <w:b/>
          <w:i/>
          <w:sz w:val="24"/>
          <w:szCs w:val="24"/>
        </w:rPr>
        <w:t>V. La entrega de información incompleta;</w:t>
      </w:r>
    </w:p>
    <w:p w:rsidR="00CA11F0" w:rsidRPr="0012204B" w:rsidRDefault="00CA11F0" w:rsidP="00B14470">
      <w:pPr>
        <w:spacing w:before="240" w:after="240" w:line="360" w:lineRule="auto"/>
        <w:ind w:left="709" w:hanging="360"/>
        <w:contextualSpacing/>
        <w:jc w:val="both"/>
        <w:rPr>
          <w:rFonts w:ascii="Palatino Linotype" w:hAnsi="Palatino Linotype"/>
          <w:i/>
          <w:sz w:val="24"/>
          <w:szCs w:val="24"/>
        </w:rPr>
      </w:pPr>
      <w:r w:rsidRPr="0012204B">
        <w:rPr>
          <w:rFonts w:ascii="Palatino Linotype" w:hAnsi="Palatino Linotype"/>
          <w:i/>
          <w:sz w:val="24"/>
          <w:szCs w:val="24"/>
        </w:rPr>
        <w:t>VI… a la XIV…</w:t>
      </w:r>
    </w:p>
    <w:p w:rsidR="00B14470" w:rsidRPr="0012204B" w:rsidRDefault="00B14470" w:rsidP="00B14470">
      <w:pPr>
        <w:spacing w:before="240" w:after="240" w:line="360" w:lineRule="auto"/>
        <w:ind w:left="709" w:hanging="360"/>
        <w:contextualSpacing/>
        <w:jc w:val="both"/>
        <w:rPr>
          <w:rFonts w:ascii="Palatino Linotype" w:hAnsi="Palatino Linotype"/>
          <w:i/>
          <w:sz w:val="24"/>
          <w:szCs w:val="24"/>
        </w:rPr>
      </w:pPr>
    </w:p>
    <w:p w:rsidR="00CA11F0" w:rsidRPr="0012204B" w:rsidRDefault="00CA11F0" w:rsidP="00B14470">
      <w:pPr>
        <w:numPr>
          <w:ilvl w:val="0"/>
          <w:numId w:val="2"/>
        </w:numPr>
        <w:spacing w:before="240" w:after="240" w:line="360" w:lineRule="auto"/>
        <w:contextualSpacing/>
        <w:jc w:val="both"/>
        <w:rPr>
          <w:rFonts w:ascii="Palatino Linotype" w:hAnsi="Palatino Linotype"/>
          <w:b/>
          <w:i/>
          <w:sz w:val="24"/>
          <w:szCs w:val="24"/>
        </w:rPr>
      </w:pPr>
      <w:r w:rsidRPr="0012204B">
        <w:rPr>
          <w:rFonts w:ascii="Palatino Linotype" w:hAnsi="Palatino Linotype" w:cs="Arial"/>
          <w:sz w:val="24"/>
          <w:szCs w:val="24"/>
        </w:rPr>
        <w:t xml:space="preserve">Por lo que el Recurso Revisión tiene como finalidad reparar cualquier posible afectación al derecho de acceso a la información pública en términos del Título Octavo de la </w:t>
      </w:r>
      <w:r w:rsidRPr="0012204B">
        <w:rPr>
          <w:rFonts w:ascii="Palatino Linotype" w:hAnsi="Palatino Linotype" w:cs="Arial"/>
          <w:b/>
          <w:sz w:val="24"/>
          <w:szCs w:val="24"/>
        </w:rPr>
        <w:t>Ley de Transparencia y Acceso a la Información Pública del Estado de México y Municipios</w:t>
      </w:r>
      <w:r w:rsidRPr="0012204B">
        <w:rPr>
          <w:rFonts w:ascii="Palatino Linotype" w:hAnsi="Palatino Linotype" w:cs="Arial"/>
          <w:sz w:val="24"/>
          <w:szCs w:val="24"/>
        </w:rPr>
        <w:t>, y determinar la confirmación; revocación o modificación; desechamiento o sobreseimiento; y en su caso ordenar la entrega de la información.</w:t>
      </w:r>
    </w:p>
    <w:p w:rsidR="00182DF5" w:rsidRPr="0012204B" w:rsidRDefault="00182DF5" w:rsidP="00182DF5">
      <w:pPr>
        <w:spacing w:before="240" w:after="240" w:line="360" w:lineRule="auto"/>
        <w:ind w:left="360"/>
        <w:contextualSpacing/>
        <w:jc w:val="both"/>
        <w:rPr>
          <w:rFonts w:ascii="Palatino Linotype" w:hAnsi="Palatino Linotype"/>
          <w:b/>
          <w:i/>
          <w:sz w:val="24"/>
          <w:szCs w:val="24"/>
        </w:rPr>
      </w:pPr>
    </w:p>
    <w:p w:rsidR="00CA11F0" w:rsidRPr="0012204B" w:rsidRDefault="00CE51CB" w:rsidP="00CA11F0">
      <w:pPr>
        <w:keepNext/>
        <w:keepLines/>
        <w:spacing w:before="240" w:after="0"/>
        <w:outlineLvl w:val="0"/>
        <w:rPr>
          <w:rFonts w:ascii="Palatino Linotype" w:eastAsiaTheme="majorEastAsia" w:hAnsi="Palatino Linotype" w:cstheme="majorBidi"/>
          <w:b/>
          <w:sz w:val="24"/>
          <w:szCs w:val="24"/>
        </w:rPr>
      </w:pPr>
      <w:bookmarkStart w:id="7" w:name="_Toc477891855"/>
      <w:bookmarkStart w:id="8" w:name="_Toc62209469"/>
      <w:r w:rsidRPr="0012204B">
        <w:rPr>
          <w:rFonts w:ascii="Palatino Linotype" w:eastAsiaTheme="majorEastAsia" w:hAnsi="Palatino Linotype" w:cstheme="majorBidi"/>
          <w:b/>
          <w:sz w:val="24"/>
          <w:szCs w:val="24"/>
        </w:rPr>
        <w:t>QUINTO</w:t>
      </w:r>
      <w:r w:rsidR="00CA11F0" w:rsidRPr="0012204B">
        <w:rPr>
          <w:rFonts w:ascii="Palatino Linotype" w:eastAsiaTheme="majorEastAsia" w:hAnsi="Palatino Linotype" w:cstheme="majorBidi"/>
          <w:b/>
          <w:sz w:val="24"/>
          <w:szCs w:val="24"/>
        </w:rPr>
        <w:t>. Del estudio de resolución del asunto</w:t>
      </w:r>
      <w:bookmarkEnd w:id="7"/>
      <w:r w:rsidR="00CA11F0" w:rsidRPr="0012204B">
        <w:rPr>
          <w:rFonts w:ascii="Palatino Linotype" w:eastAsiaTheme="majorEastAsia" w:hAnsi="Palatino Linotype" w:cstheme="majorBidi"/>
          <w:b/>
          <w:sz w:val="24"/>
          <w:szCs w:val="24"/>
        </w:rPr>
        <w:t>.</w:t>
      </w:r>
      <w:bookmarkEnd w:id="8"/>
      <w:r w:rsidR="00CA11F0" w:rsidRPr="0012204B">
        <w:rPr>
          <w:rFonts w:ascii="Palatino Linotype" w:eastAsiaTheme="majorEastAsia" w:hAnsi="Palatino Linotype" w:cstheme="majorBidi"/>
          <w:b/>
          <w:sz w:val="24"/>
          <w:szCs w:val="24"/>
        </w:rPr>
        <w:t xml:space="preserve"> </w:t>
      </w:r>
    </w:p>
    <w:p w:rsidR="00CA11F0" w:rsidRPr="0012204B" w:rsidRDefault="00CA11F0" w:rsidP="00CA11F0">
      <w:pPr>
        <w:spacing w:after="0" w:line="360" w:lineRule="auto"/>
        <w:ind w:right="49"/>
        <w:contextualSpacing/>
        <w:jc w:val="both"/>
        <w:rPr>
          <w:rFonts w:ascii="Palatino Linotype" w:eastAsia="MS Mincho" w:hAnsi="Palatino Linotype" w:cs="Times New Roman"/>
          <w:sz w:val="14"/>
          <w:szCs w:val="24"/>
          <w:lang w:val="es-ES_tradnl" w:eastAsia="es-ES"/>
        </w:rPr>
      </w:pPr>
    </w:p>
    <w:p w:rsidR="00CA11F0" w:rsidRPr="0012204B" w:rsidRDefault="00CA11F0" w:rsidP="00CA11F0">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12204B">
        <w:rPr>
          <w:rFonts w:ascii="Palatino Linotype" w:eastAsia="MS Mincho" w:hAnsi="Palatino Linotype" w:cs="Times New Roman"/>
          <w:sz w:val="24"/>
          <w:szCs w:val="24"/>
          <w:lang w:val="es-ES_tradnl" w:eastAsia="es-ES"/>
        </w:rPr>
        <w:t xml:space="preserve">De acuerdo a la Ley de Transparencia en términos generales, establece que como uno de los objetivos con el que cuenta, es el de garantizar a toda persona el derecho de acceso a la información pública, mediante los procedimientos establecidos de forma sencilla, expedita, oportuna y gratuita, y con ello contribuir a la mejora de procedimientos y mecanismos que permitan </w:t>
      </w:r>
      <w:r w:rsidRPr="0012204B">
        <w:rPr>
          <w:rFonts w:ascii="Palatino Linotype" w:eastAsia="MS Mincho" w:hAnsi="Palatino Linotype" w:cs="Times New Roman"/>
          <w:sz w:val="24"/>
          <w:szCs w:val="24"/>
          <w:lang w:val="es-ES_tradnl" w:eastAsia="es-ES"/>
        </w:rPr>
        <w:lastRenderedPageBreak/>
        <w:t xml:space="preserve">trasparentar la gestión pública y mejora la toma decisiones, a través de la difusión de la información que obra en poder de los Sujetos Obligados, ya que, el derecho de acceso a la información pública por disposición del artículo 4 de la Ley en la materia, es la prerrogativa de las personas para buscar, difundir, investigar, recabar, recibir y solicitar información pública. </w:t>
      </w:r>
    </w:p>
    <w:p w:rsidR="00CA11F0" w:rsidRPr="0012204B" w:rsidRDefault="00CA11F0" w:rsidP="00CA11F0">
      <w:pPr>
        <w:spacing w:after="0" w:line="360" w:lineRule="auto"/>
        <w:ind w:right="34"/>
        <w:contextualSpacing/>
        <w:jc w:val="both"/>
        <w:rPr>
          <w:rFonts w:ascii="Palatino Linotype" w:eastAsia="MS Mincho" w:hAnsi="Palatino Linotype" w:cs="Times New Roman"/>
          <w:sz w:val="24"/>
          <w:szCs w:val="24"/>
          <w:lang w:val="es-ES_tradnl" w:eastAsia="es-ES"/>
        </w:rPr>
      </w:pPr>
    </w:p>
    <w:p w:rsidR="00CA11F0" w:rsidRPr="0012204B" w:rsidRDefault="00CA11F0" w:rsidP="00CA11F0">
      <w:pPr>
        <w:numPr>
          <w:ilvl w:val="0"/>
          <w:numId w:val="2"/>
        </w:numPr>
        <w:spacing w:after="0" w:line="360" w:lineRule="auto"/>
        <w:ind w:right="34"/>
        <w:contextualSpacing/>
        <w:jc w:val="both"/>
        <w:rPr>
          <w:rFonts w:ascii="Palatino Linotype" w:eastAsia="MS Mincho" w:hAnsi="Palatino Linotype" w:cs="Times New Roman"/>
          <w:sz w:val="24"/>
          <w:szCs w:val="24"/>
          <w:lang w:val="es-ES_tradnl" w:eastAsia="es-ES"/>
        </w:rPr>
      </w:pPr>
      <w:r w:rsidRPr="0012204B">
        <w:rPr>
          <w:rFonts w:ascii="Palatino Linotype" w:eastAsia="MS Mincho" w:hAnsi="Palatino Linotype" w:cs="Times New Roman"/>
          <w:sz w:val="24"/>
          <w:szCs w:val="24"/>
          <w:lang w:val="es-ES_tradnl" w:eastAsia="es-ES"/>
        </w:rPr>
        <w:t xml:space="preserve">Es por ello que, el derecho de acceso a la información pública, implica el conocimiento de los particulares de la información contenida en los documentos que posean los órganos del estado; incluso se impone la obligación a las autoridades de preservar sus documentos en archivos administrativos actualizados. </w:t>
      </w:r>
    </w:p>
    <w:p w:rsidR="00CA11F0" w:rsidRPr="0012204B" w:rsidRDefault="00CA11F0" w:rsidP="00CA11F0">
      <w:pPr>
        <w:spacing w:after="0" w:line="360" w:lineRule="auto"/>
        <w:ind w:right="49"/>
        <w:contextualSpacing/>
        <w:jc w:val="both"/>
        <w:rPr>
          <w:rFonts w:ascii="Palatino Linotype" w:eastAsia="MS Mincho" w:hAnsi="Palatino Linotype" w:cs="Times New Roman"/>
          <w:sz w:val="16"/>
          <w:szCs w:val="24"/>
          <w:lang w:val="es-ES_tradnl" w:eastAsia="es-ES"/>
        </w:rPr>
      </w:pPr>
    </w:p>
    <w:p w:rsidR="00CA11F0" w:rsidRPr="0012204B" w:rsidRDefault="00CA11F0" w:rsidP="00CA11F0">
      <w:pPr>
        <w:numPr>
          <w:ilvl w:val="0"/>
          <w:numId w:val="2"/>
        </w:numPr>
        <w:spacing w:after="0" w:line="360" w:lineRule="auto"/>
        <w:ind w:right="34"/>
        <w:contextualSpacing/>
        <w:jc w:val="both"/>
        <w:rPr>
          <w:rFonts w:ascii="Palatino Linotype" w:eastAsia="MS Mincho" w:hAnsi="Palatino Linotype" w:cs="Arial"/>
          <w:sz w:val="24"/>
          <w:szCs w:val="24"/>
          <w:lang w:val="es-ES_tradnl" w:eastAsia="es-ES"/>
        </w:rPr>
      </w:pPr>
      <w:r w:rsidRPr="0012204B">
        <w:rPr>
          <w:rFonts w:ascii="Palatino Linotype" w:eastAsia="MS Mincho" w:hAnsi="Palatino Linotype" w:cs="Times New Roman"/>
          <w:sz w:val="24"/>
          <w:szCs w:val="24"/>
          <w:lang w:val="es-ES_tradnl" w:eastAsia="es-ES"/>
        </w:rPr>
        <w:t>Derivado</w:t>
      </w:r>
      <w:r w:rsidRPr="0012204B">
        <w:rPr>
          <w:rFonts w:ascii="Palatino Linotype" w:eastAsia="MS Mincho" w:hAnsi="Palatino Linotype" w:cs="Arial"/>
          <w:sz w:val="24"/>
          <w:szCs w:val="24"/>
          <w:lang w:val="es-ES_tradnl" w:eastAsia="es-ES"/>
        </w:rPr>
        <w:t xml:space="preserve"> de lo anterior, se precisa que toda aquella información que posean los Sujetos Obligados con motivo del ejercicio de sus atribuciones, esta se encuentra sujeta a la consulta de los ciudadanos que la requieran, misma que de igual forma debe estar disponible en los portales electrónicos de cada </w:t>
      </w:r>
      <w:r w:rsidRPr="0012204B">
        <w:rPr>
          <w:rFonts w:ascii="Palatino Linotype" w:eastAsia="MS Mincho" w:hAnsi="Palatino Linotype" w:cs="Arial"/>
          <w:b/>
          <w:sz w:val="24"/>
          <w:szCs w:val="24"/>
          <w:lang w:val="es-ES_tradnl" w:eastAsia="es-ES"/>
        </w:rPr>
        <w:t xml:space="preserve">SUJETO OBLIGADO </w:t>
      </w:r>
      <w:r w:rsidRPr="0012204B">
        <w:rPr>
          <w:rFonts w:ascii="Palatino Linotype" w:eastAsia="MS Mincho" w:hAnsi="Palatino Linotype" w:cs="Arial"/>
          <w:sz w:val="24"/>
          <w:szCs w:val="24"/>
          <w:lang w:val="es-ES_tradnl" w:eastAsia="es-ES"/>
        </w:rPr>
        <w:t>en los formato preestablecidos.</w:t>
      </w:r>
    </w:p>
    <w:p w:rsidR="00CA11F0" w:rsidRPr="0012204B" w:rsidRDefault="00CA11F0" w:rsidP="00CA11F0">
      <w:pPr>
        <w:spacing w:after="0" w:line="360" w:lineRule="auto"/>
        <w:ind w:right="34"/>
        <w:contextualSpacing/>
        <w:jc w:val="both"/>
        <w:rPr>
          <w:rFonts w:ascii="Palatino Linotype" w:eastAsia="MS Mincho" w:hAnsi="Palatino Linotype" w:cs="Arial"/>
          <w:sz w:val="24"/>
          <w:szCs w:val="24"/>
          <w:lang w:val="es-ES_tradnl" w:eastAsia="es-ES"/>
        </w:rPr>
      </w:pPr>
    </w:p>
    <w:p w:rsidR="00CA11F0" w:rsidRPr="0012204B" w:rsidRDefault="00CA11F0" w:rsidP="00CA11F0">
      <w:pPr>
        <w:numPr>
          <w:ilvl w:val="0"/>
          <w:numId w:val="2"/>
        </w:numPr>
        <w:tabs>
          <w:tab w:val="left" w:pos="0"/>
          <w:tab w:val="left" w:pos="142"/>
        </w:tabs>
        <w:spacing w:after="0" w:line="360" w:lineRule="auto"/>
        <w:ind w:right="34"/>
        <w:contextualSpacing/>
        <w:jc w:val="both"/>
        <w:rPr>
          <w:rFonts w:ascii="Palatino Linotype" w:eastAsia="MS Mincho" w:hAnsi="Palatino Linotype" w:cs="Arial"/>
          <w:sz w:val="24"/>
          <w:szCs w:val="24"/>
          <w:lang w:val="es-ES_tradnl" w:eastAsia="es-ES"/>
        </w:rPr>
      </w:pPr>
      <w:r w:rsidRPr="0012204B">
        <w:rPr>
          <w:rFonts w:ascii="Palatino Linotype" w:eastAsia="MS Mincho" w:hAnsi="Palatino Linotype" w:cs="Arial"/>
          <w:sz w:val="24"/>
          <w:szCs w:val="24"/>
          <w:lang w:val="es-ES_tradnl" w:eastAsia="es-ES"/>
        </w:rPr>
        <w:t xml:space="preserve">Luego entonces, </w:t>
      </w:r>
      <w:r w:rsidRPr="0012204B">
        <w:rPr>
          <w:rFonts w:ascii="Palatino Linotype" w:eastAsia="MS Mincho" w:hAnsi="Palatino Linotype" w:cs="Times New Roman"/>
          <w:sz w:val="24"/>
          <w:szCs w:val="24"/>
          <w:lang w:val="es-ES_tradnl" w:eastAsia="es-ES"/>
        </w:rPr>
        <w:t xml:space="preserve">se procede al análisis del contenido de la información remitida en las respuesta, </w:t>
      </w:r>
      <w:r w:rsidRPr="0012204B">
        <w:rPr>
          <w:rFonts w:ascii="Palatino Linotype" w:eastAsia="MS Mincho" w:hAnsi="Palatino Linotype" w:cs="Arial"/>
          <w:sz w:val="24"/>
          <w:szCs w:val="24"/>
          <w:lang w:val="es-ES_tradnl" w:eastAsia="es-ES"/>
        </w:rPr>
        <w:t xml:space="preserve">para determinar si es congruente, actualizada y completa  de no ser el caso se ordenara la entrega de la información en los términos establecido por la Ley a efecto de dar certeza jurídica en cuanto a la información proporcionada en respuesta, como de igual manera verificar si está sujeta a un  régimen limitado de restricciones para su respectiva entrega, de </w:t>
      </w:r>
      <w:r w:rsidRPr="0012204B">
        <w:rPr>
          <w:rFonts w:ascii="Palatino Linotype" w:eastAsia="MS Mincho" w:hAnsi="Palatino Linotype" w:cs="Times New Roman"/>
          <w:sz w:val="24"/>
          <w:szCs w:val="24"/>
          <w:lang w:val="es-ES_tradnl" w:eastAsia="es-ES"/>
        </w:rPr>
        <w:t>conformidad con lo establecido por  el artículo 11 de la Ley en la materia, que a la letra dice:</w:t>
      </w:r>
    </w:p>
    <w:p w:rsidR="00CA11F0" w:rsidRPr="0012204B" w:rsidRDefault="00CA11F0" w:rsidP="00CA11F0">
      <w:pPr>
        <w:spacing w:after="0" w:line="360" w:lineRule="auto"/>
        <w:ind w:right="49"/>
        <w:contextualSpacing/>
        <w:jc w:val="both"/>
        <w:rPr>
          <w:rFonts w:ascii="Palatino Linotype" w:eastAsia="MS Mincho" w:hAnsi="Palatino Linotype" w:cs="Arial"/>
          <w:sz w:val="24"/>
          <w:szCs w:val="24"/>
          <w:lang w:val="es-ES_tradnl" w:eastAsia="es-ES"/>
        </w:rPr>
      </w:pPr>
    </w:p>
    <w:p w:rsidR="00CA11F0" w:rsidRPr="0012204B" w:rsidRDefault="00CA11F0" w:rsidP="00CA11F0">
      <w:pPr>
        <w:spacing w:after="0" w:line="360" w:lineRule="auto"/>
        <w:ind w:left="567" w:right="615"/>
        <w:contextualSpacing/>
        <w:jc w:val="both"/>
        <w:rPr>
          <w:rFonts w:ascii="Palatino Linotype" w:eastAsia="MS Mincho" w:hAnsi="Palatino Linotype" w:cs="Arial"/>
          <w:i/>
          <w:sz w:val="24"/>
          <w:szCs w:val="24"/>
          <w:lang w:eastAsia="es-ES"/>
        </w:rPr>
      </w:pPr>
      <w:r w:rsidRPr="0012204B">
        <w:rPr>
          <w:rFonts w:ascii="Palatino Linotype" w:eastAsia="MS Mincho" w:hAnsi="Palatino Linotype" w:cs="Arial"/>
          <w:i/>
          <w:sz w:val="24"/>
          <w:szCs w:val="24"/>
          <w:lang w:eastAsia="es-ES"/>
        </w:rPr>
        <w:t>“Artículo 11. En la generación, publicación y entrega de información se deberá garantizar que ésta sea accesible, actualizada, completa, congruente, confiable, verificable, veraz, integral, oportuna y expedita, sujeta a un claro régimen de excepciones que deberá estar definido y ser además legítima y estrictamente necesaria en una sociedad democrática, por lo que atenderá las necesidades del derecho de acceso a la información de toda persona.</w:t>
      </w:r>
    </w:p>
    <w:p w:rsidR="00CA11F0" w:rsidRPr="0012204B" w:rsidRDefault="00CA11F0" w:rsidP="00CA11F0">
      <w:pPr>
        <w:spacing w:after="0" w:line="360" w:lineRule="auto"/>
        <w:ind w:left="567" w:right="49"/>
        <w:contextualSpacing/>
        <w:jc w:val="both"/>
        <w:rPr>
          <w:rFonts w:ascii="Palatino Linotype" w:eastAsia="MS Mincho" w:hAnsi="Palatino Linotype" w:cs="Arial"/>
          <w:i/>
          <w:sz w:val="24"/>
          <w:szCs w:val="24"/>
          <w:lang w:eastAsia="es-ES"/>
        </w:rPr>
      </w:pPr>
      <w:r w:rsidRPr="0012204B">
        <w:rPr>
          <w:rFonts w:ascii="Palatino Linotype" w:eastAsia="MS Mincho" w:hAnsi="Palatino Linotype" w:cs="Arial"/>
          <w:i/>
          <w:sz w:val="24"/>
          <w:szCs w:val="24"/>
          <w:lang w:eastAsia="es-ES"/>
        </w:rPr>
        <w:t>…”</w:t>
      </w:r>
    </w:p>
    <w:p w:rsidR="00CA11F0" w:rsidRPr="0012204B" w:rsidRDefault="00CA11F0" w:rsidP="00CA11F0">
      <w:pPr>
        <w:spacing w:after="0" w:line="360" w:lineRule="auto"/>
        <w:ind w:right="49"/>
        <w:contextualSpacing/>
        <w:jc w:val="both"/>
        <w:rPr>
          <w:rFonts w:ascii="Palatino Linotype" w:eastAsia="MS Mincho" w:hAnsi="Palatino Linotype" w:cs="Arial"/>
          <w:i/>
          <w:sz w:val="24"/>
          <w:szCs w:val="24"/>
          <w:lang w:eastAsia="es-ES"/>
        </w:rPr>
      </w:pPr>
    </w:p>
    <w:p w:rsidR="00CA11F0" w:rsidRPr="0012204B" w:rsidRDefault="00CA11F0" w:rsidP="00CA11F0">
      <w:pPr>
        <w:keepNext/>
        <w:keepLines/>
        <w:numPr>
          <w:ilvl w:val="0"/>
          <w:numId w:val="4"/>
        </w:numPr>
        <w:spacing w:before="40" w:after="0"/>
        <w:contextualSpacing/>
        <w:outlineLvl w:val="1"/>
        <w:rPr>
          <w:rFonts w:ascii="Palatino Linotype" w:eastAsia="MS Mincho" w:hAnsi="Palatino Linotype" w:cstheme="majorBidi"/>
          <w:b/>
          <w:i/>
          <w:sz w:val="24"/>
          <w:szCs w:val="24"/>
          <w:lang w:eastAsia="es-ES"/>
        </w:rPr>
      </w:pPr>
      <w:bookmarkStart w:id="9" w:name="_Toc62209470"/>
      <w:r w:rsidRPr="0012204B">
        <w:rPr>
          <w:rFonts w:ascii="Palatino Linotype" w:eastAsia="MS Mincho" w:hAnsi="Palatino Linotype" w:cstheme="majorBidi"/>
          <w:b/>
          <w:i/>
          <w:sz w:val="24"/>
          <w:szCs w:val="24"/>
          <w:lang w:eastAsia="es-ES"/>
        </w:rPr>
        <w:t>De la respuesta del Sujeto Obligado.</w:t>
      </w:r>
      <w:bookmarkEnd w:id="9"/>
    </w:p>
    <w:p w:rsidR="00CA11F0" w:rsidRPr="0012204B" w:rsidRDefault="00CA11F0" w:rsidP="00CA11F0">
      <w:pPr>
        <w:rPr>
          <w:lang w:eastAsia="es-ES"/>
        </w:rPr>
      </w:pPr>
    </w:p>
    <w:p w:rsidR="004646F6" w:rsidRPr="0012204B" w:rsidRDefault="00CA11F0" w:rsidP="00CA11F0">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val="es-ES_tradnl" w:eastAsia="es-ES"/>
        </w:rPr>
        <w:t xml:space="preserve">Estando en tiempo y forma el </w:t>
      </w:r>
      <w:r w:rsidRPr="0012204B">
        <w:rPr>
          <w:rFonts w:ascii="Palatino Linotype" w:eastAsia="MS Mincho" w:hAnsi="Palatino Linotype" w:cstheme="majorBidi"/>
          <w:b/>
          <w:sz w:val="24"/>
          <w:szCs w:val="24"/>
          <w:lang w:val="es-ES_tradnl" w:eastAsia="es-ES"/>
        </w:rPr>
        <w:t>SUJETO OBLIGADO</w:t>
      </w:r>
      <w:r w:rsidRPr="0012204B">
        <w:rPr>
          <w:rFonts w:ascii="Palatino Linotype" w:eastAsia="MS Mincho" w:hAnsi="Palatino Linotype" w:cstheme="majorBidi"/>
          <w:sz w:val="24"/>
          <w:szCs w:val="24"/>
          <w:lang w:val="es-ES_tradnl" w:eastAsia="es-ES"/>
        </w:rPr>
        <w:t xml:space="preserve"> dio respuesta a la solicitud de información del p</w:t>
      </w:r>
      <w:r w:rsidR="004646F6" w:rsidRPr="0012204B">
        <w:rPr>
          <w:rFonts w:ascii="Palatino Linotype" w:eastAsia="MS Mincho" w:hAnsi="Palatino Linotype" w:cstheme="majorBidi"/>
          <w:sz w:val="24"/>
          <w:szCs w:val="24"/>
          <w:lang w:val="es-ES_tradnl" w:eastAsia="es-ES"/>
        </w:rPr>
        <w:t xml:space="preserve">articular, la cual consistió en informar que lo requerido se podía consultar en la página electrónica </w:t>
      </w:r>
      <w:hyperlink r:id="rId8" w:history="1">
        <w:r w:rsidR="004646F6" w:rsidRPr="0012204B">
          <w:rPr>
            <w:rStyle w:val="Hipervnculo"/>
            <w:rFonts w:ascii="Palatino Linotype" w:eastAsia="MS Mincho" w:hAnsi="Palatino Linotype" w:cstheme="majorBidi"/>
            <w:i/>
            <w:sz w:val="24"/>
            <w:szCs w:val="24"/>
            <w:lang w:eastAsia="es-ES"/>
          </w:rPr>
          <w:t>https://www.ipomex.org.mx/ipo3/lgt/indice/papalotla.web</w:t>
        </w:r>
      </w:hyperlink>
      <w:r w:rsidR="004646F6" w:rsidRPr="0012204B">
        <w:rPr>
          <w:rFonts w:ascii="Palatino Linotype" w:eastAsia="MS Mincho" w:hAnsi="Palatino Linotype" w:cstheme="majorBidi"/>
          <w:i/>
          <w:sz w:val="24"/>
          <w:szCs w:val="24"/>
          <w:lang w:eastAsia="es-ES"/>
        </w:rPr>
        <w:t xml:space="preserve">, numeral 92 fracción XXXVII apartado A; </w:t>
      </w:r>
      <w:r w:rsidR="004646F6" w:rsidRPr="0012204B">
        <w:rPr>
          <w:rFonts w:ascii="Palatino Linotype" w:eastAsia="MS Mincho" w:hAnsi="Palatino Linotype" w:cstheme="majorBidi"/>
          <w:sz w:val="24"/>
          <w:szCs w:val="24"/>
          <w:lang w:eastAsia="es-ES"/>
        </w:rPr>
        <w:t xml:space="preserve">situación por la cual </w:t>
      </w:r>
      <w:r w:rsidR="00BA090A" w:rsidRPr="0012204B">
        <w:rPr>
          <w:rFonts w:ascii="Palatino Linotype" w:eastAsia="MS Mincho" w:hAnsi="Palatino Linotype" w:cstheme="majorBidi"/>
          <w:sz w:val="24"/>
          <w:szCs w:val="24"/>
          <w:lang w:eastAsia="es-ES"/>
        </w:rPr>
        <w:t>fue necesario verificar el contenido de dicha dirección, con la finalidad de ver si la información corresponde a lo solicitado, sea completa y congruente, para lo cual se obtuvo el siguiente resultado:</w:t>
      </w:r>
    </w:p>
    <w:p w:rsidR="00BA090A" w:rsidRPr="0012204B" w:rsidRDefault="00BA090A" w:rsidP="00BA090A">
      <w:pPr>
        <w:spacing w:after="0" w:line="360" w:lineRule="auto"/>
        <w:ind w:left="360"/>
        <w:contextualSpacing/>
        <w:jc w:val="both"/>
        <w:rPr>
          <w:rFonts w:ascii="Palatino Linotype" w:eastAsia="MS Mincho" w:hAnsi="Palatino Linotype" w:cstheme="majorBidi"/>
          <w:sz w:val="24"/>
          <w:szCs w:val="24"/>
          <w:lang w:eastAsia="es-ES"/>
        </w:rPr>
      </w:pPr>
      <w:r w:rsidRPr="0012204B">
        <w:rPr>
          <w:noProof/>
          <w:lang w:eastAsia="es-MX"/>
        </w:rPr>
        <w:lastRenderedPageBreak/>
        <w:drawing>
          <wp:inline distT="0" distB="0" distL="0" distR="0" wp14:anchorId="2E54150D" wp14:editId="49584BE9">
            <wp:extent cx="5374256" cy="2944825"/>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7070" t="13127" r="17909" b="14684"/>
                    <a:stretch/>
                  </pic:blipFill>
                  <pic:spPr bwMode="auto">
                    <a:xfrm>
                      <a:off x="0" y="0"/>
                      <a:ext cx="5401696" cy="2959861"/>
                    </a:xfrm>
                    <a:prstGeom prst="rect">
                      <a:avLst/>
                    </a:prstGeom>
                    <a:ln>
                      <a:noFill/>
                    </a:ln>
                    <a:extLst>
                      <a:ext uri="{53640926-AAD7-44D8-BBD7-CCE9431645EC}">
                        <a14:shadowObscured xmlns:a14="http://schemas.microsoft.com/office/drawing/2010/main"/>
                      </a:ext>
                    </a:extLst>
                  </pic:spPr>
                </pic:pic>
              </a:graphicData>
            </a:graphic>
          </wp:inline>
        </w:drawing>
      </w:r>
    </w:p>
    <w:p w:rsidR="00BA090A" w:rsidRPr="0012204B" w:rsidRDefault="00BA090A" w:rsidP="00BA090A">
      <w:pPr>
        <w:spacing w:after="0" w:line="360" w:lineRule="auto"/>
        <w:ind w:left="360"/>
        <w:contextualSpacing/>
        <w:jc w:val="both"/>
        <w:rPr>
          <w:rFonts w:ascii="Palatino Linotype" w:eastAsia="MS Mincho" w:hAnsi="Palatino Linotype" w:cstheme="majorBidi"/>
          <w:sz w:val="24"/>
          <w:szCs w:val="24"/>
          <w:lang w:eastAsia="es-ES"/>
        </w:rPr>
      </w:pPr>
    </w:p>
    <w:p w:rsidR="00BA090A" w:rsidRPr="0012204B" w:rsidRDefault="00BA090A" w:rsidP="00BA090A">
      <w:pPr>
        <w:spacing w:after="0" w:line="360" w:lineRule="auto"/>
        <w:ind w:left="360"/>
        <w:contextualSpacing/>
        <w:jc w:val="both"/>
        <w:rPr>
          <w:rFonts w:ascii="Palatino Linotype" w:eastAsia="MS Mincho" w:hAnsi="Palatino Linotype" w:cstheme="majorBidi"/>
          <w:sz w:val="24"/>
          <w:szCs w:val="24"/>
          <w:lang w:eastAsia="es-ES"/>
        </w:rPr>
      </w:pPr>
      <w:r w:rsidRPr="0012204B">
        <w:rPr>
          <w:noProof/>
          <w:lang w:eastAsia="es-MX"/>
        </w:rPr>
        <mc:AlternateContent>
          <mc:Choice Requires="wps">
            <w:drawing>
              <wp:anchor distT="0" distB="0" distL="114300" distR="114300" simplePos="0" relativeHeight="251666432" behindDoc="0" locked="0" layoutInCell="1" allowOverlap="1">
                <wp:simplePos x="0" y="0"/>
                <wp:positionH relativeFrom="column">
                  <wp:posOffset>2828026</wp:posOffset>
                </wp:positionH>
                <wp:positionV relativeFrom="paragraph">
                  <wp:posOffset>276561</wp:posOffset>
                </wp:positionV>
                <wp:extent cx="1354347" cy="500332"/>
                <wp:effectExtent l="19050" t="19050" r="17780" b="14605"/>
                <wp:wrapNone/>
                <wp:docPr id="9" name="Rectángulo 9"/>
                <wp:cNvGraphicFramePr/>
                <a:graphic xmlns:a="http://schemas.openxmlformats.org/drawingml/2006/main">
                  <a:graphicData uri="http://schemas.microsoft.com/office/word/2010/wordprocessingShape">
                    <wps:wsp>
                      <wps:cNvSpPr/>
                      <wps:spPr>
                        <a:xfrm>
                          <a:off x="0" y="0"/>
                          <a:ext cx="1354347" cy="500332"/>
                        </a:xfrm>
                        <a:prstGeom prst="rect">
                          <a:avLst/>
                        </a:prstGeom>
                        <a:noFill/>
                        <a:ln w="38100">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DE8B41" id="Rectángulo 9" o:spid="_x0000_s1026" style="position:absolute;margin-left:222.7pt;margin-top:21.8pt;width:106.65pt;height:39.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" filled="f" strokecolor="yellow" strokeweight="3pt"/>
            </w:pict>
          </mc:Fallback>
        </mc:AlternateContent>
      </w:r>
      <w:r w:rsidRPr="0012204B">
        <w:rPr>
          <w:noProof/>
          <w:lang w:eastAsia="es-MX"/>
        </w:rPr>
        <w:drawing>
          <wp:inline distT="0" distB="0" distL="0" distR="0" wp14:anchorId="33B15780" wp14:editId="3D2AE382">
            <wp:extent cx="5346065" cy="2691441"/>
            <wp:effectExtent l="0" t="0" r="698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6765" t="38008" r="17861" b="15085"/>
                    <a:stretch/>
                  </pic:blipFill>
                  <pic:spPr bwMode="auto">
                    <a:xfrm>
                      <a:off x="0" y="0"/>
                      <a:ext cx="5399483" cy="2718334"/>
                    </a:xfrm>
                    <a:prstGeom prst="rect">
                      <a:avLst/>
                    </a:prstGeom>
                    <a:ln>
                      <a:noFill/>
                    </a:ln>
                    <a:extLst>
                      <a:ext uri="{53640926-AAD7-44D8-BBD7-CCE9431645EC}">
                        <a14:shadowObscured xmlns:a14="http://schemas.microsoft.com/office/drawing/2010/main"/>
                      </a:ext>
                    </a:extLst>
                  </pic:spPr>
                </pic:pic>
              </a:graphicData>
            </a:graphic>
          </wp:inline>
        </w:drawing>
      </w:r>
    </w:p>
    <w:p w:rsidR="00BA090A" w:rsidRPr="0012204B" w:rsidRDefault="00BA090A" w:rsidP="00BA090A">
      <w:pPr>
        <w:spacing w:after="0" w:line="360" w:lineRule="auto"/>
        <w:ind w:left="360"/>
        <w:contextualSpacing/>
        <w:jc w:val="both"/>
        <w:rPr>
          <w:rFonts w:ascii="Palatino Linotype" w:eastAsia="MS Mincho" w:hAnsi="Palatino Linotype" w:cstheme="majorBidi"/>
          <w:sz w:val="24"/>
          <w:szCs w:val="24"/>
          <w:lang w:eastAsia="es-ES"/>
        </w:rPr>
      </w:pPr>
    </w:p>
    <w:p w:rsidR="00BA090A" w:rsidRPr="0012204B" w:rsidRDefault="001446F4" w:rsidP="00BA090A">
      <w:pPr>
        <w:spacing w:after="0" w:line="360" w:lineRule="auto"/>
        <w:ind w:left="360"/>
        <w:contextualSpacing/>
        <w:jc w:val="both"/>
        <w:rPr>
          <w:rFonts w:ascii="Palatino Linotype" w:eastAsia="MS Mincho" w:hAnsi="Palatino Linotype" w:cstheme="majorBidi"/>
          <w:sz w:val="24"/>
          <w:szCs w:val="24"/>
          <w:lang w:eastAsia="es-ES"/>
        </w:rPr>
      </w:pPr>
      <w:r w:rsidRPr="0012204B">
        <w:rPr>
          <w:noProof/>
          <w:lang w:eastAsia="es-MX"/>
        </w:rPr>
        <w:lastRenderedPageBreak/>
        <w:drawing>
          <wp:inline distT="0" distB="0" distL="0" distR="0" wp14:anchorId="6CA9E9FB" wp14:editId="56B25C8C">
            <wp:extent cx="5296434" cy="3674853"/>
            <wp:effectExtent l="0" t="0" r="0" b="190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7680" t="13674" r="18370" b="20974"/>
                    <a:stretch/>
                  </pic:blipFill>
                  <pic:spPr bwMode="auto">
                    <a:xfrm>
                      <a:off x="0" y="0"/>
                      <a:ext cx="5314179" cy="3687165"/>
                    </a:xfrm>
                    <a:prstGeom prst="rect">
                      <a:avLst/>
                    </a:prstGeom>
                    <a:ln>
                      <a:noFill/>
                    </a:ln>
                    <a:extLst>
                      <a:ext uri="{53640926-AAD7-44D8-BBD7-CCE9431645EC}">
                        <a14:shadowObscured xmlns:a14="http://schemas.microsoft.com/office/drawing/2010/main"/>
                      </a:ext>
                    </a:extLst>
                  </pic:spPr>
                </pic:pic>
              </a:graphicData>
            </a:graphic>
          </wp:inline>
        </w:drawing>
      </w:r>
    </w:p>
    <w:p w:rsidR="00BA090A" w:rsidRPr="0012204B" w:rsidRDefault="00BA090A" w:rsidP="00BA090A">
      <w:pPr>
        <w:spacing w:after="0" w:line="360" w:lineRule="auto"/>
        <w:ind w:left="360"/>
        <w:contextualSpacing/>
        <w:jc w:val="both"/>
        <w:rPr>
          <w:rFonts w:ascii="Palatino Linotype" w:eastAsia="MS Mincho" w:hAnsi="Palatino Linotype" w:cstheme="majorBidi"/>
          <w:sz w:val="24"/>
          <w:szCs w:val="24"/>
          <w:lang w:eastAsia="es-ES"/>
        </w:rPr>
      </w:pPr>
    </w:p>
    <w:p w:rsidR="00BA090A" w:rsidRPr="0012204B" w:rsidRDefault="001446F4" w:rsidP="00BA090A">
      <w:pPr>
        <w:spacing w:after="0" w:line="360" w:lineRule="auto"/>
        <w:ind w:left="360"/>
        <w:contextualSpacing/>
        <w:jc w:val="both"/>
        <w:rPr>
          <w:rFonts w:ascii="Palatino Linotype" w:eastAsia="MS Mincho" w:hAnsi="Palatino Linotype" w:cstheme="majorBidi"/>
          <w:sz w:val="24"/>
          <w:szCs w:val="24"/>
          <w:lang w:eastAsia="es-ES"/>
        </w:rPr>
      </w:pPr>
      <w:r w:rsidRPr="0012204B">
        <w:rPr>
          <w:noProof/>
          <w:lang w:eastAsia="es-MX"/>
        </w:rPr>
        <w:lastRenderedPageBreak/>
        <w:drawing>
          <wp:inline distT="0" distB="0" distL="0" distR="0" wp14:anchorId="19B33EE1" wp14:editId="5452D7DE">
            <wp:extent cx="5339751" cy="3817897"/>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217" t="13946" r="18216" b="6481"/>
                    <a:stretch/>
                  </pic:blipFill>
                  <pic:spPr bwMode="auto">
                    <a:xfrm>
                      <a:off x="0" y="0"/>
                      <a:ext cx="5353433" cy="3827680"/>
                    </a:xfrm>
                    <a:prstGeom prst="rect">
                      <a:avLst/>
                    </a:prstGeom>
                    <a:ln>
                      <a:noFill/>
                    </a:ln>
                    <a:extLst>
                      <a:ext uri="{53640926-AAD7-44D8-BBD7-CCE9431645EC}">
                        <a14:shadowObscured xmlns:a14="http://schemas.microsoft.com/office/drawing/2010/main"/>
                      </a:ext>
                    </a:extLst>
                  </pic:spPr>
                </pic:pic>
              </a:graphicData>
            </a:graphic>
          </wp:inline>
        </w:drawing>
      </w:r>
    </w:p>
    <w:p w:rsidR="00BA090A" w:rsidRPr="0012204B" w:rsidRDefault="00BA090A" w:rsidP="00BA090A">
      <w:pPr>
        <w:spacing w:after="0" w:line="360" w:lineRule="auto"/>
        <w:ind w:left="360"/>
        <w:contextualSpacing/>
        <w:jc w:val="both"/>
        <w:rPr>
          <w:rFonts w:ascii="Palatino Linotype" w:eastAsia="MS Mincho" w:hAnsi="Palatino Linotype" w:cstheme="majorBidi"/>
          <w:sz w:val="24"/>
          <w:szCs w:val="24"/>
          <w:lang w:eastAsia="es-ES"/>
        </w:rPr>
      </w:pPr>
    </w:p>
    <w:p w:rsidR="00BA090A" w:rsidRPr="0012204B" w:rsidRDefault="00BA090A" w:rsidP="001446F4">
      <w:pPr>
        <w:spacing w:after="0" w:line="360" w:lineRule="auto"/>
        <w:contextualSpacing/>
        <w:jc w:val="both"/>
        <w:rPr>
          <w:rFonts w:ascii="Palatino Linotype" w:eastAsia="MS Mincho" w:hAnsi="Palatino Linotype" w:cstheme="majorBidi"/>
          <w:sz w:val="24"/>
          <w:szCs w:val="24"/>
          <w:lang w:val="es-ES_tradnl" w:eastAsia="es-ES"/>
        </w:rPr>
      </w:pPr>
    </w:p>
    <w:p w:rsidR="004646F6" w:rsidRPr="0012204B" w:rsidRDefault="001446F4" w:rsidP="00CA11F0">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val="es-ES_tradnl" w:eastAsia="es-ES"/>
        </w:rPr>
        <w:t xml:space="preserve"> De la consulta realizada se puede observar que la información correspondiente a</w:t>
      </w:r>
      <w:r w:rsidR="00972EAD" w:rsidRPr="0012204B">
        <w:rPr>
          <w:rFonts w:ascii="Palatino Linotype" w:eastAsia="MS Mincho" w:hAnsi="Palatino Linotype" w:cstheme="majorBidi"/>
          <w:sz w:val="24"/>
          <w:szCs w:val="24"/>
          <w:lang w:val="es-ES_tradnl" w:eastAsia="es-ES"/>
        </w:rPr>
        <w:t xml:space="preserve"> la copia simple de la siguiente documentación de los años 2018, 2019 y 2020</w:t>
      </w:r>
      <w:r w:rsidRPr="0012204B">
        <w:rPr>
          <w:rFonts w:ascii="Palatino Linotype" w:eastAsia="MS Mincho" w:hAnsi="Palatino Linotype" w:cstheme="majorBidi"/>
          <w:sz w:val="24"/>
          <w:szCs w:val="24"/>
          <w:lang w:val="es-ES_tradnl" w:eastAsia="es-ES"/>
        </w:rPr>
        <w:t>:</w:t>
      </w:r>
    </w:p>
    <w:p w:rsidR="00972EAD" w:rsidRPr="0012204B" w:rsidRDefault="00972EAD" w:rsidP="00972EAD">
      <w:pPr>
        <w:pStyle w:val="Prrafodelista"/>
        <w:numPr>
          <w:ilvl w:val="0"/>
          <w:numId w:val="7"/>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t xml:space="preserve">Actas Administrativas del Comité de Bienes Muebles e Inmuebles para dar de </w:t>
      </w:r>
      <w:r w:rsidRPr="0012204B">
        <w:rPr>
          <w:rFonts w:ascii="Palatino Linotype" w:eastAsia="Calibri" w:hAnsi="Palatino Linotype" w:cs="Arial"/>
          <w:b/>
          <w:i/>
          <w:sz w:val="24"/>
          <w:szCs w:val="24"/>
          <w:u w:val="single"/>
          <w:lang w:eastAsia="es-ES"/>
        </w:rPr>
        <w:t>Baja bienes muebles por enajenación</w:t>
      </w:r>
      <w:r w:rsidRPr="0012204B">
        <w:rPr>
          <w:rFonts w:ascii="Palatino Linotype" w:eastAsia="Calibri" w:hAnsi="Palatino Linotype" w:cs="Arial"/>
          <w:i/>
          <w:sz w:val="24"/>
          <w:szCs w:val="24"/>
          <w:lang w:eastAsia="es-ES"/>
        </w:rPr>
        <w:t>.</w:t>
      </w:r>
    </w:p>
    <w:p w:rsidR="00972EAD" w:rsidRPr="0012204B" w:rsidRDefault="00972EAD" w:rsidP="00972EAD">
      <w:pPr>
        <w:pStyle w:val="Prrafodelista"/>
        <w:numPr>
          <w:ilvl w:val="0"/>
          <w:numId w:val="7"/>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t xml:space="preserve">Actas de su órgano máximo de gobierno para dar de </w:t>
      </w:r>
      <w:r w:rsidRPr="0012204B">
        <w:rPr>
          <w:rFonts w:ascii="Palatino Linotype" w:eastAsia="Calibri" w:hAnsi="Palatino Linotype" w:cs="Arial"/>
          <w:b/>
          <w:i/>
          <w:sz w:val="24"/>
          <w:szCs w:val="24"/>
          <w:u w:val="single"/>
          <w:lang w:eastAsia="es-ES"/>
        </w:rPr>
        <w:t>baja bienes muebles por enajenación</w:t>
      </w:r>
      <w:r w:rsidRPr="0012204B">
        <w:rPr>
          <w:rFonts w:ascii="Palatino Linotype" w:eastAsia="Calibri" w:hAnsi="Palatino Linotype" w:cs="Arial"/>
          <w:i/>
          <w:sz w:val="24"/>
          <w:szCs w:val="24"/>
          <w:lang w:eastAsia="es-ES"/>
        </w:rPr>
        <w:t>.</w:t>
      </w:r>
    </w:p>
    <w:p w:rsidR="00972EAD" w:rsidRPr="0012204B" w:rsidRDefault="00972EAD" w:rsidP="00972EAD">
      <w:pPr>
        <w:pStyle w:val="Prrafodelista"/>
        <w:numPr>
          <w:ilvl w:val="0"/>
          <w:numId w:val="7"/>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t xml:space="preserve">Actas Administrativas levantadas por el titular del órgano de control interno o equivalente, para dar de </w:t>
      </w:r>
      <w:r w:rsidRPr="0012204B">
        <w:rPr>
          <w:rFonts w:ascii="Palatino Linotype" w:eastAsia="Calibri" w:hAnsi="Palatino Linotype" w:cs="Arial"/>
          <w:b/>
          <w:i/>
          <w:sz w:val="24"/>
          <w:szCs w:val="24"/>
          <w:u w:val="single"/>
          <w:lang w:eastAsia="es-ES"/>
        </w:rPr>
        <w:t>baja bienes muebles por robo o siniestro</w:t>
      </w:r>
      <w:r w:rsidRPr="0012204B">
        <w:rPr>
          <w:rFonts w:ascii="Palatino Linotype" w:eastAsia="Calibri" w:hAnsi="Palatino Linotype" w:cs="Arial"/>
          <w:i/>
          <w:sz w:val="24"/>
          <w:szCs w:val="24"/>
          <w:lang w:eastAsia="es-ES"/>
        </w:rPr>
        <w:t>.</w:t>
      </w:r>
    </w:p>
    <w:p w:rsidR="00972EAD" w:rsidRPr="0012204B" w:rsidRDefault="00972EAD" w:rsidP="00972EAD">
      <w:pPr>
        <w:pStyle w:val="Prrafodelista"/>
        <w:numPr>
          <w:ilvl w:val="0"/>
          <w:numId w:val="7"/>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lastRenderedPageBreak/>
        <w:t xml:space="preserve">Actas del órgano máximo de gobierno donde </w:t>
      </w:r>
      <w:r w:rsidRPr="0012204B">
        <w:rPr>
          <w:rFonts w:ascii="Palatino Linotype" w:eastAsia="Calibri" w:hAnsi="Palatino Linotype" w:cs="Arial"/>
          <w:b/>
          <w:i/>
          <w:sz w:val="24"/>
          <w:szCs w:val="24"/>
          <w:u w:val="single"/>
          <w:lang w:eastAsia="es-ES"/>
        </w:rPr>
        <w:t>autorice la baja del bien mueble por robo o siniestro</w:t>
      </w:r>
      <w:r w:rsidRPr="0012204B">
        <w:rPr>
          <w:rFonts w:ascii="Palatino Linotype" w:eastAsia="Calibri" w:hAnsi="Palatino Linotype" w:cs="Arial"/>
          <w:i/>
          <w:sz w:val="24"/>
          <w:szCs w:val="24"/>
          <w:lang w:eastAsia="es-ES"/>
        </w:rPr>
        <w:t>.</w:t>
      </w:r>
    </w:p>
    <w:p w:rsidR="00972EAD" w:rsidRPr="0012204B" w:rsidRDefault="00972EAD" w:rsidP="00972EAD">
      <w:pPr>
        <w:pStyle w:val="Prrafodelista"/>
        <w:numPr>
          <w:ilvl w:val="0"/>
          <w:numId w:val="7"/>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i/>
          <w:sz w:val="24"/>
          <w:szCs w:val="24"/>
          <w:lang w:eastAsia="es-ES"/>
        </w:rPr>
        <w:t xml:space="preserve"> </w:t>
      </w:r>
      <w:r w:rsidRPr="0012204B">
        <w:rPr>
          <w:rFonts w:ascii="Palatino Linotype" w:eastAsia="Calibri" w:hAnsi="Palatino Linotype" w:cs="Arial"/>
          <w:b/>
          <w:i/>
          <w:sz w:val="24"/>
          <w:szCs w:val="24"/>
          <w:lang w:eastAsia="es-ES"/>
        </w:rPr>
        <w:t xml:space="preserve">Actas administrativas firmada por el comité de Bienes Muebles e Inmuebles, donde se </w:t>
      </w:r>
      <w:r w:rsidRPr="0012204B">
        <w:rPr>
          <w:rFonts w:ascii="Palatino Linotype" w:eastAsia="Calibri" w:hAnsi="Palatino Linotype" w:cs="Arial"/>
          <w:b/>
          <w:i/>
          <w:sz w:val="24"/>
          <w:szCs w:val="24"/>
          <w:u w:val="single"/>
          <w:lang w:eastAsia="es-ES"/>
        </w:rPr>
        <w:t>avale los bienes susceptibles a destruir</w:t>
      </w:r>
      <w:r w:rsidRPr="0012204B">
        <w:rPr>
          <w:rFonts w:ascii="Palatino Linotype" w:eastAsia="Calibri" w:hAnsi="Palatino Linotype" w:cs="Arial"/>
          <w:i/>
          <w:sz w:val="24"/>
          <w:szCs w:val="24"/>
          <w:lang w:eastAsia="es-ES"/>
        </w:rPr>
        <w:t>.</w:t>
      </w:r>
    </w:p>
    <w:p w:rsidR="00972EAD" w:rsidRPr="0012204B" w:rsidRDefault="00972EAD" w:rsidP="00972EAD">
      <w:pPr>
        <w:pStyle w:val="Prrafodelista"/>
        <w:numPr>
          <w:ilvl w:val="0"/>
          <w:numId w:val="7"/>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t xml:space="preserve">Actas del órgano máximo de gobierno, en la que </w:t>
      </w:r>
      <w:r w:rsidRPr="0012204B">
        <w:rPr>
          <w:rFonts w:ascii="Palatino Linotype" w:eastAsia="Calibri" w:hAnsi="Palatino Linotype" w:cs="Arial"/>
          <w:b/>
          <w:i/>
          <w:sz w:val="24"/>
          <w:szCs w:val="24"/>
          <w:u w:val="single"/>
          <w:lang w:eastAsia="es-ES"/>
        </w:rPr>
        <w:t>se autorice la baja de bienes muebles para su destrucción</w:t>
      </w:r>
      <w:r w:rsidRPr="0012204B">
        <w:rPr>
          <w:rFonts w:ascii="Palatino Linotype" w:eastAsia="Calibri" w:hAnsi="Palatino Linotype" w:cs="Arial"/>
          <w:b/>
          <w:i/>
          <w:sz w:val="24"/>
          <w:szCs w:val="24"/>
          <w:lang w:eastAsia="es-ES"/>
        </w:rPr>
        <w:t>.</w:t>
      </w:r>
    </w:p>
    <w:p w:rsidR="00972EAD" w:rsidRPr="0012204B" w:rsidRDefault="00972EAD" w:rsidP="00972EAD">
      <w:pPr>
        <w:pStyle w:val="Prrafodelista"/>
        <w:numPr>
          <w:ilvl w:val="0"/>
          <w:numId w:val="7"/>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i/>
          <w:sz w:val="24"/>
          <w:szCs w:val="24"/>
          <w:lang w:eastAsia="es-ES"/>
        </w:rPr>
        <w:t xml:space="preserve"> </w:t>
      </w:r>
      <w:r w:rsidRPr="0012204B">
        <w:rPr>
          <w:rFonts w:ascii="Palatino Linotype" w:eastAsia="Calibri" w:hAnsi="Palatino Linotype" w:cs="Arial"/>
          <w:b/>
          <w:i/>
          <w:sz w:val="24"/>
          <w:szCs w:val="24"/>
          <w:lang w:eastAsia="es-ES"/>
        </w:rPr>
        <w:t xml:space="preserve">Actas administrativas levantadas por el titular del órgano de control interno o equivalente, en la que se establezca fehacientemente </w:t>
      </w:r>
      <w:r w:rsidRPr="0012204B">
        <w:rPr>
          <w:rFonts w:ascii="Palatino Linotype" w:eastAsia="Calibri" w:hAnsi="Palatino Linotype" w:cs="Arial"/>
          <w:b/>
          <w:i/>
          <w:sz w:val="24"/>
          <w:szCs w:val="24"/>
          <w:u w:val="single"/>
          <w:lang w:eastAsia="es-ES"/>
        </w:rPr>
        <w:t>que los bienes fueron buscados minuciosamente en las instalaciones de la entidad fiscalizable</w:t>
      </w:r>
      <w:r w:rsidRPr="0012204B">
        <w:rPr>
          <w:rFonts w:ascii="Palatino Linotype" w:eastAsia="Calibri" w:hAnsi="Palatino Linotype" w:cs="Arial"/>
          <w:i/>
          <w:sz w:val="24"/>
          <w:szCs w:val="24"/>
          <w:u w:val="single"/>
          <w:lang w:eastAsia="es-ES"/>
        </w:rPr>
        <w:t>.</w:t>
      </w:r>
    </w:p>
    <w:p w:rsidR="00507885" w:rsidRPr="0012204B" w:rsidRDefault="00507885" w:rsidP="00972EAD">
      <w:pPr>
        <w:pStyle w:val="Prrafodelista"/>
        <w:numPr>
          <w:ilvl w:val="0"/>
          <w:numId w:val="7"/>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u w:val="single"/>
          <w:lang w:eastAsia="es-ES"/>
        </w:rPr>
        <w:t>R</w:t>
      </w:r>
      <w:r w:rsidR="00972EAD" w:rsidRPr="0012204B">
        <w:rPr>
          <w:rFonts w:ascii="Palatino Linotype" w:eastAsia="Calibri" w:hAnsi="Palatino Linotype" w:cs="Arial"/>
          <w:b/>
          <w:i/>
          <w:sz w:val="24"/>
          <w:szCs w:val="24"/>
          <w:u w:val="single"/>
          <w:lang w:eastAsia="es-ES"/>
        </w:rPr>
        <w:t>esoluciones de los procedimientos administrativos</w:t>
      </w:r>
      <w:r w:rsidR="00972EAD" w:rsidRPr="0012204B">
        <w:rPr>
          <w:rFonts w:ascii="Palatino Linotype" w:eastAsia="Calibri" w:hAnsi="Palatino Linotype" w:cs="Arial"/>
          <w:b/>
          <w:i/>
          <w:sz w:val="24"/>
          <w:szCs w:val="24"/>
          <w:lang w:eastAsia="es-ES"/>
        </w:rPr>
        <w:t xml:space="preserve"> correspondiente instaurado por el órgano de control interno o la actuación legal, </w:t>
      </w:r>
      <w:r w:rsidR="00972EAD" w:rsidRPr="0012204B">
        <w:rPr>
          <w:rFonts w:ascii="Palatino Linotype" w:eastAsia="Calibri" w:hAnsi="Palatino Linotype" w:cs="Arial"/>
          <w:b/>
          <w:i/>
          <w:sz w:val="24"/>
          <w:szCs w:val="24"/>
          <w:u w:val="single"/>
          <w:lang w:eastAsia="es-ES"/>
        </w:rPr>
        <w:t>para determinar la situación administrativa, financiera y legar a que haya lugar</w:t>
      </w:r>
      <w:r w:rsidR="00972EAD" w:rsidRPr="0012204B">
        <w:rPr>
          <w:rFonts w:ascii="Palatino Linotype" w:eastAsia="Calibri" w:hAnsi="Palatino Linotype" w:cs="Arial"/>
          <w:i/>
          <w:sz w:val="24"/>
          <w:szCs w:val="24"/>
          <w:lang w:eastAsia="es-ES"/>
        </w:rPr>
        <w:t>.</w:t>
      </w:r>
    </w:p>
    <w:p w:rsidR="00507885" w:rsidRPr="0012204B" w:rsidRDefault="00507885" w:rsidP="00972EAD">
      <w:pPr>
        <w:pStyle w:val="Prrafodelista"/>
        <w:numPr>
          <w:ilvl w:val="0"/>
          <w:numId w:val="7"/>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t>A</w:t>
      </w:r>
      <w:r w:rsidR="00972EAD" w:rsidRPr="0012204B">
        <w:rPr>
          <w:rFonts w:ascii="Palatino Linotype" w:eastAsia="Calibri" w:hAnsi="Palatino Linotype" w:cs="Arial"/>
          <w:b/>
          <w:i/>
          <w:sz w:val="24"/>
          <w:szCs w:val="24"/>
          <w:lang w:eastAsia="es-ES"/>
        </w:rPr>
        <w:t xml:space="preserve">ctas administrativas </w:t>
      </w:r>
      <w:r w:rsidR="00972EAD" w:rsidRPr="0012204B">
        <w:rPr>
          <w:rFonts w:ascii="Palatino Linotype" w:eastAsia="Calibri" w:hAnsi="Palatino Linotype" w:cs="Arial"/>
          <w:b/>
          <w:i/>
          <w:sz w:val="24"/>
          <w:szCs w:val="24"/>
          <w:u w:val="single"/>
          <w:lang w:eastAsia="es-ES"/>
        </w:rPr>
        <w:t>firmadas</w:t>
      </w:r>
      <w:r w:rsidR="00972EAD" w:rsidRPr="0012204B">
        <w:rPr>
          <w:rFonts w:ascii="Palatino Linotype" w:eastAsia="Calibri" w:hAnsi="Palatino Linotype" w:cs="Arial"/>
          <w:b/>
          <w:i/>
          <w:sz w:val="24"/>
          <w:szCs w:val="24"/>
          <w:lang w:eastAsia="es-ES"/>
        </w:rPr>
        <w:t xml:space="preserve"> por el comité de bienes muebles e inmuebles, </w:t>
      </w:r>
      <w:r w:rsidR="00972EAD" w:rsidRPr="0012204B">
        <w:rPr>
          <w:rFonts w:ascii="Palatino Linotype" w:eastAsia="Calibri" w:hAnsi="Palatino Linotype" w:cs="Arial"/>
          <w:b/>
          <w:i/>
          <w:sz w:val="24"/>
          <w:szCs w:val="24"/>
          <w:u w:val="single"/>
          <w:lang w:eastAsia="es-ES"/>
        </w:rPr>
        <w:t>que avale los bienes susceptibles a ser dados de baja por no localizados</w:t>
      </w:r>
      <w:r w:rsidR="00972EAD" w:rsidRPr="0012204B">
        <w:rPr>
          <w:rFonts w:ascii="Palatino Linotype" w:eastAsia="Calibri" w:hAnsi="Palatino Linotype" w:cs="Arial"/>
          <w:b/>
          <w:i/>
          <w:sz w:val="24"/>
          <w:szCs w:val="24"/>
          <w:lang w:eastAsia="es-ES"/>
        </w:rPr>
        <w:t>.</w:t>
      </w:r>
      <w:r w:rsidR="00972EAD" w:rsidRPr="0012204B">
        <w:rPr>
          <w:rFonts w:ascii="Palatino Linotype" w:eastAsia="Calibri" w:hAnsi="Palatino Linotype" w:cs="Arial"/>
          <w:i/>
          <w:sz w:val="24"/>
          <w:szCs w:val="24"/>
          <w:lang w:eastAsia="es-ES"/>
        </w:rPr>
        <w:t xml:space="preserve"> </w:t>
      </w:r>
    </w:p>
    <w:p w:rsidR="001446F4" w:rsidRPr="0012204B" w:rsidRDefault="00507885" w:rsidP="00972EAD">
      <w:pPr>
        <w:pStyle w:val="Prrafodelista"/>
        <w:numPr>
          <w:ilvl w:val="0"/>
          <w:numId w:val="7"/>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t>A</w:t>
      </w:r>
      <w:r w:rsidR="00972EAD" w:rsidRPr="0012204B">
        <w:rPr>
          <w:rFonts w:ascii="Palatino Linotype" w:eastAsia="Calibri" w:hAnsi="Palatino Linotype" w:cs="Arial"/>
          <w:b/>
          <w:i/>
          <w:sz w:val="24"/>
          <w:szCs w:val="24"/>
          <w:lang w:eastAsia="es-ES"/>
        </w:rPr>
        <w:t xml:space="preserve">ctas del órgano máximo de gobierno, en la que </w:t>
      </w:r>
      <w:r w:rsidR="00972EAD" w:rsidRPr="0012204B">
        <w:rPr>
          <w:rFonts w:ascii="Palatino Linotype" w:eastAsia="Calibri" w:hAnsi="Palatino Linotype" w:cs="Arial"/>
          <w:b/>
          <w:i/>
          <w:sz w:val="24"/>
          <w:szCs w:val="24"/>
          <w:u w:val="single"/>
          <w:lang w:eastAsia="es-ES"/>
        </w:rPr>
        <w:t>se apruebe la baja de los bienes</w:t>
      </w:r>
      <w:r w:rsidRPr="0012204B">
        <w:rPr>
          <w:rFonts w:ascii="Palatino Linotype" w:eastAsia="Calibri" w:hAnsi="Palatino Linotype" w:cs="Arial"/>
          <w:b/>
          <w:i/>
          <w:sz w:val="24"/>
          <w:szCs w:val="24"/>
          <w:lang w:eastAsia="es-ES"/>
        </w:rPr>
        <w:t>.</w:t>
      </w:r>
    </w:p>
    <w:p w:rsidR="001446F4" w:rsidRPr="0012204B" w:rsidRDefault="001446F4" w:rsidP="001446F4">
      <w:pPr>
        <w:spacing w:after="0" w:line="360" w:lineRule="auto"/>
        <w:ind w:left="360"/>
        <w:contextualSpacing/>
        <w:jc w:val="both"/>
        <w:rPr>
          <w:rFonts w:ascii="Palatino Linotype" w:eastAsia="MS Mincho" w:hAnsi="Palatino Linotype" w:cstheme="majorBidi"/>
          <w:sz w:val="24"/>
          <w:szCs w:val="24"/>
          <w:lang w:val="es-ES_tradnl" w:eastAsia="es-ES"/>
        </w:rPr>
      </w:pPr>
    </w:p>
    <w:p w:rsidR="00507885" w:rsidRPr="0012204B" w:rsidRDefault="00B74A8E" w:rsidP="003247F7">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val="es-ES_tradnl" w:eastAsia="es-ES"/>
        </w:rPr>
        <w:t>De la informaci</w:t>
      </w:r>
      <w:r w:rsidR="00F43C1F" w:rsidRPr="0012204B">
        <w:rPr>
          <w:rFonts w:ascii="Palatino Linotype" w:eastAsia="MS Mincho" w:hAnsi="Palatino Linotype" w:cstheme="majorBidi"/>
          <w:sz w:val="24"/>
          <w:szCs w:val="24"/>
          <w:lang w:val="es-ES_tradnl" w:eastAsia="es-ES"/>
        </w:rPr>
        <w:t xml:space="preserve">ón requerida, se puede </w:t>
      </w:r>
      <w:r w:rsidRPr="0012204B">
        <w:rPr>
          <w:rFonts w:ascii="Palatino Linotype" w:eastAsia="MS Mincho" w:hAnsi="Palatino Linotype" w:cstheme="majorBidi"/>
          <w:sz w:val="24"/>
          <w:szCs w:val="24"/>
          <w:lang w:val="es-ES_tradnl" w:eastAsia="es-ES"/>
        </w:rPr>
        <w:t xml:space="preserve">apreciar que esta no </w:t>
      </w:r>
      <w:r w:rsidR="00F43C1F" w:rsidRPr="0012204B">
        <w:rPr>
          <w:rFonts w:ascii="Palatino Linotype" w:eastAsia="MS Mincho" w:hAnsi="Palatino Linotype" w:cstheme="majorBidi"/>
          <w:sz w:val="24"/>
          <w:szCs w:val="24"/>
          <w:lang w:val="es-ES_tradnl" w:eastAsia="es-ES"/>
        </w:rPr>
        <w:t xml:space="preserve">se contiene en el portal electrónico que el </w:t>
      </w:r>
      <w:r w:rsidR="00F43C1F" w:rsidRPr="0012204B">
        <w:rPr>
          <w:rFonts w:ascii="Palatino Linotype" w:eastAsia="MS Mincho" w:hAnsi="Palatino Linotype" w:cstheme="majorBidi"/>
          <w:b/>
          <w:sz w:val="24"/>
          <w:szCs w:val="24"/>
          <w:lang w:val="es-ES_tradnl" w:eastAsia="es-ES"/>
        </w:rPr>
        <w:t>SUJETO OBLIGADO</w:t>
      </w:r>
      <w:r w:rsidR="00327EED" w:rsidRPr="0012204B">
        <w:rPr>
          <w:rFonts w:ascii="Palatino Linotype" w:eastAsia="MS Mincho" w:hAnsi="Palatino Linotype" w:cstheme="majorBidi"/>
          <w:sz w:val="24"/>
          <w:szCs w:val="24"/>
          <w:lang w:val="es-ES_tradnl" w:eastAsia="es-ES"/>
        </w:rPr>
        <w:t xml:space="preserve"> proporcionó en respuesta, </w:t>
      </w:r>
      <w:r w:rsidR="00061225" w:rsidRPr="0012204B">
        <w:rPr>
          <w:rFonts w:ascii="Palatino Linotype" w:eastAsia="MS Mincho" w:hAnsi="Palatino Linotype" w:cstheme="majorBidi"/>
          <w:sz w:val="24"/>
          <w:szCs w:val="24"/>
          <w:lang w:val="es-ES_tradnl" w:eastAsia="es-ES"/>
        </w:rPr>
        <w:t xml:space="preserve">ya que la información corresponde a la descripción de los bienes muebles e inmuebles, pero no así las actas administrativas solicitadas; motivo por el cual el particular se inconformó argumentando en términos generales que </w:t>
      </w:r>
      <w:r w:rsidR="00424E8C" w:rsidRPr="0012204B">
        <w:rPr>
          <w:rFonts w:ascii="Palatino Linotype" w:eastAsia="MS Mincho" w:hAnsi="Palatino Linotype" w:cstheme="majorBidi"/>
          <w:sz w:val="24"/>
          <w:szCs w:val="24"/>
          <w:lang w:val="es-ES_tradnl" w:eastAsia="es-ES"/>
        </w:rPr>
        <w:t xml:space="preserve">información contenida </w:t>
      </w:r>
      <w:r w:rsidR="00424E8C" w:rsidRPr="0012204B">
        <w:rPr>
          <w:rFonts w:ascii="Palatino Linotype" w:eastAsia="MS Mincho" w:hAnsi="Palatino Linotype" w:cstheme="majorBidi"/>
          <w:sz w:val="24"/>
          <w:szCs w:val="24"/>
          <w:lang w:val="es-ES_tradnl" w:eastAsia="es-ES"/>
        </w:rPr>
        <w:lastRenderedPageBreak/>
        <w:t>en el portal de internet no corresponde con lo solicitado, situación por la cual resultan procedentes los motivos de informalidad hecho valer.</w:t>
      </w:r>
    </w:p>
    <w:p w:rsidR="00424E8C" w:rsidRPr="0012204B" w:rsidRDefault="00424E8C" w:rsidP="003247F7">
      <w:pPr>
        <w:spacing w:after="0" w:line="360" w:lineRule="auto"/>
        <w:ind w:left="360" w:hanging="360"/>
        <w:contextualSpacing/>
        <w:jc w:val="both"/>
        <w:rPr>
          <w:rFonts w:ascii="Palatino Linotype" w:eastAsia="MS Mincho" w:hAnsi="Palatino Linotype" w:cstheme="majorBidi"/>
          <w:sz w:val="24"/>
          <w:szCs w:val="24"/>
          <w:lang w:val="es-ES_tradnl" w:eastAsia="es-ES"/>
        </w:rPr>
      </w:pPr>
    </w:p>
    <w:p w:rsidR="00424E8C" w:rsidRPr="0012204B" w:rsidRDefault="00424E8C" w:rsidP="003247F7">
      <w:pPr>
        <w:pStyle w:val="Ttulo1"/>
        <w:numPr>
          <w:ilvl w:val="0"/>
          <w:numId w:val="4"/>
        </w:numPr>
        <w:ind w:left="360" w:hanging="360"/>
        <w:rPr>
          <w:rFonts w:ascii="Palatino Linotype" w:eastAsia="MS Mincho" w:hAnsi="Palatino Linotype"/>
          <w:b/>
          <w:i/>
          <w:color w:val="auto"/>
          <w:sz w:val="24"/>
          <w:szCs w:val="24"/>
          <w:lang w:val="es-ES_tradnl" w:eastAsia="es-ES"/>
        </w:rPr>
      </w:pPr>
      <w:bookmarkStart w:id="10" w:name="_Toc62209471"/>
      <w:r w:rsidRPr="0012204B">
        <w:rPr>
          <w:rFonts w:ascii="Palatino Linotype" w:eastAsia="MS Mincho" w:hAnsi="Palatino Linotype"/>
          <w:b/>
          <w:i/>
          <w:color w:val="auto"/>
          <w:sz w:val="24"/>
          <w:szCs w:val="24"/>
          <w:lang w:val="es-ES_tradnl" w:eastAsia="es-ES"/>
        </w:rPr>
        <w:t>D</w:t>
      </w:r>
      <w:r w:rsidR="00BC21B5" w:rsidRPr="0012204B">
        <w:rPr>
          <w:rFonts w:ascii="Palatino Linotype" w:eastAsia="MS Mincho" w:hAnsi="Palatino Linotype"/>
          <w:b/>
          <w:i/>
          <w:color w:val="auto"/>
          <w:sz w:val="24"/>
          <w:szCs w:val="24"/>
          <w:lang w:val="es-ES_tradnl" w:eastAsia="es-ES"/>
        </w:rPr>
        <w:t>e las actas generadas por el Comité y Órgano Máximo de Gobierno</w:t>
      </w:r>
      <w:bookmarkEnd w:id="10"/>
    </w:p>
    <w:p w:rsidR="00424E8C" w:rsidRPr="0012204B" w:rsidRDefault="00424E8C" w:rsidP="003247F7">
      <w:pPr>
        <w:ind w:left="360" w:hanging="360"/>
        <w:rPr>
          <w:lang w:val="es-ES_tradnl" w:eastAsia="es-ES"/>
        </w:rPr>
      </w:pPr>
    </w:p>
    <w:p w:rsidR="00BC21B5" w:rsidRPr="0012204B" w:rsidRDefault="00BC21B5" w:rsidP="003247F7">
      <w:pPr>
        <w:pStyle w:val="Prrafodelista"/>
        <w:numPr>
          <w:ilvl w:val="0"/>
          <w:numId w:val="2"/>
        </w:numPr>
        <w:tabs>
          <w:tab w:val="left" w:pos="709"/>
        </w:tabs>
        <w:spacing w:before="240" w:after="0" w:line="360" w:lineRule="auto"/>
        <w:ind w:right="51"/>
        <w:jc w:val="both"/>
        <w:rPr>
          <w:rFonts w:ascii="Palatino Linotype" w:hAnsi="Palatino Linotype"/>
          <w:sz w:val="24"/>
          <w:szCs w:val="24"/>
        </w:rPr>
      </w:pPr>
      <w:r w:rsidRPr="0012204B">
        <w:rPr>
          <w:rFonts w:ascii="Palatino Linotype" w:hAnsi="Palatino Linotype"/>
          <w:sz w:val="24"/>
          <w:szCs w:val="24"/>
        </w:rPr>
        <w:t xml:space="preserve">Por lo que corresponde a los Lineamientos para el Registro y Control del Inventario y la Conciliación y Desincorporación de Bienes Muebles e Inmuebles para las Entidades Fiscalizables del Estado de México, que tienen como propósito actualizar y transparentar el manejo, uso y destino de los bienes así como garantizar la legalidad, control y correcta participación de los servidores públicos municipales en los procedimientos de adquisición, resguardo y baja de bienes, permitiendo mantener la debida conciliación del inventario de los bienes muebles e inmuebles con los registros contables, </w:t>
      </w:r>
      <w:r w:rsidR="00E67937" w:rsidRPr="0012204B">
        <w:rPr>
          <w:rFonts w:ascii="Palatino Linotype" w:hAnsi="Palatino Linotype"/>
          <w:sz w:val="24"/>
          <w:szCs w:val="24"/>
        </w:rPr>
        <w:t>define como</w:t>
      </w:r>
      <w:r w:rsidRPr="0012204B">
        <w:rPr>
          <w:rFonts w:ascii="Palatino Linotype" w:hAnsi="Palatino Linotype"/>
          <w:sz w:val="24"/>
          <w:szCs w:val="24"/>
        </w:rPr>
        <w:t>:</w:t>
      </w:r>
    </w:p>
    <w:p w:rsidR="00E67937" w:rsidRPr="0012204B" w:rsidRDefault="00E67937" w:rsidP="003247F7">
      <w:pPr>
        <w:tabs>
          <w:tab w:val="left" w:pos="709"/>
        </w:tabs>
        <w:spacing w:before="240" w:after="0" w:line="360" w:lineRule="auto"/>
        <w:ind w:left="426" w:right="51"/>
        <w:jc w:val="both"/>
        <w:rPr>
          <w:rFonts w:ascii="Palatino Linotype" w:hAnsi="Palatino Linotype"/>
          <w:i/>
        </w:rPr>
      </w:pPr>
      <w:r w:rsidRPr="0012204B">
        <w:rPr>
          <w:rFonts w:ascii="Palatino Linotype" w:hAnsi="Palatino Linotype"/>
          <w:b/>
          <w:i/>
        </w:rPr>
        <w:t>COMITÉ:</w:t>
      </w:r>
      <w:r w:rsidRPr="0012204B">
        <w:rPr>
          <w:rFonts w:ascii="Palatino Linotype" w:hAnsi="Palatino Linotype"/>
          <w:i/>
        </w:rPr>
        <w:t xml:space="preserve"> Al Comité de Bienes Muebles e Inmuebles, el cual estará integrado por aquellos que la ley determine como responsables del registro y control de los bienes muebles e inmuebles, su función es realizar, el análisis, adopción de criterios, medidas eficaces, y oportunas para mantener la conciliación de los inventarios con los registros contables;</w:t>
      </w:r>
    </w:p>
    <w:p w:rsidR="00E67937" w:rsidRPr="0012204B" w:rsidRDefault="00E67937" w:rsidP="003247F7">
      <w:pPr>
        <w:tabs>
          <w:tab w:val="left" w:pos="709"/>
        </w:tabs>
        <w:spacing w:before="240" w:after="0" w:line="360" w:lineRule="auto"/>
        <w:ind w:left="426" w:right="51"/>
        <w:jc w:val="both"/>
        <w:rPr>
          <w:rFonts w:ascii="Palatino Linotype" w:hAnsi="Palatino Linotype"/>
          <w:i/>
        </w:rPr>
      </w:pPr>
      <w:r w:rsidRPr="0012204B">
        <w:rPr>
          <w:rFonts w:ascii="Palatino Linotype" w:hAnsi="Palatino Linotype"/>
          <w:b/>
          <w:i/>
        </w:rPr>
        <w:t>ÓRGANO MÁXIMO DE GOBIERNO</w:t>
      </w:r>
      <w:r w:rsidRPr="0012204B">
        <w:rPr>
          <w:rFonts w:ascii="Palatino Linotype" w:hAnsi="Palatino Linotype"/>
          <w:i/>
        </w:rPr>
        <w:t>: Se refiere al cuerpo deliberante que es el encargado del gobierno y/o de la administración en las entidades fiscalizables;</w:t>
      </w:r>
    </w:p>
    <w:p w:rsidR="00F43C1F" w:rsidRPr="0012204B" w:rsidRDefault="00F43C1F" w:rsidP="00BC21B5">
      <w:pPr>
        <w:spacing w:after="0" w:line="360" w:lineRule="auto"/>
        <w:ind w:left="360"/>
        <w:contextualSpacing/>
        <w:jc w:val="both"/>
        <w:rPr>
          <w:rFonts w:ascii="Palatino Linotype" w:eastAsia="MS Mincho" w:hAnsi="Palatino Linotype" w:cstheme="majorBidi"/>
          <w:sz w:val="24"/>
          <w:szCs w:val="24"/>
          <w:lang w:val="es-ES_tradnl" w:eastAsia="es-ES"/>
        </w:rPr>
      </w:pPr>
    </w:p>
    <w:p w:rsidR="00F43C1F" w:rsidRPr="0012204B" w:rsidRDefault="002C673B" w:rsidP="00553BA1">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val="es-ES_tradnl" w:eastAsia="es-ES"/>
        </w:rPr>
        <w:t>Asimismo los Li</w:t>
      </w:r>
      <w:r w:rsidR="00B21F52" w:rsidRPr="0012204B">
        <w:rPr>
          <w:rFonts w:ascii="Palatino Linotype" w:eastAsia="MS Mincho" w:hAnsi="Palatino Linotype" w:cstheme="majorBidi"/>
          <w:sz w:val="24"/>
          <w:szCs w:val="24"/>
          <w:lang w:val="es-ES_tradnl" w:eastAsia="es-ES"/>
        </w:rPr>
        <w:t>neamiento</w:t>
      </w:r>
      <w:r w:rsidR="00F652F2" w:rsidRPr="0012204B">
        <w:rPr>
          <w:rFonts w:ascii="Palatino Linotype" w:eastAsia="MS Mincho" w:hAnsi="Palatino Linotype" w:cstheme="majorBidi"/>
          <w:sz w:val="24"/>
          <w:szCs w:val="24"/>
          <w:lang w:val="es-ES_tradnl" w:eastAsia="es-ES"/>
        </w:rPr>
        <w:t>s</w:t>
      </w:r>
      <w:r w:rsidR="00B21F52" w:rsidRPr="0012204B">
        <w:rPr>
          <w:rFonts w:ascii="Palatino Linotype" w:eastAsia="MS Mincho" w:hAnsi="Palatino Linotype" w:cstheme="majorBidi"/>
          <w:sz w:val="24"/>
          <w:szCs w:val="24"/>
          <w:lang w:val="es-ES_tradnl" w:eastAsia="es-ES"/>
        </w:rPr>
        <w:t xml:space="preserve"> en comento refiere que la información solicitada efectivamente es regenerada, poseída y administrada por </w:t>
      </w:r>
      <w:r w:rsidR="00B21F52" w:rsidRPr="0012204B">
        <w:rPr>
          <w:rFonts w:ascii="Palatino Linotype" w:eastAsia="MS Mincho" w:hAnsi="Palatino Linotype" w:cstheme="majorBidi"/>
          <w:b/>
          <w:sz w:val="24"/>
          <w:szCs w:val="24"/>
          <w:lang w:val="es-ES_tradnl" w:eastAsia="es-ES"/>
        </w:rPr>
        <w:t>EL SUJETO OBLIGADO</w:t>
      </w:r>
      <w:r w:rsidR="00B21F52" w:rsidRPr="0012204B">
        <w:rPr>
          <w:rFonts w:ascii="Palatino Linotype" w:eastAsia="MS Mincho" w:hAnsi="Palatino Linotype" w:cstheme="majorBidi"/>
          <w:sz w:val="24"/>
          <w:szCs w:val="24"/>
          <w:lang w:val="es-ES_tradnl" w:eastAsia="es-ES"/>
        </w:rPr>
        <w:t xml:space="preserve"> tal como se describe, a continuación:</w:t>
      </w:r>
    </w:p>
    <w:p w:rsidR="00B21F52" w:rsidRPr="0012204B" w:rsidRDefault="00B21F52" w:rsidP="00B21F52">
      <w:pPr>
        <w:spacing w:after="0" w:line="360" w:lineRule="auto"/>
        <w:ind w:left="360"/>
        <w:contextualSpacing/>
        <w:jc w:val="both"/>
        <w:rPr>
          <w:rFonts w:ascii="Palatino Linotype" w:eastAsia="MS Mincho" w:hAnsi="Palatino Linotype" w:cstheme="majorBidi"/>
          <w:sz w:val="24"/>
          <w:szCs w:val="24"/>
          <w:lang w:val="es-ES_tradnl" w:eastAsia="es-ES"/>
        </w:rPr>
      </w:pPr>
    </w:p>
    <w:p w:rsidR="00B21F52" w:rsidRPr="0012204B" w:rsidRDefault="00B21F52" w:rsidP="00B21F52">
      <w:pPr>
        <w:spacing w:after="0" w:line="360" w:lineRule="auto"/>
        <w:ind w:left="360"/>
        <w:contextualSpacing/>
        <w:jc w:val="both"/>
        <w:rPr>
          <w:rFonts w:ascii="Palatino Linotype" w:hAnsi="Palatino Linotype"/>
          <w:i/>
        </w:rPr>
      </w:pPr>
      <w:r w:rsidRPr="0012204B">
        <w:rPr>
          <w:rFonts w:ascii="Palatino Linotype" w:hAnsi="Palatino Linotype"/>
          <w:i/>
        </w:rPr>
        <w:lastRenderedPageBreak/>
        <w:t>SEXAGÉSIMO TERCERO: Para dar de baja bienes muebles por enajenación, se deberán satisfacer los siguientes requisitos:</w:t>
      </w:r>
    </w:p>
    <w:p w:rsidR="00B21F52" w:rsidRPr="0012204B" w:rsidRDefault="00B21F52" w:rsidP="00B21F52">
      <w:pPr>
        <w:spacing w:after="0" w:line="360" w:lineRule="auto"/>
        <w:ind w:left="360"/>
        <w:contextualSpacing/>
        <w:jc w:val="both"/>
        <w:rPr>
          <w:rFonts w:ascii="Palatino Linotype" w:hAnsi="Palatino Linotype"/>
          <w:i/>
        </w:rPr>
      </w:pPr>
      <w:r w:rsidRPr="0012204B">
        <w:rPr>
          <w:rFonts w:ascii="Palatino Linotype" w:hAnsi="Palatino Linotype"/>
          <w:i/>
        </w:rPr>
        <w:t>…</w:t>
      </w:r>
    </w:p>
    <w:p w:rsidR="00B21F52" w:rsidRPr="0012204B" w:rsidRDefault="00B21F52" w:rsidP="00B21F52">
      <w:pPr>
        <w:spacing w:after="0" w:line="360" w:lineRule="auto"/>
        <w:ind w:left="360"/>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II. Acta administrativa del comité,</w:t>
      </w:r>
      <w:r w:rsidR="003247F7" w:rsidRPr="0012204B">
        <w:rPr>
          <w:rFonts w:ascii="Palatino Linotype" w:eastAsia="MS Mincho" w:hAnsi="Palatino Linotype" w:cstheme="majorBidi"/>
          <w:i/>
          <w:lang w:eastAsia="es-ES"/>
        </w:rPr>
        <w:t xml:space="preserve"> l</w:t>
      </w:r>
      <w:r w:rsidRPr="0012204B">
        <w:rPr>
          <w:rFonts w:ascii="Palatino Linotype" w:eastAsia="MS Mincho" w:hAnsi="Palatino Linotype" w:cstheme="majorBidi"/>
          <w:i/>
          <w:lang w:eastAsia="es-ES"/>
        </w:rPr>
        <w:t xml:space="preserve">a cual se soportará con: el listado de bienes muebles; </w:t>
      </w:r>
    </w:p>
    <w:p w:rsidR="00B21F52" w:rsidRPr="0012204B" w:rsidRDefault="00B21F52" w:rsidP="00B21F52">
      <w:pPr>
        <w:spacing w:after="0" w:line="360" w:lineRule="auto"/>
        <w:ind w:left="360"/>
        <w:contextualSpacing/>
        <w:jc w:val="both"/>
        <w:rPr>
          <w:rFonts w:ascii="Palatino Linotype" w:eastAsia="MS Mincho" w:hAnsi="Palatino Linotype" w:cstheme="majorBidi"/>
          <w:i/>
          <w:lang w:eastAsia="es-ES"/>
        </w:rPr>
      </w:pPr>
    </w:p>
    <w:p w:rsidR="00B21F52" w:rsidRPr="0012204B" w:rsidRDefault="00B21F52" w:rsidP="00B21F52">
      <w:pPr>
        <w:spacing w:after="0" w:line="360" w:lineRule="auto"/>
        <w:ind w:left="360"/>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III. Fotografías que demuestren el estado físico de los bienes susceptibles de enajenación, en las que se incluirá el número de inventario y demás características de identificación;</w:t>
      </w:r>
    </w:p>
    <w:p w:rsidR="00B21F52" w:rsidRPr="0012204B" w:rsidRDefault="00B21F52" w:rsidP="00B21F52">
      <w:pPr>
        <w:spacing w:after="0" w:line="360" w:lineRule="auto"/>
        <w:ind w:left="360"/>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 xml:space="preserve">Una vez que se cuente con el acta administrativa debidamente soportada y firmada por los integrantes del comité, se someterá a consideración del ÓRGANO MÁXIMO DE GOBIERNO para la resolución del acuerdo respectivo. </w:t>
      </w:r>
    </w:p>
    <w:p w:rsidR="00B21F52" w:rsidRPr="0012204B" w:rsidRDefault="00B21F52" w:rsidP="00B21F52">
      <w:pPr>
        <w:spacing w:after="0" w:line="360" w:lineRule="auto"/>
        <w:ind w:left="360"/>
        <w:contextualSpacing/>
        <w:jc w:val="both"/>
        <w:rPr>
          <w:rFonts w:ascii="Palatino Linotype" w:eastAsia="MS Mincho" w:hAnsi="Palatino Linotype" w:cstheme="majorBidi"/>
          <w:i/>
          <w:lang w:eastAsia="es-ES"/>
        </w:rPr>
      </w:pPr>
    </w:p>
    <w:p w:rsidR="00B21F52" w:rsidRPr="0012204B" w:rsidRDefault="00B21F52" w:rsidP="00B21F52">
      <w:pPr>
        <w:spacing w:after="0" w:line="360" w:lineRule="auto"/>
        <w:ind w:left="360"/>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IV. Acta de su órgano máximo de gobierno, donde se establecerán los siguientes señalamientos: motivos de la enajenación, destino de los recursos que se obtengan de la venta, autorización para darlos de baja del inventario general de bienes muebles así como la baja contable a precio de costo histórico o de registro, el número de inventario y las características de identificación, así como el total del importe que será dado de baja;</w:t>
      </w:r>
    </w:p>
    <w:p w:rsidR="00B21F52" w:rsidRPr="0012204B" w:rsidRDefault="00B21F52" w:rsidP="00B21F52">
      <w:pPr>
        <w:spacing w:after="0" w:line="360" w:lineRule="auto"/>
        <w:ind w:left="360"/>
        <w:contextualSpacing/>
        <w:jc w:val="both"/>
        <w:rPr>
          <w:rFonts w:ascii="Palatino Linotype" w:eastAsia="MS Mincho" w:hAnsi="Palatino Linotype" w:cstheme="majorBidi"/>
          <w:i/>
          <w:lang w:val="es-ES_tradnl" w:eastAsia="es-ES"/>
        </w:rPr>
      </w:pPr>
      <w:r w:rsidRPr="0012204B">
        <w:rPr>
          <w:rFonts w:ascii="Palatino Linotype" w:eastAsia="MS Mincho" w:hAnsi="Palatino Linotype" w:cstheme="majorBidi"/>
          <w:i/>
          <w:lang w:val="es-ES_tradnl" w:eastAsia="es-ES"/>
        </w:rPr>
        <w:t>…</w:t>
      </w:r>
    </w:p>
    <w:p w:rsidR="00B21F52" w:rsidRPr="0012204B" w:rsidRDefault="00B21F52" w:rsidP="00B21F52">
      <w:pPr>
        <w:spacing w:after="0" w:line="360" w:lineRule="auto"/>
        <w:ind w:left="360"/>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SEXAGÉSIMO CUARTO: Para dar de baja bienes muebles por robo o siniestro, se deberán satisfacer los siguientes requisitos:</w:t>
      </w:r>
    </w:p>
    <w:p w:rsidR="003247F7" w:rsidRPr="0012204B" w:rsidRDefault="003247F7" w:rsidP="00B21F52">
      <w:pPr>
        <w:spacing w:after="0" w:line="360" w:lineRule="auto"/>
        <w:ind w:left="360"/>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w:t>
      </w:r>
    </w:p>
    <w:p w:rsidR="003247F7" w:rsidRPr="0012204B" w:rsidRDefault="003247F7" w:rsidP="00B21F52">
      <w:pPr>
        <w:spacing w:after="0" w:line="360" w:lineRule="auto"/>
        <w:ind w:left="360"/>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 xml:space="preserve">II. Acta administrativa levantada por el titular del órgano de control interno, en la que se establezcan los hechos ocurridos, describiendo las características de identificación del bien mueble, mismas que deben coincidir con las descritas en la averiguación previa o carpeta de investigación, según corresponda atendiendo a la fecha en que ocurrieron los hechos, iniciada ante el ministerio público; </w:t>
      </w:r>
    </w:p>
    <w:p w:rsidR="003247F7" w:rsidRPr="0012204B" w:rsidRDefault="003247F7" w:rsidP="00B21F52">
      <w:pPr>
        <w:spacing w:after="0" w:line="360" w:lineRule="auto"/>
        <w:ind w:left="360"/>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 xml:space="preserve">…; </w:t>
      </w:r>
    </w:p>
    <w:p w:rsidR="003247F7" w:rsidRPr="0012204B" w:rsidRDefault="003247F7" w:rsidP="00B21F52">
      <w:pPr>
        <w:spacing w:after="0" w:line="360" w:lineRule="auto"/>
        <w:ind w:left="360"/>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lastRenderedPageBreak/>
        <w:t>IV. Acta del órgano máximo de gobierno donde autorice la baja del bien mueble por robo o siniestro, precisado las características de identificación del mismo;</w:t>
      </w:r>
    </w:p>
    <w:p w:rsidR="008A5081" w:rsidRPr="0012204B" w:rsidRDefault="008A5081" w:rsidP="00B21F52">
      <w:pPr>
        <w:spacing w:after="0" w:line="360" w:lineRule="auto"/>
        <w:ind w:left="360"/>
        <w:contextualSpacing/>
        <w:jc w:val="both"/>
        <w:rPr>
          <w:rFonts w:ascii="Palatino Linotype" w:eastAsia="MS Mincho" w:hAnsi="Palatino Linotype" w:cstheme="majorBidi"/>
          <w:i/>
          <w:lang w:eastAsia="es-ES"/>
        </w:rPr>
      </w:pPr>
    </w:p>
    <w:p w:rsidR="008A5081" w:rsidRPr="0012204B" w:rsidRDefault="008A5081" w:rsidP="00B21F52">
      <w:pPr>
        <w:spacing w:after="0" w:line="360" w:lineRule="auto"/>
        <w:ind w:left="360"/>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SEXAGÉSIMO SEXTO: Para dar de baja bienes muebles obsoletos, se deberán satisfacer los siguientes requisitos:</w:t>
      </w:r>
    </w:p>
    <w:p w:rsidR="008A5081" w:rsidRPr="0012204B" w:rsidRDefault="008A5081" w:rsidP="00B21F52">
      <w:pPr>
        <w:spacing w:after="0" w:line="360" w:lineRule="auto"/>
        <w:ind w:left="360"/>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w:t>
      </w:r>
    </w:p>
    <w:p w:rsidR="008A5081" w:rsidRPr="0012204B" w:rsidRDefault="008A5081" w:rsidP="00B21F52">
      <w:pPr>
        <w:spacing w:after="0" w:line="360" w:lineRule="auto"/>
        <w:ind w:left="360"/>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II. Acta administrativa firmada por el comité, donde se avale los bienes susceptibles a destruir, la cual debe incluir las fotografías que demuestren el estado físico de los bienes susceptibles de destrucción, en las que se incluirá el número de inventario y demás características de identificación;</w:t>
      </w:r>
    </w:p>
    <w:p w:rsidR="008A5081" w:rsidRPr="0012204B" w:rsidRDefault="008A5081" w:rsidP="00B21F52">
      <w:pPr>
        <w:spacing w:after="0" w:line="360" w:lineRule="auto"/>
        <w:ind w:left="360"/>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III. Acta del órgano máximo de gobierno, en la que se autorice la baja de los bienes muebles para su destrucción, mencionando los motivos, nombre, cantidad y características de identificación, así como el importe total del saldo dado de baja;</w:t>
      </w:r>
    </w:p>
    <w:p w:rsidR="008A5081" w:rsidRPr="0012204B" w:rsidRDefault="008A5081" w:rsidP="00B21F52">
      <w:pPr>
        <w:spacing w:after="0" w:line="360" w:lineRule="auto"/>
        <w:ind w:left="360"/>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w:t>
      </w:r>
    </w:p>
    <w:p w:rsidR="003247F7" w:rsidRPr="0012204B" w:rsidRDefault="003247F7" w:rsidP="00B21F52">
      <w:pPr>
        <w:spacing w:after="0" w:line="360" w:lineRule="auto"/>
        <w:ind w:left="360"/>
        <w:contextualSpacing/>
        <w:jc w:val="both"/>
        <w:rPr>
          <w:rFonts w:ascii="Palatino Linotype" w:hAnsi="Palatino Linotype"/>
          <w:i/>
        </w:rPr>
      </w:pPr>
    </w:p>
    <w:p w:rsidR="00B21F52" w:rsidRPr="0012204B" w:rsidRDefault="003247F7" w:rsidP="00B21F52">
      <w:pPr>
        <w:spacing w:after="0" w:line="360" w:lineRule="auto"/>
        <w:ind w:left="360"/>
        <w:contextualSpacing/>
        <w:jc w:val="both"/>
        <w:rPr>
          <w:rFonts w:ascii="Palatino Linotype" w:hAnsi="Palatino Linotype"/>
          <w:i/>
        </w:rPr>
      </w:pPr>
      <w:r w:rsidRPr="0012204B">
        <w:rPr>
          <w:rFonts w:ascii="Palatino Linotype" w:hAnsi="Palatino Linotype"/>
          <w:i/>
        </w:rPr>
        <w:t>SEPTUAGÉSIMO: Para dar de baja bienes muebles no localizados, se deberán satisfacer los siguientes requisitos:</w:t>
      </w:r>
    </w:p>
    <w:p w:rsidR="003247F7" w:rsidRPr="0012204B" w:rsidRDefault="003247F7" w:rsidP="00B21F52">
      <w:pPr>
        <w:spacing w:after="0" w:line="360" w:lineRule="auto"/>
        <w:ind w:left="360"/>
        <w:contextualSpacing/>
        <w:jc w:val="both"/>
        <w:rPr>
          <w:rFonts w:ascii="Palatino Linotype" w:hAnsi="Palatino Linotype"/>
          <w:i/>
        </w:rPr>
      </w:pPr>
      <w:r w:rsidRPr="0012204B">
        <w:rPr>
          <w:rFonts w:ascii="Palatino Linotype" w:hAnsi="Palatino Linotype"/>
          <w:i/>
        </w:rPr>
        <w:t>…</w:t>
      </w:r>
    </w:p>
    <w:p w:rsidR="003247F7" w:rsidRPr="0012204B" w:rsidRDefault="003247F7" w:rsidP="00B21F52">
      <w:pPr>
        <w:spacing w:after="0" w:line="360" w:lineRule="auto"/>
        <w:ind w:left="360"/>
        <w:contextualSpacing/>
        <w:jc w:val="both"/>
        <w:rPr>
          <w:rFonts w:ascii="Palatino Linotype" w:hAnsi="Palatino Linotype"/>
          <w:i/>
        </w:rPr>
      </w:pPr>
      <w:r w:rsidRPr="0012204B">
        <w:rPr>
          <w:rFonts w:ascii="Palatino Linotype" w:hAnsi="Palatino Linotype"/>
          <w:i/>
        </w:rPr>
        <w:t xml:space="preserve">II. Acta administrativa levantada por el titular del órgano de control interno, en la que se establezca fehacientemente que los bienes fueron buscados minuciosamente en las instalaciones de la entidad fiscalizable, describiendo sus características y el número de inventario que le corresponde; </w:t>
      </w:r>
    </w:p>
    <w:p w:rsidR="003247F7" w:rsidRPr="0012204B" w:rsidRDefault="003247F7" w:rsidP="00B21F52">
      <w:pPr>
        <w:spacing w:after="0" w:line="360" w:lineRule="auto"/>
        <w:ind w:left="360"/>
        <w:contextualSpacing/>
        <w:jc w:val="both"/>
        <w:rPr>
          <w:rFonts w:ascii="Palatino Linotype" w:hAnsi="Palatino Linotype"/>
          <w:i/>
        </w:rPr>
      </w:pPr>
    </w:p>
    <w:p w:rsidR="003247F7" w:rsidRPr="0012204B" w:rsidRDefault="003247F7" w:rsidP="00B21F52">
      <w:pPr>
        <w:spacing w:after="0" w:line="360" w:lineRule="auto"/>
        <w:ind w:left="360"/>
        <w:contextualSpacing/>
        <w:jc w:val="both"/>
        <w:rPr>
          <w:rFonts w:ascii="Palatino Linotype" w:eastAsia="MS Mincho" w:hAnsi="Palatino Linotype" w:cstheme="majorBidi"/>
          <w:i/>
          <w:lang w:val="es-ES_tradnl" w:eastAsia="es-ES"/>
        </w:rPr>
      </w:pPr>
      <w:r w:rsidRPr="0012204B">
        <w:rPr>
          <w:rFonts w:ascii="Palatino Linotype" w:hAnsi="Palatino Linotype"/>
          <w:i/>
        </w:rPr>
        <w:t>III. Resolución del procedimiento administrativo correspondiente instaurado por el órgano de control interno o la actuación legal, para determinar la situación administrativa, financiera y legal a que haya lugar, procurando el beneficio de la hacienda pública municipal y del patrimonio de los organismos descentralizados;</w:t>
      </w:r>
    </w:p>
    <w:p w:rsidR="003247F7" w:rsidRPr="0012204B" w:rsidRDefault="003247F7" w:rsidP="00B21F52">
      <w:pPr>
        <w:spacing w:after="0" w:line="360" w:lineRule="auto"/>
        <w:ind w:left="360"/>
        <w:contextualSpacing/>
        <w:jc w:val="both"/>
        <w:rPr>
          <w:rFonts w:ascii="Palatino Linotype" w:hAnsi="Palatino Linotype"/>
          <w:i/>
        </w:rPr>
      </w:pPr>
    </w:p>
    <w:p w:rsidR="003247F7" w:rsidRPr="0012204B" w:rsidRDefault="003247F7" w:rsidP="00B21F52">
      <w:pPr>
        <w:spacing w:after="0" w:line="360" w:lineRule="auto"/>
        <w:ind w:left="360"/>
        <w:contextualSpacing/>
        <w:jc w:val="both"/>
        <w:rPr>
          <w:rFonts w:ascii="Palatino Linotype" w:hAnsi="Palatino Linotype"/>
          <w:i/>
        </w:rPr>
      </w:pPr>
      <w:r w:rsidRPr="0012204B">
        <w:rPr>
          <w:rFonts w:ascii="Palatino Linotype" w:hAnsi="Palatino Linotype"/>
          <w:i/>
        </w:rPr>
        <w:t xml:space="preserve">IV. Acta administrativa firmada por el comité, que avale que los bienes susceptibles a ser dados de baja por no localizados; </w:t>
      </w:r>
    </w:p>
    <w:p w:rsidR="003247F7" w:rsidRPr="0012204B" w:rsidRDefault="003247F7" w:rsidP="00B21F52">
      <w:pPr>
        <w:spacing w:after="0" w:line="360" w:lineRule="auto"/>
        <w:ind w:left="360"/>
        <w:contextualSpacing/>
        <w:jc w:val="both"/>
        <w:rPr>
          <w:rFonts w:ascii="Palatino Linotype" w:hAnsi="Palatino Linotype"/>
          <w:i/>
        </w:rPr>
      </w:pPr>
    </w:p>
    <w:p w:rsidR="00B21F52" w:rsidRPr="0012204B" w:rsidRDefault="003247F7" w:rsidP="00B21F52">
      <w:pPr>
        <w:spacing w:after="0" w:line="360" w:lineRule="auto"/>
        <w:ind w:left="360"/>
        <w:contextualSpacing/>
        <w:jc w:val="both"/>
        <w:rPr>
          <w:rFonts w:ascii="Palatino Linotype" w:hAnsi="Palatino Linotype"/>
          <w:i/>
        </w:rPr>
      </w:pPr>
      <w:r w:rsidRPr="0012204B">
        <w:rPr>
          <w:rFonts w:ascii="Palatino Linotype" w:hAnsi="Palatino Linotype"/>
          <w:i/>
        </w:rPr>
        <w:t>V. Acta del órgano máximo de gobierno, en la que se apruebe la baja de los bienes, mencionando que se autoriza la baja por ser bienes no localizados físicamente, las características de identificación y el saldo total de los bienes de baja;</w:t>
      </w:r>
    </w:p>
    <w:p w:rsidR="003247F7" w:rsidRPr="0012204B" w:rsidRDefault="003247F7" w:rsidP="00B21F52">
      <w:pPr>
        <w:spacing w:after="0" w:line="360" w:lineRule="auto"/>
        <w:ind w:left="360"/>
        <w:contextualSpacing/>
        <w:jc w:val="both"/>
        <w:rPr>
          <w:rFonts w:ascii="Palatino Linotype" w:eastAsia="MS Mincho" w:hAnsi="Palatino Linotype" w:cstheme="majorBidi"/>
          <w:i/>
          <w:lang w:val="es-ES_tradnl" w:eastAsia="es-ES"/>
        </w:rPr>
      </w:pPr>
      <w:r w:rsidRPr="0012204B">
        <w:rPr>
          <w:rFonts w:ascii="Palatino Linotype" w:hAnsi="Palatino Linotype"/>
          <w:i/>
        </w:rPr>
        <w:t>…</w:t>
      </w:r>
    </w:p>
    <w:p w:rsidR="00B21F52" w:rsidRPr="0012204B" w:rsidRDefault="00B21F52" w:rsidP="00B21F52">
      <w:pPr>
        <w:spacing w:after="0" w:line="360" w:lineRule="auto"/>
        <w:ind w:left="360"/>
        <w:contextualSpacing/>
        <w:jc w:val="both"/>
        <w:rPr>
          <w:rFonts w:ascii="Palatino Linotype" w:eastAsia="MS Mincho" w:hAnsi="Palatino Linotype" w:cstheme="majorBidi"/>
          <w:sz w:val="24"/>
          <w:szCs w:val="24"/>
          <w:lang w:val="es-ES_tradnl" w:eastAsia="es-ES"/>
        </w:rPr>
      </w:pPr>
    </w:p>
    <w:p w:rsidR="00F43C1F" w:rsidRPr="0012204B" w:rsidRDefault="008A5081" w:rsidP="00553BA1">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val="es-ES_tradnl" w:eastAsia="es-ES"/>
        </w:rPr>
        <w:t xml:space="preserve">De lo anteriormente descrito, se puede observar que </w:t>
      </w:r>
      <w:r w:rsidR="00B10614" w:rsidRPr="0012204B">
        <w:rPr>
          <w:rFonts w:ascii="Palatino Linotype" w:eastAsia="MS Mincho" w:hAnsi="Palatino Linotype" w:cstheme="majorBidi"/>
          <w:sz w:val="24"/>
          <w:szCs w:val="24"/>
          <w:lang w:val="es-ES_tradnl" w:eastAsia="es-ES"/>
        </w:rPr>
        <w:t xml:space="preserve">la información proporcionada por el </w:t>
      </w:r>
      <w:r w:rsidR="00B10614" w:rsidRPr="0012204B">
        <w:rPr>
          <w:rFonts w:ascii="Palatino Linotype" w:eastAsia="MS Mincho" w:hAnsi="Palatino Linotype" w:cstheme="majorBidi"/>
          <w:b/>
          <w:sz w:val="24"/>
          <w:szCs w:val="24"/>
          <w:lang w:val="es-ES_tradnl" w:eastAsia="es-ES"/>
        </w:rPr>
        <w:t>SUJETO OBLIGADO</w:t>
      </w:r>
      <w:r w:rsidR="00B10614" w:rsidRPr="0012204B">
        <w:rPr>
          <w:rFonts w:ascii="Palatino Linotype" w:eastAsia="MS Mincho" w:hAnsi="Palatino Linotype" w:cstheme="majorBidi"/>
          <w:sz w:val="24"/>
          <w:szCs w:val="24"/>
          <w:lang w:val="es-ES_tradnl" w:eastAsia="es-ES"/>
        </w:rPr>
        <w:t xml:space="preserve"> en su respuesta no corresponde a lo solicitado, tal como quedó acreditado en líneas anteriores.</w:t>
      </w:r>
    </w:p>
    <w:p w:rsidR="00B10614" w:rsidRPr="0012204B" w:rsidRDefault="00B10614" w:rsidP="00B10614">
      <w:pPr>
        <w:spacing w:after="0" w:line="360" w:lineRule="auto"/>
        <w:ind w:left="360"/>
        <w:contextualSpacing/>
        <w:jc w:val="both"/>
        <w:rPr>
          <w:rFonts w:ascii="Palatino Linotype" w:eastAsia="MS Mincho" w:hAnsi="Palatino Linotype" w:cstheme="majorBidi"/>
          <w:sz w:val="24"/>
          <w:szCs w:val="24"/>
          <w:lang w:val="es-ES_tradnl" w:eastAsia="es-ES"/>
        </w:rPr>
      </w:pPr>
    </w:p>
    <w:p w:rsidR="002D470E" w:rsidRPr="0012204B" w:rsidRDefault="002D470E" w:rsidP="002D470E">
      <w:pPr>
        <w:pStyle w:val="Prrafodelista"/>
        <w:numPr>
          <w:ilvl w:val="0"/>
          <w:numId w:val="4"/>
        </w:numPr>
        <w:spacing w:after="0" w:line="360" w:lineRule="auto"/>
        <w:jc w:val="both"/>
        <w:rPr>
          <w:rFonts w:ascii="Palatino Linotype" w:eastAsia="MS Mincho" w:hAnsi="Palatino Linotype" w:cstheme="majorBidi"/>
          <w:b/>
          <w:sz w:val="24"/>
          <w:szCs w:val="24"/>
          <w:lang w:val="es-ES_tradnl" w:eastAsia="es-ES"/>
        </w:rPr>
      </w:pPr>
      <w:r w:rsidRPr="0012204B">
        <w:rPr>
          <w:rFonts w:ascii="Palatino Linotype" w:eastAsia="MS Mincho" w:hAnsi="Palatino Linotype" w:cstheme="majorBidi"/>
          <w:b/>
          <w:sz w:val="24"/>
          <w:szCs w:val="24"/>
          <w:lang w:val="es-ES_tradnl" w:eastAsia="es-ES"/>
        </w:rPr>
        <w:t xml:space="preserve">De la </w:t>
      </w:r>
      <w:r w:rsidRPr="0012204B">
        <w:rPr>
          <w:rFonts w:ascii="Palatino Linotype" w:eastAsia="MS Mincho" w:hAnsi="Palatino Linotype" w:cstheme="majorBidi"/>
          <w:b/>
          <w:sz w:val="24"/>
          <w:szCs w:val="24"/>
          <w:lang w:eastAsia="es-ES"/>
        </w:rPr>
        <w:t>Resolución del procedimiento administrativo</w:t>
      </w:r>
    </w:p>
    <w:p w:rsidR="003530FF" w:rsidRPr="0012204B" w:rsidRDefault="003530FF" w:rsidP="003530FF">
      <w:pPr>
        <w:spacing w:after="0" w:line="360" w:lineRule="auto"/>
        <w:ind w:left="360"/>
        <w:contextualSpacing/>
        <w:jc w:val="both"/>
        <w:rPr>
          <w:rFonts w:ascii="Palatino Linotype" w:eastAsia="MS Mincho" w:hAnsi="Palatino Linotype" w:cstheme="majorBidi"/>
          <w:sz w:val="24"/>
          <w:szCs w:val="24"/>
          <w:lang w:val="es-ES_tradnl" w:eastAsia="es-ES"/>
        </w:rPr>
      </w:pPr>
    </w:p>
    <w:p w:rsidR="002D470E" w:rsidRPr="0012204B" w:rsidRDefault="001D78A2" w:rsidP="00553BA1">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val="es-ES_tradnl" w:eastAsia="es-ES"/>
        </w:rPr>
        <w:t>La información correspondiente a las resoluciones de procedimientos administrativos instaurados por el órgano de control interno, no es otra cosa que un requisito formal que se debe de cumplir</w:t>
      </w:r>
      <w:r w:rsidR="003530FF" w:rsidRPr="0012204B">
        <w:rPr>
          <w:rFonts w:ascii="Palatino Linotype" w:eastAsia="MS Mincho" w:hAnsi="Palatino Linotype" w:cstheme="majorBidi"/>
          <w:sz w:val="24"/>
          <w:szCs w:val="24"/>
          <w:lang w:val="es-ES_tradnl" w:eastAsia="es-ES"/>
        </w:rPr>
        <w:t>se</w:t>
      </w:r>
      <w:r w:rsidRPr="0012204B">
        <w:rPr>
          <w:rFonts w:ascii="Palatino Linotype" w:eastAsia="MS Mincho" w:hAnsi="Palatino Linotype" w:cstheme="majorBidi"/>
          <w:sz w:val="24"/>
          <w:szCs w:val="24"/>
          <w:lang w:val="es-ES_tradnl" w:eastAsia="es-ES"/>
        </w:rPr>
        <w:t xml:space="preserve"> para lleva a cabo la baja de los bienes muebles no localizados, tal como lo </w:t>
      </w:r>
      <w:r w:rsidR="003530FF" w:rsidRPr="0012204B">
        <w:rPr>
          <w:rFonts w:ascii="Palatino Linotype" w:eastAsia="MS Mincho" w:hAnsi="Palatino Linotype" w:cstheme="majorBidi"/>
          <w:sz w:val="24"/>
          <w:szCs w:val="24"/>
          <w:lang w:val="es-ES_tradnl" w:eastAsia="es-ES"/>
        </w:rPr>
        <w:t>refiere el numeral SEPTUAGÉSIMO de los Lineamientos en comento, descrito en el párrafo 43, de la presente resolución.</w:t>
      </w:r>
    </w:p>
    <w:p w:rsidR="002D470E" w:rsidRPr="0012204B" w:rsidRDefault="002D470E" w:rsidP="003530FF">
      <w:pPr>
        <w:spacing w:after="0" w:line="360" w:lineRule="auto"/>
        <w:ind w:left="360"/>
        <w:contextualSpacing/>
        <w:jc w:val="both"/>
        <w:rPr>
          <w:rFonts w:ascii="Palatino Linotype" w:eastAsia="MS Mincho" w:hAnsi="Palatino Linotype" w:cstheme="majorBidi"/>
          <w:sz w:val="24"/>
          <w:szCs w:val="24"/>
          <w:lang w:val="es-ES_tradnl" w:eastAsia="es-ES"/>
        </w:rPr>
      </w:pPr>
    </w:p>
    <w:p w:rsidR="002D470E" w:rsidRPr="0012204B" w:rsidRDefault="003530FF" w:rsidP="00722324">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val="es-ES_tradnl" w:eastAsia="es-ES"/>
        </w:rPr>
        <w:t>Lo anterior es así, que la falta de uno de los requisitos, entre los cuales está la existencia de la resolución del procedimiento administrativo, establecidos por dicho numeral para llevar a cabo la baja documental de bienes muebles no localizados, este no se puede materializar.</w:t>
      </w:r>
    </w:p>
    <w:p w:rsidR="00B10614" w:rsidRPr="0012204B" w:rsidRDefault="00B10614" w:rsidP="00553BA1">
      <w:pPr>
        <w:numPr>
          <w:ilvl w:val="0"/>
          <w:numId w:val="2"/>
        </w:numPr>
        <w:spacing w:after="0" w:line="360" w:lineRule="auto"/>
        <w:contextualSpacing/>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val="es-ES_tradnl" w:eastAsia="es-ES"/>
        </w:rPr>
        <w:lastRenderedPageBreak/>
        <w:t xml:space="preserve">Luego entonces, resulta viable ordenar al </w:t>
      </w:r>
      <w:r w:rsidRPr="0012204B">
        <w:rPr>
          <w:rFonts w:ascii="Palatino Linotype" w:eastAsia="MS Mincho" w:hAnsi="Palatino Linotype" w:cstheme="majorBidi"/>
          <w:b/>
          <w:sz w:val="24"/>
          <w:szCs w:val="24"/>
          <w:lang w:val="es-ES_tradnl" w:eastAsia="es-ES"/>
        </w:rPr>
        <w:t>SUJETO OBLIGADO</w:t>
      </w:r>
      <w:r w:rsidRPr="0012204B">
        <w:rPr>
          <w:rFonts w:ascii="Palatino Linotype" w:eastAsia="MS Mincho" w:hAnsi="Palatino Linotype" w:cstheme="majorBidi"/>
          <w:sz w:val="24"/>
          <w:szCs w:val="24"/>
          <w:lang w:val="es-ES_tradnl" w:eastAsia="es-ES"/>
        </w:rPr>
        <w:t xml:space="preserve"> previa búsqueda exhaustiva y razonable en sus respectivos archivos con lo que cuenten, y haga entrega de cada una de los documentales, en versión publica, que se describen de los incisos a) a</w:t>
      </w:r>
      <w:r w:rsidR="001D7778" w:rsidRPr="0012204B">
        <w:rPr>
          <w:rFonts w:ascii="Palatino Linotype" w:eastAsia="MS Mincho" w:hAnsi="Palatino Linotype" w:cstheme="majorBidi"/>
          <w:sz w:val="24"/>
          <w:szCs w:val="24"/>
          <w:lang w:val="es-ES_tradnl" w:eastAsia="es-ES"/>
        </w:rPr>
        <w:t xml:space="preserve"> </w:t>
      </w:r>
      <w:r w:rsidRPr="0012204B">
        <w:rPr>
          <w:rFonts w:ascii="Palatino Linotype" w:eastAsia="MS Mincho" w:hAnsi="Palatino Linotype" w:cstheme="majorBidi"/>
          <w:sz w:val="24"/>
          <w:szCs w:val="24"/>
          <w:lang w:val="es-ES_tradnl" w:eastAsia="es-ES"/>
        </w:rPr>
        <w:t>l</w:t>
      </w:r>
      <w:r w:rsidR="001D7778" w:rsidRPr="0012204B">
        <w:rPr>
          <w:rFonts w:ascii="Palatino Linotype" w:eastAsia="MS Mincho" w:hAnsi="Palatino Linotype" w:cstheme="majorBidi"/>
          <w:sz w:val="24"/>
          <w:szCs w:val="24"/>
          <w:lang w:val="es-ES_tradnl" w:eastAsia="es-ES"/>
        </w:rPr>
        <w:t>a</w:t>
      </w:r>
      <w:r w:rsidRPr="0012204B">
        <w:rPr>
          <w:rFonts w:ascii="Palatino Linotype" w:eastAsia="MS Mincho" w:hAnsi="Palatino Linotype" w:cstheme="majorBidi"/>
          <w:sz w:val="24"/>
          <w:szCs w:val="24"/>
          <w:lang w:val="es-ES_tradnl" w:eastAsia="es-ES"/>
        </w:rPr>
        <w:t xml:space="preserve"> j).</w:t>
      </w:r>
    </w:p>
    <w:p w:rsidR="00B10614" w:rsidRPr="0012204B" w:rsidRDefault="00B10614" w:rsidP="00553BA1">
      <w:pPr>
        <w:pStyle w:val="Prrafodelista"/>
        <w:ind w:left="360" w:hanging="360"/>
        <w:rPr>
          <w:rFonts w:ascii="Palatino Linotype" w:eastAsia="MS Mincho" w:hAnsi="Palatino Linotype" w:cstheme="majorBidi"/>
          <w:sz w:val="24"/>
          <w:szCs w:val="24"/>
          <w:lang w:val="es-ES_tradnl" w:eastAsia="es-ES"/>
        </w:rPr>
      </w:pPr>
    </w:p>
    <w:p w:rsidR="0054612E" w:rsidRPr="0012204B" w:rsidRDefault="0054612E" w:rsidP="00553BA1">
      <w:pPr>
        <w:numPr>
          <w:ilvl w:val="0"/>
          <w:numId w:val="2"/>
        </w:numPr>
        <w:spacing w:after="0" w:line="360" w:lineRule="auto"/>
        <w:ind w:right="49"/>
        <w:contextualSpacing/>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val="es-ES_tradnl" w:eastAsia="es-ES"/>
        </w:rPr>
        <w:t xml:space="preserve">En ese contexto, la información que el </w:t>
      </w:r>
      <w:r w:rsidRPr="0012204B">
        <w:rPr>
          <w:rFonts w:ascii="Palatino Linotype" w:eastAsia="MS Mincho" w:hAnsi="Palatino Linotype" w:cstheme="majorBidi"/>
          <w:b/>
          <w:sz w:val="24"/>
          <w:szCs w:val="24"/>
          <w:lang w:val="es-ES_tradnl" w:eastAsia="es-ES"/>
        </w:rPr>
        <w:t>SUJETO OBLIGADO</w:t>
      </w:r>
      <w:r w:rsidRPr="0012204B">
        <w:rPr>
          <w:rFonts w:ascii="Palatino Linotype" w:eastAsia="MS Mincho" w:hAnsi="Palatino Linotype" w:cstheme="majorBidi"/>
          <w:sz w:val="24"/>
          <w:szCs w:val="24"/>
          <w:lang w:val="es-ES_tradnl" w:eastAsia="es-ES"/>
        </w:rPr>
        <w:t xml:space="preserve"> debe entregar será del periodo correspondiente de los ejercicio fiscales 2018 y 2019, hasta el mes de octubre de 2020, este último en razón a la fecha en que se presentó la solicitud y de con base a la temporalidad en se llevan a cabo la sesiones del </w:t>
      </w:r>
      <w:r w:rsidR="00675D14" w:rsidRPr="0012204B">
        <w:rPr>
          <w:rFonts w:ascii="Palatino Linotype" w:eastAsia="MS Mincho" w:hAnsi="Palatino Linotype" w:cstheme="majorBidi"/>
          <w:sz w:val="24"/>
          <w:szCs w:val="24"/>
          <w:lang w:eastAsia="es-ES"/>
        </w:rPr>
        <w:t>Comité de Bienes Muebles e Inmuebles, tal como lo refieren los Lineamiento en comento, en su numeral Décimo Tercero:</w:t>
      </w:r>
    </w:p>
    <w:p w:rsidR="00675D14" w:rsidRPr="0012204B" w:rsidRDefault="00675D14" w:rsidP="00675D14">
      <w:pPr>
        <w:pStyle w:val="Prrafodelista"/>
        <w:rPr>
          <w:rFonts w:ascii="Palatino Linotype" w:eastAsia="MS Mincho" w:hAnsi="Palatino Linotype" w:cstheme="majorBidi"/>
          <w:sz w:val="24"/>
          <w:szCs w:val="24"/>
          <w:lang w:val="es-ES_tradnl" w:eastAsia="es-ES"/>
        </w:rPr>
      </w:pPr>
    </w:p>
    <w:p w:rsidR="00675D14" w:rsidRPr="0012204B" w:rsidRDefault="00675D14" w:rsidP="00675D14">
      <w:pPr>
        <w:spacing w:after="0" w:line="360" w:lineRule="auto"/>
        <w:ind w:left="567" w:right="615"/>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 xml:space="preserve">DÉCIMO TERCERO: El Comité tendrá las funciones siguientes: </w:t>
      </w:r>
    </w:p>
    <w:p w:rsidR="00675D14" w:rsidRPr="0012204B" w:rsidRDefault="00675D14" w:rsidP="00675D14">
      <w:pPr>
        <w:spacing w:after="0" w:line="360" w:lineRule="auto"/>
        <w:ind w:left="567" w:right="615"/>
        <w:contextualSpacing/>
        <w:jc w:val="both"/>
        <w:rPr>
          <w:rFonts w:ascii="Palatino Linotype" w:eastAsia="MS Mincho" w:hAnsi="Palatino Linotype" w:cstheme="majorBidi"/>
          <w:b/>
          <w:i/>
          <w:lang w:eastAsia="es-ES"/>
        </w:rPr>
      </w:pPr>
      <w:r w:rsidRPr="0012204B">
        <w:rPr>
          <w:rFonts w:ascii="Palatino Linotype" w:eastAsia="MS Mincho" w:hAnsi="Palatino Linotype" w:cstheme="majorBidi"/>
          <w:b/>
          <w:i/>
          <w:lang w:eastAsia="es-ES"/>
        </w:rPr>
        <w:t xml:space="preserve">I. Sesionar por lo menos una vez al bimestre; </w:t>
      </w:r>
    </w:p>
    <w:p w:rsidR="00675D14" w:rsidRPr="0012204B" w:rsidRDefault="00675D14" w:rsidP="00675D14">
      <w:pPr>
        <w:spacing w:after="0" w:line="360" w:lineRule="auto"/>
        <w:ind w:left="567" w:right="615"/>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 xml:space="preserve">II. Determinar la fecha de inicio y término de los dos levantamientos físicos anuales de los inventarios de bienes muebles e inmuebles; </w:t>
      </w:r>
    </w:p>
    <w:p w:rsidR="00675D14" w:rsidRPr="0012204B" w:rsidRDefault="00675D14" w:rsidP="00675D14">
      <w:pPr>
        <w:spacing w:after="0" w:line="360" w:lineRule="auto"/>
        <w:ind w:left="567" w:right="615"/>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 xml:space="preserve">III. Analizar y validar los resultados finales de los trabajos relacionados con los levantamientos físicos; </w:t>
      </w:r>
    </w:p>
    <w:p w:rsidR="00675D14" w:rsidRPr="0012204B" w:rsidRDefault="00675D14" w:rsidP="00675D14">
      <w:pPr>
        <w:spacing w:after="0" w:line="360" w:lineRule="auto"/>
        <w:ind w:left="567" w:right="615"/>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 xml:space="preserve">IV. Presentar ante el órgano máximo de gobierno los movimientos propuestos derivados de los levantamientos físicos y de la conciliación de los bienes muebles; </w:t>
      </w:r>
    </w:p>
    <w:p w:rsidR="00675D14" w:rsidRPr="0012204B" w:rsidRDefault="00675D14" w:rsidP="00675D14">
      <w:pPr>
        <w:spacing w:after="0" w:line="360" w:lineRule="auto"/>
        <w:ind w:left="567" w:right="615"/>
        <w:contextualSpacing/>
        <w:jc w:val="both"/>
        <w:rPr>
          <w:i/>
        </w:rPr>
      </w:pPr>
      <w:r w:rsidRPr="0012204B">
        <w:rPr>
          <w:rFonts w:ascii="Palatino Linotype" w:eastAsia="MS Mincho" w:hAnsi="Palatino Linotype" w:cstheme="majorBidi"/>
          <w:i/>
          <w:lang w:eastAsia="es-ES"/>
        </w:rPr>
        <w:t>V. Implementar acciones que se consideren necesarias en apoyo al procedimiento para la conciliación del inventario de bienes muebles patrimoniales con los registros contables;</w:t>
      </w:r>
      <w:r w:rsidRPr="0012204B">
        <w:rPr>
          <w:i/>
        </w:rPr>
        <w:t xml:space="preserve"> </w:t>
      </w:r>
    </w:p>
    <w:p w:rsidR="00675D14" w:rsidRPr="0012204B" w:rsidRDefault="00675D14" w:rsidP="00675D14">
      <w:pPr>
        <w:spacing w:after="0" w:line="360" w:lineRule="auto"/>
        <w:ind w:left="567" w:right="615"/>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 xml:space="preserve">VI. Fijar las políticas y medidas internas que se deban cumplir en el control de los inventarios y en los casos de que los bienes muebles sean cambiados de lugar o área para la que fueron destinados, sometiendo al órgano máximo de gobierno para su aprobación; y </w:t>
      </w:r>
    </w:p>
    <w:p w:rsidR="00675D14" w:rsidRPr="0012204B" w:rsidRDefault="00675D14" w:rsidP="00675D14">
      <w:pPr>
        <w:spacing w:after="0" w:line="360" w:lineRule="auto"/>
        <w:ind w:left="567" w:right="615"/>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lastRenderedPageBreak/>
        <w:t xml:space="preserve">VII. Definir las medidas necesarias para el cumplimiento de los acuerdos de comité. </w:t>
      </w:r>
    </w:p>
    <w:p w:rsidR="00675D14" w:rsidRPr="0012204B" w:rsidRDefault="00675D14" w:rsidP="00675D14">
      <w:pPr>
        <w:spacing w:after="0" w:line="360" w:lineRule="auto"/>
        <w:ind w:left="567" w:right="615"/>
        <w:contextualSpacing/>
        <w:jc w:val="both"/>
        <w:rPr>
          <w:rFonts w:ascii="Palatino Linotype" w:eastAsia="MS Mincho" w:hAnsi="Palatino Linotype" w:cstheme="majorBidi"/>
          <w:i/>
          <w:lang w:eastAsia="es-ES"/>
        </w:rPr>
      </w:pPr>
      <w:r w:rsidRPr="0012204B">
        <w:rPr>
          <w:rFonts w:ascii="Palatino Linotype" w:eastAsia="MS Mincho" w:hAnsi="Palatino Linotype" w:cstheme="majorBidi"/>
          <w:i/>
          <w:lang w:eastAsia="es-ES"/>
        </w:rPr>
        <w:t xml:space="preserve">Para el caso de los bienes muebles se deberán reconocer las diferencias derivadas de las conciliaciones de los bienes muebles por parte del área financiera y acordar las propuestas que se presentarán ante el órgano máximo de gobierno. </w:t>
      </w:r>
    </w:p>
    <w:p w:rsidR="00675D14" w:rsidRPr="0012204B" w:rsidRDefault="00675D14" w:rsidP="00675D14">
      <w:pPr>
        <w:spacing w:after="0" w:line="360" w:lineRule="auto"/>
        <w:ind w:left="567" w:right="615"/>
        <w:contextualSpacing/>
        <w:jc w:val="both"/>
        <w:rPr>
          <w:rFonts w:ascii="Palatino Linotype" w:eastAsia="MS Mincho" w:hAnsi="Palatino Linotype" w:cstheme="majorBidi"/>
          <w:i/>
          <w:lang w:val="es-ES_tradnl" w:eastAsia="es-ES"/>
        </w:rPr>
      </w:pPr>
      <w:r w:rsidRPr="0012204B">
        <w:rPr>
          <w:rFonts w:ascii="Palatino Linotype" w:eastAsia="MS Mincho" w:hAnsi="Palatino Linotype" w:cstheme="majorBidi"/>
          <w:i/>
          <w:lang w:eastAsia="es-ES"/>
        </w:rPr>
        <w:t>El Secretario Ejecutivo deberá conservar toda la información generada al interior del comité y en su momento hacerla del conocimiento y entrega a los nuevos titulares en los procesos de entrega-recepción.</w:t>
      </w:r>
    </w:p>
    <w:p w:rsidR="0054612E" w:rsidRPr="0012204B" w:rsidRDefault="0054612E" w:rsidP="0054612E">
      <w:pPr>
        <w:pStyle w:val="Prrafodelista"/>
        <w:rPr>
          <w:rFonts w:ascii="Palatino Linotype" w:eastAsia="MS Mincho" w:hAnsi="Palatino Linotype" w:cstheme="majorBidi"/>
          <w:sz w:val="24"/>
          <w:szCs w:val="24"/>
          <w:lang w:val="es-ES_tradnl" w:eastAsia="es-ES"/>
        </w:rPr>
      </w:pPr>
    </w:p>
    <w:p w:rsidR="00553BA1" w:rsidRPr="0012204B" w:rsidRDefault="00553BA1" w:rsidP="00553BA1">
      <w:pPr>
        <w:numPr>
          <w:ilvl w:val="0"/>
          <w:numId w:val="2"/>
        </w:numPr>
        <w:spacing w:after="0" w:line="360" w:lineRule="auto"/>
        <w:ind w:right="49"/>
        <w:contextualSpacing/>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val="es-ES_tradnl" w:eastAsia="es-ES"/>
        </w:rPr>
        <w:t>Por lo anteriormente expuesto, se precisa que toda aquella información que se encuentra en posesión de los Sujetos Obligado es pública, por lo tanto esta debe está disponible para quien la solicite, privilegiando el principio de máxima publicidad y éste se tendrá por colmado cuando la información este a disposición del solicitante.</w:t>
      </w:r>
    </w:p>
    <w:p w:rsidR="00F43C1F" w:rsidRPr="0012204B" w:rsidRDefault="00F43C1F" w:rsidP="00F43C1F">
      <w:pPr>
        <w:spacing w:after="0" w:line="360" w:lineRule="auto"/>
        <w:contextualSpacing/>
        <w:jc w:val="both"/>
        <w:rPr>
          <w:rFonts w:ascii="Palatino Linotype" w:eastAsia="MS Mincho" w:hAnsi="Palatino Linotype" w:cstheme="majorBidi"/>
          <w:sz w:val="24"/>
          <w:szCs w:val="24"/>
          <w:lang w:val="es-ES_tradnl" w:eastAsia="es-ES"/>
        </w:rPr>
      </w:pPr>
    </w:p>
    <w:p w:rsidR="00F43C1F" w:rsidRPr="0012204B" w:rsidRDefault="001D7778" w:rsidP="00F652F2">
      <w:pPr>
        <w:pStyle w:val="Prrafodelista"/>
        <w:numPr>
          <w:ilvl w:val="0"/>
          <w:numId w:val="4"/>
        </w:numPr>
        <w:spacing w:after="0" w:line="360" w:lineRule="auto"/>
        <w:jc w:val="both"/>
        <w:rPr>
          <w:rFonts w:ascii="Palatino Linotype" w:eastAsia="MS Mincho" w:hAnsi="Palatino Linotype" w:cstheme="majorBidi"/>
          <w:b/>
          <w:sz w:val="24"/>
          <w:szCs w:val="24"/>
          <w:lang w:val="es-ES_tradnl" w:eastAsia="es-ES"/>
        </w:rPr>
      </w:pPr>
      <w:r w:rsidRPr="0012204B">
        <w:rPr>
          <w:rFonts w:ascii="Palatino Linotype" w:eastAsia="MS Mincho" w:hAnsi="Palatino Linotype" w:cstheme="majorBidi"/>
          <w:b/>
          <w:sz w:val="24"/>
          <w:szCs w:val="24"/>
          <w:lang w:val="es-ES_tradnl" w:eastAsia="es-ES"/>
        </w:rPr>
        <w:t xml:space="preserve">De la firma  y nombre de servidores públicos </w:t>
      </w:r>
    </w:p>
    <w:p w:rsidR="00507885" w:rsidRPr="0012204B" w:rsidRDefault="00507885" w:rsidP="00553BA1">
      <w:pPr>
        <w:spacing w:after="0" w:line="360" w:lineRule="auto"/>
        <w:ind w:left="360"/>
        <w:contextualSpacing/>
        <w:jc w:val="both"/>
        <w:rPr>
          <w:rFonts w:ascii="Palatino Linotype" w:eastAsia="MS Mincho" w:hAnsi="Palatino Linotype" w:cstheme="majorBidi"/>
          <w:sz w:val="24"/>
          <w:szCs w:val="24"/>
          <w:lang w:val="es-ES_tradnl" w:eastAsia="es-ES"/>
        </w:rPr>
      </w:pPr>
    </w:p>
    <w:p w:rsidR="00F652F2" w:rsidRPr="0012204B" w:rsidRDefault="00F652F2" w:rsidP="00F652F2">
      <w:pPr>
        <w:numPr>
          <w:ilvl w:val="0"/>
          <w:numId w:val="2"/>
        </w:numPr>
        <w:shd w:val="clear" w:color="auto" w:fill="FFFFFF"/>
        <w:spacing w:after="0" w:line="360" w:lineRule="auto"/>
        <w:ind w:right="49"/>
        <w:contextualSpacing/>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eastAsia="es-ES"/>
        </w:rPr>
        <w:t>En cuanto a la firma y nombre de los servidores públicos, estos no puede ser testados en razón de las funciones que se desempeñan, toda vez cualquier acto de autoridad que se emane, éste deberá constatar por escrito y a la vez firmado para su respectiva validez; de tal circunstancia se desprende que la firma y nombre plasmados en los documentos solicitados por el particular puede ser corroborada en aquellos documentos que se haya suscrito  el servidor público de acuerdo a las funciones que desempeña, por lo tanto no se puede considera como un dato personal, en razón de que se ejercen actos de autoridad.</w:t>
      </w:r>
    </w:p>
    <w:p w:rsidR="00F652F2" w:rsidRPr="0012204B" w:rsidRDefault="00F652F2" w:rsidP="00F652F2">
      <w:pPr>
        <w:shd w:val="clear" w:color="auto" w:fill="FFFFFF"/>
        <w:spacing w:after="0" w:line="360" w:lineRule="auto"/>
        <w:ind w:left="360" w:right="49"/>
        <w:contextualSpacing/>
        <w:jc w:val="both"/>
        <w:rPr>
          <w:rFonts w:ascii="Palatino Linotype" w:eastAsia="MS Mincho" w:hAnsi="Palatino Linotype" w:cstheme="majorBidi"/>
          <w:sz w:val="24"/>
          <w:szCs w:val="24"/>
          <w:lang w:eastAsia="es-ES"/>
        </w:rPr>
      </w:pPr>
    </w:p>
    <w:p w:rsidR="00F652F2" w:rsidRPr="0012204B" w:rsidRDefault="00F652F2" w:rsidP="00F652F2">
      <w:pPr>
        <w:numPr>
          <w:ilvl w:val="0"/>
          <w:numId w:val="2"/>
        </w:numPr>
        <w:shd w:val="clear" w:color="auto" w:fill="FFFFFF"/>
        <w:spacing w:after="0" w:line="360" w:lineRule="auto"/>
        <w:ind w:right="49"/>
        <w:contextualSpacing/>
        <w:jc w:val="both"/>
        <w:rPr>
          <w:rFonts w:ascii="Palatino Linotype" w:eastAsia="MS Mincho" w:hAnsi="Palatino Linotype" w:cstheme="majorBidi"/>
          <w:sz w:val="24"/>
          <w:szCs w:val="24"/>
          <w:lang w:eastAsia="es-ES"/>
        </w:rPr>
      </w:pPr>
      <w:r w:rsidRPr="0012204B">
        <w:rPr>
          <w:rFonts w:ascii="Palatino Linotype" w:eastAsia="MS Mincho" w:hAnsi="Palatino Linotype" w:cstheme="majorBidi"/>
          <w:sz w:val="24"/>
          <w:szCs w:val="24"/>
          <w:lang w:eastAsia="es-ES"/>
        </w:rPr>
        <w:lastRenderedPageBreak/>
        <w:t>En términos similares, el entonces Instituto Federal de Acceso a la Información Pública (IFAI) ahora Instituto Nacional de Transparencia, Acceso a la Información y Protección de Datos Personales emitió el criterio número 010-10, que es de la literalidad siguiente:</w:t>
      </w:r>
    </w:p>
    <w:p w:rsidR="00F652F2" w:rsidRPr="0012204B" w:rsidRDefault="00F652F2" w:rsidP="00F652F2">
      <w:pPr>
        <w:shd w:val="clear" w:color="auto" w:fill="FFFFFF"/>
        <w:spacing w:after="0" w:line="360" w:lineRule="auto"/>
        <w:ind w:left="360" w:right="49"/>
        <w:contextualSpacing/>
        <w:jc w:val="both"/>
        <w:rPr>
          <w:rFonts w:ascii="Palatino Linotype" w:eastAsia="MS Mincho" w:hAnsi="Palatino Linotype" w:cstheme="majorBidi"/>
          <w:sz w:val="24"/>
          <w:szCs w:val="24"/>
          <w:lang w:eastAsia="es-ES"/>
        </w:rPr>
      </w:pPr>
    </w:p>
    <w:p w:rsidR="00F652F2" w:rsidRPr="0012204B" w:rsidRDefault="00F652F2" w:rsidP="00F652F2">
      <w:pPr>
        <w:shd w:val="clear" w:color="auto" w:fill="FFFFFF"/>
        <w:spacing w:after="0" w:line="360" w:lineRule="auto"/>
        <w:ind w:left="360" w:right="49"/>
        <w:contextualSpacing/>
        <w:jc w:val="both"/>
        <w:rPr>
          <w:rFonts w:ascii="Palatino Linotype" w:eastAsia="MS Mincho" w:hAnsi="Palatino Linotype" w:cstheme="majorBidi"/>
          <w:i/>
          <w:sz w:val="24"/>
          <w:szCs w:val="24"/>
          <w:lang w:eastAsia="es-ES"/>
        </w:rPr>
      </w:pPr>
      <w:r w:rsidRPr="0012204B">
        <w:rPr>
          <w:rFonts w:ascii="Palatino Linotype" w:eastAsia="MS Mincho" w:hAnsi="Palatino Linotype" w:cstheme="majorBidi"/>
          <w:i/>
          <w:sz w:val="24"/>
          <w:szCs w:val="24"/>
          <w:lang w:eastAsia="es-ES"/>
        </w:rPr>
        <w:t>“</w:t>
      </w:r>
      <w:r w:rsidRPr="0012204B">
        <w:rPr>
          <w:rFonts w:ascii="Palatino Linotype" w:eastAsia="MS Mincho" w:hAnsi="Palatino Linotype" w:cstheme="majorBidi"/>
          <w:b/>
          <w:i/>
          <w:sz w:val="24"/>
          <w:szCs w:val="24"/>
          <w:lang w:eastAsia="es-ES"/>
        </w:rPr>
        <w:t>La firma de los servidores públicos es información de carácter público cuando ésta es utilizada en el ejercicio de las facultades conferidas para el desempeño del servicio público</w:t>
      </w:r>
      <w:r w:rsidRPr="0012204B">
        <w:rPr>
          <w:rFonts w:ascii="Palatino Linotype" w:eastAsia="MS Mincho" w:hAnsi="Palatino Linotype" w:cstheme="majorBidi"/>
          <w:i/>
          <w:sz w:val="24"/>
          <w:szCs w:val="24"/>
          <w:lang w:eastAsia="es-ES"/>
        </w:rPr>
        <w:t>. Si bien la firma es un dato personal confidencial, en tanto que identifica o hace identificable a su titular, cuando un servidor público emite un acto como autoridad, en ejercicio de las funciones que tiene conferidas, la firma mediante la cual valida dicho acto es pública. Lo anterior, en virtud de que se realizó en cumplimiento de las obligaciones que le corresponden en términos de las disposiciones jurídicas aplicables. Por tanto, la firma de los servidores públicos, vinculada al ejercicio de la función pública, es información de naturaleza pública, dado que documenta y rinde cuentas sobre el debido ejercicio de sus atribuciones con motivo del empleo, cargo o comisión que le han sido encomendados.</w:t>
      </w:r>
    </w:p>
    <w:p w:rsidR="00F652F2" w:rsidRPr="0012204B" w:rsidRDefault="00F652F2" w:rsidP="00F652F2">
      <w:pPr>
        <w:shd w:val="clear" w:color="auto" w:fill="FFFFFF"/>
        <w:spacing w:after="0" w:line="360" w:lineRule="auto"/>
        <w:ind w:left="360" w:right="49"/>
        <w:contextualSpacing/>
        <w:jc w:val="both"/>
        <w:rPr>
          <w:rFonts w:ascii="Palatino Linotype" w:eastAsia="MS Mincho" w:hAnsi="Palatino Linotype" w:cstheme="majorBidi"/>
          <w:sz w:val="24"/>
          <w:szCs w:val="24"/>
          <w:lang w:eastAsia="es-ES"/>
        </w:rPr>
      </w:pPr>
    </w:p>
    <w:p w:rsidR="00F652F2" w:rsidRPr="0012204B" w:rsidRDefault="00F652F2" w:rsidP="00F652F2">
      <w:pPr>
        <w:numPr>
          <w:ilvl w:val="0"/>
          <w:numId w:val="2"/>
        </w:numPr>
        <w:shd w:val="clear" w:color="auto" w:fill="FFFFFF"/>
        <w:spacing w:after="0" w:line="360" w:lineRule="auto"/>
        <w:ind w:right="49"/>
        <w:contextualSpacing/>
        <w:jc w:val="both"/>
        <w:rPr>
          <w:rFonts w:ascii="Palatino Linotype" w:eastAsia="MS Mincho" w:hAnsi="Palatino Linotype" w:cstheme="majorBidi"/>
          <w:sz w:val="24"/>
          <w:szCs w:val="24"/>
          <w:lang w:eastAsia="es-ES"/>
        </w:rPr>
      </w:pPr>
      <w:r w:rsidRPr="0012204B">
        <w:rPr>
          <w:rFonts w:ascii="Palatino Linotype" w:eastAsia="MS Mincho" w:hAnsi="Palatino Linotype" w:cstheme="majorBidi"/>
          <w:sz w:val="24"/>
          <w:szCs w:val="24"/>
          <w:lang w:eastAsia="es-ES"/>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1D7778" w:rsidRPr="0012204B" w:rsidRDefault="001D7778" w:rsidP="00F652F2">
      <w:pPr>
        <w:shd w:val="clear" w:color="auto" w:fill="FFFFFF"/>
        <w:spacing w:after="0" w:line="360" w:lineRule="auto"/>
        <w:ind w:left="360" w:right="49"/>
        <w:contextualSpacing/>
        <w:jc w:val="both"/>
        <w:rPr>
          <w:rFonts w:ascii="Palatino Linotype" w:eastAsia="MS Mincho" w:hAnsi="Palatino Linotype" w:cstheme="majorBidi"/>
          <w:sz w:val="24"/>
          <w:szCs w:val="24"/>
          <w:lang w:val="es-ES_tradnl" w:eastAsia="es-ES"/>
        </w:rPr>
      </w:pPr>
    </w:p>
    <w:p w:rsidR="00CA11F0" w:rsidRPr="0012204B" w:rsidRDefault="00CA11F0" w:rsidP="00553BA1">
      <w:pPr>
        <w:numPr>
          <w:ilvl w:val="0"/>
          <w:numId w:val="2"/>
        </w:numPr>
        <w:shd w:val="clear" w:color="auto" w:fill="FFFFFF"/>
        <w:spacing w:after="0" w:line="360" w:lineRule="auto"/>
        <w:ind w:right="49"/>
        <w:contextualSpacing/>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val="es-ES_tradnl" w:eastAsia="es-ES"/>
        </w:rPr>
        <w:t xml:space="preserve">En ese contexto, se insiste en que resulta viable </w:t>
      </w:r>
      <w:r w:rsidRPr="0012204B">
        <w:rPr>
          <w:rFonts w:ascii="Palatino Linotype" w:eastAsia="MS Mincho" w:hAnsi="Palatino Linotype" w:cstheme="majorBidi"/>
          <w:b/>
          <w:sz w:val="24"/>
          <w:szCs w:val="24"/>
          <w:lang w:val="es-ES_tradnl" w:eastAsia="es-ES"/>
        </w:rPr>
        <w:t>REVOCAR</w:t>
      </w:r>
      <w:r w:rsidRPr="0012204B">
        <w:rPr>
          <w:rFonts w:ascii="Palatino Linotype" w:eastAsia="MS Mincho" w:hAnsi="Palatino Linotype" w:cstheme="majorBidi"/>
          <w:sz w:val="24"/>
          <w:szCs w:val="24"/>
          <w:lang w:val="es-ES_tradnl" w:eastAsia="es-ES"/>
        </w:rPr>
        <w:t xml:space="preserve"> la respuesta del </w:t>
      </w:r>
      <w:r w:rsidRPr="0012204B">
        <w:rPr>
          <w:rFonts w:ascii="Palatino Linotype" w:eastAsia="MS Mincho" w:hAnsi="Palatino Linotype" w:cstheme="majorBidi"/>
          <w:b/>
          <w:sz w:val="24"/>
          <w:szCs w:val="24"/>
          <w:lang w:val="es-ES_tradnl" w:eastAsia="es-ES"/>
        </w:rPr>
        <w:t>SUJETO OBLIGADO</w:t>
      </w:r>
      <w:r w:rsidRPr="0012204B">
        <w:rPr>
          <w:rFonts w:ascii="Palatino Linotype" w:eastAsia="MS Mincho" w:hAnsi="Palatino Linotype" w:cstheme="majorBidi"/>
          <w:sz w:val="24"/>
          <w:szCs w:val="24"/>
          <w:lang w:val="es-ES_tradnl" w:eastAsia="es-ES"/>
        </w:rPr>
        <w:t xml:space="preserve"> y ordenar la entrega de la información, correspondiente</w:t>
      </w:r>
      <w:r w:rsidR="00553BA1" w:rsidRPr="0012204B">
        <w:rPr>
          <w:rFonts w:ascii="Palatino Linotype" w:eastAsia="MS Mincho" w:hAnsi="Palatino Linotype" w:cstheme="majorBidi"/>
          <w:sz w:val="24"/>
          <w:szCs w:val="24"/>
          <w:lang w:val="es-ES_tradnl" w:eastAsia="es-ES"/>
        </w:rPr>
        <w:t xml:space="preserve"> a los documentos referido en cada inciso.</w:t>
      </w:r>
    </w:p>
    <w:p w:rsidR="00CE51CB" w:rsidRPr="0012204B" w:rsidRDefault="00CE51CB" w:rsidP="00CE51CB">
      <w:pPr>
        <w:keepNext/>
        <w:keepLines/>
        <w:spacing w:before="240" w:after="0"/>
        <w:outlineLvl w:val="0"/>
        <w:rPr>
          <w:rFonts w:ascii="Palatino Linotype" w:eastAsia="MS Mincho" w:hAnsi="Palatino Linotype" w:cstheme="majorBidi"/>
          <w:sz w:val="24"/>
          <w:szCs w:val="24"/>
          <w:lang w:val="es-ES_tradnl" w:eastAsia="es-ES"/>
        </w:rPr>
      </w:pPr>
      <w:bookmarkStart w:id="11" w:name="_Toc51795312"/>
    </w:p>
    <w:p w:rsidR="00553BA1" w:rsidRPr="0012204B" w:rsidRDefault="00CE51CB" w:rsidP="00CE51CB">
      <w:pPr>
        <w:keepNext/>
        <w:keepLines/>
        <w:spacing w:before="240" w:after="0"/>
        <w:outlineLvl w:val="0"/>
        <w:rPr>
          <w:rFonts w:ascii="Palatino Linotype" w:eastAsia="MS Mincho" w:hAnsi="Palatino Linotype" w:cstheme="majorBidi"/>
          <w:b/>
          <w:sz w:val="24"/>
          <w:szCs w:val="24"/>
          <w:lang w:val="es-ES_tradnl" w:eastAsia="es-ES"/>
        </w:rPr>
      </w:pPr>
      <w:bookmarkStart w:id="12" w:name="_Toc62209472"/>
      <w:r w:rsidRPr="0012204B">
        <w:rPr>
          <w:rFonts w:ascii="Palatino Linotype" w:eastAsia="MS Mincho" w:hAnsi="Palatino Linotype" w:cstheme="majorBidi"/>
          <w:b/>
          <w:sz w:val="24"/>
          <w:szCs w:val="24"/>
          <w:lang w:val="es-ES_tradnl" w:eastAsia="es-ES"/>
        </w:rPr>
        <w:t>SEXTO</w:t>
      </w:r>
      <w:r w:rsidR="00553BA1" w:rsidRPr="0012204B">
        <w:rPr>
          <w:rFonts w:ascii="Palatino Linotype" w:eastAsia="MS Mincho" w:hAnsi="Palatino Linotype" w:cstheme="majorBidi"/>
          <w:b/>
          <w:sz w:val="24"/>
          <w:szCs w:val="24"/>
          <w:lang w:val="es-ES_tradnl" w:eastAsia="es-ES"/>
        </w:rPr>
        <w:t>. De la versión pública.</w:t>
      </w:r>
      <w:bookmarkEnd w:id="11"/>
      <w:bookmarkEnd w:id="12"/>
    </w:p>
    <w:p w:rsidR="00553BA1" w:rsidRPr="0012204B" w:rsidRDefault="00553BA1" w:rsidP="00553BA1">
      <w:pPr>
        <w:ind w:left="360"/>
        <w:contextualSpacing/>
        <w:rPr>
          <w:rFonts w:ascii="Palatino Linotype" w:eastAsia="MS Mincho" w:hAnsi="Palatino Linotype" w:cstheme="majorBidi"/>
          <w:sz w:val="24"/>
          <w:szCs w:val="24"/>
          <w:lang w:val="es-ES_tradnl" w:eastAsia="es-ES"/>
        </w:rPr>
      </w:pPr>
    </w:p>
    <w:p w:rsidR="00553BA1" w:rsidRPr="0012204B" w:rsidRDefault="00553BA1" w:rsidP="00553BA1">
      <w:pPr>
        <w:pStyle w:val="Prrafodelista"/>
        <w:numPr>
          <w:ilvl w:val="0"/>
          <w:numId w:val="2"/>
        </w:numPr>
        <w:spacing w:after="120" w:line="360" w:lineRule="auto"/>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 xml:space="preserve">Por otro lado, debe destacarse que debido a la naturaleza de la información solicitada, 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12204B">
        <w:rPr>
          <w:rFonts w:ascii="Palatino Linotype" w:hAnsi="Palatino Linotype" w:cs="Arial"/>
          <w:b/>
          <w:color w:val="000000" w:themeColor="text1"/>
          <w:sz w:val="24"/>
          <w:szCs w:val="24"/>
          <w:u w:val="single"/>
          <w:lang w:val="es-ES_tradnl"/>
        </w:rPr>
        <w:t>versión pública</w:t>
      </w:r>
      <w:r w:rsidRPr="0012204B">
        <w:rPr>
          <w:rFonts w:ascii="Palatino Linotype" w:hAnsi="Palatino Linotype" w:cs="Arial"/>
          <w:color w:val="000000" w:themeColor="text1"/>
          <w:sz w:val="24"/>
          <w:szCs w:val="24"/>
          <w:lang w:val="es-ES_tradnl"/>
        </w:rPr>
        <w:t xml:space="preserve"> del documento por las consideraciones que se estimen pertinentes.</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12204B">
        <w:rPr>
          <w:vertAlign w:val="superscript"/>
          <w:lang w:val="es-ES_tradnl"/>
        </w:rPr>
        <w:footnoteReference w:id="1"/>
      </w:r>
      <w:r w:rsidRPr="0012204B">
        <w:rPr>
          <w:rFonts w:ascii="Palatino Linotype" w:hAnsi="Palatino Linotype" w:cs="Arial"/>
          <w:color w:val="000000" w:themeColor="text1"/>
          <w:sz w:val="24"/>
          <w:szCs w:val="24"/>
          <w:lang w:val="es-ES_tradnl"/>
        </w:rPr>
        <w:t xml:space="preserve"> aunque cualquier límite o restricción, para ser legítimo, debe reunir con tres requisitos: primero, debe de estar establecida en un ordenamiento legal, antes de su aplicación; debe de </w:t>
      </w:r>
      <w:r w:rsidRPr="0012204B">
        <w:rPr>
          <w:rFonts w:ascii="Palatino Linotype" w:hAnsi="Palatino Linotype" w:cs="Arial"/>
          <w:color w:val="000000" w:themeColor="text1"/>
          <w:sz w:val="24"/>
          <w:szCs w:val="24"/>
          <w:lang w:val="es-ES_tradnl"/>
        </w:rPr>
        <w:lastRenderedPageBreak/>
        <w:t>corresponder a un fin legítimo y ser estrictamente proporcional con el principio o valor que se pretende preservar.</w:t>
      </w:r>
      <w:r w:rsidRPr="0012204B">
        <w:rPr>
          <w:vertAlign w:val="superscript"/>
          <w:lang w:val="es-ES_tradnl"/>
        </w:rPr>
        <w:footnoteReference w:id="2"/>
      </w:r>
      <w:r w:rsidRPr="0012204B">
        <w:rPr>
          <w:rFonts w:ascii="Palatino Linotype" w:hAnsi="Palatino Linotype" w:cs="Arial"/>
          <w:color w:val="000000" w:themeColor="text1"/>
          <w:sz w:val="24"/>
          <w:szCs w:val="24"/>
          <w:lang w:val="es-ES_tradnl"/>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553BA1" w:rsidRPr="0012204B" w:rsidRDefault="00553BA1" w:rsidP="00553BA1">
      <w:pPr>
        <w:tabs>
          <w:tab w:val="left" w:pos="1644"/>
        </w:tabs>
        <w:spacing w:after="120" w:line="360" w:lineRule="auto"/>
        <w:ind w:left="360" w:hanging="360"/>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ab/>
      </w: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553BA1" w:rsidRPr="0012204B" w:rsidRDefault="00553BA1" w:rsidP="00553BA1">
      <w:pPr>
        <w:spacing w:after="120" w:line="360" w:lineRule="auto"/>
        <w:ind w:left="360" w:hanging="360"/>
        <w:contextualSpacing/>
        <w:jc w:val="both"/>
        <w:rPr>
          <w:rFonts w:ascii="Palatino Linotype" w:hAnsi="Palatino Linotype" w:cs="Arial"/>
          <w:b/>
          <w:color w:val="000000" w:themeColor="text1"/>
          <w:sz w:val="24"/>
          <w:szCs w:val="24"/>
        </w:rPr>
      </w:pPr>
    </w:p>
    <w:p w:rsidR="00553BA1" w:rsidRPr="0012204B" w:rsidRDefault="00553BA1" w:rsidP="00553BA1">
      <w:pPr>
        <w:spacing w:after="120" w:line="360" w:lineRule="auto"/>
        <w:ind w:left="709" w:hanging="360"/>
        <w:contextualSpacing/>
        <w:jc w:val="both"/>
        <w:rPr>
          <w:rFonts w:ascii="Palatino Linotype" w:hAnsi="Palatino Linotype" w:cs="Arial"/>
          <w:b/>
          <w:color w:val="000000" w:themeColor="text1"/>
          <w:sz w:val="24"/>
          <w:szCs w:val="24"/>
        </w:rPr>
      </w:pPr>
      <w:r w:rsidRPr="0012204B">
        <w:rPr>
          <w:rFonts w:ascii="Palatino Linotype" w:hAnsi="Palatino Linotype" w:cs="Arial"/>
          <w:b/>
          <w:color w:val="000000" w:themeColor="text1"/>
          <w:sz w:val="24"/>
          <w:szCs w:val="24"/>
        </w:rPr>
        <w:t>Requisitos previos.</w:t>
      </w:r>
    </w:p>
    <w:p w:rsidR="00553BA1" w:rsidRPr="0012204B" w:rsidRDefault="00553BA1" w:rsidP="00553BA1">
      <w:pPr>
        <w:spacing w:after="120" w:line="360" w:lineRule="auto"/>
        <w:ind w:left="360" w:hanging="360"/>
        <w:contextualSpacing/>
        <w:jc w:val="both"/>
        <w:rPr>
          <w:rFonts w:ascii="Palatino Linotype" w:hAnsi="Palatino Linotype" w:cs="Arial"/>
          <w:b/>
          <w:color w:val="000000" w:themeColor="text1"/>
          <w:sz w:val="24"/>
          <w:szCs w:val="24"/>
        </w:rPr>
      </w:pPr>
    </w:p>
    <w:p w:rsidR="00553BA1" w:rsidRPr="0012204B" w:rsidRDefault="00553BA1" w:rsidP="00553BA1">
      <w:pPr>
        <w:numPr>
          <w:ilvl w:val="0"/>
          <w:numId w:val="2"/>
        </w:numPr>
        <w:spacing w:after="120" w:line="360" w:lineRule="auto"/>
        <w:contextualSpacing/>
        <w:jc w:val="both"/>
        <w:rPr>
          <w:rFonts w:ascii="Palatino Linotype" w:eastAsiaTheme="minorEastAsia" w:hAnsi="Palatino Linotype" w:cs="Arial"/>
          <w:color w:val="000000"/>
          <w:sz w:val="24"/>
          <w:szCs w:val="24"/>
          <w:lang w:val="es-ES_tradnl" w:eastAsia="es-ES"/>
        </w:rPr>
      </w:pPr>
      <w:r w:rsidRPr="0012204B">
        <w:rPr>
          <w:rFonts w:ascii="Palatino Linotype" w:eastAsiaTheme="minorEastAsia" w:hAnsi="Palatino Linotype" w:cs="Arial"/>
          <w:color w:val="000000"/>
          <w:sz w:val="24"/>
          <w:szCs w:val="24"/>
          <w:lang w:val="es-ES_tradnl" w:eastAsia="es-ES"/>
        </w:rPr>
        <w:t xml:space="preserve">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w:t>
      </w:r>
      <w:r w:rsidRPr="0012204B">
        <w:rPr>
          <w:rFonts w:ascii="Palatino Linotype" w:eastAsiaTheme="minorEastAsia" w:hAnsi="Palatino Linotype" w:cs="Arial"/>
          <w:color w:val="000000"/>
          <w:sz w:val="24"/>
          <w:szCs w:val="24"/>
          <w:lang w:val="es-ES_tradnl" w:eastAsia="es-ES"/>
        </w:rPr>
        <w:lastRenderedPageBreak/>
        <w:t>y no el Comité de Transparencia, toda vez que éste únicamente aprueba, modifica o revoca la propuesta de clasificación, tienen que precisar de qué información se trata (nombre, registro federal de contribuyentes, edad, entre otros) que forme parte de algún documento o el documento que se pretende reservar, señalando el supuesto de clasificación (confidencialidad o reserva).</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 xml:space="preserve">Además, se debe señalar el procedimiento, de los tres que establecen los artículos 132 y 106 de la Ley Estatal y General, </w:t>
      </w:r>
      <w:r w:rsidRPr="0012204B">
        <w:rPr>
          <w:rFonts w:ascii="Palatino Linotype" w:eastAsiaTheme="minorEastAsia" w:hAnsi="Palatino Linotype" w:cs="Arial"/>
          <w:color w:val="000000"/>
          <w:sz w:val="24"/>
          <w:szCs w:val="24"/>
          <w:lang w:val="es-ES_tradnl" w:eastAsia="es-ES"/>
        </w:rPr>
        <w:t>respectivamente</w:t>
      </w:r>
      <w:r w:rsidRPr="0012204B">
        <w:rPr>
          <w:rFonts w:ascii="Palatino Linotype" w:hAnsi="Palatino Linotype" w:cs="Arial"/>
          <w:color w:val="000000" w:themeColor="text1"/>
          <w:sz w:val="24"/>
          <w:szCs w:val="24"/>
          <w:lang w:val="es-ES_tradnl"/>
        </w:rPr>
        <w:t>, por el que se realiza dicha clasificación, a saber, cuando se atiende una solicitud de acceso a la información, porque lo determina una autoridad competente o porque se va a generar una versión pública para cumplir con sus obligaciones.</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 xml:space="preserve">El último de estos requisitos previos consiste en que no se pueden emitir acuerdos de carácter general ni particular, según lo disponen los artículos 134 y 108 de la Ley Estatal y de la Ley General, respectivamente, esto es, </w:t>
      </w:r>
      <w:r w:rsidRPr="0012204B">
        <w:rPr>
          <w:rFonts w:ascii="Palatino Linotype" w:hAnsi="Palatino Linotype" w:cs="Arial"/>
          <w:b/>
          <w:color w:val="000000" w:themeColor="text1"/>
          <w:sz w:val="24"/>
          <w:szCs w:val="24"/>
          <w:u w:val="single"/>
          <w:lang w:val="es-ES_tradnl"/>
        </w:rPr>
        <w:t xml:space="preserve">no se puede hacer un acuerdo para clasificar de manera general todos los documentos de un expediente o área, </w:t>
      </w:r>
      <w:r w:rsidRPr="0012204B">
        <w:rPr>
          <w:rFonts w:ascii="Palatino Linotype" w:hAnsi="Palatino Linotype" w:cs="Arial"/>
          <w:color w:val="000000" w:themeColor="text1"/>
          <w:sz w:val="24"/>
          <w:szCs w:val="24"/>
          <w:lang w:val="es-ES_tradnl"/>
        </w:rPr>
        <w:t>sin individualizar su análisis y tampoco se puede hacer un acuerdo por cada dato que se vaya a clasificar dentro de un documento con diez datos, por ejemplo, susceptibles de ser clasificados.</w:t>
      </w:r>
    </w:p>
    <w:p w:rsidR="00553BA1" w:rsidRPr="0012204B" w:rsidRDefault="00553BA1" w:rsidP="00553BA1">
      <w:pPr>
        <w:spacing w:after="120" w:line="360" w:lineRule="auto"/>
        <w:ind w:left="360" w:hanging="360"/>
        <w:contextualSpacing/>
        <w:jc w:val="both"/>
        <w:rPr>
          <w:rFonts w:ascii="Palatino Linotype" w:hAnsi="Palatino Linotype" w:cs="Arial"/>
          <w:b/>
          <w:color w:val="000000" w:themeColor="text1"/>
          <w:sz w:val="24"/>
          <w:szCs w:val="24"/>
        </w:rPr>
      </w:pPr>
    </w:p>
    <w:p w:rsidR="00553BA1" w:rsidRPr="0012204B" w:rsidRDefault="00553BA1" w:rsidP="00553BA1">
      <w:pPr>
        <w:spacing w:after="120" w:line="360" w:lineRule="auto"/>
        <w:ind w:left="709" w:hanging="360"/>
        <w:contextualSpacing/>
        <w:jc w:val="both"/>
        <w:rPr>
          <w:rFonts w:ascii="Palatino Linotype" w:hAnsi="Palatino Linotype" w:cs="Arial"/>
          <w:b/>
          <w:color w:val="000000" w:themeColor="text1"/>
          <w:sz w:val="24"/>
          <w:szCs w:val="24"/>
        </w:rPr>
      </w:pPr>
      <w:r w:rsidRPr="0012204B">
        <w:rPr>
          <w:rFonts w:ascii="Palatino Linotype" w:hAnsi="Palatino Linotype" w:cs="Arial"/>
          <w:b/>
          <w:color w:val="000000" w:themeColor="text1"/>
          <w:sz w:val="24"/>
          <w:szCs w:val="24"/>
        </w:rPr>
        <w:t>Supuestos de clasificación.</w:t>
      </w:r>
    </w:p>
    <w:p w:rsidR="00553BA1" w:rsidRPr="0012204B" w:rsidRDefault="00553BA1" w:rsidP="00553BA1">
      <w:pPr>
        <w:spacing w:after="120" w:line="360" w:lineRule="auto"/>
        <w:ind w:left="360" w:hanging="360"/>
        <w:contextualSpacing/>
        <w:jc w:val="both"/>
        <w:rPr>
          <w:rFonts w:ascii="Palatino Linotype" w:hAnsi="Palatino Linotype" w:cs="Arial"/>
          <w:b/>
          <w:color w:val="000000" w:themeColor="text1"/>
          <w:sz w:val="24"/>
          <w:szCs w:val="24"/>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rPr>
      </w:pPr>
      <w:r w:rsidRPr="0012204B">
        <w:rPr>
          <w:rFonts w:ascii="Palatino Linotype" w:hAnsi="Palatino Linotype" w:cs="Arial"/>
          <w:color w:val="000000" w:themeColor="text1"/>
          <w:sz w:val="24"/>
          <w:szCs w:val="24"/>
        </w:rPr>
        <w:t>Las disposiciones constitucionales y legales en la materia establecen los dos supuestos generales para clasificar la información: por reserva y por confidencialidad.</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Los artículos 143 y 116 de la Ley Estatal y de la Ley General, respectivamente, señalan los supuestos para que la información pueda ser clasificada como confidencial:</w:t>
      </w:r>
    </w:p>
    <w:p w:rsidR="00553BA1" w:rsidRPr="0012204B" w:rsidRDefault="00553BA1" w:rsidP="00553BA1">
      <w:pPr>
        <w:ind w:left="360" w:hanging="360"/>
        <w:contextualSpacing/>
        <w:rPr>
          <w:rFonts w:ascii="Palatino Linotype" w:hAnsi="Palatino Linotype" w:cs="Arial"/>
          <w:color w:val="000000" w:themeColor="text1"/>
          <w:sz w:val="24"/>
          <w:szCs w:val="24"/>
          <w:lang w:val="es-ES_tradnl"/>
        </w:rPr>
      </w:pPr>
    </w:p>
    <w:p w:rsidR="00553BA1" w:rsidRPr="0012204B" w:rsidRDefault="00553BA1" w:rsidP="00593C9D">
      <w:pPr>
        <w:spacing w:after="120" w:line="360" w:lineRule="auto"/>
        <w:ind w:left="567" w:right="615"/>
        <w:contextualSpacing/>
        <w:jc w:val="both"/>
        <w:rPr>
          <w:rFonts w:ascii="Palatino Linotype" w:hAnsi="Palatino Linotype" w:cs="Arial"/>
          <w:i/>
          <w:color w:val="000000" w:themeColor="text1"/>
        </w:rPr>
      </w:pPr>
      <w:r w:rsidRPr="0012204B">
        <w:rPr>
          <w:rFonts w:ascii="Palatino Linotype" w:hAnsi="Palatino Linotype" w:cs="Arial"/>
          <w:bCs/>
          <w:i/>
          <w:color w:val="000000" w:themeColor="text1"/>
          <w:sz w:val="24"/>
          <w:szCs w:val="24"/>
        </w:rPr>
        <w:t xml:space="preserve">I. </w:t>
      </w:r>
      <w:r w:rsidRPr="0012204B">
        <w:rPr>
          <w:rFonts w:ascii="Palatino Linotype" w:hAnsi="Palatino Linotype" w:cs="Arial"/>
          <w:i/>
          <w:color w:val="000000" w:themeColor="text1"/>
        </w:rPr>
        <w:t xml:space="preserve">Se refiera a la información privada y los datos personales concernientes a una persona física o jurídico colectiva identificada o identificable; </w:t>
      </w:r>
    </w:p>
    <w:p w:rsidR="00553BA1" w:rsidRPr="0012204B" w:rsidRDefault="00553BA1" w:rsidP="00593C9D">
      <w:pPr>
        <w:spacing w:after="120" w:line="360" w:lineRule="auto"/>
        <w:ind w:left="567" w:right="615"/>
        <w:contextualSpacing/>
        <w:jc w:val="both"/>
        <w:rPr>
          <w:rFonts w:ascii="Palatino Linotype" w:hAnsi="Palatino Linotype" w:cs="Arial"/>
          <w:i/>
          <w:color w:val="000000" w:themeColor="text1"/>
        </w:rPr>
      </w:pPr>
      <w:r w:rsidRPr="0012204B">
        <w:rPr>
          <w:rFonts w:ascii="Palatino Linotype" w:hAnsi="Palatino Linotype" w:cs="Arial"/>
          <w:bCs/>
          <w:i/>
          <w:color w:val="000000" w:themeColor="text1"/>
        </w:rPr>
        <w:t xml:space="preserve">II. </w:t>
      </w:r>
      <w:r w:rsidRPr="0012204B">
        <w:rPr>
          <w:rFonts w:ascii="Palatino Linotype" w:hAnsi="Palatino Linotype" w:cs="Arial"/>
          <w:i/>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553BA1" w:rsidRPr="0012204B" w:rsidRDefault="00553BA1" w:rsidP="00593C9D">
      <w:pPr>
        <w:spacing w:after="120" w:line="360" w:lineRule="auto"/>
        <w:ind w:left="567" w:right="615"/>
        <w:contextualSpacing/>
        <w:jc w:val="both"/>
        <w:rPr>
          <w:rFonts w:ascii="Palatino Linotype" w:hAnsi="Palatino Linotype" w:cs="Arial"/>
          <w:i/>
          <w:color w:val="000000" w:themeColor="text1"/>
        </w:rPr>
      </w:pPr>
      <w:r w:rsidRPr="0012204B">
        <w:rPr>
          <w:rFonts w:ascii="Palatino Linotype" w:hAnsi="Palatino Linotype" w:cs="Arial"/>
          <w:bCs/>
          <w:i/>
          <w:color w:val="000000" w:themeColor="text1"/>
        </w:rPr>
        <w:t xml:space="preserve">III. </w:t>
      </w:r>
      <w:r w:rsidRPr="0012204B">
        <w:rPr>
          <w:rFonts w:ascii="Palatino Linotype" w:hAnsi="Palatino Linotype" w:cs="Arial"/>
          <w:i/>
          <w:color w:val="000000" w:themeColor="text1"/>
        </w:rPr>
        <w:t xml:space="preserve">La que presenten los particulares a los sujetos obligados, de conformidad con lo dispuesto por las leyes o los tratados internacionales. </w:t>
      </w:r>
    </w:p>
    <w:p w:rsidR="00553BA1" w:rsidRPr="0012204B" w:rsidRDefault="00553BA1" w:rsidP="00593C9D">
      <w:pPr>
        <w:spacing w:after="120" w:line="360" w:lineRule="auto"/>
        <w:ind w:left="567" w:right="615"/>
        <w:contextualSpacing/>
        <w:jc w:val="both"/>
        <w:rPr>
          <w:rFonts w:ascii="Palatino Linotype" w:hAnsi="Palatino Linotype" w:cs="Arial"/>
          <w:i/>
          <w:color w:val="000000" w:themeColor="text1"/>
        </w:rPr>
      </w:pPr>
      <w:r w:rsidRPr="0012204B">
        <w:rPr>
          <w:rFonts w:ascii="Palatino Linotype" w:hAnsi="Palatino Linotype" w:cs="Arial"/>
          <w:i/>
          <w:color w:val="000000" w:themeColor="text1"/>
        </w:rPr>
        <w:t xml:space="preserve">La información confidencial no estará sujeta a temporalidad alguna y sólo podrán tener acceso a ella los titulares de la misma, sus representantes y los servidores públicos facultados para ello. </w:t>
      </w:r>
    </w:p>
    <w:p w:rsidR="00553BA1" w:rsidRPr="0012204B" w:rsidRDefault="00553BA1" w:rsidP="00593C9D">
      <w:pPr>
        <w:spacing w:after="120" w:line="360" w:lineRule="auto"/>
        <w:ind w:left="567" w:right="615"/>
        <w:contextualSpacing/>
        <w:jc w:val="both"/>
        <w:rPr>
          <w:rFonts w:ascii="Palatino Linotype" w:hAnsi="Palatino Linotype" w:cs="Arial"/>
          <w:i/>
          <w:color w:val="000000" w:themeColor="text1"/>
        </w:rPr>
      </w:pPr>
      <w:r w:rsidRPr="0012204B">
        <w:rPr>
          <w:rFonts w:ascii="Palatino Linotype" w:hAnsi="Palatino Linotype" w:cs="Arial"/>
          <w:i/>
          <w:color w:val="000000" w:themeColor="text1"/>
        </w:rPr>
        <w:t xml:space="preserve">No se considerará confidencial la información que se encuentre en los registros públicos o en fuentes de acceso público, ni tampoco la que sea considerada por la presente ley como inform.3ación pública. </w:t>
      </w:r>
    </w:p>
    <w:p w:rsidR="00553BA1" w:rsidRPr="0012204B" w:rsidRDefault="00553BA1" w:rsidP="00553BA1">
      <w:pPr>
        <w:spacing w:after="120" w:line="360" w:lineRule="auto"/>
        <w:ind w:left="360" w:right="615" w:hanging="360"/>
        <w:contextualSpacing/>
        <w:jc w:val="both"/>
        <w:rPr>
          <w:rFonts w:ascii="Palatino Linotype" w:hAnsi="Palatino Linotype" w:cs="Arial"/>
          <w:i/>
          <w:color w:val="000000" w:themeColor="text1"/>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lastRenderedPageBreak/>
        <w:t>Como consecuencia de lo anterior, el sujeto obligado debe identificar claramente el tipo de información y hacer un juicio de subsunción o encaje</w:t>
      </w:r>
      <w:r w:rsidRPr="0012204B">
        <w:rPr>
          <w:rFonts w:ascii="Palatino Linotype" w:hAnsi="Palatino Linotype" w:cs="Arial"/>
          <w:color w:val="000000" w:themeColor="text1"/>
          <w:sz w:val="24"/>
          <w:szCs w:val="24"/>
          <w:vertAlign w:val="superscript"/>
          <w:lang w:val="es-ES_tradnl"/>
        </w:rPr>
        <w:footnoteReference w:id="3"/>
      </w:r>
      <w:r w:rsidRPr="0012204B">
        <w:rPr>
          <w:rFonts w:ascii="Palatino Linotype" w:hAnsi="Palatino Linotype" w:cs="Arial"/>
          <w:color w:val="000000" w:themeColor="text1"/>
          <w:sz w:val="24"/>
          <w:szCs w:val="24"/>
          <w:lang w:val="es-ES_tradnl"/>
        </w:rPr>
        <w:t xml:space="preserve"> para acreditar que el supuesto de hecho corresponde estrictamente con la hipótesis jurídica. Esto también lo debe de realizar el servidor público habilitado y el titular del área que administra la información.</w:t>
      </w:r>
    </w:p>
    <w:p w:rsidR="00553BA1" w:rsidRPr="0012204B" w:rsidRDefault="00553BA1" w:rsidP="00593C9D">
      <w:pPr>
        <w:spacing w:after="120" w:line="360" w:lineRule="auto"/>
        <w:ind w:left="709" w:hanging="360"/>
        <w:contextualSpacing/>
        <w:jc w:val="both"/>
        <w:rPr>
          <w:rFonts w:ascii="Palatino Linotype" w:hAnsi="Palatino Linotype" w:cs="Arial"/>
          <w:color w:val="000000" w:themeColor="text1"/>
          <w:sz w:val="24"/>
          <w:szCs w:val="24"/>
          <w:lang w:val="es-ES_tradnl"/>
        </w:rPr>
      </w:pPr>
    </w:p>
    <w:p w:rsidR="00553BA1" w:rsidRPr="0012204B" w:rsidRDefault="00553BA1" w:rsidP="00593C9D">
      <w:pPr>
        <w:spacing w:after="120" w:line="360" w:lineRule="auto"/>
        <w:ind w:left="709" w:hanging="360"/>
        <w:contextualSpacing/>
        <w:jc w:val="both"/>
        <w:rPr>
          <w:rFonts w:ascii="Palatino Linotype" w:hAnsi="Palatino Linotype" w:cs="Arial"/>
          <w:b/>
          <w:color w:val="000000" w:themeColor="text1"/>
          <w:sz w:val="24"/>
          <w:szCs w:val="24"/>
        </w:rPr>
      </w:pPr>
      <w:r w:rsidRPr="0012204B">
        <w:rPr>
          <w:rFonts w:ascii="Palatino Linotype" w:hAnsi="Palatino Linotype" w:cs="Arial"/>
          <w:b/>
          <w:color w:val="000000" w:themeColor="text1"/>
          <w:sz w:val="24"/>
          <w:szCs w:val="24"/>
        </w:rPr>
        <w:t>Formalidades para emitir el acuerdo de clasificación.</w:t>
      </w:r>
    </w:p>
    <w:p w:rsidR="00553BA1" w:rsidRPr="0012204B" w:rsidRDefault="00553BA1" w:rsidP="00553BA1">
      <w:pPr>
        <w:spacing w:after="120" w:line="360" w:lineRule="auto"/>
        <w:ind w:left="360" w:hanging="360"/>
        <w:contextualSpacing/>
        <w:jc w:val="both"/>
        <w:rPr>
          <w:rFonts w:ascii="Palatino Linotype" w:hAnsi="Palatino Linotype" w:cs="Arial"/>
          <w:b/>
          <w:color w:val="000000" w:themeColor="text1"/>
          <w:sz w:val="24"/>
          <w:szCs w:val="24"/>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lastRenderedPageBreak/>
        <w:t xml:space="preserve">Evidentemente, esta decisión implica una restricción a un derecho humano, por lo tanto, puede generar un agravio al particular y, en consecuencia, es necesario que </w:t>
      </w:r>
      <w:r w:rsidRPr="0012204B">
        <w:rPr>
          <w:rFonts w:ascii="Palatino Linotype" w:hAnsi="Palatino Linotype" w:cs="Arial"/>
          <w:b/>
          <w:color w:val="000000" w:themeColor="text1"/>
          <w:sz w:val="24"/>
          <w:szCs w:val="24"/>
          <w:u w:val="single"/>
          <w:lang w:val="es-ES_tradnl"/>
        </w:rPr>
        <w:t>el acto reúna con los requisitos elementales</w:t>
      </w:r>
      <w:r w:rsidRPr="0012204B">
        <w:rPr>
          <w:rFonts w:ascii="Palatino Linotype" w:hAnsi="Palatino Linotype" w:cs="Arial"/>
          <w:color w:val="000000" w:themeColor="text1"/>
          <w:sz w:val="24"/>
          <w:szCs w:val="24"/>
          <w:lang w:val="es-ES_tradnl"/>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93C9D">
      <w:pPr>
        <w:spacing w:after="120" w:line="360" w:lineRule="auto"/>
        <w:ind w:left="709" w:hanging="360"/>
        <w:contextualSpacing/>
        <w:jc w:val="both"/>
        <w:rPr>
          <w:rFonts w:ascii="Palatino Linotype" w:hAnsi="Palatino Linotype" w:cs="Arial"/>
          <w:b/>
          <w:color w:val="000000" w:themeColor="text1"/>
          <w:sz w:val="24"/>
          <w:szCs w:val="24"/>
        </w:rPr>
      </w:pPr>
      <w:r w:rsidRPr="0012204B">
        <w:rPr>
          <w:rFonts w:ascii="Palatino Linotype" w:hAnsi="Palatino Linotype" w:cs="Arial"/>
          <w:b/>
          <w:color w:val="000000" w:themeColor="text1"/>
          <w:sz w:val="24"/>
          <w:szCs w:val="24"/>
        </w:rPr>
        <w:t>Requisitos</w:t>
      </w:r>
      <w:r w:rsidRPr="0012204B">
        <w:rPr>
          <w:rFonts w:ascii="Palatino Linotype" w:hAnsi="Palatino Linotype" w:cs="Arial"/>
          <w:color w:val="000000" w:themeColor="text1"/>
          <w:sz w:val="24"/>
          <w:szCs w:val="24"/>
        </w:rPr>
        <w:t xml:space="preserve"> </w:t>
      </w:r>
      <w:r w:rsidRPr="0012204B">
        <w:rPr>
          <w:rFonts w:ascii="Palatino Linotype" w:hAnsi="Palatino Linotype" w:cs="Arial"/>
          <w:b/>
          <w:color w:val="000000" w:themeColor="text1"/>
          <w:sz w:val="24"/>
          <w:szCs w:val="24"/>
        </w:rPr>
        <w:t>de fondo del acuerdo de clasificación.</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lastRenderedPageBreak/>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 xml:space="preserve">De lo anterior, se desprende que para una correcta </w:t>
      </w:r>
      <w:r w:rsidRPr="0012204B">
        <w:rPr>
          <w:rFonts w:ascii="Palatino Linotype" w:hAnsi="Palatino Linotype" w:cs="Arial"/>
          <w:b/>
          <w:color w:val="000000" w:themeColor="text1"/>
          <w:sz w:val="24"/>
          <w:szCs w:val="24"/>
          <w:lang w:val="es-ES_tradnl"/>
        </w:rPr>
        <w:t>clasificación total o parcial</w:t>
      </w:r>
      <w:r w:rsidRPr="0012204B">
        <w:rPr>
          <w:rFonts w:ascii="Palatino Linotype" w:hAnsi="Palatino Linotype" w:cs="Arial"/>
          <w:color w:val="000000" w:themeColor="text1"/>
          <w:sz w:val="24"/>
          <w:szCs w:val="24"/>
          <w:lang w:val="es-ES_tradnl"/>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 xml:space="preserve">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w:t>
      </w:r>
      <w:r w:rsidRPr="0012204B">
        <w:rPr>
          <w:rFonts w:ascii="Palatino Linotype" w:hAnsi="Palatino Linotype" w:cs="Arial"/>
          <w:color w:val="000000" w:themeColor="text1"/>
          <w:sz w:val="24"/>
          <w:szCs w:val="24"/>
          <w:lang w:val="es-ES_tradnl"/>
        </w:rPr>
        <w:lastRenderedPageBreak/>
        <w:t>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2204B">
        <w:rPr>
          <w:rFonts w:ascii="Palatino Linotype" w:hAnsi="Palatino Linotype" w:cs="Arial"/>
          <w:color w:val="000000" w:themeColor="text1"/>
          <w:sz w:val="24"/>
          <w:szCs w:val="24"/>
          <w:vertAlign w:val="superscript"/>
          <w:lang w:val="es-ES_tradnl"/>
        </w:rPr>
        <w:footnoteReference w:id="4"/>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Por su parte, el intérprete judicial del país ha establecido una jurisprudencia respecto a qué debe entenderse por fundamentación y motivación, en los siguientes términos:</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rPr>
      </w:pPr>
    </w:p>
    <w:p w:rsidR="00553BA1" w:rsidRPr="0012204B" w:rsidRDefault="00553BA1" w:rsidP="00593C9D">
      <w:pPr>
        <w:spacing w:after="120" w:line="360" w:lineRule="auto"/>
        <w:ind w:left="567" w:right="567"/>
        <w:contextualSpacing/>
        <w:jc w:val="both"/>
        <w:rPr>
          <w:rFonts w:ascii="Palatino Linotype" w:hAnsi="Palatino Linotype" w:cs="Arial"/>
          <w:i/>
          <w:color w:val="000000" w:themeColor="text1"/>
        </w:rPr>
      </w:pPr>
      <w:r w:rsidRPr="0012204B">
        <w:rPr>
          <w:rFonts w:ascii="Palatino Linotype" w:hAnsi="Palatino Linotype" w:cs="Arial"/>
          <w:b/>
          <w:i/>
          <w:color w:val="000000" w:themeColor="text1"/>
        </w:rPr>
        <w:t>FUNDAMENTACIÓN Y MOTIVACIÓN.</w:t>
      </w:r>
      <w:r w:rsidRPr="0012204B">
        <w:rPr>
          <w:rFonts w:ascii="Palatino Linotype" w:hAnsi="Palatino Linotype" w:cs="Arial"/>
          <w:i/>
          <w:color w:val="000000" w:themeColor="text1"/>
        </w:rPr>
        <w:t xml:space="preserve"> La </w:t>
      </w:r>
      <w:r w:rsidRPr="0012204B">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12204B">
        <w:rPr>
          <w:rFonts w:ascii="Palatino Linotype" w:hAnsi="Palatino Linotype" w:cs="Arial"/>
          <w:i/>
          <w:color w:val="000000" w:themeColor="text1"/>
        </w:rPr>
        <w:t>.</w:t>
      </w:r>
    </w:p>
    <w:p w:rsidR="00553BA1" w:rsidRPr="0012204B" w:rsidRDefault="00553BA1" w:rsidP="00593C9D">
      <w:pPr>
        <w:spacing w:after="120" w:line="360" w:lineRule="auto"/>
        <w:ind w:left="567" w:right="567"/>
        <w:contextualSpacing/>
        <w:jc w:val="both"/>
        <w:rPr>
          <w:rFonts w:ascii="Palatino Linotype" w:hAnsi="Palatino Linotype" w:cs="Arial"/>
          <w:i/>
          <w:color w:val="000000" w:themeColor="text1"/>
        </w:rPr>
      </w:pPr>
      <w:r w:rsidRPr="0012204B">
        <w:rPr>
          <w:rFonts w:ascii="Palatino Linotype" w:hAnsi="Palatino Linotype" w:cs="Arial"/>
          <w:i/>
          <w:color w:val="000000" w:themeColor="text1"/>
        </w:rPr>
        <w:t>SEGUNDO TRIBUNAL COLEGIADO DEL SEXTO CIRCUITO.</w:t>
      </w:r>
    </w:p>
    <w:p w:rsidR="00553BA1" w:rsidRPr="0012204B" w:rsidRDefault="00553BA1" w:rsidP="00593C9D">
      <w:pPr>
        <w:spacing w:after="120" w:line="360" w:lineRule="auto"/>
        <w:ind w:left="567" w:right="567"/>
        <w:contextualSpacing/>
        <w:jc w:val="both"/>
        <w:rPr>
          <w:rFonts w:ascii="Palatino Linotype" w:hAnsi="Palatino Linotype" w:cs="Arial"/>
          <w:i/>
          <w:color w:val="000000" w:themeColor="text1"/>
        </w:rPr>
      </w:pPr>
      <w:r w:rsidRPr="0012204B">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rsidR="00553BA1" w:rsidRPr="0012204B" w:rsidRDefault="00553BA1" w:rsidP="00593C9D">
      <w:pPr>
        <w:spacing w:after="120" w:line="360" w:lineRule="auto"/>
        <w:ind w:left="567" w:right="567"/>
        <w:contextualSpacing/>
        <w:jc w:val="both"/>
        <w:rPr>
          <w:rFonts w:ascii="Palatino Linotype" w:hAnsi="Palatino Linotype" w:cs="Arial"/>
          <w:i/>
          <w:color w:val="000000" w:themeColor="text1"/>
        </w:rPr>
      </w:pPr>
      <w:r w:rsidRPr="0012204B">
        <w:rPr>
          <w:rFonts w:ascii="Palatino Linotype" w:hAnsi="Palatino Linotype" w:cs="Arial"/>
          <w:i/>
          <w:color w:val="000000" w:themeColor="text1"/>
        </w:rPr>
        <w:t>Revisión fiscal 103/88. Instituto Mexicano del Seguro Social. 18 de octubre de 1988. Unanimidad de votos. Ponente: Arnoldo Nájera Virgen. Secretario: Alejandro Esponda Rincón.</w:t>
      </w:r>
    </w:p>
    <w:p w:rsidR="00553BA1" w:rsidRPr="0012204B" w:rsidRDefault="00553BA1" w:rsidP="00593C9D">
      <w:pPr>
        <w:spacing w:after="120" w:line="360" w:lineRule="auto"/>
        <w:ind w:left="567" w:right="567"/>
        <w:contextualSpacing/>
        <w:jc w:val="both"/>
        <w:rPr>
          <w:rFonts w:ascii="Palatino Linotype" w:hAnsi="Palatino Linotype" w:cs="Arial"/>
          <w:i/>
          <w:color w:val="000000" w:themeColor="text1"/>
        </w:rPr>
      </w:pPr>
      <w:r w:rsidRPr="0012204B">
        <w:rPr>
          <w:rFonts w:ascii="Palatino Linotype" w:hAnsi="Palatino Linotype" w:cs="Arial"/>
          <w:i/>
          <w:color w:val="000000" w:themeColor="text1"/>
        </w:rPr>
        <w:t>Amparo en revisión 333/88. Adilia Romero. 26 de octubre de 1988. Unanimidad de votos. Ponente: Arnoldo Nájera Virgen. Secretario: Enrique Crispín Campos Ramírez.</w:t>
      </w:r>
    </w:p>
    <w:p w:rsidR="00553BA1" w:rsidRPr="0012204B" w:rsidRDefault="00553BA1" w:rsidP="00593C9D">
      <w:pPr>
        <w:spacing w:after="120" w:line="360" w:lineRule="auto"/>
        <w:ind w:left="567" w:right="567"/>
        <w:contextualSpacing/>
        <w:jc w:val="both"/>
        <w:rPr>
          <w:rFonts w:ascii="Palatino Linotype" w:hAnsi="Palatino Linotype" w:cs="Arial"/>
          <w:i/>
          <w:color w:val="000000" w:themeColor="text1"/>
        </w:rPr>
      </w:pPr>
      <w:r w:rsidRPr="0012204B">
        <w:rPr>
          <w:rFonts w:ascii="Palatino Linotype" w:hAnsi="Palatino Linotype" w:cs="Arial"/>
          <w:i/>
          <w:color w:val="000000" w:themeColor="text1"/>
        </w:rPr>
        <w:lastRenderedPageBreak/>
        <w:t>Amparo en revisión 597/95. Emilio Maurer Bretón. 15 de noviembre de 1995. Unanimidad de votos. Ponente: Clementina Ramírez Moguel Goyzueta. Secretario: Gonzalo Carrera Molina.</w:t>
      </w:r>
    </w:p>
    <w:p w:rsidR="00553BA1" w:rsidRPr="0012204B" w:rsidRDefault="00553BA1" w:rsidP="00593C9D">
      <w:pPr>
        <w:spacing w:after="120" w:line="360" w:lineRule="auto"/>
        <w:ind w:left="567" w:right="567"/>
        <w:contextualSpacing/>
        <w:jc w:val="both"/>
        <w:rPr>
          <w:rFonts w:ascii="Palatino Linotype" w:hAnsi="Palatino Linotype" w:cs="Arial"/>
          <w:i/>
          <w:color w:val="000000" w:themeColor="text1"/>
        </w:rPr>
      </w:pPr>
      <w:r w:rsidRPr="0012204B">
        <w:rPr>
          <w:rFonts w:ascii="Palatino Linotype" w:hAnsi="Palatino Linotype" w:cs="Arial"/>
          <w:i/>
          <w:color w:val="000000" w:themeColor="text1"/>
        </w:rPr>
        <w:t>Amparo directo 7/96. Pedro Vicente López Miro. 21 de febrero de 1996. Unanimidad de votos. Ponente: María Eugenia Estela Martínez Cardiel. Secretario: Enrique Baigts Muñoz.</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En ese mismo sentido, el numeral trigésimo tercero fracción V de los Lineamientos Generales, precisa que para motivar la clasificación se deben acreditar las circunstancias de tiempo, modo y lugar.</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 xml:space="preserve">Ahora bien, </w:t>
      </w:r>
      <w:r w:rsidRPr="0012204B">
        <w:rPr>
          <w:rFonts w:ascii="Palatino Linotype" w:hAnsi="Palatino Linotype" w:cs="Arial"/>
          <w:b/>
          <w:color w:val="000000" w:themeColor="text1"/>
          <w:sz w:val="24"/>
          <w:szCs w:val="24"/>
          <w:u w:val="single"/>
          <w:lang w:val="es-ES_tradnl"/>
        </w:rPr>
        <w:t>para cada caso además de fundar y motivar</w:t>
      </w:r>
      <w:r w:rsidRPr="0012204B">
        <w:rPr>
          <w:rFonts w:ascii="Palatino Linotype" w:hAnsi="Palatino Linotype" w:cs="Arial"/>
          <w:color w:val="000000" w:themeColor="text1"/>
          <w:sz w:val="24"/>
          <w:szCs w:val="24"/>
          <w:lang w:val="es-ES_tradnl"/>
        </w:rPr>
        <w:t xml:space="preserve">, se debe identificar con claridad que datos contenidos en las documentales que son susceptibles de suprimirse, por ejemplo, si una documental de naturaleza pública como lo es la nómina general, si bien el dato de sus remuneraciones es eminentemente público, </w:t>
      </w:r>
      <w:r w:rsidRPr="0012204B">
        <w:rPr>
          <w:rFonts w:ascii="Palatino Linotype" w:hAnsi="Palatino Linotype" w:cs="Arial"/>
          <w:color w:val="000000" w:themeColor="text1"/>
          <w:sz w:val="24"/>
          <w:szCs w:val="24"/>
          <w:lang w:val="es-ES_tradnl"/>
        </w:rPr>
        <w:lastRenderedPageBreak/>
        <w:t>no así todos los datos contenidos en dicho documento que son datos personales</w:t>
      </w:r>
      <w:r w:rsidRPr="0012204B">
        <w:rPr>
          <w:rFonts w:ascii="Palatino Linotype" w:hAnsi="Palatino Linotype" w:cs="Arial"/>
          <w:color w:val="000000" w:themeColor="text1"/>
          <w:sz w:val="24"/>
          <w:szCs w:val="24"/>
          <w:vertAlign w:val="superscript"/>
          <w:lang w:val="es-ES_tradnl"/>
        </w:rPr>
        <w:footnoteReference w:id="5"/>
      </w:r>
      <w:r w:rsidRPr="0012204B">
        <w:rPr>
          <w:rFonts w:ascii="Palatino Linotype" w:hAnsi="Palatino Linotype" w:cs="Arial"/>
          <w:color w:val="000000" w:themeColor="text1"/>
          <w:sz w:val="24"/>
          <w:szCs w:val="24"/>
          <w:lang w:val="es-ES_tradnl"/>
        </w:rPr>
        <w:t xml:space="preserve"> del servidor público que no tienen ninguna injerencia en el tema de la transparencia y la rendición de cuentas, por ejemplo, </w:t>
      </w:r>
      <w:r w:rsidRPr="0012204B">
        <w:rPr>
          <w:rFonts w:ascii="Palatino Linotype" w:hAnsi="Palatino Linotype" w:cs="Arial"/>
          <w:b/>
          <w:color w:val="000000" w:themeColor="text1"/>
          <w:sz w:val="24"/>
          <w:szCs w:val="24"/>
          <w:lang w:val="es-ES"/>
        </w:rPr>
        <w:t>Clave Única de Registro de Población (CURP), Registro Federal de Contribuyentes (R.F.C.) siempre y cuando no se reciban recursos públicos</w:t>
      </w:r>
      <w:r w:rsidR="00593C9D" w:rsidRPr="0012204B">
        <w:rPr>
          <w:rFonts w:ascii="Palatino Linotype" w:hAnsi="Palatino Linotype" w:cs="Arial"/>
          <w:b/>
          <w:color w:val="000000" w:themeColor="text1"/>
          <w:sz w:val="24"/>
          <w:szCs w:val="24"/>
          <w:u w:val="single"/>
          <w:lang w:val="es-ES"/>
        </w:rPr>
        <w:t>,</w:t>
      </w:r>
      <w:r w:rsidRPr="0012204B">
        <w:rPr>
          <w:rFonts w:ascii="Palatino Linotype" w:hAnsi="Palatino Linotype" w:cs="Arial"/>
          <w:b/>
          <w:color w:val="000000" w:themeColor="text1"/>
          <w:sz w:val="24"/>
          <w:szCs w:val="24"/>
          <w:lang w:val="es-ES"/>
        </w:rPr>
        <w:t xml:space="preserve"> clabes interbancarias, número telefónico, correo personal, domicilio particular, </w:t>
      </w:r>
      <w:r w:rsidR="00593C9D" w:rsidRPr="0012204B">
        <w:rPr>
          <w:rFonts w:ascii="Palatino Linotype" w:hAnsi="Palatino Linotype" w:cs="Arial"/>
          <w:b/>
          <w:color w:val="000000" w:themeColor="text1"/>
          <w:sz w:val="24"/>
          <w:szCs w:val="24"/>
          <w:lang w:val="es-ES"/>
        </w:rPr>
        <w:t xml:space="preserve">nombres de terceras personas particulares, </w:t>
      </w:r>
      <w:r w:rsidRPr="0012204B">
        <w:rPr>
          <w:rFonts w:ascii="Palatino Linotype" w:hAnsi="Palatino Linotype" w:cs="Arial"/>
          <w:b/>
          <w:color w:val="000000" w:themeColor="text1"/>
          <w:sz w:val="24"/>
          <w:szCs w:val="24"/>
          <w:lang w:val="es-ES"/>
        </w:rPr>
        <w:t>fecha de nacimiento, edad,</w:t>
      </w:r>
      <w:r w:rsidRPr="0012204B">
        <w:rPr>
          <w:rFonts w:ascii="Palatino Linotype" w:hAnsi="Palatino Linotype" w:cs="Arial"/>
          <w:color w:val="000000" w:themeColor="text1"/>
          <w:sz w:val="24"/>
          <w:szCs w:val="24"/>
          <w:lang w:val="es-ES"/>
        </w:rPr>
        <w:t xml:space="preserve"> </w:t>
      </w:r>
      <w:r w:rsidRPr="0012204B">
        <w:rPr>
          <w:rFonts w:ascii="Palatino Linotype" w:hAnsi="Palatino Linotype" w:cs="Arial"/>
          <w:b/>
          <w:color w:val="000000" w:themeColor="text1"/>
          <w:sz w:val="24"/>
          <w:szCs w:val="24"/>
          <w:lang w:val="es-ES"/>
        </w:rPr>
        <w:t xml:space="preserve">lugar de nacimiento, </w:t>
      </w:r>
      <w:r w:rsidRPr="0012204B">
        <w:rPr>
          <w:rFonts w:ascii="Palatino Linotype" w:eastAsia="MS Mincho" w:hAnsi="Palatino Linotype" w:cs="Times New Roman"/>
          <w:b/>
          <w:color w:val="000000"/>
          <w:sz w:val="24"/>
          <w:szCs w:val="24"/>
          <w:lang w:val="es-ES_tradnl" w:eastAsia="es-ES"/>
        </w:rPr>
        <w:t>los Códigos Bidimensionales, también denominados Códigos QR</w:t>
      </w:r>
      <w:r w:rsidRPr="0012204B">
        <w:rPr>
          <w:rFonts w:ascii="Palatino Linotype" w:hAnsi="Palatino Linotype" w:cs="Arial"/>
          <w:b/>
          <w:color w:val="000000" w:themeColor="text1"/>
          <w:sz w:val="24"/>
          <w:szCs w:val="24"/>
          <w:lang w:val="es-ES"/>
        </w:rPr>
        <w:t xml:space="preserve"> u cualquier otro, </w:t>
      </w:r>
      <w:r w:rsidRPr="0012204B">
        <w:rPr>
          <w:rFonts w:ascii="Palatino Linotype" w:hAnsi="Palatino Linotype" w:cs="Arial"/>
          <w:color w:val="000000" w:themeColor="text1"/>
          <w:sz w:val="24"/>
          <w:szCs w:val="24"/>
          <w:lang w:val="es-ES"/>
        </w:rPr>
        <w:t xml:space="preserve"> estos son datos  susceptibles de clasificarse como confidenciales mediante una versión pública que deje a la vista los datos que ofrezcan la información requerida. </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b/>
          <w:color w:val="000000" w:themeColor="text1"/>
          <w:sz w:val="24"/>
          <w:szCs w:val="24"/>
          <w:u w:val="single"/>
          <w:lang w:val="es-ES"/>
        </w:rPr>
        <w:t>Otro tipo de información confidencial constituyen los secretos bancario, fiduciario, industrial, comercial, fiscal, QR, bursátil y postal, cuya titularidad corresponda a particulares,</w:t>
      </w:r>
      <w:r w:rsidRPr="0012204B">
        <w:rPr>
          <w:rFonts w:ascii="Palatino Linotype" w:hAnsi="Palatino Linotype" w:cs="Arial"/>
          <w:color w:val="000000" w:themeColor="text1"/>
          <w:sz w:val="24"/>
          <w:szCs w:val="24"/>
          <w:lang w:val="es-ES"/>
        </w:rPr>
        <w:t xml:space="preserve"> sujetos de derecho internacional o a sujetos obligados cuando no involucren el ejercicio de recursos públicos, así lo define la fracción XXI del artículo 3 de la Ley Estatal.</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93C9D">
      <w:pPr>
        <w:spacing w:after="120" w:line="360" w:lineRule="auto"/>
        <w:ind w:left="709" w:hanging="360"/>
        <w:contextualSpacing/>
        <w:jc w:val="both"/>
        <w:rPr>
          <w:rFonts w:ascii="Palatino Linotype" w:hAnsi="Palatino Linotype" w:cs="Arial"/>
          <w:b/>
          <w:color w:val="000000" w:themeColor="text1"/>
          <w:sz w:val="24"/>
          <w:szCs w:val="24"/>
        </w:rPr>
      </w:pPr>
      <w:r w:rsidRPr="0012204B">
        <w:rPr>
          <w:rFonts w:ascii="Palatino Linotype" w:hAnsi="Palatino Linotype" w:cs="Arial"/>
          <w:b/>
          <w:color w:val="000000" w:themeColor="text1"/>
          <w:sz w:val="24"/>
          <w:szCs w:val="24"/>
        </w:rPr>
        <w:t>Condiciones especiales de la clasificación de la información como confidencial.</w:t>
      </w:r>
    </w:p>
    <w:p w:rsidR="00553BA1" w:rsidRPr="0012204B" w:rsidRDefault="00553BA1" w:rsidP="00553BA1">
      <w:pPr>
        <w:spacing w:after="120" w:line="360" w:lineRule="auto"/>
        <w:ind w:left="360" w:hanging="360"/>
        <w:contextualSpacing/>
        <w:jc w:val="both"/>
        <w:rPr>
          <w:rFonts w:ascii="Palatino Linotype" w:hAnsi="Palatino Linotype" w:cs="Arial"/>
          <w:b/>
          <w:color w:val="000000" w:themeColor="text1"/>
          <w:sz w:val="24"/>
          <w:szCs w:val="24"/>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 xml:space="preserve">Los artículos 148 y 120 de la Ley Estatal y de la Ley General, respectivamente, establecen que aun tratándose de datos personales, se podrán proporcionar, </w:t>
      </w:r>
      <w:r w:rsidRPr="0012204B">
        <w:rPr>
          <w:rFonts w:ascii="Palatino Linotype" w:hAnsi="Palatino Linotype" w:cs="Arial"/>
          <w:color w:val="000000" w:themeColor="text1"/>
          <w:sz w:val="24"/>
          <w:szCs w:val="24"/>
          <w:lang w:val="es-ES_tradnl"/>
        </w:rPr>
        <w:lastRenderedPageBreak/>
        <w:t xml:space="preserve">incluso sin solicitar el consentimiento de su titular, cuando dichos datos correspondan a los siguientes supuestos: </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93C9D">
      <w:pPr>
        <w:spacing w:after="120" w:line="360" w:lineRule="auto"/>
        <w:ind w:left="567" w:right="567"/>
        <w:contextualSpacing/>
        <w:jc w:val="both"/>
        <w:rPr>
          <w:rFonts w:ascii="Palatino Linotype" w:hAnsi="Palatino Linotype" w:cs="Arial"/>
          <w:bCs/>
          <w:i/>
          <w:color w:val="000000" w:themeColor="text1"/>
          <w:sz w:val="24"/>
          <w:szCs w:val="24"/>
        </w:rPr>
      </w:pPr>
      <w:r w:rsidRPr="0012204B">
        <w:rPr>
          <w:rFonts w:ascii="Palatino Linotype" w:hAnsi="Palatino Linotype" w:cs="Arial"/>
          <w:bCs/>
          <w:i/>
          <w:color w:val="000000" w:themeColor="text1"/>
          <w:sz w:val="24"/>
          <w:szCs w:val="24"/>
        </w:rPr>
        <w:t>I.</w:t>
      </w:r>
      <w:r w:rsidRPr="0012204B">
        <w:rPr>
          <w:rFonts w:ascii="Palatino Linotype" w:hAnsi="Palatino Linotype" w:cs="Arial"/>
          <w:i/>
          <w:color w:val="000000" w:themeColor="text1"/>
          <w:sz w:val="24"/>
          <w:szCs w:val="24"/>
        </w:rPr>
        <w:t xml:space="preserve"> La información se encuentre en registros públicos o fuentes de acceso público;</w:t>
      </w:r>
    </w:p>
    <w:p w:rsidR="00553BA1" w:rsidRPr="0012204B" w:rsidRDefault="00553BA1" w:rsidP="00593C9D">
      <w:pPr>
        <w:spacing w:after="120" w:line="360" w:lineRule="auto"/>
        <w:ind w:left="567" w:right="567"/>
        <w:contextualSpacing/>
        <w:jc w:val="both"/>
        <w:rPr>
          <w:rFonts w:ascii="Palatino Linotype" w:hAnsi="Palatino Linotype" w:cs="Arial"/>
          <w:bCs/>
          <w:i/>
          <w:color w:val="000000" w:themeColor="text1"/>
          <w:sz w:val="24"/>
          <w:szCs w:val="24"/>
        </w:rPr>
      </w:pPr>
      <w:r w:rsidRPr="0012204B">
        <w:rPr>
          <w:rFonts w:ascii="Palatino Linotype" w:hAnsi="Palatino Linotype" w:cs="Arial"/>
          <w:bCs/>
          <w:i/>
          <w:color w:val="000000" w:themeColor="text1"/>
          <w:sz w:val="24"/>
          <w:szCs w:val="24"/>
        </w:rPr>
        <w:t xml:space="preserve">II. </w:t>
      </w:r>
      <w:r w:rsidRPr="0012204B">
        <w:rPr>
          <w:rFonts w:ascii="Palatino Linotype" w:hAnsi="Palatino Linotype" w:cs="Arial"/>
          <w:i/>
          <w:color w:val="000000" w:themeColor="text1"/>
          <w:sz w:val="24"/>
          <w:szCs w:val="24"/>
        </w:rPr>
        <w:t>Por Ley tenga el carácter de pública;</w:t>
      </w:r>
    </w:p>
    <w:p w:rsidR="00553BA1" w:rsidRPr="0012204B" w:rsidRDefault="00553BA1" w:rsidP="00593C9D">
      <w:pPr>
        <w:spacing w:after="120" w:line="360" w:lineRule="auto"/>
        <w:ind w:left="567" w:right="567"/>
        <w:contextualSpacing/>
        <w:jc w:val="both"/>
        <w:rPr>
          <w:rFonts w:ascii="Palatino Linotype" w:hAnsi="Palatino Linotype" w:cs="Arial"/>
          <w:i/>
          <w:color w:val="000000" w:themeColor="text1"/>
          <w:sz w:val="24"/>
          <w:szCs w:val="24"/>
        </w:rPr>
      </w:pPr>
      <w:r w:rsidRPr="0012204B">
        <w:rPr>
          <w:rFonts w:ascii="Palatino Linotype" w:hAnsi="Palatino Linotype" w:cs="Arial"/>
          <w:bCs/>
          <w:i/>
          <w:color w:val="000000" w:themeColor="text1"/>
          <w:sz w:val="24"/>
          <w:szCs w:val="24"/>
        </w:rPr>
        <w:t xml:space="preserve">III. </w:t>
      </w:r>
      <w:r w:rsidRPr="0012204B">
        <w:rPr>
          <w:rFonts w:ascii="Palatino Linotype" w:hAnsi="Palatino Linotype" w:cs="Arial"/>
          <w:i/>
          <w:color w:val="000000" w:themeColor="text1"/>
          <w:sz w:val="24"/>
          <w:szCs w:val="24"/>
        </w:rPr>
        <w:t xml:space="preserve">Exista una orden judicial; </w:t>
      </w:r>
    </w:p>
    <w:p w:rsidR="00553BA1" w:rsidRPr="0012204B" w:rsidRDefault="00553BA1" w:rsidP="00593C9D">
      <w:pPr>
        <w:spacing w:after="120" w:line="360" w:lineRule="auto"/>
        <w:ind w:left="567" w:right="567"/>
        <w:contextualSpacing/>
        <w:jc w:val="both"/>
        <w:rPr>
          <w:rFonts w:ascii="Palatino Linotype" w:hAnsi="Palatino Linotype" w:cs="Arial"/>
          <w:i/>
          <w:color w:val="000000" w:themeColor="text1"/>
          <w:sz w:val="24"/>
          <w:szCs w:val="24"/>
        </w:rPr>
      </w:pPr>
      <w:r w:rsidRPr="0012204B">
        <w:rPr>
          <w:rFonts w:ascii="Palatino Linotype" w:hAnsi="Palatino Linotype" w:cs="Arial"/>
          <w:bCs/>
          <w:i/>
          <w:color w:val="000000" w:themeColor="text1"/>
          <w:sz w:val="24"/>
          <w:szCs w:val="24"/>
        </w:rPr>
        <w:t xml:space="preserve">IV. </w:t>
      </w:r>
      <w:r w:rsidRPr="0012204B">
        <w:rPr>
          <w:rFonts w:ascii="Palatino Linotype" w:hAnsi="Palatino Linotype" w:cs="Arial"/>
          <w:i/>
          <w:color w:val="000000" w:themeColor="text1"/>
          <w:sz w:val="24"/>
          <w:szCs w:val="24"/>
        </w:rPr>
        <w:t xml:space="preserve">Por razones de seguridad pública, o para proteger los derechos de terceros, se requiera su publicación; o </w:t>
      </w:r>
    </w:p>
    <w:p w:rsidR="00553BA1" w:rsidRPr="0012204B" w:rsidRDefault="00553BA1" w:rsidP="00593C9D">
      <w:pPr>
        <w:spacing w:after="120" w:line="360" w:lineRule="auto"/>
        <w:ind w:left="567" w:right="567"/>
        <w:contextualSpacing/>
        <w:jc w:val="both"/>
        <w:rPr>
          <w:rFonts w:ascii="Palatino Linotype" w:hAnsi="Palatino Linotype" w:cs="Arial"/>
          <w:i/>
          <w:color w:val="000000" w:themeColor="text1"/>
          <w:sz w:val="24"/>
          <w:szCs w:val="24"/>
        </w:rPr>
      </w:pPr>
      <w:r w:rsidRPr="0012204B">
        <w:rPr>
          <w:rFonts w:ascii="Palatino Linotype" w:hAnsi="Palatino Linotype" w:cs="Arial"/>
          <w:bCs/>
          <w:i/>
          <w:color w:val="000000" w:themeColor="text1"/>
          <w:sz w:val="24"/>
          <w:szCs w:val="24"/>
        </w:rPr>
        <w:t xml:space="preserve">V. </w:t>
      </w:r>
      <w:r w:rsidRPr="0012204B">
        <w:rPr>
          <w:rFonts w:ascii="Palatino Linotype" w:hAnsi="Palatino Linotype" w:cs="Arial"/>
          <w:i/>
          <w:color w:val="000000" w:themeColor="text1"/>
          <w:sz w:val="24"/>
          <w:szCs w:val="24"/>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contextualSpacing/>
        <w:jc w:val="both"/>
        <w:rPr>
          <w:rFonts w:ascii="Palatino Linotype" w:hAnsi="Palatino Linotype" w:cs="Arial"/>
          <w:color w:val="000000" w:themeColor="text1"/>
          <w:sz w:val="24"/>
          <w:szCs w:val="24"/>
          <w:lang w:val="es-ES_tradnl"/>
        </w:rPr>
      </w:pPr>
      <w:r w:rsidRPr="0012204B">
        <w:rPr>
          <w:rFonts w:ascii="Palatino Linotype" w:hAnsi="Palatino Linotype" w:cs="Arial"/>
          <w:color w:val="000000" w:themeColor="text1"/>
          <w:sz w:val="24"/>
          <w:szCs w:val="24"/>
          <w:lang w:val="es-ES_tradnl"/>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553BA1" w:rsidRPr="0012204B" w:rsidRDefault="00553BA1" w:rsidP="00553BA1">
      <w:pPr>
        <w:spacing w:after="120" w:line="360" w:lineRule="auto"/>
        <w:ind w:left="360" w:hanging="360"/>
        <w:contextualSpacing/>
        <w:jc w:val="both"/>
        <w:rPr>
          <w:rFonts w:ascii="Palatino Linotype" w:hAnsi="Palatino Linotype" w:cs="Arial"/>
          <w:color w:val="000000" w:themeColor="text1"/>
          <w:sz w:val="24"/>
          <w:szCs w:val="24"/>
          <w:lang w:val="es-ES_tradnl"/>
        </w:rPr>
      </w:pPr>
    </w:p>
    <w:p w:rsidR="00553BA1" w:rsidRPr="0012204B" w:rsidRDefault="00553BA1" w:rsidP="00553BA1">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12204B">
        <w:rPr>
          <w:rFonts w:ascii="Palatino Linotype" w:hAnsi="Palatino Linotype" w:cs="Arial"/>
          <w:color w:val="000000" w:themeColor="text1"/>
          <w:sz w:val="24"/>
          <w:szCs w:val="24"/>
          <w:lang w:val="es-ES_tradnl"/>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553BA1" w:rsidRPr="0012204B" w:rsidRDefault="00553BA1" w:rsidP="00553BA1">
      <w:pPr>
        <w:shd w:val="clear" w:color="auto" w:fill="FFFFFF"/>
        <w:spacing w:after="0" w:line="360" w:lineRule="auto"/>
        <w:ind w:left="360" w:right="49"/>
        <w:contextualSpacing/>
        <w:jc w:val="both"/>
        <w:rPr>
          <w:rFonts w:ascii="Palatino Linotype" w:eastAsia="MS Mincho" w:hAnsi="Palatino Linotype" w:cstheme="majorBidi"/>
          <w:sz w:val="24"/>
          <w:szCs w:val="24"/>
          <w:lang w:val="es-ES_tradnl" w:eastAsia="es-ES"/>
        </w:rPr>
      </w:pPr>
    </w:p>
    <w:p w:rsidR="00CA11F0" w:rsidRPr="0012204B" w:rsidRDefault="00CA11F0" w:rsidP="00CA11F0">
      <w:pPr>
        <w:shd w:val="clear" w:color="auto" w:fill="FFFFFF"/>
        <w:spacing w:after="0" w:line="360" w:lineRule="auto"/>
        <w:ind w:right="49"/>
        <w:contextualSpacing/>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val="es-ES_tradnl" w:eastAsia="es-ES"/>
        </w:rPr>
        <w:t xml:space="preserve">  </w:t>
      </w:r>
    </w:p>
    <w:p w:rsidR="00CA11F0" w:rsidRPr="0012204B" w:rsidRDefault="00CA11F0" w:rsidP="00553BA1">
      <w:pPr>
        <w:numPr>
          <w:ilvl w:val="0"/>
          <w:numId w:val="2"/>
        </w:numPr>
        <w:spacing w:line="360" w:lineRule="auto"/>
        <w:contextualSpacing/>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val="es-ES_tradnl" w:eastAsia="es-ES"/>
        </w:rPr>
        <w:lastRenderedPageBreak/>
        <w:t xml:space="preserve">Consecuentemente, en términos del artículo </w:t>
      </w:r>
      <w:r w:rsidRPr="0012204B">
        <w:rPr>
          <w:rFonts w:ascii="Palatino Linotype" w:eastAsia="MS Mincho" w:hAnsi="Palatino Linotype" w:cstheme="majorBidi"/>
          <w:b/>
          <w:sz w:val="24"/>
          <w:szCs w:val="24"/>
          <w:lang w:val="es-ES_tradnl" w:eastAsia="es-ES"/>
        </w:rPr>
        <w:t>186 fracción III</w:t>
      </w:r>
      <w:r w:rsidRPr="0012204B">
        <w:rPr>
          <w:rFonts w:ascii="Palatino Linotype" w:eastAsia="MS Mincho" w:hAnsi="Palatino Linotype" w:cstheme="majorBidi"/>
          <w:sz w:val="24"/>
          <w:szCs w:val="24"/>
          <w:lang w:val="es-ES_tradnl" w:eastAsia="es-ES"/>
        </w:rPr>
        <w:t xml:space="preserve"> este Pleno determina </w:t>
      </w:r>
      <w:r w:rsidRPr="0012204B">
        <w:rPr>
          <w:rFonts w:ascii="Palatino Linotype" w:eastAsia="MS Mincho" w:hAnsi="Palatino Linotype" w:cstheme="majorBidi"/>
          <w:b/>
          <w:sz w:val="24"/>
          <w:szCs w:val="24"/>
          <w:lang w:val="es-ES_tradnl" w:eastAsia="es-ES"/>
        </w:rPr>
        <w:t xml:space="preserve">REVOCAR </w:t>
      </w:r>
      <w:r w:rsidRPr="0012204B">
        <w:rPr>
          <w:rFonts w:ascii="Palatino Linotype" w:eastAsia="MS Mincho" w:hAnsi="Palatino Linotype" w:cstheme="majorBidi"/>
          <w:sz w:val="24"/>
          <w:szCs w:val="24"/>
          <w:lang w:val="es-ES_tradnl" w:eastAsia="es-ES"/>
        </w:rPr>
        <w:t xml:space="preserve">respuesta y ordenar la entrega de la información del presente recurso de revisión, toda vez que hubo afectación al derecho de acceso a la información pública establecido constitucionalmente a favor del particular ya que la respuesta resultó imprecisa al no entregar </w:t>
      </w:r>
      <w:r w:rsidR="00553BA1" w:rsidRPr="0012204B">
        <w:rPr>
          <w:rFonts w:ascii="Palatino Linotype" w:eastAsia="MS Mincho" w:hAnsi="Palatino Linotype" w:cstheme="majorBidi"/>
          <w:sz w:val="24"/>
          <w:szCs w:val="24"/>
          <w:lang w:val="es-ES_tradnl" w:eastAsia="es-ES"/>
        </w:rPr>
        <w:t>al no corresponder a lo solicitado</w:t>
      </w:r>
      <w:r w:rsidRPr="0012204B">
        <w:rPr>
          <w:rFonts w:ascii="Palatino Linotype" w:eastAsia="MS Mincho" w:hAnsi="Palatino Linotype" w:cstheme="majorBidi"/>
          <w:sz w:val="24"/>
          <w:szCs w:val="24"/>
          <w:lang w:val="es-ES_tradnl" w:eastAsia="es-ES"/>
        </w:rPr>
        <w:t>.</w:t>
      </w:r>
    </w:p>
    <w:p w:rsidR="00553BA1" w:rsidRPr="0012204B" w:rsidRDefault="00553BA1" w:rsidP="00553BA1">
      <w:pPr>
        <w:spacing w:line="360" w:lineRule="auto"/>
        <w:ind w:left="360"/>
        <w:contextualSpacing/>
        <w:jc w:val="both"/>
        <w:rPr>
          <w:rFonts w:ascii="Palatino Linotype" w:eastAsia="MS Mincho" w:hAnsi="Palatino Linotype" w:cstheme="majorBidi"/>
          <w:sz w:val="24"/>
          <w:szCs w:val="24"/>
          <w:lang w:val="es-ES_tradnl" w:eastAsia="es-ES"/>
        </w:rPr>
      </w:pPr>
    </w:p>
    <w:p w:rsidR="00CA11F0" w:rsidRPr="0012204B" w:rsidRDefault="00CA11F0" w:rsidP="00553BA1">
      <w:pPr>
        <w:numPr>
          <w:ilvl w:val="0"/>
          <w:numId w:val="2"/>
        </w:numPr>
        <w:spacing w:after="120" w:line="360" w:lineRule="auto"/>
        <w:jc w:val="both"/>
        <w:rPr>
          <w:rFonts w:ascii="Palatino Linotype" w:eastAsia="MS Mincho" w:hAnsi="Palatino Linotype" w:cstheme="majorBidi"/>
          <w:sz w:val="24"/>
          <w:szCs w:val="24"/>
          <w:lang w:val="es-ES_tradnl" w:eastAsia="es-ES"/>
        </w:rPr>
      </w:pPr>
      <w:r w:rsidRPr="0012204B">
        <w:rPr>
          <w:rFonts w:ascii="Palatino Linotype" w:eastAsia="MS Mincho" w:hAnsi="Palatino Linotype" w:cstheme="majorBidi"/>
          <w:sz w:val="24"/>
          <w:szCs w:val="24"/>
          <w:lang w:val="es-ES_tradnl" w:eastAsia="es-ES"/>
        </w:rPr>
        <w:t xml:space="preserve">Por lo anteriormente expuesto y fundado este </w:t>
      </w:r>
      <w:r w:rsidRPr="0012204B">
        <w:rPr>
          <w:rFonts w:ascii="Palatino Linotype" w:eastAsia="MS Mincho" w:hAnsi="Palatino Linotype" w:cstheme="majorBidi"/>
          <w:b/>
          <w:sz w:val="24"/>
          <w:szCs w:val="24"/>
          <w:lang w:val="es-ES_tradnl" w:eastAsia="es-ES"/>
        </w:rPr>
        <w:t>ÓRGANO GARANTE</w:t>
      </w:r>
      <w:r w:rsidRPr="0012204B">
        <w:rPr>
          <w:rFonts w:ascii="Palatino Linotype" w:eastAsia="MS Mincho" w:hAnsi="Palatino Linotype" w:cstheme="majorBidi"/>
          <w:sz w:val="24"/>
          <w:szCs w:val="24"/>
          <w:lang w:val="es-ES_tradnl" w:eastAsia="es-ES"/>
        </w:rPr>
        <w:t xml:space="preserve"> emite los siguientes.</w:t>
      </w:r>
    </w:p>
    <w:p w:rsidR="00CA11F0" w:rsidRPr="0012204B" w:rsidRDefault="00CA11F0" w:rsidP="00CA11F0">
      <w:pPr>
        <w:contextualSpacing/>
        <w:rPr>
          <w:rFonts w:ascii="Palatino Linotype" w:eastAsia="MS Mincho" w:hAnsi="Palatino Linotype" w:cstheme="majorBidi"/>
          <w:sz w:val="24"/>
          <w:szCs w:val="24"/>
          <w:lang w:val="es-ES_tradnl" w:eastAsia="es-ES"/>
        </w:rPr>
      </w:pPr>
    </w:p>
    <w:p w:rsidR="00593C9D" w:rsidRPr="0012204B" w:rsidRDefault="00593C9D" w:rsidP="00CA11F0">
      <w:pPr>
        <w:contextualSpacing/>
        <w:rPr>
          <w:rFonts w:ascii="Palatino Linotype" w:eastAsia="MS Mincho" w:hAnsi="Palatino Linotype" w:cstheme="majorBidi"/>
          <w:sz w:val="24"/>
          <w:szCs w:val="24"/>
          <w:lang w:val="es-ES_tradnl" w:eastAsia="es-ES"/>
        </w:rPr>
      </w:pPr>
    </w:p>
    <w:p w:rsidR="00593C9D" w:rsidRPr="0012204B" w:rsidRDefault="00593C9D" w:rsidP="00CA11F0">
      <w:pPr>
        <w:contextualSpacing/>
        <w:rPr>
          <w:rFonts w:ascii="Palatino Linotype" w:eastAsia="MS Mincho" w:hAnsi="Palatino Linotype" w:cstheme="majorBidi"/>
          <w:sz w:val="24"/>
          <w:szCs w:val="24"/>
          <w:lang w:val="es-ES_tradnl" w:eastAsia="es-ES"/>
        </w:rPr>
      </w:pPr>
    </w:p>
    <w:p w:rsidR="001D78A2" w:rsidRPr="0012204B" w:rsidRDefault="001D78A2" w:rsidP="00CA11F0">
      <w:pPr>
        <w:contextualSpacing/>
        <w:rPr>
          <w:rFonts w:ascii="Palatino Linotype" w:eastAsia="MS Mincho" w:hAnsi="Palatino Linotype" w:cstheme="majorBidi"/>
          <w:sz w:val="24"/>
          <w:szCs w:val="24"/>
          <w:lang w:val="es-ES_tradnl" w:eastAsia="es-ES"/>
        </w:rPr>
      </w:pPr>
    </w:p>
    <w:p w:rsidR="00593C9D" w:rsidRPr="0012204B" w:rsidRDefault="00593C9D" w:rsidP="00CA11F0">
      <w:pPr>
        <w:contextualSpacing/>
        <w:rPr>
          <w:rFonts w:ascii="Palatino Linotype" w:eastAsia="MS Mincho" w:hAnsi="Palatino Linotype" w:cstheme="majorBidi"/>
          <w:sz w:val="24"/>
          <w:szCs w:val="24"/>
          <w:lang w:val="es-ES_tradnl" w:eastAsia="es-ES"/>
        </w:rPr>
      </w:pPr>
    </w:p>
    <w:p w:rsidR="00593C9D" w:rsidRPr="0012204B" w:rsidRDefault="00593C9D" w:rsidP="00CA11F0">
      <w:pPr>
        <w:contextualSpacing/>
        <w:rPr>
          <w:rFonts w:ascii="Palatino Linotype" w:eastAsia="MS Mincho" w:hAnsi="Palatino Linotype" w:cstheme="majorBidi"/>
          <w:sz w:val="24"/>
          <w:szCs w:val="24"/>
          <w:lang w:val="es-ES_tradnl" w:eastAsia="es-ES"/>
        </w:rPr>
      </w:pPr>
    </w:p>
    <w:p w:rsidR="00593C9D" w:rsidRPr="0012204B" w:rsidRDefault="00593C9D" w:rsidP="00CA11F0">
      <w:pPr>
        <w:contextualSpacing/>
        <w:rPr>
          <w:rFonts w:ascii="Palatino Linotype" w:eastAsia="MS Mincho" w:hAnsi="Palatino Linotype" w:cstheme="majorBidi"/>
          <w:sz w:val="24"/>
          <w:szCs w:val="24"/>
          <w:lang w:val="es-ES_tradnl" w:eastAsia="es-ES"/>
        </w:rPr>
      </w:pPr>
    </w:p>
    <w:p w:rsidR="00593C9D" w:rsidRPr="0012204B" w:rsidRDefault="00593C9D" w:rsidP="00CA11F0">
      <w:pPr>
        <w:contextualSpacing/>
        <w:rPr>
          <w:rFonts w:ascii="Palatino Linotype" w:eastAsia="MS Mincho" w:hAnsi="Palatino Linotype" w:cstheme="majorBidi"/>
          <w:sz w:val="24"/>
          <w:szCs w:val="24"/>
          <w:lang w:val="es-ES_tradnl" w:eastAsia="es-ES"/>
        </w:rPr>
      </w:pPr>
    </w:p>
    <w:p w:rsidR="00593C9D" w:rsidRPr="0012204B" w:rsidRDefault="00593C9D" w:rsidP="00CA11F0">
      <w:pPr>
        <w:contextualSpacing/>
        <w:rPr>
          <w:rFonts w:ascii="Palatino Linotype" w:eastAsia="MS Mincho" w:hAnsi="Palatino Linotype" w:cstheme="majorBidi"/>
          <w:sz w:val="24"/>
          <w:szCs w:val="24"/>
          <w:lang w:val="es-ES_tradnl" w:eastAsia="es-ES"/>
        </w:rPr>
      </w:pPr>
    </w:p>
    <w:p w:rsidR="00593C9D" w:rsidRPr="0012204B" w:rsidRDefault="00593C9D" w:rsidP="00CA11F0">
      <w:pPr>
        <w:contextualSpacing/>
        <w:rPr>
          <w:rFonts w:ascii="Palatino Linotype" w:eastAsia="MS Mincho" w:hAnsi="Palatino Linotype" w:cstheme="majorBidi"/>
          <w:sz w:val="24"/>
          <w:szCs w:val="24"/>
          <w:lang w:val="es-ES_tradnl" w:eastAsia="es-ES"/>
        </w:rPr>
      </w:pPr>
    </w:p>
    <w:p w:rsidR="00593C9D" w:rsidRPr="0012204B" w:rsidRDefault="00593C9D" w:rsidP="00CA11F0">
      <w:pPr>
        <w:contextualSpacing/>
        <w:rPr>
          <w:rFonts w:ascii="Palatino Linotype" w:eastAsia="MS Mincho" w:hAnsi="Palatino Linotype" w:cstheme="majorBidi"/>
          <w:sz w:val="24"/>
          <w:szCs w:val="24"/>
          <w:lang w:val="es-ES_tradnl" w:eastAsia="es-ES"/>
        </w:rPr>
      </w:pPr>
    </w:p>
    <w:p w:rsidR="00593C9D" w:rsidRPr="0012204B" w:rsidRDefault="00593C9D" w:rsidP="00CA11F0">
      <w:pPr>
        <w:contextualSpacing/>
        <w:rPr>
          <w:rFonts w:ascii="Palatino Linotype" w:eastAsia="MS Mincho" w:hAnsi="Palatino Linotype" w:cstheme="majorBidi"/>
          <w:sz w:val="24"/>
          <w:szCs w:val="24"/>
          <w:lang w:val="es-ES_tradnl" w:eastAsia="es-ES"/>
        </w:rPr>
      </w:pPr>
    </w:p>
    <w:p w:rsidR="00593C9D" w:rsidRPr="0012204B" w:rsidRDefault="00593C9D" w:rsidP="00CA11F0">
      <w:pPr>
        <w:contextualSpacing/>
        <w:rPr>
          <w:rFonts w:ascii="Palatino Linotype" w:eastAsia="MS Mincho" w:hAnsi="Palatino Linotype" w:cstheme="majorBidi"/>
          <w:sz w:val="24"/>
          <w:szCs w:val="24"/>
          <w:lang w:val="es-ES_tradnl" w:eastAsia="es-ES"/>
        </w:rPr>
      </w:pPr>
    </w:p>
    <w:p w:rsidR="00593C9D" w:rsidRPr="0012204B" w:rsidRDefault="00593C9D" w:rsidP="00CA11F0">
      <w:pPr>
        <w:contextualSpacing/>
        <w:rPr>
          <w:rFonts w:ascii="Palatino Linotype" w:eastAsia="MS Mincho" w:hAnsi="Palatino Linotype" w:cstheme="majorBidi"/>
          <w:sz w:val="24"/>
          <w:szCs w:val="24"/>
          <w:lang w:val="es-ES_tradnl" w:eastAsia="es-ES"/>
        </w:rPr>
      </w:pPr>
    </w:p>
    <w:p w:rsidR="00593C9D" w:rsidRPr="0012204B" w:rsidRDefault="00593C9D" w:rsidP="00CA11F0">
      <w:pPr>
        <w:contextualSpacing/>
        <w:rPr>
          <w:rFonts w:ascii="Palatino Linotype" w:eastAsia="MS Mincho" w:hAnsi="Palatino Linotype" w:cstheme="majorBidi"/>
          <w:sz w:val="24"/>
          <w:szCs w:val="24"/>
          <w:lang w:val="es-ES_tradnl" w:eastAsia="es-ES"/>
        </w:rPr>
      </w:pPr>
    </w:p>
    <w:p w:rsidR="00553BA1" w:rsidRPr="0012204B" w:rsidRDefault="00553BA1" w:rsidP="00CA11F0">
      <w:pPr>
        <w:contextualSpacing/>
        <w:rPr>
          <w:rFonts w:ascii="Palatino Linotype" w:eastAsia="MS Mincho" w:hAnsi="Palatino Linotype" w:cstheme="majorBidi"/>
          <w:sz w:val="24"/>
          <w:szCs w:val="24"/>
          <w:lang w:val="es-ES_tradnl" w:eastAsia="es-ES"/>
        </w:rPr>
      </w:pPr>
    </w:p>
    <w:p w:rsidR="00CA11F0" w:rsidRPr="0012204B" w:rsidRDefault="00CA11F0" w:rsidP="00CA11F0">
      <w:pPr>
        <w:contextualSpacing/>
        <w:rPr>
          <w:rFonts w:ascii="Palatino Linotype" w:eastAsia="MS Mincho" w:hAnsi="Palatino Linotype" w:cstheme="majorBidi"/>
          <w:sz w:val="24"/>
          <w:szCs w:val="24"/>
          <w:lang w:val="es-ES_tradnl" w:eastAsia="es-ES"/>
        </w:rPr>
      </w:pPr>
    </w:p>
    <w:p w:rsidR="00CA11F0" w:rsidRPr="0012204B" w:rsidRDefault="00CA11F0" w:rsidP="00CA11F0">
      <w:pPr>
        <w:keepNext/>
        <w:keepLines/>
        <w:spacing w:before="240" w:after="0" w:line="360" w:lineRule="auto"/>
        <w:jc w:val="center"/>
        <w:outlineLvl w:val="0"/>
        <w:rPr>
          <w:rFonts w:ascii="Palatino Linotype" w:eastAsia="Calibri" w:hAnsi="Palatino Linotype" w:cs="Times New Roman"/>
          <w:b/>
          <w:sz w:val="24"/>
          <w:szCs w:val="24"/>
          <w:lang w:val="es-ES" w:eastAsia="es-ES"/>
        </w:rPr>
      </w:pPr>
      <w:bookmarkStart w:id="13" w:name="_Toc467083028"/>
      <w:bookmarkStart w:id="14" w:name="_Toc62209473"/>
      <w:r w:rsidRPr="0012204B">
        <w:rPr>
          <w:rFonts w:ascii="Palatino Linotype" w:eastAsia="Calibri" w:hAnsi="Palatino Linotype" w:cs="Times New Roman"/>
          <w:b/>
          <w:sz w:val="24"/>
          <w:szCs w:val="24"/>
          <w:lang w:val="es-ES" w:eastAsia="es-ES"/>
        </w:rPr>
        <w:lastRenderedPageBreak/>
        <w:t>R E S O L U T I V O S</w:t>
      </w:r>
      <w:bookmarkEnd w:id="13"/>
      <w:bookmarkEnd w:id="14"/>
    </w:p>
    <w:p w:rsidR="00CA11F0" w:rsidRPr="0012204B" w:rsidRDefault="00CA11F0" w:rsidP="00CA11F0">
      <w:pPr>
        <w:spacing w:before="240" w:after="360" w:line="360" w:lineRule="auto"/>
        <w:jc w:val="both"/>
        <w:rPr>
          <w:rFonts w:ascii="Palatino Linotype" w:eastAsia="Times New Roman" w:hAnsi="Palatino Linotype" w:cs="Times New Roman"/>
          <w:sz w:val="24"/>
          <w:szCs w:val="24"/>
          <w:lang w:val="es-ES_tradnl" w:eastAsia="es-ES"/>
        </w:rPr>
      </w:pPr>
      <w:bookmarkStart w:id="15" w:name="_Toc452722829"/>
      <w:bookmarkStart w:id="16" w:name="_Toc454373811"/>
      <w:bookmarkStart w:id="17" w:name="_Toc476675991"/>
      <w:r w:rsidRPr="0012204B">
        <w:rPr>
          <w:rFonts w:ascii="Palatino Linotype" w:hAnsi="Palatino Linotype" w:cs="Arial"/>
          <w:b/>
          <w:sz w:val="24"/>
          <w:szCs w:val="24"/>
        </w:rPr>
        <w:t>PRIMERO</w:t>
      </w:r>
      <w:r w:rsidRPr="0012204B">
        <w:rPr>
          <w:rFonts w:ascii="Palatino Linotype" w:eastAsia="Times New Roman" w:hAnsi="Palatino Linotype" w:cs="Arial"/>
          <w:b/>
          <w:sz w:val="24"/>
          <w:szCs w:val="24"/>
          <w:lang w:val="es-ES_tradnl" w:eastAsia="es-ES"/>
        </w:rPr>
        <w:t xml:space="preserve">. </w:t>
      </w:r>
      <w:r w:rsidRPr="0012204B">
        <w:rPr>
          <w:rFonts w:ascii="Palatino Linotype" w:eastAsia="Times New Roman" w:hAnsi="Palatino Linotype" w:cs="Arial"/>
          <w:sz w:val="24"/>
          <w:szCs w:val="24"/>
          <w:lang w:val="es-ES" w:eastAsia="es-ES"/>
        </w:rPr>
        <w:t xml:space="preserve">Resultan fundadas las razones y motivos hechos valer </w:t>
      </w:r>
      <w:r w:rsidRPr="0012204B">
        <w:rPr>
          <w:rFonts w:ascii="Palatino Linotype" w:eastAsia="Calibri" w:hAnsi="Palatino Linotype" w:cs="Arial"/>
          <w:sz w:val="24"/>
          <w:szCs w:val="24"/>
          <w:lang w:val="es-ES" w:eastAsia="es-ES"/>
        </w:rPr>
        <w:t xml:space="preserve">en el recurso de revisión </w:t>
      </w:r>
      <w:r w:rsidR="00593C9D" w:rsidRPr="0012204B">
        <w:rPr>
          <w:rFonts w:ascii="Palatino Linotype" w:eastAsia="Times New Roman" w:hAnsi="Palatino Linotype" w:cs="Times New Roman"/>
          <w:b/>
          <w:sz w:val="24"/>
          <w:szCs w:val="24"/>
          <w:lang w:val="es-ES_tradnl" w:eastAsia="es-ES"/>
        </w:rPr>
        <w:t>05598</w:t>
      </w:r>
      <w:r w:rsidRPr="0012204B">
        <w:rPr>
          <w:rFonts w:ascii="Palatino Linotype" w:eastAsia="Times New Roman" w:hAnsi="Palatino Linotype" w:cs="Times New Roman"/>
          <w:b/>
          <w:sz w:val="24"/>
          <w:szCs w:val="24"/>
          <w:lang w:val="es-ES_tradnl" w:eastAsia="es-ES"/>
        </w:rPr>
        <w:t xml:space="preserve">/INFOEM/IP/RR/2020 </w:t>
      </w:r>
      <w:r w:rsidRPr="0012204B">
        <w:rPr>
          <w:rFonts w:ascii="Palatino Linotype" w:eastAsia="Times New Roman" w:hAnsi="Palatino Linotype" w:cs="Times New Roman"/>
          <w:sz w:val="24"/>
          <w:szCs w:val="24"/>
          <w:lang w:val="es-ES_tradnl" w:eastAsia="es-ES"/>
        </w:rPr>
        <w:t xml:space="preserve">en términos del considerando </w:t>
      </w:r>
      <w:r w:rsidR="00593C9D" w:rsidRPr="0012204B">
        <w:rPr>
          <w:rFonts w:ascii="Palatino Linotype" w:eastAsia="Times New Roman" w:hAnsi="Palatino Linotype" w:cs="Times New Roman"/>
          <w:b/>
          <w:sz w:val="24"/>
          <w:szCs w:val="24"/>
          <w:lang w:val="es-ES_tradnl" w:eastAsia="es-ES"/>
        </w:rPr>
        <w:t>QUINTO</w:t>
      </w:r>
      <w:r w:rsidRPr="0012204B">
        <w:rPr>
          <w:rFonts w:ascii="Palatino Linotype" w:eastAsia="Times New Roman" w:hAnsi="Palatino Linotype" w:cs="Times New Roman"/>
          <w:b/>
          <w:sz w:val="24"/>
          <w:szCs w:val="24"/>
          <w:lang w:val="es-ES_tradnl" w:eastAsia="es-ES"/>
        </w:rPr>
        <w:t xml:space="preserve"> </w:t>
      </w:r>
      <w:r w:rsidR="00CE51CB" w:rsidRPr="0012204B">
        <w:rPr>
          <w:rFonts w:ascii="Palatino Linotype" w:eastAsia="Times New Roman" w:hAnsi="Palatino Linotype" w:cs="Times New Roman"/>
          <w:b/>
          <w:sz w:val="24"/>
          <w:szCs w:val="24"/>
          <w:lang w:val="es-ES_tradnl" w:eastAsia="es-ES"/>
        </w:rPr>
        <w:t xml:space="preserve">y SEXTO </w:t>
      </w:r>
      <w:r w:rsidRPr="0012204B">
        <w:rPr>
          <w:rFonts w:ascii="Palatino Linotype" w:eastAsia="Times New Roman" w:hAnsi="Palatino Linotype" w:cs="Times New Roman"/>
          <w:sz w:val="24"/>
          <w:szCs w:val="24"/>
          <w:lang w:val="es-ES_tradnl" w:eastAsia="es-ES"/>
        </w:rPr>
        <w:t>de la presente resolución.</w:t>
      </w:r>
    </w:p>
    <w:p w:rsidR="00CA11F0" w:rsidRPr="0012204B" w:rsidRDefault="00CA11F0" w:rsidP="00CA11F0">
      <w:pPr>
        <w:spacing w:before="240" w:after="240" w:line="360" w:lineRule="auto"/>
        <w:jc w:val="both"/>
        <w:rPr>
          <w:rFonts w:ascii="Palatino Linotype" w:eastAsia="Calibri" w:hAnsi="Palatino Linotype" w:cs="Arial"/>
          <w:b/>
          <w:sz w:val="24"/>
          <w:szCs w:val="24"/>
          <w:lang w:eastAsia="es-ES"/>
        </w:rPr>
      </w:pPr>
      <w:r w:rsidRPr="0012204B">
        <w:rPr>
          <w:rFonts w:ascii="Palatino Linotype" w:eastAsia="Calibri" w:hAnsi="Palatino Linotype" w:cs="Arial"/>
          <w:b/>
          <w:bCs/>
          <w:sz w:val="24"/>
          <w:szCs w:val="24"/>
          <w:lang w:val="es-ES" w:eastAsia="es-ES"/>
        </w:rPr>
        <w:t xml:space="preserve">SEGUNDO. </w:t>
      </w:r>
      <w:r w:rsidRPr="0012204B">
        <w:rPr>
          <w:rFonts w:ascii="Palatino Linotype" w:eastAsia="Calibri" w:hAnsi="Palatino Linotype" w:cs="Arial"/>
          <w:sz w:val="24"/>
          <w:szCs w:val="24"/>
          <w:lang w:val="es-ES" w:eastAsia="es-ES"/>
        </w:rPr>
        <w:t xml:space="preserve">Se </w:t>
      </w:r>
      <w:r w:rsidRPr="0012204B">
        <w:rPr>
          <w:rFonts w:ascii="Palatino Linotype" w:eastAsia="Calibri" w:hAnsi="Palatino Linotype" w:cs="Arial"/>
          <w:b/>
          <w:sz w:val="24"/>
          <w:szCs w:val="24"/>
          <w:lang w:val="es-ES" w:eastAsia="es-ES"/>
        </w:rPr>
        <w:t xml:space="preserve">REVOCA </w:t>
      </w:r>
      <w:r w:rsidRPr="0012204B">
        <w:rPr>
          <w:rFonts w:ascii="Palatino Linotype" w:eastAsia="Calibri" w:hAnsi="Palatino Linotype" w:cs="Arial"/>
          <w:sz w:val="24"/>
          <w:szCs w:val="24"/>
          <w:lang w:val="es-ES" w:eastAsia="es-ES"/>
        </w:rPr>
        <w:t xml:space="preserve">la respuesta emitida por la </w:t>
      </w:r>
      <w:r w:rsidRPr="0012204B">
        <w:rPr>
          <w:rFonts w:ascii="Palatino Linotype" w:eastAsia="Calibri" w:hAnsi="Palatino Linotype" w:cs="Arial"/>
          <w:b/>
          <w:sz w:val="24"/>
          <w:szCs w:val="24"/>
          <w:lang w:val="es-ES" w:eastAsia="es-ES"/>
        </w:rPr>
        <w:t xml:space="preserve">Ayuntamiento de </w:t>
      </w:r>
      <w:r w:rsidR="00593C9D" w:rsidRPr="0012204B">
        <w:rPr>
          <w:rFonts w:ascii="Palatino Linotype" w:eastAsia="Calibri" w:hAnsi="Palatino Linotype" w:cs="Arial"/>
          <w:b/>
          <w:sz w:val="24"/>
          <w:szCs w:val="24"/>
          <w:lang w:val="es-ES" w:eastAsia="es-ES"/>
        </w:rPr>
        <w:t>Papalotla</w:t>
      </w:r>
      <w:r w:rsidRPr="0012204B">
        <w:rPr>
          <w:rFonts w:ascii="Palatino Linotype" w:hAnsi="Palatino Linotype"/>
          <w:b/>
          <w:bCs/>
          <w:sz w:val="24"/>
          <w:szCs w:val="24"/>
        </w:rPr>
        <w:t xml:space="preserve"> </w:t>
      </w:r>
      <w:r w:rsidRPr="0012204B">
        <w:rPr>
          <w:rFonts w:ascii="Palatino Linotype" w:eastAsia="MS Gothic" w:hAnsi="Palatino Linotype" w:cs="Times New Roman"/>
          <w:sz w:val="24"/>
          <w:szCs w:val="24"/>
        </w:rPr>
        <w:t>y se</w:t>
      </w:r>
      <w:r w:rsidRPr="0012204B">
        <w:rPr>
          <w:rFonts w:ascii="Palatino Linotype" w:eastAsia="MS Gothic" w:hAnsi="Palatino Linotype" w:cs="Times New Roman"/>
          <w:b/>
          <w:sz w:val="24"/>
          <w:szCs w:val="24"/>
        </w:rPr>
        <w:t xml:space="preserve"> ORDENA</w:t>
      </w:r>
      <w:r w:rsidRPr="0012204B">
        <w:rPr>
          <w:rFonts w:ascii="Palatino Linotype" w:eastAsia="Calibri" w:hAnsi="Palatino Linotype" w:cs="Arial"/>
          <w:sz w:val="24"/>
          <w:szCs w:val="24"/>
          <w:lang w:val="es-ES" w:eastAsia="es-ES"/>
        </w:rPr>
        <w:t xml:space="preserve"> entregar la información vía Sistema de Acceso a la Información Mexiquense (</w:t>
      </w:r>
      <w:r w:rsidRPr="0012204B">
        <w:rPr>
          <w:rFonts w:ascii="Palatino Linotype" w:eastAsia="Calibri" w:hAnsi="Palatino Linotype" w:cs="Arial"/>
          <w:b/>
          <w:sz w:val="24"/>
          <w:szCs w:val="24"/>
          <w:lang w:val="es-ES" w:eastAsia="es-ES"/>
        </w:rPr>
        <w:t>SAIMEX</w:t>
      </w:r>
      <w:r w:rsidRPr="0012204B">
        <w:rPr>
          <w:rFonts w:ascii="Palatino Linotype" w:eastAsia="Calibri" w:hAnsi="Palatino Linotype" w:cs="Arial"/>
          <w:sz w:val="24"/>
          <w:szCs w:val="24"/>
          <w:lang w:val="es-ES" w:eastAsia="es-ES"/>
        </w:rPr>
        <w:t xml:space="preserve">), </w:t>
      </w:r>
      <w:r w:rsidR="00593C9D" w:rsidRPr="0012204B">
        <w:rPr>
          <w:rFonts w:ascii="Palatino Linotype" w:eastAsia="Calibri" w:hAnsi="Palatino Linotype" w:cs="Arial"/>
          <w:sz w:val="24"/>
          <w:szCs w:val="24"/>
          <w:lang w:val="es-ES" w:eastAsia="es-ES"/>
        </w:rPr>
        <w:t>previa búsqueda exhaustiva y razonable, en versión pública,</w:t>
      </w:r>
      <w:r w:rsidR="0054612E" w:rsidRPr="0012204B">
        <w:rPr>
          <w:rFonts w:ascii="Palatino Linotype" w:eastAsia="Calibri" w:hAnsi="Palatino Linotype" w:cs="Arial"/>
          <w:sz w:val="24"/>
          <w:szCs w:val="24"/>
          <w:lang w:val="es-ES" w:eastAsia="es-ES"/>
        </w:rPr>
        <w:t xml:space="preserve"> de los años 2018, 2019 y del mes de enero al mes de octubre de 2020, </w:t>
      </w:r>
      <w:r w:rsidR="00593C9D" w:rsidRPr="0012204B">
        <w:rPr>
          <w:rFonts w:ascii="Palatino Linotype" w:eastAsia="Calibri" w:hAnsi="Palatino Linotype" w:cs="Arial"/>
          <w:sz w:val="24"/>
          <w:szCs w:val="24"/>
          <w:lang w:val="es-ES" w:eastAsia="es-ES"/>
        </w:rPr>
        <w:t xml:space="preserve"> </w:t>
      </w:r>
      <w:r w:rsidRPr="0012204B">
        <w:rPr>
          <w:rFonts w:ascii="Palatino Linotype" w:eastAsia="Calibri" w:hAnsi="Palatino Linotype" w:cs="Arial"/>
          <w:sz w:val="24"/>
          <w:szCs w:val="24"/>
          <w:lang w:val="es-ES" w:eastAsia="es-ES"/>
        </w:rPr>
        <w:t>lo correspondiente a</w:t>
      </w:r>
      <w:r w:rsidRPr="0012204B">
        <w:rPr>
          <w:rFonts w:ascii="Palatino Linotype" w:eastAsia="Calibri" w:hAnsi="Palatino Linotype" w:cs="Arial"/>
          <w:sz w:val="24"/>
          <w:szCs w:val="24"/>
          <w:lang w:eastAsia="es-ES"/>
        </w:rPr>
        <w:t>:</w:t>
      </w:r>
    </w:p>
    <w:p w:rsidR="00593C9D" w:rsidRPr="0012204B" w:rsidRDefault="00593C9D" w:rsidP="00593C9D">
      <w:pPr>
        <w:pStyle w:val="Prrafodelista"/>
        <w:numPr>
          <w:ilvl w:val="0"/>
          <w:numId w:val="9"/>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t>Actas Administrativas del Comité de Bienes Muebles e Inmuebles para dar de baja bienes muebles por enajenación</w:t>
      </w:r>
      <w:r w:rsidRPr="0012204B">
        <w:rPr>
          <w:rFonts w:ascii="Palatino Linotype" w:eastAsia="Calibri" w:hAnsi="Palatino Linotype" w:cs="Arial"/>
          <w:i/>
          <w:sz w:val="24"/>
          <w:szCs w:val="24"/>
          <w:lang w:eastAsia="es-ES"/>
        </w:rPr>
        <w:t>.</w:t>
      </w:r>
    </w:p>
    <w:p w:rsidR="00593C9D" w:rsidRPr="0012204B" w:rsidRDefault="00593C9D" w:rsidP="00593C9D">
      <w:pPr>
        <w:pStyle w:val="Prrafodelista"/>
        <w:numPr>
          <w:ilvl w:val="0"/>
          <w:numId w:val="9"/>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t>Actas de su órgano máximo de gobierno para dar de baja bienes muebles por enajenación</w:t>
      </w:r>
      <w:r w:rsidRPr="0012204B">
        <w:rPr>
          <w:rFonts w:ascii="Palatino Linotype" w:eastAsia="Calibri" w:hAnsi="Palatino Linotype" w:cs="Arial"/>
          <w:i/>
          <w:sz w:val="24"/>
          <w:szCs w:val="24"/>
          <w:lang w:eastAsia="es-ES"/>
        </w:rPr>
        <w:t>.</w:t>
      </w:r>
    </w:p>
    <w:p w:rsidR="00593C9D" w:rsidRPr="0012204B" w:rsidRDefault="00593C9D" w:rsidP="00593C9D">
      <w:pPr>
        <w:pStyle w:val="Prrafodelista"/>
        <w:numPr>
          <w:ilvl w:val="0"/>
          <w:numId w:val="9"/>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t>Actas Administrativas levantadas por el titular del órgano de control interno o equivalente, para dar de baja bienes muebles por robo o siniestro</w:t>
      </w:r>
      <w:r w:rsidRPr="0012204B">
        <w:rPr>
          <w:rFonts w:ascii="Palatino Linotype" w:eastAsia="Calibri" w:hAnsi="Palatino Linotype" w:cs="Arial"/>
          <w:i/>
          <w:sz w:val="24"/>
          <w:szCs w:val="24"/>
          <w:lang w:eastAsia="es-ES"/>
        </w:rPr>
        <w:t>.</w:t>
      </w:r>
    </w:p>
    <w:p w:rsidR="00593C9D" w:rsidRPr="0012204B" w:rsidRDefault="00593C9D" w:rsidP="00593C9D">
      <w:pPr>
        <w:pStyle w:val="Prrafodelista"/>
        <w:numPr>
          <w:ilvl w:val="0"/>
          <w:numId w:val="9"/>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t>Actas del órgano máximo de gobierno donde autorice la baja del bien mueble por robo o siniestro</w:t>
      </w:r>
      <w:r w:rsidRPr="0012204B">
        <w:rPr>
          <w:rFonts w:ascii="Palatino Linotype" w:eastAsia="Calibri" w:hAnsi="Palatino Linotype" w:cs="Arial"/>
          <w:i/>
          <w:sz w:val="24"/>
          <w:szCs w:val="24"/>
          <w:lang w:eastAsia="es-ES"/>
        </w:rPr>
        <w:t>.</w:t>
      </w:r>
    </w:p>
    <w:p w:rsidR="00593C9D" w:rsidRPr="0012204B" w:rsidRDefault="00593C9D" w:rsidP="00593C9D">
      <w:pPr>
        <w:pStyle w:val="Prrafodelista"/>
        <w:numPr>
          <w:ilvl w:val="0"/>
          <w:numId w:val="9"/>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i/>
          <w:sz w:val="24"/>
          <w:szCs w:val="24"/>
          <w:lang w:eastAsia="es-ES"/>
        </w:rPr>
        <w:t xml:space="preserve"> </w:t>
      </w:r>
      <w:r w:rsidRPr="0012204B">
        <w:rPr>
          <w:rFonts w:ascii="Palatino Linotype" w:eastAsia="Calibri" w:hAnsi="Palatino Linotype" w:cs="Arial"/>
          <w:b/>
          <w:i/>
          <w:sz w:val="24"/>
          <w:szCs w:val="24"/>
          <w:lang w:eastAsia="es-ES"/>
        </w:rPr>
        <w:t>Actas administrativas firmada por el comité de Bienes Muebles e Inmuebles, donde se avale los bienes susceptibles a destruir</w:t>
      </w:r>
      <w:r w:rsidRPr="0012204B">
        <w:rPr>
          <w:rFonts w:ascii="Palatino Linotype" w:eastAsia="Calibri" w:hAnsi="Palatino Linotype" w:cs="Arial"/>
          <w:i/>
          <w:sz w:val="24"/>
          <w:szCs w:val="24"/>
          <w:lang w:eastAsia="es-ES"/>
        </w:rPr>
        <w:t>.</w:t>
      </w:r>
    </w:p>
    <w:p w:rsidR="00593C9D" w:rsidRPr="0012204B" w:rsidRDefault="00593C9D" w:rsidP="00593C9D">
      <w:pPr>
        <w:pStyle w:val="Prrafodelista"/>
        <w:numPr>
          <w:ilvl w:val="0"/>
          <w:numId w:val="9"/>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t>Actas del órgano máximo de gobierno, en la que se autorice la baja de bienes muebles para su destrucción.</w:t>
      </w:r>
    </w:p>
    <w:p w:rsidR="00593C9D" w:rsidRPr="0012204B" w:rsidRDefault="00593C9D" w:rsidP="00593C9D">
      <w:pPr>
        <w:pStyle w:val="Prrafodelista"/>
        <w:numPr>
          <w:ilvl w:val="0"/>
          <w:numId w:val="9"/>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i/>
          <w:sz w:val="24"/>
          <w:szCs w:val="24"/>
          <w:lang w:eastAsia="es-ES"/>
        </w:rPr>
        <w:lastRenderedPageBreak/>
        <w:t xml:space="preserve"> </w:t>
      </w:r>
      <w:r w:rsidRPr="0012204B">
        <w:rPr>
          <w:rFonts w:ascii="Palatino Linotype" w:eastAsia="Calibri" w:hAnsi="Palatino Linotype" w:cs="Arial"/>
          <w:b/>
          <w:i/>
          <w:sz w:val="24"/>
          <w:szCs w:val="24"/>
          <w:lang w:eastAsia="es-ES"/>
        </w:rPr>
        <w:t>Actas administrativas levantadas por el titular del órgano de control interno o equivalente, en la que se establezca fehacientemente que los bienes fueron buscados minuciosamente en las instalaciones de la entidad fiscalizable</w:t>
      </w:r>
      <w:r w:rsidRPr="0012204B">
        <w:rPr>
          <w:rFonts w:ascii="Palatino Linotype" w:eastAsia="Calibri" w:hAnsi="Palatino Linotype" w:cs="Arial"/>
          <w:i/>
          <w:sz w:val="24"/>
          <w:szCs w:val="24"/>
          <w:lang w:eastAsia="es-ES"/>
        </w:rPr>
        <w:t>.</w:t>
      </w:r>
    </w:p>
    <w:p w:rsidR="001D78A2" w:rsidRPr="0012204B" w:rsidRDefault="00593C9D" w:rsidP="00BB0CF3">
      <w:pPr>
        <w:pStyle w:val="Prrafodelista"/>
        <w:numPr>
          <w:ilvl w:val="0"/>
          <w:numId w:val="9"/>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t>Resoluciones de los procedimientos administrativos correspondiente</w:t>
      </w:r>
      <w:r w:rsidR="001D78A2" w:rsidRPr="0012204B">
        <w:rPr>
          <w:rFonts w:ascii="Palatino Linotype" w:eastAsia="Calibri" w:hAnsi="Palatino Linotype" w:cs="Arial"/>
          <w:b/>
          <w:i/>
          <w:sz w:val="24"/>
          <w:szCs w:val="24"/>
          <w:lang w:eastAsia="es-ES"/>
        </w:rPr>
        <w:t>s,</w:t>
      </w:r>
      <w:r w:rsidRPr="0012204B">
        <w:rPr>
          <w:rFonts w:ascii="Palatino Linotype" w:eastAsia="Calibri" w:hAnsi="Palatino Linotype" w:cs="Arial"/>
          <w:b/>
          <w:i/>
          <w:sz w:val="24"/>
          <w:szCs w:val="24"/>
          <w:lang w:eastAsia="es-ES"/>
        </w:rPr>
        <w:t xml:space="preserve"> instaurado por el órgano de control interno o la actuación legal, para determinar la situación ad</w:t>
      </w:r>
      <w:r w:rsidR="001D78A2" w:rsidRPr="0012204B">
        <w:rPr>
          <w:rFonts w:ascii="Palatino Linotype" w:eastAsia="Calibri" w:hAnsi="Palatino Linotype" w:cs="Arial"/>
          <w:b/>
          <w:i/>
          <w:sz w:val="24"/>
          <w:szCs w:val="24"/>
          <w:lang w:eastAsia="es-ES"/>
        </w:rPr>
        <w:t>ministrativa, financiera y legal</w:t>
      </w:r>
      <w:r w:rsidRPr="0012204B">
        <w:rPr>
          <w:rFonts w:ascii="Palatino Linotype" w:eastAsia="Calibri" w:hAnsi="Palatino Linotype" w:cs="Arial"/>
          <w:b/>
          <w:i/>
          <w:sz w:val="24"/>
          <w:szCs w:val="24"/>
          <w:lang w:eastAsia="es-ES"/>
        </w:rPr>
        <w:t xml:space="preserve"> a que haya lugar</w:t>
      </w:r>
      <w:r w:rsidR="001D78A2" w:rsidRPr="0012204B">
        <w:rPr>
          <w:rFonts w:ascii="Palatino Linotype" w:eastAsia="Calibri" w:hAnsi="Palatino Linotype" w:cs="Arial"/>
          <w:b/>
          <w:i/>
          <w:sz w:val="24"/>
          <w:szCs w:val="24"/>
          <w:lang w:eastAsia="es-ES"/>
        </w:rPr>
        <w:t>; de la baja de los bienes muebles no localizados.</w:t>
      </w:r>
    </w:p>
    <w:p w:rsidR="0054612E" w:rsidRPr="0012204B" w:rsidRDefault="00593C9D" w:rsidP="0054612E">
      <w:pPr>
        <w:pStyle w:val="Prrafodelista"/>
        <w:numPr>
          <w:ilvl w:val="0"/>
          <w:numId w:val="9"/>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t>Actas administrativas firmadas por el comité de bienes muebles e inmuebles, que avale los bienes susceptibles a ser dados de baja por no localizados.</w:t>
      </w:r>
      <w:r w:rsidRPr="0012204B">
        <w:rPr>
          <w:rFonts w:ascii="Palatino Linotype" w:eastAsia="Calibri" w:hAnsi="Palatino Linotype" w:cs="Arial"/>
          <w:i/>
          <w:sz w:val="24"/>
          <w:szCs w:val="24"/>
          <w:lang w:eastAsia="es-ES"/>
        </w:rPr>
        <w:t xml:space="preserve"> </w:t>
      </w:r>
    </w:p>
    <w:p w:rsidR="00CA11F0" w:rsidRPr="0012204B" w:rsidRDefault="00593C9D" w:rsidP="0054612E">
      <w:pPr>
        <w:pStyle w:val="Prrafodelista"/>
        <w:numPr>
          <w:ilvl w:val="0"/>
          <w:numId w:val="9"/>
        </w:numPr>
        <w:tabs>
          <w:tab w:val="left" w:pos="7938"/>
        </w:tabs>
        <w:spacing w:before="240" w:after="240" w:line="360" w:lineRule="auto"/>
        <w:ind w:right="615"/>
        <w:jc w:val="both"/>
        <w:rPr>
          <w:rFonts w:ascii="Palatino Linotype" w:eastAsia="Calibri" w:hAnsi="Palatino Linotype" w:cs="Arial"/>
          <w:i/>
          <w:sz w:val="24"/>
          <w:szCs w:val="24"/>
          <w:lang w:eastAsia="es-ES"/>
        </w:rPr>
      </w:pPr>
      <w:r w:rsidRPr="0012204B">
        <w:rPr>
          <w:rFonts w:ascii="Palatino Linotype" w:eastAsia="Calibri" w:hAnsi="Palatino Linotype" w:cs="Arial"/>
          <w:b/>
          <w:i/>
          <w:sz w:val="24"/>
          <w:szCs w:val="24"/>
          <w:lang w:eastAsia="es-ES"/>
        </w:rPr>
        <w:t>Actas del órgano máximo de gobierno, en la que se apruebe la baja de los bienes.</w:t>
      </w:r>
    </w:p>
    <w:p w:rsidR="0054612E" w:rsidRPr="0012204B" w:rsidRDefault="0054612E" w:rsidP="0054612E">
      <w:pPr>
        <w:tabs>
          <w:tab w:val="left" w:pos="7938"/>
        </w:tabs>
        <w:spacing w:before="240" w:after="240" w:line="360" w:lineRule="auto"/>
        <w:ind w:left="426" w:right="615"/>
        <w:contextualSpacing/>
        <w:jc w:val="both"/>
        <w:rPr>
          <w:rFonts w:ascii="Palatino Linotype" w:eastAsia="MS Mincho" w:hAnsi="Palatino Linotype" w:cs="Times New Roman"/>
          <w:b/>
          <w:sz w:val="24"/>
          <w:szCs w:val="24"/>
          <w:lang w:val="es-ES_tradnl" w:eastAsia="es-ES"/>
        </w:rPr>
      </w:pPr>
      <w:r w:rsidRPr="0012204B">
        <w:rPr>
          <w:rFonts w:ascii="Palatino Linotype" w:eastAsia="Calibri" w:hAnsi="Palatino Linotype" w:cs="Arial"/>
          <w:sz w:val="24"/>
          <w:szCs w:val="24"/>
          <w:lang w:val="es-ES" w:eastAsia="es-ES"/>
        </w:rPr>
        <w:t xml:space="preserve">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pongan a disposición de </w:t>
      </w:r>
      <w:r w:rsidRPr="0012204B">
        <w:rPr>
          <w:rFonts w:ascii="Palatino Linotype" w:eastAsia="MS Mincho" w:hAnsi="Palatino Linotype" w:cs="Times New Roman"/>
          <w:b/>
          <w:sz w:val="24"/>
          <w:szCs w:val="24"/>
          <w:lang w:val="es-ES_tradnl" w:eastAsia="es-ES"/>
        </w:rPr>
        <w:t>RECURRENTE.</w:t>
      </w:r>
    </w:p>
    <w:p w:rsidR="00CA11F0" w:rsidRPr="0012204B" w:rsidRDefault="00CA11F0" w:rsidP="00CA11F0">
      <w:pPr>
        <w:spacing w:after="0" w:line="360" w:lineRule="auto"/>
        <w:ind w:left="567" w:right="567"/>
        <w:contextualSpacing/>
        <w:jc w:val="both"/>
        <w:rPr>
          <w:rFonts w:ascii="Palatino Linotype" w:eastAsia="MS Mincho" w:hAnsi="Palatino Linotype" w:cstheme="majorBidi"/>
          <w:b/>
          <w:sz w:val="24"/>
          <w:szCs w:val="24"/>
          <w:lang w:eastAsia="es-ES"/>
        </w:rPr>
      </w:pPr>
    </w:p>
    <w:p w:rsidR="00CA11F0" w:rsidRPr="0012204B" w:rsidRDefault="00CA11F0" w:rsidP="00CA11F0">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r w:rsidRPr="0012204B">
        <w:rPr>
          <w:rFonts w:ascii="Palatino Linotype" w:eastAsia="Palatino Linotype" w:hAnsi="Palatino Linotype" w:cs="Palatino Linotype"/>
          <w:b/>
          <w:sz w:val="24"/>
          <w:szCs w:val="24"/>
          <w:lang w:val="es-ES_tradnl"/>
        </w:rPr>
        <w:t xml:space="preserve">TERCERO. </w:t>
      </w:r>
      <w:r w:rsidRPr="0012204B">
        <w:rPr>
          <w:rFonts w:ascii="Palatino Linotype" w:eastAsia="Palatino Linotype" w:hAnsi="Palatino Linotype" w:cs="Palatino Linotype"/>
          <w:b/>
          <w:sz w:val="24"/>
          <w:szCs w:val="24"/>
          <w:lang w:val="es-ES_tradnl" w:eastAsia="es-ES"/>
        </w:rPr>
        <w:t xml:space="preserve">Notifíquese </w:t>
      </w:r>
      <w:r w:rsidRPr="0012204B">
        <w:rPr>
          <w:rFonts w:ascii="Palatino Linotype" w:eastAsia="Palatino Linotype" w:hAnsi="Palatino Linotype" w:cs="Palatino Linotype"/>
          <w:sz w:val="24"/>
          <w:szCs w:val="24"/>
          <w:lang w:val="es-ES_tradnl" w:eastAsia="es-ES"/>
        </w:rPr>
        <w:t xml:space="preserve">al Titular de la Unidad de Transparencia del </w:t>
      </w:r>
      <w:r w:rsidRPr="0012204B">
        <w:rPr>
          <w:rFonts w:ascii="Palatino Linotype" w:eastAsia="Palatino Linotype" w:hAnsi="Palatino Linotype" w:cs="Palatino Linotype"/>
          <w:b/>
          <w:sz w:val="24"/>
          <w:szCs w:val="24"/>
          <w:lang w:val="es-ES_tradnl" w:eastAsia="es-ES"/>
        </w:rPr>
        <w:t>SUJETO OBLIGADO</w:t>
      </w:r>
      <w:r w:rsidRPr="0012204B">
        <w:rPr>
          <w:rFonts w:ascii="Palatino Linotype" w:eastAsia="Palatino Linotype" w:hAnsi="Palatino Linotype" w:cs="Palatino Linotype"/>
          <w:sz w:val="24"/>
          <w:szCs w:val="24"/>
          <w:lang w:val="es-ES_tradnl" w:eastAsia="es-ES"/>
        </w:rPr>
        <w:t xml:space="preserve">, para que conforme a los artículos 186 último párrafo, 189 párrafo segundo y 199 de la Ley de Transparencia y Acceso a la Información Pública del Estado de México y Municipios, </w:t>
      </w:r>
      <w:r w:rsidRPr="0012204B">
        <w:rPr>
          <w:rFonts w:ascii="Palatino Linotype" w:eastAsia="MS Mincho" w:hAnsi="Palatino Linotype" w:cs="Times New Roman"/>
          <w:color w:val="222222"/>
          <w:sz w:val="24"/>
          <w:szCs w:val="24"/>
          <w:shd w:val="clear" w:color="auto" w:fill="FFFFFF"/>
          <w:lang w:val="es-ES_tradnl" w:eastAsia="es-ES"/>
        </w:rPr>
        <w:t xml:space="preserve">vigente, dé cumplimiento a lo ordenado dentro del </w:t>
      </w:r>
      <w:r w:rsidRPr="0012204B">
        <w:rPr>
          <w:rFonts w:ascii="Palatino Linotype" w:eastAsia="MS Mincho" w:hAnsi="Palatino Linotype" w:cs="Times New Roman"/>
          <w:color w:val="222222"/>
          <w:sz w:val="24"/>
          <w:szCs w:val="24"/>
          <w:shd w:val="clear" w:color="auto" w:fill="FFFFFF"/>
          <w:lang w:val="es-ES_tradnl" w:eastAsia="es-ES"/>
        </w:rPr>
        <w:lastRenderedPageBreak/>
        <w:t>plazo de diez días hábiles, debiendo rendir a este Instituto el informe de cumplimiento de la resolución en un plazo de tres días hábiles posteriores.</w:t>
      </w:r>
    </w:p>
    <w:p w:rsidR="00CA11F0" w:rsidRPr="0012204B" w:rsidRDefault="00CA11F0" w:rsidP="00CA11F0">
      <w:pPr>
        <w:tabs>
          <w:tab w:val="left" w:pos="7938"/>
        </w:tabs>
        <w:spacing w:before="240" w:after="240" w:line="360" w:lineRule="auto"/>
        <w:contextualSpacing/>
        <w:jc w:val="both"/>
        <w:rPr>
          <w:rFonts w:ascii="Palatino Linotype" w:eastAsia="MS Mincho" w:hAnsi="Palatino Linotype" w:cs="Times New Roman"/>
          <w:color w:val="222222"/>
          <w:sz w:val="24"/>
          <w:szCs w:val="24"/>
          <w:shd w:val="clear" w:color="auto" w:fill="FFFFFF"/>
          <w:lang w:val="es-ES_tradnl" w:eastAsia="es-ES"/>
        </w:rPr>
      </w:pPr>
    </w:p>
    <w:p w:rsidR="00CA11F0" w:rsidRPr="0012204B" w:rsidRDefault="00CA11F0" w:rsidP="00CA11F0">
      <w:pPr>
        <w:shd w:val="clear" w:color="auto" w:fill="FFFFFF"/>
        <w:spacing w:before="240" w:after="360" w:line="360" w:lineRule="auto"/>
        <w:jc w:val="both"/>
        <w:rPr>
          <w:rFonts w:ascii="Palatino Linotype" w:eastAsia="Times New Roman" w:hAnsi="Palatino Linotype" w:cs="Times New Roman"/>
          <w:color w:val="222222"/>
          <w:sz w:val="24"/>
          <w:szCs w:val="24"/>
          <w:lang w:val="es-ES" w:eastAsia="es-MX"/>
        </w:rPr>
      </w:pPr>
      <w:bookmarkStart w:id="18" w:name="_Toc462307694"/>
      <w:bookmarkStart w:id="19" w:name="_Toc473806819"/>
      <w:bookmarkStart w:id="20" w:name="_Toc477345211"/>
      <w:bookmarkStart w:id="21" w:name="_Toc480987181"/>
      <w:bookmarkStart w:id="22" w:name="_Toc480996314"/>
      <w:bookmarkStart w:id="23" w:name="_Toc485145214"/>
      <w:bookmarkStart w:id="24" w:name="_Toc489442407"/>
      <w:bookmarkStart w:id="25" w:name="_Toc491350213"/>
      <w:bookmarkStart w:id="26" w:name="_Toc491353103"/>
      <w:bookmarkStart w:id="27" w:name="_Toc491868487"/>
      <w:r w:rsidRPr="0012204B">
        <w:rPr>
          <w:rFonts w:ascii="Palatino Linotype" w:eastAsia="MS Gothic" w:hAnsi="Palatino Linotype" w:cs="Times New Roman"/>
          <w:b/>
          <w:sz w:val="24"/>
          <w:szCs w:val="24"/>
        </w:rPr>
        <w:t xml:space="preserve">CUARTO. </w:t>
      </w:r>
      <w:r w:rsidRPr="0012204B">
        <w:rPr>
          <w:rFonts w:ascii="Palatino Linotype" w:eastAsia="MS Gothic" w:hAnsi="Palatino Linotype" w:cs="Times New Roman"/>
          <w:sz w:val="24"/>
          <w:szCs w:val="24"/>
        </w:rPr>
        <w:t>Notifíquese a</w:t>
      </w:r>
      <w:bookmarkEnd w:id="18"/>
      <w:bookmarkEnd w:id="19"/>
      <w:bookmarkEnd w:id="20"/>
      <w:bookmarkEnd w:id="21"/>
      <w:bookmarkEnd w:id="22"/>
      <w:bookmarkEnd w:id="23"/>
      <w:bookmarkEnd w:id="24"/>
      <w:bookmarkEnd w:id="25"/>
      <w:bookmarkEnd w:id="26"/>
      <w:bookmarkEnd w:id="27"/>
      <w:r w:rsidR="00593C9D" w:rsidRPr="0012204B">
        <w:rPr>
          <w:rFonts w:ascii="Palatino Linotype" w:eastAsia="MS Gothic" w:hAnsi="Palatino Linotype" w:cs="Times New Roman"/>
          <w:b/>
          <w:sz w:val="24"/>
          <w:szCs w:val="24"/>
          <w:lang w:val="es-ES_tradnl"/>
        </w:rPr>
        <w:t xml:space="preserve"> la RECURRENTE</w:t>
      </w:r>
      <w:r w:rsidRPr="0012204B">
        <w:rPr>
          <w:rFonts w:ascii="Palatino Linotype" w:eastAsia="MS Mincho" w:hAnsi="Palatino Linotype" w:cs="Times New Roman"/>
          <w:b/>
          <w:sz w:val="24"/>
          <w:szCs w:val="24"/>
          <w:lang w:val="es-ES_tradnl" w:eastAsia="es-ES"/>
        </w:rPr>
        <w:t>,</w:t>
      </w:r>
      <w:r w:rsidRPr="0012204B">
        <w:rPr>
          <w:rFonts w:ascii="Palatino Linotype" w:eastAsia="MS Gothic" w:hAnsi="Palatino Linotype" w:cs="Times New Roman"/>
          <w:sz w:val="24"/>
          <w:szCs w:val="24"/>
        </w:rPr>
        <w:t xml:space="preserve"> la presente</w:t>
      </w:r>
      <w:r w:rsidRPr="0012204B">
        <w:rPr>
          <w:rFonts w:ascii="Palatino Linotype" w:eastAsia="Times New Roman" w:hAnsi="Palatino Linotype" w:cs="Times New Roman"/>
          <w:color w:val="222222"/>
          <w:sz w:val="24"/>
          <w:szCs w:val="24"/>
          <w:lang w:val="es-ES" w:eastAsia="es-MX"/>
        </w:rPr>
        <w:t xml:space="preserve"> resolución.</w:t>
      </w:r>
    </w:p>
    <w:p w:rsidR="00CA11F0" w:rsidRPr="0012204B" w:rsidRDefault="00CA11F0" w:rsidP="00CA11F0">
      <w:pPr>
        <w:spacing w:before="240" w:after="360" w:line="360" w:lineRule="auto"/>
        <w:jc w:val="both"/>
        <w:rPr>
          <w:rFonts w:ascii="Palatino Linotype" w:eastAsia="Times New Roman" w:hAnsi="Palatino Linotype" w:cs="Times New Roman"/>
          <w:color w:val="222222"/>
          <w:sz w:val="24"/>
          <w:szCs w:val="24"/>
          <w:lang w:val="es-ES" w:eastAsia="es-MX"/>
        </w:rPr>
      </w:pPr>
      <w:r w:rsidRPr="0012204B">
        <w:rPr>
          <w:rFonts w:ascii="Palatino Linotype" w:eastAsia="Times New Roman" w:hAnsi="Palatino Linotype" w:cs="Times New Roman"/>
          <w:b/>
          <w:color w:val="222222"/>
          <w:sz w:val="24"/>
          <w:szCs w:val="24"/>
          <w:lang w:val="es-ES" w:eastAsia="es-MX"/>
        </w:rPr>
        <w:t>QUINTO.</w:t>
      </w:r>
      <w:r w:rsidRPr="0012204B">
        <w:rPr>
          <w:rFonts w:ascii="Palatino Linotype" w:eastAsia="Times New Roman" w:hAnsi="Palatino Linotype" w:cs="Times New Roman"/>
          <w:color w:val="222222"/>
          <w:sz w:val="24"/>
          <w:szCs w:val="24"/>
          <w:lang w:val="es-ES" w:eastAsia="es-MX"/>
        </w:rPr>
        <w:t xml:space="preserve"> Se hace del conocimiento</w:t>
      </w:r>
      <w:r w:rsidRPr="0012204B">
        <w:rPr>
          <w:rFonts w:ascii="Palatino Linotype" w:eastAsia="Times New Roman" w:hAnsi="Palatino Linotype" w:cs="Times New Roman"/>
          <w:b/>
          <w:bCs/>
          <w:color w:val="222222"/>
          <w:sz w:val="24"/>
          <w:szCs w:val="24"/>
          <w:lang w:val="es-ES" w:eastAsia="es-ES"/>
        </w:rPr>
        <w:t xml:space="preserve"> </w:t>
      </w:r>
      <w:r w:rsidRPr="0012204B">
        <w:rPr>
          <w:rFonts w:ascii="Palatino Linotype" w:eastAsia="Times New Roman" w:hAnsi="Palatino Linotype" w:cs="Times New Roman"/>
          <w:color w:val="222222"/>
          <w:sz w:val="24"/>
          <w:szCs w:val="24"/>
          <w:lang w:val="es-ES" w:eastAsia="es-MX"/>
        </w:rPr>
        <w:t>de</w:t>
      </w:r>
      <w:r w:rsidR="00593C9D" w:rsidRPr="0012204B">
        <w:rPr>
          <w:rFonts w:ascii="Palatino Linotype" w:eastAsia="MS Mincho" w:hAnsi="Palatino Linotype" w:cs="Times New Roman"/>
          <w:b/>
          <w:sz w:val="24"/>
          <w:szCs w:val="24"/>
          <w:lang w:val="es-ES_tradnl" w:eastAsia="es-ES"/>
        </w:rPr>
        <w:t xml:space="preserve"> la RECURRENTE</w:t>
      </w:r>
      <w:r w:rsidRPr="0012204B">
        <w:rPr>
          <w:rFonts w:ascii="Palatino Linotype" w:eastAsia="MS Mincho" w:hAnsi="Palatino Linotype" w:cs="Times New Roman"/>
          <w:b/>
          <w:sz w:val="24"/>
          <w:szCs w:val="24"/>
          <w:lang w:val="es-ES_tradnl" w:eastAsia="es-ES"/>
        </w:rPr>
        <w:t xml:space="preserve">, </w:t>
      </w:r>
      <w:r w:rsidRPr="0012204B">
        <w:rPr>
          <w:rFonts w:ascii="Palatino Linotype" w:eastAsia="Times New Roman" w:hAnsi="Palatino Linotype" w:cs="Times New Roman"/>
          <w:color w:val="222222"/>
          <w:sz w:val="24"/>
          <w:szCs w:val="24"/>
          <w:lang w:val="es-ES" w:eastAsia="es-MX"/>
        </w:rPr>
        <w:t>que de conformidad con lo establecido en el artículo 196 de la Ley de Transparencia y Acceso a la Información Pública del Estado de México y Municipios,</w:t>
      </w:r>
      <w:r w:rsidRPr="0012204B">
        <w:rPr>
          <w:rFonts w:ascii="Palatino Linotype" w:hAnsi="Palatino Linotype"/>
          <w:color w:val="000000"/>
          <w:sz w:val="24"/>
          <w:szCs w:val="24"/>
          <w:lang w:val="es-ES_tradnl"/>
        </w:rPr>
        <w:t xml:space="preserve">  </w:t>
      </w:r>
      <w:r w:rsidRPr="0012204B">
        <w:rPr>
          <w:rFonts w:ascii="Palatino Linotype" w:eastAsia="MS Mincho" w:hAnsi="Palatino Linotype" w:cs="Times New Roman"/>
          <w:sz w:val="24"/>
          <w:szCs w:val="24"/>
          <w:lang w:val="es-ES" w:eastAsia="es-ES"/>
        </w:rPr>
        <w:t>en caso de que considere que la resolución le cause algún perjuicio podrá impugnarla </w:t>
      </w:r>
      <w:r w:rsidRPr="0012204B">
        <w:rPr>
          <w:rFonts w:ascii="Palatino Linotype" w:eastAsia="MS Mincho" w:hAnsi="Palatino Linotype" w:cs="Times New Roman"/>
          <w:bCs/>
          <w:sz w:val="24"/>
          <w:szCs w:val="24"/>
          <w:lang w:val="es-ES" w:eastAsia="es-ES"/>
        </w:rPr>
        <w:t>vía juicio de amparo</w:t>
      </w:r>
      <w:r w:rsidRPr="0012204B">
        <w:rPr>
          <w:rFonts w:ascii="Palatino Linotype" w:eastAsia="MS Mincho" w:hAnsi="Palatino Linotype" w:cs="Times New Roman"/>
          <w:sz w:val="24"/>
          <w:szCs w:val="24"/>
          <w:lang w:val="es-ES" w:eastAsia="es-ES"/>
        </w:rPr>
        <w:t> en los términos de las leyes aplicables.</w:t>
      </w:r>
      <w:r w:rsidRPr="0012204B">
        <w:rPr>
          <w:rFonts w:ascii="Palatino Linotype" w:eastAsia="Times New Roman" w:hAnsi="Palatino Linotype" w:cs="Times New Roman"/>
          <w:color w:val="222222"/>
          <w:sz w:val="24"/>
          <w:szCs w:val="24"/>
          <w:lang w:val="es-ES" w:eastAsia="es-MX"/>
        </w:rPr>
        <w:t xml:space="preserve"> </w:t>
      </w:r>
      <w:bookmarkEnd w:id="15"/>
      <w:bookmarkEnd w:id="16"/>
      <w:bookmarkEnd w:id="17"/>
    </w:p>
    <w:p w:rsidR="00CA11F0" w:rsidRPr="0012204B" w:rsidRDefault="00CA11F0" w:rsidP="00CA11F0">
      <w:pPr>
        <w:spacing w:before="240" w:after="360" w:line="360" w:lineRule="auto"/>
        <w:jc w:val="both"/>
        <w:rPr>
          <w:rFonts w:ascii="Palatino Linotype" w:eastAsia="Times New Roman" w:hAnsi="Palatino Linotype" w:cs="Times New Roman"/>
          <w:color w:val="000000"/>
          <w:sz w:val="24"/>
          <w:szCs w:val="24"/>
          <w:lang w:val="es-ES_tradnl" w:eastAsia="es-MX"/>
        </w:rPr>
      </w:pPr>
      <w:r w:rsidRPr="0012204B">
        <w:rPr>
          <w:rFonts w:ascii="Palatino Linotype" w:eastAsia="MS Mincho" w:hAnsi="Palatino Linotype" w:cs="Times New Roman"/>
          <w:b/>
          <w:sz w:val="24"/>
          <w:szCs w:val="24"/>
          <w:lang w:val="es-ES" w:eastAsia="es-ES"/>
        </w:rPr>
        <w:t>SEXTO.</w:t>
      </w:r>
      <w:r w:rsidRPr="0012204B">
        <w:rPr>
          <w:rFonts w:ascii="Palatino Linotype" w:eastAsia="Times New Roman" w:hAnsi="Palatino Linotype" w:cs="Times New Roman"/>
          <w:color w:val="000000"/>
          <w:sz w:val="24"/>
          <w:szCs w:val="24"/>
          <w:lang w:val="es-ES_tradnl" w:eastAsia="es-MX"/>
        </w:rPr>
        <w:t>  Con fundamento en el artículo 198 de la Ley de Transparencia y Acceso a la Información Pública del Estado de México y Municipios, se apercibe al </w:t>
      </w:r>
      <w:r w:rsidRPr="0012204B">
        <w:rPr>
          <w:rFonts w:ascii="Palatino Linotype" w:eastAsia="Times New Roman" w:hAnsi="Palatino Linotype" w:cs="Times New Roman"/>
          <w:b/>
          <w:bCs/>
          <w:color w:val="000000"/>
          <w:sz w:val="24"/>
          <w:szCs w:val="24"/>
          <w:lang w:val="es-ES_tradnl" w:eastAsia="es-MX"/>
        </w:rPr>
        <w:t>SUJETO OBLIGADO</w:t>
      </w:r>
      <w:r w:rsidRPr="0012204B">
        <w:rPr>
          <w:rFonts w:ascii="Palatino Linotype" w:eastAsia="Times New Roman" w:hAnsi="Palatino Linotype" w:cs="Times New Roman"/>
          <w:color w:val="000000"/>
          <w:sz w:val="24"/>
          <w:szCs w:val="24"/>
          <w:lang w:val="es-ES_tradnl" w:eastAsia="es-MX"/>
        </w:rPr>
        <w:t> de que, en caso de incumplimiento total o parcial de la presente resolución, se actuará de conformidad con lo dispuesto en los artículos 213, 214, 215, 216 y 217 de la ley en cita.</w:t>
      </w:r>
    </w:p>
    <w:p w:rsidR="00351C69" w:rsidRPr="0012204B" w:rsidRDefault="00351C69" w:rsidP="00351C69">
      <w:pPr>
        <w:spacing w:after="0" w:line="360" w:lineRule="auto"/>
        <w:ind w:right="48"/>
        <w:jc w:val="both"/>
        <w:rPr>
          <w:rFonts w:ascii="Palatino Linotype" w:eastAsia="Calibri" w:hAnsi="Palatino Linotype" w:cs="Arial"/>
          <w:bCs/>
          <w:sz w:val="24"/>
          <w:szCs w:val="24"/>
        </w:rPr>
      </w:pPr>
      <w:r w:rsidRPr="0012204B">
        <w:rPr>
          <w:rFonts w:ascii="Palatino Linotype" w:hAnsi="Palatino Linotype"/>
          <w:b/>
          <w:color w:val="000000"/>
          <w:sz w:val="24"/>
          <w:shd w:val="clear" w:color="auto" w:fill="FFFFFF"/>
        </w:rPr>
        <w:t>SÉPTIMO</w:t>
      </w:r>
      <w:r w:rsidRPr="0012204B">
        <w:rPr>
          <w:rFonts w:ascii="Palatino Linotype" w:hAnsi="Palatino Linotype"/>
          <w:b/>
          <w:color w:val="000000"/>
          <w:sz w:val="24"/>
          <w:szCs w:val="24"/>
          <w:shd w:val="clear" w:color="auto" w:fill="FFFFFF"/>
        </w:rPr>
        <w:t xml:space="preserve">. </w:t>
      </w:r>
      <w:r w:rsidRPr="0012204B">
        <w:rPr>
          <w:rFonts w:ascii="Palatino Linotype" w:eastAsia="Calibri" w:hAnsi="Palatino Linotype" w:cs="Arial"/>
          <w:bCs/>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rsidR="0012204B" w:rsidRDefault="0012204B" w:rsidP="0012204B">
      <w:pPr>
        <w:spacing w:after="0" w:line="360" w:lineRule="auto"/>
        <w:ind w:firstLine="1"/>
        <w:jc w:val="both"/>
        <w:rPr>
          <w:rFonts w:ascii="Palatino Linotype" w:hAnsi="Palatino Linotype"/>
          <w:sz w:val="24"/>
          <w:szCs w:val="24"/>
        </w:rPr>
      </w:pPr>
      <w:r>
        <w:rPr>
          <w:rFonts w:ascii="Palatino Linotype" w:hAnsi="Palatino Linotype"/>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w:t>
      </w:r>
      <w:r>
        <w:rPr>
          <w:rFonts w:ascii="Palatino Linotype" w:hAnsi="Palatino Linotype"/>
          <w:sz w:val="24"/>
          <w:szCs w:val="24"/>
        </w:rPr>
        <w:lastRenderedPageBreak/>
        <w:t xml:space="preserve">HERNÁNDEZ, JAVIER MARTÍNEZ CRUZ Y LUIS GUSTAVO PARRA NORIEGA, EN LA TERCERA SESIÓN ORDINARIA CELEBRADA EL CUATRO (04) DE FEBRERO DE DOS MIL VEINTIUNO, ANTE EL DIRECTOR DE CUMPLIMIENTOS, RUBÉN ORTÍZ AMARO, EN SUPLENCIA DEL SECRETARIO TÉCNICO DEL PLENO. </w:t>
      </w:r>
    </w:p>
    <w:tbl>
      <w:tblPr>
        <w:tblW w:w="5000" w:type="pct"/>
        <w:jc w:val="center"/>
        <w:tblLook w:val="04A0" w:firstRow="1" w:lastRow="0" w:firstColumn="1" w:lastColumn="0" w:noHBand="0" w:noVBand="1"/>
      </w:tblPr>
      <w:tblGrid>
        <w:gridCol w:w="4215"/>
        <w:gridCol w:w="203"/>
        <w:gridCol w:w="4419"/>
      </w:tblGrid>
      <w:tr w:rsidR="0012204B" w:rsidTr="0012204B">
        <w:trPr>
          <w:trHeight w:val="924"/>
          <w:jc w:val="center"/>
        </w:trPr>
        <w:tc>
          <w:tcPr>
            <w:tcW w:w="5000" w:type="pct"/>
            <w:gridSpan w:val="3"/>
          </w:tcPr>
          <w:p w:rsidR="0012204B" w:rsidRDefault="0012204B">
            <w:pPr>
              <w:spacing w:after="0" w:line="240" w:lineRule="auto"/>
              <w:jc w:val="center"/>
              <w:rPr>
                <w:rFonts w:ascii="Palatino Linotype" w:hAnsi="Palatino Linotype"/>
                <w:b/>
                <w:sz w:val="24"/>
                <w:szCs w:val="24"/>
              </w:rPr>
            </w:pPr>
          </w:p>
          <w:p w:rsidR="0012204B" w:rsidRDefault="0012204B">
            <w:pPr>
              <w:spacing w:after="0" w:line="240" w:lineRule="auto"/>
              <w:jc w:val="center"/>
              <w:rPr>
                <w:rFonts w:ascii="Palatino Linotype" w:hAnsi="Palatino Linotype"/>
                <w:b/>
                <w:sz w:val="24"/>
                <w:szCs w:val="24"/>
              </w:rPr>
            </w:pPr>
          </w:p>
          <w:p w:rsidR="0012204B" w:rsidRDefault="0012204B">
            <w:pPr>
              <w:spacing w:after="0" w:line="240" w:lineRule="auto"/>
              <w:jc w:val="center"/>
              <w:rPr>
                <w:rFonts w:ascii="Palatino Linotype" w:hAnsi="Palatino Linotype"/>
                <w:b/>
                <w:sz w:val="24"/>
                <w:szCs w:val="24"/>
              </w:rPr>
            </w:pPr>
          </w:p>
          <w:p w:rsidR="0012204B" w:rsidRDefault="0012204B">
            <w:pPr>
              <w:spacing w:after="0" w:line="240" w:lineRule="auto"/>
              <w:jc w:val="center"/>
              <w:rPr>
                <w:rFonts w:ascii="Palatino Linotype" w:hAnsi="Palatino Linotype"/>
                <w:b/>
                <w:sz w:val="24"/>
                <w:szCs w:val="24"/>
              </w:rPr>
            </w:pPr>
            <w:r>
              <w:rPr>
                <w:rFonts w:ascii="Palatino Linotype" w:hAnsi="Palatino Linotype"/>
                <w:b/>
                <w:sz w:val="24"/>
                <w:szCs w:val="24"/>
              </w:rPr>
              <w:t xml:space="preserve">Zulema Martínez Sánchez </w:t>
            </w:r>
          </w:p>
          <w:p w:rsidR="0012204B" w:rsidRDefault="0012204B">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rsidR="0012204B" w:rsidRDefault="0012204B">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tc>
      </w:tr>
      <w:tr w:rsidR="0012204B" w:rsidTr="0012204B">
        <w:trPr>
          <w:trHeight w:val="902"/>
          <w:jc w:val="center"/>
        </w:trPr>
        <w:tc>
          <w:tcPr>
            <w:tcW w:w="2385" w:type="pct"/>
          </w:tcPr>
          <w:p w:rsidR="0012204B" w:rsidRDefault="0012204B">
            <w:pPr>
              <w:spacing w:after="0" w:line="240" w:lineRule="auto"/>
              <w:jc w:val="center"/>
              <w:rPr>
                <w:rFonts w:ascii="Palatino Linotype" w:hAnsi="Palatino Linotype"/>
                <w:b/>
                <w:sz w:val="24"/>
                <w:szCs w:val="24"/>
              </w:rPr>
            </w:pPr>
          </w:p>
          <w:p w:rsidR="0012204B" w:rsidRDefault="0012204B">
            <w:pPr>
              <w:spacing w:after="0" w:line="240" w:lineRule="auto"/>
              <w:jc w:val="center"/>
              <w:rPr>
                <w:rFonts w:ascii="Palatino Linotype" w:hAnsi="Palatino Linotype"/>
                <w:b/>
                <w:sz w:val="24"/>
                <w:szCs w:val="24"/>
              </w:rPr>
            </w:pPr>
          </w:p>
          <w:p w:rsidR="0012204B" w:rsidRDefault="0012204B">
            <w:pPr>
              <w:spacing w:after="0" w:line="240" w:lineRule="auto"/>
              <w:jc w:val="center"/>
              <w:rPr>
                <w:rFonts w:ascii="Palatino Linotype" w:hAnsi="Palatino Linotype"/>
                <w:b/>
                <w:sz w:val="24"/>
                <w:szCs w:val="24"/>
              </w:rPr>
            </w:pPr>
            <w:r>
              <w:rPr>
                <w:rFonts w:ascii="Palatino Linotype" w:hAnsi="Palatino Linotype"/>
                <w:b/>
                <w:sz w:val="24"/>
                <w:szCs w:val="24"/>
              </w:rPr>
              <w:t>Eva Abaid Yapur</w:t>
            </w:r>
          </w:p>
          <w:p w:rsidR="0012204B" w:rsidRDefault="0012204B">
            <w:pPr>
              <w:spacing w:after="0" w:line="240" w:lineRule="auto"/>
              <w:jc w:val="center"/>
              <w:rPr>
                <w:rFonts w:ascii="Palatino Linotype" w:hAnsi="Palatino Linotype"/>
                <w:sz w:val="24"/>
                <w:szCs w:val="24"/>
              </w:rPr>
            </w:pPr>
            <w:r>
              <w:rPr>
                <w:rFonts w:ascii="Palatino Linotype" w:hAnsi="Palatino Linotype"/>
                <w:sz w:val="24"/>
                <w:szCs w:val="24"/>
              </w:rPr>
              <w:t>Comisionada</w:t>
            </w:r>
          </w:p>
          <w:p w:rsidR="0012204B" w:rsidRDefault="0012204B">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tc>
        <w:tc>
          <w:tcPr>
            <w:tcW w:w="2615" w:type="pct"/>
            <w:gridSpan w:val="2"/>
          </w:tcPr>
          <w:p w:rsidR="0012204B" w:rsidRDefault="0012204B">
            <w:pPr>
              <w:spacing w:after="0" w:line="240" w:lineRule="auto"/>
              <w:jc w:val="center"/>
              <w:rPr>
                <w:rFonts w:ascii="Palatino Linotype" w:hAnsi="Palatino Linotype"/>
                <w:b/>
                <w:sz w:val="24"/>
                <w:szCs w:val="24"/>
              </w:rPr>
            </w:pPr>
          </w:p>
          <w:p w:rsidR="0012204B" w:rsidRDefault="0012204B">
            <w:pPr>
              <w:spacing w:after="0" w:line="240" w:lineRule="auto"/>
              <w:jc w:val="center"/>
              <w:rPr>
                <w:rFonts w:ascii="Palatino Linotype" w:hAnsi="Palatino Linotype"/>
                <w:b/>
                <w:sz w:val="24"/>
                <w:szCs w:val="24"/>
              </w:rPr>
            </w:pPr>
          </w:p>
          <w:p w:rsidR="0012204B" w:rsidRDefault="0012204B">
            <w:pPr>
              <w:spacing w:after="0" w:line="240" w:lineRule="auto"/>
              <w:jc w:val="center"/>
              <w:rPr>
                <w:rFonts w:ascii="Palatino Linotype" w:hAnsi="Palatino Linotype"/>
                <w:b/>
                <w:sz w:val="24"/>
                <w:szCs w:val="24"/>
              </w:rPr>
            </w:pPr>
            <w:r>
              <w:rPr>
                <w:rFonts w:ascii="Palatino Linotype" w:hAnsi="Palatino Linotype"/>
                <w:b/>
                <w:sz w:val="24"/>
                <w:szCs w:val="24"/>
              </w:rPr>
              <w:t>José Guadalupe Luna Hernández</w:t>
            </w:r>
          </w:p>
          <w:p w:rsidR="0012204B" w:rsidRDefault="0012204B">
            <w:pPr>
              <w:spacing w:after="0" w:line="240" w:lineRule="auto"/>
              <w:jc w:val="center"/>
              <w:rPr>
                <w:rFonts w:ascii="Palatino Linotype" w:hAnsi="Palatino Linotype"/>
                <w:sz w:val="24"/>
                <w:szCs w:val="24"/>
              </w:rPr>
            </w:pPr>
            <w:r>
              <w:rPr>
                <w:rFonts w:ascii="Palatino Linotype" w:hAnsi="Palatino Linotype"/>
                <w:sz w:val="24"/>
                <w:szCs w:val="24"/>
              </w:rPr>
              <w:t>Comisionado</w:t>
            </w:r>
          </w:p>
          <w:p w:rsidR="0012204B" w:rsidRDefault="0012204B">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tc>
      </w:tr>
      <w:tr w:rsidR="0012204B" w:rsidTr="0012204B">
        <w:trPr>
          <w:jc w:val="center"/>
        </w:trPr>
        <w:tc>
          <w:tcPr>
            <w:tcW w:w="2500" w:type="pct"/>
            <w:gridSpan w:val="2"/>
          </w:tcPr>
          <w:p w:rsidR="0012204B" w:rsidRDefault="0012204B">
            <w:pPr>
              <w:spacing w:after="0" w:line="240" w:lineRule="auto"/>
              <w:jc w:val="center"/>
              <w:rPr>
                <w:rFonts w:ascii="Palatino Linotype" w:hAnsi="Palatino Linotype"/>
                <w:b/>
                <w:sz w:val="24"/>
                <w:szCs w:val="24"/>
              </w:rPr>
            </w:pPr>
          </w:p>
          <w:p w:rsidR="0012204B" w:rsidRDefault="0012204B">
            <w:pPr>
              <w:spacing w:after="0" w:line="240" w:lineRule="auto"/>
              <w:jc w:val="center"/>
              <w:rPr>
                <w:rFonts w:ascii="Palatino Linotype" w:hAnsi="Palatino Linotype"/>
                <w:b/>
                <w:sz w:val="24"/>
                <w:szCs w:val="24"/>
              </w:rPr>
            </w:pPr>
          </w:p>
          <w:p w:rsidR="0012204B" w:rsidRDefault="0012204B">
            <w:pPr>
              <w:spacing w:after="0" w:line="240" w:lineRule="auto"/>
              <w:jc w:val="center"/>
              <w:rPr>
                <w:rFonts w:ascii="Palatino Linotype" w:hAnsi="Palatino Linotype"/>
                <w:b/>
                <w:sz w:val="24"/>
                <w:szCs w:val="24"/>
              </w:rPr>
            </w:pPr>
            <w:r>
              <w:rPr>
                <w:rFonts w:ascii="Palatino Linotype" w:hAnsi="Palatino Linotype"/>
                <w:b/>
                <w:sz w:val="24"/>
                <w:szCs w:val="24"/>
              </w:rPr>
              <w:t xml:space="preserve">Javier Martínez Cruz </w:t>
            </w:r>
          </w:p>
          <w:p w:rsidR="0012204B" w:rsidRDefault="0012204B">
            <w:pPr>
              <w:spacing w:after="0" w:line="240" w:lineRule="auto"/>
              <w:jc w:val="center"/>
              <w:rPr>
                <w:rFonts w:ascii="Palatino Linotype" w:hAnsi="Palatino Linotype"/>
                <w:sz w:val="24"/>
                <w:szCs w:val="24"/>
              </w:rPr>
            </w:pPr>
            <w:r>
              <w:rPr>
                <w:rFonts w:ascii="Palatino Linotype" w:hAnsi="Palatino Linotype"/>
                <w:sz w:val="24"/>
                <w:szCs w:val="24"/>
              </w:rPr>
              <w:t>Comisionado</w:t>
            </w:r>
          </w:p>
          <w:p w:rsidR="0012204B" w:rsidRDefault="0012204B">
            <w:pPr>
              <w:spacing w:after="0" w:line="240" w:lineRule="auto"/>
              <w:jc w:val="center"/>
              <w:rPr>
                <w:rFonts w:ascii="Palatino Linotype" w:hAnsi="Palatino Linotype"/>
                <w:b/>
                <w:sz w:val="24"/>
                <w:szCs w:val="24"/>
              </w:rPr>
            </w:pPr>
            <w:r>
              <w:rPr>
                <w:rFonts w:ascii="Palatino Linotype" w:hAnsi="Palatino Linotype"/>
                <w:sz w:val="24"/>
                <w:szCs w:val="24"/>
              </w:rPr>
              <w:t>(Rúbrica)</w:t>
            </w:r>
          </w:p>
        </w:tc>
        <w:tc>
          <w:tcPr>
            <w:tcW w:w="2500" w:type="pct"/>
          </w:tcPr>
          <w:p w:rsidR="0012204B" w:rsidRDefault="0012204B">
            <w:pPr>
              <w:tabs>
                <w:tab w:val="left" w:pos="780"/>
                <w:tab w:val="center" w:pos="4499"/>
              </w:tabs>
              <w:spacing w:after="0" w:line="240" w:lineRule="auto"/>
              <w:jc w:val="center"/>
              <w:rPr>
                <w:rFonts w:ascii="Palatino Linotype" w:hAnsi="Palatino Linotype"/>
                <w:b/>
                <w:sz w:val="24"/>
                <w:szCs w:val="24"/>
              </w:rPr>
            </w:pPr>
          </w:p>
          <w:p w:rsidR="0012204B" w:rsidRDefault="0012204B">
            <w:pPr>
              <w:tabs>
                <w:tab w:val="left" w:pos="780"/>
                <w:tab w:val="center" w:pos="4499"/>
              </w:tabs>
              <w:spacing w:after="0" w:line="240" w:lineRule="auto"/>
              <w:jc w:val="center"/>
              <w:rPr>
                <w:rFonts w:ascii="Palatino Linotype" w:hAnsi="Palatino Linotype"/>
                <w:b/>
                <w:sz w:val="24"/>
                <w:szCs w:val="24"/>
              </w:rPr>
            </w:pPr>
          </w:p>
          <w:p w:rsidR="0012204B" w:rsidRDefault="0012204B">
            <w:pPr>
              <w:tabs>
                <w:tab w:val="left" w:pos="780"/>
                <w:tab w:val="center" w:pos="4499"/>
              </w:tabs>
              <w:spacing w:after="0" w:line="240" w:lineRule="auto"/>
              <w:jc w:val="center"/>
              <w:rPr>
                <w:rFonts w:ascii="Palatino Linotype" w:hAnsi="Palatino Linotype"/>
                <w:b/>
                <w:sz w:val="24"/>
                <w:szCs w:val="24"/>
              </w:rPr>
            </w:pPr>
            <w:r>
              <w:rPr>
                <w:rFonts w:ascii="Palatino Linotype" w:hAnsi="Palatino Linotype"/>
                <w:b/>
                <w:sz w:val="24"/>
                <w:szCs w:val="24"/>
              </w:rPr>
              <w:t>Luis Gustavo Parra Noriega</w:t>
            </w:r>
          </w:p>
          <w:p w:rsidR="0012204B" w:rsidRDefault="0012204B">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Comisionado</w:t>
            </w:r>
          </w:p>
          <w:p w:rsidR="0012204B" w:rsidRDefault="0012204B">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tc>
      </w:tr>
      <w:tr w:rsidR="0012204B" w:rsidTr="0012204B">
        <w:trPr>
          <w:jc w:val="center"/>
        </w:trPr>
        <w:tc>
          <w:tcPr>
            <w:tcW w:w="5000" w:type="pct"/>
            <w:gridSpan w:val="3"/>
          </w:tcPr>
          <w:p w:rsidR="0012204B" w:rsidRDefault="0012204B">
            <w:pPr>
              <w:spacing w:after="0" w:line="240" w:lineRule="auto"/>
              <w:jc w:val="center"/>
              <w:rPr>
                <w:rFonts w:ascii="Palatino Linotype" w:hAnsi="Palatino Linotype"/>
                <w:b/>
                <w:sz w:val="24"/>
                <w:szCs w:val="24"/>
              </w:rPr>
            </w:pPr>
          </w:p>
          <w:p w:rsidR="0012204B" w:rsidRDefault="0012204B">
            <w:pPr>
              <w:spacing w:after="0" w:line="240" w:lineRule="auto"/>
              <w:jc w:val="center"/>
              <w:rPr>
                <w:rFonts w:ascii="Palatino Linotype" w:hAnsi="Palatino Linotype"/>
                <w:b/>
                <w:sz w:val="24"/>
                <w:szCs w:val="24"/>
              </w:rPr>
            </w:pPr>
          </w:p>
          <w:p w:rsidR="0012204B" w:rsidRDefault="0012204B">
            <w:pPr>
              <w:spacing w:after="0" w:line="240" w:lineRule="auto"/>
              <w:jc w:val="center"/>
              <w:rPr>
                <w:rFonts w:ascii="Palatino Linotype" w:hAnsi="Palatino Linotype"/>
                <w:b/>
                <w:sz w:val="24"/>
                <w:szCs w:val="24"/>
              </w:rPr>
            </w:pPr>
          </w:p>
          <w:p w:rsidR="0012204B" w:rsidRDefault="0012204B">
            <w:pPr>
              <w:spacing w:after="0" w:line="240" w:lineRule="auto"/>
              <w:jc w:val="center"/>
              <w:rPr>
                <w:rFonts w:ascii="Palatino Linotype" w:hAnsi="Palatino Linotype"/>
                <w:b/>
                <w:sz w:val="24"/>
                <w:szCs w:val="24"/>
              </w:rPr>
            </w:pPr>
            <w:r>
              <w:rPr>
                <w:rFonts w:ascii="Palatino Linotype" w:hAnsi="Palatino Linotype"/>
                <w:b/>
                <w:sz w:val="24"/>
                <w:szCs w:val="24"/>
              </w:rPr>
              <w:t>Rubén Ortiz Amaro</w:t>
            </w:r>
          </w:p>
          <w:p w:rsidR="0012204B" w:rsidRDefault="0012204B">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 xml:space="preserve">Director de Cumplimientos </w:t>
            </w:r>
          </w:p>
          <w:p w:rsidR="0012204B" w:rsidRDefault="0012204B">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En suplencia del Secretario Técnico del Pleno</w:t>
            </w:r>
          </w:p>
          <w:p w:rsidR="0012204B" w:rsidRDefault="0012204B">
            <w:pPr>
              <w:tabs>
                <w:tab w:val="left" w:pos="780"/>
                <w:tab w:val="center" w:pos="4499"/>
              </w:tabs>
              <w:spacing w:after="0" w:line="240" w:lineRule="auto"/>
              <w:jc w:val="center"/>
              <w:rPr>
                <w:rFonts w:ascii="Palatino Linotype" w:hAnsi="Palatino Linotype"/>
                <w:sz w:val="24"/>
                <w:szCs w:val="24"/>
              </w:rPr>
            </w:pPr>
            <w:r>
              <w:rPr>
                <w:rFonts w:ascii="Palatino Linotype" w:hAnsi="Palatino Linotype"/>
                <w:sz w:val="24"/>
                <w:szCs w:val="24"/>
              </w:rPr>
              <w:t>(Rúbrica)</w:t>
            </w:r>
          </w:p>
          <w:p w:rsidR="0012204B" w:rsidRDefault="0012204B">
            <w:pPr>
              <w:tabs>
                <w:tab w:val="left" w:pos="780"/>
                <w:tab w:val="center" w:pos="4499"/>
              </w:tabs>
              <w:spacing w:after="0" w:line="240" w:lineRule="auto"/>
              <w:rPr>
                <w:rFonts w:ascii="Palatino Linotype" w:hAnsi="Palatino Linotype" w:cs="Arial"/>
                <w:sz w:val="24"/>
                <w:szCs w:val="24"/>
              </w:rPr>
            </w:pPr>
          </w:p>
        </w:tc>
      </w:tr>
    </w:tbl>
    <w:p w:rsidR="0012204B" w:rsidRDefault="0012204B" w:rsidP="0012204B">
      <w:pPr>
        <w:spacing w:after="0" w:line="360" w:lineRule="auto"/>
        <w:jc w:val="both"/>
        <w:rPr>
          <w:sz w:val="32"/>
          <w:szCs w:val="32"/>
        </w:rPr>
      </w:pPr>
      <w:r>
        <w:rPr>
          <w:rFonts w:ascii="Palatino Linotype" w:hAnsi="Palatino Linotype" w:cs="Arial"/>
          <w:sz w:val="24"/>
          <w:szCs w:val="24"/>
        </w:rPr>
        <w:t xml:space="preserve">Esta hoja corresponde a la resolución de cuatro (04) de febrero de dos mil veintiuno, emitida en el recurso de revisión </w:t>
      </w:r>
      <w:r>
        <w:rPr>
          <w:rFonts w:ascii="Palatino Linotype" w:hAnsi="Palatino Linotype" w:cs="Arial"/>
          <w:b/>
          <w:sz w:val="24"/>
          <w:szCs w:val="24"/>
        </w:rPr>
        <w:t>05598/INFOEM/IP/RR/2020</w:t>
      </w:r>
      <w:r>
        <w:rPr>
          <w:rFonts w:ascii="Palatino Linotype" w:hAnsi="Palatino Linotype" w:cs="Arial"/>
          <w:bCs/>
          <w:sz w:val="24"/>
          <w:szCs w:val="24"/>
        </w:rPr>
        <w:t xml:space="preserve">. </w:t>
      </w:r>
    </w:p>
    <w:p w:rsidR="00965844" w:rsidRDefault="00965844"/>
    <w:sectPr w:rsidR="00965844" w:rsidSect="00553BA1">
      <w:headerReference w:type="even" r:id="rId13"/>
      <w:headerReference w:type="default" r:id="rId14"/>
      <w:footerReference w:type="even" r:id="rId15"/>
      <w:footerReference w:type="default" r:id="rId16"/>
      <w:headerReference w:type="first" r:id="rId17"/>
      <w:footerReference w:type="first" r:id="rId18"/>
      <w:pgSz w:w="12240" w:h="15840"/>
      <w:pgMar w:top="1418" w:right="1418" w:bottom="1418"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A24" w:rsidRDefault="00784A24" w:rsidP="00CA11F0">
      <w:pPr>
        <w:spacing w:after="0" w:line="240" w:lineRule="auto"/>
      </w:pPr>
      <w:r>
        <w:separator/>
      </w:r>
    </w:p>
  </w:endnote>
  <w:endnote w:type="continuationSeparator" w:id="0">
    <w:p w:rsidR="00784A24" w:rsidRDefault="00784A24" w:rsidP="00CA11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4B" w:rsidRDefault="0012204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364404761"/>
      <w:docPartObj>
        <w:docPartGallery w:val="Page Numbers (Bottom of Page)"/>
        <w:docPartUnique/>
      </w:docPartObj>
    </w:sdtPr>
    <w:sdtEndPr/>
    <w:sdtContent>
      <w:sdt>
        <w:sdtPr>
          <w:rPr>
            <w:rFonts w:ascii="Palatino Linotype" w:hAnsi="Palatino Linotype"/>
            <w:sz w:val="28"/>
          </w:rPr>
          <w:id w:val="1608615154"/>
          <w:docPartObj>
            <w:docPartGallery w:val="Page Numbers (Top of Page)"/>
            <w:docPartUnique/>
          </w:docPartObj>
        </w:sdtPr>
        <w:sdtEndPr/>
        <w:sdtContent>
          <w:p w:rsidR="00553BA1" w:rsidRPr="00883450" w:rsidRDefault="00553BA1">
            <w:pPr>
              <w:pStyle w:val="Piedepgina"/>
              <w:jc w:val="right"/>
              <w:rPr>
                <w:rFonts w:ascii="Palatino Linotype" w:hAnsi="Palatino Linotype"/>
                <w:sz w:val="28"/>
              </w:rPr>
            </w:pPr>
            <w:r w:rsidRPr="00883450">
              <w:rPr>
                <w:rFonts w:ascii="Palatino Linotype" w:hAnsi="Palatino Linotype"/>
                <w:szCs w:val="20"/>
                <w:lang w:val="es-ES"/>
              </w:rPr>
              <w:t xml:space="preserve">Página </w:t>
            </w:r>
            <w:r w:rsidRPr="00883450">
              <w:rPr>
                <w:rFonts w:ascii="Palatino Linotype" w:hAnsi="Palatino Linotype"/>
                <w:b/>
                <w:bCs/>
                <w:szCs w:val="20"/>
              </w:rPr>
              <w:fldChar w:fldCharType="begin"/>
            </w:r>
            <w:r w:rsidRPr="00883450">
              <w:rPr>
                <w:rFonts w:ascii="Palatino Linotype" w:hAnsi="Palatino Linotype"/>
                <w:b/>
                <w:bCs/>
                <w:szCs w:val="20"/>
              </w:rPr>
              <w:instrText>PAGE</w:instrText>
            </w:r>
            <w:r w:rsidRPr="00883450">
              <w:rPr>
                <w:rFonts w:ascii="Palatino Linotype" w:hAnsi="Palatino Linotype"/>
                <w:b/>
                <w:bCs/>
                <w:szCs w:val="20"/>
              </w:rPr>
              <w:fldChar w:fldCharType="separate"/>
            </w:r>
            <w:r w:rsidR="00197895">
              <w:rPr>
                <w:rFonts w:ascii="Palatino Linotype" w:hAnsi="Palatino Linotype"/>
                <w:b/>
                <w:bCs/>
                <w:noProof/>
                <w:szCs w:val="20"/>
              </w:rPr>
              <w:t>48</w:t>
            </w:r>
            <w:r w:rsidRPr="00883450">
              <w:rPr>
                <w:rFonts w:ascii="Palatino Linotype" w:hAnsi="Palatino Linotype"/>
                <w:b/>
                <w:bCs/>
                <w:szCs w:val="20"/>
              </w:rPr>
              <w:fldChar w:fldCharType="end"/>
            </w:r>
            <w:r w:rsidRPr="00883450">
              <w:rPr>
                <w:rFonts w:ascii="Palatino Linotype" w:hAnsi="Palatino Linotype"/>
                <w:szCs w:val="20"/>
                <w:lang w:val="es-ES"/>
              </w:rPr>
              <w:t xml:space="preserve"> de </w:t>
            </w:r>
            <w:r w:rsidRPr="00883450">
              <w:rPr>
                <w:rFonts w:ascii="Palatino Linotype" w:hAnsi="Palatino Linotype"/>
                <w:b/>
                <w:bCs/>
                <w:szCs w:val="20"/>
              </w:rPr>
              <w:fldChar w:fldCharType="begin"/>
            </w:r>
            <w:r w:rsidRPr="00883450">
              <w:rPr>
                <w:rFonts w:ascii="Palatino Linotype" w:hAnsi="Palatino Linotype"/>
                <w:b/>
                <w:bCs/>
                <w:szCs w:val="20"/>
              </w:rPr>
              <w:instrText>NUMPAGES</w:instrText>
            </w:r>
            <w:r w:rsidRPr="00883450">
              <w:rPr>
                <w:rFonts w:ascii="Palatino Linotype" w:hAnsi="Palatino Linotype"/>
                <w:b/>
                <w:bCs/>
                <w:szCs w:val="20"/>
              </w:rPr>
              <w:fldChar w:fldCharType="separate"/>
            </w:r>
            <w:r w:rsidR="00197895">
              <w:rPr>
                <w:rFonts w:ascii="Palatino Linotype" w:hAnsi="Palatino Linotype"/>
                <w:b/>
                <w:bCs/>
                <w:noProof/>
                <w:szCs w:val="20"/>
              </w:rPr>
              <w:t>48</w:t>
            </w:r>
            <w:r w:rsidRPr="00883450">
              <w:rPr>
                <w:rFonts w:ascii="Palatino Linotype" w:hAnsi="Palatino Linotype"/>
                <w:b/>
                <w:bCs/>
                <w:szCs w:val="20"/>
              </w:rPr>
              <w:fldChar w:fldCharType="end"/>
            </w:r>
          </w:p>
        </w:sdtContent>
      </w:sdt>
    </w:sdtContent>
  </w:sdt>
  <w:p w:rsidR="00553BA1" w:rsidRDefault="00553BA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BA1" w:rsidRPr="00883450" w:rsidRDefault="00553BA1" w:rsidP="00553BA1">
    <w:pPr>
      <w:pStyle w:val="Piedepgina"/>
      <w:jc w:val="right"/>
      <w:rPr>
        <w:rFonts w:ascii="Palatino Linotype" w:hAnsi="Palatino Linotype"/>
      </w:rPr>
    </w:pPr>
    <w:r w:rsidRPr="00883450">
      <w:rPr>
        <w:rFonts w:ascii="Palatino Linotype" w:hAnsi="Palatino Linotype"/>
        <w:lang w:val="es-ES"/>
      </w:rPr>
      <w:t xml:space="preserve">Página </w:t>
    </w:r>
    <w:r w:rsidRPr="00883450">
      <w:rPr>
        <w:rFonts w:ascii="Palatino Linotype" w:hAnsi="Palatino Linotype"/>
      </w:rPr>
      <w:fldChar w:fldCharType="begin"/>
    </w:r>
    <w:r w:rsidRPr="00883450">
      <w:rPr>
        <w:rFonts w:ascii="Palatino Linotype" w:hAnsi="Palatino Linotype"/>
      </w:rPr>
      <w:instrText>PAGE  \* Arabic  \* MERGEFORMAT</w:instrText>
    </w:r>
    <w:r w:rsidRPr="00883450">
      <w:rPr>
        <w:rFonts w:ascii="Palatino Linotype" w:hAnsi="Palatino Linotype"/>
      </w:rPr>
      <w:fldChar w:fldCharType="separate"/>
    </w:r>
    <w:r w:rsidR="00197895" w:rsidRPr="00197895">
      <w:rPr>
        <w:rFonts w:ascii="Palatino Linotype" w:hAnsi="Palatino Linotype"/>
        <w:noProof/>
        <w:lang w:val="es-ES"/>
      </w:rPr>
      <w:t>1</w:t>
    </w:r>
    <w:r w:rsidRPr="00883450">
      <w:rPr>
        <w:rFonts w:ascii="Palatino Linotype" w:hAnsi="Palatino Linotype"/>
      </w:rPr>
      <w:fldChar w:fldCharType="end"/>
    </w:r>
    <w:r w:rsidRPr="00883450">
      <w:rPr>
        <w:rFonts w:ascii="Palatino Linotype" w:hAnsi="Palatino Linotype"/>
        <w:lang w:val="es-ES"/>
      </w:rPr>
      <w:t xml:space="preserve"> de </w:t>
    </w:r>
    <w:r w:rsidRPr="00883450">
      <w:rPr>
        <w:rFonts w:ascii="Palatino Linotype" w:hAnsi="Palatino Linotype"/>
      </w:rPr>
      <w:fldChar w:fldCharType="begin"/>
    </w:r>
    <w:r w:rsidRPr="00883450">
      <w:rPr>
        <w:rFonts w:ascii="Palatino Linotype" w:hAnsi="Palatino Linotype"/>
      </w:rPr>
      <w:instrText>NUMPAGES  \* Arabic  \* MERGEFORMAT</w:instrText>
    </w:r>
    <w:r w:rsidRPr="00883450">
      <w:rPr>
        <w:rFonts w:ascii="Palatino Linotype" w:hAnsi="Palatino Linotype"/>
      </w:rPr>
      <w:fldChar w:fldCharType="separate"/>
    </w:r>
    <w:r w:rsidR="00197895" w:rsidRPr="00197895">
      <w:rPr>
        <w:rFonts w:ascii="Palatino Linotype" w:hAnsi="Palatino Linotype"/>
        <w:noProof/>
        <w:lang w:val="es-ES"/>
      </w:rPr>
      <w:t>48</w:t>
    </w:r>
    <w:r w:rsidRPr="00883450">
      <w:rPr>
        <w:rFonts w:ascii="Palatino Linotype" w:hAnsi="Palatino Linotype"/>
      </w:rPr>
      <w:fldChar w:fldCharType="end"/>
    </w:r>
  </w:p>
  <w:p w:rsidR="00553BA1" w:rsidRPr="00883450" w:rsidRDefault="00553BA1">
    <w:pPr>
      <w:pStyle w:val="Piedepgina"/>
      <w:rPr>
        <w:rFonts w:ascii="Palatino Linotype" w:hAnsi="Palatino Linotyp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A24" w:rsidRDefault="00784A24" w:rsidP="00CA11F0">
      <w:pPr>
        <w:spacing w:after="0" w:line="240" w:lineRule="auto"/>
      </w:pPr>
      <w:r>
        <w:separator/>
      </w:r>
    </w:p>
  </w:footnote>
  <w:footnote w:type="continuationSeparator" w:id="0">
    <w:p w:rsidR="00784A24" w:rsidRDefault="00784A24" w:rsidP="00CA11F0">
      <w:pPr>
        <w:spacing w:after="0" w:line="240" w:lineRule="auto"/>
      </w:pPr>
      <w:r>
        <w:continuationSeparator/>
      </w:r>
    </w:p>
  </w:footnote>
  <w:footnote w:id="1">
    <w:p w:rsidR="00553BA1" w:rsidRPr="00034B44" w:rsidRDefault="00553BA1" w:rsidP="00553BA1">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Ningún derecho fundamental es absoluto y en esa medida todos admiten restricciones. Sin embargo, la regulación de dichas restricciones no puede ser arbitraria. Para que las medidas emitidas por el legislador ordinario con el propósito de restringir los derechos fundamentales sean válidas, deben satisfacer al menos los siguientes requisitos: a) ser admisibles dentro del ámbito constitucional, esto es, el legislador ordinario sólo puede restringir o suspender el ejercicio de las garantías individuales con objetivos que puedan enmarcarse dentro de las previsiones de la Carta Magna; b) ser necesarias para asegurar la obtención de los fines que fundamentan la restricción constitucional, es decir, no basta que la restricción sea en términos amplios útil para la obtención de esos objetivos, sino que debe ser la idónea para su realización,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persecución de un objetivo constitucional no puede hacerse a costa de una afectación innecesaria o desmedida a otros bienes y derechos constitucionalmente protegidos. Así, el juzgador debe determinar en cada caso si la restricción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distinción legislativa se encuentra dentro de las opciones de tratamiento que pueden considerarse proporcionales. De igual manera, las restricciones deberán estar en consonancia con la ley, incluidas las normas internacionales de derechos humanos, y ser compatibles con la naturaleza de los derechos amparados por la Constitución, en aras de la consecución de los objetivos legítimos perseguidos, y ser estrictamente necesarias para promover el bienestar general en una sociedad democrática. </w:t>
      </w:r>
    </w:p>
    <w:p w:rsidR="00553BA1" w:rsidRPr="00034B44" w:rsidRDefault="00553BA1" w:rsidP="00553BA1">
      <w:pPr>
        <w:pStyle w:val="Textonotapie"/>
        <w:jc w:val="both"/>
        <w:rPr>
          <w:rFonts w:ascii="Palatino Linotype" w:hAnsi="Palatino Linotype"/>
          <w:sz w:val="14"/>
        </w:rPr>
      </w:pPr>
      <w:r w:rsidRPr="00034B44">
        <w:rPr>
          <w:rFonts w:ascii="Palatino Linotype" w:hAnsi="Palatino Linotype"/>
          <w:sz w:val="14"/>
        </w:rPr>
        <w:t xml:space="preserve">1a./J. 2/2012 (9a.). Primera Sala. Décima Época. Semanario Judicial de la Federación y su Gaceta. Libro V, Febrero de 2012, Pág. 533.  </w:t>
      </w:r>
    </w:p>
  </w:footnote>
  <w:footnote w:id="2">
    <w:p w:rsidR="00553BA1" w:rsidRPr="00034B44" w:rsidRDefault="00553BA1" w:rsidP="00553BA1">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3">
    <w:p w:rsidR="00553BA1" w:rsidRPr="00034B44" w:rsidRDefault="00553BA1" w:rsidP="00553BA1">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553BA1" w:rsidRPr="00034B44" w:rsidRDefault="00553BA1" w:rsidP="00553BA1">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553BA1" w:rsidRPr="00034B44" w:rsidRDefault="00553BA1" w:rsidP="00553BA1">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Pp 1-19. </w:t>
      </w:r>
    </w:p>
  </w:footnote>
  <w:footnote w:id="4">
    <w:p w:rsidR="00553BA1" w:rsidRPr="00034B44" w:rsidRDefault="00553BA1" w:rsidP="00553BA1">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Tribunales Colegiados de Circuito. Novena Epoca. Semanario Judicial de la Federación y su Gaceta. Tomo III, marzo de 1996. Pág 769. Consultado en http://sjf.scjn.gob.mx/sjfsist/Documentos/Tesis/203/203143.pdf  el viernes 16 de junio de 2017.</w:t>
      </w:r>
    </w:p>
  </w:footnote>
  <w:footnote w:id="5">
    <w:p w:rsidR="00553BA1" w:rsidRPr="00034B44" w:rsidRDefault="00553BA1" w:rsidP="00553BA1">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553BA1" w:rsidRPr="00034B44" w:rsidRDefault="00553BA1" w:rsidP="00553BA1">
      <w:pPr>
        <w:pStyle w:val="Textonotapie"/>
        <w:jc w:val="both"/>
        <w:rPr>
          <w:rFonts w:ascii="Palatino Linotype" w:hAnsi="Palatino Linotype"/>
          <w:sz w:val="18"/>
        </w:rPr>
      </w:pPr>
      <w:r w:rsidRPr="00034B44">
        <w:rPr>
          <w:rFonts w:ascii="Palatino Linotype" w:hAnsi="Palatino Linotype"/>
          <w:sz w:val="18"/>
        </w:rPr>
        <w:t xml:space="preserve"> (…)</w:t>
      </w:r>
    </w:p>
    <w:p w:rsidR="00553BA1" w:rsidRPr="00034B44" w:rsidRDefault="00553BA1" w:rsidP="00553BA1">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204B" w:rsidRDefault="00197895">
    <w:pPr>
      <w:pStyle w:val="Encabezado"/>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509485" o:spid="_x0000_s2050" type="#_x0000_t75" style="position:absolute;margin-left:0;margin-top:0;width:609.4pt;height:793.75pt;z-index:-25165721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BA1" w:rsidRDefault="00197895" w:rsidP="00553BA1">
    <w:pPr>
      <w:pStyle w:val="Encabezado"/>
      <w:tabs>
        <w:tab w:val="clear" w:pos="4419"/>
        <w:tab w:val="clear" w:pos="8838"/>
        <w:tab w:val="left" w:pos="6452"/>
        <w:tab w:val="left" w:pos="7283"/>
      </w:tabs>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509486" o:spid="_x0000_s2051" type="#_x0000_t75" style="position:absolute;margin-left:0;margin-top:0;width:609.4pt;height:793.75pt;z-index:-251656192;mso-position-horizontal:center;mso-position-horizontal-relative:margin;mso-position-vertical:center;mso-position-vertical-relative:margin" o:allowincell="f">
          <v:imagedata r:id="rId1" o:title="resolución"/>
          <w10:wrap anchorx="margin" anchory="margin"/>
        </v:shape>
      </w:pict>
    </w:r>
    <w:r w:rsidR="00553BA1">
      <w:tab/>
    </w: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553BA1" w:rsidRPr="00EF13C1" w:rsidTr="00553BA1">
      <w:trPr>
        <w:trHeight w:val="138"/>
        <w:jc w:val="right"/>
      </w:trPr>
      <w:tc>
        <w:tcPr>
          <w:tcW w:w="2552" w:type="dxa"/>
          <w:vAlign w:val="center"/>
        </w:tcPr>
        <w:p w:rsidR="00553BA1" w:rsidRPr="00EF13C1" w:rsidRDefault="00553BA1" w:rsidP="00553BA1">
          <w:pPr>
            <w:jc w:val="right"/>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553BA1" w:rsidRPr="00EF13C1" w:rsidRDefault="00553BA1" w:rsidP="00CA11F0">
          <w:pPr>
            <w:pStyle w:val="Encabezado"/>
            <w:jc w:val="right"/>
            <w:rPr>
              <w:rFonts w:ascii="Palatino Linotype" w:hAnsi="Palatino Linotype"/>
              <w:b/>
              <w:sz w:val="22"/>
              <w:szCs w:val="22"/>
            </w:rPr>
          </w:pPr>
          <w:r>
            <w:rPr>
              <w:rFonts w:ascii="Palatino Linotype" w:hAnsi="Palatino Linotype"/>
              <w:b/>
              <w:sz w:val="22"/>
              <w:szCs w:val="22"/>
            </w:rPr>
            <w:t xml:space="preserve">05598/INFOEM/IP/RR/2020 </w:t>
          </w:r>
        </w:p>
      </w:tc>
    </w:tr>
    <w:tr w:rsidR="00553BA1" w:rsidRPr="00EF13C1" w:rsidTr="00553BA1">
      <w:trPr>
        <w:trHeight w:val="321"/>
        <w:jc w:val="right"/>
      </w:trPr>
      <w:tc>
        <w:tcPr>
          <w:tcW w:w="2552" w:type="dxa"/>
          <w:vAlign w:val="center"/>
        </w:tcPr>
        <w:p w:rsidR="00553BA1" w:rsidRPr="00EF13C1" w:rsidRDefault="00553BA1" w:rsidP="00553BA1">
          <w:pPr>
            <w:jc w:val="right"/>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553BA1" w:rsidRPr="006C73BA" w:rsidRDefault="00553BA1" w:rsidP="00CA11F0">
          <w:pPr>
            <w:pStyle w:val="Encabezado"/>
            <w:jc w:val="right"/>
            <w:rPr>
              <w:rFonts w:ascii="Palatino Linotype" w:hAnsi="Palatino Linotype"/>
              <w:b/>
              <w:sz w:val="22"/>
              <w:szCs w:val="22"/>
            </w:rPr>
          </w:pPr>
          <w:r>
            <w:rPr>
              <w:rFonts w:ascii="Palatino Linotype" w:hAnsi="Palatino Linotype"/>
              <w:b/>
              <w:bCs/>
              <w:sz w:val="22"/>
              <w:szCs w:val="22"/>
              <w:lang w:val="es-MX"/>
            </w:rPr>
            <w:t>Ayuntamiento de Papalotla</w:t>
          </w:r>
        </w:p>
      </w:tc>
    </w:tr>
    <w:tr w:rsidR="00553BA1" w:rsidRPr="00EF13C1" w:rsidTr="00553BA1">
      <w:trPr>
        <w:trHeight w:val="321"/>
        <w:jc w:val="right"/>
      </w:trPr>
      <w:tc>
        <w:tcPr>
          <w:tcW w:w="2552" w:type="dxa"/>
          <w:vAlign w:val="center"/>
        </w:tcPr>
        <w:p w:rsidR="00553BA1" w:rsidRPr="00EF13C1" w:rsidRDefault="00553BA1" w:rsidP="00553BA1">
          <w:pPr>
            <w:jc w:val="right"/>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553BA1" w:rsidRPr="00EF13C1" w:rsidRDefault="00553BA1" w:rsidP="00553BA1">
          <w:pPr>
            <w:pStyle w:val="Encabezado"/>
            <w:jc w:val="right"/>
            <w:rPr>
              <w:rFonts w:ascii="Palatino Linotype" w:hAnsi="Palatino Linotype"/>
              <w:b/>
              <w:sz w:val="22"/>
              <w:szCs w:val="22"/>
            </w:rPr>
          </w:pPr>
          <w:r w:rsidRPr="00EF13C1">
            <w:rPr>
              <w:rFonts w:ascii="Palatino Linotype" w:hAnsi="Palatino Linotype"/>
              <w:b/>
              <w:sz w:val="22"/>
              <w:szCs w:val="22"/>
            </w:rPr>
            <w:t>José Guadalupe Luna Hernández</w:t>
          </w:r>
        </w:p>
      </w:tc>
    </w:tr>
  </w:tbl>
  <w:p w:rsidR="00553BA1" w:rsidRDefault="00553BA1" w:rsidP="00553BA1">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3BA1" w:rsidRDefault="00197895" w:rsidP="00553BA1">
    <w:pPr>
      <w:pStyle w:val="Encabezado"/>
      <w:tabs>
        <w:tab w:val="left" w:pos="3103"/>
        <w:tab w:val="left" w:pos="4253"/>
      </w:tabs>
      <w:jc w:val="both"/>
    </w:pPr>
    <w:r>
      <w:rPr>
        <w:noProof/>
        <w:lang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6509484" o:spid="_x0000_s2049" type="#_x0000_t75" style="position:absolute;left:0;text-align:left;margin-left:0;margin-top:0;width:609.4pt;height:793.75pt;z-index:-251658240;mso-position-horizontal:center;mso-position-horizontal-relative:margin;mso-position-vertical:center;mso-position-vertical-relative:margin" o:allowincell="f">
          <v:imagedata r:id="rId1" o:title="resolución"/>
          <w10:wrap anchorx="margin" anchory="margin"/>
        </v:shape>
      </w:pict>
    </w:r>
    <w:r w:rsidR="00553BA1">
      <w:tab/>
    </w:r>
    <w:r w:rsidR="00553BA1">
      <w:tab/>
    </w:r>
  </w:p>
  <w:tbl>
    <w:tblPr>
      <w:tblStyle w:val="Tablaconcuadrcula"/>
      <w:tblW w:w="7032" w:type="dxa"/>
      <w:tblInd w:w="198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835"/>
      <w:gridCol w:w="303"/>
      <w:gridCol w:w="3894"/>
    </w:tblGrid>
    <w:tr w:rsidR="00553BA1" w:rsidRPr="00182113" w:rsidTr="00553BA1">
      <w:trPr>
        <w:trHeight w:val="138"/>
      </w:trPr>
      <w:tc>
        <w:tcPr>
          <w:tcW w:w="2835" w:type="dxa"/>
          <w:vAlign w:val="center"/>
        </w:tcPr>
        <w:p w:rsidR="00553BA1" w:rsidRPr="006C73BA" w:rsidRDefault="00553BA1" w:rsidP="00553BA1">
          <w:pPr>
            <w:jc w:val="right"/>
            <w:rPr>
              <w:rFonts w:ascii="Palatino Linotype" w:hAnsi="Palatino Linotype"/>
              <w:b/>
            </w:rPr>
          </w:pPr>
          <w:r w:rsidRPr="006C73BA">
            <w:rPr>
              <w:rFonts w:ascii="Palatino Linotype" w:hAnsi="Palatino Linotype"/>
              <w:b/>
            </w:rPr>
            <w:t>Recurso de revisión:</w:t>
          </w:r>
        </w:p>
      </w:tc>
      <w:tc>
        <w:tcPr>
          <w:tcW w:w="303" w:type="dxa"/>
          <w:vAlign w:val="center"/>
        </w:tcPr>
        <w:p w:rsidR="00553BA1" w:rsidRPr="006C73BA" w:rsidRDefault="00553BA1" w:rsidP="00553BA1">
          <w:pPr>
            <w:pStyle w:val="Encabezado"/>
            <w:jc w:val="center"/>
            <w:rPr>
              <w:rFonts w:ascii="Palatino Linotype" w:hAnsi="Palatino Linotype"/>
              <w:b/>
            </w:rPr>
          </w:pPr>
        </w:p>
      </w:tc>
      <w:tc>
        <w:tcPr>
          <w:tcW w:w="3894" w:type="dxa"/>
          <w:vAlign w:val="center"/>
        </w:tcPr>
        <w:p w:rsidR="00553BA1" w:rsidRPr="006C73BA" w:rsidRDefault="00553BA1" w:rsidP="00CA11F0">
          <w:pPr>
            <w:pStyle w:val="Encabezado"/>
            <w:jc w:val="right"/>
            <w:rPr>
              <w:rFonts w:ascii="Palatino Linotype" w:hAnsi="Palatino Linotype"/>
              <w:b/>
            </w:rPr>
          </w:pPr>
          <w:r>
            <w:rPr>
              <w:rFonts w:ascii="Palatino Linotype" w:hAnsi="Palatino Linotype" w:cs="Arial"/>
              <w:b/>
              <w:bCs/>
              <w:lang w:eastAsia="es-MX"/>
            </w:rPr>
            <w:t>05598</w:t>
          </w:r>
          <w:r w:rsidRPr="006C73BA">
            <w:rPr>
              <w:rFonts w:ascii="Palatino Linotype" w:hAnsi="Palatino Linotype" w:cs="Arial"/>
              <w:b/>
              <w:bCs/>
              <w:lang w:eastAsia="es-MX"/>
            </w:rPr>
            <w:t xml:space="preserve">/INFOEM/IP/RR/2020 </w:t>
          </w:r>
        </w:p>
      </w:tc>
    </w:tr>
    <w:tr w:rsidR="00553BA1" w:rsidRPr="00182113" w:rsidTr="00553BA1">
      <w:trPr>
        <w:trHeight w:val="227"/>
      </w:trPr>
      <w:tc>
        <w:tcPr>
          <w:tcW w:w="2835" w:type="dxa"/>
          <w:vAlign w:val="center"/>
        </w:tcPr>
        <w:p w:rsidR="00553BA1" w:rsidRPr="006C73BA" w:rsidRDefault="00553BA1" w:rsidP="00553BA1">
          <w:pPr>
            <w:jc w:val="right"/>
            <w:rPr>
              <w:rFonts w:ascii="Palatino Linotype" w:hAnsi="Palatino Linotype"/>
              <w:b/>
            </w:rPr>
          </w:pPr>
          <w:r w:rsidRPr="006C73BA">
            <w:rPr>
              <w:rFonts w:ascii="Palatino Linotype" w:hAnsi="Palatino Linotype"/>
              <w:b/>
            </w:rPr>
            <w:t>Recurrente:</w:t>
          </w:r>
        </w:p>
      </w:tc>
      <w:tc>
        <w:tcPr>
          <w:tcW w:w="303" w:type="dxa"/>
          <w:vAlign w:val="center"/>
        </w:tcPr>
        <w:p w:rsidR="00553BA1" w:rsidRPr="006C73BA" w:rsidRDefault="00553BA1" w:rsidP="00553BA1">
          <w:pPr>
            <w:pStyle w:val="Encabezado"/>
            <w:jc w:val="center"/>
            <w:rPr>
              <w:rFonts w:ascii="Palatino Linotype" w:hAnsi="Palatino Linotype"/>
              <w:b/>
            </w:rPr>
          </w:pPr>
        </w:p>
      </w:tc>
      <w:tc>
        <w:tcPr>
          <w:tcW w:w="3894" w:type="dxa"/>
          <w:vAlign w:val="center"/>
        </w:tcPr>
        <w:p w:rsidR="00553BA1" w:rsidRPr="006C73BA" w:rsidRDefault="00553BA1" w:rsidP="00553BA1">
          <w:pPr>
            <w:pStyle w:val="Encabezado"/>
            <w:jc w:val="right"/>
            <w:rPr>
              <w:rFonts w:ascii="Palatino Linotype" w:hAnsi="Palatino Linotype"/>
              <w:b/>
            </w:rPr>
          </w:pPr>
        </w:p>
      </w:tc>
    </w:tr>
    <w:tr w:rsidR="00553BA1" w:rsidRPr="00182113" w:rsidTr="00553BA1">
      <w:trPr>
        <w:trHeight w:val="232"/>
      </w:trPr>
      <w:tc>
        <w:tcPr>
          <w:tcW w:w="2835" w:type="dxa"/>
          <w:vAlign w:val="center"/>
        </w:tcPr>
        <w:p w:rsidR="00553BA1" w:rsidRPr="006C73BA" w:rsidRDefault="00553BA1" w:rsidP="00553BA1">
          <w:pPr>
            <w:jc w:val="right"/>
            <w:rPr>
              <w:rFonts w:ascii="Palatino Linotype" w:hAnsi="Palatino Linotype"/>
              <w:b/>
            </w:rPr>
          </w:pPr>
          <w:r w:rsidRPr="006C73BA">
            <w:rPr>
              <w:rFonts w:ascii="Palatino Linotype" w:hAnsi="Palatino Linotype"/>
              <w:b/>
            </w:rPr>
            <w:t>Sujeto obligado:</w:t>
          </w:r>
        </w:p>
      </w:tc>
      <w:tc>
        <w:tcPr>
          <w:tcW w:w="303" w:type="dxa"/>
          <w:vAlign w:val="center"/>
        </w:tcPr>
        <w:p w:rsidR="00553BA1" w:rsidRPr="006C73BA" w:rsidRDefault="00553BA1" w:rsidP="00553BA1">
          <w:pPr>
            <w:pStyle w:val="Encabezado"/>
            <w:jc w:val="center"/>
            <w:rPr>
              <w:rFonts w:ascii="Palatino Linotype" w:hAnsi="Palatino Linotype"/>
              <w:b/>
            </w:rPr>
          </w:pPr>
        </w:p>
      </w:tc>
      <w:tc>
        <w:tcPr>
          <w:tcW w:w="3894" w:type="dxa"/>
          <w:vAlign w:val="center"/>
        </w:tcPr>
        <w:p w:rsidR="00553BA1" w:rsidRPr="006C73BA" w:rsidRDefault="00553BA1" w:rsidP="00553BA1">
          <w:pPr>
            <w:pStyle w:val="Encabezado"/>
            <w:jc w:val="right"/>
            <w:rPr>
              <w:rFonts w:ascii="Palatino Linotype" w:hAnsi="Palatino Linotype"/>
              <w:b/>
            </w:rPr>
          </w:pPr>
          <w:r>
            <w:rPr>
              <w:rFonts w:ascii="Palatino Linotype" w:hAnsi="Palatino Linotype"/>
              <w:b/>
            </w:rPr>
            <w:t>Ayuntamiento de Papalotla</w:t>
          </w:r>
        </w:p>
      </w:tc>
    </w:tr>
    <w:tr w:rsidR="00553BA1" w:rsidRPr="00182113" w:rsidTr="00553BA1">
      <w:trPr>
        <w:trHeight w:val="320"/>
      </w:trPr>
      <w:tc>
        <w:tcPr>
          <w:tcW w:w="2835" w:type="dxa"/>
          <w:vAlign w:val="center"/>
        </w:tcPr>
        <w:p w:rsidR="00553BA1" w:rsidRPr="006C73BA" w:rsidRDefault="00553BA1" w:rsidP="00553BA1">
          <w:pPr>
            <w:jc w:val="right"/>
            <w:rPr>
              <w:rFonts w:ascii="Palatino Linotype" w:hAnsi="Palatino Linotype"/>
              <w:b/>
            </w:rPr>
          </w:pPr>
          <w:r w:rsidRPr="006C73BA">
            <w:rPr>
              <w:rFonts w:ascii="Palatino Linotype" w:hAnsi="Palatino Linotype"/>
              <w:b/>
            </w:rPr>
            <w:t>Comisionado ponente:</w:t>
          </w:r>
        </w:p>
      </w:tc>
      <w:tc>
        <w:tcPr>
          <w:tcW w:w="303" w:type="dxa"/>
          <w:vAlign w:val="center"/>
        </w:tcPr>
        <w:p w:rsidR="00553BA1" w:rsidRPr="006C73BA" w:rsidRDefault="00553BA1" w:rsidP="00553BA1">
          <w:pPr>
            <w:pStyle w:val="Encabezado"/>
            <w:jc w:val="center"/>
            <w:rPr>
              <w:rFonts w:ascii="Palatino Linotype" w:hAnsi="Palatino Linotype"/>
              <w:b/>
            </w:rPr>
          </w:pPr>
        </w:p>
      </w:tc>
      <w:tc>
        <w:tcPr>
          <w:tcW w:w="3894" w:type="dxa"/>
          <w:vAlign w:val="center"/>
        </w:tcPr>
        <w:p w:rsidR="00553BA1" w:rsidRPr="006C73BA" w:rsidRDefault="00553BA1" w:rsidP="00553BA1">
          <w:pPr>
            <w:pStyle w:val="Encabezado"/>
            <w:jc w:val="right"/>
            <w:rPr>
              <w:rFonts w:ascii="Palatino Linotype" w:hAnsi="Palatino Linotype"/>
              <w:b/>
            </w:rPr>
          </w:pPr>
          <w:r w:rsidRPr="006C73BA">
            <w:rPr>
              <w:rFonts w:ascii="Palatino Linotype" w:hAnsi="Palatino Linotype"/>
              <w:b/>
            </w:rPr>
            <w:t>José Guadalupe Luna Hernández</w:t>
          </w:r>
        </w:p>
      </w:tc>
    </w:tr>
  </w:tbl>
  <w:p w:rsidR="00553BA1" w:rsidRDefault="00553BA1">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04B331B"/>
    <w:multiLevelType w:val="hybridMultilevel"/>
    <w:tmpl w:val="CA1872EA"/>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239E19F6"/>
    <w:multiLevelType w:val="hybridMultilevel"/>
    <w:tmpl w:val="3BAEFFB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BC33E2"/>
    <w:multiLevelType w:val="hybridMultilevel"/>
    <w:tmpl w:val="28CEDD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4317490"/>
    <w:multiLevelType w:val="hybridMultilevel"/>
    <w:tmpl w:val="CA1872EA"/>
    <w:lvl w:ilvl="0" w:tplc="F5C4018E">
      <w:start w:val="1"/>
      <w:numFmt w:val="decimal"/>
      <w:lvlText w:val="%1."/>
      <w:lvlJc w:val="left"/>
      <w:pPr>
        <w:ind w:left="360" w:hanging="360"/>
      </w:pPr>
      <w:rPr>
        <w:rFonts w:ascii="Palatino Linotype" w:hAnsi="Palatino Linotype" w:hint="default"/>
        <w:b/>
        <w:i w:val="0"/>
        <w:color w:val="auto"/>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3D2165B4"/>
    <w:multiLevelType w:val="hybridMultilevel"/>
    <w:tmpl w:val="CA1893A0"/>
    <w:lvl w:ilvl="0" w:tplc="8F58967E">
      <w:start w:val="1"/>
      <w:numFmt w:val="lowerLetter"/>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5" w15:restartNumberingAfterBreak="0">
    <w:nsid w:val="44054025"/>
    <w:multiLevelType w:val="hybridMultilevel"/>
    <w:tmpl w:val="751C45DE"/>
    <w:lvl w:ilvl="0" w:tplc="D340DE70">
      <w:start w:val="1"/>
      <w:numFmt w:val="upperRoman"/>
      <w:lvlText w:val="%1."/>
      <w:lvlJc w:val="left"/>
      <w:pPr>
        <w:ind w:left="1080" w:hanging="720"/>
      </w:pPr>
      <w:rPr>
        <w:rFonts w:hint="default"/>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41270B2"/>
    <w:multiLevelType w:val="hybridMultilevel"/>
    <w:tmpl w:val="B9B0281A"/>
    <w:lvl w:ilvl="0" w:tplc="A7A4B4BA">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55F73322"/>
    <w:multiLevelType w:val="hybridMultilevel"/>
    <w:tmpl w:val="440AC326"/>
    <w:lvl w:ilvl="0" w:tplc="DB46AF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61A66DEE"/>
    <w:multiLevelType w:val="hybridMultilevel"/>
    <w:tmpl w:val="B9325F8A"/>
    <w:lvl w:ilvl="0" w:tplc="B5CE193C">
      <w:start w:val="1"/>
      <w:numFmt w:val="lowerLetter"/>
      <w:lvlText w:val="%1)"/>
      <w:lvlJc w:val="left"/>
      <w:pPr>
        <w:ind w:left="1080" w:hanging="360"/>
      </w:pPr>
      <w:rPr>
        <w:rFonts w:hint="default"/>
        <w:b/>
        <w:i w:val="0"/>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65640846"/>
    <w:multiLevelType w:val="hybridMultilevel"/>
    <w:tmpl w:val="440AC326"/>
    <w:lvl w:ilvl="0" w:tplc="DB46AF4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3"/>
  </w:num>
  <w:num w:numId="3">
    <w:abstractNumId w:val="8"/>
  </w:num>
  <w:num w:numId="4">
    <w:abstractNumId w:val="5"/>
  </w:num>
  <w:num w:numId="5">
    <w:abstractNumId w:val="6"/>
  </w:num>
  <w:num w:numId="6">
    <w:abstractNumId w:val="4"/>
  </w:num>
  <w:num w:numId="7">
    <w:abstractNumId w:val="7"/>
  </w:num>
  <w:num w:numId="8">
    <w:abstractNumId w:val="0"/>
  </w:num>
  <w:num w:numId="9">
    <w:abstractNumId w:val="9"/>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11F0"/>
    <w:rsid w:val="00061225"/>
    <w:rsid w:val="00073ABC"/>
    <w:rsid w:val="000919E1"/>
    <w:rsid w:val="000C678D"/>
    <w:rsid w:val="0012204B"/>
    <w:rsid w:val="001446F4"/>
    <w:rsid w:val="00182DF5"/>
    <w:rsid w:val="00197895"/>
    <w:rsid w:val="001D449D"/>
    <w:rsid w:val="001D7778"/>
    <w:rsid w:val="001D78A2"/>
    <w:rsid w:val="002C673B"/>
    <w:rsid w:val="002D470E"/>
    <w:rsid w:val="002D5588"/>
    <w:rsid w:val="003247F7"/>
    <w:rsid w:val="00327EED"/>
    <w:rsid w:val="00351C69"/>
    <w:rsid w:val="003530FF"/>
    <w:rsid w:val="0036257E"/>
    <w:rsid w:val="00424E8C"/>
    <w:rsid w:val="00427CCD"/>
    <w:rsid w:val="004646F6"/>
    <w:rsid w:val="00507885"/>
    <w:rsid w:val="0054612E"/>
    <w:rsid w:val="00553BA1"/>
    <w:rsid w:val="00593C9D"/>
    <w:rsid w:val="0063461F"/>
    <w:rsid w:val="00675D14"/>
    <w:rsid w:val="006A180B"/>
    <w:rsid w:val="006B3ADD"/>
    <w:rsid w:val="00784A24"/>
    <w:rsid w:val="008A5081"/>
    <w:rsid w:val="008E10BE"/>
    <w:rsid w:val="00965844"/>
    <w:rsid w:val="00972EAD"/>
    <w:rsid w:val="00B10614"/>
    <w:rsid w:val="00B14470"/>
    <w:rsid w:val="00B21F52"/>
    <w:rsid w:val="00B74A8E"/>
    <w:rsid w:val="00BA090A"/>
    <w:rsid w:val="00BC21B5"/>
    <w:rsid w:val="00BE6F7D"/>
    <w:rsid w:val="00CA11F0"/>
    <w:rsid w:val="00CC6E7E"/>
    <w:rsid w:val="00CE51CB"/>
    <w:rsid w:val="00D44DAC"/>
    <w:rsid w:val="00E67937"/>
    <w:rsid w:val="00F43C1F"/>
    <w:rsid w:val="00F652F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2ABBFCA4-2BFE-4B9E-BCAE-C2E308AAB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424E8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A11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A11F0"/>
  </w:style>
  <w:style w:type="paragraph" w:styleId="Piedepgina">
    <w:name w:val="footer"/>
    <w:basedOn w:val="Normal"/>
    <w:link w:val="PiedepginaCar"/>
    <w:uiPriority w:val="99"/>
    <w:unhideWhenUsed/>
    <w:rsid w:val="00CA11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11F0"/>
  </w:style>
  <w:style w:type="table" w:styleId="Tablaconcuadrcula">
    <w:name w:val="Table Grid"/>
    <w:basedOn w:val="Tablanormal"/>
    <w:uiPriority w:val="39"/>
    <w:rsid w:val="00CA11F0"/>
    <w:pPr>
      <w:spacing w:after="0" w:line="240" w:lineRule="auto"/>
    </w:pPr>
    <w:rPr>
      <w:rFonts w:eastAsia="MS Mincho"/>
      <w:sz w:val="24"/>
      <w:szCs w:val="24"/>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CA11F0"/>
    <w:pPr>
      <w:ind w:left="720"/>
      <w:contextualSpacing/>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182DF5"/>
  </w:style>
  <w:style w:type="character" w:styleId="Hipervnculo">
    <w:name w:val="Hyperlink"/>
    <w:basedOn w:val="Fuentedeprrafopredeter"/>
    <w:uiPriority w:val="99"/>
    <w:unhideWhenUsed/>
    <w:rsid w:val="004646F6"/>
    <w:rPr>
      <w:color w:val="0563C1" w:themeColor="hyperlink"/>
      <w:u w:val="single"/>
    </w:rPr>
  </w:style>
  <w:style w:type="character" w:styleId="Hipervnculovisitado">
    <w:name w:val="FollowedHyperlink"/>
    <w:basedOn w:val="Fuentedeprrafopredeter"/>
    <w:uiPriority w:val="99"/>
    <w:semiHidden/>
    <w:unhideWhenUsed/>
    <w:rsid w:val="00BA090A"/>
    <w:rPr>
      <w:color w:val="954F72" w:themeColor="followedHyperlink"/>
      <w:u w:val="single"/>
    </w:rPr>
  </w:style>
  <w:style w:type="character" w:customStyle="1" w:styleId="Ttulo1Car">
    <w:name w:val="Título 1 Car"/>
    <w:basedOn w:val="Fuentedeprrafopredeter"/>
    <w:link w:val="Ttulo1"/>
    <w:uiPriority w:val="9"/>
    <w:rsid w:val="00424E8C"/>
    <w:rPr>
      <w:rFonts w:asciiTheme="majorHAnsi" w:eastAsiaTheme="majorEastAsia" w:hAnsiTheme="majorHAnsi" w:cstheme="majorBidi"/>
      <w:color w:val="2E74B5" w:themeColor="accent1" w:themeShade="BF"/>
      <w:sz w:val="32"/>
      <w:szCs w:val="32"/>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53BA1"/>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53BA1"/>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53BA1"/>
    <w:rPr>
      <w:vertAlign w:val="superscript"/>
    </w:rPr>
  </w:style>
  <w:style w:type="paragraph" w:styleId="TDC1">
    <w:name w:val="toc 1"/>
    <w:basedOn w:val="Normal"/>
    <w:next w:val="Normal"/>
    <w:autoRedefine/>
    <w:uiPriority w:val="39"/>
    <w:unhideWhenUsed/>
    <w:rsid w:val="00CE51CB"/>
    <w:pPr>
      <w:spacing w:after="100"/>
    </w:pPr>
  </w:style>
  <w:style w:type="paragraph" w:styleId="TDC2">
    <w:name w:val="toc 2"/>
    <w:basedOn w:val="Normal"/>
    <w:next w:val="Normal"/>
    <w:autoRedefine/>
    <w:uiPriority w:val="39"/>
    <w:unhideWhenUsed/>
    <w:rsid w:val="00CE51CB"/>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90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pomex.org.mx/ipo3/lgt/indice/papalotla.web"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E84BE8-BF2B-43E3-8D11-669B608E43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48</Pages>
  <Words>9796</Words>
  <Characters>53882</Characters>
  <Application>Microsoft Office Word</Application>
  <DocSecurity>0</DocSecurity>
  <Lines>449</Lines>
  <Paragraphs>127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63551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MIG</dc:creator>
  <cp:keywords/>
  <dc:description/>
  <cp:lastModifiedBy>Cuenta Microsoft</cp:lastModifiedBy>
  <cp:revision>3</cp:revision>
  <dcterms:created xsi:type="dcterms:W3CDTF">2021-02-08T22:16:00Z</dcterms:created>
  <dcterms:modified xsi:type="dcterms:W3CDTF">2021-02-09T01:18:00Z</dcterms:modified>
</cp:coreProperties>
</file>