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C3FE7">
        <w:rPr>
          <w:rFonts w:ascii="Palatino Linotype" w:hAnsi="Palatino Linotype" w:cs="Arial"/>
          <w:b/>
          <w:sz w:val="24"/>
          <w:szCs w:val="24"/>
        </w:rPr>
        <w:t>NOVENA</w:t>
      </w:r>
      <w:r w:rsidR="0092300F">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3C3FE7">
        <w:rPr>
          <w:rFonts w:ascii="Palatino Linotype" w:hAnsi="Palatino Linotype" w:cs="Arial"/>
          <w:b/>
          <w:sz w:val="24"/>
          <w:szCs w:val="24"/>
        </w:rPr>
        <w:t>ONCE DE MARZO</w:t>
      </w:r>
      <w:r w:rsidR="0092300F">
        <w:rPr>
          <w:rFonts w:ascii="Palatino Linotype" w:hAnsi="Palatino Linotype" w:cs="Arial"/>
          <w:b/>
          <w:sz w:val="24"/>
          <w:szCs w:val="24"/>
        </w:rPr>
        <w:t xml:space="preserve"> </w:t>
      </w:r>
      <w:r w:rsidR="00694104">
        <w:rPr>
          <w:rFonts w:ascii="Palatino Linotype" w:hAnsi="Palatino Linotype" w:cs="Arial"/>
          <w:b/>
          <w:sz w:val="24"/>
          <w:szCs w:val="24"/>
        </w:rPr>
        <w:t>DE DOS MIL VEINTE</w:t>
      </w:r>
      <w:r w:rsidRPr="009F71D8">
        <w:rPr>
          <w:rFonts w:ascii="Palatino Linotype" w:hAnsi="Palatino Linotype" w:cs="Arial"/>
          <w:b/>
          <w:sz w:val="24"/>
          <w:szCs w:val="24"/>
        </w:rPr>
        <w:t xml:space="preserve">, EN EL RECURSO DE REVISIÓN </w:t>
      </w:r>
      <w:r w:rsidR="003C3FE7" w:rsidRPr="003C3FE7">
        <w:rPr>
          <w:rFonts w:ascii="Palatino Linotype" w:hAnsi="Palatino Linotype" w:cs="Arial"/>
          <w:b/>
          <w:bCs/>
          <w:sz w:val="24"/>
          <w:szCs w:val="24"/>
        </w:rPr>
        <w:t>00001/INFOEM/IP/RR/2020</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3C3FE7" w:rsidRPr="003C3FE7">
        <w:rPr>
          <w:rFonts w:ascii="Palatino Linotype" w:hAnsi="Palatino Linotype" w:cs="Arial"/>
          <w:b/>
          <w:bCs/>
          <w:sz w:val="24"/>
          <w:szCs w:val="24"/>
        </w:rPr>
        <w:t>00001/INFOEM/IP/RR/2020</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694104">
        <w:rPr>
          <w:rFonts w:ascii="Palatino Linotype" w:hAnsi="Palatino Linotype" w:cs="Arial"/>
          <w:sz w:val="24"/>
          <w:szCs w:val="24"/>
        </w:rPr>
        <w:t xml:space="preserve">el Comisionado </w:t>
      </w:r>
      <w:r w:rsidR="0032523A">
        <w:rPr>
          <w:rFonts w:ascii="Palatino Linotype" w:hAnsi="Palatino Linotype" w:cs="Arial"/>
          <w:b/>
          <w:sz w:val="24"/>
          <w:szCs w:val="24"/>
        </w:rPr>
        <w:t>LUIS GUSTAVO PARRA NORIEGA</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92300F" w:rsidRPr="0092300F" w:rsidRDefault="00222D15" w:rsidP="0092300F">
      <w:pPr>
        <w:spacing w:before="240"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w:t>
      </w:r>
      <w:r w:rsidR="0092300F">
        <w:rPr>
          <w:rFonts w:ascii="Palatino Linotype" w:hAnsi="Palatino Linotype"/>
          <w:sz w:val="24"/>
          <w:szCs w:val="24"/>
        </w:rPr>
        <w:t xml:space="preserve"> </w:t>
      </w:r>
      <w:r w:rsidR="007A3711">
        <w:rPr>
          <w:rFonts w:ascii="Palatino Linotype" w:hAnsi="Palatino Linotype"/>
          <w:sz w:val="24"/>
          <w:szCs w:val="24"/>
        </w:rPr>
        <w:t>l</w:t>
      </w:r>
      <w:r w:rsidR="0092300F">
        <w:rPr>
          <w:rFonts w:ascii="Palatino Linotype" w:hAnsi="Palatino Linotype"/>
          <w:sz w:val="24"/>
          <w:szCs w:val="24"/>
        </w:rPr>
        <w:t xml:space="preserve">a </w:t>
      </w:r>
      <w:r w:rsidR="003C3FE7" w:rsidRPr="003C3FE7">
        <w:rPr>
          <w:rFonts w:ascii="Palatino Linotype" w:hAnsi="Palatino Linotype" w:cs="Arial"/>
          <w:b/>
          <w:sz w:val="24"/>
          <w:szCs w:val="24"/>
        </w:rPr>
        <w:t>Ayuntamiento de Coacalco de Berriozábal</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3C3FE7" w:rsidRPr="003C3FE7">
        <w:rPr>
          <w:rFonts w:ascii="Palatino Linotype" w:hAnsi="Palatino Linotype"/>
          <w:sz w:val="24"/>
          <w:szCs w:val="24"/>
        </w:rPr>
        <w:t>las constancias de no antecedentes penales en el ámbito federal y la emitida por la Fiscalía General de Justicia del Estado de México del Presidente Municipal de Coacalco de Berriozábal</w:t>
      </w:r>
      <w:r w:rsidR="0092300F" w:rsidRPr="0092300F">
        <w:rPr>
          <w:rFonts w:ascii="Palatino Linotype" w:hAnsi="Palatino Linotype"/>
          <w:sz w:val="24"/>
          <w:szCs w:val="24"/>
        </w:rPr>
        <w:t xml:space="preserve"> </w:t>
      </w:r>
    </w:p>
    <w:p w:rsidR="00C8453B" w:rsidRDefault="00222D15" w:rsidP="00121F6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56331">
        <w:rPr>
          <w:rFonts w:ascii="Palatino Linotype" w:hAnsi="Palatino Linotype" w:cs="Arial"/>
          <w:b/>
          <w:sz w:val="24"/>
          <w:szCs w:val="24"/>
        </w:rPr>
        <w:t xml:space="preserve">, </w:t>
      </w:r>
      <w:r w:rsidR="003C3FE7" w:rsidRPr="003C3FE7">
        <w:rPr>
          <w:rFonts w:ascii="Palatino Linotype" w:hAnsi="Palatino Linotype" w:cs="Arial"/>
          <w:sz w:val="24"/>
          <w:szCs w:val="24"/>
        </w:rPr>
        <w:t>fue omiso en atender la solicitud de acceso a la información con número de folio 00411/COACALCO/IP/2019.</w:t>
      </w:r>
    </w:p>
    <w:p w:rsidR="00E97C45"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5848D9">
        <w:rPr>
          <w:rFonts w:ascii="Palatino Linotype" w:hAnsi="Palatino Linotype" w:cs="Arial"/>
          <w:sz w:val="24"/>
          <w:szCs w:val="24"/>
        </w:rPr>
        <w:t xml:space="preserve"> 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AA2FDF">
        <w:rPr>
          <w:rFonts w:ascii="Palatino Linotype" w:hAnsi="Palatino Linotype" w:cs="Arial"/>
          <w:sz w:val="24"/>
          <w:szCs w:val="24"/>
        </w:rPr>
        <w:t xml:space="preserve">que no se </w:t>
      </w:r>
      <w:r w:rsidR="003C3FE7">
        <w:rPr>
          <w:rFonts w:ascii="Palatino Linotype" w:hAnsi="Palatino Linotype" w:cs="Arial"/>
          <w:sz w:val="24"/>
          <w:szCs w:val="24"/>
        </w:rPr>
        <w:t>le brindó atención a su solicitud de información</w:t>
      </w:r>
      <w:r w:rsidR="00C8453B">
        <w:rPr>
          <w:rFonts w:ascii="Palatino Linotype" w:hAnsi="Palatino Linotype" w:cs="Arial"/>
          <w:sz w:val="24"/>
          <w:szCs w:val="24"/>
        </w:rPr>
        <w:t xml:space="preserve">. </w:t>
      </w:r>
    </w:p>
    <w:p w:rsidR="00C8453B" w:rsidRDefault="00AA2FDF"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En un acto procesal posterior, se puede advertir que </w:t>
      </w:r>
      <w:r w:rsidRPr="00AA2FDF">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 xml:space="preserve">rindió su Informe Justificado, remitiendo así </w:t>
      </w:r>
      <w:r w:rsidR="00906ECD">
        <w:rPr>
          <w:rFonts w:ascii="Palatino Linotype" w:hAnsi="Palatino Linotype" w:cs="Tahoma"/>
          <w:lang w:val="es-ES"/>
        </w:rPr>
        <w:t>un informe de antecedentes no penales y el Acuerdo de clasificación como información confidencial, que sustenta la versión pública de dicho informe.</w:t>
      </w:r>
    </w:p>
    <w:p w:rsidR="00C8453B" w:rsidRDefault="00E52247"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Así, cabe mencionar que el </w:t>
      </w:r>
      <w:r w:rsidR="00C24E54" w:rsidRPr="00C24E54">
        <w:rPr>
          <w:rFonts w:ascii="Palatino Linotype" w:hAnsi="Palatino Linotype" w:cs="Arial"/>
          <w:sz w:val="24"/>
          <w:szCs w:val="24"/>
        </w:rPr>
        <w:t xml:space="preserve">Informe Justificado se puso a la vista del </w:t>
      </w:r>
      <w:r w:rsidRPr="00C24E54">
        <w:rPr>
          <w:rFonts w:ascii="Palatino Linotype" w:hAnsi="Palatino Linotype" w:cs="Arial"/>
          <w:sz w:val="24"/>
          <w:szCs w:val="24"/>
        </w:rPr>
        <w:t xml:space="preserve">particular </w:t>
      </w:r>
      <w:r w:rsidR="00C24E54" w:rsidRPr="00C24E54">
        <w:rPr>
          <w:rFonts w:ascii="Palatino Linotype" w:hAnsi="Palatino Linotype" w:cs="Arial"/>
          <w:sz w:val="24"/>
          <w:szCs w:val="24"/>
        </w:rPr>
        <w:t>para que realizará las manifestaciones que en derecho conviniera; sin embargo, no se recibieron manifestaciones adicionales por su parte.</w:t>
      </w:r>
    </w:p>
    <w:p w:rsidR="005E0746" w:rsidRDefault="00222D15" w:rsidP="005E0746">
      <w:pPr>
        <w:pStyle w:val="Sinespaciado"/>
        <w:spacing w:line="360" w:lineRule="auto"/>
        <w:jc w:val="both"/>
        <w:rPr>
          <w:rFonts w:ascii="Palatino Linotype" w:eastAsia="Calibri"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AA2FDF" w:rsidRPr="00AA2FDF">
        <w:rPr>
          <w:rFonts w:ascii="Palatino Linotype" w:hAnsi="Palatino Linotype"/>
          <w:b/>
          <w:sz w:val="24"/>
          <w:szCs w:val="24"/>
        </w:rPr>
        <w:t>SOBRESEE</w:t>
      </w:r>
      <w:r w:rsidR="00AA2FDF">
        <w:rPr>
          <w:rFonts w:ascii="Palatino Linotype" w:hAnsi="Palatino Linotype"/>
          <w:b/>
          <w:sz w:val="24"/>
          <w:szCs w:val="24"/>
        </w:rPr>
        <w:t>R</w:t>
      </w:r>
      <w:r w:rsidR="00AA2FDF" w:rsidRPr="00AA2FDF">
        <w:rPr>
          <w:rFonts w:ascii="Palatino Linotype" w:hAnsi="Palatino Linotype"/>
          <w:b/>
          <w:sz w:val="24"/>
          <w:szCs w:val="24"/>
        </w:rPr>
        <w:t xml:space="preserve"> </w:t>
      </w:r>
      <w:r w:rsidR="00906ECD" w:rsidRPr="00AF6580">
        <w:rPr>
          <w:rFonts w:ascii="Palatino Linotype" w:hAnsi="Palatino Linotype" w:cs="Arial"/>
        </w:rPr>
        <w:t xml:space="preserve">el </w:t>
      </w:r>
      <w:r w:rsidR="00906ECD">
        <w:rPr>
          <w:rFonts w:ascii="Palatino Linotype" w:hAnsi="Palatino Linotype" w:cs="Arial"/>
        </w:rPr>
        <w:t>R</w:t>
      </w:r>
      <w:r w:rsidR="00906ECD" w:rsidRPr="00AF6580">
        <w:rPr>
          <w:rFonts w:ascii="Palatino Linotype" w:hAnsi="Palatino Linotype" w:cs="Arial"/>
        </w:rPr>
        <w:t xml:space="preserve">ecurso de </w:t>
      </w:r>
      <w:r w:rsidR="00906ECD">
        <w:rPr>
          <w:rFonts w:ascii="Palatino Linotype" w:hAnsi="Palatino Linotype" w:cs="Arial"/>
        </w:rPr>
        <w:t>R</w:t>
      </w:r>
      <w:r w:rsidR="00906ECD" w:rsidRPr="00AF6580">
        <w:rPr>
          <w:rFonts w:ascii="Palatino Linotype" w:hAnsi="Palatino Linotype" w:cs="Arial"/>
        </w:rPr>
        <w:t xml:space="preserve">evisión </w:t>
      </w:r>
      <w:r w:rsidR="00906ECD">
        <w:rPr>
          <w:rFonts w:ascii="Palatino Linotype" w:hAnsi="Palatino Linotype" w:cs="Arial"/>
          <w:b/>
        </w:rPr>
        <w:t>00001</w:t>
      </w:r>
      <w:r w:rsidR="00906ECD" w:rsidRPr="000567DD">
        <w:rPr>
          <w:rFonts w:ascii="Palatino Linotype" w:hAnsi="Palatino Linotype" w:cs="Arial"/>
          <w:b/>
        </w:rPr>
        <w:t>/INFOEM/IP/RR/20</w:t>
      </w:r>
      <w:r w:rsidR="00906ECD">
        <w:rPr>
          <w:rFonts w:ascii="Palatino Linotype" w:hAnsi="Palatino Linotype" w:cs="Arial"/>
          <w:b/>
        </w:rPr>
        <w:t>20</w:t>
      </w:r>
      <w:r w:rsidR="00906ECD" w:rsidRPr="00AF6580">
        <w:rPr>
          <w:rFonts w:ascii="Palatino Linotype" w:hAnsi="Palatino Linotype" w:cs="Arial"/>
        </w:rPr>
        <w:t>,</w:t>
      </w:r>
      <w:r w:rsidR="00906ECD">
        <w:rPr>
          <w:rFonts w:ascii="Palatino Linotype" w:hAnsi="Palatino Linotype" w:cs="Arial"/>
        </w:rPr>
        <w:t xml:space="preserve"> </w:t>
      </w:r>
      <w:r w:rsidR="00906ECD" w:rsidRPr="00443CAB">
        <w:rPr>
          <w:rFonts w:ascii="Palatino Linotype" w:hAnsi="Palatino Linotype" w:cs="Arial"/>
          <w:b/>
        </w:rPr>
        <w:t xml:space="preserve">porque </w:t>
      </w:r>
      <w:r w:rsidR="00906ECD">
        <w:rPr>
          <w:rFonts w:ascii="Palatino Linotype" w:hAnsi="Palatino Linotype" w:cs="Arial"/>
        </w:rPr>
        <w:t>el Sujeto Obligado</w:t>
      </w:r>
      <w:r w:rsidR="00906ECD" w:rsidRPr="00443CAB">
        <w:rPr>
          <w:rFonts w:ascii="Palatino Linotype" w:hAnsi="Palatino Linotype" w:cs="Arial"/>
          <w:b/>
        </w:rPr>
        <w:t xml:space="preserve"> al modificar la respuesta</w:t>
      </w:r>
      <w:r w:rsidR="00906ECD">
        <w:rPr>
          <w:rFonts w:ascii="Palatino Linotype" w:hAnsi="Palatino Linotype" w:cs="Arial"/>
        </w:rPr>
        <w:t xml:space="preserve"> de la solicitud con número de folio </w:t>
      </w:r>
      <w:r w:rsidR="00906ECD" w:rsidRPr="000702B9">
        <w:rPr>
          <w:rFonts w:ascii="Palatino Linotype" w:hAnsi="Palatino Linotype" w:cs="Arial"/>
          <w:b/>
        </w:rPr>
        <w:t>00411/COACALCO/IP/2019</w:t>
      </w:r>
      <w:r w:rsidR="00906ECD">
        <w:rPr>
          <w:rFonts w:ascii="Palatino Linotype" w:hAnsi="Palatino Linotype" w:cs="Arial"/>
        </w:rPr>
        <w:t xml:space="preserve">, </w:t>
      </w:r>
      <w:r w:rsidR="00906ECD" w:rsidRPr="00443CAB">
        <w:rPr>
          <w:rFonts w:ascii="Palatino Linotype" w:hAnsi="Palatino Linotype" w:cs="Arial"/>
        </w:rPr>
        <w:t xml:space="preserve">el </w:t>
      </w:r>
      <w:r w:rsidR="00906ECD">
        <w:rPr>
          <w:rFonts w:ascii="Palatino Linotype" w:hAnsi="Palatino Linotype" w:cs="Arial"/>
        </w:rPr>
        <w:t>R</w:t>
      </w:r>
      <w:r w:rsidR="00906ECD" w:rsidRPr="00443CAB">
        <w:rPr>
          <w:rFonts w:ascii="Palatino Linotype" w:hAnsi="Palatino Linotype" w:cs="Arial"/>
        </w:rPr>
        <w:t xml:space="preserve">ecurso de </w:t>
      </w:r>
      <w:r w:rsidR="00906ECD">
        <w:rPr>
          <w:rFonts w:ascii="Palatino Linotype" w:hAnsi="Palatino Linotype" w:cs="Arial"/>
        </w:rPr>
        <w:t>R</w:t>
      </w:r>
      <w:r w:rsidR="00906ECD" w:rsidRPr="00443CAB">
        <w:rPr>
          <w:rFonts w:ascii="Palatino Linotype" w:hAnsi="Palatino Linotype" w:cs="Arial"/>
        </w:rPr>
        <w:t>evisión</w:t>
      </w:r>
      <w:r w:rsidR="00906ECD" w:rsidRPr="00443CAB">
        <w:rPr>
          <w:rFonts w:ascii="Palatino Linotype" w:hAnsi="Palatino Linotype" w:cs="Arial"/>
          <w:b/>
        </w:rPr>
        <w:t xml:space="preserve"> quedó sin materia</w:t>
      </w:r>
      <w:r w:rsidR="00906ECD" w:rsidRPr="00443CAB">
        <w:rPr>
          <w:rFonts w:ascii="Palatino Linotype" w:hAnsi="Palatino Linotype" w:cs="Arial"/>
        </w:rPr>
        <w:t>, en términos de</w:t>
      </w:r>
      <w:r w:rsidR="00906ECD">
        <w:rPr>
          <w:rFonts w:ascii="Palatino Linotype" w:hAnsi="Palatino Linotype" w:cs="Arial"/>
        </w:rPr>
        <w:t>l</w:t>
      </w:r>
      <w:r w:rsidR="00906ECD" w:rsidRPr="00443CAB">
        <w:rPr>
          <w:rFonts w:ascii="Palatino Linotype" w:hAnsi="Palatino Linotype" w:cs="Arial"/>
        </w:rPr>
        <w:t xml:space="preserve"> Considerando </w:t>
      </w:r>
      <w:r w:rsidR="00906ECD" w:rsidRPr="00300671">
        <w:rPr>
          <w:rFonts w:ascii="Palatino Linotype" w:hAnsi="Palatino Linotype" w:cs="Arial"/>
          <w:b/>
        </w:rPr>
        <w:t>SEGUNDO</w:t>
      </w:r>
      <w:r w:rsidR="00906ECD" w:rsidRPr="00443CAB">
        <w:rPr>
          <w:rFonts w:ascii="Palatino Linotype" w:hAnsi="Palatino Linotype" w:cs="Arial"/>
        </w:rPr>
        <w:t xml:space="preserve"> de la presente </w:t>
      </w:r>
      <w:r w:rsidR="00906ECD">
        <w:rPr>
          <w:rFonts w:ascii="Palatino Linotype" w:hAnsi="Palatino Linotype" w:cs="Arial"/>
        </w:rPr>
        <w:t>R</w:t>
      </w:r>
      <w:r w:rsidR="00906ECD" w:rsidRPr="00443CAB">
        <w:rPr>
          <w:rFonts w:ascii="Palatino Linotype" w:hAnsi="Palatino Linotype" w:cs="Arial"/>
        </w:rPr>
        <w:t>esolución.</w:t>
      </w:r>
    </w:p>
    <w:p w:rsidR="004B7753" w:rsidRPr="00DB79F9" w:rsidRDefault="00DC72AD" w:rsidP="004B7753">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En ese tenor</w:t>
      </w:r>
      <w:r w:rsidR="00222D15" w:rsidRPr="009F71D8">
        <w:rPr>
          <w:rFonts w:ascii="Palatino Linotype" w:hAnsi="Palatino Linotype" w:cs="Arial"/>
          <w:sz w:val="24"/>
          <w:szCs w:val="24"/>
        </w:rPr>
        <w:t>,</w:t>
      </w:r>
      <w:r w:rsidR="00F70C03">
        <w:rPr>
          <w:rFonts w:ascii="Palatino Linotype" w:hAnsi="Palatino Linotype" w:cs="Arial"/>
          <w:sz w:val="24"/>
          <w:szCs w:val="24"/>
        </w:rPr>
        <w:t xml:space="preserve"> se</w:t>
      </w:r>
      <w:r w:rsidR="00222D15">
        <w:rPr>
          <w:rFonts w:ascii="Palatino Linotype" w:hAnsi="Palatino Linotype" w:cs="Arial"/>
          <w:sz w:val="24"/>
          <w:szCs w:val="24"/>
        </w:rPr>
        <w:t xml:space="preserve"> difi</w:t>
      </w:r>
      <w:r w:rsidR="00F70C03">
        <w:rPr>
          <w:rFonts w:ascii="Palatino Linotype" w:hAnsi="Palatino Linotype" w:cs="Arial"/>
          <w:sz w:val="24"/>
          <w:szCs w:val="24"/>
        </w:rPr>
        <w:t>ere</w:t>
      </w:r>
      <w:r w:rsidR="00434F2D">
        <w:rPr>
          <w:rFonts w:ascii="Palatino Linotype" w:hAnsi="Palatino Linotype" w:cs="Arial"/>
          <w:sz w:val="24"/>
          <w:szCs w:val="24"/>
        </w:rPr>
        <w:t xml:space="preserve"> respecto a que </w:t>
      </w:r>
      <w:r w:rsidR="006A112C">
        <w:rPr>
          <w:rFonts w:ascii="Palatino Linotype" w:hAnsi="Palatino Linotype" w:cs="Arial"/>
          <w:sz w:val="24"/>
          <w:szCs w:val="24"/>
        </w:rPr>
        <w:t xml:space="preserve">se haya </w:t>
      </w:r>
      <w:r w:rsidR="00F70C03">
        <w:rPr>
          <w:rFonts w:ascii="Palatino Linotype" w:hAnsi="Palatino Linotype" w:cs="Arial"/>
          <w:sz w:val="24"/>
          <w:szCs w:val="24"/>
        </w:rPr>
        <w:t xml:space="preserve">SOBRESEIDO el recurso de revisión con fundamento en el artículo </w:t>
      </w:r>
      <w:r w:rsidR="00F70C03" w:rsidRPr="00F70C03">
        <w:rPr>
          <w:rFonts w:ascii="Palatino Linotype" w:hAnsi="Palatino Linotype" w:cs="Arial"/>
          <w:sz w:val="24"/>
          <w:szCs w:val="24"/>
        </w:rPr>
        <w:t>192</w:t>
      </w:r>
      <w:r w:rsidR="00F70C03">
        <w:rPr>
          <w:rFonts w:ascii="Palatino Linotype" w:hAnsi="Palatino Linotype" w:cs="Arial"/>
          <w:sz w:val="24"/>
          <w:szCs w:val="24"/>
        </w:rPr>
        <w:t>,</w:t>
      </w:r>
      <w:r w:rsidR="00F70C03" w:rsidRPr="00F70C03">
        <w:rPr>
          <w:rFonts w:ascii="Palatino Linotype" w:hAnsi="Palatino Linotype" w:cs="Arial"/>
          <w:sz w:val="24"/>
          <w:szCs w:val="24"/>
        </w:rPr>
        <w:t xml:space="preserve"> </w:t>
      </w:r>
      <w:r w:rsidR="00F70C03">
        <w:rPr>
          <w:rFonts w:ascii="Palatino Linotype" w:hAnsi="Palatino Linotype" w:cs="Arial"/>
          <w:sz w:val="24"/>
          <w:szCs w:val="24"/>
        </w:rPr>
        <w:t>fracción</w:t>
      </w:r>
      <w:r w:rsidR="00F70C03" w:rsidRPr="00F70C03">
        <w:rPr>
          <w:rFonts w:ascii="Palatino Linotype" w:hAnsi="Palatino Linotype" w:cs="Arial"/>
          <w:sz w:val="24"/>
          <w:szCs w:val="24"/>
        </w:rPr>
        <w:t xml:space="preserve"> III, de la Ley de Transparencia y Acceso a la Información Pública del Estado de México y Municipios</w:t>
      </w:r>
      <w:r w:rsidR="00B41A82">
        <w:rPr>
          <w:rFonts w:ascii="Palatino Linotype" w:hAnsi="Palatino Linotype" w:cs="Arial"/>
          <w:sz w:val="24"/>
          <w:szCs w:val="24"/>
        </w:rPr>
        <w:t xml:space="preserve">, así como se difiere con que </w:t>
      </w:r>
      <w:r w:rsidR="00B41A82">
        <w:rPr>
          <w:rFonts w:ascii="Palatino Linotype" w:hAnsi="Palatino Linotype" w:cs="Arial"/>
          <w:sz w:val="24"/>
          <w:szCs w:val="24"/>
        </w:rPr>
        <w:lastRenderedPageBreak/>
        <w:t>se haya puesto a disposición del pa</w:t>
      </w:r>
      <w:r>
        <w:rPr>
          <w:rFonts w:ascii="Palatino Linotype" w:hAnsi="Palatino Linotype" w:cs="Arial"/>
          <w:sz w:val="24"/>
          <w:szCs w:val="24"/>
        </w:rPr>
        <w:t xml:space="preserve">rticular el Informe Justificado mismo que contiene la escritura pública </w:t>
      </w:r>
      <w:r w:rsidR="00E52247">
        <w:rPr>
          <w:rFonts w:ascii="Palatino Linotype" w:hAnsi="Palatino Linotype" w:cs="Arial"/>
          <w:sz w:val="24"/>
          <w:szCs w:val="24"/>
        </w:rPr>
        <w:t xml:space="preserve">de la que se advierten </w:t>
      </w:r>
      <w:r w:rsidR="00081767">
        <w:rPr>
          <w:rFonts w:ascii="Palatino Linotype" w:hAnsi="Palatino Linotype" w:cs="Arial"/>
          <w:sz w:val="24"/>
          <w:szCs w:val="24"/>
        </w:rPr>
        <w:t xml:space="preserve">datos susceptibles de clasificarse. </w:t>
      </w:r>
    </w:p>
    <w:p w:rsidR="00C176BF" w:rsidRDefault="00DC72AD" w:rsidP="00C176BF">
      <w:pPr>
        <w:spacing w:line="360" w:lineRule="auto"/>
        <w:ind w:right="49"/>
        <w:jc w:val="both"/>
        <w:rPr>
          <w:rFonts w:ascii="Palatino Linotype" w:eastAsia="Calibri" w:hAnsi="Palatino Linotype" w:cs="Arial"/>
          <w:sz w:val="24"/>
          <w:szCs w:val="24"/>
        </w:rPr>
      </w:pPr>
      <w:r>
        <w:rPr>
          <w:rFonts w:ascii="Palatino Linotype" w:eastAsia="Calibri" w:hAnsi="Palatino Linotype" w:cs="Arial"/>
          <w:sz w:val="24"/>
          <w:szCs w:val="24"/>
        </w:rPr>
        <w:t>Lo anterior</w:t>
      </w:r>
      <w:r w:rsidR="00C24E54">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en razón de que el documento electrónico denominado </w:t>
      </w:r>
      <w:r w:rsidRPr="00DC72AD">
        <w:rPr>
          <w:rFonts w:ascii="Palatino Linotype" w:eastAsia="Calibri" w:hAnsi="Palatino Linotype" w:cs="Arial"/>
          <w:i/>
          <w:sz w:val="24"/>
          <w:szCs w:val="24"/>
        </w:rPr>
        <w:t>“</w:t>
      </w:r>
      <w:r w:rsidR="00906ECD" w:rsidRPr="00906ECD">
        <w:rPr>
          <w:rFonts w:ascii="Palatino Linotype" w:eastAsia="Calibri" w:hAnsi="Palatino Linotype" w:cs="Arial"/>
          <w:b/>
          <w:i/>
          <w:sz w:val="24"/>
          <w:szCs w:val="24"/>
        </w:rPr>
        <w:t>INFORME NO ANTECEDENTES.pdf</w:t>
      </w:r>
      <w:r w:rsidRPr="00DC72AD">
        <w:rPr>
          <w:rFonts w:ascii="Palatino Linotype" w:eastAsia="Calibri" w:hAnsi="Palatino Linotype" w:cs="Arial"/>
          <w:i/>
          <w:sz w:val="24"/>
          <w:szCs w:val="24"/>
        </w:rPr>
        <w:t>”</w:t>
      </w:r>
      <w:r w:rsidR="00081767">
        <w:rPr>
          <w:rFonts w:ascii="Palatino Linotype" w:eastAsia="Calibri" w:hAnsi="Palatino Linotype" w:cs="Arial"/>
          <w:i/>
          <w:sz w:val="24"/>
          <w:szCs w:val="24"/>
        </w:rPr>
        <w:t xml:space="preserve">, </w:t>
      </w:r>
      <w:r w:rsidR="00081767" w:rsidRPr="00081767">
        <w:rPr>
          <w:rFonts w:ascii="Palatino Linotype" w:eastAsia="Calibri" w:hAnsi="Palatino Linotype" w:cs="Arial"/>
          <w:sz w:val="24"/>
          <w:szCs w:val="24"/>
        </w:rPr>
        <w:t>remitido como Informe J</w:t>
      </w:r>
      <w:r w:rsidR="00081767">
        <w:rPr>
          <w:rFonts w:ascii="Palatino Linotype" w:eastAsia="Calibri" w:hAnsi="Palatino Linotype" w:cs="Arial"/>
          <w:sz w:val="24"/>
          <w:szCs w:val="24"/>
        </w:rPr>
        <w:t xml:space="preserve">ustificado por </w:t>
      </w:r>
      <w:r w:rsidR="00081767" w:rsidRPr="00081767">
        <w:rPr>
          <w:rFonts w:ascii="Palatino Linotype" w:eastAsia="Calibri" w:hAnsi="Palatino Linotype" w:cs="Arial"/>
          <w:b/>
          <w:sz w:val="24"/>
          <w:szCs w:val="24"/>
        </w:rPr>
        <w:t>EL SUJETO OBLIGADO</w:t>
      </w:r>
      <w:r w:rsidR="00081767">
        <w:rPr>
          <w:rFonts w:ascii="Palatino Linotype" w:eastAsia="Calibri" w:hAnsi="Palatino Linotype" w:cs="Arial"/>
          <w:sz w:val="24"/>
          <w:szCs w:val="24"/>
        </w:rPr>
        <w:t>, se advierte</w:t>
      </w:r>
      <w:r w:rsidR="00E52247">
        <w:rPr>
          <w:rFonts w:ascii="Palatino Linotype" w:eastAsia="Calibri" w:hAnsi="Palatino Linotype" w:cs="Arial"/>
          <w:sz w:val="24"/>
          <w:szCs w:val="24"/>
        </w:rPr>
        <w:t xml:space="preserve"> información privada</w:t>
      </w:r>
      <w:r w:rsidR="00081767">
        <w:rPr>
          <w:rFonts w:ascii="Palatino Linotype" w:eastAsia="Calibri" w:hAnsi="Palatino Linotype" w:cs="Arial"/>
          <w:sz w:val="24"/>
          <w:szCs w:val="24"/>
        </w:rPr>
        <w:t>; tales como</w:t>
      </w:r>
      <w:r w:rsidR="00E52247">
        <w:rPr>
          <w:rFonts w:ascii="Palatino Linotype" w:eastAsia="Calibri" w:hAnsi="Palatino Linotype" w:cs="Arial"/>
          <w:sz w:val="24"/>
          <w:szCs w:val="24"/>
        </w:rPr>
        <w:t xml:space="preserve"> </w:t>
      </w:r>
      <w:r w:rsidR="00906ECD">
        <w:rPr>
          <w:rFonts w:ascii="Palatino Linotype" w:eastAsia="Calibri" w:hAnsi="Palatino Linotype" w:cs="Arial"/>
          <w:sz w:val="24"/>
          <w:szCs w:val="24"/>
        </w:rPr>
        <w:t xml:space="preserve">el folio y la contraseña para verificar la autenticidad del Informe de no Antecedentes con los cuales al ingresar en la liga electrónica se puede visualizar </w:t>
      </w:r>
      <w:r w:rsidR="00906ECD" w:rsidRPr="00BC29FF">
        <w:rPr>
          <w:rFonts w:ascii="Palatino Linotype" w:hAnsi="Palatino Linotype" w:cs="Arial"/>
          <w:sz w:val="24"/>
          <w:szCs w:val="24"/>
        </w:rPr>
        <w:t xml:space="preserve">la </w:t>
      </w:r>
      <w:r w:rsidR="00906ECD" w:rsidRPr="00BC29FF">
        <w:rPr>
          <w:rFonts w:ascii="Palatino Linotype" w:hAnsi="Palatino Linotype" w:cs="Arial"/>
          <w:b/>
          <w:sz w:val="24"/>
          <w:szCs w:val="24"/>
        </w:rPr>
        <w:t>Clave Única de Registro de Población</w:t>
      </w:r>
      <w:r w:rsidR="00906ECD" w:rsidRPr="00BC29FF">
        <w:rPr>
          <w:rFonts w:ascii="Palatino Linotype" w:hAnsi="Palatino Linotype" w:cs="Arial"/>
          <w:sz w:val="24"/>
          <w:szCs w:val="24"/>
        </w:rPr>
        <w:t xml:space="preserve"> (CURP)</w:t>
      </w:r>
      <w:r>
        <w:rPr>
          <w:rFonts w:ascii="Palatino Linotype" w:eastAsia="Calibri" w:hAnsi="Palatino Linotype" w:cs="Arial"/>
          <w:sz w:val="24"/>
          <w:szCs w:val="24"/>
        </w:rPr>
        <w:t>,</w:t>
      </w:r>
      <w:r w:rsidR="00E52247">
        <w:rPr>
          <w:rFonts w:ascii="Palatino Linotype" w:eastAsia="Calibri" w:hAnsi="Palatino Linotype" w:cs="Arial"/>
          <w:sz w:val="24"/>
          <w:szCs w:val="24"/>
        </w:rPr>
        <w:t xml:space="preserve"> mismos que son susceptibles </w:t>
      </w:r>
      <w:r w:rsidR="00081767">
        <w:rPr>
          <w:rFonts w:ascii="Palatino Linotype" w:eastAsia="Calibri" w:hAnsi="Palatino Linotype" w:cs="Arial"/>
          <w:sz w:val="24"/>
          <w:szCs w:val="24"/>
        </w:rPr>
        <w:t xml:space="preserve">de ser clasificados como confidenciales, en términos de la Ley de Transparencia y Acceso a la Información Pública del Estado de México y Municipios y la Ley de Protección de Datos Personales en Posesión de Sujetos Obligados del Estado de México y Municipios; aunado a que la divulgación de la misma no constituye algún elemento que permita reflejar la correcta realización de la actividad que sus titulares realizan; por lo que, no se aporta elemento alguno en beneficio de la rendición de cuentas y la transparencia. </w:t>
      </w:r>
    </w:p>
    <w:p w:rsidR="00DB51E4" w:rsidRPr="00BC29FF" w:rsidRDefault="00DB51E4" w:rsidP="00DB51E4">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Por cuanto hace a la </w:t>
      </w:r>
      <w:r w:rsidRPr="00BC29FF">
        <w:rPr>
          <w:rFonts w:ascii="Palatino Linotype" w:hAnsi="Palatino Linotype" w:cs="Arial"/>
          <w:b/>
          <w:sz w:val="24"/>
          <w:szCs w:val="24"/>
        </w:rPr>
        <w:t xml:space="preserve">Clave Única de Registro de Población, </w:t>
      </w:r>
      <w:r w:rsidRPr="00BC29FF">
        <w:rPr>
          <w:rFonts w:ascii="Palatino Linotype" w:hAnsi="Palatino Linotype" w:cs="Arial"/>
          <w:sz w:val="24"/>
          <w:szCs w:val="24"/>
          <w:lang w:eastAsia="es-MX"/>
        </w:rPr>
        <w:t xml:space="preserve">constituye un dato personal, ya que </w:t>
      </w:r>
      <w:r w:rsidRPr="00BC29FF">
        <w:rPr>
          <w:rFonts w:ascii="Palatino Linotype" w:hAnsi="Palatino Linotype"/>
          <w:sz w:val="24"/>
          <w:szCs w:val="24"/>
          <w:lang w:eastAsia="es-MX"/>
        </w:rPr>
        <w:t>tiene</w:t>
      </w:r>
      <w:r w:rsidRPr="00BC29FF">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DB51E4" w:rsidRPr="00BC29FF" w:rsidRDefault="00DB51E4" w:rsidP="00DB51E4">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Lo </w:t>
      </w:r>
      <w:r w:rsidRPr="00BC29FF">
        <w:rPr>
          <w:rFonts w:ascii="Palatino Linotype" w:hAnsi="Palatino Linotype"/>
          <w:sz w:val="24"/>
          <w:szCs w:val="24"/>
          <w:lang w:eastAsia="es-MX"/>
        </w:rPr>
        <w:t>anterior</w:t>
      </w:r>
      <w:r w:rsidRPr="00BC29FF">
        <w:rPr>
          <w:rFonts w:ascii="Palatino Linotype" w:hAnsi="Palatino Linotype" w:cs="Arial"/>
          <w:sz w:val="24"/>
          <w:szCs w:val="24"/>
          <w:lang w:eastAsia="es-MX"/>
        </w:rPr>
        <w:t xml:space="preserve">, </w:t>
      </w:r>
      <w:r w:rsidRPr="00BC29FF">
        <w:rPr>
          <w:rFonts w:ascii="Palatino Linotype" w:hAnsi="Palatino Linotype" w:cs="Arial"/>
          <w:sz w:val="24"/>
          <w:szCs w:val="24"/>
        </w:rPr>
        <w:t>tiene</w:t>
      </w:r>
      <w:r w:rsidRPr="00BC29FF">
        <w:rPr>
          <w:rFonts w:ascii="Palatino Linotype" w:hAnsi="Palatino Linotype" w:cs="Arial"/>
          <w:sz w:val="24"/>
          <w:szCs w:val="24"/>
          <w:lang w:eastAsia="es-MX"/>
        </w:rPr>
        <w:t xml:space="preserve"> sustento en los artículos 86 y 91 de la Ley General de Población, la cual señala lo siguiente:</w:t>
      </w:r>
    </w:p>
    <w:p w:rsidR="00DB51E4" w:rsidRPr="00E32E82" w:rsidRDefault="00DB51E4" w:rsidP="00DB51E4">
      <w:pPr>
        <w:autoSpaceDE w:val="0"/>
        <w:autoSpaceDN w:val="0"/>
        <w:adjustRightInd w:val="0"/>
        <w:ind w:left="851" w:right="902"/>
        <w:jc w:val="both"/>
        <w:rPr>
          <w:rFonts w:ascii="Palatino Linotype" w:hAnsi="Palatino Linotype" w:cs="Arial"/>
          <w:i/>
          <w:lang w:eastAsia="es-MX"/>
        </w:rPr>
      </w:pPr>
      <w:r w:rsidRPr="00E32E82">
        <w:rPr>
          <w:rFonts w:ascii="Palatino Linotype" w:hAnsi="Palatino Linotype" w:cs="Arial,Bold"/>
          <w:bCs/>
          <w:i/>
          <w:lang w:eastAsia="es-MX"/>
        </w:rPr>
        <w:lastRenderedPageBreak/>
        <w:t>“</w:t>
      </w:r>
      <w:r w:rsidRPr="00E32E82">
        <w:rPr>
          <w:rFonts w:ascii="Palatino Linotype" w:hAnsi="Palatino Linotype" w:cs="Arial,Bold"/>
          <w:b/>
          <w:bCs/>
          <w:i/>
          <w:lang w:eastAsia="es-MX"/>
        </w:rPr>
        <w:t xml:space="preserve">Artículo 86. </w:t>
      </w:r>
      <w:r w:rsidRPr="00E32E82">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DB51E4" w:rsidRPr="00E32E82" w:rsidRDefault="00DB51E4" w:rsidP="00DB51E4">
      <w:pPr>
        <w:autoSpaceDE w:val="0"/>
        <w:autoSpaceDN w:val="0"/>
        <w:adjustRightInd w:val="0"/>
        <w:ind w:left="851" w:right="902"/>
        <w:jc w:val="both"/>
        <w:rPr>
          <w:rFonts w:ascii="Palatino Linotype" w:hAnsi="Palatino Linotype" w:cs="Arial"/>
          <w:i/>
          <w:lang w:eastAsia="es-MX"/>
        </w:rPr>
      </w:pPr>
      <w:r w:rsidRPr="00E32E82">
        <w:rPr>
          <w:rFonts w:ascii="Palatino Linotype" w:hAnsi="Palatino Linotype" w:cs="Arial,Bold"/>
          <w:b/>
          <w:bCs/>
          <w:i/>
          <w:lang w:eastAsia="es-MX"/>
        </w:rPr>
        <w:t xml:space="preserve">Artículo 91. </w:t>
      </w:r>
      <w:r w:rsidRPr="00E32E82">
        <w:rPr>
          <w:rFonts w:ascii="Palatino Linotype" w:hAnsi="Palatino Linotype" w:cs="Arial"/>
          <w:b/>
          <w:i/>
          <w:lang w:eastAsia="es-MX"/>
        </w:rPr>
        <w:t>Al incorporar a una persona en el Registro Nacional de Población</w:t>
      </w:r>
      <w:r w:rsidRPr="00E32E82">
        <w:rPr>
          <w:rFonts w:ascii="Palatino Linotype" w:hAnsi="Palatino Linotype" w:cs="Arial"/>
          <w:i/>
          <w:lang w:eastAsia="es-MX"/>
        </w:rPr>
        <w:t xml:space="preserve">, se le asignará una clave </w:t>
      </w:r>
      <w:r w:rsidRPr="00E32E82">
        <w:rPr>
          <w:rFonts w:ascii="Palatino Linotype" w:hAnsi="Palatino Linotype" w:cs="Arial"/>
          <w:b/>
          <w:i/>
          <w:lang w:eastAsia="es-MX"/>
        </w:rPr>
        <w:t>que se denominará Clave Única de Registro de Población</w:t>
      </w:r>
      <w:r w:rsidRPr="00E32E82">
        <w:rPr>
          <w:rFonts w:ascii="Palatino Linotype" w:hAnsi="Palatino Linotype" w:cs="Arial"/>
          <w:i/>
          <w:lang w:eastAsia="es-MX"/>
        </w:rPr>
        <w:t xml:space="preserve">. </w:t>
      </w:r>
      <w:r w:rsidRPr="00E32E82">
        <w:rPr>
          <w:rFonts w:ascii="Palatino Linotype" w:hAnsi="Palatino Linotype" w:cs="Arial"/>
          <w:b/>
          <w:i/>
          <w:lang w:eastAsia="es-MX"/>
        </w:rPr>
        <w:t>Esta servirá para</w:t>
      </w:r>
      <w:r w:rsidRPr="00E32E82">
        <w:rPr>
          <w:rFonts w:ascii="Palatino Linotype" w:hAnsi="Palatino Linotype" w:cs="Arial"/>
          <w:i/>
          <w:lang w:eastAsia="es-MX"/>
        </w:rPr>
        <w:t xml:space="preserve"> registrarla e </w:t>
      </w:r>
      <w:r w:rsidRPr="00E32E82">
        <w:rPr>
          <w:rFonts w:ascii="Palatino Linotype" w:hAnsi="Palatino Linotype" w:cs="Arial"/>
          <w:b/>
          <w:i/>
          <w:lang w:eastAsia="es-MX"/>
        </w:rPr>
        <w:t>identificarla en forma individual</w:t>
      </w:r>
      <w:r w:rsidRPr="00E32E82">
        <w:rPr>
          <w:rFonts w:ascii="Palatino Linotype" w:hAnsi="Palatino Linotype" w:cs="Arial"/>
          <w:i/>
          <w:lang w:eastAsia="es-MX"/>
        </w:rPr>
        <w:t xml:space="preserve">.” </w:t>
      </w:r>
    </w:p>
    <w:p w:rsidR="00DB51E4" w:rsidRPr="00E32E82" w:rsidRDefault="00DB51E4" w:rsidP="00DB51E4">
      <w:pPr>
        <w:autoSpaceDE w:val="0"/>
        <w:autoSpaceDN w:val="0"/>
        <w:adjustRightInd w:val="0"/>
        <w:ind w:left="851" w:right="902"/>
        <w:jc w:val="both"/>
        <w:rPr>
          <w:rFonts w:ascii="Palatino Linotype" w:hAnsi="Palatino Linotype" w:cs="Arial"/>
        </w:rPr>
      </w:pPr>
      <w:r w:rsidRPr="00E32E82">
        <w:rPr>
          <w:rFonts w:ascii="Palatino Linotype" w:hAnsi="Palatino Linotype" w:cs="Arial"/>
        </w:rPr>
        <w:t>(Énfasis añadido)</w:t>
      </w:r>
    </w:p>
    <w:p w:rsidR="00DB51E4" w:rsidRPr="00BC29FF" w:rsidRDefault="00DB51E4" w:rsidP="00DB51E4">
      <w:pPr>
        <w:spacing w:before="100" w:beforeAutospacing="1" w:after="100" w:afterAutospacing="1" w:line="360" w:lineRule="auto"/>
        <w:jc w:val="both"/>
        <w:rPr>
          <w:rFonts w:ascii="Palatino Linotype" w:hAnsi="Palatino Linotype"/>
          <w:sz w:val="24"/>
          <w:szCs w:val="24"/>
          <w:lang w:eastAsia="es-MX"/>
        </w:rPr>
      </w:pPr>
      <w:r w:rsidRPr="00BC29FF">
        <w:rPr>
          <w:rFonts w:ascii="Palatino Linotype" w:hAnsi="Palatino Linotype"/>
          <w:sz w:val="24"/>
          <w:szCs w:val="24"/>
          <w:lang w:eastAsia="es-MX"/>
        </w:rPr>
        <w:t xml:space="preserve">Ahora bien, la Clave Única de Registro de Población, está integrada de 18 elementos representados por letras y números, que se generan a partir de los datos contenidos en un documento probatorio de </w:t>
      </w:r>
      <w:r w:rsidRPr="00BC29FF">
        <w:rPr>
          <w:rFonts w:ascii="Palatino Linotype" w:hAnsi="Palatino Linotype"/>
          <w:bCs/>
          <w:sz w:val="24"/>
          <w:szCs w:val="24"/>
        </w:rPr>
        <w:t>identidad</w:t>
      </w:r>
      <w:r w:rsidRPr="00BC29FF">
        <w:rPr>
          <w:rFonts w:ascii="Palatino Linotype" w:hAnsi="Palatino Linotype"/>
          <w:sz w:val="24"/>
          <w:szCs w:val="24"/>
          <w:lang w:eastAsia="es-MX"/>
        </w:rPr>
        <w:t xml:space="preserve"> (acta de nacimiento, carta de naturalización o documento migratorio), la </w:t>
      </w:r>
      <w:r w:rsidRPr="00BC29FF">
        <w:rPr>
          <w:rFonts w:ascii="Palatino Linotype" w:hAnsi="Palatino Linotype" w:cs="Arial"/>
          <w:sz w:val="24"/>
          <w:szCs w:val="24"/>
        </w:rPr>
        <w:t>cual</w:t>
      </w:r>
      <w:r w:rsidRPr="00BC29FF">
        <w:rPr>
          <w:rFonts w:ascii="Palatino Linotype" w:hAnsi="Palatino Linotype"/>
          <w:sz w:val="24"/>
          <w:szCs w:val="24"/>
          <w:lang w:eastAsia="es-MX"/>
        </w:rPr>
        <w:t xml:space="preserve"> se integra de</w:t>
      </w:r>
      <w:r w:rsidRPr="00BC29FF">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C29FF">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DB51E4" w:rsidRPr="00BC29FF" w:rsidRDefault="00DB51E4" w:rsidP="00DB51E4">
      <w:pPr>
        <w:spacing w:before="100" w:beforeAutospacing="1" w:after="100" w:afterAutospacing="1" w:line="360" w:lineRule="auto"/>
        <w:jc w:val="both"/>
        <w:rPr>
          <w:rFonts w:ascii="Palatino Linotype" w:hAnsi="Palatino Linotype" w:cs="Arial"/>
          <w:sz w:val="24"/>
          <w:szCs w:val="24"/>
          <w:lang w:eastAsia="es-MX"/>
        </w:rPr>
      </w:pPr>
      <w:r w:rsidRPr="00BC29FF">
        <w:rPr>
          <w:rFonts w:ascii="Palatino Linotype" w:hAnsi="Palatino Linotype" w:cs="Arial"/>
          <w:sz w:val="24"/>
          <w:szCs w:val="24"/>
          <w:lang w:eastAsia="es-MX"/>
        </w:rPr>
        <w:t xml:space="preserve">Al respecto, el </w:t>
      </w:r>
      <w:r w:rsidRPr="00BC29FF">
        <w:rPr>
          <w:rFonts w:ascii="Palatino Linotype" w:eastAsia="Arial Unicode MS" w:hAnsi="Palatino Linotype" w:cs="Arial"/>
          <w:sz w:val="24"/>
          <w:szCs w:val="24"/>
        </w:rPr>
        <w:t>Instituto Nacional de Transparencia, Acceso a la Información y Protección de Datos Personales (INAI),</w:t>
      </w:r>
      <w:r w:rsidRPr="00BC29FF">
        <w:rPr>
          <w:rFonts w:ascii="Palatino Linotype" w:hAnsi="Palatino Linotype" w:cs="Arial"/>
          <w:sz w:val="24"/>
          <w:szCs w:val="24"/>
          <w:lang w:eastAsia="es-MX"/>
        </w:rPr>
        <w:t xml:space="preserve"> a través del Criterio 18/17 de la Segunda Época, señala literalmente lo siguiente:</w:t>
      </w:r>
    </w:p>
    <w:p w:rsidR="00DB51E4" w:rsidRPr="00E32E82" w:rsidRDefault="00DB51E4" w:rsidP="00DB51E4">
      <w:pPr>
        <w:autoSpaceDE w:val="0"/>
        <w:autoSpaceDN w:val="0"/>
        <w:adjustRightInd w:val="0"/>
        <w:ind w:left="851" w:right="902"/>
        <w:jc w:val="both"/>
        <w:rPr>
          <w:rFonts w:ascii="Palatino Linotype" w:hAnsi="Palatino Linotype" w:cs="Arial"/>
          <w:i/>
          <w:lang w:eastAsia="es-MX"/>
        </w:rPr>
      </w:pPr>
      <w:r w:rsidRPr="00E32E82">
        <w:rPr>
          <w:rFonts w:ascii="Palatino Linotype" w:hAnsi="Palatino Linotype" w:cs="Arial"/>
          <w:i/>
          <w:lang w:eastAsia="es-MX"/>
        </w:rPr>
        <w:t>“</w:t>
      </w:r>
      <w:r w:rsidRPr="00E32E82">
        <w:rPr>
          <w:rFonts w:ascii="Palatino Linotype" w:hAnsi="Palatino Linotype" w:cs="Arial"/>
          <w:b/>
          <w:i/>
          <w:lang w:eastAsia="es-MX"/>
        </w:rPr>
        <w:t>Clave Única de Registro de Población (CURP).</w:t>
      </w:r>
      <w:r w:rsidRPr="00E32E82">
        <w:rPr>
          <w:rFonts w:ascii="Palatino Linotype" w:hAnsi="Palatino Linotype" w:cs="Arial"/>
          <w:i/>
          <w:lang w:eastAsia="es-MX"/>
        </w:rPr>
        <w:t xml:space="preserve"> </w:t>
      </w:r>
      <w:r w:rsidRPr="00E32E82">
        <w:rPr>
          <w:rFonts w:ascii="Palatino Linotype" w:hAnsi="Palatino Linotype" w:cs="Arial"/>
          <w:b/>
          <w:i/>
          <w:lang w:eastAsia="es-MX"/>
        </w:rPr>
        <w:t>La Clave Única de Registro de Población se integra por datos personales que sólo conciernen al particular titular</w:t>
      </w:r>
      <w:r w:rsidRPr="00E32E82">
        <w:rPr>
          <w:rFonts w:ascii="Palatino Linotype" w:hAnsi="Palatino Linotype" w:cs="Arial"/>
          <w:i/>
          <w:lang w:eastAsia="es-MX"/>
        </w:rPr>
        <w:t xml:space="preserve"> de la misma, </w:t>
      </w:r>
      <w:r w:rsidRPr="00E32E82">
        <w:rPr>
          <w:rFonts w:ascii="Palatino Linotype" w:hAnsi="Palatino Linotype" w:cs="Arial"/>
          <w:b/>
          <w:i/>
          <w:lang w:eastAsia="es-MX"/>
        </w:rPr>
        <w:t>como lo son su nombre, apellidos, fecha de nacimiento, lugar de nacimiento y sexo</w:t>
      </w:r>
      <w:r w:rsidRPr="00E32E82">
        <w:rPr>
          <w:rFonts w:ascii="Palatino Linotype" w:hAnsi="Palatino Linotype" w:cs="Arial"/>
          <w:i/>
          <w:lang w:eastAsia="es-MX"/>
        </w:rPr>
        <w:t xml:space="preserve">. Dichos datos, constituyen información </w:t>
      </w:r>
      <w:r w:rsidRPr="00E32E82">
        <w:rPr>
          <w:rFonts w:ascii="Palatino Linotype" w:hAnsi="Palatino Linotype" w:cs="Arial"/>
          <w:i/>
          <w:lang w:eastAsia="es-MX"/>
        </w:rPr>
        <w:lastRenderedPageBreak/>
        <w:t xml:space="preserve">que distingue plenamente a una persona física del resto de los habitantes del país, </w:t>
      </w:r>
      <w:r w:rsidRPr="00E32E82">
        <w:rPr>
          <w:rFonts w:ascii="Palatino Linotype" w:hAnsi="Palatino Linotype" w:cs="Arial"/>
          <w:b/>
          <w:i/>
          <w:lang w:eastAsia="es-MX"/>
        </w:rPr>
        <w:t>por lo que la CURP está considerada como información confidencial</w:t>
      </w:r>
      <w:r w:rsidRPr="00E32E82">
        <w:rPr>
          <w:rFonts w:ascii="Palatino Linotype" w:hAnsi="Palatino Linotype" w:cs="Arial"/>
          <w:i/>
          <w:lang w:eastAsia="es-MX"/>
        </w:rPr>
        <w:t xml:space="preserve">. </w:t>
      </w:r>
    </w:p>
    <w:p w:rsidR="00DB51E4" w:rsidRPr="00E32E82" w:rsidRDefault="00DB51E4" w:rsidP="00DB51E4">
      <w:pPr>
        <w:autoSpaceDE w:val="0"/>
        <w:autoSpaceDN w:val="0"/>
        <w:adjustRightInd w:val="0"/>
        <w:ind w:left="851" w:right="902"/>
        <w:jc w:val="both"/>
        <w:rPr>
          <w:rFonts w:ascii="Palatino Linotype" w:hAnsi="Palatino Linotype" w:cs="Arial"/>
          <w:bCs/>
          <w:i/>
          <w:lang w:eastAsia="es-MX"/>
        </w:rPr>
      </w:pPr>
      <w:r w:rsidRPr="00E32E82">
        <w:rPr>
          <w:rFonts w:ascii="Palatino Linotype" w:hAnsi="Palatino Linotype" w:cs="Arial"/>
          <w:bCs/>
          <w:i/>
          <w:lang w:eastAsia="es-MX"/>
        </w:rPr>
        <w:t>Resoluciones:</w:t>
      </w:r>
    </w:p>
    <w:p w:rsidR="00DB51E4" w:rsidRPr="00E32E82" w:rsidRDefault="00DB51E4" w:rsidP="00DB51E4">
      <w:pPr>
        <w:autoSpaceDE w:val="0"/>
        <w:autoSpaceDN w:val="0"/>
        <w:adjustRightInd w:val="0"/>
        <w:ind w:left="851" w:right="902"/>
        <w:jc w:val="both"/>
        <w:rPr>
          <w:rFonts w:ascii="Palatino Linotype" w:hAnsi="Palatino Linotype" w:cs="Arial"/>
          <w:bCs/>
          <w:i/>
          <w:lang w:eastAsia="es-MX"/>
        </w:rPr>
      </w:pPr>
      <w:r w:rsidRPr="00E32E82">
        <w:rPr>
          <w:rFonts w:ascii="Palatino Linotype" w:hAnsi="Palatino Linotype" w:cs="Arial"/>
          <w:bCs/>
          <w:i/>
          <w:lang w:eastAsia="es-MX"/>
        </w:rPr>
        <w:t xml:space="preserve">• RRA 3995/16. Secretaría de la Defensa Nacional. 1 de febrero de 2017. Por unanimidad. Comisionado Ponente </w:t>
      </w:r>
      <w:proofErr w:type="spellStart"/>
      <w:r w:rsidRPr="00E32E82">
        <w:rPr>
          <w:rFonts w:ascii="Palatino Linotype" w:hAnsi="Palatino Linotype" w:cs="Arial"/>
          <w:bCs/>
          <w:i/>
          <w:lang w:eastAsia="es-MX"/>
        </w:rPr>
        <w:t>Rosendoevgueni</w:t>
      </w:r>
      <w:proofErr w:type="spellEnd"/>
      <w:r w:rsidRPr="00E32E82">
        <w:rPr>
          <w:rFonts w:ascii="Palatino Linotype" w:hAnsi="Palatino Linotype" w:cs="Arial"/>
          <w:bCs/>
          <w:i/>
          <w:lang w:eastAsia="es-MX"/>
        </w:rPr>
        <w:t xml:space="preserve"> Monterrey </w:t>
      </w:r>
      <w:proofErr w:type="spellStart"/>
      <w:r w:rsidRPr="00E32E82">
        <w:rPr>
          <w:rFonts w:ascii="Palatino Linotype" w:hAnsi="Palatino Linotype" w:cs="Arial"/>
          <w:bCs/>
          <w:i/>
          <w:lang w:eastAsia="es-MX"/>
        </w:rPr>
        <w:t>Chepov</w:t>
      </w:r>
      <w:proofErr w:type="spellEnd"/>
      <w:r w:rsidRPr="00E32E82">
        <w:rPr>
          <w:rFonts w:ascii="Palatino Linotype" w:hAnsi="Palatino Linotype" w:cs="Arial"/>
          <w:bCs/>
          <w:i/>
          <w:lang w:eastAsia="es-MX"/>
        </w:rPr>
        <w:t>.</w:t>
      </w:r>
    </w:p>
    <w:p w:rsidR="00DB51E4" w:rsidRPr="00E32E82" w:rsidRDefault="00DB51E4" w:rsidP="00DB51E4">
      <w:pPr>
        <w:autoSpaceDE w:val="0"/>
        <w:autoSpaceDN w:val="0"/>
        <w:adjustRightInd w:val="0"/>
        <w:ind w:left="851" w:right="902"/>
        <w:jc w:val="both"/>
        <w:rPr>
          <w:rFonts w:ascii="Palatino Linotype" w:hAnsi="Palatino Linotype" w:cs="Arial"/>
          <w:bCs/>
          <w:i/>
          <w:lang w:eastAsia="es-MX"/>
        </w:rPr>
      </w:pPr>
      <w:r w:rsidRPr="00E32E82">
        <w:rPr>
          <w:rFonts w:ascii="Palatino Linotype" w:hAnsi="Palatino Linotype" w:cs="Arial"/>
          <w:bCs/>
          <w:i/>
          <w:lang w:eastAsia="es-MX"/>
        </w:rPr>
        <w:t xml:space="preserve">• RRA 0937/17. Senado de la República. 15 de marzo de 2017. Por unanimidad. Comisionada Ponente </w:t>
      </w:r>
      <w:r w:rsidRPr="00E32E82">
        <w:rPr>
          <w:rFonts w:ascii="Palatino Linotype" w:hAnsi="Palatino Linotype" w:cs="Arial"/>
          <w:i/>
          <w:lang w:eastAsia="es-MX"/>
        </w:rPr>
        <w:t>Ximena</w:t>
      </w:r>
      <w:r w:rsidRPr="00E32E82">
        <w:rPr>
          <w:rFonts w:ascii="Palatino Linotype" w:hAnsi="Palatino Linotype" w:cs="Arial"/>
          <w:bCs/>
          <w:i/>
          <w:lang w:eastAsia="es-MX"/>
        </w:rPr>
        <w:t xml:space="preserve"> Puente de la Mora. </w:t>
      </w:r>
    </w:p>
    <w:p w:rsidR="00DB51E4" w:rsidRPr="00E32E82" w:rsidRDefault="00DB51E4" w:rsidP="00DB51E4">
      <w:pPr>
        <w:autoSpaceDE w:val="0"/>
        <w:autoSpaceDN w:val="0"/>
        <w:adjustRightInd w:val="0"/>
        <w:ind w:left="851" w:right="902"/>
        <w:jc w:val="both"/>
        <w:rPr>
          <w:rFonts w:ascii="Palatino Linotype" w:hAnsi="Palatino Linotype" w:cs="Arial"/>
          <w:i/>
          <w:lang w:eastAsia="es-MX"/>
        </w:rPr>
      </w:pPr>
      <w:r w:rsidRPr="00E32E82">
        <w:rPr>
          <w:rFonts w:ascii="Palatino Linotype" w:hAnsi="Palatino Linotype" w:cs="Arial"/>
          <w:bCs/>
          <w:i/>
          <w:lang w:eastAsia="es-MX"/>
        </w:rPr>
        <w:t xml:space="preserve">• RRA 0478/17. Secretaría de Relaciones Exteriores. 26 de abril de 2017. Por unanimidad. </w:t>
      </w:r>
      <w:r w:rsidRPr="00E32E82">
        <w:rPr>
          <w:rFonts w:ascii="Palatino Linotype" w:hAnsi="Palatino Linotype" w:cs="Arial"/>
          <w:i/>
          <w:lang w:eastAsia="es-MX"/>
        </w:rPr>
        <w:t>Comisionada</w:t>
      </w:r>
      <w:r w:rsidRPr="00E32E82">
        <w:rPr>
          <w:rFonts w:ascii="Palatino Linotype" w:hAnsi="Palatino Linotype" w:cs="Arial"/>
          <w:bCs/>
          <w:i/>
          <w:lang w:eastAsia="es-MX"/>
        </w:rPr>
        <w:t xml:space="preserve"> Ponente Areli Cano Guadiana.</w:t>
      </w:r>
      <w:r w:rsidRPr="00E32E82">
        <w:rPr>
          <w:rFonts w:ascii="Palatino Linotype" w:hAnsi="Palatino Linotype" w:cs="Arial"/>
          <w:i/>
          <w:lang w:eastAsia="es-MX"/>
        </w:rPr>
        <w:t xml:space="preserve">” </w:t>
      </w:r>
      <w:r w:rsidRPr="00E32E82">
        <w:rPr>
          <w:rFonts w:ascii="Palatino Linotype" w:hAnsi="Palatino Linotype" w:cs="Arial"/>
          <w:i/>
        </w:rPr>
        <w:t>(Sic)</w:t>
      </w:r>
    </w:p>
    <w:p w:rsidR="00DB51E4" w:rsidRPr="00E32E82" w:rsidRDefault="00DB51E4" w:rsidP="00DB51E4">
      <w:pPr>
        <w:autoSpaceDE w:val="0"/>
        <w:autoSpaceDN w:val="0"/>
        <w:adjustRightInd w:val="0"/>
        <w:ind w:left="851" w:right="902"/>
        <w:jc w:val="both"/>
        <w:rPr>
          <w:rFonts w:ascii="Palatino Linotype" w:hAnsi="Palatino Linotype" w:cs="Arial"/>
        </w:rPr>
      </w:pPr>
      <w:r w:rsidRPr="00E32E82">
        <w:rPr>
          <w:rFonts w:ascii="Palatino Linotype" w:hAnsi="Palatino Linotype" w:cs="Arial"/>
        </w:rPr>
        <w:t>(Énfasis añadido)</w:t>
      </w:r>
    </w:p>
    <w:p w:rsidR="00DB51E4" w:rsidRDefault="00DB51E4" w:rsidP="00DB51E4">
      <w:pPr>
        <w:spacing w:line="360" w:lineRule="auto"/>
        <w:ind w:right="49"/>
        <w:jc w:val="both"/>
        <w:rPr>
          <w:rFonts w:ascii="Palatino Linotype" w:eastAsia="Calibri" w:hAnsi="Palatino Linotype" w:cs="Arial"/>
          <w:sz w:val="24"/>
          <w:szCs w:val="24"/>
        </w:rPr>
      </w:pPr>
      <w:r w:rsidRPr="00BC29FF">
        <w:rPr>
          <w:rFonts w:ascii="Palatino Linotype" w:hAnsi="Palatino Linotype" w:cs="Arial"/>
          <w:sz w:val="24"/>
          <w:szCs w:val="24"/>
          <w:lang w:eastAsia="es-MX"/>
        </w:rPr>
        <w:t xml:space="preserve">De lo anterior, se desprende que la </w:t>
      </w:r>
      <w:r w:rsidRPr="00BC29FF">
        <w:rPr>
          <w:rFonts w:ascii="Palatino Linotype" w:hAnsi="Palatino Linotype"/>
          <w:sz w:val="24"/>
          <w:szCs w:val="24"/>
          <w:lang w:eastAsia="es-MX"/>
        </w:rPr>
        <w:t xml:space="preserve">Clave Única de Registro de Población, </w:t>
      </w:r>
      <w:r w:rsidRPr="00BC29FF">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BC29FF">
        <w:rPr>
          <w:rFonts w:ascii="Palatino Linotype" w:hAnsi="Palatino Linotype"/>
          <w:bCs/>
          <w:sz w:val="24"/>
          <w:szCs w:val="24"/>
        </w:rPr>
        <w:t>personal</w:t>
      </w:r>
      <w:r w:rsidRPr="00BC29FF">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BC29FF">
        <w:rPr>
          <w:rFonts w:ascii="Palatino Linotype" w:hAnsi="Palatino Linotype" w:cs="Arial"/>
          <w:sz w:val="24"/>
          <w:szCs w:val="24"/>
        </w:rPr>
        <w:t>4, fracción XI</w:t>
      </w:r>
      <w:r w:rsidRPr="00BC29FF">
        <w:rPr>
          <w:rFonts w:ascii="Palatino Linotype" w:hAnsi="Palatino Linotype" w:cs="Arial"/>
          <w:sz w:val="24"/>
          <w:szCs w:val="24"/>
          <w:lang w:eastAsia="es-MX"/>
        </w:rPr>
        <w:t xml:space="preserve"> </w:t>
      </w:r>
      <w:r w:rsidRPr="00BC29FF">
        <w:rPr>
          <w:rFonts w:ascii="Palatino Linotype" w:hAnsi="Palatino Linotype" w:cs="Arial"/>
          <w:sz w:val="24"/>
          <w:szCs w:val="24"/>
        </w:rPr>
        <w:t>de la Ley de Protección de Datos Personales en Posesión de Sujetos Obligados del Estado de México y Municipios</w:t>
      </w:r>
      <w:r w:rsidRPr="00BC29FF">
        <w:rPr>
          <w:rFonts w:ascii="Palatino Linotype" w:hAnsi="Palatino Linotype" w:cs="Arial"/>
          <w:sz w:val="24"/>
          <w:szCs w:val="24"/>
          <w:lang w:eastAsia="es-MX"/>
        </w:rPr>
        <w:t>.</w:t>
      </w:r>
    </w:p>
    <w:p w:rsidR="00081767" w:rsidRDefault="00081767" w:rsidP="00C176BF">
      <w:pPr>
        <w:spacing w:line="360" w:lineRule="auto"/>
        <w:ind w:right="49"/>
        <w:jc w:val="both"/>
        <w:rPr>
          <w:rFonts w:ascii="Palatino Linotype" w:eastAsia="Calibri" w:hAnsi="Palatino Linotype" w:cs="Arial"/>
          <w:sz w:val="24"/>
          <w:szCs w:val="24"/>
        </w:rPr>
      </w:pPr>
      <w:r>
        <w:rPr>
          <w:rFonts w:ascii="Palatino Linotype" w:eastAsia="Calibri" w:hAnsi="Palatino Linotype" w:cs="Arial"/>
          <w:sz w:val="24"/>
          <w:szCs w:val="24"/>
        </w:rPr>
        <w:t>Así, atento a lo que señalan los artículos 3 y 143, fracción I de la Ley de Transparencia y Acceso a la Información Pública del Estado de México y Municipios; así como el artículo 4, fracci</w:t>
      </w:r>
      <w:r w:rsidR="0093139F">
        <w:rPr>
          <w:rFonts w:ascii="Palatino Linotype" w:eastAsia="Calibri" w:hAnsi="Palatino Linotype" w:cs="Arial"/>
          <w:sz w:val="24"/>
          <w:szCs w:val="24"/>
        </w:rPr>
        <w:t xml:space="preserve">ón XI </w:t>
      </w:r>
      <w:r>
        <w:rPr>
          <w:rFonts w:ascii="Palatino Linotype" w:eastAsia="Calibri" w:hAnsi="Palatino Linotype" w:cs="Arial"/>
          <w:sz w:val="24"/>
          <w:szCs w:val="24"/>
        </w:rPr>
        <w:t xml:space="preserve">de la Ley de Protección de Datos Personales del Estado de México que rezan: </w:t>
      </w:r>
    </w:p>
    <w:p w:rsidR="00AF3B77" w:rsidRDefault="00AF3B77" w:rsidP="00C176BF">
      <w:pPr>
        <w:spacing w:line="360" w:lineRule="auto"/>
        <w:ind w:right="49"/>
        <w:jc w:val="both"/>
        <w:rPr>
          <w:rFonts w:ascii="Palatino Linotype" w:eastAsia="Calibri" w:hAnsi="Palatino Linotype" w:cs="Arial"/>
          <w:sz w:val="24"/>
          <w:szCs w:val="24"/>
        </w:rPr>
      </w:pPr>
    </w:p>
    <w:p w:rsidR="0093139F" w:rsidRDefault="0093139F" w:rsidP="0093139F">
      <w:pPr>
        <w:autoSpaceDE w:val="0"/>
        <w:autoSpaceDN w:val="0"/>
        <w:adjustRightInd w:val="0"/>
        <w:spacing w:line="240" w:lineRule="auto"/>
        <w:ind w:left="709" w:right="757"/>
        <w:jc w:val="center"/>
        <w:rPr>
          <w:rFonts w:ascii="Palatino Linotype" w:hAnsi="Palatino Linotype" w:cs="Arial"/>
          <w:b/>
          <w:i/>
        </w:rPr>
      </w:pPr>
      <w:r w:rsidRPr="00130827">
        <w:rPr>
          <w:rFonts w:ascii="Palatino Linotype" w:hAnsi="Palatino Linotype" w:cs="Arial"/>
          <w:b/>
          <w:i/>
        </w:rPr>
        <w:lastRenderedPageBreak/>
        <w:t>Ley de Transparencia y Acceso a la Información Pública del Estado de México y Municipios</w:t>
      </w:r>
    </w:p>
    <w:p w:rsidR="0093139F" w:rsidRPr="00C33514" w:rsidRDefault="0093139F" w:rsidP="0093139F">
      <w:pPr>
        <w:autoSpaceDE w:val="0"/>
        <w:autoSpaceDN w:val="0"/>
        <w:adjustRightInd w:val="0"/>
        <w:spacing w:line="240" w:lineRule="auto"/>
        <w:ind w:left="709" w:right="757"/>
        <w:jc w:val="both"/>
        <w:rPr>
          <w:rFonts w:ascii="Palatino Linotype" w:hAnsi="Palatino Linotype" w:cs="Arial"/>
          <w:i/>
        </w:rPr>
      </w:pPr>
      <w:r w:rsidRPr="00B12D9F">
        <w:rPr>
          <w:rFonts w:ascii="Palatino Linotype" w:hAnsi="Palatino Linotype" w:cs="Arial"/>
          <w:b/>
          <w:i/>
        </w:rPr>
        <w:t>Artículo 3</w:t>
      </w:r>
      <w:r w:rsidRPr="00C33514">
        <w:rPr>
          <w:rFonts w:ascii="Palatino Linotype" w:hAnsi="Palatino Linotype" w:cs="Arial"/>
          <w:i/>
        </w:rPr>
        <w:t>. Para los efectos de la presente Ley se entenderá por:</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Pr>
          <w:rFonts w:ascii="Palatino Linotype" w:hAnsi="Palatino Linotype" w:cs="Arial"/>
          <w:i/>
        </w:rPr>
        <w:t>…</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sidRPr="00130827">
        <w:rPr>
          <w:rFonts w:ascii="Palatino Linotype" w:hAnsi="Palatino Linotype" w:cs="Arial"/>
          <w:b/>
          <w:i/>
        </w:rPr>
        <w:t>XXI</w:t>
      </w:r>
      <w:r w:rsidRPr="00B12D9F">
        <w:rPr>
          <w:rFonts w:ascii="Palatino Linotype" w:hAnsi="Palatino Linotype" w:cs="Arial"/>
          <w:i/>
        </w:rPr>
        <w:t xml:space="preserve">. </w:t>
      </w:r>
      <w:r w:rsidRPr="00B12D9F">
        <w:rPr>
          <w:rFonts w:ascii="Palatino Linotype" w:hAnsi="Palatino Linotype" w:cs="Arial"/>
          <w:b/>
          <w:i/>
        </w:rPr>
        <w:t>Información confidencial</w:t>
      </w:r>
      <w:r w:rsidRPr="00B12D9F">
        <w:rPr>
          <w:rFonts w:ascii="Palatino Linotype" w:hAnsi="Palatino Linotype" w:cs="Arial"/>
          <w:i/>
        </w:rPr>
        <w:t>: Se considera como información confidencial los secretos bancario, fiduciario, industrial,</w:t>
      </w:r>
      <w:r>
        <w:rPr>
          <w:rFonts w:ascii="Palatino Linotype" w:hAnsi="Palatino Linotype" w:cs="Arial"/>
          <w:i/>
        </w:rPr>
        <w:t xml:space="preserve"> </w:t>
      </w:r>
      <w:r w:rsidRPr="00B12D9F">
        <w:rPr>
          <w:rFonts w:ascii="Palatino Linotype" w:hAnsi="Palatino Linotype" w:cs="Arial"/>
          <w:i/>
        </w:rPr>
        <w:t>comercial, fiscal, bursátil y postal, cuya titularidad corresponda a particulares, sujetos de derecho internacional o a sujetos</w:t>
      </w:r>
      <w:r>
        <w:rPr>
          <w:rFonts w:ascii="Palatino Linotype" w:hAnsi="Palatino Linotype" w:cs="Arial"/>
          <w:i/>
        </w:rPr>
        <w:t xml:space="preserve"> </w:t>
      </w:r>
      <w:r w:rsidRPr="00B12D9F">
        <w:rPr>
          <w:rFonts w:ascii="Palatino Linotype" w:hAnsi="Palatino Linotype" w:cs="Arial"/>
          <w:i/>
        </w:rPr>
        <w:t>obligados cuando no involucren el ejercicio de recursos públicos;</w:t>
      </w:r>
    </w:p>
    <w:p w:rsidR="00E52247" w:rsidRDefault="00E52247" w:rsidP="00E52247">
      <w:pPr>
        <w:autoSpaceDE w:val="0"/>
        <w:autoSpaceDN w:val="0"/>
        <w:adjustRightInd w:val="0"/>
        <w:spacing w:line="240" w:lineRule="auto"/>
        <w:ind w:left="709" w:right="757"/>
        <w:jc w:val="both"/>
        <w:rPr>
          <w:rFonts w:ascii="Palatino Linotype" w:hAnsi="Palatino Linotype" w:cs="Arial"/>
          <w:i/>
        </w:rPr>
      </w:pPr>
      <w:r w:rsidRPr="00E52247">
        <w:rPr>
          <w:rFonts w:ascii="Palatino Linotype" w:hAnsi="Palatino Linotype" w:cs="Arial"/>
          <w:b/>
          <w:i/>
        </w:rPr>
        <w:t>XXIII. Información privada:</w:t>
      </w:r>
      <w:r w:rsidRPr="00E52247">
        <w:rPr>
          <w:rFonts w:ascii="Palatino Linotype" w:hAnsi="Palatino Linotype" w:cs="Arial"/>
          <w:i/>
        </w:rPr>
        <w:t xml:space="preserve"> La contenida en documentos públicos o privados que refiera a la vida privada y/o los datos</w:t>
      </w:r>
      <w:r>
        <w:rPr>
          <w:rFonts w:ascii="Palatino Linotype" w:hAnsi="Palatino Linotype" w:cs="Arial"/>
          <w:i/>
        </w:rPr>
        <w:t xml:space="preserve"> </w:t>
      </w:r>
      <w:r w:rsidRPr="00E52247">
        <w:rPr>
          <w:rFonts w:ascii="Palatino Linotype" w:hAnsi="Palatino Linotype" w:cs="Arial"/>
          <w:i/>
        </w:rPr>
        <w:t>personales, que no son de acceso público</w:t>
      </w:r>
    </w:p>
    <w:p w:rsidR="0093139F" w:rsidRPr="00E52247" w:rsidRDefault="00E52247" w:rsidP="0093139F">
      <w:pPr>
        <w:autoSpaceDE w:val="0"/>
        <w:autoSpaceDN w:val="0"/>
        <w:adjustRightInd w:val="0"/>
        <w:spacing w:line="240" w:lineRule="auto"/>
        <w:ind w:left="709" w:right="757"/>
        <w:jc w:val="both"/>
        <w:rPr>
          <w:rFonts w:ascii="Palatino Linotype" w:hAnsi="Palatino Linotype" w:cs="Arial"/>
          <w:i/>
        </w:rPr>
      </w:pPr>
      <w:r w:rsidRPr="00E52247">
        <w:rPr>
          <w:rFonts w:ascii="Palatino Linotype" w:hAnsi="Palatino Linotype" w:cs="Arial"/>
          <w:i/>
        </w:rPr>
        <w:t>…</w:t>
      </w:r>
    </w:p>
    <w:p w:rsidR="0093139F" w:rsidRPr="00C33514" w:rsidRDefault="0093139F" w:rsidP="0093139F">
      <w:pPr>
        <w:autoSpaceDE w:val="0"/>
        <w:autoSpaceDN w:val="0"/>
        <w:adjustRightInd w:val="0"/>
        <w:spacing w:line="240" w:lineRule="auto"/>
        <w:ind w:left="709" w:right="757"/>
        <w:jc w:val="both"/>
        <w:rPr>
          <w:rFonts w:ascii="Palatino Linotype" w:hAnsi="Palatino Linotype" w:cs="Arial"/>
          <w:i/>
        </w:rPr>
      </w:pPr>
      <w:r w:rsidRPr="00B12D9F">
        <w:rPr>
          <w:rFonts w:ascii="Palatino Linotype" w:hAnsi="Palatino Linotype" w:cs="Arial"/>
          <w:b/>
          <w:i/>
        </w:rPr>
        <w:t>Artículo 143</w:t>
      </w:r>
      <w:r w:rsidRPr="00C33514">
        <w:rPr>
          <w:rFonts w:ascii="Palatino Linotype" w:hAnsi="Palatino Linotype" w:cs="Arial"/>
          <w:i/>
        </w:rPr>
        <w:t>. Para los efectos de esta Ley se considera información confidencial, la clasificada como tal, de manera</w:t>
      </w:r>
      <w:r>
        <w:rPr>
          <w:rFonts w:ascii="Palatino Linotype" w:hAnsi="Palatino Linotype" w:cs="Arial"/>
          <w:i/>
        </w:rPr>
        <w:t xml:space="preserve"> </w:t>
      </w:r>
      <w:r w:rsidRPr="00C33514">
        <w:rPr>
          <w:rFonts w:ascii="Palatino Linotype" w:hAnsi="Palatino Linotype" w:cs="Arial"/>
          <w:i/>
        </w:rPr>
        <w:t>permanente, por su naturaleza, cuando:</w:t>
      </w:r>
    </w:p>
    <w:p w:rsidR="0093139F" w:rsidRPr="00C33514" w:rsidRDefault="0093139F" w:rsidP="0093139F">
      <w:pPr>
        <w:autoSpaceDE w:val="0"/>
        <w:autoSpaceDN w:val="0"/>
        <w:adjustRightInd w:val="0"/>
        <w:spacing w:line="240" w:lineRule="auto"/>
        <w:ind w:left="709" w:right="757"/>
        <w:jc w:val="both"/>
        <w:rPr>
          <w:rFonts w:ascii="Palatino Linotype" w:hAnsi="Palatino Linotype" w:cs="Arial"/>
          <w:i/>
        </w:rPr>
      </w:pPr>
      <w:r w:rsidRPr="00130827">
        <w:rPr>
          <w:rFonts w:ascii="Palatino Linotype" w:hAnsi="Palatino Linotype" w:cs="Arial"/>
          <w:b/>
          <w:i/>
        </w:rPr>
        <w:t>I</w:t>
      </w:r>
      <w:r w:rsidRPr="00C33514">
        <w:rPr>
          <w:rFonts w:ascii="Palatino Linotype" w:hAnsi="Palatino Linotype" w:cs="Arial"/>
          <w:i/>
        </w:rPr>
        <w:t xml:space="preserve">. Se refiera a la información privada y los datos personales concernientes a una persona física o </w:t>
      </w:r>
      <w:proofErr w:type="gramStart"/>
      <w:r w:rsidRPr="00C33514">
        <w:rPr>
          <w:rFonts w:ascii="Palatino Linotype" w:hAnsi="Palatino Linotype" w:cs="Arial"/>
          <w:i/>
        </w:rPr>
        <w:t>jurídico</w:t>
      </w:r>
      <w:proofErr w:type="gramEnd"/>
      <w:r w:rsidRPr="00C33514">
        <w:rPr>
          <w:rFonts w:ascii="Palatino Linotype" w:hAnsi="Palatino Linotype" w:cs="Arial"/>
          <w:i/>
        </w:rPr>
        <w:t xml:space="preserve"> colectiva</w:t>
      </w:r>
      <w:r>
        <w:rPr>
          <w:rFonts w:ascii="Palatino Linotype" w:hAnsi="Palatino Linotype" w:cs="Arial"/>
          <w:i/>
        </w:rPr>
        <w:t xml:space="preserve"> </w:t>
      </w:r>
      <w:r w:rsidRPr="00C33514">
        <w:rPr>
          <w:rFonts w:ascii="Palatino Linotype" w:hAnsi="Palatino Linotype" w:cs="Arial"/>
          <w:i/>
        </w:rPr>
        <w:t>identificada o identificable;</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Pr>
          <w:rFonts w:ascii="Palatino Linotype" w:hAnsi="Palatino Linotype" w:cs="Arial"/>
          <w:i/>
        </w:rPr>
        <w:t>…</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Pr>
          <w:rFonts w:ascii="Palatino Linotype" w:hAnsi="Palatino Linotype" w:cs="Arial"/>
          <w:i/>
        </w:rPr>
        <w:t>L</w:t>
      </w:r>
      <w:r w:rsidRPr="00C33514">
        <w:rPr>
          <w:rFonts w:ascii="Palatino Linotype" w:hAnsi="Palatino Linotype" w:cs="Arial"/>
          <w:i/>
        </w:rPr>
        <w:t>a información confidencial no estará sujeta a temporalidad alguna y sólo podrán tener acceso a ella los titulares de la</w:t>
      </w:r>
      <w:r>
        <w:rPr>
          <w:rFonts w:ascii="Palatino Linotype" w:hAnsi="Palatino Linotype" w:cs="Arial"/>
          <w:i/>
        </w:rPr>
        <w:t xml:space="preserve"> </w:t>
      </w:r>
      <w:r w:rsidRPr="00C33514">
        <w:rPr>
          <w:rFonts w:ascii="Palatino Linotype" w:hAnsi="Palatino Linotype" w:cs="Arial"/>
          <w:i/>
        </w:rPr>
        <w:t>misma, sus representantes y los servidores públicos facultados para ello.</w:t>
      </w:r>
    </w:p>
    <w:p w:rsidR="0093139F" w:rsidRPr="00C33514" w:rsidRDefault="0093139F" w:rsidP="0093139F">
      <w:pPr>
        <w:autoSpaceDE w:val="0"/>
        <w:autoSpaceDN w:val="0"/>
        <w:adjustRightInd w:val="0"/>
        <w:spacing w:line="240" w:lineRule="auto"/>
        <w:ind w:left="709" w:right="757"/>
        <w:jc w:val="both"/>
        <w:rPr>
          <w:rFonts w:ascii="Palatino Linotype" w:hAnsi="Palatino Linotype" w:cs="Arial"/>
          <w:i/>
        </w:rPr>
      </w:pPr>
    </w:p>
    <w:p w:rsidR="0093139F" w:rsidRDefault="0093139F" w:rsidP="0093139F">
      <w:pPr>
        <w:autoSpaceDE w:val="0"/>
        <w:autoSpaceDN w:val="0"/>
        <w:adjustRightInd w:val="0"/>
        <w:spacing w:line="240" w:lineRule="auto"/>
        <w:ind w:left="709" w:right="757"/>
        <w:jc w:val="both"/>
        <w:rPr>
          <w:rFonts w:ascii="Palatino Linotype" w:hAnsi="Palatino Linotype" w:cs="Arial"/>
          <w:i/>
        </w:rPr>
      </w:pPr>
      <w:r w:rsidRPr="00C33514">
        <w:rPr>
          <w:rFonts w:ascii="Palatino Linotype" w:hAnsi="Palatino Linotype" w:cs="Arial"/>
          <w:i/>
        </w:rPr>
        <w:t>No se considerará confidencial la información que se encuentre en los registros públicos o en fuentes de acceso público, ni</w:t>
      </w:r>
      <w:r>
        <w:rPr>
          <w:rFonts w:ascii="Palatino Linotype" w:hAnsi="Palatino Linotype" w:cs="Arial"/>
          <w:i/>
        </w:rPr>
        <w:t xml:space="preserve"> </w:t>
      </w:r>
      <w:r w:rsidRPr="00C33514">
        <w:rPr>
          <w:rFonts w:ascii="Palatino Linotype" w:hAnsi="Palatino Linotype" w:cs="Arial"/>
          <w:i/>
        </w:rPr>
        <w:t>tampoco la que sea considerada por la presente ley como información pública.</w:t>
      </w:r>
      <w:r>
        <w:rPr>
          <w:rFonts w:ascii="Palatino Linotype" w:hAnsi="Palatino Linotype" w:cs="Arial"/>
          <w:i/>
        </w:rPr>
        <w:t>”</w:t>
      </w:r>
    </w:p>
    <w:p w:rsidR="0093139F" w:rsidRDefault="0093139F" w:rsidP="0093139F">
      <w:pPr>
        <w:autoSpaceDE w:val="0"/>
        <w:autoSpaceDN w:val="0"/>
        <w:adjustRightInd w:val="0"/>
        <w:spacing w:line="240" w:lineRule="auto"/>
        <w:ind w:left="709" w:right="757"/>
        <w:jc w:val="both"/>
        <w:rPr>
          <w:rFonts w:ascii="Palatino Linotype" w:hAnsi="Palatino Linotype" w:cs="Arial"/>
          <w:i/>
        </w:rPr>
      </w:pPr>
    </w:p>
    <w:p w:rsidR="0093139F" w:rsidRDefault="0093139F" w:rsidP="0093139F">
      <w:pPr>
        <w:autoSpaceDE w:val="0"/>
        <w:autoSpaceDN w:val="0"/>
        <w:adjustRightInd w:val="0"/>
        <w:spacing w:line="240" w:lineRule="auto"/>
        <w:ind w:left="708" w:right="757"/>
        <w:jc w:val="center"/>
        <w:rPr>
          <w:rFonts w:ascii="Palatino Linotype" w:hAnsi="Palatino Linotype" w:cs="Arial"/>
          <w:b/>
          <w:i/>
        </w:rPr>
      </w:pPr>
      <w:r w:rsidRPr="00B713FC">
        <w:rPr>
          <w:rFonts w:ascii="Palatino Linotype" w:hAnsi="Palatino Linotype" w:cs="Arial"/>
          <w:b/>
          <w:i/>
        </w:rPr>
        <w:t>Ley de Protección de Datos</w:t>
      </w:r>
      <w:r>
        <w:rPr>
          <w:rFonts w:ascii="Palatino Linotype" w:hAnsi="Palatino Linotype" w:cs="Arial"/>
          <w:b/>
          <w:i/>
        </w:rPr>
        <w:t xml:space="preserve"> </w:t>
      </w:r>
      <w:r w:rsidRPr="00B713FC">
        <w:rPr>
          <w:rFonts w:ascii="Palatino Linotype" w:hAnsi="Palatino Linotype" w:cs="Arial"/>
          <w:b/>
          <w:i/>
        </w:rPr>
        <w:t>Personales</w:t>
      </w:r>
    </w:p>
    <w:p w:rsidR="0093139F" w:rsidRDefault="0093139F" w:rsidP="0093139F">
      <w:pPr>
        <w:autoSpaceDE w:val="0"/>
        <w:autoSpaceDN w:val="0"/>
        <w:adjustRightInd w:val="0"/>
        <w:spacing w:line="240" w:lineRule="auto"/>
        <w:ind w:left="708" w:right="757"/>
        <w:jc w:val="center"/>
        <w:rPr>
          <w:rFonts w:ascii="Palatino Linotype" w:hAnsi="Palatino Linotype" w:cs="Arial"/>
          <w:b/>
          <w:i/>
        </w:rPr>
      </w:pPr>
      <w:proofErr w:type="gramStart"/>
      <w:r w:rsidRPr="00B713FC">
        <w:rPr>
          <w:rFonts w:ascii="Palatino Linotype" w:hAnsi="Palatino Linotype" w:cs="Arial"/>
          <w:b/>
          <w:i/>
        </w:rPr>
        <w:t>en</w:t>
      </w:r>
      <w:proofErr w:type="gramEnd"/>
      <w:r w:rsidRPr="00B713FC">
        <w:rPr>
          <w:rFonts w:ascii="Palatino Linotype" w:hAnsi="Palatino Linotype" w:cs="Arial"/>
          <w:b/>
          <w:i/>
        </w:rPr>
        <w:t xml:space="preserve"> Posesión de Sujetos</w:t>
      </w:r>
      <w:r>
        <w:rPr>
          <w:rFonts w:ascii="Palatino Linotype" w:hAnsi="Palatino Linotype" w:cs="Arial"/>
          <w:b/>
          <w:i/>
        </w:rPr>
        <w:t xml:space="preserve"> </w:t>
      </w:r>
      <w:r w:rsidRPr="00B713FC">
        <w:rPr>
          <w:rFonts w:ascii="Palatino Linotype" w:hAnsi="Palatino Linotype" w:cs="Arial"/>
          <w:b/>
          <w:i/>
        </w:rPr>
        <w:t xml:space="preserve">Obligados </w:t>
      </w:r>
      <w:r>
        <w:rPr>
          <w:rFonts w:ascii="Palatino Linotype" w:hAnsi="Palatino Linotype" w:cs="Arial"/>
          <w:b/>
          <w:i/>
        </w:rPr>
        <w:t>del E</w:t>
      </w:r>
      <w:r w:rsidRPr="00B713FC">
        <w:rPr>
          <w:rFonts w:ascii="Palatino Linotype" w:hAnsi="Palatino Linotype" w:cs="Arial"/>
          <w:b/>
          <w:i/>
        </w:rPr>
        <w:t>stado de México y</w:t>
      </w:r>
      <w:r>
        <w:rPr>
          <w:rFonts w:ascii="Palatino Linotype" w:hAnsi="Palatino Linotype" w:cs="Arial"/>
          <w:b/>
          <w:i/>
        </w:rPr>
        <w:t xml:space="preserve"> </w:t>
      </w:r>
      <w:r w:rsidRPr="00B713FC">
        <w:rPr>
          <w:rFonts w:ascii="Palatino Linotype" w:hAnsi="Palatino Linotype" w:cs="Arial"/>
          <w:b/>
          <w:i/>
        </w:rPr>
        <w:t>Municipios</w:t>
      </w:r>
    </w:p>
    <w:p w:rsidR="0093139F" w:rsidRDefault="0093139F" w:rsidP="0093139F">
      <w:pPr>
        <w:autoSpaceDE w:val="0"/>
        <w:autoSpaceDN w:val="0"/>
        <w:adjustRightInd w:val="0"/>
        <w:spacing w:line="240" w:lineRule="auto"/>
        <w:ind w:left="709" w:right="757"/>
        <w:jc w:val="both"/>
      </w:pPr>
      <w:r w:rsidRPr="00130827">
        <w:rPr>
          <w:rFonts w:ascii="Palatino Linotype" w:hAnsi="Palatino Linotype" w:cs="Arial"/>
          <w:b/>
          <w:i/>
        </w:rPr>
        <w:t>Artículo 4</w:t>
      </w:r>
      <w:r w:rsidRPr="00B12D9F">
        <w:rPr>
          <w:rFonts w:ascii="Palatino Linotype" w:hAnsi="Palatino Linotype" w:cs="Arial"/>
          <w:i/>
        </w:rPr>
        <w:t xml:space="preserve">.- </w:t>
      </w:r>
      <w:r w:rsidRPr="00B713FC">
        <w:rPr>
          <w:rFonts w:ascii="Palatino Linotype" w:hAnsi="Palatino Linotype" w:cs="Arial"/>
          <w:i/>
        </w:rPr>
        <w:t>Para los efectos de esta Ley se entenderá por</w:t>
      </w:r>
      <w:r w:rsidRPr="00B12D9F">
        <w:rPr>
          <w:rFonts w:ascii="Palatino Linotype" w:hAnsi="Palatino Linotype" w:cs="Arial"/>
          <w:i/>
        </w:rPr>
        <w:t>:</w:t>
      </w:r>
      <w:r w:rsidRPr="00B12D9F">
        <w:rPr>
          <w:rFonts w:ascii="Palatino Linotype" w:hAnsi="Palatino Linotype" w:cs="Arial"/>
          <w:i/>
        </w:rPr>
        <w:cr/>
      </w:r>
      <w:r>
        <w:t>…</w:t>
      </w:r>
    </w:p>
    <w:p w:rsidR="0093139F" w:rsidRPr="00B713FC" w:rsidRDefault="0093139F" w:rsidP="0093139F">
      <w:pPr>
        <w:autoSpaceDE w:val="0"/>
        <w:autoSpaceDN w:val="0"/>
        <w:adjustRightInd w:val="0"/>
        <w:spacing w:line="240" w:lineRule="auto"/>
        <w:ind w:left="851" w:right="757"/>
        <w:jc w:val="both"/>
        <w:rPr>
          <w:rFonts w:ascii="Palatino Linotype" w:hAnsi="Palatino Linotype" w:cs="Arial"/>
          <w:i/>
        </w:rPr>
      </w:pPr>
      <w:r w:rsidRPr="00B713FC">
        <w:rPr>
          <w:rFonts w:ascii="Palatino Linotype" w:hAnsi="Palatino Linotype" w:cs="Arial"/>
          <w:b/>
          <w:i/>
        </w:rPr>
        <w:lastRenderedPageBreak/>
        <w:t xml:space="preserve">XI. Datos personales: </w:t>
      </w:r>
      <w:r w:rsidRPr="00B713FC">
        <w:rPr>
          <w:rFonts w:ascii="Palatino Linotype" w:hAnsi="Palatino Linotype" w:cs="Arial"/>
          <w:i/>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93139F" w:rsidRDefault="0093139F" w:rsidP="0093139F">
      <w:pPr>
        <w:autoSpaceDE w:val="0"/>
        <w:autoSpaceDN w:val="0"/>
        <w:adjustRightInd w:val="0"/>
        <w:spacing w:line="240" w:lineRule="auto"/>
        <w:ind w:left="851" w:right="757"/>
        <w:jc w:val="both"/>
        <w:rPr>
          <w:rFonts w:ascii="Palatino Linotype" w:hAnsi="Palatino Linotype" w:cs="Arial"/>
          <w:b/>
          <w:i/>
        </w:rPr>
      </w:pPr>
    </w:p>
    <w:p w:rsidR="00C176BF" w:rsidRPr="000C63B2" w:rsidRDefault="0093139F" w:rsidP="0093139F">
      <w:pPr>
        <w:autoSpaceDE w:val="0"/>
        <w:autoSpaceDN w:val="0"/>
        <w:adjustRightInd w:val="0"/>
        <w:spacing w:line="240" w:lineRule="auto"/>
        <w:ind w:left="851" w:right="757"/>
        <w:jc w:val="both"/>
        <w:rPr>
          <w:rFonts w:ascii="Palatino Linotype" w:hAnsi="Palatino Linotype" w:cs="Arial"/>
          <w:i/>
        </w:rPr>
      </w:pPr>
      <w:r w:rsidRPr="00B713FC">
        <w:rPr>
          <w:rFonts w:ascii="Palatino Linotype" w:hAnsi="Palatino Linotype" w:cs="Arial"/>
          <w:b/>
          <w:i/>
        </w:rPr>
        <w:t xml:space="preserve">XII. Datos personales sensibles: </w:t>
      </w:r>
      <w:r w:rsidRPr="00B713FC">
        <w:rPr>
          <w:rFonts w:ascii="Palatino Linotype" w:hAnsi="Palatino Linotype" w:cs="Arial"/>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0D3E21" w:rsidRPr="00045B6F" w:rsidRDefault="0093139F" w:rsidP="00C176BF">
      <w:pPr>
        <w:spacing w:before="100" w:beforeAutospacing="1" w:after="100" w:afterAutospacing="1" w:line="360" w:lineRule="auto"/>
        <w:jc w:val="both"/>
        <w:rPr>
          <w:rFonts w:ascii="Palatino Linotype" w:hAnsi="Palatino Linotype" w:cs="Arial"/>
          <w:sz w:val="28"/>
          <w:szCs w:val="24"/>
        </w:rPr>
      </w:pPr>
      <w:r>
        <w:rPr>
          <w:rFonts w:ascii="Palatino Linotype" w:hAnsi="Palatino Linotype" w:cs="Arial"/>
          <w:sz w:val="24"/>
        </w:rPr>
        <w:t xml:space="preserve">Es por lo anteriormente </w:t>
      </w:r>
      <w:r w:rsidR="00C176BF" w:rsidRPr="00045B6F">
        <w:rPr>
          <w:rFonts w:ascii="Palatino Linotype" w:hAnsi="Palatino Linotype" w:cs="Arial"/>
          <w:sz w:val="24"/>
        </w:rPr>
        <w:t>expuesto</w:t>
      </w:r>
      <w:r>
        <w:rPr>
          <w:rFonts w:ascii="Palatino Linotype" w:hAnsi="Palatino Linotype" w:cs="Arial"/>
          <w:sz w:val="24"/>
        </w:rPr>
        <w:t xml:space="preserve"> que</w:t>
      </w:r>
      <w:r w:rsidR="00C176BF" w:rsidRPr="00045B6F">
        <w:rPr>
          <w:rFonts w:ascii="Palatino Linotype" w:hAnsi="Palatino Linotype" w:cs="Arial"/>
          <w:sz w:val="24"/>
        </w:rPr>
        <w:t xml:space="preserve">, la que suscribe emite </w:t>
      </w:r>
      <w:r w:rsidR="00C176BF" w:rsidRPr="00045B6F">
        <w:rPr>
          <w:rFonts w:ascii="Palatino Linotype" w:hAnsi="Palatino Linotype" w:cs="Arial"/>
          <w:b/>
          <w:sz w:val="24"/>
        </w:rPr>
        <w:t>VOTO PARTICULAR</w:t>
      </w:r>
      <w:r w:rsidR="00C176BF" w:rsidRPr="00045B6F">
        <w:rPr>
          <w:rFonts w:ascii="Palatino Linotype" w:hAnsi="Palatino Linotype" w:cs="Arial"/>
          <w:sz w:val="24"/>
        </w:rPr>
        <w:t xml:space="preserve">, pues se insiste que </w:t>
      </w:r>
      <w:r w:rsidR="00E52247" w:rsidRPr="00E52247">
        <w:rPr>
          <w:rFonts w:ascii="Palatino Linotype" w:hAnsi="Palatino Linotype" w:cs="Arial"/>
          <w:sz w:val="24"/>
        </w:rPr>
        <w:t>se</w:t>
      </w:r>
      <w:r>
        <w:rPr>
          <w:rFonts w:ascii="Palatino Linotype" w:hAnsi="Palatino Linotype" w:cs="Arial"/>
          <w:sz w:val="24"/>
        </w:rPr>
        <w:t xml:space="preserve"> dejó a la vista información susceptible de ser clasificada como confidencial</w:t>
      </w:r>
      <w:r w:rsidR="00C176BF" w:rsidRPr="00045B6F">
        <w:rPr>
          <w:rFonts w:ascii="Palatino Linotype" w:hAnsi="Palatino Linotype" w:cs="Arial"/>
          <w:sz w:val="24"/>
        </w:rPr>
        <w:t>, por lo que debió ordenar</w:t>
      </w:r>
      <w:r w:rsidR="00AF3B77">
        <w:rPr>
          <w:rFonts w:ascii="Palatino Linotype" w:hAnsi="Palatino Linotype" w:cs="Arial"/>
          <w:sz w:val="24"/>
        </w:rPr>
        <w:t xml:space="preserve"> la entrega del</w:t>
      </w:r>
      <w:r w:rsidR="00E52247">
        <w:rPr>
          <w:rFonts w:ascii="Palatino Linotype" w:hAnsi="Palatino Linotype" w:cs="Arial"/>
          <w:sz w:val="24"/>
        </w:rPr>
        <w:t xml:space="preserve"> documento en cuestión en </w:t>
      </w:r>
      <w:r>
        <w:rPr>
          <w:rFonts w:ascii="Palatino Linotype" w:hAnsi="Palatino Linotype" w:cs="Arial"/>
          <w:sz w:val="24"/>
        </w:rPr>
        <w:t>versión pública, así como e</w:t>
      </w:r>
      <w:r w:rsidR="00C176BF" w:rsidRPr="00045B6F">
        <w:rPr>
          <w:rFonts w:ascii="Palatino Linotype" w:hAnsi="Palatino Linotype" w:cs="Arial"/>
          <w:sz w:val="24"/>
        </w:rPr>
        <w:t>l Acuerdo de Clasificación de Información en términos de los artículos 49, fracción VIII, 131, 133, 143 fracción I y II y 149 de la Ley de Transparencia y Acceso a la Información Pública del Estado de México y Municipios</w:t>
      </w:r>
      <w:r w:rsidR="00E52247">
        <w:rPr>
          <w:rFonts w:ascii="Palatino Linotype" w:hAnsi="Palatino Linotype"/>
          <w:sz w:val="24"/>
        </w:rPr>
        <w:t xml:space="preserve">, en atención a los derechos que tutela este Órgano Garante; es decir, </w:t>
      </w:r>
      <w:r w:rsidR="00D0762E">
        <w:rPr>
          <w:rFonts w:ascii="Palatino Linotype" w:hAnsi="Palatino Linotype"/>
          <w:sz w:val="24"/>
        </w:rPr>
        <w:t>tanto el der</w:t>
      </w:r>
      <w:bookmarkStart w:id="0" w:name="_GoBack"/>
      <w:bookmarkEnd w:id="0"/>
      <w:r w:rsidR="00D0762E">
        <w:rPr>
          <w:rFonts w:ascii="Palatino Linotype" w:hAnsi="Palatino Linotype"/>
          <w:sz w:val="24"/>
        </w:rPr>
        <w:t xml:space="preserve">echo de acceso a la información pública como el de protección de datos personales al tratarse de información privada. </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045B6F" w:rsidRDefault="00045B6F"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045B6F">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AF3B77" w:rsidRPr="009F71D8" w:rsidRDefault="00AF3B77" w:rsidP="00045B6F">
            <w:pPr>
              <w:spacing w:after="0"/>
              <w:ind w:right="51"/>
              <w:jc w:val="center"/>
              <w:rPr>
                <w:rFonts w:ascii="Palatino Linotype" w:hAnsi="Palatino Linotype"/>
                <w:b/>
                <w:sz w:val="24"/>
                <w:szCs w:val="24"/>
              </w:rPr>
            </w:pPr>
            <w:r w:rsidRPr="007E46A7">
              <w:rPr>
                <w:rFonts w:ascii="Palatino Linotype" w:hAnsi="Palatino Linotype"/>
                <w:b/>
                <w:sz w:val="24"/>
                <w:szCs w:val="24"/>
              </w:rPr>
              <w:t>(RÚBRICA)</w:t>
            </w:r>
          </w:p>
        </w:tc>
      </w:tr>
    </w:tbl>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906ECD">
        <w:rPr>
          <w:rFonts w:ascii="Palatino Linotype" w:hAnsi="Palatino Linotype" w:cs="Arial"/>
          <w:bCs/>
          <w:sz w:val="20"/>
          <w:szCs w:val="20"/>
        </w:rPr>
        <w:t>0001/INFOEM/IP/RR/2020</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906ECD">
        <w:rPr>
          <w:rFonts w:ascii="Palatino Linotype" w:hAnsi="Palatino Linotype" w:cs="Arial"/>
          <w:bCs/>
          <w:sz w:val="20"/>
          <w:szCs w:val="20"/>
        </w:rPr>
        <w:t>once de marzo</w:t>
      </w:r>
      <w:r w:rsidR="00AF3B77">
        <w:rPr>
          <w:rFonts w:ascii="Palatino Linotype" w:hAnsi="Palatino Linotype" w:cs="Arial"/>
          <w:bCs/>
          <w:sz w:val="20"/>
          <w:szCs w:val="20"/>
        </w:rPr>
        <w:t xml:space="preserve"> </w:t>
      </w:r>
      <w:r w:rsidR="007F0383">
        <w:rPr>
          <w:rFonts w:ascii="Palatino Linotype" w:hAnsi="Palatino Linotype" w:cs="Arial"/>
          <w:bCs/>
          <w:sz w:val="20"/>
          <w:szCs w:val="20"/>
        </w:rPr>
        <w:t>de dos mil veinte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906ECD">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64" w:rsidRDefault="004D7E64" w:rsidP="00222D15">
      <w:pPr>
        <w:spacing w:after="0" w:line="240" w:lineRule="auto"/>
      </w:pPr>
      <w:r>
        <w:separator/>
      </w:r>
    </w:p>
  </w:endnote>
  <w:endnote w:type="continuationSeparator" w:id="0">
    <w:p w:rsidR="004D7E64" w:rsidRDefault="004D7E64"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6B" w:rsidRDefault="00F323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D7E64" w:rsidP="00DC5C4E">
    <w:pPr>
      <w:pStyle w:val="Piedepgina"/>
      <w:tabs>
        <w:tab w:val="clear" w:pos="4252"/>
        <w:tab w:val="left" w:pos="4228"/>
      </w:tabs>
      <w:rPr>
        <w:rFonts w:ascii="Palatino Linotype" w:hAnsi="Palatino Linotype" w:cs="Arial"/>
        <w:b/>
        <w:bCs/>
        <w:sz w:val="20"/>
        <w:szCs w:val="20"/>
      </w:rPr>
    </w:pPr>
  </w:p>
  <w:p w:rsidR="005C7C8F" w:rsidRDefault="004D7E64" w:rsidP="00DC5C4E">
    <w:pPr>
      <w:pStyle w:val="Piedepgina"/>
      <w:tabs>
        <w:tab w:val="clear" w:pos="4252"/>
        <w:tab w:val="left" w:pos="4228"/>
      </w:tabs>
      <w:rPr>
        <w:rFonts w:ascii="Palatino Linotype" w:hAnsi="Palatino Linotype" w:cs="Arial"/>
        <w:b/>
        <w:bCs/>
        <w:sz w:val="20"/>
        <w:szCs w:val="20"/>
      </w:rPr>
    </w:pPr>
  </w:p>
  <w:p w:rsidR="005C7C8F" w:rsidRDefault="004D7E64" w:rsidP="00DC5C4E">
    <w:pPr>
      <w:pStyle w:val="Piedepgina"/>
      <w:tabs>
        <w:tab w:val="clear" w:pos="4252"/>
        <w:tab w:val="left" w:pos="4228"/>
      </w:tabs>
      <w:rPr>
        <w:rFonts w:ascii="Palatino Linotype" w:hAnsi="Palatino Linotype" w:cs="Arial"/>
        <w:b/>
        <w:bCs/>
        <w:sz w:val="20"/>
        <w:szCs w:val="20"/>
      </w:rPr>
    </w:pPr>
  </w:p>
  <w:p w:rsidR="005C7C8F" w:rsidRDefault="004D7E64"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E46A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E46A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4D7E64" w:rsidP="00DC5C4E">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6B" w:rsidRDefault="00F323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64" w:rsidRDefault="004D7E64" w:rsidP="00222D15">
      <w:pPr>
        <w:spacing w:after="0" w:line="240" w:lineRule="auto"/>
      </w:pPr>
      <w:r>
        <w:separator/>
      </w:r>
    </w:p>
  </w:footnote>
  <w:footnote w:type="continuationSeparator" w:id="0">
    <w:p w:rsidR="004D7E64" w:rsidRDefault="004D7E64"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D7E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39969" o:spid="_x0000_s2049" type="#_x0000_t136" style="position:absolute;margin-left:0;margin-top:0;width:559.05pt;height:83.85pt;rotation:315;z-index:-25165926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4D7E64"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4D7E64"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3C3FE7" w:rsidRPr="003C3FE7">
      <w:rPr>
        <w:rFonts w:ascii="Palatino Linotype" w:hAnsi="Palatino Linotype" w:cs="Arial"/>
        <w:sz w:val="20"/>
        <w:szCs w:val="20"/>
      </w:rPr>
      <w:t>00001/INFOEM/IP/RR/2020</w:t>
    </w:r>
  </w:p>
  <w:p w:rsidR="00D406EF" w:rsidRDefault="004D7E64"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39970" o:spid="_x0000_s2050" type="#_x0000_t136" style="position:absolute;left:0;text-align:left;margin-left:0;margin-top:0;width:559.05pt;height:83.8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D7E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39968" o:spid="_x0000_s2051" type="#_x0000_t136" style="position:absolute;margin-left:0;margin-top:0;width:559.05pt;height:83.85pt;rotation:315;z-index:-25165721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541E1A"/>
    <w:multiLevelType w:val="hybridMultilevel"/>
    <w:tmpl w:val="4CDE2E4A"/>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5EA8288C"/>
    <w:multiLevelType w:val="hybridMultilevel"/>
    <w:tmpl w:val="8F843E6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6"/>
  </w:num>
  <w:num w:numId="9">
    <w:abstractNumId w:val="13"/>
  </w:num>
  <w:num w:numId="10">
    <w:abstractNumId w:val="1"/>
  </w:num>
  <w:num w:numId="11">
    <w:abstractNumId w:val="4"/>
  </w:num>
  <w:num w:numId="12">
    <w:abstractNumId w:val="5"/>
  </w:num>
  <w:num w:numId="13">
    <w:abstractNumId w:val="11"/>
  </w:num>
  <w:num w:numId="14">
    <w:abstractNumId w:val="8"/>
  </w:num>
  <w:num w:numId="15">
    <w:abstractNumId w:val="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45B6F"/>
    <w:rsid w:val="00081767"/>
    <w:rsid w:val="0008352F"/>
    <w:rsid w:val="000B3CE1"/>
    <w:rsid w:val="000B643B"/>
    <w:rsid w:val="000D3E21"/>
    <w:rsid w:val="00121F69"/>
    <w:rsid w:val="001354EB"/>
    <w:rsid w:val="0013576C"/>
    <w:rsid w:val="001375AB"/>
    <w:rsid w:val="00142B10"/>
    <w:rsid w:val="00177DDB"/>
    <w:rsid w:val="001B737F"/>
    <w:rsid w:val="001F5492"/>
    <w:rsid w:val="00222D15"/>
    <w:rsid w:val="002670F4"/>
    <w:rsid w:val="00267DAC"/>
    <w:rsid w:val="00280712"/>
    <w:rsid w:val="002B43B8"/>
    <w:rsid w:val="002E656B"/>
    <w:rsid w:val="002F537D"/>
    <w:rsid w:val="00303FB7"/>
    <w:rsid w:val="0030441A"/>
    <w:rsid w:val="00304C76"/>
    <w:rsid w:val="0032523A"/>
    <w:rsid w:val="00333EEC"/>
    <w:rsid w:val="00334792"/>
    <w:rsid w:val="00352450"/>
    <w:rsid w:val="00352721"/>
    <w:rsid w:val="00363930"/>
    <w:rsid w:val="00387A19"/>
    <w:rsid w:val="003A0433"/>
    <w:rsid w:val="003B2D2B"/>
    <w:rsid w:val="003C3FE7"/>
    <w:rsid w:val="003E5AB1"/>
    <w:rsid w:val="003E6C2F"/>
    <w:rsid w:val="003F231C"/>
    <w:rsid w:val="00411FC3"/>
    <w:rsid w:val="004128D7"/>
    <w:rsid w:val="00432008"/>
    <w:rsid w:val="00434F2D"/>
    <w:rsid w:val="0046713B"/>
    <w:rsid w:val="004773D0"/>
    <w:rsid w:val="004801C3"/>
    <w:rsid w:val="0049469C"/>
    <w:rsid w:val="004A2D8C"/>
    <w:rsid w:val="004B607A"/>
    <w:rsid w:val="004B622D"/>
    <w:rsid w:val="004B7753"/>
    <w:rsid w:val="004D7E64"/>
    <w:rsid w:val="004E7395"/>
    <w:rsid w:val="004F1058"/>
    <w:rsid w:val="004F307F"/>
    <w:rsid w:val="004F3722"/>
    <w:rsid w:val="0051785B"/>
    <w:rsid w:val="00517C66"/>
    <w:rsid w:val="00520810"/>
    <w:rsid w:val="005327CF"/>
    <w:rsid w:val="00534C05"/>
    <w:rsid w:val="00541D04"/>
    <w:rsid w:val="00563884"/>
    <w:rsid w:val="00571F3C"/>
    <w:rsid w:val="005848D9"/>
    <w:rsid w:val="0059520B"/>
    <w:rsid w:val="005D1C17"/>
    <w:rsid w:val="005E0490"/>
    <w:rsid w:val="005E0746"/>
    <w:rsid w:val="005F2664"/>
    <w:rsid w:val="006079F6"/>
    <w:rsid w:val="00640D83"/>
    <w:rsid w:val="00642D83"/>
    <w:rsid w:val="006537E7"/>
    <w:rsid w:val="00657587"/>
    <w:rsid w:val="00661074"/>
    <w:rsid w:val="00692DB6"/>
    <w:rsid w:val="00694104"/>
    <w:rsid w:val="006A112C"/>
    <w:rsid w:val="006D6DB2"/>
    <w:rsid w:val="00702877"/>
    <w:rsid w:val="00740A94"/>
    <w:rsid w:val="0075624F"/>
    <w:rsid w:val="00772859"/>
    <w:rsid w:val="00784D68"/>
    <w:rsid w:val="00787DD5"/>
    <w:rsid w:val="00792EC9"/>
    <w:rsid w:val="007A3711"/>
    <w:rsid w:val="007E46A7"/>
    <w:rsid w:val="007F0383"/>
    <w:rsid w:val="007F36C7"/>
    <w:rsid w:val="008C3005"/>
    <w:rsid w:val="008C3EA5"/>
    <w:rsid w:val="008C4B77"/>
    <w:rsid w:val="00906ECD"/>
    <w:rsid w:val="00920D70"/>
    <w:rsid w:val="0092300F"/>
    <w:rsid w:val="0093139F"/>
    <w:rsid w:val="009A5EFD"/>
    <w:rsid w:val="009C0562"/>
    <w:rsid w:val="009F1B96"/>
    <w:rsid w:val="00A55C30"/>
    <w:rsid w:val="00A85D7A"/>
    <w:rsid w:val="00A86CD7"/>
    <w:rsid w:val="00AA2FDF"/>
    <w:rsid w:val="00AC0AFF"/>
    <w:rsid w:val="00AE1C6B"/>
    <w:rsid w:val="00AE2A5E"/>
    <w:rsid w:val="00AE4B1F"/>
    <w:rsid w:val="00AE56B4"/>
    <w:rsid w:val="00AF155E"/>
    <w:rsid w:val="00AF3B77"/>
    <w:rsid w:val="00B26C8F"/>
    <w:rsid w:val="00B32D33"/>
    <w:rsid w:val="00B41A82"/>
    <w:rsid w:val="00B41EAB"/>
    <w:rsid w:val="00B65E8A"/>
    <w:rsid w:val="00BA7978"/>
    <w:rsid w:val="00BB2976"/>
    <w:rsid w:val="00BB75BA"/>
    <w:rsid w:val="00BC647D"/>
    <w:rsid w:val="00BF0709"/>
    <w:rsid w:val="00C10C4B"/>
    <w:rsid w:val="00C10CE9"/>
    <w:rsid w:val="00C176BF"/>
    <w:rsid w:val="00C23B43"/>
    <w:rsid w:val="00C24E54"/>
    <w:rsid w:val="00C3408B"/>
    <w:rsid w:val="00C456B5"/>
    <w:rsid w:val="00C76FD9"/>
    <w:rsid w:val="00C83DFF"/>
    <w:rsid w:val="00C8453B"/>
    <w:rsid w:val="00C92D53"/>
    <w:rsid w:val="00C9714C"/>
    <w:rsid w:val="00CB35F6"/>
    <w:rsid w:val="00CB3EA9"/>
    <w:rsid w:val="00CC2047"/>
    <w:rsid w:val="00CD75F6"/>
    <w:rsid w:val="00CE3D7A"/>
    <w:rsid w:val="00D05991"/>
    <w:rsid w:val="00D0762E"/>
    <w:rsid w:val="00D2793E"/>
    <w:rsid w:val="00D34ECE"/>
    <w:rsid w:val="00D455F4"/>
    <w:rsid w:val="00D67AAB"/>
    <w:rsid w:val="00D72673"/>
    <w:rsid w:val="00D83EB3"/>
    <w:rsid w:val="00D9781B"/>
    <w:rsid w:val="00DB51E4"/>
    <w:rsid w:val="00DB79F9"/>
    <w:rsid w:val="00DC72AD"/>
    <w:rsid w:val="00DD6808"/>
    <w:rsid w:val="00DE19BE"/>
    <w:rsid w:val="00E02985"/>
    <w:rsid w:val="00E43478"/>
    <w:rsid w:val="00E45F71"/>
    <w:rsid w:val="00E471A2"/>
    <w:rsid w:val="00E47517"/>
    <w:rsid w:val="00E52247"/>
    <w:rsid w:val="00E56331"/>
    <w:rsid w:val="00E838CF"/>
    <w:rsid w:val="00E842B6"/>
    <w:rsid w:val="00E97C45"/>
    <w:rsid w:val="00EA3494"/>
    <w:rsid w:val="00EB3365"/>
    <w:rsid w:val="00EB621D"/>
    <w:rsid w:val="00EC447A"/>
    <w:rsid w:val="00ED22F1"/>
    <w:rsid w:val="00ED29D1"/>
    <w:rsid w:val="00EE0542"/>
    <w:rsid w:val="00EE67AD"/>
    <w:rsid w:val="00F3236B"/>
    <w:rsid w:val="00F3668C"/>
    <w:rsid w:val="00F367F5"/>
    <w:rsid w:val="00F40159"/>
    <w:rsid w:val="00F5763D"/>
    <w:rsid w:val="00F7093C"/>
    <w:rsid w:val="00F70C03"/>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331"/>
    <w:rPr>
      <w:sz w:val="20"/>
      <w:szCs w:val="20"/>
    </w:rPr>
  </w:style>
  <w:style w:type="table" w:styleId="Tablaconcuadrcula">
    <w:name w:val="Table Grid"/>
    <w:basedOn w:val="Tablanormal"/>
    <w:uiPriority w:val="59"/>
    <w:rsid w:val="003252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325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E28F8-71DB-4F76-B0D0-2F8F89F9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1689</Words>
  <Characters>9290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benjamin aguilar martinez</cp:lastModifiedBy>
  <cp:revision>6</cp:revision>
  <cp:lastPrinted>2020-02-04T20:11:00Z</cp:lastPrinted>
  <dcterms:created xsi:type="dcterms:W3CDTF">2020-03-17T20:45:00Z</dcterms:created>
  <dcterms:modified xsi:type="dcterms:W3CDTF">2020-04-29T19:40:00Z</dcterms:modified>
</cp:coreProperties>
</file>