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0B1" w:rsidRPr="0051065C" w:rsidRDefault="001420B1" w:rsidP="001420B1">
      <w:pPr>
        <w:spacing w:before="240" w:after="240" w:line="360" w:lineRule="auto"/>
        <w:jc w:val="center"/>
        <w:rPr>
          <w:rFonts w:ascii="Palatino Linotype" w:eastAsia="Times New Roman" w:hAnsi="Palatino Linotype" w:cs="Times New Roman"/>
          <w:b/>
          <w:sz w:val="24"/>
          <w:szCs w:val="24"/>
          <w:lang w:val="es-ES_tradnl" w:eastAsia="es-ES_tradnl"/>
        </w:rPr>
      </w:pPr>
      <w:r w:rsidRPr="0051065C">
        <w:rPr>
          <w:rFonts w:ascii="Palatino Linotype" w:eastAsia="Times New Roman" w:hAnsi="Palatino Linotype" w:cs="Times New Roman"/>
          <w:b/>
          <w:sz w:val="24"/>
          <w:szCs w:val="24"/>
          <w:lang w:val="es-ES_tradnl" w:eastAsia="es-ES_tradnl"/>
        </w:rPr>
        <w:t>RESUMEN DE LA RESOLUCIÓN</w:t>
      </w:r>
    </w:p>
    <w:p w:rsidR="001420B1"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bookmarkStart w:id="0" w:name="_Toc476570283"/>
      <w:r w:rsidRPr="0051065C">
        <w:rPr>
          <w:rFonts w:ascii="Palatino Linotype" w:eastAsia="Times New Roman" w:hAnsi="Palatino Linotype" w:cs="Times New Roman"/>
          <w:sz w:val="24"/>
          <w:szCs w:val="24"/>
          <w:lang w:val="es-ES_tradnl" w:eastAsia="es-ES_tradnl"/>
        </w:rPr>
        <w:t>El artículo 160 de la Ley General Transparencia y Acceso a la Información Pública, delimita de manera categórica,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1420B1"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Resulta evidente, incuestionable e indiscutible que la resolución recurrida, dictada por este Órgano Garante en fecha siete (07) de octubre de dos mil veinte</w:t>
      </w:r>
      <w:r w:rsidR="008F0A72" w:rsidRPr="0051065C">
        <w:rPr>
          <w:rFonts w:ascii="Palatino Linotype" w:eastAsia="Times New Roman" w:hAnsi="Palatino Linotype" w:cs="Times New Roman"/>
          <w:sz w:val="24"/>
          <w:szCs w:val="24"/>
          <w:lang w:val="es-ES_tradnl" w:eastAsia="es-ES_tradnl"/>
        </w:rPr>
        <w:t>, en el recurso de revisión 2743</w:t>
      </w:r>
      <w:r w:rsidRPr="0051065C">
        <w:rPr>
          <w:rFonts w:ascii="Palatino Linotype" w:eastAsia="Times New Roman" w:hAnsi="Palatino Linotype" w:cs="Times New Roman"/>
          <w:sz w:val="24"/>
          <w:szCs w:val="24"/>
          <w:lang w:val="es-ES_tradnl" w:eastAsia="es-ES_tradnl"/>
        </w:rPr>
        <w:t>/INFOEM/IP/RR/2020 y acumulado, no implica ninguno de los supuestos anteriores, por lo que al estar evidenciado que no se colmaban los supuestos necesarios para la procedencia, puede afectarse el principio de legalidad; principio fundamental, conforme al cual todo ejercicio de un poder público debe realizarse acorde a la ley vigente y su jurisdicción y no a la voluntad de las personas.</w:t>
      </w:r>
    </w:p>
    <w:p w:rsidR="001420B1"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El recurso de inconformidad nace como un medio de impugnación efectivo, sencillo y rápido, para remediar o impedir prácticas que limitan el ejercicio efectivo del derecho de acceso a la información; no </w:t>
      </w:r>
      <w:proofErr w:type="gramStart"/>
      <w:r w:rsidRPr="0051065C">
        <w:rPr>
          <w:rFonts w:ascii="Palatino Linotype" w:eastAsia="Times New Roman" w:hAnsi="Palatino Linotype" w:cs="Times New Roman"/>
          <w:sz w:val="24"/>
          <w:szCs w:val="24"/>
          <w:lang w:val="es-ES_tradnl" w:eastAsia="es-ES_tradnl"/>
        </w:rPr>
        <w:t>obstante</w:t>
      </w:r>
      <w:proofErr w:type="gramEnd"/>
      <w:r w:rsidRPr="0051065C">
        <w:rPr>
          <w:rFonts w:ascii="Palatino Linotype" w:eastAsia="Times New Roman" w:hAnsi="Palatino Linotype" w:cs="Times New Roman"/>
          <w:sz w:val="24"/>
          <w:szCs w:val="24"/>
          <w:lang w:val="es-ES_tradnl" w:eastAsia="es-ES_tradnl"/>
        </w:rPr>
        <w:t xml:space="preserve"> la resolución al recurso de inconformidad 122/20, instruye a este Instituto para que emita una nueva resolución </w:t>
      </w:r>
    </w:p>
    <w:p w:rsidR="001D32B9"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lastRenderedPageBreak/>
        <w:t>en la que ordene al Ayuntamiento de Ixtapan de la Sal realizar la entrega de “toda la información y documentación generada en el proceso de regularización de bienes inmuebles en cumplimiento de la atribución que le confiere el artículo 53 fracción VIII de la Ley Orgánica Municipal del Estado de México y toda la información y documentación generada en el proceso de inscripción de los bienes inmuebles municipales en el Registro Público de la Propiedad, hoy Instituto de la Función Registral, en cumplimiento de la atribución que le confiere el artículo 53 fracción IX de la Ley Orgánica Municipal del Estado de México”,</w:t>
      </w:r>
      <w:r w:rsidR="001D32B9" w:rsidRPr="0051065C">
        <w:rPr>
          <w:rFonts w:ascii="Palatino Linotype" w:eastAsia="Times New Roman" w:hAnsi="Palatino Linotype" w:cs="Times New Roman"/>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en todas las modalidades autorizadas por la Ley local en la materia, entre las que deberá incluir la expedición de copias simples y certificadas, así como la opción de envío, comunicando los costos que tales conceptos generen, así como la inclusión de la modalidad ya otorgada (consulta directa).</w:t>
      </w:r>
    </w:p>
    <w:p w:rsidR="001420B1"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Arial"/>
          <w:sz w:val="24"/>
          <w:szCs w:val="24"/>
          <w:lang w:val="es-ES_tradnl" w:eastAsia="es-MX"/>
        </w:rPr>
        <w:t>L</w:t>
      </w:r>
      <w:r w:rsidRPr="0051065C">
        <w:rPr>
          <w:rFonts w:ascii="Palatino Linotype" w:eastAsia="Times New Roman" w:hAnsi="Palatino Linotype" w:cs="Times New Roman"/>
          <w:sz w:val="24"/>
          <w:szCs w:val="24"/>
          <w:lang w:val="es-ES_tradnl" w:eastAsia="es-ES_tradnl"/>
        </w:rPr>
        <w:t xml:space="preserve">o que resulta inverso a los principios </w:t>
      </w:r>
      <w:r w:rsidRPr="0051065C">
        <w:rPr>
          <w:rFonts w:ascii="Palatino Linotype" w:eastAsia="MS Mincho" w:hAnsi="Palatino Linotype" w:cs="Times New Roman"/>
          <w:sz w:val="24"/>
          <w:szCs w:val="24"/>
          <w:lang w:val="es-ES_tradnl" w:eastAsia="es-ES_tradnl"/>
        </w:rPr>
        <w:t>de simplicidad y rapidez, bajo los cuales se rige el derecho de acceso a la información, y a los cuales dio observancia este Instituto a</w:t>
      </w:r>
      <w:r w:rsidR="00621CD1" w:rsidRPr="0051065C">
        <w:rPr>
          <w:rFonts w:ascii="Palatino Linotype" w:eastAsia="MS Mincho" w:hAnsi="Palatino Linotype" w:cs="Times New Roman"/>
          <w:sz w:val="24"/>
          <w:szCs w:val="24"/>
          <w:lang w:val="es-ES_tradnl" w:eastAsia="es-ES_tradnl"/>
        </w:rPr>
        <w:t>l emitir su resolución de fecha</w:t>
      </w:r>
      <w:r w:rsidRPr="0051065C">
        <w:rPr>
          <w:rFonts w:ascii="Palatino Linotype" w:eastAsia="MS Mincho" w:hAnsi="Palatino Linotype" w:cs="Times New Roman"/>
          <w:sz w:val="24"/>
          <w:szCs w:val="24"/>
          <w:lang w:val="es-ES_tradnl" w:eastAsia="es-ES_tradnl"/>
        </w:rPr>
        <w:t xml:space="preserve"> siete (07) de octubre de dos mil veinte.</w:t>
      </w:r>
    </w:p>
    <w:p w:rsidR="001420B1"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p>
    <w:p w:rsidR="001420B1" w:rsidRPr="0051065C" w:rsidRDefault="001420B1" w:rsidP="001420B1">
      <w:pPr>
        <w:spacing w:before="240" w:after="240" w:line="360" w:lineRule="auto"/>
        <w:jc w:val="both"/>
        <w:rPr>
          <w:rFonts w:ascii="Palatino Linotype" w:eastAsia="Times New Roman" w:hAnsi="Palatino Linotype" w:cs="Times New Roman"/>
          <w:sz w:val="24"/>
          <w:szCs w:val="24"/>
          <w:lang w:val="es-ES_tradnl" w:eastAsia="es-ES_tradnl"/>
        </w:rPr>
      </w:pPr>
    </w:p>
    <w:p w:rsidR="001420B1" w:rsidRPr="0051065C" w:rsidRDefault="001420B1" w:rsidP="001420B1">
      <w:pPr>
        <w:spacing w:before="240" w:after="240" w:line="360" w:lineRule="auto"/>
        <w:jc w:val="both"/>
        <w:rPr>
          <w:rFonts w:ascii="Palatino Linotype" w:eastAsia="Calibri" w:hAnsi="Palatino Linotype" w:cs="Arial"/>
          <w:b/>
          <w:sz w:val="24"/>
          <w:szCs w:val="24"/>
          <w:lang w:val="es-ES_tradnl" w:eastAsia="es-MX"/>
        </w:rPr>
      </w:pPr>
    </w:p>
    <w:p w:rsidR="001420B1" w:rsidRPr="0051065C" w:rsidRDefault="001420B1" w:rsidP="001420B1">
      <w:pPr>
        <w:spacing w:before="240" w:after="240" w:line="360" w:lineRule="auto"/>
        <w:jc w:val="both"/>
        <w:rPr>
          <w:rFonts w:ascii="Palatino Linotype" w:eastAsia="Calibri" w:hAnsi="Palatino Linotype" w:cs="Arial"/>
          <w:b/>
          <w:sz w:val="24"/>
          <w:szCs w:val="24"/>
          <w:lang w:val="es-ES_tradnl" w:eastAsia="es-MX"/>
        </w:rPr>
      </w:pPr>
    </w:p>
    <w:bookmarkEnd w:id="0"/>
    <w:p w:rsidR="001420B1" w:rsidRPr="0051065C" w:rsidRDefault="001420B1" w:rsidP="001420B1">
      <w:pPr>
        <w:spacing w:before="240" w:after="240" w:line="276" w:lineRule="auto"/>
        <w:jc w:val="center"/>
        <w:rPr>
          <w:rFonts w:ascii="Palatino Linotype" w:eastAsia="Times New Roman" w:hAnsi="Palatino Linotype" w:cs="Times New Roman"/>
          <w:sz w:val="28"/>
          <w:szCs w:val="28"/>
          <w:lang w:val="es-ES_tradnl" w:eastAsia="es-ES_tradnl"/>
        </w:rPr>
      </w:pPr>
      <w:r w:rsidRPr="0051065C">
        <w:rPr>
          <w:rFonts w:ascii="Palatino Linotype" w:eastAsia="Times New Roman" w:hAnsi="Palatino Linotype" w:cs="Times New Roman"/>
          <w:b/>
          <w:sz w:val="28"/>
          <w:szCs w:val="28"/>
          <w:lang w:val="es-ES_tradnl" w:eastAsia="es-ES_tradnl"/>
        </w:rPr>
        <w:lastRenderedPageBreak/>
        <w:t>Índice</w:t>
      </w:r>
      <w:r w:rsidRPr="0051065C">
        <w:rPr>
          <w:rFonts w:ascii="Palatino Linotype" w:eastAsia="Times New Roman" w:hAnsi="Palatino Linotype" w:cs="Times New Roman"/>
          <w:sz w:val="28"/>
          <w:szCs w:val="28"/>
          <w:lang w:val="es-ES_tradnl" w:eastAsia="es-ES_tradnl"/>
        </w:rPr>
        <w:t>.</w:t>
      </w:r>
    </w:p>
    <w:sdt>
      <w:sdtPr>
        <w:rPr>
          <w:rFonts w:ascii="Palatino Linotype" w:eastAsiaTheme="minorEastAsia" w:hAnsi="Palatino Linotype"/>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1420B1" w:rsidRPr="0051065C" w:rsidRDefault="001420B1" w:rsidP="00975693">
          <w:pPr>
            <w:keepNext/>
            <w:keepLines/>
            <w:spacing w:before="240" w:after="0" w:line="276" w:lineRule="auto"/>
            <w:jc w:val="both"/>
            <w:rPr>
              <w:rFonts w:ascii="Palatino Linotype" w:eastAsiaTheme="majorEastAsia" w:hAnsi="Palatino Linotype" w:cstheme="majorBidi"/>
              <w:sz w:val="28"/>
              <w:szCs w:val="28"/>
              <w:lang w:val="es-ES_tradnl" w:eastAsia="es-MX"/>
            </w:rPr>
          </w:pPr>
        </w:p>
        <w:p w:rsidR="00975693" w:rsidRPr="0051065C" w:rsidRDefault="001420B1" w:rsidP="00975693">
          <w:pPr>
            <w:pStyle w:val="TDC1"/>
            <w:spacing w:line="276" w:lineRule="auto"/>
            <w:rPr>
              <w:rFonts w:asciiTheme="minorHAnsi" w:eastAsiaTheme="minorEastAsia" w:hAnsiTheme="minorHAnsi" w:cstheme="minorBidi"/>
              <w:noProof/>
              <w:sz w:val="22"/>
              <w:szCs w:val="22"/>
              <w:lang w:val="es-MX" w:eastAsia="es-MX"/>
            </w:rPr>
          </w:pPr>
          <w:r w:rsidRPr="0051065C">
            <w:rPr>
              <w:rFonts w:ascii="Palatino Linotype" w:hAnsi="Palatino Linotype"/>
              <w:sz w:val="28"/>
              <w:szCs w:val="28"/>
              <w:lang w:val="es-ES_tradnl"/>
            </w:rPr>
            <w:fldChar w:fldCharType="begin"/>
          </w:r>
          <w:r w:rsidRPr="0051065C">
            <w:rPr>
              <w:rFonts w:ascii="Palatino Linotype" w:hAnsi="Palatino Linotype"/>
              <w:sz w:val="28"/>
              <w:szCs w:val="28"/>
              <w:lang w:val="es-ES_tradnl"/>
            </w:rPr>
            <w:instrText xml:space="preserve"> TOC \o "1-3" \h \z \u </w:instrText>
          </w:r>
          <w:r w:rsidRPr="0051065C">
            <w:rPr>
              <w:rFonts w:ascii="Palatino Linotype" w:hAnsi="Palatino Linotype"/>
              <w:sz w:val="28"/>
              <w:szCs w:val="28"/>
              <w:lang w:val="es-ES_tradnl"/>
            </w:rPr>
            <w:fldChar w:fldCharType="separate"/>
          </w:r>
          <w:hyperlink w:anchor="_Toc65147979" w:history="1">
            <w:r w:rsidR="00975693" w:rsidRPr="0051065C">
              <w:rPr>
                <w:rStyle w:val="Hipervnculo"/>
                <w:rFonts w:ascii="Palatino Linotype" w:hAnsi="Palatino Linotype"/>
                <w:b/>
                <w:noProof/>
                <w:lang w:val="es-ES_tradnl"/>
              </w:rPr>
              <w:t>ANTECEDENTES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_Toc65147979 \h </w:instrText>
            </w:r>
            <w:r w:rsidR="00975693" w:rsidRPr="0051065C">
              <w:rPr>
                <w:noProof/>
                <w:webHidden/>
              </w:rPr>
            </w:r>
            <w:r w:rsidR="00975693" w:rsidRPr="0051065C">
              <w:rPr>
                <w:noProof/>
                <w:webHidden/>
              </w:rPr>
              <w:fldChar w:fldCharType="separate"/>
            </w:r>
            <w:r w:rsidR="00975693" w:rsidRPr="0051065C">
              <w:rPr>
                <w:noProof/>
                <w:webHidden/>
              </w:rPr>
              <w:t>5</w:t>
            </w:r>
            <w:r w:rsidR="00975693" w:rsidRPr="0051065C">
              <w:rPr>
                <w:noProof/>
                <w:webHidden/>
              </w:rPr>
              <w:fldChar w:fldCharType="end"/>
            </w:r>
          </w:hyperlink>
        </w:p>
        <w:p w:rsidR="00975693" w:rsidRPr="0051065C" w:rsidRDefault="008F1E1A" w:rsidP="00975693">
          <w:pPr>
            <w:pStyle w:val="TDC1"/>
            <w:spacing w:line="276" w:lineRule="auto"/>
            <w:rPr>
              <w:rFonts w:asciiTheme="minorHAnsi" w:eastAsiaTheme="minorEastAsia" w:hAnsiTheme="minorHAnsi" w:cstheme="minorBidi"/>
              <w:noProof/>
              <w:sz w:val="22"/>
              <w:szCs w:val="22"/>
              <w:lang w:val="es-MX" w:eastAsia="es-MX"/>
            </w:rPr>
          </w:pPr>
          <w:hyperlink w:anchor="_Toc65147980" w:history="1">
            <w:r w:rsidR="00975693" w:rsidRPr="0051065C">
              <w:rPr>
                <w:rStyle w:val="Hipervnculo"/>
                <w:rFonts w:ascii="Palatino Linotype" w:hAnsi="Palatino Linotype"/>
                <w:b/>
                <w:noProof/>
                <w:lang w:val="es-ES_tradnl"/>
              </w:rPr>
              <w:t>CONSIDERANDO</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_Toc65147980 \h </w:instrText>
            </w:r>
            <w:r w:rsidR="00975693" w:rsidRPr="0051065C">
              <w:rPr>
                <w:noProof/>
                <w:webHidden/>
              </w:rPr>
            </w:r>
            <w:r w:rsidR="00975693" w:rsidRPr="0051065C">
              <w:rPr>
                <w:noProof/>
                <w:webHidden/>
              </w:rPr>
              <w:fldChar w:fldCharType="separate"/>
            </w:r>
            <w:r w:rsidR="00975693" w:rsidRPr="0051065C">
              <w:rPr>
                <w:noProof/>
                <w:webHidden/>
              </w:rPr>
              <w:t>13</w:t>
            </w:r>
            <w:r w:rsidR="00975693" w:rsidRPr="0051065C">
              <w:rPr>
                <w:noProof/>
                <w:webHidden/>
              </w:rPr>
              <w:fldChar w:fldCharType="end"/>
            </w:r>
          </w:hyperlink>
        </w:p>
        <w:p w:rsidR="00975693" w:rsidRPr="0051065C" w:rsidRDefault="008F1E1A" w:rsidP="00975693">
          <w:pPr>
            <w:pStyle w:val="TDC1"/>
            <w:spacing w:line="276" w:lineRule="auto"/>
            <w:rPr>
              <w:rFonts w:asciiTheme="minorHAnsi" w:eastAsiaTheme="minorEastAsia" w:hAnsiTheme="minorHAnsi" w:cstheme="minorBidi"/>
              <w:noProof/>
              <w:sz w:val="22"/>
              <w:szCs w:val="22"/>
              <w:lang w:val="es-MX" w:eastAsia="es-MX"/>
            </w:rPr>
          </w:pPr>
          <w:hyperlink w:anchor="_Toc65147981" w:history="1">
            <w:r w:rsidR="00975693" w:rsidRPr="0051065C">
              <w:rPr>
                <w:rStyle w:val="Hipervnculo"/>
                <w:rFonts w:ascii="Palatino Linotype" w:hAnsi="Palatino Linotype"/>
                <w:b/>
                <w:noProof/>
                <w:lang w:val="es-ES_tradnl"/>
              </w:rPr>
              <w:t>PRIMERO. Atribuciones del INAI</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_Toc65147981 \h </w:instrText>
            </w:r>
            <w:r w:rsidR="00975693" w:rsidRPr="0051065C">
              <w:rPr>
                <w:noProof/>
                <w:webHidden/>
              </w:rPr>
            </w:r>
            <w:r w:rsidR="00975693" w:rsidRPr="0051065C">
              <w:rPr>
                <w:noProof/>
                <w:webHidden/>
              </w:rPr>
              <w:fldChar w:fldCharType="separate"/>
            </w:r>
            <w:r w:rsidR="00975693" w:rsidRPr="0051065C">
              <w:rPr>
                <w:noProof/>
                <w:webHidden/>
              </w:rPr>
              <w:t>13</w:t>
            </w:r>
            <w:r w:rsidR="00975693" w:rsidRPr="0051065C">
              <w:rPr>
                <w:noProof/>
                <w:webHidden/>
              </w:rPr>
              <w:fldChar w:fldCharType="end"/>
            </w:r>
          </w:hyperlink>
        </w:p>
        <w:p w:rsidR="00975693" w:rsidRPr="0051065C" w:rsidRDefault="008F1E1A" w:rsidP="00975693">
          <w:pPr>
            <w:pStyle w:val="TDC1"/>
            <w:spacing w:line="276" w:lineRule="auto"/>
            <w:rPr>
              <w:rFonts w:asciiTheme="minorHAnsi" w:eastAsiaTheme="minorEastAsia" w:hAnsiTheme="minorHAnsi" w:cstheme="minorBidi"/>
              <w:noProof/>
              <w:sz w:val="22"/>
              <w:szCs w:val="22"/>
              <w:lang w:val="es-MX" w:eastAsia="es-MX"/>
            </w:rPr>
          </w:pPr>
          <w:hyperlink w:anchor="_Toc65147982" w:history="1">
            <w:r w:rsidR="00975693" w:rsidRPr="0051065C">
              <w:rPr>
                <w:rStyle w:val="Hipervnculo"/>
                <w:rFonts w:ascii="Palatino Linotype" w:hAnsi="Palatino Linotype"/>
                <w:b/>
                <w:noProof/>
                <w:lang w:val="es-ES_tradnl"/>
              </w:rPr>
              <w:t>SEGUNDO. Resolución y efectos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_Toc65147982 \h </w:instrText>
            </w:r>
            <w:r w:rsidR="00975693" w:rsidRPr="0051065C">
              <w:rPr>
                <w:noProof/>
                <w:webHidden/>
              </w:rPr>
            </w:r>
            <w:r w:rsidR="00975693" w:rsidRPr="0051065C">
              <w:rPr>
                <w:noProof/>
                <w:webHidden/>
              </w:rPr>
              <w:fldChar w:fldCharType="separate"/>
            </w:r>
            <w:r w:rsidR="00975693" w:rsidRPr="0051065C">
              <w:rPr>
                <w:noProof/>
                <w:webHidden/>
              </w:rPr>
              <w:t>14</w:t>
            </w:r>
            <w:r w:rsidR="00975693" w:rsidRPr="0051065C">
              <w:rPr>
                <w:noProof/>
                <w:webHidden/>
              </w:rPr>
              <w:fldChar w:fldCharType="end"/>
            </w:r>
          </w:hyperlink>
        </w:p>
        <w:p w:rsidR="00975693" w:rsidRPr="0051065C" w:rsidRDefault="008F1E1A" w:rsidP="00975693">
          <w:pPr>
            <w:pStyle w:val="TDC1"/>
            <w:spacing w:line="276" w:lineRule="auto"/>
            <w:rPr>
              <w:rFonts w:asciiTheme="minorHAnsi" w:eastAsiaTheme="minorEastAsia" w:hAnsiTheme="minorHAnsi" w:cstheme="minorBidi"/>
              <w:noProof/>
              <w:sz w:val="22"/>
              <w:szCs w:val="22"/>
              <w:lang w:val="es-MX" w:eastAsia="es-MX"/>
            </w:rPr>
          </w:pPr>
          <w:hyperlink w:anchor="_Toc65147983" w:history="1">
            <w:r w:rsidR="00975693" w:rsidRPr="0051065C">
              <w:rPr>
                <w:rStyle w:val="Hipervnculo"/>
                <w:rFonts w:ascii="Palatino Linotype" w:hAnsi="Palatino Linotype"/>
                <w:b/>
                <w:noProof/>
                <w:lang w:val="es-ES_tradnl"/>
              </w:rPr>
              <w:t>TERCERO. Consideraciones de especial pronunciamiento</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_Toc65147983 \h </w:instrText>
            </w:r>
            <w:r w:rsidR="00975693" w:rsidRPr="0051065C">
              <w:rPr>
                <w:noProof/>
                <w:webHidden/>
              </w:rPr>
            </w:r>
            <w:r w:rsidR="00975693" w:rsidRPr="0051065C">
              <w:rPr>
                <w:noProof/>
                <w:webHidden/>
              </w:rPr>
              <w:fldChar w:fldCharType="separate"/>
            </w:r>
            <w:r w:rsidR="00975693" w:rsidRPr="0051065C">
              <w:rPr>
                <w:noProof/>
                <w:webHidden/>
              </w:rPr>
              <w:t>15</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7984" w:history="1">
            <w:r w:rsidR="00975693" w:rsidRPr="0051065C">
              <w:rPr>
                <w:rStyle w:val="Hipervnculo"/>
                <w:rFonts w:ascii="Palatino Linotype" w:hAnsi="Palatino Linotype"/>
                <w:b/>
                <w:noProof/>
                <w:lang w:val="es-ES_tradnl"/>
              </w:rPr>
              <w:t>I.</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Del Principio de Legalidad</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_Toc65147984 \h </w:instrText>
            </w:r>
            <w:r w:rsidR="00975693" w:rsidRPr="0051065C">
              <w:rPr>
                <w:noProof/>
                <w:webHidden/>
              </w:rPr>
            </w:r>
            <w:r w:rsidR="00975693" w:rsidRPr="0051065C">
              <w:rPr>
                <w:noProof/>
                <w:webHidden/>
              </w:rPr>
              <w:fldChar w:fldCharType="separate"/>
            </w:r>
            <w:r w:rsidR="00975693" w:rsidRPr="0051065C">
              <w:rPr>
                <w:noProof/>
                <w:webHidden/>
              </w:rPr>
              <w:t>15</w:t>
            </w:r>
            <w:r w:rsidR="00975693" w:rsidRPr="0051065C">
              <w:rPr>
                <w:noProof/>
                <w:webHidden/>
              </w:rPr>
              <w:fldChar w:fldCharType="end"/>
            </w:r>
          </w:hyperlink>
        </w:p>
        <w:p w:rsidR="00975693" w:rsidRPr="0051065C" w:rsidRDefault="008F1E1A" w:rsidP="00975693">
          <w:pPr>
            <w:pStyle w:val="TDC2"/>
            <w:spacing w:line="276" w:lineRule="auto"/>
            <w:rPr>
              <w:rFonts w:asciiTheme="minorHAnsi" w:eastAsiaTheme="minorEastAsia" w:hAnsiTheme="minorHAnsi" w:cstheme="minorBidi"/>
              <w:noProof/>
              <w:sz w:val="22"/>
              <w:szCs w:val="22"/>
              <w:lang w:val="es-MX" w:eastAsia="es-MX"/>
            </w:rPr>
          </w:pPr>
          <w:hyperlink w:anchor="_Toc65147985" w:history="1">
            <w:r w:rsidR="00975693" w:rsidRPr="0051065C">
              <w:rPr>
                <w:rStyle w:val="Hipervnculo"/>
                <w:rFonts w:ascii="Palatino Linotype" w:hAnsi="Palatino Linotype"/>
                <w:b/>
                <w:noProof/>
                <w:lang w:val="es-ES_tradnl"/>
              </w:rPr>
              <w:t>II. De las causales legamente establecidas de procedencias del recurso de inconformidad establecido en el Ley General de Transparencia y Acceso a la Información Pública</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_Toc65147985 \h </w:instrText>
            </w:r>
            <w:r w:rsidR="00975693" w:rsidRPr="0051065C">
              <w:rPr>
                <w:noProof/>
                <w:webHidden/>
              </w:rPr>
            </w:r>
            <w:r w:rsidR="00975693" w:rsidRPr="0051065C">
              <w:rPr>
                <w:noProof/>
                <w:webHidden/>
              </w:rPr>
              <w:fldChar w:fldCharType="separate"/>
            </w:r>
            <w:r w:rsidR="00975693" w:rsidRPr="0051065C">
              <w:rPr>
                <w:noProof/>
                <w:webHidden/>
              </w:rPr>
              <w:t>21</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7986" w:history="1">
            <w:r w:rsidR="00975693" w:rsidRPr="0051065C">
              <w:rPr>
                <w:rStyle w:val="Hipervnculo"/>
                <w:rFonts w:ascii="Palatino Linotype" w:hAnsi="Palatino Linotype"/>
                <w:b/>
                <w:noProof/>
                <w:lang w:val="es-ES_tradnl"/>
              </w:rPr>
              <w:t>a.</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Confirmen o modifiquen la clasificación de la información, o</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_Toc65147986 \h </w:instrText>
            </w:r>
            <w:r w:rsidR="00975693" w:rsidRPr="0051065C">
              <w:rPr>
                <w:noProof/>
                <w:webHidden/>
              </w:rPr>
            </w:r>
            <w:r w:rsidR="00975693" w:rsidRPr="0051065C">
              <w:rPr>
                <w:noProof/>
                <w:webHidden/>
              </w:rPr>
              <w:fldChar w:fldCharType="separate"/>
            </w:r>
            <w:r w:rsidR="00975693" w:rsidRPr="0051065C">
              <w:rPr>
                <w:noProof/>
                <w:webHidden/>
              </w:rPr>
              <w:t>23</w:t>
            </w:r>
            <w:r w:rsidR="00975693" w:rsidRPr="0051065C">
              <w:rPr>
                <w:noProof/>
                <w:webHidden/>
              </w:rPr>
              <w:fldChar w:fldCharType="end"/>
            </w:r>
          </w:hyperlink>
        </w:p>
        <w:p w:rsidR="00975693" w:rsidRPr="0051065C" w:rsidRDefault="008F1E1A" w:rsidP="00975693">
          <w:pPr>
            <w:pStyle w:val="TDC2"/>
            <w:spacing w:line="276" w:lineRule="auto"/>
            <w:rPr>
              <w:rFonts w:asciiTheme="minorHAnsi" w:eastAsiaTheme="minorEastAsia" w:hAnsiTheme="minorHAnsi" w:cstheme="minorBidi"/>
              <w:noProof/>
              <w:sz w:val="22"/>
              <w:szCs w:val="22"/>
              <w:lang w:val="es-MX" w:eastAsia="es-MX"/>
            </w:rPr>
          </w:pPr>
          <w:hyperlink w:anchor="_Toc65147987" w:history="1">
            <w:r w:rsidR="00975693" w:rsidRPr="0051065C">
              <w:rPr>
                <w:rStyle w:val="Hipervnculo"/>
                <w:rFonts w:ascii="Palatino Linotype" w:hAnsi="Palatino Linotype"/>
                <w:b/>
                <w:noProof/>
                <w:lang w:val="es-ES_tradnl"/>
              </w:rPr>
              <w:t>b) Confirmen la inexistencia o negativa de información</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_Toc65147987 \h </w:instrText>
            </w:r>
            <w:r w:rsidR="00975693" w:rsidRPr="0051065C">
              <w:rPr>
                <w:noProof/>
                <w:webHidden/>
              </w:rPr>
            </w:r>
            <w:r w:rsidR="00975693" w:rsidRPr="0051065C">
              <w:rPr>
                <w:noProof/>
                <w:webHidden/>
              </w:rPr>
              <w:fldChar w:fldCharType="separate"/>
            </w:r>
            <w:r w:rsidR="00975693" w:rsidRPr="0051065C">
              <w:rPr>
                <w:noProof/>
                <w:webHidden/>
              </w:rPr>
              <w:t>25</w:t>
            </w:r>
            <w:r w:rsidR="00975693" w:rsidRPr="0051065C">
              <w:rPr>
                <w:noProof/>
                <w:webHidden/>
              </w:rPr>
              <w:fldChar w:fldCharType="end"/>
            </w:r>
          </w:hyperlink>
        </w:p>
        <w:p w:rsidR="00975693" w:rsidRPr="0051065C" w:rsidRDefault="008F1E1A" w:rsidP="00975693">
          <w:pPr>
            <w:pStyle w:val="TDC2"/>
            <w:tabs>
              <w:tab w:val="left" w:pos="1320"/>
            </w:tabs>
            <w:spacing w:line="276" w:lineRule="auto"/>
            <w:rPr>
              <w:rFonts w:asciiTheme="minorHAnsi" w:eastAsiaTheme="minorEastAsia" w:hAnsiTheme="minorHAnsi" w:cstheme="minorBidi"/>
              <w:noProof/>
              <w:sz w:val="22"/>
              <w:szCs w:val="22"/>
              <w:lang w:val="es-MX" w:eastAsia="es-MX"/>
            </w:rPr>
          </w:pPr>
          <w:hyperlink w:anchor="_Toc65147988" w:history="1">
            <w:r w:rsidR="00975693" w:rsidRPr="0051065C">
              <w:rPr>
                <w:rStyle w:val="Hipervnculo"/>
                <w:rFonts w:ascii="Palatino Linotype" w:hAnsi="Palatino Linotype"/>
                <w:b/>
                <w:noProof/>
                <w:lang w:val="es-ES_tradnl"/>
              </w:rPr>
              <w:t>III.</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Del Amparo en Revisión 654/18</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_Toc65147988 \h </w:instrText>
            </w:r>
            <w:r w:rsidR="00975693" w:rsidRPr="0051065C">
              <w:rPr>
                <w:noProof/>
                <w:webHidden/>
              </w:rPr>
            </w:r>
            <w:r w:rsidR="00975693" w:rsidRPr="0051065C">
              <w:rPr>
                <w:noProof/>
                <w:webHidden/>
              </w:rPr>
              <w:fldChar w:fldCharType="separate"/>
            </w:r>
            <w:r w:rsidR="00975693" w:rsidRPr="0051065C">
              <w:rPr>
                <w:noProof/>
                <w:webHidden/>
              </w:rPr>
              <w:t>38</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7989" w:history="1">
            <w:r w:rsidR="00975693" w:rsidRPr="0051065C">
              <w:rPr>
                <w:rStyle w:val="Hipervnculo"/>
                <w:rFonts w:ascii="Palatino Linotype" w:hAnsi="Palatino Linotype"/>
                <w:b/>
                <w:noProof/>
                <w:lang w:val="es-ES_tradnl"/>
              </w:rPr>
              <w:t>A.</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Efectos relativos de las sentencias de amparo</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_Toc65147989 \h </w:instrText>
            </w:r>
            <w:r w:rsidR="00975693" w:rsidRPr="0051065C">
              <w:rPr>
                <w:noProof/>
                <w:webHidden/>
              </w:rPr>
            </w:r>
            <w:r w:rsidR="00975693" w:rsidRPr="0051065C">
              <w:rPr>
                <w:noProof/>
                <w:webHidden/>
              </w:rPr>
              <w:fldChar w:fldCharType="separate"/>
            </w:r>
            <w:r w:rsidR="00975693" w:rsidRPr="0051065C">
              <w:rPr>
                <w:noProof/>
                <w:webHidden/>
              </w:rPr>
              <w:t>39</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7990" w:history="1">
            <w:r w:rsidR="00975693" w:rsidRPr="0051065C">
              <w:rPr>
                <w:rStyle w:val="Hipervnculo"/>
                <w:rFonts w:ascii="Palatino Linotype" w:hAnsi="Palatino Linotype"/>
                <w:b/>
                <w:noProof/>
                <w:lang w:val="es-ES_tradnl"/>
              </w:rPr>
              <w:t>B.</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Sentencias de amparo no constituyen criterios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_Toc65147990 \h </w:instrText>
            </w:r>
            <w:r w:rsidR="00975693" w:rsidRPr="0051065C">
              <w:rPr>
                <w:noProof/>
                <w:webHidden/>
              </w:rPr>
            </w:r>
            <w:r w:rsidR="00975693" w:rsidRPr="0051065C">
              <w:rPr>
                <w:noProof/>
                <w:webHidden/>
              </w:rPr>
              <w:fldChar w:fldCharType="separate"/>
            </w:r>
            <w:r w:rsidR="00975693" w:rsidRPr="0051065C">
              <w:rPr>
                <w:noProof/>
                <w:webHidden/>
              </w:rPr>
              <w:t>46</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7991" w:history="1">
            <w:r w:rsidR="00975693" w:rsidRPr="0051065C">
              <w:rPr>
                <w:rStyle w:val="Hipervnculo"/>
                <w:rFonts w:ascii="Palatino Linotype" w:hAnsi="Palatino Linotype"/>
                <w:b/>
                <w:noProof/>
                <w:lang w:val="es-ES_tradnl"/>
              </w:rPr>
              <w:t>C.</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Amparo en Revisión  654/18 viciado  de origen</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_Toc65147991 \h </w:instrText>
            </w:r>
            <w:r w:rsidR="00975693" w:rsidRPr="0051065C">
              <w:rPr>
                <w:noProof/>
                <w:webHidden/>
              </w:rPr>
            </w:r>
            <w:r w:rsidR="00975693" w:rsidRPr="0051065C">
              <w:rPr>
                <w:noProof/>
                <w:webHidden/>
              </w:rPr>
              <w:fldChar w:fldCharType="separate"/>
            </w:r>
            <w:r w:rsidR="00975693" w:rsidRPr="0051065C">
              <w:rPr>
                <w:noProof/>
                <w:webHidden/>
              </w:rPr>
              <w:t>51</w:t>
            </w:r>
            <w:r w:rsidR="00975693" w:rsidRPr="0051065C">
              <w:rPr>
                <w:noProof/>
                <w:webHidden/>
              </w:rPr>
              <w:fldChar w:fldCharType="end"/>
            </w:r>
          </w:hyperlink>
        </w:p>
        <w:p w:rsidR="00975693" w:rsidRPr="0051065C" w:rsidRDefault="008F1E1A" w:rsidP="00975693">
          <w:pPr>
            <w:pStyle w:val="TDC2"/>
            <w:tabs>
              <w:tab w:val="left" w:pos="1320"/>
            </w:tabs>
            <w:spacing w:line="276" w:lineRule="auto"/>
            <w:rPr>
              <w:rFonts w:asciiTheme="minorHAnsi" w:eastAsiaTheme="minorEastAsia" w:hAnsiTheme="minorHAnsi" w:cstheme="minorBidi"/>
              <w:noProof/>
              <w:sz w:val="22"/>
              <w:szCs w:val="22"/>
              <w:lang w:val="es-MX" w:eastAsia="es-MX"/>
            </w:rPr>
          </w:pPr>
          <w:hyperlink w:anchor="_Toc65147992" w:history="1">
            <w:r w:rsidR="00975693" w:rsidRPr="0051065C">
              <w:rPr>
                <w:rStyle w:val="Hipervnculo"/>
                <w:rFonts w:ascii="Palatino Linotype" w:hAnsi="Palatino Linotype"/>
                <w:b/>
                <w:noProof/>
                <w:lang w:val="es-ES_tradnl"/>
              </w:rPr>
              <w:t>IV.</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De los Derechos del solicitante de acceso a la información</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_Toc65147992 \h </w:instrText>
            </w:r>
            <w:r w:rsidR="00975693" w:rsidRPr="0051065C">
              <w:rPr>
                <w:noProof/>
                <w:webHidden/>
              </w:rPr>
            </w:r>
            <w:r w:rsidR="00975693" w:rsidRPr="0051065C">
              <w:rPr>
                <w:noProof/>
                <w:webHidden/>
              </w:rPr>
              <w:fldChar w:fldCharType="separate"/>
            </w:r>
            <w:r w:rsidR="00975693" w:rsidRPr="0051065C">
              <w:rPr>
                <w:noProof/>
                <w:webHidden/>
              </w:rPr>
              <w:t>53</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7993" w:history="1">
            <w:r w:rsidR="00975693" w:rsidRPr="0051065C">
              <w:rPr>
                <w:rStyle w:val="Hipervnculo"/>
                <w:rFonts w:ascii="Palatino Linotype" w:hAnsi="Palatino Linotype"/>
                <w:b/>
                <w:noProof/>
                <w:lang w:val="es-ES_tradnl"/>
              </w:rPr>
              <w:t>V.</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De las Restricciones del solicitante del derecho de acceso a la información</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_Toc65147993 \h </w:instrText>
            </w:r>
            <w:r w:rsidR="00975693" w:rsidRPr="0051065C">
              <w:rPr>
                <w:noProof/>
                <w:webHidden/>
              </w:rPr>
            </w:r>
            <w:r w:rsidR="00975693" w:rsidRPr="0051065C">
              <w:rPr>
                <w:noProof/>
                <w:webHidden/>
              </w:rPr>
              <w:fldChar w:fldCharType="separate"/>
            </w:r>
            <w:r w:rsidR="00975693" w:rsidRPr="0051065C">
              <w:rPr>
                <w:noProof/>
                <w:webHidden/>
              </w:rPr>
              <w:t>55</w:t>
            </w:r>
            <w:r w:rsidR="00975693" w:rsidRPr="0051065C">
              <w:rPr>
                <w:noProof/>
                <w:webHidden/>
              </w:rPr>
              <w:fldChar w:fldCharType="end"/>
            </w:r>
          </w:hyperlink>
        </w:p>
        <w:p w:rsidR="00975693" w:rsidRPr="0051065C" w:rsidRDefault="008F1E1A" w:rsidP="00975693">
          <w:pPr>
            <w:pStyle w:val="TDC2"/>
            <w:tabs>
              <w:tab w:val="left" w:pos="1320"/>
            </w:tabs>
            <w:spacing w:line="276" w:lineRule="auto"/>
            <w:rPr>
              <w:rFonts w:asciiTheme="minorHAnsi" w:eastAsiaTheme="minorEastAsia" w:hAnsiTheme="minorHAnsi" w:cstheme="minorBidi"/>
              <w:noProof/>
              <w:sz w:val="22"/>
              <w:szCs w:val="22"/>
              <w:lang w:val="es-MX" w:eastAsia="es-MX"/>
            </w:rPr>
          </w:pPr>
          <w:hyperlink w:anchor="_Toc65147994" w:history="1">
            <w:r w:rsidR="00975693" w:rsidRPr="0051065C">
              <w:rPr>
                <w:rStyle w:val="Hipervnculo"/>
                <w:rFonts w:ascii="Palatino Linotype" w:hAnsi="Palatino Linotype"/>
                <w:b/>
                <w:noProof/>
                <w:lang w:val="es-ES_tradnl"/>
              </w:rPr>
              <w:t>VI.</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De la acreditación de la legalidad de la resolución del Instituto de Transparencia, Acceso a la Información Pública y Protección de Datos Personales del Estado de México y Municipios.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_Toc65147994 \h </w:instrText>
            </w:r>
            <w:r w:rsidR="00975693" w:rsidRPr="0051065C">
              <w:rPr>
                <w:noProof/>
                <w:webHidden/>
              </w:rPr>
            </w:r>
            <w:r w:rsidR="00975693" w:rsidRPr="0051065C">
              <w:rPr>
                <w:noProof/>
                <w:webHidden/>
              </w:rPr>
              <w:fldChar w:fldCharType="separate"/>
            </w:r>
            <w:r w:rsidR="00975693" w:rsidRPr="0051065C">
              <w:rPr>
                <w:noProof/>
                <w:webHidden/>
              </w:rPr>
              <w:t>60</w:t>
            </w:r>
            <w:r w:rsidR="00975693" w:rsidRPr="0051065C">
              <w:rPr>
                <w:noProof/>
                <w:webHidden/>
              </w:rPr>
              <w:fldChar w:fldCharType="end"/>
            </w:r>
          </w:hyperlink>
        </w:p>
        <w:p w:rsidR="00975693" w:rsidRPr="0051065C" w:rsidRDefault="008F1E1A" w:rsidP="00975693">
          <w:pPr>
            <w:pStyle w:val="TDC2"/>
            <w:tabs>
              <w:tab w:val="left" w:pos="1320"/>
            </w:tabs>
            <w:spacing w:line="276" w:lineRule="auto"/>
            <w:rPr>
              <w:rFonts w:asciiTheme="minorHAnsi" w:eastAsiaTheme="minorEastAsia" w:hAnsiTheme="minorHAnsi" w:cstheme="minorBidi"/>
              <w:noProof/>
              <w:sz w:val="22"/>
              <w:szCs w:val="22"/>
              <w:lang w:val="es-MX" w:eastAsia="es-MX"/>
            </w:rPr>
          </w:pPr>
          <w:hyperlink w:anchor="_Toc65147995" w:history="1">
            <w:r w:rsidR="00975693" w:rsidRPr="0051065C">
              <w:rPr>
                <w:rStyle w:val="Hipervnculo"/>
                <w:rFonts w:ascii="Palatino Linotype" w:hAnsi="Palatino Linotype"/>
                <w:b/>
                <w:noProof/>
                <w:lang w:val="es-ES_tradnl"/>
              </w:rPr>
              <w:t>VII.</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De las deficiencias en la resolución del recurso de inconformidad emitida por el Instituto Nacional de Transparencia, Acceso a la Información Pública y Protección de Datos Personales.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_Toc65147995 \h </w:instrText>
            </w:r>
            <w:r w:rsidR="00975693" w:rsidRPr="0051065C">
              <w:rPr>
                <w:noProof/>
                <w:webHidden/>
              </w:rPr>
            </w:r>
            <w:r w:rsidR="00975693" w:rsidRPr="0051065C">
              <w:rPr>
                <w:noProof/>
                <w:webHidden/>
              </w:rPr>
              <w:fldChar w:fldCharType="separate"/>
            </w:r>
            <w:r w:rsidR="00975693" w:rsidRPr="0051065C">
              <w:rPr>
                <w:noProof/>
                <w:webHidden/>
              </w:rPr>
              <w:t>71</w:t>
            </w:r>
            <w:r w:rsidR="00975693" w:rsidRPr="0051065C">
              <w:rPr>
                <w:noProof/>
                <w:webHidden/>
              </w:rPr>
              <w:fldChar w:fldCharType="end"/>
            </w:r>
          </w:hyperlink>
        </w:p>
        <w:p w:rsidR="00975693" w:rsidRPr="0051065C" w:rsidRDefault="008F1E1A" w:rsidP="00975693">
          <w:pPr>
            <w:pStyle w:val="TDC1"/>
            <w:tabs>
              <w:tab w:val="left" w:pos="1320"/>
            </w:tabs>
            <w:spacing w:line="276" w:lineRule="auto"/>
            <w:rPr>
              <w:rFonts w:asciiTheme="minorHAnsi" w:eastAsiaTheme="minorEastAsia" w:hAnsiTheme="minorHAnsi" w:cstheme="minorBidi"/>
              <w:noProof/>
              <w:sz w:val="22"/>
              <w:szCs w:val="22"/>
              <w:lang w:val="es-MX" w:eastAsia="es-MX"/>
            </w:rPr>
          </w:pPr>
          <w:hyperlink w:anchor="_Toc65147996" w:history="1">
            <w:r w:rsidR="00975693" w:rsidRPr="0051065C">
              <w:rPr>
                <w:rStyle w:val="Hipervnculo"/>
                <w:rFonts w:ascii="Palatino Linotype" w:hAnsi="Palatino Linotype"/>
                <w:b/>
                <w:noProof/>
                <w:lang w:val="es-ES_tradnl"/>
              </w:rPr>
              <w:t>VIII.</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shd w:val="clear" w:color="auto" w:fill="FFFFFF"/>
                <w:lang w:val="es-ES_tradnl"/>
              </w:rPr>
              <w:t>Del análisis y estudio hecho valer por el Inai de la información solicitada</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_Toc65147996 \h </w:instrText>
            </w:r>
            <w:r w:rsidR="00975693" w:rsidRPr="0051065C">
              <w:rPr>
                <w:noProof/>
                <w:webHidden/>
              </w:rPr>
            </w:r>
            <w:r w:rsidR="00975693" w:rsidRPr="0051065C">
              <w:rPr>
                <w:noProof/>
                <w:webHidden/>
              </w:rPr>
              <w:fldChar w:fldCharType="separate"/>
            </w:r>
            <w:r w:rsidR="00975693" w:rsidRPr="0051065C">
              <w:rPr>
                <w:noProof/>
                <w:webHidden/>
              </w:rPr>
              <w:t>73</w:t>
            </w:r>
            <w:r w:rsidR="00975693" w:rsidRPr="0051065C">
              <w:rPr>
                <w:noProof/>
                <w:webHidden/>
              </w:rPr>
              <w:fldChar w:fldCharType="end"/>
            </w:r>
          </w:hyperlink>
        </w:p>
        <w:p w:rsidR="00975693" w:rsidRPr="0051065C" w:rsidRDefault="008F1E1A" w:rsidP="00975693">
          <w:pPr>
            <w:pStyle w:val="TDC2"/>
            <w:tabs>
              <w:tab w:val="left" w:pos="1320"/>
            </w:tabs>
            <w:spacing w:line="276" w:lineRule="auto"/>
            <w:rPr>
              <w:rFonts w:asciiTheme="minorHAnsi" w:eastAsiaTheme="minorEastAsia" w:hAnsiTheme="minorHAnsi" w:cstheme="minorBidi"/>
              <w:noProof/>
              <w:sz w:val="22"/>
              <w:szCs w:val="22"/>
              <w:lang w:val="es-MX" w:eastAsia="es-MX"/>
            </w:rPr>
          </w:pPr>
          <w:hyperlink w:anchor="_Toc65147997" w:history="1">
            <w:r w:rsidR="00975693" w:rsidRPr="0051065C">
              <w:rPr>
                <w:rStyle w:val="Hipervnculo"/>
                <w:rFonts w:ascii="Palatino Linotype" w:hAnsi="Palatino Linotype"/>
                <w:b/>
                <w:noProof/>
                <w:lang w:val="es-ES_tradnl"/>
              </w:rPr>
              <w:t>IX.</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hAnsi="Palatino Linotype"/>
                <w:b/>
                <w:noProof/>
                <w:lang w:val="es-ES_tradnl"/>
              </w:rPr>
              <w:t>Conclusiones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_Toc65147997 \h </w:instrText>
            </w:r>
            <w:r w:rsidR="00975693" w:rsidRPr="0051065C">
              <w:rPr>
                <w:noProof/>
                <w:webHidden/>
              </w:rPr>
            </w:r>
            <w:r w:rsidR="00975693" w:rsidRPr="0051065C">
              <w:rPr>
                <w:noProof/>
                <w:webHidden/>
              </w:rPr>
              <w:fldChar w:fldCharType="separate"/>
            </w:r>
            <w:r w:rsidR="00975693" w:rsidRPr="0051065C">
              <w:rPr>
                <w:noProof/>
                <w:webHidden/>
              </w:rPr>
              <w:t>74</w:t>
            </w:r>
            <w:r w:rsidR="00975693" w:rsidRPr="0051065C">
              <w:rPr>
                <w:noProof/>
                <w:webHidden/>
              </w:rPr>
              <w:fldChar w:fldCharType="end"/>
            </w:r>
          </w:hyperlink>
        </w:p>
        <w:p w:rsidR="00975693" w:rsidRPr="0051065C" w:rsidRDefault="008F1E1A" w:rsidP="00975693">
          <w:pPr>
            <w:pStyle w:val="TDC1"/>
            <w:spacing w:line="276" w:lineRule="auto"/>
            <w:rPr>
              <w:rFonts w:asciiTheme="minorHAnsi" w:eastAsiaTheme="minorEastAsia" w:hAnsiTheme="minorHAnsi" w:cstheme="minorBidi"/>
              <w:noProof/>
              <w:sz w:val="22"/>
              <w:szCs w:val="22"/>
              <w:lang w:val="es-MX" w:eastAsia="es-MX"/>
            </w:rPr>
          </w:pPr>
          <w:hyperlink w:anchor="_Toc65147998" w:history="1">
            <w:r w:rsidR="00975693" w:rsidRPr="0051065C">
              <w:rPr>
                <w:rStyle w:val="Hipervnculo"/>
                <w:rFonts w:ascii="Palatino Linotype" w:hAnsi="Palatino Linotype"/>
                <w:b/>
                <w:noProof/>
                <w:shd w:val="clear" w:color="auto" w:fill="FFFFFF"/>
                <w:lang w:val="es-ES_tradnl"/>
              </w:rPr>
              <w:t>CUARTO. Cumplimiento al Recurso de Inconformidad 122/20</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_Toc65147998 \h </w:instrText>
            </w:r>
            <w:r w:rsidR="00975693" w:rsidRPr="0051065C">
              <w:rPr>
                <w:noProof/>
                <w:webHidden/>
              </w:rPr>
            </w:r>
            <w:r w:rsidR="00975693" w:rsidRPr="0051065C">
              <w:rPr>
                <w:noProof/>
                <w:webHidden/>
              </w:rPr>
              <w:fldChar w:fldCharType="separate"/>
            </w:r>
            <w:r w:rsidR="00975693" w:rsidRPr="0051065C">
              <w:rPr>
                <w:noProof/>
                <w:webHidden/>
              </w:rPr>
              <w:t>76</w:t>
            </w:r>
            <w:r w:rsidR="00975693" w:rsidRPr="0051065C">
              <w:rPr>
                <w:noProof/>
                <w:webHidden/>
              </w:rPr>
              <w:fldChar w:fldCharType="end"/>
            </w:r>
          </w:hyperlink>
        </w:p>
        <w:p w:rsidR="00975693" w:rsidRPr="0051065C" w:rsidRDefault="008F1E1A" w:rsidP="00975693">
          <w:pPr>
            <w:pStyle w:val="TDC2"/>
            <w:spacing w:line="276" w:lineRule="auto"/>
            <w:rPr>
              <w:rFonts w:asciiTheme="minorHAnsi" w:eastAsiaTheme="minorEastAsia" w:hAnsiTheme="minorHAnsi" w:cstheme="minorBidi"/>
              <w:noProof/>
              <w:sz w:val="22"/>
              <w:szCs w:val="22"/>
              <w:lang w:val="es-MX" w:eastAsia="es-MX"/>
            </w:rPr>
          </w:pPr>
          <w:hyperlink w:anchor="_Toc65147999" w:history="1">
            <w:r w:rsidR="00975693" w:rsidRPr="0051065C">
              <w:rPr>
                <w:rStyle w:val="Hipervnculo"/>
                <w:rFonts w:ascii="Palatino Linotype" w:eastAsiaTheme="majorEastAsia" w:hAnsi="Palatino Linotype" w:cstheme="majorBidi"/>
                <w:b/>
                <w:noProof/>
              </w:rPr>
              <w:t>QUINTO. De la versión pública.</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_Toc65147999 \h </w:instrText>
            </w:r>
            <w:r w:rsidR="00975693" w:rsidRPr="0051065C">
              <w:rPr>
                <w:noProof/>
                <w:webHidden/>
              </w:rPr>
            </w:r>
            <w:r w:rsidR="00975693" w:rsidRPr="0051065C">
              <w:rPr>
                <w:noProof/>
                <w:webHidden/>
              </w:rPr>
              <w:fldChar w:fldCharType="separate"/>
            </w:r>
            <w:r w:rsidR="00975693" w:rsidRPr="0051065C">
              <w:rPr>
                <w:noProof/>
                <w:webHidden/>
              </w:rPr>
              <w:t>78</w:t>
            </w:r>
            <w:r w:rsidR="00975693" w:rsidRPr="0051065C">
              <w:rPr>
                <w:noProof/>
                <w:webHidden/>
              </w:rPr>
              <w:fldChar w:fldCharType="end"/>
            </w:r>
          </w:hyperlink>
        </w:p>
        <w:p w:rsidR="00975693" w:rsidRPr="0051065C" w:rsidRDefault="008F1E1A" w:rsidP="00975693">
          <w:pPr>
            <w:pStyle w:val="TDC2"/>
            <w:tabs>
              <w:tab w:val="left" w:pos="1100"/>
            </w:tabs>
            <w:spacing w:line="276" w:lineRule="auto"/>
            <w:rPr>
              <w:rFonts w:asciiTheme="minorHAnsi" w:eastAsiaTheme="minorEastAsia" w:hAnsiTheme="minorHAnsi" w:cstheme="minorBidi"/>
              <w:noProof/>
              <w:sz w:val="22"/>
              <w:szCs w:val="22"/>
              <w:lang w:val="es-MX" w:eastAsia="es-MX"/>
            </w:rPr>
          </w:pPr>
          <w:hyperlink w:anchor="_Toc65148000" w:history="1">
            <w:r w:rsidR="00975693" w:rsidRPr="0051065C">
              <w:rPr>
                <w:rStyle w:val="Hipervnculo"/>
                <w:rFonts w:ascii="Palatino Linotype" w:eastAsiaTheme="majorEastAsia" w:hAnsi="Palatino Linotype" w:cstheme="majorBidi"/>
                <w:b/>
                <w:noProof/>
              </w:rPr>
              <w:t>A.</w:t>
            </w:r>
            <w:r w:rsidR="00975693" w:rsidRPr="0051065C">
              <w:rPr>
                <w:rFonts w:asciiTheme="minorHAnsi" w:eastAsiaTheme="minorEastAsia" w:hAnsiTheme="minorHAnsi" w:cstheme="minorBidi"/>
                <w:noProof/>
                <w:sz w:val="22"/>
                <w:szCs w:val="22"/>
                <w:lang w:val="es-MX" w:eastAsia="es-MX"/>
              </w:rPr>
              <w:tab/>
            </w:r>
            <w:r w:rsidR="00975693" w:rsidRPr="0051065C">
              <w:rPr>
                <w:rStyle w:val="Hipervnculo"/>
                <w:rFonts w:ascii="Palatino Linotype" w:eastAsiaTheme="majorEastAsia" w:hAnsi="Palatino Linotype" w:cstheme="majorBidi"/>
                <w:b/>
                <w:noProof/>
              </w:rPr>
              <w:t>Requisitos de fondo del acuerdo de clasificación.</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_Toc65148000 \h </w:instrText>
            </w:r>
            <w:r w:rsidR="00975693" w:rsidRPr="0051065C">
              <w:rPr>
                <w:noProof/>
                <w:webHidden/>
              </w:rPr>
            </w:r>
            <w:r w:rsidR="00975693" w:rsidRPr="0051065C">
              <w:rPr>
                <w:noProof/>
                <w:webHidden/>
              </w:rPr>
              <w:fldChar w:fldCharType="separate"/>
            </w:r>
            <w:r w:rsidR="00975693" w:rsidRPr="0051065C">
              <w:rPr>
                <w:noProof/>
                <w:webHidden/>
              </w:rPr>
              <w:t>81</w:t>
            </w:r>
            <w:r w:rsidR="00975693" w:rsidRPr="0051065C">
              <w:rPr>
                <w:noProof/>
                <w:webHidden/>
              </w:rPr>
              <w:fldChar w:fldCharType="end"/>
            </w:r>
          </w:hyperlink>
        </w:p>
        <w:p w:rsidR="00975693" w:rsidRPr="0051065C" w:rsidRDefault="008F1E1A" w:rsidP="00975693">
          <w:pPr>
            <w:pStyle w:val="TDC1"/>
            <w:spacing w:line="276" w:lineRule="auto"/>
            <w:rPr>
              <w:rFonts w:asciiTheme="minorHAnsi" w:eastAsiaTheme="minorEastAsia" w:hAnsiTheme="minorHAnsi" w:cstheme="minorBidi"/>
              <w:noProof/>
              <w:sz w:val="22"/>
              <w:szCs w:val="22"/>
              <w:lang w:val="es-MX" w:eastAsia="es-MX"/>
            </w:rPr>
          </w:pPr>
          <w:hyperlink w:anchor="_Toc65148001" w:history="1">
            <w:r w:rsidR="00975693" w:rsidRPr="0051065C">
              <w:rPr>
                <w:rStyle w:val="Hipervnculo"/>
                <w:rFonts w:ascii="Palatino Linotype" w:eastAsia="Calibri" w:hAnsi="Palatino Linotype" w:cstheme="majorBidi"/>
                <w:b/>
                <w:noProof/>
                <w:lang w:val="es-ES_tradnl" w:eastAsia="es-ES"/>
              </w:rPr>
              <w:t>R E S O L U T I V O S</w:t>
            </w:r>
            <w:r w:rsidR="00975693" w:rsidRPr="0051065C">
              <w:rPr>
                <w:noProof/>
                <w:webHidden/>
              </w:rPr>
              <w:tab/>
            </w:r>
            <w:r w:rsidR="00975693" w:rsidRPr="0051065C">
              <w:rPr>
                <w:noProof/>
                <w:webHidden/>
              </w:rPr>
              <w:fldChar w:fldCharType="begin"/>
            </w:r>
            <w:r w:rsidR="00975693" w:rsidRPr="0051065C">
              <w:rPr>
                <w:noProof/>
                <w:webHidden/>
              </w:rPr>
              <w:instrText xml:space="preserve"> PAGEREF _Toc65148001 \h </w:instrText>
            </w:r>
            <w:r w:rsidR="00975693" w:rsidRPr="0051065C">
              <w:rPr>
                <w:noProof/>
                <w:webHidden/>
              </w:rPr>
            </w:r>
            <w:r w:rsidR="00975693" w:rsidRPr="0051065C">
              <w:rPr>
                <w:noProof/>
                <w:webHidden/>
              </w:rPr>
              <w:fldChar w:fldCharType="separate"/>
            </w:r>
            <w:r w:rsidR="00975693" w:rsidRPr="0051065C">
              <w:rPr>
                <w:noProof/>
                <w:webHidden/>
              </w:rPr>
              <w:t>88</w:t>
            </w:r>
            <w:r w:rsidR="00975693" w:rsidRPr="0051065C">
              <w:rPr>
                <w:noProof/>
                <w:webHidden/>
              </w:rPr>
              <w:fldChar w:fldCharType="end"/>
            </w:r>
          </w:hyperlink>
        </w:p>
        <w:p w:rsidR="001420B1" w:rsidRPr="0051065C" w:rsidRDefault="001420B1" w:rsidP="00975693">
          <w:pPr>
            <w:spacing w:after="0" w:line="276" w:lineRule="auto"/>
            <w:jc w:val="both"/>
            <w:rPr>
              <w:rFonts w:ascii="Palatino Linotype" w:eastAsia="Times New Roman" w:hAnsi="Palatino Linotype" w:cs="Times New Roman"/>
              <w:b/>
              <w:bCs/>
              <w:sz w:val="24"/>
              <w:szCs w:val="24"/>
              <w:lang w:val="es-ES_tradnl" w:eastAsia="es-ES_tradnl"/>
            </w:rPr>
          </w:pPr>
          <w:r w:rsidRPr="0051065C">
            <w:rPr>
              <w:rFonts w:ascii="Palatino Linotype" w:eastAsia="Times New Roman" w:hAnsi="Palatino Linotype" w:cs="Times New Roman"/>
              <w:b/>
              <w:bCs/>
              <w:sz w:val="28"/>
              <w:szCs w:val="28"/>
              <w:lang w:val="es-ES_tradnl" w:eastAsia="es-ES_tradnl"/>
            </w:rPr>
            <w:fldChar w:fldCharType="end"/>
          </w:r>
        </w:p>
      </w:sdtContent>
    </w:sdt>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975693" w:rsidRPr="0051065C" w:rsidRDefault="00975693" w:rsidP="001420B1">
      <w:pPr>
        <w:spacing w:after="0" w:line="360" w:lineRule="auto"/>
        <w:jc w:val="both"/>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360" w:lineRule="auto"/>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621CD1" w:rsidRPr="0051065C">
        <w:rPr>
          <w:rFonts w:ascii="Palatino Linotype" w:eastAsia="Times New Roman" w:hAnsi="Palatino Linotype" w:cs="Times New Roman"/>
          <w:sz w:val="24"/>
          <w:szCs w:val="24"/>
          <w:lang w:val="es-ES_tradnl" w:eastAsia="es-ES_tradnl"/>
        </w:rPr>
        <w:t>veinticuatro (24</w:t>
      </w:r>
      <w:r w:rsidRPr="0051065C">
        <w:rPr>
          <w:rFonts w:ascii="Palatino Linotype" w:eastAsia="Times New Roman" w:hAnsi="Palatino Linotype" w:cs="Times New Roman"/>
          <w:sz w:val="24"/>
          <w:szCs w:val="24"/>
          <w:lang w:val="es-ES_tradnl" w:eastAsia="es-ES_tradnl"/>
        </w:rPr>
        <w:t>) de febrero de dos mil veintiuno.</w:t>
      </w:r>
    </w:p>
    <w:p w:rsidR="001420B1" w:rsidRPr="0051065C" w:rsidRDefault="001420B1" w:rsidP="001420B1">
      <w:pPr>
        <w:spacing w:before="240" w:after="360" w:line="360" w:lineRule="auto"/>
        <w:jc w:val="both"/>
        <w:rPr>
          <w:rFonts w:ascii="Palatino Linotype" w:eastAsia="Times New Roman" w:hAnsi="Palatino Linotype" w:cs="Arial"/>
          <w:b/>
          <w:bCs/>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Visto </w:t>
      </w:r>
      <w:r w:rsidRPr="0051065C">
        <w:rPr>
          <w:rFonts w:ascii="Palatino Linotype" w:eastAsia="Times New Roman" w:hAnsi="Palatino Linotype" w:cs="Times New Roman"/>
          <w:color w:val="000000" w:themeColor="text1"/>
          <w:sz w:val="24"/>
          <w:szCs w:val="24"/>
          <w:lang w:val="es-ES_tradnl" w:eastAsia="es-ES_tradnl"/>
        </w:rPr>
        <w:t xml:space="preserve">el expediente formado con motivo del recurso de revisión </w:t>
      </w:r>
      <w:r w:rsidR="00621CD1" w:rsidRPr="0051065C">
        <w:rPr>
          <w:rFonts w:ascii="Palatino Linotype" w:eastAsia="Times New Roman" w:hAnsi="Palatino Linotype" w:cs="Times New Roman"/>
          <w:b/>
          <w:color w:val="000000" w:themeColor="text1"/>
          <w:sz w:val="24"/>
          <w:szCs w:val="24"/>
          <w:lang w:val="es-ES_tradnl" w:eastAsia="es-ES_tradnl"/>
        </w:rPr>
        <w:t>02743</w:t>
      </w:r>
      <w:r w:rsidRPr="0051065C">
        <w:rPr>
          <w:rFonts w:ascii="Palatino Linotype" w:eastAsia="Times New Roman" w:hAnsi="Palatino Linotype" w:cs="Times New Roman"/>
          <w:b/>
          <w:color w:val="000000" w:themeColor="text1"/>
          <w:sz w:val="24"/>
          <w:szCs w:val="24"/>
          <w:lang w:val="es-ES_tradnl" w:eastAsia="es-ES_tradnl"/>
        </w:rPr>
        <w:t>/INFOEM/IP/RR/2020 y acumulado</w:t>
      </w:r>
      <w:r w:rsidRPr="0051065C">
        <w:rPr>
          <w:rFonts w:ascii="Palatino Linotype" w:eastAsia="Times New Roman" w:hAnsi="Palatino Linotype" w:cs="Times New Roman"/>
          <w:color w:val="000000" w:themeColor="text1"/>
          <w:sz w:val="24"/>
          <w:szCs w:val="24"/>
          <w:lang w:val="es-ES_tradnl" w:eastAsia="es-ES_tradnl"/>
        </w:rPr>
        <w:t xml:space="preserve">, promovido por la </w:t>
      </w:r>
      <w:r w:rsidRPr="0051065C">
        <w:rPr>
          <w:rFonts w:ascii="Palatino Linotype" w:eastAsia="Times New Roman" w:hAnsi="Palatino Linotype" w:cs="Times New Roman"/>
          <w:b/>
          <w:color w:val="000000" w:themeColor="text1"/>
          <w:sz w:val="24"/>
          <w:szCs w:val="24"/>
          <w:lang w:val="es-ES_tradnl" w:eastAsia="es-ES_tradnl"/>
        </w:rPr>
        <w:t>C.</w:t>
      </w:r>
      <w:r w:rsidR="00621CD1" w:rsidRPr="0051065C">
        <w:rPr>
          <w:rFonts w:ascii="Palatino Linotype" w:eastAsia="Times New Roman" w:hAnsi="Palatino Linotype" w:cs="Times New Roman"/>
          <w:b/>
          <w:color w:val="000000" w:themeColor="text1"/>
          <w:sz w:val="24"/>
          <w:szCs w:val="24"/>
          <w:lang w:val="es-ES_tradnl" w:eastAsia="es-ES_tradnl"/>
        </w:rPr>
        <w:t xml:space="preserve"> </w:t>
      </w:r>
      <w:r w:rsidR="008F1E1A" w:rsidRPr="008F1E1A">
        <w:rPr>
          <w:rFonts w:ascii="Palatino Linotype" w:eastAsia="Times New Roman" w:hAnsi="Palatino Linotype" w:cs="Times New Roman"/>
          <w:b/>
          <w:color w:val="000000" w:themeColor="text1"/>
          <w:sz w:val="24"/>
          <w:szCs w:val="24"/>
          <w:highlight w:val="black"/>
          <w:lang w:val="es-ES_tradnl" w:eastAsia="es-ES_tradnl"/>
        </w:rPr>
        <w:t>--------------------------</w:t>
      </w:r>
      <w:r w:rsidRPr="0051065C">
        <w:rPr>
          <w:rFonts w:ascii="Palatino Linotype" w:eastAsia="Times New Roman" w:hAnsi="Palatino Linotype" w:cs="Times New Roman"/>
          <w:color w:val="000000" w:themeColor="text1"/>
          <w:sz w:val="24"/>
          <w:szCs w:val="24"/>
          <w:lang w:val="es-ES_tradnl" w:eastAsia="es-ES_tradnl"/>
        </w:rPr>
        <w:t xml:space="preserve"> </w:t>
      </w:r>
      <w:r w:rsidRPr="0051065C">
        <w:rPr>
          <w:rFonts w:ascii="Palatino Linotype" w:eastAsia="Times New Roman" w:hAnsi="Palatino Linotype" w:cs="Arial"/>
          <w:color w:val="000000" w:themeColor="text1"/>
          <w:sz w:val="24"/>
          <w:szCs w:val="24"/>
          <w:lang w:val="es-ES_tradnl" w:eastAsia="es-ES_tradnl"/>
        </w:rPr>
        <w:t>en lo sucesivo</w:t>
      </w:r>
      <w:r w:rsidRPr="0051065C">
        <w:rPr>
          <w:rFonts w:ascii="Palatino Linotype" w:eastAsia="Times New Roman" w:hAnsi="Palatino Linotype" w:cs="Arial"/>
          <w:b/>
          <w:color w:val="000000" w:themeColor="text1"/>
          <w:sz w:val="24"/>
          <w:szCs w:val="24"/>
          <w:lang w:val="es-ES_tradnl" w:eastAsia="es-ES_tradnl"/>
        </w:rPr>
        <w:t xml:space="preserve"> LA RECURRENTE,</w:t>
      </w:r>
      <w:r w:rsidRPr="0051065C">
        <w:rPr>
          <w:rFonts w:ascii="Palatino Linotype" w:eastAsia="Times New Roman" w:hAnsi="Palatino Linotype" w:cs="Times New Roman"/>
          <w:color w:val="000000" w:themeColor="text1"/>
          <w:sz w:val="24"/>
          <w:szCs w:val="24"/>
          <w:lang w:val="es-ES_tradnl" w:eastAsia="es-ES_tradnl"/>
        </w:rPr>
        <w:t xml:space="preserve"> en contra de la respuesta emitida por el </w:t>
      </w:r>
      <w:r w:rsidRPr="0051065C">
        <w:rPr>
          <w:rFonts w:ascii="Palatino Linotype" w:eastAsia="Times New Roman" w:hAnsi="Palatino Linotype" w:cs="Times New Roman"/>
          <w:b/>
          <w:color w:val="000000" w:themeColor="text1"/>
          <w:sz w:val="24"/>
          <w:szCs w:val="24"/>
          <w:lang w:val="es-ES_tradnl" w:eastAsia="es-ES_tradnl"/>
        </w:rPr>
        <w:t xml:space="preserve">Ayuntamiento de Ixtapan de la Sal, </w:t>
      </w:r>
      <w:r w:rsidRPr="0051065C">
        <w:rPr>
          <w:rFonts w:ascii="Palatino Linotype" w:eastAsia="Times New Roman" w:hAnsi="Palatino Linotype" w:cs="Times New Roman"/>
          <w:color w:val="000000" w:themeColor="text1"/>
          <w:sz w:val="24"/>
          <w:szCs w:val="24"/>
          <w:lang w:val="es-ES_tradnl" w:eastAsia="es-ES_tradnl"/>
        </w:rPr>
        <w:t xml:space="preserve">en lo sucesivo </w:t>
      </w:r>
      <w:r w:rsidRPr="0051065C">
        <w:rPr>
          <w:rFonts w:ascii="Palatino Linotype" w:eastAsia="Times New Roman" w:hAnsi="Palatino Linotype" w:cs="Times New Roman"/>
          <w:b/>
          <w:color w:val="000000" w:themeColor="text1"/>
          <w:sz w:val="24"/>
          <w:szCs w:val="24"/>
          <w:lang w:val="es-ES_tradnl" w:eastAsia="es-ES_tradnl"/>
        </w:rPr>
        <w:t>EL SUJETO OBLIGADO</w:t>
      </w:r>
      <w:r w:rsidRPr="0051065C">
        <w:rPr>
          <w:rFonts w:ascii="Palatino Linotype" w:eastAsia="Times New Roman" w:hAnsi="Palatino Linotype" w:cs="Times New Roman"/>
          <w:color w:val="000000" w:themeColor="text1"/>
          <w:sz w:val="24"/>
          <w:szCs w:val="24"/>
          <w:lang w:val="es-ES_tradnl" w:eastAsia="es-ES_tradnl"/>
        </w:rPr>
        <w:t xml:space="preserve">, se procede a dictar la presente resolución, </w:t>
      </w:r>
      <w:r w:rsidRPr="0051065C">
        <w:rPr>
          <w:rFonts w:ascii="Palatino Linotype" w:eastAsia="Palatino Linotype" w:hAnsi="Palatino Linotype" w:cs="Palatino Linotype"/>
          <w:sz w:val="24"/>
          <w:szCs w:val="24"/>
          <w:lang w:val="es-ES_tradnl" w:eastAsia="es-ES_tradnl"/>
        </w:rPr>
        <w:t xml:space="preserve">en cumplimiento al fallo emitido en fecha dieciséis de diciembre de dos mil veinte, por el Instituto Nacional de Transparencia, Acceso a la Información y Protección de Datos Personales, en lo subsecuente el </w:t>
      </w:r>
      <w:r w:rsidRPr="0051065C">
        <w:rPr>
          <w:rFonts w:ascii="Palatino Linotype" w:eastAsia="Palatino Linotype" w:hAnsi="Palatino Linotype" w:cs="Palatino Linotype"/>
          <w:b/>
          <w:sz w:val="24"/>
          <w:szCs w:val="24"/>
          <w:lang w:val="es-ES_tradnl" w:eastAsia="es-ES_tradnl"/>
        </w:rPr>
        <w:t>Órgano Garante Nacional</w:t>
      </w:r>
      <w:r w:rsidRPr="0051065C">
        <w:rPr>
          <w:rFonts w:ascii="Palatino Linotype" w:eastAsia="Palatino Linotype" w:hAnsi="Palatino Linotype" w:cs="Palatino Linotype"/>
          <w:sz w:val="24"/>
          <w:szCs w:val="24"/>
          <w:lang w:val="es-ES_tradnl" w:eastAsia="es-ES_tradnl"/>
        </w:rPr>
        <w:t xml:space="preserve">, correspondiente al  Recurso de Inconformidad número </w:t>
      </w:r>
      <w:r w:rsidR="00621CD1" w:rsidRPr="0051065C">
        <w:rPr>
          <w:rFonts w:ascii="Palatino Linotype" w:eastAsia="Palatino Linotype" w:hAnsi="Palatino Linotype" w:cs="Palatino Linotype"/>
          <w:b/>
          <w:sz w:val="24"/>
          <w:szCs w:val="24"/>
          <w:lang w:val="es-ES_tradnl" w:eastAsia="es-ES_tradnl"/>
        </w:rPr>
        <w:t>RIA 0122</w:t>
      </w:r>
      <w:r w:rsidRPr="0051065C">
        <w:rPr>
          <w:rFonts w:ascii="Palatino Linotype" w:eastAsia="Palatino Linotype" w:hAnsi="Palatino Linotype" w:cs="Palatino Linotype"/>
          <w:b/>
          <w:sz w:val="24"/>
          <w:szCs w:val="24"/>
          <w:lang w:val="es-ES_tradnl" w:eastAsia="es-ES_tradnl"/>
        </w:rPr>
        <w:t>/20</w:t>
      </w:r>
      <w:r w:rsidRPr="0051065C">
        <w:rPr>
          <w:rFonts w:ascii="Palatino Linotype" w:eastAsia="Times New Roman" w:hAnsi="Palatino Linotype" w:cs="Times New Roman"/>
          <w:sz w:val="24"/>
          <w:szCs w:val="24"/>
          <w:lang w:val="es-ES_tradnl" w:eastAsia="es-ES_tradnl"/>
        </w:rPr>
        <w:t>, con base en los siguientes:</w:t>
      </w:r>
    </w:p>
    <w:p w:rsidR="001420B1" w:rsidRPr="0051065C" w:rsidRDefault="001420B1" w:rsidP="00975693">
      <w:pPr>
        <w:pStyle w:val="Ttulo1"/>
        <w:jc w:val="center"/>
        <w:rPr>
          <w:rFonts w:ascii="Palatino Linotype" w:hAnsi="Palatino Linotype"/>
          <w:b/>
          <w:color w:val="auto"/>
          <w:sz w:val="24"/>
          <w:szCs w:val="24"/>
          <w:lang w:val="es-ES_tradnl"/>
        </w:rPr>
      </w:pPr>
      <w:bookmarkStart w:id="1" w:name="_Toc65147979"/>
      <w:r w:rsidRPr="0051065C">
        <w:rPr>
          <w:rFonts w:ascii="Palatino Linotype" w:hAnsi="Palatino Linotype"/>
          <w:b/>
          <w:color w:val="auto"/>
          <w:sz w:val="24"/>
          <w:szCs w:val="24"/>
          <w:lang w:val="es-ES_tradnl"/>
        </w:rPr>
        <w:t>ANTECEDENTES</w:t>
      </w:r>
      <w:bookmarkEnd w:id="1"/>
    </w:p>
    <w:p w:rsidR="001420B1" w:rsidRPr="0051065C" w:rsidRDefault="00621CD1" w:rsidP="001420B1">
      <w:pPr>
        <w:numPr>
          <w:ilvl w:val="0"/>
          <w:numId w:val="1"/>
        </w:num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r w:rsidRPr="0051065C">
        <w:rPr>
          <w:rFonts w:ascii="Palatino Linotype" w:eastAsia="Calibri" w:hAnsi="Palatino Linotype" w:cs="Arial"/>
          <w:sz w:val="24"/>
          <w:szCs w:val="24"/>
          <w:lang w:val="es-ES_tradnl" w:eastAsia="es-ES_tradnl"/>
        </w:rPr>
        <w:t>El treinta (30) de marzo</w:t>
      </w:r>
      <w:r w:rsidR="001420B1" w:rsidRPr="0051065C">
        <w:rPr>
          <w:rFonts w:ascii="Palatino Linotype" w:eastAsia="Calibri" w:hAnsi="Palatino Linotype" w:cs="Arial"/>
          <w:sz w:val="24"/>
          <w:szCs w:val="24"/>
          <w:lang w:val="es-ES_tradnl" w:eastAsia="es-ES_tradnl"/>
        </w:rPr>
        <w:t xml:space="preserve"> de dos mil veinte, </w:t>
      </w:r>
      <w:r w:rsidR="001420B1" w:rsidRPr="0051065C">
        <w:rPr>
          <w:rFonts w:ascii="Palatino Linotype" w:eastAsia="Times New Roman" w:hAnsi="Palatino Linotype" w:cs="Times New Roman"/>
          <w:sz w:val="24"/>
          <w:szCs w:val="24"/>
          <w:lang w:val="es-ES_tradnl" w:eastAsia="es-ES_tradnl"/>
        </w:rPr>
        <w:t>la particular presentó</w:t>
      </w:r>
      <w:r w:rsidR="001420B1" w:rsidRPr="0051065C">
        <w:rPr>
          <w:rFonts w:ascii="Palatino Linotype" w:eastAsia="Times New Roman" w:hAnsi="Palatino Linotype" w:cs="Times New Roman"/>
          <w:b/>
          <w:sz w:val="24"/>
          <w:szCs w:val="24"/>
          <w:lang w:val="es-ES_tradnl" w:eastAsia="es-ES_tradnl"/>
        </w:rPr>
        <w:t xml:space="preserve"> </w:t>
      </w:r>
      <w:r w:rsidR="001420B1" w:rsidRPr="0051065C">
        <w:rPr>
          <w:rFonts w:ascii="Palatino Linotype" w:eastAsia="Times New Roman" w:hAnsi="Palatino Linotype" w:cs="Times New Roman"/>
          <w:bCs/>
          <w:sz w:val="24"/>
          <w:szCs w:val="24"/>
          <w:lang w:val="es-ES_tradnl" w:eastAsia="es-ES_tradnl"/>
        </w:rPr>
        <w:t xml:space="preserve">a través del </w:t>
      </w:r>
      <w:r w:rsidR="001420B1" w:rsidRPr="0051065C">
        <w:rPr>
          <w:rFonts w:ascii="Palatino Linotype" w:eastAsia="Calibri" w:hAnsi="Palatino Linotype" w:cs="Arial"/>
          <w:sz w:val="24"/>
          <w:szCs w:val="24"/>
          <w:lang w:val="es-ES_tradnl" w:eastAsia="es-ES_tradnl"/>
        </w:rPr>
        <w:t xml:space="preserve">Sistema de Acceso a la Información Mexiquense </w:t>
      </w:r>
      <w:r w:rsidR="001420B1" w:rsidRPr="0051065C">
        <w:rPr>
          <w:rFonts w:ascii="Palatino Linotype" w:eastAsia="Calibri" w:hAnsi="Palatino Linotype" w:cs="Arial"/>
          <w:bCs/>
          <w:sz w:val="24"/>
          <w:szCs w:val="24"/>
          <w:lang w:val="es-ES_tradnl" w:eastAsia="es-ES_tradnl"/>
        </w:rPr>
        <w:t>(</w:t>
      </w:r>
      <w:r w:rsidR="001420B1" w:rsidRPr="0051065C">
        <w:rPr>
          <w:rFonts w:ascii="Palatino Linotype" w:eastAsia="Calibri" w:hAnsi="Palatino Linotype" w:cs="Arial"/>
          <w:bCs/>
          <w:i/>
          <w:sz w:val="24"/>
          <w:szCs w:val="24"/>
          <w:lang w:val="es-ES_tradnl" w:eastAsia="es-ES_tradnl"/>
        </w:rPr>
        <w:t>SAIMEX</w:t>
      </w:r>
      <w:r w:rsidR="001420B1" w:rsidRPr="0051065C">
        <w:rPr>
          <w:rFonts w:ascii="Palatino Linotype" w:eastAsia="Calibri" w:hAnsi="Palatino Linotype" w:cs="Arial"/>
          <w:bCs/>
          <w:sz w:val="24"/>
          <w:szCs w:val="24"/>
          <w:lang w:val="es-ES_tradnl" w:eastAsia="es-ES_tradnl"/>
        </w:rPr>
        <w:t>)</w:t>
      </w:r>
      <w:r w:rsidR="001420B1" w:rsidRPr="0051065C">
        <w:rPr>
          <w:rFonts w:ascii="Palatino Linotype" w:eastAsia="Calibri" w:hAnsi="Palatino Linotype" w:cs="Arial"/>
          <w:sz w:val="24"/>
          <w:szCs w:val="24"/>
          <w:lang w:val="es-ES_tradnl" w:eastAsia="es-ES_tradnl"/>
        </w:rPr>
        <w:t>, la solicitud de información pública registrada con el número</w:t>
      </w:r>
      <w:r w:rsidRPr="0051065C">
        <w:rPr>
          <w:rFonts w:ascii="Palatino Linotype" w:eastAsia="Times New Roman" w:hAnsi="Palatino Linotype" w:cs="Times New Roman"/>
          <w:b/>
          <w:bCs/>
          <w:sz w:val="24"/>
          <w:szCs w:val="24"/>
          <w:lang w:val="es-ES_tradnl" w:eastAsia="es-ES_tradnl"/>
        </w:rPr>
        <w:t xml:space="preserve"> 00215/IXTASAL/IP/2020 y 00216</w:t>
      </w:r>
      <w:r w:rsidR="001420B1" w:rsidRPr="0051065C">
        <w:rPr>
          <w:rFonts w:ascii="Palatino Linotype" w:eastAsia="Times New Roman" w:hAnsi="Palatino Linotype" w:cs="Times New Roman"/>
          <w:b/>
          <w:bCs/>
          <w:sz w:val="24"/>
          <w:szCs w:val="24"/>
          <w:lang w:val="es-ES_tradnl" w:eastAsia="es-ES_tradnl"/>
        </w:rPr>
        <w:t>/IXTASAL/IP/</w:t>
      </w:r>
      <w:proofErr w:type="gramStart"/>
      <w:r w:rsidR="001420B1" w:rsidRPr="0051065C">
        <w:rPr>
          <w:rFonts w:ascii="Palatino Linotype" w:eastAsia="Times New Roman" w:hAnsi="Palatino Linotype" w:cs="Times New Roman"/>
          <w:b/>
          <w:bCs/>
          <w:sz w:val="24"/>
          <w:szCs w:val="24"/>
          <w:lang w:val="es-ES_tradnl" w:eastAsia="es-ES_tradnl"/>
        </w:rPr>
        <w:t>2020 ,</w:t>
      </w:r>
      <w:proofErr w:type="gramEnd"/>
      <w:r w:rsidR="001420B1" w:rsidRPr="0051065C">
        <w:rPr>
          <w:rFonts w:ascii="Palatino Linotype" w:eastAsia="Calibri" w:hAnsi="Palatino Linotype" w:cs="Arial"/>
          <w:sz w:val="24"/>
          <w:szCs w:val="24"/>
          <w:lang w:val="es-ES_tradnl" w:eastAsia="es-ES_tradnl"/>
        </w:rPr>
        <w:t xml:space="preserve"> mediante la cual requirió:</w:t>
      </w:r>
    </w:p>
    <w:p w:rsidR="001420B1" w:rsidRPr="0051065C" w:rsidRDefault="001420B1" w:rsidP="001420B1">
      <w:p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p>
    <w:p w:rsidR="00621CD1" w:rsidRPr="0051065C" w:rsidRDefault="001420B1" w:rsidP="00621CD1">
      <w:pPr>
        <w:spacing w:after="0" w:line="360" w:lineRule="auto"/>
        <w:ind w:left="567" w:right="567"/>
        <w:contextualSpacing/>
        <w:jc w:val="both"/>
        <w:rPr>
          <w:rFonts w:ascii="Palatino Linotype" w:eastAsia="Times New Roman" w:hAnsi="Palatino Linotype" w:cs="Times New Roman"/>
          <w:i/>
          <w:lang w:eastAsia="es-ES_tradnl"/>
        </w:rPr>
      </w:pPr>
      <w:r w:rsidRPr="0051065C">
        <w:rPr>
          <w:rFonts w:ascii="Palatino Linotype" w:eastAsia="Times New Roman" w:hAnsi="Palatino Linotype" w:cs="Times New Roman"/>
          <w:i/>
          <w:lang w:val="es-ES_tradnl" w:eastAsia="es-ES_tradnl"/>
        </w:rPr>
        <w:t>“</w:t>
      </w:r>
      <w:r w:rsidR="00621CD1" w:rsidRPr="0051065C">
        <w:rPr>
          <w:rFonts w:ascii="Palatino Linotype" w:eastAsia="Times New Roman" w:hAnsi="Palatino Linotype" w:cs="Times New Roman"/>
          <w:i/>
          <w:lang w:eastAsia="es-ES_tradnl"/>
        </w:rPr>
        <w:t xml:space="preserve">De la síndico municipal solicito toda la información y documentación generada en el proceso de regularización de bienes inmuebles en cumplimiento de la atribución que le </w:t>
      </w:r>
      <w:r w:rsidR="00621CD1" w:rsidRPr="0051065C">
        <w:rPr>
          <w:rFonts w:ascii="Palatino Linotype" w:eastAsia="Times New Roman" w:hAnsi="Palatino Linotype" w:cs="Times New Roman"/>
          <w:i/>
          <w:lang w:eastAsia="es-ES_tradnl"/>
        </w:rPr>
        <w:lastRenderedPageBreak/>
        <w:t xml:space="preserve">confiere el artículo 53 fracción VIII de la Ley Orgánica </w:t>
      </w:r>
      <w:proofErr w:type="spellStart"/>
      <w:r w:rsidR="00621CD1" w:rsidRPr="0051065C">
        <w:rPr>
          <w:rFonts w:ascii="Palatino Linotype" w:eastAsia="Times New Roman" w:hAnsi="Palatino Linotype" w:cs="Times New Roman"/>
          <w:i/>
          <w:lang w:eastAsia="es-ES_tradnl"/>
        </w:rPr>
        <w:t>Municiapl</w:t>
      </w:r>
      <w:proofErr w:type="spellEnd"/>
      <w:r w:rsidR="00621CD1" w:rsidRPr="0051065C">
        <w:rPr>
          <w:rFonts w:ascii="Palatino Linotype" w:eastAsia="Times New Roman" w:hAnsi="Palatino Linotype" w:cs="Times New Roman"/>
          <w:i/>
          <w:lang w:eastAsia="es-ES_tradnl"/>
        </w:rPr>
        <w:t xml:space="preserve"> del Estado de México</w:t>
      </w:r>
      <w:proofErr w:type="gramStart"/>
      <w:r w:rsidR="00621CD1" w:rsidRPr="0051065C">
        <w:rPr>
          <w:rFonts w:ascii="Palatino Linotype" w:eastAsia="Times New Roman" w:hAnsi="Palatino Linotype" w:cs="Times New Roman"/>
          <w:i/>
          <w:lang w:eastAsia="es-ES_tradnl"/>
        </w:rPr>
        <w:t>.”(</w:t>
      </w:r>
      <w:proofErr w:type="gramEnd"/>
      <w:r w:rsidR="00621CD1" w:rsidRPr="0051065C">
        <w:rPr>
          <w:rFonts w:ascii="Palatino Linotype" w:eastAsia="Times New Roman" w:hAnsi="Palatino Linotype" w:cs="Times New Roman"/>
          <w:i/>
          <w:lang w:eastAsia="es-ES_tradnl"/>
        </w:rPr>
        <w:t>sic)</w:t>
      </w:r>
    </w:p>
    <w:p w:rsidR="00621CD1" w:rsidRPr="0051065C" w:rsidRDefault="00621CD1" w:rsidP="00621CD1">
      <w:pPr>
        <w:spacing w:after="0" w:line="360" w:lineRule="auto"/>
        <w:ind w:left="567" w:right="567"/>
        <w:contextualSpacing/>
        <w:jc w:val="both"/>
        <w:rPr>
          <w:rFonts w:ascii="Palatino Linotype" w:eastAsia="Times New Roman" w:hAnsi="Palatino Linotype" w:cs="Times New Roman"/>
          <w:i/>
          <w:lang w:val="es-ES" w:eastAsia="es-ES_tradnl"/>
        </w:rPr>
      </w:pPr>
    </w:p>
    <w:p w:rsidR="001420B1" w:rsidRPr="0051065C" w:rsidRDefault="00621CD1" w:rsidP="001420B1">
      <w:pPr>
        <w:spacing w:after="0" w:line="360" w:lineRule="auto"/>
        <w:ind w:left="567" w:right="567"/>
        <w:contextualSpacing/>
        <w:jc w:val="both"/>
        <w:rPr>
          <w:rFonts w:ascii="Palatino Linotype" w:eastAsia="Times New Roman" w:hAnsi="Palatino Linotype" w:cs="Times New Roman"/>
          <w:i/>
          <w:lang w:val="es-ES" w:eastAsia="es-ES_tradnl"/>
        </w:rPr>
      </w:pPr>
      <w:r w:rsidRPr="0051065C">
        <w:rPr>
          <w:rFonts w:ascii="Palatino Linotype" w:eastAsia="Times New Roman" w:hAnsi="Palatino Linotype" w:cs="Times New Roman"/>
          <w:i/>
          <w:lang w:val="es-ES" w:eastAsia="es-ES_tradnl"/>
        </w:rPr>
        <w:t>“</w:t>
      </w:r>
      <w:proofErr w:type="gramStart"/>
      <w:r w:rsidRPr="0051065C">
        <w:rPr>
          <w:rFonts w:ascii="Palatino Linotype" w:eastAsia="Times New Roman" w:hAnsi="Palatino Linotype" w:cs="Times New Roman"/>
          <w:i/>
          <w:lang w:eastAsia="es-ES_tradnl"/>
        </w:rPr>
        <w:t>De la síndico municipal</w:t>
      </w:r>
      <w:proofErr w:type="gramEnd"/>
      <w:r w:rsidRPr="0051065C">
        <w:rPr>
          <w:rFonts w:ascii="Palatino Linotype" w:eastAsia="Times New Roman" w:hAnsi="Palatino Linotype" w:cs="Times New Roman"/>
          <w:i/>
          <w:lang w:eastAsia="es-ES_tradnl"/>
        </w:rPr>
        <w:t xml:space="preserve"> solicito toda la información y documentación generada en el proceso de inscripción de los bienes inmuebles municipales en el Registro Público de la Propiedad, hoy Instituto de la Función Registral, en cumplimiento de la atribución que le confiere el artículo 53 fracción IX de la Ley Orgánica </w:t>
      </w:r>
      <w:proofErr w:type="spellStart"/>
      <w:r w:rsidRPr="0051065C">
        <w:rPr>
          <w:rFonts w:ascii="Palatino Linotype" w:eastAsia="Times New Roman" w:hAnsi="Palatino Linotype" w:cs="Times New Roman"/>
          <w:i/>
          <w:lang w:eastAsia="es-ES_tradnl"/>
        </w:rPr>
        <w:t>Municiapl</w:t>
      </w:r>
      <w:proofErr w:type="spellEnd"/>
      <w:r w:rsidRPr="0051065C">
        <w:rPr>
          <w:rFonts w:ascii="Palatino Linotype" w:eastAsia="Times New Roman" w:hAnsi="Palatino Linotype" w:cs="Times New Roman"/>
          <w:i/>
          <w:lang w:eastAsia="es-ES_tradnl"/>
        </w:rPr>
        <w:t xml:space="preserve"> del Estado de México</w:t>
      </w:r>
      <w:r w:rsidR="001420B1" w:rsidRPr="0051065C">
        <w:rPr>
          <w:rFonts w:ascii="Palatino Linotype" w:eastAsia="Times New Roman" w:hAnsi="Palatino Linotype" w:cs="Times New Roman"/>
          <w:i/>
          <w:lang w:eastAsia="es-ES_tradnl"/>
        </w:rPr>
        <w:t xml:space="preserve">” </w:t>
      </w:r>
      <w:r w:rsidR="001420B1" w:rsidRPr="0051065C">
        <w:rPr>
          <w:rFonts w:ascii="Palatino Linotype" w:eastAsia="Times New Roman" w:hAnsi="Palatino Linotype" w:cs="Times New Roman"/>
          <w:i/>
          <w:lang w:val="es-ES" w:eastAsia="es-ES_tradnl"/>
        </w:rPr>
        <w:t>(Sic)</w:t>
      </w:r>
      <w:r w:rsidR="001420B1" w:rsidRPr="0051065C">
        <w:rPr>
          <w:rFonts w:ascii="Palatino Linotype" w:eastAsia="Times New Roman" w:hAnsi="Palatino Linotype" w:cs="Times New Roman"/>
          <w:lang w:val="es-ES_tradnl" w:eastAsia="es-ES_tradnl"/>
        </w:rPr>
        <w:t>.</w:t>
      </w:r>
    </w:p>
    <w:p w:rsidR="001420B1" w:rsidRPr="0051065C" w:rsidRDefault="001420B1" w:rsidP="001420B1">
      <w:pPr>
        <w:spacing w:after="0" w:line="360" w:lineRule="auto"/>
        <w:ind w:left="720" w:right="34"/>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3"/>
        </w:numPr>
        <w:spacing w:after="0" w:line="360" w:lineRule="auto"/>
        <w:ind w:right="34"/>
        <w:contextualSpacing/>
        <w:jc w:val="both"/>
        <w:rPr>
          <w:rFonts w:ascii="Palatino Linotype" w:eastAsia="Times New Roman" w:hAnsi="Palatino Linotype" w:cs="Arial"/>
          <w:b/>
          <w:sz w:val="24"/>
          <w:szCs w:val="24"/>
          <w:lang w:val="es-ES_tradnl" w:eastAsia="es-ES_tradnl"/>
        </w:rPr>
      </w:pPr>
      <w:r w:rsidRPr="0051065C">
        <w:rPr>
          <w:rFonts w:ascii="Palatino Linotype" w:eastAsia="Times New Roman" w:hAnsi="Palatino Linotype" w:cs="Arial"/>
          <w:sz w:val="24"/>
          <w:szCs w:val="24"/>
          <w:lang w:val="es-ES_tradnl" w:eastAsia="es-ES_tradnl"/>
        </w:rPr>
        <w:t xml:space="preserve">La particular señaló como modalidad de entrega de la información: </w:t>
      </w:r>
      <w:r w:rsidRPr="0051065C">
        <w:rPr>
          <w:rFonts w:ascii="Palatino Linotype" w:eastAsia="Times New Roman" w:hAnsi="Palatino Linotype" w:cs="Arial"/>
          <w:b/>
          <w:sz w:val="24"/>
          <w:szCs w:val="24"/>
          <w:lang w:val="es-ES_tradnl" w:eastAsia="es-ES_tradnl"/>
        </w:rPr>
        <w:t>a través del SAIMEX.</w:t>
      </w:r>
    </w:p>
    <w:p w:rsidR="001420B1" w:rsidRPr="0051065C" w:rsidRDefault="001420B1" w:rsidP="001420B1">
      <w:pPr>
        <w:spacing w:after="0" w:line="360" w:lineRule="auto"/>
        <w:ind w:left="720" w:right="34"/>
        <w:contextualSpacing/>
        <w:jc w:val="both"/>
        <w:rPr>
          <w:rFonts w:ascii="Palatino Linotype" w:eastAsia="Times New Roman" w:hAnsi="Palatino Linotype" w:cs="Arial"/>
          <w:b/>
          <w:sz w:val="24"/>
          <w:szCs w:val="24"/>
          <w:lang w:val="es-ES_tradnl" w:eastAsia="es-ES_tradnl"/>
        </w:rPr>
      </w:pPr>
    </w:p>
    <w:p w:rsidR="001420B1" w:rsidRPr="0051065C" w:rsidRDefault="00621CD1" w:rsidP="001420B1">
      <w:pPr>
        <w:numPr>
          <w:ilvl w:val="0"/>
          <w:numId w:val="1"/>
        </w:numPr>
        <w:spacing w:after="0" w:line="360" w:lineRule="auto"/>
        <w:ind w:right="34"/>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El treinta (30) de jun</w:t>
      </w:r>
      <w:r w:rsidR="001420B1" w:rsidRPr="0051065C">
        <w:rPr>
          <w:rFonts w:ascii="Palatino Linotype" w:eastAsia="Times New Roman" w:hAnsi="Palatino Linotype" w:cs="Times New Roman"/>
          <w:sz w:val="24"/>
          <w:szCs w:val="24"/>
          <w:lang w:val="es-ES_tradnl" w:eastAsia="es-ES_tradnl"/>
        </w:rPr>
        <w:t xml:space="preserve">io de dos mil veinte, el </w:t>
      </w:r>
      <w:r w:rsidR="001420B1" w:rsidRPr="0051065C">
        <w:rPr>
          <w:rFonts w:ascii="Palatino Linotype" w:eastAsia="Times New Roman" w:hAnsi="Palatino Linotype" w:cs="Times New Roman"/>
          <w:b/>
          <w:sz w:val="24"/>
          <w:szCs w:val="24"/>
          <w:lang w:val="es-ES_tradnl" w:eastAsia="es-ES_tradnl"/>
        </w:rPr>
        <w:t>SUJETO OBLIGADO</w:t>
      </w:r>
      <w:r w:rsidR="001420B1" w:rsidRPr="0051065C">
        <w:rPr>
          <w:rFonts w:ascii="Palatino Linotype" w:eastAsia="Times New Roman" w:hAnsi="Palatino Linotype" w:cs="Times New Roman"/>
          <w:sz w:val="24"/>
          <w:szCs w:val="24"/>
          <w:lang w:val="es-ES_tradnl" w:eastAsia="es-ES_tradnl"/>
        </w:rPr>
        <w:t xml:space="preserve"> dio respuesta a la solicitud de información en los siguientes términos:</w:t>
      </w:r>
    </w:p>
    <w:p w:rsidR="001420B1" w:rsidRPr="0051065C" w:rsidRDefault="001420B1" w:rsidP="001420B1">
      <w:pPr>
        <w:spacing w:after="0" w:line="360" w:lineRule="auto"/>
        <w:ind w:left="502" w:right="34"/>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360" w:lineRule="auto"/>
        <w:ind w:left="567" w:right="616"/>
        <w:contextualSpacing/>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 w:eastAsia="es-ES_tradnl"/>
        </w:rPr>
        <w:t xml:space="preserve">“Con </w:t>
      </w:r>
      <w:r w:rsidRPr="0051065C">
        <w:rPr>
          <w:rFonts w:ascii="Palatino Linotype" w:eastAsia="Times New Roman" w:hAnsi="Palatino Linotype" w:cs="Times New Roman"/>
          <w:i/>
          <w:lang w:eastAsia="es-ES_tradnl"/>
        </w:rPr>
        <w:t xml:space="preserve">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w:t>
      </w:r>
      <w:r w:rsidRPr="0051065C">
        <w:rPr>
          <w:rFonts w:ascii="Palatino Linotype" w:eastAsia="Times New Roman" w:hAnsi="Palatino Linotype" w:cs="Times New Roman"/>
          <w:i/>
          <w:lang w:eastAsia="es-ES_tradnl"/>
        </w:rPr>
        <w:lastRenderedPageBreak/>
        <w:t>derecho a interponer recurso de revisión en contra de la respuesta proporcionada dentro del plazo de quince días hábiles, siguientes a la fecha de la notificación de la presente respuesta</w:t>
      </w:r>
      <w:r w:rsidRPr="0051065C">
        <w:rPr>
          <w:rFonts w:ascii="Palatino Linotype" w:eastAsia="Times New Roman" w:hAnsi="Palatino Linotype" w:cs="Times New Roman"/>
          <w:i/>
          <w:lang w:val="es-ES_tradnl" w:eastAsia="es-ES_tradnl"/>
        </w:rPr>
        <w:t>.” (sic)</w:t>
      </w:r>
    </w:p>
    <w:p w:rsidR="001420B1" w:rsidRPr="0051065C" w:rsidRDefault="001420B1" w:rsidP="001420B1">
      <w:pPr>
        <w:spacing w:after="0" w:line="360" w:lineRule="auto"/>
        <w:ind w:right="34"/>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Asimismo, el </w:t>
      </w:r>
      <w:r w:rsidRPr="0051065C">
        <w:rPr>
          <w:rFonts w:ascii="Palatino Linotype" w:eastAsia="Times New Roman" w:hAnsi="Palatino Linotype" w:cs="Times New Roman"/>
          <w:b/>
          <w:bCs/>
          <w:sz w:val="24"/>
          <w:szCs w:val="24"/>
          <w:lang w:val="es-ES_tradnl" w:eastAsia="es-ES_tradnl"/>
        </w:rPr>
        <w:t>SUJETO OBLIGADO</w:t>
      </w:r>
      <w:r w:rsidRPr="0051065C">
        <w:rPr>
          <w:rFonts w:ascii="Palatino Linotype" w:eastAsia="Times New Roman" w:hAnsi="Palatino Linotype" w:cs="Times New Roman"/>
          <w:sz w:val="24"/>
          <w:szCs w:val="24"/>
          <w:lang w:val="es-ES_tradnl" w:eastAsia="es-ES_tradnl"/>
        </w:rPr>
        <w:t xml:space="preserve"> adjuntó a su respuesta el archivo electrónico que se describe a continuación:</w:t>
      </w:r>
    </w:p>
    <w:p w:rsidR="001420B1" w:rsidRPr="0051065C" w:rsidRDefault="001420B1" w:rsidP="001420B1">
      <w:pPr>
        <w:spacing w:after="0" w:line="360" w:lineRule="auto"/>
        <w:ind w:left="567" w:right="616"/>
        <w:contextualSpacing/>
        <w:jc w:val="both"/>
        <w:rPr>
          <w:rFonts w:ascii="Palatino Linotype" w:eastAsia="Times New Roman" w:hAnsi="Palatino Linotype" w:cs="Times New Roman"/>
          <w:i/>
          <w:lang w:val="es-ES_tradnl" w:eastAsia="es-ES_tradnl"/>
        </w:rPr>
      </w:pPr>
    </w:p>
    <w:p w:rsidR="001420B1" w:rsidRPr="0051065C" w:rsidRDefault="00621CD1" w:rsidP="001420B1">
      <w:pPr>
        <w:numPr>
          <w:ilvl w:val="0"/>
          <w:numId w:val="34"/>
        </w:numPr>
        <w:spacing w:after="0" w:line="360" w:lineRule="auto"/>
        <w:ind w:left="851" w:right="616"/>
        <w:contextualSpacing/>
        <w:jc w:val="both"/>
        <w:rPr>
          <w:rFonts w:ascii="Palatino Linotype" w:eastAsia="Times New Roman" w:hAnsi="Palatino Linotype" w:cs="Times New Roman"/>
          <w:b/>
          <w:i/>
          <w:lang w:val="es-ES" w:eastAsia="es-ES_tradnl"/>
        </w:rPr>
      </w:pPr>
      <w:r w:rsidRPr="0051065C">
        <w:rPr>
          <w:rFonts w:ascii="Palatino Linotype" w:eastAsia="Times New Roman" w:hAnsi="Palatino Linotype" w:cs="Times New Roman"/>
          <w:b/>
          <w:bCs/>
          <w:i/>
          <w:lang w:val="es-ES" w:eastAsia="es-ES_tradnl"/>
        </w:rPr>
        <w:t xml:space="preserve">Acta de la 11va Sesión Extraordinaria.pdf: </w:t>
      </w:r>
      <w:r w:rsidRPr="0051065C">
        <w:rPr>
          <w:rFonts w:ascii="Palatino Linotype" w:eastAsia="Times New Roman" w:hAnsi="Palatino Linotype" w:cs="Times New Roman"/>
          <w:i/>
          <w:lang w:val="es-ES" w:eastAsia="es-ES_tradnl"/>
        </w:rPr>
        <w:t>Contiene el acta de la Onceava Sesión Extraordinaria del Comité de Transparencia del 15 de junio de 2020,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r w:rsidR="001420B1" w:rsidRPr="0051065C">
        <w:rPr>
          <w:rFonts w:ascii="Palatino Linotype" w:eastAsia="Times New Roman" w:hAnsi="Palatino Linotype" w:cs="Times New Roman"/>
          <w:i/>
          <w:lang w:val="es-ES" w:eastAsia="es-ES_tradnl"/>
        </w:rPr>
        <w:t>.</w:t>
      </w:r>
    </w:p>
    <w:p w:rsidR="001420B1" w:rsidRPr="0051065C" w:rsidRDefault="001420B1" w:rsidP="001420B1">
      <w:p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Arial"/>
          <w:sz w:val="24"/>
          <w:szCs w:val="24"/>
          <w:lang w:val="es-ES_tradnl" w:eastAsia="es-ES_tradnl"/>
        </w:rPr>
        <w:t xml:space="preserve">Derivado de la respuesta emitida por el </w:t>
      </w:r>
      <w:r w:rsidRPr="0051065C">
        <w:rPr>
          <w:rFonts w:ascii="Palatino Linotype" w:eastAsia="Times New Roman" w:hAnsi="Palatino Linotype" w:cs="Arial"/>
          <w:b/>
          <w:sz w:val="24"/>
          <w:szCs w:val="24"/>
          <w:lang w:val="es-ES_tradnl" w:eastAsia="es-ES_tradnl"/>
        </w:rPr>
        <w:t>SUJETO OBLIGADO</w:t>
      </w:r>
      <w:r w:rsidR="00621CD1" w:rsidRPr="0051065C">
        <w:rPr>
          <w:rFonts w:ascii="Palatino Linotype" w:eastAsia="Times New Roman" w:hAnsi="Palatino Linotype" w:cs="Arial"/>
          <w:sz w:val="24"/>
          <w:szCs w:val="24"/>
          <w:lang w:val="es-ES_tradnl" w:eastAsia="es-ES_tradnl"/>
        </w:rPr>
        <w:t>, el dieciocho (18</w:t>
      </w:r>
      <w:r w:rsidRPr="0051065C">
        <w:rPr>
          <w:rFonts w:ascii="Palatino Linotype" w:eastAsia="Times New Roman" w:hAnsi="Palatino Linotype" w:cs="Arial"/>
          <w:sz w:val="24"/>
          <w:szCs w:val="24"/>
          <w:lang w:val="es-ES_tradnl" w:eastAsia="es-ES_tradnl"/>
        </w:rPr>
        <w:t xml:space="preserve">) de agosto de dos mil veinte, estando en tiempo y forma, la particular interpuso el recurso de revisión </w:t>
      </w:r>
      <w:r w:rsidR="00621CD1" w:rsidRPr="0051065C">
        <w:rPr>
          <w:rFonts w:ascii="Palatino Linotype" w:eastAsia="Calibri" w:hAnsi="Palatino Linotype" w:cs="Arial"/>
          <w:b/>
          <w:sz w:val="24"/>
          <w:szCs w:val="24"/>
          <w:lang w:val="es-ES_tradnl" w:eastAsia="es-ES_tradnl"/>
        </w:rPr>
        <w:t>02743</w:t>
      </w:r>
      <w:r w:rsidRPr="0051065C">
        <w:rPr>
          <w:rFonts w:ascii="Palatino Linotype" w:eastAsia="Calibri" w:hAnsi="Palatino Linotype" w:cs="Arial"/>
          <w:b/>
          <w:sz w:val="24"/>
          <w:szCs w:val="24"/>
          <w:lang w:val="es-ES_tradnl" w:eastAsia="es-ES_tradnl"/>
        </w:rPr>
        <w:t>/INFOEM/IP/RR/2020</w:t>
      </w:r>
      <w:r w:rsidR="00621CD1" w:rsidRPr="0051065C">
        <w:rPr>
          <w:rFonts w:ascii="Palatino Linotype" w:eastAsia="Calibri" w:hAnsi="Palatino Linotype" w:cs="Arial"/>
          <w:b/>
          <w:sz w:val="24"/>
          <w:szCs w:val="24"/>
          <w:lang w:val="es-ES_tradnl" w:eastAsia="es-ES_tradnl"/>
        </w:rPr>
        <w:t xml:space="preserve"> y acumulado</w:t>
      </w:r>
      <w:r w:rsidRPr="0051065C">
        <w:rPr>
          <w:rFonts w:ascii="Palatino Linotype" w:eastAsia="Calibri" w:hAnsi="Palatino Linotype" w:cs="Arial"/>
          <w:b/>
          <w:sz w:val="24"/>
          <w:szCs w:val="24"/>
          <w:lang w:val="es-ES_tradnl" w:eastAsia="es-ES_tradnl"/>
        </w:rPr>
        <w:t>;</w:t>
      </w:r>
      <w:r w:rsidRPr="0051065C">
        <w:rPr>
          <w:rFonts w:ascii="Palatino Linotype" w:eastAsia="Times New Roman" w:hAnsi="Palatino Linotype" w:cs="Arial"/>
          <w:sz w:val="24"/>
          <w:szCs w:val="24"/>
          <w:lang w:val="es-ES_tradnl" w:eastAsia="es-ES_tradnl"/>
        </w:rPr>
        <w:t xml:space="preserve"> impugnación en la que refirió lo siguiente:</w:t>
      </w:r>
    </w:p>
    <w:p w:rsidR="001420B1" w:rsidRPr="0051065C" w:rsidRDefault="001420B1" w:rsidP="001420B1">
      <w:pPr>
        <w:tabs>
          <w:tab w:val="left" w:pos="426"/>
        </w:tabs>
        <w:spacing w:after="0" w:line="360" w:lineRule="auto"/>
        <w:ind w:left="284"/>
        <w:contextualSpacing/>
        <w:jc w:val="both"/>
        <w:rPr>
          <w:rFonts w:ascii="Palatino Linotype" w:eastAsia="Times New Roman" w:hAnsi="Palatino Linotype" w:cs="Arial"/>
          <w:sz w:val="24"/>
          <w:szCs w:val="24"/>
          <w:lang w:val="es-ES_tradnl" w:eastAsia="es-ES_tradnl"/>
        </w:rPr>
      </w:pPr>
    </w:p>
    <w:p w:rsidR="001420B1" w:rsidRPr="0051065C" w:rsidRDefault="001420B1" w:rsidP="001420B1">
      <w:pPr>
        <w:numPr>
          <w:ilvl w:val="0"/>
          <w:numId w:val="10"/>
        </w:numPr>
        <w:tabs>
          <w:tab w:val="left" w:pos="426"/>
        </w:tabs>
        <w:spacing w:after="0" w:line="360" w:lineRule="auto"/>
        <w:contextualSpacing/>
        <w:jc w:val="both"/>
        <w:rPr>
          <w:rFonts w:ascii="Palatino Linotype" w:eastAsia="Times New Roman" w:hAnsi="Palatino Linotype" w:cs="Arial"/>
          <w:sz w:val="24"/>
          <w:szCs w:val="24"/>
          <w:lang w:val="es-ES_tradnl" w:eastAsia="es-ES_tradnl"/>
        </w:rPr>
      </w:pPr>
      <w:r w:rsidRPr="0051065C">
        <w:rPr>
          <w:rFonts w:ascii="Palatino Linotype" w:eastAsia="Times New Roman" w:hAnsi="Palatino Linotype" w:cs="Arial"/>
          <w:b/>
          <w:sz w:val="24"/>
          <w:szCs w:val="24"/>
          <w:lang w:val="es-ES_tradnl" w:eastAsia="es-ES_tradnl"/>
        </w:rPr>
        <w:t>Acto impugnado:</w:t>
      </w:r>
      <w:r w:rsidRPr="0051065C">
        <w:rPr>
          <w:rFonts w:ascii="Palatino Linotype" w:eastAsia="Times New Roman" w:hAnsi="Palatino Linotype" w:cs="Arial"/>
          <w:sz w:val="24"/>
          <w:szCs w:val="24"/>
          <w:lang w:val="es-ES_tradnl" w:eastAsia="es-ES_tradnl"/>
        </w:rPr>
        <w:t xml:space="preserve"> “</w:t>
      </w:r>
      <w:r w:rsidRPr="0051065C">
        <w:rPr>
          <w:rFonts w:ascii="Palatino Linotype" w:eastAsia="Times New Roman" w:hAnsi="Palatino Linotype" w:cs="Arial"/>
          <w:i/>
          <w:sz w:val="24"/>
          <w:szCs w:val="24"/>
          <w:lang w:eastAsia="es-ES_tradnl"/>
        </w:rPr>
        <w:t>El acta del comité de transparencia</w:t>
      </w:r>
      <w:r w:rsidRPr="0051065C">
        <w:rPr>
          <w:rFonts w:ascii="Palatino Linotype" w:eastAsia="Times New Roman" w:hAnsi="Palatino Linotype" w:cs="Arial"/>
          <w:i/>
          <w:sz w:val="24"/>
          <w:szCs w:val="24"/>
          <w:lang w:val="es-ES_tradnl" w:eastAsia="es-ES_tradnl"/>
        </w:rPr>
        <w:t>.”</w:t>
      </w:r>
      <w:r w:rsidRPr="0051065C">
        <w:rPr>
          <w:rFonts w:ascii="Palatino Linotype" w:eastAsia="Times New Roman" w:hAnsi="Palatino Linotype" w:cs="Arial"/>
          <w:sz w:val="24"/>
          <w:szCs w:val="24"/>
          <w:lang w:val="es-ES_tradnl" w:eastAsia="es-ES_tradnl"/>
        </w:rPr>
        <w:t xml:space="preserve"> (Sic).</w:t>
      </w:r>
    </w:p>
    <w:p w:rsidR="001420B1" w:rsidRPr="0051065C" w:rsidRDefault="001420B1" w:rsidP="001420B1">
      <w:pPr>
        <w:tabs>
          <w:tab w:val="left" w:pos="426"/>
        </w:tabs>
        <w:spacing w:after="0" w:line="360" w:lineRule="auto"/>
        <w:ind w:left="1004"/>
        <w:contextualSpacing/>
        <w:jc w:val="both"/>
        <w:rPr>
          <w:rFonts w:ascii="Palatino Linotype" w:eastAsia="Times New Roman" w:hAnsi="Palatino Linotype" w:cs="Arial"/>
          <w:sz w:val="24"/>
          <w:szCs w:val="24"/>
          <w:lang w:val="es-ES_tradnl" w:eastAsia="es-ES_tradnl"/>
        </w:rPr>
      </w:pPr>
    </w:p>
    <w:p w:rsidR="001420B1" w:rsidRPr="0051065C" w:rsidRDefault="001420B1" w:rsidP="00621CD1">
      <w:pPr>
        <w:numPr>
          <w:ilvl w:val="0"/>
          <w:numId w:val="10"/>
        </w:numPr>
        <w:tabs>
          <w:tab w:val="left" w:pos="426"/>
        </w:tabs>
        <w:spacing w:after="0" w:line="360" w:lineRule="auto"/>
        <w:contextualSpacing/>
        <w:jc w:val="both"/>
        <w:rPr>
          <w:rFonts w:ascii="Palatino Linotype" w:eastAsia="Times New Roman" w:hAnsi="Palatino Linotype" w:cs="Arial"/>
          <w:sz w:val="24"/>
          <w:szCs w:val="24"/>
          <w:lang w:val="es-ES_tradnl" w:eastAsia="es-ES_tradnl"/>
        </w:rPr>
      </w:pPr>
      <w:r w:rsidRPr="0051065C">
        <w:rPr>
          <w:rFonts w:ascii="Palatino Linotype" w:eastAsia="Times New Roman" w:hAnsi="Palatino Linotype" w:cs="Arial"/>
          <w:b/>
          <w:sz w:val="24"/>
          <w:szCs w:val="24"/>
          <w:lang w:val="es-ES_tradnl" w:eastAsia="es-ES_tradnl"/>
        </w:rPr>
        <w:t>Razones o motivos de inconformidad:</w:t>
      </w:r>
      <w:r w:rsidRPr="0051065C">
        <w:rPr>
          <w:rFonts w:ascii="Palatino Linotype" w:eastAsia="Times New Roman" w:hAnsi="Palatino Linotype" w:cs="Arial"/>
          <w:sz w:val="24"/>
          <w:szCs w:val="24"/>
          <w:lang w:val="es-ES_tradnl" w:eastAsia="es-ES_tradnl"/>
        </w:rPr>
        <w:t xml:space="preserve"> “</w:t>
      </w:r>
      <w:r w:rsidR="00621CD1" w:rsidRPr="0051065C">
        <w:rPr>
          <w:rFonts w:ascii="Palatino Linotype" w:eastAsiaTheme="minorEastAsia" w:hAnsi="Palatino Linotype"/>
          <w:i/>
          <w:sz w:val="24"/>
          <w:lang w:val="es-ES_tradnl" w:eastAsia="es-ES"/>
        </w:rPr>
        <w:t>S</w:t>
      </w:r>
      <w:proofErr w:type="spellStart"/>
      <w:r w:rsidR="00621CD1" w:rsidRPr="0051065C">
        <w:rPr>
          <w:rFonts w:ascii="Palatino Linotype" w:eastAsiaTheme="minorEastAsia" w:hAnsi="Palatino Linotype"/>
          <w:i/>
          <w:sz w:val="24"/>
          <w:lang w:eastAsia="es-ES"/>
        </w:rPr>
        <w:t>e</w:t>
      </w:r>
      <w:proofErr w:type="spellEnd"/>
      <w:r w:rsidR="00621CD1" w:rsidRPr="0051065C">
        <w:rPr>
          <w:rFonts w:ascii="Palatino Linotype" w:eastAsiaTheme="minorEastAsia" w:hAnsi="Palatino Linotype"/>
          <w:i/>
          <w:sz w:val="24"/>
          <w:lang w:eastAsia="es-ES"/>
        </w:rPr>
        <w:t xml:space="preserve"> transgrede en mi perjuicio el principio de legalidad constitucional, conforme al cual, las autoridades sólo pueden </w:t>
      </w:r>
      <w:r w:rsidR="00621CD1" w:rsidRPr="0051065C">
        <w:rPr>
          <w:rFonts w:ascii="Palatino Linotype" w:eastAsiaTheme="minorEastAsia" w:hAnsi="Palatino Linotype"/>
          <w:i/>
          <w:sz w:val="24"/>
          <w:lang w:eastAsia="es-ES"/>
        </w:rPr>
        <w:lastRenderedPageBreak/>
        <w:t xml:space="preserve">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00621CD1" w:rsidRPr="0051065C">
        <w:rPr>
          <w:rFonts w:ascii="Palatino Linotype" w:eastAsiaTheme="minorEastAsia" w:hAnsi="Palatino Linotype"/>
          <w:i/>
          <w:sz w:val="24"/>
          <w:lang w:eastAsia="es-ES"/>
        </w:rPr>
        <w:t>checador</w:t>
      </w:r>
      <w:proofErr w:type="spellEnd"/>
      <w:r w:rsidR="00621CD1" w:rsidRPr="0051065C">
        <w:rPr>
          <w:rFonts w:ascii="Palatino Linotype" w:eastAsiaTheme="minorEastAsia" w:hAnsi="Palatino Linotype"/>
          <w:i/>
          <w:sz w:val="24"/>
          <w:lang w:eastAsia="es-ES"/>
        </w:rPr>
        <w:t xml:space="preserve"> del sujeto obligado, mismos que pido le sean requeridos cómo pruebas, ello, con independencia, que el presidente municipal, experto en simulación e hipocresía ordenó emitir acuerdo de cabildo y circulares para fingir tal suspensión. Así las </w:t>
      </w:r>
      <w:r w:rsidR="00621CD1" w:rsidRPr="0051065C">
        <w:rPr>
          <w:rFonts w:ascii="Palatino Linotype" w:eastAsiaTheme="minorEastAsia" w:hAnsi="Palatino Linotype"/>
          <w:i/>
          <w:sz w:val="24"/>
          <w:lang w:eastAsia="es-ES"/>
        </w:rPr>
        <w:lastRenderedPageBreak/>
        <w:t xml:space="preserve">cosas, en virtud que la pretendida acción del sujeto obligado sólo busca identificarme físicamente para intimidarme y prohibirme que formule más solicitudes, atentamente, pido sea sancionado el presidente municipal y el comité de transparencia por </w:t>
      </w:r>
      <w:proofErr w:type="gramStart"/>
      <w:r w:rsidR="00621CD1" w:rsidRPr="0051065C">
        <w:rPr>
          <w:rFonts w:ascii="Palatino Linotype" w:eastAsiaTheme="minorEastAsia" w:hAnsi="Palatino Linotype"/>
          <w:i/>
          <w:sz w:val="24"/>
          <w:lang w:eastAsia="es-ES"/>
        </w:rPr>
        <w:t>éstos</w:t>
      </w:r>
      <w:proofErr w:type="gramEnd"/>
      <w:r w:rsidR="00621CD1" w:rsidRPr="0051065C">
        <w:rPr>
          <w:rFonts w:ascii="Palatino Linotype" w:eastAsiaTheme="minorEastAsia" w:hAnsi="Palatino Linotype"/>
          <w:i/>
          <w:sz w:val="24"/>
          <w:lang w:eastAsia="es-ES"/>
        </w:rPr>
        <w:t xml:space="preserve"> actos tendentes a identificarme y amedrentarme”</w:t>
      </w:r>
      <w:r w:rsidR="00621CD1" w:rsidRPr="0051065C">
        <w:rPr>
          <w:rFonts w:ascii="Palatino Linotype" w:eastAsia="Times New Roman" w:hAnsi="Palatino Linotype" w:cs="Arial"/>
          <w:sz w:val="24"/>
          <w:szCs w:val="24"/>
          <w:lang w:val="es-ES_tradnl" w:eastAsia="es-ES_tradnl"/>
        </w:rPr>
        <w:t xml:space="preserve"> </w:t>
      </w:r>
      <w:r w:rsidRPr="0051065C">
        <w:rPr>
          <w:rFonts w:ascii="Palatino Linotype" w:eastAsia="Times New Roman" w:hAnsi="Palatino Linotype" w:cs="Arial"/>
          <w:sz w:val="24"/>
          <w:szCs w:val="24"/>
          <w:lang w:val="es-ES_tradnl" w:eastAsia="es-ES_tradnl"/>
        </w:rPr>
        <w:t>(Sic).</w:t>
      </w:r>
    </w:p>
    <w:p w:rsidR="001420B1" w:rsidRPr="0051065C" w:rsidRDefault="001420B1" w:rsidP="001420B1">
      <w:pPr>
        <w:tabs>
          <w:tab w:val="left" w:pos="426"/>
        </w:tabs>
        <w:spacing w:after="0" w:line="360" w:lineRule="auto"/>
        <w:ind w:left="284"/>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51065C">
        <w:rPr>
          <w:rFonts w:ascii="Palatino Linotype" w:eastAsia="Times New Roman" w:hAnsi="Palatino Linotype" w:cs="Arial"/>
          <w:sz w:val="24"/>
          <w:szCs w:val="24"/>
          <w:lang w:val="es-ES_tradnl" w:eastAsia="es-ES_tradnl"/>
        </w:rPr>
        <w:t xml:space="preserve">Se registró el recurso de revisión bajo el número de expediente </w:t>
      </w:r>
      <w:r w:rsidRPr="0051065C">
        <w:rPr>
          <w:rFonts w:ascii="Palatino Linotype" w:eastAsia="Times New Roman" w:hAnsi="Palatino Linotype" w:cs="Arial"/>
          <w:bCs/>
          <w:sz w:val="24"/>
          <w:szCs w:val="24"/>
          <w:lang w:val="es-ES_tradnl" w:eastAsia="es-ES_tradnl"/>
        </w:rPr>
        <w:t xml:space="preserve">al rubro indicado, asimismo, con fundamento en lo dispuesto por el </w:t>
      </w:r>
      <w:r w:rsidRPr="0051065C">
        <w:rPr>
          <w:rFonts w:ascii="Palatino Linotype" w:eastAsia="Calibri" w:hAnsi="Palatino Linotype" w:cs="Arial"/>
          <w:sz w:val="24"/>
          <w:szCs w:val="24"/>
          <w:lang w:val="es-ES_tradnl" w:eastAsia="es-ES_tradnl"/>
        </w:rPr>
        <w:t xml:space="preserve">artículo 185 fracción I de la </w:t>
      </w:r>
      <w:r w:rsidRPr="0051065C">
        <w:rPr>
          <w:rFonts w:ascii="Palatino Linotype" w:eastAsia="Calibri" w:hAnsi="Palatino Linotype" w:cs="Arial"/>
          <w:b/>
          <w:sz w:val="24"/>
          <w:szCs w:val="24"/>
          <w:lang w:val="es-ES_tradnl" w:eastAsia="es-ES_tradnl"/>
        </w:rPr>
        <w:t xml:space="preserve">Ley de Transparencia y Acceso a la Información Pública del Estado de México y Municipios </w:t>
      </w:r>
      <w:r w:rsidRPr="0051065C">
        <w:rPr>
          <w:rFonts w:ascii="Palatino Linotype" w:eastAsia="Times New Roman" w:hAnsi="Palatino Linotype" w:cs="Arial"/>
          <w:sz w:val="24"/>
          <w:szCs w:val="24"/>
          <w:lang w:val="es-ES_tradnl" w:eastAsia="es-ES_tradnl"/>
        </w:rPr>
        <w:t xml:space="preserve">se turnó al </w:t>
      </w:r>
      <w:r w:rsidRPr="0051065C">
        <w:rPr>
          <w:rFonts w:ascii="Palatino Linotype" w:eastAsia="Times New Roman" w:hAnsi="Palatino Linotype" w:cs="Arial"/>
          <w:b/>
          <w:sz w:val="24"/>
          <w:szCs w:val="24"/>
          <w:lang w:val="es-ES_tradnl" w:eastAsia="es-ES_tradnl"/>
        </w:rPr>
        <w:t xml:space="preserve">Comisionado José Guadalupe Luna Hernández, </w:t>
      </w:r>
      <w:r w:rsidRPr="0051065C">
        <w:rPr>
          <w:rFonts w:ascii="Palatino Linotype" w:eastAsia="Times New Roman" w:hAnsi="Palatino Linotype" w:cs="Arial"/>
          <w:sz w:val="24"/>
          <w:szCs w:val="24"/>
          <w:lang w:val="es-ES_tradnl" w:eastAsia="es-ES_tradnl"/>
        </w:rPr>
        <w:t>con el objeto de su análisis.</w:t>
      </w:r>
    </w:p>
    <w:p w:rsidR="00621CD1" w:rsidRPr="0051065C" w:rsidRDefault="00621CD1" w:rsidP="00621CD1">
      <w:pPr>
        <w:tabs>
          <w:tab w:val="left" w:pos="426"/>
        </w:tabs>
        <w:spacing w:after="0" w:line="360" w:lineRule="auto"/>
        <w:ind w:left="502"/>
        <w:contextualSpacing/>
        <w:jc w:val="both"/>
        <w:rPr>
          <w:rFonts w:ascii="Palatino Linotype" w:eastAsia="Calibri" w:hAnsi="Palatino Linotype" w:cs="Arial"/>
          <w:sz w:val="24"/>
          <w:szCs w:val="24"/>
          <w:lang w:val="es-ES_tradnl" w:eastAsia="es-ES_tradnl"/>
        </w:rPr>
      </w:pPr>
    </w:p>
    <w:p w:rsidR="001420B1" w:rsidRPr="0051065C" w:rsidRDefault="001420B1" w:rsidP="001420B1">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51065C">
        <w:rPr>
          <w:rFonts w:ascii="Palatino Linotype" w:eastAsia="Times New Roman" w:hAnsi="Palatino Linotype" w:cs="Arial"/>
          <w:sz w:val="24"/>
          <w:szCs w:val="24"/>
          <w:lang w:val="es-ES_tradnl" w:eastAsia="es-ES_tradnl"/>
        </w:rPr>
        <w:t>El</w:t>
      </w:r>
      <w:r w:rsidRPr="0051065C">
        <w:rPr>
          <w:rFonts w:ascii="Palatino Linotype" w:eastAsia="Calibri" w:hAnsi="Palatino Linotype" w:cs="Arial"/>
          <w:sz w:val="24"/>
          <w:szCs w:val="24"/>
          <w:lang w:val="es-ES_tradnl" w:eastAsia="es-ES_tradnl"/>
        </w:rPr>
        <w:t xml:space="preserve"> Comisionado Ponente con fundamento en lo dispuesto por el artículo 185 fracción II de la ley de la materia, a través del acuerdo de admisión de veinticuatro (24) de agosto de dos mil veinte, puso a disposición de las partes el expediente electrónico vía Sistema de Acceso a la Información Mexiquense (</w:t>
      </w:r>
      <w:r w:rsidRPr="0051065C">
        <w:rPr>
          <w:rFonts w:ascii="Palatino Linotype" w:eastAsia="Calibri" w:hAnsi="Palatino Linotype" w:cs="Arial"/>
          <w:b/>
          <w:i/>
          <w:sz w:val="24"/>
          <w:szCs w:val="24"/>
          <w:lang w:val="es-ES_tradnl" w:eastAsia="es-ES_tradnl"/>
        </w:rPr>
        <w:t>SAIMEX)</w:t>
      </w:r>
      <w:r w:rsidRPr="0051065C">
        <w:rPr>
          <w:rFonts w:ascii="Palatino Linotype" w:eastAsia="Calibri" w:hAnsi="Palatino Linotype" w:cs="Arial"/>
          <w:b/>
          <w:sz w:val="24"/>
          <w:szCs w:val="24"/>
          <w:lang w:val="es-ES_tradnl" w:eastAsia="es-ES_tradnl"/>
        </w:rPr>
        <w:t xml:space="preserve"> </w:t>
      </w:r>
      <w:r w:rsidRPr="0051065C">
        <w:rPr>
          <w:rFonts w:ascii="Palatino Linotype" w:eastAsia="Calibri" w:hAnsi="Palatino Linotype" w:cs="Arial"/>
          <w:sz w:val="24"/>
          <w:szCs w:val="24"/>
          <w:lang w:val="es-ES_tradnl" w:eastAsia="es-ES_tradnl"/>
        </w:rPr>
        <w:t xml:space="preserve">a efecto de que en un plazo máximo de siete días manifestaran lo que a su derecho convinieran, ofrecieran pruebas y alegatos según corresponda a los casos concretos, de esta forma para que el </w:t>
      </w:r>
      <w:r w:rsidRPr="0051065C">
        <w:rPr>
          <w:rFonts w:ascii="Palatino Linotype" w:eastAsia="Calibri" w:hAnsi="Palatino Linotype" w:cs="Arial"/>
          <w:b/>
          <w:sz w:val="24"/>
          <w:szCs w:val="24"/>
          <w:lang w:val="es-ES_tradnl" w:eastAsia="es-ES_tradnl"/>
        </w:rPr>
        <w:t>SUJETO OBLIGADO</w:t>
      </w:r>
      <w:r w:rsidRPr="0051065C">
        <w:rPr>
          <w:rFonts w:ascii="Palatino Linotype" w:eastAsia="Calibri" w:hAnsi="Palatino Linotype" w:cs="Arial"/>
          <w:sz w:val="24"/>
          <w:szCs w:val="24"/>
          <w:lang w:val="es-ES_tradnl" w:eastAsia="es-ES_tradnl"/>
        </w:rPr>
        <w:t xml:space="preserve"> presentara el informe justificado procedente.</w:t>
      </w:r>
    </w:p>
    <w:p w:rsidR="001420B1" w:rsidRPr="0051065C" w:rsidRDefault="001420B1" w:rsidP="001420B1">
      <w:p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p>
    <w:p w:rsidR="001420B1" w:rsidRPr="0051065C" w:rsidRDefault="001420B1" w:rsidP="001420B1">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51065C">
        <w:rPr>
          <w:rFonts w:ascii="Palatino Linotype" w:eastAsia="Calibri" w:hAnsi="Palatino Linotype" w:cs="Arial"/>
          <w:sz w:val="24"/>
          <w:szCs w:val="24"/>
          <w:lang w:val="es-ES_tradnl" w:eastAsia="es-ES_tradnl"/>
        </w:rPr>
        <w:t xml:space="preserve">De las constancias que obran en el expediente digital del recurso de revisión que hoy se resuelve, se aprecia que el </w:t>
      </w:r>
      <w:r w:rsidRPr="0051065C">
        <w:rPr>
          <w:rFonts w:ascii="Palatino Linotype" w:eastAsia="Calibri" w:hAnsi="Palatino Linotype" w:cs="Arial"/>
          <w:b/>
          <w:sz w:val="24"/>
          <w:szCs w:val="24"/>
          <w:lang w:val="es-ES_tradnl" w:eastAsia="es-ES_tradnl"/>
        </w:rPr>
        <w:t xml:space="preserve">SUJETO OBLIGADO </w:t>
      </w:r>
      <w:r w:rsidRPr="0051065C">
        <w:rPr>
          <w:rFonts w:ascii="Palatino Linotype" w:eastAsia="Calibri" w:hAnsi="Palatino Linotype" w:cs="Arial"/>
          <w:sz w:val="24"/>
          <w:szCs w:val="24"/>
          <w:lang w:val="es-ES_tradnl" w:eastAsia="es-ES_tradnl"/>
        </w:rPr>
        <w:t xml:space="preserve">no rindió informe </w:t>
      </w:r>
      <w:r w:rsidRPr="0051065C">
        <w:rPr>
          <w:rFonts w:ascii="Palatino Linotype" w:eastAsia="Calibri" w:hAnsi="Palatino Linotype" w:cs="Arial"/>
          <w:sz w:val="24"/>
          <w:szCs w:val="24"/>
          <w:lang w:val="es-ES_tradnl" w:eastAsia="es-ES_tradnl"/>
        </w:rPr>
        <w:lastRenderedPageBreak/>
        <w:t xml:space="preserve">justificado para manifestar lo que a su derecho conviniera; por su parte, la </w:t>
      </w:r>
      <w:r w:rsidRPr="0051065C">
        <w:rPr>
          <w:rFonts w:ascii="Palatino Linotype" w:eastAsia="Calibri" w:hAnsi="Palatino Linotype" w:cs="Arial"/>
          <w:b/>
          <w:sz w:val="24"/>
          <w:szCs w:val="24"/>
          <w:lang w:val="es-ES_tradnl" w:eastAsia="es-ES_tradnl"/>
        </w:rPr>
        <w:t xml:space="preserve">RECURRENTE </w:t>
      </w:r>
      <w:r w:rsidRPr="0051065C">
        <w:rPr>
          <w:rFonts w:ascii="Palatino Linotype" w:eastAsia="Calibri" w:hAnsi="Palatino Linotype" w:cs="Arial"/>
          <w:sz w:val="24"/>
          <w:szCs w:val="24"/>
          <w:lang w:val="es-ES_tradnl" w:eastAsia="es-ES_tradnl"/>
        </w:rPr>
        <w:t xml:space="preserve">no presentó alegatos ni ofreció medios de prueba. Se adjunta captura del apartado de </w:t>
      </w:r>
      <w:r w:rsidRPr="0051065C">
        <w:rPr>
          <w:rFonts w:ascii="Palatino Linotype" w:eastAsia="Calibri" w:hAnsi="Palatino Linotype" w:cs="Arial"/>
          <w:i/>
          <w:iCs/>
          <w:sz w:val="24"/>
          <w:szCs w:val="24"/>
          <w:lang w:val="es-ES_tradnl" w:eastAsia="es-ES_tradnl"/>
        </w:rPr>
        <w:t>Manifestaciones</w:t>
      </w:r>
      <w:r w:rsidRPr="0051065C">
        <w:rPr>
          <w:rFonts w:ascii="Palatino Linotype" w:eastAsia="Calibri" w:hAnsi="Palatino Linotype" w:cs="Arial"/>
          <w:sz w:val="24"/>
          <w:szCs w:val="24"/>
          <w:lang w:val="es-ES_tradnl" w:eastAsia="es-ES_tradnl"/>
        </w:rPr>
        <w:t xml:space="preserve"> del </w:t>
      </w:r>
      <w:r w:rsidRPr="0051065C">
        <w:rPr>
          <w:rFonts w:ascii="Palatino Linotype" w:eastAsia="Calibri" w:hAnsi="Palatino Linotype" w:cs="Arial"/>
          <w:i/>
          <w:iCs/>
          <w:sz w:val="24"/>
          <w:szCs w:val="24"/>
          <w:lang w:val="es-ES_tradnl" w:eastAsia="es-ES_tradnl"/>
        </w:rPr>
        <w:t>SAIMEX</w:t>
      </w:r>
      <w:r w:rsidRPr="0051065C">
        <w:rPr>
          <w:rFonts w:ascii="Palatino Linotype" w:eastAsia="Calibri" w:hAnsi="Palatino Linotype" w:cs="Arial"/>
          <w:sz w:val="24"/>
          <w:szCs w:val="24"/>
          <w:lang w:val="es-ES_tradnl" w:eastAsia="es-ES_tradnl"/>
        </w:rPr>
        <w:t xml:space="preserve"> como mera referencia:</w:t>
      </w:r>
    </w:p>
    <w:p w:rsidR="001420B1" w:rsidRPr="0051065C" w:rsidRDefault="001420B1" w:rsidP="001420B1">
      <w:pPr>
        <w:tabs>
          <w:tab w:val="left" w:pos="426"/>
        </w:tabs>
        <w:spacing w:after="0" w:line="360" w:lineRule="auto"/>
        <w:contextualSpacing/>
        <w:jc w:val="both"/>
        <w:rPr>
          <w:rFonts w:ascii="Palatino Linotype" w:eastAsia="Calibri" w:hAnsi="Palatino Linotype" w:cs="Arial"/>
          <w:sz w:val="24"/>
          <w:szCs w:val="24"/>
          <w:lang w:val="es-ES_tradnl" w:eastAsia="es-ES_tradnl"/>
        </w:rPr>
      </w:pPr>
    </w:p>
    <w:p w:rsidR="001420B1" w:rsidRPr="0051065C" w:rsidRDefault="00621CD1" w:rsidP="001420B1">
      <w:pPr>
        <w:tabs>
          <w:tab w:val="left" w:pos="426"/>
          <w:tab w:val="left" w:pos="8505"/>
        </w:tabs>
        <w:spacing w:after="0" w:line="360" w:lineRule="auto"/>
        <w:ind w:left="426" w:right="191"/>
        <w:contextualSpacing/>
        <w:jc w:val="center"/>
        <w:rPr>
          <w:rFonts w:ascii="Palatino Linotype" w:eastAsia="Calibri" w:hAnsi="Palatino Linotype" w:cs="Arial"/>
          <w:sz w:val="24"/>
          <w:szCs w:val="24"/>
          <w:lang w:val="es-ES_tradnl" w:eastAsia="es-ES_tradnl"/>
        </w:rPr>
      </w:pPr>
      <w:r w:rsidRPr="0051065C">
        <w:rPr>
          <w:noProof/>
          <w:lang w:eastAsia="es-MX"/>
        </w:rPr>
        <w:drawing>
          <wp:inline distT="0" distB="0" distL="0" distR="0" wp14:anchorId="00C3447C" wp14:editId="5E2702BD">
            <wp:extent cx="5029200" cy="17062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63" t="25805" r="21322" b="42319"/>
                    <a:stretch/>
                  </pic:blipFill>
                  <pic:spPr bwMode="auto">
                    <a:xfrm>
                      <a:off x="0" y="0"/>
                      <a:ext cx="5051425" cy="1713785"/>
                    </a:xfrm>
                    <a:prstGeom prst="rect">
                      <a:avLst/>
                    </a:prstGeom>
                    <a:ln>
                      <a:noFill/>
                    </a:ln>
                    <a:extLst>
                      <a:ext uri="{53640926-AAD7-44D8-BBD7-CCE9431645EC}">
                        <a14:shadowObscured xmlns:a14="http://schemas.microsoft.com/office/drawing/2010/main"/>
                      </a:ext>
                    </a:extLst>
                  </pic:spPr>
                </pic:pic>
              </a:graphicData>
            </a:graphic>
          </wp:inline>
        </w:drawing>
      </w:r>
    </w:p>
    <w:p w:rsidR="00621CD1" w:rsidRPr="0051065C" w:rsidRDefault="00621CD1" w:rsidP="001420B1">
      <w:pPr>
        <w:tabs>
          <w:tab w:val="left" w:pos="426"/>
          <w:tab w:val="left" w:pos="8505"/>
        </w:tabs>
        <w:spacing w:after="0" w:line="360" w:lineRule="auto"/>
        <w:ind w:left="426" w:right="191"/>
        <w:contextualSpacing/>
        <w:jc w:val="center"/>
        <w:rPr>
          <w:rFonts w:ascii="Palatino Linotype" w:eastAsia="Calibri" w:hAnsi="Palatino Linotype" w:cs="Arial"/>
          <w:sz w:val="24"/>
          <w:szCs w:val="24"/>
          <w:lang w:val="es-ES_tradnl" w:eastAsia="es-ES_tradnl"/>
        </w:rPr>
      </w:pPr>
    </w:p>
    <w:p w:rsidR="001420B1" w:rsidRPr="0051065C" w:rsidRDefault="00621CD1" w:rsidP="001420B1">
      <w:pPr>
        <w:tabs>
          <w:tab w:val="left" w:pos="0"/>
        </w:tabs>
        <w:spacing w:after="0" w:line="360" w:lineRule="auto"/>
        <w:ind w:left="502" w:right="49"/>
        <w:contextualSpacing/>
        <w:jc w:val="both"/>
        <w:rPr>
          <w:rFonts w:ascii="Palatino Linotype" w:eastAsia="Times New Roman" w:hAnsi="Palatino Linotype" w:cs="Times New Roman"/>
          <w:b/>
          <w:sz w:val="24"/>
          <w:szCs w:val="24"/>
          <w:u w:val="single"/>
          <w:lang w:val="es-ES_tradnl" w:eastAsia="es-ES_tradnl"/>
        </w:rPr>
      </w:pPr>
      <w:r w:rsidRPr="0051065C">
        <w:rPr>
          <w:noProof/>
          <w:lang w:eastAsia="es-MX"/>
        </w:rPr>
        <w:drawing>
          <wp:inline distT="0" distB="0" distL="0" distR="0" wp14:anchorId="6F434BB3" wp14:editId="03BBFD8E">
            <wp:extent cx="5105400" cy="17291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63" t="26715" r="21492" b="41409"/>
                    <a:stretch/>
                  </pic:blipFill>
                  <pic:spPr bwMode="auto">
                    <a:xfrm>
                      <a:off x="0" y="0"/>
                      <a:ext cx="5123214" cy="1735138"/>
                    </a:xfrm>
                    <a:prstGeom prst="rect">
                      <a:avLst/>
                    </a:prstGeom>
                    <a:ln>
                      <a:noFill/>
                    </a:ln>
                    <a:extLst>
                      <a:ext uri="{53640926-AAD7-44D8-BBD7-CCE9431645EC}">
                        <a14:shadowObscured xmlns:a14="http://schemas.microsoft.com/office/drawing/2010/main"/>
                      </a:ext>
                    </a:extLst>
                  </pic:spPr>
                </pic:pic>
              </a:graphicData>
            </a:graphic>
          </wp:inline>
        </w:drawing>
      </w: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51065C">
        <w:rPr>
          <w:rFonts w:ascii="Palatino Linotype" w:eastAsia="Times New Roman" w:hAnsi="Palatino Linotype" w:cs="Times New Roman"/>
          <w:sz w:val="24"/>
          <w:szCs w:val="24"/>
          <w:lang w:val="es-ES_tradnl" w:eastAsia="es-ES_tradnl"/>
        </w:rPr>
        <w:t>El Comisionado Ponente</w:t>
      </w:r>
      <w:r w:rsidRPr="0051065C">
        <w:rPr>
          <w:rFonts w:ascii="Palatino Linotype" w:eastAsia="Calibri" w:hAnsi="Palatino Linotype" w:cs="Arial"/>
          <w:sz w:val="24"/>
          <w:szCs w:val="24"/>
          <w:lang w:val="es-ES_tradnl" w:eastAsia="es-ES_tradnl"/>
        </w:rPr>
        <w:t>, en</w:t>
      </w:r>
      <w:r w:rsidRPr="0051065C">
        <w:rPr>
          <w:rFonts w:ascii="Palatino Linotype" w:eastAsia="Times New Roman" w:hAnsi="Palatino Linotype" w:cs="Times New Roman"/>
          <w:sz w:val="24"/>
          <w:szCs w:val="24"/>
          <w:lang w:val="es-ES_tradnl" w:eastAsia="es-ES_tradnl"/>
        </w:rPr>
        <w:t xml:space="preserve"> fecha </w:t>
      </w:r>
      <w:r w:rsidRPr="0051065C">
        <w:rPr>
          <w:rFonts w:ascii="Palatino Linotype" w:eastAsia="Calibri" w:hAnsi="Palatino Linotype" w:cs="Arial"/>
          <w:sz w:val="24"/>
          <w:szCs w:val="24"/>
          <w:lang w:val="es-ES_tradnl" w:eastAsia="es-ES_tradnl"/>
        </w:rPr>
        <w:t>veinticuatro (24) de septiembre de dos mil veinte</w:t>
      </w:r>
      <w:r w:rsidRPr="0051065C">
        <w:rPr>
          <w:rFonts w:ascii="Palatino Linotype" w:eastAsia="Times New Roman" w:hAnsi="Palatino Linotype" w:cs="Times New Roman"/>
          <w:sz w:val="24"/>
          <w:szCs w:val="24"/>
          <w:lang w:val="es-ES_tradnl" w:eastAsia="es-ES_tradnl"/>
        </w:rPr>
        <w:t xml:space="preserve">, decretó el cierre de instrucción, </w:t>
      </w:r>
      <w:r w:rsidRPr="0051065C">
        <w:rPr>
          <w:rFonts w:ascii="Palatino Linotype" w:eastAsia="Times New Roman" w:hAnsi="Palatino Linotype" w:cs="Arial"/>
          <w:sz w:val="24"/>
          <w:szCs w:val="24"/>
          <w:lang w:val="es-ES_tradnl" w:eastAsia="es-ES_tradnl"/>
        </w:rPr>
        <w:t>por lo que, ordenó turnar el expediente a resolución.</w:t>
      </w: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51065C">
        <w:rPr>
          <w:rFonts w:ascii="Palatino Linotype" w:eastAsia="Times New Roman" w:hAnsi="Palatino Linotype" w:cs="Times New Roman"/>
          <w:sz w:val="24"/>
          <w:szCs w:val="24"/>
          <w:lang w:val="es-ES_tradnl" w:eastAsia="es-ES_tradnl"/>
        </w:rPr>
        <w:t xml:space="preserve">Así, en fecha siete (07) de octubre de dos mil veinte, en la Vigésima Primera Sesión Ordinaria del Pleno del Instituto de Transparencia, Acceso a la </w:t>
      </w:r>
      <w:r w:rsidRPr="0051065C">
        <w:rPr>
          <w:rFonts w:ascii="Palatino Linotype" w:eastAsia="Times New Roman" w:hAnsi="Palatino Linotype" w:cs="Times New Roman"/>
          <w:sz w:val="24"/>
          <w:szCs w:val="24"/>
          <w:lang w:val="es-ES_tradnl" w:eastAsia="es-ES_tradnl"/>
        </w:rPr>
        <w:lastRenderedPageBreak/>
        <w:t xml:space="preserve">Información Pública y Protección de Datos Personales del Estado de México y Municipios, se aprobó la resolución de referencia, en la que se determinó </w:t>
      </w:r>
      <w:r w:rsidRPr="0051065C">
        <w:rPr>
          <w:rFonts w:ascii="Palatino Linotype" w:eastAsia="Calibri" w:hAnsi="Palatino Linotype" w:cs="Arial"/>
          <w:b/>
          <w:sz w:val="24"/>
          <w:szCs w:val="24"/>
          <w:lang w:val="es-ES_tradnl" w:eastAsia="es-ES_tradnl"/>
        </w:rPr>
        <w:t xml:space="preserve">CONFIRMAR </w:t>
      </w:r>
      <w:r w:rsidRPr="0051065C">
        <w:rPr>
          <w:rFonts w:ascii="Palatino Linotype" w:eastAsia="Calibri" w:hAnsi="Palatino Linotype" w:cs="Arial"/>
          <w:sz w:val="24"/>
          <w:szCs w:val="24"/>
          <w:lang w:val="es-ES_tradnl" w:eastAsia="es-ES_tradnl"/>
        </w:rPr>
        <w:t xml:space="preserve">la respuesta emitida por el </w:t>
      </w:r>
      <w:r w:rsidRPr="0051065C">
        <w:rPr>
          <w:rFonts w:ascii="Palatino Linotype" w:eastAsia="Times New Roman" w:hAnsi="Palatino Linotype" w:cs="Arial"/>
          <w:sz w:val="24"/>
          <w:szCs w:val="24"/>
          <w:lang w:val="es-ES_tradnl" w:eastAsia="es-ES_tradnl"/>
        </w:rPr>
        <w:t>Ayuntamiento de Ixtapan de la Sal,</w:t>
      </w:r>
      <w:r w:rsidRPr="0051065C">
        <w:rPr>
          <w:rFonts w:ascii="Palatino Linotype" w:eastAsia="Calibri" w:hAnsi="Palatino Linotype" w:cs="Arial"/>
          <w:sz w:val="24"/>
          <w:szCs w:val="24"/>
          <w:lang w:val="es-ES_tradnl" w:eastAsia="es-ES_tradnl"/>
        </w:rPr>
        <w:t xml:space="preserve"> a la solicitud de información </w:t>
      </w:r>
      <w:r w:rsidR="00B822F8" w:rsidRPr="0051065C">
        <w:rPr>
          <w:rFonts w:ascii="Palatino Linotype" w:eastAsia="Times New Roman" w:hAnsi="Palatino Linotype" w:cs="Times New Roman"/>
          <w:bCs/>
          <w:sz w:val="24"/>
          <w:szCs w:val="24"/>
          <w:lang w:val="es-ES_tradnl" w:eastAsia="es-ES_tradnl"/>
        </w:rPr>
        <w:t>00215</w:t>
      </w:r>
      <w:r w:rsidRPr="0051065C">
        <w:rPr>
          <w:rFonts w:ascii="Palatino Linotype" w:eastAsia="Times New Roman" w:hAnsi="Palatino Linotype" w:cs="Times New Roman"/>
          <w:bCs/>
          <w:sz w:val="24"/>
          <w:szCs w:val="24"/>
          <w:lang w:val="es-ES_tradnl" w:eastAsia="es-ES_tradnl"/>
        </w:rPr>
        <w:t>/IXTASAL/IP/2020 y</w:t>
      </w:r>
      <w:r w:rsidRPr="0051065C">
        <w:rPr>
          <w:rFonts w:ascii="Palatino Linotype" w:eastAsia="Calibri" w:hAnsi="Palatino Linotype" w:cs="Arial"/>
          <w:sz w:val="24"/>
          <w:szCs w:val="24"/>
          <w:lang w:val="es-ES_tradnl" w:eastAsia="es-ES_tradnl"/>
        </w:rPr>
        <w:t xml:space="preserve"> </w:t>
      </w:r>
      <w:r w:rsidR="00B822F8" w:rsidRPr="0051065C">
        <w:rPr>
          <w:rFonts w:ascii="Palatino Linotype" w:eastAsia="Times New Roman" w:hAnsi="Palatino Linotype" w:cs="Times New Roman"/>
          <w:bCs/>
          <w:sz w:val="24"/>
          <w:szCs w:val="24"/>
          <w:lang w:val="es-ES_tradnl" w:eastAsia="es-ES_tradnl"/>
        </w:rPr>
        <w:t>00216</w:t>
      </w:r>
      <w:r w:rsidRPr="0051065C">
        <w:rPr>
          <w:rFonts w:ascii="Palatino Linotype" w:eastAsia="Times New Roman" w:hAnsi="Palatino Linotype" w:cs="Times New Roman"/>
          <w:bCs/>
          <w:sz w:val="24"/>
          <w:szCs w:val="24"/>
          <w:lang w:val="es-ES_tradnl" w:eastAsia="es-ES_tradnl"/>
        </w:rPr>
        <w:t>/IXTASAL/IP/2020</w:t>
      </w:r>
      <w:r w:rsidRPr="0051065C">
        <w:rPr>
          <w:rFonts w:ascii="Palatino Linotype" w:eastAsia="Times New Roman" w:hAnsi="Palatino Linotype" w:cs="Times New Roman"/>
          <w:sz w:val="24"/>
          <w:szCs w:val="24"/>
          <w:lang w:val="es-ES_tradnl" w:eastAsia="es-ES_tradnl"/>
        </w:rPr>
        <w:t>, cuyos puntos resolutivos son los siguientes:</w:t>
      </w:r>
    </w:p>
    <w:p w:rsidR="001420B1" w:rsidRPr="0051065C" w:rsidRDefault="001420B1" w:rsidP="001420B1">
      <w:pPr>
        <w:spacing w:after="0" w:line="276" w:lineRule="auto"/>
        <w:jc w:val="both"/>
        <w:rPr>
          <w:rFonts w:ascii="Palatino Linotype" w:eastAsiaTheme="minorEastAsia" w:hAnsi="Palatino Linotype"/>
          <w:lang w:val="es-ES_tradnl" w:eastAsia="es-ES"/>
        </w:rPr>
      </w:pPr>
    </w:p>
    <w:p w:rsidR="00B822F8" w:rsidRPr="0051065C" w:rsidRDefault="001420B1" w:rsidP="00B822F8">
      <w:pPr>
        <w:spacing w:before="240" w:after="0" w:line="276" w:lineRule="auto"/>
        <w:ind w:left="630"/>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w:t>
      </w:r>
      <w:r w:rsidR="00B822F8" w:rsidRPr="0051065C">
        <w:rPr>
          <w:rFonts w:ascii="Palatino Linotype" w:eastAsia="Times New Roman" w:hAnsi="Palatino Linotype" w:cs="Arial"/>
          <w:b/>
          <w:i/>
          <w:lang w:val="es-ES_tradnl" w:eastAsia="es-ES_tradnl"/>
        </w:rPr>
        <w:t xml:space="preserve">PRIMERO. </w:t>
      </w:r>
      <w:r w:rsidR="00B822F8" w:rsidRPr="0051065C">
        <w:rPr>
          <w:rFonts w:ascii="Palatino Linotype" w:eastAsia="Times New Roman" w:hAnsi="Palatino Linotype" w:cs="Arial"/>
          <w:i/>
          <w:lang w:val="es-ES_tradnl" w:eastAsia="es-ES_tradnl"/>
        </w:rPr>
        <w:t xml:space="preserve">Resultan infundadas las </w:t>
      </w:r>
      <w:r w:rsidR="00B822F8" w:rsidRPr="0051065C">
        <w:rPr>
          <w:rFonts w:ascii="Palatino Linotype" w:eastAsia="Times New Roman" w:hAnsi="Palatino Linotype" w:cs="Arial"/>
          <w:i/>
          <w:lang w:val="es-ES" w:eastAsia="es-ES_tradnl"/>
        </w:rPr>
        <w:t>razones o motivos de inconformidad hechos valer en los recursos de revisión</w:t>
      </w:r>
      <w:r w:rsidR="00B822F8" w:rsidRPr="0051065C">
        <w:rPr>
          <w:rFonts w:ascii="Palatino Linotype" w:eastAsia="Times New Roman" w:hAnsi="Palatino Linotype" w:cs="Arial"/>
          <w:b/>
          <w:i/>
          <w:lang w:val="es-ES" w:eastAsia="es-ES_tradnl"/>
        </w:rPr>
        <w:t xml:space="preserve"> </w:t>
      </w:r>
      <w:r w:rsidR="00B822F8" w:rsidRPr="0051065C">
        <w:rPr>
          <w:rFonts w:ascii="Palatino Linotype" w:eastAsia="Times New Roman" w:hAnsi="Palatino Linotype" w:cs="Arial"/>
          <w:b/>
          <w:bCs/>
          <w:i/>
          <w:lang w:val="es-ES_tradnl" w:eastAsia="es-ES_tradnl"/>
        </w:rPr>
        <w:t>02743/INFOEM/IP/RR/2020 y 02749/INFOEM/IP/RR/</w:t>
      </w:r>
      <w:proofErr w:type="gramStart"/>
      <w:r w:rsidR="00B822F8" w:rsidRPr="0051065C">
        <w:rPr>
          <w:rFonts w:ascii="Palatino Linotype" w:eastAsia="Times New Roman" w:hAnsi="Palatino Linotype" w:cs="Arial"/>
          <w:b/>
          <w:bCs/>
          <w:i/>
          <w:lang w:val="es-ES_tradnl" w:eastAsia="es-ES_tradnl"/>
        </w:rPr>
        <w:t xml:space="preserve">2020  </w:t>
      </w:r>
      <w:r w:rsidR="00B822F8" w:rsidRPr="0051065C">
        <w:rPr>
          <w:rFonts w:ascii="Palatino Linotype" w:eastAsia="Times New Roman" w:hAnsi="Palatino Linotype" w:cs="Arial"/>
          <w:bCs/>
          <w:i/>
          <w:lang w:val="es-ES_tradnl" w:eastAsia="es-ES_tradnl"/>
        </w:rPr>
        <w:t>en</w:t>
      </w:r>
      <w:proofErr w:type="gramEnd"/>
      <w:r w:rsidR="00B822F8" w:rsidRPr="0051065C">
        <w:rPr>
          <w:rFonts w:ascii="Palatino Linotype" w:eastAsia="Times New Roman" w:hAnsi="Palatino Linotype" w:cs="Arial"/>
          <w:bCs/>
          <w:i/>
          <w:lang w:val="es-ES_tradnl" w:eastAsia="es-ES_tradnl"/>
        </w:rPr>
        <w:t xml:space="preserve"> términos del considerando </w:t>
      </w:r>
      <w:r w:rsidR="00B822F8" w:rsidRPr="0051065C">
        <w:rPr>
          <w:rFonts w:ascii="Palatino Linotype" w:eastAsia="Times New Roman" w:hAnsi="Palatino Linotype" w:cs="Arial"/>
          <w:b/>
          <w:bCs/>
          <w:i/>
          <w:lang w:val="es-ES_tradnl" w:eastAsia="es-ES_tradnl"/>
        </w:rPr>
        <w:t>CUARTO</w:t>
      </w:r>
      <w:r w:rsidR="00B822F8" w:rsidRPr="0051065C">
        <w:rPr>
          <w:rFonts w:ascii="Palatino Linotype" w:eastAsia="Times New Roman" w:hAnsi="Palatino Linotype" w:cs="Arial"/>
          <w:bCs/>
          <w:i/>
          <w:lang w:val="es-ES_tradnl" w:eastAsia="es-ES_tradnl"/>
        </w:rPr>
        <w:t xml:space="preserve"> de la presente resolución. </w:t>
      </w:r>
    </w:p>
    <w:p w:rsidR="00B822F8" w:rsidRPr="0051065C" w:rsidRDefault="00B822F8" w:rsidP="00B822F8">
      <w:pPr>
        <w:spacing w:before="240" w:after="0" w:line="276" w:lineRule="auto"/>
        <w:ind w:left="630"/>
        <w:jc w:val="both"/>
        <w:rPr>
          <w:rFonts w:ascii="Palatino Linotype" w:eastAsia="Times New Roman" w:hAnsi="Palatino Linotype" w:cs="Arial"/>
          <w:b/>
          <w:i/>
          <w:lang w:val="es-ES" w:eastAsia="es-ES_tradnl"/>
        </w:rPr>
      </w:pPr>
      <w:r w:rsidRPr="0051065C">
        <w:rPr>
          <w:rFonts w:ascii="Palatino Linotype" w:eastAsia="Times New Roman" w:hAnsi="Palatino Linotype" w:cs="Arial"/>
          <w:b/>
          <w:i/>
          <w:lang w:val="es-ES_tradnl" w:eastAsia="es-ES_tradnl"/>
        </w:rPr>
        <w:t xml:space="preserve">SEGUNDO. </w:t>
      </w:r>
      <w:r w:rsidRPr="0051065C">
        <w:rPr>
          <w:rFonts w:ascii="Palatino Linotype" w:eastAsia="Times New Roman" w:hAnsi="Palatino Linotype" w:cs="Arial"/>
          <w:i/>
          <w:lang w:val="es-ES" w:eastAsia="es-ES_tradnl"/>
        </w:rPr>
        <w:t>Se</w:t>
      </w:r>
      <w:r w:rsidRPr="0051065C">
        <w:rPr>
          <w:rFonts w:ascii="Palatino Linotype" w:eastAsia="Times New Roman" w:hAnsi="Palatino Linotype" w:cs="Arial"/>
          <w:b/>
          <w:i/>
          <w:lang w:val="es-ES" w:eastAsia="es-ES_tradnl"/>
        </w:rPr>
        <w:t xml:space="preserve"> CONFIRMAN </w:t>
      </w:r>
      <w:r w:rsidRPr="0051065C">
        <w:rPr>
          <w:rFonts w:ascii="Palatino Linotype" w:eastAsia="Times New Roman" w:hAnsi="Palatino Linotype" w:cs="Arial"/>
          <w:i/>
          <w:lang w:val="es-ES" w:eastAsia="es-ES_tradnl"/>
        </w:rPr>
        <w:t xml:space="preserve">las respuestas emitidas por el </w:t>
      </w:r>
      <w:r w:rsidRPr="0051065C">
        <w:rPr>
          <w:rFonts w:ascii="Palatino Linotype" w:eastAsia="Times New Roman" w:hAnsi="Palatino Linotype" w:cs="Arial"/>
          <w:bCs/>
          <w:i/>
          <w:lang w:val="es-ES_tradnl" w:eastAsia="es-ES_tradnl"/>
        </w:rPr>
        <w:t>Ayuntamiento de Ixtapan de la Sal</w:t>
      </w:r>
      <w:r w:rsidRPr="0051065C">
        <w:rPr>
          <w:rFonts w:ascii="Palatino Linotype" w:eastAsia="Times New Roman" w:hAnsi="Palatino Linotype" w:cs="Arial"/>
          <w:i/>
          <w:lang w:val="es-ES" w:eastAsia="es-ES_tradnl"/>
        </w:rPr>
        <w:t xml:space="preserve"> a la solicitud </w:t>
      </w:r>
      <w:r w:rsidRPr="0051065C">
        <w:rPr>
          <w:rFonts w:ascii="Palatino Linotype" w:eastAsia="Times New Roman" w:hAnsi="Palatino Linotype" w:cs="Arial"/>
          <w:b/>
          <w:i/>
          <w:lang w:val="es-ES" w:eastAsia="es-ES_tradnl"/>
        </w:rPr>
        <w:t>00215/IXTASAL/IP/2020 y 00216/IXTASAL/IP/2020.</w:t>
      </w:r>
    </w:p>
    <w:p w:rsidR="00B822F8" w:rsidRPr="0051065C" w:rsidRDefault="00B822F8" w:rsidP="00B822F8">
      <w:pPr>
        <w:spacing w:before="240" w:after="0" w:line="276" w:lineRule="auto"/>
        <w:ind w:left="630"/>
        <w:jc w:val="both"/>
        <w:rPr>
          <w:rFonts w:ascii="Palatino Linotype" w:eastAsia="Times New Roman" w:hAnsi="Palatino Linotype" w:cs="Arial"/>
          <w:b/>
          <w:i/>
          <w:lang w:val="es-ES_tradnl" w:eastAsia="es-ES_tradnl"/>
        </w:rPr>
      </w:pPr>
      <w:r w:rsidRPr="0051065C">
        <w:rPr>
          <w:rFonts w:ascii="Palatino Linotype" w:eastAsia="Times New Roman" w:hAnsi="Palatino Linotype" w:cs="Arial"/>
          <w:b/>
          <w:i/>
          <w:lang w:val="es-ES_tradnl" w:eastAsia="es-ES_tradnl"/>
        </w:rPr>
        <w:t xml:space="preserve">TERCERO. REMÍTASE, </w:t>
      </w:r>
      <w:r w:rsidRPr="0051065C">
        <w:rPr>
          <w:rFonts w:ascii="Palatino Linotype" w:eastAsia="Times New Roman" w:hAnsi="Palatino Linotype" w:cs="Arial"/>
          <w:i/>
          <w:lang w:val="es-ES_tradnl" w:eastAsia="es-ES_tradnl"/>
        </w:rPr>
        <w:t xml:space="preserve">vía Sistema de Acceso a la Información Mexiquense (SAIMEX), la presente resolución al Titular de la Unidad de Transparencia del </w:t>
      </w:r>
      <w:r w:rsidRPr="0051065C">
        <w:rPr>
          <w:rFonts w:ascii="Palatino Linotype" w:eastAsia="Times New Roman" w:hAnsi="Palatino Linotype" w:cs="Arial"/>
          <w:b/>
          <w:i/>
          <w:lang w:val="es-ES_tradnl" w:eastAsia="es-ES_tradnl"/>
        </w:rPr>
        <w:t>SUJETO OBLIGADO.</w:t>
      </w:r>
    </w:p>
    <w:p w:rsidR="00B822F8" w:rsidRPr="0051065C" w:rsidRDefault="00B822F8" w:rsidP="00B822F8">
      <w:pPr>
        <w:spacing w:before="240" w:after="0" w:line="276" w:lineRule="auto"/>
        <w:ind w:left="630"/>
        <w:jc w:val="both"/>
        <w:rPr>
          <w:rFonts w:ascii="Palatino Linotype" w:eastAsia="Times New Roman" w:hAnsi="Palatino Linotype" w:cs="Arial"/>
          <w:b/>
          <w:i/>
          <w:lang w:val="es-ES" w:eastAsia="es-ES_tradnl"/>
        </w:rPr>
      </w:pPr>
      <w:bookmarkStart w:id="2" w:name="_Toc462307694"/>
      <w:bookmarkStart w:id="3" w:name="_Toc473806819"/>
      <w:bookmarkStart w:id="4" w:name="_Toc477345211"/>
      <w:bookmarkStart w:id="5" w:name="_Toc480987181"/>
      <w:bookmarkStart w:id="6" w:name="_Toc480996314"/>
      <w:bookmarkStart w:id="7" w:name="_Toc485145214"/>
      <w:bookmarkStart w:id="8" w:name="_Toc490679149"/>
      <w:r w:rsidRPr="0051065C">
        <w:rPr>
          <w:rFonts w:ascii="Palatino Linotype" w:eastAsia="Times New Roman" w:hAnsi="Palatino Linotype" w:cs="Arial"/>
          <w:b/>
          <w:i/>
          <w:lang w:val="es-ES_tradnl" w:eastAsia="es-ES_tradnl"/>
        </w:rPr>
        <w:t xml:space="preserve">CUARTO. </w:t>
      </w:r>
      <w:r w:rsidRPr="0051065C">
        <w:rPr>
          <w:rFonts w:ascii="Palatino Linotype" w:eastAsia="Times New Roman" w:hAnsi="Palatino Linotype" w:cs="Arial"/>
          <w:i/>
          <w:lang w:val="es-ES_tradnl" w:eastAsia="es-ES_tradnl"/>
        </w:rPr>
        <w:t xml:space="preserve">Notifíquese </w:t>
      </w:r>
      <w:bookmarkEnd w:id="2"/>
      <w:bookmarkEnd w:id="3"/>
      <w:bookmarkEnd w:id="4"/>
      <w:bookmarkEnd w:id="5"/>
      <w:bookmarkEnd w:id="6"/>
      <w:bookmarkEnd w:id="7"/>
      <w:bookmarkEnd w:id="8"/>
      <w:r w:rsidRPr="0051065C">
        <w:rPr>
          <w:rFonts w:ascii="Palatino Linotype" w:eastAsia="Times New Roman" w:hAnsi="Palatino Linotype" w:cs="Arial"/>
          <w:b/>
          <w:i/>
          <w:lang w:val="es-ES_tradnl" w:eastAsia="es-ES_tradnl"/>
        </w:rPr>
        <w:t xml:space="preserve">a </w:t>
      </w:r>
      <w:r w:rsidR="008F1E1A" w:rsidRPr="008F1E1A">
        <w:rPr>
          <w:rFonts w:ascii="Palatino Linotype" w:eastAsia="Times New Roman" w:hAnsi="Palatino Linotype" w:cs="Arial"/>
          <w:b/>
          <w:i/>
          <w:highlight w:val="black"/>
          <w:lang w:val="es-ES_tradnl" w:eastAsia="es-ES_tradnl"/>
        </w:rPr>
        <w:t>--------------------------------</w:t>
      </w:r>
      <w:r w:rsidRPr="0051065C">
        <w:rPr>
          <w:rFonts w:ascii="Palatino Linotype" w:eastAsia="Times New Roman" w:hAnsi="Palatino Linotype" w:cs="Arial"/>
          <w:b/>
          <w:i/>
          <w:lang w:val="es-ES_tradnl" w:eastAsia="es-ES_tradnl"/>
        </w:rPr>
        <w:t xml:space="preserve">, </w:t>
      </w:r>
      <w:r w:rsidRPr="0051065C">
        <w:rPr>
          <w:rFonts w:ascii="Palatino Linotype" w:eastAsia="Times New Roman" w:hAnsi="Palatino Linotype" w:cs="Arial"/>
          <w:i/>
          <w:lang w:val="es-ES_tradnl" w:eastAsia="es-ES_tradnl"/>
        </w:rPr>
        <w:t>la presente</w:t>
      </w:r>
      <w:r w:rsidRPr="0051065C">
        <w:rPr>
          <w:rFonts w:ascii="Palatino Linotype" w:eastAsia="Times New Roman" w:hAnsi="Palatino Linotype" w:cs="Arial"/>
          <w:i/>
          <w:lang w:val="es-ES" w:eastAsia="es-ES_tradnl"/>
        </w:rPr>
        <w:t xml:space="preserve"> resolución</w:t>
      </w:r>
      <w:r w:rsidRPr="0051065C">
        <w:rPr>
          <w:rFonts w:ascii="Palatino Linotype" w:eastAsia="Times New Roman" w:hAnsi="Palatino Linotype" w:cs="Arial"/>
          <w:b/>
          <w:i/>
          <w:lang w:val="es-ES" w:eastAsia="es-ES_tradnl"/>
        </w:rPr>
        <w:t>.</w:t>
      </w:r>
    </w:p>
    <w:p w:rsidR="001420B1" w:rsidRPr="0051065C" w:rsidRDefault="00B822F8" w:rsidP="00B822F8">
      <w:pPr>
        <w:spacing w:before="240" w:after="0" w:line="276" w:lineRule="auto"/>
        <w:ind w:left="630"/>
        <w:jc w:val="both"/>
        <w:rPr>
          <w:rFonts w:ascii="Palatino Linotype" w:eastAsia="Times New Roman" w:hAnsi="Palatino Linotype" w:cs="Arial"/>
          <w:i/>
          <w:lang w:val="es-ES" w:eastAsia="es-ES_tradnl"/>
        </w:rPr>
      </w:pPr>
      <w:r w:rsidRPr="0051065C">
        <w:rPr>
          <w:rFonts w:ascii="Palatino Linotype" w:eastAsia="Times New Roman" w:hAnsi="Palatino Linotype" w:cs="Arial"/>
          <w:b/>
          <w:i/>
          <w:lang w:val="es-ES" w:eastAsia="es-ES_tradnl"/>
        </w:rPr>
        <w:t xml:space="preserve">QUINTO.  </w:t>
      </w:r>
      <w:r w:rsidRPr="0051065C">
        <w:rPr>
          <w:rFonts w:ascii="Palatino Linotype" w:eastAsia="Times New Roman" w:hAnsi="Palatino Linotype" w:cs="Arial"/>
          <w:i/>
          <w:lang w:val="es-ES" w:eastAsia="es-ES_tradnl"/>
        </w:rPr>
        <w:t xml:space="preserve">Se hace del conocimiento del </w:t>
      </w:r>
      <w:r w:rsidR="008F1E1A" w:rsidRPr="008F1E1A">
        <w:rPr>
          <w:rFonts w:ascii="Palatino Linotype" w:eastAsia="Times New Roman" w:hAnsi="Palatino Linotype" w:cs="Arial"/>
          <w:i/>
          <w:highlight w:val="black"/>
          <w:lang w:val="es-ES_tradnl" w:eastAsia="es-ES_tradnl"/>
        </w:rPr>
        <w:t>---------------------------------</w:t>
      </w:r>
      <w:bookmarkStart w:id="9" w:name="_GoBack"/>
      <w:bookmarkEnd w:id="9"/>
      <w:r w:rsidRPr="0051065C">
        <w:rPr>
          <w:rFonts w:ascii="Palatino Linotype" w:eastAsia="Times New Roman" w:hAnsi="Palatino Linotype" w:cs="Arial"/>
          <w:i/>
          <w:lang w:val="es-ES" w:eastAsia="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1065C">
        <w:rPr>
          <w:rFonts w:ascii="Palatino Linotype" w:eastAsia="Times New Roman" w:hAnsi="Palatino Linotype" w:cs="Arial"/>
          <w:bCs/>
          <w:i/>
          <w:lang w:val="es-ES" w:eastAsia="es-ES_tradnl"/>
        </w:rPr>
        <w:t>vía juicio de amparo</w:t>
      </w:r>
      <w:r w:rsidRPr="0051065C">
        <w:rPr>
          <w:rFonts w:ascii="Palatino Linotype" w:eastAsia="Times New Roman" w:hAnsi="Palatino Linotype" w:cs="Arial"/>
          <w:i/>
          <w:lang w:val="es-ES" w:eastAsia="es-ES_tradnl"/>
        </w:rPr>
        <w:t> en los términos de las leyes aplicables.</w:t>
      </w:r>
    </w:p>
    <w:p w:rsidR="001420B1" w:rsidRPr="0051065C" w:rsidRDefault="001420B1" w:rsidP="001420B1">
      <w:pPr>
        <w:tabs>
          <w:tab w:val="left" w:pos="0"/>
        </w:tabs>
        <w:spacing w:after="0" w:line="360" w:lineRule="auto"/>
        <w:ind w:left="502" w:right="49"/>
        <w:contextualSpacing/>
        <w:jc w:val="both"/>
        <w:rPr>
          <w:rFonts w:ascii="Palatino Linotype" w:eastAsia="Times New Roman" w:hAnsi="Palatino Linotype" w:cs="Times New Roman"/>
          <w:b/>
          <w:sz w:val="24"/>
          <w:szCs w:val="24"/>
          <w:u w:val="single"/>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51065C">
        <w:rPr>
          <w:rFonts w:ascii="Palatino Linotype" w:eastAsia="Times New Roman" w:hAnsi="Palatino Linotype" w:cs="Times New Roman"/>
          <w:sz w:val="24"/>
          <w:szCs w:val="24"/>
          <w:lang w:val="es-ES_tradnl" w:eastAsia="es-ES_tradnl"/>
        </w:rPr>
        <w:t xml:space="preserve">Posteriormente, </w:t>
      </w:r>
      <w:r w:rsidR="00B822F8" w:rsidRPr="0051065C">
        <w:rPr>
          <w:rFonts w:ascii="Palatino Linotype" w:eastAsia="Times New Roman" w:hAnsi="Palatino Linotype" w:cs="Times New Roman"/>
          <w:sz w:val="24"/>
          <w:szCs w:val="24"/>
          <w:lang w:val="es-ES_tradnl" w:eastAsia="es-ES_tradnl"/>
        </w:rPr>
        <w:t>la particular en fecha quince (15</w:t>
      </w:r>
      <w:r w:rsidRPr="0051065C">
        <w:rPr>
          <w:rFonts w:ascii="Palatino Linotype" w:eastAsia="Times New Roman" w:hAnsi="Palatino Linotype" w:cs="Times New Roman"/>
          <w:sz w:val="24"/>
          <w:szCs w:val="24"/>
          <w:lang w:val="es-ES_tradnl" w:eastAsia="es-ES_tradnl"/>
        </w:rPr>
        <w:t>) de octubre de dos mil veinte, presentó el recurso de inconformidad ante el Instituto Nacional de Transparencia, Acceso a la Información Pública y Protección de Datos Personales (INAI).</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51065C">
        <w:rPr>
          <w:rFonts w:ascii="Palatino Linotype" w:eastAsia="Times New Roman" w:hAnsi="Palatino Linotype" w:cs="Times New Roman"/>
          <w:sz w:val="24"/>
          <w:szCs w:val="24"/>
          <w:lang w:val="es-ES_tradnl" w:eastAsia="es-ES_tradnl"/>
        </w:rPr>
        <w:lastRenderedPageBreak/>
        <w:t xml:space="preserve">El órgano garante federal, por medio del </w:t>
      </w:r>
      <w:r w:rsidR="006D3D8C" w:rsidRPr="0051065C">
        <w:rPr>
          <w:rFonts w:ascii="Palatino Linotype" w:eastAsia="Times New Roman" w:hAnsi="Palatino Linotype" w:cs="Times New Roman"/>
          <w:sz w:val="24"/>
          <w:szCs w:val="24"/>
          <w:lang w:val="es-ES_tradnl" w:eastAsia="es-ES_tradnl"/>
        </w:rPr>
        <w:t>Secretario</w:t>
      </w:r>
      <w:r w:rsidRPr="0051065C">
        <w:rPr>
          <w:rFonts w:ascii="Palatino Linotype" w:eastAsia="Times New Roman" w:hAnsi="Palatino Linotype" w:cs="Times New Roman"/>
          <w:sz w:val="24"/>
          <w:szCs w:val="24"/>
          <w:lang w:val="es-ES_tradnl" w:eastAsia="es-ES_tradnl"/>
        </w:rPr>
        <w:t xml:space="preserve"> de Acuerdos y Ponencia de Acceso a la Información, adscrita a la Oficina del Comisionado</w:t>
      </w:r>
      <w:r w:rsidR="00752C8C" w:rsidRPr="0051065C">
        <w:rPr>
          <w:rFonts w:ascii="Palatino Linotype" w:eastAsia="Times New Roman" w:hAnsi="Palatino Linotype" w:cs="Times New Roman"/>
          <w:sz w:val="24"/>
          <w:szCs w:val="24"/>
          <w:lang w:val="es-ES_tradnl" w:eastAsia="es-ES_tradnl"/>
        </w:rPr>
        <w:t xml:space="preserve"> Oscar Mauricio Guerra Ford</w:t>
      </w:r>
      <w:r w:rsidRPr="0051065C">
        <w:rPr>
          <w:rFonts w:ascii="Palatino Linotype" w:eastAsia="Times New Roman" w:hAnsi="Palatino Linotype" w:cs="Times New Roman"/>
          <w:sz w:val="24"/>
          <w:szCs w:val="24"/>
          <w:lang w:val="es-ES_tradnl" w:eastAsia="es-ES_tradnl"/>
        </w:rPr>
        <w:t xml:space="preserve">, mediante </w:t>
      </w:r>
      <w:r w:rsidR="00752C8C" w:rsidRPr="0051065C">
        <w:rPr>
          <w:rFonts w:ascii="Palatino Linotype" w:eastAsia="Times New Roman" w:hAnsi="Palatino Linotype" w:cs="Times New Roman"/>
          <w:sz w:val="24"/>
          <w:szCs w:val="24"/>
          <w:lang w:val="es-ES_tradnl" w:eastAsia="es-ES_tradnl"/>
        </w:rPr>
        <w:t>proveído de fecha veintiséis (26</w:t>
      </w:r>
      <w:r w:rsidRPr="0051065C">
        <w:rPr>
          <w:rFonts w:ascii="Palatino Linotype" w:eastAsia="Times New Roman" w:hAnsi="Palatino Linotype" w:cs="Times New Roman"/>
          <w:sz w:val="24"/>
          <w:szCs w:val="24"/>
          <w:lang w:val="es-ES_tradnl" w:eastAsia="es-ES_tradnl"/>
        </w:rPr>
        <w:t xml:space="preserve">) de octubre del dos mil veinte, acordó la admisión del recurso de inconformidad número </w:t>
      </w:r>
      <w:r w:rsidR="00752C8C" w:rsidRPr="0051065C">
        <w:rPr>
          <w:rFonts w:ascii="Palatino Linotype" w:eastAsia="Times New Roman" w:hAnsi="Palatino Linotype" w:cs="Times New Roman"/>
          <w:b/>
          <w:sz w:val="24"/>
          <w:szCs w:val="24"/>
          <w:lang w:val="es-ES_tradnl" w:eastAsia="es-ES_tradnl"/>
        </w:rPr>
        <w:t>RIA 122</w:t>
      </w:r>
      <w:r w:rsidRPr="0051065C">
        <w:rPr>
          <w:rFonts w:ascii="Palatino Linotype" w:eastAsia="Times New Roman" w:hAnsi="Palatino Linotype" w:cs="Times New Roman"/>
          <w:b/>
          <w:sz w:val="24"/>
          <w:szCs w:val="24"/>
          <w:lang w:val="es-ES_tradnl" w:eastAsia="es-ES_tradnl"/>
        </w:rPr>
        <w:t>/20</w:t>
      </w:r>
      <w:r w:rsidRPr="0051065C">
        <w:rPr>
          <w:rFonts w:ascii="Palatino Linotype" w:eastAsia="Times New Roman" w:hAnsi="Palatino Linotype" w:cs="Times New Roman"/>
          <w:sz w:val="24"/>
          <w:szCs w:val="24"/>
          <w:lang w:val="es-ES_tradnl" w:eastAsia="es-ES_tradnl"/>
        </w:rPr>
        <w:t xml:space="preserve"> y dio vista a este Instituto a efecto de que dentro del plazo de diez días hábiles, contados a partir del día hábil siguiente a la fecha de su notificación alegara lo que a su derecho convenga. </w:t>
      </w:r>
    </w:p>
    <w:p w:rsidR="001420B1" w:rsidRPr="0051065C" w:rsidRDefault="001420B1" w:rsidP="001420B1">
      <w:pPr>
        <w:tabs>
          <w:tab w:val="left" w:pos="0"/>
        </w:tabs>
        <w:spacing w:after="0" w:line="360" w:lineRule="auto"/>
        <w:ind w:left="502" w:right="49"/>
        <w:contextualSpacing/>
        <w:jc w:val="both"/>
        <w:rPr>
          <w:rFonts w:ascii="Palatino Linotype" w:eastAsia="Times New Roman" w:hAnsi="Palatino Linotype" w:cs="Times New Roman"/>
          <w:sz w:val="24"/>
          <w:szCs w:val="24"/>
          <w:lang w:val="es-ES_tradnl" w:eastAsia="es-ES_tradnl"/>
        </w:rPr>
      </w:pPr>
    </w:p>
    <w:p w:rsidR="001420B1" w:rsidRPr="0051065C" w:rsidRDefault="00752C8C"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El veinticuatro</w:t>
      </w:r>
      <w:r w:rsidR="001420B1" w:rsidRPr="0051065C">
        <w:rPr>
          <w:rFonts w:ascii="Palatino Linotype" w:eastAsia="Times New Roman" w:hAnsi="Palatino Linotype" w:cs="Times New Roman"/>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24</w:t>
      </w:r>
      <w:r w:rsidR="001420B1" w:rsidRPr="0051065C">
        <w:rPr>
          <w:rFonts w:ascii="Palatino Linotype" w:eastAsia="Times New Roman" w:hAnsi="Palatino Linotype" w:cs="Times New Roman"/>
          <w:sz w:val="24"/>
          <w:szCs w:val="24"/>
          <w:lang w:val="es-ES_tradnl" w:eastAsia="es-ES_tradnl"/>
        </w:rPr>
        <w:t>) de noviembre de dos mil veinte, se tuvo por rendido el informe justificado.</w:t>
      </w:r>
    </w:p>
    <w:p w:rsidR="001420B1" w:rsidRPr="0051065C" w:rsidRDefault="001420B1" w:rsidP="001420B1">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1420B1" w:rsidRPr="0051065C" w:rsidRDefault="00752C8C"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Con fecha cuatro (24</w:t>
      </w:r>
      <w:r w:rsidR="001420B1" w:rsidRPr="0051065C">
        <w:rPr>
          <w:rFonts w:ascii="Palatino Linotype" w:eastAsia="Times New Roman" w:hAnsi="Palatino Linotype" w:cs="Times New Roman"/>
          <w:sz w:val="24"/>
          <w:szCs w:val="24"/>
          <w:lang w:val="es-ES_tradnl" w:eastAsia="es-ES_tradnl"/>
        </w:rPr>
        <w:t>) de noviembre de dos mil veinte, el Secretario de Acuerdos y Ponencia de Datos Personales, acordó por única vez, la ampliación del término por un periodo igual, para resolver el recurso de revisión.</w:t>
      </w:r>
    </w:p>
    <w:p w:rsidR="001420B1" w:rsidRPr="0051065C" w:rsidRDefault="001420B1" w:rsidP="001420B1">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1420B1" w:rsidRPr="0051065C" w:rsidRDefault="006D3D8C"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El veintitrés (23) de diciembre de dos mil veinte</w:t>
      </w:r>
      <w:r w:rsidR="001420B1" w:rsidRPr="0051065C">
        <w:rPr>
          <w:rFonts w:ascii="Palatino Linotype" w:eastAsia="Times New Roman" w:hAnsi="Palatino Linotype" w:cs="Times New Roman"/>
          <w:sz w:val="24"/>
          <w:szCs w:val="24"/>
          <w:lang w:val="es-ES_tradnl" w:eastAsia="es-ES_tradnl"/>
        </w:rPr>
        <w:t>, el Secretario de Acuerd</w:t>
      </w:r>
      <w:r w:rsidRPr="0051065C">
        <w:rPr>
          <w:rFonts w:ascii="Palatino Linotype" w:eastAsia="Times New Roman" w:hAnsi="Palatino Linotype" w:cs="Times New Roman"/>
          <w:sz w:val="24"/>
          <w:szCs w:val="24"/>
          <w:lang w:val="es-ES_tradnl" w:eastAsia="es-ES_tradnl"/>
        </w:rPr>
        <w:t>os y Ponencia de Acceso a la Información</w:t>
      </w:r>
      <w:r w:rsidR="001420B1" w:rsidRPr="0051065C">
        <w:rPr>
          <w:rFonts w:ascii="Palatino Linotype" w:eastAsia="Times New Roman" w:hAnsi="Palatino Linotype" w:cs="Times New Roman"/>
          <w:sz w:val="24"/>
          <w:szCs w:val="24"/>
          <w:lang w:val="es-ES_tradnl" w:eastAsia="es-ES_tradnl"/>
        </w:rPr>
        <w:t>, al no existir diligencias pendientes por desahogar acordó el cierre de instrucción, pasando el expediente a resolución.</w:t>
      </w:r>
    </w:p>
    <w:p w:rsidR="001420B1" w:rsidRPr="0051065C" w:rsidRDefault="001420B1" w:rsidP="001420B1">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En sesión </w:t>
      </w:r>
      <w:r w:rsidR="006D3D8C" w:rsidRPr="0051065C">
        <w:rPr>
          <w:rFonts w:ascii="Palatino Linotype" w:eastAsia="Times New Roman" w:hAnsi="Palatino Linotype" w:cs="Times New Roman"/>
          <w:sz w:val="24"/>
          <w:szCs w:val="24"/>
          <w:lang w:val="es-ES_tradnl" w:eastAsia="es-ES_tradnl"/>
        </w:rPr>
        <w:t>ordinaria celebrada el día trece</w:t>
      </w:r>
      <w:r w:rsidRPr="0051065C">
        <w:rPr>
          <w:rFonts w:ascii="Palatino Linotype" w:eastAsia="Times New Roman" w:hAnsi="Palatino Linotype" w:cs="Times New Roman"/>
          <w:sz w:val="24"/>
          <w:szCs w:val="24"/>
          <w:lang w:val="es-ES_tradnl" w:eastAsia="es-ES_tradnl"/>
        </w:rPr>
        <w:t xml:space="preserve"> (</w:t>
      </w:r>
      <w:r w:rsidR="006D3D8C" w:rsidRPr="0051065C">
        <w:rPr>
          <w:rFonts w:ascii="Palatino Linotype" w:eastAsia="Times New Roman" w:hAnsi="Palatino Linotype" w:cs="Times New Roman"/>
          <w:sz w:val="24"/>
          <w:szCs w:val="24"/>
          <w:lang w:val="es-ES_tradnl" w:eastAsia="es-ES_tradnl"/>
        </w:rPr>
        <w:t>13</w:t>
      </w:r>
      <w:r w:rsidRPr="0051065C">
        <w:rPr>
          <w:rFonts w:ascii="Palatino Linotype" w:eastAsia="Times New Roman" w:hAnsi="Palatino Linotype" w:cs="Times New Roman"/>
          <w:sz w:val="24"/>
          <w:szCs w:val="24"/>
          <w:lang w:val="es-ES_tradnl" w:eastAsia="es-ES_tradnl"/>
        </w:rPr>
        <w:t>) de enero de dos mil veintiuno, el Pleno del INAI, se aprobó la resolución</w:t>
      </w:r>
      <w:r w:rsidR="006D3D8C" w:rsidRPr="0051065C">
        <w:rPr>
          <w:rFonts w:ascii="Palatino Linotype" w:eastAsia="Times New Roman" w:hAnsi="Palatino Linotype" w:cs="Times New Roman"/>
          <w:sz w:val="24"/>
          <w:szCs w:val="24"/>
          <w:lang w:val="es-ES_tradnl" w:eastAsia="es-ES_tradnl"/>
        </w:rPr>
        <w:t xml:space="preserve"> del recurso de revisión RIA 122</w:t>
      </w:r>
      <w:r w:rsidRPr="0051065C">
        <w:rPr>
          <w:rFonts w:ascii="Palatino Linotype" w:eastAsia="Times New Roman" w:hAnsi="Palatino Linotype" w:cs="Times New Roman"/>
          <w:sz w:val="24"/>
          <w:szCs w:val="24"/>
          <w:lang w:val="es-ES_tradnl" w:eastAsia="es-ES_tradnl"/>
        </w:rPr>
        <w:t xml:space="preserve">/2020, </w:t>
      </w:r>
      <w:r w:rsidRPr="0051065C">
        <w:rPr>
          <w:rFonts w:ascii="Palatino Linotype" w:eastAsia="Times New Roman" w:hAnsi="Palatino Linotype" w:cs="Times New Roman"/>
          <w:sz w:val="24"/>
          <w:szCs w:val="24"/>
          <w:lang w:val="es-ES_tradnl" w:eastAsia="es-ES_tradnl"/>
        </w:rPr>
        <w:lastRenderedPageBreak/>
        <w:t>p</w:t>
      </w:r>
      <w:r w:rsidR="006D3D8C" w:rsidRPr="0051065C">
        <w:rPr>
          <w:rFonts w:ascii="Palatino Linotype" w:eastAsia="Times New Roman" w:hAnsi="Palatino Linotype" w:cs="Times New Roman"/>
          <w:sz w:val="24"/>
          <w:szCs w:val="24"/>
          <w:lang w:val="es-ES_tradnl" w:eastAsia="es-ES_tradnl"/>
        </w:rPr>
        <w:t>osteriormente en fecha once (11</w:t>
      </w:r>
      <w:r w:rsidRPr="0051065C">
        <w:rPr>
          <w:rFonts w:ascii="Palatino Linotype" w:eastAsia="Times New Roman" w:hAnsi="Palatino Linotype" w:cs="Times New Roman"/>
          <w:sz w:val="24"/>
          <w:szCs w:val="24"/>
          <w:lang w:val="es-ES_tradnl" w:eastAsia="es-ES_tradnl"/>
        </w:rPr>
        <w:t xml:space="preserve">) de febrero de dos mil veintiuno, fue notificada a este Órgano Garante. </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975693">
      <w:pPr>
        <w:pStyle w:val="Ttulo1"/>
        <w:jc w:val="center"/>
        <w:rPr>
          <w:rFonts w:ascii="Palatino Linotype" w:hAnsi="Palatino Linotype"/>
          <w:b/>
          <w:color w:val="auto"/>
          <w:sz w:val="24"/>
          <w:szCs w:val="24"/>
          <w:lang w:val="es-ES_tradnl"/>
        </w:rPr>
      </w:pPr>
      <w:bookmarkStart w:id="10" w:name="_Toc65147980"/>
      <w:r w:rsidRPr="0051065C">
        <w:rPr>
          <w:rFonts w:ascii="Palatino Linotype" w:hAnsi="Palatino Linotype"/>
          <w:b/>
          <w:color w:val="auto"/>
          <w:sz w:val="24"/>
          <w:szCs w:val="24"/>
          <w:lang w:val="es-ES_tradnl"/>
        </w:rPr>
        <w:t>CONSIDERANDO</w:t>
      </w:r>
      <w:bookmarkEnd w:id="10"/>
    </w:p>
    <w:p w:rsidR="001420B1" w:rsidRPr="0051065C" w:rsidRDefault="001420B1" w:rsidP="001420B1">
      <w:pPr>
        <w:spacing w:after="0" w:line="360" w:lineRule="auto"/>
        <w:jc w:val="both"/>
        <w:rPr>
          <w:rFonts w:ascii="Palatino Linotype" w:eastAsia="Times New Roman" w:hAnsi="Palatino Linotype" w:cs="Times New Roman"/>
          <w:sz w:val="24"/>
          <w:szCs w:val="24"/>
          <w:lang w:val="es-ES_tradnl"/>
        </w:rPr>
      </w:pPr>
    </w:p>
    <w:p w:rsidR="001420B1" w:rsidRPr="0051065C" w:rsidRDefault="001420B1" w:rsidP="00975693">
      <w:pPr>
        <w:pStyle w:val="Ttulo1"/>
        <w:rPr>
          <w:rFonts w:ascii="Palatino Linotype" w:hAnsi="Palatino Linotype"/>
          <w:b/>
          <w:color w:val="auto"/>
          <w:sz w:val="24"/>
          <w:szCs w:val="24"/>
          <w:lang w:val="es-ES_tradnl"/>
        </w:rPr>
      </w:pPr>
      <w:bookmarkStart w:id="11" w:name="_Toc65147981"/>
      <w:r w:rsidRPr="0051065C">
        <w:rPr>
          <w:rFonts w:ascii="Palatino Linotype" w:hAnsi="Palatino Linotype"/>
          <w:b/>
          <w:color w:val="auto"/>
          <w:sz w:val="24"/>
          <w:szCs w:val="24"/>
          <w:lang w:val="es-ES_tradnl"/>
        </w:rPr>
        <w:t>PRIMERO. Atribuciones del INAI</w:t>
      </w:r>
      <w:bookmarkEnd w:id="11"/>
    </w:p>
    <w:p w:rsidR="001420B1" w:rsidRPr="0051065C" w:rsidRDefault="001420B1" w:rsidP="001420B1">
      <w:pPr>
        <w:spacing w:after="0" w:line="360" w:lineRule="auto"/>
        <w:jc w:val="both"/>
        <w:rPr>
          <w:rFonts w:ascii="Palatino Linotype" w:eastAsia="Times New Roman" w:hAnsi="Palatino Linotype" w:cs="Times New Roman"/>
          <w:sz w:val="24"/>
          <w:szCs w:val="24"/>
          <w:lang w:val="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Calibri" w:hAnsi="Palatino Linotype" w:cs="Times New Roman"/>
          <w:sz w:val="24"/>
          <w:szCs w:val="24"/>
          <w:lang w:val="es-ES_tradnl" w:eastAsia="es-ES_tradnl"/>
        </w:rPr>
        <w:t>El</w:t>
      </w:r>
      <w:r w:rsidRPr="0051065C">
        <w:rPr>
          <w:rFonts w:ascii="Palatino Linotype" w:eastAsia="Times New Roman" w:hAnsi="Palatino Linotype" w:cs="Times New Roman"/>
          <w:sz w:val="24"/>
          <w:szCs w:val="24"/>
          <w:lang w:val="es-ES_tradnl" w:eastAsia="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w:t>
      </w:r>
      <w:r w:rsidRPr="0051065C">
        <w:rPr>
          <w:rFonts w:ascii="Palatino Linotype" w:eastAsia="Times New Roman" w:hAnsi="Palatino Linotype" w:cs="Times New Roman"/>
          <w:sz w:val="24"/>
          <w:szCs w:val="24"/>
          <w:lang w:val="es-ES_tradnl" w:eastAsia="es-ES_tradnl"/>
        </w:rPr>
        <w:lastRenderedPageBreak/>
        <w:t>Acceso a la Información y Protección de Datos Personales, publicado en el Diario Oficial de la Federación el diecisiete de enero de dos mil diecisiete.</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975693">
      <w:pPr>
        <w:pStyle w:val="Ttulo1"/>
        <w:rPr>
          <w:rFonts w:ascii="Palatino Linotype" w:hAnsi="Palatino Linotype"/>
          <w:b/>
          <w:color w:val="auto"/>
          <w:sz w:val="24"/>
          <w:szCs w:val="24"/>
          <w:lang w:val="es-ES_tradnl"/>
        </w:rPr>
      </w:pPr>
      <w:bookmarkStart w:id="12" w:name="_Toc65147982"/>
      <w:r w:rsidRPr="0051065C">
        <w:rPr>
          <w:rFonts w:ascii="Palatino Linotype" w:hAnsi="Palatino Linotype"/>
          <w:b/>
          <w:color w:val="auto"/>
          <w:sz w:val="24"/>
          <w:szCs w:val="24"/>
          <w:lang w:val="es-ES_tradnl"/>
        </w:rPr>
        <w:t>SEGUNDO. Resolución y efectos</w:t>
      </w:r>
      <w:bookmarkEnd w:id="12"/>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6D3D8C" w:rsidRPr="0051065C" w:rsidRDefault="001420B1" w:rsidP="001420B1">
      <w:pPr>
        <w:numPr>
          <w:ilvl w:val="0"/>
          <w:numId w:val="1"/>
        </w:numPr>
        <w:tabs>
          <w:tab w:val="left" w:pos="0"/>
          <w:tab w:val="left" w:pos="709"/>
        </w:tabs>
        <w:spacing w:after="0" w:line="360" w:lineRule="auto"/>
        <w:ind w:right="49"/>
        <w:contextualSpacing/>
        <w:jc w:val="both"/>
        <w:rPr>
          <w:rFonts w:ascii="Palatino Linotype" w:eastAsia="Times New Roman" w:hAnsi="Palatino Linotype" w:cs="Times New Roman"/>
          <w:i/>
          <w:sz w:val="24"/>
          <w:szCs w:val="24"/>
          <w:lang w:eastAsia="es-ES_tradnl"/>
        </w:rPr>
      </w:pPr>
      <w:r w:rsidRPr="0051065C">
        <w:rPr>
          <w:rFonts w:ascii="Palatino Linotype" w:eastAsia="Calibri" w:hAnsi="Palatino Linotype" w:cs="Times New Roman"/>
          <w:sz w:val="24"/>
          <w:szCs w:val="24"/>
          <w:lang w:val="es-ES_tradnl" w:eastAsia="es-ES_tradnl"/>
        </w:rPr>
        <w:t>En</w:t>
      </w:r>
      <w:r w:rsidRPr="0051065C">
        <w:rPr>
          <w:rFonts w:ascii="Palatino Linotype" w:eastAsia="Times New Roman" w:hAnsi="Palatino Linotype" w:cs="Arial"/>
          <w:sz w:val="24"/>
          <w:szCs w:val="24"/>
          <w:lang w:val="es-ES_tradnl" w:eastAsia="es-ES_tradnl"/>
        </w:rPr>
        <w:t xml:space="preserve"> cumplimiento a lo establecido en el artículo 172 de la Ley General de Transparencia y Acceso a la Información Pública, el presente fallo tiene los efectos siguientes: </w:t>
      </w:r>
      <w:r w:rsidRPr="0051065C">
        <w:rPr>
          <w:rFonts w:ascii="Palatino Linotype" w:eastAsia="Times New Roman" w:hAnsi="Palatino Linotype" w:cs="Times New Roman"/>
          <w:i/>
          <w:sz w:val="24"/>
          <w:szCs w:val="24"/>
          <w:lang w:val="es-ES_tradnl" w:eastAsia="es-ES_tradnl"/>
        </w:rPr>
        <w:t xml:space="preserve">“… </w:t>
      </w:r>
      <w:r w:rsidR="006D3D8C" w:rsidRPr="0051065C">
        <w:rPr>
          <w:rFonts w:ascii="Palatino Linotype" w:eastAsia="Times New Roman" w:hAnsi="Palatino Linotype" w:cs="Times New Roman"/>
          <w:b/>
          <w:i/>
          <w:sz w:val="24"/>
          <w:szCs w:val="24"/>
          <w:lang w:val="es-ES_tradnl" w:eastAsia="es-ES_tradnl"/>
        </w:rPr>
        <w:t>MODIFICAR</w:t>
      </w:r>
      <w:r w:rsidR="006D3D8C" w:rsidRPr="0051065C">
        <w:t xml:space="preserve"> </w:t>
      </w:r>
      <w:r w:rsidR="006D3D8C" w:rsidRPr="0051065C">
        <w:rPr>
          <w:rFonts w:ascii="Palatino Linotype" w:eastAsia="Times New Roman" w:hAnsi="Palatino Linotype" w:cs="Times New Roman"/>
          <w:i/>
          <w:sz w:val="24"/>
          <w:szCs w:val="24"/>
          <w:lang w:eastAsia="es-ES_tradnl"/>
        </w:rPr>
        <w:t xml:space="preserve">la resolución del siete de octubre de dos mil veinte, número 02743/INFOEM/IP/RR/2020 y 02749/INFOEM/IP/RR/2020 relativas al folio de solicitud de información número 00215/IXTASAL/IP/2020 y 00216/IXTASAL/IP/2020, a efecto de que el Instituto de Transparencia, Acceso a la Información Pública y Protección de Datos Personales del Estado de México y Municipios que, en términos de lo dispuesto por el diverso 172 de esa misma Ley: </w:t>
      </w:r>
      <w:r w:rsidR="006D3D8C" w:rsidRPr="0051065C">
        <w:rPr>
          <w:rFonts w:ascii="Segoe UI Symbol" w:eastAsia="Times New Roman" w:hAnsi="Segoe UI Symbol" w:cs="Segoe UI Symbol"/>
          <w:i/>
          <w:sz w:val="24"/>
          <w:szCs w:val="24"/>
          <w:lang w:eastAsia="es-ES_tradnl"/>
        </w:rPr>
        <w:t>❖</w:t>
      </w:r>
      <w:r w:rsidR="006D3D8C" w:rsidRPr="0051065C">
        <w:rPr>
          <w:rFonts w:ascii="Palatino Linotype" w:eastAsia="Times New Roman" w:hAnsi="Palatino Linotype" w:cs="Times New Roman"/>
          <w:i/>
          <w:sz w:val="24"/>
          <w:szCs w:val="24"/>
          <w:lang w:eastAsia="es-ES_tradnl"/>
        </w:rPr>
        <w:t xml:space="preserve"> Emita una nueva resoluci</w:t>
      </w:r>
      <w:r w:rsidR="006D3D8C" w:rsidRPr="0051065C">
        <w:rPr>
          <w:rFonts w:ascii="Palatino Linotype" w:eastAsia="Times New Roman" w:hAnsi="Palatino Linotype" w:cs="Palatino Linotype"/>
          <w:i/>
          <w:sz w:val="24"/>
          <w:szCs w:val="24"/>
          <w:lang w:eastAsia="es-ES_tradnl"/>
        </w:rPr>
        <w:t>ó</w:t>
      </w:r>
      <w:r w:rsidR="006D3D8C" w:rsidRPr="0051065C">
        <w:rPr>
          <w:rFonts w:ascii="Palatino Linotype" w:eastAsia="Times New Roman" w:hAnsi="Palatino Linotype" w:cs="Times New Roman"/>
          <w:i/>
          <w:sz w:val="24"/>
          <w:szCs w:val="24"/>
          <w:lang w:eastAsia="es-ES_tradnl"/>
        </w:rPr>
        <w:t xml:space="preserve">n en la que ordene al Ayuntamiento de Ixtapan de la Sal realizar la entrega de </w:t>
      </w:r>
      <w:r w:rsidR="006D3D8C" w:rsidRPr="0051065C">
        <w:rPr>
          <w:rFonts w:ascii="Palatino Linotype" w:eastAsia="Times New Roman" w:hAnsi="Palatino Linotype" w:cs="Palatino Linotype"/>
          <w:i/>
          <w:sz w:val="24"/>
          <w:szCs w:val="24"/>
          <w:lang w:eastAsia="es-ES_tradnl"/>
        </w:rPr>
        <w:t>“</w:t>
      </w:r>
      <w:r w:rsidR="006D3D8C" w:rsidRPr="0051065C">
        <w:rPr>
          <w:rFonts w:ascii="Palatino Linotype" w:eastAsia="Times New Roman" w:hAnsi="Palatino Linotype" w:cs="Times New Roman"/>
          <w:i/>
          <w:sz w:val="24"/>
          <w:szCs w:val="24"/>
          <w:lang w:eastAsia="es-ES_tradnl"/>
        </w:rPr>
        <w:t>toda la informaci</w:t>
      </w:r>
      <w:r w:rsidR="006D3D8C" w:rsidRPr="0051065C">
        <w:rPr>
          <w:rFonts w:ascii="Palatino Linotype" w:eastAsia="Times New Roman" w:hAnsi="Palatino Linotype" w:cs="Palatino Linotype"/>
          <w:i/>
          <w:sz w:val="24"/>
          <w:szCs w:val="24"/>
          <w:lang w:eastAsia="es-ES_tradnl"/>
        </w:rPr>
        <w:t>ó</w:t>
      </w:r>
      <w:r w:rsidR="006D3D8C" w:rsidRPr="0051065C">
        <w:rPr>
          <w:rFonts w:ascii="Palatino Linotype" w:eastAsia="Times New Roman" w:hAnsi="Palatino Linotype" w:cs="Times New Roman"/>
          <w:i/>
          <w:sz w:val="24"/>
          <w:szCs w:val="24"/>
          <w:lang w:eastAsia="es-ES_tradnl"/>
        </w:rPr>
        <w:t>n y documentaci</w:t>
      </w:r>
      <w:r w:rsidR="006D3D8C" w:rsidRPr="0051065C">
        <w:rPr>
          <w:rFonts w:ascii="Palatino Linotype" w:eastAsia="Times New Roman" w:hAnsi="Palatino Linotype" w:cs="Palatino Linotype"/>
          <w:i/>
          <w:sz w:val="24"/>
          <w:szCs w:val="24"/>
          <w:lang w:eastAsia="es-ES_tradnl"/>
        </w:rPr>
        <w:t>ó</w:t>
      </w:r>
      <w:r w:rsidR="006D3D8C" w:rsidRPr="0051065C">
        <w:rPr>
          <w:rFonts w:ascii="Palatino Linotype" w:eastAsia="Times New Roman" w:hAnsi="Palatino Linotype" w:cs="Times New Roman"/>
          <w:i/>
          <w:sz w:val="24"/>
          <w:szCs w:val="24"/>
          <w:lang w:eastAsia="es-ES_tradnl"/>
        </w:rPr>
        <w:t>n generada en el proceso de regularizaci</w:t>
      </w:r>
      <w:r w:rsidR="006D3D8C" w:rsidRPr="0051065C">
        <w:rPr>
          <w:rFonts w:ascii="Palatino Linotype" w:eastAsia="Times New Roman" w:hAnsi="Palatino Linotype" w:cs="Palatino Linotype"/>
          <w:i/>
          <w:sz w:val="24"/>
          <w:szCs w:val="24"/>
          <w:lang w:eastAsia="es-ES_tradnl"/>
        </w:rPr>
        <w:t>ó</w:t>
      </w:r>
      <w:r w:rsidR="006D3D8C" w:rsidRPr="0051065C">
        <w:rPr>
          <w:rFonts w:ascii="Palatino Linotype" w:eastAsia="Times New Roman" w:hAnsi="Palatino Linotype" w:cs="Times New Roman"/>
          <w:i/>
          <w:sz w:val="24"/>
          <w:szCs w:val="24"/>
          <w:lang w:eastAsia="es-ES_tradnl"/>
        </w:rPr>
        <w:t xml:space="preserve">n de bienes inmuebles en cumplimiento de la atribución que le confiere el artículo 53 fracción VIII de la Ley Orgánica Municipal del Estado de México y toda la información y documentación generada en el proceso de inscripción de los bienes inmuebles municipales en el Registro Público de la Propiedad, hoy Instituto de la Función Registral, en cumplimiento de la atribución que le confiere el artículo 53 fracción IX de la Ley Orgánica Municipal del Estado de México” en todas las modalidades autorizadas por la Ley local en la materia, entre las que deberá incluir la </w:t>
      </w:r>
      <w:r w:rsidR="006D3D8C" w:rsidRPr="0051065C">
        <w:rPr>
          <w:rFonts w:ascii="Palatino Linotype" w:eastAsia="Times New Roman" w:hAnsi="Palatino Linotype" w:cs="Times New Roman"/>
          <w:i/>
          <w:sz w:val="24"/>
          <w:szCs w:val="24"/>
          <w:lang w:eastAsia="es-ES_tradnl"/>
        </w:rPr>
        <w:lastRenderedPageBreak/>
        <w:t>expedición de copias simples y certificadas, así como la opción de envío, comunicando los costos que tales conceptos generen, así como la inclusión de la modalidad ya otorgada (consulta directa).</w:t>
      </w:r>
    </w:p>
    <w:p w:rsidR="001678AA" w:rsidRPr="0051065C" w:rsidRDefault="001678AA" w:rsidP="001678AA">
      <w:pPr>
        <w:tabs>
          <w:tab w:val="left" w:pos="0"/>
          <w:tab w:val="left" w:pos="709"/>
        </w:tabs>
        <w:spacing w:after="0" w:line="360" w:lineRule="auto"/>
        <w:ind w:left="502" w:right="49"/>
        <w:contextualSpacing/>
        <w:jc w:val="both"/>
        <w:rPr>
          <w:rFonts w:ascii="Palatino Linotype" w:eastAsia="Times New Roman" w:hAnsi="Palatino Linotype" w:cs="Times New Roman"/>
          <w:i/>
          <w:sz w:val="24"/>
          <w:szCs w:val="24"/>
          <w:lang w:eastAsia="es-ES_tradnl"/>
        </w:rPr>
      </w:pPr>
    </w:p>
    <w:p w:rsidR="001678AA" w:rsidRPr="0051065C" w:rsidRDefault="001678AA" w:rsidP="001420B1">
      <w:pPr>
        <w:numPr>
          <w:ilvl w:val="0"/>
          <w:numId w:val="1"/>
        </w:numPr>
        <w:tabs>
          <w:tab w:val="left" w:pos="0"/>
          <w:tab w:val="left" w:pos="709"/>
        </w:tabs>
        <w:spacing w:after="0" w:line="360" w:lineRule="auto"/>
        <w:ind w:right="49"/>
        <w:contextualSpacing/>
        <w:jc w:val="both"/>
        <w:rPr>
          <w:rFonts w:ascii="Palatino Linotype" w:eastAsia="Times New Roman" w:hAnsi="Palatino Linotype" w:cs="Times New Roman"/>
          <w:i/>
          <w:sz w:val="24"/>
          <w:szCs w:val="24"/>
          <w:lang w:eastAsia="es-ES_tradnl"/>
        </w:rPr>
      </w:pPr>
      <w:r w:rsidRPr="0051065C">
        <w:rPr>
          <w:rFonts w:ascii="Palatino Linotype" w:eastAsia="Times New Roman" w:hAnsi="Palatino Linotype" w:cs="Times New Roman"/>
          <w:i/>
          <w:sz w:val="24"/>
          <w:szCs w:val="24"/>
          <w:lang w:eastAsia="es-ES_tradnl"/>
        </w:rPr>
        <w:t>Finalmente, en cumplimiento a lo dispuesto por el artículo 180, de la Ley General de Transparencia y Acceso a la Información Pública se informa a la parte recurrente que, en caso de estar inconforme con la presente resolución, puede impugnarla ante el Poder Judicial de la Federación</w:t>
      </w:r>
    </w:p>
    <w:p w:rsidR="001420B1" w:rsidRPr="0051065C" w:rsidRDefault="001420B1" w:rsidP="001678AA">
      <w:pPr>
        <w:tabs>
          <w:tab w:val="left" w:pos="0"/>
          <w:tab w:val="left" w:pos="709"/>
        </w:tabs>
        <w:spacing w:after="0" w:line="360" w:lineRule="auto"/>
        <w:ind w:left="502" w:right="49"/>
        <w:contextualSpacing/>
        <w:jc w:val="both"/>
        <w:rPr>
          <w:rFonts w:ascii="Palatino Linotype" w:eastAsia="Times New Roman" w:hAnsi="Palatino Linotype" w:cs="Arial"/>
          <w:sz w:val="24"/>
          <w:szCs w:val="24"/>
          <w:lang w:val="es-ES_tradnl" w:eastAsia="es-ES_tradnl"/>
        </w:rPr>
      </w:pPr>
      <w:r w:rsidRPr="0051065C">
        <w:t xml:space="preserve"> </w:t>
      </w:r>
    </w:p>
    <w:p w:rsidR="001420B1" w:rsidRPr="0051065C" w:rsidRDefault="001420B1" w:rsidP="00975693">
      <w:pPr>
        <w:pStyle w:val="Ttulo1"/>
        <w:rPr>
          <w:rFonts w:ascii="Palatino Linotype" w:hAnsi="Palatino Linotype"/>
          <w:b/>
          <w:color w:val="auto"/>
          <w:sz w:val="24"/>
          <w:szCs w:val="24"/>
          <w:lang w:val="es-ES_tradnl"/>
        </w:rPr>
      </w:pPr>
      <w:bookmarkStart w:id="13" w:name="_Toc65147983"/>
      <w:r w:rsidRPr="0051065C">
        <w:rPr>
          <w:rFonts w:ascii="Palatino Linotype" w:hAnsi="Palatino Linotype"/>
          <w:b/>
          <w:color w:val="auto"/>
          <w:sz w:val="24"/>
          <w:szCs w:val="24"/>
          <w:lang w:val="es-ES_tradnl"/>
        </w:rPr>
        <w:t>TERCERO. Consideraciones de especial pronunciamiento</w:t>
      </w:r>
      <w:bookmarkEnd w:id="13"/>
    </w:p>
    <w:p w:rsidR="001420B1" w:rsidRPr="0051065C" w:rsidRDefault="001420B1" w:rsidP="001420B1">
      <w:pPr>
        <w:spacing w:after="0" w:line="240" w:lineRule="auto"/>
        <w:rPr>
          <w:rFonts w:ascii="Times New Roman" w:eastAsia="Times New Roman" w:hAnsi="Times New Roman" w:cs="Times New Roman"/>
          <w:sz w:val="24"/>
          <w:szCs w:val="24"/>
          <w:lang w:val="es-ES_tradnl"/>
        </w:rPr>
      </w:pPr>
    </w:p>
    <w:p w:rsidR="001420B1" w:rsidRPr="0051065C" w:rsidRDefault="001420B1" w:rsidP="00975693">
      <w:pPr>
        <w:pStyle w:val="Ttulo2"/>
        <w:numPr>
          <w:ilvl w:val="1"/>
          <w:numId w:val="1"/>
        </w:numPr>
        <w:ind w:left="709"/>
        <w:rPr>
          <w:rFonts w:ascii="Palatino Linotype" w:eastAsia="Times New Roman" w:hAnsi="Palatino Linotype" w:cs="Times New Roman"/>
          <w:b/>
          <w:color w:val="auto"/>
          <w:sz w:val="24"/>
          <w:szCs w:val="24"/>
          <w:lang w:val="es-ES_tradnl" w:eastAsia="es-ES_tradnl"/>
        </w:rPr>
      </w:pPr>
      <w:bookmarkStart w:id="14" w:name="_Toc65147984"/>
      <w:r w:rsidRPr="0051065C">
        <w:rPr>
          <w:rFonts w:ascii="Palatino Linotype" w:eastAsia="Times New Roman" w:hAnsi="Palatino Linotype" w:cs="Times New Roman"/>
          <w:b/>
          <w:color w:val="auto"/>
          <w:sz w:val="24"/>
          <w:szCs w:val="24"/>
          <w:lang w:val="es-ES_tradnl" w:eastAsia="es-ES_tradnl"/>
        </w:rPr>
        <w:t>Del Principio de Legalidad</w:t>
      </w:r>
      <w:bookmarkEnd w:id="14"/>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Primeramente, el artículo 8 de la Ley General de Transparencia y Acceso a la Información Pública establece los nueve principios rectores de los organismos garantes: certeza, eficacia, imparcialidad, independencia, legalidad, máxima publicidad, objetividad, profesionalismo y transparencia, como sigue:</w:t>
      </w:r>
    </w:p>
    <w:p w:rsidR="001420B1" w:rsidRPr="0051065C" w:rsidRDefault="001420B1" w:rsidP="001420B1">
      <w:pPr>
        <w:tabs>
          <w:tab w:val="left" w:pos="0"/>
        </w:tabs>
        <w:spacing w:after="0" w:line="276" w:lineRule="auto"/>
        <w:ind w:right="49"/>
        <w:contextualSpacing/>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bookmarkStart w:id="15" w:name="Artículo_8"/>
      <w:r w:rsidRPr="0051065C">
        <w:rPr>
          <w:rFonts w:ascii="Palatino Linotype" w:eastAsia="Times New Roman" w:hAnsi="Palatino Linotype" w:cs="Arial"/>
          <w:b/>
          <w:i/>
          <w:lang w:val="es-ES_tradnl" w:eastAsia="es-ES_tradnl"/>
        </w:rPr>
        <w:t>Artículo 8</w:t>
      </w:r>
      <w:bookmarkEnd w:id="15"/>
      <w:r w:rsidRPr="0051065C">
        <w:rPr>
          <w:rFonts w:ascii="Palatino Linotype" w:eastAsia="Times New Roman" w:hAnsi="Palatino Linotype" w:cs="Arial"/>
          <w:b/>
          <w:i/>
          <w:lang w:val="es-ES_tradnl" w:eastAsia="es-ES_tradnl"/>
        </w:rPr>
        <w:t xml:space="preserve">. </w:t>
      </w:r>
      <w:r w:rsidRPr="0051065C">
        <w:rPr>
          <w:rFonts w:ascii="Palatino Linotype" w:eastAsia="Times New Roman" w:hAnsi="Palatino Linotype" w:cs="Arial"/>
          <w:i/>
          <w:lang w:val="es-ES_tradnl" w:eastAsia="es-ES_tradnl"/>
        </w:rPr>
        <w:t>Los Organismos garantes del derecho de acceso a la información deberán regir su funcionamiento de acuerdo a los siguientes principios:</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r w:rsidRPr="0051065C">
        <w:rPr>
          <w:rFonts w:ascii="Palatino Linotype" w:eastAsia="Times New Roman" w:hAnsi="Palatino Linotype" w:cs="Arial"/>
          <w:b/>
          <w:i/>
          <w:lang w:val="es-ES_tradnl" w:eastAsia="es-ES_tradnl"/>
        </w:rPr>
        <w:t>I.</w:t>
      </w:r>
      <w:r w:rsidRPr="0051065C">
        <w:rPr>
          <w:rFonts w:ascii="Palatino Linotype" w:eastAsia="Times New Roman" w:hAnsi="Palatino Linotype" w:cs="Arial"/>
          <w:b/>
          <w:i/>
          <w:lang w:val="es-ES_tradnl" w:eastAsia="es-ES_tradnl"/>
        </w:rPr>
        <w:tab/>
        <w:t xml:space="preserve">Certeza: </w:t>
      </w:r>
      <w:r w:rsidRPr="0051065C">
        <w:rPr>
          <w:rFonts w:ascii="Palatino Linotype" w:eastAsia="Times New Roman" w:hAnsi="Palatino Linotype" w:cs="Arial"/>
          <w:i/>
          <w:lang w:val="es-ES_tradnl" w:eastAsia="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lastRenderedPageBreak/>
        <w:t xml:space="preserve">II. Eficacia: </w:t>
      </w:r>
      <w:r w:rsidRPr="0051065C">
        <w:rPr>
          <w:rFonts w:ascii="Palatino Linotype" w:eastAsia="Times New Roman" w:hAnsi="Palatino Linotype" w:cs="Arial"/>
          <w:i/>
          <w:lang w:val="es-ES_tradnl" w:eastAsia="es-ES_tradnl"/>
        </w:rPr>
        <w:t>Obligación de los Organismos garantes para tutelar, de manera efectiva, el derecho de acceso a la información;</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III. Imparcialidad: </w:t>
      </w:r>
      <w:r w:rsidRPr="0051065C">
        <w:rPr>
          <w:rFonts w:ascii="Palatino Linotype" w:eastAsia="Times New Roman" w:hAnsi="Palatino Linotype" w:cs="Arial"/>
          <w:i/>
          <w:lang w:val="es-ES_tradnl" w:eastAsia="es-ES_tradnl"/>
        </w:rPr>
        <w:t>Cualidad que deben tener los Organismos garantes respecto de sus actuaciones de ser ajenos o extraños a los intereses de las partes en controversia y resolver sin favorecer indebidamente a ninguna de ellas;</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IV. Independencia: </w:t>
      </w:r>
      <w:r w:rsidRPr="0051065C">
        <w:rPr>
          <w:rFonts w:ascii="Palatino Linotype" w:eastAsia="Times New Roman" w:hAnsi="Palatino Linotype" w:cs="Arial"/>
          <w:i/>
          <w:lang w:val="es-ES_tradnl" w:eastAsia="es-ES_tradnl"/>
        </w:rPr>
        <w:t>Cualidad que deben tener los Organismos garantes para actuar sin supeditarse a interés, autoridad o persona alguna;</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r w:rsidRPr="0051065C">
        <w:rPr>
          <w:rFonts w:ascii="Palatino Linotype" w:eastAsia="Times New Roman" w:hAnsi="Palatino Linotype" w:cs="Arial"/>
          <w:b/>
          <w:i/>
          <w:lang w:val="es-ES_tradnl" w:eastAsia="es-ES_tradnl"/>
        </w:rPr>
        <w:t>V.</w:t>
      </w:r>
      <w:r w:rsidRPr="0051065C">
        <w:rPr>
          <w:rFonts w:ascii="Palatino Linotype" w:eastAsia="Times New Roman" w:hAnsi="Palatino Linotype" w:cs="Arial"/>
          <w:b/>
          <w:i/>
          <w:lang w:val="es-ES_tradnl" w:eastAsia="es-ES_tradnl"/>
        </w:rPr>
        <w:tab/>
        <w:t xml:space="preserve"> Legalidad: Obligación de los Organismos garantes de ajustar su actuación, que funde y motive sus resoluciones y actos en las normas aplicables;</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VI. Máxima Publicidad: </w:t>
      </w:r>
      <w:r w:rsidRPr="0051065C">
        <w:rPr>
          <w:rFonts w:ascii="Palatino Linotype" w:eastAsia="Times New Roman" w:hAnsi="Palatino Linotype" w:cs="Arial"/>
          <w:i/>
          <w:lang w:val="es-ES_tradnl" w:eastAsia="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VII. Objetividad: </w:t>
      </w:r>
      <w:r w:rsidRPr="0051065C">
        <w:rPr>
          <w:rFonts w:ascii="Palatino Linotype" w:eastAsia="Times New Roman" w:hAnsi="Palatino Linotype" w:cs="Arial"/>
          <w:i/>
          <w:lang w:val="es-ES_tradnl" w:eastAsia="es-ES_tradnl"/>
        </w:rPr>
        <w:t>Obligación de los Organismos garantes de ajustar su actuación a los presupuestos de ley que deben ser aplicados al analizar el caso en concreto y resolver todos los hechos, prescindiendo de las consideraciones y criterios personales;</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VIII. Profesionalismo:</w:t>
      </w:r>
      <w:r w:rsidRPr="0051065C">
        <w:rPr>
          <w:rFonts w:ascii="Palatino Linotype" w:eastAsia="Times New Roman" w:hAnsi="Palatino Linotype" w:cs="Arial"/>
          <w:i/>
          <w:lang w:val="es-ES_tradnl" w:eastAsia="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IX. Transparencia: </w:t>
      </w:r>
      <w:r w:rsidRPr="0051065C">
        <w:rPr>
          <w:rFonts w:ascii="Palatino Linotype" w:eastAsia="Times New Roman" w:hAnsi="Palatino Linotype" w:cs="Arial"/>
          <w:i/>
          <w:lang w:val="es-ES_tradnl" w:eastAsia="es-ES_tradnl"/>
        </w:rPr>
        <w:t>Obligación de los Organismos garantes de dar publicidad a las deliberaciones y actos relacionados con sus atribuciones, así como dar acceso a la información que generen.</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Como puede advertirse, la fracción V del citado artículo 8 de la Ley General de Transparencia y Acceso a la Información establece el principio de legalidad </w:t>
      </w:r>
      <w:r w:rsidRPr="0051065C">
        <w:rPr>
          <w:rFonts w:ascii="Palatino Linotype" w:eastAsia="Times New Roman" w:hAnsi="Palatino Linotype" w:cs="Times New Roman"/>
          <w:sz w:val="24"/>
          <w:szCs w:val="24"/>
          <w:lang w:val="es-ES_tradnl" w:eastAsia="es-ES_tradnl"/>
        </w:rPr>
        <w:lastRenderedPageBreak/>
        <w:t>como la obligación de los Organismos garantes de ajustar su actuación, que funde y motive sus resoluciones y actos en las normas aplicables.</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Pr="0051065C">
        <w:rPr>
          <w:rFonts w:ascii="Palatino Linotype" w:eastAsia="Times New Roman" w:hAnsi="Palatino Linotype" w:cs="Times New Roman"/>
          <w:b/>
          <w:i/>
          <w:sz w:val="24"/>
          <w:szCs w:val="24"/>
          <w:lang w:val="es-ES_tradnl" w:eastAsia="es-ES_tradnl"/>
        </w:rPr>
        <w:t>obligación,</w:t>
      </w:r>
      <w:r w:rsidRPr="0051065C">
        <w:rPr>
          <w:rFonts w:ascii="Palatino Linotype" w:eastAsia="Times New Roman" w:hAnsi="Palatino Linotype" w:cs="Times New Roman"/>
          <w:sz w:val="24"/>
          <w:szCs w:val="24"/>
          <w:lang w:val="es-ES_tradnl" w:eastAsia="es-ES_tradnl"/>
        </w:rPr>
        <w:t xml:space="preserve"> por lo tanto, debe entenderse como un deber y no una opción que esté sujeta a capricho de los órganos garantes; segundo, en ambos casos (1) ajustar sus actuaciones y (2) fundar y motivar sus resoluciones y actuaciones en las normas aplicables, sin duda constituye una garantía de seguridad y certidumbre jurídica.</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heme="minorEastAsia" w:hAnsi="Palatino Linotype"/>
          <w:i/>
          <w:sz w:val="24"/>
          <w:szCs w:val="24"/>
          <w:lang w:val="es-ES_tradnl" w:eastAsia="es-ES"/>
        </w:rPr>
      </w:pPr>
      <w:r w:rsidRPr="0051065C">
        <w:rPr>
          <w:rFonts w:ascii="Palatino Linotype" w:eastAsia="Times New Roman" w:hAnsi="Palatino Linotype" w:cs="Times New Roman"/>
          <w:sz w:val="24"/>
          <w:szCs w:val="24"/>
          <w:lang w:val="es-ES_tradnl" w:eastAsia="es-ES_tradnl"/>
        </w:rPr>
        <w:t>En el derecho mexicano, el principio de legalidad en general se debe deducir de la interpretación conjunta del segundo párrafo del artículo 14 de la Constitución mexicana: “</w:t>
      </w:r>
      <w:r w:rsidRPr="0051065C">
        <w:rPr>
          <w:rFonts w:ascii="Palatino Linotype" w:eastAsia="Times New Roman" w:hAnsi="Palatino Linotype" w:cs="Times New Roman"/>
          <w:i/>
          <w:sz w:val="24"/>
          <w:szCs w:val="24"/>
          <w:lang w:val="es-ES_tradnl" w:eastAsia="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51065C">
        <w:rPr>
          <w:rFonts w:ascii="Palatino Linotype" w:eastAsia="Times New Roman" w:hAnsi="Palatino Linotype" w:cs="Times New Roman"/>
          <w:sz w:val="24"/>
          <w:szCs w:val="24"/>
          <w:lang w:val="es-ES_tradnl" w:eastAsia="es-ES_tradnl"/>
        </w:rPr>
        <w:t xml:space="preserve"> y del primer párrafo del artículo 16 de Constitucional: “</w:t>
      </w:r>
      <w:r w:rsidRPr="0051065C">
        <w:rPr>
          <w:rFonts w:ascii="Palatino Linotype" w:eastAsia="Times New Roman" w:hAnsi="Palatino Linotype" w:cs="Times New Roman"/>
          <w:i/>
          <w:sz w:val="24"/>
          <w:szCs w:val="24"/>
          <w:lang w:val="es-ES_tradnl" w:eastAsia="es-ES_tradnl"/>
        </w:rPr>
        <w:t xml:space="preserve">Nadie puede ser molestado en su persona, familia, domicilio, papeles o posesiones, sino en virtud de mandamiento </w:t>
      </w:r>
      <w:r w:rsidRPr="0051065C">
        <w:rPr>
          <w:rFonts w:ascii="Palatino Linotype" w:eastAsia="Times New Roman" w:hAnsi="Palatino Linotype" w:cs="Times New Roman"/>
          <w:i/>
          <w:sz w:val="24"/>
          <w:szCs w:val="24"/>
          <w:lang w:val="es-ES_tradnl" w:eastAsia="es-ES_tradnl"/>
        </w:rPr>
        <w:lastRenderedPageBreak/>
        <w:t>escrito de la autoridad competente, que funde y motive la causa legal del procedimiento”.</w:t>
      </w:r>
    </w:p>
    <w:p w:rsidR="001420B1" w:rsidRPr="0051065C" w:rsidRDefault="001420B1" w:rsidP="001420B1">
      <w:pPr>
        <w:spacing w:after="0" w:line="240" w:lineRule="auto"/>
        <w:ind w:left="720"/>
        <w:contextualSpacing/>
        <w:rPr>
          <w:rFonts w:ascii="Times New Roman" w:eastAsia="Times New Roman" w:hAnsi="Times New Roman"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r w:rsidRPr="0051065C">
        <w:rPr>
          <w:rFonts w:ascii="Palatino Linotype" w:eastAsia="Times New Roman" w:hAnsi="Palatino Linotype" w:cs="Times New Roman"/>
          <w:sz w:val="24"/>
          <w:szCs w:val="24"/>
          <w:lang w:val="es-ES_tradnl" w:eastAsia="es-ES_tradnl"/>
        </w:rPr>
        <w:t xml:space="preserve">El principio de legalidad comprende en sí dos figuras jurídicas: el principio de legalidad y la reserva de ley, cuya distinción radica en que cada uno de estos </w:t>
      </w:r>
      <w:proofErr w:type="gramStart"/>
      <w:r w:rsidRPr="0051065C">
        <w:rPr>
          <w:rFonts w:ascii="Palatino Linotype" w:eastAsia="Times New Roman" w:hAnsi="Palatino Linotype" w:cs="Times New Roman"/>
          <w:sz w:val="24"/>
          <w:szCs w:val="24"/>
          <w:lang w:val="es-ES_tradnl" w:eastAsia="es-ES_tradnl"/>
        </w:rPr>
        <w:t>principios  surte</w:t>
      </w:r>
      <w:proofErr w:type="gramEnd"/>
      <w:r w:rsidRPr="0051065C">
        <w:rPr>
          <w:rFonts w:ascii="Palatino Linotype" w:eastAsia="Times New Roman" w:hAnsi="Palatino Linotype" w:cs="Times New Roman"/>
          <w:sz w:val="24"/>
          <w:szCs w:val="24"/>
          <w:lang w:val="es-ES_tradnl" w:eastAsia="es-ES_tradnl"/>
        </w:rPr>
        <w:t xml:space="preserve"> efectos en diferentes campos del derecho, el primero se sitúa en la esfera aplicativa de éste, mientras que el segundo, implica centrar nuestra atención en su esfera normativa.</w:t>
      </w:r>
    </w:p>
    <w:p w:rsidR="001420B1" w:rsidRPr="0051065C" w:rsidRDefault="001420B1" w:rsidP="001420B1">
      <w:pPr>
        <w:spacing w:after="0" w:line="36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r w:rsidRPr="0051065C">
        <w:rPr>
          <w:rFonts w:ascii="Palatino Linotype" w:eastAsia="Times New Roman" w:hAnsi="Palatino Linotype" w:cs="Times New Roman"/>
          <w:sz w:val="24"/>
          <w:szCs w:val="24"/>
          <w:lang w:val="es-ES_tradnl" w:eastAsia="es-ES_tradnl"/>
        </w:rPr>
        <w:t>El principio de legalidad entraña que los órganos del Estado deben ceñir su actuar a lo que disponga la ley, lo que implica el respeto absoluto en la producción de las normas al orden escalonado exigido por la jerarquía de las fuentes del derecho, y finalmente, la sumisión de los actos concretos de una autoridad a las disposiciones de carácter general.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lastRenderedPageBreak/>
        <w:t xml:space="preserve">La sujeción de los órganos públicos a la ley se concreta en el principio de </w:t>
      </w:r>
      <w:r w:rsidRPr="0051065C">
        <w:rPr>
          <w:rFonts w:ascii="Palatino Linotype" w:eastAsia="Times New Roman" w:hAnsi="Palatino Linotype" w:cs="Times New Roman"/>
          <w:i/>
          <w:sz w:val="24"/>
          <w:szCs w:val="24"/>
          <w:lang w:val="es-ES_tradnl" w:eastAsia="es-ES_tradnl"/>
        </w:rPr>
        <w:t>mera legalidad</w:t>
      </w:r>
      <w:r w:rsidRPr="0051065C">
        <w:rPr>
          <w:rFonts w:ascii="Palatino Linotype" w:eastAsia="Times New Roman" w:hAnsi="Palatino Linotype" w:cs="Times New Roman"/>
          <w:sz w:val="24"/>
          <w:szCs w:val="24"/>
          <w:lang w:val="es-ES_tradnl" w:eastAsia="es-ES_tradnl"/>
        </w:rPr>
        <w:t xml:space="preserve">, el cual es distinto al principio de </w:t>
      </w:r>
      <w:r w:rsidRPr="0051065C">
        <w:rPr>
          <w:rFonts w:ascii="Palatino Linotype" w:eastAsia="Times New Roman" w:hAnsi="Palatino Linotype" w:cs="Times New Roman"/>
          <w:i/>
          <w:sz w:val="24"/>
          <w:szCs w:val="24"/>
          <w:lang w:val="es-ES_tradnl" w:eastAsia="es-ES_tradnl"/>
        </w:rPr>
        <w:t xml:space="preserve">estricta legalidad </w:t>
      </w:r>
      <w:r w:rsidRPr="0051065C">
        <w:rPr>
          <w:rFonts w:ascii="Palatino Linotype" w:eastAsia="Times New Roman" w:hAnsi="Palatino Linotype" w:cs="Times New Roman"/>
          <w:sz w:val="24"/>
          <w:szCs w:val="24"/>
          <w:lang w:val="es-ES_tradnl" w:eastAsia="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51065C">
        <w:rPr>
          <w:rFonts w:ascii="Palatino Linotype" w:eastAsia="Times New Roman" w:hAnsi="Palatino Linotype" w:cs="Times New Roman"/>
          <w:sz w:val="24"/>
          <w:szCs w:val="24"/>
          <w:vertAlign w:val="superscript"/>
          <w:lang w:val="es-ES_tradnl" w:eastAsia="es-ES_tradnl"/>
        </w:rPr>
        <w:footnoteReference w:id="1"/>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El principio de legalidad implica que toda acción de cualquier órgano investido de poder estatal debe estar justificada por una ley previa, toda vez que violentar este principio no solo es violatorio de los derechos de seguridad jurídica, sino que atenta contra del Estado de Derecho en el cual las autoridades deben encontrarse sujetas a la ley, es decir debe existir sujeción de los poderes públicos al ordenamiento legal. Es por ello, que el Estado de Derecho es aquel en el cual prevalece el principio de legalidad que regula y controla el poder y la actividad de los órganos del Estado y en el que el sometimiento a la ley, sin lugar a dudas, está relacionado con el respeto a la persona humana y a sus derechos fundamentales.</w:t>
      </w:r>
    </w:p>
    <w:p w:rsidR="001420B1" w:rsidRPr="0051065C" w:rsidRDefault="001420B1" w:rsidP="001420B1">
      <w:pPr>
        <w:spacing w:after="0" w:line="247" w:lineRule="auto"/>
        <w:ind w:left="117" w:right="113"/>
        <w:jc w:val="both"/>
        <w:rPr>
          <w:rFonts w:ascii="Arial" w:eastAsia="Times New Roman" w:hAnsi="Arial" w:cs="Times New Roman"/>
          <w:sz w:val="24"/>
          <w:szCs w:val="20"/>
          <w:lang w:val="es-ES_tradnl" w:eastAsia="es-ES_tradnl"/>
        </w:rPr>
      </w:pPr>
    </w:p>
    <w:p w:rsidR="001420B1" w:rsidRPr="0051065C" w:rsidRDefault="001420B1" w:rsidP="001420B1">
      <w:pPr>
        <w:spacing w:after="0" w:line="249" w:lineRule="auto"/>
        <w:ind w:left="357" w:right="116"/>
        <w:jc w:val="both"/>
        <w:rPr>
          <w:rFonts w:ascii="Times New Roman" w:eastAsia="Times New Roman" w:hAnsi="Times New Roman" w:cs="Times New Roman"/>
          <w:sz w:val="20"/>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En consecuencia, los órganos de Estado definen sus alcances bajo la tutela del principio de legalidad consagrado en la Constitución por el cual deben </w:t>
      </w:r>
      <w:r w:rsidRPr="0051065C">
        <w:rPr>
          <w:rFonts w:ascii="Palatino Linotype" w:eastAsia="Times New Roman" w:hAnsi="Palatino Linotype" w:cs="Times New Roman"/>
          <w:sz w:val="24"/>
          <w:szCs w:val="24"/>
          <w:shd w:val="clear" w:color="auto" w:fill="FFFFFF"/>
          <w:lang w:val="es-ES_tradnl" w:eastAsia="es-ES_tradnl"/>
        </w:rPr>
        <w:t xml:space="preserve">de fundar y motivar sus actos consiste en citar de manera específica la ley exactamente aplicable al caso, así como en expresar las circunstancias </w:t>
      </w:r>
      <w:r w:rsidRPr="0051065C">
        <w:rPr>
          <w:rFonts w:ascii="Palatino Linotype" w:eastAsia="Times New Roman" w:hAnsi="Palatino Linotype" w:cs="Times New Roman"/>
          <w:sz w:val="24"/>
          <w:szCs w:val="24"/>
          <w:shd w:val="clear" w:color="auto" w:fill="FFFFFF"/>
          <w:lang w:val="es-ES_tradnl" w:eastAsia="es-ES_tradnl"/>
        </w:rPr>
        <w:lastRenderedPageBreak/>
        <w:t>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1420B1" w:rsidRPr="0051065C" w:rsidRDefault="001420B1" w:rsidP="001420B1">
      <w:pPr>
        <w:spacing w:after="0" w:line="240" w:lineRule="auto"/>
        <w:rPr>
          <w:rFonts w:ascii="Times New Roman" w:eastAsia="Times New Roman" w:hAnsi="Times New Roman"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Es por ello, que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51065C">
        <w:rPr>
          <w:rFonts w:ascii="Palatino Linotype" w:eastAsia="Times New Roman" w:hAnsi="Palatino Linotype" w:cs="Times New Roman"/>
          <w:spacing w:val="-2"/>
          <w:sz w:val="24"/>
          <w:szCs w:val="24"/>
          <w:lang w:val="es-ES_tradnl" w:eastAsia="es-ES_tradnl"/>
        </w:rPr>
        <w:t xml:space="preserve">los </w:t>
      </w:r>
      <w:r w:rsidRPr="0051065C">
        <w:rPr>
          <w:rFonts w:ascii="Palatino Linotype" w:eastAsia="Times New Roman" w:hAnsi="Palatino Linotype" w:cs="Times New Roman"/>
          <w:sz w:val="24"/>
          <w:szCs w:val="24"/>
          <w:lang w:val="es-ES_tradnl" w:eastAsia="es-ES_tradnl"/>
        </w:rPr>
        <w:t>fundamentos y motivos del acto de autoridad, es decir, que exista adecuación entre los motivos aducidos y las normas aplicables, configurándose así las hipótesis</w:t>
      </w:r>
      <w:r w:rsidRPr="0051065C">
        <w:rPr>
          <w:rFonts w:ascii="Palatino Linotype" w:eastAsia="Times New Roman" w:hAnsi="Palatino Linotype" w:cs="Times New Roman"/>
          <w:spacing w:val="-5"/>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normativas.</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51065C">
        <w:rPr>
          <w:rFonts w:ascii="Palatino Linotype" w:eastAsia="Times New Roman" w:hAnsi="Palatino Linotype" w:cs="Times New Roman"/>
          <w:spacing w:val="-4"/>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motivación:</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76" w:lineRule="auto"/>
        <w:ind w:left="908" w:right="616"/>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b/>
          <w:i/>
          <w:lang w:val="es-ES_tradnl" w:eastAsia="es-ES_tradnl"/>
        </w:rPr>
        <w:t xml:space="preserve">“FUNDAMENTACION Y MOTIVACION. </w:t>
      </w:r>
      <w:r w:rsidRPr="0051065C">
        <w:rPr>
          <w:rFonts w:ascii="Palatino Linotype" w:eastAsia="Times New Roman" w:hAnsi="Palatino Linotype" w:cs="Times New Roman"/>
          <w:i/>
          <w:lang w:val="es-ES_tradnl" w:eastAsia="es-ES_tradnl"/>
        </w:rPr>
        <w:t xml:space="preserve">De acuerdo con el artículo 16 de la Constitución Federal, todo acto de autoridad debe estar adecuada y suficientemente fundado y motivado, entendiéndose por lo primero que ha de expresarse con </w:t>
      </w:r>
      <w:r w:rsidRPr="0051065C">
        <w:rPr>
          <w:rFonts w:ascii="Palatino Linotype" w:eastAsia="Times New Roman" w:hAnsi="Palatino Linotype" w:cs="Times New Roman"/>
          <w:i/>
          <w:lang w:val="es-ES_tradnl" w:eastAsia="es-ES_tradnl"/>
        </w:rPr>
        <w:lastRenderedPageBreak/>
        <w:t>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51065C">
        <w:rPr>
          <w:rFonts w:ascii="Palatino Linotype" w:eastAsia="Times New Roman" w:hAnsi="Palatino Linotype" w:cs="Times New Roman"/>
          <w:i/>
          <w:spacing w:val="-2"/>
          <w:lang w:val="es-ES_tradnl" w:eastAsia="es-ES_tradnl"/>
        </w:rPr>
        <w:t xml:space="preserve"> </w:t>
      </w:r>
      <w:r w:rsidRPr="0051065C">
        <w:rPr>
          <w:rFonts w:ascii="Palatino Linotype" w:eastAsia="Times New Roman" w:hAnsi="Palatino Linotype" w:cs="Times New Roman"/>
          <w:i/>
          <w:lang w:val="es-ES_tradnl" w:eastAsia="es-ES_tradnl"/>
        </w:rPr>
        <w:t>normativas.”</w:t>
      </w:r>
      <w:r w:rsidRPr="0051065C">
        <w:rPr>
          <w:rFonts w:ascii="Palatino Linotype" w:eastAsia="Times New Roman" w:hAnsi="Palatino Linotype" w:cs="Times New Roman"/>
          <w:i/>
          <w:vertAlign w:val="superscript"/>
          <w:lang w:val="es-ES_tradnl" w:eastAsia="es-ES_tradnl"/>
        </w:rPr>
        <w:footnoteReference w:id="2"/>
      </w:r>
    </w:p>
    <w:p w:rsidR="001420B1" w:rsidRPr="0051065C" w:rsidRDefault="001420B1" w:rsidP="001420B1">
      <w:pPr>
        <w:spacing w:after="0" w:line="276" w:lineRule="auto"/>
        <w:ind w:left="908" w:right="1121"/>
        <w:jc w:val="both"/>
        <w:rPr>
          <w:rFonts w:ascii="Palatino Linotype" w:eastAsia="Times New Roman" w:hAnsi="Palatino Linotype" w:cs="Times New Roman"/>
          <w:i/>
          <w:lang w:val="es-ES_tradnl" w:eastAsia="es-ES_tradnl"/>
        </w:rPr>
      </w:pPr>
    </w:p>
    <w:p w:rsidR="001420B1" w:rsidRPr="0051065C" w:rsidRDefault="001420B1" w:rsidP="00975693">
      <w:pPr>
        <w:pStyle w:val="Ttulo2"/>
        <w:jc w:val="both"/>
        <w:rPr>
          <w:rFonts w:ascii="Palatino Linotype" w:eastAsia="Times New Roman" w:hAnsi="Palatino Linotype" w:cs="Times New Roman"/>
          <w:b/>
          <w:color w:val="auto"/>
          <w:sz w:val="24"/>
          <w:szCs w:val="24"/>
          <w:lang w:val="es-ES_tradnl" w:eastAsia="es-ES_tradnl"/>
        </w:rPr>
      </w:pPr>
      <w:bookmarkStart w:id="16" w:name="_Toc65147985"/>
      <w:r w:rsidRPr="0051065C">
        <w:rPr>
          <w:rFonts w:ascii="Palatino Linotype" w:eastAsia="Times New Roman" w:hAnsi="Palatino Linotype" w:cs="Times New Roman"/>
          <w:b/>
          <w:color w:val="auto"/>
          <w:sz w:val="24"/>
          <w:szCs w:val="24"/>
          <w:lang w:val="es-ES_tradnl" w:eastAsia="es-ES_tradnl"/>
        </w:rPr>
        <w:t>II. De las causales legamente establecidas de procedencias del recurso de inconformidad establecido en el Ley General de Transparencia y Acceso a la Información Pública</w:t>
      </w:r>
      <w:bookmarkEnd w:id="16"/>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76" w:lineRule="auto"/>
        <w:ind w:left="90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“Artículo 6o.</w:t>
      </w:r>
      <w:r w:rsidRPr="0051065C">
        <w:rPr>
          <w:rFonts w:ascii="Palatino Linotype" w:eastAsia="Times New Roman" w:hAnsi="Palatino Linotype" w:cs="Times New Roman"/>
          <w:i/>
          <w:sz w:val="24"/>
          <w:szCs w:val="24"/>
          <w:lang w:val="es-ES_tradnl" w:eastAsia="es-ES_tradnl"/>
        </w:rPr>
        <w:t xml:space="preserve"> (…) </w:t>
      </w:r>
    </w:p>
    <w:p w:rsidR="001420B1" w:rsidRPr="0051065C" w:rsidRDefault="001420B1" w:rsidP="001420B1">
      <w:pPr>
        <w:spacing w:after="0" w:line="276" w:lineRule="auto"/>
        <w:ind w:left="900"/>
        <w:jc w:val="both"/>
        <w:rPr>
          <w:rFonts w:ascii="Palatino Linotype" w:eastAsia="Times New Roman" w:hAnsi="Palatino Linotype" w:cs="Times New Roman"/>
          <w:b/>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 xml:space="preserve">A. (...) </w:t>
      </w:r>
    </w:p>
    <w:p w:rsidR="001420B1" w:rsidRPr="0051065C" w:rsidRDefault="001420B1" w:rsidP="001420B1">
      <w:pPr>
        <w:spacing w:after="0" w:line="276" w:lineRule="auto"/>
        <w:ind w:left="900" w:right="616"/>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VIII.-</w:t>
      </w:r>
      <w:r w:rsidRPr="0051065C">
        <w:rPr>
          <w:rFonts w:ascii="Palatino Linotype" w:eastAsia="Times New Roman" w:hAnsi="Palatino Linotype" w:cs="Times New Roman"/>
          <w:i/>
          <w:sz w:val="24"/>
          <w:szCs w:val="24"/>
          <w:lang w:val="es-ES_tradnl" w:eastAsia="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w:t>
      </w:r>
      <w:r w:rsidRPr="0051065C">
        <w:rPr>
          <w:rFonts w:ascii="Palatino Linotype" w:eastAsia="Times New Roman" w:hAnsi="Palatino Linotype" w:cs="Times New Roman"/>
          <w:i/>
          <w:sz w:val="24"/>
          <w:szCs w:val="24"/>
          <w:lang w:val="es-ES_tradnl" w:eastAsia="es-ES_tradnl"/>
        </w:rPr>
        <w:lastRenderedPageBreak/>
        <w:t xml:space="preserve">ministros. </w:t>
      </w:r>
      <w:r w:rsidRPr="0051065C">
        <w:rPr>
          <w:rFonts w:ascii="Palatino Linotype" w:eastAsia="Times New Roman" w:hAnsi="Palatino Linotype" w:cs="Times New Roman"/>
          <w:b/>
          <w:i/>
          <w:sz w:val="24"/>
          <w:szCs w:val="24"/>
          <w:lang w:val="es-ES_tradnl" w:eastAsia="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51065C">
        <w:rPr>
          <w:rFonts w:ascii="Palatino Linotype" w:eastAsia="Times New Roman" w:hAnsi="Palatino Linotype" w:cs="Times New Roman"/>
          <w:i/>
          <w:sz w:val="24"/>
          <w:szCs w:val="24"/>
          <w:lang w:val="es-ES_tradnl" w:eastAsia="es-ES_tradnl"/>
        </w:rPr>
        <w:t xml:space="preserve">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El artículo 160 de la Ley General de Transparencia y Acceso a la Información establece:</w:t>
      </w:r>
    </w:p>
    <w:p w:rsidR="001420B1" w:rsidRPr="0051065C" w:rsidRDefault="001420B1" w:rsidP="001420B1">
      <w:pPr>
        <w:spacing w:after="0" w:line="276" w:lineRule="auto"/>
        <w:ind w:left="81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Artículo 160.</w:t>
      </w:r>
      <w:r w:rsidRPr="0051065C">
        <w:rPr>
          <w:rFonts w:ascii="Palatino Linotype" w:eastAsia="Times New Roman" w:hAnsi="Palatino Linotype" w:cs="Times New Roman"/>
          <w:i/>
          <w:sz w:val="24"/>
          <w:szCs w:val="24"/>
          <w:lang w:val="es-ES_tradnl" w:eastAsia="es-ES_tradnl"/>
        </w:rPr>
        <w:t xml:space="preserve"> El recurso de inconformidad procede contra las resoluciones emitidas por los Organismos garantes de las Entidades Federativas que</w:t>
      </w:r>
    </w:p>
    <w:p w:rsidR="001420B1" w:rsidRPr="0051065C" w:rsidRDefault="001420B1" w:rsidP="001420B1">
      <w:pPr>
        <w:spacing w:after="0" w:line="276" w:lineRule="auto"/>
        <w:ind w:left="810"/>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276" w:lineRule="auto"/>
        <w:ind w:left="81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 xml:space="preserve">I. Confirmen o modifiquen la clasificación de la información, o </w:t>
      </w:r>
    </w:p>
    <w:p w:rsidR="001420B1" w:rsidRPr="0051065C" w:rsidRDefault="001420B1" w:rsidP="001420B1">
      <w:pPr>
        <w:spacing w:after="0" w:line="276" w:lineRule="auto"/>
        <w:ind w:left="81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 xml:space="preserve">II. Confirmen la inexistencia o negativa de información. </w:t>
      </w:r>
    </w:p>
    <w:p w:rsidR="001420B1" w:rsidRPr="0051065C" w:rsidRDefault="001420B1" w:rsidP="001420B1">
      <w:pPr>
        <w:spacing w:after="0" w:line="276" w:lineRule="auto"/>
        <w:ind w:left="810"/>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276" w:lineRule="auto"/>
        <w:ind w:left="81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Se entenderá como negativa de acceso a la información la falta de resolución de los Organismos garantes de las Entidades Federativas dentro del plazo previsto para ello.</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artículo 160 del ordenamiento legal en cita.</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i/>
          <w:sz w:val="24"/>
          <w:szCs w:val="24"/>
          <w:lang w:val="es-ES_tradnl" w:eastAsia="es-ES_tradnl"/>
        </w:rPr>
      </w:pPr>
    </w:p>
    <w:p w:rsidR="001420B1" w:rsidRPr="0051065C" w:rsidRDefault="001420B1" w:rsidP="00975693">
      <w:pPr>
        <w:pStyle w:val="Ttulo2"/>
        <w:numPr>
          <w:ilvl w:val="0"/>
          <w:numId w:val="36"/>
        </w:numPr>
        <w:rPr>
          <w:rFonts w:ascii="Palatino Linotype" w:eastAsia="Times New Roman" w:hAnsi="Palatino Linotype" w:cs="Times New Roman"/>
          <w:b/>
          <w:color w:val="auto"/>
          <w:sz w:val="24"/>
          <w:szCs w:val="24"/>
          <w:lang w:val="es-ES_tradnl" w:eastAsia="es-ES_tradnl"/>
        </w:rPr>
      </w:pPr>
      <w:bookmarkStart w:id="17" w:name="_Toc65147986"/>
      <w:r w:rsidRPr="0051065C">
        <w:rPr>
          <w:rFonts w:ascii="Palatino Linotype" w:eastAsia="Times New Roman" w:hAnsi="Palatino Linotype" w:cs="Times New Roman"/>
          <w:b/>
          <w:color w:val="auto"/>
          <w:sz w:val="24"/>
          <w:szCs w:val="24"/>
          <w:lang w:val="es-ES_tradnl" w:eastAsia="es-ES_tradnl"/>
        </w:rPr>
        <w:t>Confirmen o modifiquen la clasificación de la información, o</w:t>
      </w:r>
      <w:bookmarkEnd w:id="17"/>
      <w:r w:rsidRPr="0051065C">
        <w:rPr>
          <w:rFonts w:ascii="Palatino Linotype" w:eastAsia="Times New Roman" w:hAnsi="Palatino Linotype" w:cs="Times New Roman"/>
          <w:b/>
          <w:color w:val="auto"/>
          <w:sz w:val="24"/>
          <w:szCs w:val="24"/>
          <w:lang w:val="es-ES_tradnl" w:eastAsia="es-ES_tradnl"/>
        </w:rPr>
        <w:t xml:space="preserve"> </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El artículo 179 fracción II de la Ley de Transparencia y Acceso a la Información del Estado de México y Municipios establece que el recurso de revisión procede en contra de la clasificación de la información, la cual consiste en </w:t>
      </w:r>
      <w:r w:rsidRPr="0051065C">
        <w:rPr>
          <w:rFonts w:ascii="Palatino Linotype" w:hAnsi="Palatino Linotype" w:cs="Times New Roman"/>
          <w:sz w:val="24"/>
          <w:szCs w:val="24"/>
          <w:lang w:val="es-ES_tradnl"/>
        </w:rPr>
        <w:t>la restricción temporal (por</w:t>
      </w:r>
      <w:r w:rsidRPr="0051065C">
        <w:rPr>
          <w:rFonts w:ascii="Palatino Linotype" w:eastAsia="Times New Roman" w:hAnsi="Palatino Linotype" w:cs="Times New Roman"/>
          <w:sz w:val="24"/>
          <w:szCs w:val="24"/>
          <w:lang w:val="es-ES_tradnl" w:eastAsia="es-ES_tradnl"/>
        </w:rPr>
        <w:t xml:space="preserve"> </w:t>
      </w:r>
      <w:r w:rsidRPr="0051065C">
        <w:rPr>
          <w:rFonts w:ascii="Palatino Linotype" w:hAnsi="Palatino Linotype" w:cs="Times New Roman"/>
          <w:sz w:val="24"/>
          <w:szCs w:val="24"/>
          <w:lang w:val="es-ES_tradnl"/>
        </w:rPr>
        <w:t xml:space="preserve">reserva), o permanente (por confidencialidad), del ejercicio del derecho de acceso a la información, </w:t>
      </w:r>
      <w:r w:rsidRPr="0051065C">
        <w:rPr>
          <w:rFonts w:ascii="Palatino Linotype" w:eastAsia="Times New Roman" w:hAnsi="Palatino Linotype" w:cs="Times New Roman"/>
          <w:sz w:val="24"/>
          <w:szCs w:val="24"/>
          <w:lang w:val="es-ES_tradnl" w:eastAsia="es-ES_tradnl"/>
        </w:rPr>
        <w:t xml:space="preserve">ya sea </w:t>
      </w:r>
      <w:r w:rsidRPr="0051065C">
        <w:rPr>
          <w:rFonts w:ascii="Palatino Linotype" w:hAnsi="Palatino Linotype" w:cs="Times New Roman"/>
          <w:sz w:val="24"/>
          <w:szCs w:val="24"/>
          <w:lang w:val="es-ES_tradnl"/>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51065C">
        <w:rPr>
          <w:rFonts w:ascii="Palatino Linotype" w:eastAsia="Times New Roman" w:hAnsi="Palatino Linotype" w:cs="Times New Roman"/>
          <w:sz w:val="24"/>
          <w:szCs w:val="24"/>
          <w:lang w:val="es-ES_tradnl" w:eastAsia="es-ES_tradnl"/>
        </w:rPr>
        <w:t xml:space="preserve"> </w:t>
      </w:r>
      <w:r w:rsidRPr="0051065C">
        <w:rPr>
          <w:rFonts w:ascii="Palatino Linotype" w:hAnsi="Palatino Linotype" w:cs="Times New Roman"/>
          <w:sz w:val="24"/>
          <w:szCs w:val="24"/>
          <w:lang w:val="es-ES_tradnl"/>
        </w:rPr>
        <w:t xml:space="preserve">ordenar la entrega de la información, o reponer el acuerdo de clasificación </w:t>
      </w:r>
      <w:r w:rsidRPr="0051065C">
        <w:rPr>
          <w:rFonts w:ascii="Palatino Linotype" w:hAnsi="Palatino Linotype" w:cs="Times New Roman"/>
          <w:sz w:val="24"/>
          <w:szCs w:val="24"/>
          <w:lang w:val="es-ES_tradnl"/>
        </w:rPr>
        <w:lastRenderedPageBreak/>
        <w:t>con una</w:t>
      </w:r>
      <w:r w:rsidRPr="0051065C">
        <w:rPr>
          <w:rFonts w:ascii="Palatino Linotype" w:eastAsia="Times New Roman" w:hAnsi="Palatino Linotype" w:cs="Times New Roman"/>
          <w:sz w:val="24"/>
          <w:szCs w:val="24"/>
          <w:lang w:val="es-ES_tradnl" w:eastAsia="es-ES_tradnl"/>
        </w:rPr>
        <w:t xml:space="preserve"> </w:t>
      </w:r>
      <w:r w:rsidRPr="0051065C">
        <w:rPr>
          <w:rFonts w:ascii="Palatino Linotype" w:hAnsi="Palatino Linotype" w:cs="Times New Roman"/>
          <w:sz w:val="24"/>
          <w:szCs w:val="24"/>
          <w:lang w:val="es-ES_tradnl"/>
        </w:rPr>
        <w:t>justificación adecuada; aunque también en este supuesto podríamos estar frente a</w:t>
      </w:r>
      <w:r w:rsidRPr="0051065C">
        <w:rPr>
          <w:rFonts w:ascii="Palatino Linotype" w:eastAsia="Times New Roman" w:hAnsi="Palatino Linotype" w:cs="Times New Roman"/>
          <w:sz w:val="24"/>
          <w:szCs w:val="24"/>
          <w:lang w:val="es-ES_tradnl" w:eastAsia="es-ES_tradnl"/>
        </w:rPr>
        <w:t xml:space="preserve"> </w:t>
      </w:r>
      <w:r w:rsidRPr="0051065C">
        <w:rPr>
          <w:rFonts w:ascii="Palatino Linotype" w:hAnsi="Palatino Linotype" w:cs="Times New Roman"/>
          <w:sz w:val="24"/>
          <w:szCs w:val="24"/>
          <w:lang w:val="es-ES_tradnl"/>
        </w:rPr>
        <w:t>un acto ilícito, que ocurre cuando se determina la clasificación sin seguir el procedimiento formal, sin que sea emitido por autoridad legalmente facultada para ello, en cuyo caso, deberá de desestimarse la decisión, aunque también determinar</w:t>
      </w:r>
      <w:r w:rsidRPr="0051065C">
        <w:rPr>
          <w:rFonts w:ascii="Palatino Linotype" w:eastAsia="Times New Roman" w:hAnsi="Palatino Linotype" w:cs="Times New Roman"/>
          <w:sz w:val="24"/>
          <w:szCs w:val="24"/>
          <w:lang w:val="es-ES_tradnl" w:eastAsia="es-ES_tradnl"/>
        </w:rPr>
        <w:t xml:space="preserve"> </w:t>
      </w:r>
      <w:r w:rsidRPr="0051065C">
        <w:rPr>
          <w:rFonts w:ascii="Palatino Linotype" w:hAnsi="Palatino Linotype" w:cs="Times New Roman"/>
          <w:sz w:val="24"/>
          <w:szCs w:val="24"/>
          <w:lang w:val="es-ES_tradnl"/>
        </w:rPr>
        <w:t>la responsabilidad correspondiente a los funcionarios involucrados.</w:t>
      </w:r>
    </w:p>
    <w:p w:rsidR="001420B1" w:rsidRPr="0051065C" w:rsidRDefault="001420B1" w:rsidP="001420B1">
      <w:pPr>
        <w:tabs>
          <w:tab w:val="left" w:pos="0"/>
        </w:tabs>
        <w:spacing w:after="0" w:line="360" w:lineRule="auto"/>
        <w:ind w:right="49"/>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En ese tenor, el legislador previó que en los casos en los cuales los órganos garantes confirmen o modifiquen la clasificación de la información, procede el recurso de inconformidad ante el Instituto Nacional de Transparencia, Acceso a la Información Pública y Protección de Datos Personales.</w:t>
      </w:r>
    </w:p>
    <w:p w:rsidR="001420B1" w:rsidRPr="0051065C" w:rsidRDefault="001420B1" w:rsidP="001420B1">
      <w:pPr>
        <w:tabs>
          <w:tab w:val="left" w:pos="0"/>
        </w:tabs>
        <w:spacing w:after="0" w:line="360" w:lineRule="auto"/>
        <w:ind w:right="49"/>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Ahora bien, el Diccionario de la Real Academia de la Lengua Española define “confirmar”, </w:t>
      </w:r>
      <w:r w:rsidRPr="0051065C">
        <w:rPr>
          <w:rFonts w:ascii="Palatino Linotype" w:eastAsia="Times New Roman" w:hAnsi="Palatino Linotype" w:cs="Times New Roman"/>
          <w:i/>
          <w:sz w:val="24"/>
          <w:szCs w:val="24"/>
          <w:lang w:val="es-ES_tradnl" w:eastAsia="es-ES_tradnl"/>
        </w:rPr>
        <w:t>“</w:t>
      </w:r>
      <w:r w:rsidRPr="0051065C">
        <w:rPr>
          <w:rFonts w:ascii="Palatino Linotype" w:eastAsia="Arial Unicode MS" w:hAnsi="Palatino Linotype" w:cs="Arial Unicode MS"/>
          <w:i/>
          <w:spacing w:val="4"/>
          <w:sz w:val="24"/>
          <w:szCs w:val="24"/>
          <w:lang w:val="es-ES_tradnl" w:eastAsia="es-ES_tradnl"/>
        </w:rPr>
        <w:t xml:space="preserve">Del lat. </w:t>
      </w:r>
      <w:proofErr w:type="spellStart"/>
      <w:r w:rsidRPr="0051065C">
        <w:rPr>
          <w:rFonts w:ascii="Palatino Linotype" w:eastAsia="Arial Unicode MS" w:hAnsi="Palatino Linotype" w:cs="Arial Unicode MS"/>
          <w:i/>
          <w:iCs/>
          <w:spacing w:val="4"/>
          <w:sz w:val="24"/>
          <w:szCs w:val="24"/>
          <w:lang w:val="es-ES_tradnl" w:eastAsia="es-ES_tradnl"/>
        </w:rPr>
        <w:t>confirmāre</w:t>
      </w:r>
      <w:proofErr w:type="spellEnd"/>
      <w:r w:rsidRPr="0051065C">
        <w:rPr>
          <w:rFonts w:ascii="Palatino Linotype" w:eastAsia="Arial Unicode MS" w:hAnsi="Palatino Linotype" w:cs="Arial Unicode MS"/>
          <w:i/>
          <w:iCs/>
          <w:spacing w:val="4"/>
          <w:sz w:val="24"/>
          <w:szCs w:val="24"/>
          <w:lang w:val="es-ES_tradnl" w:eastAsia="es-ES_tradnl"/>
        </w:rPr>
        <w:t>.</w:t>
      </w:r>
      <w:r w:rsidRPr="0051065C">
        <w:rPr>
          <w:rFonts w:ascii="Palatino Linotype" w:eastAsia="Times New Roman" w:hAnsi="Palatino Linotype" w:cs="Times New Roman"/>
          <w:i/>
          <w:sz w:val="24"/>
          <w:szCs w:val="24"/>
          <w:lang w:val="es-ES_tradnl" w:eastAsia="es-ES_tradnl"/>
        </w:rPr>
        <w:t xml:space="preserve"> </w:t>
      </w:r>
      <w:r w:rsidRPr="0051065C">
        <w:rPr>
          <w:rFonts w:ascii="Palatino Linotype" w:eastAsia="Arial Unicode MS" w:hAnsi="Palatino Linotype" w:cs="Arial Unicode MS"/>
          <w:b/>
          <w:bCs/>
          <w:i/>
          <w:spacing w:val="4"/>
          <w:sz w:val="24"/>
          <w:szCs w:val="24"/>
          <w:lang w:val="es-ES_tradnl" w:eastAsia="es-ES_tradnl"/>
        </w:rPr>
        <w:t xml:space="preserve">1. </w:t>
      </w:r>
      <w:proofErr w:type="spellStart"/>
      <w:r w:rsidRPr="0051065C">
        <w:rPr>
          <w:rFonts w:ascii="Palatino Linotype" w:eastAsia="Arial Unicode MS" w:hAnsi="Palatino Linotype" w:cs="Arial Unicode MS"/>
          <w:i/>
          <w:spacing w:val="4"/>
          <w:sz w:val="24"/>
          <w:szCs w:val="24"/>
          <w:lang w:val="es-ES_tradnl" w:eastAsia="es-ES_tradnl"/>
        </w:rPr>
        <w:t>tr</w:t>
      </w:r>
      <w:proofErr w:type="spellEnd"/>
      <w:r w:rsidRPr="0051065C">
        <w:rPr>
          <w:rFonts w:ascii="Palatino Linotype" w:eastAsia="Arial Unicode MS" w:hAnsi="Palatino Linotype" w:cs="Arial Unicode MS"/>
          <w:i/>
          <w:spacing w:val="4"/>
          <w:sz w:val="24"/>
          <w:szCs w:val="24"/>
          <w:lang w:val="es-ES_tradnl" w:eastAsia="es-ES_tradnl"/>
        </w:rPr>
        <w:t xml:space="preserve">. Corroborar la verdad, certeza o el grado de probabilidad de algo. </w:t>
      </w:r>
      <w:r w:rsidRPr="0051065C">
        <w:rPr>
          <w:rFonts w:ascii="Palatino Linotype" w:eastAsia="Arial Unicode MS" w:hAnsi="Palatino Linotype" w:cs="Arial Unicode MS"/>
          <w:b/>
          <w:bCs/>
          <w:i/>
          <w:spacing w:val="4"/>
          <w:sz w:val="24"/>
          <w:szCs w:val="24"/>
          <w:lang w:val="es-ES_tradnl" w:eastAsia="es-ES_tradnl"/>
        </w:rPr>
        <w:t xml:space="preserve">2. </w:t>
      </w:r>
      <w:proofErr w:type="spellStart"/>
      <w:r w:rsidRPr="0051065C">
        <w:rPr>
          <w:rFonts w:ascii="Palatino Linotype" w:eastAsia="Arial Unicode MS" w:hAnsi="Palatino Linotype" w:cs="Arial Unicode MS"/>
          <w:i/>
          <w:spacing w:val="4"/>
          <w:sz w:val="24"/>
          <w:szCs w:val="24"/>
          <w:lang w:val="es-ES_tradnl" w:eastAsia="es-ES_tradnl"/>
        </w:rPr>
        <w:t>tr</w:t>
      </w:r>
      <w:proofErr w:type="spellEnd"/>
      <w:r w:rsidRPr="0051065C">
        <w:rPr>
          <w:rFonts w:ascii="Palatino Linotype" w:eastAsia="Arial Unicode MS" w:hAnsi="Palatino Linotype" w:cs="Arial Unicode MS"/>
          <w:i/>
          <w:spacing w:val="4"/>
          <w:sz w:val="24"/>
          <w:szCs w:val="24"/>
          <w:lang w:val="es-ES_tradnl" w:eastAsia="es-ES_tradnl"/>
        </w:rPr>
        <w:t>. Revalidar lo ya aprobado.</w:t>
      </w:r>
      <w:r w:rsidRPr="0051065C">
        <w:rPr>
          <w:rFonts w:ascii="Palatino Linotype" w:eastAsia="Times New Roman" w:hAnsi="Palatino Linotype" w:cs="Times New Roman"/>
          <w:i/>
          <w:sz w:val="24"/>
          <w:szCs w:val="24"/>
          <w:lang w:val="es-ES_tradnl" w:eastAsia="es-ES_tradnl"/>
        </w:rPr>
        <w:t xml:space="preserve"> </w:t>
      </w:r>
      <w:r w:rsidRPr="0051065C">
        <w:rPr>
          <w:rFonts w:ascii="Palatino Linotype" w:eastAsia="Arial Unicode MS" w:hAnsi="Palatino Linotype" w:cs="Arial Unicode MS"/>
          <w:b/>
          <w:bCs/>
          <w:i/>
          <w:spacing w:val="4"/>
          <w:sz w:val="24"/>
          <w:szCs w:val="24"/>
          <w:lang w:val="es-ES_tradnl" w:eastAsia="es-ES_tradnl"/>
        </w:rPr>
        <w:t xml:space="preserve">3. </w:t>
      </w:r>
      <w:proofErr w:type="spellStart"/>
      <w:r w:rsidRPr="0051065C">
        <w:rPr>
          <w:rFonts w:ascii="Palatino Linotype" w:eastAsia="Arial Unicode MS" w:hAnsi="Palatino Linotype" w:cs="Arial Unicode MS"/>
          <w:i/>
          <w:spacing w:val="4"/>
          <w:sz w:val="24"/>
          <w:szCs w:val="24"/>
          <w:lang w:val="es-ES_tradnl" w:eastAsia="es-ES_tradnl"/>
        </w:rPr>
        <w:t>tr</w:t>
      </w:r>
      <w:proofErr w:type="spellEnd"/>
      <w:r w:rsidRPr="0051065C">
        <w:rPr>
          <w:rFonts w:ascii="Palatino Linotype" w:eastAsia="Arial Unicode MS" w:hAnsi="Palatino Linotype" w:cs="Arial Unicode MS"/>
          <w:i/>
          <w:spacing w:val="4"/>
          <w:sz w:val="24"/>
          <w:szCs w:val="24"/>
          <w:lang w:val="es-ES_tradnl" w:eastAsia="es-ES_tradnl"/>
        </w:rPr>
        <w:t>. Asegurar, dar a alguien o algo mayor firmeza o seguridad.”</w:t>
      </w:r>
      <w:r w:rsidRPr="0051065C">
        <w:rPr>
          <w:rFonts w:ascii="Palatino Linotype" w:eastAsia="Arial Unicode MS" w:hAnsi="Palatino Linotype" w:cs="Arial Unicode MS"/>
          <w:spacing w:val="4"/>
          <w:sz w:val="24"/>
          <w:szCs w:val="24"/>
          <w:lang w:val="es-ES_tradnl" w:eastAsia="es-ES_tradnl"/>
        </w:rPr>
        <w:t xml:space="preserve"> </w:t>
      </w:r>
      <w:r w:rsidRPr="0051065C">
        <w:rPr>
          <w:rFonts w:ascii="Palatino Linotype" w:eastAsia="Arial Unicode MS" w:hAnsi="Palatino Linotype" w:cs="Arial Unicode MS"/>
          <w:spacing w:val="4"/>
          <w:sz w:val="24"/>
          <w:szCs w:val="24"/>
          <w:vertAlign w:val="superscript"/>
          <w:lang w:val="es-ES_tradnl" w:eastAsia="es-ES_tradnl"/>
        </w:rPr>
        <w:footnoteReference w:id="3"/>
      </w:r>
      <w:r w:rsidRPr="0051065C">
        <w:rPr>
          <w:rFonts w:ascii="Palatino Linotype" w:eastAsia="Times New Roman" w:hAnsi="Palatino Linotype" w:cs="Times New Roman"/>
          <w:sz w:val="24"/>
          <w:szCs w:val="24"/>
          <w:lang w:val="es-ES_tradnl" w:eastAsia="es-ES_tradnl"/>
        </w:rPr>
        <w:t xml:space="preserve">Así mismo define “modificar”, </w:t>
      </w:r>
      <w:r w:rsidRPr="0051065C">
        <w:rPr>
          <w:rFonts w:ascii="Palatino Linotype" w:eastAsia="Times New Roman" w:hAnsi="Palatino Linotype" w:cs="Times New Roman"/>
          <w:i/>
          <w:sz w:val="24"/>
          <w:szCs w:val="24"/>
          <w:lang w:val="es-ES_tradnl" w:eastAsia="es-ES_tradnl"/>
        </w:rPr>
        <w:t>“</w:t>
      </w:r>
      <w:r w:rsidRPr="0051065C">
        <w:rPr>
          <w:rFonts w:ascii="Palatino Linotype" w:eastAsia="Arial Unicode MS" w:hAnsi="Palatino Linotype" w:cs="Arial Unicode MS"/>
          <w:i/>
          <w:spacing w:val="4"/>
          <w:sz w:val="24"/>
          <w:szCs w:val="24"/>
          <w:lang w:val="es-ES_tradnl" w:eastAsia="es-ES_tradnl"/>
        </w:rPr>
        <w:t xml:space="preserve">Del lat. </w:t>
      </w:r>
      <w:proofErr w:type="spellStart"/>
      <w:r w:rsidRPr="0051065C">
        <w:rPr>
          <w:rFonts w:ascii="Palatino Linotype" w:eastAsia="Arial Unicode MS" w:hAnsi="Palatino Linotype" w:cs="Arial Unicode MS"/>
          <w:i/>
          <w:iCs/>
          <w:spacing w:val="4"/>
          <w:sz w:val="24"/>
          <w:szCs w:val="24"/>
          <w:lang w:val="es-ES_tradnl" w:eastAsia="es-ES_tradnl"/>
        </w:rPr>
        <w:t>modificāre</w:t>
      </w:r>
      <w:proofErr w:type="spellEnd"/>
      <w:r w:rsidRPr="0051065C">
        <w:rPr>
          <w:rFonts w:ascii="Palatino Linotype" w:eastAsia="Arial Unicode MS" w:hAnsi="Palatino Linotype" w:cs="Arial Unicode MS"/>
          <w:i/>
          <w:spacing w:val="4"/>
          <w:sz w:val="24"/>
          <w:szCs w:val="24"/>
          <w:lang w:val="es-ES_tradnl" w:eastAsia="es-ES_tradnl"/>
        </w:rPr>
        <w:t xml:space="preserve"> 'regular', 'ordenar', 'moderar'. </w:t>
      </w:r>
      <w:r w:rsidRPr="0051065C">
        <w:rPr>
          <w:rFonts w:ascii="Palatino Linotype" w:eastAsia="Arial Unicode MS" w:hAnsi="Palatino Linotype" w:cs="Arial Unicode MS"/>
          <w:b/>
          <w:bCs/>
          <w:i/>
          <w:spacing w:val="4"/>
          <w:sz w:val="24"/>
          <w:szCs w:val="24"/>
          <w:lang w:val="es-ES_tradnl" w:eastAsia="es-ES_tradnl"/>
        </w:rPr>
        <w:t xml:space="preserve">1. </w:t>
      </w:r>
      <w:proofErr w:type="spellStart"/>
      <w:r w:rsidRPr="0051065C">
        <w:rPr>
          <w:rFonts w:ascii="Palatino Linotype" w:eastAsia="Arial Unicode MS" w:hAnsi="Palatino Linotype" w:cs="Arial Unicode MS"/>
          <w:i/>
          <w:spacing w:val="4"/>
          <w:sz w:val="24"/>
          <w:szCs w:val="24"/>
          <w:lang w:val="es-ES_tradnl" w:eastAsia="es-ES_tradnl"/>
        </w:rPr>
        <w:t>tr</w:t>
      </w:r>
      <w:proofErr w:type="spellEnd"/>
      <w:r w:rsidRPr="0051065C">
        <w:rPr>
          <w:rFonts w:ascii="Palatino Linotype" w:eastAsia="Arial Unicode MS" w:hAnsi="Palatino Linotype" w:cs="Arial Unicode MS"/>
          <w:i/>
          <w:spacing w:val="4"/>
          <w:sz w:val="24"/>
          <w:szCs w:val="24"/>
          <w:lang w:val="es-ES_tradnl" w:eastAsia="es-ES_tradnl"/>
        </w:rPr>
        <w:t xml:space="preserve">. Transformar o cambiar algo mudando alguna de sus características. U. t. c. </w:t>
      </w:r>
      <w:proofErr w:type="spellStart"/>
      <w:r w:rsidRPr="0051065C">
        <w:rPr>
          <w:rFonts w:ascii="Palatino Linotype" w:eastAsia="Arial Unicode MS" w:hAnsi="Palatino Linotype" w:cs="Arial Unicode MS"/>
          <w:i/>
          <w:spacing w:val="4"/>
          <w:sz w:val="24"/>
          <w:szCs w:val="24"/>
          <w:lang w:val="es-ES_tradnl" w:eastAsia="es-ES_tradnl"/>
        </w:rPr>
        <w:t>prnl</w:t>
      </w:r>
      <w:proofErr w:type="spellEnd"/>
      <w:r w:rsidRPr="0051065C">
        <w:rPr>
          <w:rFonts w:ascii="Palatino Linotype" w:eastAsia="Arial Unicode MS" w:hAnsi="Palatino Linotype" w:cs="Arial Unicode MS"/>
          <w:i/>
          <w:spacing w:val="4"/>
          <w:sz w:val="24"/>
          <w:szCs w:val="24"/>
          <w:lang w:val="es-ES_tradnl" w:eastAsia="es-ES_tradnl"/>
        </w:rPr>
        <w:t>...”</w:t>
      </w:r>
      <w:r w:rsidRPr="0051065C">
        <w:rPr>
          <w:rFonts w:ascii="Palatino Linotype" w:eastAsia="Arial Unicode MS" w:hAnsi="Palatino Linotype" w:cs="Arial Unicode MS"/>
          <w:spacing w:val="4"/>
          <w:sz w:val="24"/>
          <w:szCs w:val="24"/>
          <w:lang w:val="es-ES_tradnl" w:eastAsia="es-ES_tradnl"/>
        </w:rPr>
        <w:t xml:space="preserve"> </w:t>
      </w:r>
      <w:r w:rsidRPr="0051065C">
        <w:rPr>
          <w:rFonts w:ascii="Palatino Linotype" w:eastAsia="Arial Unicode MS" w:hAnsi="Palatino Linotype" w:cs="Arial Unicode MS"/>
          <w:spacing w:val="4"/>
          <w:sz w:val="24"/>
          <w:szCs w:val="24"/>
          <w:vertAlign w:val="superscript"/>
          <w:lang w:val="es-ES_tradnl" w:eastAsia="es-ES_tradnl"/>
        </w:rPr>
        <w:footnoteReference w:id="4"/>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advierte que la procedencia del recurso de inconformidad previsto en el artículo 160, inciso a) de la Ley General de Transparencia y </w:t>
      </w:r>
      <w:r w:rsidRPr="0051065C">
        <w:rPr>
          <w:rFonts w:ascii="Palatino Linotype" w:eastAsia="Times New Roman" w:hAnsi="Palatino Linotype" w:cs="Times New Roman"/>
          <w:sz w:val="24"/>
          <w:szCs w:val="24"/>
          <w:lang w:val="es-ES_tradnl" w:eastAsia="es-ES_tradnl"/>
        </w:rPr>
        <w:lastRenderedPageBreak/>
        <w:t>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975693">
      <w:pPr>
        <w:pStyle w:val="Ttulo2"/>
        <w:rPr>
          <w:rFonts w:ascii="Palatino Linotype" w:eastAsia="Times New Roman" w:hAnsi="Palatino Linotype" w:cs="Times New Roman"/>
          <w:b/>
          <w:color w:val="auto"/>
          <w:sz w:val="24"/>
          <w:szCs w:val="24"/>
          <w:lang w:val="es-ES_tradnl" w:eastAsia="es-ES_tradnl"/>
        </w:rPr>
      </w:pPr>
      <w:bookmarkStart w:id="18" w:name="_Toc65147987"/>
      <w:r w:rsidRPr="0051065C">
        <w:rPr>
          <w:rFonts w:ascii="Palatino Linotype" w:eastAsia="Times New Roman" w:hAnsi="Palatino Linotype" w:cs="Times New Roman"/>
          <w:b/>
          <w:color w:val="auto"/>
          <w:sz w:val="24"/>
          <w:szCs w:val="24"/>
          <w:lang w:val="es-ES_tradnl" w:eastAsia="es-ES_tradnl"/>
        </w:rPr>
        <w:t>b) Confirmen la inexistencia o negativa de información</w:t>
      </w:r>
      <w:bookmarkEnd w:id="18"/>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El artículo 179 fracción IV de la Ley de Transparencia y Acceso a la Información Pública del Estado de México y Municipios prevé que en contra de la declaración de inexistencia de la información, </w:t>
      </w:r>
      <w:r w:rsidRPr="0051065C">
        <w:rPr>
          <w:rFonts w:ascii="Palatino Linotype" w:hAnsi="Palatino Linotype" w:cs="Times New Roman"/>
          <w:sz w:val="24"/>
          <w:szCs w:val="24"/>
          <w:lang w:val="es-ES_tradnl"/>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documentó en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w:t>
      </w:r>
      <w:r w:rsidRPr="0051065C">
        <w:rPr>
          <w:rFonts w:ascii="Palatino Linotype" w:hAnsi="Palatino Linotype" w:cs="Times New Roman"/>
          <w:sz w:val="24"/>
          <w:szCs w:val="24"/>
          <w:lang w:val="es-ES_tradnl"/>
        </w:rPr>
        <w:lastRenderedPageBreak/>
        <w:t>se destruyó sin que se siguiera el procedimiento para la baja documental; y, g) que la facultad, competencia o función se ejerció, se documentó, pero la información se sustrajo del archivo público por el servidor público que la generó. o por cualquier otro.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advierte que la procedencia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párrafo anterior. </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Ahora bien, 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Pr="0051065C">
        <w:rPr>
          <w:rFonts w:ascii="Palatino Linotype" w:eastAsia="Times New Roman" w:hAnsi="Palatino Linotype" w:cs="Times New Roman"/>
          <w:b/>
          <w:sz w:val="24"/>
          <w:szCs w:val="24"/>
          <w:lang w:val="es-ES_tradnl" w:eastAsia="es-ES_tradnl"/>
        </w:rPr>
        <w:t>niega o limita el acceso a información solicitada.</w:t>
      </w:r>
      <w:r w:rsidRPr="0051065C">
        <w:rPr>
          <w:rFonts w:ascii="Palatino Linotype" w:eastAsia="Times New Roman" w:hAnsi="Palatino Linotype" w:cs="Times New Roman"/>
          <w:sz w:val="24"/>
          <w:szCs w:val="24"/>
          <w:lang w:val="es-ES_tradnl" w:eastAsia="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 si </w:t>
      </w:r>
      <w:proofErr w:type="gramStart"/>
      <w:r w:rsidRPr="0051065C">
        <w:rPr>
          <w:rFonts w:ascii="Palatino Linotype" w:eastAsia="Times New Roman" w:hAnsi="Palatino Linotype" w:cs="Times New Roman"/>
          <w:sz w:val="24"/>
          <w:szCs w:val="24"/>
          <w:lang w:val="es-ES_tradnl" w:eastAsia="es-ES_tradnl"/>
        </w:rPr>
        <w:t>alguna de estas razones son</w:t>
      </w:r>
      <w:proofErr w:type="gramEnd"/>
      <w:r w:rsidRPr="0051065C">
        <w:rPr>
          <w:rFonts w:ascii="Palatino Linotype" w:eastAsia="Times New Roman" w:hAnsi="Palatino Linotype" w:cs="Times New Roman"/>
          <w:sz w:val="24"/>
          <w:szCs w:val="24"/>
          <w:lang w:val="es-ES_tradnl" w:eastAsia="es-ES_tradnl"/>
        </w:rPr>
        <w:t xml:space="preserve"> consideradas como insuficientes por el solicitante podrá interponer el recurso de revisión ante el órgano garante.</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Arial Unicode MS" w:hAnsi="Palatino Linotype" w:cs="Times New Roman"/>
          <w:i/>
          <w:sz w:val="24"/>
          <w:szCs w:val="24"/>
          <w:lang w:val="es-ES_tradnl" w:eastAsia="es-ES_tradnl"/>
        </w:rPr>
      </w:pPr>
      <w:r w:rsidRPr="0051065C">
        <w:rPr>
          <w:rFonts w:ascii="Palatino Linotype" w:eastAsia="Times New Roman" w:hAnsi="Palatino Linotype" w:cs="Times New Roman"/>
          <w:sz w:val="24"/>
          <w:szCs w:val="24"/>
          <w:lang w:val="es-ES_tradnl" w:eastAsia="es-ES_tradnl"/>
        </w:rPr>
        <w:lastRenderedPageBreak/>
        <w:t xml:space="preserve">El Diccionario de la Lengua Española de la Real Academia Española, nos proporciona varias definiciones de “negar”: </w:t>
      </w:r>
      <w:r w:rsidRPr="0051065C">
        <w:rPr>
          <w:rFonts w:ascii="Palatino Linotype" w:eastAsia="Times New Roman" w:hAnsi="Palatino Linotype" w:cs="Times New Roman"/>
          <w:i/>
          <w:sz w:val="24"/>
          <w:szCs w:val="24"/>
          <w:lang w:val="es-ES_tradnl" w:eastAsia="es-ES_tradnl"/>
        </w:rPr>
        <w:t>“</w:t>
      </w:r>
      <w:r w:rsidRPr="0051065C">
        <w:rPr>
          <w:rFonts w:ascii="Palatino Linotype" w:eastAsia="Arial Unicode MS" w:hAnsi="Palatino Linotype" w:cs="Times New Roman"/>
          <w:i/>
          <w:sz w:val="24"/>
          <w:szCs w:val="24"/>
          <w:lang w:val="es-ES_tradnl" w:eastAsia="es-ES_tradnl"/>
        </w:rPr>
        <w:t xml:space="preserve">Del </w:t>
      </w:r>
      <w:proofErr w:type="spellStart"/>
      <w:proofErr w:type="gramStart"/>
      <w:r w:rsidRPr="0051065C">
        <w:rPr>
          <w:rFonts w:ascii="Palatino Linotype" w:eastAsia="Arial Unicode MS" w:hAnsi="Palatino Linotype" w:cs="Times New Roman"/>
          <w:i/>
          <w:sz w:val="24"/>
          <w:szCs w:val="24"/>
          <w:lang w:val="es-ES_tradnl" w:eastAsia="es-ES_tradnl"/>
        </w:rPr>
        <w:t>lat.negāre</w:t>
      </w:r>
      <w:proofErr w:type="spellEnd"/>
      <w:proofErr w:type="gramEnd"/>
      <w:r w:rsidRPr="0051065C">
        <w:rPr>
          <w:rFonts w:ascii="Palatino Linotype" w:eastAsia="Arial Unicode MS" w:hAnsi="Palatino Linotype" w:cs="Times New Roman"/>
          <w:i/>
          <w:sz w:val="24"/>
          <w:szCs w:val="24"/>
          <w:lang w:val="es-ES_tradnl" w:eastAsia="es-ES_tradnl"/>
        </w:rPr>
        <w:t xml:space="preserve">. 1. </w:t>
      </w:r>
      <w:proofErr w:type="spellStart"/>
      <w:r w:rsidRPr="0051065C">
        <w:rPr>
          <w:rFonts w:ascii="Palatino Linotype" w:eastAsia="Arial Unicode MS" w:hAnsi="Palatino Linotype" w:cs="Times New Roman"/>
          <w:i/>
          <w:sz w:val="24"/>
          <w:szCs w:val="24"/>
          <w:lang w:val="es-ES_tradnl" w:eastAsia="es-ES_tradnl"/>
        </w:rPr>
        <w:t>tr</w:t>
      </w:r>
      <w:proofErr w:type="spellEnd"/>
      <w:r w:rsidRPr="0051065C">
        <w:rPr>
          <w:rFonts w:ascii="Palatino Linotype" w:eastAsia="Arial Unicode MS" w:hAnsi="Palatino Linotype" w:cs="Times New Roman"/>
          <w:i/>
          <w:sz w:val="24"/>
          <w:szCs w:val="24"/>
          <w:lang w:val="es-ES_tradnl" w:eastAsia="es-ES_tradnl"/>
        </w:rPr>
        <w:t xml:space="preserve">. Decir que algo no existe, no es verdad o no es como alguien creo </w:t>
      </w:r>
      <w:proofErr w:type="gramStart"/>
      <w:r w:rsidRPr="0051065C">
        <w:rPr>
          <w:rFonts w:ascii="Palatino Linotype" w:eastAsia="Arial Unicode MS" w:hAnsi="Palatino Linotype" w:cs="Times New Roman"/>
          <w:i/>
          <w:sz w:val="24"/>
          <w:szCs w:val="24"/>
          <w:lang w:val="es-ES_tradnl" w:eastAsia="es-ES_tradnl"/>
        </w:rPr>
        <w:t>afirma;  2</w:t>
      </w:r>
      <w:proofErr w:type="gramEnd"/>
      <w:r w:rsidRPr="0051065C">
        <w:rPr>
          <w:rFonts w:ascii="Palatino Linotype" w:eastAsia="Arial Unicode MS" w:hAnsi="Palatino Linotype" w:cs="Times New Roman"/>
          <w:i/>
          <w:sz w:val="24"/>
          <w:szCs w:val="24"/>
          <w:lang w:val="es-ES_tradnl" w:eastAsia="es-ES_tradnl"/>
        </w:rPr>
        <w:t xml:space="preserve">. </w:t>
      </w:r>
      <w:proofErr w:type="spellStart"/>
      <w:r w:rsidRPr="0051065C">
        <w:rPr>
          <w:rFonts w:ascii="Palatino Linotype" w:eastAsia="Arial Unicode MS" w:hAnsi="Palatino Linotype" w:cs="Times New Roman"/>
          <w:i/>
          <w:sz w:val="24"/>
          <w:szCs w:val="24"/>
          <w:lang w:val="es-ES_tradnl" w:eastAsia="es-ES_tradnl"/>
        </w:rPr>
        <w:t>tr</w:t>
      </w:r>
      <w:proofErr w:type="spellEnd"/>
      <w:r w:rsidRPr="0051065C">
        <w:rPr>
          <w:rFonts w:ascii="Palatino Linotype" w:eastAsia="Arial Unicode MS" w:hAnsi="Palatino Linotype" w:cs="Times New Roman"/>
          <w:i/>
          <w:sz w:val="24"/>
          <w:szCs w:val="24"/>
          <w:lang w:val="es-ES_tradnl" w:eastAsia="es-ES_tradnl"/>
        </w:rPr>
        <w:t xml:space="preserve">. Dejar de reconocer algo, no admitir su existencia; 3. </w:t>
      </w:r>
      <w:proofErr w:type="spellStart"/>
      <w:r w:rsidRPr="0051065C">
        <w:rPr>
          <w:rFonts w:ascii="Palatino Linotype" w:eastAsia="Arial Unicode MS" w:hAnsi="Palatino Linotype" w:cs="Times New Roman"/>
          <w:i/>
          <w:sz w:val="24"/>
          <w:szCs w:val="24"/>
          <w:lang w:val="es-ES_tradnl" w:eastAsia="es-ES_tradnl"/>
        </w:rPr>
        <w:t>tr</w:t>
      </w:r>
      <w:proofErr w:type="spellEnd"/>
      <w:r w:rsidRPr="0051065C">
        <w:rPr>
          <w:rFonts w:ascii="Palatino Linotype" w:eastAsia="Arial Unicode MS" w:hAnsi="Palatino Linotype" w:cs="Times New Roman"/>
          <w:i/>
          <w:sz w:val="24"/>
          <w:szCs w:val="24"/>
          <w:lang w:val="es-ES_tradnl" w:eastAsia="es-ES_tradnl"/>
        </w:rPr>
        <w:t xml:space="preserve">. Decir que no a lo que se pretende o se pide, o no concederlo; 4. </w:t>
      </w:r>
      <w:proofErr w:type="spellStart"/>
      <w:r w:rsidRPr="0051065C">
        <w:rPr>
          <w:rFonts w:ascii="Palatino Linotype" w:eastAsia="Arial Unicode MS" w:hAnsi="Palatino Linotype" w:cs="Times New Roman"/>
          <w:i/>
          <w:sz w:val="24"/>
          <w:szCs w:val="24"/>
          <w:lang w:val="es-ES_tradnl" w:eastAsia="es-ES_tradnl"/>
        </w:rPr>
        <w:t>tr</w:t>
      </w:r>
      <w:proofErr w:type="spellEnd"/>
      <w:r w:rsidRPr="0051065C">
        <w:rPr>
          <w:rFonts w:ascii="Palatino Linotype" w:eastAsia="Arial Unicode MS" w:hAnsi="Palatino Linotype" w:cs="Times New Roman"/>
          <w:i/>
          <w:sz w:val="24"/>
          <w:szCs w:val="24"/>
          <w:lang w:val="es-ES_tradnl" w:eastAsia="es-ES_tradnl"/>
        </w:rPr>
        <w:t xml:space="preserve">. Prohibir o vedar, impedir o estorbar…” </w:t>
      </w:r>
      <w:r w:rsidRPr="0051065C">
        <w:rPr>
          <w:rFonts w:ascii="Palatino Linotype" w:eastAsia="Arial Unicode MS" w:hAnsi="Palatino Linotype" w:cs="Times New Roman"/>
          <w:i/>
          <w:sz w:val="24"/>
          <w:szCs w:val="24"/>
          <w:lang w:val="es-ES_tradnl" w:eastAsia="es-ES_tradnl"/>
        </w:rPr>
        <w:footnoteReference w:id="5"/>
      </w:r>
    </w:p>
    <w:p w:rsidR="001420B1" w:rsidRPr="0051065C" w:rsidRDefault="001420B1" w:rsidP="001420B1">
      <w:pPr>
        <w:spacing w:after="0" w:line="240" w:lineRule="auto"/>
        <w:ind w:left="720"/>
        <w:contextualSpacing/>
        <w:rPr>
          <w:rFonts w:ascii="Palatino Linotype" w:eastAsia="Arial Unicode MS" w:hAnsi="Palatino Linotype" w:cs="Times New Roman"/>
          <w:i/>
          <w:sz w:val="24"/>
          <w:szCs w:val="24"/>
          <w:lang w:val="es-ES_tradnl"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Arial Unicode MS" w:hAnsi="Palatino Linotype" w:cs="Times New Roman"/>
          <w:sz w:val="24"/>
          <w:szCs w:val="24"/>
          <w:lang w:val="es-ES_tradnl" w:eastAsia="es-ES_tradnl"/>
        </w:rPr>
      </w:pPr>
      <w:r w:rsidRPr="0051065C">
        <w:rPr>
          <w:rFonts w:ascii="Palatino Linotype" w:eastAsia="Arial Unicode MS" w:hAnsi="Palatino Linotype" w:cs="Times New Roman"/>
          <w:sz w:val="24"/>
          <w:szCs w:val="24"/>
          <w:lang w:val="es-ES_tradnl" w:eastAsia="es-ES_tradnl"/>
        </w:rPr>
        <w:t>De lo anterior podemos concluir que se configura la negativa de la información solicitada cuando el sujeto obligado manifiesta que no existe la información, que no admite la existencia de la información, decir en su respuesta que no a lo que se le pide o no conceder el acceso a la información, vedar o impedir el acceso a la información sin fundamentación y motivación.</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Pr="0051065C">
        <w:rPr>
          <w:rFonts w:ascii="Palatino Linotype" w:eastAsia="Times New Roman" w:hAnsi="Palatino Linotype" w:cs="Times New Roman"/>
          <w:i/>
          <w:sz w:val="24"/>
          <w:szCs w:val="24"/>
          <w:lang w:val="es-ES_tradnl" w:eastAsia="es-ES_tradnl"/>
        </w:rPr>
        <w:t>Se entenderá como negativa de acceso a la información la falta de resolución de los Organismos garantes de las Entidades Federativas dentro del plazo previsto para ello.”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advierte que el legislador estableció que se entenderá como “negativa de la información” para la procedencia del recurso de inconformidad </w:t>
      </w:r>
      <w:r w:rsidRPr="0051065C">
        <w:rPr>
          <w:rFonts w:ascii="Palatino Linotype" w:eastAsia="Times New Roman" w:hAnsi="Palatino Linotype" w:cs="Times New Roman"/>
          <w:sz w:val="24"/>
          <w:szCs w:val="24"/>
          <w:lang w:val="es-ES_tradnl" w:eastAsia="es-ES_tradnl"/>
        </w:rPr>
        <w:lastRenderedPageBreak/>
        <w:t xml:space="preserve">por lo tanto conforme al principio general de derecho que establece que </w:t>
      </w:r>
      <w:r w:rsidRPr="0051065C">
        <w:rPr>
          <w:rFonts w:ascii="Palatino Linotype" w:eastAsia="Times New Roman" w:hAnsi="Palatino Linotype" w:cs="Arial"/>
          <w:bCs/>
          <w:sz w:val="24"/>
          <w:szCs w:val="24"/>
          <w:shd w:val="clear" w:color="auto" w:fill="FFFFFF"/>
          <w:lang w:val="es-ES_tradnl" w:eastAsia="es-ES_tradnl"/>
        </w:rPr>
        <w:t xml:space="preserve">donde la ley no distingue, no hay porque distinguir, por tanto no debe interpretarse que la negativa de la información se refiere a los supuestos de procedencia </w:t>
      </w:r>
      <w:r w:rsidRPr="0051065C">
        <w:rPr>
          <w:rFonts w:ascii="Palatino Linotype" w:eastAsia="Times New Roman" w:hAnsi="Palatino Linotype" w:cs="Arial"/>
          <w:bCs/>
          <w:color w:val="202124"/>
          <w:sz w:val="24"/>
          <w:szCs w:val="24"/>
          <w:shd w:val="clear" w:color="auto" w:fill="FFFFFF"/>
          <w:lang w:val="es-ES_tradnl" w:eastAsia="es-ES_tradnl"/>
        </w:rPr>
        <w:t xml:space="preserve">del recurso de revisión, sino que de la interpretación literal y conforme al principio de legalidad, </w:t>
      </w:r>
      <w:r w:rsidRPr="0051065C">
        <w:rPr>
          <w:rFonts w:ascii="Palatino Linotype" w:eastAsia="Times New Roman" w:hAnsi="Palatino Linotype" w:cs="Times New Roman"/>
          <w:sz w:val="24"/>
          <w:szCs w:val="24"/>
          <w:lang w:val="es-ES_tradnl" w:eastAsia="es-ES_tradnl"/>
        </w:rPr>
        <w:t>la negativa de la información debe entenderse como la falta de resolución de los organismos garantes locales dentro del plazo previsto para ello.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 Para el caso que nos ocupa el artículo 181, tercer párrafo de la Ley de Transparencia y Acceso a la Información del Estado de México y Municipios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Luego entonces, procede el recurso de inconformidad cuando el órgano garante local 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p>
    <w:p w:rsidR="001420B1" w:rsidRPr="0051065C" w:rsidRDefault="001420B1" w:rsidP="001420B1">
      <w:pPr>
        <w:spacing w:after="0" w:line="36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lastRenderedPageBreak/>
        <w:t>En materia administrativa, cuando las peticiones o solicitudes hechas por los particulares no son respondidas o bien, los procedimientos administrativos no se resuelven dentro de los plazos legales establecidos para responder o emitir una resolución, se entiende que hay un silencio administrativo, ante el cual, para dar certidumbre a los particulares, puede configurarse una afirmativa </w:t>
      </w:r>
      <w:hyperlink r:id="rId10" w:tgtFrame="_blank" w:history="1">
        <w:r w:rsidRPr="0051065C">
          <w:rPr>
            <w:rFonts w:ascii="Palatino Linotype" w:eastAsiaTheme="majorEastAsia" w:hAnsi="Palatino Linotype" w:cs="Times New Roman"/>
            <w:sz w:val="24"/>
            <w:szCs w:val="24"/>
            <w:lang w:val="es-ES_tradnl" w:eastAsia="es-ES_tradnl"/>
          </w:rPr>
          <w:t>o una negativa ficta</w:t>
        </w:r>
      </w:hyperlink>
      <w:r w:rsidRPr="0051065C">
        <w:rPr>
          <w:rFonts w:ascii="Palatino Linotype" w:eastAsia="Times New Roman" w:hAnsi="Palatino Linotype" w:cs="Times New Roman"/>
          <w:sz w:val="24"/>
          <w:szCs w:val="24"/>
          <w:lang w:val="es-ES_tradnl" w:eastAsia="es-ES_tradnl"/>
        </w:rPr>
        <w:t>. Existe una afirmativa ficta cuando el silencio de la autoridad da pie a una respuesta afirmativa de la petición; es decir, que la autoridad la concede</w:t>
      </w:r>
      <w:r w:rsidRPr="0051065C">
        <w:rPr>
          <w:rFonts w:ascii="Palatino Linotype" w:eastAsia="Times New Roman" w:hAnsi="Palatino Linotype" w:cs="Arial"/>
          <w:color w:val="000000"/>
          <w:sz w:val="24"/>
          <w:szCs w:val="24"/>
          <w:lang w:val="es-ES_tradnl" w:eastAsia="es-ES_tradnl"/>
        </w:rPr>
        <w:t>; por el contrario, se dice que hay una negativa ficta cuando el silencio de la autoridad implica una respuesta negativa, dando pie a que quien hizo la petición se defienda en tribunales.</w:t>
      </w:r>
      <w:r w:rsidRPr="0051065C">
        <w:rPr>
          <w:rFonts w:ascii="Palatino Linotype" w:eastAsia="Times New Roman" w:hAnsi="Palatino Linotype" w:cs="Arial"/>
          <w:color w:val="000000"/>
          <w:sz w:val="24"/>
          <w:szCs w:val="24"/>
          <w:shd w:val="clear" w:color="auto" w:fill="FFFFFF"/>
          <w:lang w:val="es-ES_tradnl" w:eastAsia="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En el caso que nos ocupa, nos encontramos ante una afirmativa ficta, ya que  el silencio de la autoridad confirma el acto impugnado, ya que al </w:t>
      </w:r>
      <w:r w:rsidRPr="0051065C">
        <w:rPr>
          <w:rFonts w:ascii="Palatino Linotype" w:eastAsia="Times New Roman" w:hAnsi="Palatino Linotype" w:cs="Calibri"/>
          <w:color w:val="212529"/>
          <w:sz w:val="24"/>
          <w:szCs w:val="24"/>
          <w:shd w:val="clear" w:color="auto" w:fill="FFFFFF"/>
          <w:lang w:val="es-ES_tradnl" w:eastAsia="es-ES_tradnl"/>
        </w:rPr>
        <w:t>no emitirse una resolución expresa a un recurso de revisión por parte de los órganos garantes locales, en el plazo legal establecido, se entenderá que se confirmó la determinación administrativa impugnada, es decir  la negativa de información del sujeto obligado, por lo que el particular podrá decidir esperar la emisión de la resolución expresa o promover el recurso de inconformidad contra la confirmación ficta.</w:t>
      </w:r>
    </w:p>
    <w:p w:rsidR="001420B1" w:rsidRPr="0051065C" w:rsidRDefault="001420B1" w:rsidP="001420B1">
      <w:pPr>
        <w:spacing w:after="0" w:line="240" w:lineRule="auto"/>
        <w:ind w:left="720"/>
        <w:contextualSpacing/>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Calibri"/>
          <w:color w:val="212529"/>
          <w:sz w:val="24"/>
          <w:szCs w:val="24"/>
          <w:shd w:val="clear" w:color="auto" w:fill="FFFFFF"/>
          <w:lang w:val="es-ES_tradnl" w:eastAsia="es-ES_tradnl"/>
        </w:rPr>
        <w:t>Bajo estas consideraciones</w:t>
      </w:r>
      <w:r w:rsidRPr="0051065C">
        <w:rPr>
          <w:rFonts w:ascii="Palatino Linotype" w:eastAsia="Times New Roman" w:hAnsi="Palatino Linotype" w:cs="Times New Roman"/>
          <w:sz w:val="24"/>
          <w:szCs w:val="24"/>
          <w:lang w:val="es-ES_tradnl" w:eastAsia="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widowControl w:val="0"/>
        <w:numPr>
          <w:ilvl w:val="0"/>
          <w:numId w:val="16"/>
        </w:numPr>
        <w:tabs>
          <w:tab w:val="left" w:pos="1682"/>
        </w:tabs>
        <w:autoSpaceDE w:val="0"/>
        <w:autoSpaceDN w:val="0"/>
        <w:spacing w:after="0" w:line="276" w:lineRule="auto"/>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Cuando se clasifica la información como</w:t>
      </w:r>
      <w:r w:rsidRPr="0051065C">
        <w:rPr>
          <w:rFonts w:ascii="Palatino Linotype" w:eastAsia="Times New Roman" w:hAnsi="Palatino Linotype" w:cs="Times New Roman"/>
          <w:i/>
          <w:spacing w:val="-1"/>
          <w:lang w:val="es-ES_tradnl" w:eastAsia="es-ES_tradnl"/>
        </w:rPr>
        <w:t xml:space="preserve"> </w:t>
      </w:r>
      <w:r w:rsidRPr="0051065C">
        <w:rPr>
          <w:rFonts w:ascii="Palatino Linotype" w:eastAsia="Times New Roman" w:hAnsi="Palatino Linotype" w:cs="Times New Roman"/>
          <w:i/>
          <w:lang w:val="es-ES_tradnl" w:eastAsia="es-ES_tradnl"/>
        </w:rPr>
        <w:t>reservada;</w:t>
      </w:r>
    </w:p>
    <w:p w:rsidR="001420B1" w:rsidRPr="0051065C" w:rsidRDefault="001420B1" w:rsidP="001420B1">
      <w:pPr>
        <w:widowControl w:val="0"/>
        <w:numPr>
          <w:ilvl w:val="0"/>
          <w:numId w:val="16"/>
        </w:numPr>
        <w:tabs>
          <w:tab w:val="left" w:pos="1682"/>
        </w:tabs>
        <w:autoSpaceDE w:val="0"/>
        <w:autoSpaceDN w:val="0"/>
        <w:spacing w:after="0" w:line="276" w:lineRule="auto"/>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Cuando se clasifica la información como</w:t>
      </w:r>
      <w:r w:rsidRPr="0051065C">
        <w:rPr>
          <w:rFonts w:ascii="Palatino Linotype" w:eastAsia="Times New Roman" w:hAnsi="Palatino Linotype" w:cs="Times New Roman"/>
          <w:i/>
          <w:spacing w:val="-15"/>
          <w:lang w:val="es-ES_tradnl" w:eastAsia="es-ES_tradnl"/>
        </w:rPr>
        <w:t xml:space="preserve"> </w:t>
      </w:r>
      <w:r w:rsidRPr="0051065C">
        <w:rPr>
          <w:rFonts w:ascii="Palatino Linotype" w:eastAsia="Times New Roman" w:hAnsi="Palatino Linotype" w:cs="Times New Roman"/>
          <w:i/>
          <w:lang w:val="es-ES_tradnl" w:eastAsia="es-ES_tradnl"/>
        </w:rPr>
        <w:t>confidencial;</w:t>
      </w:r>
    </w:p>
    <w:p w:rsidR="001420B1" w:rsidRPr="0051065C" w:rsidRDefault="001420B1" w:rsidP="001420B1">
      <w:pPr>
        <w:widowControl w:val="0"/>
        <w:numPr>
          <w:ilvl w:val="0"/>
          <w:numId w:val="16"/>
        </w:numPr>
        <w:tabs>
          <w:tab w:val="left" w:pos="1672"/>
        </w:tabs>
        <w:autoSpaceDE w:val="0"/>
        <w:autoSpaceDN w:val="0"/>
        <w:spacing w:before="1" w:after="0" w:line="276" w:lineRule="auto"/>
        <w:ind w:left="1671" w:hanging="226"/>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Cuando se declara la inexistencia de la información;</w:t>
      </w:r>
      <w:r w:rsidRPr="0051065C">
        <w:rPr>
          <w:rFonts w:ascii="Palatino Linotype" w:eastAsia="Times New Roman" w:hAnsi="Palatino Linotype" w:cs="Times New Roman"/>
          <w:i/>
          <w:spacing w:val="-19"/>
          <w:lang w:val="es-ES_tradnl" w:eastAsia="es-ES_tradnl"/>
        </w:rPr>
        <w:t xml:space="preserve"> </w:t>
      </w:r>
      <w:r w:rsidRPr="0051065C">
        <w:rPr>
          <w:rFonts w:ascii="Palatino Linotype" w:eastAsia="Times New Roman" w:hAnsi="Palatino Linotype" w:cs="Times New Roman"/>
          <w:i/>
          <w:lang w:val="es-ES_tradnl" w:eastAsia="es-ES_tradnl"/>
        </w:rPr>
        <w:t>y</w:t>
      </w:r>
    </w:p>
    <w:p w:rsidR="001420B1" w:rsidRPr="0051065C" w:rsidRDefault="001420B1" w:rsidP="001420B1">
      <w:pPr>
        <w:widowControl w:val="0"/>
        <w:numPr>
          <w:ilvl w:val="0"/>
          <w:numId w:val="16"/>
        </w:numPr>
        <w:tabs>
          <w:tab w:val="left" w:pos="1687"/>
        </w:tabs>
        <w:autoSpaceDE w:val="0"/>
        <w:autoSpaceDN w:val="0"/>
        <w:spacing w:after="0" w:line="276" w:lineRule="auto"/>
        <w:ind w:left="1701" w:right="1445"/>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Cuando existe una negativa de la información, es decir, cuando no existe respuesta por parte de los sujetos obligados o de los organismos</w:t>
      </w:r>
      <w:r w:rsidRPr="0051065C">
        <w:rPr>
          <w:rFonts w:ascii="Palatino Linotype" w:eastAsia="Times New Roman" w:hAnsi="Palatino Linotype" w:cs="Times New Roman"/>
          <w:i/>
          <w:spacing w:val="-4"/>
          <w:lang w:val="es-ES_tradnl" w:eastAsia="es-ES_tradnl"/>
        </w:rPr>
        <w:t xml:space="preserve"> </w:t>
      </w:r>
      <w:r w:rsidRPr="0051065C">
        <w:rPr>
          <w:rFonts w:ascii="Palatino Linotype" w:eastAsia="Times New Roman" w:hAnsi="Palatino Linotype" w:cs="Times New Roman"/>
          <w:i/>
          <w:lang w:val="es-ES_tradnl" w:eastAsia="es-ES_tradnl"/>
        </w:rPr>
        <w:t>garantes.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Es por ello que se insisten que en el asunto que nos ocupa no estamos en presencia de alguna de las prácticas</w:t>
      </w:r>
      <w:r w:rsidRPr="0051065C">
        <w:rPr>
          <w:rFonts w:ascii="Palatino Linotype" w:eastAsia="Times New Roman" w:hAnsi="Palatino Linotype" w:cs="Times New Roman"/>
          <w:spacing w:val="-11"/>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antes</w:t>
      </w:r>
      <w:r w:rsidRPr="0051065C">
        <w:rPr>
          <w:rFonts w:ascii="Palatino Linotype" w:eastAsia="Times New Roman" w:hAnsi="Palatino Linotype" w:cs="Times New Roman"/>
          <w:spacing w:val="-15"/>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enlistadas,</w:t>
      </w:r>
      <w:r w:rsidRPr="0051065C">
        <w:rPr>
          <w:rFonts w:ascii="Palatino Linotype" w:eastAsia="Times New Roman" w:hAnsi="Palatino Linotype" w:cs="Times New Roman"/>
          <w:spacing w:val="-15"/>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ya</w:t>
      </w:r>
      <w:r w:rsidRPr="0051065C">
        <w:rPr>
          <w:rFonts w:ascii="Palatino Linotype" w:eastAsia="Times New Roman" w:hAnsi="Palatino Linotype" w:cs="Times New Roman"/>
          <w:spacing w:val="-12"/>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que</w:t>
      </w:r>
      <w:r w:rsidRPr="0051065C">
        <w:rPr>
          <w:rFonts w:ascii="Palatino Linotype" w:eastAsia="Times New Roman" w:hAnsi="Palatino Linotype" w:cs="Times New Roman"/>
          <w:spacing w:val="-13"/>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la</w:t>
      </w:r>
      <w:r w:rsidRPr="0051065C">
        <w:rPr>
          <w:rFonts w:ascii="Palatino Linotype" w:eastAsia="Times New Roman" w:hAnsi="Palatino Linotype" w:cs="Times New Roman"/>
          <w:spacing w:val="-17"/>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respuesta</w:t>
      </w:r>
      <w:r w:rsidRPr="0051065C">
        <w:rPr>
          <w:rFonts w:ascii="Palatino Linotype" w:eastAsia="Times New Roman" w:hAnsi="Palatino Linotype" w:cs="Times New Roman"/>
          <w:spacing w:val="-17"/>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del</w:t>
      </w:r>
      <w:r w:rsidRPr="0051065C">
        <w:rPr>
          <w:rFonts w:ascii="Palatino Linotype" w:eastAsia="Times New Roman" w:hAnsi="Palatino Linotype" w:cs="Times New Roman"/>
          <w:spacing w:val="-13"/>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Sujeto</w:t>
      </w:r>
      <w:r w:rsidRPr="0051065C">
        <w:rPr>
          <w:rFonts w:ascii="Palatino Linotype" w:eastAsia="Times New Roman" w:hAnsi="Palatino Linotype" w:cs="Times New Roman"/>
          <w:spacing w:val="-12"/>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Obligado,</w:t>
      </w:r>
      <w:r w:rsidRPr="0051065C">
        <w:rPr>
          <w:rFonts w:ascii="Palatino Linotype" w:eastAsia="Times New Roman" w:hAnsi="Palatino Linotype" w:cs="Times New Roman"/>
          <w:spacing w:val="-10"/>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en</w:t>
      </w:r>
      <w:r w:rsidRPr="0051065C">
        <w:rPr>
          <w:rFonts w:ascii="Palatino Linotype" w:eastAsia="Times New Roman" w:hAnsi="Palatino Linotype" w:cs="Times New Roman"/>
          <w:spacing w:val="-12"/>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ningún</w:t>
      </w:r>
      <w:r w:rsidRPr="0051065C">
        <w:rPr>
          <w:rFonts w:ascii="Palatino Linotype" w:eastAsia="Times New Roman" w:hAnsi="Palatino Linotype" w:cs="Times New Roman"/>
          <w:spacing w:val="-13"/>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momento clasificó</w:t>
      </w:r>
      <w:r w:rsidRPr="0051065C">
        <w:rPr>
          <w:rFonts w:ascii="Palatino Linotype" w:eastAsia="Times New Roman" w:hAnsi="Palatino Linotype" w:cs="Times New Roman"/>
          <w:spacing w:val="-7"/>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la</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información</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como</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reservada</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o</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confidencial,</w:t>
      </w:r>
      <w:r w:rsidRPr="0051065C">
        <w:rPr>
          <w:rFonts w:ascii="Palatino Linotype" w:eastAsia="Times New Roman" w:hAnsi="Palatino Linotype" w:cs="Times New Roman"/>
          <w:spacing w:val="-3"/>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tampoco</w:t>
      </w:r>
      <w:r w:rsidRPr="0051065C">
        <w:rPr>
          <w:rFonts w:ascii="Palatino Linotype" w:eastAsia="Times New Roman" w:hAnsi="Palatino Linotype" w:cs="Times New Roman"/>
          <w:spacing w:val="-7"/>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declaró</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su</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inexistencia y mucho menos fue omiso en la atención a la solicitud de acceso a la</w:t>
      </w:r>
      <w:r w:rsidRPr="0051065C">
        <w:rPr>
          <w:rFonts w:ascii="Palatino Linotype" w:eastAsia="Times New Roman" w:hAnsi="Palatino Linotype" w:cs="Times New Roman"/>
          <w:spacing w:val="-12"/>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causales de improcedencia  establecidas en el artículo 178 de la multicitada ley general. </w:t>
      </w:r>
      <w:r w:rsidRPr="0051065C">
        <w:rPr>
          <w:rFonts w:ascii="Palatino Linotype" w:eastAsia="Times New Roman" w:hAnsi="Palatino Linotype" w:cs="Times New Roman"/>
          <w:i/>
          <w:sz w:val="24"/>
          <w:szCs w:val="24"/>
          <w:lang w:val="es-ES_tradnl" w:eastAsia="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51065C">
        <w:rPr>
          <w:rFonts w:ascii="Palatino Linotype" w:eastAsia="Times New Roman" w:hAnsi="Palatino Linotype" w:cs="Times New Roman"/>
          <w:b/>
          <w:i/>
          <w:sz w:val="24"/>
          <w:szCs w:val="24"/>
          <w:lang w:val="es-ES_tradnl" w:eastAsia="es-ES_tradnl"/>
        </w:rPr>
        <w:t>c) El caso refiere a la confirmación o modificación de la clasificación de información, o bien, a la confirmación de la inexistencia o negativa de información (Ley General de Transparencia, artículo 160);</w:t>
      </w:r>
      <w:r w:rsidRPr="0051065C">
        <w:rPr>
          <w:rFonts w:ascii="Palatino Linotype" w:eastAsia="Times New Roman" w:hAnsi="Palatino Linotype" w:cs="Times New Roman"/>
          <w:i/>
          <w:sz w:val="24"/>
          <w:szCs w:val="24"/>
          <w:lang w:val="es-ES_tradnl" w:eastAsia="es-ES_tradnl"/>
        </w:rPr>
        <w:t xml:space="preserve"> d) La pretensión del recurrente es la originalmente planteada en el recurso de revisión, que no vaya más allá; e) El INAI sea competente para resolver; f) No exista alguna otra causal de improcedencia prevista en la Ley.”</w:t>
      </w:r>
      <w:r w:rsidRPr="0051065C">
        <w:rPr>
          <w:rFonts w:ascii="Palatino Linotype" w:eastAsia="Times New Roman" w:hAnsi="Palatino Linotype" w:cs="Times New Roman"/>
          <w:i/>
          <w:sz w:val="24"/>
          <w:szCs w:val="24"/>
          <w:vertAlign w:val="superscript"/>
          <w:lang w:val="es-ES_tradnl" w:eastAsia="es-ES_tradnl"/>
        </w:rPr>
        <w:footnoteReference w:id="6"/>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Ahora bien, el artículo 178 de la Ley General de Transparencia y Acceso a la Información Pública establece las hipótesis en las cuales procede el </w:t>
      </w:r>
      <w:proofErr w:type="spellStart"/>
      <w:r w:rsidRPr="0051065C">
        <w:rPr>
          <w:rFonts w:ascii="Palatino Linotype" w:eastAsia="Times New Roman" w:hAnsi="Palatino Linotype" w:cs="Times New Roman"/>
          <w:sz w:val="24"/>
          <w:szCs w:val="24"/>
          <w:lang w:val="es-ES_tradnl" w:eastAsia="es-ES_tradnl"/>
        </w:rPr>
        <w:lastRenderedPageBreak/>
        <w:t>desechamiento</w:t>
      </w:r>
      <w:proofErr w:type="spellEnd"/>
      <w:r w:rsidRPr="0051065C">
        <w:rPr>
          <w:rFonts w:ascii="Palatino Linotype" w:eastAsia="Times New Roman" w:hAnsi="Palatino Linotype" w:cs="Times New Roman"/>
          <w:sz w:val="24"/>
          <w:szCs w:val="24"/>
          <w:lang w:val="es-ES_tradnl" w:eastAsia="es-ES_tradnl"/>
        </w:rPr>
        <w:t xml:space="preserve"> por improcedencia del recurso de inconformidad, causales que tendrán como efecto ya sea el </w:t>
      </w:r>
      <w:proofErr w:type="spellStart"/>
      <w:r w:rsidRPr="0051065C">
        <w:rPr>
          <w:rFonts w:ascii="Palatino Linotype" w:eastAsia="Times New Roman" w:hAnsi="Palatino Linotype" w:cs="Times New Roman"/>
          <w:sz w:val="24"/>
          <w:szCs w:val="24"/>
          <w:lang w:val="es-ES_tradnl" w:eastAsia="es-ES_tradnl"/>
        </w:rPr>
        <w:t>desechamiento</w:t>
      </w:r>
      <w:proofErr w:type="spellEnd"/>
      <w:r w:rsidRPr="0051065C">
        <w:rPr>
          <w:rFonts w:ascii="Palatino Linotype" w:eastAsia="Times New Roman" w:hAnsi="Palatino Linotype" w:cs="Times New Roman"/>
          <w:sz w:val="24"/>
          <w:szCs w:val="24"/>
          <w:lang w:val="es-ES_tradnl" w:eastAsia="es-ES_tradnl"/>
        </w:rPr>
        <w:t xml:space="preserve"> o sobreseimiento del recurso de inconformidad, dependiendo del momento en que surgen; si surgen al momento de la presentación del recurso, el efecto es el </w:t>
      </w:r>
      <w:proofErr w:type="spellStart"/>
      <w:r w:rsidRPr="0051065C">
        <w:rPr>
          <w:rFonts w:ascii="Palatino Linotype" w:eastAsia="Times New Roman" w:hAnsi="Palatino Linotype" w:cs="Times New Roman"/>
          <w:sz w:val="24"/>
          <w:szCs w:val="24"/>
          <w:lang w:val="es-ES_tradnl" w:eastAsia="es-ES_tradnl"/>
        </w:rPr>
        <w:t>desechamiento</w:t>
      </w:r>
      <w:proofErr w:type="spellEnd"/>
      <w:r w:rsidRPr="0051065C">
        <w:rPr>
          <w:rFonts w:ascii="Palatino Linotype" w:eastAsia="Times New Roman" w:hAnsi="Palatino Linotype" w:cs="Times New Roman"/>
          <w:sz w:val="24"/>
          <w:szCs w:val="24"/>
          <w:lang w:val="es-ES_tradnl" w:eastAsia="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51065C">
        <w:rPr>
          <w:rFonts w:ascii="Palatino Linotype" w:eastAsia="Times New Roman" w:hAnsi="Palatino Linotype" w:cs="Times New Roman"/>
          <w:b/>
          <w:sz w:val="24"/>
          <w:szCs w:val="24"/>
          <w:lang w:val="es-ES_tradnl" w:eastAsia="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51065C">
        <w:rPr>
          <w:rFonts w:ascii="Palatino Linotype" w:eastAsia="Times New Roman" w:hAnsi="Palatino Linotype" w:cs="Times New Roman"/>
          <w:b/>
          <w:sz w:val="24"/>
          <w:szCs w:val="24"/>
          <w:vertAlign w:val="superscript"/>
          <w:lang w:val="es-ES_tradnl" w:eastAsia="es-ES_tradnl"/>
        </w:rPr>
        <w:footnoteReference w:id="7"/>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51065C">
        <w:rPr>
          <w:rFonts w:ascii="Palatino Linotype" w:eastAsia="Times New Roman" w:hAnsi="Palatino Linotype" w:cs="Times New Roman"/>
          <w:sz w:val="24"/>
          <w:szCs w:val="24"/>
          <w:vertAlign w:val="superscript"/>
          <w:lang w:val="es-ES_tradnl" w:eastAsia="es-ES_tradnl"/>
        </w:rPr>
        <w:footnoteReference w:id="8"/>
      </w:r>
      <w:r w:rsidRPr="0051065C">
        <w:rPr>
          <w:rFonts w:ascii="Palatino Linotype" w:eastAsia="Times New Roman" w:hAnsi="Palatino Linotype" w:cs="Times New Roman"/>
          <w:sz w:val="24"/>
          <w:szCs w:val="24"/>
          <w:lang w:val="es-ES_tradnl" w:eastAsia="es-ES_tradnl"/>
        </w:rPr>
        <w:t xml:space="preserve">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51065C">
        <w:rPr>
          <w:rFonts w:ascii="Palatino Linotype" w:eastAsia="Times New Roman" w:hAnsi="Palatino Linotype" w:cs="Times New Roman"/>
          <w:sz w:val="24"/>
          <w:szCs w:val="24"/>
          <w:vertAlign w:val="superscript"/>
          <w:lang w:val="es-ES_tradnl" w:eastAsia="es-ES_tradnl"/>
        </w:rPr>
        <w:footnoteReference w:id="9"/>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Sirve de sustento el criterio del Cuarto Tribunal Colegiado en Materia Administrativa del Primero Circuito, publicado en el Semanario Judicial de la Federación, Octava Época, Tomo VII, noviembre de 1991, página 185, que dice:  </w:t>
      </w:r>
    </w:p>
    <w:p w:rsidR="001420B1" w:rsidRPr="0051065C" w:rsidRDefault="001420B1" w:rsidP="001420B1">
      <w:pPr>
        <w:spacing w:after="0" w:line="276" w:lineRule="auto"/>
        <w:ind w:left="720"/>
        <w:jc w:val="both"/>
        <w:rPr>
          <w:rFonts w:ascii="Palatino Linotype" w:eastAsia="Times New Roman" w:hAnsi="Palatino Linotype" w:cs="Times New Roman"/>
          <w:b/>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 xml:space="preserve">CONTENCIOSO ADMINISTRATIVO, IMPROCEDENCIA DEL JUICIO, ANTE EL TRIBUNAL FISCAL. CONCEPTO JURIDICO. </w:t>
      </w:r>
      <w:r w:rsidRPr="0051065C">
        <w:rPr>
          <w:rFonts w:ascii="Palatino Linotype" w:eastAsia="Times New Roman" w:hAnsi="Palatino Linotype" w:cs="Times New Roman"/>
          <w:i/>
          <w:sz w:val="24"/>
          <w:szCs w:val="24"/>
          <w:lang w:val="es-ES_tradnl" w:eastAsia="es-ES_tradnl"/>
        </w:rPr>
        <w:t xml:space="preserve">Las causas de improcedencia que determina la ley de la materia, ven o se refieren a la procedencia del juicio mismo, esto es, </w:t>
      </w:r>
      <w:r w:rsidRPr="0051065C">
        <w:rPr>
          <w:rFonts w:ascii="Palatino Linotype" w:eastAsia="Times New Roman" w:hAnsi="Palatino Linotype" w:cs="Times New Roman"/>
          <w:b/>
          <w:i/>
          <w:sz w:val="24"/>
          <w:szCs w:val="24"/>
          <w:u w:val="single"/>
          <w:lang w:val="es-ES_tradnl" w:eastAsia="es-ES_tradnl"/>
        </w:rPr>
        <w:t>los motivos de improcedencia son en cuanto a que la acción en sí misma considerada no procede por las causas específicas consignadas en la ley;</w:t>
      </w:r>
      <w:r w:rsidRPr="0051065C">
        <w:rPr>
          <w:rFonts w:ascii="Palatino Linotype" w:eastAsia="Times New Roman" w:hAnsi="Palatino Linotype" w:cs="Times New Roman"/>
          <w:i/>
          <w:sz w:val="24"/>
          <w:szCs w:val="24"/>
          <w:lang w:val="es-ES_tradnl" w:eastAsia="es-ES_tradnl"/>
        </w:rPr>
        <w:t xml:space="preserve"> es verdad que las causas de improcedencia dan lugar al sobreseimiento, pero no necesariamente éste sobreviene por alguna de esas causas, pues por ejemplo, de acuerdo con la fracción I del artículo 203 del Código Fiscal de la </w:t>
      </w:r>
      <w:r w:rsidRPr="0051065C">
        <w:rPr>
          <w:rFonts w:ascii="Palatino Linotype" w:eastAsia="Times New Roman" w:hAnsi="Palatino Linotype" w:cs="Times New Roman"/>
          <w:i/>
          <w:sz w:val="24"/>
          <w:szCs w:val="24"/>
          <w:lang w:val="es-ES_tradnl" w:eastAsia="es-ES_tradnl"/>
        </w:rPr>
        <w:lastRenderedPageBreak/>
        <w:t xml:space="preserve">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51065C">
        <w:rPr>
          <w:rFonts w:ascii="Palatino Linotype" w:eastAsia="Times New Roman" w:hAnsi="Palatino Linotype" w:cs="Times New Roman"/>
          <w:b/>
          <w:i/>
          <w:sz w:val="24"/>
          <w:szCs w:val="24"/>
          <w:u w:val="single"/>
          <w:lang w:val="es-ES_tradnl" w:eastAsia="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51065C">
        <w:rPr>
          <w:rFonts w:ascii="Palatino Linotype" w:eastAsia="Times New Roman" w:hAnsi="Palatino Linotype" w:cs="Times New Roman"/>
          <w:i/>
          <w:sz w:val="24"/>
          <w:szCs w:val="24"/>
          <w:lang w:val="es-ES_tradnl" w:eastAsia="es-ES_tradnl"/>
        </w:rPr>
        <w:t>.</w:t>
      </w:r>
    </w:p>
    <w:p w:rsidR="001420B1" w:rsidRPr="0051065C" w:rsidRDefault="001420B1" w:rsidP="001420B1">
      <w:pPr>
        <w:spacing w:after="0" w:line="276" w:lineRule="auto"/>
        <w:ind w:left="720"/>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276" w:lineRule="auto"/>
        <w:ind w:left="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CUARTO TRIBUNAL COLEGIADO EN MATERIA ADMINISTRATIVA DEL PRIMER CIRCUITO.</w:t>
      </w:r>
    </w:p>
    <w:p w:rsidR="001420B1" w:rsidRPr="0051065C" w:rsidRDefault="001420B1" w:rsidP="001420B1">
      <w:pPr>
        <w:spacing w:after="0" w:line="276" w:lineRule="auto"/>
        <w:ind w:left="720"/>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276" w:lineRule="auto"/>
        <w:ind w:left="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En el mismo sentido, sirve de apoyo el criterio del Sexto Tribunal Colegiado en Materia Administrativa del Tercer Circuito, contenido en la Gaceta del Semanario Judicial de la Federación, Décima Época, Libro 78, septiembre de 2020 Tomo II, Tesis: III.6o.A.30 A (10a.), página: 982, que dispone lo siguiente:</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76" w:lineRule="auto"/>
        <w:ind w:left="720" w:hanging="720"/>
        <w:jc w:val="both"/>
        <w:rPr>
          <w:rFonts w:ascii="Palatino Linotype" w:eastAsia="Times New Roman" w:hAnsi="Palatino Linotype" w:cs="Times New Roman"/>
          <w:b/>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lastRenderedPageBreak/>
        <w:tab/>
        <w:t>SOBRESEIMIENTO EN EL JUICIO CONTENCIOSO ADMINISTRATIVO FEDERAL. SU NATURALEZA JURÍDICA.</w:t>
      </w:r>
      <w:r w:rsidRPr="0051065C">
        <w:rPr>
          <w:rFonts w:ascii="Palatino Linotype" w:eastAsia="Times New Roman" w:hAnsi="Palatino Linotype" w:cs="Times New Roman"/>
          <w:i/>
          <w:sz w:val="24"/>
          <w:szCs w:val="24"/>
          <w:lang w:val="es-ES_tradnl" w:eastAsia="es-ES_tradnl"/>
        </w:rPr>
        <w:t xml:space="preserve"> 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51065C">
        <w:rPr>
          <w:rFonts w:ascii="Palatino Linotype" w:eastAsia="Times New Roman" w:hAnsi="Palatino Linotype" w:cs="Times New Roman"/>
          <w:b/>
          <w:i/>
          <w:sz w:val="24"/>
          <w:szCs w:val="24"/>
          <w:u w:val="single"/>
          <w:lang w:val="es-ES_tradnl" w:eastAsia="es-ES_tradnl"/>
        </w:rPr>
        <w:t>La improcedencia se erige como la ausencia de soporte legal, cuyo efecto es impedir el estudio de la cuestión sustancial propuesta, al no estar satisfechas las condiciones que permiten llevar a cabo ese análisis</w:t>
      </w:r>
      <w:r w:rsidRPr="0051065C">
        <w:rPr>
          <w:rFonts w:ascii="Palatino Linotype" w:eastAsia="Times New Roman" w:hAnsi="Palatino Linotype" w:cs="Times New Roman"/>
          <w:i/>
          <w:sz w:val="24"/>
          <w:szCs w:val="24"/>
          <w:lang w:val="es-ES_tradnl" w:eastAsia="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51065C">
        <w:rPr>
          <w:rFonts w:ascii="Palatino Linotype" w:eastAsia="Times New Roman" w:hAnsi="Palatino Linotype" w:cs="Times New Roman"/>
          <w:i/>
          <w:sz w:val="24"/>
          <w:szCs w:val="24"/>
          <w:lang w:val="es-ES_tradnl" w:eastAsia="es-ES_tradnl"/>
        </w:rPr>
        <w:t>supercedere</w:t>
      </w:r>
      <w:proofErr w:type="spellEnd"/>
      <w:r w:rsidRPr="0051065C">
        <w:rPr>
          <w:rFonts w:ascii="Palatino Linotype" w:eastAsia="Times New Roman" w:hAnsi="Palatino Linotype" w:cs="Times New Roman"/>
          <w:i/>
          <w:sz w:val="24"/>
          <w:szCs w:val="24"/>
          <w:lang w:val="es-ES_tradnl" w:eastAsia="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51065C">
        <w:rPr>
          <w:rFonts w:ascii="Palatino Linotype" w:eastAsia="Times New Roman" w:hAnsi="Palatino Linotype" w:cs="Times New Roman"/>
          <w:b/>
          <w:i/>
          <w:sz w:val="24"/>
          <w:szCs w:val="24"/>
          <w:u w:val="single"/>
          <w:lang w:val="es-ES_tradnl" w:eastAsia="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51065C">
        <w:rPr>
          <w:rFonts w:ascii="Palatino Linotype" w:eastAsia="Times New Roman" w:hAnsi="Palatino Linotype" w:cs="Times New Roman"/>
          <w:b/>
          <w:i/>
          <w:sz w:val="24"/>
          <w:szCs w:val="24"/>
          <w:u w:val="single"/>
          <w:lang w:val="es-ES_tradnl" w:eastAsia="es-ES_tradnl"/>
        </w:rPr>
        <w:lastRenderedPageBreak/>
        <w:t>nulidad</w:t>
      </w:r>
      <w:r w:rsidRPr="0051065C">
        <w:rPr>
          <w:rFonts w:ascii="Palatino Linotype" w:eastAsia="Times New Roman" w:hAnsi="Palatino Linotype" w:cs="Times New Roman"/>
          <w:i/>
          <w:sz w:val="24"/>
          <w:szCs w:val="24"/>
          <w:lang w:val="es-ES_tradnl" w:eastAsia="es-ES_tradnl"/>
        </w:rPr>
        <w:t xml:space="preserve">; </w:t>
      </w:r>
      <w:r w:rsidRPr="0051065C">
        <w:rPr>
          <w:rFonts w:ascii="Palatino Linotype" w:eastAsia="Times New Roman" w:hAnsi="Palatino Linotype" w:cs="Times New Roman"/>
          <w:b/>
          <w:i/>
          <w:sz w:val="24"/>
          <w:szCs w:val="24"/>
          <w:u w:val="single"/>
          <w:lang w:val="es-ES_tradnl" w:eastAsia="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1420B1" w:rsidRPr="0051065C" w:rsidRDefault="001420B1" w:rsidP="001420B1">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ab/>
        <w:t>SEXTO TRIBUNAL COLEGIADO EN MATERIA ADMINISTRATIVA DEL TERCER CIRCUITO.</w:t>
      </w:r>
    </w:p>
    <w:p w:rsidR="001420B1" w:rsidRPr="0051065C" w:rsidRDefault="001420B1" w:rsidP="001420B1">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ab/>
        <w:t>Amparo directo 28/2020. Santiago Díaz Muñoz. 3 de junio de 2020. Unanimidad de votos. Ponente: Mario Alberto Domínguez Trejo. Secretario: Miguel Mora Pérez.</w:t>
      </w:r>
    </w:p>
    <w:p w:rsidR="001420B1" w:rsidRPr="0051065C" w:rsidRDefault="001420B1" w:rsidP="001420B1">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ab/>
        <w:t>Esta tesis se publicó el viernes 18 de septiembre de 2020 a las 10:27 horas en el Semanario Judicial de la Federación.</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w:t>
      </w:r>
      <w:r w:rsidRPr="0051065C">
        <w:rPr>
          <w:rFonts w:ascii="Palatino Linotype" w:eastAsia="Times New Roman" w:hAnsi="Palatino Linotype" w:cs="Times New Roman"/>
          <w:sz w:val="24"/>
          <w:szCs w:val="24"/>
          <w:lang w:val="es-ES_tradnl" w:eastAsia="es-ES_tradnl"/>
        </w:rPr>
        <w:lastRenderedPageBreak/>
        <w:t>equivale a la improcedencia del recurso de inconformidad, ya que la primera como derecho público adjetivo del gobernado, y otro, como proceso que se origina al ejercitarla, persiguen el mismo objeto.</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En efecto, la </w:t>
      </w:r>
      <w:r w:rsidRPr="0051065C">
        <w:rPr>
          <w:rFonts w:ascii="Palatino Linotype" w:eastAsia="Times New Roman" w:hAnsi="Palatino Linotype" w:cs="Times New Roman"/>
          <w:sz w:val="24"/>
          <w:szCs w:val="24"/>
          <w:lang w:val="es-ES_tradnl" w:eastAsia="es-ES_tradnl"/>
        </w:rPr>
        <w:t>improcedencia</w:t>
      </w:r>
      <w:r w:rsidRPr="0051065C">
        <w:rPr>
          <w:rFonts w:ascii="Palatino Linotype" w:eastAsia="Times New Roman" w:hAnsi="Palatino Linotype" w:cs="Times New Roman"/>
          <w:sz w:val="24"/>
          <w:szCs w:val="24"/>
          <w:shd w:val="clear" w:color="auto" w:fill="FFFFFF"/>
          <w:lang w:val="es-ES_tradnl" w:eastAsia="es-ES_tradnl"/>
        </w:rPr>
        <w:t xml:space="preserve">, conlleva la determinación unilateral de rechazar el medio de impugnación porque ante quien se presentó carece de atribuciones para conocer de las pretensiones del actor, en virtud de que el acto impugnado no encuadra dentro de las hipótesis legales para la procedencia del recurso de inconformidad que le compete conocer al Instituto Nacional de Transparencia, Acceso a la Información Pública y Protección de Datos Personales, por lo que ante esta clara </w:t>
      </w:r>
      <w:r w:rsidRPr="0051065C">
        <w:rPr>
          <w:rFonts w:ascii="Palatino Linotype" w:eastAsia="Times New Roman" w:hAnsi="Palatino Linotype" w:cs="Times New Roman"/>
          <w:sz w:val="24"/>
          <w:szCs w:val="24"/>
          <w:lang w:val="es-ES_tradnl" w:eastAsia="es-ES_tradnl"/>
        </w:rPr>
        <w:t>improcedencia</w:t>
      </w:r>
      <w:r w:rsidRPr="0051065C">
        <w:rPr>
          <w:rFonts w:ascii="Palatino Linotype" w:eastAsia="Times New Roman" w:hAnsi="Palatino Linotype" w:cs="Times New Roman"/>
          <w:sz w:val="24"/>
          <w:szCs w:val="24"/>
          <w:shd w:val="clear" w:color="auto" w:fill="FFFFFF"/>
          <w:lang w:val="es-ES_tradnl" w:eastAsia="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Bajo dichas consideraciones, la procedencia o improcedencia de los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975693">
      <w:pPr>
        <w:pStyle w:val="Ttulo2"/>
        <w:numPr>
          <w:ilvl w:val="0"/>
          <w:numId w:val="26"/>
        </w:numPr>
        <w:ind w:left="709"/>
        <w:rPr>
          <w:rFonts w:ascii="Palatino Linotype" w:eastAsia="Times New Roman" w:hAnsi="Palatino Linotype" w:cs="Times New Roman"/>
          <w:b/>
          <w:sz w:val="24"/>
          <w:szCs w:val="24"/>
          <w:lang w:val="es-ES_tradnl" w:eastAsia="es-ES_tradnl"/>
        </w:rPr>
      </w:pPr>
      <w:bookmarkStart w:id="19" w:name="_Toc65147988"/>
      <w:r w:rsidRPr="0051065C">
        <w:rPr>
          <w:rFonts w:ascii="Palatino Linotype" w:eastAsia="Times New Roman" w:hAnsi="Palatino Linotype" w:cs="Times New Roman"/>
          <w:b/>
          <w:color w:val="auto"/>
          <w:sz w:val="24"/>
          <w:szCs w:val="24"/>
          <w:lang w:val="es-ES_tradnl" w:eastAsia="es-ES_tradnl"/>
        </w:rPr>
        <w:t>Del Amparo en Revisión 654/18</w:t>
      </w:r>
      <w:bookmarkEnd w:id="19"/>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Ahora bien, en la resolución al recurso de inconformidad que se cumplimenta, el Órgano Garante refiere lo siguiente:</w:t>
      </w:r>
    </w:p>
    <w:p w:rsidR="001420B1" w:rsidRPr="0051065C" w:rsidRDefault="001420B1" w:rsidP="001420B1">
      <w:pPr>
        <w:spacing w:after="0" w:line="276" w:lineRule="auto"/>
        <w:ind w:left="502" w:right="202"/>
        <w:contextualSpacing/>
        <w:jc w:val="both"/>
        <w:rPr>
          <w:rFonts w:ascii="Times New Roman" w:eastAsia="Times New Roman" w:hAnsi="Times New Roman" w:cs="Times New Roman"/>
          <w:i/>
          <w:sz w:val="24"/>
          <w:szCs w:val="24"/>
          <w:lang w:val="es-US" w:eastAsia="es-ES_tradnl"/>
        </w:rPr>
      </w:pPr>
    </w:p>
    <w:p w:rsidR="001420B1" w:rsidRPr="0051065C" w:rsidRDefault="001420B1" w:rsidP="001420B1">
      <w:pPr>
        <w:spacing w:after="0" w:line="276" w:lineRule="auto"/>
        <w:ind w:left="540" w:right="202" w:hanging="38"/>
        <w:contextualSpacing/>
        <w:jc w:val="both"/>
        <w:rPr>
          <w:rFonts w:ascii="Palatino Linotype" w:eastAsia="Times New Roman" w:hAnsi="Palatino Linotype" w:cs="Times New Roman"/>
          <w:i/>
          <w:lang w:val="es-US" w:eastAsia="es-ES_tradnl"/>
        </w:rPr>
      </w:pPr>
      <w:r w:rsidRPr="0051065C">
        <w:rPr>
          <w:rFonts w:ascii="Palatino Linotype" w:eastAsia="Times New Roman" w:hAnsi="Palatino Linotype" w:cs="Times New Roman"/>
          <w:i/>
          <w:lang w:val="es-US" w:eastAsia="es-ES_tradnl"/>
        </w:rPr>
        <w:t>“</w:t>
      </w:r>
      <w:r w:rsidRPr="0051065C">
        <w:rPr>
          <w:rFonts w:ascii="Palatino Linotype" w:eastAsia="Times New Roman" w:hAnsi="Palatino Linotype" w:cs="Times New Roman"/>
          <w:b/>
          <w:i/>
          <w:u w:val="single"/>
          <w:lang w:val="es-US" w:eastAsia="es-ES_tradnl"/>
        </w:rPr>
        <w:t>Aunado a lo anterior, la Segunda Sala de la Suprema Corte de Justicia de la Nación, al resolver el Amparo en Revisión 654/18</w:t>
      </w:r>
      <w:r w:rsidRPr="0051065C">
        <w:rPr>
          <w:rFonts w:ascii="Palatino Linotype" w:eastAsia="Times New Roman" w:hAnsi="Palatino Linotype" w:cs="Times New Roman"/>
          <w:i/>
          <w:lang w:val="es-US" w:eastAsia="es-ES_tradnl"/>
        </w:rPr>
        <w:t>, precisó que la procedencia del recurso de inconformidad en el supuesto de “negativa de información”, comprende a todas aquellas resoluciones que expresamente niegan la solicitud como aquellas que implícitamente constituyen un rechazo, por lo que ambas encuadran en la referida hipótesis jurídica de procedibilidad del recurso de inconformidad, ya que los efectos ulteriores de ambas son equiparables.</w:t>
      </w:r>
    </w:p>
    <w:p w:rsidR="001420B1" w:rsidRPr="0051065C" w:rsidRDefault="001420B1" w:rsidP="001420B1">
      <w:pPr>
        <w:spacing w:after="0" w:line="276" w:lineRule="auto"/>
        <w:ind w:left="540" w:right="202" w:hanging="38"/>
        <w:contextualSpacing/>
        <w:jc w:val="both"/>
        <w:rPr>
          <w:rFonts w:ascii="Palatino Linotype" w:eastAsia="Times New Roman" w:hAnsi="Palatino Linotype" w:cs="Times New Roman"/>
          <w:i/>
          <w:lang w:val="es-US" w:eastAsia="es-ES_tradnl"/>
        </w:rPr>
      </w:pPr>
    </w:p>
    <w:p w:rsidR="001420B1" w:rsidRPr="0051065C" w:rsidRDefault="001420B1" w:rsidP="001420B1">
      <w:pPr>
        <w:spacing w:after="0" w:line="276" w:lineRule="auto"/>
        <w:ind w:left="540" w:right="202" w:hanging="38"/>
        <w:contextualSpacing/>
        <w:jc w:val="both"/>
        <w:rPr>
          <w:rFonts w:ascii="Palatino Linotype" w:eastAsia="Times New Roman" w:hAnsi="Palatino Linotype" w:cs="Times New Roman"/>
          <w:i/>
          <w:lang w:val="es-US" w:eastAsia="es-ES_tradnl"/>
        </w:rPr>
      </w:pPr>
      <w:r w:rsidRPr="0051065C">
        <w:rPr>
          <w:rFonts w:ascii="Palatino Linotype" w:eastAsia="Times New Roman" w:hAnsi="Palatino Linotype" w:cs="Times New Roman"/>
          <w:i/>
          <w:lang w:val="es-US" w:eastAsia="es-ES_tradnl"/>
        </w:rPr>
        <w:t>Por</w:t>
      </w:r>
      <w:r w:rsidRPr="0051065C">
        <w:rPr>
          <w:rFonts w:ascii="Palatino Linotype" w:eastAsia="Times New Roman" w:hAnsi="Palatino Linotype" w:cs="Times New Roman"/>
          <w:i/>
          <w:spacing w:val="-17"/>
          <w:lang w:val="es-US" w:eastAsia="es-ES_tradnl"/>
        </w:rPr>
        <w:t xml:space="preserve"> </w:t>
      </w:r>
      <w:r w:rsidRPr="0051065C">
        <w:rPr>
          <w:rFonts w:ascii="Palatino Linotype" w:eastAsia="Times New Roman" w:hAnsi="Palatino Linotype" w:cs="Times New Roman"/>
          <w:i/>
          <w:lang w:val="es-US" w:eastAsia="es-ES_tradnl"/>
        </w:rPr>
        <w:t>lo</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que</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dicha</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instancia</w:t>
      </w:r>
      <w:r w:rsidRPr="0051065C">
        <w:rPr>
          <w:rFonts w:ascii="Palatino Linotype" w:eastAsia="Times New Roman" w:hAnsi="Palatino Linotype" w:cs="Times New Roman"/>
          <w:i/>
          <w:spacing w:val="-15"/>
          <w:lang w:val="es-US" w:eastAsia="es-ES_tradnl"/>
        </w:rPr>
        <w:t xml:space="preserve"> </w:t>
      </w:r>
      <w:r w:rsidRPr="0051065C">
        <w:rPr>
          <w:rFonts w:ascii="Palatino Linotype" w:eastAsia="Times New Roman" w:hAnsi="Palatino Linotype" w:cs="Times New Roman"/>
          <w:i/>
          <w:lang w:val="es-US" w:eastAsia="es-ES_tradnl"/>
        </w:rPr>
        <w:t>estimo</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que</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las</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resoluciones</w:t>
      </w:r>
      <w:r w:rsidRPr="0051065C">
        <w:rPr>
          <w:rFonts w:ascii="Palatino Linotype" w:eastAsia="Times New Roman" w:hAnsi="Palatino Linotype" w:cs="Times New Roman"/>
          <w:i/>
          <w:spacing w:val="-18"/>
          <w:lang w:val="es-US" w:eastAsia="es-ES_tradnl"/>
        </w:rPr>
        <w:t xml:space="preserve"> </w:t>
      </w:r>
      <w:r w:rsidRPr="0051065C">
        <w:rPr>
          <w:rFonts w:ascii="Palatino Linotype" w:eastAsia="Times New Roman" w:hAnsi="Palatino Linotype" w:cs="Times New Roman"/>
          <w:i/>
          <w:lang w:val="es-US" w:eastAsia="es-ES_tradnl"/>
        </w:rPr>
        <w:t>que</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impliquen</w:t>
      </w:r>
      <w:r w:rsidRPr="0051065C">
        <w:rPr>
          <w:rFonts w:ascii="Palatino Linotype" w:eastAsia="Times New Roman" w:hAnsi="Palatino Linotype" w:cs="Times New Roman"/>
          <w:i/>
          <w:spacing w:val="-18"/>
          <w:lang w:val="es-US" w:eastAsia="es-ES_tradnl"/>
        </w:rPr>
        <w:t xml:space="preserve"> </w:t>
      </w:r>
      <w:r w:rsidRPr="0051065C">
        <w:rPr>
          <w:rFonts w:ascii="Palatino Linotype" w:eastAsia="Times New Roman" w:hAnsi="Palatino Linotype" w:cs="Times New Roman"/>
          <w:i/>
          <w:lang w:val="es-US" w:eastAsia="es-ES_tradnl"/>
        </w:rPr>
        <w:t>un</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rechazo</w:t>
      </w:r>
      <w:r w:rsidRPr="0051065C">
        <w:rPr>
          <w:rFonts w:ascii="Palatino Linotype" w:eastAsia="Times New Roman" w:hAnsi="Palatino Linotype" w:cs="Times New Roman"/>
          <w:i/>
          <w:spacing w:val="-15"/>
          <w:lang w:val="es-US" w:eastAsia="es-ES_tradnl"/>
        </w:rPr>
        <w:t xml:space="preserve"> </w:t>
      </w:r>
      <w:r w:rsidRPr="0051065C">
        <w:rPr>
          <w:rFonts w:ascii="Palatino Linotype" w:eastAsia="Times New Roman" w:hAnsi="Palatino Linotype" w:cs="Times New Roman"/>
          <w:i/>
          <w:lang w:val="es-US" w:eastAsia="es-ES_tradnl"/>
        </w:rPr>
        <w:t>o</w:t>
      </w:r>
      <w:r w:rsidRPr="0051065C">
        <w:rPr>
          <w:rFonts w:ascii="Palatino Linotype" w:eastAsia="Times New Roman" w:hAnsi="Palatino Linotype" w:cs="Times New Roman"/>
          <w:i/>
          <w:spacing w:val="-16"/>
          <w:lang w:val="es-US" w:eastAsia="es-ES_tradnl"/>
        </w:rPr>
        <w:t xml:space="preserve"> </w:t>
      </w:r>
      <w:r w:rsidRPr="0051065C">
        <w:rPr>
          <w:rFonts w:ascii="Palatino Linotype" w:eastAsia="Times New Roman" w:hAnsi="Palatino Linotype" w:cs="Times New Roman"/>
          <w:i/>
          <w:lang w:val="es-US" w:eastAsia="es-ES_tradnl"/>
        </w:rPr>
        <w:t>invoquen un impedimento para acceder a la solicitud formulada son susceptibles de combatirse a través del recurso de inconformidad, previsto por la ley general de la materia, con independencia de que la negativa no haya sido expresamente manifestada al contestar la solicitud de acceso a la información o al resolver el recurso de revisión correspondiente, pues solo así será posible salvaguardar el principio de máxima publicidad que mandata la Constitución</w:t>
      </w:r>
      <w:r w:rsidRPr="0051065C">
        <w:rPr>
          <w:rFonts w:ascii="Palatino Linotype" w:eastAsia="Times New Roman" w:hAnsi="Palatino Linotype" w:cs="Times New Roman"/>
          <w:i/>
          <w:spacing w:val="-1"/>
          <w:lang w:val="es-US" w:eastAsia="es-ES_tradnl"/>
        </w:rPr>
        <w:t xml:space="preserve"> </w:t>
      </w:r>
      <w:r w:rsidRPr="0051065C">
        <w:rPr>
          <w:rFonts w:ascii="Palatino Linotype" w:eastAsia="Times New Roman" w:hAnsi="Palatino Linotype" w:cs="Times New Roman"/>
          <w:i/>
          <w:lang w:val="es-US" w:eastAsia="es-ES_tradnl"/>
        </w:rPr>
        <w:t>Federal.”</w:t>
      </w:r>
    </w:p>
    <w:p w:rsidR="00DF394A" w:rsidRPr="0051065C" w:rsidRDefault="00DF394A" w:rsidP="001420B1">
      <w:pPr>
        <w:spacing w:after="0" w:line="276" w:lineRule="auto"/>
        <w:ind w:left="540" w:right="202" w:hanging="38"/>
        <w:contextualSpacing/>
        <w:jc w:val="both"/>
        <w:rPr>
          <w:rFonts w:ascii="Palatino Linotype" w:eastAsia="Times New Roman" w:hAnsi="Palatino Linotype" w:cs="Times New Roman"/>
          <w:i/>
          <w:lang w:val="es-US"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hAnsi="Palatino Linotype"/>
          <w:lang w:val="es-ES_tradnl"/>
        </w:rPr>
        <w:t xml:space="preserve">De lo anteriormente citado, se advierte que el Órgano Garante Nacional, en aras de justificar la procedencia del recurso de inconformidad hace referencia a lo resuelto por </w:t>
      </w:r>
      <w:r w:rsidRPr="0051065C">
        <w:rPr>
          <w:rFonts w:ascii="Palatino Linotype" w:hAnsi="Palatino Linotype"/>
        </w:rPr>
        <w:t>la Segunda Sala de la Suprema Corte de Justicia de la Nación, en el Amparo en Revisión 654/18</w:t>
      </w:r>
      <w:r w:rsidRPr="0051065C">
        <w:rPr>
          <w:rFonts w:ascii="Palatino Linotype" w:hAnsi="Palatino Linotype"/>
          <w:i/>
        </w:rPr>
        <w:t xml:space="preserve"> </w:t>
      </w:r>
      <w:r w:rsidRPr="0051065C">
        <w:rPr>
          <w:rFonts w:ascii="Palatino Linotype" w:hAnsi="Palatino Linotype"/>
          <w:spacing w:val="-12"/>
          <w:lang w:val="es-ES_tradnl"/>
        </w:rPr>
        <w:t xml:space="preserve">mediante el cual </w:t>
      </w:r>
      <w:r w:rsidRPr="0051065C">
        <w:rPr>
          <w:rFonts w:ascii="Palatino Linotype" w:hAnsi="Palatino Linotype"/>
          <w:lang w:val="es-ES_tradnl"/>
        </w:rPr>
        <w:t xml:space="preserve">se </w:t>
      </w:r>
      <w:r w:rsidRPr="0051065C">
        <w:rPr>
          <w:rFonts w:ascii="Palatino Linotype" w:hAnsi="Palatino Linotype"/>
        </w:rPr>
        <w:t xml:space="preserve">precisó que la procedencia del recurso de inconformidad en el supuesto de “negativa de información”, comprende a todas aquellas resoluciones que expresamente niegan la solicitud como aquellas que implícitamente constituyen un rechazo, por lo que ambas encuadran en la referida </w:t>
      </w:r>
      <w:r w:rsidRPr="0051065C">
        <w:rPr>
          <w:rFonts w:ascii="Palatino Linotype" w:hAnsi="Palatino Linotype"/>
        </w:rPr>
        <w:lastRenderedPageBreak/>
        <w:t>hipótesis jurídica de procedibilidad del recurso de inconformidad, ya que los efectos ulteriores de ambas son equiparables.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975693">
      <w:pPr>
        <w:pStyle w:val="Ttulo2"/>
        <w:numPr>
          <w:ilvl w:val="0"/>
          <w:numId w:val="37"/>
        </w:numPr>
        <w:rPr>
          <w:rFonts w:ascii="Palatino Linotype" w:eastAsia="Times New Roman" w:hAnsi="Palatino Linotype" w:cs="Times New Roman"/>
          <w:b/>
          <w:sz w:val="24"/>
          <w:szCs w:val="24"/>
          <w:lang w:val="es-ES_tradnl" w:eastAsia="es-ES_tradnl"/>
        </w:rPr>
      </w:pPr>
      <w:bookmarkStart w:id="20" w:name="_Toc65147989"/>
      <w:r w:rsidRPr="0051065C">
        <w:rPr>
          <w:rFonts w:ascii="Palatino Linotype" w:eastAsia="Times New Roman" w:hAnsi="Palatino Linotype" w:cs="Times New Roman"/>
          <w:b/>
          <w:color w:val="auto"/>
          <w:sz w:val="24"/>
          <w:szCs w:val="24"/>
          <w:lang w:val="es-ES_tradnl" w:eastAsia="es-ES_tradnl"/>
        </w:rPr>
        <w:t>Efectos relativos de las sentencias de amparo</w:t>
      </w:r>
      <w:bookmarkEnd w:id="20"/>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1420B1" w:rsidRPr="0051065C" w:rsidRDefault="001420B1" w:rsidP="001420B1">
      <w:pPr>
        <w:shd w:val="clear" w:color="auto" w:fill="FFFFFF"/>
        <w:tabs>
          <w:tab w:val="left" w:pos="0"/>
        </w:tabs>
        <w:spacing w:before="240" w:after="150" w:line="360" w:lineRule="auto"/>
        <w:ind w:left="502"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Al respecto, la Segunda Sala de la Suprema Corte de Justicia de la Nación emitió el siguiente criterio: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76" w:lineRule="auto"/>
        <w:ind w:left="810"/>
        <w:jc w:val="both"/>
        <w:rPr>
          <w:rFonts w:ascii="Palatino Linotype" w:eastAsia="Times New Roman" w:hAnsi="Palatino Linotype" w:cs="Times New Roman"/>
          <w:b/>
          <w:i/>
          <w:lang w:val="es-ES_tradnl" w:eastAsia="es-ES_tradnl"/>
        </w:rPr>
      </w:pPr>
      <w:r w:rsidRPr="0051065C">
        <w:rPr>
          <w:rFonts w:ascii="Palatino Linotype" w:eastAsia="Times New Roman" w:hAnsi="Palatino Linotype" w:cs="Times New Roman"/>
          <w:b/>
          <w:i/>
          <w:lang w:val="es-ES_tradnl" w:eastAsia="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51065C">
        <w:rPr>
          <w:rFonts w:ascii="Palatino Linotype" w:eastAsia="Times New Roman" w:hAnsi="Palatino Linotype" w:cs="Times New Roman"/>
          <w:i/>
          <w:lang w:val="es-ES_tradnl" w:eastAsia="es-ES_tradnl"/>
        </w:rPr>
        <w:t xml:space="preserve">Los órganos del Poder Judicial de la Federación cuando ejercen control de constitucionalidad, no están constreñidos a guardar deferencia respecto a las interpretaciones del Instituto Nacional de Transparencia, Acceso a la Información y </w:t>
      </w:r>
      <w:r w:rsidRPr="0051065C">
        <w:rPr>
          <w:rFonts w:ascii="Palatino Linotype" w:eastAsia="Times New Roman" w:hAnsi="Palatino Linotype" w:cs="Times New Roman"/>
          <w:i/>
          <w:lang w:val="es-ES_tradnl" w:eastAsia="es-ES_tradnl"/>
        </w:rPr>
        <w:lastRenderedPageBreak/>
        <w:t xml:space="preserve">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1420B1" w:rsidRPr="0051065C" w:rsidRDefault="001420B1" w:rsidP="001420B1">
      <w:pPr>
        <w:spacing w:after="0" w:line="276" w:lineRule="auto"/>
        <w:ind w:left="810"/>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810"/>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 xml:space="preserve">Amparo en revisión 737/2015. Guadalupe Barrena Nájera. 24 de febrero de 2016. Cinco votos de los </w:t>
      </w:r>
      <w:proofErr w:type="gramStart"/>
      <w:r w:rsidRPr="0051065C">
        <w:rPr>
          <w:rFonts w:ascii="Palatino Linotype" w:eastAsia="Times New Roman" w:hAnsi="Palatino Linotype" w:cs="Times New Roman"/>
          <w:i/>
          <w:lang w:val="es-ES_tradnl" w:eastAsia="es-ES_tradnl"/>
        </w:rPr>
        <w:t>Ministros</w:t>
      </w:r>
      <w:proofErr w:type="gramEnd"/>
      <w:r w:rsidRPr="0051065C">
        <w:rPr>
          <w:rFonts w:ascii="Palatino Linotype" w:eastAsia="Times New Roman" w:hAnsi="Palatino Linotype" w:cs="Times New Roman"/>
          <w:i/>
          <w:lang w:val="es-ES_tradnl" w:eastAsia="es-ES_tradnl"/>
        </w:rPr>
        <w:t xml:space="preserve"> Eduardo Medina Mora I., Javier Laynez Potisek, José Fernando Franco González Salas, Margarita Beatriz Luna Ramos y Alberto Pérez Dayán. Ponente: José Fernando Franco González Salas. Secretario: Salvador Alvarado López.</w:t>
      </w:r>
    </w:p>
    <w:p w:rsidR="001420B1" w:rsidRPr="0051065C" w:rsidRDefault="001420B1" w:rsidP="001420B1">
      <w:pPr>
        <w:spacing w:after="0" w:line="276" w:lineRule="auto"/>
        <w:ind w:left="810"/>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Esta tesis se publicó el viernes 13 de mayo de 2016 a las 10:13 horas en el Semanario Judicial de la Federación.</w:t>
      </w:r>
      <w:r w:rsidRPr="0051065C">
        <w:rPr>
          <w:rFonts w:ascii="Palatino Linotype" w:eastAsia="Times New Roman" w:hAnsi="Palatino Linotype" w:cs="Times New Roman"/>
          <w:i/>
          <w:vertAlign w:val="superscript"/>
          <w:lang w:val="es-ES_tradnl" w:eastAsia="es-ES_tradnl"/>
        </w:rPr>
        <w:footnoteReference w:id="10"/>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w:t>
      </w:r>
      <w:r w:rsidRPr="0051065C">
        <w:rPr>
          <w:rFonts w:ascii="Palatino Linotype" w:eastAsia="Times New Roman" w:hAnsi="Palatino Linotype" w:cs="Times New Roman"/>
          <w:sz w:val="24"/>
          <w:szCs w:val="24"/>
          <w:lang w:val="es-ES_tradnl" w:eastAsia="es-ES_tradnl"/>
        </w:rPr>
        <w:lastRenderedPageBreak/>
        <w:t xml:space="preserve">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la información y protección de datos personales, simplemente implica el pleno ejercicio de la facultad de efectuar el control de constitucionalidad de normas generales, actos u omisiones de una autoridad del Estado de Mexicano. </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Lo anterior es así, pues vale la pena recordar que conforme al principio de relatividad de los efectos de las sentencias de amparo, base constitucional </w:t>
      </w:r>
      <w:r w:rsidRPr="0051065C">
        <w:rPr>
          <w:rFonts w:ascii="Palatino Linotype" w:eastAsia="Times New Roman" w:hAnsi="Palatino Linotype" w:cs="Times New Roman"/>
          <w:sz w:val="24"/>
          <w:szCs w:val="24"/>
          <w:lang w:val="es-ES_tradnl" w:eastAsia="es-ES_tradnl"/>
        </w:rPr>
        <w:lastRenderedPageBreak/>
        <w:t>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demás, aunque se encuentren en un caso perfectamente igual no pueden alegar como ejecutoria el fallo pronunciado para resistir el cumplimiento de la ley o acto que lo motivó.</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Es por ello que a pesar de que en determinada sentencia de amparo se haya declarado la inconstitucionalidad de una ley, ésta no desaparece, el Poder Legislativo no las deroga ni las abroga, no obstante, se hayan dictado diversas ejecutorias de la Suprema Corte de Justicia o </w:t>
      </w:r>
      <w:proofErr w:type="gramStart"/>
      <w:r w:rsidRPr="0051065C">
        <w:rPr>
          <w:rFonts w:ascii="Palatino Linotype" w:eastAsia="Times New Roman" w:hAnsi="Palatino Linotype" w:cs="Times New Roman"/>
          <w:sz w:val="24"/>
          <w:szCs w:val="24"/>
          <w:lang w:val="es-ES_tradnl" w:eastAsia="es-ES_tradnl"/>
        </w:rPr>
        <w:t>incluso formado jurisprudencia</w:t>
      </w:r>
      <w:proofErr w:type="gramEnd"/>
      <w:r w:rsidRPr="0051065C">
        <w:rPr>
          <w:rFonts w:ascii="Palatino Linotype" w:eastAsia="Times New Roman" w:hAnsi="Palatino Linotype" w:cs="Times New Roman"/>
          <w:sz w:val="24"/>
          <w:szCs w:val="24"/>
          <w:lang w:val="es-ES_tradnl" w:eastAsia="es-ES_tradnl"/>
        </w:rPr>
        <w:t xml:space="preserve">, la ley se continúa aplicando. Ello es así, pues las sentencias de amparo tienen efectos limitados, pues se circunscriben a </w:t>
      </w:r>
      <w:r w:rsidR="008251E9" w:rsidRPr="0051065C">
        <w:rPr>
          <w:rFonts w:ascii="Palatino Linotype" w:eastAsia="Times New Roman" w:hAnsi="Palatino Linotype" w:cs="Times New Roman"/>
          <w:sz w:val="24"/>
          <w:szCs w:val="24"/>
          <w:lang w:val="es-ES_tradnl" w:eastAsia="es-ES_tradnl"/>
        </w:rPr>
        <w:t>proteger</w:t>
      </w:r>
      <w:r w:rsidRPr="0051065C">
        <w:rPr>
          <w:rFonts w:ascii="Palatino Linotype" w:eastAsia="Times New Roman" w:hAnsi="Palatino Linotype" w:cs="Times New Roman"/>
          <w:sz w:val="24"/>
          <w:szCs w:val="24"/>
          <w:lang w:val="es-ES_tradnl" w:eastAsia="es-ES_tradnl"/>
        </w:rPr>
        <w:t xml:space="preserve"> al </w:t>
      </w:r>
      <w:proofErr w:type="spellStart"/>
      <w:r w:rsidRPr="0051065C">
        <w:rPr>
          <w:rFonts w:ascii="Palatino Linotype" w:eastAsia="Times New Roman" w:hAnsi="Palatino Linotype" w:cs="Times New Roman"/>
          <w:sz w:val="24"/>
          <w:szCs w:val="24"/>
          <w:lang w:val="es-ES_tradnl" w:eastAsia="es-ES_tradnl"/>
        </w:rPr>
        <w:t>amparista</w:t>
      </w:r>
      <w:proofErr w:type="spellEnd"/>
      <w:r w:rsidRPr="0051065C">
        <w:rPr>
          <w:rFonts w:ascii="Palatino Linotype" w:eastAsia="Times New Roman" w:hAnsi="Palatino Linotype" w:cs="Times New Roman"/>
          <w:sz w:val="24"/>
          <w:szCs w:val="24"/>
          <w:lang w:val="es-ES_tradnl" w:eastAsia="es-ES_tradnl"/>
        </w:rPr>
        <w:t xml:space="preserve"> en el caso especial sobre el que verse la queja, pues no es jurídicamente viable que se haga una declaración general.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Lo anterior, en virtud de que los órganos de Estado definen sus alcances bajo la tutela del principio de legalidad consagrado en la Constitución por el cual deben </w:t>
      </w:r>
      <w:r w:rsidRPr="0051065C">
        <w:rPr>
          <w:rFonts w:ascii="Palatino Linotype" w:eastAsia="Times New Roman" w:hAnsi="Palatino Linotype" w:cs="Times New Roman"/>
          <w:sz w:val="24"/>
          <w:szCs w:val="24"/>
          <w:shd w:val="clear" w:color="auto" w:fill="FFFFFF"/>
          <w:lang w:val="es-ES_tradnl" w:eastAsia="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51065C">
        <w:rPr>
          <w:rFonts w:ascii="Palatino Linotype" w:eastAsia="Times New Roman" w:hAnsi="Palatino Linotype" w:cs="Times New Roman"/>
          <w:sz w:val="24"/>
          <w:szCs w:val="24"/>
          <w:shd w:val="clear" w:color="auto" w:fill="FFFFFF"/>
          <w:lang w:val="es-ES_tradnl" w:eastAsia="es-ES_tradnl"/>
        </w:rPr>
        <w:t>juzgador</w:t>
      </w:r>
      <w:proofErr w:type="spellEnd"/>
      <w:r w:rsidRPr="0051065C">
        <w:rPr>
          <w:rFonts w:ascii="Palatino Linotype" w:eastAsia="Times New Roman" w:hAnsi="Palatino Linotype" w:cs="Times New Roman"/>
          <w:sz w:val="24"/>
          <w:szCs w:val="24"/>
          <w:shd w:val="clear" w:color="auto" w:fill="FFFFFF"/>
          <w:lang w:val="es-ES_tradnl" w:eastAsia="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w:t>
      </w:r>
      <w:r w:rsidRPr="0051065C">
        <w:rPr>
          <w:rFonts w:ascii="Palatino Linotype" w:eastAsia="Times New Roman" w:hAnsi="Palatino Linotype" w:cs="Times New Roman"/>
          <w:sz w:val="24"/>
          <w:szCs w:val="24"/>
          <w:lang w:val="es-ES_tradnl" w:eastAsia="es-ES_tradnl"/>
        </w:rPr>
        <w:lastRenderedPageBreak/>
        <w:t>en su resolución no constituye un precedente, sino únicamente un referente, y no los efectos generales que pretende otorgarle y mucho menos el fundamento para establecer nuevas hipótesis de procedencia distintas a las establecidas en la ley y con ello justificar la procedencia del recurso de inconformidad.</w:t>
      </w:r>
    </w:p>
    <w:p w:rsidR="001420B1" w:rsidRPr="0051065C" w:rsidRDefault="001420B1" w:rsidP="001420B1">
      <w:pPr>
        <w:spacing w:after="0" w:line="240" w:lineRule="auto"/>
        <w:ind w:left="720"/>
        <w:contextualSpacing/>
        <w:rPr>
          <w:rFonts w:ascii="Palatino Linotype" w:eastAsia="Times New Roman" w:hAnsi="Palatino Linotype" w:cs="Calibri"/>
          <w:color w:val="212529"/>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De lo anterior, se advierte que, si bien el juicio de amparo y acción de inconstitucionalidad son medios de control constitucional, también lo es que sus efectos son diferentes, en tanto que para el amparo la sentencia tiene efectos </w:t>
      </w:r>
      <w:r w:rsidRPr="0051065C">
        <w:rPr>
          <w:rFonts w:ascii="Palatino Linotype" w:eastAsia="Times New Roman" w:hAnsi="Palatino Linotype" w:cs="Times New Roman"/>
          <w:sz w:val="24"/>
          <w:szCs w:val="24"/>
          <w:lang w:val="es-ES_tradnl" w:eastAsia="es-ES_tradnl"/>
        </w:rPr>
        <w:lastRenderedPageBreak/>
        <w:t xml:space="preserve">relativos para el particular que promovió el amparo, en la acción de inconstitucionalidad la norma impugnada será declarada inconstitucional con efectos </w:t>
      </w:r>
      <w:r w:rsidRPr="0051065C">
        <w:rPr>
          <w:rFonts w:ascii="Palatino Linotype" w:eastAsia="Times New Roman" w:hAnsi="Palatino Linotype" w:cs="Times New Roman"/>
          <w:i/>
          <w:sz w:val="24"/>
          <w:szCs w:val="24"/>
          <w:lang w:val="es-ES_tradnl" w:eastAsia="es-ES_tradnl"/>
        </w:rPr>
        <w:t>erga omnes.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Bajo este contexto, el INAI como órgano constitucionalmente autónomo se de conformidad con el artículo </w:t>
      </w:r>
      <w:r w:rsidRPr="0051065C">
        <w:rPr>
          <w:rFonts w:ascii="Palatino Linotype" w:eastAsia="Times New Roman" w:hAnsi="Palatino Linotype" w:cs="Arial"/>
          <w:sz w:val="24"/>
          <w:szCs w:val="24"/>
          <w:lang w:val="es-ES_tradnl" w:eastAsia="es-ES_tradnl"/>
        </w:rPr>
        <w:t>105, fracción II, inciso h), de la Constitución Política de los Estados Unidos Mexicanos</w:t>
      </w:r>
      <w:r w:rsidRPr="0051065C">
        <w:rPr>
          <w:rFonts w:ascii="Palatino Linotype" w:eastAsia="Times New Roman" w:hAnsi="Palatino Linotype" w:cs="Times New Roman"/>
          <w:sz w:val="24"/>
          <w:szCs w:val="24"/>
          <w:lang w:val="es-ES_tradnl" w:eastAsia="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lastRenderedPageBreak/>
        <w:t>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que, en el presente caso, se ha cumplido a cabalidad por este Órgano Garante Local en la resolución impugnada mediante el recurso de inconformidad de mérito.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975693">
      <w:pPr>
        <w:pStyle w:val="Ttulo2"/>
        <w:numPr>
          <w:ilvl w:val="0"/>
          <w:numId w:val="37"/>
        </w:numPr>
        <w:rPr>
          <w:rFonts w:ascii="Palatino Linotype" w:eastAsia="Times New Roman" w:hAnsi="Palatino Linotype" w:cs="Times New Roman"/>
          <w:b/>
          <w:color w:val="auto"/>
          <w:sz w:val="24"/>
          <w:szCs w:val="24"/>
          <w:lang w:val="es-ES_tradnl" w:eastAsia="es-ES_tradnl"/>
        </w:rPr>
      </w:pPr>
      <w:bookmarkStart w:id="21" w:name="_Toc65147990"/>
      <w:r w:rsidRPr="0051065C">
        <w:rPr>
          <w:rFonts w:ascii="Palatino Linotype" w:eastAsia="Times New Roman" w:hAnsi="Palatino Linotype" w:cs="Times New Roman"/>
          <w:b/>
          <w:color w:val="auto"/>
          <w:sz w:val="24"/>
          <w:szCs w:val="24"/>
          <w:lang w:val="es-ES_tradnl" w:eastAsia="es-ES_tradnl"/>
        </w:rPr>
        <w:t>Sentencias de amparo no constituyen criterios</w:t>
      </w:r>
      <w:bookmarkEnd w:id="21"/>
      <w:r w:rsidRPr="0051065C">
        <w:rPr>
          <w:rFonts w:ascii="Palatino Linotype" w:eastAsia="Times New Roman" w:hAnsi="Palatino Linotype" w:cs="Times New Roman"/>
          <w:b/>
          <w:color w:val="auto"/>
          <w:sz w:val="24"/>
          <w:szCs w:val="24"/>
          <w:lang w:val="es-ES_tradnl" w:eastAsia="es-ES_tradnl"/>
        </w:rPr>
        <w:t xml:space="preserve">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En esa virtud, la Ley de Amparo señala los términos de la obligatoriedad de la jurisprudencia en los siguientes términos: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La jurisprudencia se establece por la Suprema Corte de Justicia de la Nación, funcionando en pleno o en salas, por los Plenos de Circuito o por los tribunales colegiados de circuito, según corresponda. </w:t>
      </w:r>
    </w:p>
    <w:p w:rsidR="001420B1" w:rsidRPr="0051065C" w:rsidRDefault="001420B1" w:rsidP="001420B1">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1420B1" w:rsidRPr="0051065C" w:rsidRDefault="001420B1" w:rsidP="001420B1">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1420B1" w:rsidRPr="0051065C" w:rsidRDefault="001420B1" w:rsidP="001420B1">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Derivado de lo anterior, la jurisprudencia goza del estatus de obligatoriedad para quienes juzgan, por tanto, respecto de las autoridades administrativas, </w:t>
      </w:r>
      <w:r w:rsidRPr="0051065C">
        <w:rPr>
          <w:rFonts w:ascii="Palatino Linotype" w:eastAsia="Times New Roman" w:hAnsi="Palatino Linotype" w:cs="Times New Roman"/>
          <w:sz w:val="24"/>
          <w:szCs w:val="24"/>
          <w:lang w:val="es-ES_tradnl" w:eastAsia="es-ES_tradnl"/>
        </w:rPr>
        <w:lastRenderedPageBreak/>
        <w:t>éstas no están obligadas a aplicar la jurisprudencia, sirve de sustento la siguiente jurisprudencia emitida por la Segunda Sala de la SCJN:</w:t>
      </w:r>
    </w:p>
    <w:p w:rsidR="001420B1" w:rsidRPr="0051065C" w:rsidRDefault="001420B1" w:rsidP="001420B1">
      <w:pPr>
        <w:shd w:val="clear" w:color="auto" w:fill="FFFFFF"/>
        <w:tabs>
          <w:tab w:val="left" w:pos="0"/>
        </w:tabs>
        <w:spacing w:before="240" w:after="150" w:line="360" w:lineRule="auto"/>
        <w:ind w:left="1080" w:right="49"/>
        <w:contextualSpacing/>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240" w:lineRule="auto"/>
        <w:ind w:left="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JURISPRUDENCIA SOBRE INCONSTITUCIONALI DAD DE LEYES. LAS AUTORIDADES ADMINISTRATIVAS NO ESTÁN OBLIGADAS A APLICARLA AL CUMPLIR CON LA GARANTÍA DE FUNDAR Y MOTIVAR SUS ACTOS.</w:t>
      </w:r>
      <w:r w:rsidRPr="0051065C">
        <w:rPr>
          <w:rFonts w:ascii="Palatino Linotype" w:eastAsia="Times New Roman" w:hAnsi="Palatino Linotype" w:cs="Times New Roman"/>
          <w:i/>
          <w:sz w:val="24"/>
          <w:szCs w:val="24"/>
          <w:lang w:val="es-ES_tradnl" w:eastAsia="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1420B1" w:rsidRPr="0051065C" w:rsidRDefault="001420B1" w:rsidP="001420B1">
      <w:pPr>
        <w:spacing w:after="0" w:line="240" w:lineRule="auto"/>
        <w:ind w:left="1080"/>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240" w:lineRule="auto"/>
        <w:ind w:left="720"/>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 xml:space="preserve">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w:t>
      </w:r>
      <w:r w:rsidRPr="0051065C">
        <w:rPr>
          <w:rFonts w:ascii="Palatino Linotype" w:eastAsia="Times New Roman" w:hAnsi="Palatino Linotype" w:cs="Times New Roman"/>
          <w:i/>
          <w:sz w:val="24"/>
          <w:szCs w:val="24"/>
          <w:lang w:val="es-ES_tradnl" w:eastAsia="es-ES_tradnl"/>
        </w:rPr>
        <w:lastRenderedPageBreak/>
        <w:t>jurisprudencia 38/2002. Aprobada por la Segunda Sala de este Alto Tribunal, en sesión privada del tres de mayo de dos mil dos.</w:t>
      </w:r>
      <w:r w:rsidRPr="0051065C">
        <w:rPr>
          <w:rFonts w:ascii="Palatino Linotype" w:eastAsia="Times New Roman" w:hAnsi="Palatino Linotype" w:cs="Times New Roman"/>
          <w:i/>
          <w:sz w:val="24"/>
          <w:szCs w:val="24"/>
          <w:vertAlign w:val="superscript"/>
          <w:lang w:val="es-ES_tradnl" w:eastAsia="es-ES_tradnl"/>
        </w:rPr>
        <w:footnoteReference w:id="11"/>
      </w:r>
    </w:p>
    <w:p w:rsidR="001420B1" w:rsidRPr="0051065C" w:rsidRDefault="001420B1" w:rsidP="001420B1">
      <w:pPr>
        <w:spacing w:after="0" w:line="360" w:lineRule="auto"/>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Ahora bien, conviene hacer la distinción entre </w:t>
      </w:r>
      <w:r w:rsidRPr="0051065C">
        <w:rPr>
          <w:rFonts w:ascii="Palatino Linotype" w:eastAsia="Times New Roman" w:hAnsi="Palatino Linotype" w:cs="Times New Roman"/>
          <w:sz w:val="24"/>
          <w:szCs w:val="24"/>
          <w:shd w:val="clear" w:color="auto" w:fill="FFFFFF"/>
          <w:lang w:val="es-ES_tradnl" w:eastAsia="es-ES_tradnl"/>
        </w:rPr>
        <w:t xml:space="preserve">una Tesis aislada y una Tesis de Jurisprudencia, en tanto que la primera constituye aquellos criterios emitidos por un Tribunal Colegiado o por la Suprema Corte de Justicia de la Nación actuando en Pleno o en Salas, interpretando algún precepto legal pero que no ha alcanzado ser obligatoria; sin embargo, cumple una importante función de orientación para el juzgador; mientras que la Jurisprudencia es la interpretación de la ley, de observancia obligatoria, que emana de las ejecutorias que pronuncia la Suprema Corte de Justicia de la Nación </w:t>
      </w:r>
      <w:r w:rsidRPr="0051065C">
        <w:rPr>
          <w:rFonts w:ascii="Palatino Linotype" w:eastAsia="Times New Roman" w:hAnsi="Palatino Linotype" w:cs="Times New Roman"/>
          <w:sz w:val="24"/>
          <w:szCs w:val="24"/>
          <w:shd w:val="clear" w:color="auto" w:fill="FFFFFF"/>
          <w:lang w:val="es-ES_tradnl" w:eastAsia="es-ES_tradnl"/>
        </w:rPr>
        <w:lastRenderedPageBreak/>
        <w:t xml:space="preserve">funcionando en Pleno o en Salas, y por los Tribunales Colegiados de Circuito. Corrobora lo anterior la siguiente Tesis Aislada: </w:t>
      </w:r>
    </w:p>
    <w:p w:rsidR="001420B1" w:rsidRPr="0051065C" w:rsidRDefault="001420B1" w:rsidP="001420B1">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b/>
          <w:i/>
          <w:sz w:val="24"/>
          <w:szCs w:val="24"/>
          <w:lang w:val="es-ES_tradnl" w:eastAsia="es-ES_tradnl"/>
        </w:rPr>
        <w:t>JURISPRUDENCIA. CONCEPTO, CLASES Y FINES.</w:t>
      </w:r>
      <w:r w:rsidRPr="0051065C">
        <w:rPr>
          <w:rFonts w:ascii="Palatino Linotype" w:eastAsia="Times New Roman" w:hAnsi="Palatino Linotype" w:cs="Times New Roman"/>
          <w:i/>
          <w:sz w:val="24"/>
          <w:szCs w:val="24"/>
          <w:lang w:val="es-ES_tradnl" w:eastAsia="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1420B1" w:rsidRPr="0051065C" w:rsidRDefault="001420B1" w:rsidP="001420B1">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i/>
          <w:sz w:val="24"/>
          <w:szCs w:val="24"/>
          <w:lang w:val="es-ES_tradnl" w:eastAsia="es-ES_tradnl"/>
        </w:rPr>
        <w:t xml:space="preserve">Amparo en revisión 299/2003. Funerales la </w:t>
      </w:r>
      <w:proofErr w:type="spellStart"/>
      <w:r w:rsidRPr="0051065C">
        <w:rPr>
          <w:rFonts w:ascii="Palatino Linotype" w:eastAsia="Times New Roman" w:hAnsi="Palatino Linotype" w:cs="Times New Roman"/>
          <w:i/>
          <w:sz w:val="24"/>
          <w:szCs w:val="24"/>
          <w:lang w:val="es-ES_tradnl" w:eastAsia="es-ES_tradnl"/>
        </w:rPr>
        <w:t>Ascención</w:t>
      </w:r>
      <w:proofErr w:type="spellEnd"/>
      <w:r w:rsidRPr="0051065C">
        <w:rPr>
          <w:rFonts w:ascii="Palatino Linotype" w:eastAsia="Times New Roman" w:hAnsi="Palatino Linotype" w:cs="Times New Roman"/>
          <w:i/>
          <w:sz w:val="24"/>
          <w:szCs w:val="24"/>
          <w:lang w:val="es-ES_tradnl" w:eastAsia="es-ES_tradnl"/>
        </w:rPr>
        <w:t>, S.A. de C.V. 3 de julio de 2003. Unanimidad de votos. Ponente: F. Guillermo Baltazar Alvear. Secretario: Esteban Oviedo Rangel.</w:t>
      </w:r>
      <w:r w:rsidRPr="0051065C">
        <w:rPr>
          <w:rFonts w:ascii="Palatino Linotype" w:eastAsia="Times New Roman" w:hAnsi="Palatino Linotype" w:cs="Times New Roman"/>
          <w:i/>
          <w:sz w:val="24"/>
          <w:szCs w:val="24"/>
          <w:vertAlign w:val="superscript"/>
          <w:lang w:val="es-ES_tradnl" w:eastAsia="es-ES_tradnl"/>
        </w:rPr>
        <w:footnoteReference w:id="12"/>
      </w:r>
    </w:p>
    <w:p w:rsidR="001420B1" w:rsidRPr="0051065C" w:rsidRDefault="001420B1" w:rsidP="001420B1">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51065C">
        <w:rPr>
          <w:rFonts w:ascii="Palatino Linotype" w:eastAsia="Times New Roman" w:hAnsi="Palatino Linotype" w:cs="Times New Roman"/>
          <w:sz w:val="24"/>
          <w:szCs w:val="24"/>
          <w:lang w:val="es-ES_tradnl" w:eastAsia="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Derivado de lo anterior, se concluye que los órganos garantes no están obligados a aplicar jurisprudencias o tesis aisladas, mucho menos a fundamentar sus resoluciones en  jurisprudencia o tesis aisladas, es decir, solo constituyen, en todo caso, criterios orientadores para la interpretación de las normas jurídicas; sin embargo, </w:t>
      </w:r>
      <w:r w:rsidRPr="0051065C">
        <w:rPr>
          <w:rFonts w:ascii="Palatino Linotype" w:hAnsi="Palatino Linotype" w:cs="Times New Roman"/>
          <w:sz w:val="24"/>
          <w:szCs w:val="24"/>
          <w:lang w:val="es-ES_tradnl"/>
        </w:rPr>
        <w:t>el INAI, trata de justificar su interpretación expansiva y probablemente</w:t>
      </w:r>
      <w:r w:rsidRPr="0051065C">
        <w:rPr>
          <w:rFonts w:ascii="Palatino Linotype" w:eastAsia="Times New Roman" w:hAnsi="Palatino Linotype" w:cs="Times New Roman"/>
          <w:sz w:val="24"/>
          <w:szCs w:val="24"/>
          <w:lang w:val="es-ES_tradnl" w:eastAsia="es-ES_tradnl"/>
        </w:rPr>
        <w:t xml:space="preserve"> </w:t>
      </w:r>
      <w:r w:rsidRPr="0051065C">
        <w:rPr>
          <w:rFonts w:ascii="Palatino Linotype" w:hAnsi="Palatino Linotype" w:cs="Times New Roman"/>
          <w:sz w:val="24"/>
          <w:szCs w:val="24"/>
          <w:lang w:val="es-ES_tradnl"/>
        </w:rPr>
        <w:t>desproporcionada de la norma en una sentencia de amparo</w:t>
      </w:r>
      <w:r w:rsidRPr="0051065C">
        <w:rPr>
          <w:rFonts w:ascii="Palatino Linotype" w:eastAsia="Times New Roman" w:hAnsi="Palatino Linotype" w:cs="Times New Roman"/>
          <w:sz w:val="24"/>
          <w:szCs w:val="24"/>
          <w:lang w:val="es-ES_tradnl" w:eastAsia="es-ES_tradnl"/>
        </w:rPr>
        <w:t xml:space="preserve"> </w:t>
      </w:r>
      <w:r w:rsidR="00DF394A" w:rsidRPr="0051065C">
        <w:rPr>
          <w:rFonts w:ascii="Palatino Linotype" w:hAnsi="Palatino Linotype" w:cs="Times New Roman"/>
          <w:sz w:val="24"/>
          <w:szCs w:val="24"/>
          <w:lang w:val="es-ES_tradnl"/>
        </w:rPr>
        <w:t>en revisión 654/18</w:t>
      </w:r>
      <w:r w:rsidRPr="0051065C">
        <w:rPr>
          <w:rFonts w:ascii="Palatino Linotype" w:hAnsi="Palatino Linotype" w:cs="Times New Roman"/>
          <w:sz w:val="24"/>
          <w:szCs w:val="24"/>
          <w:lang w:val="es-ES_tradnl"/>
        </w:rPr>
        <w:t xml:space="preserve"> para reclamar jurisdicción sobre cualquier supuesto que pudiera</w:t>
      </w:r>
      <w:r w:rsidRPr="0051065C">
        <w:rPr>
          <w:rFonts w:ascii="Palatino Linotype" w:eastAsia="Times New Roman" w:hAnsi="Palatino Linotype" w:cs="Times New Roman"/>
          <w:sz w:val="24"/>
          <w:szCs w:val="24"/>
          <w:lang w:val="es-ES_tradnl" w:eastAsia="es-ES_tradnl"/>
        </w:rPr>
        <w:t xml:space="preserve"> ser e</w:t>
      </w:r>
      <w:r w:rsidRPr="0051065C">
        <w:rPr>
          <w:rFonts w:ascii="Palatino Linotype" w:hAnsi="Palatino Linotype" w:cs="Times New Roman"/>
          <w:sz w:val="24"/>
          <w:szCs w:val="24"/>
          <w:lang w:val="es-ES_tradnl"/>
        </w:rPr>
        <w:t xml:space="preserve">quivalente a una negativa de acceso a la información.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Ttulo2"/>
        <w:numPr>
          <w:ilvl w:val="0"/>
          <w:numId w:val="37"/>
        </w:numPr>
        <w:rPr>
          <w:rFonts w:ascii="Palatino Linotype" w:eastAsia="Times New Roman" w:hAnsi="Palatino Linotype" w:cs="Times New Roman"/>
          <w:b/>
          <w:color w:val="auto"/>
          <w:sz w:val="24"/>
          <w:szCs w:val="24"/>
          <w:shd w:val="clear" w:color="auto" w:fill="FFFFFF"/>
          <w:lang w:val="es-ES_tradnl" w:eastAsia="es-ES_tradnl"/>
        </w:rPr>
      </w:pPr>
      <w:bookmarkStart w:id="22" w:name="_Toc65147991"/>
      <w:r w:rsidRPr="0051065C">
        <w:rPr>
          <w:rFonts w:ascii="Palatino Linotype" w:eastAsia="Times New Roman" w:hAnsi="Palatino Linotype" w:cs="Times New Roman"/>
          <w:b/>
          <w:color w:val="auto"/>
          <w:sz w:val="24"/>
          <w:szCs w:val="24"/>
          <w:lang w:val="es-ES_tradnl" w:eastAsia="es-ES_tradnl"/>
        </w:rPr>
        <w:t xml:space="preserve">Amparo en </w:t>
      </w:r>
      <w:proofErr w:type="gramStart"/>
      <w:r w:rsidRPr="0051065C">
        <w:rPr>
          <w:rFonts w:ascii="Palatino Linotype" w:eastAsia="Times New Roman" w:hAnsi="Palatino Linotype" w:cs="Times New Roman"/>
          <w:b/>
          <w:color w:val="auto"/>
          <w:sz w:val="24"/>
          <w:szCs w:val="24"/>
          <w:lang w:val="es-ES_tradnl" w:eastAsia="es-ES_tradnl"/>
        </w:rPr>
        <w:t xml:space="preserve">Revisión  </w:t>
      </w:r>
      <w:r w:rsidRPr="0051065C">
        <w:rPr>
          <w:rFonts w:ascii="Palatino Linotype" w:hAnsi="Palatino Linotype" w:cs="Times New Roman"/>
          <w:b/>
          <w:color w:val="auto"/>
          <w:sz w:val="24"/>
          <w:szCs w:val="24"/>
          <w:lang w:val="es-ES_tradnl"/>
        </w:rPr>
        <w:t>654</w:t>
      </w:r>
      <w:proofErr w:type="gramEnd"/>
      <w:r w:rsidRPr="0051065C">
        <w:rPr>
          <w:rFonts w:ascii="Palatino Linotype" w:hAnsi="Palatino Linotype" w:cs="Times New Roman"/>
          <w:b/>
          <w:color w:val="auto"/>
          <w:sz w:val="24"/>
          <w:szCs w:val="24"/>
          <w:lang w:val="es-ES_tradnl"/>
        </w:rPr>
        <w:t xml:space="preserve">/18 </w:t>
      </w:r>
      <w:r w:rsidRPr="0051065C">
        <w:rPr>
          <w:rFonts w:ascii="Palatino Linotype" w:eastAsia="Times New Roman" w:hAnsi="Palatino Linotype" w:cs="Times New Roman"/>
          <w:b/>
          <w:color w:val="auto"/>
          <w:sz w:val="24"/>
          <w:szCs w:val="24"/>
          <w:lang w:val="es-ES_tradnl" w:eastAsia="es-ES_tradnl"/>
        </w:rPr>
        <w:t>viciado  de origen</w:t>
      </w:r>
      <w:bookmarkEnd w:id="22"/>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El principio de igualdad de armas que supone que todas las partes del proceso deben tener iguales oportunidades procesales para alegar y probar, cada cual en función de sus intereses y pretensiones y a partir de dicha concurrencia de actores involucrados se puede llegar a que el juzgador tome una resolución lo más apegada a derecho, habiendo escuchado a todas las partes involucradas.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Cabe destacar que toda vez que en el amparo 654/18 referido por el Órgano Garante Nacional en la resolución al recurso de inconformidad que nos ocupa, advirtió que el particular se inconformaba por la procedencia del recurso de inconformidad establecida en el artículo 160 de la Ley General de Transparencia y Acceso a la Información, lo cual sin duda impactaba en las actuaciones de los órganos garantes locales, debió llamar como terceros interesados a juicio a los 32 órganos garantes.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Por ello, al no haber sido escuchados los 32 órganos garantes de las Entidades Federativas, la sentencia de amparo bajo la cual justifica la emisión de su resolución del recurso de inconformidad, se encuentra viciado de origen, toda vez que el juzgador de amparo no tuvo todos los elementos y argumentos de las partes involucradas para poder emitir una sentencia congruente y exhaustiva conforme al marco legal y constitucional.</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Ttulo2"/>
        <w:numPr>
          <w:ilvl w:val="0"/>
          <w:numId w:val="26"/>
        </w:numPr>
        <w:rPr>
          <w:rFonts w:ascii="Palatino Linotype" w:eastAsia="Times New Roman" w:hAnsi="Palatino Linotype" w:cs="Times New Roman"/>
          <w:b/>
          <w:color w:val="auto"/>
          <w:sz w:val="24"/>
          <w:szCs w:val="24"/>
          <w:lang w:val="es-ES_tradnl" w:eastAsia="es-ES_tradnl"/>
        </w:rPr>
      </w:pPr>
      <w:bookmarkStart w:id="23" w:name="_Toc65147992"/>
      <w:r w:rsidRPr="0051065C">
        <w:rPr>
          <w:rFonts w:ascii="Palatino Linotype" w:eastAsia="Times New Roman" w:hAnsi="Palatino Linotype" w:cs="Times New Roman"/>
          <w:b/>
          <w:color w:val="auto"/>
          <w:sz w:val="24"/>
          <w:szCs w:val="24"/>
          <w:lang w:val="es-ES_tradnl" w:eastAsia="es-ES_tradnl"/>
        </w:rPr>
        <w:lastRenderedPageBreak/>
        <w:t>De los Derechos del solicitante de acceso a la información</w:t>
      </w:r>
      <w:bookmarkEnd w:id="23"/>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t>Por un lado, en el artículo sexto constitucional se reconoce el derecho de las personas de acceder a la información en posesión de los sujetos obligados la que, por principio, es pública, salvo las restricciones 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Respecto de los procedimientos para solicitar información, el artículo 124 de la Ley General de Transparencia y Acceso a la Información Pública, señala los requisitos para presentar una solicitud de información, señalando en la fracción V la modalidad en la que prefiere el particular para que </w:t>
      </w:r>
      <w:proofErr w:type="gramStart"/>
      <w:r w:rsidRPr="0051065C">
        <w:rPr>
          <w:rFonts w:ascii="Palatino Linotype" w:eastAsia="Times New Roman" w:hAnsi="Palatino Linotype" w:cs="Times New Roman"/>
          <w:sz w:val="24"/>
          <w:szCs w:val="24"/>
          <w:shd w:val="clear" w:color="auto" w:fill="FFFFFF"/>
          <w:lang w:val="es-ES_tradnl" w:eastAsia="es-ES_tradnl"/>
        </w:rPr>
        <w:t>se  le</w:t>
      </w:r>
      <w:proofErr w:type="gramEnd"/>
      <w:r w:rsidRPr="0051065C">
        <w:rPr>
          <w:rFonts w:ascii="Palatino Linotype" w:eastAsia="Times New Roman" w:hAnsi="Palatino Linotype" w:cs="Times New Roman"/>
          <w:sz w:val="24"/>
          <w:szCs w:val="24"/>
          <w:shd w:val="clear" w:color="auto" w:fill="FFFFFF"/>
          <w:lang w:val="es-ES_tradnl" w:eastAsia="es-ES_tradnl"/>
        </w:rPr>
        <w:t xml:space="preserve"> otorgue el acceso a la información, como a continuación se muestra: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bookmarkStart w:id="24" w:name="Artículo_124"/>
      <w:r w:rsidRPr="0051065C">
        <w:rPr>
          <w:rFonts w:ascii="Palatino Linotype" w:eastAsia="Times New Roman" w:hAnsi="Palatino Linotype" w:cs="Arial"/>
          <w:b/>
          <w:i/>
          <w:lang w:val="es-ES_tradnl" w:eastAsia="es-ES_tradnl"/>
        </w:rPr>
        <w:lastRenderedPageBreak/>
        <w:t>Artículo 124</w:t>
      </w:r>
      <w:bookmarkEnd w:id="24"/>
      <w:r w:rsidRPr="0051065C">
        <w:rPr>
          <w:rFonts w:ascii="Palatino Linotype" w:eastAsia="Times New Roman" w:hAnsi="Palatino Linotype" w:cs="Arial"/>
          <w:b/>
          <w:i/>
          <w:lang w:val="es-ES_tradnl" w:eastAsia="es-ES_tradnl"/>
        </w:rPr>
        <w:t xml:space="preserve">. </w:t>
      </w:r>
      <w:r w:rsidRPr="0051065C">
        <w:rPr>
          <w:rFonts w:ascii="Palatino Linotype" w:eastAsia="Times New Roman" w:hAnsi="Palatino Linotype" w:cs="Arial"/>
          <w:i/>
          <w:lang w:val="es-ES_tradnl" w:eastAsia="es-ES_tradnl"/>
        </w:rPr>
        <w:t>Para presentar una solicitud no se podrán exigir mayores requisitos que los siguientes:</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I.</w:t>
      </w:r>
      <w:r w:rsidRPr="0051065C">
        <w:rPr>
          <w:rFonts w:ascii="Palatino Linotype" w:eastAsia="Times New Roman" w:hAnsi="Palatino Linotype" w:cs="Arial"/>
          <w:b/>
          <w:i/>
          <w:lang w:val="es-ES_tradnl" w:eastAsia="es-ES_tradnl"/>
        </w:rPr>
        <w:tab/>
      </w:r>
      <w:r w:rsidRPr="0051065C">
        <w:rPr>
          <w:rFonts w:ascii="Palatino Linotype" w:eastAsia="Times New Roman" w:hAnsi="Palatino Linotype" w:cs="Arial"/>
          <w:i/>
          <w:lang w:val="es-ES_tradnl" w:eastAsia="es-ES_tradnl"/>
        </w:rPr>
        <w:t>Nombre o, en su caso, los datos generales de su representante;</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II. </w:t>
      </w:r>
      <w:r w:rsidRPr="0051065C">
        <w:rPr>
          <w:rFonts w:ascii="Palatino Linotype" w:eastAsia="Times New Roman" w:hAnsi="Palatino Linotype" w:cs="Arial"/>
          <w:i/>
          <w:lang w:val="es-ES_tradnl" w:eastAsia="es-ES_tradnl"/>
        </w:rPr>
        <w:t>Domicilio o medio para recibir notificaciones;</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III. </w:t>
      </w:r>
      <w:r w:rsidRPr="0051065C">
        <w:rPr>
          <w:rFonts w:ascii="Palatino Linotype" w:eastAsia="Times New Roman" w:hAnsi="Palatino Linotype" w:cs="Arial"/>
          <w:i/>
          <w:lang w:val="es-ES_tradnl" w:eastAsia="es-ES_tradnl"/>
        </w:rPr>
        <w:t>La descripción de la información solicitada;</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b/>
          <w:i/>
          <w:lang w:val="es-ES_tradnl" w:eastAsia="es-ES_tradnl"/>
        </w:rPr>
        <w:t xml:space="preserve">IV. </w:t>
      </w:r>
      <w:r w:rsidRPr="0051065C">
        <w:rPr>
          <w:rFonts w:ascii="Palatino Linotype" w:eastAsia="Times New Roman" w:hAnsi="Palatino Linotype" w:cs="Arial"/>
          <w:i/>
          <w:lang w:val="es-ES_tradnl" w:eastAsia="es-ES_tradnl"/>
        </w:rPr>
        <w:t>Cualquier otro dato que facilite su búsqueda y eventual localización, y</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r w:rsidRPr="0051065C">
        <w:rPr>
          <w:rFonts w:ascii="Palatino Linotype" w:eastAsia="Times New Roman" w:hAnsi="Palatino Linotype" w:cs="Arial"/>
          <w:b/>
          <w:i/>
          <w:lang w:val="es-ES_tradnl" w:eastAsia="es-ES_tradnl"/>
        </w:rPr>
        <w:t>V.</w:t>
      </w:r>
      <w:r w:rsidRPr="0051065C">
        <w:rPr>
          <w:rFonts w:ascii="Palatino Linotype" w:eastAsia="Times New Roman" w:hAnsi="Palatino Linotype" w:cs="Arial"/>
          <w:b/>
          <w:i/>
          <w:lang w:val="es-ES_tradnl" w:eastAsia="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i/>
          <w:lang w:val="es-ES_tradnl" w:eastAsia="es-ES_tradnl"/>
        </w:rPr>
        <w:t>En su caso, el solicitante señalará el formato accesible o la lengua indígena en la que se requiera la información de acuerdo a lo señalado en la presente Ley.</w:t>
      </w:r>
    </w:p>
    <w:p w:rsidR="001420B1" w:rsidRPr="0051065C" w:rsidRDefault="001420B1" w:rsidP="001420B1">
      <w:pPr>
        <w:spacing w:after="0" w:line="276" w:lineRule="auto"/>
        <w:ind w:left="502"/>
        <w:jc w:val="both"/>
        <w:rPr>
          <w:rFonts w:ascii="Palatino Linotype" w:eastAsia="Times New Roman" w:hAnsi="Palatino Linotype" w:cs="Arial"/>
          <w:b/>
          <w:i/>
          <w:lang w:val="es-ES_tradnl" w:eastAsia="es-ES_tradnl"/>
        </w:rPr>
      </w:pPr>
    </w:p>
    <w:p w:rsidR="001420B1" w:rsidRPr="0051065C" w:rsidRDefault="001420B1" w:rsidP="001420B1">
      <w:pPr>
        <w:spacing w:after="0" w:line="276" w:lineRule="auto"/>
        <w:ind w:left="502"/>
        <w:jc w:val="both"/>
        <w:rPr>
          <w:rFonts w:ascii="Palatino Linotype" w:eastAsia="Times New Roman" w:hAnsi="Palatino Linotype" w:cs="Arial"/>
          <w:i/>
          <w:lang w:val="es-ES_tradnl" w:eastAsia="es-ES_tradnl"/>
        </w:rPr>
      </w:pPr>
      <w:r w:rsidRPr="0051065C">
        <w:rPr>
          <w:rFonts w:ascii="Palatino Linotype" w:eastAsia="Times New Roman" w:hAnsi="Palatino Linotype" w:cs="Arial"/>
          <w:i/>
          <w:lang w:val="es-ES_tradnl" w:eastAsia="es-ES_tradnl"/>
        </w:rPr>
        <w:t>La información de las fracciones I y IV será proporcionada por el solicitante de manera opcional y, en ningún caso, podrá ser un requisito indispensable para la procedencia de la solicitud.</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De lo anterior se advierte que la garantía primaria del derecho de acceso a la información es la de solicitar el acceso a la información pública en la modalidad que el particular prefiera l</w:t>
      </w:r>
      <w:r w:rsidRPr="0051065C">
        <w:rPr>
          <w:rFonts w:ascii="Palatino Linotype" w:eastAsia="Times New Roman" w:hAnsi="Palatino Linotype" w:cs="Times New Roman"/>
          <w:sz w:val="24"/>
          <w:szCs w:val="24"/>
          <w:lang w:val="es-ES_tradnl" w:eastAsia="es-ES_tradnl"/>
        </w:rPr>
        <w:t xml:space="preserve">a cual podrá ser </w:t>
      </w:r>
      <w:r w:rsidRPr="0051065C">
        <w:rPr>
          <w:rFonts w:ascii="Palatino Linotype" w:eastAsia="Times New Roman" w:hAnsi="Palatino Linotype" w:cs="Times New Roman"/>
          <w:b/>
          <w:sz w:val="24"/>
          <w:szCs w:val="24"/>
          <w:lang w:val="es-ES_tradnl" w:eastAsia="es-ES_tradnl"/>
        </w:rPr>
        <w:t>verbal,</w:t>
      </w:r>
      <w:r w:rsidRPr="0051065C">
        <w:rPr>
          <w:rFonts w:ascii="Palatino Linotype" w:eastAsia="Times New Roman" w:hAnsi="Palatino Linotype" w:cs="Times New Roman"/>
          <w:sz w:val="24"/>
          <w:szCs w:val="24"/>
          <w:lang w:val="es-ES_tradnl" w:eastAsia="es-ES_tradnl"/>
        </w:rPr>
        <w:t xml:space="preserve"> siempre y cuando sea para fines de orientación, mediante </w:t>
      </w:r>
      <w:r w:rsidRPr="0051065C">
        <w:rPr>
          <w:rFonts w:ascii="Palatino Linotype" w:eastAsia="Times New Roman" w:hAnsi="Palatino Linotype" w:cs="Times New Roman"/>
          <w:b/>
          <w:sz w:val="24"/>
          <w:szCs w:val="24"/>
          <w:lang w:val="es-ES_tradnl" w:eastAsia="es-ES_tradnl"/>
        </w:rPr>
        <w:t>consulta directa</w:t>
      </w:r>
      <w:r w:rsidRPr="0051065C">
        <w:rPr>
          <w:rFonts w:ascii="Palatino Linotype" w:eastAsia="Times New Roman" w:hAnsi="Palatino Linotype" w:cs="Times New Roman"/>
          <w:sz w:val="24"/>
          <w:szCs w:val="24"/>
          <w:lang w:val="es-ES_tradnl" w:eastAsia="es-ES_tradnl"/>
        </w:rPr>
        <w:t xml:space="preserve">, mediante la expedición de </w:t>
      </w:r>
      <w:r w:rsidRPr="0051065C">
        <w:rPr>
          <w:rFonts w:ascii="Palatino Linotype" w:eastAsia="Times New Roman" w:hAnsi="Palatino Linotype" w:cs="Times New Roman"/>
          <w:b/>
          <w:sz w:val="24"/>
          <w:szCs w:val="24"/>
          <w:lang w:val="es-ES_tradnl" w:eastAsia="es-ES_tradnl"/>
        </w:rPr>
        <w:t>copias simples o certificadas</w:t>
      </w:r>
      <w:r w:rsidRPr="0051065C">
        <w:rPr>
          <w:rFonts w:ascii="Palatino Linotype" w:eastAsia="Times New Roman" w:hAnsi="Palatino Linotype" w:cs="Times New Roman"/>
          <w:sz w:val="24"/>
          <w:szCs w:val="24"/>
          <w:lang w:val="es-ES_tradnl" w:eastAsia="es-ES_tradnl"/>
        </w:rPr>
        <w:t xml:space="preserve"> o la </w:t>
      </w:r>
      <w:r w:rsidRPr="0051065C">
        <w:rPr>
          <w:rFonts w:ascii="Palatino Linotype" w:eastAsia="Times New Roman" w:hAnsi="Palatino Linotype" w:cs="Times New Roman"/>
          <w:b/>
          <w:sz w:val="24"/>
          <w:szCs w:val="24"/>
          <w:lang w:val="es-ES_tradnl" w:eastAsia="es-ES_tradnl"/>
        </w:rPr>
        <w:t>reproducción en cualquier otro medio, incluidos los electrónicos.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Ttulo2"/>
        <w:numPr>
          <w:ilvl w:val="0"/>
          <w:numId w:val="26"/>
        </w:numPr>
        <w:rPr>
          <w:rFonts w:ascii="Palatino Linotype" w:eastAsia="Times New Roman" w:hAnsi="Palatino Linotype" w:cs="Times New Roman"/>
          <w:b/>
          <w:color w:val="auto"/>
          <w:sz w:val="24"/>
          <w:szCs w:val="24"/>
          <w:lang w:val="es-ES_tradnl" w:eastAsia="es-ES_tradnl"/>
        </w:rPr>
      </w:pPr>
      <w:bookmarkStart w:id="25" w:name="_Toc65147993"/>
      <w:r w:rsidRPr="0051065C">
        <w:rPr>
          <w:rFonts w:ascii="Palatino Linotype" w:eastAsia="Times New Roman" w:hAnsi="Palatino Linotype" w:cs="Times New Roman"/>
          <w:b/>
          <w:color w:val="auto"/>
          <w:sz w:val="24"/>
          <w:szCs w:val="24"/>
          <w:lang w:val="es-ES_tradnl" w:eastAsia="es-ES_tradnl"/>
        </w:rPr>
        <w:lastRenderedPageBreak/>
        <w:t>De las Restricciones del solicitante del derecho de acceso a la información</w:t>
      </w:r>
      <w:bookmarkEnd w:id="25"/>
    </w:p>
    <w:p w:rsidR="001420B1" w:rsidRPr="0051065C" w:rsidRDefault="001420B1" w:rsidP="00975693">
      <w:pPr>
        <w:pStyle w:val="Ttulo2"/>
        <w:rPr>
          <w:rFonts w:ascii="Palatino Linotype" w:eastAsia="Times New Roman" w:hAnsi="Palatino Linotype" w:cs="Times New Roman"/>
          <w:color w:val="auto"/>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51065C">
        <w:rPr>
          <w:rFonts w:ascii="Palatino Linotype" w:eastAsia="Times New Roman" w:hAnsi="Palatino Linotype" w:cs="Times New Roman"/>
          <w:sz w:val="24"/>
          <w:szCs w:val="24"/>
          <w:lang w:val="es-ES_tradnl" w:eastAsia="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1420B1" w:rsidRPr="0051065C" w:rsidRDefault="001420B1" w:rsidP="001420B1">
      <w:pPr>
        <w:spacing w:after="0" w:line="240" w:lineRule="auto"/>
        <w:ind w:left="720"/>
        <w:contextualSpacing/>
        <w:rPr>
          <w:rFonts w:ascii="Palatino Linotype" w:hAnsi="Palatino Linotype" w:cs="Times New Roman"/>
          <w:sz w:val="24"/>
          <w:szCs w:val="24"/>
          <w:lang w:val="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lastRenderedPageBreak/>
        <w:t>Ahora bien, el hecho de que el sujeto obligado responda en una modalidad diferente a la solicitada por el particular, sin justificar esa decisión constituye un acto formal emitido por funcionarios legalmente facultados, pero inválido en tanto que no respeta la prerrogativa legalmente establecida que concede al titular del derecho, la oportunidad de escoger la modalidad de entrega de la información.</w:t>
      </w:r>
    </w:p>
    <w:p w:rsidR="001420B1" w:rsidRPr="0051065C" w:rsidRDefault="001420B1" w:rsidP="001420B1">
      <w:pPr>
        <w:spacing w:after="0" w:line="240" w:lineRule="auto"/>
        <w:ind w:left="720"/>
        <w:contextualSpacing/>
        <w:rPr>
          <w:rFonts w:ascii="Palatino Linotype" w:hAnsi="Palatino Linotype" w:cs="Times New Roman"/>
          <w:sz w:val="24"/>
          <w:szCs w:val="24"/>
          <w:lang w:val="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t>No obstante lo anterior, no todos los cambios de modalidad en la entrega de la información pueden considerarse como inválidos, ya que la Ley General en su artículo 127 señala que de  manera excepcional, …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1420B1" w:rsidRPr="0051065C" w:rsidRDefault="001420B1" w:rsidP="001420B1">
      <w:pPr>
        <w:spacing w:after="0" w:line="240" w:lineRule="auto"/>
        <w:ind w:left="720"/>
        <w:contextualSpacing/>
        <w:rPr>
          <w:rFonts w:ascii="Palatino Linotype" w:hAnsi="Palatino Linotype" w:cs="Times New Roman"/>
          <w:sz w:val="24"/>
          <w:szCs w:val="24"/>
          <w:lang w:val="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t xml:space="preserve">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w:t>
      </w:r>
      <w:r w:rsidRPr="0051065C">
        <w:rPr>
          <w:rFonts w:ascii="Palatino Linotype" w:hAnsi="Palatino Linotype" w:cs="Times New Roman"/>
          <w:sz w:val="24"/>
          <w:szCs w:val="24"/>
          <w:lang w:val="es-ES_tradnl"/>
        </w:rPr>
        <w:lastRenderedPageBreak/>
        <w:t>modalidades de entrega; en cualquier caso, se debe fundar y motivar la necesidad de ofrecer otras modalidades.</w:t>
      </w:r>
    </w:p>
    <w:p w:rsidR="001420B1" w:rsidRPr="0051065C" w:rsidRDefault="001420B1" w:rsidP="001420B1">
      <w:pPr>
        <w:spacing w:after="0" w:line="240" w:lineRule="auto"/>
        <w:ind w:left="720"/>
        <w:contextualSpacing/>
        <w:rPr>
          <w:rFonts w:ascii="Palatino Linotype" w:hAnsi="Palatino Linotype" w:cs="Times New Roman"/>
          <w:sz w:val="24"/>
          <w:szCs w:val="24"/>
          <w:lang w:val="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hAnsi="Palatino Linotype" w:cs="Times New Roman"/>
          <w:sz w:val="24"/>
          <w:szCs w:val="24"/>
          <w:lang w:val="es-ES_tradnl"/>
        </w:rPr>
        <w:t>En concordancia con la Ley General, la legislación del Estado de México establece lo siguiente:</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tbl>
      <w:tblPr>
        <w:tblStyle w:val="Tablaconcuadrcula"/>
        <w:tblW w:w="0" w:type="auto"/>
        <w:tblInd w:w="720" w:type="dxa"/>
        <w:tblLook w:val="04A0" w:firstRow="1" w:lastRow="0" w:firstColumn="1" w:lastColumn="0" w:noHBand="0" w:noVBand="1"/>
      </w:tblPr>
      <w:tblGrid>
        <w:gridCol w:w="4043"/>
        <w:gridCol w:w="4065"/>
      </w:tblGrid>
      <w:tr w:rsidR="001420B1" w:rsidRPr="0051065C" w:rsidTr="001420B1">
        <w:tc>
          <w:tcPr>
            <w:tcW w:w="4414" w:type="dxa"/>
          </w:tcPr>
          <w:p w:rsidR="001420B1" w:rsidRPr="0051065C" w:rsidRDefault="001420B1" w:rsidP="001420B1">
            <w:pPr>
              <w:contextualSpacing/>
              <w:rPr>
                <w:rFonts w:ascii="Palatino Linotype" w:eastAsia="Times New Roman" w:hAnsi="Palatino Linotype" w:cs="Times New Roman"/>
                <w:b/>
                <w:shd w:val="clear" w:color="auto" w:fill="FFFFFF"/>
                <w:lang w:eastAsia="es-ES_tradnl"/>
              </w:rPr>
            </w:pPr>
            <w:r w:rsidRPr="0051065C">
              <w:rPr>
                <w:rFonts w:ascii="Palatino Linotype" w:eastAsia="Times New Roman" w:hAnsi="Palatino Linotype" w:cs="Times New Roman"/>
                <w:b/>
                <w:shd w:val="clear" w:color="auto" w:fill="FFFFFF"/>
                <w:lang w:eastAsia="es-ES_tradnl"/>
              </w:rPr>
              <w:t>Ley General de Transparencia y Acceso a la Información Pública</w:t>
            </w:r>
          </w:p>
        </w:tc>
        <w:tc>
          <w:tcPr>
            <w:tcW w:w="4414" w:type="dxa"/>
          </w:tcPr>
          <w:p w:rsidR="001420B1" w:rsidRPr="0051065C" w:rsidRDefault="001420B1" w:rsidP="001420B1">
            <w:pPr>
              <w:contextualSpacing/>
              <w:rPr>
                <w:rFonts w:ascii="Palatino Linotype" w:eastAsia="Times New Roman" w:hAnsi="Palatino Linotype" w:cs="Times New Roman"/>
                <w:b/>
                <w:shd w:val="clear" w:color="auto" w:fill="FFFFFF"/>
                <w:lang w:eastAsia="es-ES_tradnl"/>
              </w:rPr>
            </w:pPr>
            <w:r w:rsidRPr="0051065C">
              <w:rPr>
                <w:rFonts w:ascii="Palatino Linotype" w:eastAsia="Times New Roman" w:hAnsi="Palatino Linotype" w:cs="Times New Roman"/>
                <w:b/>
                <w:shd w:val="clear" w:color="auto" w:fill="FFFFFF"/>
                <w:lang w:eastAsia="es-ES_tradnl"/>
              </w:rPr>
              <w:t>Ley de Transparencia y Acceso a la Información Pública del Estado de México y Municipios</w:t>
            </w:r>
          </w:p>
        </w:tc>
      </w:tr>
      <w:tr w:rsidR="001420B1" w:rsidRPr="0051065C" w:rsidTr="001420B1">
        <w:tc>
          <w:tcPr>
            <w:tcW w:w="4414" w:type="dxa"/>
          </w:tcPr>
          <w:p w:rsidR="001420B1" w:rsidRPr="0051065C" w:rsidRDefault="001420B1" w:rsidP="001420B1">
            <w:pPr>
              <w:ind w:firstLine="288"/>
              <w:jc w:val="both"/>
              <w:rPr>
                <w:rFonts w:ascii="Palatino Linotype" w:eastAsia="Times New Roman" w:hAnsi="Palatino Linotype" w:cs="Arial"/>
                <w:lang w:eastAsia="es-ES_tradnl"/>
              </w:rPr>
            </w:pPr>
            <w:bookmarkStart w:id="26" w:name="Artículo_127"/>
            <w:r w:rsidRPr="0051065C">
              <w:rPr>
                <w:rFonts w:ascii="Palatino Linotype" w:eastAsia="Times New Roman" w:hAnsi="Palatino Linotype" w:cs="Arial"/>
                <w:b/>
                <w:lang w:eastAsia="es-ES_tradnl"/>
              </w:rPr>
              <w:t>Artículo 127</w:t>
            </w:r>
            <w:bookmarkEnd w:id="26"/>
            <w:r w:rsidRPr="0051065C">
              <w:rPr>
                <w:rFonts w:ascii="Palatino Linotype" w:eastAsia="Times New Roman" w:hAnsi="Palatino Linotype" w:cs="Arial"/>
                <w:b/>
                <w:lang w:eastAsia="es-ES_tradnl"/>
              </w:rPr>
              <w:t xml:space="preserve">. De manera excepcional, cuando, de forma fundada y motivada, así lo determine el sujeto obligado, </w:t>
            </w:r>
            <w:r w:rsidRPr="0051065C">
              <w:rPr>
                <w:rFonts w:ascii="Palatino Linotype" w:eastAsia="Times New Roman" w:hAnsi="Palatino Linotype" w:cs="Arial"/>
                <w:lang w:eastAsia="es-ES_tradnl"/>
              </w:rPr>
              <w:t xml:space="preserve">en aquellos casos en que la información solicitada que ya se encuentre en su posesión implique análisis, estudio o procesamiento de documentos </w:t>
            </w:r>
            <w:r w:rsidRPr="0051065C">
              <w:rPr>
                <w:rFonts w:ascii="Palatino Linotype" w:eastAsia="Times New Roman" w:hAnsi="Palatino Linotype" w:cs="Arial"/>
                <w:b/>
                <w:lang w:eastAsia="es-ES_tradnl"/>
              </w:rPr>
              <w:t xml:space="preserve">cuya entrega o reproducción sobrepase </w:t>
            </w:r>
            <w:r w:rsidRPr="0051065C">
              <w:rPr>
                <w:rFonts w:ascii="Palatino Linotype" w:eastAsia="Times New Roman" w:hAnsi="Palatino Linotype" w:cs="Arial"/>
                <w:b/>
                <w:u w:val="single"/>
                <w:lang w:eastAsia="es-ES_tradnl"/>
              </w:rPr>
              <w:t xml:space="preserve">las capacidades técnicas </w:t>
            </w:r>
            <w:r w:rsidRPr="0051065C">
              <w:rPr>
                <w:rFonts w:ascii="Palatino Linotype" w:eastAsia="Times New Roman" w:hAnsi="Palatino Linotype" w:cs="Arial"/>
                <w:b/>
                <w:lang w:eastAsia="es-ES_tradnl"/>
              </w:rPr>
              <w:t xml:space="preserve">del sujeto obligado </w:t>
            </w:r>
            <w:r w:rsidRPr="0051065C">
              <w:rPr>
                <w:rFonts w:ascii="Palatino Linotype" w:eastAsia="Times New Roman" w:hAnsi="Palatino Linotype" w:cs="Arial"/>
                <w:lang w:eastAsia="es-ES_tradnl"/>
              </w:rPr>
              <w:t xml:space="preserve">para cumplir con la solicitud, en los plazos establecidos para dichos efectos, se podrán poner a disposición del </w:t>
            </w:r>
            <w:r w:rsidRPr="0051065C">
              <w:rPr>
                <w:rFonts w:ascii="Palatino Linotype" w:eastAsia="Times New Roman" w:hAnsi="Palatino Linotype" w:cs="Arial"/>
                <w:b/>
                <w:lang w:eastAsia="es-ES_tradnl"/>
              </w:rPr>
              <w:t xml:space="preserve">solicitante los Documentos en consulta directa, </w:t>
            </w:r>
            <w:r w:rsidRPr="0051065C">
              <w:rPr>
                <w:rFonts w:ascii="Palatino Linotype" w:eastAsia="Times New Roman" w:hAnsi="Palatino Linotype" w:cs="Arial"/>
                <w:lang w:eastAsia="es-ES_tradnl"/>
              </w:rPr>
              <w:t>salvo la información clasificada.</w:t>
            </w:r>
          </w:p>
          <w:p w:rsidR="001420B1" w:rsidRPr="0051065C" w:rsidRDefault="001420B1" w:rsidP="001420B1">
            <w:pPr>
              <w:ind w:firstLine="288"/>
              <w:jc w:val="both"/>
              <w:rPr>
                <w:rFonts w:ascii="Palatino Linotype" w:eastAsia="Times New Roman" w:hAnsi="Palatino Linotype" w:cs="Arial"/>
                <w:lang w:eastAsia="es-ES_tradnl"/>
              </w:rPr>
            </w:pPr>
          </w:p>
          <w:p w:rsidR="001420B1" w:rsidRPr="0051065C" w:rsidRDefault="001420B1" w:rsidP="001420B1">
            <w:pPr>
              <w:ind w:firstLine="288"/>
              <w:jc w:val="both"/>
              <w:rPr>
                <w:rFonts w:ascii="Palatino Linotype" w:eastAsia="Times New Roman" w:hAnsi="Palatino Linotype" w:cs="Arial"/>
                <w:lang w:eastAsia="es-ES_tradnl"/>
              </w:rPr>
            </w:pPr>
            <w:r w:rsidRPr="0051065C">
              <w:rPr>
                <w:rFonts w:ascii="Palatino Linotype" w:eastAsia="Times New Roman" w:hAnsi="Palatino Linotype" w:cs="Arial"/>
                <w:lang w:eastAsia="es-ES_tradnl"/>
              </w:rPr>
              <w:t xml:space="preserve">En todo caso se facilitará su copia simple o certificada, así como su reproducción por cualquier medio disponible en las instalaciones del </w:t>
            </w:r>
            <w:r w:rsidRPr="0051065C">
              <w:rPr>
                <w:rFonts w:ascii="Palatino Linotype" w:eastAsia="Times New Roman" w:hAnsi="Palatino Linotype" w:cs="Arial"/>
                <w:lang w:eastAsia="es-ES_tradnl"/>
              </w:rPr>
              <w:lastRenderedPageBreak/>
              <w:t>sujeto obligado o que, en su caso, aporte el solicitante.</w:t>
            </w:r>
          </w:p>
          <w:p w:rsidR="001420B1" w:rsidRPr="0051065C" w:rsidRDefault="001420B1" w:rsidP="001420B1">
            <w:pPr>
              <w:contextualSpacing/>
              <w:rPr>
                <w:rFonts w:ascii="Palatino Linotype" w:eastAsia="Times New Roman" w:hAnsi="Palatino Linotype" w:cs="Times New Roman"/>
                <w:b/>
                <w:shd w:val="clear" w:color="auto" w:fill="FFFFFF"/>
                <w:lang w:eastAsia="es-ES_tradnl"/>
              </w:rPr>
            </w:pPr>
          </w:p>
        </w:tc>
        <w:tc>
          <w:tcPr>
            <w:tcW w:w="4414" w:type="dxa"/>
          </w:tcPr>
          <w:p w:rsidR="001420B1" w:rsidRPr="0051065C" w:rsidRDefault="001420B1" w:rsidP="001420B1">
            <w:pPr>
              <w:ind w:right="3"/>
              <w:jc w:val="both"/>
              <w:rPr>
                <w:rFonts w:ascii="Palatino Linotype" w:eastAsia="Times New Roman" w:hAnsi="Palatino Linotype" w:cs="Times New Roman"/>
                <w:lang w:eastAsia="es-ES_tradnl"/>
              </w:rPr>
            </w:pPr>
            <w:r w:rsidRPr="0051065C">
              <w:rPr>
                <w:rFonts w:ascii="Palatino Linotype" w:eastAsia="Times New Roman" w:hAnsi="Palatino Linotype" w:cs="Times New Roman"/>
                <w:b/>
                <w:bCs/>
                <w:lang w:eastAsia="es-ES_tradnl"/>
              </w:rPr>
              <w:lastRenderedPageBreak/>
              <w:t>Artículo 158.</w:t>
            </w:r>
            <w:r w:rsidRPr="0051065C">
              <w:rPr>
                <w:rFonts w:ascii="Palatino Linotype" w:eastAsia="Times New Roman" w:hAnsi="Palatino Linotype" w:cs="Times New Roman"/>
                <w:lang w:eastAsia="es-ES_tradnl"/>
              </w:rPr>
              <w:t xml:space="preserve"> </w:t>
            </w:r>
            <w:r w:rsidRPr="0051065C">
              <w:rPr>
                <w:rFonts w:ascii="Palatino Linotype" w:eastAsia="Times New Roman" w:hAnsi="Palatino Linotype" w:cs="Times New Roman"/>
                <w:b/>
                <w:bCs/>
                <w:lang w:eastAsia="es-ES_tradnl"/>
              </w:rPr>
              <w:t xml:space="preserve">De manera excepcional, cuando </w:t>
            </w:r>
            <w:r w:rsidRPr="0051065C">
              <w:rPr>
                <w:rFonts w:ascii="Palatino Linotype" w:eastAsia="Times New Roman" w:hAnsi="Palatino Linotype" w:cs="Times New Roman"/>
                <w:b/>
                <w:bCs/>
                <w:u w:val="single"/>
                <w:lang w:eastAsia="es-ES_tradnl"/>
              </w:rPr>
              <w:t>de forma fundada y motivada</w:t>
            </w:r>
            <w:r w:rsidRPr="0051065C">
              <w:rPr>
                <w:rFonts w:ascii="Palatino Linotype" w:eastAsia="Times New Roman" w:hAnsi="Palatino Linotype" w:cs="Times New Roman"/>
                <w:b/>
                <w:bCs/>
                <w:lang w:eastAsia="es-ES_tradnl"/>
              </w:rPr>
              <w:t xml:space="preserve"> así lo determine el sujeto obligado</w:t>
            </w:r>
            <w:r w:rsidRPr="0051065C">
              <w:rPr>
                <w:rFonts w:ascii="Palatino Linotype" w:eastAsia="Times New Roman" w:hAnsi="Palatino Linotype" w:cs="Times New Roman"/>
                <w:lang w:eastAsia="es-ES_tradnl"/>
              </w:rPr>
              <w:t xml:space="preserve">, en aquellos casos en que la información solicitada que ya se encuentre en su posesión implique análisis, estudio o procesamiento de documentos </w:t>
            </w:r>
            <w:r w:rsidRPr="0051065C">
              <w:rPr>
                <w:rFonts w:ascii="Palatino Linotype" w:eastAsia="Times New Roman" w:hAnsi="Palatino Linotype" w:cs="Times New Roman"/>
                <w:b/>
                <w:bCs/>
                <w:lang w:eastAsia="es-ES_tradnl"/>
              </w:rPr>
              <w:t xml:space="preserve">cuya entrega o reproducción sobrepase </w:t>
            </w:r>
            <w:r w:rsidRPr="0051065C">
              <w:rPr>
                <w:rFonts w:ascii="Palatino Linotype" w:eastAsia="Times New Roman" w:hAnsi="Palatino Linotype" w:cs="Times New Roman"/>
                <w:b/>
                <w:bCs/>
                <w:u w:val="single"/>
                <w:lang w:eastAsia="es-ES_tradnl"/>
              </w:rPr>
              <w:t>las capacidades técnicas administrativas y humanas</w:t>
            </w:r>
            <w:r w:rsidRPr="0051065C">
              <w:rPr>
                <w:rFonts w:ascii="Palatino Linotype" w:eastAsia="Times New Roman" w:hAnsi="Palatino Linotype" w:cs="Times New Roman"/>
                <w:b/>
                <w:bCs/>
                <w:lang w:eastAsia="es-ES_tradnl"/>
              </w:rPr>
              <w:t xml:space="preserve"> del sujeto obligado</w:t>
            </w:r>
            <w:r w:rsidRPr="0051065C">
              <w:rPr>
                <w:rFonts w:ascii="Palatino Linotype" w:eastAsia="Times New Roman" w:hAnsi="Palatino Linotype" w:cs="Times New Roman"/>
                <w:lang w:eastAsia="es-ES_tradnl"/>
              </w:rPr>
              <w:t xml:space="preserve"> para cumplir con la solicitud, en los plazos establecidos para dichos efectos,</w:t>
            </w:r>
            <w:r w:rsidRPr="0051065C">
              <w:rPr>
                <w:rFonts w:ascii="Palatino Linotype" w:eastAsia="Times New Roman" w:hAnsi="Palatino Linotype" w:cs="Times New Roman"/>
                <w:b/>
                <w:bCs/>
                <w:lang w:eastAsia="es-ES_tradnl"/>
              </w:rPr>
              <w:t xml:space="preserve"> se podrá poner a disposición del solicitante los documentos en consulta directa</w:t>
            </w:r>
            <w:r w:rsidRPr="0051065C">
              <w:rPr>
                <w:rFonts w:ascii="Palatino Linotype" w:eastAsia="Times New Roman" w:hAnsi="Palatino Linotype" w:cs="Times New Roman"/>
                <w:lang w:eastAsia="es-ES_tradnl"/>
              </w:rPr>
              <w:t>, salvo la información clasificada”.</w:t>
            </w:r>
          </w:p>
          <w:p w:rsidR="001420B1" w:rsidRPr="0051065C" w:rsidRDefault="001420B1" w:rsidP="001420B1">
            <w:pPr>
              <w:contextualSpacing/>
              <w:rPr>
                <w:rFonts w:ascii="Palatino Linotype" w:eastAsia="Times New Roman" w:hAnsi="Palatino Linotype" w:cs="Times New Roman"/>
                <w:b/>
                <w:shd w:val="clear" w:color="auto" w:fill="FFFFFF"/>
                <w:lang w:eastAsia="es-ES_tradnl"/>
              </w:rPr>
            </w:pPr>
          </w:p>
          <w:p w:rsidR="001420B1" w:rsidRPr="0051065C" w:rsidRDefault="001420B1" w:rsidP="001420B1">
            <w:pPr>
              <w:contextualSpacing/>
              <w:rPr>
                <w:rFonts w:ascii="Palatino Linotype" w:eastAsia="Times New Roman" w:hAnsi="Palatino Linotype" w:cs="Times New Roman"/>
                <w:shd w:val="clear" w:color="auto" w:fill="FFFFFF"/>
                <w:lang w:eastAsia="es-ES_tradnl"/>
              </w:rPr>
            </w:pPr>
            <w:r w:rsidRPr="0051065C">
              <w:rPr>
                <w:rFonts w:ascii="Palatino Linotype" w:eastAsia="Times New Roman" w:hAnsi="Palatino Linotype" w:cs="Times New Roman"/>
                <w:shd w:val="clear" w:color="auto" w:fill="FFFFFF"/>
                <w:lang w:eastAsia="es-ES_tradnl"/>
              </w:rPr>
              <w:t xml:space="preserve">En todo caso, se facilitará su copia simple o certificada, así como su reproducción por cualquier medio disponible en las instalaciones del </w:t>
            </w:r>
            <w:r w:rsidRPr="0051065C">
              <w:rPr>
                <w:rFonts w:ascii="Palatino Linotype" w:eastAsia="Times New Roman" w:hAnsi="Palatino Linotype" w:cs="Times New Roman"/>
                <w:shd w:val="clear" w:color="auto" w:fill="FFFFFF"/>
                <w:lang w:eastAsia="es-ES_tradnl"/>
              </w:rPr>
              <w:lastRenderedPageBreak/>
              <w:t>sujeto obligado o que, en su caso, aporte el solicitante.</w:t>
            </w:r>
          </w:p>
        </w:tc>
      </w:tr>
      <w:tr w:rsidR="001420B1" w:rsidRPr="0051065C" w:rsidTr="001420B1">
        <w:tc>
          <w:tcPr>
            <w:tcW w:w="4414" w:type="dxa"/>
          </w:tcPr>
          <w:p w:rsidR="001420B1" w:rsidRPr="0051065C" w:rsidRDefault="001420B1" w:rsidP="001420B1">
            <w:pPr>
              <w:ind w:firstLine="288"/>
              <w:jc w:val="both"/>
              <w:rPr>
                <w:rFonts w:ascii="Palatino Linotype" w:eastAsia="Times New Roman" w:hAnsi="Palatino Linotype" w:cs="Arial"/>
                <w:lang w:eastAsia="es-ES_tradnl"/>
              </w:rPr>
            </w:pPr>
            <w:bookmarkStart w:id="27" w:name="Artículo_133"/>
            <w:r w:rsidRPr="0051065C">
              <w:rPr>
                <w:rFonts w:ascii="Palatino Linotype" w:eastAsia="Times New Roman" w:hAnsi="Palatino Linotype" w:cs="Arial"/>
                <w:b/>
                <w:lang w:eastAsia="es-ES_tradnl"/>
              </w:rPr>
              <w:lastRenderedPageBreak/>
              <w:t>Artículo 133</w:t>
            </w:r>
            <w:bookmarkEnd w:id="27"/>
            <w:r w:rsidRPr="0051065C">
              <w:rPr>
                <w:rFonts w:ascii="Palatino Linotype" w:eastAsia="Times New Roman" w:hAnsi="Palatino Linotype" w:cs="Arial"/>
                <w:b/>
                <w:lang w:eastAsia="es-ES_tradnl"/>
              </w:rPr>
              <w:t xml:space="preserve">. </w:t>
            </w:r>
            <w:r w:rsidRPr="0051065C">
              <w:rPr>
                <w:rFonts w:ascii="Palatino Linotype" w:eastAsia="Times New Roman" w:hAnsi="Palatino Linotype" w:cs="Arial"/>
                <w:lang w:eastAsia="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1420B1" w:rsidRPr="0051065C" w:rsidRDefault="001420B1" w:rsidP="001420B1">
            <w:pPr>
              <w:ind w:firstLine="288"/>
              <w:jc w:val="both"/>
              <w:rPr>
                <w:rFonts w:ascii="Palatino Linotype" w:eastAsia="Times New Roman" w:hAnsi="Palatino Linotype" w:cs="Arial"/>
                <w:b/>
                <w:u w:val="single"/>
                <w:lang w:eastAsia="es-ES_tradnl"/>
              </w:rPr>
            </w:pPr>
            <w:r w:rsidRPr="0051065C">
              <w:rPr>
                <w:rFonts w:ascii="Palatino Linotype" w:eastAsia="Times New Roman" w:hAnsi="Palatino Linotype" w:cs="Arial"/>
                <w:b/>
                <w:u w:val="single"/>
                <w:lang w:eastAsia="es-ES_tradnl"/>
              </w:rPr>
              <w:t>En cualquier caso, se deberá fundar y motivar la necesidad de ofrecer otras modalidades.</w:t>
            </w:r>
          </w:p>
          <w:p w:rsidR="001420B1" w:rsidRPr="0051065C" w:rsidRDefault="001420B1" w:rsidP="001420B1">
            <w:pPr>
              <w:contextualSpacing/>
              <w:rPr>
                <w:rFonts w:ascii="Palatino Linotype" w:eastAsia="Times New Roman" w:hAnsi="Palatino Linotype" w:cs="Times New Roman"/>
                <w:b/>
                <w:shd w:val="clear" w:color="auto" w:fill="FFFFFF"/>
                <w:lang w:eastAsia="es-ES_tradnl"/>
              </w:rPr>
            </w:pPr>
          </w:p>
        </w:tc>
        <w:tc>
          <w:tcPr>
            <w:tcW w:w="4414" w:type="dxa"/>
          </w:tcPr>
          <w:p w:rsidR="001420B1" w:rsidRPr="0051065C" w:rsidRDefault="001420B1" w:rsidP="001420B1">
            <w:pPr>
              <w:contextualSpacing/>
              <w:jc w:val="both"/>
              <w:rPr>
                <w:rFonts w:ascii="Palatino Linotype" w:eastAsia="Times New Roman" w:hAnsi="Palatino Linotype" w:cs="Times New Roman"/>
                <w:shd w:val="clear" w:color="auto" w:fill="FFFFFF"/>
                <w:lang w:eastAsia="es-ES_tradnl"/>
              </w:rPr>
            </w:pPr>
            <w:r w:rsidRPr="0051065C">
              <w:rPr>
                <w:rFonts w:ascii="Palatino Linotype" w:eastAsia="Times New Roman" w:hAnsi="Palatino Linotype" w:cs="Times New Roman"/>
                <w:b/>
                <w:shd w:val="clear" w:color="auto" w:fill="FFFFFF"/>
                <w:lang w:eastAsia="es-ES_tradnl"/>
              </w:rPr>
              <w:t xml:space="preserve">Artículo 164. </w:t>
            </w:r>
            <w:r w:rsidRPr="0051065C">
              <w:rPr>
                <w:rFonts w:ascii="Palatino Linotype" w:eastAsia="Times New Roman" w:hAnsi="Palatino Linotype" w:cs="Times New Roman"/>
                <w:shd w:val="clear" w:color="auto" w:fill="FFFFFF"/>
                <w:lang w:eastAsia="es-ES_tradnl"/>
              </w:rPr>
              <w:t xml:space="preserve">El acceso se dará en la modalidad de entrega y, en su caso, de envío elegidos por el solicitante. Cuando la información no pueda entregarse o enviarse en la modalidad solicitada, el sujeto obligado </w:t>
            </w:r>
            <w:proofErr w:type="gramStart"/>
            <w:r w:rsidRPr="0051065C">
              <w:rPr>
                <w:rFonts w:ascii="Palatino Linotype" w:eastAsia="Times New Roman" w:hAnsi="Palatino Linotype" w:cs="Times New Roman"/>
                <w:shd w:val="clear" w:color="auto" w:fill="FFFFFF"/>
                <w:lang w:eastAsia="es-ES_tradnl"/>
              </w:rPr>
              <w:t>deberá  ofrecer</w:t>
            </w:r>
            <w:proofErr w:type="gramEnd"/>
            <w:r w:rsidRPr="0051065C">
              <w:rPr>
                <w:rFonts w:ascii="Palatino Linotype" w:eastAsia="Times New Roman" w:hAnsi="Palatino Linotype" w:cs="Times New Roman"/>
                <w:shd w:val="clear" w:color="auto" w:fill="FFFFFF"/>
                <w:lang w:eastAsia="es-ES_tradnl"/>
              </w:rPr>
              <w:t xml:space="preserve"> otra u otras modalidades de entrega.</w:t>
            </w:r>
          </w:p>
          <w:p w:rsidR="001420B1" w:rsidRPr="0051065C" w:rsidRDefault="001420B1" w:rsidP="001420B1">
            <w:pPr>
              <w:contextualSpacing/>
              <w:jc w:val="both"/>
              <w:rPr>
                <w:rFonts w:ascii="Palatino Linotype" w:eastAsia="Times New Roman" w:hAnsi="Palatino Linotype" w:cs="Times New Roman"/>
                <w:b/>
                <w:shd w:val="clear" w:color="auto" w:fill="FFFFFF"/>
                <w:lang w:eastAsia="es-ES_tradnl"/>
              </w:rPr>
            </w:pPr>
          </w:p>
          <w:p w:rsidR="001420B1" w:rsidRPr="0051065C" w:rsidRDefault="001420B1" w:rsidP="001420B1">
            <w:pPr>
              <w:contextualSpacing/>
              <w:jc w:val="both"/>
              <w:rPr>
                <w:rFonts w:ascii="Palatino Linotype" w:eastAsia="Times New Roman" w:hAnsi="Palatino Linotype" w:cs="Times New Roman"/>
                <w:b/>
                <w:u w:val="single"/>
                <w:shd w:val="clear" w:color="auto" w:fill="FFFFFF"/>
                <w:lang w:eastAsia="es-ES_tradnl"/>
              </w:rPr>
            </w:pPr>
            <w:r w:rsidRPr="0051065C">
              <w:rPr>
                <w:rFonts w:ascii="Palatino Linotype" w:eastAsia="Times New Roman" w:hAnsi="Palatino Linotype" w:cs="Times New Roman"/>
                <w:b/>
                <w:u w:val="single"/>
                <w:shd w:val="clear" w:color="auto" w:fill="FFFFFF"/>
                <w:lang w:eastAsia="es-ES_tradnl"/>
              </w:rPr>
              <w:t>En cualquier caso, se deberá fundar y motivar la necesidad de ofrecer otras modalidades.</w:t>
            </w:r>
          </w:p>
        </w:tc>
      </w:tr>
    </w:tbl>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De lo anterior, se advierte que la restricción en proporcionar lo solicitado en la modalidad elegida por el solicitante, de manera excepcional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dicho cambio de modalidad que la propia norma establece, es decir que sobrepase las capacidades técnicas, administrativas y humanas.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Pr="0051065C">
        <w:rPr>
          <w:rFonts w:ascii="Palatino Linotype" w:hAnsi="Palatino Linotype" w:cs="Times New Roman"/>
          <w:sz w:val="24"/>
          <w:szCs w:val="24"/>
          <w:lang w:val="es-ES_tradnl"/>
        </w:rPr>
        <w:t xml:space="preserve">por ejemplo, el volumen de la información requerida por una misma persona, mediante numerosas solicitudes de acceso a la información presentadas en un mismo día y que deberán de tramitarse simultáneamente en los plazos definidos por la ley podrán sobrepasar las capacidades administrativas, al tener que retirar a funcionarios públicos del desempeño de sus funciones ordinarias para dedicarse al procesamiento de la </w:t>
      </w:r>
      <w:r w:rsidRPr="0051065C">
        <w:rPr>
          <w:rFonts w:ascii="Palatino Linotype" w:hAnsi="Palatino Linotype" w:cs="Times New Roman"/>
          <w:sz w:val="24"/>
          <w:szCs w:val="24"/>
          <w:lang w:val="es-ES_tradnl"/>
        </w:rPr>
        <w:lastRenderedPageBreak/>
        <w:t>información; y, capacidades humanas, cuando el volumen es tal que sobrepasa las condiciones, especialmente de sujetos obligados con limitadas capacidades de recursos humanos.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Ttulo2"/>
        <w:numPr>
          <w:ilvl w:val="0"/>
          <w:numId w:val="26"/>
        </w:numPr>
        <w:rPr>
          <w:rFonts w:ascii="Palatino Linotype" w:eastAsia="Times New Roman" w:hAnsi="Palatino Linotype" w:cs="Times New Roman"/>
          <w:b/>
          <w:color w:val="auto"/>
          <w:sz w:val="24"/>
          <w:szCs w:val="24"/>
          <w:lang w:val="es-ES_tradnl" w:eastAsia="es-ES_tradnl"/>
        </w:rPr>
      </w:pPr>
      <w:bookmarkStart w:id="28" w:name="_Toc65147994"/>
      <w:r w:rsidRPr="0051065C">
        <w:rPr>
          <w:rFonts w:ascii="Palatino Linotype" w:eastAsia="Times New Roman" w:hAnsi="Palatino Linotype" w:cs="Times New Roman"/>
          <w:b/>
          <w:color w:val="auto"/>
          <w:sz w:val="24"/>
          <w:szCs w:val="24"/>
          <w:lang w:val="es-ES_tradnl" w:eastAsia="es-ES_tradnl"/>
        </w:rPr>
        <w:t>De la acreditación de la legalidad de la resolución del Instituto de Transparencia, Acceso a la Información Pública y Protección de Datos Personales del Estado de México y Municipios.</w:t>
      </w:r>
      <w:bookmarkEnd w:id="28"/>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Como ya se abordado en la presente resolución,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51065C">
        <w:rPr>
          <w:rFonts w:ascii="Palatino Linotype" w:eastAsia="Times New Roman" w:hAnsi="Palatino Linotype" w:cs="Times New Roman"/>
          <w:spacing w:val="-2"/>
          <w:sz w:val="24"/>
          <w:szCs w:val="24"/>
          <w:lang w:val="es-ES_tradnl" w:eastAsia="es-ES_tradnl"/>
        </w:rPr>
        <w:t xml:space="preserve">los </w:t>
      </w:r>
      <w:r w:rsidRPr="0051065C">
        <w:rPr>
          <w:rFonts w:ascii="Palatino Linotype" w:eastAsia="Times New Roman" w:hAnsi="Palatino Linotype" w:cs="Times New Roman"/>
          <w:sz w:val="24"/>
          <w:szCs w:val="24"/>
          <w:lang w:val="es-ES_tradnl" w:eastAsia="es-ES_tradnl"/>
        </w:rPr>
        <w:t>fundamentos y motivos del acto de autoridad, es decir, que exista adecuación entre los motivos aducidos y las normas aplicables, configurándose así las hipótesis</w:t>
      </w:r>
      <w:r w:rsidRPr="0051065C">
        <w:rPr>
          <w:rFonts w:ascii="Palatino Linotype" w:eastAsia="Times New Roman" w:hAnsi="Palatino Linotype" w:cs="Times New Roman"/>
          <w:spacing w:val="-5"/>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normativas.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Sirve de sustento a lo anterior, la jurisprudencia que abajo se cita, la cual ha sido sustento de las numerosas ejecutorias que ha dictado el Poder Judicial de la Federación y que ha sido uno de los sustentos que han dado lugar a las </w:t>
      </w:r>
      <w:r w:rsidRPr="0051065C">
        <w:rPr>
          <w:rFonts w:ascii="Palatino Linotype" w:eastAsia="Times New Roman" w:hAnsi="Palatino Linotype" w:cs="Times New Roman"/>
          <w:sz w:val="24"/>
          <w:szCs w:val="24"/>
          <w:lang w:val="es-ES_tradnl" w:eastAsia="es-ES_tradnl"/>
        </w:rPr>
        <w:lastRenderedPageBreak/>
        <w:t>diversas tesis aisladas y jurisprudenciales que existen en materia de fundamentación y</w:t>
      </w:r>
      <w:r w:rsidRPr="0051065C">
        <w:rPr>
          <w:rFonts w:ascii="Palatino Linotype" w:eastAsia="Times New Roman" w:hAnsi="Palatino Linotype" w:cs="Times New Roman"/>
          <w:spacing w:val="-4"/>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motivación:</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76" w:lineRule="auto"/>
        <w:ind w:left="908" w:right="1121"/>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b/>
          <w:i/>
          <w:lang w:val="es-ES_tradnl" w:eastAsia="es-ES_tradnl"/>
        </w:rPr>
        <w:t xml:space="preserve">“FUNDAMENTACION Y MOTIVACION. </w:t>
      </w:r>
      <w:r w:rsidRPr="0051065C">
        <w:rPr>
          <w:rFonts w:ascii="Palatino Linotype" w:eastAsia="Times New Roman" w:hAnsi="Palatino Linotype" w:cs="Times New Roman"/>
          <w:i/>
          <w:lang w:val="es-ES_tradnl" w:eastAsia="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51065C">
        <w:rPr>
          <w:rFonts w:ascii="Palatino Linotype" w:eastAsia="Times New Roman" w:hAnsi="Palatino Linotype" w:cs="Times New Roman"/>
          <w:i/>
          <w:spacing w:val="-2"/>
          <w:lang w:val="es-ES_tradnl" w:eastAsia="es-ES_tradnl"/>
        </w:rPr>
        <w:t xml:space="preserve"> </w:t>
      </w:r>
      <w:r w:rsidRPr="0051065C">
        <w:rPr>
          <w:rFonts w:ascii="Palatino Linotype" w:eastAsia="Times New Roman" w:hAnsi="Palatino Linotype" w:cs="Times New Roman"/>
          <w:i/>
          <w:lang w:val="es-ES_tradnl" w:eastAsia="es-ES_tradnl"/>
        </w:rPr>
        <w:t>normativas.”</w:t>
      </w:r>
      <w:r w:rsidRPr="0051065C">
        <w:rPr>
          <w:rFonts w:ascii="Palatino Linotype" w:eastAsia="Times New Roman" w:hAnsi="Palatino Linotype" w:cs="Times New Roman"/>
          <w:i/>
          <w:vertAlign w:val="superscript"/>
          <w:lang w:val="es-ES_tradnl" w:eastAsia="es-ES_tradnl"/>
        </w:rPr>
        <w:footnoteReference w:id="13"/>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En este sentido, la Suprema Corte de Justicia de la Nación ha señalado, a través de la siguiente jurisprudencia se ha pronunciado respecto de la congruencia ay exhaustividad de las sentencias:</w:t>
      </w:r>
    </w:p>
    <w:p w:rsidR="001420B1" w:rsidRPr="0051065C" w:rsidRDefault="001420B1" w:rsidP="001420B1">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76" w:lineRule="auto"/>
        <w:ind w:left="502"/>
        <w:contextualSpacing/>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b/>
          <w:i/>
          <w:lang w:val="es-ES_tradnl" w:eastAsia="es-ES_tradnl"/>
        </w:rPr>
        <w:t>“SENTENCIAS DE AMPARO, PRINCIPIOS DE CONGRUENCIA Y EXHAUSTIVIDAD EN LAS.</w:t>
      </w:r>
      <w:r w:rsidRPr="0051065C">
        <w:rPr>
          <w:rFonts w:ascii="Palatino Linotype" w:eastAsia="Times New Roman" w:hAnsi="Palatino Linotype" w:cs="Times New Roman"/>
          <w:i/>
          <w:lang w:val="es-ES_tradnl" w:eastAsia="es-ES_tradnl"/>
        </w:rPr>
        <w:t xml:space="preserve"> De los artículos 77 y 78 de la Ley de Amparo se desprende que </w:t>
      </w:r>
      <w:r w:rsidRPr="0051065C">
        <w:rPr>
          <w:rFonts w:ascii="Palatino Linotype" w:eastAsia="Times New Roman" w:hAnsi="Palatino Linotype" w:cs="Times New Roman"/>
          <w:b/>
          <w:i/>
          <w:u w:val="single"/>
          <w:lang w:val="es-ES_tradnl" w:eastAsia="es-ES_tradnl"/>
        </w:rPr>
        <w:t>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resolutivos, lo que obliga al juzgador,</w:t>
      </w:r>
      <w:r w:rsidRPr="0051065C">
        <w:rPr>
          <w:rFonts w:ascii="Palatino Linotype" w:eastAsia="Times New Roman" w:hAnsi="Palatino Linotype" w:cs="Times New Roman"/>
          <w:i/>
          <w:lang w:val="es-ES_tradnl" w:eastAsia="es-ES_tradnl"/>
        </w:rPr>
        <w:t xml:space="preserve"> tratándose del juicio de amparo contra leyes, a pronunciarse sobre todas y cada una </w:t>
      </w:r>
      <w:r w:rsidRPr="0051065C">
        <w:rPr>
          <w:rFonts w:ascii="Palatino Linotype" w:eastAsia="Times New Roman" w:hAnsi="Palatino Linotype" w:cs="Times New Roman"/>
          <w:i/>
          <w:lang w:val="es-ES_tradnl" w:eastAsia="es-ES_tradnl"/>
        </w:rPr>
        <w:lastRenderedPageBreak/>
        <w:t>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1420B1" w:rsidRPr="0051065C" w:rsidRDefault="001420B1" w:rsidP="001420B1">
      <w:pPr>
        <w:spacing w:after="0" w:line="276" w:lineRule="auto"/>
        <w:ind w:left="502"/>
        <w:contextualSpacing/>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502"/>
        <w:contextualSpacing/>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Amparo en revisión 383/2000. Administradora de Centros Comerciales Santa Fe, S.A. de C.V. 24 de mayo de 2000. Cinco votos. Ponente: Olga Sánchez Cordero de García Villegas. Secretaria: Leticia Flores Díaz.</w:t>
      </w:r>
    </w:p>
    <w:p w:rsidR="001420B1" w:rsidRPr="0051065C" w:rsidRDefault="001420B1" w:rsidP="001420B1">
      <w:pPr>
        <w:spacing w:after="0" w:line="276" w:lineRule="auto"/>
        <w:ind w:left="502"/>
        <w:contextualSpacing/>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502"/>
        <w:contextualSpacing/>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51065C">
        <w:rPr>
          <w:rFonts w:ascii="Palatino Linotype" w:eastAsia="Times New Roman" w:hAnsi="Palatino Linotype" w:cs="Times New Roman"/>
          <w:i/>
          <w:vertAlign w:val="superscript"/>
          <w:lang w:val="es-ES_tradnl" w:eastAsia="es-ES_tradnl"/>
        </w:rPr>
        <w:footnoteReference w:id="14"/>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Por</w:t>
      </w:r>
      <w:r w:rsidRPr="0051065C">
        <w:rPr>
          <w:rFonts w:ascii="Palatino Linotype" w:eastAsia="Times New Roman" w:hAnsi="Palatino Linotype" w:cs="Times New Roman"/>
          <w:spacing w:val="-1"/>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lo</w:t>
      </w:r>
      <w:r w:rsidRPr="0051065C">
        <w:rPr>
          <w:rFonts w:ascii="Palatino Linotype" w:eastAsia="Times New Roman" w:hAnsi="Palatino Linotype" w:cs="Times New Roman"/>
          <w:spacing w:val="-6"/>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tanto,</w:t>
      </w:r>
      <w:r w:rsidRPr="0051065C">
        <w:rPr>
          <w:rFonts w:ascii="Palatino Linotype" w:eastAsia="Times New Roman" w:hAnsi="Palatino Linotype" w:cs="Times New Roman"/>
          <w:spacing w:val="-3"/>
          <w:sz w:val="24"/>
          <w:szCs w:val="24"/>
          <w:lang w:val="es-ES_tradnl" w:eastAsia="es-ES_tradnl"/>
        </w:rPr>
        <w:t xml:space="preserve"> </w:t>
      </w:r>
      <w:r w:rsidRPr="0051065C">
        <w:rPr>
          <w:rFonts w:ascii="Palatino Linotype" w:eastAsia="Times New Roman" w:hAnsi="Palatino Linotype" w:cs="Times New Roman"/>
          <w:sz w:val="24"/>
          <w:szCs w:val="24"/>
          <w:lang w:val="es-ES_tradnl" w:eastAsia="es-ES_tradnl"/>
        </w:rPr>
        <w:t xml:space="preserve">si bien la particular hizo uso legítimo de su derecho de acceso a la información, este Órgano Garante Local en todo momento y en aras de </w:t>
      </w:r>
      <w:r w:rsidRPr="0051065C">
        <w:rPr>
          <w:rFonts w:ascii="Palatino Linotype" w:eastAsia="MS Mincho" w:hAnsi="Palatino Linotype" w:cs="Times New Roman"/>
          <w:sz w:val="24"/>
          <w:szCs w:val="24"/>
          <w:lang w:val="es-ES_tradnl" w:eastAsia="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51065C">
        <w:rPr>
          <w:rFonts w:ascii="Palatino Linotype" w:eastAsia="MS Mincho" w:hAnsi="Palatino Linotype" w:cs="Arial"/>
          <w:sz w:val="24"/>
          <w:szCs w:val="24"/>
          <w:lang w:val="es-ES_tradnl" w:eastAsia="es-ES_tradnl"/>
        </w:rPr>
        <w:t xml:space="preserve">los artículos 158 y 164 de la Ley de Transparencia y Acceso a la Información Pública del Estado de México y Municipios, que señalan lo siguiente: </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76" w:lineRule="auto"/>
        <w:ind w:left="720"/>
        <w:contextualSpacing/>
        <w:rPr>
          <w:rFonts w:ascii="Palatino Linotype" w:eastAsia="Times New Roman" w:hAnsi="Palatino Linotype" w:cs="Times New Roman"/>
          <w:lang w:val="es-ES_tradnl" w:eastAsia="es-ES_tradnl"/>
        </w:rPr>
      </w:pPr>
    </w:p>
    <w:p w:rsidR="001420B1" w:rsidRPr="0051065C" w:rsidRDefault="001420B1" w:rsidP="001420B1">
      <w:pPr>
        <w:spacing w:after="0" w:line="276" w:lineRule="auto"/>
        <w:ind w:left="567" w:right="567"/>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lastRenderedPageBreak/>
        <w:t>“</w:t>
      </w:r>
      <w:r w:rsidRPr="0051065C">
        <w:rPr>
          <w:rFonts w:ascii="Palatino Linotype" w:eastAsia="Times New Roman" w:hAnsi="Palatino Linotype" w:cs="Times New Roman"/>
          <w:b/>
          <w:bCs/>
          <w:i/>
          <w:lang w:val="es-ES_tradnl" w:eastAsia="es-ES_tradnl"/>
        </w:rPr>
        <w:t>Artículo 158.</w:t>
      </w:r>
      <w:r w:rsidRPr="0051065C">
        <w:rPr>
          <w:rFonts w:ascii="Palatino Linotype" w:eastAsia="Times New Roman" w:hAnsi="Palatino Linotype" w:cs="Times New Roman"/>
          <w:i/>
          <w:lang w:val="es-ES_tradnl" w:eastAsia="es-ES_tradnl"/>
        </w:rPr>
        <w:t xml:space="preserve"> </w:t>
      </w:r>
      <w:r w:rsidRPr="0051065C">
        <w:rPr>
          <w:rFonts w:ascii="Palatino Linotype" w:eastAsia="Times New Roman" w:hAnsi="Palatino Linotype" w:cs="Times New Roman"/>
          <w:b/>
          <w:bCs/>
          <w:i/>
          <w:lang w:val="es-ES_tradnl" w:eastAsia="es-ES_tradnl"/>
        </w:rPr>
        <w:t>De manera excepcional, cuando de forma fundada y motivada así lo determine el sujeto obligado</w:t>
      </w:r>
      <w:r w:rsidRPr="0051065C">
        <w:rPr>
          <w:rFonts w:ascii="Palatino Linotype" w:eastAsia="Times New Roman" w:hAnsi="Palatino Linotype" w:cs="Times New Roman"/>
          <w:i/>
          <w:lang w:val="es-ES_tradnl" w:eastAsia="es-ES_tradnl"/>
        </w:rPr>
        <w:t xml:space="preserve">, en aquellos casos en que la información solicitada que ya se encuentre en su posesión implique análisis, estudio o procesamiento de documentos </w:t>
      </w:r>
      <w:r w:rsidRPr="0051065C">
        <w:rPr>
          <w:rFonts w:ascii="Palatino Linotype" w:eastAsia="Times New Roman" w:hAnsi="Palatino Linotype" w:cs="Times New Roman"/>
          <w:b/>
          <w:bCs/>
          <w:i/>
          <w:lang w:val="es-ES_tradnl" w:eastAsia="es-ES_tradnl"/>
        </w:rPr>
        <w:t>cuya entrega o reproducción sobrepase las capacidades técnicas administrativas y humanas del sujeto obligado</w:t>
      </w:r>
      <w:r w:rsidRPr="0051065C">
        <w:rPr>
          <w:rFonts w:ascii="Palatino Linotype" w:eastAsia="Times New Roman" w:hAnsi="Palatino Linotype" w:cs="Times New Roman"/>
          <w:i/>
          <w:lang w:val="es-ES_tradnl" w:eastAsia="es-ES_tradnl"/>
        </w:rPr>
        <w:t xml:space="preserve"> para cumplir con la solicitud, en los plazos establecidos para dichos efectos,</w:t>
      </w:r>
      <w:r w:rsidRPr="0051065C">
        <w:rPr>
          <w:rFonts w:ascii="Palatino Linotype" w:eastAsia="Times New Roman" w:hAnsi="Palatino Linotype" w:cs="Times New Roman"/>
          <w:b/>
          <w:bCs/>
          <w:i/>
          <w:lang w:val="es-ES_tradnl" w:eastAsia="es-ES_tradnl"/>
        </w:rPr>
        <w:t xml:space="preserve"> se podrá poner a disposición del solicitante los documentos en consulta directa</w:t>
      </w:r>
      <w:r w:rsidRPr="0051065C">
        <w:rPr>
          <w:rFonts w:ascii="Palatino Linotype" w:eastAsia="Times New Roman" w:hAnsi="Palatino Linotype" w:cs="Times New Roman"/>
          <w:i/>
          <w:lang w:val="es-ES_tradnl" w:eastAsia="es-ES_tradnl"/>
        </w:rPr>
        <w:t>, salvo la información clasificada”.</w:t>
      </w:r>
    </w:p>
    <w:p w:rsidR="001420B1" w:rsidRPr="0051065C" w:rsidRDefault="001420B1" w:rsidP="001420B1">
      <w:pPr>
        <w:spacing w:after="0" w:line="276" w:lineRule="auto"/>
        <w:ind w:right="567"/>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567" w:right="567"/>
        <w:jc w:val="both"/>
        <w:rPr>
          <w:rFonts w:ascii="Palatino Linotype" w:eastAsia="Times New Roman" w:hAnsi="Palatino Linotype" w:cs="Times New Roman"/>
          <w:b/>
          <w:bCs/>
          <w:i/>
          <w:lang w:val="es-ES_tradnl" w:eastAsia="es-ES_tradnl"/>
        </w:rPr>
      </w:pPr>
      <w:r w:rsidRPr="0051065C">
        <w:rPr>
          <w:rFonts w:ascii="Palatino Linotype" w:eastAsia="Times New Roman" w:hAnsi="Palatino Linotype" w:cs="Times New Roman"/>
          <w:i/>
          <w:lang w:val="es-ES_tradnl" w:eastAsia="es-ES_tradnl"/>
        </w:rPr>
        <w:t>“</w:t>
      </w:r>
      <w:r w:rsidRPr="0051065C">
        <w:rPr>
          <w:rFonts w:ascii="Palatino Linotype" w:eastAsia="Times New Roman" w:hAnsi="Palatino Linotype" w:cs="Times New Roman"/>
          <w:b/>
          <w:bCs/>
          <w:i/>
          <w:lang w:val="es-ES_tradnl" w:eastAsia="es-ES_tradnl"/>
        </w:rPr>
        <w:t>Artículo 164.</w:t>
      </w:r>
      <w:r w:rsidRPr="0051065C">
        <w:rPr>
          <w:rFonts w:ascii="Palatino Linotype" w:eastAsia="Times New Roman" w:hAnsi="Palatino Linotype" w:cs="Times New Roman"/>
          <w:i/>
          <w:lang w:val="es-ES_tradnl" w:eastAsia="es-ES_tradnl"/>
        </w:rPr>
        <w:t xml:space="preserve"> </w:t>
      </w:r>
      <w:r w:rsidRPr="0051065C">
        <w:rPr>
          <w:rFonts w:ascii="Palatino Linotype" w:eastAsia="Times New Roman" w:hAnsi="Palatino Linotype" w:cs="Times New Roman"/>
          <w:b/>
          <w:bCs/>
          <w:i/>
          <w:lang w:val="es-ES_tradnl" w:eastAsia="es-ES_tradnl"/>
        </w:rPr>
        <w:t>El acceso se dará en la modalidad de entrega</w:t>
      </w:r>
      <w:r w:rsidRPr="0051065C">
        <w:rPr>
          <w:rFonts w:ascii="Palatino Linotype" w:eastAsia="Times New Roman" w:hAnsi="Palatino Linotype" w:cs="Times New Roman"/>
          <w:i/>
          <w:lang w:val="es-ES_tradnl" w:eastAsia="es-ES_tradnl"/>
        </w:rPr>
        <w:t xml:space="preserve"> y, en su caso, de envío elegidos por el solicitante</w:t>
      </w:r>
      <w:r w:rsidRPr="0051065C">
        <w:rPr>
          <w:rFonts w:ascii="Palatino Linotype" w:eastAsia="Times New Roman" w:hAnsi="Palatino Linotype" w:cs="Times New Roman"/>
          <w:b/>
          <w:bCs/>
          <w:i/>
          <w:lang w:val="es-ES_tradnl" w:eastAsia="es-ES_tradnl"/>
        </w:rPr>
        <w:t>. Cuando la información no pueda entregarse o enviarse en la modalidad solicitada, el sujeto obligado deberá ofrecer otra u otras modalidades de entrega.</w:t>
      </w:r>
    </w:p>
    <w:p w:rsidR="001420B1" w:rsidRPr="0051065C" w:rsidRDefault="001420B1" w:rsidP="001420B1">
      <w:pPr>
        <w:spacing w:after="0" w:line="276" w:lineRule="auto"/>
        <w:ind w:left="567" w:right="567"/>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567" w:right="567"/>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b/>
          <w:bCs/>
          <w:i/>
          <w:lang w:val="es-ES_tradnl" w:eastAsia="es-ES_tradnl"/>
        </w:rPr>
        <w:t>En cualquier caso, se deberá fundar y motivar la necesidad de ofrecer otras modalidades</w:t>
      </w:r>
      <w:r w:rsidRPr="0051065C">
        <w:rPr>
          <w:rFonts w:ascii="Palatino Linotype" w:eastAsia="Times New Roman" w:hAnsi="Palatino Linotype" w:cs="Times New Roman"/>
          <w:i/>
          <w:lang w:val="es-ES_tradnl" w:eastAsia="es-ES_tradnl"/>
        </w:rPr>
        <w:t>”.</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51065C">
        <w:rPr>
          <w:rFonts w:ascii="Palatino Linotype" w:eastAsia="Times New Roman" w:hAnsi="Palatino Linotype" w:cs="Times New Roman"/>
          <w:sz w:val="24"/>
          <w:szCs w:val="24"/>
          <w:lang w:val="es-ES_tradnl" w:eastAsia="es-ES_tradnl"/>
        </w:rPr>
        <w:t>a</w:t>
      </w:r>
      <w:proofErr w:type="spellEnd"/>
      <w:r w:rsidRPr="0051065C">
        <w:rPr>
          <w:rFonts w:ascii="Palatino Linotype" w:eastAsia="Times New Roman" w:hAnsi="Palatino Linotype" w:cs="Times New Roman"/>
          <w:sz w:val="24"/>
          <w:szCs w:val="24"/>
          <w:lang w:val="es-ES_tradnl" w:eastAsia="es-ES_tradnl"/>
        </w:rPr>
        <w:t xml:space="preserve"> para fines de orientación, mediante consulta directa, mediante expedición de copias simples o certificadas o la reproducción en cualquier otro medio, incluidos lo electrónicos.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En el caso en cuestión la modalidad elegida por el particular fue vía SAIMEX; sin embargo, el sujeto obligado derivado del número de solicitudes de información y recursos de revisión interpuestos en contra del Ayuntamiento </w:t>
      </w:r>
      <w:r w:rsidRPr="0051065C">
        <w:rPr>
          <w:rFonts w:ascii="Palatino Linotype" w:eastAsia="Times New Roman" w:hAnsi="Palatino Linotype" w:cs="Times New Roman"/>
          <w:sz w:val="24"/>
          <w:szCs w:val="24"/>
          <w:lang w:val="es-ES_tradnl" w:eastAsia="es-ES_tradnl"/>
        </w:rPr>
        <w:lastRenderedPageBreak/>
        <w:t xml:space="preserve">de Ixtapan de la Sal en un mismo lapso temporal, sobrepasaron </w:t>
      </w:r>
      <w:r w:rsidRPr="0051065C">
        <w:rPr>
          <w:rFonts w:ascii="Palatino Linotype" w:eastAsia="MS Mincho" w:hAnsi="Palatino Linotype" w:cs="Times New Roman"/>
          <w:sz w:val="24"/>
          <w:szCs w:val="24"/>
          <w:lang w:val="es-ES_tradnl" w:eastAsia="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51065C">
        <w:rPr>
          <w:rFonts w:ascii="Palatino Linotype" w:eastAsia="Times New Roman" w:hAnsi="Palatino Linotype" w:cs="Times New Roman"/>
          <w:bCs/>
          <w:sz w:val="24"/>
          <w:szCs w:val="24"/>
          <w:lang w:val="es-ES_tradnl" w:eastAsia="es-ES_tradnl"/>
        </w:rPr>
        <w:t xml:space="preserve"> manera excepcional, cuando de forma fundada y motivada así lo determine, </w:t>
      </w:r>
      <w:r w:rsidRPr="0051065C">
        <w:rPr>
          <w:rFonts w:ascii="Palatino Linotype" w:eastAsia="Times New Roman" w:hAnsi="Palatino Linotype" w:cs="Times New Roman"/>
          <w:sz w:val="24"/>
          <w:szCs w:val="24"/>
          <w:lang w:val="es-ES_tradnl" w:eastAsia="es-ES_tradnl"/>
        </w:rPr>
        <w:t xml:space="preserve">en aquellos casos en que la información solicitada que ya se encuentre en su posesión implique análisis, estudio o procesamiento de documentos </w:t>
      </w:r>
      <w:r w:rsidRPr="0051065C">
        <w:rPr>
          <w:rFonts w:ascii="Palatino Linotype" w:eastAsia="Times New Roman" w:hAnsi="Palatino Linotype" w:cs="Times New Roman"/>
          <w:bCs/>
          <w:sz w:val="24"/>
          <w:szCs w:val="24"/>
          <w:lang w:val="es-ES_tradnl" w:eastAsia="es-ES_tradnl"/>
        </w:rPr>
        <w:t>cuya entrega o reproducción sobrepase las capacidades técnicas administrativas y humanas del sujeto obligado</w:t>
      </w:r>
      <w:r w:rsidRPr="0051065C">
        <w:rPr>
          <w:rFonts w:ascii="Palatino Linotype" w:eastAsia="Times New Roman" w:hAnsi="Palatino Linotype" w:cs="Times New Roman"/>
          <w:sz w:val="24"/>
          <w:szCs w:val="24"/>
          <w:lang w:val="es-ES_tradnl" w:eastAsia="es-ES_tradnl"/>
        </w:rPr>
        <w:t xml:space="preserve"> para cumplir con la solicitud, en los plazos establecidos para dichos efectos,</w:t>
      </w:r>
      <w:r w:rsidRPr="0051065C">
        <w:rPr>
          <w:rFonts w:ascii="Palatino Linotype" w:eastAsia="Times New Roman" w:hAnsi="Palatino Linotype" w:cs="Times New Roman"/>
          <w:bCs/>
          <w:sz w:val="24"/>
          <w:szCs w:val="24"/>
          <w:lang w:val="es-ES_tradnl" w:eastAsia="es-ES_tradnl"/>
        </w:rPr>
        <w:t xml:space="preserve"> se podrá poner a disposición del solicitante los documentos en consulta directa</w:t>
      </w:r>
      <w:r w:rsidRPr="0051065C">
        <w:rPr>
          <w:rFonts w:ascii="Palatino Linotype" w:eastAsia="Times New Roman" w:hAnsi="Palatino Linotype" w:cs="Times New Roman"/>
          <w:sz w:val="24"/>
          <w:szCs w:val="24"/>
          <w:lang w:val="es-ES_tradnl" w:eastAsia="es-ES_tradnl"/>
        </w:rPr>
        <w:t>, salvo la información clasificada.</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MS Mincho" w:hAnsi="Palatino Linotype" w:cs="Times New Roman"/>
          <w:sz w:val="24"/>
          <w:szCs w:val="24"/>
          <w:lang w:val="es-ES_tradnl" w:eastAsia="es-ES_tradnl"/>
        </w:rPr>
        <w:t xml:space="preserve">En razón de ello, el sujeto obligado no negó el acceso a la información solicitada,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51065C">
        <w:rPr>
          <w:rFonts w:ascii="Palatino Linotype" w:eastAsia="Times New Roman" w:hAnsi="Palatino Linotype" w:cs="Times New Roman"/>
          <w:sz w:val="24"/>
          <w:szCs w:val="24"/>
          <w:lang w:val="es-ES_tradnl" w:eastAsia="es-ES_tradnl"/>
        </w:rPr>
        <w:t xml:space="preserve">como es del conocimiento general, múltiples instancias gubernamentales, ante la pandemia generada por el virus SARS-CoV-2 (COVID-19), anunciaron medidas como la suspensión de </w:t>
      </w:r>
      <w:r w:rsidRPr="0051065C">
        <w:rPr>
          <w:rFonts w:ascii="Palatino Linotype" w:eastAsia="Times New Roman" w:hAnsi="Palatino Linotype" w:cs="Times New Roman"/>
          <w:sz w:val="24"/>
          <w:szCs w:val="24"/>
          <w:lang w:val="es-ES_tradnl" w:eastAsia="es-ES_tradnl"/>
        </w:rPr>
        <w:lastRenderedPageBreak/>
        <w:t>actividades desde el 17 de marzo del dos mil veinte, de manera parcial o total, para evitar el contagio del COVID-19, lo que ha dificultado la continuidad de la gestión pública.</w:t>
      </w:r>
    </w:p>
    <w:p w:rsidR="001420B1" w:rsidRPr="0051065C" w:rsidRDefault="001420B1" w:rsidP="001420B1">
      <w:pPr>
        <w:spacing w:after="0" w:line="240" w:lineRule="auto"/>
        <w:ind w:left="720"/>
        <w:contextualSpacing/>
        <w:rPr>
          <w:rFonts w:ascii="Palatino Linotype" w:eastAsia="MS Mincho"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MS Mincho" w:hAnsi="Palatino Linotype" w:cs="Times New Roman"/>
          <w:sz w:val="24"/>
          <w:szCs w:val="24"/>
          <w:lang w:val="es-ES_tradnl" w:eastAsia="es-ES_tradnl"/>
        </w:rPr>
        <w:t>No obstante, lo anterior, el sujeto obligado ofreció otra modalidad de entrega de la información solicitada mediante la consulta directa de la misma, por ende, no se configura una negativa de proporcionar la información como erróneamente se inconforma el particular y como ha confirmado ese Órgano Garante en su resolución al recurso de inconformidad que se cumplimenta.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Lo anterior, es así ya que de conformidad con lo dispuesto en el artículo 164 del ordenamiento legal referido señala que el </w:t>
      </w:r>
      <w:r w:rsidRPr="0051065C">
        <w:rPr>
          <w:rFonts w:ascii="Palatino Linotype" w:eastAsia="Times New Roman" w:hAnsi="Palatino Linotype" w:cs="Times New Roman"/>
          <w:bCs/>
          <w:sz w:val="24"/>
          <w:szCs w:val="24"/>
          <w:lang w:val="es-ES_tradnl" w:eastAsia="es-ES_tradnl"/>
        </w:rPr>
        <w:t>acceso se dará en la modalidad de entrega</w:t>
      </w:r>
      <w:r w:rsidRPr="0051065C">
        <w:rPr>
          <w:rFonts w:ascii="Palatino Linotype" w:eastAsia="Times New Roman" w:hAnsi="Palatino Linotype" w:cs="Times New Roman"/>
          <w:sz w:val="24"/>
          <w:szCs w:val="24"/>
          <w:lang w:val="es-ES_tradnl" w:eastAsia="es-ES_tradnl"/>
        </w:rPr>
        <w:t xml:space="preserve"> y, en su caso, de envío elegidos por el solicitante</w:t>
      </w:r>
      <w:r w:rsidRPr="0051065C">
        <w:rPr>
          <w:rFonts w:ascii="Palatino Linotype" w:eastAsia="Times New Roman" w:hAnsi="Palatino Linotype" w:cs="Times New Roman"/>
          <w:bCs/>
          <w:sz w:val="24"/>
          <w:szCs w:val="24"/>
          <w:lang w:val="es-ES_tradnl" w:eastAsia="es-ES_tradnl"/>
        </w:rPr>
        <w:t xml:space="preserve"> y que cuando la información no pueda entregarse o enviarse en la modalidad solicitada, el sujeto obligado deberá ofrecer otra u otras modalidades de entrega, lo cual en el presente caso fue la modalidad de consulta directa.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alejándose del principio de legalidad pretende interpretar la norma general en el sentido de establecer una nueva causal de procedencia de dicho medio de impugnación como el idóneo para reclamar </w:t>
      </w:r>
      <w:r w:rsidRPr="0051065C">
        <w:rPr>
          <w:rFonts w:ascii="Palatino Linotype" w:eastAsia="Times New Roman" w:hAnsi="Palatino Linotype" w:cs="Times New Roman"/>
          <w:sz w:val="24"/>
          <w:szCs w:val="24"/>
          <w:lang w:val="es-ES_tradnl" w:eastAsia="es-ES_tradnl"/>
        </w:rPr>
        <w:lastRenderedPageBreak/>
        <w:t>toda clase de negativas de acceso s al información que se imputen a los órganos garantes locales.</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En este orden de ideas, el Órgano Garante Nacional refiere en su resolución lo siguiente:</w:t>
      </w:r>
    </w:p>
    <w:p w:rsidR="001420B1" w:rsidRPr="0051065C" w:rsidRDefault="001420B1" w:rsidP="001420B1">
      <w:pPr>
        <w:spacing w:after="0" w:line="240" w:lineRule="auto"/>
        <w:ind w:left="502"/>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tabs>
          <w:tab w:val="left" w:pos="0"/>
        </w:tabs>
        <w:spacing w:after="0" w:line="276" w:lineRule="auto"/>
        <w:ind w:left="502" w:right="49"/>
        <w:contextualSpacing/>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w:t>
      </w:r>
      <w:r w:rsidRPr="0051065C">
        <w:rPr>
          <w:rFonts w:ascii="Palatino Linotype" w:eastAsia="Times New Roman" w:hAnsi="Palatino Linotype" w:cs="Times New Roman"/>
          <w:b/>
          <w:i/>
          <w:lang w:val="es-ES_tradnl" w:eastAsia="es-ES_tradnl"/>
        </w:rPr>
        <w:t xml:space="preserve">debe existir un obstáculo infranqueable o de difícil superación </w:t>
      </w:r>
      <w:r w:rsidRPr="0051065C">
        <w:rPr>
          <w:rFonts w:ascii="Palatino Linotype" w:eastAsia="Times New Roman" w:hAnsi="Palatino Linotype" w:cs="Times New Roman"/>
          <w:i/>
          <w:lang w:val="es-ES_tradnl" w:eastAsia="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1420B1" w:rsidRPr="0051065C" w:rsidRDefault="001420B1" w:rsidP="001420B1">
      <w:pPr>
        <w:spacing w:after="0" w:line="276" w:lineRule="auto"/>
        <w:ind w:left="502" w:right="18"/>
        <w:contextualSpacing/>
        <w:jc w:val="both"/>
        <w:rPr>
          <w:rFonts w:ascii="Palatino Linotype" w:eastAsia="Times New Roman" w:hAnsi="Palatino Linotype" w:cs="Times New Roman"/>
          <w:i/>
          <w:lang w:val="es-ES_tradnl" w:eastAsia="es-ES_tradnl"/>
        </w:rPr>
      </w:pPr>
    </w:p>
    <w:p w:rsidR="001420B1" w:rsidRPr="0051065C" w:rsidRDefault="001420B1" w:rsidP="001420B1">
      <w:pPr>
        <w:spacing w:after="0" w:line="276" w:lineRule="auto"/>
        <w:ind w:left="502" w:right="18"/>
        <w:contextualSpacing/>
        <w:jc w:val="both"/>
        <w:rPr>
          <w:rFonts w:ascii="Palatino Linotype" w:eastAsia="Times New Roman" w:hAnsi="Palatino Linotype" w:cs="Times New Roman"/>
          <w:i/>
          <w:lang w:val="es-ES_tradnl" w:eastAsia="es-ES_tradnl"/>
        </w:rPr>
      </w:pPr>
      <w:r w:rsidRPr="0051065C">
        <w:rPr>
          <w:rFonts w:ascii="Palatino Linotype" w:eastAsia="Times New Roman" w:hAnsi="Palatino Linotype" w:cs="Times New Roman"/>
          <w:i/>
          <w:lang w:val="es-ES_tradnl" w:eastAsia="es-ES_tradnl"/>
        </w:rPr>
        <w:t>[…]</w:t>
      </w:r>
    </w:p>
    <w:p w:rsidR="001420B1" w:rsidRPr="0051065C" w:rsidRDefault="001420B1" w:rsidP="001420B1">
      <w:pPr>
        <w:adjustRightInd w:val="0"/>
        <w:spacing w:before="240" w:after="360" w:line="276" w:lineRule="auto"/>
        <w:ind w:left="502" w:right="18"/>
        <w:contextualSpacing/>
        <w:jc w:val="both"/>
        <w:rPr>
          <w:rFonts w:ascii="Palatino Linotype" w:eastAsia="Times New Roman" w:hAnsi="Palatino Linotype" w:cs="Times New Roman"/>
          <w:b/>
          <w:i/>
          <w:lang w:val="es-ES_tradnl" w:eastAsia="es-ES_tradnl"/>
        </w:rPr>
      </w:pPr>
      <w:r w:rsidRPr="0051065C">
        <w:rPr>
          <w:rFonts w:ascii="Palatino Linotype" w:eastAsia="Times New Roman" w:hAnsi="Palatino Linotype" w:cs="Times New Roman"/>
          <w:i/>
          <w:lang w:val="es-ES_tradnl" w:eastAsia="es-ES_tradnl"/>
        </w:rPr>
        <w:t xml:space="preserve">Por tanto, resulta obvio que el Sujeto Obligado, no fundó, </w:t>
      </w:r>
      <w:r w:rsidRPr="0051065C">
        <w:rPr>
          <w:rFonts w:ascii="Palatino Linotype" w:eastAsia="Times New Roman" w:hAnsi="Palatino Linotype" w:cs="Times New Roman"/>
          <w:b/>
          <w:i/>
          <w:lang w:val="es-ES_tradnl" w:eastAsia="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a</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la</w:t>
      </w:r>
      <w:r w:rsidRPr="0051065C">
        <w:rPr>
          <w:rFonts w:ascii="Palatino Linotype" w:eastAsia="Times New Roman" w:hAnsi="Palatino Linotype" w:cs="Times New Roman"/>
          <w:b/>
          <w:i/>
          <w:spacing w:val="-2"/>
          <w:lang w:val="es-ES_tradnl" w:eastAsia="es-ES_tradnl"/>
        </w:rPr>
        <w:t xml:space="preserve"> </w:t>
      </w:r>
      <w:r w:rsidRPr="0051065C">
        <w:rPr>
          <w:rFonts w:ascii="Palatino Linotype" w:eastAsia="Times New Roman" w:hAnsi="Palatino Linotype" w:cs="Times New Roman"/>
          <w:b/>
          <w:i/>
          <w:lang w:val="es-ES_tradnl" w:eastAsia="es-ES_tradnl"/>
        </w:rPr>
        <w:t>Información</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Mexiquense</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(SAIMEX),</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pues</w:t>
      </w:r>
      <w:r w:rsidRPr="0051065C">
        <w:rPr>
          <w:rFonts w:ascii="Palatino Linotype" w:eastAsia="Times New Roman" w:hAnsi="Palatino Linotype" w:cs="Times New Roman"/>
          <w:b/>
          <w:i/>
          <w:spacing w:val="-5"/>
          <w:lang w:val="es-ES_tradnl" w:eastAsia="es-ES_tradnl"/>
        </w:rPr>
        <w:t xml:space="preserve"> </w:t>
      </w:r>
      <w:r w:rsidRPr="0051065C">
        <w:rPr>
          <w:rFonts w:ascii="Palatino Linotype" w:eastAsia="Times New Roman" w:hAnsi="Palatino Linotype" w:cs="Times New Roman"/>
          <w:b/>
          <w:i/>
          <w:lang w:val="es-ES_tradnl" w:eastAsia="es-ES_tradnl"/>
        </w:rPr>
        <w:t>la</w:t>
      </w:r>
      <w:r w:rsidRPr="0051065C">
        <w:rPr>
          <w:rFonts w:ascii="Palatino Linotype" w:eastAsia="Times New Roman" w:hAnsi="Palatino Linotype" w:cs="Times New Roman"/>
          <w:b/>
          <w:i/>
          <w:spacing w:val="-3"/>
          <w:lang w:val="es-ES_tradnl" w:eastAsia="es-ES_tradnl"/>
        </w:rPr>
        <w:t xml:space="preserve"> </w:t>
      </w:r>
      <w:r w:rsidRPr="0051065C">
        <w:rPr>
          <w:rFonts w:ascii="Palatino Linotype" w:eastAsia="Times New Roman" w:hAnsi="Palatino Linotype" w:cs="Times New Roman"/>
          <w:b/>
          <w:i/>
          <w:lang w:val="es-ES_tradnl" w:eastAsia="es-ES_tradnl"/>
        </w:rPr>
        <w:t>Ley</w:t>
      </w:r>
      <w:r w:rsidRPr="0051065C">
        <w:rPr>
          <w:rFonts w:ascii="Palatino Linotype" w:eastAsia="Times New Roman" w:hAnsi="Palatino Linotype" w:cs="Times New Roman"/>
          <w:b/>
          <w:i/>
          <w:spacing w:val="-5"/>
          <w:lang w:val="es-ES_tradnl" w:eastAsia="es-ES_tradnl"/>
        </w:rPr>
        <w:t xml:space="preserve"> </w:t>
      </w:r>
      <w:r w:rsidRPr="0051065C">
        <w:rPr>
          <w:rFonts w:ascii="Palatino Linotype" w:eastAsia="Times New Roman" w:hAnsi="Palatino Linotype" w:cs="Times New Roman"/>
          <w:b/>
          <w:i/>
          <w:lang w:val="es-ES_tradnl" w:eastAsia="es-ES_tradnl"/>
        </w:rPr>
        <w:t>de</w:t>
      </w:r>
      <w:r w:rsidRPr="0051065C">
        <w:rPr>
          <w:rFonts w:ascii="Palatino Linotype" w:eastAsia="Times New Roman" w:hAnsi="Palatino Linotype" w:cs="Times New Roman"/>
          <w:b/>
          <w:i/>
          <w:spacing w:val="-9"/>
          <w:lang w:val="es-ES_tradnl" w:eastAsia="es-ES_tradnl"/>
        </w:rPr>
        <w:t xml:space="preserve"> </w:t>
      </w:r>
      <w:r w:rsidRPr="0051065C">
        <w:rPr>
          <w:rFonts w:ascii="Palatino Linotype" w:eastAsia="Times New Roman" w:hAnsi="Palatino Linotype" w:cs="Times New Roman"/>
          <w:b/>
          <w:i/>
          <w:lang w:val="es-ES_tradnl" w:eastAsia="es-ES_tradnl"/>
        </w:rPr>
        <w:t>la</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materia</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no</w:t>
      </w:r>
      <w:r w:rsidRPr="0051065C">
        <w:rPr>
          <w:rFonts w:ascii="Palatino Linotype" w:eastAsia="Times New Roman" w:hAnsi="Palatino Linotype" w:cs="Times New Roman"/>
          <w:b/>
          <w:i/>
          <w:spacing w:val="-4"/>
          <w:lang w:val="es-ES_tradnl" w:eastAsia="es-ES_tradnl"/>
        </w:rPr>
        <w:t xml:space="preserve"> </w:t>
      </w:r>
      <w:r w:rsidRPr="0051065C">
        <w:rPr>
          <w:rFonts w:ascii="Palatino Linotype" w:eastAsia="Times New Roman" w:hAnsi="Palatino Linotype" w:cs="Times New Roman"/>
          <w:b/>
          <w:i/>
          <w:lang w:val="es-ES_tradnl" w:eastAsia="es-ES_tradnl"/>
        </w:rPr>
        <w:t xml:space="preserve">prevé que por el hecho de ser mucha la información o porque se interpongan diversas solicitudes por parte de un particular </w:t>
      </w:r>
      <w:r w:rsidRPr="0051065C">
        <w:rPr>
          <w:rFonts w:ascii="Palatino Linotype" w:eastAsia="Times New Roman" w:hAnsi="Palatino Linotype" w:cs="Times New Roman"/>
          <w:b/>
          <w:i/>
          <w:spacing w:val="-3"/>
          <w:lang w:val="es-ES_tradnl" w:eastAsia="es-ES_tradnl"/>
        </w:rPr>
        <w:t xml:space="preserve">se </w:t>
      </w:r>
      <w:r w:rsidRPr="0051065C">
        <w:rPr>
          <w:rFonts w:ascii="Palatino Linotype" w:eastAsia="Times New Roman" w:hAnsi="Palatino Linotype" w:cs="Times New Roman"/>
          <w:b/>
          <w:i/>
          <w:lang w:val="es-ES_tradnl" w:eastAsia="es-ES_tradnl"/>
        </w:rPr>
        <w:t>cambie la modalidad…”</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Efectivamente, como bien lo señala el Órgano Garante Nacional la ley no establece que por el hecho de ser mucha información o porque se interpongan diversas solicitudes de información por parte de un particular se cambie la modalidad; sin embargo, tampoco establece que deba de “</w:t>
      </w:r>
      <w:r w:rsidRPr="0051065C">
        <w:rPr>
          <w:rFonts w:ascii="Palatino Linotype" w:eastAsia="Times New Roman" w:hAnsi="Palatino Linotype" w:cs="Times New Roman"/>
          <w:i/>
          <w:sz w:val="24"/>
          <w:szCs w:val="24"/>
          <w:lang w:val="es-ES_tradnl" w:eastAsia="es-ES_tradnl"/>
        </w:rPr>
        <w:t>existir un obstáculo infranqueable o de difícil superación”</w:t>
      </w:r>
      <w:r w:rsidRPr="0051065C">
        <w:rPr>
          <w:rFonts w:ascii="Palatino Linotype" w:eastAsia="Times New Roman" w:hAnsi="Palatino Linotype" w:cs="Times New Roman"/>
          <w:sz w:val="24"/>
          <w:szCs w:val="24"/>
          <w:lang w:val="es-ES_tradnl" w:eastAsia="es-ES_tradnl"/>
        </w:rPr>
        <w:t xml:space="preserve">, es mas en su resolución, derivado de su estudio interpretativo de la ley no define y deja claro que debe entenderse por </w:t>
      </w:r>
      <w:r w:rsidRPr="0051065C">
        <w:rPr>
          <w:rFonts w:ascii="Palatino Linotype" w:eastAsia="Times New Roman" w:hAnsi="Palatino Linotype" w:cs="Times New Roman"/>
          <w:i/>
          <w:sz w:val="24"/>
          <w:szCs w:val="24"/>
          <w:lang w:val="es-ES_tradnl" w:eastAsia="es-ES_tradnl"/>
        </w:rPr>
        <w:lastRenderedPageBreak/>
        <w:t>“obstáculo infranqueable o de difícil superación”</w:t>
      </w:r>
      <w:r w:rsidRPr="0051065C">
        <w:rPr>
          <w:rFonts w:ascii="Palatino Linotype" w:eastAsia="Times New Roman" w:hAnsi="Palatino Linotype" w:cs="Times New Roman"/>
          <w:sz w:val="24"/>
          <w:szCs w:val="24"/>
          <w:lang w:val="es-ES_tradnl" w:eastAsia="es-ES_tradnl"/>
        </w:rPr>
        <w:t xml:space="preserve"> limitándose únicamente a señalar que el sujeto obligado no fundó, motivo ni justificó a cabalidad la imposibilidad de entregar la información solicitada en el formato elegido.</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51065C">
        <w:rPr>
          <w:rFonts w:ascii="Palatino Linotype" w:eastAsia="Times New Roman" w:hAnsi="Palatino Linotype" w:cs="Times New Roman"/>
          <w:sz w:val="24"/>
          <w:szCs w:val="24"/>
          <w:lang w:val="es-ES_tradnl" w:eastAsia="es-ES_tradnl"/>
        </w:rPr>
        <w:t>de el</w:t>
      </w:r>
      <w:proofErr w:type="spellEnd"/>
      <w:r w:rsidRPr="0051065C">
        <w:rPr>
          <w:rFonts w:ascii="Palatino Linotype" w:eastAsia="Times New Roman" w:hAnsi="Palatino Linotype" w:cs="Times New Roman"/>
          <w:sz w:val="24"/>
          <w:szCs w:val="24"/>
          <w:lang w:val="es-ES_tradnl" w:eastAsia="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Asimismo se reitera que no existe una limitante en cada ciudadano para el ejercicio del derecho de acceso a la información, al contrario una de las funciones primordiales de los organismos garantes es la de </w:t>
      </w:r>
      <w:r w:rsidRPr="0051065C">
        <w:rPr>
          <w:rFonts w:ascii="Palatino Linotype" w:eastAsia="MS Mincho" w:hAnsi="Palatino Linotype" w:cs="Times New Roman"/>
          <w:b/>
          <w:sz w:val="24"/>
          <w:szCs w:val="24"/>
          <w:lang w:val="es-ES_tradnl" w:eastAsia="es-ES_tradnl"/>
        </w:rPr>
        <w:t>promover</w:t>
      </w:r>
      <w:r w:rsidRPr="0051065C">
        <w:rPr>
          <w:rFonts w:ascii="Palatino Linotype" w:eastAsia="MS Mincho" w:hAnsi="Palatino Linotype" w:cs="Times New Roman"/>
          <w:sz w:val="24"/>
          <w:szCs w:val="24"/>
          <w:lang w:val="es-ES_tradnl" w:eastAsia="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w:t>
      </w:r>
      <w:r w:rsidRPr="0051065C">
        <w:rPr>
          <w:rFonts w:ascii="Palatino Linotype" w:eastAsia="MS Mincho" w:hAnsi="Palatino Linotype" w:cs="Times New Roman"/>
          <w:sz w:val="24"/>
          <w:szCs w:val="24"/>
          <w:lang w:val="es-ES_tradnl" w:eastAsia="es-ES_tradnl"/>
        </w:rPr>
        <w:lastRenderedPageBreak/>
        <w:t>cambio de modalidad de entrega de la información con base en lo dispuesto por los artículos 158 y 164 de la Ley de Transparencia y Acceso a la Información Pública del Estado de México y Municipios,</w:t>
      </w:r>
      <w:r w:rsidRPr="0051065C">
        <w:rPr>
          <w:rFonts w:ascii="Palatino Linotype" w:eastAsia="Times New Roman" w:hAnsi="Palatino Linotype" w:cs="Times New Roman"/>
          <w:sz w:val="24"/>
          <w:szCs w:val="24"/>
          <w:lang w:val="es-ES_tradnl" w:eastAsia="es-ES_tradnl"/>
        </w:rPr>
        <w:t xml:space="preserve"> para dar cumplimiento y salvaguardar el derecho de acceso a la información pública.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Es así que, derivado del cúmulo de solicitudes de información, </w:t>
      </w:r>
      <w:r w:rsidRPr="0051065C">
        <w:rPr>
          <w:rFonts w:ascii="Palatino Linotype" w:eastAsia="Times New Roman" w:hAnsi="Palatino Linotype" w:cs="Times New Roman"/>
          <w:b/>
          <w:sz w:val="24"/>
          <w:szCs w:val="24"/>
          <w:lang w:val="es-ES_tradnl" w:eastAsia="es-ES_tradnl"/>
        </w:rPr>
        <w:t>y del múltiple soporte documental que implica todas y cada una de las solicitudes</w:t>
      </w:r>
      <w:r w:rsidRPr="0051065C">
        <w:rPr>
          <w:rFonts w:ascii="Palatino Linotype" w:eastAsia="Times New Roman" w:hAnsi="Palatino Linotype" w:cs="Times New Roman"/>
          <w:sz w:val="24"/>
          <w:szCs w:val="24"/>
          <w:lang w:val="es-ES_tradnl" w:eastAsia="es-ES_tradnl"/>
        </w:rPr>
        <w:t xml:space="preserve"> de </w:t>
      </w:r>
      <w:r w:rsidRPr="0051065C">
        <w:rPr>
          <w:rFonts w:ascii="Palatino Linotype" w:eastAsia="Times New Roman" w:hAnsi="Palatino Linotype" w:cs="Times New Roman"/>
          <w:b/>
          <w:sz w:val="24"/>
          <w:szCs w:val="24"/>
          <w:lang w:val="es-ES_tradnl" w:eastAsia="es-ES_tradnl"/>
        </w:rPr>
        <w:t>información</w:t>
      </w:r>
      <w:r w:rsidRPr="0051065C">
        <w:rPr>
          <w:rFonts w:ascii="Palatino Linotype" w:eastAsia="Times New Roman" w:hAnsi="Palatino Linotype" w:cs="Times New Roman"/>
          <w:sz w:val="24"/>
          <w:szCs w:val="24"/>
          <w:lang w:val="es-ES_tradnl" w:eastAsia="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51065C">
        <w:rPr>
          <w:rFonts w:ascii="Palatino Linotype" w:eastAsia="MS Mincho" w:hAnsi="Palatino Linotype" w:cs="Times New Roman"/>
          <w:sz w:val="24"/>
          <w:szCs w:val="24"/>
          <w:lang w:val="es-ES_tradnl" w:eastAsia="es-ES_tradnl"/>
        </w:rPr>
        <w:t xml:space="preserve"> sumando que cuenta con personal limitado debido a la emergencia sanitaria que impera.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w:t>
      </w:r>
      <w:r w:rsidRPr="0051065C">
        <w:rPr>
          <w:rFonts w:ascii="Palatino Linotype" w:eastAsia="Times New Roman" w:hAnsi="Palatino Linotype" w:cs="Times New Roman"/>
          <w:sz w:val="24"/>
          <w:szCs w:val="24"/>
          <w:lang w:val="es-ES_tradnl" w:eastAsia="es-ES_tradnl"/>
        </w:rPr>
        <w:lastRenderedPageBreak/>
        <w:t>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No obstante, ello, el Sujeto Obligado de las 1990 solicitudes de información que recibió en el ejercicio 2020, atendió en tiempo 1968, teniendo un porcentaje de solicitudes atendidas en tiempo del 98.89%, de las 1990 solicitudes únicamente en 193 se solicitó </w:t>
      </w:r>
      <w:r w:rsidR="008251E9" w:rsidRPr="0051065C">
        <w:rPr>
          <w:rFonts w:ascii="Palatino Linotype" w:eastAsia="Times New Roman" w:hAnsi="Palatino Linotype" w:cs="Times New Roman"/>
          <w:sz w:val="24"/>
          <w:szCs w:val="24"/>
          <w:lang w:val="es-ES_tradnl" w:eastAsia="es-ES_tradnl"/>
        </w:rPr>
        <w:t>prórroga</w:t>
      </w:r>
      <w:r w:rsidRPr="0051065C">
        <w:rPr>
          <w:rFonts w:ascii="Palatino Linotype" w:eastAsia="Times New Roman" w:hAnsi="Palatino Linotype" w:cs="Times New Roman"/>
          <w:sz w:val="24"/>
          <w:szCs w:val="24"/>
          <w:lang w:val="es-ES_tradnl" w:eastAsia="es-ES_tradnl"/>
        </w:rPr>
        <w:t xml:space="preserve"> para atenderlas, es decir un 9.70%; asimismo, el sujeto obligado tuvo que atender los 1439 recursos de revisión interpuestos.</w:t>
      </w:r>
      <w:r w:rsidRPr="0051065C">
        <w:rPr>
          <w:rFonts w:ascii="Palatino Linotype" w:eastAsia="Times New Roman" w:hAnsi="Palatino Linotype" w:cs="Times New Roman"/>
          <w:sz w:val="24"/>
          <w:szCs w:val="24"/>
          <w:vertAlign w:val="superscript"/>
          <w:lang w:val="es-ES_tradnl" w:eastAsia="es-ES_tradnl"/>
        </w:rPr>
        <w:footnoteReference w:id="15"/>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Luego entonces, se insiste, nos encontramos en un caso </w:t>
      </w:r>
      <w:r w:rsidRPr="0051065C">
        <w:rPr>
          <w:rFonts w:ascii="Palatino Linotype" w:eastAsia="Times New Roman" w:hAnsi="Palatino Linotype" w:cs="Times New Roman"/>
          <w:i/>
          <w:sz w:val="24"/>
          <w:szCs w:val="24"/>
          <w:lang w:val="es-ES_tradnl" w:eastAsia="es-ES_tradnl"/>
        </w:rPr>
        <w:t>sui generis</w:t>
      </w:r>
      <w:r w:rsidRPr="0051065C">
        <w:rPr>
          <w:rFonts w:ascii="Palatino Linotype" w:eastAsia="Times New Roman" w:hAnsi="Palatino Linotype" w:cs="Times New Roman"/>
          <w:sz w:val="24"/>
          <w:szCs w:val="24"/>
          <w:lang w:val="es-ES_tradnl" w:eastAsia="es-ES_tradnl"/>
        </w:rPr>
        <w:t xml:space="preserve"> donde se confronta un déficit humano; al contar únicamente con personal limitado; un déficit material; un déficit intangible, al no contar con el tiempo suficiente, y; </w:t>
      </w:r>
      <w:r w:rsidRPr="0051065C">
        <w:rPr>
          <w:rFonts w:ascii="Palatino Linotype" w:eastAsia="Times New Roman" w:hAnsi="Palatino Linotype" w:cs="Times New Roman"/>
          <w:sz w:val="24"/>
          <w:szCs w:val="24"/>
          <w:lang w:val="es-ES_tradnl" w:eastAsia="es-ES_tradnl"/>
        </w:rPr>
        <w:lastRenderedPageBreak/>
        <w:t>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lang w:val="es-ES_tradnl" w:eastAsia="es-ES_tradnl"/>
        </w:rPr>
        <w:t xml:space="preserve">Por lo tanto, la decisión de este Instituto en confirmar el cambio de modalidad, obedeció a que el sujeto obligado de conformidad con el artículo 158 de la Ley de Transparencia y Acceso a la Información del Estado de México y Municipios, de manera excepcional y de forma fundada y motivada y debido a que se sobrepasaron las  capacidades administrativas y humanas, se </w:t>
      </w:r>
      <w:r w:rsidR="008251E9" w:rsidRPr="0051065C">
        <w:rPr>
          <w:rFonts w:ascii="Palatino Linotype" w:eastAsia="Times New Roman" w:hAnsi="Palatino Linotype" w:cs="Times New Roman"/>
          <w:sz w:val="24"/>
          <w:szCs w:val="24"/>
          <w:lang w:val="es-ES_tradnl" w:eastAsia="es-ES_tradnl"/>
        </w:rPr>
        <w:t>modificó</w:t>
      </w:r>
      <w:r w:rsidRPr="0051065C">
        <w:rPr>
          <w:rFonts w:ascii="Palatino Linotype" w:eastAsia="Times New Roman" w:hAnsi="Palatino Linotype" w:cs="Times New Roman"/>
          <w:sz w:val="24"/>
          <w:szCs w:val="24"/>
          <w:lang w:val="es-ES_tradnl" w:eastAsia="es-ES_tradnl"/>
        </w:rPr>
        <w:t xml:space="preserve"> 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Aunado a lo anterior, conviene recordarle al Órgano Garante que las capacidades técnicas, administrativas y humanas de los sujetos obligados no son iguales, por ejemplo: no es posible comparar las capacidades humanas, financieras y materiales de una Secretaría de Estado como la Secretaría de Hacienda y Crédito Público con el Municipio de Ixtapan de la Sal, que es un </w:t>
      </w:r>
      <w:r w:rsidRPr="0051065C">
        <w:rPr>
          <w:rFonts w:ascii="Palatino Linotype" w:eastAsia="Times New Roman" w:hAnsi="Palatino Linotype" w:cs="Times New Roman"/>
          <w:sz w:val="24"/>
          <w:szCs w:val="24"/>
          <w:shd w:val="clear" w:color="auto" w:fill="FFFFFF"/>
          <w:lang w:val="es-ES_tradnl" w:eastAsia="es-ES_tradnl"/>
        </w:rPr>
        <w:lastRenderedPageBreak/>
        <w:t>Municipio de menos de 50 mil habitantes, cuyo personal y presupuesto en nada se iguala o se compara con una Secretaria u organismo a nivel federal.</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Finalmente, es de señalar que el Órgano Garante Nacional señala a su parecer que la información solicitada por el particular constituye parte de sus obligaciones de transparencia comunes que debían estar de manera permanente y actualizada en los respectivos medios electrónicos y que por ello su entrega resultaba sencilla para el sujeto obligado; sin embargo, pasa por alto que aún y cuando dicha información constituya parte de sus obligaciones de transparencia comunes, ello implica necesariamente un análisis, estudio o procesamiento de documentos por parte del sujeto obligado para poder atender las solicitudes de información, ya que su atención no se limita a entregar o copiar y pegar el enlace electrónico o link de IPOMEX o de la Plataforma Nacional, sino que implica una búsqueda, identificación y localización de la información solicitada para proporcionar el link específico que permite llegar a la información que particularmente se ha solicitado.</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Ttulo2"/>
        <w:numPr>
          <w:ilvl w:val="0"/>
          <w:numId w:val="26"/>
        </w:numPr>
        <w:rPr>
          <w:rFonts w:ascii="Palatino Linotype" w:eastAsia="Times New Roman" w:hAnsi="Palatino Linotype" w:cs="Times New Roman"/>
          <w:b/>
          <w:color w:val="auto"/>
          <w:sz w:val="24"/>
          <w:szCs w:val="24"/>
          <w:lang w:val="es-ES_tradnl" w:eastAsia="es-ES_tradnl"/>
        </w:rPr>
      </w:pPr>
      <w:bookmarkStart w:id="29" w:name="_Toc65147995"/>
      <w:r w:rsidRPr="0051065C">
        <w:rPr>
          <w:rFonts w:ascii="Palatino Linotype" w:eastAsia="Times New Roman" w:hAnsi="Palatino Linotype" w:cs="Times New Roman"/>
          <w:b/>
          <w:color w:val="auto"/>
          <w:sz w:val="24"/>
          <w:szCs w:val="24"/>
          <w:lang w:val="es-ES_tradnl" w:eastAsia="es-ES_tradnl"/>
        </w:rPr>
        <w:t>De las deficiencias en la resolución del recurso de inconformidad emitida por el Instituto Nacional de Transparencia, Acceso a la Información Pública y Protección de Datos Personales.</w:t>
      </w:r>
      <w:bookmarkEnd w:id="29"/>
      <w:r w:rsidRPr="0051065C">
        <w:rPr>
          <w:rFonts w:ascii="Palatino Linotype" w:eastAsia="Times New Roman" w:hAnsi="Palatino Linotype" w:cs="Times New Roman"/>
          <w:b/>
          <w:color w:val="auto"/>
          <w:sz w:val="24"/>
          <w:szCs w:val="24"/>
          <w:lang w:val="es-ES_tradnl" w:eastAsia="es-ES_tradnl"/>
        </w:rPr>
        <w:t xml:space="preserve"> </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lastRenderedPageBreak/>
        <w:t>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notoriamente improcedente.</w:t>
      </w:r>
    </w:p>
    <w:p w:rsidR="001420B1" w:rsidRPr="0051065C" w:rsidRDefault="001420B1" w:rsidP="001420B1">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Asimismo, dicho principio de legalidad se contraviene ya que la resolución de mérito se encuentra fundamentada en una sentencia a un amparo indirecto, el cual va más allá de ser un criterio orientador, pretende darle a una sentencia de amparo efectos erga omnes, dándole efectos expansivos mayores que una jurisprudencia, sino de dotarla de fuerza legal, constituyéndose en legislador y creador de normas para decidir sobre el actuar de los órganos garantes locales.</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B16D07" w:rsidRPr="0051065C" w:rsidRDefault="00B16D07" w:rsidP="00B16D07">
      <w:pPr>
        <w:pStyle w:val="Prrafodelista"/>
        <w:rPr>
          <w:rFonts w:ascii="Palatino Linotype" w:hAnsi="Palatino Linotype"/>
          <w:shd w:val="clear" w:color="auto" w:fill="FFFFFF"/>
          <w:lang w:val="es-ES_tradnl"/>
        </w:rPr>
      </w:pPr>
    </w:p>
    <w:p w:rsidR="00B16D07" w:rsidRPr="0051065C" w:rsidRDefault="00B16D07" w:rsidP="00975693">
      <w:pPr>
        <w:pStyle w:val="Ttulo1"/>
        <w:numPr>
          <w:ilvl w:val="0"/>
          <w:numId w:val="26"/>
        </w:numPr>
        <w:rPr>
          <w:rFonts w:ascii="Palatino Linotype" w:eastAsia="Times New Roman" w:hAnsi="Palatino Linotype" w:cs="Times New Roman"/>
          <w:b/>
          <w:color w:val="auto"/>
          <w:sz w:val="24"/>
          <w:szCs w:val="24"/>
          <w:shd w:val="clear" w:color="auto" w:fill="FFFFFF"/>
          <w:lang w:val="es-ES_tradnl" w:eastAsia="es-ES_tradnl"/>
        </w:rPr>
      </w:pPr>
      <w:bookmarkStart w:id="30" w:name="_Toc65147996"/>
      <w:r w:rsidRPr="0051065C">
        <w:rPr>
          <w:rFonts w:ascii="Palatino Linotype" w:eastAsia="Times New Roman" w:hAnsi="Palatino Linotype" w:cs="Times New Roman"/>
          <w:b/>
          <w:color w:val="auto"/>
          <w:sz w:val="24"/>
          <w:szCs w:val="24"/>
          <w:shd w:val="clear" w:color="auto" w:fill="FFFFFF"/>
          <w:lang w:val="es-ES_tradnl" w:eastAsia="es-ES_tradnl"/>
        </w:rPr>
        <w:lastRenderedPageBreak/>
        <w:t xml:space="preserve">Del análisis y estudio </w:t>
      </w:r>
      <w:r w:rsidR="00975693" w:rsidRPr="0051065C">
        <w:rPr>
          <w:rFonts w:ascii="Palatino Linotype" w:eastAsia="Times New Roman" w:hAnsi="Palatino Linotype" w:cs="Times New Roman"/>
          <w:b/>
          <w:color w:val="auto"/>
          <w:sz w:val="24"/>
          <w:szCs w:val="24"/>
          <w:shd w:val="clear" w:color="auto" w:fill="FFFFFF"/>
          <w:lang w:val="es-ES_tradnl" w:eastAsia="es-ES_tradnl"/>
        </w:rPr>
        <w:t>hecho valer por el Inai de la información solicitada</w:t>
      </w:r>
      <w:bookmarkEnd w:id="30"/>
    </w:p>
    <w:p w:rsidR="00B16D07" w:rsidRPr="0051065C" w:rsidRDefault="00B16D07" w:rsidP="00B16D07">
      <w:pPr>
        <w:pStyle w:val="Prrafodelista"/>
        <w:rPr>
          <w:rFonts w:ascii="Palatino Linotype" w:hAnsi="Palatino Linotype"/>
          <w:shd w:val="clear" w:color="auto" w:fill="FFFFFF"/>
          <w:lang w:val="es-ES_tradnl"/>
        </w:rPr>
      </w:pPr>
    </w:p>
    <w:p w:rsidR="00975693" w:rsidRPr="0051065C" w:rsidRDefault="00975693"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El Órgano Garante Federal preciso que, </w:t>
      </w:r>
      <w:r w:rsidR="00B16D07" w:rsidRPr="0051065C">
        <w:rPr>
          <w:rFonts w:ascii="Palatino Linotype" w:eastAsia="Times New Roman" w:hAnsi="Palatino Linotype" w:cs="Times New Roman"/>
          <w:sz w:val="24"/>
          <w:szCs w:val="24"/>
          <w:shd w:val="clear" w:color="auto" w:fill="FFFFFF"/>
          <w:lang w:val="es-ES_tradnl" w:eastAsia="es-ES_tradnl"/>
        </w:rPr>
        <w:t xml:space="preserve"> en cuanto a la modalidad en que el sujeto obligado debería contar con la información, cabe recordar que se le solicitó “... toda la información y documentación generada en el proceso de regularización de bienes inmuebles en cumplimiento de la atribución que le confiere el artículo 53 fracción VIII de la Ley Orgánica Municipal del Estado de México y toda la información y documentación generada en el proceso de inscripción de los bienes inmuebles municipales en el Registro Público de la Propiedad, hoy Instituto de la Función Registral, en cumplimiento de la atribución que le confiere el artículo 53 fracción IX de la Ley Orgánica Municipal del Estado de México”. </w:t>
      </w:r>
    </w:p>
    <w:p w:rsidR="00975693" w:rsidRPr="0051065C" w:rsidRDefault="00975693" w:rsidP="00975693">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975693" w:rsidRPr="0051065C" w:rsidRDefault="00B16D07"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En ese sentido, de una revisión a las obligaciones de transparencia señaladas en la Ley de Transparencia y Acceso a la Información Pública del Estado de México y Municipios, establecidas en su artículo 92, no se desprende que dicha información deba obrar en electrónico. </w:t>
      </w:r>
    </w:p>
    <w:p w:rsidR="00975693" w:rsidRPr="0051065C" w:rsidRDefault="00975693" w:rsidP="00975693">
      <w:pPr>
        <w:pStyle w:val="Prrafodelista"/>
        <w:rPr>
          <w:rFonts w:ascii="Palatino Linotype" w:hAnsi="Palatino Linotype"/>
          <w:shd w:val="clear" w:color="auto" w:fill="FFFFFF"/>
          <w:lang w:val="es-ES_tradnl"/>
        </w:rPr>
      </w:pPr>
    </w:p>
    <w:p w:rsidR="00B16D07" w:rsidRPr="0051065C" w:rsidRDefault="00B16D07"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Asimismo, de una revisión exhaustiva a su Ley Orgánica Municipal del Estado de México y su Ley de Bienes del Estado de México y de sus municipios, no se denota obligación de detentarlas en electrónico. En ese tenor, en tanto </w:t>
      </w:r>
      <w:r w:rsidRPr="0051065C">
        <w:rPr>
          <w:rFonts w:ascii="Palatino Linotype" w:eastAsia="Times New Roman" w:hAnsi="Palatino Linotype" w:cs="Times New Roman"/>
          <w:sz w:val="24"/>
          <w:szCs w:val="24"/>
          <w:shd w:val="clear" w:color="auto" w:fill="FFFFFF"/>
          <w:lang w:val="es-ES_tradnl" w:eastAsia="es-ES_tradnl"/>
        </w:rPr>
        <w:lastRenderedPageBreak/>
        <w:t>que la información interés del particular obra en los archivos del sujeto obligado local en tanto que las puso a disposición en consulta directa y derivado de todo lo anterior, la inconformidad hecha valer deviene en fundada, en tanto que la justificación del cambio de modalidad no estuvo ajustada a derecho y el Organismo Garante Local omitió el analizar si la información debía obrar en formato electrónico (a lo que se ha concluido que no), ordenando que se pusieran a disposición de la persona recurrente el resto de las modalidades que autoriza la legislación en la materia.</w:t>
      </w:r>
    </w:p>
    <w:p w:rsidR="00B16D07" w:rsidRPr="0051065C" w:rsidRDefault="00B16D07" w:rsidP="00B16D07">
      <w:pPr>
        <w:pStyle w:val="Prrafodelista"/>
        <w:rPr>
          <w:rFonts w:ascii="Palatino Linotype" w:hAnsi="Palatino Linotype"/>
          <w:shd w:val="clear" w:color="auto" w:fill="FFFFFF"/>
          <w:lang w:val="es-ES_tradnl"/>
        </w:rPr>
      </w:pP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Prrafodelista"/>
        <w:numPr>
          <w:ilvl w:val="0"/>
          <w:numId w:val="26"/>
        </w:numPr>
        <w:spacing w:line="360" w:lineRule="auto"/>
        <w:ind w:right="49"/>
        <w:jc w:val="both"/>
        <w:outlineLvl w:val="1"/>
        <w:rPr>
          <w:rFonts w:ascii="Palatino Linotype" w:hAnsi="Palatino Linotype"/>
          <w:b/>
          <w:lang w:val="es-ES_tradnl"/>
        </w:rPr>
      </w:pPr>
      <w:bookmarkStart w:id="31" w:name="_Toc65147997"/>
      <w:r w:rsidRPr="0051065C">
        <w:rPr>
          <w:rFonts w:ascii="Palatino Linotype" w:hAnsi="Palatino Linotype"/>
          <w:b/>
          <w:lang w:val="es-ES_tradnl"/>
        </w:rPr>
        <w:t>Conclusiones</w:t>
      </w:r>
      <w:bookmarkEnd w:id="31"/>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E</w:t>
      </w:r>
      <w:r w:rsidRPr="0051065C">
        <w:rPr>
          <w:rFonts w:ascii="Palatino Linotype" w:eastAsia="Times New Roman" w:hAnsi="Palatino Linotype" w:cs="Times New Roman"/>
          <w:sz w:val="24"/>
          <w:szCs w:val="24"/>
          <w:lang w:val="es-ES_tradnl" w:eastAsia="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1420B1" w:rsidRPr="0051065C" w:rsidRDefault="001420B1"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El INAI contraviene el principio de legalidad, ya que la resolución al recurso de inconformidad se funda y motiva en una sentencia de amparo en revisión que no tiene fuerza legal, que no constituye un criterio reiterado por el Poder Judicial de la Federación, el cual aunque así lo fuera, en virtud del respeto irrestricto al principio de legalidad que debe de regir su actuar como órgano </w:t>
      </w:r>
      <w:r w:rsidRPr="0051065C">
        <w:rPr>
          <w:rFonts w:ascii="Palatino Linotype" w:eastAsia="Times New Roman" w:hAnsi="Palatino Linotype" w:cs="Times New Roman"/>
          <w:sz w:val="24"/>
          <w:szCs w:val="24"/>
          <w:shd w:val="clear" w:color="auto" w:fill="FFFFFF"/>
          <w:lang w:val="es-ES_tradnl" w:eastAsia="es-ES_tradnl"/>
        </w:rPr>
        <w:lastRenderedPageBreak/>
        <w:t xml:space="preserve">garante, no puede aplicar y mucho menos darle los efectos erga omnes y expansivos que le otorga en su resolución.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El INAI al resolver el recurso de inconformidad no hace un estudio pormenorizado y exhaustivo sobre los puntos particulares y específicos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 xml:space="preserve">El Órgano Garante Nacional no solo interpreta el texto de la Ley General de Transparencia y Acceso a la Información Pública, específicamente lo dispuesto en el artículo 160 de dicho ordenamiento legal, sino que le añade supuestos de procedencia del recurso de inconformidad </w:t>
      </w:r>
      <w:r w:rsidR="008251E9" w:rsidRPr="0051065C">
        <w:rPr>
          <w:rFonts w:ascii="Palatino Linotype" w:eastAsia="Times New Roman" w:hAnsi="Palatino Linotype" w:cs="Times New Roman"/>
          <w:sz w:val="24"/>
          <w:szCs w:val="24"/>
          <w:shd w:val="clear" w:color="auto" w:fill="FFFFFF"/>
          <w:lang w:val="es-ES_tradnl" w:eastAsia="es-ES_tradnl"/>
        </w:rPr>
        <w:t>más</w:t>
      </w:r>
      <w:r w:rsidRPr="0051065C">
        <w:rPr>
          <w:rFonts w:ascii="Palatino Linotype" w:eastAsia="Times New Roman" w:hAnsi="Palatino Linotype" w:cs="Times New Roman"/>
          <w:sz w:val="24"/>
          <w:szCs w:val="24"/>
          <w:shd w:val="clear" w:color="auto" w:fill="FFFFFF"/>
          <w:lang w:val="es-ES_tradnl" w:eastAsia="es-ES_tradnl"/>
        </w:rPr>
        <w:t xml:space="preserve"> allá de los establecidos en la norma, así que no solo hace una interpretación errónea de la norma, sino que llega al absurdo de desconocer el texto normativo, interpretarlo, legislar y aplicarlo a capricho, desconociendo y desdeñando el principio de legalidad que debe de regir en todo momento su actuar y que debe ser piedra angular de sus actuaciones y resoluciones. </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lastRenderedPageBreak/>
        <w:t>Ha quedado demostrado irrefutablemente que este Órgano Garante en su resolución y actuaciones en todo momento ha cumplido a cabalidad el principio de legalidad que rige su actuar, es indudable que ha cumplido con los principios de fundamentación y motivación al aplicar el marco normativo que les es aplicable, en aras de garantizar el derecho de acceso a la información pública que constitucionalmente se le ha encomendado garantizar.</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Times New Roman"/>
          <w:sz w:val="24"/>
          <w:szCs w:val="24"/>
          <w:shd w:val="clear" w:color="auto" w:fill="FFFFFF"/>
          <w:lang w:val="es-ES_tradnl" w:eastAsia="es-ES_tradnl"/>
        </w:rPr>
        <w:t>Por ello, resulta a todas luces una resolución emitida al amparo de su prepotencia al ejercer el poder que se le ha concedido como órgano garante, excediéndose de sus facultades, como si fuera un órgano jurisdiccional con plena jurisdicción, como legislador que puede crear o derogar normas jurídicas, e incluso como vigilante de la constitucionalidad de las normas locales de transparencia.</w:t>
      </w:r>
    </w:p>
    <w:p w:rsidR="001420B1" w:rsidRPr="0051065C" w:rsidRDefault="001420B1" w:rsidP="001420B1">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975693">
      <w:pPr>
        <w:pStyle w:val="Ttulo1"/>
        <w:rPr>
          <w:rFonts w:ascii="Palatino Linotype" w:eastAsia="Times New Roman" w:hAnsi="Palatino Linotype" w:cs="Times New Roman"/>
          <w:b/>
          <w:color w:val="auto"/>
          <w:sz w:val="24"/>
          <w:szCs w:val="24"/>
          <w:shd w:val="clear" w:color="auto" w:fill="FFFFFF"/>
          <w:lang w:val="es-ES_tradnl" w:eastAsia="es-ES_tradnl"/>
        </w:rPr>
      </w:pPr>
      <w:bookmarkStart w:id="32" w:name="_Toc65147998"/>
      <w:r w:rsidRPr="0051065C">
        <w:rPr>
          <w:rFonts w:ascii="Palatino Linotype" w:eastAsia="Times New Roman" w:hAnsi="Palatino Linotype" w:cs="Times New Roman"/>
          <w:b/>
          <w:color w:val="auto"/>
          <w:sz w:val="24"/>
          <w:szCs w:val="24"/>
          <w:shd w:val="clear" w:color="auto" w:fill="FFFFFF"/>
          <w:lang w:val="es-ES_tradnl" w:eastAsia="es-ES_tradnl"/>
        </w:rPr>
        <w:t>CUARTO. Cumplimient</w:t>
      </w:r>
      <w:r w:rsidR="008251E9" w:rsidRPr="0051065C">
        <w:rPr>
          <w:rFonts w:ascii="Palatino Linotype" w:eastAsia="Times New Roman" w:hAnsi="Palatino Linotype" w:cs="Times New Roman"/>
          <w:b/>
          <w:color w:val="auto"/>
          <w:sz w:val="24"/>
          <w:szCs w:val="24"/>
          <w:shd w:val="clear" w:color="auto" w:fill="FFFFFF"/>
          <w:lang w:val="es-ES_tradnl" w:eastAsia="es-ES_tradnl"/>
        </w:rPr>
        <w:t>o al Recurso de Inconformidad 122</w:t>
      </w:r>
      <w:r w:rsidRPr="0051065C">
        <w:rPr>
          <w:rFonts w:ascii="Palatino Linotype" w:eastAsia="Times New Roman" w:hAnsi="Palatino Linotype" w:cs="Times New Roman"/>
          <w:b/>
          <w:color w:val="auto"/>
          <w:sz w:val="24"/>
          <w:szCs w:val="24"/>
          <w:shd w:val="clear" w:color="auto" w:fill="FFFFFF"/>
          <w:lang w:val="es-ES_tradnl" w:eastAsia="es-ES_tradnl"/>
        </w:rPr>
        <w:t>/20</w:t>
      </w:r>
      <w:bookmarkEnd w:id="32"/>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ES_tradnl" w:eastAsia="es-ES_tradnl"/>
        </w:rPr>
      </w:pPr>
    </w:p>
    <w:p w:rsidR="001420B1"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51065C">
        <w:rPr>
          <w:rFonts w:ascii="Palatino Linotype" w:eastAsia="Times New Roman" w:hAnsi="Palatino Linotype" w:cs="Arial"/>
          <w:color w:val="000000" w:themeColor="text1"/>
          <w:sz w:val="24"/>
          <w:szCs w:val="24"/>
          <w:lang w:val="es-ES_tradnl" w:eastAsia="es-ES_tradnl"/>
        </w:rPr>
        <w:t xml:space="preserve">No obstante, lo anterior, </w:t>
      </w:r>
      <w:r w:rsidRPr="0051065C">
        <w:rPr>
          <w:rFonts w:ascii="Palatino Linotype" w:eastAsia="Times New Roman" w:hAnsi="Palatino Linotype" w:cs="Arial"/>
          <w:sz w:val="24"/>
          <w:szCs w:val="24"/>
          <w:lang w:val="es-ES_tradnl" w:eastAsia="es-MX"/>
        </w:rPr>
        <w:t xml:space="preserve">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w:t>
      </w:r>
      <w:r w:rsidRPr="0051065C">
        <w:rPr>
          <w:rFonts w:ascii="Palatino Linotype" w:eastAsia="Times New Roman" w:hAnsi="Palatino Linotype" w:cs="Arial"/>
          <w:sz w:val="24"/>
          <w:szCs w:val="24"/>
          <w:lang w:val="es-ES_tradnl" w:eastAsia="es-MX"/>
        </w:rPr>
        <w:lastRenderedPageBreak/>
        <w:t>disposición y a las instituciones, aunque no se comparte se acepta y acata la resolución emitida por el INAI.</w:t>
      </w:r>
    </w:p>
    <w:p w:rsidR="001420B1" w:rsidRPr="0051065C" w:rsidRDefault="001420B1" w:rsidP="001420B1">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8251E9" w:rsidRPr="0051065C" w:rsidRDefault="001420B1" w:rsidP="00B16D07">
      <w:pPr>
        <w:numPr>
          <w:ilvl w:val="0"/>
          <w:numId w:val="1"/>
        </w:numPr>
        <w:shd w:val="clear" w:color="auto" w:fill="FFFFFF"/>
        <w:spacing w:before="240" w:after="150" w:line="360" w:lineRule="auto"/>
        <w:ind w:right="49"/>
        <w:contextualSpacing/>
        <w:jc w:val="both"/>
        <w:rPr>
          <w:rFonts w:ascii="Palatino Linotype" w:eastAsia="Times New Roman" w:hAnsi="Palatino Linotype" w:cs="Times New Roman"/>
          <w:b/>
          <w:i/>
          <w:sz w:val="24"/>
          <w:szCs w:val="24"/>
          <w:lang w:val="es-ES_tradnl" w:eastAsia="es-ES_tradnl"/>
        </w:rPr>
      </w:pPr>
      <w:r w:rsidRPr="0051065C">
        <w:rPr>
          <w:rFonts w:ascii="Palatino Linotype" w:eastAsia="Times New Roman" w:hAnsi="Palatino Linotype" w:cs="Arial"/>
          <w:color w:val="000000" w:themeColor="text1"/>
          <w:sz w:val="24"/>
          <w:szCs w:val="24"/>
          <w:lang w:val="es-ES_tradnl" w:eastAsia="es-ES_tradnl"/>
        </w:rPr>
        <w:t>Por lo que,  de conformidad con lo dispuesto en el artículo 172 de la Ley General de Transparencia se da cumplimiento en los términos que dispone el Órga</w:t>
      </w:r>
      <w:r w:rsidR="008251E9" w:rsidRPr="0051065C">
        <w:rPr>
          <w:rFonts w:ascii="Palatino Linotype" w:eastAsia="Times New Roman" w:hAnsi="Palatino Linotype" w:cs="Arial"/>
          <w:color w:val="000000" w:themeColor="text1"/>
          <w:sz w:val="24"/>
          <w:szCs w:val="24"/>
          <w:lang w:val="es-ES_tradnl" w:eastAsia="es-ES_tradnl"/>
        </w:rPr>
        <w:t>no Garante Nacional en el RIA 122</w:t>
      </w:r>
      <w:r w:rsidRPr="0051065C">
        <w:rPr>
          <w:rFonts w:ascii="Palatino Linotype" w:eastAsia="Times New Roman" w:hAnsi="Palatino Linotype" w:cs="Arial"/>
          <w:color w:val="000000" w:themeColor="text1"/>
          <w:sz w:val="24"/>
          <w:szCs w:val="24"/>
          <w:lang w:val="es-ES_tradnl" w:eastAsia="es-ES_tradnl"/>
        </w:rPr>
        <w:t>/20, mediante el cual</w:t>
      </w:r>
      <w:r w:rsidRPr="0051065C">
        <w:rPr>
          <w:rFonts w:ascii="Palatino Linotype" w:eastAsia="Times New Roman" w:hAnsi="Palatino Linotype" w:cs="Times New Roman"/>
          <w:sz w:val="24"/>
          <w:szCs w:val="24"/>
          <w:lang w:val="es-ES_tradnl" w:eastAsia="es-ES_tradnl"/>
        </w:rPr>
        <w:t xml:space="preserve"> estimo procedente </w:t>
      </w:r>
      <w:r w:rsidRPr="0051065C">
        <w:rPr>
          <w:rFonts w:ascii="Palatino Linotype" w:eastAsia="Times New Roman" w:hAnsi="Palatino Linotype" w:cs="Times New Roman"/>
          <w:i/>
          <w:sz w:val="24"/>
          <w:szCs w:val="24"/>
          <w:lang w:val="es-ES_tradnl" w:eastAsia="es-ES_tradnl"/>
        </w:rPr>
        <w:t>“…</w:t>
      </w:r>
      <w:r w:rsidR="008251E9" w:rsidRPr="0051065C">
        <w:rPr>
          <w:rFonts w:ascii="Palatino Linotype" w:eastAsia="Times New Roman" w:hAnsi="Palatino Linotype" w:cs="Times New Roman"/>
          <w:i/>
          <w:sz w:val="24"/>
          <w:szCs w:val="24"/>
          <w:lang w:eastAsia="es-ES_tradnl"/>
        </w:rPr>
        <w:t xml:space="preserve">MODIFICAR la resolución del siete de octubre de dos mil veinte, número 02743/INFOEM/IP/RR/2020 y 02749/INFOEM/IP/RR/2020 relativas al folio de solicitud de información número 00215/IXTASAL/IP/2020 y 00216/IXTASAL/IP/2020, a efecto de que el Instituto de Transparencia, Acceso a la Información Pública y Protección de Datos Personales del Estado de México y Municipios que, en términos de lo dispuesto por el diverso 172 de esa misma Ley: </w:t>
      </w:r>
      <w:r w:rsidR="008251E9" w:rsidRPr="0051065C">
        <w:rPr>
          <w:rFonts w:ascii="Segoe UI Symbol" w:eastAsia="Times New Roman" w:hAnsi="Segoe UI Symbol" w:cs="Segoe UI Symbol"/>
          <w:i/>
          <w:sz w:val="24"/>
          <w:szCs w:val="24"/>
          <w:lang w:eastAsia="es-ES_tradnl"/>
        </w:rPr>
        <w:t>❖</w:t>
      </w:r>
      <w:r w:rsidR="008251E9" w:rsidRPr="0051065C">
        <w:rPr>
          <w:rFonts w:ascii="Palatino Linotype" w:eastAsia="Times New Roman" w:hAnsi="Palatino Linotype" w:cs="Times New Roman"/>
          <w:i/>
          <w:sz w:val="24"/>
          <w:szCs w:val="24"/>
          <w:lang w:eastAsia="es-ES_tradnl"/>
        </w:rPr>
        <w:t xml:space="preserve"> Emita una nueva resoluci</w:t>
      </w:r>
      <w:r w:rsidR="008251E9" w:rsidRPr="0051065C">
        <w:rPr>
          <w:rFonts w:ascii="Palatino Linotype" w:eastAsia="Times New Roman" w:hAnsi="Palatino Linotype" w:cs="Palatino Linotype"/>
          <w:i/>
          <w:sz w:val="24"/>
          <w:szCs w:val="24"/>
          <w:lang w:eastAsia="es-ES_tradnl"/>
        </w:rPr>
        <w:t>ó</w:t>
      </w:r>
      <w:r w:rsidR="008251E9" w:rsidRPr="0051065C">
        <w:rPr>
          <w:rFonts w:ascii="Palatino Linotype" w:eastAsia="Times New Roman" w:hAnsi="Palatino Linotype" w:cs="Times New Roman"/>
          <w:i/>
          <w:sz w:val="24"/>
          <w:szCs w:val="24"/>
          <w:lang w:eastAsia="es-ES_tradnl"/>
        </w:rPr>
        <w:t xml:space="preserve">n en la que ordene al Ayuntamiento de Ixtapan de la Sal realizar la entrega de </w:t>
      </w:r>
      <w:r w:rsidR="008251E9" w:rsidRPr="0051065C">
        <w:rPr>
          <w:rFonts w:ascii="Palatino Linotype" w:eastAsia="Times New Roman" w:hAnsi="Palatino Linotype" w:cs="Palatino Linotype"/>
          <w:i/>
          <w:sz w:val="24"/>
          <w:szCs w:val="24"/>
          <w:lang w:eastAsia="es-ES_tradnl"/>
        </w:rPr>
        <w:t>“</w:t>
      </w:r>
      <w:r w:rsidR="008251E9" w:rsidRPr="0051065C">
        <w:rPr>
          <w:rFonts w:ascii="Palatino Linotype" w:eastAsia="Times New Roman" w:hAnsi="Palatino Linotype" w:cs="Times New Roman"/>
          <w:i/>
          <w:sz w:val="24"/>
          <w:szCs w:val="24"/>
          <w:lang w:eastAsia="es-ES_tradnl"/>
        </w:rPr>
        <w:t>toda la informaci</w:t>
      </w:r>
      <w:r w:rsidR="008251E9" w:rsidRPr="0051065C">
        <w:rPr>
          <w:rFonts w:ascii="Palatino Linotype" w:eastAsia="Times New Roman" w:hAnsi="Palatino Linotype" w:cs="Palatino Linotype"/>
          <w:i/>
          <w:sz w:val="24"/>
          <w:szCs w:val="24"/>
          <w:lang w:eastAsia="es-ES_tradnl"/>
        </w:rPr>
        <w:t>ó</w:t>
      </w:r>
      <w:r w:rsidR="008251E9" w:rsidRPr="0051065C">
        <w:rPr>
          <w:rFonts w:ascii="Palatino Linotype" w:eastAsia="Times New Roman" w:hAnsi="Palatino Linotype" w:cs="Times New Roman"/>
          <w:i/>
          <w:sz w:val="24"/>
          <w:szCs w:val="24"/>
          <w:lang w:eastAsia="es-ES_tradnl"/>
        </w:rPr>
        <w:t>n y documentaci</w:t>
      </w:r>
      <w:r w:rsidR="008251E9" w:rsidRPr="0051065C">
        <w:rPr>
          <w:rFonts w:ascii="Palatino Linotype" w:eastAsia="Times New Roman" w:hAnsi="Palatino Linotype" w:cs="Palatino Linotype"/>
          <w:i/>
          <w:sz w:val="24"/>
          <w:szCs w:val="24"/>
          <w:lang w:eastAsia="es-ES_tradnl"/>
        </w:rPr>
        <w:t>ó</w:t>
      </w:r>
      <w:r w:rsidR="008251E9" w:rsidRPr="0051065C">
        <w:rPr>
          <w:rFonts w:ascii="Palatino Linotype" w:eastAsia="Times New Roman" w:hAnsi="Palatino Linotype" w:cs="Times New Roman"/>
          <w:i/>
          <w:sz w:val="24"/>
          <w:szCs w:val="24"/>
          <w:lang w:eastAsia="es-ES_tradnl"/>
        </w:rPr>
        <w:t>n generada en el proceso de regularizaci</w:t>
      </w:r>
      <w:r w:rsidR="008251E9" w:rsidRPr="0051065C">
        <w:rPr>
          <w:rFonts w:ascii="Palatino Linotype" w:eastAsia="Times New Roman" w:hAnsi="Palatino Linotype" w:cs="Palatino Linotype"/>
          <w:i/>
          <w:sz w:val="24"/>
          <w:szCs w:val="24"/>
          <w:lang w:eastAsia="es-ES_tradnl"/>
        </w:rPr>
        <w:t>ó</w:t>
      </w:r>
      <w:r w:rsidR="008251E9" w:rsidRPr="0051065C">
        <w:rPr>
          <w:rFonts w:ascii="Palatino Linotype" w:eastAsia="Times New Roman" w:hAnsi="Palatino Linotype" w:cs="Times New Roman"/>
          <w:i/>
          <w:sz w:val="24"/>
          <w:szCs w:val="24"/>
          <w:lang w:eastAsia="es-ES_tradnl"/>
        </w:rPr>
        <w:t>n de bienes inmuebles en cumplimiento de la atribuci</w:t>
      </w:r>
      <w:r w:rsidR="008251E9" w:rsidRPr="0051065C">
        <w:rPr>
          <w:rFonts w:ascii="Palatino Linotype" w:eastAsia="Times New Roman" w:hAnsi="Palatino Linotype" w:cs="Palatino Linotype"/>
          <w:i/>
          <w:sz w:val="24"/>
          <w:szCs w:val="24"/>
          <w:lang w:eastAsia="es-ES_tradnl"/>
        </w:rPr>
        <w:t>ó</w:t>
      </w:r>
      <w:r w:rsidR="008251E9" w:rsidRPr="0051065C">
        <w:rPr>
          <w:rFonts w:ascii="Palatino Linotype" w:eastAsia="Times New Roman" w:hAnsi="Palatino Linotype" w:cs="Times New Roman"/>
          <w:i/>
          <w:sz w:val="24"/>
          <w:szCs w:val="24"/>
          <w:lang w:eastAsia="es-ES_tradnl"/>
        </w:rPr>
        <w:t xml:space="preserve">n que le confiere el artículo 53 fracción VIII de la Ley Orgánica Municipal del Estado de México y toda la información y documentación generada en el proceso de inscripción de los bienes inmuebles municipales en el Registro Público de la Propiedad, hoy Instituto de la Función Registral, en cumplimiento de la atribución que le confiere el artículo 53 fracción IX de la Ley Orgánica Municipal del Estado de </w:t>
      </w:r>
      <w:proofErr w:type="spellStart"/>
      <w:r w:rsidR="008251E9" w:rsidRPr="0051065C">
        <w:rPr>
          <w:rFonts w:ascii="Palatino Linotype" w:eastAsia="Times New Roman" w:hAnsi="Palatino Linotype" w:cs="Times New Roman"/>
          <w:i/>
          <w:sz w:val="24"/>
          <w:szCs w:val="24"/>
          <w:lang w:eastAsia="es-ES_tradnl"/>
        </w:rPr>
        <w:t>México”,en</w:t>
      </w:r>
      <w:proofErr w:type="spellEnd"/>
      <w:r w:rsidR="008251E9" w:rsidRPr="0051065C">
        <w:rPr>
          <w:rFonts w:ascii="Palatino Linotype" w:eastAsia="Times New Roman" w:hAnsi="Palatino Linotype" w:cs="Times New Roman"/>
          <w:i/>
          <w:sz w:val="24"/>
          <w:szCs w:val="24"/>
          <w:lang w:eastAsia="es-ES_tradnl"/>
        </w:rPr>
        <w:t xml:space="preserve"> todas las modalidades autorizadas por la Ley local en la materia, entre las que deberá incluir la expedición de copias simples y certificadas, así como la opción de envío, comunicando </w:t>
      </w:r>
      <w:r w:rsidR="008251E9" w:rsidRPr="0051065C">
        <w:rPr>
          <w:rFonts w:ascii="Palatino Linotype" w:eastAsia="Times New Roman" w:hAnsi="Palatino Linotype" w:cs="Times New Roman"/>
          <w:i/>
          <w:sz w:val="24"/>
          <w:szCs w:val="24"/>
          <w:lang w:eastAsia="es-ES_tradnl"/>
        </w:rPr>
        <w:lastRenderedPageBreak/>
        <w:t xml:space="preserve">los costos que tales conceptos generen, así como la inclusión de la modalidad ya otorgada (consulta directa). </w:t>
      </w:r>
    </w:p>
    <w:p w:rsidR="008251E9" w:rsidRPr="0051065C" w:rsidRDefault="008251E9" w:rsidP="008251E9">
      <w:pPr>
        <w:shd w:val="clear" w:color="auto" w:fill="FFFFFF"/>
        <w:spacing w:before="240" w:after="150" w:line="360" w:lineRule="auto"/>
        <w:ind w:left="502" w:right="49"/>
        <w:contextualSpacing/>
        <w:jc w:val="both"/>
        <w:rPr>
          <w:rFonts w:ascii="Palatino Linotype" w:eastAsia="Times New Roman" w:hAnsi="Palatino Linotype" w:cs="Times New Roman"/>
          <w:b/>
          <w:i/>
          <w:sz w:val="24"/>
          <w:szCs w:val="24"/>
          <w:lang w:val="es-ES_tradnl" w:eastAsia="es-ES_tradnl"/>
        </w:rPr>
      </w:pPr>
    </w:p>
    <w:p w:rsidR="008251E9" w:rsidRPr="0051065C" w:rsidRDefault="001420B1" w:rsidP="001420B1">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i/>
          <w:sz w:val="24"/>
          <w:szCs w:val="24"/>
          <w:lang w:val="es-ES_tradnl" w:eastAsia="es-ES_tradnl"/>
        </w:rPr>
      </w:pPr>
      <w:r w:rsidRPr="0051065C">
        <w:rPr>
          <w:rFonts w:ascii="Palatino Linotype" w:eastAsia="Times New Roman" w:hAnsi="Palatino Linotype" w:cs="Times New Roman"/>
          <w:sz w:val="24"/>
          <w:szCs w:val="24"/>
          <w:lang w:val="es-ES_tradnl" w:eastAsia="es-ES_tradnl"/>
        </w:rPr>
        <w:t xml:space="preserve">Por lo que en cumplimiento a la resolución emitida en el </w:t>
      </w:r>
      <w:r w:rsidR="008251E9" w:rsidRPr="0051065C">
        <w:rPr>
          <w:rFonts w:ascii="Palatino Linotype" w:eastAsia="Times New Roman" w:hAnsi="Palatino Linotype" w:cs="Times New Roman"/>
          <w:sz w:val="24"/>
          <w:szCs w:val="24"/>
          <w:lang w:val="es-ES_tradnl" w:eastAsia="es-ES_tradnl"/>
        </w:rPr>
        <w:t>Recurso de Inconformidad RIA 122</w:t>
      </w:r>
      <w:r w:rsidRPr="0051065C">
        <w:rPr>
          <w:rFonts w:ascii="Palatino Linotype" w:eastAsia="Times New Roman" w:hAnsi="Palatino Linotype" w:cs="Times New Roman"/>
          <w:sz w:val="24"/>
          <w:szCs w:val="24"/>
          <w:lang w:val="es-ES_tradnl" w:eastAsia="es-ES_tradnl"/>
        </w:rPr>
        <w:t xml:space="preserve">/20, por el Pleno del Instituto Nacional de Transparencia, Acceso a la Información y Protección de Datos Personales, este Instituto resuelve ordenar al Sujeto Obligado, Ayuntamiento de Ixtapan de la Sal, </w:t>
      </w:r>
      <w:r w:rsidRPr="0051065C">
        <w:rPr>
          <w:rFonts w:ascii="Palatino Linotype" w:eastAsia="Times New Roman" w:hAnsi="Palatino Linotype" w:cs="Times New Roman"/>
          <w:b/>
          <w:sz w:val="24"/>
          <w:szCs w:val="24"/>
          <w:lang w:val="es-ES_tradnl" w:eastAsia="es-ES_tradnl"/>
        </w:rPr>
        <w:t xml:space="preserve">a realizar la entrega </w:t>
      </w:r>
      <w:r w:rsidR="008251E9" w:rsidRPr="0051065C">
        <w:rPr>
          <w:rFonts w:ascii="Palatino Linotype" w:eastAsia="Times New Roman" w:hAnsi="Palatino Linotype" w:cs="Times New Roman"/>
          <w:sz w:val="24"/>
          <w:szCs w:val="24"/>
          <w:lang w:val="es-ES_tradnl" w:eastAsia="es-ES_tradnl"/>
        </w:rPr>
        <w:t>“</w:t>
      </w:r>
      <w:r w:rsidR="008251E9" w:rsidRPr="0051065C">
        <w:rPr>
          <w:rFonts w:ascii="Palatino Linotype" w:eastAsia="Times New Roman" w:hAnsi="Palatino Linotype" w:cs="Times New Roman"/>
          <w:b/>
          <w:sz w:val="24"/>
          <w:szCs w:val="24"/>
          <w:lang w:val="es-ES_tradnl" w:eastAsia="es-ES_tradnl"/>
        </w:rPr>
        <w:t>toda la información y documentación generada en el proceso de regularización de bienes inmuebles en cumplimiento de la atribución que le confiere el artículo 53 fracción VIII de la Ley Orgánica Municipal del Estado de México y toda la información y documentación generada en el proceso de inscripción de los bienes inmuebles municipales en el Registro Público de la Propiedad, hoy Instituto de la Función Registral</w:t>
      </w:r>
      <w:r w:rsidR="008251E9" w:rsidRPr="0051065C">
        <w:rPr>
          <w:rFonts w:ascii="Palatino Linotype" w:eastAsia="Times New Roman" w:hAnsi="Palatino Linotype" w:cs="Times New Roman"/>
          <w:sz w:val="24"/>
          <w:szCs w:val="24"/>
          <w:lang w:val="es-ES_tradnl" w:eastAsia="es-ES_tradnl"/>
        </w:rPr>
        <w:t xml:space="preserve">, en cumplimiento de la atribución que le confiere el artículo 53 fracción IX de la Ley Orgánica Municipal del Estado de México”, </w:t>
      </w:r>
      <w:r w:rsidR="008251E9" w:rsidRPr="0051065C">
        <w:rPr>
          <w:rFonts w:ascii="Palatino Linotype" w:eastAsia="Times New Roman" w:hAnsi="Palatino Linotype" w:cs="Times New Roman"/>
          <w:i/>
          <w:sz w:val="24"/>
          <w:szCs w:val="24"/>
          <w:lang w:val="es-ES_tradnl" w:eastAsia="es-ES_tradnl"/>
        </w:rPr>
        <w:t>en todas las modalidades autorizadas por la Ley local en la materia, entre las que deberá incluir la expedición de copias simples y certificadas, así como la opción de envío, comunicando los costos que tales conceptos generen, así como la inclusión de la modalidad ya otorgada (consulta directa).</w:t>
      </w:r>
    </w:p>
    <w:p w:rsidR="001420B1" w:rsidRPr="0051065C" w:rsidRDefault="001420B1" w:rsidP="001420B1">
      <w:pPr>
        <w:shd w:val="clear" w:color="auto" w:fill="FFFFFF"/>
        <w:tabs>
          <w:tab w:val="left" w:pos="0"/>
        </w:tabs>
        <w:spacing w:before="240"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keepNext/>
        <w:keepLines/>
        <w:spacing w:before="40" w:after="0"/>
        <w:outlineLvl w:val="1"/>
        <w:rPr>
          <w:rFonts w:ascii="Palatino Linotype" w:eastAsiaTheme="majorEastAsia" w:hAnsi="Palatino Linotype" w:cstheme="majorBidi"/>
          <w:b/>
          <w:color w:val="000000" w:themeColor="text1"/>
          <w:sz w:val="24"/>
          <w:szCs w:val="24"/>
        </w:rPr>
      </w:pPr>
      <w:bookmarkStart w:id="33" w:name="_Toc22130360"/>
      <w:bookmarkStart w:id="34" w:name="_Toc33809646"/>
      <w:bookmarkStart w:id="35" w:name="_Toc58504404"/>
      <w:bookmarkStart w:id="36" w:name="_Toc65147999"/>
      <w:r w:rsidRPr="0051065C">
        <w:rPr>
          <w:rFonts w:ascii="Palatino Linotype" w:eastAsiaTheme="majorEastAsia" w:hAnsi="Palatino Linotype" w:cstheme="majorBidi"/>
          <w:b/>
          <w:color w:val="000000" w:themeColor="text1"/>
          <w:sz w:val="24"/>
          <w:szCs w:val="24"/>
        </w:rPr>
        <w:t>QUINTO. De la versión pública.</w:t>
      </w:r>
      <w:bookmarkEnd w:id="33"/>
      <w:bookmarkEnd w:id="34"/>
      <w:bookmarkEnd w:id="35"/>
      <w:bookmarkEnd w:id="36"/>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lastRenderedPageBreak/>
        <w:t xml:space="preserve">Debe destacarse que debido a la naturaleza de </w:t>
      </w:r>
      <w:r w:rsidRPr="0051065C">
        <w:rPr>
          <w:rFonts w:ascii="Palatino Linotype" w:eastAsia="Times New Roman" w:hAnsi="Palatino Linotype" w:cs="Times New Roman"/>
          <w:color w:val="000000" w:themeColor="text1"/>
          <w:sz w:val="24"/>
          <w:szCs w:val="24"/>
          <w:lang w:val="es-US" w:eastAsia="es-ES_tradnl"/>
        </w:rPr>
        <w:t xml:space="preserve">la información que se ordena entregar, </w:t>
      </w:r>
      <w:r w:rsidRPr="0051065C">
        <w:rPr>
          <w:rFonts w:ascii="Palatino Linotype" w:eastAsia="Times New Roman" w:hAnsi="Palatino Linotype" w:cs="Arial"/>
          <w:color w:val="000000" w:themeColor="text1"/>
          <w:sz w:val="24"/>
          <w:szCs w:val="24"/>
          <w:lang w:val="es-US" w:eastAsia="es-ES_tradnl"/>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51065C">
        <w:rPr>
          <w:rFonts w:ascii="Palatino Linotype" w:eastAsia="Times New Roman" w:hAnsi="Palatino Linotype" w:cs="Arial"/>
          <w:color w:val="000000" w:themeColor="text1"/>
          <w:sz w:val="24"/>
          <w:szCs w:val="24"/>
          <w:lang w:val="es-US" w:eastAsia="es-ES_tradnl"/>
        </w:rPr>
        <w:t>tanto</w:t>
      </w:r>
      <w:proofErr w:type="gramEnd"/>
      <w:r w:rsidRPr="0051065C">
        <w:rPr>
          <w:rFonts w:ascii="Palatino Linotype" w:eastAsia="Times New Roman" w:hAnsi="Palatino Linotype" w:cs="Arial"/>
          <w:color w:val="000000" w:themeColor="text1"/>
          <w:sz w:val="24"/>
          <w:szCs w:val="24"/>
          <w:lang w:val="es-US" w:eastAsia="es-ES_tradnl"/>
        </w:rPr>
        <w:t xml:space="preserve"> </w:t>
      </w:r>
      <w:r w:rsidRPr="0051065C">
        <w:rPr>
          <w:rFonts w:ascii="Palatino Linotype" w:eastAsia="Times New Roman" w:hAnsi="Palatino Linotype" w:cs="Times New Roman"/>
          <w:color w:val="000000" w:themeColor="text1"/>
          <w:sz w:val="24"/>
          <w:szCs w:val="24"/>
          <w:lang w:val="es-ES" w:eastAsia="es-ES_tradnl"/>
        </w:rPr>
        <w:t>la información solicitada se deberá entregar en versión pública.</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t xml:space="preserve">De acuerdo a lo establecido por el artículo 122 de la Ley en materia, establece la clasificación de información, misma que puede ser por dos hipótesis, las cuales corresponden a información reservada o confidencial, por lo que los </w:t>
      </w:r>
      <w:r w:rsidRPr="0051065C">
        <w:rPr>
          <w:rFonts w:ascii="Palatino Linotype" w:eastAsia="Times New Roman" w:hAnsi="Palatino Linotype" w:cs="Arial"/>
          <w:b/>
          <w:color w:val="000000" w:themeColor="text1"/>
          <w:sz w:val="24"/>
          <w:szCs w:val="24"/>
          <w:lang w:val="es-US" w:eastAsia="es-ES_tradnl"/>
        </w:rPr>
        <w:t xml:space="preserve">SUJETOS OBLIGADOS </w:t>
      </w:r>
      <w:r w:rsidRPr="0051065C">
        <w:rPr>
          <w:rFonts w:ascii="Palatino Linotype" w:eastAsia="Times New Roman" w:hAnsi="Palatino Linotype" w:cs="Arial"/>
          <w:color w:val="000000" w:themeColor="text1"/>
          <w:sz w:val="24"/>
          <w:szCs w:val="24"/>
          <w:lang w:val="es-US" w:eastAsia="es-ES_tradnl"/>
        </w:rPr>
        <w:t>deberá de realizar el proceso de clasificación de información de acuerdo a las bases, principios y disposiciones que ley les señale.</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t>Así mismo los artículos 143 y 116 de la Ley Estatal y de la Ley General, respectivamente, señalan los supuestos para que la información pueda ser clasificada como confidencial:</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51065C">
        <w:rPr>
          <w:rFonts w:ascii="Palatino Linotype" w:eastAsia="Times New Roman" w:hAnsi="Palatino Linotype" w:cs="Bookman Old Style"/>
          <w:bCs/>
          <w:color w:val="000000" w:themeColor="text1"/>
          <w:sz w:val="24"/>
          <w:szCs w:val="24"/>
          <w:lang w:val="es-US" w:eastAsia="es-ES_tradnl"/>
        </w:rPr>
        <w:t xml:space="preserve">I. </w:t>
      </w:r>
      <w:r w:rsidRPr="0051065C">
        <w:rPr>
          <w:rFonts w:ascii="Palatino Linotype" w:eastAsia="Times New Roman" w:hAnsi="Palatino Linotype" w:cs="Bookman Old Style"/>
          <w:color w:val="000000" w:themeColor="text1"/>
          <w:sz w:val="24"/>
          <w:szCs w:val="24"/>
          <w:lang w:val="es-US" w:eastAsia="es-ES_tradnl"/>
        </w:rPr>
        <w:t xml:space="preserve">Se refiera a la información privada y los datos personales concernientes a una persona física o jurídico colectiva identificada o identificable; </w:t>
      </w:r>
    </w:p>
    <w:p w:rsidR="001420B1" w:rsidRPr="0051065C" w:rsidRDefault="001420B1" w:rsidP="001420B1">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51065C">
        <w:rPr>
          <w:rFonts w:ascii="Palatino Linotype" w:eastAsia="Times New Roman" w:hAnsi="Palatino Linotype" w:cs="Bookman Old Style"/>
          <w:bCs/>
          <w:color w:val="000000" w:themeColor="text1"/>
          <w:sz w:val="24"/>
          <w:szCs w:val="24"/>
          <w:lang w:val="es-US" w:eastAsia="es-ES_tradnl"/>
        </w:rPr>
        <w:t xml:space="preserve">II. </w:t>
      </w:r>
      <w:r w:rsidRPr="0051065C">
        <w:rPr>
          <w:rFonts w:ascii="Palatino Linotype" w:eastAsia="Times New Roman" w:hAnsi="Palatino Linotype" w:cs="Bookman Old Style"/>
          <w:color w:val="000000" w:themeColor="text1"/>
          <w:sz w:val="24"/>
          <w:szCs w:val="24"/>
          <w:lang w:val="es-US" w:eastAsia="es-ES_tradnl"/>
        </w:rPr>
        <w:t xml:space="preserve">Los secretos bancario, fiduciario, industrial, comercial, fiscal, bursátil </w:t>
      </w:r>
      <w:r w:rsidRPr="0051065C">
        <w:rPr>
          <w:rFonts w:ascii="Palatino Linotype" w:eastAsia="Times New Roman" w:hAnsi="Palatino Linotype" w:cs="Bookman Old Style"/>
          <w:color w:val="000000" w:themeColor="text1"/>
          <w:sz w:val="24"/>
          <w:szCs w:val="24"/>
          <w:lang w:val="es-US" w:eastAsia="es-ES_tradnl"/>
        </w:rPr>
        <w:lastRenderedPageBreak/>
        <w:t xml:space="preserve">y postal, cuya titularidad corresponda a particulares, sujetos de derecho internacional o a sujetos obligados cuando no involucren el ejercicio de recursos públicos; y </w:t>
      </w:r>
    </w:p>
    <w:p w:rsidR="001420B1" w:rsidRPr="0051065C" w:rsidRDefault="001420B1" w:rsidP="001420B1">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51065C">
        <w:rPr>
          <w:rFonts w:ascii="Palatino Linotype" w:eastAsia="Times New Roman" w:hAnsi="Palatino Linotype" w:cs="Bookman Old Style"/>
          <w:bCs/>
          <w:color w:val="000000" w:themeColor="text1"/>
          <w:sz w:val="24"/>
          <w:szCs w:val="24"/>
          <w:lang w:val="es-US" w:eastAsia="es-ES_tradnl"/>
        </w:rPr>
        <w:t xml:space="preserve">III. </w:t>
      </w:r>
      <w:r w:rsidRPr="0051065C">
        <w:rPr>
          <w:rFonts w:ascii="Palatino Linotype" w:eastAsia="Times New Roman" w:hAnsi="Palatino Linotype" w:cs="Bookman Old Style"/>
          <w:color w:val="000000" w:themeColor="text1"/>
          <w:sz w:val="24"/>
          <w:szCs w:val="24"/>
          <w:lang w:val="es-US" w:eastAsia="es-ES_tradnl"/>
        </w:rPr>
        <w:t xml:space="preserve">La que presenten los particulares a los sujetos obligados, de conformidad con lo dispuesto por las leyes o los tratados internacionales. </w:t>
      </w:r>
    </w:p>
    <w:p w:rsidR="001420B1" w:rsidRPr="0051065C" w:rsidRDefault="001420B1" w:rsidP="001420B1">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51065C">
        <w:rPr>
          <w:rFonts w:ascii="Palatino Linotype" w:eastAsia="Times New Roman" w:hAnsi="Palatino Linotype" w:cs="Bookman Old Style"/>
          <w:color w:val="000000" w:themeColor="text1"/>
          <w:sz w:val="24"/>
          <w:szCs w:val="24"/>
          <w:lang w:val="es-US" w:eastAsia="es-ES_tradnl"/>
        </w:rPr>
        <w:t xml:space="preserve">La información confidencial no estará sujeta a temporalidad alguna y sólo podrán tener acceso a ella los titulares de la misma, sus representantes y los servidores públicos facultados para ello. </w:t>
      </w:r>
    </w:p>
    <w:p w:rsidR="001420B1" w:rsidRPr="0051065C" w:rsidRDefault="001420B1" w:rsidP="001420B1">
      <w:pPr>
        <w:widowControl w:val="0"/>
        <w:autoSpaceDE w:val="0"/>
        <w:autoSpaceDN w:val="0"/>
        <w:adjustRightInd w:val="0"/>
        <w:spacing w:after="0" w:line="360" w:lineRule="auto"/>
        <w:ind w:left="567" w:right="616"/>
        <w:jc w:val="both"/>
        <w:rPr>
          <w:rFonts w:ascii="Palatino Linotype" w:eastAsia="Times New Roman" w:hAnsi="Palatino Linotype" w:cs="Times"/>
          <w:color w:val="000000" w:themeColor="text1"/>
          <w:sz w:val="24"/>
          <w:szCs w:val="24"/>
          <w:lang w:val="es-US" w:eastAsia="es-ES_tradnl"/>
        </w:rPr>
      </w:pPr>
      <w:r w:rsidRPr="0051065C">
        <w:rPr>
          <w:rFonts w:ascii="Palatino Linotype" w:eastAsia="Times New Roman" w:hAnsi="Palatino Linotype" w:cs="Bookman Old Style"/>
          <w:color w:val="000000" w:themeColor="text1"/>
          <w:sz w:val="24"/>
          <w:szCs w:val="24"/>
          <w:lang w:val="es-US" w:eastAsia="es-ES_tradnl"/>
        </w:rPr>
        <w:t xml:space="preserve">No se considerará confidencial la información que se encuentre en los registros públicos o en fuentes de acceso público, ni tampoco la que sea considerada por la presente ley como información pública. </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lastRenderedPageBreak/>
        <w:t xml:space="preserve">Como consecuencia de lo anterior, el </w:t>
      </w:r>
      <w:r w:rsidRPr="0051065C">
        <w:rPr>
          <w:rFonts w:ascii="Palatino Linotype" w:eastAsia="Times New Roman" w:hAnsi="Palatino Linotype" w:cs="Arial"/>
          <w:b/>
          <w:color w:val="000000" w:themeColor="text1"/>
          <w:sz w:val="24"/>
          <w:szCs w:val="24"/>
          <w:lang w:val="es-US" w:eastAsia="es-ES_tradnl"/>
        </w:rPr>
        <w:t>SUJETO OBLIGADO</w:t>
      </w:r>
      <w:r w:rsidRPr="0051065C">
        <w:rPr>
          <w:rFonts w:ascii="Palatino Linotype" w:eastAsia="Times New Roman" w:hAnsi="Palatino Linotype" w:cs="Arial"/>
          <w:color w:val="000000" w:themeColor="text1"/>
          <w:sz w:val="24"/>
          <w:szCs w:val="24"/>
          <w:lang w:val="es-US" w:eastAsia="es-ES_tradnl"/>
        </w:rPr>
        <w:t xml:space="preserve"> debe identificar claramente el tipo de información y hacer un juicio de subsunción o encaje</w:t>
      </w:r>
      <w:r w:rsidRPr="0051065C">
        <w:rPr>
          <w:rFonts w:ascii="Palatino Linotype" w:eastAsia="Times New Roman" w:hAnsi="Palatino Linotype" w:cs="Arial"/>
          <w:color w:val="000000" w:themeColor="text1"/>
          <w:sz w:val="24"/>
          <w:szCs w:val="24"/>
          <w:vertAlign w:val="superscript"/>
          <w:lang w:val="es-US" w:eastAsia="es-ES_tradnl"/>
        </w:rPr>
        <w:footnoteReference w:id="16"/>
      </w:r>
      <w:r w:rsidRPr="0051065C">
        <w:rPr>
          <w:rFonts w:ascii="Palatino Linotype" w:eastAsia="Times New Roman" w:hAnsi="Palatino Linotype" w:cs="Arial"/>
          <w:color w:val="000000" w:themeColor="text1"/>
          <w:sz w:val="24"/>
          <w:szCs w:val="24"/>
          <w:lang w:val="es-US" w:eastAsia="es-ES_tradnl"/>
        </w:rPr>
        <w:t xml:space="preserve"> para acreditar que el supuesto de hecho corresponde estrictamente con la hipótesis jurídica. Esto también lo debe de realizar el servidor público habilitado y el titular del área que administra la información.</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t>Una vez hecho lo anterior, se remite la información al Titular de la Unidad de Transparencia, con el acuerdo de clasificación correspondiente, para que sea sometido al conocimiento del Comité de Transparencia.</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keepNext/>
        <w:keepLines/>
        <w:numPr>
          <w:ilvl w:val="0"/>
          <w:numId w:val="33"/>
        </w:numPr>
        <w:pBdr>
          <w:top w:val="nil"/>
          <w:left w:val="nil"/>
          <w:bottom w:val="nil"/>
          <w:right w:val="nil"/>
          <w:between w:val="nil"/>
          <w:bar w:val="nil"/>
        </w:pBdr>
        <w:spacing w:after="0" w:line="240" w:lineRule="auto"/>
        <w:outlineLvl w:val="1"/>
        <w:rPr>
          <w:rFonts w:ascii="Palatino Linotype" w:eastAsiaTheme="majorEastAsia" w:hAnsi="Palatino Linotype" w:cstheme="majorBidi"/>
          <w:b/>
          <w:color w:val="000000" w:themeColor="text1"/>
          <w:sz w:val="24"/>
          <w:szCs w:val="24"/>
        </w:rPr>
      </w:pPr>
      <w:bookmarkStart w:id="37" w:name="_Toc485733666"/>
      <w:bookmarkStart w:id="38" w:name="_Toc487139037"/>
      <w:bookmarkStart w:id="39" w:name="_Toc490060412"/>
      <w:bookmarkStart w:id="40" w:name="_Toc492468081"/>
      <w:bookmarkStart w:id="41" w:name="_Toc2878596"/>
      <w:bookmarkStart w:id="42" w:name="_Toc10711864"/>
      <w:bookmarkStart w:id="43" w:name="_Toc18609014"/>
      <w:bookmarkStart w:id="44" w:name="_Toc22130361"/>
      <w:bookmarkStart w:id="45" w:name="_Toc33809647"/>
      <w:bookmarkStart w:id="46" w:name="_Toc58504405"/>
      <w:bookmarkStart w:id="47" w:name="_Toc65148000"/>
      <w:r w:rsidRPr="0051065C">
        <w:rPr>
          <w:rFonts w:ascii="Palatino Linotype" w:eastAsiaTheme="majorEastAsia" w:hAnsi="Palatino Linotype" w:cstheme="majorBidi"/>
          <w:b/>
          <w:color w:val="000000" w:themeColor="text1"/>
          <w:sz w:val="24"/>
          <w:szCs w:val="24"/>
        </w:rPr>
        <w:t>Requisitos de fondo del acuerdo de clasificación.</w:t>
      </w:r>
      <w:bookmarkEnd w:id="37"/>
      <w:bookmarkEnd w:id="38"/>
      <w:bookmarkEnd w:id="39"/>
      <w:bookmarkEnd w:id="40"/>
      <w:bookmarkEnd w:id="41"/>
      <w:bookmarkEnd w:id="42"/>
      <w:bookmarkEnd w:id="43"/>
      <w:bookmarkEnd w:id="44"/>
      <w:bookmarkEnd w:id="45"/>
      <w:bookmarkEnd w:id="46"/>
      <w:bookmarkEnd w:id="47"/>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t xml:space="preserve">Como se ha señalado antes, al hacer el juicio de subsunción o encaje entre el supuesto de hecho y la hipótesis jurídica, se debe acreditar la estricta correspondencia entre un elemento y otro. Ahora, en esta parte del </w:t>
      </w:r>
      <w:r w:rsidRPr="0051065C">
        <w:rPr>
          <w:rFonts w:ascii="Palatino Linotype" w:eastAsia="Times New Roman" w:hAnsi="Palatino Linotype" w:cs="Arial"/>
          <w:color w:val="000000" w:themeColor="text1"/>
          <w:sz w:val="24"/>
          <w:szCs w:val="24"/>
          <w:lang w:val="es-US" w:eastAsia="es-ES_tradnl"/>
        </w:rPr>
        <w:lastRenderedPageBreak/>
        <w:t>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Times New Roman"/>
          <w:color w:val="000000" w:themeColor="text1"/>
          <w:sz w:val="24"/>
          <w:szCs w:val="24"/>
          <w:lang w:val="es-US" w:eastAsia="es-ES_tradnl"/>
        </w:rPr>
        <w:t xml:space="preserve">De lo anterior, se desprende </w:t>
      </w:r>
      <w:proofErr w:type="gramStart"/>
      <w:r w:rsidRPr="0051065C">
        <w:rPr>
          <w:rFonts w:ascii="Palatino Linotype" w:eastAsia="Times New Roman" w:hAnsi="Palatino Linotype" w:cs="Times New Roman"/>
          <w:color w:val="000000" w:themeColor="text1"/>
          <w:sz w:val="24"/>
          <w:szCs w:val="24"/>
          <w:lang w:val="es-US" w:eastAsia="es-ES_tradnl"/>
        </w:rPr>
        <w:t>que</w:t>
      </w:r>
      <w:proofErr w:type="gramEnd"/>
      <w:r w:rsidRPr="0051065C">
        <w:rPr>
          <w:rFonts w:ascii="Palatino Linotype" w:eastAsia="Times New Roman" w:hAnsi="Palatino Linotype" w:cs="Times New Roman"/>
          <w:color w:val="000000" w:themeColor="text1"/>
          <w:sz w:val="24"/>
          <w:szCs w:val="24"/>
          <w:lang w:val="es-US" w:eastAsia="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w:t>
      </w:r>
      <w:r w:rsidRPr="0051065C">
        <w:rPr>
          <w:rFonts w:ascii="Palatino Linotype" w:eastAsia="Times New Roman" w:hAnsi="Palatino Linotype" w:cs="Arial"/>
          <w:color w:val="000000" w:themeColor="text1"/>
          <w:sz w:val="24"/>
          <w:szCs w:val="24"/>
          <w:lang w:val="es-US" w:eastAsia="es-MX"/>
        </w:rPr>
        <w:lastRenderedPageBreak/>
        <w:t>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1065C">
        <w:rPr>
          <w:rFonts w:ascii="Palatino Linotype" w:eastAsia="Times New Roman" w:hAnsi="Palatino Linotype" w:cs="Arial"/>
          <w:color w:val="000000" w:themeColor="text1"/>
          <w:sz w:val="24"/>
          <w:szCs w:val="24"/>
          <w:vertAlign w:val="superscript"/>
          <w:lang w:val="es-US" w:eastAsia="es-MX"/>
        </w:rPr>
        <w:footnoteReference w:id="17"/>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Por su parte, el intérprete judicial del país ha establecido una jurisprudencia respecto a qué debe entenderse por fundamentación y motivación, en los siguientes términos:</w:t>
      </w:r>
    </w:p>
    <w:p w:rsidR="001420B1" w:rsidRPr="0051065C" w:rsidRDefault="001420B1" w:rsidP="001420B1">
      <w:pPr>
        <w:spacing w:after="0" w:line="360" w:lineRule="auto"/>
        <w:ind w:right="618"/>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b/>
          <w:i/>
          <w:color w:val="000000" w:themeColor="text1"/>
          <w:lang w:val="es-US" w:eastAsia="es-ES_tradnl"/>
        </w:rPr>
        <w:t>FUNDAMENTACIÓN Y MOTIVACIÓN.</w:t>
      </w:r>
      <w:r w:rsidRPr="0051065C">
        <w:rPr>
          <w:rFonts w:ascii="Palatino Linotype" w:eastAsia="Times New Roman" w:hAnsi="Palatino Linotype" w:cs="Arial"/>
          <w:i/>
          <w:color w:val="000000" w:themeColor="text1"/>
          <w:lang w:val="es-US" w:eastAsia="es-ES_tradnl"/>
        </w:rPr>
        <w:t xml:space="preserve"> La </w:t>
      </w:r>
      <w:r w:rsidRPr="0051065C">
        <w:rPr>
          <w:rFonts w:ascii="Palatino Linotype" w:eastAsia="Times New Roman" w:hAnsi="Palatino Linotype" w:cs="Arial"/>
          <w:i/>
          <w:color w:val="000000" w:themeColor="text1"/>
          <w:u w:val="single"/>
          <w:lang w:val="es-US" w:eastAsia="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1065C">
        <w:rPr>
          <w:rFonts w:ascii="Palatino Linotype" w:eastAsia="Times New Roman" w:hAnsi="Palatino Linotype" w:cs="Arial"/>
          <w:i/>
          <w:color w:val="000000" w:themeColor="text1"/>
          <w:lang w:val="es-US" w:eastAsia="es-ES_tradnl"/>
        </w:rPr>
        <w:t>.</w:t>
      </w: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i/>
          <w:color w:val="000000" w:themeColor="text1"/>
          <w:lang w:val="es-US" w:eastAsia="es-ES_tradnl"/>
        </w:rPr>
        <w:t>SEGUNDO TRIBUNAL COLEGIADO DEL SEXTO CIRCUITO.</w:t>
      </w: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i/>
          <w:color w:val="000000" w:themeColor="text1"/>
          <w:lang w:val="es-US" w:eastAsia="es-ES_tradnl"/>
        </w:rPr>
        <w:t>Amparo directo 194/88. Bufete Industrial Construcciones, S.A. de C.V. 28 de junio de 1988. Unanimidad de votos. Ponente: Gustavo Calvillo Rangel. Secretario: Jorge Alberto González Álvarez.</w:t>
      </w: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i/>
          <w:color w:val="000000" w:themeColor="text1"/>
          <w:lang w:val="es-US" w:eastAsia="es-ES_tradnl"/>
        </w:rPr>
        <w:t>Revisión fiscal 103/88. Instituto Mexicano del Seguro Social. 18 de octubre de 1988. Unanimidad de votos. Ponente: Arnoldo Nájera Virgen. Secretario: Alejandro Esponda Rincón.</w:t>
      </w: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i/>
          <w:color w:val="000000" w:themeColor="text1"/>
          <w:lang w:val="es-US" w:eastAsia="es-ES_tradnl"/>
        </w:rPr>
        <w:lastRenderedPageBreak/>
        <w:t>Amparo en revisión 333/88. Adilia Romero. 26 de octubre de 1988. Unanimidad de votos. Ponente: Arnoldo Nájera Virgen. Secretario: Enrique Crispín Campos Ramírez.</w:t>
      </w: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i/>
          <w:color w:val="000000" w:themeColor="text1"/>
          <w:lang w:val="es-US" w:eastAsia="es-ES_tradnl"/>
        </w:rPr>
        <w:t>Amparo en revisión 597/95. Emilio Maurer Bretón. 15 de noviembre de 1995. Unanimidad de votos. Ponente: Clementina Ramírez Moguel Goyzueta. Secretario: Gonzalo Carrera Molina.</w:t>
      </w:r>
    </w:p>
    <w:p w:rsidR="001420B1" w:rsidRPr="0051065C" w:rsidRDefault="001420B1" w:rsidP="001420B1">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51065C">
        <w:rPr>
          <w:rFonts w:ascii="Palatino Linotype" w:eastAsia="Times New Roman" w:hAnsi="Palatino Linotype" w:cs="Arial"/>
          <w:i/>
          <w:color w:val="000000" w:themeColor="text1"/>
          <w:lang w:val="es-US" w:eastAsia="es-ES_tradnl"/>
        </w:rPr>
        <w:t xml:space="preserve">Amparo directo 7/96. Pedro Vicente López Miro. 21 de febrero de 1996. Unanimidad de votos. Ponente: María Eugenia Estela Martínez Cardiel. Secretario: Enrique </w:t>
      </w:r>
      <w:proofErr w:type="spellStart"/>
      <w:r w:rsidRPr="0051065C">
        <w:rPr>
          <w:rFonts w:ascii="Palatino Linotype" w:eastAsia="Times New Roman" w:hAnsi="Palatino Linotype" w:cs="Arial"/>
          <w:i/>
          <w:color w:val="000000" w:themeColor="text1"/>
          <w:lang w:val="es-US" w:eastAsia="es-ES_tradnl"/>
        </w:rPr>
        <w:t>Baigts</w:t>
      </w:r>
      <w:proofErr w:type="spellEnd"/>
      <w:r w:rsidRPr="0051065C">
        <w:rPr>
          <w:rFonts w:ascii="Palatino Linotype" w:eastAsia="Times New Roman" w:hAnsi="Palatino Linotype" w:cs="Arial"/>
          <w:i/>
          <w:color w:val="000000" w:themeColor="text1"/>
          <w:lang w:val="es-US" w:eastAsia="es-ES_tradnl"/>
        </w:rPr>
        <w:t xml:space="preserve"> Muñoz.</w:t>
      </w:r>
      <w:r w:rsidRPr="0051065C">
        <w:rPr>
          <w:rFonts w:ascii="Palatino Linotype" w:eastAsia="Times New Roman" w:hAnsi="Palatino Linotype" w:cs="Arial"/>
          <w:i/>
          <w:color w:val="000000" w:themeColor="text1"/>
          <w:vertAlign w:val="superscript"/>
          <w:lang w:val="es-US" w:eastAsia="es-ES_tradnl"/>
        </w:rPr>
        <w:footnoteReference w:id="18"/>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lastRenderedPageBreak/>
        <w:t>En ese mismo sentido, el lineamiento trigésimo tercero fracción V de los Lineamientos Generales, precisa que para motivar la clasificación se deben acreditar las circunstancias de tiempo, modo y lugar.</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Ahora bien, para cada caso además de fundar y motivar, se debe identificar con claridad que datos contenidos en las documentales que son susceptibles de suprimirse, porque no todos los datos contenidos en los documentos ordenados son</w:t>
      </w:r>
      <w:r w:rsidRPr="0051065C">
        <w:rPr>
          <w:rFonts w:ascii="Palatino Linotype" w:eastAsia="Times New Roman" w:hAnsi="Palatino Linotype" w:cs="Times New Roman"/>
          <w:color w:val="000000" w:themeColor="text1"/>
          <w:sz w:val="24"/>
          <w:szCs w:val="24"/>
          <w:lang w:val="es-US" w:eastAsia="es-ES_tradnl"/>
        </w:rPr>
        <w:t xml:space="preserve"> </w:t>
      </w:r>
      <w:r w:rsidRPr="0051065C">
        <w:rPr>
          <w:rFonts w:ascii="Palatino Linotype" w:eastAsia="Times New Roman" w:hAnsi="Palatino Linotype" w:cs="Arial"/>
          <w:color w:val="000000" w:themeColor="text1"/>
          <w:sz w:val="24"/>
          <w:szCs w:val="24"/>
          <w:lang w:val="es-US" w:eastAsia="es-MX"/>
        </w:rPr>
        <w:t>datos personales</w:t>
      </w:r>
      <w:r w:rsidRPr="0051065C">
        <w:rPr>
          <w:rFonts w:ascii="Palatino Linotype" w:eastAsia="Times New Roman" w:hAnsi="Palatino Linotype" w:cs="Arial"/>
          <w:color w:val="000000" w:themeColor="text1"/>
          <w:sz w:val="24"/>
          <w:szCs w:val="24"/>
          <w:vertAlign w:val="superscript"/>
          <w:lang w:val="es-US" w:eastAsia="es-MX"/>
        </w:rPr>
        <w:footnoteReference w:id="19"/>
      </w:r>
      <w:r w:rsidRPr="0051065C">
        <w:rPr>
          <w:rFonts w:ascii="Palatino Linotype" w:eastAsia="Times New Roman" w:hAnsi="Palatino Linotype" w:cs="Arial"/>
          <w:color w:val="000000" w:themeColor="text1"/>
          <w:sz w:val="24"/>
          <w:szCs w:val="24"/>
          <w:lang w:val="es-US" w:eastAsia="es-MX"/>
        </w:rPr>
        <w:t xml:space="preserve">, </w:t>
      </w:r>
      <w:r w:rsidRPr="0051065C">
        <w:rPr>
          <w:rFonts w:ascii="Palatino Linotype" w:eastAsia="Calibri" w:hAnsi="Palatino Linotype" w:cs="Arial"/>
          <w:color w:val="000000" w:themeColor="text1"/>
          <w:sz w:val="24"/>
          <w:szCs w:val="24"/>
          <w:lang w:val="es-US" w:eastAsia="es-MX"/>
        </w:rPr>
        <w:t>p</w:t>
      </w:r>
      <w:proofErr w:type="spellStart"/>
      <w:r w:rsidRPr="0051065C">
        <w:rPr>
          <w:rFonts w:ascii="Palatino Linotype" w:eastAsia="Calibri" w:hAnsi="Palatino Linotype" w:cs="Arial"/>
          <w:color w:val="000000" w:themeColor="text1"/>
          <w:sz w:val="24"/>
          <w:szCs w:val="24"/>
          <w:lang w:val="es-ES" w:eastAsia="es-MX"/>
        </w:rPr>
        <w:t>or</w:t>
      </w:r>
      <w:proofErr w:type="spellEnd"/>
      <w:r w:rsidRPr="0051065C">
        <w:rPr>
          <w:rFonts w:ascii="Palatino Linotype" w:eastAsia="Calibri" w:hAnsi="Palatino Linotype" w:cs="Arial"/>
          <w:color w:val="000000" w:themeColor="text1"/>
          <w:sz w:val="24"/>
          <w:szCs w:val="24"/>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1420B1" w:rsidRPr="0051065C" w:rsidRDefault="001420B1" w:rsidP="001420B1">
      <w:pPr>
        <w:spacing w:after="0" w:line="240" w:lineRule="auto"/>
        <w:ind w:left="720"/>
        <w:contextualSpacing/>
        <w:rPr>
          <w:rFonts w:ascii="Palatino Linotype" w:eastAsia="Calibri" w:hAnsi="Palatino Linotype" w:cs="Arial"/>
          <w:color w:val="000000" w:themeColor="text1"/>
          <w:sz w:val="24"/>
          <w:szCs w:val="24"/>
          <w:lang w:val="es-E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1065C">
        <w:rPr>
          <w:rFonts w:ascii="Palatino Linotype" w:eastAsia="Calibri" w:hAnsi="Palatino Linotype" w:cs="Arial"/>
          <w:b/>
          <w:color w:val="000000" w:themeColor="text1"/>
          <w:sz w:val="24"/>
          <w:szCs w:val="24"/>
          <w:lang w:val="es-ES" w:eastAsia="es-MX"/>
        </w:rPr>
        <w:t>SUJETO OBLIGADO</w:t>
      </w:r>
      <w:r w:rsidRPr="0051065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1065C">
        <w:rPr>
          <w:rFonts w:ascii="Palatino Linotype" w:eastAsia="Times New Roman" w:hAnsi="Palatino Linotype" w:cs="Arial"/>
          <w:color w:val="000000" w:themeColor="text1"/>
          <w:sz w:val="24"/>
          <w:szCs w:val="24"/>
          <w:lang w:val="es-US" w:eastAsia="es-MX"/>
        </w:rPr>
        <w:t xml:space="preserve">para tal efecto emitirá el </w:t>
      </w:r>
      <w:r w:rsidRPr="0051065C">
        <w:rPr>
          <w:rFonts w:ascii="Palatino Linotype" w:eastAsia="Calibri" w:hAnsi="Palatino Linotype" w:cs="Arial"/>
          <w:color w:val="000000" w:themeColor="text1"/>
          <w:sz w:val="24"/>
          <w:szCs w:val="24"/>
          <w:lang w:val="es-ES" w:eastAsia="es-MX"/>
        </w:rPr>
        <w:t xml:space="preserve">Acuerdo del Comité de Transparencia en términos de </w:t>
      </w:r>
      <w:r w:rsidRPr="0051065C">
        <w:rPr>
          <w:rFonts w:ascii="Palatino Linotype" w:eastAsia="Calibri" w:hAnsi="Palatino Linotype" w:cs="Arial"/>
          <w:color w:val="000000" w:themeColor="text1"/>
          <w:sz w:val="24"/>
          <w:szCs w:val="24"/>
          <w:lang w:val="es-ES" w:eastAsia="es-MX"/>
        </w:rPr>
        <w:lastRenderedPageBreak/>
        <w:t>los artículos 49 fracción</w:t>
      </w:r>
      <w:r w:rsidRPr="0051065C">
        <w:rPr>
          <w:rFonts w:ascii="Palatino Linotype" w:eastAsia="Calibri" w:hAnsi="Palatino Linotype" w:cs="Arial"/>
          <w:bCs/>
          <w:color w:val="000000" w:themeColor="text1"/>
          <w:sz w:val="24"/>
          <w:szCs w:val="24"/>
          <w:lang w:val="es-US" w:eastAsia="es-ES_tradnl"/>
        </w:rPr>
        <w:t xml:space="preserve"> VIII,</w:t>
      </w:r>
      <w:r w:rsidRPr="0051065C">
        <w:rPr>
          <w:rFonts w:ascii="Palatino Linotype" w:eastAsia="Calibri" w:hAnsi="Palatino Linotype" w:cs="Arial"/>
          <w:color w:val="000000" w:themeColor="text1"/>
          <w:sz w:val="24"/>
          <w:szCs w:val="24"/>
          <w:lang w:val="es-ES" w:eastAsia="es-MX"/>
        </w:rPr>
        <w:t xml:space="preserve"> 122</w:t>
      </w:r>
      <w:r w:rsidRPr="0051065C">
        <w:rPr>
          <w:rFonts w:ascii="Palatino Linotype" w:eastAsia="Times New Roman" w:hAnsi="Palatino Linotype" w:cs="Times New Roman"/>
          <w:color w:val="000000" w:themeColor="text1"/>
          <w:sz w:val="24"/>
          <w:szCs w:val="24"/>
          <w:vertAlign w:val="superscript"/>
          <w:lang w:val="es-ES" w:eastAsia="es-MX"/>
        </w:rPr>
        <w:footnoteReference w:id="20"/>
      </w:r>
      <w:r w:rsidRPr="0051065C">
        <w:rPr>
          <w:rFonts w:ascii="Palatino Linotype" w:eastAsia="Calibri" w:hAnsi="Palatino Linotype" w:cs="Arial"/>
          <w:color w:val="000000" w:themeColor="text1"/>
          <w:sz w:val="24"/>
          <w:szCs w:val="24"/>
          <w:lang w:val="es-ES" w:eastAsia="es-MX"/>
        </w:rPr>
        <w:t>, 135</w:t>
      </w:r>
      <w:r w:rsidRPr="0051065C">
        <w:rPr>
          <w:rFonts w:ascii="Palatino Linotype" w:eastAsia="Times New Roman" w:hAnsi="Palatino Linotype" w:cs="Times New Roman"/>
          <w:color w:val="000000" w:themeColor="text1"/>
          <w:sz w:val="24"/>
          <w:szCs w:val="24"/>
          <w:vertAlign w:val="superscript"/>
          <w:lang w:val="es-ES" w:eastAsia="es-MX"/>
        </w:rPr>
        <w:footnoteReference w:id="21"/>
      </w:r>
      <w:r w:rsidRPr="0051065C">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w:t>
      </w:r>
      <w:proofErr w:type="gramStart"/>
      <w:r w:rsidRPr="0051065C">
        <w:rPr>
          <w:rFonts w:ascii="Palatino Linotype" w:eastAsia="Calibri" w:hAnsi="Palatino Linotype" w:cs="Arial"/>
          <w:color w:val="000000" w:themeColor="text1"/>
          <w:sz w:val="24"/>
          <w:szCs w:val="24"/>
          <w:lang w:val="es-ES" w:eastAsia="es-MX"/>
        </w:rPr>
        <w:t>sustentara</w:t>
      </w:r>
      <w:proofErr w:type="gramEnd"/>
      <w:r w:rsidRPr="0051065C">
        <w:rPr>
          <w:rFonts w:ascii="Palatino Linotype" w:eastAsia="Calibri" w:hAnsi="Palatino Linotype" w:cs="Arial"/>
          <w:color w:val="000000" w:themeColor="text1"/>
          <w:sz w:val="24"/>
          <w:szCs w:val="24"/>
          <w:lang w:val="es-ES" w:eastAsia="es-MX"/>
        </w:rPr>
        <w:t xml:space="preserve"> la clasificación de datos y con ello la "versión pública" de los documentos materia de la solicitud.</w:t>
      </w:r>
    </w:p>
    <w:p w:rsidR="001420B1" w:rsidRPr="0051065C" w:rsidRDefault="001420B1" w:rsidP="001420B1">
      <w:pPr>
        <w:spacing w:after="0" w:line="240" w:lineRule="auto"/>
        <w:ind w:left="720"/>
        <w:contextualSpacing/>
        <w:rPr>
          <w:rFonts w:ascii="Palatino Linotype" w:eastAsia="Calibri" w:hAnsi="Palatino Linotype" w:cs="Arial"/>
          <w:color w:val="000000" w:themeColor="text1"/>
          <w:sz w:val="24"/>
          <w:szCs w:val="24"/>
          <w:lang w:val="es-ES" w:eastAsia="es-CO"/>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Calibri" w:hAnsi="Palatino Linotype" w:cs="Arial"/>
          <w:color w:val="000000" w:themeColor="text1"/>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51065C">
        <w:rPr>
          <w:rFonts w:ascii="Palatino Linotype" w:eastAsia="Calibri" w:hAnsi="Palatino Linotype" w:cs="Arial"/>
          <w:b/>
          <w:color w:val="000000" w:themeColor="text1"/>
          <w:sz w:val="24"/>
          <w:szCs w:val="24"/>
          <w:lang w:val="es-ES" w:eastAsia="es-CO"/>
        </w:rPr>
        <w:t>SUJETO OBLIGADO</w:t>
      </w:r>
      <w:r w:rsidRPr="0051065C">
        <w:rPr>
          <w:rFonts w:ascii="Palatino Linotype" w:eastAsia="Calibri" w:hAnsi="Palatino Linotype" w:cs="Arial"/>
          <w:color w:val="000000" w:themeColor="text1"/>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1065C">
        <w:rPr>
          <w:rFonts w:ascii="Palatino Linotype" w:eastAsia="Calibri" w:hAnsi="Palatino Linotype" w:cs="Arial"/>
          <w:color w:val="000000" w:themeColor="text1"/>
          <w:sz w:val="24"/>
          <w:szCs w:val="24"/>
          <w:lang w:val="es-ES" w:eastAsia="es-CO"/>
        </w:rPr>
        <w:lastRenderedPageBreak/>
        <w:t>razones de ello se estaría violentando desde un inicio el derecho de acceso a la información del solicitante.</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 xml:space="preserve">Siendo así que, </w:t>
      </w:r>
      <w:r w:rsidRPr="0051065C">
        <w:rPr>
          <w:rFonts w:ascii="Palatino Linotype" w:eastAsia="Times New Roman" w:hAnsi="Palatino Linotype" w:cs="Times New Roman"/>
          <w:color w:val="000000" w:themeColor="text1"/>
          <w:sz w:val="24"/>
          <w:szCs w:val="24"/>
          <w:lang w:val="es-US" w:eastAsia="es-ES_tradnl"/>
        </w:rPr>
        <w:t xml:space="preserve">la clasificación de la información, en cualquiera de sus modalidades, deberá de justificarse en un Acuerdo de Clasificación de Información emitido por el Comité del Transparencia del </w:t>
      </w:r>
      <w:r w:rsidRPr="0051065C">
        <w:rPr>
          <w:rFonts w:ascii="Palatino Linotype" w:eastAsia="Times New Roman" w:hAnsi="Palatino Linotype" w:cs="Times New Roman"/>
          <w:b/>
          <w:color w:val="000000" w:themeColor="text1"/>
          <w:sz w:val="24"/>
          <w:szCs w:val="24"/>
          <w:lang w:val="es-US" w:eastAsia="es-ES_tradnl"/>
        </w:rPr>
        <w:t>SUJETO OBLIGADO</w:t>
      </w:r>
      <w:r w:rsidRPr="0051065C">
        <w:rPr>
          <w:rFonts w:ascii="Palatino Linotype" w:eastAsia="Times New Roman" w:hAnsi="Palatino Linotype" w:cs="Times New Roman"/>
          <w:color w:val="000000" w:themeColor="text1"/>
          <w:sz w:val="24"/>
          <w:szCs w:val="24"/>
          <w:lang w:val="es-US" w:eastAsia="es-ES_tradnl"/>
        </w:rPr>
        <w:t xml:space="preserve">. Dicho acuerdo deberá de contener los </w:t>
      </w:r>
      <w:r w:rsidRPr="0051065C">
        <w:rPr>
          <w:rFonts w:ascii="Palatino Linotype" w:eastAsia="Times New Roman" w:hAnsi="Palatino Linotype" w:cs="Times New Roman"/>
          <w:b/>
          <w:color w:val="000000" w:themeColor="text1"/>
          <w:sz w:val="24"/>
          <w:szCs w:val="24"/>
          <w:lang w:val="es-US" w:eastAsia="es-ES_tradnl"/>
        </w:rPr>
        <w:t>razonamientos lógicos</w:t>
      </w:r>
      <w:r w:rsidRPr="0051065C">
        <w:rPr>
          <w:rFonts w:ascii="Palatino Linotype" w:eastAsia="Times New Roman" w:hAnsi="Palatino Linotype" w:cs="Times New Roman"/>
          <w:color w:val="000000" w:themeColor="text1"/>
          <w:sz w:val="24"/>
          <w:szCs w:val="24"/>
          <w:lang w:val="es-US" w:eastAsia="es-ES_tradnl"/>
        </w:rPr>
        <w:t xml:space="preserve"> mediante los cuales se </w:t>
      </w:r>
      <w:r w:rsidRPr="0051065C">
        <w:rPr>
          <w:rFonts w:ascii="Palatino Linotype" w:eastAsia="Times New Roman" w:hAnsi="Palatino Linotype" w:cs="Times New Roman"/>
          <w:b/>
          <w:color w:val="000000" w:themeColor="text1"/>
          <w:sz w:val="24"/>
          <w:szCs w:val="24"/>
          <w:lang w:val="es-US" w:eastAsia="es-ES_tradnl"/>
        </w:rPr>
        <w:t xml:space="preserve">demuestre </w:t>
      </w:r>
      <w:r w:rsidRPr="0051065C">
        <w:rPr>
          <w:rFonts w:ascii="Palatino Linotype" w:eastAsia="Times New Roman" w:hAnsi="Palatino Linotype" w:cs="Times New Roman"/>
          <w:color w:val="000000" w:themeColor="text1"/>
          <w:sz w:val="24"/>
          <w:szCs w:val="24"/>
          <w:lang w:val="es-US" w:eastAsia="es-ES_tradnl"/>
        </w:rPr>
        <w:t>que la información corresponde a algunas de las hipótesis jurídicas previstas en los artículos 122 y 143 de la ley, explicando claramente las causas excepcionales que justifican la restricción al derecho.</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US" w:eastAsia="es-ES_tradn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420B1" w:rsidRPr="0051065C" w:rsidRDefault="001420B1" w:rsidP="001420B1">
      <w:pPr>
        <w:spacing w:after="0" w:line="240" w:lineRule="auto"/>
        <w:ind w:left="720"/>
        <w:contextualSpacing/>
        <w:rPr>
          <w:rFonts w:ascii="Palatino Linotype" w:eastAsia="Times New Roman" w:hAnsi="Palatino Linotype" w:cs="Arial"/>
          <w:color w:val="000000" w:themeColor="text1"/>
          <w:sz w:val="24"/>
          <w:szCs w:val="24"/>
          <w:lang w:val="es-ES" w:eastAsia="es-ES_tradnl"/>
        </w:rPr>
      </w:pPr>
    </w:p>
    <w:p w:rsidR="001420B1" w:rsidRPr="0051065C" w:rsidRDefault="001420B1" w:rsidP="001420B1">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51065C">
        <w:rPr>
          <w:rFonts w:ascii="Palatino Linotype" w:eastAsia="Times New Roman" w:hAnsi="Palatino Linotype" w:cs="Arial"/>
          <w:color w:val="000000" w:themeColor="text1"/>
          <w:sz w:val="24"/>
          <w:szCs w:val="24"/>
          <w:lang w:val="es-ES" w:eastAsia="es-ES_tradnl"/>
        </w:rPr>
        <w:t xml:space="preserve">Es </w:t>
      </w:r>
      <w:proofErr w:type="gramStart"/>
      <w:r w:rsidRPr="0051065C">
        <w:rPr>
          <w:rFonts w:ascii="Palatino Linotype" w:eastAsia="Times New Roman" w:hAnsi="Palatino Linotype" w:cs="Arial"/>
          <w:color w:val="000000" w:themeColor="text1"/>
          <w:sz w:val="24"/>
          <w:szCs w:val="24"/>
          <w:lang w:val="es-ES" w:eastAsia="es-ES_tradnl"/>
        </w:rPr>
        <w:t>decir</w:t>
      </w:r>
      <w:proofErr w:type="gramEnd"/>
      <w:r w:rsidRPr="0051065C">
        <w:rPr>
          <w:rFonts w:ascii="Palatino Linotype" w:eastAsia="Times New Roman" w:hAnsi="Palatino Linotype" w:cs="Arial"/>
          <w:color w:val="000000" w:themeColor="text1"/>
          <w:sz w:val="24"/>
          <w:szCs w:val="24"/>
          <w:lang w:val="es-ES" w:eastAsia="es-ES_tradnl"/>
        </w:rPr>
        <w:t xml:space="preserve"> un documento público testado que no se acompañe del respectivo acuerdo de clasificación no es una versión pública sino un documento alterado.</w:t>
      </w:r>
    </w:p>
    <w:p w:rsidR="001420B1" w:rsidRPr="0051065C" w:rsidRDefault="001420B1" w:rsidP="001420B1">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1420B1" w:rsidRPr="0051065C" w:rsidRDefault="001420B1" w:rsidP="001420B1">
      <w:pPr>
        <w:numPr>
          <w:ilvl w:val="0"/>
          <w:numId w:val="1"/>
        </w:numPr>
        <w:spacing w:after="120" w:line="360" w:lineRule="auto"/>
        <w:jc w:val="both"/>
        <w:rPr>
          <w:rFonts w:ascii="Palatino Linotype" w:eastAsia="MS Mincho" w:hAnsi="Palatino Linotype" w:cstheme="majorBidi"/>
          <w:sz w:val="24"/>
          <w:szCs w:val="24"/>
          <w:lang w:val="es-ES_tradnl" w:eastAsia="es-ES"/>
        </w:rPr>
      </w:pPr>
      <w:r w:rsidRPr="0051065C">
        <w:rPr>
          <w:rFonts w:ascii="Palatino Linotype" w:eastAsia="MS Mincho" w:hAnsi="Palatino Linotype" w:cstheme="majorBidi"/>
          <w:sz w:val="24"/>
          <w:szCs w:val="24"/>
          <w:lang w:val="es-ES_tradnl" w:eastAsia="es-ES"/>
        </w:rPr>
        <w:t xml:space="preserve">Por lo anteriormente expuesto y fundado este </w:t>
      </w:r>
      <w:r w:rsidRPr="0051065C">
        <w:rPr>
          <w:rFonts w:ascii="Palatino Linotype" w:eastAsia="MS Mincho" w:hAnsi="Palatino Linotype" w:cstheme="majorBidi"/>
          <w:b/>
          <w:sz w:val="24"/>
          <w:szCs w:val="24"/>
          <w:lang w:val="es-ES_tradnl" w:eastAsia="es-ES"/>
        </w:rPr>
        <w:t>ÓRGANO GARANTE</w:t>
      </w:r>
      <w:r w:rsidRPr="0051065C">
        <w:rPr>
          <w:rFonts w:ascii="Palatino Linotype" w:eastAsia="MS Mincho" w:hAnsi="Palatino Linotype" w:cstheme="majorBidi"/>
          <w:sz w:val="24"/>
          <w:szCs w:val="24"/>
          <w:lang w:val="es-ES_tradnl" w:eastAsia="es-ES"/>
        </w:rPr>
        <w:t xml:space="preserve"> emite los siguientes.</w:t>
      </w:r>
    </w:p>
    <w:p w:rsidR="001420B1"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241300</wp:posOffset>
                </wp:positionV>
                <wp:extent cx="5391150" cy="44386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91150" cy="443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8BE8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19pt" to="436.2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" strokecolor="#5b9bd5 [3204]" strokeweight=".5pt">
                <v:stroke joinstyle="miter"/>
              </v:line>
            </w:pict>
          </mc:Fallback>
        </mc:AlternateContent>
      </w: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51065C" w:rsidRPr="0051065C" w:rsidRDefault="0051065C" w:rsidP="001420B1">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1420B1" w:rsidRPr="0051065C" w:rsidRDefault="001420B1" w:rsidP="001420B1">
      <w:pPr>
        <w:keepNext/>
        <w:keepLines/>
        <w:spacing w:before="240" w:after="0" w:line="360" w:lineRule="auto"/>
        <w:jc w:val="center"/>
        <w:outlineLvl w:val="0"/>
        <w:rPr>
          <w:rFonts w:ascii="Palatino Linotype" w:eastAsia="Calibri" w:hAnsi="Palatino Linotype" w:cstheme="majorBidi"/>
          <w:b/>
          <w:sz w:val="24"/>
          <w:szCs w:val="24"/>
          <w:lang w:val="es-ES_tradnl" w:eastAsia="es-ES"/>
        </w:rPr>
      </w:pPr>
      <w:bookmarkStart w:id="48" w:name="_Toc65148001"/>
      <w:r w:rsidRPr="0051065C">
        <w:rPr>
          <w:rFonts w:ascii="Palatino Linotype" w:eastAsia="Calibri" w:hAnsi="Palatino Linotype" w:cstheme="majorBidi"/>
          <w:b/>
          <w:sz w:val="24"/>
          <w:szCs w:val="24"/>
          <w:lang w:val="es-ES_tradnl" w:eastAsia="es-ES"/>
        </w:rPr>
        <w:lastRenderedPageBreak/>
        <w:t>R E S O L U T I V O S</w:t>
      </w:r>
      <w:bookmarkEnd w:id="48"/>
    </w:p>
    <w:p w:rsidR="001420B1" w:rsidRPr="0051065C" w:rsidRDefault="001420B1" w:rsidP="001420B1">
      <w:pPr>
        <w:spacing w:before="240" w:after="0" w:line="360" w:lineRule="auto"/>
        <w:jc w:val="both"/>
        <w:rPr>
          <w:rFonts w:ascii="Palatino Linotype" w:eastAsia="Times New Roman" w:hAnsi="Palatino Linotype" w:cs="Arial"/>
          <w:sz w:val="24"/>
          <w:szCs w:val="24"/>
          <w:lang w:val="es-ES_tradnl" w:eastAsia="es-ES_tradnl"/>
        </w:rPr>
      </w:pPr>
      <w:r w:rsidRPr="0051065C">
        <w:rPr>
          <w:rFonts w:ascii="Palatino Linotype" w:eastAsia="Times New Roman" w:hAnsi="Palatino Linotype" w:cs="Arial"/>
          <w:b/>
          <w:sz w:val="24"/>
          <w:szCs w:val="24"/>
          <w:lang w:val="es-ES_tradnl" w:eastAsia="es-ES_tradnl"/>
        </w:rPr>
        <w:t>PRIMERO.</w:t>
      </w:r>
      <w:r w:rsidRPr="0051065C">
        <w:rPr>
          <w:rFonts w:ascii="Palatino Linotype" w:eastAsia="Times New Roman" w:hAnsi="Palatino Linotype" w:cs="Arial"/>
          <w:sz w:val="24"/>
          <w:szCs w:val="24"/>
          <w:lang w:val="es-ES_tradnl" w:eastAsia="es-ES_tradnl"/>
        </w:rPr>
        <w:t xml:space="preserve"> Se </w:t>
      </w:r>
      <w:r w:rsidR="008251E9" w:rsidRPr="0051065C">
        <w:rPr>
          <w:rFonts w:ascii="Palatino Linotype" w:eastAsia="Times New Roman" w:hAnsi="Palatino Linotype" w:cs="Arial"/>
          <w:b/>
          <w:sz w:val="24"/>
          <w:szCs w:val="24"/>
          <w:lang w:val="es-ES_tradnl" w:eastAsia="es-ES_tradnl"/>
        </w:rPr>
        <w:t>MODIFICA</w:t>
      </w:r>
      <w:r w:rsidRPr="0051065C">
        <w:rPr>
          <w:rFonts w:ascii="Palatino Linotype" w:eastAsia="Times New Roman" w:hAnsi="Palatino Linotype" w:cs="Arial"/>
          <w:sz w:val="24"/>
          <w:szCs w:val="24"/>
          <w:lang w:val="es-ES_tradnl" w:eastAsia="es-ES_tradnl"/>
        </w:rPr>
        <w:t xml:space="preserve"> </w:t>
      </w:r>
      <w:r w:rsidRPr="0051065C">
        <w:rPr>
          <w:rFonts w:ascii="Palatino Linotype" w:eastAsia="Arial Unicode MS" w:hAnsi="Palatino Linotype" w:cs="Arial"/>
          <w:sz w:val="24"/>
          <w:szCs w:val="24"/>
          <w:lang w:val="es-ES_tradnl" w:eastAsia="es-ES_tradnl"/>
        </w:rPr>
        <w:t>la respuesta entregada por el Ayuntamiento de Ixtapan de la Sal, a la solicitu</w:t>
      </w:r>
      <w:r w:rsidR="008251E9" w:rsidRPr="0051065C">
        <w:rPr>
          <w:rFonts w:ascii="Palatino Linotype" w:eastAsia="Arial Unicode MS" w:hAnsi="Palatino Linotype" w:cs="Arial"/>
          <w:sz w:val="24"/>
          <w:szCs w:val="24"/>
          <w:lang w:val="es-ES_tradnl" w:eastAsia="es-ES_tradnl"/>
        </w:rPr>
        <w:t>des</w:t>
      </w:r>
      <w:r w:rsidRPr="0051065C">
        <w:rPr>
          <w:rFonts w:ascii="Palatino Linotype" w:eastAsia="Arial Unicode MS" w:hAnsi="Palatino Linotype" w:cs="Arial"/>
          <w:sz w:val="24"/>
          <w:szCs w:val="24"/>
          <w:lang w:val="es-ES_tradnl" w:eastAsia="es-ES_tradnl"/>
        </w:rPr>
        <w:t xml:space="preserve"> de información número </w:t>
      </w:r>
      <w:r w:rsidR="008251E9" w:rsidRPr="0051065C">
        <w:rPr>
          <w:rFonts w:ascii="Palatino Linotype" w:eastAsia="Times New Roman" w:hAnsi="Palatino Linotype" w:cs="Times New Roman"/>
          <w:b/>
          <w:bCs/>
          <w:sz w:val="24"/>
          <w:szCs w:val="24"/>
          <w:lang w:val="es-ES_tradnl" w:eastAsia="es-ES_tradnl"/>
        </w:rPr>
        <w:t>00215</w:t>
      </w:r>
      <w:r w:rsidRPr="0051065C">
        <w:rPr>
          <w:rFonts w:ascii="Palatino Linotype" w:eastAsia="Times New Roman" w:hAnsi="Palatino Linotype" w:cs="Times New Roman"/>
          <w:b/>
          <w:bCs/>
          <w:sz w:val="24"/>
          <w:szCs w:val="24"/>
          <w:lang w:val="es-ES_tradnl" w:eastAsia="es-ES_tradnl"/>
        </w:rPr>
        <w:t>/IXTASAL/IP/2020</w:t>
      </w:r>
      <w:r w:rsidR="008251E9" w:rsidRPr="0051065C">
        <w:rPr>
          <w:rFonts w:ascii="Palatino Linotype" w:eastAsia="Times New Roman" w:hAnsi="Palatino Linotype" w:cs="Times New Roman"/>
          <w:b/>
          <w:bCs/>
          <w:sz w:val="24"/>
          <w:szCs w:val="24"/>
          <w:lang w:val="es-ES_tradnl" w:eastAsia="es-ES_tradnl"/>
        </w:rPr>
        <w:t xml:space="preserve"> y 00216</w:t>
      </w:r>
      <w:r w:rsidR="008F0A72" w:rsidRPr="0051065C">
        <w:rPr>
          <w:rFonts w:ascii="Palatino Linotype" w:eastAsia="Times New Roman" w:hAnsi="Palatino Linotype" w:cs="Times New Roman"/>
          <w:b/>
          <w:bCs/>
          <w:sz w:val="24"/>
          <w:szCs w:val="24"/>
          <w:lang w:val="es-ES_tradnl" w:eastAsia="es-ES_tradnl"/>
        </w:rPr>
        <w:t>/</w:t>
      </w:r>
      <w:r w:rsidR="008251E9" w:rsidRPr="0051065C">
        <w:rPr>
          <w:rFonts w:ascii="Palatino Linotype" w:eastAsia="Times New Roman" w:hAnsi="Palatino Linotype" w:cs="Times New Roman"/>
          <w:b/>
          <w:bCs/>
          <w:sz w:val="24"/>
          <w:szCs w:val="24"/>
          <w:lang w:val="es-ES_tradnl" w:eastAsia="es-ES_tradnl"/>
        </w:rPr>
        <w:t>IXTASAL/IP/2020</w:t>
      </w:r>
      <w:r w:rsidRPr="0051065C">
        <w:rPr>
          <w:rFonts w:ascii="Palatino Linotype" w:eastAsia="Arial Unicode MS" w:hAnsi="Palatino Linotype" w:cs="Arial"/>
          <w:sz w:val="24"/>
          <w:szCs w:val="24"/>
          <w:lang w:val="es-ES_tradnl" w:eastAsia="es-ES_tradnl"/>
        </w:rPr>
        <w:t xml:space="preserve">, por resultar fundados los motivos de inconformidad que arguye la </w:t>
      </w:r>
      <w:r w:rsidRPr="0051065C">
        <w:rPr>
          <w:rFonts w:ascii="Palatino Linotype" w:eastAsia="Arial Unicode MS" w:hAnsi="Palatino Linotype" w:cs="Arial"/>
          <w:b/>
          <w:sz w:val="24"/>
          <w:szCs w:val="24"/>
          <w:lang w:val="es-ES_tradnl" w:eastAsia="es-ES_tradnl"/>
        </w:rPr>
        <w:t>RECURRENTE</w:t>
      </w:r>
      <w:r w:rsidRPr="0051065C">
        <w:rPr>
          <w:rFonts w:ascii="Palatino Linotype" w:eastAsia="Arial Unicode MS" w:hAnsi="Palatino Linotype" w:cs="Arial"/>
          <w:sz w:val="24"/>
          <w:szCs w:val="24"/>
          <w:lang w:val="es-ES_tradnl" w:eastAsia="es-ES_tradnl"/>
        </w:rPr>
        <w:t xml:space="preserve">, en términos del </w:t>
      </w:r>
      <w:r w:rsidRPr="0051065C">
        <w:rPr>
          <w:rFonts w:ascii="Palatino Linotype" w:eastAsia="Times New Roman" w:hAnsi="Palatino Linotype" w:cs="Arial"/>
          <w:b/>
          <w:sz w:val="24"/>
          <w:szCs w:val="24"/>
          <w:lang w:val="es-ES_tradnl" w:eastAsia="es-ES_tradnl"/>
        </w:rPr>
        <w:t xml:space="preserve">Considerando CUARTO y </w:t>
      </w:r>
      <w:proofErr w:type="gramStart"/>
      <w:r w:rsidRPr="0051065C">
        <w:rPr>
          <w:rFonts w:ascii="Palatino Linotype" w:eastAsia="Times New Roman" w:hAnsi="Palatino Linotype" w:cs="Arial"/>
          <w:b/>
          <w:sz w:val="24"/>
          <w:szCs w:val="24"/>
          <w:lang w:val="es-ES_tradnl" w:eastAsia="es-ES_tradnl"/>
        </w:rPr>
        <w:t xml:space="preserve">QUINTO </w:t>
      </w:r>
      <w:r w:rsidRPr="0051065C">
        <w:rPr>
          <w:rFonts w:ascii="Palatino Linotype" w:eastAsia="Times New Roman" w:hAnsi="Palatino Linotype" w:cs="Arial"/>
          <w:sz w:val="24"/>
          <w:szCs w:val="24"/>
          <w:lang w:val="es-ES_tradnl" w:eastAsia="es-ES_tradnl"/>
        </w:rPr>
        <w:t xml:space="preserve"> de</w:t>
      </w:r>
      <w:proofErr w:type="gramEnd"/>
      <w:r w:rsidRPr="0051065C">
        <w:rPr>
          <w:rFonts w:ascii="Palatino Linotype" w:eastAsia="Times New Roman" w:hAnsi="Palatino Linotype" w:cs="Arial"/>
          <w:sz w:val="24"/>
          <w:szCs w:val="24"/>
          <w:lang w:val="es-ES_tradnl" w:eastAsia="es-ES_tradnl"/>
        </w:rPr>
        <w:t xml:space="preserve"> la presente resolución.</w:t>
      </w:r>
    </w:p>
    <w:p w:rsidR="001420B1" w:rsidRPr="0051065C" w:rsidRDefault="001420B1" w:rsidP="001420B1">
      <w:pPr>
        <w:autoSpaceDE w:val="0"/>
        <w:autoSpaceDN w:val="0"/>
        <w:adjustRightInd w:val="0"/>
        <w:spacing w:before="240" w:after="0" w:line="360" w:lineRule="auto"/>
        <w:ind w:right="49"/>
        <w:jc w:val="both"/>
        <w:rPr>
          <w:rFonts w:ascii="Palatino Linotype" w:eastAsia="Times New Roman" w:hAnsi="Palatino Linotype" w:cs="Times New Roman"/>
          <w:sz w:val="24"/>
          <w:szCs w:val="24"/>
          <w:lang w:eastAsia="es-ES_tradnl"/>
        </w:rPr>
      </w:pPr>
      <w:r w:rsidRPr="0051065C">
        <w:rPr>
          <w:rFonts w:ascii="Palatino Linotype" w:eastAsia="Times New Roman" w:hAnsi="Palatino Linotype" w:cs="Arial"/>
          <w:b/>
          <w:sz w:val="24"/>
          <w:szCs w:val="24"/>
          <w:lang w:val="es-ES_tradnl" w:eastAsia="es-ES_tradnl"/>
        </w:rPr>
        <w:t>SEGUNDO.</w:t>
      </w:r>
      <w:r w:rsidRPr="0051065C">
        <w:rPr>
          <w:rFonts w:ascii="Palatino Linotype" w:eastAsia="Times New Roman" w:hAnsi="Palatino Linotype" w:cs="Arial"/>
          <w:sz w:val="24"/>
          <w:szCs w:val="24"/>
          <w:lang w:val="es-ES_tradnl" w:eastAsia="es-ES_tradnl"/>
        </w:rPr>
        <w:t xml:space="preserve"> Se ordena al </w:t>
      </w:r>
      <w:r w:rsidRPr="0051065C">
        <w:rPr>
          <w:rFonts w:ascii="Palatino Linotype" w:eastAsia="Times New Roman" w:hAnsi="Palatino Linotype" w:cs="Arial"/>
          <w:b/>
          <w:sz w:val="24"/>
          <w:szCs w:val="24"/>
          <w:lang w:val="es-ES_tradnl" w:eastAsia="es-ES_tradnl"/>
        </w:rPr>
        <w:t>Ayuntamiento de Ixtapan de la Sal</w:t>
      </w:r>
      <w:r w:rsidRPr="0051065C">
        <w:rPr>
          <w:rFonts w:ascii="Palatino Linotype" w:eastAsia="Times New Roman" w:hAnsi="Palatino Linotype" w:cs="Arial"/>
          <w:sz w:val="24"/>
          <w:szCs w:val="24"/>
          <w:lang w:val="es-ES_tradnl" w:eastAsia="es-ES_tradnl"/>
        </w:rPr>
        <w:t xml:space="preserve"> haga entrega a la </w:t>
      </w:r>
      <w:r w:rsidRPr="0051065C">
        <w:rPr>
          <w:rFonts w:ascii="Palatino Linotype" w:eastAsia="Times New Roman" w:hAnsi="Palatino Linotype" w:cs="Arial"/>
          <w:b/>
          <w:sz w:val="24"/>
          <w:szCs w:val="24"/>
          <w:lang w:val="es-ES_tradnl" w:eastAsia="es-ES_tradnl"/>
        </w:rPr>
        <w:t>Recurrente</w:t>
      </w:r>
      <w:r w:rsidRPr="0051065C">
        <w:rPr>
          <w:rFonts w:ascii="Palatino Linotype" w:eastAsia="Times New Roman" w:hAnsi="Palatino Linotype" w:cs="Arial"/>
          <w:sz w:val="24"/>
          <w:szCs w:val="24"/>
          <w:lang w:val="es-ES_tradnl" w:eastAsia="es-ES_tradnl"/>
        </w:rPr>
        <w:t xml:space="preserve"> </w:t>
      </w:r>
      <w:r w:rsidRPr="0051065C">
        <w:rPr>
          <w:rFonts w:ascii="Palatino Linotype" w:eastAsia="Calibri" w:hAnsi="Palatino Linotype" w:cs="Arial"/>
          <w:sz w:val="24"/>
          <w:szCs w:val="24"/>
          <w:lang w:val="es-ES_tradnl" w:eastAsia="es-ES_tradnl"/>
        </w:rPr>
        <w:t xml:space="preserve">vía Sistema de Acceso a la Información Mexiquense </w:t>
      </w:r>
      <w:r w:rsidRPr="0051065C">
        <w:rPr>
          <w:rFonts w:ascii="Palatino Linotype" w:eastAsia="Calibri" w:hAnsi="Palatino Linotype" w:cs="Arial"/>
          <w:b/>
          <w:sz w:val="24"/>
          <w:szCs w:val="24"/>
          <w:lang w:val="es-ES_tradnl" w:eastAsia="es-ES_tradnl"/>
        </w:rPr>
        <w:t>(SAIMEX)</w:t>
      </w:r>
      <w:r w:rsidRPr="0051065C">
        <w:rPr>
          <w:rFonts w:ascii="Palatino Linotype" w:eastAsia="Times New Roman" w:hAnsi="Palatino Linotype" w:cs="Arial"/>
          <w:sz w:val="24"/>
          <w:szCs w:val="24"/>
          <w:lang w:val="es-ES_tradnl" w:eastAsia="es-ES_tradnl"/>
        </w:rPr>
        <w:t>,</w:t>
      </w:r>
      <w:r w:rsidRPr="0051065C">
        <w:rPr>
          <w:rFonts w:ascii="Palatino Linotype" w:eastAsia="Times New Roman" w:hAnsi="Palatino Linotype" w:cs="Times New Roman"/>
          <w:i/>
          <w:sz w:val="24"/>
          <w:szCs w:val="24"/>
          <w:lang w:eastAsia="es-ES_tradnl"/>
        </w:rPr>
        <w:t xml:space="preserve"> </w:t>
      </w:r>
      <w:r w:rsidR="009638E7" w:rsidRPr="0051065C">
        <w:rPr>
          <w:rFonts w:ascii="Palatino Linotype" w:eastAsia="Times New Roman" w:hAnsi="Palatino Linotype" w:cs="Times New Roman"/>
          <w:sz w:val="24"/>
          <w:szCs w:val="24"/>
          <w:lang w:eastAsia="es-ES_tradnl"/>
        </w:rPr>
        <w:t xml:space="preserve">así como </w:t>
      </w:r>
      <w:r w:rsidR="009638E7" w:rsidRPr="0051065C">
        <w:rPr>
          <w:rFonts w:ascii="Palatino Linotype" w:eastAsia="Calibri" w:hAnsi="Palatino Linotype" w:cs="Arial"/>
          <w:sz w:val="24"/>
          <w:szCs w:val="24"/>
          <w:lang w:val="es-ES_tradnl" w:eastAsia="es-ES_tradnl"/>
        </w:rPr>
        <w:t>todas las modalidades autorizadas por la Ley local en la materia, entre las que deberá incluir la expedición de copias simples y certificadas, así como la opción de envío, comunicando los costos que tales conceptos generen, así como la inclusión de la modalidad ya otorgada (consulta directa)</w:t>
      </w:r>
      <w:r w:rsidRPr="0051065C">
        <w:rPr>
          <w:rFonts w:ascii="Palatino Linotype" w:eastAsia="Times New Roman" w:hAnsi="Palatino Linotype" w:cs="Times New Roman"/>
          <w:sz w:val="24"/>
          <w:szCs w:val="24"/>
          <w:lang w:eastAsia="es-ES_tradnl"/>
        </w:rPr>
        <w:t xml:space="preserve">, </w:t>
      </w:r>
      <w:r w:rsidRPr="0051065C">
        <w:rPr>
          <w:rFonts w:ascii="Palatino Linotype" w:eastAsia="Times New Roman" w:hAnsi="Palatino Linotype" w:cs="Arial"/>
          <w:sz w:val="24"/>
          <w:szCs w:val="24"/>
          <w:lang w:val="es-ES_tradnl" w:eastAsia="es-ES_tradnl"/>
        </w:rPr>
        <w:t xml:space="preserve">de ser el caso, en </w:t>
      </w:r>
      <w:r w:rsidRPr="0051065C">
        <w:rPr>
          <w:rFonts w:ascii="Palatino Linotype" w:eastAsia="Times New Roman" w:hAnsi="Palatino Linotype" w:cs="Arial"/>
          <w:b/>
          <w:sz w:val="24"/>
          <w:szCs w:val="24"/>
          <w:lang w:val="es-ES_tradnl" w:eastAsia="es-ES_tradnl"/>
        </w:rPr>
        <w:t>versión pública</w:t>
      </w:r>
      <w:r w:rsidRPr="0051065C">
        <w:rPr>
          <w:rFonts w:ascii="Palatino Linotype" w:eastAsia="Times New Roman" w:hAnsi="Palatino Linotype" w:cs="Arial"/>
          <w:sz w:val="24"/>
          <w:szCs w:val="24"/>
          <w:lang w:val="es-ES_tradnl" w:eastAsia="es-ES_tradnl"/>
        </w:rPr>
        <w:t>, la siguiente información:</w:t>
      </w:r>
    </w:p>
    <w:p w:rsidR="001420B1" w:rsidRPr="0051065C" w:rsidRDefault="001420B1" w:rsidP="001420B1">
      <w:pPr>
        <w:autoSpaceDE w:val="0"/>
        <w:autoSpaceDN w:val="0"/>
        <w:adjustRightInd w:val="0"/>
        <w:spacing w:before="240" w:after="0" w:line="360" w:lineRule="auto"/>
        <w:ind w:right="49"/>
        <w:jc w:val="both"/>
        <w:rPr>
          <w:rFonts w:ascii="Palatino Linotype" w:eastAsia="Times New Roman" w:hAnsi="Palatino Linotype" w:cs="Arial"/>
          <w:sz w:val="24"/>
          <w:szCs w:val="24"/>
          <w:lang w:val="es-ES_tradnl" w:eastAsia="es-ES_tradnl"/>
        </w:rPr>
      </w:pPr>
    </w:p>
    <w:p w:rsidR="001420B1" w:rsidRPr="0051065C" w:rsidRDefault="001420B1" w:rsidP="001420B1">
      <w:pPr>
        <w:autoSpaceDE w:val="0"/>
        <w:autoSpaceDN w:val="0"/>
        <w:adjustRightInd w:val="0"/>
        <w:spacing w:before="240" w:after="0" w:line="360" w:lineRule="auto"/>
        <w:ind w:left="450" w:right="49"/>
        <w:contextualSpacing/>
        <w:jc w:val="both"/>
        <w:rPr>
          <w:rFonts w:ascii="Palatino Linotype" w:eastAsia="Times New Roman" w:hAnsi="Palatino Linotype" w:cs="Arial"/>
          <w:i/>
          <w:sz w:val="24"/>
          <w:szCs w:val="24"/>
          <w:lang w:val="es-ES_tradnl" w:eastAsia="es-ES_tradnl"/>
        </w:rPr>
      </w:pPr>
      <w:r w:rsidRPr="0051065C">
        <w:rPr>
          <w:rFonts w:ascii="Palatino Linotype" w:eastAsia="Times New Roman" w:hAnsi="Palatino Linotype" w:cs="Times New Roman"/>
          <w:b/>
          <w:sz w:val="24"/>
          <w:szCs w:val="24"/>
          <w:lang w:val="es-ES_tradnl" w:eastAsia="es-ES_tradnl"/>
        </w:rPr>
        <w:t>A)</w:t>
      </w:r>
      <w:r w:rsidRPr="0051065C">
        <w:rPr>
          <w:rFonts w:ascii="Palatino Linotype" w:eastAsia="Times New Roman" w:hAnsi="Palatino Linotype" w:cs="Times New Roman"/>
          <w:b/>
          <w:sz w:val="24"/>
          <w:szCs w:val="24"/>
          <w:lang w:eastAsia="es-ES_tradnl"/>
        </w:rPr>
        <w:t xml:space="preserve"> </w:t>
      </w:r>
      <w:r w:rsidR="009638E7" w:rsidRPr="0051065C">
        <w:rPr>
          <w:rFonts w:ascii="Palatino Linotype" w:eastAsia="Times New Roman" w:hAnsi="Palatino Linotype" w:cs="Times New Roman"/>
          <w:b/>
          <w:sz w:val="24"/>
          <w:szCs w:val="24"/>
          <w:lang w:eastAsia="es-ES_tradnl"/>
        </w:rPr>
        <w:t xml:space="preserve">Toda la información y documentación generada en el proceso de regularización de bienes inmuebles en cumplimiento de la atribución que le confiere el artículo 53 fracción VIII de la Ley Orgánica Municipal del Estado de México y toda la información y documentación generada en el proceso de inscripción de los bienes inmuebles municipales en el Registro Público de la Propiedad, hoy Instituto de la Función Registral, en cumplimiento de la </w:t>
      </w:r>
      <w:r w:rsidR="009638E7" w:rsidRPr="0051065C">
        <w:rPr>
          <w:rFonts w:ascii="Palatino Linotype" w:eastAsia="Times New Roman" w:hAnsi="Palatino Linotype" w:cs="Times New Roman"/>
          <w:b/>
          <w:sz w:val="24"/>
          <w:szCs w:val="24"/>
          <w:lang w:eastAsia="es-ES_tradnl"/>
        </w:rPr>
        <w:lastRenderedPageBreak/>
        <w:t>atribución que le confiere el artículo 53 fracción IX de la Ley Orgánica Municipal del Estado de México</w:t>
      </w:r>
      <w:r w:rsidRPr="0051065C">
        <w:rPr>
          <w:rFonts w:ascii="Palatino Linotype" w:eastAsia="Times New Roman" w:hAnsi="Palatino Linotype" w:cs="Times New Roman"/>
          <w:b/>
          <w:sz w:val="24"/>
          <w:szCs w:val="24"/>
          <w:lang w:eastAsia="es-ES_tradnl"/>
        </w:rPr>
        <w:t>.</w:t>
      </w:r>
    </w:p>
    <w:p w:rsidR="001420B1" w:rsidRPr="0051065C" w:rsidRDefault="001420B1" w:rsidP="001420B1">
      <w:pPr>
        <w:autoSpaceDE w:val="0"/>
        <w:autoSpaceDN w:val="0"/>
        <w:adjustRightInd w:val="0"/>
        <w:spacing w:before="240" w:after="0" w:line="360" w:lineRule="auto"/>
        <w:ind w:left="450" w:right="49"/>
        <w:contextualSpacing/>
        <w:jc w:val="both"/>
        <w:rPr>
          <w:rFonts w:ascii="Palatino Linotype" w:eastAsia="Times New Roman" w:hAnsi="Palatino Linotype" w:cs="Times New Roman"/>
          <w:i/>
          <w:sz w:val="24"/>
          <w:szCs w:val="24"/>
          <w:lang w:val="es-ES_tradnl" w:eastAsia="es-ES_tradnl"/>
        </w:rPr>
      </w:pPr>
    </w:p>
    <w:p w:rsidR="001420B1" w:rsidRPr="0051065C" w:rsidRDefault="001420B1" w:rsidP="001420B1">
      <w:pPr>
        <w:spacing w:after="0" w:line="360" w:lineRule="auto"/>
        <w:ind w:left="450" w:right="567"/>
        <w:jc w:val="both"/>
        <w:rPr>
          <w:rFonts w:ascii="Palatino Linotype" w:eastAsia="Calibri" w:hAnsi="Palatino Linotype" w:cs="Arial"/>
          <w:sz w:val="24"/>
          <w:szCs w:val="24"/>
          <w:lang w:val="es-ES" w:eastAsia="es-ES_tradnl"/>
        </w:rPr>
      </w:pPr>
      <w:r w:rsidRPr="0051065C">
        <w:rPr>
          <w:rFonts w:ascii="Palatino Linotype" w:eastAsia="Calibri" w:hAnsi="Palatino Linotype" w:cs="Arial"/>
          <w:sz w:val="24"/>
          <w:szCs w:val="24"/>
          <w:lang w:val="es-US" w:eastAsia="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1420B1" w:rsidRPr="0051065C" w:rsidRDefault="001420B1" w:rsidP="001420B1">
      <w:pPr>
        <w:autoSpaceDE w:val="0"/>
        <w:autoSpaceDN w:val="0"/>
        <w:adjustRightInd w:val="0"/>
        <w:spacing w:before="240" w:after="0" w:line="360" w:lineRule="auto"/>
        <w:jc w:val="both"/>
        <w:rPr>
          <w:rFonts w:ascii="Palatino Linotype" w:eastAsia="Times New Roman" w:hAnsi="Palatino Linotype" w:cs="Arial"/>
          <w:sz w:val="24"/>
          <w:szCs w:val="24"/>
          <w:lang w:val="es-ES_tradnl" w:eastAsia="es-ES_tradnl"/>
        </w:rPr>
      </w:pPr>
      <w:r w:rsidRPr="0051065C">
        <w:rPr>
          <w:rFonts w:ascii="Palatino Linotype" w:eastAsia="Times New Roman" w:hAnsi="Palatino Linotype" w:cs="Arial"/>
          <w:b/>
          <w:sz w:val="24"/>
          <w:szCs w:val="24"/>
          <w:lang w:val="es-ES_tradnl" w:eastAsia="es-ES_tradnl"/>
        </w:rPr>
        <w:t>TERCERO. Notifíquese</w:t>
      </w:r>
      <w:r w:rsidRPr="0051065C">
        <w:rPr>
          <w:rFonts w:ascii="Palatino Linotype" w:eastAsia="Times New Roman" w:hAnsi="Palatino Linotype" w:cs="Arial"/>
          <w:b/>
          <w:i/>
          <w:sz w:val="24"/>
          <w:szCs w:val="24"/>
          <w:lang w:val="es-ES_tradnl" w:eastAsia="es-ES_tradnl"/>
        </w:rPr>
        <w:t xml:space="preserve"> </w:t>
      </w:r>
      <w:r w:rsidRPr="0051065C">
        <w:rPr>
          <w:rFonts w:ascii="Palatino Linotype" w:eastAsia="Times New Roman" w:hAnsi="Palatino Linotype" w:cs="Arial"/>
          <w:sz w:val="24"/>
          <w:szCs w:val="24"/>
          <w:lang w:val="es-ES_tradnl" w:eastAsia="es-ES_tradnl"/>
        </w:rPr>
        <w:t>al Titular de la Unidad de Transparencia del</w:t>
      </w:r>
      <w:r w:rsidRPr="0051065C">
        <w:rPr>
          <w:rFonts w:ascii="Palatino Linotype" w:eastAsia="Times New Roman" w:hAnsi="Palatino Linotype" w:cs="Arial"/>
          <w:b/>
          <w:sz w:val="24"/>
          <w:szCs w:val="24"/>
          <w:lang w:val="es-ES_tradnl" w:eastAsia="es-ES_tradnl"/>
        </w:rPr>
        <w:t xml:space="preserve"> SUJETO OBLIGADO</w:t>
      </w:r>
      <w:r w:rsidRPr="0051065C">
        <w:rPr>
          <w:rFonts w:ascii="Palatino Linotype" w:eastAsia="Times New Roman" w:hAnsi="Palatino Linotype" w:cs="Arial"/>
          <w:sz w:val="24"/>
          <w:szCs w:val="24"/>
          <w:lang w:val="es-ES_tradnl" w:eastAsia="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420B1" w:rsidRPr="0051065C" w:rsidRDefault="001420B1" w:rsidP="001420B1">
      <w:pPr>
        <w:autoSpaceDE w:val="0"/>
        <w:autoSpaceDN w:val="0"/>
        <w:adjustRightInd w:val="0"/>
        <w:spacing w:before="240" w:after="0" w:line="360" w:lineRule="auto"/>
        <w:jc w:val="both"/>
        <w:rPr>
          <w:rFonts w:ascii="Palatino Linotype" w:eastAsia="Times New Roman" w:hAnsi="Palatino Linotype" w:cs="Arial"/>
          <w:sz w:val="24"/>
          <w:szCs w:val="24"/>
          <w:lang w:val="es-ES_tradnl" w:eastAsia="es-ES_tradnl"/>
        </w:rPr>
      </w:pPr>
      <w:r w:rsidRPr="0051065C">
        <w:rPr>
          <w:rFonts w:ascii="Palatino Linotype" w:eastAsia="Times New Roman" w:hAnsi="Palatino Linotype" w:cs="Arial"/>
          <w:b/>
          <w:sz w:val="24"/>
          <w:szCs w:val="24"/>
          <w:lang w:val="es-ES_tradnl" w:eastAsia="es-ES_tradnl"/>
        </w:rPr>
        <w:t>CUARTO</w:t>
      </w:r>
      <w:r w:rsidRPr="0051065C">
        <w:rPr>
          <w:rFonts w:ascii="Palatino Linotype" w:eastAsia="Times New Roman" w:hAnsi="Palatino Linotype" w:cs="Arial"/>
          <w:sz w:val="24"/>
          <w:szCs w:val="24"/>
          <w:lang w:val="es-ES_tradnl" w:eastAsia="es-ES_tradnl"/>
        </w:rPr>
        <w:t xml:space="preserve">. </w:t>
      </w:r>
      <w:r w:rsidRPr="0051065C">
        <w:rPr>
          <w:rFonts w:ascii="Palatino Linotype" w:eastAsia="Times New Roman" w:hAnsi="Palatino Linotype" w:cs="Arial"/>
          <w:b/>
          <w:bCs/>
          <w:sz w:val="24"/>
          <w:szCs w:val="24"/>
          <w:shd w:val="clear" w:color="auto" w:fill="FFFFFF"/>
          <w:lang w:val="es-ES_tradnl" w:eastAsia="es-ES_tradnl"/>
        </w:rPr>
        <w:t>Notifíquese</w:t>
      </w:r>
      <w:r w:rsidR="009638E7" w:rsidRPr="0051065C">
        <w:rPr>
          <w:rFonts w:ascii="Palatino Linotype" w:eastAsia="Times New Roman" w:hAnsi="Palatino Linotype" w:cs="Arial"/>
          <w:sz w:val="24"/>
          <w:szCs w:val="24"/>
          <w:lang w:val="es-ES_tradnl" w:eastAsia="es-ES_tradnl"/>
        </w:rPr>
        <w:t xml:space="preserve"> al</w:t>
      </w:r>
      <w:r w:rsidRPr="0051065C">
        <w:rPr>
          <w:rFonts w:ascii="Palatino Linotype" w:eastAsia="Times New Roman" w:hAnsi="Palatino Linotype" w:cs="Arial"/>
          <w:sz w:val="24"/>
          <w:szCs w:val="24"/>
          <w:lang w:val="es-ES_tradnl" w:eastAsia="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420B1" w:rsidRPr="0051065C" w:rsidRDefault="001420B1" w:rsidP="001420B1">
      <w:pPr>
        <w:spacing w:after="0" w:line="360" w:lineRule="auto"/>
        <w:ind w:right="49"/>
        <w:jc w:val="both"/>
        <w:rPr>
          <w:rFonts w:ascii="Palatino Linotype" w:eastAsia="Times New Roman" w:hAnsi="Palatino Linotype" w:cs="Times New Roman"/>
          <w:b/>
          <w:color w:val="000000" w:themeColor="text1"/>
          <w:sz w:val="24"/>
          <w:szCs w:val="24"/>
          <w:lang w:val="es-ES_tradnl" w:eastAsia="es-ES_tradnl"/>
        </w:rPr>
      </w:pPr>
    </w:p>
    <w:p w:rsidR="001420B1" w:rsidRPr="0051065C" w:rsidRDefault="001420B1" w:rsidP="001420B1">
      <w:pPr>
        <w:spacing w:after="0" w:line="360" w:lineRule="auto"/>
        <w:ind w:right="49"/>
        <w:jc w:val="both"/>
        <w:rPr>
          <w:rFonts w:ascii="Palatino Linotype" w:eastAsia="Times New Roman" w:hAnsi="Palatino Linotype" w:cs="Times New Roman"/>
          <w:color w:val="000000" w:themeColor="text1"/>
          <w:sz w:val="24"/>
          <w:szCs w:val="24"/>
          <w:lang w:val="es-ES_tradnl" w:eastAsia="es-ES_tradnl"/>
        </w:rPr>
      </w:pPr>
      <w:r w:rsidRPr="0051065C">
        <w:rPr>
          <w:rFonts w:ascii="Palatino Linotype" w:eastAsia="Times New Roman" w:hAnsi="Palatino Linotype" w:cs="Times New Roman"/>
          <w:b/>
          <w:color w:val="000000" w:themeColor="text1"/>
          <w:sz w:val="24"/>
          <w:szCs w:val="24"/>
          <w:lang w:val="es-ES_tradnl" w:eastAsia="es-ES_tradnl"/>
        </w:rPr>
        <w:lastRenderedPageBreak/>
        <w:t xml:space="preserve">QUINTO. </w:t>
      </w:r>
      <w:r w:rsidRPr="0051065C">
        <w:rPr>
          <w:rFonts w:ascii="Palatino Linotype" w:eastAsia="Times New Roman" w:hAnsi="Palatino Linotype" w:cs="Times New Roman"/>
          <w:color w:val="000000" w:themeColor="text1"/>
          <w:sz w:val="24"/>
          <w:szCs w:val="24"/>
          <w:lang w:val="es-ES_tradnl"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420B1" w:rsidRPr="0051065C" w:rsidRDefault="001420B1" w:rsidP="001420B1">
      <w:pPr>
        <w:spacing w:after="0" w:line="360" w:lineRule="auto"/>
        <w:ind w:right="49"/>
        <w:jc w:val="both"/>
        <w:rPr>
          <w:rFonts w:ascii="Palatino Linotype" w:eastAsia="Times New Roman" w:hAnsi="Palatino Linotype" w:cs="Times New Roman"/>
          <w:color w:val="000000" w:themeColor="text1"/>
          <w:sz w:val="24"/>
          <w:szCs w:val="24"/>
          <w:lang w:val="es-ES_tradnl" w:eastAsia="es-ES_tradnl"/>
        </w:rPr>
      </w:pPr>
    </w:p>
    <w:p w:rsidR="001420B1" w:rsidRPr="0051065C" w:rsidRDefault="001420B1" w:rsidP="001420B1">
      <w:pPr>
        <w:spacing w:after="0" w:line="360" w:lineRule="auto"/>
        <w:ind w:right="49"/>
        <w:jc w:val="both"/>
        <w:rPr>
          <w:rFonts w:ascii="Palatino Linotype" w:eastAsia="Times New Roman" w:hAnsi="Palatino Linotype" w:cs="Times New Roman"/>
          <w:color w:val="222222"/>
          <w:sz w:val="24"/>
          <w:szCs w:val="24"/>
          <w:lang w:val="es-ES_tradnl" w:eastAsia="es-ES_tradnl"/>
        </w:rPr>
      </w:pPr>
      <w:r w:rsidRPr="0051065C">
        <w:rPr>
          <w:rFonts w:ascii="Palatino Linotype" w:eastAsia="Times New Roman" w:hAnsi="Palatino Linotype" w:cs="Times New Roman"/>
          <w:b/>
          <w:color w:val="222222"/>
          <w:sz w:val="24"/>
          <w:szCs w:val="24"/>
          <w:lang w:val="es-ES_tradnl" w:eastAsia="es-ES_tradnl"/>
        </w:rPr>
        <w:t>SEXTO. Notifíquese</w:t>
      </w:r>
      <w:r w:rsidRPr="0051065C">
        <w:rPr>
          <w:rFonts w:ascii="Palatino Linotype" w:eastAsia="Times New Roman" w:hAnsi="Palatino Linotype" w:cs="Times New Roman"/>
          <w:color w:val="222222"/>
          <w:sz w:val="24"/>
          <w:szCs w:val="24"/>
          <w:lang w:val="es-ES_tradnl" w:eastAsia="es-ES_tradnl"/>
        </w:rPr>
        <w:t xml:space="preserve"> al Instituto Nacional de Transparencia, Acceso a la Información y Protección de Datos Personales la presente resolución en cumplimiento a la resolución del recurso de inconformidad </w:t>
      </w:r>
      <w:r w:rsidR="009638E7" w:rsidRPr="0051065C">
        <w:rPr>
          <w:rFonts w:ascii="Palatino Linotype" w:eastAsia="Times New Roman" w:hAnsi="Palatino Linotype" w:cs="Times New Roman"/>
          <w:b/>
          <w:color w:val="222222"/>
          <w:sz w:val="24"/>
          <w:szCs w:val="24"/>
          <w:lang w:val="es-ES_tradnl" w:eastAsia="es-ES_tradnl"/>
        </w:rPr>
        <w:t>122</w:t>
      </w:r>
      <w:r w:rsidRPr="0051065C">
        <w:rPr>
          <w:rFonts w:ascii="Palatino Linotype" w:eastAsia="Times New Roman" w:hAnsi="Palatino Linotype" w:cs="Times New Roman"/>
          <w:b/>
          <w:color w:val="222222"/>
          <w:sz w:val="24"/>
          <w:szCs w:val="24"/>
          <w:lang w:val="es-ES_tradnl" w:eastAsia="es-ES_tradnl"/>
        </w:rPr>
        <w:t>/20</w:t>
      </w:r>
      <w:r w:rsidRPr="0051065C">
        <w:rPr>
          <w:rFonts w:ascii="Palatino Linotype" w:eastAsia="Times New Roman" w:hAnsi="Palatino Linotype" w:cs="Times New Roman"/>
          <w:color w:val="222222"/>
          <w:sz w:val="24"/>
          <w:szCs w:val="24"/>
          <w:lang w:val="es-ES_tradnl" w:eastAsia="es-ES_tradnl"/>
        </w:rPr>
        <w:t>, en términos del artículo 173 de la Ley General de Transparencia y Acceso a la Información Pública.</w:t>
      </w:r>
    </w:p>
    <w:p w:rsidR="001420B1" w:rsidRPr="0051065C" w:rsidRDefault="001420B1" w:rsidP="001420B1">
      <w:pPr>
        <w:shd w:val="clear" w:color="auto" w:fill="FFFFFF"/>
        <w:spacing w:before="240" w:after="360" w:line="360" w:lineRule="auto"/>
        <w:jc w:val="both"/>
        <w:rPr>
          <w:rFonts w:ascii="Palatino Linotype" w:eastAsia="Times New Roman" w:hAnsi="Palatino Linotype" w:cs="Arial"/>
          <w:sz w:val="24"/>
          <w:szCs w:val="24"/>
          <w:lang w:val="es-ES_tradnl" w:eastAsia="es-ES_tradnl"/>
        </w:rPr>
      </w:pPr>
      <w:r w:rsidRPr="0051065C">
        <w:rPr>
          <w:rFonts w:ascii="Palatino Linotype" w:eastAsia="Times New Roman" w:hAnsi="Palatino Linotype" w:cs="Times New Roman"/>
          <w:sz w:val="24"/>
          <w:szCs w:val="24"/>
          <w:lang w:val="es-ES_tradnl" w:eastAsia="es-ES_tradn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SEXTA SESIÓN ORDINARIA</w:t>
      </w:r>
      <w:r w:rsidR="009638E7" w:rsidRPr="0051065C">
        <w:rPr>
          <w:rFonts w:ascii="Palatino Linotype" w:eastAsia="Times New Roman" w:hAnsi="Palatino Linotype" w:cs="Times New Roman"/>
          <w:sz w:val="24"/>
          <w:szCs w:val="24"/>
          <w:lang w:val="es-ES_tradnl" w:eastAsia="es-ES_tradnl"/>
        </w:rPr>
        <w:t xml:space="preserve"> CELEBRADA EL DÍA VEINTICUATRO (24</w:t>
      </w:r>
      <w:r w:rsidRPr="0051065C">
        <w:rPr>
          <w:rFonts w:ascii="Palatino Linotype" w:eastAsia="Times New Roman" w:hAnsi="Palatino Linotype" w:cs="Times New Roman"/>
          <w:sz w:val="24"/>
          <w:szCs w:val="24"/>
          <w:lang w:val="es-ES_tradnl" w:eastAsia="es-ES_tradnl"/>
        </w:rPr>
        <w:t>) DE FEBRERO DE DOS MIL VEINTIUNO, ANTE EL SECRETARIO TÉCNICO DEL PLENO ALEXIS TAPIA RAMÍREZ.</w:t>
      </w:r>
      <w:r w:rsidRPr="0051065C">
        <w:rPr>
          <w:rFonts w:ascii="Palatino Linotype" w:eastAsia="Times New Roman" w:hAnsi="Palatino Linotype" w:cs="Arial"/>
          <w:sz w:val="24"/>
          <w:szCs w:val="24"/>
          <w:lang w:val="es-ES_tradnl" w:eastAsia="es-ES_tradnl"/>
        </w:rPr>
        <w:t xml:space="preserve">  </w:t>
      </w:r>
    </w:p>
    <w:p w:rsidR="001420B1" w:rsidRPr="001420B1" w:rsidRDefault="001420B1" w:rsidP="001420B1"/>
    <w:p w:rsidR="000335FB" w:rsidRDefault="000335FB"/>
    <w:p w:rsidR="0051065C" w:rsidRDefault="0051065C"/>
    <w:p w:rsidR="0051065C" w:rsidRDefault="0051065C"/>
    <w:p w:rsidR="0051065C" w:rsidRDefault="0051065C"/>
    <w:p w:rsidR="0051065C" w:rsidRDefault="0051065C"/>
    <w:p w:rsidR="0051065C" w:rsidRDefault="0051065C"/>
    <w:sectPr w:rsidR="0051065C" w:rsidSect="001420B1">
      <w:headerReference w:type="even" r:id="rId11"/>
      <w:headerReference w:type="default" r:id="rId12"/>
      <w:footerReference w:type="default" r:id="rId13"/>
      <w:headerReference w:type="first" r:id="rId14"/>
      <w:footerReference w:type="first" r:id="rId15"/>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DD5" w:rsidRDefault="00531DD5" w:rsidP="001420B1">
      <w:pPr>
        <w:spacing w:after="0" w:line="240" w:lineRule="auto"/>
      </w:pPr>
      <w:r>
        <w:separator/>
      </w:r>
    </w:p>
  </w:endnote>
  <w:endnote w:type="continuationSeparator" w:id="0">
    <w:p w:rsidR="00531DD5" w:rsidRDefault="00531DD5" w:rsidP="0014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B16D07" w:rsidRPr="00883450" w:rsidRDefault="00B16D0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065C">
              <w:rPr>
                <w:rFonts w:ascii="Palatino Linotype" w:hAnsi="Palatino Linotype"/>
                <w:b/>
                <w:bCs/>
                <w:noProof/>
                <w:sz w:val="22"/>
                <w:szCs w:val="20"/>
              </w:rPr>
              <w:t>92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065C">
              <w:rPr>
                <w:rFonts w:ascii="Palatino Linotype" w:hAnsi="Palatino Linotype"/>
                <w:b/>
                <w:bCs/>
                <w:noProof/>
                <w:sz w:val="22"/>
                <w:szCs w:val="20"/>
              </w:rPr>
              <w:t>92</w:t>
            </w:r>
            <w:r w:rsidRPr="00883450">
              <w:rPr>
                <w:rFonts w:ascii="Palatino Linotype" w:hAnsi="Palatino Linotype"/>
                <w:b/>
                <w:bCs/>
                <w:sz w:val="22"/>
                <w:szCs w:val="20"/>
              </w:rPr>
              <w:fldChar w:fldCharType="end"/>
            </w:r>
          </w:p>
        </w:sdtContent>
      </w:sdt>
    </w:sdtContent>
  </w:sdt>
  <w:p w:rsidR="00B16D07" w:rsidRDefault="00B16D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D07" w:rsidRPr="00883450" w:rsidRDefault="00B16D07" w:rsidP="001420B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065C" w:rsidRPr="0051065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065C" w:rsidRPr="0051065C">
      <w:rPr>
        <w:rFonts w:ascii="Palatino Linotype" w:hAnsi="Palatino Linotype"/>
        <w:noProof/>
        <w:sz w:val="22"/>
        <w:szCs w:val="22"/>
        <w:lang w:val="es-ES"/>
      </w:rPr>
      <w:t>91</w:t>
    </w:r>
    <w:r w:rsidRPr="00883450">
      <w:rPr>
        <w:rFonts w:ascii="Palatino Linotype" w:hAnsi="Palatino Linotype"/>
        <w:sz w:val="22"/>
        <w:szCs w:val="22"/>
      </w:rPr>
      <w:fldChar w:fldCharType="end"/>
    </w:r>
  </w:p>
  <w:p w:rsidR="00B16D07" w:rsidRPr="00883450" w:rsidRDefault="00B16D0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DD5" w:rsidRDefault="00531DD5" w:rsidP="001420B1">
      <w:pPr>
        <w:spacing w:after="0" w:line="240" w:lineRule="auto"/>
      </w:pPr>
      <w:r>
        <w:separator/>
      </w:r>
    </w:p>
  </w:footnote>
  <w:footnote w:type="continuationSeparator" w:id="0">
    <w:p w:rsidR="00531DD5" w:rsidRDefault="00531DD5" w:rsidP="001420B1">
      <w:pPr>
        <w:spacing w:after="0" w:line="240" w:lineRule="auto"/>
      </w:pPr>
      <w:r>
        <w:continuationSeparator/>
      </w:r>
    </w:p>
  </w:footnote>
  <w:footnote w:id="1">
    <w:p w:rsidR="00B16D07" w:rsidRPr="00321071" w:rsidRDefault="00B16D07" w:rsidP="001420B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B16D07" w:rsidRPr="008A6281" w:rsidRDefault="00B16D07" w:rsidP="001420B1">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B16D07" w:rsidRPr="00E4540D" w:rsidRDefault="00B16D07" w:rsidP="001420B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B16D07" w:rsidRPr="00E4540D" w:rsidRDefault="00B16D07" w:rsidP="001420B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B16D07" w:rsidRPr="00E4540D" w:rsidRDefault="00B16D07" w:rsidP="001420B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B16D07" w:rsidRPr="00E4540D" w:rsidRDefault="00B16D07" w:rsidP="001420B1">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B16D07" w:rsidRPr="00E4540D" w:rsidRDefault="00B16D07" w:rsidP="001420B1">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B16D07" w:rsidRPr="00E4540D" w:rsidRDefault="00B16D07" w:rsidP="001420B1">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B16D07" w:rsidRPr="00E4540D" w:rsidRDefault="00B16D07" w:rsidP="001420B1">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B16D07" w:rsidRPr="008A6281" w:rsidRDefault="00B16D07" w:rsidP="001420B1">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B16D07" w:rsidRPr="002A6BC5" w:rsidRDefault="00B16D07" w:rsidP="001420B1">
      <w:pPr>
        <w:pStyle w:val="Textonotapie"/>
        <w:rPr>
          <w:lang w:val="es-ES"/>
        </w:rPr>
      </w:pPr>
    </w:p>
  </w:footnote>
  <w:footnote w:id="11">
    <w:p w:rsidR="00B16D07" w:rsidRDefault="00B16D07" w:rsidP="001420B1">
      <w:r>
        <w:rPr>
          <w:rStyle w:val="Refdenotaalpie"/>
        </w:rPr>
        <w:footnoteRef/>
      </w:r>
      <w:r>
        <w:t xml:space="preserve"> Jursiprudencia  2a./J. 38/2002, Segunda Sala, Novena Época, Semanario Judicial de la Federación y su Gaceta Tomo XV, Mayo de 2002, Página: 175.</w:t>
      </w:r>
    </w:p>
    <w:p w:rsidR="00B16D07" w:rsidRDefault="00B16D07" w:rsidP="001420B1">
      <w:pPr>
        <w:spacing w:line="360" w:lineRule="auto"/>
        <w:jc w:val="both"/>
        <w:rPr>
          <w:rFonts w:ascii="Palatino Linotype" w:hAnsi="Palatino Linotype"/>
          <w:highlight w:val="yellow"/>
          <w:shd w:val="clear" w:color="auto" w:fill="FFFFFF"/>
        </w:rPr>
      </w:pPr>
    </w:p>
    <w:p w:rsidR="00B16D07" w:rsidRPr="00EF61D3" w:rsidRDefault="00B16D07" w:rsidP="001420B1">
      <w:pPr>
        <w:pStyle w:val="Textonotapie"/>
      </w:pPr>
    </w:p>
  </w:footnote>
  <w:footnote w:id="12">
    <w:p w:rsidR="00B16D07" w:rsidRDefault="00B16D07" w:rsidP="001420B1">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B16D07" w:rsidRDefault="00B16D07" w:rsidP="001420B1">
      <w:pPr>
        <w:pStyle w:val="Prrafodelista"/>
        <w:shd w:val="clear" w:color="auto" w:fill="FFFFFF"/>
        <w:tabs>
          <w:tab w:val="left" w:pos="0"/>
        </w:tabs>
        <w:spacing w:before="240" w:after="150" w:line="360" w:lineRule="auto"/>
        <w:ind w:left="180" w:right="49"/>
        <w:jc w:val="both"/>
      </w:pPr>
    </w:p>
    <w:p w:rsidR="00B16D07" w:rsidRPr="00D1664E" w:rsidRDefault="00B16D07" w:rsidP="001420B1">
      <w:pPr>
        <w:pStyle w:val="Textonotapie"/>
        <w:rPr>
          <w:lang w:val="es-US"/>
        </w:rPr>
      </w:pPr>
    </w:p>
  </w:footnote>
  <w:footnote w:id="13">
    <w:p w:rsidR="00B16D07" w:rsidRPr="008A6281" w:rsidRDefault="00B16D07" w:rsidP="001420B1">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B16D07" w:rsidRPr="008A6281" w:rsidRDefault="00B16D07" w:rsidP="001420B1">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B16D07" w:rsidRPr="006B380E" w:rsidRDefault="00B16D07" w:rsidP="001420B1">
      <w:pPr>
        <w:pStyle w:val="Textonotapie"/>
      </w:pPr>
    </w:p>
  </w:footnote>
  <w:footnote w:id="15">
    <w:p w:rsidR="00B16D07" w:rsidRPr="008A6281" w:rsidRDefault="00B16D07" w:rsidP="001420B1">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B16D07" w:rsidRPr="009020DD" w:rsidRDefault="00B16D07" w:rsidP="001420B1">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16D07" w:rsidRPr="009020DD" w:rsidRDefault="00B16D07" w:rsidP="001420B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16D07" w:rsidRPr="009020DD" w:rsidRDefault="00B16D07" w:rsidP="001420B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7">
    <w:p w:rsidR="00B16D07" w:rsidRPr="007F43A5" w:rsidRDefault="00B16D07" w:rsidP="001420B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8">
    <w:p w:rsidR="00B16D07" w:rsidRPr="0037004E" w:rsidRDefault="00B16D07" w:rsidP="001420B1">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B16D07" w:rsidRDefault="00B16D07" w:rsidP="001420B1">
      <w:pPr>
        <w:pStyle w:val="Textonotapie"/>
      </w:pPr>
    </w:p>
  </w:footnote>
  <w:footnote w:id="19">
    <w:p w:rsidR="00B16D07" w:rsidRDefault="00B16D07" w:rsidP="001420B1">
      <w:pPr>
        <w:pStyle w:val="Textonotapie"/>
        <w:jc w:val="both"/>
      </w:pPr>
      <w:r>
        <w:rPr>
          <w:rStyle w:val="Refdenotaalpie"/>
        </w:rPr>
        <w:footnoteRef/>
      </w:r>
      <w:r>
        <w:t xml:space="preserve"> Artículo 3. Para los efectos de la presente Ley se entenderá por:</w:t>
      </w:r>
    </w:p>
    <w:p w:rsidR="00B16D07" w:rsidRDefault="00B16D07" w:rsidP="001420B1">
      <w:pPr>
        <w:pStyle w:val="Textonotapie"/>
        <w:jc w:val="both"/>
      </w:pPr>
      <w:r>
        <w:t xml:space="preserve"> (…)</w:t>
      </w:r>
    </w:p>
    <w:p w:rsidR="00B16D07" w:rsidRDefault="00B16D07" w:rsidP="001420B1">
      <w:pPr>
        <w:pStyle w:val="Textonotapie"/>
        <w:jc w:val="both"/>
      </w:pPr>
      <w:r>
        <w:t>IX. Datos personales: La información concerniente a una persona, identificada o identificable según lo dispuesto por la Ley de Protección de Datos Personales del Estado de México;</w:t>
      </w:r>
    </w:p>
  </w:footnote>
  <w:footnote w:id="20">
    <w:p w:rsidR="00B16D07" w:rsidRDefault="00B16D07" w:rsidP="001420B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B16D07" w:rsidRDefault="00B16D07" w:rsidP="001420B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B16D07" w:rsidRDefault="00B16D07" w:rsidP="001420B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B16D07" w:rsidRDefault="00B16D07" w:rsidP="001420B1">
      <w:pPr>
        <w:autoSpaceDE w:val="0"/>
        <w:autoSpaceDN w:val="0"/>
        <w:adjustRightInd w:val="0"/>
        <w:jc w:val="both"/>
      </w:pPr>
    </w:p>
  </w:footnote>
  <w:footnote w:id="21">
    <w:p w:rsidR="00B16D07" w:rsidRDefault="00B16D07" w:rsidP="001420B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65C" w:rsidRDefault="008F1E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848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16D07" w:rsidRPr="00EF13C1" w:rsidTr="001420B1">
      <w:trPr>
        <w:trHeight w:val="138"/>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16D07" w:rsidRPr="003516BD" w:rsidRDefault="00B16D07" w:rsidP="001420B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02743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ACMULADO</w:t>
          </w:r>
        </w:p>
      </w:tc>
    </w:tr>
    <w:tr w:rsidR="00B16D07" w:rsidRPr="00EF13C1" w:rsidTr="001420B1">
      <w:trPr>
        <w:trHeight w:val="321"/>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16D07" w:rsidRPr="00EF13C1" w:rsidRDefault="00B16D07" w:rsidP="001420B1">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B16D07" w:rsidRPr="00EF13C1" w:rsidTr="001420B1">
      <w:trPr>
        <w:trHeight w:val="321"/>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16D07" w:rsidRPr="00EF13C1" w:rsidRDefault="00B16D07" w:rsidP="001420B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16D07" w:rsidRDefault="008F1E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8482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D07" w:rsidRDefault="008F1E1A" w:rsidP="001420B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8482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16D07">
      <w:tab/>
    </w:r>
    <w:r w:rsidR="00B16D0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16D07" w:rsidRPr="00EF13C1" w:rsidTr="001420B1">
      <w:trPr>
        <w:trHeight w:val="138"/>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16D07" w:rsidRPr="003516BD" w:rsidRDefault="00B16D07" w:rsidP="001420B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02743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w:t>
          </w:r>
        </w:p>
      </w:tc>
    </w:tr>
    <w:tr w:rsidR="00B16D07" w:rsidRPr="00EF13C1" w:rsidTr="001420B1">
      <w:trPr>
        <w:trHeight w:val="233"/>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B16D07" w:rsidRPr="00EF13C1" w:rsidRDefault="008F1E1A" w:rsidP="001420B1">
          <w:pPr>
            <w:pStyle w:val="Encabezado"/>
            <w:jc w:val="right"/>
            <w:rPr>
              <w:rFonts w:ascii="Palatino Linotype" w:hAnsi="Palatino Linotype"/>
              <w:b/>
              <w:sz w:val="22"/>
              <w:szCs w:val="22"/>
            </w:rPr>
          </w:pPr>
          <w:r w:rsidRPr="008F1E1A">
            <w:rPr>
              <w:rFonts w:ascii="Palatino Linotype" w:hAnsi="Palatino Linotype"/>
              <w:b/>
              <w:sz w:val="22"/>
              <w:szCs w:val="22"/>
              <w:highlight w:val="black"/>
            </w:rPr>
            <w:t>-------------------------------------</w:t>
          </w:r>
        </w:p>
      </w:tc>
    </w:tr>
    <w:tr w:rsidR="00B16D07" w:rsidRPr="00EF13C1" w:rsidTr="001420B1">
      <w:trPr>
        <w:trHeight w:val="321"/>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16D07" w:rsidRPr="00EF13C1" w:rsidRDefault="00B16D07" w:rsidP="001420B1">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B16D07" w:rsidRPr="00EF13C1" w:rsidTr="001420B1">
      <w:trPr>
        <w:trHeight w:val="321"/>
        <w:jc w:val="right"/>
      </w:trPr>
      <w:tc>
        <w:tcPr>
          <w:tcW w:w="2552" w:type="dxa"/>
          <w:vAlign w:val="center"/>
        </w:tcPr>
        <w:p w:rsidR="00B16D07" w:rsidRPr="00EF13C1" w:rsidRDefault="00B16D07" w:rsidP="001420B1">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16D07" w:rsidRPr="00EF13C1" w:rsidRDefault="00B16D07" w:rsidP="001420B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16D07" w:rsidRDefault="00B16D07" w:rsidP="001420B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7"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6096D"/>
    <w:multiLevelType w:val="hybridMultilevel"/>
    <w:tmpl w:val="87C06AD4"/>
    <w:lvl w:ilvl="0" w:tplc="72E8A996">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5"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1D8583B"/>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5" w15:restartNumberingAfterBreak="0">
    <w:nsid w:val="565E1368"/>
    <w:multiLevelType w:val="hybridMultilevel"/>
    <w:tmpl w:val="B90805B0"/>
    <w:lvl w:ilvl="0" w:tplc="9804808C">
      <w:start w:val="1"/>
      <w:numFmt w:val="upperRoman"/>
      <w:lvlText w:val="%1."/>
      <w:lvlJc w:val="left"/>
      <w:pPr>
        <w:ind w:left="1287" w:hanging="720"/>
      </w:pPr>
      <w:rPr>
        <w:rFonts w:hint="default"/>
        <w:color w:val="auto"/>
        <w:u w:val="non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7"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1"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3"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EE331AA"/>
    <w:multiLevelType w:val="hybridMultilevel"/>
    <w:tmpl w:val="6694972E"/>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7"/>
  </w:num>
  <w:num w:numId="2">
    <w:abstractNumId w:val="9"/>
  </w:num>
  <w:num w:numId="3">
    <w:abstractNumId w:val="5"/>
  </w:num>
  <w:num w:numId="4">
    <w:abstractNumId w:val="18"/>
  </w:num>
  <w:num w:numId="5">
    <w:abstractNumId w:val="21"/>
  </w:num>
  <w:num w:numId="6">
    <w:abstractNumId w:val="19"/>
  </w:num>
  <w:num w:numId="7">
    <w:abstractNumId w:val="20"/>
  </w:num>
  <w:num w:numId="8">
    <w:abstractNumId w:val="3"/>
  </w:num>
  <w:num w:numId="9">
    <w:abstractNumId w:val="1"/>
  </w:num>
  <w:num w:numId="10">
    <w:abstractNumId w:val="23"/>
  </w:num>
  <w:num w:numId="11">
    <w:abstractNumId w:val="8"/>
  </w:num>
  <w:num w:numId="12">
    <w:abstractNumId w:val="32"/>
  </w:num>
  <w:num w:numId="13">
    <w:abstractNumId w:val="6"/>
  </w:num>
  <w:num w:numId="14">
    <w:abstractNumId w:val="36"/>
  </w:num>
  <w:num w:numId="15">
    <w:abstractNumId w:val="22"/>
  </w:num>
  <w:num w:numId="16">
    <w:abstractNumId w:val="10"/>
  </w:num>
  <w:num w:numId="17">
    <w:abstractNumId w:val="31"/>
  </w:num>
  <w:num w:numId="18">
    <w:abstractNumId w:val="7"/>
  </w:num>
  <w:num w:numId="19">
    <w:abstractNumId w:val="26"/>
  </w:num>
  <w:num w:numId="20">
    <w:abstractNumId w:val="15"/>
  </w:num>
  <w:num w:numId="21">
    <w:abstractNumId w:val="33"/>
  </w:num>
  <w:num w:numId="22">
    <w:abstractNumId w:val="28"/>
  </w:num>
  <w:num w:numId="23">
    <w:abstractNumId w:val="27"/>
  </w:num>
  <w:num w:numId="24">
    <w:abstractNumId w:val="34"/>
  </w:num>
  <w:num w:numId="25">
    <w:abstractNumId w:val="12"/>
  </w:num>
  <w:num w:numId="26">
    <w:abstractNumId w:val="25"/>
  </w:num>
  <w:num w:numId="27">
    <w:abstractNumId w:val="4"/>
  </w:num>
  <w:num w:numId="28">
    <w:abstractNumId w:val="14"/>
  </w:num>
  <w:num w:numId="29">
    <w:abstractNumId w:val="11"/>
  </w:num>
  <w:num w:numId="30">
    <w:abstractNumId w:val="0"/>
  </w:num>
  <w:num w:numId="31">
    <w:abstractNumId w:val="24"/>
  </w:num>
  <w:num w:numId="32">
    <w:abstractNumId w:val="30"/>
  </w:num>
  <w:num w:numId="33">
    <w:abstractNumId w:val="29"/>
  </w:num>
  <w:num w:numId="34">
    <w:abstractNumId w:val="2"/>
  </w:num>
  <w:num w:numId="35">
    <w:abstractNumId w:val="16"/>
  </w:num>
  <w:num w:numId="36">
    <w:abstractNumId w:val="1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B1"/>
    <w:rsid w:val="000335FB"/>
    <w:rsid w:val="000B0613"/>
    <w:rsid w:val="001420B1"/>
    <w:rsid w:val="001678AA"/>
    <w:rsid w:val="001D32B9"/>
    <w:rsid w:val="0051065C"/>
    <w:rsid w:val="00523D0C"/>
    <w:rsid w:val="00531DD5"/>
    <w:rsid w:val="00621CD1"/>
    <w:rsid w:val="006D3D8C"/>
    <w:rsid w:val="00752C8C"/>
    <w:rsid w:val="008251E9"/>
    <w:rsid w:val="008F0A72"/>
    <w:rsid w:val="008F1E1A"/>
    <w:rsid w:val="009638E7"/>
    <w:rsid w:val="00975693"/>
    <w:rsid w:val="00B16D07"/>
    <w:rsid w:val="00B822F8"/>
    <w:rsid w:val="00D46A5F"/>
    <w:rsid w:val="00DF39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302FC"/>
  <w15:chartTrackingRefBased/>
  <w15:docId w15:val="{A0957D25-CA69-4ED5-9DDE-3C9BC4BD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20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42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20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0B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420B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420B1"/>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uiPriority w:val="99"/>
    <w:semiHidden/>
    <w:unhideWhenUsed/>
    <w:rsid w:val="001420B1"/>
  </w:style>
  <w:style w:type="paragraph" w:styleId="Encabezado">
    <w:name w:val="header"/>
    <w:basedOn w:val="Normal"/>
    <w:link w:val="EncabezadoCar"/>
    <w:uiPriority w:val="99"/>
    <w:unhideWhenUsed/>
    <w:rsid w:val="001420B1"/>
    <w:pPr>
      <w:tabs>
        <w:tab w:val="center" w:pos="4252"/>
        <w:tab w:val="right" w:pos="8504"/>
      </w:tabs>
      <w:spacing w:after="0" w:line="240" w:lineRule="auto"/>
    </w:pPr>
    <w:rPr>
      <w:rFonts w:ascii="Times New Roman" w:eastAsia="Times New Roman" w:hAnsi="Times New Roman" w:cs="Times New Roman"/>
      <w:sz w:val="24"/>
      <w:szCs w:val="24"/>
      <w:lang w:val="es-US" w:eastAsia="es-ES_tradnl"/>
    </w:rPr>
  </w:style>
  <w:style w:type="character" w:customStyle="1" w:styleId="EncabezadoCar">
    <w:name w:val="Encabezado Car"/>
    <w:basedOn w:val="Fuentedeprrafopredeter"/>
    <w:link w:val="Encabezado"/>
    <w:uiPriority w:val="99"/>
    <w:rsid w:val="001420B1"/>
    <w:rPr>
      <w:rFonts w:ascii="Times New Roman" w:eastAsia="Times New Roman" w:hAnsi="Times New Roman" w:cs="Times New Roman"/>
      <w:sz w:val="24"/>
      <w:szCs w:val="24"/>
      <w:lang w:val="es-US" w:eastAsia="es-ES_tradnl"/>
    </w:rPr>
  </w:style>
  <w:style w:type="paragraph" w:styleId="Piedepgina">
    <w:name w:val="footer"/>
    <w:basedOn w:val="Normal"/>
    <w:link w:val="PiedepginaCar"/>
    <w:uiPriority w:val="99"/>
    <w:unhideWhenUsed/>
    <w:rsid w:val="001420B1"/>
    <w:pPr>
      <w:tabs>
        <w:tab w:val="center" w:pos="4252"/>
        <w:tab w:val="right" w:pos="8504"/>
      </w:tabs>
      <w:spacing w:after="0" w:line="240" w:lineRule="auto"/>
    </w:pPr>
    <w:rPr>
      <w:rFonts w:ascii="Times New Roman" w:eastAsia="Times New Roman" w:hAnsi="Times New Roman" w:cs="Times New Roman"/>
      <w:sz w:val="24"/>
      <w:szCs w:val="24"/>
      <w:lang w:val="es-US" w:eastAsia="es-ES_tradnl"/>
    </w:rPr>
  </w:style>
  <w:style w:type="character" w:customStyle="1" w:styleId="PiedepginaCar">
    <w:name w:val="Pie de página Car"/>
    <w:basedOn w:val="Fuentedeprrafopredeter"/>
    <w:link w:val="Piedepgina"/>
    <w:uiPriority w:val="99"/>
    <w:rsid w:val="001420B1"/>
    <w:rPr>
      <w:rFonts w:ascii="Times New Roman" w:eastAsia="Times New Roman" w:hAnsi="Times New Roman" w:cs="Times New Roman"/>
      <w:sz w:val="24"/>
      <w:szCs w:val="24"/>
      <w:lang w:val="es-US" w:eastAsia="es-ES_tradnl"/>
    </w:rPr>
  </w:style>
  <w:style w:type="table" w:styleId="Tablaconcuadrcula">
    <w:name w:val="Table Grid"/>
    <w:basedOn w:val="Tablanormal"/>
    <w:uiPriority w:val="39"/>
    <w:rsid w:val="001420B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20B1"/>
    <w:pPr>
      <w:spacing w:after="0" w:line="240" w:lineRule="auto"/>
    </w:pPr>
    <w:rPr>
      <w:rFonts w:ascii="Lucida Grande" w:eastAsia="Times New Roman" w:hAnsi="Lucida Grande" w:cs="Lucida Grande"/>
      <w:sz w:val="18"/>
      <w:szCs w:val="18"/>
      <w:lang w:val="es-US" w:eastAsia="es-ES_tradnl"/>
    </w:rPr>
  </w:style>
  <w:style w:type="character" w:customStyle="1" w:styleId="TextodegloboCar">
    <w:name w:val="Texto de globo Car"/>
    <w:basedOn w:val="Fuentedeprrafopredeter"/>
    <w:link w:val="Textodeglobo"/>
    <w:uiPriority w:val="99"/>
    <w:semiHidden/>
    <w:rsid w:val="001420B1"/>
    <w:rPr>
      <w:rFonts w:ascii="Lucida Grande" w:eastAsia="Times New Roman" w:hAnsi="Lucida Grande" w:cs="Lucida Grande"/>
      <w:sz w:val="18"/>
      <w:szCs w:val="18"/>
      <w:lang w:val="es-US" w:eastAsia="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20B1"/>
    <w:pPr>
      <w:spacing w:after="0" w:line="240" w:lineRule="auto"/>
      <w:ind w:left="720"/>
      <w:contextualSpacing/>
    </w:pPr>
    <w:rPr>
      <w:rFonts w:ascii="Times New Roman" w:eastAsia="Times New Roman" w:hAnsi="Times New Roman" w:cs="Times New Roman"/>
      <w:sz w:val="24"/>
      <w:szCs w:val="24"/>
      <w:lang w:val="es-US" w:eastAsia="es-ES_tradnl"/>
    </w:rPr>
  </w:style>
  <w:style w:type="paragraph" w:styleId="Sinespaciado">
    <w:name w:val="No Spacing"/>
    <w:aliases w:val="Francesa"/>
    <w:link w:val="SinespaciadoCar"/>
    <w:uiPriority w:val="1"/>
    <w:qFormat/>
    <w:rsid w:val="001420B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20B1"/>
    <w:rPr>
      <w:rFonts w:ascii="Times New Roman" w:eastAsia="Times New Roman" w:hAnsi="Times New Roman" w:cs="Times New Roman"/>
      <w:sz w:val="24"/>
      <w:szCs w:val="24"/>
      <w:lang w:val="es-US" w:eastAsia="es-ES_tradnl"/>
    </w:rPr>
  </w:style>
  <w:style w:type="character" w:styleId="Hipervnculo">
    <w:name w:val="Hyperlink"/>
    <w:basedOn w:val="Fuentedeprrafopredeter"/>
    <w:uiPriority w:val="99"/>
    <w:unhideWhenUsed/>
    <w:rsid w:val="001420B1"/>
    <w:rPr>
      <w:color w:val="0563C1" w:themeColor="hyperlink"/>
      <w:u w:val="single"/>
    </w:rPr>
  </w:style>
  <w:style w:type="paragraph" w:styleId="TDC1">
    <w:name w:val="toc 1"/>
    <w:basedOn w:val="Normal"/>
    <w:next w:val="Normal"/>
    <w:autoRedefine/>
    <w:uiPriority w:val="39"/>
    <w:unhideWhenUsed/>
    <w:rsid w:val="001420B1"/>
    <w:pPr>
      <w:tabs>
        <w:tab w:val="right" w:leader="dot" w:pos="8828"/>
      </w:tabs>
      <w:spacing w:after="100" w:line="360" w:lineRule="auto"/>
      <w:ind w:left="567"/>
      <w:jc w:val="both"/>
    </w:pPr>
    <w:rPr>
      <w:rFonts w:ascii="Times New Roman" w:eastAsia="Times New Roman" w:hAnsi="Times New Roman" w:cs="Times New Roman"/>
      <w:sz w:val="24"/>
      <w:szCs w:val="24"/>
      <w:lang w:val="es-US" w:eastAsia="es-ES_tradnl"/>
    </w:rPr>
  </w:style>
  <w:style w:type="paragraph" w:styleId="TDC2">
    <w:name w:val="toc 2"/>
    <w:basedOn w:val="Normal"/>
    <w:next w:val="Normal"/>
    <w:autoRedefine/>
    <w:uiPriority w:val="39"/>
    <w:unhideWhenUsed/>
    <w:rsid w:val="001420B1"/>
    <w:pPr>
      <w:tabs>
        <w:tab w:val="right" w:leader="dot" w:pos="8779"/>
      </w:tabs>
      <w:spacing w:after="100" w:line="480" w:lineRule="auto"/>
      <w:ind w:left="567"/>
      <w:jc w:val="both"/>
    </w:pPr>
    <w:rPr>
      <w:rFonts w:ascii="Times New Roman" w:eastAsia="Times New Roman" w:hAnsi="Times New Roman" w:cs="Times New Roman"/>
      <w:sz w:val="24"/>
      <w:szCs w:val="24"/>
      <w:lang w:val="es-US" w:eastAsia="es-ES_tradnl"/>
    </w:rPr>
  </w:style>
  <w:style w:type="character" w:styleId="Refdecomentario">
    <w:name w:val="annotation reference"/>
    <w:basedOn w:val="Fuentedeprrafopredeter"/>
    <w:uiPriority w:val="99"/>
    <w:semiHidden/>
    <w:unhideWhenUsed/>
    <w:rsid w:val="001420B1"/>
    <w:rPr>
      <w:sz w:val="16"/>
      <w:szCs w:val="16"/>
    </w:rPr>
  </w:style>
  <w:style w:type="paragraph" w:styleId="Textocomentario">
    <w:name w:val="annotation text"/>
    <w:basedOn w:val="Normal"/>
    <w:link w:val="TextocomentarioCar"/>
    <w:uiPriority w:val="99"/>
    <w:semiHidden/>
    <w:unhideWhenUsed/>
    <w:rsid w:val="001420B1"/>
    <w:pPr>
      <w:spacing w:after="0" w:line="240" w:lineRule="auto"/>
    </w:pPr>
    <w:rPr>
      <w:rFonts w:ascii="Times New Roman" w:eastAsia="Times New Roman" w:hAnsi="Times New Roman" w:cs="Times New Roman"/>
      <w:sz w:val="20"/>
      <w:szCs w:val="20"/>
      <w:lang w:val="es-US" w:eastAsia="es-ES_tradnl"/>
    </w:rPr>
  </w:style>
  <w:style w:type="character" w:customStyle="1" w:styleId="TextocomentarioCar">
    <w:name w:val="Texto comentario Car"/>
    <w:basedOn w:val="Fuentedeprrafopredeter"/>
    <w:link w:val="Textocomentario"/>
    <w:uiPriority w:val="99"/>
    <w:semiHidden/>
    <w:rsid w:val="001420B1"/>
    <w:rPr>
      <w:rFonts w:ascii="Times New Roman" w:eastAsia="Times New Roman" w:hAnsi="Times New Roman" w:cs="Times New Roman"/>
      <w:sz w:val="20"/>
      <w:szCs w:val="20"/>
      <w:lang w:val="es-US" w:eastAsia="es-ES_tradnl"/>
    </w:rPr>
  </w:style>
  <w:style w:type="paragraph" w:styleId="Asuntodelcomentario">
    <w:name w:val="annotation subject"/>
    <w:basedOn w:val="Textocomentario"/>
    <w:next w:val="Textocomentario"/>
    <w:link w:val="AsuntodelcomentarioCar"/>
    <w:uiPriority w:val="99"/>
    <w:semiHidden/>
    <w:unhideWhenUsed/>
    <w:rsid w:val="001420B1"/>
    <w:rPr>
      <w:b/>
      <w:bCs/>
    </w:rPr>
  </w:style>
  <w:style w:type="character" w:customStyle="1" w:styleId="AsuntodelcomentarioCar">
    <w:name w:val="Asunto del comentario Car"/>
    <w:basedOn w:val="TextocomentarioCar"/>
    <w:link w:val="Asuntodelcomentario"/>
    <w:uiPriority w:val="99"/>
    <w:semiHidden/>
    <w:rsid w:val="001420B1"/>
    <w:rPr>
      <w:rFonts w:ascii="Times New Roman" w:eastAsia="Times New Roman" w:hAnsi="Times New Roman" w:cs="Times New Roman"/>
      <w:b/>
      <w:bCs/>
      <w:sz w:val="20"/>
      <w:szCs w:val="20"/>
      <w:lang w:val="es-US" w:eastAsia="es-ES_tradnl"/>
    </w:rPr>
  </w:style>
  <w:style w:type="character" w:customStyle="1" w:styleId="apple-converted-space">
    <w:name w:val="apple-converted-space"/>
    <w:basedOn w:val="Fuentedeprrafopredeter"/>
    <w:rsid w:val="001420B1"/>
  </w:style>
  <w:style w:type="paragraph" w:styleId="Textoindependiente">
    <w:name w:val="Body Text"/>
    <w:basedOn w:val="Normal"/>
    <w:link w:val="TextoindependienteCar"/>
    <w:uiPriority w:val="1"/>
    <w:qFormat/>
    <w:rsid w:val="001420B1"/>
    <w:pPr>
      <w:spacing w:after="0" w:line="240" w:lineRule="auto"/>
      <w:jc w:val="both"/>
    </w:pPr>
    <w:rPr>
      <w:rFonts w:ascii="Arial" w:eastAsia="Times New Roman" w:hAnsi="Arial" w:cs="Times New Roman"/>
      <w:sz w:val="24"/>
      <w:szCs w:val="20"/>
      <w:lang w:val="es-US" w:eastAsia="es-ES_tradnl"/>
    </w:rPr>
  </w:style>
  <w:style w:type="character" w:customStyle="1" w:styleId="TextoindependienteCar">
    <w:name w:val="Texto independiente Car"/>
    <w:basedOn w:val="Fuentedeprrafopredeter"/>
    <w:link w:val="Textoindependiente"/>
    <w:uiPriority w:val="1"/>
    <w:rsid w:val="001420B1"/>
    <w:rPr>
      <w:rFonts w:ascii="Arial" w:eastAsia="Times New Roman" w:hAnsi="Arial" w:cs="Times New Roman"/>
      <w:sz w:val="24"/>
      <w:szCs w:val="20"/>
      <w:lang w:val="es-US" w:eastAsia="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420B1"/>
    <w:pPr>
      <w:spacing w:after="0" w:line="240" w:lineRule="auto"/>
    </w:pPr>
    <w:rPr>
      <w:rFonts w:ascii="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420B1"/>
    <w:rPr>
      <w:rFonts w:ascii="Times New Roman" w:hAnsi="Times New Roman"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420B1"/>
    <w:rPr>
      <w:vertAlign w:val="superscript"/>
    </w:rPr>
  </w:style>
  <w:style w:type="paragraph" w:customStyle="1" w:styleId="p">
    <w:name w:val="p"/>
    <w:basedOn w:val="Normal"/>
    <w:rsid w:val="001420B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
    <w:name w:val="f"/>
    <w:basedOn w:val="Fuentedeprrafopredeter"/>
    <w:rsid w:val="001420B1"/>
  </w:style>
  <w:style w:type="character" w:customStyle="1" w:styleId="a">
    <w:name w:val="a"/>
    <w:basedOn w:val="Fuentedeprrafopredeter"/>
    <w:rsid w:val="001420B1"/>
  </w:style>
  <w:style w:type="character" w:customStyle="1" w:styleId="d">
    <w:name w:val="d"/>
    <w:basedOn w:val="Fuentedeprrafopredeter"/>
    <w:rsid w:val="001420B1"/>
  </w:style>
  <w:style w:type="character" w:customStyle="1" w:styleId="b">
    <w:name w:val="b"/>
    <w:basedOn w:val="Fuentedeprrafopredeter"/>
    <w:rsid w:val="001420B1"/>
  </w:style>
  <w:style w:type="character" w:customStyle="1" w:styleId="g">
    <w:name w:val="g"/>
    <w:basedOn w:val="Fuentedeprrafopredeter"/>
    <w:rsid w:val="001420B1"/>
  </w:style>
  <w:style w:type="table" w:customStyle="1" w:styleId="Tablaconcuadrcula1">
    <w:name w:val="Tabla con cuadrícula1"/>
    <w:basedOn w:val="Tablanormal"/>
    <w:next w:val="Tablaconcuadrcula"/>
    <w:uiPriority w:val="59"/>
    <w:rsid w:val="001420B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420B1"/>
    <w:pPr>
      <w:outlineLvl w:val="9"/>
    </w:pPr>
    <w:rPr>
      <w:lang w:eastAsia="es-MX"/>
    </w:rPr>
  </w:style>
  <w:style w:type="character" w:styleId="Hipervnculovisitado">
    <w:name w:val="FollowedHyperlink"/>
    <w:basedOn w:val="Fuentedeprrafopredeter"/>
    <w:uiPriority w:val="99"/>
    <w:semiHidden/>
    <w:unhideWhenUsed/>
    <w:rsid w:val="001420B1"/>
    <w:rPr>
      <w:color w:val="954F72" w:themeColor="followedHyperlink"/>
      <w:u w:val="single"/>
    </w:rPr>
  </w:style>
  <w:style w:type="paragraph" w:customStyle="1" w:styleId="Default">
    <w:name w:val="Default"/>
    <w:rsid w:val="001420B1"/>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1420B1"/>
  </w:style>
  <w:style w:type="paragraph" w:styleId="Textoindependiente2">
    <w:name w:val="Body Text 2"/>
    <w:basedOn w:val="Normal"/>
    <w:link w:val="Textoindependiente2Car"/>
    <w:uiPriority w:val="99"/>
    <w:semiHidden/>
    <w:unhideWhenUsed/>
    <w:rsid w:val="001420B1"/>
    <w:pPr>
      <w:spacing w:after="120" w:line="480" w:lineRule="auto"/>
    </w:pPr>
    <w:rPr>
      <w:rFonts w:ascii="Times New Roman" w:eastAsia="Times New Roman" w:hAnsi="Times New Roman" w:cs="Times New Roman"/>
      <w:sz w:val="24"/>
      <w:szCs w:val="24"/>
      <w:lang w:val="es-US" w:eastAsia="es-ES_tradnl"/>
    </w:rPr>
  </w:style>
  <w:style w:type="character" w:customStyle="1" w:styleId="Textoindependiente2Car">
    <w:name w:val="Texto independiente 2 Car"/>
    <w:basedOn w:val="Fuentedeprrafopredeter"/>
    <w:link w:val="Textoindependiente2"/>
    <w:uiPriority w:val="99"/>
    <w:semiHidden/>
    <w:rsid w:val="001420B1"/>
    <w:rPr>
      <w:rFonts w:ascii="Times New Roman" w:eastAsia="Times New Roman" w:hAnsi="Times New Roman" w:cs="Times New Roman"/>
      <w:sz w:val="24"/>
      <w:szCs w:val="24"/>
      <w:lang w:val="es-US" w:eastAsia="es-ES_tradnl"/>
    </w:rPr>
  </w:style>
  <w:style w:type="paragraph" w:styleId="NormalWeb">
    <w:name w:val="Normal (Web)"/>
    <w:basedOn w:val="Normal"/>
    <w:uiPriority w:val="99"/>
    <w:unhideWhenUsed/>
    <w:rsid w:val="001420B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1">
    <w:name w:val="Estilo importado 1"/>
    <w:rsid w:val="001420B1"/>
    <w:pPr>
      <w:numPr>
        <w:numId w:val="2"/>
      </w:numPr>
    </w:pPr>
  </w:style>
  <w:style w:type="paragraph" w:customStyle="1" w:styleId="Cuerpo">
    <w:name w:val="Cuerpo"/>
    <w:rsid w:val="001420B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420B1"/>
    <w:rPr>
      <w:lang w:val="es-ES_tradnl"/>
    </w:rPr>
  </w:style>
  <w:style w:type="paragraph" w:customStyle="1" w:styleId="j">
    <w:name w:val="j"/>
    <w:basedOn w:val="Normal"/>
    <w:rsid w:val="001420B1"/>
    <w:pPr>
      <w:spacing w:before="100" w:beforeAutospacing="1" w:after="100" w:afterAutospacing="1" w:line="240" w:lineRule="auto"/>
    </w:pPr>
    <w:rPr>
      <w:rFonts w:ascii="Times New Roman" w:hAnsi="Times New Roman" w:cs="Times New Roman"/>
      <w:sz w:val="24"/>
      <w:szCs w:val="24"/>
      <w:lang w:val="es-US" w:eastAsia="es-ES_tradnl"/>
    </w:rPr>
  </w:style>
  <w:style w:type="table" w:styleId="Tablanormal1">
    <w:name w:val="Plain Table 1"/>
    <w:basedOn w:val="Tablanormal"/>
    <w:uiPriority w:val="41"/>
    <w:rsid w:val="001420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1420B1"/>
    <w:pPr>
      <w:spacing w:after="100" w:line="240" w:lineRule="auto"/>
      <w:ind w:left="480"/>
    </w:pPr>
    <w:rPr>
      <w:rFonts w:ascii="Times New Roman" w:eastAsia="Times New Roman" w:hAnsi="Times New Roman" w:cs="Times New Roman"/>
      <w:sz w:val="24"/>
      <w:szCs w:val="24"/>
      <w:lang w:val="es-US" w:eastAsia="es-ES_tradnl"/>
    </w:rPr>
  </w:style>
  <w:style w:type="paragraph" w:customStyle="1" w:styleId="m4397069627087658506m3875924900656606131gmail-m3522841387156623642gmail-msolistparagraph">
    <w:name w:val="m_4397069627087658506m_3875924900656606131gmail-m_3522841387156623642gmail-msolistparagraph"/>
    <w:basedOn w:val="Normal"/>
    <w:rsid w:val="001420B1"/>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4397069627087658506m3875924900656606131gmail-il">
    <w:name w:val="m_4397069627087658506m_3875924900656606131gmail-il"/>
    <w:basedOn w:val="Fuentedeprrafopredeter"/>
    <w:rsid w:val="001420B1"/>
  </w:style>
  <w:style w:type="paragraph" w:customStyle="1" w:styleId="m2140982489578957003gmail-msolistparagraph">
    <w:name w:val="m_2140982489578957003gmail-msolistparagraph"/>
    <w:basedOn w:val="Normal"/>
    <w:rsid w:val="001420B1"/>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2140982489578957003gmail-ttulo2car">
    <w:name w:val="m_2140982489578957003gmail-ttulo2car"/>
    <w:basedOn w:val="Fuentedeprrafopredeter"/>
    <w:rsid w:val="001420B1"/>
  </w:style>
  <w:style w:type="character" w:customStyle="1" w:styleId="dp6">
    <w:name w:val="dp6"/>
    <w:basedOn w:val="Fuentedeprrafopredeter"/>
    <w:rsid w:val="001420B1"/>
  </w:style>
  <w:style w:type="paragraph" w:customStyle="1" w:styleId="Texto">
    <w:name w:val="Texto"/>
    <w:basedOn w:val="Normal"/>
    <w:link w:val="TextoCar"/>
    <w:rsid w:val="001420B1"/>
    <w:pPr>
      <w:spacing w:after="101" w:line="216" w:lineRule="exact"/>
      <w:ind w:firstLine="288"/>
      <w:jc w:val="both"/>
    </w:pPr>
    <w:rPr>
      <w:rFonts w:ascii="Arial" w:eastAsia="Times New Roman" w:hAnsi="Arial" w:cs="Arial"/>
      <w:sz w:val="18"/>
      <w:szCs w:val="18"/>
      <w:lang w:eastAsia="es-ES_tradnl"/>
    </w:rPr>
  </w:style>
  <w:style w:type="paragraph" w:customStyle="1" w:styleId="m1609377113336227858gmail-msonormal">
    <w:name w:val="m_1609377113336227858gmail-msonormal"/>
    <w:basedOn w:val="Normal"/>
    <w:rsid w:val="001420B1"/>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SinespaciadoCar">
    <w:name w:val="Sin espaciado Car"/>
    <w:aliases w:val="Francesa Car"/>
    <w:link w:val="Sinespaciado"/>
    <w:uiPriority w:val="1"/>
    <w:locked/>
    <w:rsid w:val="001420B1"/>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1420B1"/>
    <w:rPr>
      <w:color w:val="605E5C"/>
      <w:shd w:val="clear" w:color="auto" w:fill="E1DFDD"/>
    </w:rPr>
  </w:style>
  <w:style w:type="character" w:styleId="Textoennegrita">
    <w:name w:val="Strong"/>
    <w:basedOn w:val="Fuentedeprrafopredeter"/>
    <w:uiPriority w:val="22"/>
    <w:qFormat/>
    <w:rsid w:val="001420B1"/>
    <w:rPr>
      <w:b/>
      <w:bCs/>
    </w:rPr>
  </w:style>
  <w:style w:type="character" w:styleId="nfasis">
    <w:name w:val="Emphasis"/>
    <w:basedOn w:val="Fuentedeprrafopredeter"/>
    <w:uiPriority w:val="20"/>
    <w:qFormat/>
    <w:rsid w:val="001420B1"/>
    <w:rPr>
      <w:i/>
      <w:iCs/>
    </w:rPr>
  </w:style>
  <w:style w:type="character" w:customStyle="1" w:styleId="TextoCar">
    <w:name w:val="Texto Car"/>
    <w:link w:val="Texto"/>
    <w:locked/>
    <w:rsid w:val="001420B1"/>
    <w:rPr>
      <w:rFonts w:ascii="Arial" w:eastAsia="Times New Roman" w:hAnsi="Arial" w:cs="Arial"/>
      <w:sz w:val="18"/>
      <w:szCs w:val="18"/>
      <w:lang w:eastAsia="es-ES_tradnl"/>
    </w:rPr>
  </w:style>
  <w:style w:type="paragraph" w:customStyle="1" w:styleId="n2">
    <w:name w:val="n2"/>
    <w:basedOn w:val="Normal"/>
    <w:rsid w:val="001420B1"/>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character" w:customStyle="1" w:styleId="nacep">
    <w:name w:val="n_acep"/>
    <w:basedOn w:val="Fuentedeprrafopredeter"/>
    <w:rsid w:val="001420B1"/>
  </w:style>
  <w:style w:type="character" w:customStyle="1" w:styleId="h">
    <w:name w:val="h"/>
    <w:basedOn w:val="Fuentedeprrafopredeter"/>
    <w:rsid w:val="001420B1"/>
  </w:style>
  <w:style w:type="character" w:customStyle="1" w:styleId="i5">
    <w:name w:val="i5"/>
    <w:basedOn w:val="Fuentedeprrafopredeter"/>
    <w:rsid w:val="001420B1"/>
  </w:style>
  <w:style w:type="paragraph" w:customStyle="1" w:styleId="j1">
    <w:name w:val="j1"/>
    <w:basedOn w:val="Normal"/>
    <w:rsid w:val="001420B1"/>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paragraph" w:customStyle="1" w:styleId="n5">
    <w:name w:val="n5"/>
    <w:basedOn w:val="Normal"/>
    <w:rsid w:val="001420B1"/>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paragraph" w:customStyle="1" w:styleId="j2">
    <w:name w:val="j2"/>
    <w:basedOn w:val="Normal"/>
    <w:rsid w:val="001420B1"/>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contribuyente.mx/2018/05/que-ocurre-si-el-fisco-no-te-responde-una-petic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BB165-6557-4121-AFCE-EF2519D8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92</Pages>
  <Words>19917</Words>
  <Characters>109544</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6</cp:revision>
  <dcterms:created xsi:type="dcterms:W3CDTF">2021-02-18T17:31:00Z</dcterms:created>
  <dcterms:modified xsi:type="dcterms:W3CDTF">2021-04-07T01:50:00Z</dcterms:modified>
</cp:coreProperties>
</file>