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B53" w:rsidRDefault="002421B4">
      <w:p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cinco de agosto de dos mil veinte.</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00687/INFOEM/IP/RR/2020</w:t>
      </w:r>
      <w:r>
        <w:rPr>
          <w:rFonts w:ascii="Palatino Linotype" w:eastAsia="Palatino Linotype" w:hAnsi="Palatino Linotype" w:cs="Palatino Linotype"/>
        </w:rPr>
        <w:t xml:space="preserve">, promovido por la </w:t>
      </w:r>
      <w:r>
        <w:rPr>
          <w:rFonts w:ascii="Palatino Linotype" w:eastAsia="Palatino Linotype" w:hAnsi="Palatino Linotype" w:cs="Palatino Linotype"/>
          <w:b/>
        </w:rPr>
        <w:t xml:space="preserve">C. </w:t>
      </w:r>
      <w:r w:rsidR="00536744" w:rsidRPr="00536744">
        <w:rPr>
          <w:rFonts w:ascii="Palatino Linotype" w:eastAsia="Palatino Linotype" w:hAnsi="Palatino Linotype" w:cs="Palatino Linotype"/>
          <w:b/>
        </w:rPr>
        <w:t>Xxxxxx Xxxxx Xxxxx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en contra de la respuesta emitida por la </w:t>
      </w:r>
      <w:r>
        <w:rPr>
          <w:rFonts w:ascii="Palatino Linotype" w:eastAsia="Palatino Linotype" w:hAnsi="Palatino Linotype" w:cs="Palatino Linotype"/>
          <w:b/>
        </w:rPr>
        <w:t>Fiscalía General de Justicia del Estado de México</w:t>
      </w:r>
      <w:r>
        <w:rPr>
          <w:rFonts w:ascii="Palatino Linotype" w:eastAsia="Palatino Linotype" w:hAnsi="Palatino Linotype" w:cs="Palatino Linotype"/>
        </w:rPr>
        <w:t xml:space="preserve">, en lo subsecuente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procede a dictar la presente resolución con base en lo siguiente: </w:t>
      </w:r>
    </w:p>
    <w:p w:rsidR="00A35B53" w:rsidRDefault="002421B4">
      <w:pPr>
        <w:spacing w:before="280" w:after="28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RESULTANDO</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I.</w:t>
      </w:r>
      <w:r>
        <w:rPr>
          <w:rFonts w:ascii="Palatino Linotype" w:eastAsia="Palatino Linotype" w:hAnsi="Palatino Linotype" w:cs="Palatino Linotype"/>
          <w:color w:val="000000"/>
        </w:rPr>
        <w:t xml:space="preserve"> En fecha dieciséis de diciembre de dos mil diecinueve,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presentó a través del Sistema de Acceso a la Información Mexiquense, en lo subsecuente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xml:space="preserve">, ante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la solicitud de acceso a información pública, a la que se le asignó el número </w:t>
      </w:r>
      <w:r>
        <w:rPr>
          <w:rFonts w:ascii="Palatino Linotype" w:eastAsia="Palatino Linotype" w:hAnsi="Palatino Linotype" w:cs="Palatino Linotype"/>
          <w:b/>
          <w:color w:val="000000"/>
        </w:rPr>
        <w:t>01155/FGJ/IP/2019,</w:t>
      </w:r>
      <w:r>
        <w:rPr>
          <w:rFonts w:ascii="Palatino Linotype" w:eastAsia="Palatino Linotype" w:hAnsi="Palatino Linotype" w:cs="Palatino Linotype"/>
          <w:color w:val="000000"/>
        </w:rPr>
        <w:t xml:space="preserve"> mediante la cual requirió: </w:t>
      </w:r>
    </w:p>
    <w:p w:rsidR="00A35B53" w:rsidRDefault="002421B4">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“Una tabla cruzada con la siguiente información perteneciente a las carpetas de investigación abiertas por la Fiscalía General de Justicia del Estado de México: -Fecha (Año, Mes y Día) -Categoría del delito -Tipo del delito -Dirección (Colonia, Municipio, Calle) -Longitud y Latitud Toda la información anterior, de los siguientes municipios: 1. Tenancingo de Degollado, Edomex 2. Ixtapan de la Sal, Edomex 3. Metepec, Edomex 4. Toluca de Lerdo, Edomex Todo esto, acotado al rango de tiempo entre Noviembre de 2018 y Noviembre de 2019 (o la información más reciente con la que se cuente). Adjunto una tabla ejemplo a continuación.” (Sic)</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Adjuntando a su solicitud de información el archivo electrónico denominado </w:t>
      </w:r>
      <w:hyperlink r:id="rId7">
        <w:r>
          <w:rPr>
            <w:rFonts w:ascii="Palatino Linotype" w:eastAsia="Palatino Linotype" w:hAnsi="Palatino Linotype" w:cs="Palatino Linotype"/>
            <w:b/>
            <w:color w:val="000000"/>
          </w:rPr>
          <w:t>solicitudinformacionejemplo.xlsx</w:t>
        </w:r>
      </w:hyperlink>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mismo que al ser de conocimiento de las partes se omite su inserción en el presente apartado.</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Modalidad de entrega:</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II.</w:t>
      </w:r>
      <w:r>
        <w:rPr>
          <w:rFonts w:ascii="Palatino Linotype" w:eastAsia="Palatino Linotype" w:hAnsi="Palatino Linotype" w:cs="Palatino Linotype"/>
          <w:color w:val="000000"/>
        </w:rPr>
        <w:t xml:space="preserve"> De las constancias que obran en el expediente electrónico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fecha dieciocho de diciembre de dos mil diecinueve, el Titular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turnó la solicitud de información a la Servidora Pública Habilitada que estimó pertinente, a fin de colmar el derecho de acceso a la información de la particular; tal y como, se aprecia en la imagen siguiente:</w:t>
      </w:r>
    </w:p>
    <w:p w:rsidR="00A35B53" w:rsidRDefault="005D00AD">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bookmarkStart w:id="0" w:name="_GoBack"/>
      <w:r>
        <w:rPr>
          <w:rFonts w:ascii="Palatino Linotype" w:eastAsia="Palatino Linotype" w:hAnsi="Palatino Linotype" w:cs="Palatino Linotype"/>
          <w:noProof/>
          <w:color w:val="000000"/>
          <w:lang w:eastAsia="es-MX"/>
        </w:rPr>
        <w:drawing>
          <wp:inline distT="0" distB="0" distL="0" distR="0">
            <wp:extent cx="5578323" cy="533446"/>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8">
                      <a:extLst>
                        <a:ext uri="{28A0092B-C50C-407E-A947-70E740481C1C}">
                          <a14:useLocalDpi xmlns:a14="http://schemas.microsoft.com/office/drawing/2010/main" val="0"/>
                        </a:ext>
                      </a:extLst>
                    </a:blip>
                    <a:stretch>
                      <a:fillRect/>
                    </a:stretch>
                  </pic:blipFill>
                  <pic:spPr>
                    <a:xfrm>
                      <a:off x="0" y="0"/>
                      <a:ext cx="5578323" cy="533446"/>
                    </a:xfrm>
                    <a:prstGeom prst="rect">
                      <a:avLst/>
                    </a:prstGeom>
                  </pic:spPr>
                </pic:pic>
              </a:graphicData>
            </a:graphic>
          </wp:inline>
        </w:drawing>
      </w:r>
      <w:bookmarkEnd w:id="0"/>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III</w:t>
      </w:r>
      <w:r>
        <w:rPr>
          <w:rFonts w:ascii="Palatino Linotype" w:eastAsia="Palatino Linotype" w:hAnsi="Palatino Linotype" w:cs="Palatino Linotype"/>
          <w:color w:val="000000"/>
        </w:rPr>
        <w:t xml:space="preserve">. En fecha veintidós de enero de dos mil veinte,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dio respuesta a la solicitud de acceso a la información pública requerida por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en los términos siguientes:</w:t>
      </w:r>
    </w:p>
    <w:p w:rsidR="00A35B53" w:rsidRDefault="002421B4">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“Toluca de Lerdo, Estado de México; a 22 de enero de 2020. Número de oficio: 0105/MAIP/FGJ/20 </w:t>
      </w:r>
      <w:r w:rsidR="00536744">
        <w:rPr>
          <w:rFonts w:ascii="Palatino Linotype" w:eastAsia="Palatino Linotype" w:hAnsi="Palatino Linotype" w:cs="Palatino Linotype"/>
          <w:i/>
          <w:color w:val="000000"/>
          <w:sz w:val="22"/>
          <w:szCs w:val="22"/>
        </w:rPr>
        <w:t>XXXXXX</w:t>
      </w:r>
      <w:r>
        <w:rPr>
          <w:rFonts w:ascii="Palatino Linotype" w:eastAsia="Palatino Linotype" w:hAnsi="Palatino Linotype" w:cs="Palatino Linotype"/>
          <w:i/>
          <w:color w:val="000000"/>
          <w:sz w:val="22"/>
          <w:szCs w:val="22"/>
        </w:rPr>
        <w:t xml:space="preserve"> </w:t>
      </w:r>
      <w:r w:rsidR="00536744">
        <w:rPr>
          <w:rFonts w:ascii="Palatino Linotype" w:eastAsia="Palatino Linotype" w:hAnsi="Palatino Linotype" w:cs="Palatino Linotype"/>
          <w:i/>
          <w:color w:val="000000"/>
          <w:sz w:val="22"/>
          <w:szCs w:val="22"/>
        </w:rPr>
        <w:t>XXXXX</w:t>
      </w:r>
      <w:r>
        <w:rPr>
          <w:rFonts w:ascii="Palatino Linotype" w:eastAsia="Palatino Linotype" w:hAnsi="Palatino Linotype" w:cs="Palatino Linotype"/>
          <w:i/>
          <w:color w:val="000000"/>
          <w:sz w:val="22"/>
          <w:szCs w:val="22"/>
        </w:rPr>
        <w:t xml:space="preserve"> </w:t>
      </w:r>
      <w:r w:rsidR="00536744">
        <w:rPr>
          <w:rFonts w:ascii="Palatino Linotype" w:eastAsia="Palatino Linotype" w:hAnsi="Palatino Linotype" w:cs="Palatino Linotype"/>
          <w:i/>
          <w:color w:val="000000"/>
          <w:sz w:val="22"/>
          <w:szCs w:val="22"/>
        </w:rPr>
        <w:t>XXXXX</w:t>
      </w:r>
      <w:r>
        <w:rPr>
          <w:rFonts w:ascii="Palatino Linotype" w:eastAsia="Palatino Linotype" w:hAnsi="Palatino Linotype" w:cs="Palatino Linotype"/>
          <w:i/>
          <w:color w:val="000000"/>
          <w:sz w:val="22"/>
          <w:szCs w:val="22"/>
        </w:rPr>
        <w:t xml:space="preserve"> Hago referencia al contenido de su solicitud de información pública, presentada el 16 de diciembre del año 2019, ante la Unidad de Transparencia y Acceso a la Información Pública de la Fiscalía General de Justicia del Estado de México, misma que fue registrada en el Sistema de Acceso a la Información Mexiquense (SAIMEX), bajo el folio 01155/FGJ/IP/2019, en la que pide lo siguiente: “Una tabla cruzada con la siguiente información perteneciente a las carpetas de investigación abiertas por la Fiscalía General de Justicia del Estado de México: -Fecha (Año, Mes y Día) -Categoría del delito -Tipo del delito -Dirección (Colonia, Municipio, Calle) -Longitud y Latitud Toda la información anterior, de los siguientes municipios: 1. Tenancingo de Degollado, Edomex 2. Ixtapan de la Sal, </w:t>
      </w:r>
      <w:r>
        <w:rPr>
          <w:rFonts w:ascii="Palatino Linotype" w:eastAsia="Palatino Linotype" w:hAnsi="Palatino Linotype" w:cs="Palatino Linotype"/>
          <w:i/>
          <w:color w:val="000000"/>
          <w:sz w:val="22"/>
          <w:szCs w:val="22"/>
        </w:rPr>
        <w:lastRenderedPageBreak/>
        <w:t>Edomex 3. Metepec, Edomex 4. Toluca de Lerdo, Edomex Todo esto, acotado al rango de tiempo entre Noviembre de 2018 y Noviembre de 2019 (o la información más reciente con la que se cuente).” (sic) 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General de Información, Planeación, Programación y Evaluación, Servidora Pública Habilitada, no procesa información estadística de hechos delictivos, por dirección, colonia, calle, longitud y latitud, sin embargo, con la finalidad de dar cumplimiento al principio de máxima publicidad, estipulado en el artículo 4 de la Ley de la materia, se proporciona vía SAIMEX, el número de denuncias presentadas ante el Ministerio Público, en los municipios de Ixtapan de la Sal, Metepec, Tenancingo y Toluca, por los diferentes delitos, correspondiente al periodo de noviembre de 2018 a octubre de 2019, conforme la cifras publicadas en la página del Sistema Nacional de Seguridad Pública. Sin otro particular, le reitero la seguridad de mi distinguida consideración. A T E N T A M E N T E YAMILIT LEYVA GUTIÉRREZ TITULAR DE LA UNIDAD DE TRANSPARENCIA YLG/LGCG.” (Sic)</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Adjuntando a su respuesta el archivo electrónico denominado </w:t>
      </w:r>
      <w:hyperlink r:id="rId9">
        <w:r>
          <w:rPr>
            <w:rFonts w:ascii="Palatino Linotype" w:eastAsia="Palatino Linotype" w:hAnsi="Palatino Linotype" w:cs="Palatino Linotype"/>
            <w:color w:val="000000"/>
          </w:rPr>
          <w:t xml:space="preserve">C. </w:t>
        </w:r>
        <w:r w:rsidR="00536744">
          <w:rPr>
            <w:rFonts w:ascii="Palatino Linotype" w:eastAsia="Palatino Linotype" w:hAnsi="Palatino Linotype" w:cs="Palatino Linotype"/>
            <w:color w:val="000000"/>
          </w:rPr>
          <w:t>Xxxxxx</w:t>
        </w:r>
        <w:r>
          <w:rPr>
            <w:rFonts w:ascii="Palatino Linotype" w:eastAsia="Palatino Linotype" w:hAnsi="Palatino Linotype" w:cs="Palatino Linotype"/>
            <w:color w:val="000000"/>
          </w:rPr>
          <w:t xml:space="preserve"> </w:t>
        </w:r>
        <w:r w:rsidR="00536744">
          <w:rPr>
            <w:rFonts w:ascii="Palatino Linotype" w:eastAsia="Palatino Linotype" w:hAnsi="Palatino Linotype" w:cs="Palatino Linotype"/>
            <w:color w:val="000000"/>
          </w:rPr>
          <w:t>Xxxxx</w:t>
        </w:r>
        <w:r>
          <w:rPr>
            <w:rFonts w:ascii="Palatino Linotype" w:eastAsia="Palatino Linotype" w:hAnsi="Palatino Linotype" w:cs="Palatino Linotype"/>
            <w:color w:val="000000"/>
          </w:rPr>
          <w:t xml:space="preserve"> </w:t>
        </w:r>
        <w:r w:rsidR="00536744">
          <w:rPr>
            <w:rFonts w:ascii="Palatino Linotype" w:eastAsia="Palatino Linotype" w:hAnsi="Palatino Linotype" w:cs="Palatino Linotype"/>
            <w:color w:val="000000"/>
          </w:rPr>
          <w:t>Xxxxx</w:t>
        </w:r>
        <w:r>
          <w:rPr>
            <w:rFonts w:ascii="Palatino Linotype" w:eastAsia="Palatino Linotype" w:hAnsi="Palatino Linotype" w:cs="Palatino Linotype"/>
            <w:color w:val="000000"/>
          </w:rPr>
          <w:t>_MAIP 2205_Turno 3041_Oficio 1856.pdf</w:t>
        </w:r>
      </w:hyperlink>
      <w:r>
        <w:rPr>
          <w:rFonts w:ascii="Palatino Linotype" w:eastAsia="Palatino Linotype" w:hAnsi="Palatino Linotype" w:cs="Palatino Linotype"/>
          <w:color w:val="000000"/>
        </w:rPr>
        <w:t>, mediante el cual hizo llegar un listado de la incidencia delictiva del fuero común.</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IV</w:t>
      </w:r>
      <w:r>
        <w:rPr>
          <w:rFonts w:ascii="Palatino Linotype" w:eastAsia="Palatino Linotype" w:hAnsi="Palatino Linotype" w:cs="Palatino Linotype"/>
          <w:color w:val="000000"/>
        </w:rPr>
        <w:t xml:space="preserve">. Inconforme con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el veintitrés de enero de dos mil veinte,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interpuso el recurso de revisión objeto del presente estudio, el cual fue registrado en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xml:space="preserve"> y se le asignó el número de expediente </w:t>
      </w:r>
      <w:r>
        <w:rPr>
          <w:rFonts w:ascii="Palatino Linotype" w:eastAsia="Palatino Linotype" w:hAnsi="Palatino Linotype" w:cs="Palatino Linotype"/>
          <w:b/>
          <w:color w:val="000000"/>
        </w:rPr>
        <w:t>00687/INFOEM/IP/RR/2020</w:t>
      </w:r>
      <w:r>
        <w:rPr>
          <w:rFonts w:ascii="Palatino Linotype" w:eastAsia="Palatino Linotype" w:hAnsi="Palatino Linotype" w:cs="Palatino Linotype"/>
          <w:color w:val="000000"/>
        </w:rPr>
        <w:t>, en el que señaló como acto impugnado lo siguiente:</w:t>
      </w:r>
    </w:p>
    <w:p w:rsidR="00A35B53" w:rsidRDefault="002421B4">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institución no me proporcionó la información requerida.” (Sic)</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como razones o motivos de inconformidad: </w:t>
      </w:r>
    </w:p>
    <w:p w:rsidR="00A35B53" w:rsidRDefault="002421B4">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“Argumentando la inexistencia de la información requerida, la Fiscalía General de Justicia del Estado de México se negó a proporcionarme dicha información y en cambio, solo me proporcionó una copia exacta y desactualizada (en su sitio web ya </w:t>
      </w:r>
      <w:r>
        <w:rPr>
          <w:rFonts w:ascii="Palatino Linotype" w:eastAsia="Palatino Linotype" w:hAnsi="Palatino Linotype" w:cs="Palatino Linotype"/>
          <w:i/>
          <w:color w:val="000000"/>
          <w:sz w:val="22"/>
          <w:szCs w:val="22"/>
        </w:rPr>
        <w:lastRenderedPageBreak/>
        <w:t>está actualizada hasta diciembre de 2019) de la información del Secretariado Ejecutivo del Sistema Nacional de Seguridad Pública (SESNSP), que de hecho, está disponible en el sitio web de dicha institución; por lo que yo la pude haber consultado. Este argumento es inválido, ya que hay otras entidades que sí cuentan con dicha información e incluso es pública (Ej. Ciudad de México y Baja California). De este modo, la información proporcionada es insuficiente y, de hecho, no corresponde con la solicitada.” (Sic)</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V.</w:t>
      </w:r>
      <w:r>
        <w:rPr>
          <w:rFonts w:ascii="Palatino Linotype" w:eastAsia="Palatino Linotype" w:hAnsi="Palatino Linotype" w:cs="Palatino Linotype"/>
          <w:color w:val="000000"/>
        </w:rPr>
        <w:t xml:space="preserve"> El recurso de que se trata se envió electrónicamente al Instituto de Transparencia, Acceso a la Información Pública y Protección de Datos Personales del Estado de México y Municipios en fecha veintitrés de enero de dos mil veinte y con fundamento en el artículo 185, fracción I de la Ley de Transparencia y Acceso a la Información Pública del Estado de México y Municipios, se turnó,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la Comisionada </w:t>
      </w:r>
      <w:r>
        <w:rPr>
          <w:rFonts w:ascii="Palatino Linotype" w:eastAsia="Palatino Linotype" w:hAnsi="Palatino Linotype" w:cs="Palatino Linotype"/>
          <w:b/>
          <w:color w:val="000000"/>
        </w:rPr>
        <w:t>Eva Abaid Yapur</w:t>
      </w:r>
      <w:r>
        <w:rPr>
          <w:rFonts w:ascii="Palatino Linotype" w:eastAsia="Palatino Linotype" w:hAnsi="Palatino Linotype" w:cs="Palatino Linotype"/>
          <w:color w:val="000000"/>
        </w:rPr>
        <w:t>, a efecto de que decretara su admisión o desechamiento.</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VI.</w:t>
      </w:r>
      <w:r>
        <w:rPr>
          <w:rFonts w:ascii="Palatino Linotype" w:eastAsia="Palatino Linotype" w:hAnsi="Palatino Linotype" w:cs="Palatino Linotype"/>
          <w:color w:val="000000"/>
        </w:rPr>
        <w:t xml:space="preserve"> En fecha veintinueve de enero de dos mil veinte, atento a lo dispuesto en el artículo 185, fracciones I, II y IV de la Ley de Transparencia y Acceso a la Información Pública del Estado de México y Municipios, se acordó la admisión a trámite del referido recurso de revisión, así como la integración del expediente respectivo, mismo que se puso a disposición de las partes, para que, de considerarlo conveniente, en el plazo máximo de siete días hábiles,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realizara manifestaciones y alegatos, así como ofreciera las pruebas que a su derecho conviniera y, en el caso del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exhibiera el Informe Justificado. </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VII.</w:t>
      </w:r>
      <w:r>
        <w:rPr>
          <w:rFonts w:ascii="Palatino Linotype" w:eastAsia="Palatino Linotype" w:hAnsi="Palatino Linotype" w:cs="Palatino Linotype"/>
          <w:color w:val="000000"/>
        </w:rPr>
        <w:t xml:space="preserve"> De las constancias que obran en 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se advierte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en fecha siete de febrero de dos mil veinte, rindió el Informe Justificado correspondiente, mismo que al no actualizar el supuesto previsto en la fracción III del </w:t>
      </w:r>
      <w:r>
        <w:rPr>
          <w:rFonts w:ascii="Palatino Linotype" w:eastAsia="Palatino Linotype" w:hAnsi="Palatino Linotype" w:cs="Palatino Linotype"/>
          <w:color w:val="000000"/>
        </w:rPr>
        <w:lastRenderedPageBreak/>
        <w:t>artículo 185 de la Ley de la materia, no fue puesto a disposición de la solicitante; motivo por el cual se inserta a continuación:</w:t>
      </w:r>
    </w:p>
    <w:p w:rsidR="00A35B53" w:rsidRDefault="0053674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sidRPr="00536744">
        <w:rPr>
          <w:noProof/>
          <w:lang w:eastAsia="es-MX"/>
        </w:rPr>
        <w:t xml:space="preserve"> </w:t>
      </w:r>
      <w:r>
        <w:rPr>
          <w:noProof/>
          <w:lang w:eastAsia="es-MX"/>
        </w:rPr>
        <w:drawing>
          <wp:inline distT="0" distB="0" distL="0" distR="0" wp14:anchorId="28CCD2CD" wp14:editId="5851595D">
            <wp:extent cx="5791835" cy="60998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099810"/>
                    </a:xfrm>
                    <a:prstGeom prst="rect">
                      <a:avLst/>
                    </a:prstGeom>
                  </pic:spPr>
                </pic:pic>
              </a:graphicData>
            </a:graphic>
          </wp:inline>
        </w:drawing>
      </w:r>
    </w:p>
    <w:p w:rsidR="00A35B53" w:rsidRDefault="0053674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sidRPr="00536744">
        <w:rPr>
          <w:noProof/>
          <w:lang w:eastAsia="es-MX"/>
        </w:rPr>
        <w:lastRenderedPageBreak/>
        <w:t xml:space="preserve"> </w:t>
      </w:r>
      <w:r>
        <w:rPr>
          <w:noProof/>
          <w:lang w:eastAsia="es-MX"/>
        </w:rPr>
        <w:drawing>
          <wp:inline distT="0" distB="0" distL="0" distR="0" wp14:anchorId="617F5C01" wp14:editId="0209BF4F">
            <wp:extent cx="5644515" cy="2718816"/>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3657" cy="2728036"/>
                    </a:xfrm>
                    <a:prstGeom prst="rect">
                      <a:avLst/>
                    </a:prstGeom>
                  </pic:spPr>
                </pic:pic>
              </a:graphicData>
            </a:graphic>
          </wp:inline>
        </w:drawing>
      </w:r>
    </w:p>
    <w:p w:rsidR="00A35B53" w:rsidRDefault="0053674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sidRPr="00536744">
        <w:rPr>
          <w:noProof/>
          <w:lang w:eastAsia="es-MX"/>
        </w:rPr>
        <w:t xml:space="preserve"> </w:t>
      </w:r>
      <w:r>
        <w:rPr>
          <w:noProof/>
          <w:lang w:eastAsia="es-MX"/>
        </w:rPr>
        <w:drawing>
          <wp:inline distT="0" distB="0" distL="0" distR="0" wp14:anchorId="0D4316DE" wp14:editId="32553678">
            <wp:extent cx="5571490" cy="440131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8620" cy="4414844"/>
                    </a:xfrm>
                    <a:prstGeom prst="rect">
                      <a:avLst/>
                    </a:prstGeom>
                  </pic:spPr>
                </pic:pic>
              </a:graphicData>
            </a:graphic>
          </wp:inline>
        </w:drawing>
      </w:r>
    </w:p>
    <w:p w:rsidR="00A35B53" w:rsidRDefault="0053674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sidRPr="00536744">
        <w:rPr>
          <w:noProof/>
          <w:lang w:eastAsia="es-MX"/>
        </w:rPr>
        <w:lastRenderedPageBreak/>
        <w:t xml:space="preserve"> </w:t>
      </w:r>
      <w:r>
        <w:rPr>
          <w:noProof/>
          <w:lang w:eastAsia="es-MX"/>
        </w:rPr>
        <w:drawing>
          <wp:inline distT="0" distB="0" distL="0" distR="0" wp14:anchorId="1AF79389" wp14:editId="44AEB0F5">
            <wp:extent cx="5431790" cy="3026228"/>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0278" cy="3036529"/>
                    </a:xfrm>
                    <a:prstGeom prst="rect">
                      <a:avLst/>
                    </a:prstGeom>
                  </pic:spPr>
                </pic:pic>
              </a:graphicData>
            </a:graphic>
          </wp:inline>
        </w:drawing>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5537028" cy="3831530"/>
            <wp:effectExtent l="0" t="0" r="0" b="0"/>
            <wp:docPr id="9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l="13979" t="16006" r="8070" b="12073"/>
                    <a:stretch>
                      <a:fillRect/>
                    </a:stretch>
                  </pic:blipFill>
                  <pic:spPr>
                    <a:xfrm>
                      <a:off x="0" y="0"/>
                      <a:ext cx="5537028" cy="3831530"/>
                    </a:xfrm>
                    <a:prstGeom prst="rect">
                      <a:avLst/>
                    </a:prstGeom>
                    <a:ln/>
                  </pic:spPr>
                </pic:pic>
              </a:graphicData>
            </a:graphic>
          </wp:inline>
        </w:drawing>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sidRPr="002421B4">
        <w:rPr>
          <w:noProof/>
          <w:lang w:eastAsia="es-MX"/>
        </w:rPr>
        <w:lastRenderedPageBreak/>
        <w:t xml:space="preserve"> </w:t>
      </w:r>
      <w:r>
        <w:rPr>
          <w:noProof/>
          <w:lang w:eastAsia="es-MX"/>
        </w:rPr>
        <w:drawing>
          <wp:inline distT="0" distB="0" distL="0" distR="0" wp14:anchorId="77F1B1DB" wp14:editId="35EA9681">
            <wp:extent cx="5791835" cy="38723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3250" cy="3879977"/>
                    </a:xfrm>
                    <a:prstGeom prst="rect">
                      <a:avLst/>
                    </a:prstGeom>
                  </pic:spPr>
                </pic:pic>
              </a:graphicData>
            </a:graphic>
          </wp:inline>
        </w:drawing>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5501819" cy="2372660"/>
            <wp:effectExtent l="0" t="0" r="0" b="0"/>
            <wp:docPr id="10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l="12991" t="21926" r="8069" b="32685"/>
                    <a:stretch>
                      <a:fillRect/>
                    </a:stretch>
                  </pic:blipFill>
                  <pic:spPr>
                    <a:xfrm>
                      <a:off x="0" y="0"/>
                      <a:ext cx="5501819" cy="2372660"/>
                    </a:xfrm>
                    <a:prstGeom prst="rect">
                      <a:avLst/>
                    </a:prstGeom>
                    <a:ln/>
                  </pic:spPr>
                </pic:pic>
              </a:graphicData>
            </a:graphic>
          </wp:inline>
        </w:drawing>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5429250" cy="1676400"/>
            <wp:effectExtent l="0" t="0" r="0" b="0"/>
            <wp:docPr id="9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l="25491" t="60737" r="24844" b="7908"/>
                    <a:stretch>
                      <a:fillRect/>
                    </a:stretch>
                  </pic:blipFill>
                  <pic:spPr>
                    <a:xfrm>
                      <a:off x="0" y="0"/>
                      <a:ext cx="5429250" cy="1676400"/>
                    </a:xfrm>
                    <a:prstGeom prst="rect">
                      <a:avLst/>
                    </a:prstGeom>
                    <a:ln/>
                  </pic:spPr>
                </pic:pic>
              </a:graphicData>
            </a:graphic>
          </wp:inline>
        </w:drawing>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5676900" cy="3752850"/>
            <wp:effectExtent l="0" t="0" r="0" b="0"/>
            <wp:docPr id="10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l="329" t="10305" r="1655" b="9443"/>
                    <a:stretch>
                      <a:fillRect/>
                    </a:stretch>
                  </pic:blipFill>
                  <pic:spPr>
                    <a:xfrm>
                      <a:off x="0" y="0"/>
                      <a:ext cx="5676900" cy="3752850"/>
                    </a:xfrm>
                    <a:prstGeom prst="rect">
                      <a:avLst/>
                    </a:prstGeom>
                    <a:ln/>
                  </pic:spPr>
                </pic:pic>
              </a:graphicData>
            </a:graphic>
          </wp:inline>
        </w:drawing>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5534025" cy="3124200"/>
            <wp:effectExtent l="0" t="0" r="0" b="0"/>
            <wp:docPr id="10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l="824" t="11402" r="3629" b="16677"/>
                    <a:stretch>
                      <a:fillRect/>
                    </a:stretch>
                  </pic:blipFill>
                  <pic:spPr>
                    <a:xfrm>
                      <a:off x="0" y="0"/>
                      <a:ext cx="5534025" cy="3124200"/>
                    </a:xfrm>
                    <a:prstGeom prst="rect">
                      <a:avLst/>
                    </a:prstGeom>
                    <a:ln/>
                  </pic:spPr>
                </pic:pic>
              </a:graphicData>
            </a:graphic>
          </wp:inline>
        </w:drawing>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5572125" cy="3705225"/>
            <wp:effectExtent l="0" t="0" r="0" b="0"/>
            <wp:docPr id="10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l="493" t="7017" r="3299" b="7688"/>
                    <a:stretch>
                      <a:fillRect/>
                    </a:stretch>
                  </pic:blipFill>
                  <pic:spPr>
                    <a:xfrm>
                      <a:off x="0" y="0"/>
                      <a:ext cx="5572125" cy="3705225"/>
                    </a:xfrm>
                    <a:prstGeom prst="rect">
                      <a:avLst/>
                    </a:prstGeom>
                    <a:ln/>
                  </pic:spPr>
                </pic:pic>
              </a:graphicData>
            </a:graphic>
          </wp:inline>
        </w:drawing>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5572125" cy="3609975"/>
            <wp:effectExtent l="0" t="0" r="0" b="0"/>
            <wp:docPr id="10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l="658" t="9646" r="3136" b="7251"/>
                    <a:stretch>
                      <a:fillRect/>
                    </a:stretch>
                  </pic:blipFill>
                  <pic:spPr>
                    <a:xfrm>
                      <a:off x="0" y="0"/>
                      <a:ext cx="5572125" cy="3609975"/>
                    </a:xfrm>
                    <a:prstGeom prst="rect">
                      <a:avLst/>
                    </a:prstGeom>
                    <a:ln/>
                  </pic:spPr>
                </pic:pic>
              </a:graphicData>
            </a:graphic>
          </wp:inline>
        </w:drawing>
      </w:r>
      <w:r>
        <w:rPr>
          <w:noProof/>
          <w:lang w:eastAsia="es-MX"/>
        </w:rPr>
        <mc:AlternateContent>
          <mc:Choice Requires="wpg">
            <w:drawing>
              <wp:anchor distT="0" distB="0" distL="114300" distR="114300" simplePos="0" relativeHeight="251658240" behindDoc="0" locked="0" layoutInCell="1" hidden="0" allowOverlap="1">
                <wp:simplePos x="0" y="0"/>
                <wp:positionH relativeFrom="column">
                  <wp:posOffset>88901</wp:posOffset>
                </wp:positionH>
                <wp:positionV relativeFrom="paragraph">
                  <wp:posOffset>3746500</wp:posOffset>
                </wp:positionV>
                <wp:extent cx="5810250" cy="3619500"/>
                <wp:effectExtent l="0" t="0" r="0" b="0"/>
                <wp:wrapNone/>
                <wp:docPr id="76" name=""/>
                <wp:cNvGraphicFramePr/>
                <a:graphic xmlns:a="http://schemas.openxmlformats.org/drawingml/2006/main">
                  <a:graphicData uri="http://schemas.microsoft.com/office/word/2010/wordprocessingShape">
                    <wps:wsp>
                      <wps:cNvCnPr/>
                      <wps:spPr>
                        <a:xfrm>
                          <a:off x="2455163" y="1984538"/>
                          <a:ext cx="5781675" cy="3590925"/>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3746500</wp:posOffset>
                </wp:positionV>
                <wp:extent cx="5810250" cy="3619500"/>
                <wp:effectExtent b="0" l="0" r="0" t="0"/>
                <wp:wrapNone/>
                <wp:docPr id="76" name="image27.png"/>
                <a:graphic>
                  <a:graphicData uri="http://schemas.openxmlformats.org/drawingml/2006/picture">
                    <pic:pic>
                      <pic:nvPicPr>
                        <pic:cNvPr id="0" name="image27.png"/>
                        <pic:cNvPicPr preferRelativeResize="0"/>
                      </pic:nvPicPr>
                      <pic:blipFill>
                        <a:blip r:embed="rId22"/>
                        <a:srcRect/>
                        <a:stretch>
                          <a:fillRect/>
                        </a:stretch>
                      </pic:blipFill>
                      <pic:spPr>
                        <a:xfrm>
                          <a:off x="0" y="0"/>
                          <a:ext cx="5810250" cy="3619500"/>
                        </a:xfrm>
                        <a:prstGeom prst="rect"/>
                        <a:ln/>
                      </pic:spPr>
                    </pic:pic>
                  </a:graphicData>
                </a:graphic>
              </wp:anchor>
            </w:drawing>
          </mc:Fallback>
        </mc:AlternateContent>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5629275" cy="3714750"/>
            <wp:effectExtent l="0" t="0" r="0" b="0"/>
            <wp:docPr id="10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t="6358" r="2806" b="8128"/>
                    <a:stretch>
                      <a:fillRect/>
                    </a:stretch>
                  </pic:blipFill>
                  <pic:spPr>
                    <a:xfrm>
                      <a:off x="0" y="0"/>
                      <a:ext cx="5629275" cy="3714750"/>
                    </a:xfrm>
                    <a:prstGeom prst="rect">
                      <a:avLst/>
                    </a:prstGeom>
                    <a:ln/>
                  </pic:spPr>
                </pic:pic>
              </a:graphicData>
            </a:graphic>
          </wp:inline>
        </w:drawing>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5562600" cy="2581275"/>
            <wp:effectExtent l="0" t="0" r="0" b="0"/>
            <wp:docPr id="10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l="822" t="13595" r="3136" b="26983"/>
                    <a:stretch>
                      <a:fillRect/>
                    </a:stretch>
                  </pic:blipFill>
                  <pic:spPr>
                    <a:xfrm>
                      <a:off x="0" y="0"/>
                      <a:ext cx="5562600" cy="2581275"/>
                    </a:xfrm>
                    <a:prstGeom prst="rect">
                      <a:avLst/>
                    </a:prstGeom>
                    <a:ln/>
                  </pic:spPr>
                </pic:pic>
              </a:graphicData>
            </a:graphic>
          </wp:inline>
        </w:drawing>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5591175" cy="3733800"/>
            <wp:effectExtent l="0" t="0" r="0" b="0"/>
            <wp:docPr id="10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
                    <a:srcRect l="658" t="5482" r="2806" b="8565"/>
                    <a:stretch>
                      <a:fillRect/>
                    </a:stretch>
                  </pic:blipFill>
                  <pic:spPr>
                    <a:xfrm>
                      <a:off x="0" y="0"/>
                      <a:ext cx="5591175" cy="3733800"/>
                    </a:xfrm>
                    <a:prstGeom prst="rect">
                      <a:avLst/>
                    </a:prstGeom>
                    <a:ln/>
                  </pic:spPr>
                </pic:pic>
              </a:graphicData>
            </a:graphic>
          </wp:inline>
        </w:drawing>
      </w:r>
      <w:r>
        <w:rPr>
          <w:noProof/>
          <w:lang w:eastAsia="es-MX"/>
        </w:rPr>
        <mc:AlternateContent>
          <mc:Choice Requires="wpg">
            <w:drawing>
              <wp:anchor distT="0" distB="0" distL="114300" distR="114300" simplePos="0" relativeHeight="251659264" behindDoc="0" locked="0" layoutInCell="1" hidden="0" allowOverlap="1">
                <wp:simplePos x="0" y="0"/>
                <wp:positionH relativeFrom="column">
                  <wp:posOffset>88901</wp:posOffset>
                </wp:positionH>
                <wp:positionV relativeFrom="paragraph">
                  <wp:posOffset>3848100</wp:posOffset>
                </wp:positionV>
                <wp:extent cx="5962650" cy="3600450"/>
                <wp:effectExtent l="0" t="0" r="0" b="0"/>
                <wp:wrapNone/>
                <wp:docPr id="69" name=""/>
                <wp:cNvGraphicFramePr/>
                <a:graphic xmlns:a="http://schemas.openxmlformats.org/drawingml/2006/main">
                  <a:graphicData uri="http://schemas.microsoft.com/office/word/2010/wordprocessingShape">
                    <wps:wsp>
                      <wps:cNvCnPr/>
                      <wps:spPr>
                        <a:xfrm>
                          <a:off x="2378963" y="1994063"/>
                          <a:ext cx="5934075" cy="3571875"/>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3848100</wp:posOffset>
                </wp:positionV>
                <wp:extent cx="5962650" cy="3600450"/>
                <wp:effectExtent b="0" l="0" r="0" t="0"/>
                <wp:wrapNone/>
                <wp:docPr id="69"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5962650" cy="3600450"/>
                        </a:xfrm>
                        <a:prstGeom prst="rect"/>
                        <a:ln/>
                      </pic:spPr>
                    </pic:pic>
                  </a:graphicData>
                </a:graphic>
              </wp:anchor>
            </w:drawing>
          </mc:Fallback>
        </mc:AlternateContent>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5572125" cy="3495675"/>
            <wp:effectExtent l="0" t="0" r="0" b="0"/>
            <wp:docPr id="10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l="987" t="6797" r="2807" b="12731"/>
                    <a:stretch>
                      <a:fillRect/>
                    </a:stretch>
                  </pic:blipFill>
                  <pic:spPr>
                    <a:xfrm>
                      <a:off x="0" y="0"/>
                      <a:ext cx="5572125" cy="3495675"/>
                    </a:xfrm>
                    <a:prstGeom prst="rect">
                      <a:avLst/>
                    </a:prstGeom>
                    <a:ln/>
                  </pic:spPr>
                </pic:pic>
              </a:graphicData>
            </a:graphic>
          </wp:inline>
        </w:drawing>
      </w:r>
    </w:p>
    <w:p w:rsidR="00A35B53" w:rsidRDefault="002421B4">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5600700" cy="2905125"/>
            <wp:effectExtent l="0" t="0" r="0" b="0"/>
            <wp:docPr id="10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8"/>
                    <a:srcRect l="494" t="19953" r="2806" b="13171"/>
                    <a:stretch>
                      <a:fillRect/>
                    </a:stretch>
                  </pic:blipFill>
                  <pic:spPr>
                    <a:xfrm>
                      <a:off x="0" y="0"/>
                      <a:ext cx="5600700" cy="2905125"/>
                    </a:xfrm>
                    <a:prstGeom prst="rect">
                      <a:avLst/>
                    </a:prstGeom>
                    <a:ln/>
                  </pic:spPr>
                </pic:pic>
              </a:graphicData>
            </a:graphic>
          </wp:inline>
        </w:drawing>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su parte,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 xml:space="preserve">fue omisa en rendir las manifestaciones que a su derecho convinieran. </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VIII.</w:t>
      </w:r>
      <w:r>
        <w:rPr>
          <w:rFonts w:ascii="Palatino Linotype" w:eastAsia="Palatino Linotype" w:hAnsi="Palatino Linotype" w:cs="Palatino Linotype"/>
          <w:color w:val="000000"/>
        </w:rPr>
        <w:t xml:space="preserve"> Transcurrido el plazo señalado en el párrafo anterior y, una vez analizado el estado procesal que guardaba el expediente, en fecha doce de febrero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IX.</w:t>
      </w:r>
      <w:r>
        <w:rPr>
          <w:rFonts w:ascii="Palatino Linotype" w:eastAsia="Palatino Linotype" w:hAnsi="Palatino Linotype" w:cs="Palatino Linotype"/>
          <w:color w:val="000000"/>
        </w:rPr>
        <w:t xml:space="preserve"> En fecha trece de marzo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A35B53" w:rsidRDefault="002421B4">
      <w:pPr>
        <w:spacing w:before="280" w:after="28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w:t>
      </w:r>
    </w:p>
    <w:p w:rsidR="00A35B53" w:rsidRDefault="002421B4">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PRIMERO</w:t>
      </w:r>
      <w:r>
        <w:rPr>
          <w:rFonts w:ascii="Palatino Linotype" w:eastAsia="Palatino Linotype" w:hAnsi="Palatino Linotype" w:cs="Palatino Linotype"/>
          <w:b/>
          <w:color w:val="000000"/>
        </w:rPr>
        <w:t>. Competencia.</w:t>
      </w:r>
      <w:r>
        <w:rPr>
          <w:rFonts w:ascii="Palatino Linotype" w:eastAsia="Palatino Linotype" w:hAnsi="Palatino Linotype" w:cs="Palatino Linotype"/>
          <w:color w:val="000000"/>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w:t>
      </w:r>
      <w:r>
        <w:rPr>
          <w:rFonts w:ascii="Palatino Linotype" w:eastAsia="Palatino Linotype" w:hAnsi="Palatino Linotype" w:cs="Palatino Linotype"/>
          <w:color w:val="000000"/>
        </w:rPr>
        <w:lastRenderedPageBreak/>
        <w:t>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A35B53" w:rsidRDefault="002421B4">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SEGUNDO</w:t>
      </w:r>
      <w:r>
        <w:rPr>
          <w:rFonts w:ascii="Palatino Linotype" w:eastAsia="Palatino Linotype" w:hAnsi="Palatino Linotype" w:cs="Palatino Linotype"/>
          <w:b/>
          <w:color w:val="000000"/>
        </w:rPr>
        <w:t>. Interés.</w:t>
      </w:r>
      <w:r>
        <w:rPr>
          <w:rFonts w:ascii="Palatino Linotype" w:eastAsia="Palatino Linotype" w:hAnsi="Palatino Linotype" w:cs="Palatino Linotype"/>
          <w:color w:val="000000"/>
        </w:rPr>
        <w:t xml:space="preserve"> El recurso de revisión fue interpuesto por parte legítima en atención a que fue presentado por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quien es la misma persona que formuló la solicitud de información pública al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w:t>
      </w:r>
    </w:p>
    <w:p w:rsidR="00A35B53" w:rsidRDefault="002421B4">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b/>
        </w:rPr>
        <w:t xml:space="preserve">. Oportunidad. </w:t>
      </w:r>
      <w:r>
        <w:rPr>
          <w:rFonts w:ascii="Palatino Linotype" w:eastAsia="Palatino Linotype" w:hAnsi="Palatino Linotype" w:cs="Palatino Linotype"/>
        </w:rPr>
        <w:t xml:space="preserve">El recurso de revisión fue interpuesto dentro del plazo de quince días hábiles contados a partir del día siguiente a aquel en que </w:t>
      </w:r>
      <w:r>
        <w:rPr>
          <w:rFonts w:ascii="Palatino Linotype" w:eastAsia="Palatino Linotype" w:hAnsi="Palatino Linotype" w:cs="Palatino Linotype"/>
          <w:b/>
        </w:rPr>
        <w:t xml:space="preserve">LA RECURRENTE </w:t>
      </w:r>
      <w:r>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rsidR="00A35B53" w:rsidRDefault="002421B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35B53" w:rsidRDefault="002421B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35B53" w:rsidRDefault="002421B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 (Sic)</w:t>
      </w:r>
    </w:p>
    <w:p w:rsidR="00A35B53" w:rsidRDefault="002421B4">
      <w:pPr>
        <w:widowControl w:val="0"/>
        <w:pBdr>
          <w:top w:val="nil"/>
          <w:left w:val="nil"/>
          <w:bottom w:val="nil"/>
          <w:right w:val="nil"/>
          <w:between w:val="nil"/>
        </w:pBdr>
        <w:tabs>
          <w:tab w:val="left" w:pos="1701"/>
          <w:tab w:val="left" w:pos="1843"/>
        </w:tabs>
        <w:spacing w:before="30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atendiendo a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notificó la respuesta a la solicitud de información pública el día</w:t>
      </w:r>
      <w:r>
        <w:rPr>
          <w:rFonts w:ascii="Palatino Linotype" w:eastAsia="Palatino Linotype" w:hAnsi="Palatino Linotype" w:cs="Palatino Linotype"/>
          <w:b/>
          <w:color w:val="000000"/>
        </w:rPr>
        <w:t xml:space="preserve"> veintidós de enero de dos mil veinte;</w:t>
      </w:r>
      <w:r>
        <w:rPr>
          <w:rFonts w:ascii="Palatino Linotype" w:eastAsia="Palatino Linotype" w:hAnsi="Palatino Linotype" w:cs="Palatino Linotype"/>
          <w:color w:val="000000"/>
        </w:rPr>
        <w:t xml:space="preserve"> sí, el </w:t>
      </w:r>
      <w:r>
        <w:rPr>
          <w:rFonts w:ascii="Palatino Linotype" w:eastAsia="Palatino Linotype" w:hAnsi="Palatino Linotype" w:cs="Palatino Linotype"/>
          <w:color w:val="000000"/>
        </w:rPr>
        <w:lastRenderedPageBreak/>
        <w:t>plazo de quince días hábiles que el artículo 178 de la Ley de la materia otorga al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para presentar el recurso de revisión, transcurrió del </w:t>
      </w:r>
      <w:r>
        <w:rPr>
          <w:rFonts w:ascii="Palatino Linotype" w:eastAsia="Palatino Linotype" w:hAnsi="Palatino Linotype" w:cs="Palatino Linotype"/>
          <w:b/>
          <w:color w:val="000000"/>
        </w:rPr>
        <w:t xml:space="preserve">veintitrés de enero al trece de febrero de dos mil veinte, </w:t>
      </w:r>
      <w:r>
        <w:rPr>
          <w:rFonts w:ascii="Palatino Linotype" w:eastAsia="Palatino Linotype" w:hAnsi="Palatino Linotype" w:cs="Palatino Linotype"/>
          <w:color w:val="000000"/>
        </w:rPr>
        <w:t>sin contemplar en el cómputo los días veinticinco, veintiséis de enero, uno dos, ocho y nueve de febrero dos mil veinte; por corresponder a sábados y domingos, considerados como días inhábiles, en términos del artículo 3, fracción X de la Ley de Transparencia y Acceso a la Información Pública del Estado de México y Municipios; así como, de conformidad con el Calendario Oficial en Materia de Transparencia, Acceso a la Información Pública y Protección de Datos Personales del Estado de México y Municipios, para el año dos mil veinte y enero dos mil veintiuno, publicado en el Periódico Oficial “Gaceta del Gobierno”, el diecinueve de diciembre de dos mil diecinueve.</w:t>
      </w:r>
    </w:p>
    <w:p w:rsidR="00A35B53" w:rsidRDefault="002421B4">
      <w:pPr>
        <w:widowControl w:val="0"/>
        <w:pBdr>
          <w:top w:val="nil"/>
          <w:left w:val="nil"/>
          <w:bottom w:val="nil"/>
          <w:right w:val="nil"/>
          <w:between w:val="nil"/>
        </w:pBdr>
        <w:tabs>
          <w:tab w:val="left" w:pos="1701"/>
          <w:tab w:val="left" w:pos="1843"/>
        </w:tabs>
        <w:spacing w:before="30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En ese tenor, si el recurso de revisión que nos ocupa, se interpuso el</w:t>
      </w:r>
      <w:r>
        <w:rPr>
          <w:rFonts w:ascii="Palatino Linotype" w:eastAsia="Palatino Linotype" w:hAnsi="Palatino Linotype" w:cs="Palatino Linotype"/>
          <w:b/>
          <w:color w:val="000000"/>
        </w:rPr>
        <w:t xml:space="preserve"> veintitrés de  enero de dos mil veinte</w:t>
      </w:r>
      <w:r>
        <w:rPr>
          <w:rFonts w:ascii="Palatino Linotype" w:eastAsia="Palatino Linotype" w:hAnsi="Palatino Linotype" w:cs="Palatino Linotype"/>
          <w:color w:val="000000"/>
        </w:rPr>
        <w:t>, éste se encuentra dentro de los márgenes temporales previstos en el precepto legal citado en el párrafo anterior y, por tanto, su interposición se considera oportuna.</w:t>
      </w:r>
    </w:p>
    <w:p w:rsidR="00A35B53" w:rsidRDefault="002421B4">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CUARTO</w:t>
      </w:r>
      <w:r>
        <w:rPr>
          <w:rFonts w:ascii="Palatino Linotype" w:eastAsia="Palatino Linotype" w:hAnsi="Palatino Linotype" w:cs="Palatino Linotype"/>
          <w:b/>
        </w:rPr>
        <w:t>. Procedibilidad.</w:t>
      </w:r>
      <w:r>
        <w:rPr>
          <w:rFonts w:ascii="Palatino Linotype" w:eastAsia="Palatino Linotype" w:hAnsi="Palatino Linotype" w:cs="Palatino Linotype"/>
        </w:rPr>
        <w:t xml:space="preserve"> 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rPr>
        <w:t>EL SAIMEX</w:t>
      </w:r>
      <w:r>
        <w:rPr>
          <w:rFonts w:ascii="Palatino Linotype" w:eastAsia="Palatino Linotype" w:hAnsi="Palatino Linotype" w:cs="Palatino Linotype"/>
        </w:rPr>
        <w:t>.</w:t>
      </w:r>
    </w:p>
    <w:p w:rsidR="00A35B53" w:rsidRDefault="002421B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xml:space="preserve">. Estudio y resolución del asunto. </w:t>
      </w:r>
      <w:r>
        <w:rPr>
          <w:rFonts w:ascii="Palatino Linotype" w:eastAsia="Palatino Linotype" w:hAnsi="Palatino Linotype" w:cs="Palatino Linotype"/>
        </w:rPr>
        <w:t xml:space="preserve">Una vez determinada la vía sobre la que versará el presente recurso, y previa revisión del expediente electrónico formado en </w:t>
      </w:r>
      <w:r>
        <w:rPr>
          <w:rFonts w:ascii="Palatino Linotype" w:eastAsia="Palatino Linotype" w:hAnsi="Palatino Linotype" w:cs="Palatino Linotype"/>
          <w:b/>
        </w:rPr>
        <w:t xml:space="preserve">EL </w:t>
      </w:r>
      <w:r>
        <w:rPr>
          <w:rFonts w:ascii="Palatino Linotype" w:eastAsia="Palatino Linotype" w:hAnsi="Palatino Linotype" w:cs="Palatino Linotype"/>
          <w:b/>
        </w:rPr>
        <w:lastRenderedPageBreak/>
        <w:t>SAIMEX</w:t>
      </w:r>
      <w:r>
        <w:rPr>
          <w:rFonts w:ascii="Palatino Linotype" w:eastAsia="Palatino Linotype" w:hAnsi="Palatino Linotype" w:cs="Palatino Linotype"/>
        </w:rPr>
        <w:t xml:space="preserve"> con motivo de la solicitud de información y del recurso a que da origen,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por lo que en primer término debemos recordar que la solicitud de información planteada por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consistió en que se le entregara vía electrónica la información referente a las carpetas </w:t>
      </w:r>
      <w:r>
        <w:rPr>
          <w:rFonts w:ascii="Palatino Linotype" w:eastAsia="Palatino Linotype" w:hAnsi="Palatino Linotype" w:cs="Palatino Linotype"/>
          <w:color w:val="000000"/>
        </w:rPr>
        <w:t xml:space="preserve">de investigación abiertas por la Fiscalía General de Justicia del Estado de México, donde se aprecien datos como: </w:t>
      </w:r>
      <w:r>
        <w:rPr>
          <w:rFonts w:ascii="Palatino Linotype" w:eastAsia="Palatino Linotype" w:hAnsi="Palatino Linotype" w:cs="Palatino Linotype"/>
        </w:rPr>
        <w:t>-</w:t>
      </w:r>
      <w:r>
        <w:rPr>
          <w:rFonts w:ascii="Palatino Linotype" w:eastAsia="Palatino Linotype" w:hAnsi="Palatino Linotype" w:cs="Palatino Linotype"/>
          <w:color w:val="000000"/>
        </w:rPr>
        <w:t>Fecha (Año, Mes y Día) -Categoría del delito -Tipo del delito -Dirección (Colonia, Municipio, Calle) -Longitud y Latitud; toda esta información únicamente de los Municipios de Tenancingo de Degollado, Ixtapan de la Sal, Metepec, Toluca de Lerdo, del periodo de tiempo correspondiente del 1 de noviembre de 2018 al 30 de noviembre de 2019.</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Cabe destacar que en </w:t>
      </w:r>
      <w:r>
        <w:rPr>
          <w:rFonts w:ascii="Palatino Linotype" w:eastAsia="Palatino Linotype" w:hAnsi="Palatino Linotype" w:cs="Palatino Linotype"/>
        </w:rPr>
        <w:t xml:space="preserve">respuesta a la solicitud de acceso a la información pública,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señaló lo que la Directora General de Información, Planeación, Programación y Evaluación, le informó que no procesa la información estadística de hechos delictivos, por dirección, colonia, calle, longitud y latitud; sin embargo, con la finalidad de dar cumplimiento al principio de máxima publicidad, se le proporcionaba vía SAIMEX, el número de denuncias presentadas ante el Ministerio Público en los municipios solicitados por los diferentes delitos durante el periodo requerido, de conformidad con las cifras publicadas en el Sistema Nacional de Seguridad Pública; adjuntando la información siguiente:</w:t>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lastRenderedPageBreak/>
        <w:drawing>
          <wp:inline distT="0" distB="0" distL="0" distR="0">
            <wp:extent cx="5682533" cy="4805363"/>
            <wp:effectExtent l="0" t="0" r="0" b="0"/>
            <wp:docPr id="11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9"/>
                    <a:srcRect l="4439" t="11184" r="2312" b="7468"/>
                    <a:stretch>
                      <a:fillRect/>
                    </a:stretch>
                  </pic:blipFill>
                  <pic:spPr>
                    <a:xfrm>
                      <a:off x="0" y="0"/>
                      <a:ext cx="5682533" cy="4805363"/>
                    </a:xfrm>
                    <a:prstGeom prst="rect">
                      <a:avLst/>
                    </a:prstGeom>
                    <a:ln/>
                  </pic:spPr>
                </pic:pic>
              </a:graphicData>
            </a:graphic>
          </wp:inline>
        </w:drawing>
      </w:r>
      <w:r>
        <w:rPr>
          <w:noProof/>
          <w:lang w:eastAsia="es-MX"/>
        </w:rPr>
        <mc:AlternateContent>
          <mc:Choice Requires="wpg">
            <w:drawing>
              <wp:anchor distT="0" distB="0" distL="114300" distR="114300" simplePos="0" relativeHeight="251660288" behindDoc="0" locked="0" layoutInCell="1" hidden="0" allowOverlap="1">
                <wp:simplePos x="0" y="0"/>
                <wp:positionH relativeFrom="column">
                  <wp:posOffset>228600</wp:posOffset>
                </wp:positionH>
                <wp:positionV relativeFrom="paragraph">
                  <wp:posOffset>4889500</wp:posOffset>
                </wp:positionV>
                <wp:extent cx="5549265" cy="2073275"/>
                <wp:effectExtent l="0" t="0" r="0" b="0"/>
                <wp:wrapNone/>
                <wp:docPr id="68" name=""/>
                <wp:cNvGraphicFramePr/>
                <a:graphic xmlns:a="http://schemas.openxmlformats.org/drawingml/2006/main">
                  <a:graphicData uri="http://schemas.microsoft.com/office/word/2010/wordprocessingShape">
                    <wps:wsp>
                      <wps:cNvCnPr/>
                      <wps:spPr>
                        <a:xfrm>
                          <a:off x="2585655" y="2757650"/>
                          <a:ext cx="5520690" cy="2044700"/>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228600</wp:posOffset>
                </wp:positionH>
                <wp:positionV relativeFrom="paragraph">
                  <wp:posOffset>4889500</wp:posOffset>
                </wp:positionV>
                <wp:extent cx="5549265" cy="2073275"/>
                <wp:effectExtent b="0" l="0" r="0" t="0"/>
                <wp:wrapNone/>
                <wp:docPr id="68" name="image11.png"/>
                <a:graphic>
                  <a:graphicData uri="http://schemas.openxmlformats.org/drawingml/2006/picture">
                    <pic:pic>
                      <pic:nvPicPr>
                        <pic:cNvPr id="0" name="image11.png"/>
                        <pic:cNvPicPr preferRelativeResize="0"/>
                      </pic:nvPicPr>
                      <pic:blipFill>
                        <a:blip r:embed="rId30"/>
                        <a:srcRect/>
                        <a:stretch>
                          <a:fillRect/>
                        </a:stretch>
                      </pic:blipFill>
                      <pic:spPr>
                        <a:xfrm>
                          <a:off x="0" y="0"/>
                          <a:ext cx="5549265" cy="2073275"/>
                        </a:xfrm>
                        <a:prstGeom prst="rect"/>
                        <a:ln/>
                      </pic:spPr>
                    </pic:pic>
                  </a:graphicData>
                </a:graphic>
              </wp:anchor>
            </w:drawing>
          </mc:Fallback>
        </mc:AlternateContent>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lastRenderedPageBreak/>
        <w:drawing>
          <wp:inline distT="0" distB="0" distL="0" distR="0">
            <wp:extent cx="5680831" cy="4393574"/>
            <wp:effectExtent l="0" t="0" r="0" b="0"/>
            <wp:docPr id="11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a:srcRect l="5427" t="10525" r="2478" b="14705"/>
                    <a:stretch>
                      <a:fillRect/>
                    </a:stretch>
                  </pic:blipFill>
                  <pic:spPr>
                    <a:xfrm>
                      <a:off x="0" y="0"/>
                      <a:ext cx="5680831" cy="4393574"/>
                    </a:xfrm>
                    <a:prstGeom prst="rect">
                      <a:avLst/>
                    </a:prstGeom>
                    <a:ln/>
                  </pic:spPr>
                </pic:pic>
              </a:graphicData>
            </a:graphic>
          </wp:inline>
        </w:drawing>
      </w:r>
      <w:r>
        <w:rPr>
          <w:noProof/>
          <w:lang w:eastAsia="es-MX"/>
        </w:rPr>
        <mc:AlternateContent>
          <mc:Choice Requires="wpg">
            <w:drawing>
              <wp:anchor distT="0" distB="0" distL="114300" distR="114300" simplePos="0" relativeHeight="251661312" behindDoc="0" locked="0" layoutInCell="1" hidden="0" allowOverlap="1">
                <wp:simplePos x="0" y="0"/>
                <wp:positionH relativeFrom="column">
                  <wp:posOffset>50801</wp:posOffset>
                </wp:positionH>
                <wp:positionV relativeFrom="paragraph">
                  <wp:posOffset>4419600</wp:posOffset>
                </wp:positionV>
                <wp:extent cx="5915025" cy="2876550"/>
                <wp:effectExtent l="0" t="0" r="0" b="0"/>
                <wp:wrapNone/>
                <wp:docPr id="71" name=""/>
                <wp:cNvGraphicFramePr/>
                <a:graphic xmlns:a="http://schemas.openxmlformats.org/drawingml/2006/main">
                  <a:graphicData uri="http://schemas.microsoft.com/office/word/2010/wordprocessingShape">
                    <wps:wsp>
                      <wps:cNvCnPr/>
                      <wps:spPr>
                        <a:xfrm>
                          <a:off x="2402775" y="2356013"/>
                          <a:ext cx="5886450" cy="2847975"/>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4419600</wp:posOffset>
                </wp:positionV>
                <wp:extent cx="5915025" cy="2876550"/>
                <wp:effectExtent b="0" l="0" r="0" t="0"/>
                <wp:wrapNone/>
                <wp:docPr id="71" name="image15.png"/>
                <a:graphic>
                  <a:graphicData uri="http://schemas.openxmlformats.org/drawingml/2006/picture">
                    <pic:pic>
                      <pic:nvPicPr>
                        <pic:cNvPr id="0" name="image15.png"/>
                        <pic:cNvPicPr preferRelativeResize="0"/>
                      </pic:nvPicPr>
                      <pic:blipFill>
                        <a:blip r:embed="rId32"/>
                        <a:srcRect/>
                        <a:stretch>
                          <a:fillRect/>
                        </a:stretch>
                      </pic:blipFill>
                      <pic:spPr>
                        <a:xfrm>
                          <a:off x="0" y="0"/>
                          <a:ext cx="5915025" cy="2876550"/>
                        </a:xfrm>
                        <a:prstGeom prst="rect"/>
                        <a:ln/>
                      </pic:spPr>
                    </pic:pic>
                  </a:graphicData>
                </a:graphic>
              </wp:anchor>
            </w:drawing>
          </mc:Fallback>
        </mc:AlternateContent>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lastRenderedPageBreak/>
        <w:drawing>
          <wp:inline distT="0" distB="0" distL="0" distR="0">
            <wp:extent cx="5800481" cy="2801459"/>
            <wp:effectExtent l="0" t="0" r="0" b="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l="4604" t="11182" r="1984" b="39921"/>
                    <a:stretch>
                      <a:fillRect/>
                    </a:stretch>
                  </pic:blipFill>
                  <pic:spPr>
                    <a:xfrm>
                      <a:off x="0" y="0"/>
                      <a:ext cx="5800481" cy="2801459"/>
                    </a:xfrm>
                    <a:prstGeom prst="rect">
                      <a:avLst/>
                    </a:prstGeom>
                    <a:ln/>
                  </pic:spPr>
                </pic:pic>
              </a:graphicData>
            </a:graphic>
          </wp:inline>
        </w:drawing>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drawing>
          <wp:inline distT="0" distB="0" distL="0" distR="0">
            <wp:extent cx="5457825" cy="2847975"/>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l="4276" t="15129" r="1490" b="19310"/>
                    <a:stretch>
                      <a:fillRect/>
                    </a:stretch>
                  </pic:blipFill>
                  <pic:spPr>
                    <a:xfrm>
                      <a:off x="0" y="0"/>
                      <a:ext cx="5457825" cy="2847975"/>
                    </a:xfrm>
                    <a:prstGeom prst="rect">
                      <a:avLst/>
                    </a:prstGeom>
                    <a:ln/>
                  </pic:spPr>
                </pic:pic>
              </a:graphicData>
            </a:graphic>
          </wp:inline>
        </w:drawing>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dicha respuesta, </w:t>
      </w:r>
      <w:r>
        <w:rPr>
          <w:rFonts w:ascii="Palatino Linotype" w:eastAsia="Palatino Linotype" w:hAnsi="Palatino Linotype" w:cs="Palatino Linotype"/>
          <w:b/>
          <w:color w:val="000000"/>
        </w:rPr>
        <w:t>LA RECURRENTE</w:t>
      </w:r>
      <w:r>
        <w:rPr>
          <w:rFonts w:ascii="Palatino Linotype" w:eastAsia="Palatino Linotype" w:hAnsi="Palatino Linotype" w:cs="Palatino Linotype"/>
        </w:rPr>
        <w:t xml:space="preserve"> interpuso el medio de impugnación materia de análisis, en el que manifestó que la información entregada en respuesta no corresponde a la solicitada y que otras entidades federativas si cuentan con la información tal y como fue requerida.</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Bajo ese tenor,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mediante la entrega de su Informe Justificado si bien no modificó en si el sentido de sus respuestas, lo cierto es que, si tuvo a bien explicar con detalle la razón de su respuesta, pues de manera medular manifestó lo siguiente:</w:t>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drawing>
          <wp:inline distT="0" distB="0" distL="0" distR="0" wp14:anchorId="79363161" wp14:editId="086BE1C2">
            <wp:extent cx="5791835" cy="270065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835" cy="2700655"/>
                    </a:xfrm>
                    <a:prstGeom prst="rect">
                      <a:avLst/>
                    </a:prstGeom>
                  </pic:spPr>
                </pic:pic>
              </a:graphicData>
            </a:graphic>
          </wp:inline>
        </w:drawing>
      </w:r>
      <w:r>
        <w:rPr>
          <w:noProof/>
          <w:lang w:eastAsia="es-MX"/>
        </w:rPr>
        <w:t xml:space="preserve"> </w:t>
      </w:r>
    </w:p>
    <w:p w:rsidR="00A35B53" w:rsidRDefault="002421B4">
      <w:pPr>
        <w:spacing w:before="280" w:after="280" w:line="360" w:lineRule="auto"/>
        <w:jc w:val="center"/>
        <w:rPr>
          <w:rFonts w:ascii="Palatino Linotype" w:eastAsia="Palatino Linotype" w:hAnsi="Palatino Linotype" w:cs="Palatino Linotype"/>
        </w:rPr>
      </w:pPr>
      <w:r w:rsidRPr="002421B4">
        <w:rPr>
          <w:noProof/>
          <w:lang w:eastAsia="es-MX"/>
        </w:rPr>
        <w:t xml:space="preserve"> </w:t>
      </w:r>
      <w:r>
        <w:rPr>
          <w:noProof/>
          <w:lang w:eastAsia="es-MX"/>
        </w:rPr>
        <w:drawing>
          <wp:inline distT="0" distB="0" distL="0" distR="0" wp14:anchorId="39D7664B" wp14:editId="6DC3C2C8">
            <wp:extent cx="5791835" cy="18561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1835" cy="1856105"/>
                    </a:xfrm>
                    <a:prstGeom prst="rect">
                      <a:avLst/>
                    </a:prstGeom>
                  </pic:spPr>
                </pic:pic>
              </a:graphicData>
            </a:graphic>
          </wp:inline>
        </w:drawing>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lastRenderedPageBreak/>
        <w:drawing>
          <wp:inline distT="0" distB="0" distL="0" distR="0">
            <wp:extent cx="5568238" cy="2696683"/>
            <wp:effectExtent l="0" t="0" r="0" b="0"/>
            <wp:docPr id="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l="14398" t="18355" r="9182" b="32300"/>
                    <a:stretch>
                      <a:fillRect/>
                    </a:stretch>
                  </pic:blipFill>
                  <pic:spPr>
                    <a:xfrm>
                      <a:off x="0" y="0"/>
                      <a:ext cx="5568238" cy="2696683"/>
                    </a:xfrm>
                    <a:prstGeom prst="rect">
                      <a:avLst/>
                    </a:prstGeom>
                    <a:ln/>
                  </pic:spPr>
                </pic:pic>
              </a:graphicData>
            </a:graphic>
          </wp:inline>
        </w:drawing>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drawing>
          <wp:inline distT="0" distB="0" distL="0" distR="0">
            <wp:extent cx="5802206" cy="913289"/>
            <wp:effectExtent l="0" t="0" r="0" b="0"/>
            <wp:docPr id="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l="14398" t="29975" r="8424" b="57394"/>
                    <a:stretch>
                      <a:fillRect/>
                    </a:stretch>
                  </pic:blipFill>
                  <pic:spPr>
                    <a:xfrm>
                      <a:off x="0" y="0"/>
                      <a:ext cx="5802206" cy="913289"/>
                    </a:xfrm>
                    <a:prstGeom prst="rect">
                      <a:avLst/>
                    </a:prstGeom>
                    <a:ln/>
                  </pic:spPr>
                </pic:pic>
              </a:graphicData>
            </a:graphic>
          </wp:inline>
        </w:drawing>
      </w:r>
      <w:r>
        <w:rPr>
          <w:noProof/>
          <w:lang w:eastAsia="es-MX"/>
        </w:rPr>
        <mc:AlternateContent>
          <mc:Choice Requires="wpg">
            <w:drawing>
              <wp:anchor distT="0" distB="0" distL="114300" distR="114300" simplePos="0" relativeHeight="251663360" behindDoc="0" locked="0" layoutInCell="1" hidden="0" allowOverlap="1">
                <wp:simplePos x="0" y="0"/>
                <wp:positionH relativeFrom="column">
                  <wp:posOffset>-12699</wp:posOffset>
                </wp:positionH>
                <wp:positionV relativeFrom="paragraph">
                  <wp:posOffset>38100</wp:posOffset>
                </wp:positionV>
                <wp:extent cx="5758815" cy="871220"/>
                <wp:effectExtent l="0" t="0" r="0" b="0"/>
                <wp:wrapNone/>
                <wp:docPr id="70" name=""/>
                <wp:cNvGraphicFramePr/>
                <a:graphic xmlns:a="http://schemas.openxmlformats.org/drawingml/2006/main">
                  <a:graphicData uri="http://schemas.microsoft.com/office/word/2010/wordprocessingShape">
                    <wps:wsp>
                      <wps:cNvSpPr/>
                      <wps:spPr>
                        <a:xfrm>
                          <a:off x="2485643" y="3363440"/>
                          <a:ext cx="5720715" cy="833120"/>
                        </a:xfrm>
                        <a:prstGeom prst="rect">
                          <a:avLst/>
                        </a:prstGeom>
                        <a:noFill/>
                        <a:ln w="38100" cap="flat" cmpd="sng">
                          <a:solidFill>
                            <a:srgbClr val="FF0000"/>
                          </a:solidFill>
                          <a:prstDash val="solid"/>
                          <a:miter lim="800000"/>
                          <a:headEnd type="none" w="sm" len="sm"/>
                          <a:tailEnd type="none" w="sm" len="sm"/>
                        </a:ln>
                      </wps:spPr>
                      <wps:txbx>
                        <w:txbxContent>
                          <w:p w:rsidR="00A35B53" w:rsidRDefault="00A35B5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38100</wp:posOffset>
                </wp:positionV>
                <wp:extent cx="5758815" cy="871220"/>
                <wp:effectExtent b="0" l="0" r="0" t="0"/>
                <wp:wrapNone/>
                <wp:docPr id="70" name="image14.png"/>
                <a:graphic>
                  <a:graphicData uri="http://schemas.openxmlformats.org/drawingml/2006/picture">
                    <pic:pic>
                      <pic:nvPicPr>
                        <pic:cNvPr id="0" name="image14.png"/>
                        <pic:cNvPicPr preferRelativeResize="0"/>
                      </pic:nvPicPr>
                      <pic:blipFill>
                        <a:blip r:embed="rId40"/>
                        <a:srcRect/>
                        <a:stretch>
                          <a:fillRect/>
                        </a:stretch>
                      </pic:blipFill>
                      <pic:spPr>
                        <a:xfrm>
                          <a:off x="0" y="0"/>
                          <a:ext cx="5758815" cy="871220"/>
                        </a:xfrm>
                        <a:prstGeom prst="rect"/>
                        <a:ln/>
                      </pic:spPr>
                    </pic:pic>
                  </a:graphicData>
                </a:graphic>
              </wp:anchor>
            </w:drawing>
          </mc:Fallback>
        </mc:AlternateContent>
      </w:r>
      <w:r>
        <w:rPr>
          <w:noProof/>
          <w:lang w:eastAsia="es-MX"/>
        </w:rPr>
        <mc:AlternateContent>
          <mc:Choice Requires="wpg">
            <w:drawing>
              <wp:anchor distT="0" distB="0" distL="114300" distR="114300" simplePos="0" relativeHeight="251664384" behindDoc="0" locked="0" layoutInCell="1" hidden="0" allowOverlap="1">
                <wp:simplePos x="0" y="0"/>
                <wp:positionH relativeFrom="column">
                  <wp:posOffset>25401</wp:posOffset>
                </wp:positionH>
                <wp:positionV relativeFrom="paragraph">
                  <wp:posOffset>1079500</wp:posOffset>
                </wp:positionV>
                <wp:extent cx="6000750" cy="3343275"/>
                <wp:effectExtent l="0" t="0" r="0" b="0"/>
                <wp:wrapNone/>
                <wp:docPr id="73" name=""/>
                <wp:cNvGraphicFramePr/>
                <a:graphic xmlns:a="http://schemas.openxmlformats.org/drawingml/2006/main">
                  <a:graphicData uri="http://schemas.microsoft.com/office/word/2010/wordprocessingShape">
                    <wps:wsp>
                      <wps:cNvCnPr/>
                      <wps:spPr>
                        <a:xfrm>
                          <a:off x="2359913" y="2122650"/>
                          <a:ext cx="5972175" cy="3314700"/>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1079500</wp:posOffset>
                </wp:positionV>
                <wp:extent cx="6000750" cy="3343275"/>
                <wp:effectExtent b="0" l="0" r="0" t="0"/>
                <wp:wrapNone/>
                <wp:docPr id="73" name="image17.png"/>
                <a:graphic>
                  <a:graphicData uri="http://schemas.openxmlformats.org/drawingml/2006/picture">
                    <pic:pic>
                      <pic:nvPicPr>
                        <pic:cNvPr id="0" name="image17.png"/>
                        <pic:cNvPicPr preferRelativeResize="0"/>
                      </pic:nvPicPr>
                      <pic:blipFill>
                        <a:blip r:embed="rId41"/>
                        <a:srcRect/>
                        <a:stretch>
                          <a:fillRect/>
                        </a:stretch>
                      </pic:blipFill>
                      <pic:spPr>
                        <a:xfrm>
                          <a:off x="0" y="0"/>
                          <a:ext cx="6000750" cy="3343275"/>
                        </a:xfrm>
                        <a:prstGeom prst="rect"/>
                        <a:ln/>
                      </pic:spPr>
                    </pic:pic>
                  </a:graphicData>
                </a:graphic>
              </wp:anchor>
            </w:drawing>
          </mc:Fallback>
        </mc:AlternateContent>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lastRenderedPageBreak/>
        <w:drawing>
          <wp:inline distT="0" distB="0" distL="0" distR="0">
            <wp:extent cx="5690251" cy="3844876"/>
            <wp:effectExtent l="0" t="0" r="0" b="0"/>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l="-126" t="10946" r="1983" b="7713"/>
                    <a:stretch>
                      <a:fillRect/>
                    </a:stretch>
                  </pic:blipFill>
                  <pic:spPr>
                    <a:xfrm>
                      <a:off x="0" y="0"/>
                      <a:ext cx="5690251" cy="3844876"/>
                    </a:xfrm>
                    <a:prstGeom prst="rect">
                      <a:avLst/>
                    </a:prstGeom>
                    <a:ln/>
                  </pic:spPr>
                </pic:pic>
              </a:graphicData>
            </a:graphic>
          </wp:inline>
        </w:drawing>
      </w:r>
      <w:r>
        <w:rPr>
          <w:noProof/>
          <w:lang w:eastAsia="es-MX"/>
        </w:rPr>
        <mc:AlternateContent>
          <mc:Choice Requires="wpg">
            <w:drawing>
              <wp:anchor distT="0" distB="0" distL="114300" distR="114300" simplePos="0" relativeHeight="251665408" behindDoc="0" locked="0" layoutInCell="1" hidden="0" allowOverlap="1">
                <wp:simplePos x="0" y="0"/>
                <wp:positionH relativeFrom="column">
                  <wp:posOffset>101601</wp:posOffset>
                </wp:positionH>
                <wp:positionV relativeFrom="paragraph">
                  <wp:posOffset>3949700</wp:posOffset>
                </wp:positionV>
                <wp:extent cx="5800725" cy="3324225"/>
                <wp:effectExtent l="0" t="0" r="0" b="0"/>
                <wp:wrapNone/>
                <wp:docPr id="74" name=""/>
                <wp:cNvGraphicFramePr/>
                <a:graphic xmlns:a="http://schemas.openxmlformats.org/drawingml/2006/main">
                  <a:graphicData uri="http://schemas.microsoft.com/office/word/2010/wordprocessingShape">
                    <wps:wsp>
                      <wps:cNvCnPr/>
                      <wps:spPr>
                        <a:xfrm>
                          <a:off x="2459925" y="2132175"/>
                          <a:ext cx="5772150" cy="3295650"/>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3949700</wp:posOffset>
                </wp:positionV>
                <wp:extent cx="5800725" cy="3324225"/>
                <wp:effectExtent b="0" l="0" r="0" t="0"/>
                <wp:wrapNone/>
                <wp:docPr id="74" name="image18.png"/>
                <a:graphic>
                  <a:graphicData uri="http://schemas.openxmlformats.org/drawingml/2006/picture">
                    <pic:pic>
                      <pic:nvPicPr>
                        <pic:cNvPr id="0" name="image18.png"/>
                        <pic:cNvPicPr preferRelativeResize="0"/>
                      </pic:nvPicPr>
                      <pic:blipFill>
                        <a:blip r:embed="rId43"/>
                        <a:srcRect/>
                        <a:stretch>
                          <a:fillRect/>
                        </a:stretch>
                      </pic:blipFill>
                      <pic:spPr>
                        <a:xfrm>
                          <a:off x="0" y="0"/>
                          <a:ext cx="5800725" cy="3324225"/>
                        </a:xfrm>
                        <a:prstGeom prst="rect"/>
                        <a:ln/>
                      </pic:spPr>
                    </pic:pic>
                  </a:graphicData>
                </a:graphic>
              </wp:anchor>
            </w:drawing>
          </mc:Fallback>
        </mc:AlternateContent>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lastRenderedPageBreak/>
        <w:drawing>
          <wp:inline distT="0" distB="0" distL="0" distR="0">
            <wp:extent cx="5765656" cy="4379686"/>
            <wp:effectExtent l="0" t="0" r="0" b="0"/>
            <wp:docPr id="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l="884" t="7241" r="3243" b="6868"/>
                    <a:stretch>
                      <a:fillRect/>
                    </a:stretch>
                  </pic:blipFill>
                  <pic:spPr>
                    <a:xfrm>
                      <a:off x="0" y="0"/>
                      <a:ext cx="5765656" cy="4379686"/>
                    </a:xfrm>
                    <a:prstGeom prst="rect">
                      <a:avLst/>
                    </a:prstGeom>
                    <a:ln/>
                  </pic:spPr>
                </pic:pic>
              </a:graphicData>
            </a:graphic>
          </wp:inline>
        </w:drawing>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drawing>
          <wp:inline distT="0" distB="0" distL="0" distR="0">
            <wp:extent cx="5811019" cy="2272999"/>
            <wp:effectExtent l="0" t="0" r="0" b="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l="1136" t="17008" r="3371" b="41226"/>
                    <a:stretch>
                      <a:fillRect/>
                    </a:stretch>
                  </pic:blipFill>
                  <pic:spPr>
                    <a:xfrm>
                      <a:off x="0" y="0"/>
                      <a:ext cx="5811019" cy="2272999"/>
                    </a:xfrm>
                    <a:prstGeom prst="rect">
                      <a:avLst/>
                    </a:prstGeom>
                    <a:ln/>
                  </pic:spPr>
                </pic:pic>
              </a:graphicData>
            </a:graphic>
          </wp:inline>
        </w:drawing>
      </w:r>
    </w:p>
    <w:p w:rsidR="00A35B53" w:rsidRDefault="00A35B53">
      <w:pPr>
        <w:spacing w:before="280" w:after="280" w:line="360" w:lineRule="auto"/>
        <w:jc w:val="center"/>
        <w:rPr>
          <w:rFonts w:ascii="Palatino Linotype" w:eastAsia="Palatino Linotype" w:hAnsi="Palatino Linotype" w:cs="Palatino Linotype"/>
        </w:rPr>
      </w:pP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lastRenderedPageBreak/>
        <w:drawing>
          <wp:inline distT="0" distB="0" distL="0" distR="0">
            <wp:extent cx="5589476" cy="3562924"/>
            <wp:effectExtent l="0" t="0" r="0" b="0"/>
            <wp:docPr id="9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l="884" t="6231" r="2610" b="11750"/>
                    <a:stretch>
                      <a:fillRect/>
                    </a:stretch>
                  </pic:blipFill>
                  <pic:spPr>
                    <a:xfrm>
                      <a:off x="0" y="0"/>
                      <a:ext cx="5589476" cy="3562924"/>
                    </a:xfrm>
                    <a:prstGeom prst="rect">
                      <a:avLst/>
                    </a:prstGeom>
                    <a:ln/>
                  </pic:spPr>
                </pic:pic>
              </a:graphicData>
            </a:graphic>
          </wp:inline>
        </w:drawing>
      </w:r>
      <w:r>
        <w:rPr>
          <w:noProof/>
          <w:lang w:eastAsia="es-MX"/>
        </w:rPr>
        <mc:AlternateContent>
          <mc:Choice Requires="wpg">
            <w:drawing>
              <wp:anchor distT="0" distB="0" distL="114300" distR="114300" simplePos="0" relativeHeight="251666432" behindDoc="0" locked="0" layoutInCell="1" hidden="0" allowOverlap="1">
                <wp:simplePos x="0" y="0"/>
                <wp:positionH relativeFrom="column">
                  <wp:posOffset>76201</wp:posOffset>
                </wp:positionH>
                <wp:positionV relativeFrom="paragraph">
                  <wp:posOffset>1092200</wp:posOffset>
                </wp:positionV>
                <wp:extent cx="5595620" cy="752475"/>
                <wp:effectExtent l="0" t="0" r="0" b="0"/>
                <wp:wrapNone/>
                <wp:docPr id="77" name=""/>
                <wp:cNvGraphicFramePr/>
                <a:graphic xmlns:a="http://schemas.openxmlformats.org/drawingml/2006/main">
                  <a:graphicData uri="http://schemas.microsoft.com/office/word/2010/wordprocessingShape">
                    <wps:wsp>
                      <wps:cNvSpPr/>
                      <wps:spPr>
                        <a:xfrm>
                          <a:off x="2562478" y="3418050"/>
                          <a:ext cx="5567045" cy="723900"/>
                        </a:xfrm>
                        <a:prstGeom prst="rect">
                          <a:avLst/>
                        </a:prstGeom>
                        <a:noFill/>
                        <a:ln w="28575" cap="flat" cmpd="sng">
                          <a:solidFill>
                            <a:srgbClr val="FF0000"/>
                          </a:solidFill>
                          <a:prstDash val="solid"/>
                          <a:miter lim="800000"/>
                          <a:headEnd type="none" w="sm" len="sm"/>
                          <a:tailEnd type="none" w="sm" len="sm"/>
                        </a:ln>
                      </wps:spPr>
                      <wps:txbx>
                        <w:txbxContent>
                          <w:p w:rsidR="00A35B53" w:rsidRDefault="00A35B5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1092200</wp:posOffset>
                </wp:positionV>
                <wp:extent cx="5595620" cy="752475"/>
                <wp:effectExtent b="0" l="0" r="0" t="0"/>
                <wp:wrapNone/>
                <wp:docPr id="77" name="image32.png"/>
                <a:graphic>
                  <a:graphicData uri="http://schemas.openxmlformats.org/drawingml/2006/picture">
                    <pic:pic>
                      <pic:nvPicPr>
                        <pic:cNvPr id="0" name="image32.png"/>
                        <pic:cNvPicPr preferRelativeResize="0"/>
                      </pic:nvPicPr>
                      <pic:blipFill>
                        <a:blip r:embed="rId47"/>
                        <a:srcRect/>
                        <a:stretch>
                          <a:fillRect/>
                        </a:stretch>
                      </pic:blipFill>
                      <pic:spPr>
                        <a:xfrm>
                          <a:off x="0" y="0"/>
                          <a:ext cx="5595620" cy="752475"/>
                        </a:xfrm>
                        <a:prstGeom prst="rect"/>
                        <a:ln/>
                      </pic:spPr>
                    </pic:pic>
                  </a:graphicData>
                </a:graphic>
              </wp:anchor>
            </w:drawing>
          </mc:Fallback>
        </mc:AlternateContent>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drawing>
          <wp:inline distT="0" distB="0" distL="0" distR="0">
            <wp:extent cx="5553027" cy="2838219"/>
            <wp:effectExtent l="0" t="0" r="0" b="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l="1514" t="12630" r="2608" b="22031"/>
                    <a:stretch>
                      <a:fillRect/>
                    </a:stretch>
                  </pic:blipFill>
                  <pic:spPr>
                    <a:xfrm>
                      <a:off x="0" y="0"/>
                      <a:ext cx="5553027" cy="2838219"/>
                    </a:xfrm>
                    <a:prstGeom prst="rect">
                      <a:avLst/>
                    </a:prstGeom>
                    <a:ln/>
                  </pic:spPr>
                </pic:pic>
              </a:graphicData>
            </a:graphic>
          </wp:inline>
        </w:drawing>
      </w:r>
      <w:r>
        <w:rPr>
          <w:noProof/>
          <w:lang w:eastAsia="es-MX"/>
        </w:rPr>
        <mc:AlternateContent>
          <mc:Choice Requires="wpg">
            <w:drawing>
              <wp:anchor distT="0" distB="0" distL="114300" distR="114300" simplePos="0" relativeHeight="251667456" behindDoc="0" locked="0" layoutInCell="1" hidden="0" allowOverlap="1">
                <wp:simplePos x="0" y="0"/>
                <wp:positionH relativeFrom="column">
                  <wp:posOffset>114300</wp:posOffset>
                </wp:positionH>
                <wp:positionV relativeFrom="paragraph">
                  <wp:posOffset>1866900</wp:posOffset>
                </wp:positionV>
                <wp:extent cx="5594985" cy="782320"/>
                <wp:effectExtent l="0" t="0" r="0" b="0"/>
                <wp:wrapNone/>
                <wp:docPr id="78" name=""/>
                <wp:cNvGraphicFramePr/>
                <a:graphic xmlns:a="http://schemas.openxmlformats.org/drawingml/2006/main">
                  <a:graphicData uri="http://schemas.microsoft.com/office/word/2010/wordprocessingShape">
                    <wps:wsp>
                      <wps:cNvSpPr/>
                      <wps:spPr>
                        <a:xfrm>
                          <a:off x="2562795" y="3403128"/>
                          <a:ext cx="5566410" cy="753745"/>
                        </a:xfrm>
                        <a:prstGeom prst="rect">
                          <a:avLst/>
                        </a:prstGeom>
                        <a:noFill/>
                        <a:ln w="28575" cap="flat" cmpd="sng">
                          <a:solidFill>
                            <a:srgbClr val="FF0000"/>
                          </a:solidFill>
                          <a:prstDash val="solid"/>
                          <a:miter lim="800000"/>
                          <a:headEnd type="none" w="sm" len="sm"/>
                          <a:tailEnd type="none" w="sm" len="sm"/>
                        </a:ln>
                      </wps:spPr>
                      <wps:txbx>
                        <w:txbxContent>
                          <w:p w:rsidR="00A35B53" w:rsidRDefault="00A35B5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1866900</wp:posOffset>
                </wp:positionV>
                <wp:extent cx="5594985" cy="782320"/>
                <wp:effectExtent b="0" l="0" r="0" t="0"/>
                <wp:wrapNone/>
                <wp:docPr id="78" name="image34.png"/>
                <a:graphic>
                  <a:graphicData uri="http://schemas.openxmlformats.org/drawingml/2006/picture">
                    <pic:pic>
                      <pic:nvPicPr>
                        <pic:cNvPr id="0" name="image34.png"/>
                        <pic:cNvPicPr preferRelativeResize="0"/>
                      </pic:nvPicPr>
                      <pic:blipFill>
                        <a:blip r:embed="rId49"/>
                        <a:srcRect/>
                        <a:stretch>
                          <a:fillRect/>
                        </a:stretch>
                      </pic:blipFill>
                      <pic:spPr>
                        <a:xfrm>
                          <a:off x="0" y="0"/>
                          <a:ext cx="5594985" cy="782320"/>
                        </a:xfrm>
                        <a:prstGeom prst="rect"/>
                        <a:ln/>
                      </pic:spPr>
                    </pic:pic>
                  </a:graphicData>
                </a:graphic>
              </wp:anchor>
            </w:drawing>
          </mc:Fallback>
        </mc:AlternateConten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tenor, a través del Informe Justificado,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amplió el contenido de sus respuestas, precisando que, en ningún momento se negó contar con la información pues desde la respuesta indicó que se generaba información estadística por municipio y referente al tipo de delito por el que se apertura las carpetas de investigación; sin embargo, le indicó a la solicitante que los datos como colonia, calle latitud y longitud no son procesados por hecho delictivo y por ello hizo de conocimiento mediante su respuesta de las cifras publicadas en la página del Sistema Nacional de Seguridad Pública del periodo comprendido del mes de noviembre de 2018 a octubre de 2019, ampliando en las manifestaciones referidas en el Informe citado, que efectivamente se había hecho entrega de las cifras que de manera mensual publica el Sistema Nacional de Seguridad Pública; pues de acuerdo a las atribuciones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encuentra constreñido a procesar la información estadística de hechos delictivos al grado de desagregación que la particular lo solicitó.</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Refiriéndole además que las cifras publicadas por el Sistema Nacional de Seguridad Pública actualiza con base en su propia metodología cada veinte de mes la información estadística; con los datos correspondientes al mes anterior, es decir, si la solicitud de información se presentó el 16 de diciembre de 2019, la información que se encontraría publicada en dicho Sistema correspondería al mes de octubre de 2019, información que fue entregada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en su respuesta; sin embargo, ante la inconformidad de la hoy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es que se hizo entrega de las cifras publicadas por el Sistema Nacional de Seguridad Pública al mes de noviembre de 2019. </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es de precisar en primer término que se obvia el análisis de la competencia por parte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para conocer de la información solicitada dado </w:t>
      </w:r>
      <w:r>
        <w:rPr>
          <w:rFonts w:ascii="Palatino Linotype" w:eastAsia="Palatino Linotype" w:hAnsi="Palatino Linotype" w:cs="Palatino Linotype"/>
        </w:rPr>
        <w:lastRenderedPageBreak/>
        <w:t xml:space="preserve">que éste ha </w:t>
      </w:r>
      <w:r>
        <w:rPr>
          <w:rFonts w:ascii="Palatino Linotype" w:eastAsia="Palatino Linotype" w:hAnsi="Palatino Linotype" w:cs="Palatino Linotype"/>
          <w:color w:val="000000"/>
        </w:rPr>
        <w:t>asumido</w:t>
      </w:r>
      <w:r>
        <w:rPr>
          <w:rFonts w:ascii="Palatino Linotype" w:eastAsia="Palatino Linotype" w:hAnsi="Palatino Linotype" w:cs="Palatino Linotype"/>
        </w:rPr>
        <w:t xml:space="preserve"> la misma, es decir, indico que si bien no generaba la información al grado de detalle solicitado, lo cierto es que en aras de garantizar el derecho de acceso a la información entrego los datos que obraban en sus archivos; lo anterior, implica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posee, administra o tiene conocimiento acerca de la aplicación de referencia.</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efecto, el hecho de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haya pronunciado respecto de la información requerida por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acepta que la posee y administra en ejercicio de sus funciones de derecho público, motivo por el cual, se actualiza el supuesto jurídico previsto en el artículo 12, de la Ley de Transparencia y Acceso a la Información Pública del Estado de México y Municipios. De hecho, el estudio de la naturaleza jurídica de la información pública solicitada, tiene por objeto determinar si ésta la genera, posee o administra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sin embargo, en aquellos casos en que éste la asume, implica que la administra; por consiguiente, a nada práctico nos conduciría su estudio, ya que se insiste la información pública solicitada, fue asumida por este. </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ese tenor, primeramente es de </w:t>
      </w:r>
      <w:r>
        <w:rPr>
          <w:rFonts w:ascii="Palatino Linotype" w:eastAsia="Palatino Linotype" w:hAnsi="Palatino Linotype" w:cs="Palatino Linotype"/>
        </w:rPr>
        <w:t>señalar que el artículo 4, párrafo segundo de la Ley de Transparencia y Acceso a la Información Pública del Estado de México y Municipios, dispone:</w:t>
      </w:r>
    </w:p>
    <w:p w:rsidR="00A35B53" w:rsidRDefault="002421B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color w:val="000000"/>
          <w:sz w:val="22"/>
          <w:szCs w:val="22"/>
        </w:rPr>
        <w:t xml:space="preserve">Artículo 4. </w:t>
      </w:r>
      <w:r>
        <w:rPr>
          <w:rFonts w:ascii="Palatino Linotype" w:eastAsia="Palatino Linotype" w:hAnsi="Palatino Linotype" w:cs="Palatino Linotype"/>
          <w:i/>
          <w:color w:val="000000"/>
          <w:sz w:val="22"/>
          <w:szCs w:val="22"/>
        </w:rPr>
        <w:t xml:space="preserve">… </w:t>
      </w:r>
    </w:p>
    <w:p w:rsidR="00A35B53" w:rsidRDefault="002421B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Pr>
          <w:rFonts w:ascii="Palatino Linotype" w:eastAsia="Palatino Linotype" w:hAnsi="Palatino Linotype" w:cs="Palatino Linotype"/>
          <w:i/>
          <w:color w:val="000000"/>
          <w:sz w:val="22"/>
          <w:szCs w:val="22"/>
        </w:rPr>
        <w:lastRenderedPageBreak/>
        <w:t xml:space="preserve">reservada temporalmente por razones de interés público, en los términos de las causas legítimas y estrictamente necesarias previstas por esta Ley.  </w:t>
      </w:r>
    </w:p>
    <w:p w:rsidR="00A35B53" w:rsidRDefault="002421B4">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sz w:val="22"/>
          <w:szCs w:val="22"/>
        </w:rPr>
        <w:t>...”</w:t>
      </w:r>
    </w:p>
    <w:p w:rsidR="00A35B53" w:rsidRDefault="002421B4">
      <w:pPr>
        <w:spacing w:before="280" w:after="28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A35B53" w:rsidRDefault="002421B4">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A35B53" w:rsidRDefault="002421B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rsidR="00A35B53" w:rsidRDefault="002421B4">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i/>
          <w:sz w:val="22"/>
          <w:szCs w:val="22"/>
        </w:rPr>
        <w:t>”</w:t>
      </w:r>
    </w:p>
    <w:p w:rsidR="00A35B53" w:rsidRDefault="002421B4">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síntesis, </w:t>
      </w:r>
      <w:r>
        <w:rPr>
          <w:rFonts w:ascii="Palatino Linotype" w:eastAsia="Palatino Linotype" w:hAnsi="Palatino Linotype" w:cs="Palatino Linotype"/>
          <w:b/>
          <w:color w:val="000000"/>
        </w:rPr>
        <w:t>el derecho de acceso a la información pública se satisface en aquellos casos en que se entregue el soporte documental en que conste la información pública</w:t>
      </w:r>
      <w:r>
        <w:rPr>
          <w:rFonts w:ascii="Palatino Linotype" w:eastAsia="Palatino Linotype" w:hAnsi="Palatino Linotype" w:cs="Palatino Linotype"/>
          <w:color w:val="000000"/>
        </w:rPr>
        <w:t>,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w:t>
      </w:r>
      <w:r>
        <w:rPr>
          <w:rFonts w:ascii="Palatino Linotype" w:eastAsia="Palatino Linotype" w:hAnsi="Palatino Linotype" w:cs="Palatino Linotype"/>
          <w:color w:val="000000"/>
        </w:rPr>
        <w:lastRenderedPageBreak/>
        <w:t xml:space="preserve">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w:t>
      </w:r>
    </w:p>
    <w:p w:rsidR="00A35B53" w:rsidRDefault="002421B4">
      <w:pP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Como apoyo a lo anterior, es aplicable el Criterio 03-17, emitido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A35B53" w:rsidRDefault="002421B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35B53" w:rsidRDefault="00A35B53">
      <w:pPr>
        <w:ind w:left="851" w:right="901"/>
        <w:jc w:val="both"/>
        <w:rPr>
          <w:rFonts w:ascii="Palatino Linotype" w:eastAsia="Palatino Linotype" w:hAnsi="Palatino Linotype" w:cs="Palatino Linotype"/>
          <w:i/>
          <w:color w:val="000000"/>
          <w:sz w:val="22"/>
          <w:szCs w:val="22"/>
        </w:rPr>
      </w:pPr>
    </w:p>
    <w:p w:rsidR="00A35B53" w:rsidRDefault="002421B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A35B53" w:rsidRDefault="002421B4">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A35B53" w:rsidRDefault="002421B4">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A35B53" w:rsidRDefault="002421B4">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
    <w:p w:rsidR="00A35B53" w:rsidRDefault="002421B4">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artículo 24 de la Ley de la materia, dispone que los Sujetos Obligados 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w:t>
      </w:r>
      <w:r>
        <w:rPr>
          <w:rFonts w:ascii="Palatino Linotype" w:eastAsia="Palatino Linotype" w:hAnsi="Palatino Linotype" w:cs="Palatino Linotype"/>
          <w:b/>
          <w:color w:val="000000"/>
        </w:rPr>
        <w:t>la información pública se encuentra a disposición de cualquier persona</w:t>
      </w:r>
      <w:r>
        <w:rPr>
          <w:rFonts w:ascii="Palatino Linotype" w:eastAsia="Palatino Linotype" w:hAnsi="Palatino Linotype" w:cs="Palatino Linotype"/>
          <w:color w:val="000000"/>
        </w:rPr>
        <w:t>, lo que implica que es deber de los Sujetos Obligados, garantizar el derecho de acceso a la información pública.</w:t>
      </w:r>
    </w:p>
    <w:p w:rsidR="00A35B53" w:rsidRDefault="002421B4">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esta misma tesitura, es de subrayar que el derecho de acceso a la información pública, consiste en que la información solicitada conste en un soporte documental en cualquiera de sus formas, a saber: </w:t>
      </w:r>
      <w:r>
        <w:rPr>
          <w:rFonts w:ascii="Palatino Linotype" w:eastAsia="Palatino Linotype" w:hAnsi="Palatino Linotype" w:cs="Palatino Linotyp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eastAsia="Palatino Linotype" w:hAnsi="Palatino Linotype" w:cs="Palatino Linotype"/>
          <w:color w:val="000000"/>
        </w:rPr>
        <w:t xml:space="preserve">; los que, </w:t>
      </w:r>
      <w:r>
        <w:rPr>
          <w:rFonts w:ascii="Palatino Linotype" w:eastAsia="Palatino Linotype" w:hAnsi="Palatino Linotype" w:cs="Palatino Linotype"/>
        </w:rPr>
        <w:t>podrán estar en cualquier medio, sea escrito, impreso, sonoro, visual, electrónico, informático u holográfico</w:t>
      </w:r>
      <w:r>
        <w:rPr>
          <w:rFonts w:ascii="Palatino Linotype" w:eastAsia="Palatino Linotype" w:hAnsi="Palatino Linotype" w:cs="Palatino Linotype"/>
          <w:color w:val="000000"/>
        </w:rPr>
        <w:t xml:space="preserve">, de conformidad con el artículo 3, fracción XI de la Ley de la materia, el cual dispone lo siguiente: </w:t>
      </w:r>
    </w:p>
    <w:p w:rsidR="00A35B53" w:rsidRDefault="002421B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A35B53" w:rsidRDefault="002421B4">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35B53" w:rsidRDefault="002421B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35B53" w:rsidRDefault="002421B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35B53" w:rsidRDefault="002421B4">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A35B53" w:rsidRDefault="002421B4">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INFORMACIÓN PÚBLICA, CONCEPTO DE, EN MATERIA DE TRANSPARENCIA. INTERPRETACIÓN SISTEMÁTICA DE LOS </w:t>
      </w:r>
      <w:r>
        <w:rPr>
          <w:rFonts w:ascii="Palatino Linotype" w:eastAsia="Palatino Linotype" w:hAnsi="Palatino Linotype" w:cs="Palatino Linotype"/>
          <w:b/>
          <w:i/>
          <w:sz w:val="22"/>
          <w:szCs w:val="22"/>
          <w:u w:val="single"/>
        </w:rPr>
        <w:lastRenderedPageBreak/>
        <w:t>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35B53" w:rsidRDefault="002421B4">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A35B53" w:rsidRDefault="002421B4">
      <w:pPr>
        <w:ind w:left="851" w:right="90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p>
    <w:p w:rsidR="00A35B53" w:rsidRDefault="002421B4">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A35B53" w:rsidRDefault="002421B4">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rsidR="00A35B53" w:rsidRDefault="002421B4">
      <w:pPr>
        <w:tabs>
          <w:tab w:val="left" w:pos="851"/>
        </w:tabs>
        <w:ind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ab/>
        <w:t>(Énfasis Añadido)</w:t>
      </w:r>
    </w:p>
    <w:p w:rsidR="00A35B53" w:rsidRDefault="002421B4">
      <w:pP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Asimismo, c</w:t>
      </w:r>
      <w:r>
        <w:rPr>
          <w:rFonts w:ascii="Palatino Linotype" w:eastAsia="Palatino Linotype" w:hAnsi="Palatino Linotype" w:cs="Palatino Linotype"/>
          <w:color w:val="000000"/>
        </w:rPr>
        <w:t>omo apoyo a lo anterior, es aplicable el Criterio 16-17, emitido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A35B53" w:rsidRDefault="002421B4">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Expresión documental.</w:t>
      </w:r>
      <w:r>
        <w:rPr>
          <w:rFonts w:ascii="Palatino Linotype" w:eastAsia="Palatino Linotype" w:hAnsi="Palatino Linotype" w:cs="Palatino Linotype"/>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A35B53" w:rsidRDefault="002421B4">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Resoluciones:</w:t>
      </w:r>
    </w:p>
    <w:p w:rsidR="00A35B53" w:rsidRDefault="002421B4">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RRA 0774/16.</w:t>
      </w:r>
      <w:r>
        <w:rPr>
          <w:rFonts w:ascii="Palatino Linotype" w:eastAsia="Palatino Linotype" w:hAnsi="Palatino Linotype" w:cs="Palatino Linotype"/>
          <w:i/>
          <w:sz w:val="22"/>
          <w:szCs w:val="22"/>
        </w:rPr>
        <w:t xml:space="preserve"> Secretaría de Salud. 31 de agosto de 2016. Por unanimidad. Comisionada Ponente María Patricia Kurczyn Villalobos.</w:t>
      </w:r>
    </w:p>
    <w:p w:rsidR="00A35B53" w:rsidRDefault="002421B4">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RRA 0143/17.</w:t>
      </w:r>
      <w:r>
        <w:rPr>
          <w:rFonts w:ascii="Palatino Linotype" w:eastAsia="Palatino Linotype" w:hAnsi="Palatino Linotype" w:cs="Palatino Linotype"/>
          <w:i/>
          <w:sz w:val="22"/>
          <w:szCs w:val="22"/>
        </w:rPr>
        <w:t xml:space="preserve"> Universidad Autónoma Agraria Antonio Narro. 22 de febrero de 2017. Por unanimidad. Comisionado Ponente Oscar Mauricio Guerra Ford. </w:t>
      </w:r>
    </w:p>
    <w:p w:rsidR="00A35B53" w:rsidRDefault="002421B4">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RRA 0540/17.</w:t>
      </w:r>
      <w:r>
        <w:rPr>
          <w:rFonts w:ascii="Palatino Linotype" w:eastAsia="Palatino Linotype" w:hAnsi="Palatino Linotype" w:cs="Palatino Linotype"/>
          <w:i/>
          <w:sz w:val="22"/>
          <w:szCs w:val="22"/>
        </w:rPr>
        <w:t xml:space="preserve"> Secretaría de Economía. 08 de marzo del 2017. Por unanimidad. Comisionado Ponente Francisco Javier Acuña Llamas. </w:t>
      </w:r>
    </w:p>
    <w:p w:rsidR="00A35B53" w:rsidRDefault="002421B4">
      <w:pPr>
        <w:tabs>
          <w:tab w:val="left" w:pos="851"/>
        </w:tabs>
        <w:ind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ab/>
        <w:t>(Énfasis Añadido)</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expuesto, se advierte que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señaló en la interposición del recurso que le fue negada la información, argumentando que la respuesta emitida era una copia de las cifras publicadas en su sitio oficial; por lo que, esta Ponencia considera conveniente analizar la información entregada en respuesta como de la remitida en Informe Justificado a fin de verificar si con lo argumentado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satisfizo el derecho de acceso a la información de la hoy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atendiendo al principio de máxima publicidad de conformidad con el artículo 8 de la Ley de Transparencia y Acceso a la Información Pública del Estado de México y Municipios que señala:</w:t>
      </w:r>
    </w:p>
    <w:p w:rsidR="00A35B53" w:rsidRDefault="002421B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8</w:t>
      </w:r>
      <w:r>
        <w:rPr>
          <w:rFonts w:ascii="Palatino Linotype" w:eastAsia="Palatino Linotype" w:hAnsi="Palatino Linotype" w:cs="Palatino Linotype"/>
          <w:i/>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A35B53" w:rsidRDefault="00A35B53">
      <w:pPr>
        <w:ind w:left="851" w:right="899"/>
        <w:jc w:val="both"/>
        <w:rPr>
          <w:rFonts w:ascii="Palatino Linotype" w:eastAsia="Palatino Linotype" w:hAnsi="Palatino Linotype" w:cs="Palatino Linotype"/>
          <w:i/>
          <w:sz w:val="22"/>
          <w:szCs w:val="22"/>
        </w:rPr>
      </w:pPr>
    </w:p>
    <w:p w:rsidR="00A35B53" w:rsidRDefault="002421B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es conveniente invocar la tesis 1a. CCCXXVII/2014 (10a.) emitida por la Primera Sala de la Suprema Corte de Justicia de la Nación, cuyo sentido es el siguiente:</w:t>
      </w:r>
    </w:p>
    <w:p w:rsidR="00A35B53" w:rsidRDefault="002421B4">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PRINCIPIO PRO PERSONA. REQUISITOS MÍNIMOS PARA QUE SE ATIENDA EL FONDO DE LA SOLICITUD DE SU APLICACIÓN, O LA IMPUGNACIÓN DE SU OMISIÓN POR LA AUTORIDAD RESPONSABLE</w:t>
      </w:r>
      <w:r>
        <w:rPr>
          <w:rFonts w:ascii="Palatino Linotype" w:eastAsia="Palatino Linotype" w:hAnsi="Palatino Linotype" w:cs="Palatino Linotype"/>
          <w:i/>
          <w:sz w:val="22"/>
          <w:szCs w:val="22"/>
        </w:rPr>
        <w:t>.</w:t>
      </w:r>
    </w:p>
    <w:p w:rsidR="00A35B53" w:rsidRDefault="00A35B53">
      <w:pPr>
        <w:ind w:left="709" w:right="757"/>
        <w:jc w:val="both"/>
        <w:rPr>
          <w:rFonts w:ascii="Palatino Linotype" w:eastAsia="Palatino Linotype" w:hAnsi="Palatino Linotype" w:cs="Palatino Linotype"/>
          <w:i/>
          <w:sz w:val="22"/>
          <w:szCs w:val="22"/>
        </w:rPr>
      </w:pPr>
    </w:p>
    <w:p w:rsidR="00A35B53" w:rsidRDefault="002421B4">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A35B53" w:rsidRDefault="00A35B53">
      <w:pPr>
        <w:spacing w:line="360" w:lineRule="auto"/>
        <w:jc w:val="both"/>
        <w:rPr>
          <w:rFonts w:ascii="Palatino Linotype" w:eastAsia="Palatino Linotype" w:hAnsi="Palatino Linotype" w:cs="Palatino Linotype"/>
          <w:sz w:val="10"/>
          <w:szCs w:val="10"/>
        </w:rPr>
      </w:pPr>
    </w:p>
    <w:p w:rsidR="00A35B53" w:rsidRDefault="002421B4">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Época: Décima Época </w:t>
      </w:r>
    </w:p>
    <w:p w:rsidR="00A35B53" w:rsidRDefault="002421B4">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Registro: 2007561 </w:t>
      </w:r>
    </w:p>
    <w:p w:rsidR="00A35B53" w:rsidRDefault="002421B4">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Instancia: Primera Sala </w:t>
      </w:r>
    </w:p>
    <w:p w:rsidR="00A35B53" w:rsidRDefault="002421B4">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Tipo de Tesis: Aislada </w:t>
      </w:r>
    </w:p>
    <w:p w:rsidR="00A35B53" w:rsidRDefault="002421B4">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Fuente: Gaceta del Semanario Judicial de la Federación </w:t>
      </w:r>
    </w:p>
    <w:p w:rsidR="00A35B53" w:rsidRDefault="002421B4">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Libro 11, Octubre de 2014, Tomo I </w:t>
      </w:r>
    </w:p>
    <w:p w:rsidR="00A35B53" w:rsidRDefault="002421B4">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Materia(s): Constitucional, Común </w:t>
      </w:r>
    </w:p>
    <w:p w:rsidR="00A35B53" w:rsidRDefault="002421B4">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Tesis: 1a. CCCXXVII/2014 (10a.) </w:t>
      </w:r>
    </w:p>
    <w:p w:rsidR="00A35B53" w:rsidRDefault="002421B4">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Página: 613 </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principio de cuentas, es de mencionar que el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acredita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Pr>
          <w:rFonts w:ascii="Palatino Linotype" w:eastAsia="Palatino Linotype" w:hAnsi="Palatino Linotype" w:cs="Palatino Linotype"/>
          <w:b/>
          <w:u w:val="single"/>
        </w:rPr>
        <w:t xml:space="preserve">con el objeto de que realicen una búsqueda exhaustiva y razonable de la información solicitada, </w:t>
      </w:r>
      <w:r>
        <w:rPr>
          <w:rFonts w:ascii="Palatino Linotype" w:eastAsia="Palatino Linotype" w:hAnsi="Palatino Linotype" w:cs="Palatino Linotype"/>
        </w:rPr>
        <w:t xml:space="preserve">ello en atención a que del apartado de requerimientos del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se observa que únicamente requirió a la Dirección General de Información, Planeación, Programación y Evaluación, tal como se advierte de la imagen siguiente:</w:t>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drawing>
          <wp:inline distT="0" distB="0" distL="0" distR="0">
            <wp:extent cx="5408855" cy="571536"/>
            <wp:effectExtent l="0" t="0" r="0" b="0"/>
            <wp:docPr id="8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l="3277" t="31381" r="29103" b="59093"/>
                    <a:stretch>
                      <a:fillRect/>
                    </a:stretch>
                  </pic:blipFill>
                  <pic:spPr>
                    <a:xfrm>
                      <a:off x="0" y="0"/>
                      <a:ext cx="5408855" cy="571536"/>
                    </a:xfrm>
                    <a:prstGeom prst="rect">
                      <a:avLst/>
                    </a:prstGeom>
                    <a:ln/>
                  </pic:spPr>
                </pic:pic>
              </a:graphicData>
            </a:graphic>
          </wp:inline>
        </w:drawing>
      </w:r>
    </w:p>
    <w:p w:rsidR="00A35B53" w:rsidRDefault="002421B4">
      <w:pPr>
        <w:spacing w:before="280" w:after="280" w:line="360" w:lineRule="auto"/>
        <w:jc w:val="center"/>
        <w:rPr>
          <w:rFonts w:ascii="Palatino Linotype" w:eastAsia="Palatino Linotype" w:hAnsi="Palatino Linotype" w:cs="Palatino Linotype"/>
        </w:rPr>
      </w:pPr>
      <w:r>
        <w:rPr>
          <w:noProof/>
          <w:lang w:eastAsia="es-MX"/>
        </w:rPr>
        <w:drawing>
          <wp:inline distT="0" distB="0" distL="0" distR="0">
            <wp:extent cx="5604548" cy="1262075"/>
            <wp:effectExtent l="0" t="0" r="0" b="0"/>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l="149" t="48255" r="3224" b="28108"/>
                    <a:stretch>
                      <a:fillRect/>
                    </a:stretch>
                  </pic:blipFill>
                  <pic:spPr>
                    <a:xfrm>
                      <a:off x="0" y="0"/>
                      <a:ext cx="5604548" cy="1262075"/>
                    </a:xfrm>
                    <a:prstGeom prst="rect">
                      <a:avLst/>
                    </a:prstGeom>
                    <a:ln/>
                  </pic:spPr>
                </pic:pic>
              </a:graphicData>
            </a:graphic>
          </wp:inline>
        </w:drawing>
      </w:r>
    </w:p>
    <w:p w:rsidR="00A35B53" w:rsidRDefault="002421B4">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es 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w:t>
      </w:r>
      <w:r>
        <w:rPr>
          <w:rFonts w:ascii="Palatino Linotype" w:eastAsia="Palatino Linotype" w:hAnsi="Palatino Linotype" w:cs="Palatino Linotype"/>
          <w:color w:val="000000"/>
        </w:rPr>
        <w:lastRenderedPageBreak/>
        <w:t>respectivas Unidades de Transparencia, en términos de lo dispuesto en los artículos 3 fracción XXXIX, 50, 51, 53 y 59 fracciones I, II y III, de la Ley de la materia, mismos que se transcriben a continuación:</w:t>
      </w:r>
    </w:p>
    <w:p w:rsidR="00A35B53" w:rsidRDefault="002421B4">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los efectos de la presente Ley se entenderá por</w:t>
      </w:r>
      <w:r>
        <w:rPr>
          <w:rFonts w:ascii="Palatino Linotype" w:eastAsia="Palatino Linotype" w:hAnsi="Palatino Linotype" w:cs="Palatino Linotype"/>
          <w:i/>
          <w:sz w:val="22"/>
          <w:szCs w:val="22"/>
        </w:rPr>
        <w:t xml:space="preserve">: </w:t>
      </w:r>
    </w:p>
    <w:p w:rsidR="00A35B53" w:rsidRDefault="002421B4">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Servidor público habilitado</w:t>
      </w:r>
      <w:r>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A35B53" w:rsidRDefault="002421B4">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ue la misma no sea confidencial o reservada. Dicha Unidad contará con las facultades internas necesarias para gestionar la atención a las solicitudes de información en los términos de la Ley General y la presente Ley.</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Las Unidades de Transparencia tendrán las siguientes funciones:</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A35B53" w:rsidRDefault="002421B4">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Recibir, </w:t>
      </w:r>
      <w:r>
        <w:rPr>
          <w:rFonts w:ascii="Palatino Linotype" w:eastAsia="Palatino Linotype" w:hAnsi="Palatino Linotype" w:cs="Palatino Linotype"/>
          <w:b/>
          <w:i/>
          <w:sz w:val="22"/>
          <w:szCs w:val="22"/>
          <w:u w:val="single"/>
        </w:rPr>
        <w:t>tramitar</w:t>
      </w:r>
      <w:r>
        <w:rPr>
          <w:rFonts w:ascii="Palatino Linotype" w:eastAsia="Palatino Linotype" w:hAnsi="Palatino Linotype" w:cs="Palatino Linotype"/>
          <w:b/>
          <w:i/>
          <w:sz w:val="22"/>
          <w:szCs w:val="22"/>
        </w:rPr>
        <w:t xml:space="preserve"> y dar respuesta a las solicitudes de acceso a la información;</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Entregar, en su caso, a los particulares la información solicitada;</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Efectuar las notificaciones a los solicitantes;</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VIII. Proponer a quien preside el Comité de Transparencia, personal habilitado que sea necesario para recibir y dar trámite a las solicitudes de acceso a la información;</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Presentar ante el Comité, el proyecto de clasificación de información;</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Promover e implementar políticas de transparencia proactiva procurando su accesibilidad;</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Fomentar la transparencia y accesibilidad al interior del sujeto obligado;</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A35B53" w:rsidRDefault="002421B4">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servidores públicos habilitados tendrán las funciones siguientes</w:t>
      </w:r>
      <w:r>
        <w:rPr>
          <w:rFonts w:ascii="Palatino Linotype" w:eastAsia="Palatino Linotype" w:hAnsi="Palatino Linotype" w:cs="Palatino Linotype"/>
          <w:i/>
          <w:sz w:val="22"/>
          <w:szCs w:val="22"/>
        </w:rPr>
        <w:t xml:space="preserve">: </w:t>
      </w:r>
    </w:p>
    <w:p w:rsidR="00A35B53" w:rsidRDefault="002421B4">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Localizar la información que le solicite la Unidad de Transparencia</w:t>
      </w:r>
      <w:r>
        <w:rPr>
          <w:rFonts w:ascii="Palatino Linotype" w:eastAsia="Palatino Linotype" w:hAnsi="Palatino Linotype" w:cs="Palatino Linotype"/>
          <w:i/>
          <w:sz w:val="22"/>
          <w:szCs w:val="22"/>
        </w:rPr>
        <w:t xml:space="preserve">; </w:t>
      </w:r>
    </w:p>
    <w:p w:rsidR="00A35B53" w:rsidRDefault="002421B4">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Pr>
          <w:rFonts w:ascii="Palatino Linotype" w:eastAsia="Palatino Linotype" w:hAnsi="Palatino Linotype" w:cs="Palatino Linotype"/>
          <w:b/>
          <w:i/>
          <w:sz w:val="22"/>
          <w:szCs w:val="22"/>
        </w:rPr>
        <w:t xml:space="preserve">; </w:t>
      </w:r>
    </w:p>
    <w:p w:rsidR="00A35B53" w:rsidRDefault="002421B4">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Apoyar a la Unidad de Transparencia en lo que esta le solicite para el cumplimiento de sus funciones</w:t>
      </w:r>
      <w:r>
        <w:rPr>
          <w:rFonts w:ascii="Palatino Linotype" w:eastAsia="Palatino Linotype" w:hAnsi="Palatino Linotype" w:cs="Palatino Linotype"/>
          <w:b/>
          <w:i/>
          <w:sz w:val="22"/>
          <w:szCs w:val="22"/>
        </w:rPr>
        <w:t xml:space="preserve">; </w:t>
      </w:r>
    </w:p>
    <w:p w:rsidR="00A35B53" w:rsidRDefault="002421B4">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A35B53" w:rsidRDefault="002421B4">
      <w:pPr>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w:t>
      </w:r>
      <w:r>
        <w:rPr>
          <w:rFonts w:ascii="Palatino Linotype" w:eastAsia="Palatino Linotype" w:hAnsi="Palatino Linotype" w:cs="Palatino Linotype"/>
        </w:rPr>
        <w:lastRenderedPageBreak/>
        <w:t>dicha área funge como enlace entre el Sujeto Obligado y los solicitantes, y tiene bajo su responsabilidad el tramitar internamente la solicitud de información.</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Pr>
          <w:rFonts w:ascii="Palatino Linotype" w:eastAsia="Palatino Linotype" w:hAnsi="Palatino Linotype" w:cs="Palatino Linotype"/>
          <w:b/>
        </w:rPr>
        <w:t>SUJETO OBLIGADO</w:t>
      </w:r>
      <w:r>
        <w:rPr>
          <w:rFonts w:ascii="Palatino Linotype" w:eastAsia="Palatino Linotype" w:hAnsi="Palatino Linotype" w:cs="Palatino Linotype"/>
        </w:rPr>
        <w:t>, es por ello que, debe turnar la solicitud al servidor público habilitado que tiene bajo su resguardo la misma. Los servidores públicos habilitados tienen como función, buscar, localizar y en su caso entregar la información solicitada.</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ello, que corresponde al Titular de la Unidad de Transparencia el garantizar que las solicitudes se turnen a todas las áreas competentes que puedan contar con la información, </w:t>
      </w:r>
      <w:r>
        <w:rPr>
          <w:rFonts w:ascii="Palatino Linotype" w:eastAsia="Palatino Linotype" w:hAnsi="Palatino Linotype" w:cs="Palatino Linotype"/>
          <w:b/>
        </w:rPr>
        <w:t>con el objeto de que se realice una búsqueda exhaustiva y razonable de la información solicitada</w:t>
      </w:r>
      <w:r>
        <w:rPr>
          <w:rFonts w:ascii="Palatino Linotype" w:eastAsia="Palatino Linotype" w:hAnsi="Palatino Linotype" w:cs="Palatino Linotype"/>
        </w:rPr>
        <w:t>.</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respecto de la información solicitada, se advierte que el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artículo 162 de la Ley de Transparencia y Acceso a la Información Pública del Estado de México y Municipios, debió solicitar la información requerida, de manera adicional al Departamento de Información y Estadística </w:t>
      </w:r>
    </w:p>
    <w:p w:rsidR="00A35B53" w:rsidRDefault="002421B4">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resulta importante traer a contexto el contenido del Manual General de Organización de la Procuraduría General de Justicia del Estado de México, mismo que en lo que nos interesa establece lo siguiente:</w:t>
      </w:r>
    </w:p>
    <w:p w:rsidR="00A35B53" w:rsidRDefault="002421B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213410202 DEPARTAMENTO DE INFORMACIÓN Y ESTADÍSTICA OBJETIVO:</w:t>
      </w:r>
      <w:r>
        <w:rPr>
          <w:rFonts w:ascii="Palatino Linotype" w:eastAsia="Palatino Linotype" w:hAnsi="Palatino Linotype" w:cs="Palatino Linotype"/>
          <w:i/>
          <w:sz w:val="22"/>
          <w:szCs w:val="22"/>
        </w:rPr>
        <w:t xml:space="preserve"> Concentrar y consultar la información de los sistemas informáticos y </w:t>
      </w:r>
      <w:r>
        <w:rPr>
          <w:rFonts w:ascii="Palatino Linotype" w:eastAsia="Palatino Linotype" w:hAnsi="Palatino Linotype" w:cs="Palatino Linotype"/>
          <w:i/>
          <w:sz w:val="22"/>
          <w:szCs w:val="22"/>
        </w:rPr>
        <w:lastRenderedPageBreak/>
        <w:t xml:space="preserve">unidades, tanto administrativas como operativas de la Procuraduría para la interpretación de datos que permitan identificar y medir los parámetros de incidencia delictiva en comparativo con otros Estados del país. </w:t>
      </w:r>
    </w:p>
    <w:p w:rsidR="00A35B53" w:rsidRDefault="002421B4">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FUNCIONES:</w:t>
      </w:r>
    </w:p>
    <w:p w:rsidR="00A35B53" w:rsidRDefault="002421B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-Elaborar convenios o acuerdos de colaboración con los sectores público, social y privado para el cumplimiento de las funciones, observando las disposiciones en materia de transparencia y acceso a la información pública, así como elaborar dictámenes, opiniones, estudios y demás documentos que le sean solicitados y requeridos. </w:t>
      </w:r>
    </w:p>
    <w:p w:rsidR="00A35B53" w:rsidRDefault="002421B4">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Proporcionar a la institución, un panorama detallado del comportamiento e índices delictivos en la entidad. </w:t>
      </w:r>
    </w:p>
    <w:p w:rsidR="00A35B53" w:rsidRDefault="002421B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-Diseñar y ejecutar acciones conjuntas con todas las unidades administrativas de la Institución encargadas de prevenir el delito, a fin de combatir la delincuencia e inseguridad en la entidad mexiquense. </w:t>
      </w:r>
    </w:p>
    <w:p w:rsidR="00A35B53" w:rsidRDefault="002421B4">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-Actualizar la base de datos estadísticos que refleje información referente a la incidencia delictiva de la entidad. </w:t>
      </w:r>
    </w:p>
    <w:p w:rsidR="00A35B53" w:rsidRDefault="002421B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-Desarrollar </w:t>
      </w:r>
      <w:r>
        <w:rPr>
          <w:rFonts w:ascii="Palatino Linotype" w:eastAsia="Palatino Linotype" w:hAnsi="Palatino Linotype" w:cs="Palatino Linotype"/>
          <w:b/>
          <w:i/>
          <w:sz w:val="22"/>
          <w:szCs w:val="22"/>
        </w:rPr>
        <w:t xml:space="preserve">estrategias de prevención delictiva </w:t>
      </w:r>
      <w:r>
        <w:rPr>
          <w:rFonts w:ascii="Palatino Linotype" w:eastAsia="Palatino Linotype" w:hAnsi="Palatino Linotype" w:cs="Palatino Linotype"/>
          <w:i/>
          <w:sz w:val="22"/>
          <w:szCs w:val="22"/>
        </w:rPr>
        <w:t>en conjunto con instituciones encargadas de la seguridad pública,</w:t>
      </w:r>
      <w:r>
        <w:rPr>
          <w:rFonts w:ascii="Palatino Linotype" w:eastAsia="Palatino Linotype" w:hAnsi="Palatino Linotype" w:cs="Palatino Linotype"/>
          <w:b/>
          <w:i/>
          <w:sz w:val="22"/>
          <w:szCs w:val="22"/>
        </w:rPr>
        <w:t xml:space="preserve"> identificando a través de la georeferenciación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focos rojos delincuenciales de la entidad</w:t>
      </w:r>
      <w:r>
        <w:rPr>
          <w:rFonts w:ascii="Palatino Linotype" w:eastAsia="Palatino Linotype" w:hAnsi="Palatino Linotype" w:cs="Palatino Linotype"/>
          <w:i/>
          <w:sz w:val="22"/>
          <w:szCs w:val="22"/>
        </w:rPr>
        <w:t xml:space="preserve">. </w:t>
      </w:r>
    </w:p>
    <w:p w:rsidR="00A35B53" w:rsidRDefault="002421B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-Brindar la información requerida por el Procurador relacionada con hechos o sucesos que puedan ser evaluados y debatidos por la opinión pública. </w:t>
      </w:r>
    </w:p>
    <w:p w:rsidR="00A35B53" w:rsidRDefault="002421B4">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-Proporcionar la información solicitada a través del Portal de Transparencia y Acceso a la Información Pública. </w:t>
      </w:r>
    </w:p>
    <w:p w:rsidR="00A35B53" w:rsidRDefault="002421B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-Operar y administrar la base de información a nivel nacional referente a la búsqueda de información policial. </w:t>
      </w:r>
    </w:p>
    <w:p w:rsidR="00A35B53" w:rsidRDefault="002421B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-Proporcionar la información necesaria para la integración del Sistema Plataforma México a través del Informe Policial Homologado. Registro Nacional de Armamento y Equipo, Registro Nacional de Mandamientos Judiciales, Registro Nacional de Vehículos Robados y Recuperados, Sistema Integrado de Identificación Balística, AFIS y Registro Nacional de Personal de Seguridad Pública. </w:t>
      </w:r>
    </w:p>
    <w:p w:rsidR="00A35B53" w:rsidRDefault="002421B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-Desarrollar las demás funciones inherentes al área de su competencia.</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interpretación armónica a la normatividad en cita se puede advertir que el Departamento de Información y Estadística tiene entre sus funciones la de actualizar la base de datos estadísticos que refleje información referente a la incidencia delictiva de la entidad; motivo por el cual, este Órgano Garante considera que no se puede tener </w:t>
      </w:r>
      <w:r>
        <w:rPr>
          <w:rFonts w:ascii="Palatino Linotype" w:eastAsia="Palatino Linotype" w:hAnsi="Palatino Linotype" w:cs="Palatino Linotype"/>
        </w:rPr>
        <w:lastRenderedPageBreak/>
        <w:t xml:space="preserve">por satisfizo el requerimiento de la particular; en razón de que, de las documentales que obran en el expediente electrónico del </w:t>
      </w:r>
      <w:r>
        <w:rPr>
          <w:rFonts w:ascii="Palatino Linotype" w:eastAsia="Palatino Linotype" w:hAnsi="Palatino Linotype" w:cs="Palatino Linotype"/>
          <w:b/>
        </w:rPr>
        <w:t>SAIMEX</w:t>
      </w:r>
      <w:r>
        <w:rPr>
          <w:rFonts w:ascii="Palatino Linotype" w:eastAsia="Palatino Linotype" w:hAnsi="Palatino Linotype" w:cs="Palatino Linotype"/>
        </w:rPr>
        <w:t>, se desprende que no hubo pronunciamiento de todas las áreas que pudieran generar, poseer, administrar la información solicitada, conforme a sus atribuciones establecidas anteriormente, lo anterior con fundamento en el artículo 9, fracción I de la Ley de la materia que dispone:</w:t>
      </w:r>
    </w:p>
    <w:p w:rsidR="00A35B53" w:rsidRDefault="002421B4">
      <w:pPr>
        <w:ind w:left="709" w:right="103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 </w:t>
      </w:r>
      <w:r>
        <w:rPr>
          <w:rFonts w:ascii="Palatino Linotype" w:eastAsia="Palatino Linotype" w:hAnsi="Palatino Linotype" w:cs="Palatino Linotype"/>
          <w:i/>
          <w:sz w:val="22"/>
          <w:szCs w:val="22"/>
        </w:rPr>
        <w:t>El Instituto deberá regir su funcionamiento de acuerdo a los siguientes principios:</w:t>
      </w:r>
    </w:p>
    <w:p w:rsidR="00A35B53" w:rsidRDefault="00A35B53">
      <w:pPr>
        <w:ind w:left="709" w:right="1038"/>
        <w:jc w:val="both"/>
        <w:rPr>
          <w:rFonts w:ascii="Palatino Linotype" w:eastAsia="Palatino Linotype" w:hAnsi="Palatino Linotype" w:cs="Palatino Linotype"/>
          <w:b/>
          <w:i/>
          <w:sz w:val="22"/>
          <w:szCs w:val="22"/>
          <w:u w:val="single"/>
        </w:rPr>
      </w:pPr>
    </w:p>
    <w:p w:rsidR="00A35B53" w:rsidRDefault="002421B4">
      <w:pPr>
        <w:ind w:left="709" w:right="103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Certeza:</w:t>
      </w:r>
      <w:r>
        <w:rPr>
          <w:rFonts w:ascii="Palatino Linotype" w:eastAsia="Palatino Linotype" w:hAnsi="Palatino Linotype" w:cs="Palatino Linotype"/>
          <w:i/>
          <w:sz w:val="22"/>
          <w:szCs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Pr>
          <w:rFonts w:ascii="Palatino Linotype" w:eastAsia="Palatino Linotype" w:hAnsi="Palatino Linotype" w:cs="Palatino Linotype"/>
          <w:b/>
          <w:i/>
          <w:sz w:val="22"/>
          <w:szCs w:val="22"/>
        </w:rPr>
        <w:t>”</w:t>
      </w:r>
    </w:p>
    <w:p w:rsidR="00A35B53" w:rsidRDefault="002421B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tal sentido y a fin de salvaguardar el derecho de acceso a la información pública y toda vez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admitió que poseer y administrar la información requerida por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en su solicitud de información, en consecuencia, esta Ponencia Resolutora, determina </w:t>
      </w:r>
      <w:r>
        <w:rPr>
          <w:rFonts w:ascii="Palatino Linotype" w:eastAsia="Palatino Linotype" w:hAnsi="Palatino Linotype" w:cs="Palatino Linotype"/>
          <w:b/>
        </w:rPr>
        <w:t xml:space="preserve">Modificar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w:t>
      </w:r>
      <w:r>
        <w:rPr>
          <w:rFonts w:ascii="Palatino Linotype" w:eastAsia="Palatino Linotype" w:hAnsi="Palatino Linotype" w:cs="Palatino Linotype"/>
          <w:b/>
        </w:rPr>
        <w:t>ordenarle</w:t>
      </w:r>
      <w:r>
        <w:rPr>
          <w:rFonts w:ascii="Palatino Linotype" w:eastAsia="Palatino Linotype" w:hAnsi="Palatino Linotype" w:cs="Palatino Linotype"/>
        </w:rPr>
        <w:t xml:space="preserve"> realizar una nueva </w:t>
      </w:r>
      <w:r>
        <w:rPr>
          <w:rFonts w:ascii="Palatino Linotype" w:eastAsia="Palatino Linotype" w:hAnsi="Palatino Linotype" w:cs="Palatino Linotype"/>
          <w:b/>
          <w:u w:val="single"/>
        </w:rPr>
        <w:t>búsqueda exhaustiva y razonable</w:t>
      </w:r>
      <w:r>
        <w:rPr>
          <w:rFonts w:ascii="Palatino Linotype" w:eastAsia="Palatino Linotype" w:hAnsi="Palatino Linotype" w:cs="Palatino Linotype"/>
        </w:rPr>
        <w:t xml:space="preserve"> de la información solicitada al mayor grado de desagregación posible de conformidad con el artículo 162 de la Ley de Transparencia y Acceso a la Información Pública del Estado de México y Municipios, a través de los </w:t>
      </w:r>
      <w:r>
        <w:rPr>
          <w:rFonts w:ascii="Palatino Linotype" w:eastAsia="Palatino Linotype" w:hAnsi="Palatino Linotype" w:cs="Palatino Linotype"/>
          <w:b/>
        </w:rPr>
        <w:t xml:space="preserve">Servidores Públicos Habilitados Competentes </w:t>
      </w:r>
      <w:r>
        <w:rPr>
          <w:rFonts w:ascii="Palatino Linotype" w:eastAsia="Palatino Linotype" w:hAnsi="Palatino Linotype" w:cs="Palatino Linotype"/>
        </w:rPr>
        <w:t>por el periodo comprendido del 1 de noviembre 2018 al 30 de noviembre de 2019,</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y, haga entrega de la misma a la hoy </w:t>
      </w:r>
      <w:r>
        <w:rPr>
          <w:rFonts w:ascii="Palatino Linotype" w:eastAsia="Palatino Linotype" w:hAnsi="Palatino Linotype" w:cs="Palatino Linotype"/>
          <w:b/>
        </w:rPr>
        <w:t>RECURRRENTE</w:t>
      </w:r>
      <w:r>
        <w:rPr>
          <w:rFonts w:ascii="Palatino Linotype" w:eastAsia="Palatino Linotype" w:hAnsi="Palatino Linotype" w:cs="Palatino Linotype"/>
        </w:rPr>
        <w:t xml:space="preserve">, de ser procedente en </w:t>
      </w:r>
      <w:r>
        <w:rPr>
          <w:rFonts w:ascii="Palatino Linotype" w:eastAsia="Palatino Linotype" w:hAnsi="Palatino Linotype" w:cs="Palatino Linotype"/>
          <w:b/>
        </w:rPr>
        <w:t>versión pública.</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se omite señalar que una vez acreditada la búsqueda de la información y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no localice la misma o no sea generada al grado de detalle que </w:t>
      </w:r>
      <w:r>
        <w:rPr>
          <w:rFonts w:ascii="Palatino Linotype" w:eastAsia="Palatino Linotype" w:hAnsi="Palatino Linotype" w:cs="Palatino Linotype"/>
        </w:rPr>
        <w:lastRenderedPageBreak/>
        <w:t xml:space="preserve">lo solicitó la particular; bastara con que lo haga del conocimiento de </w:t>
      </w:r>
      <w:r>
        <w:rPr>
          <w:rFonts w:ascii="Palatino Linotype" w:eastAsia="Palatino Linotype" w:hAnsi="Palatino Linotype" w:cs="Palatino Linotype"/>
          <w:b/>
        </w:rPr>
        <w:t xml:space="preserve">LA RECURRENTE </w:t>
      </w:r>
      <w:r>
        <w:rPr>
          <w:rFonts w:ascii="Palatino Linotype" w:eastAsia="Palatino Linotype" w:hAnsi="Palatino Linotype" w:cs="Palatino Linotype"/>
        </w:rPr>
        <w:t>al momento de dar cumplimiento a la presente resolución de manera fundada y motivada.</w:t>
      </w:r>
    </w:p>
    <w:p w:rsidR="00A35B53" w:rsidRDefault="002421B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no pasa desapercibido para este Instituto que de los documentos de los cuales se ordena su entrega, sí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advierte información susceptible de clasificarse procederá su entrega en versión pública, cumpliendo con las formalidades que la Ley impone, es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A35B53" w:rsidRDefault="002421B4">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III. Se generen versiones públicas para dar cumplimiento a las obligaciones de transparencia previstas en esta Ley.</w:t>
      </w:r>
      <w:r>
        <w:rPr>
          <w:rFonts w:ascii="Palatino Linotype" w:eastAsia="Palatino Linotype" w:hAnsi="Palatino Linotype" w:cs="Palatino Linotype"/>
          <w:b/>
          <w:i/>
          <w:sz w:val="22"/>
          <w:szCs w:val="22"/>
        </w:rPr>
        <w:t>”</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Pr>
          <w:rFonts w:ascii="Palatino Linotype" w:eastAsia="Palatino Linotype" w:hAnsi="Palatino Linotype" w:cs="Palatino Linotype"/>
          <w:i/>
          <w:sz w:val="22"/>
          <w:szCs w:val="22"/>
        </w:rPr>
        <w:lastRenderedPageBreak/>
        <w:t>de sus respectivas competencias, en tanto estas últimas no contravengan lo dispuesto en la Ley General.</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A35B53" w:rsidRDefault="002421B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w:t>
      </w:r>
    </w:p>
    <w:p w:rsidR="00A35B53" w:rsidRDefault="002421B4">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contexto, el hecho de que la información pública solicitada contenga datos personales susceptibles de ser protegidos mediante su </w:t>
      </w:r>
      <w:r>
        <w:rPr>
          <w:rFonts w:ascii="Palatino Linotype" w:eastAsia="Palatino Linotype" w:hAnsi="Palatino Linotype" w:cs="Palatino Linotype"/>
          <w:b/>
          <w:color w:val="000000"/>
        </w:rPr>
        <w:t>versión pública</w:t>
      </w:r>
      <w:r>
        <w:rPr>
          <w:rFonts w:ascii="Palatino Linotype" w:eastAsia="Palatino Linotype" w:hAnsi="Palatino Linotype" w:cs="Palatino Linotype"/>
          <w:color w:val="000000"/>
        </w:rPr>
        <w:t>, ello no implica que esta circunstancia opere en automático, sino que es necesario que el Comité de Transparencia del</w:t>
      </w:r>
      <w:r>
        <w:rPr>
          <w:rFonts w:ascii="Palatino Linotype" w:eastAsia="Palatino Linotype" w:hAnsi="Palatino Linotype" w:cs="Palatino Linotype"/>
          <w:b/>
          <w:color w:val="000000"/>
        </w:rPr>
        <w:t xml:space="preserve"> SUJETO OBLIGADO </w:t>
      </w:r>
      <w:r>
        <w:rPr>
          <w:rFonts w:ascii="Palatino Linotype" w:eastAsia="Palatino Linotype" w:hAnsi="Palatino Linotype" w:cs="Palatino Linotype"/>
          <w:color w:val="000000"/>
        </w:rPr>
        <w:t>emita el Acuerdo de Clasificación correspondiente.</w:t>
      </w:r>
    </w:p>
    <w:p w:rsidR="00A35B53" w:rsidRDefault="002421B4">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caso específico, la información solicitada puede contener datos personales, que de hacerse públicos afectarían su intimidad y vida privada de determinadas personas; es por ello que deben testarse al momento de la elaboración de versiones públicas cualquier otro dato que ponga en riesgo la vida, seguridad y salud de cualquier persona.</w:t>
      </w:r>
    </w:p>
    <w:p w:rsidR="00A35B53" w:rsidRDefault="002421B4">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w:t>
      </w:r>
      <w:r>
        <w:rPr>
          <w:rFonts w:ascii="Palatino Linotype" w:eastAsia="Palatino Linotype" w:hAnsi="Palatino Linotype" w:cs="Palatino Linotype"/>
        </w:rPr>
        <w:lastRenderedPageBreak/>
        <w:t xml:space="preserve">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ya expuesto, el Pleno de este Instituto determina que las razones o motivos de inconformidad devienen </w:t>
      </w:r>
      <w:r>
        <w:rPr>
          <w:rFonts w:ascii="Palatino Linotype" w:eastAsia="Palatino Linotype" w:hAnsi="Palatino Linotype" w:cs="Palatino Linotype"/>
          <w:b/>
        </w:rPr>
        <w:t>parcialmente fundadas</w:t>
      </w:r>
      <w:r>
        <w:rPr>
          <w:rFonts w:ascii="Palatino Linotype" w:eastAsia="Palatino Linotype" w:hAnsi="Palatino Linotype" w:cs="Palatino Linotype"/>
        </w:rPr>
        <w:t xml:space="preserve">, toda vez que, duda de la veracidad de la información proporcionada; por ello, conforme al estudio realizado se actualiza la causal de procedencia enunciada en la fracción VI del numeral 179 de la Ley de Transparencia y Acceso a la Información Pública del Estado de México y Municipios, por lo que se determina </w:t>
      </w:r>
      <w:r>
        <w:rPr>
          <w:rFonts w:ascii="Palatino Linotype" w:eastAsia="Palatino Linotype" w:hAnsi="Palatino Linotype" w:cs="Palatino Linotype"/>
          <w:b/>
        </w:rPr>
        <w:t>MODIFICAR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 en su caso ordenarle la entrega de la información solicitada, previa búsqueda exhaustiva y razonable.</w:t>
      </w:r>
    </w:p>
    <w:p w:rsidR="00A35B53" w:rsidRDefault="002421B4">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con fundamento en lo prescrito en los artículos 5 párrafos vigésimo segundo, vigésimo tercero y vigésimo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A35B53" w:rsidRDefault="002421B4">
      <w:pPr>
        <w:spacing w:before="240" w:after="12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lastRenderedPageBreak/>
        <w:t>RESUELVE</w:t>
      </w:r>
    </w:p>
    <w:p w:rsidR="00A35B53" w:rsidRDefault="002421B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222222"/>
          <w:sz w:val="28"/>
          <w:szCs w:val="28"/>
        </w:rPr>
        <w:t>PRIMERO</w:t>
      </w:r>
      <w:r>
        <w:rPr>
          <w:rFonts w:ascii="Palatino Linotype" w:eastAsia="Palatino Linotype" w:hAnsi="Palatino Linotype" w:cs="Palatino Linotype"/>
          <w:b/>
        </w:rPr>
        <w:t>.</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parcialmente fundadas</w:t>
      </w:r>
      <w:r>
        <w:rPr>
          <w:rFonts w:ascii="Palatino Linotype" w:eastAsia="Palatino Linotype" w:hAnsi="Palatino Linotype" w:cs="Palatino Linotype"/>
        </w:rPr>
        <w:t xml:space="preserve"> las razones o motivos de inconformidad planteadas por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esta Resolución.</w:t>
      </w:r>
    </w:p>
    <w:p w:rsidR="00A35B53" w:rsidRDefault="002421B4">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SEGUNDO.</w:t>
      </w:r>
      <w:r>
        <w:rPr>
          <w:rFonts w:ascii="Palatino Linotype" w:eastAsia="Palatino Linotype" w:hAnsi="Palatino Linotype" w:cs="Palatino Linotype"/>
          <w:color w:val="000000"/>
        </w:rPr>
        <w:t xml:space="preserve"> Se</w:t>
      </w:r>
      <w:r>
        <w:rPr>
          <w:rFonts w:ascii="Palatino Linotype" w:eastAsia="Palatino Linotype" w:hAnsi="Palatino Linotype" w:cs="Palatino Linotype"/>
          <w:b/>
          <w:color w:val="000000"/>
        </w:rPr>
        <w:t xml:space="preserve"> MODIFICA </w:t>
      </w:r>
      <w:r>
        <w:rPr>
          <w:rFonts w:ascii="Palatino Linotype" w:eastAsia="Palatino Linotype" w:hAnsi="Palatino Linotype" w:cs="Palatino Linotype"/>
          <w:color w:val="000000"/>
        </w:rPr>
        <w:t xml:space="preserve">la respuesta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otorgada a la solicitud de información que dio origen al recurso de revisión </w:t>
      </w:r>
      <w:r>
        <w:rPr>
          <w:rFonts w:ascii="Palatino Linotype" w:eastAsia="Palatino Linotype" w:hAnsi="Palatino Linotype" w:cs="Palatino Linotype"/>
          <w:b/>
          <w:color w:val="000000"/>
        </w:rPr>
        <w:t>00687/INFOEM/IP/RR/2020</w:t>
      </w:r>
      <w:r>
        <w:rPr>
          <w:rFonts w:ascii="Palatino Linotype" w:eastAsia="Palatino Linotype" w:hAnsi="Palatino Linotype" w:cs="Palatino Linotype"/>
          <w:color w:val="000000"/>
        </w:rPr>
        <w:t xml:space="preserve">, en términos del Considerando </w:t>
      </w:r>
      <w:r>
        <w:rPr>
          <w:rFonts w:ascii="Palatino Linotype" w:eastAsia="Palatino Linotype" w:hAnsi="Palatino Linotype" w:cs="Palatino Linotype"/>
          <w:b/>
          <w:color w:val="000000"/>
        </w:rPr>
        <w:t xml:space="preserve">QUINTO, </w:t>
      </w:r>
      <w:r>
        <w:rPr>
          <w:rFonts w:ascii="Palatino Linotype" w:eastAsia="Palatino Linotype" w:hAnsi="Palatino Linotype" w:cs="Palatino Linotype"/>
        </w:rPr>
        <w:t xml:space="preserve">de la presente resolución, y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previa </w:t>
      </w:r>
      <w:r>
        <w:rPr>
          <w:rFonts w:ascii="Palatino Linotype" w:eastAsia="Palatino Linotype" w:hAnsi="Palatino Linotype" w:cs="Palatino Linotype"/>
          <w:b/>
        </w:rPr>
        <w:t>búsqueda exhaustiva y razonable</w:t>
      </w:r>
      <w:r>
        <w:rPr>
          <w:rFonts w:ascii="Palatino Linotype" w:eastAsia="Palatino Linotype" w:hAnsi="Palatino Linotype" w:cs="Palatino Linotype"/>
        </w:rPr>
        <w:t xml:space="preserve"> de ser procedente en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de lo siguiente:</w:t>
      </w:r>
    </w:p>
    <w:p w:rsidR="00A35B53" w:rsidRDefault="002421B4">
      <w:pPr>
        <w:ind w:left="567" w:right="899"/>
        <w:jc w:val="both"/>
        <w:rPr>
          <w:rFonts w:ascii="Palatino Linotype" w:eastAsia="Palatino Linotype" w:hAnsi="Palatino Linotype" w:cs="Palatino Linotype"/>
          <w:i/>
        </w:rPr>
      </w:pPr>
      <w:r>
        <w:rPr>
          <w:rFonts w:ascii="Palatino Linotype" w:eastAsia="Palatino Linotype" w:hAnsi="Palatino Linotype" w:cs="Palatino Linotype"/>
          <w:i/>
        </w:rPr>
        <w:t>“Los datos estadísticos de las carpetas de investigación abiertas por la Fiscalía General de Justicia del Estado de México donde se aprecien al mayor grado de desagregación posible los datos referidos por la particular en la solicitud de información de los Municipios de Tenancingo de Degollado, Ixtapan de la Sal, Metepec, Toluca de Lerdo, del periodo correspondiente del 1 de noviembre de 2018 al 30 de noviembre de 2019.</w:t>
      </w:r>
    </w:p>
    <w:p w:rsidR="00A35B53" w:rsidRDefault="00A35B53">
      <w:pPr>
        <w:ind w:left="567" w:right="616"/>
        <w:jc w:val="both"/>
        <w:rPr>
          <w:rFonts w:ascii="Palatino Linotype" w:eastAsia="Palatino Linotype" w:hAnsi="Palatino Linotype" w:cs="Palatino Linotype"/>
          <w:i/>
          <w:sz w:val="10"/>
          <w:szCs w:val="10"/>
        </w:rPr>
      </w:pPr>
    </w:p>
    <w:p w:rsidR="00A35B53" w:rsidRDefault="002421B4">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Debiendo notificar a</w:t>
      </w:r>
      <w:r>
        <w:rPr>
          <w:rFonts w:ascii="Palatino Linotype" w:eastAsia="Palatino Linotype" w:hAnsi="Palatino Linotype" w:cs="Palatino Linotype"/>
          <w:b/>
          <w:i/>
        </w:rPr>
        <w:t xml:space="preserve"> LA RECURRENTE</w:t>
      </w:r>
      <w:r>
        <w:rPr>
          <w:rFonts w:ascii="Palatino Linotype" w:eastAsia="Palatino Linotype" w:hAnsi="Palatino Linotype" w:cs="Palatino Linotype"/>
          <w:i/>
        </w:rPr>
        <w:t xml:space="preserve"> el Acuerdo de Clasificación de la información que emita su Comité de Transparencia con motivo de la versión pública.</w:t>
      </w:r>
    </w:p>
    <w:p w:rsidR="00A35B53" w:rsidRDefault="00A35B53">
      <w:pPr>
        <w:ind w:left="567" w:right="616"/>
        <w:jc w:val="both"/>
        <w:rPr>
          <w:rFonts w:ascii="Palatino Linotype" w:eastAsia="Palatino Linotype" w:hAnsi="Palatino Linotype" w:cs="Palatino Linotype"/>
          <w:i/>
        </w:rPr>
      </w:pPr>
    </w:p>
    <w:p w:rsidR="00A35B53" w:rsidRDefault="002421B4">
      <w:pPr>
        <w:ind w:left="567" w:right="616"/>
        <w:jc w:val="both"/>
        <w:rPr>
          <w:rFonts w:ascii="Palatino Linotype" w:eastAsia="Palatino Linotype" w:hAnsi="Palatino Linotype" w:cs="Palatino Linotype"/>
          <w:b/>
          <w:i/>
        </w:rPr>
      </w:pPr>
      <w:r>
        <w:rPr>
          <w:rFonts w:ascii="Palatino Linotype" w:eastAsia="Palatino Linotype" w:hAnsi="Palatino Linotype" w:cs="Palatino Linotype"/>
          <w:i/>
        </w:rPr>
        <w:t xml:space="preserve">Para el caso de que </w:t>
      </w:r>
      <w:r>
        <w:rPr>
          <w:rFonts w:ascii="Palatino Linotype" w:eastAsia="Palatino Linotype" w:hAnsi="Palatino Linotype" w:cs="Palatino Linotype"/>
          <w:b/>
          <w:i/>
        </w:rPr>
        <w:t>EL SUJETO OBLIGADO</w:t>
      </w:r>
      <w:r>
        <w:rPr>
          <w:rFonts w:ascii="Palatino Linotype" w:eastAsia="Palatino Linotype" w:hAnsi="Palatino Linotype" w:cs="Palatino Linotype"/>
          <w:i/>
        </w:rPr>
        <w:t xml:space="preserve"> no localice la información, al grado de desagregación solicitado, deberá hacerlo del conocimiento de </w:t>
      </w:r>
      <w:r>
        <w:rPr>
          <w:rFonts w:ascii="Palatino Linotype" w:eastAsia="Palatino Linotype" w:hAnsi="Palatino Linotype" w:cs="Palatino Linotype"/>
          <w:b/>
          <w:i/>
        </w:rPr>
        <w:t xml:space="preserve">LA RECURRENTE </w:t>
      </w:r>
      <w:r>
        <w:rPr>
          <w:rFonts w:ascii="Palatino Linotype" w:eastAsia="Palatino Linotype" w:hAnsi="Palatino Linotype" w:cs="Palatino Linotype"/>
          <w:i/>
        </w:rPr>
        <w:t>de manera fundada y motivada.</w:t>
      </w:r>
      <w:r>
        <w:rPr>
          <w:rFonts w:ascii="Palatino Linotype" w:eastAsia="Palatino Linotype" w:hAnsi="Palatino Linotype" w:cs="Palatino Linotype"/>
          <w:b/>
          <w:i/>
        </w:rPr>
        <w:t>”</w:t>
      </w:r>
    </w:p>
    <w:p w:rsidR="00A35B53" w:rsidRDefault="00A35B53">
      <w:pPr>
        <w:ind w:left="567" w:right="616"/>
        <w:jc w:val="both"/>
        <w:rPr>
          <w:rFonts w:ascii="Palatino Linotype" w:eastAsia="Palatino Linotype" w:hAnsi="Palatino Linotype" w:cs="Palatino Linotype"/>
          <w:i/>
          <w:color w:val="222222"/>
          <w:highlight w:val="white"/>
        </w:rPr>
      </w:pPr>
    </w:p>
    <w:p w:rsidR="00A35B53" w:rsidRDefault="002421B4">
      <w:pPr>
        <w:spacing w:before="280" w:after="280" w:line="360" w:lineRule="auto"/>
        <w:ind w:right="49"/>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sz w:val="28"/>
          <w:szCs w:val="28"/>
          <w:highlight w:val="white"/>
        </w:rPr>
        <w:lastRenderedPageBreak/>
        <w:t>TERCERO.</w:t>
      </w:r>
      <w:r>
        <w:rPr>
          <w:rFonts w:ascii="Palatino Linotype" w:eastAsia="Palatino Linotype" w:hAnsi="Palatino Linotype" w:cs="Palatino Linotype"/>
          <w:color w:val="222222"/>
          <w:highlight w:val="white"/>
        </w:rPr>
        <w:t> </w:t>
      </w:r>
      <w:r>
        <w:rPr>
          <w:rFonts w:ascii="Palatino Linotype" w:eastAsia="Palatino Linotype" w:hAnsi="Palatino Linotype" w:cs="Palatino Linotype"/>
          <w:b/>
          <w:color w:val="222222"/>
        </w:rPr>
        <w:t>Notifíquese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color w:val="222222"/>
          <w:highlight w:val="white"/>
        </w:rPr>
        <w:t>al Titular de la Unidad de Transparencia del </w:t>
      </w:r>
      <w:r>
        <w:rPr>
          <w:rFonts w:ascii="Palatino Linotype" w:eastAsia="Palatino Linotype" w:hAnsi="Palatino Linotype" w:cs="Palatino Linotype"/>
          <w:b/>
          <w:color w:val="222222"/>
          <w:highlight w:val="white"/>
        </w:rPr>
        <w:t>SUJETO OBLIGADO</w:t>
      </w:r>
      <w:r>
        <w:rPr>
          <w:rFonts w:ascii="Palatino Linotype" w:eastAsia="Palatino Linotype" w:hAnsi="Palatino Linotype" w:cs="Palatino Linotype"/>
          <w:color w:val="222222"/>
          <w:highlight w:val="white"/>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Pr>
          <w:rFonts w:ascii="Palatino Linotype" w:eastAsia="Palatino Linotype" w:hAnsi="Palatino Linotype" w:cs="Palatino Linotype"/>
          <w:color w:val="222222"/>
        </w:rPr>
        <w:t>de</w:t>
      </w:r>
      <w:r>
        <w:rPr>
          <w:rFonts w:ascii="Palatino Linotype" w:eastAsia="Palatino Linotype" w:hAnsi="Palatino Linotype" w:cs="Palatino Linotype"/>
          <w:color w:val="222222"/>
          <w:highlight w:val="white"/>
        </w:rPr>
        <w:t xml:space="preserve"> tres días hábiles siguientes sobre el cumplimiento dado a la presente resolución.</w:t>
      </w:r>
    </w:p>
    <w:p w:rsidR="00A35B53" w:rsidRDefault="002421B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sz w:val="28"/>
          <w:szCs w:val="28"/>
          <w:highlight w:val="white"/>
        </w:rPr>
        <w:t>CUARTO</w:t>
      </w:r>
      <w:r>
        <w:rPr>
          <w:rFonts w:ascii="Palatino Linotype" w:eastAsia="Palatino Linotype" w:hAnsi="Palatino Linotype" w:cs="Palatino Linotype"/>
          <w:color w:val="222222"/>
          <w:highlight w:val="white"/>
        </w:rPr>
        <w:t xml:space="preserve">. Con fundamento en el artículo 198 de la Ley de Transparencia y Acceso a la Información Pública del Estado de México y Municipios, se apercibe al </w:t>
      </w:r>
      <w:r>
        <w:rPr>
          <w:rFonts w:ascii="Palatino Linotype" w:eastAsia="Palatino Linotype" w:hAnsi="Palatino Linotype" w:cs="Palatino Linotype"/>
          <w:b/>
          <w:color w:val="222222"/>
          <w:highlight w:val="white"/>
        </w:rPr>
        <w:t>SUJETO OBLIGADO</w:t>
      </w:r>
      <w:r>
        <w:rPr>
          <w:rFonts w:ascii="Palatino Linotype" w:eastAsia="Palatino Linotype" w:hAnsi="Palatino Linotype" w:cs="Palatino Linotype"/>
          <w:color w:val="222222"/>
          <w:highlight w:val="white"/>
        </w:rPr>
        <w:t xml:space="preserve"> que, en caso de negarse a cumplir la presente resolución o hacerlo de manera parcial se actuará de conformidad con lo previsto en los artículos 213, 214, 216 y 217 de dicha Ley.</w:t>
      </w:r>
    </w:p>
    <w:p w:rsidR="00A35B53" w:rsidRDefault="002421B4">
      <w:pPr>
        <w:widowControl w:val="0"/>
        <w:pBdr>
          <w:top w:val="nil"/>
          <w:left w:val="nil"/>
          <w:bottom w:val="nil"/>
          <w:right w:val="nil"/>
          <w:between w:val="nil"/>
        </w:pBdr>
        <w:tabs>
          <w:tab w:val="left" w:pos="1701"/>
        </w:tabs>
        <w:spacing w:before="24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QUINTO</w:t>
      </w:r>
      <w:r>
        <w:rPr>
          <w:rFonts w:ascii="Palatino Linotype" w:eastAsia="Palatino Linotype" w:hAnsi="Palatino Linotype" w:cs="Palatino Linotype"/>
          <w:b/>
          <w:color w:val="000000"/>
        </w:rPr>
        <w:t>. Notifíquese</w:t>
      </w:r>
      <w:r>
        <w:rPr>
          <w:rFonts w:ascii="Palatino Linotype" w:eastAsia="Palatino Linotype" w:hAnsi="Palatino Linotype" w:cs="Palatino Linotype"/>
          <w:color w:val="000000"/>
        </w:rPr>
        <w:t xml:space="preserve"> a </w:t>
      </w:r>
      <w:r>
        <w:rPr>
          <w:rFonts w:ascii="Palatino Linotype" w:eastAsia="Palatino Linotype" w:hAnsi="Palatino Linotype" w:cs="Palatino Linotype"/>
          <w:b/>
          <w:color w:val="000000"/>
        </w:rPr>
        <w:t>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w:t>
      </w:r>
      <w:r>
        <w:rPr>
          <w:rFonts w:ascii="Palatino Linotype" w:eastAsia="Palatino Linotype" w:hAnsi="Palatino Linotype" w:cs="Palatino Linotype"/>
          <w:color w:val="000000"/>
          <w:highlight w:val="white"/>
        </w:rPr>
        <w:t>resolución</w:t>
      </w:r>
      <w:r>
        <w:rPr>
          <w:rFonts w:ascii="Palatino Linotype" w:eastAsia="Palatino Linotype" w:hAnsi="Palatino Linotype" w:cs="Palatino Linotype"/>
          <w:color w:val="000000"/>
        </w:rPr>
        <w:t>.</w:t>
      </w:r>
    </w:p>
    <w:p w:rsidR="00A35B53" w:rsidRDefault="002421B4">
      <w:pPr>
        <w:widowControl w:val="0"/>
        <w:pBdr>
          <w:top w:val="nil"/>
          <w:left w:val="nil"/>
          <w:bottom w:val="nil"/>
          <w:right w:val="nil"/>
          <w:between w:val="nil"/>
        </w:pBdr>
        <w:tabs>
          <w:tab w:val="left" w:pos="1701"/>
        </w:tabs>
        <w:spacing w:before="240" w:after="280" w:line="360" w:lineRule="auto"/>
        <w:jc w:val="both"/>
        <w:rPr>
          <w:rFonts w:ascii="Palatino Linotype" w:eastAsia="Palatino Linotype" w:hAnsi="Palatino Linotype" w:cs="Palatino Linotype"/>
          <w:color w:val="000000"/>
        </w:rPr>
      </w:pPr>
      <w:bookmarkStart w:id="1" w:name="_heading=h.gjdgxs" w:colFirst="0" w:colLast="0"/>
      <w:bookmarkEnd w:id="1"/>
      <w:r>
        <w:rPr>
          <w:rFonts w:ascii="Palatino Linotype" w:eastAsia="Palatino Linotype" w:hAnsi="Palatino Linotype" w:cs="Palatino Linotype"/>
          <w:b/>
          <w:color w:val="000000"/>
          <w:sz w:val="28"/>
          <w:szCs w:val="28"/>
        </w:rPr>
        <w:t>SEXTO</w:t>
      </w:r>
      <w:r>
        <w:rPr>
          <w:rFonts w:ascii="Palatino Linotype" w:eastAsia="Palatino Linotype" w:hAnsi="Palatino Linotype" w:cs="Palatino Linotype"/>
          <w:b/>
          <w:color w:val="000000"/>
        </w:rPr>
        <w:t>. Hágase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del conocimiento</w:t>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t>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A35B53" w:rsidRDefault="002421B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w:t>
      </w:r>
      <w:r>
        <w:rPr>
          <w:rFonts w:ascii="Palatino Linotype" w:eastAsia="Palatino Linotype" w:hAnsi="Palatino Linotype" w:cs="Palatino Linotype"/>
        </w:rPr>
        <w:lastRenderedPageBreak/>
        <w:t>MARTÍNEZ CRUZ Y LUIS GUSTAVO PARRA NORIEGA; EN LA DÉCIMA SEGUNDA SESIÓN ORDINARIA CELEBRADA EL CINCO DE AGOSTO DE DOS MIL VEINTE, ANTE EL SECRETARIO TÉCNICO DEL PLENO, ALEXIS TAPIA RAMÍREZ.</w:t>
      </w:r>
    </w:p>
    <w:tbl>
      <w:tblPr>
        <w:tblStyle w:val="a"/>
        <w:tblW w:w="10365" w:type="dxa"/>
        <w:jc w:val="center"/>
        <w:tblInd w:w="0" w:type="dxa"/>
        <w:tblLayout w:type="fixed"/>
        <w:tblLook w:val="0400" w:firstRow="0" w:lastRow="0" w:firstColumn="0" w:lastColumn="0" w:noHBand="0" w:noVBand="1"/>
      </w:tblPr>
      <w:tblGrid>
        <w:gridCol w:w="5182"/>
        <w:gridCol w:w="5183"/>
      </w:tblGrid>
      <w:tr w:rsidR="00A35B53">
        <w:trPr>
          <w:jc w:val="center"/>
        </w:trPr>
        <w:tc>
          <w:tcPr>
            <w:tcW w:w="10365" w:type="dxa"/>
            <w:gridSpan w:val="2"/>
          </w:tcPr>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2421B4">
            <w:pPr>
              <w:jc w:val="center"/>
              <w:rPr>
                <w:rFonts w:ascii="Palatino Linotype" w:eastAsia="Palatino Linotype" w:hAnsi="Palatino Linotype" w:cs="Palatino Linotype"/>
                <w:b/>
              </w:rPr>
            </w:pPr>
            <w:r>
              <w:rPr>
                <w:rFonts w:ascii="Palatino Linotype" w:eastAsia="Palatino Linotype" w:hAnsi="Palatino Linotype" w:cs="Palatino Linotype"/>
                <w:b/>
              </w:rPr>
              <w:t>Zulema Martínez Sánchez</w:t>
            </w:r>
          </w:p>
          <w:p w:rsidR="00A35B53" w:rsidRDefault="002421B4">
            <w:pPr>
              <w:jc w:val="center"/>
              <w:rPr>
                <w:rFonts w:ascii="Palatino Linotype" w:eastAsia="Palatino Linotype" w:hAnsi="Palatino Linotype" w:cs="Palatino Linotype"/>
                <w:b/>
              </w:rPr>
            </w:pPr>
            <w:r>
              <w:rPr>
                <w:rFonts w:ascii="Palatino Linotype" w:eastAsia="Palatino Linotype" w:hAnsi="Palatino Linotype" w:cs="Palatino Linotype"/>
              </w:rPr>
              <w:t>Comisionada Presidenta</w:t>
            </w:r>
          </w:p>
          <w:p w:rsidR="00A35B53" w:rsidRDefault="002421B4">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(RÚBRICA) </w:t>
            </w:r>
          </w:p>
        </w:tc>
      </w:tr>
      <w:tr w:rsidR="00A35B53">
        <w:trPr>
          <w:jc w:val="center"/>
        </w:trPr>
        <w:tc>
          <w:tcPr>
            <w:tcW w:w="5182" w:type="dxa"/>
          </w:tcPr>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2421B4">
            <w:pPr>
              <w:jc w:val="center"/>
              <w:rPr>
                <w:rFonts w:ascii="Palatino Linotype" w:eastAsia="Palatino Linotype" w:hAnsi="Palatino Linotype" w:cs="Palatino Linotype"/>
                <w:b/>
              </w:rPr>
            </w:pPr>
            <w:r>
              <w:rPr>
                <w:rFonts w:ascii="Palatino Linotype" w:eastAsia="Palatino Linotype" w:hAnsi="Palatino Linotype" w:cs="Palatino Linotype"/>
                <w:b/>
              </w:rPr>
              <w:t>Eva Abaid Yapur</w:t>
            </w:r>
          </w:p>
          <w:p w:rsidR="00A35B53" w:rsidRDefault="002421B4">
            <w:pPr>
              <w:jc w:val="center"/>
              <w:rPr>
                <w:rFonts w:ascii="Palatino Linotype" w:eastAsia="Palatino Linotype" w:hAnsi="Palatino Linotype" w:cs="Palatino Linotype"/>
              </w:rPr>
            </w:pPr>
            <w:r>
              <w:rPr>
                <w:rFonts w:ascii="Palatino Linotype" w:eastAsia="Palatino Linotype" w:hAnsi="Palatino Linotype" w:cs="Palatino Linotype"/>
              </w:rPr>
              <w:t>Comisionada</w:t>
            </w:r>
          </w:p>
          <w:p w:rsidR="00A35B53" w:rsidRDefault="002421B4">
            <w:pPr>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c>
          <w:tcPr>
            <w:tcW w:w="5183" w:type="dxa"/>
          </w:tcPr>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2421B4">
            <w:pPr>
              <w:jc w:val="center"/>
              <w:rPr>
                <w:rFonts w:ascii="Palatino Linotype" w:eastAsia="Palatino Linotype" w:hAnsi="Palatino Linotype" w:cs="Palatino Linotype"/>
                <w:b/>
              </w:rPr>
            </w:pPr>
            <w:r>
              <w:rPr>
                <w:rFonts w:ascii="Palatino Linotype" w:eastAsia="Palatino Linotype" w:hAnsi="Palatino Linotype" w:cs="Palatino Linotype"/>
                <w:b/>
              </w:rPr>
              <w:t>José Guadalupe Luna Hernández</w:t>
            </w:r>
          </w:p>
          <w:p w:rsidR="00A35B53" w:rsidRDefault="002421B4">
            <w:pPr>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A35B53" w:rsidRDefault="002421B4">
            <w:pPr>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r>
      <w:tr w:rsidR="00A35B53">
        <w:trPr>
          <w:jc w:val="center"/>
        </w:trPr>
        <w:tc>
          <w:tcPr>
            <w:tcW w:w="5182" w:type="dxa"/>
          </w:tcPr>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2421B4">
            <w:pPr>
              <w:jc w:val="center"/>
              <w:rPr>
                <w:rFonts w:ascii="Palatino Linotype" w:eastAsia="Palatino Linotype" w:hAnsi="Palatino Linotype" w:cs="Palatino Linotype"/>
                <w:b/>
              </w:rPr>
            </w:pPr>
            <w:r>
              <w:rPr>
                <w:rFonts w:ascii="Palatino Linotype" w:eastAsia="Palatino Linotype" w:hAnsi="Palatino Linotype" w:cs="Palatino Linotype"/>
                <w:b/>
              </w:rPr>
              <w:t>Javier Martínez Cruz</w:t>
            </w:r>
          </w:p>
          <w:p w:rsidR="00A35B53" w:rsidRDefault="002421B4">
            <w:pPr>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A35B53" w:rsidRDefault="002421B4">
            <w:pPr>
              <w:jc w:val="center"/>
              <w:rPr>
                <w:rFonts w:ascii="Palatino Linotype" w:eastAsia="Palatino Linotype" w:hAnsi="Palatino Linotype" w:cs="Palatino Linotype"/>
              </w:rPr>
            </w:pPr>
            <w:r>
              <w:rPr>
                <w:rFonts w:ascii="Palatino Linotype" w:eastAsia="Palatino Linotype" w:hAnsi="Palatino Linotype" w:cs="Palatino Linotype"/>
                <w:b/>
              </w:rPr>
              <w:t>(RÚBRICA)</w:t>
            </w:r>
          </w:p>
        </w:tc>
        <w:tc>
          <w:tcPr>
            <w:tcW w:w="5183" w:type="dxa"/>
          </w:tcPr>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2421B4">
            <w:pPr>
              <w:jc w:val="center"/>
              <w:rPr>
                <w:rFonts w:ascii="Palatino Linotype" w:eastAsia="Palatino Linotype" w:hAnsi="Palatino Linotype" w:cs="Palatino Linotype"/>
                <w:b/>
              </w:rPr>
            </w:pPr>
            <w:r>
              <w:rPr>
                <w:rFonts w:ascii="Palatino Linotype" w:eastAsia="Palatino Linotype" w:hAnsi="Palatino Linotype" w:cs="Palatino Linotype"/>
                <w:b/>
              </w:rPr>
              <w:t>Luis Gustavo Parra Noriega</w:t>
            </w:r>
          </w:p>
          <w:p w:rsidR="00A35B53" w:rsidRDefault="002421B4">
            <w:pPr>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A35B53" w:rsidRDefault="002421B4">
            <w:pPr>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r>
      <w:tr w:rsidR="00A35B53">
        <w:trPr>
          <w:jc w:val="center"/>
        </w:trPr>
        <w:tc>
          <w:tcPr>
            <w:tcW w:w="10365" w:type="dxa"/>
            <w:gridSpan w:val="2"/>
          </w:tcPr>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A35B53">
            <w:pPr>
              <w:jc w:val="center"/>
              <w:rPr>
                <w:rFonts w:ascii="Palatino Linotype" w:eastAsia="Palatino Linotype" w:hAnsi="Palatino Linotype" w:cs="Palatino Linotype"/>
                <w:b/>
              </w:rPr>
            </w:pPr>
          </w:p>
          <w:p w:rsidR="00A35B53" w:rsidRDefault="002421B4">
            <w:pPr>
              <w:jc w:val="center"/>
              <w:rPr>
                <w:rFonts w:ascii="Palatino Linotype" w:eastAsia="Palatino Linotype" w:hAnsi="Palatino Linotype" w:cs="Palatino Linotype"/>
                <w:b/>
              </w:rPr>
            </w:pPr>
            <w:r>
              <w:rPr>
                <w:rFonts w:ascii="Palatino Linotype" w:eastAsia="Palatino Linotype" w:hAnsi="Palatino Linotype" w:cs="Palatino Linotype"/>
                <w:b/>
              </w:rPr>
              <w:t>Alexis Tapia Ramírez</w:t>
            </w:r>
          </w:p>
          <w:p w:rsidR="00A35B53" w:rsidRDefault="002421B4">
            <w:pPr>
              <w:jc w:val="center"/>
              <w:rPr>
                <w:rFonts w:ascii="Palatino Linotype" w:eastAsia="Palatino Linotype" w:hAnsi="Palatino Linotype" w:cs="Palatino Linotype"/>
              </w:rPr>
            </w:pPr>
            <w:r>
              <w:rPr>
                <w:rFonts w:ascii="Palatino Linotype" w:eastAsia="Palatino Linotype" w:hAnsi="Palatino Linotype" w:cs="Palatino Linotype"/>
              </w:rPr>
              <w:t>Secretario Técnico del Pleno</w:t>
            </w:r>
          </w:p>
          <w:p w:rsidR="00A35B53" w:rsidRDefault="002421B4">
            <w:pPr>
              <w:jc w:val="center"/>
              <w:rPr>
                <w:rFonts w:ascii="Palatino Linotype" w:eastAsia="Palatino Linotype" w:hAnsi="Palatino Linotype" w:cs="Palatino Linotype"/>
              </w:rPr>
            </w:pPr>
            <w:r>
              <w:rPr>
                <w:rFonts w:ascii="Palatino Linotype" w:eastAsia="Palatino Linotype" w:hAnsi="Palatino Linotype" w:cs="Palatino Linotype"/>
                <w:b/>
              </w:rPr>
              <w:t>(RÚBRICA)</w:t>
            </w:r>
            <w:r>
              <w:rPr>
                <w:rFonts w:ascii="Palatino Linotype" w:eastAsia="Palatino Linotype" w:hAnsi="Palatino Linotype" w:cs="Palatino Linotype"/>
              </w:rPr>
              <w:t xml:space="preserve"> </w:t>
            </w:r>
          </w:p>
        </w:tc>
      </w:tr>
    </w:tbl>
    <w:p w:rsidR="00A35B53" w:rsidRDefault="00A35B53">
      <w:pPr>
        <w:jc w:val="both"/>
        <w:rPr>
          <w:rFonts w:ascii="Palatino Linotype" w:eastAsia="Palatino Linotype" w:hAnsi="Palatino Linotype" w:cs="Palatino Linotype"/>
          <w:sz w:val="20"/>
          <w:szCs w:val="20"/>
        </w:rPr>
      </w:pPr>
    </w:p>
    <w:p w:rsidR="00A35B53" w:rsidRDefault="002421B4">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Esta hoja corresponde a la resolución de fecha cinco de agosto de dos mil veinte, emitida en el recurso de revisión número 00687/INFOEM/IP/RR/2020. </w:t>
      </w:r>
    </w:p>
    <w:p w:rsidR="00A35B53" w:rsidRDefault="002421B4">
      <w:pPr>
        <w:jc w:val="both"/>
      </w:pPr>
      <w:r>
        <w:rPr>
          <w:rFonts w:ascii="Palatino Linotype" w:eastAsia="Palatino Linotype" w:hAnsi="Palatino Linotype" w:cs="Palatino Linotype"/>
          <w:sz w:val="20"/>
          <w:szCs w:val="20"/>
        </w:rPr>
        <w:t>YSM/AMV</w:t>
      </w:r>
    </w:p>
    <w:sectPr w:rsidR="00A35B53">
      <w:headerReference w:type="default" r:id="rId52"/>
      <w:footerReference w:type="default" r:id="rId53"/>
      <w:headerReference w:type="first" r:id="rId54"/>
      <w:footerReference w:type="first" r:id="rId55"/>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C05" w:rsidRDefault="002421B4">
      <w:r>
        <w:separator/>
      </w:r>
    </w:p>
  </w:endnote>
  <w:endnote w:type="continuationSeparator" w:id="0">
    <w:p w:rsidR="00E44C05" w:rsidRDefault="00242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B53" w:rsidRDefault="002421B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D00AD">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D00AD">
      <w:rPr>
        <w:rFonts w:ascii="Palatino Linotype" w:eastAsia="Palatino Linotype" w:hAnsi="Palatino Linotype" w:cs="Palatino Linotype"/>
        <w:noProof/>
        <w:color w:val="000000"/>
        <w:sz w:val="22"/>
        <w:szCs w:val="22"/>
      </w:rPr>
      <w:t>48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B53" w:rsidRDefault="002421B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D00AD">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D00AD">
      <w:rPr>
        <w:rFonts w:ascii="Palatino Linotype" w:eastAsia="Palatino Linotype" w:hAnsi="Palatino Linotype" w:cs="Palatino Linotype"/>
        <w:noProof/>
        <w:color w:val="000000"/>
        <w:sz w:val="22"/>
        <w:szCs w:val="22"/>
      </w:rPr>
      <w:t>48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C05" w:rsidRDefault="002421B4">
      <w:r>
        <w:separator/>
      </w:r>
    </w:p>
  </w:footnote>
  <w:footnote w:type="continuationSeparator" w:id="0">
    <w:p w:rsidR="00E44C05" w:rsidRDefault="002421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B53" w:rsidRDefault="00A35B53">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1"/>
      <w:tblW w:w="10065" w:type="dxa"/>
      <w:tblInd w:w="-142" w:type="dxa"/>
      <w:tblLayout w:type="fixed"/>
      <w:tblLook w:val="0400" w:firstRow="0" w:lastRow="0" w:firstColumn="0" w:lastColumn="0" w:noHBand="0" w:noVBand="1"/>
    </w:tblPr>
    <w:tblGrid>
      <w:gridCol w:w="3403"/>
      <w:gridCol w:w="2835"/>
      <w:gridCol w:w="3827"/>
    </w:tblGrid>
    <w:tr w:rsidR="00A35B53">
      <w:tc>
        <w:tcPr>
          <w:tcW w:w="3403" w:type="dxa"/>
        </w:tcPr>
        <w:p w:rsidR="00A35B53" w:rsidRDefault="00A35B53">
          <w:pPr>
            <w:rPr>
              <w:rFonts w:ascii="Palatino Linotype" w:eastAsia="Palatino Linotype" w:hAnsi="Palatino Linotype" w:cs="Palatino Linotype"/>
              <w:b/>
            </w:rPr>
          </w:pPr>
        </w:p>
      </w:tc>
      <w:tc>
        <w:tcPr>
          <w:tcW w:w="2835" w:type="dxa"/>
          <w:shd w:val="clear" w:color="auto" w:fill="auto"/>
        </w:tcPr>
        <w:p w:rsidR="00A35B53" w:rsidRDefault="002421B4">
          <w:pPr>
            <w:ind w:left="318" w:right="-249"/>
            <w:rPr>
              <w:rFonts w:ascii="Palatino Linotype" w:eastAsia="Palatino Linotype" w:hAnsi="Palatino Linotype" w:cs="Palatino Linotype"/>
              <w:b/>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rsidR="00A35B53" w:rsidRDefault="002421B4">
          <w:pPr>
            <w:ind w:left="33" w:right="-249"/>
            <w:jc w:val="both"/>
            <w:rPr>
              <w:rFonts w:ascii="Palatino Linotype" w:eastAsia="Palatino Linotype" w:hAnsi="Palatino Linotype" w:cs="Palatino Linotype"/>
              <w:b/>
            </w:rPr>
          </w:pPr>
          <w:r>
            <w:rPr>
              <w:rFonts w:ascii="Palatino Linotype" w:eastAsia="Palatino Linotype" w:hAnsi="Palatino Linotype" w:cs="Palatino Linotype"/>
              <w:b/>
              <w:sz w:val="22"/>
              <w:szCs w:val="22"/>
            </w:rPr>
            <w:t>00687/INFOEM/IP/RR/2020</w:t>
          </w:r>
        </w:p>
      </w:tc>
    </w:tr>
    <w:tr w:rsidR="00A35B53">
      <w:tc>
        <w:tcPr>
          <w:tcW w:w="3403" w:type="dxa"/>
        </w:tcPr>
        <w:p w:rsidR="00A35B53" w:rsidRDefault="00A35B53">
          <w:pPr>
            <w:rPr>
              <w:rFonts w:ascii="Palatino Linotype" w:eastAsia="Palatino Linotype" w:hAnsi="Palatino Linotype" w:cs="Palatino Linotype"/>
              <w:b/>
            </w:rPr>
          </w:pPr>
        </w:p>
      </w:tc>
      <w:tc>
        <w:tcPr>
          <w:tcW w:w="2835" w:type="dxa"/>
          <w:shd w:val="clear" w:color="auto" w:fill="auto"/>
        </w:tcPr>
        <w:p w:rsidR="00A35B53" w:rsidRDefault="002421B4">
          <w:pPr>
            <w:ind w:left="318" w:right="-249"/>
            <w:rPr>
              <w:rFonts w:ascii="Palatino Linotype" w:eastAsia="Palatino Linotype" w:hAnsi="Palatino Linotype" w:cs="Palatino Linotype"/>
              <w:b/>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rsidR="00A35B53" w:rsidRDefault="002421B4">
          <w:pPr>
            <w:ind w:right="601"/>
            <w:jc w:val="both"/>
            <w:rPr>
              <w:rFonts w:ascii="Palatino Linotype" w:eastAsia="Palatino Linotype" w:hAnsi="Palatino Linotype" w:cs="Palatino Linotype"/>
              <w:b/>
            </w:rPr>
          </w:pPr>
          <w:r>
            <w:rPr>
              <w:rFonts w:ascii="Palatino Linotype" w:eastAsia="Palatino Linotype" w:hAnsi="Palatino Linotype" w:cs="Palatino Linotype"/>
              <w:b/>
              <w:sz w:val="22"/>
              <w:szCs w:val="22"/>
            </w:rPr>
            <w:t>Fiscalía General de Justicia de Estado de México</w:t>
          </w:r>
        </w:p>
      </w:tc>
    </w:tr>
    <w:tr w:rsidR="00A35B53">
      <w:trPr>
        <w:trHeight w:val="228"/>
      </w:trPr>
      <w:tc>
        <w:tcPr>
          <w:tcW w:w="3403" w:type="dxa"/>
        </w:tcPr>
        <w:p w:rsidR="00A35B53" w:rsidRDefault="00A35B53">
          <w:pPr>
            <w:rPr>
              <w:rFonts w:ascii="Palatino Linotype" w:eastAsia="Palatino Linotype" w:hAnsi="Palatino Linotype" w:cs="Palatino Linotype"/>
              <w:b/>
            </w:rPr>
          </w:pPr>
        </w:p>
      </w:tc>
      <w:tc>
        <w:tcPr>
          <w:tcW w:w="2835" w:type="dxa"/>
          <w:shd w:val="clear" w:color="auto" w:fill="auto"/>
        </w:tcPr>
        <w:p w:rsidR="00A35B53" w:rsidRDefault="002421B4">
          <w:pPr>
            <w:ind w:left="318" w:right="-249"/>
            <w:rPr>
              <w:rFonts w:ascii="Palatino Linotype" w:eastAsia="Palatino Linotype" w:hAnsi="Palatino Linotype" w:cs="Palatino Linotype"/>
              <w:b/>
            </w:rPr>
          </w:pPr>
          <w:r>
            <w:rPr>
              <w:rFonts w:ascii="Palatino Linotype" w:eastAsia="Palatino Linotype" w:hAnsi="Palatino Linotype" w:cs="Palatino Linotype"/>
              <w:b/>
              <w:sz w:val="22"/>
              <w:szCs w:val="22"/>
            </w:rPr>
            <w:t>Comisionada ponente:</w:t>
          </w:r>
        </w:p>
      </w:tc>
      <w:tc>
        <w:tcPr>
          <w:tcW w:w="3827" w:type="dxa"/>
          <w:shd w:val="clear" w:color="auto" w:fill="auto"/>
        </w:tcPr>
        <w:p w:rsidR="00A35B53" w:rsidRDefault="002421B4">
          <w:pPr>
            <w:ind w:left="33" w:right="-249"/>
            <w:jc w:val="both"/>
            <w:rPr>
              <w:rFonts w:ascii="Palatino Linotype" w:eastAsia="Palatino Linotype" w:hAnsi="Palatino Linotype" w:cs="Palatino Linotype"/>
              <w:b/>
            </w:rPr>
          </w:pPr>
          <w:r>
            <w:rPr>
              <w:rFonts w:ascii="Palatino Linotype" w:eastAsia="Palatino Linotype" w:hAnsi="Palatino Linotype" w:cs="Palatino Linotype"/>
              <w:b/>
              <w:sz w:val="22"/>
              <w:szCs w:val="22"/>
            </w:rPr>
            <w:t>Eva Abaid Yapur</w:t>
          </w:r>
        </w:p>
      </w:tc>
    </w:tr>
  </w:tbl>
  <w:p w:rsidR="00A35B53" w:rsidRDefault="00A35B53">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B53" w:rsidRDefault="00A35B5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tbl>
    <w:tblPr>
      <w:tblStyle w:val="a0"/>
      <w:tblW w:w="9781" w:type="dxa"/>
      <w:tblInd w:w="-142" w:type="dxa"/>
      <w:tblLayout w:type="fixed"/>
      <w:tblLook w:val="0400" w:firstRow="0" w:lastRow="0" w:firstColumn="0" w:lastColumn="0" w:noHBand="0" w:noVBand="1"/>
    </w:tblPr>
    <w:tblGrid>
      <w:gridCol w:w="3544"/>
      <w:gridCol w:w="2551"/>
      <w:gridCol w:w="3686"/>
    </w:tblGrid>
    <w:tr w:rsidR="00A35B53">
      <w:tc>
        <w:tcPr>
          <w:tcW w:w="3544" w:type="dxa"/>
          <w:vMerge w:val="restart"/>
        </w:tcPr>
        <w:p w:rsidR="00A35B53" w:rsidRDefault="00A35B53">
          <w:pPr>
            <w:rPr>
              <w:rFonts w:ascii="Palatino Linotype" w:eastAsia="Palatino Linotype" w:hAnsi="Palatino Linotype" w:cs="Palatino Linotype"/>
              <w:b/>
            </w:rPr>
          </w:pPr>
        </w:p>
      </w:tc>
      <w:tc>
        <w:tcPr>
          <w:tcW w:w="2551" w:type="dxa"/>
          <w:shd w:val="clear" w:color="auto" w:fill="auto"/>
        </w:tcPr>
        <w:p w:rsidR="00A35B53" w:rsidRDefault="002421B4">
          <w:pPr>
            <w:ind w:left="176" w:right="-959"/>
            <w:rPr>
              <w:rFonts w:ascii="Palatino Linotype" w:eastAsia="Palatino Linotype" w:hAnsi="Palatino Linotype" w:cs="Palatino Linotype"/>
              <w:b/>
            </w:rPr>
          </w:pPr>
          <w:r>
            <w:rPr>
              <w:rFonts w:ascii="Palatino Linotype" w:eastAsia="Palatino Linotype" w:hAnsi="Palatino Linotype" w:cs="Palatino Linotype"/>
              <w:b/>
              <w:sz w:val="22"/>
              <w:szCs w:val="22"/>
            </w:rPr>
            <w:t>Recurso de revisión:</w:t>
          </w:r>
        </w:p>
      </w:tc>
      <w:tc>
        <w:tcPr>
          <w:tcW w:w="3686" w:type="dxa"/>
          <w:shd w:val="clear" w:color="auto" w:fill="auto"/>
          <w:vAlign w:val="center"/>
        </w:tcPr>
        <w:p w:rsidR="00A35B53" w:rsidRDefault="002421B4">
          <w:pPr>
            <w:ind w:left="176" w:right="34"/>
            <w:jc w:val="both"/>
            <w:rPr>
              <w:rFonts w:ascii="Palatino Linotype" w:eastAsia="Palatino Linotype" w:hAnsi="Palatino Linotype" w:cs="Palatino Linotype"/>
              <w:b/>
            </w:rPr>
          </w:pPr>
          <w:r>
            <w:rPr>
              <w:rFonts w:ascii="Palatino Linotype" w:eastAsia="Palatino Linotype" w:hAnsi="Palatino Linotype" w:cs="Palatino Linotype"/>
              <w:b/>
              <w:sz w:val="22"/>
              <w:szCs w:val="22"/>
            </w:rPr>
            <w:t>00687/INFOEM/IP/RR/2020</w:t>
          </w:r>
        </w:p>
      </w:tc>
    </w:tr>
    <w:tr w:rsidR="00A35B53">
      <w:tc>
        <w:tcPr>
          <w:tcW w:w="3544" w:type="dxa"/>
          <w:vMerge/>
        </w:tcPr>
        <w:p w:rsidR="00A35B53" w:rsidRDefault="00A35B5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vAlign w:val="center"/>
        </w:tcPr>
        <w:p w:rsidR="00A35B53" w:rsidRDefault="002421B4">
          <w:pPr>
            <w:ind w:left="176" w:right="-959"/>
            <w:rPr>
              <w:rFonts w:ascii="Palatino Linotype" w:eastAsia="Palatino Linotype" w:hAnsi="Palatino Linotype" w:cs="Palatino Linotype"/>
              <w:b/>
            </w:rPr>
          </w:pPr>
          <w:r>
            <w:rPr>
              <w:rFonts w:ascii="Palatino Linotype" w:eastAsia="Palatino Linotype" w:hAnsi="Palatino Linotype" w:cs="Palatino Linotype"/>
              <w:b/>
              <w:sz w:val="22"/>
              <w:szCs w:val="22"/>
            </w:rPr>
            <w:t>Recurrente:</w:t>
          </w:r>
        </w:p>
      </w:tc>
      <w:tc>
        <w:tcPr>
          <w:tcW w:w="3686" w:type="dxa"/>
          <w:shd w:val="clear" w:color="auto" w:fill="auto"/>
          <w:vAlign w:val="center"/>
        </w:tcPr>
        <w:p w:rsidR="00A35B53" w:rsidRDefault="00536744">
          <w:pPr>
            <w:ind w:left="176" w:right="34"/>
            <w:jc w:val="both"/>
            <w:rPr>
              <w:rFonts w:ascii="Palatino Linotype" w:eastAsia="Palatino Linotype" w:hAnsi="Palatino Linotype" w:cs="Palatino Linotype"/>
              <w:b/>
            </w:rPr>
          </w:pPr>
          <w:r>
            <w:rPr>
              <w:rFonts w:ascii="Palatino Linotype" w:eastAsia="Palatino Linotype" w:hAnsi="Palatino Linotype" w:cs="Palatino Linotype"/>
              <w:b/>
              <w:sz w:val="22"/>
              <w:szCs w:val="22"/>
            </w:rPr>
            <w:t>Xxxxxx</w:t>
          </w:r>
          <w:r w:rsidR="002421B4">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w:t>
          </w:r>
          <w:r w:rsidR="002421B4">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w:t>
          </w:r>
        </w:p>
      </w:tc>
    </w:tr>
    <w:tr w:rsidR="00A35B53">
      <w:trPr>
        <w:trHeight w:val="228"/>
      </w:trPr>
      <w:tc>
        <w:tcPr>
          <w:tcW w:w="3544" w:type="dxa"/>
          <w:vMerge/>
        </w:tcPr>
        <w:p w:rsidR="00A35B53" w:rsidRDefault="00A35B5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A35B53" w:rsidRDefault="002421B4">
          <w:pPr>
            <w:ind w:left="176" w:right="-959"/>
            <w:rPr>
              <w:rFonts w:ascii="Palatino Linotype" w:eastAsia="Palatino Linotype" w:hAnsi="Palatino Linotype" w:cs="Palatino Linotype"/>
              <w:b/>
            </w:rPr>
          </w:pPr>
          <w:r>
            <w:rPr>
              <w:rFonts w:ascii="Palatino Linotype" w:eastAsia="Palatino Linotype" w:hAnsi="Palatino Linotype" w:cs="Palatino Linotype"/>
              <w:b/>
              <w:sz w:val="22"/>
              <w:szCs w:val="22"/>
            </w:rPr>
            <w:t>Sujeto Obligado:</w:t>
          </w:r>
        </w:p>
      </w:tc>
      <w:tc>
        <w:tcPr>
          <w:tcW w:w="3686" w:type="dxa"/>
          <w:shd w:val="clear" w:color="auto" w:fill="auto"/>
          <w:vAlign w:val="center"/>
        </w:tcPr>
        <w:p w:rsidR="00A35B53" w:rsidRDefault="002421B4">
          <w:pPr>
            <w:ind w:left="176" w:right="317"/>
            <w:jc w:val="both"/>
            <w:rPr>
              <w:rFonts w:ascii="Palatino Linotype" w:eastAsia="Palatino Linotype" w:hAnsi="Palatino Linotype" w:cs="Palatino Linotype"/>
              <w:b/>
            </w:rPr>
          </w:pPr>
          <w:r>
            <w:rPr>
              <w:rFonts w:ascii="Palatino Linotype" w:eastAsia="Palatino Linotype" w:hAnsi="Palatino Linotype" w:cs="Palatino Linotype"/>
              <w:b/>
              <w:sz w:val="22"/>
              <w:szCs w:val="22"/>
            </w:rPr>
            <w:t>Fiscalía General de Justicia del Estado de México</w:t>
          </w:r>
        </w:p>
      </w:tc>
    </w:tr>
    <w:tr w:rsidR="00A35B53">
      <w:tc>
        <w:tcPr>
          <w:tcW w:w="3544" w:type="dxa"/>
          <w:vMerge/>
        </w:tcPr>
        <w:p w:rsidR="00A35B53" w:rsidRDefault="00A35B5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A35B53" w:rsidRDefault="002421B4">
          <w:pPr>
            <w:ind w:left="176" w:right="-959"/>
            <w:rPr>
              <w:rFonts w:ascii="Palatino Linotype" w:eastAsia="Palatino Linotype" w:hAnsi="Palatino Linotype" w:cs="Palatino Linotype"/>
              <w:b/>
            </w:rPr>
          </w:pPr>
          <w:r>
            <w:rPr>
              <w:rFonts w:ascii="Palatino Linotype" w:eastAsia="Palatino Linotype" w:hAnsi="Palatino Linotype" w:cs="Palatino Linotype"/>
              <w:b/>
              <w:sz w:val="22"/>
              <w:szCs w:val="22"/>
            </w:rPr>
            <w:t>Comisionada ponente:</w:t>
          </w:r>
        </w:p>
      </w:tc>
      <w:tc>
        <w:tcPr>
          <w:tcW w:w="3686" w:type="dxa"/>
          <w:shd w:val="clear" w:color="auto" w:fill="auto"/>
        </w:tcPr>
        <w:p w:rsidR="00A35B53" w:rsidRDefault="002421B4">
          <w:pPr>
            <w:ind w:left="176" w:right="34"/>
            <w:jc w:val="both"/>
            <w:rPr>
              <w:rFonts w:ascii="Palatino Linotype" w:eastAsia="Palatino Linotype" w:hAnsi="Palatino Linotype" w:cs="Palatino Linotype"/>
              <w:b/>
            </w:rPr>
          </w:pPr>
          <w:r>
            <w:rPr>
              <w:rFonts w:ascii="Palatino Linotype" w:eastAsia="Palatino Linotype" w:hAnsi="Palatino Linotype" w:cs="Palatino Linotype"/>
              <w:b/>
              <w:sz w:val="22"/>
              <w:szCs w:val="22"/>
            </w:rPr>
            <w:t>Eva Abaid Yapur</w:t>
          </w:r>
        </w:p>
      </w:tc>
    </w:tr>
  </w:tbl>
  <w:p w:rsidR="00A35B53" w:rsidRDefault="00A35B5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B53"/>
    <w:rsid w:val="002421B4"/>
    <w:rsid w:val="00536744"/>
    <w:rsid w:val="005D00AD"/>
    <w:rsid w:val="00A35B53"/>
    <w:rsid w:val="00E44C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03A7D-95CD-400C-8D06-0D077C55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04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6A504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A5046"/>
    <w:rPr>
      <w:rFonts w:eastAsiaTheme="minorEastAsia"/>
      <w:sz w:val="24"/>
      <w:szCs w:val="24"/>
      <w:lang w:val="es-ES_tradnl" w:eastAsia="es-ES"/>
    </w:rPr>
  </w:style>
  <w:style w:type="paragraph" w:styleId="Piedepgina">
    <w:name w:val="footer"/>
    <w:basedOn w:val="Normal"/>
    <w:link w:val="PiedepginaCar"/>
    <w:uiPriority w:val="99"/>
    <w:unhideWhenUsed/>
    <w:rsid w:val="006A504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A504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A504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A5046"/>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A504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A504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A5046"/>
    <w:rPr>
      <w:vertAlign w:val="superscript"/>
    </w:rPr>
  </w:style>
  <w:style w:type="paragraph" w:styleId="NormalWeb">
    <w:name w:val="Normal (Web)"/>
    <w:basedOn w:val="Normal"/>
    <w:uiPriority w:val="99"/>
    <w:unhideWhenUsed/>
    <w:rsid w:val="006A5046"/>
    <w:pPr>
      <w:spacing w:before="100" w:beforeAutospacing="1" w:after="100" w:afterAutospacing="1"/>
    </w:pPr>
    <w:rPr>
      <w:lang w:eastAsia="es-MX"/>
    </w:rPr>
  </w:style>
  <w:style w:type="character" w:styleId="Hipervnculo">
    <w:name w:val="Hyperlink"/>
    <w:basedOn w:val="Fuentedeprrafopredeter"/>
    <w:uiPriority w:val="99"/>
    <w:semiHidden/>
    <w:unhideWhenUsed/>
    <w:rsid w:val="006A5046"/>
    <w:rPr>
      <w:color w:val="0000FF"/>
      <w:u w:val="single"/>
    </w:rPr>
  </w:style>
  <w:style w:type="character" w:customStyle="1" w:styleId="apple-converted-space">
    <w:name w:val="apple-converted-space"/>
    <w:basedOn w:val="Fuentedeprrafopredeter"/>
    <w:rsid w:val="006A5046"/>
  </w:style>
  <w:style w:type="paragraph" w:styleId="Textodeglobo">
    <w:name w:val="Balloon Text"/>
    <w:basedOn w:val="Normal"/>
    <w:link w:val="TextodegloboCar"/>
    <w:uiPriority w:val="99"/>
    <w:semiHidden/>
    <w:unhideWhenUsed/>
    <w:rsid w:val="00867E6A"/>
    <w:rPr>
      <w:rFonts w:ascii="Tahoma" w:hAnsi="Tahoma" w:cs="Tahoma"/>
      <w:sz w:val="16"/>
      <w:szCs w:val="16"/>
    </w:rPr>
  </w:style>
  <w:style w:type="character" w:customStyle="1" w:styleId="TextodegloboCar">
    <w:name w:val="Texto de globo Car"/>
    <w:basedOn w:val="Fuentedeprrafopredeter"/>
    <w:link w:val="Textodeglobo"/>
    <w:uiPriority w:val="99"/>
    <w:semiHidden/>
    <w:rsid w:val="00867E6A"/>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867E6A"/>
    <w:rPr>
      <w:sz w:val="16"/>
      <w:szCs w:val="16"/>
    </w:rPr>
  </w:style>
  <w:style w:type="paragraph" w:styleId="Textocomentario">
    <w:name w:val="annotation text"/>
    <w:basedOn w:val="Normal"/>
    <w:link w:val="TextocomentarioCar"/>
    <w:uiPriority w:val="99"/>
    <w:semiHidden/>
    <w:unhideWhenUsed/>
    <w:rsid w:val="00867E6A"/>
    <w:rPr>
      <w:sz w:val="20"/>
      <w:szCs w:val="20"/>
    </w:rPr>
  </w:style>
  <w:style w:type="character" w:customStyle="1" w:styleId="TextocomentarioCar">
    <w:name w:val="Texto comentario Car"/>
    <w:basedOn w:val="Fuentedeprrafopredeter"/>
    <w:link w:val="Textocomentario"/>
    <w:uiPriority w:val="99"/>
    <w:semiHidden/>
    <w:rsid w:val="00867E6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67E6A"/>
    <w:rPr>
      <w:b/>
      <w:bCs/>
    </w:rPr>
  </w:style>
  <w:style w:type="character" w:customStyle="1" w:styleId="AsuntodelcomentarioCar">
    <w:name w:val="Asunto del comentario Car"/>
    <w:basedOn w:val="TextocomentarioCar"/>
    <w:link w:val="Asuntodelcomentario"/>
    <w:uiPriority w:val="99"/>
    <w:semiHidden/>
    <w:rsid w:val="00867E6A"/>
    <w:rPr>
      <w:rFonts w:ascii="Times New Roman" w:eastAsia="Times New Roman" w:hAnsi="Times New Roman" w:cs="Times New Roman"/>
      <w:b/>
      <w:bCs/>
      <w:sz w:val="20"/>
      <w:szCs w:val="20"/>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0.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2.xml"/><Relationship Id="rId7" Type="http://schemas.openxmlformats.org/officeDocument/2006/relationships/hyperlink" Target="https://www.saimex.org.mx/saimex/solicitud/downloadAttach/849938.page"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50.png"/><Relationship Id="rId37" Type="http://schemas.openxmlformats.org/officeDocument/2006/relationships/image" Target="media/image25.png"/><Relationship Id="rId40" Type="http://schemas.openxmlformats.org/officeDocument/2006/relationships/image" Target="media/image140.png"/><Relationship Id="rId45" Type="http://schemas.openxmlformats.org/officeDocument/2006/relationships/image" Target="media/image30.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imex.org.mx/saimex/solicitud/downloadAttach/862663.page" TargetMode="External"/><Relationship Id="rId14" Type="http://schemas.openxmlformats.org/officeDocument/2006/relationships/image" Target="media/image6.png"/><Relationship Id="rId22" Type="http://schemas.openxmlformats.org/officeDocument/2006/relationships/image" Target="media/image27.png"/><Relationship Id="rId27" Type="http://schemas.openxmlformats.org/officeDocument/2006/relationships/image" Target="media/image17.png"/><Relationship Id="rId30" Type="http://schemas.openxmlformats.org/officeDocument/2006/relationships/image" Target="media/image110.png"/><Relationship Id="rId35" Type="http://schemas.openxmlformats.org/officeDocument/2006/relationships/image" Target="media/image23.png"/><Relationship Id="rId43" Type="http://schemas.openxmlformats.org/officeDocument/2006/relationships/image" Target="media/image180.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0" Type="http://schemas.openxmlformats.org/officeDocument/2006/relationships/image" Target="media/image12.png"/><Relationship Id="rId41" Type="http://schemas.openxmlformats.org/officeDocument/2006/relationships/image" Target="media/image17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x5STEQ3EmtTKvSq0CVpakPeNEA==">AMUW2mWwPWcwSn3WTAvusJUUP7e6My8xcHThUHwHNVC+QbMk4ACnQhATUCV8Tu+DElw6OKECt+bpj4ydguKXgsO1rPRMvZqnYkTFCcgDGD6Ud8cIyIG6M4d0QI79pij61do1+KOtKu/8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8569</Words>
  <Characters>47134</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Rocío Popoca</cp:lastModifiedBy>
  <cp:revision>3</cp:revision>
  <dcterms:created xsi:type="dcterms:W3CDTF">2020-09-07T21:39:00Z</dcterms:created>
  <dcterms:modified xsi:type="dcterms:W3CDTF">2020-11-05T21:53:00Z</dcterms:modified>
</cp:coreProperties>
</file>