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66727B" w:rsidRDefault="001B26AA" w:rsidP="004E1461">
      <w:pPr>
        <w:tabs>
          <w:tab w:val="left" w:pos="567"/>
        </w:tabs>
        <w:spacing w:line="360" w:lineRule="auto"/>
        <w:jc w:val="center"/>
        <w:rPr>
          <w:rFonts w:ascii="Palatino Linotype" w:eastAsia="Times New Roman" w:hAnsi="Palatino Linotype" w:cs="Times New Roman"/>
          <w:b/>
        </w:rPr>
      </w:pPr>
      <w:r w:rsidRPr="0066727B">
        <w:rPr>
          <w:rFonts w:ascii="Palatino Linotype" w:eastAsia="Times New Roman" w:hAnsi="Palatino Linotype" w:cs="Times New Roman"/>
          <w:b/>
        </w:rPr>
        <w:t>LÍNEAS ARGUMENTATIVAS</w:t>
      </w:r>
    </w:p>
    <w:p w14:paraId="09C9D25E" w14:textId="77777777" w:rsidR="00C24965" w:rsidRPr="0066727B" w:rsidRDefault="00C24965" w:rsidP="00C24965">
      <w:pPr>
        <w:spacing w:line="360" w:lineRule="auto"/>
        <w:jc w:val="both"/>
        <w:rPr>
          <w:rFonts w:ascii="Palatino Linotype" w:eastAsia="MS Mincho" w:hAnsi="Palatino Linotype" w:cs="Times New Roman"/>
          <w:color w:val="000000" w:themeColor="text1"/>
          <w:sz w:val="22"/>
        </w:rPr>
      </w:pPr>
      <w:bookmarkStart w:id="0" w:name="_Toc466418172"/>
      <w:bookmarkStart w:id="1" w:name="_Toc462402153"/>
      <w:bookmarkStart w:id="2" w:name="_Toc458528990"/>
      <w:bookmarkStart w:id="3" w:name="_Toc473812227"/>
    </w:p>
    <w:p w14:paraId="1E9813C7" w14:textId="77777777" w:rsidR="00C24965" w:rsidRPr="0066727B" w:rsidRDefault="00C24965" w:rsidP="00C24965">
      <w:pPr>
        <w:tabs>
          <w:tab w:val="left" w:pos="0"/>
        </w:tabs>
        <w:spacing w:line="360" w:lineRule="auto"/>
        <w:jc w:val="both"/>
        <w:rPr>
          <w:rFonts w:ascii="Palatino Linotype" w:eastAsia="Arial Unicode MS" w:hAnsi="Palatino Linotype" w:cs="Arial"/>
          <w:color w:val="000000" w:themeColor="text1"/>
        </w:rPr>
      </w:pPr>
      <w:r w:rsidRPr="0066727B">
        <w:rPr>
          <w:rFonts w:ascii="Palatino Linotype" w:eastAsia="Arial Unicode MS" w:hAnsi="Palatino Linotype" w:cs="Arial"/>
          <w:b/>
          <w:color w:val="000000" w:themeColor="text1"/>
        </w:rPr>
        <w:t>DEBERES DE LAS AUTORIDADES</w:t>
      </w:r>
      <w:r w:rsidRPr="0066727B">
        <w:rPr>
          <w:rFonts w:ascii="Palatino Linotype" w:eastAsia="Arial Unicode MS" w:hAnsi="Palatino Linotype" w:cs="Arial"/>
          <w:color w:val="000000" w:themeColor="text1"/>
        </w:rPr>
        <w:t>. El derecho de acceso a la información pública es un derecho humano constitucionalmente reconocido. Todas las autoridades en el ámbito de sus competencias tienen la obligación de respetarlo, protegerlo y garantizarlo.</w:t>
      </w:r>
    </w:p>
    <w:p w14:paraId="0894CD35" w14:textId="77777777" w:rsidR="004C3391" w:rsidRPr="0066727B" w:rsidRDefault="004C3391" w:rsidP="004C3391">
      <w:pPr>
        <w:spacing w:line="360" w:lineRule="auto"/>
        <w:jc w:val="both"/>
        <w:rPr>
          <w:rFonts w:ascii="Palatino Linotype" w:hAnsi="Palatino Linotype"/>
          <w:b/>
        </w:rPr>
      </w:pPr>
    </w:p>
    <w:p w14:paraId="4F911304" w14:textId="3A7F790A" w:rsidR="004C3391" w:rsidRPr="0066727B" w:rsidRDefault="004C3391" w:rsidP="00674C1B">
      <w:pPr>
        <w:tabs>
          <w:tab w:val="left" w:pos="2835"/>
        </w:tabs>
        <w:spacing w:line="360" w:lineRule="auto"/>
        <w:jc w:val="both"/>
        <w:rPr>
          <w:rFonts w:ascii="Palatino Linotype" w:hAnsi="Palatino Linotype"/>
          <w:b/>
        </w:rPr>
      </w:pPr>
    </w:p>
    <w:p w14:paraId="0B93531A" w14:textId="77777777" w:rsidR="004C3391" w:rsidRPr="0066727B" w:rsidRDefault="004C3391" w:rsidP="004C3391">
      <w:pPr>
        <w:spacing w:line="360" w:lineRule="auto"/>
        <w:jc w:val="both"/>
        <w:rPr>
          <w:rFonts w:ascii="Palatino Linotype" w:hAnsi="Palatino Linotype"/>
          <w:b/>
        </w:rPr>
      </w:pPr>
    </w:p>
    <w:p w14:paraId="0EF9696A" w14:textId="77777777" w:rsidR="00674C1B" w:rsidRPr="0066727B" w:rsidRDefault="00674C1B" w:rsidP="004C3391">
      <w:pPr>
        <w:spacing w:line="360" w:lineRule="auto"/>
        <w:jc w:val="both"/>
        <w:rPr>
          <w:rFonts w:ascii="Palatino Linotype" w:hAnsi="Palatino Linotype"/>
          <w:b/>
        </w:rPr>
      </w:pPr>
    </w:p>
    <w:p w14:paraId="114DD164" w14:textId="77777777" w:rsidR="00674C1B" w:rsidRPr="0066727B" w:rsidRDefault="00674C1B" w:rsidP="004C3391">
      <w:pPr>
        <w:spacing w:line="360" w:lineRule="auto"/>
        <w:jc w:val="both"/>
        <w:rPr>
          <w:rFonts w:ascii="Palatino Linotype" w:hAnsi="Palatino Linotype"/>
          <w:b/>
        </w:rPr>
      </w:pPr>
    </w:p>
    <w:p w14:paraId="2DE7CD56" w14:textId="77777777" w:rsidR="004C3391" w:rsidRPr="0066727B" w:rsidRDefault="004C3391" w:rsidP="004C3391">
      <w:pPr>
        <w:spacing w:line="360" w:lineRule="auto"/>
        <w:jc w:val="both"/>
        <w:rPr>
          <w:rFonts w:ascii="Palatino Linotype" w:hAnsi="Palatino Linotype"/>
          <w:b/>
        </w:rPr>
      </w:pPr>
    </w:p>
    <w:p w14:paraId="30BD1B42" w14:textId="77777777" w:rsidR="004C3391" w:rsidRPr="0066727B" w:rsidRDefault="004C3391" w:rsidP="004C3391">
      <w:pPr>
        <w:spacing w:line="360" w:lineRule="auto"/>
        <w:jc w:val="both"/>
        <w:rPr>
          <w:rFonts w:ascii="Palatino Linotype" w:hAnsi="Palatino Linotype"/>
          <w:b/>
        </w:rPr>
      </w:pPr>
    </w:p>
    <w:p w14:paraId="61CB8399" w14:textId="77777777" w:rsidR="004C3391" w:rsidRPr="0066727B" w:rsidRDefault="004C3391" w:rsidP="004C3391">
      <w:pPr>
        <w:rPr>
          <w:rFonts w:ascii="Palatino Linotype" w:hAnsi="Palatino Linotype"/>
          <w:b/>
        </w:rPr>
      </w:pPr>
      <w:r w:rsidRPr="0066727B">
        <w:rPr>
          <w:rFonts w:ascii="Palatino Linotype" w:hAnsi="Palatino Linotype"/>
          <w:b/>
        </w:rPr>
        <w:br w:type="page"/>
      </w:r>
    </w:p>
    <w:sdt>
      <w:sdtPr>
        <w:rPr>
          <w:rFonts w:asciiTheme="minorHAnsi" w:eastAsiaTheme="minorEastAsia" w:hAnsiTheme="minorHAnsi" w:cstheme="minorBidi"/>
          <w:b w:val="0"/>
          <w:color w:val="auto"/>
          <w:sz w:val="20"/>
          <w:szCs w:val="20"/>
          <w:lang w:val="es-ES" w:eastAsia="es-ES"/>
        </w:rPr>
        <w:id w:val="-591772792"/>
        <w:docPartObj>
          <w:docPartGallery w:val="Table of Contents"/>
          <w:docPartUnique/>
        </w:docPartObj>
      </w:sdtPr>
      <w:sdtEndPr>
        <w:rPr>
          <w:bCs/>
        </w:rPr>
      </w:sdtEndPr>
      <w:sdtContent>
        <w:p w14:paraId="57846F81" w14:textId="77777777" w:rsidR="004C3391" w:rsidRPr="0066727B" w:rsidRDefault="004C3391" w:rsidP="004C3391">
          <w:pPr>
            <w:pStyle w:val="TtuloTDC"/>
            <w:jc w:val="center"/>
            <w:rPr>
              <w:szCs w:val="24"/>
              <w:lang w:val="es-ES"/>
            </w:rPr>
          </w:pPr>
          <w:r w:rsidRPr="0066727B">
            <w:rPr>
              <w:szCs w:val="24"/>
              <w:lang w:val="es-ES"/>
            </w:rPr>
            <w:t>ÍNDICE</w:t>
          </w:r>
        </w:p>
        <w:p w14:paraId="0EB6896C" w14:textId="77777777" w:rsidR="004C3391" w:rsidRPr="0066727B" w:rsidRDefault="004C3391" w:rsidP="004C3391">
          <w:pPr>
            <w:rPr>
              <w:rFonts w:ascii="Palatino Linotype" w:hAnsi="Palatino Linotype"/>
              <w:b/>
              <w:lang w:val="es-ES" w:eastAsia="es-MX"/>
            </w:rPr>
          </w:pPr>
        </w:p>
        <w:p w14:paraId="7223F734" w14:textId="77777777" w:rsidR="00F21408" w:rsidRPr="0066727B" w:rsidRDefault="004C3391">
          <w:pPr>
            <w:pStyle w:val="TDC1"/>
            <w:rPr>
              <w:noProof/>
              <w:sz w:val="22"/>
              <w:szCs w:val="22"/>
              <w:lang w:val="es-MX" w:eastAsia="es-MX"/>
            </w:rPr>
          </w:pPr>
          <w:r w:rsidRPr="0066727B">
            <w:rPr>
              <w:rFonts w:ascii="Palatino Linotype" w:hAnsi="Palatino Linotype"/>
              <w:b/>
            </w:rPr>
            <w:fldChar w:fldCharType="begin"/>
          </w:r>
          <w:r w:rsidRPr="0066727B">
            <w:rPr>
              <w:rFonts w:ascii="Palatino Linotype" w:hAnsi="Palatino Linotype"/>
              <w:b/>
            </w:rPr>
            <w:instrText xml:space="preserve"> TOC \o "1-3" \h \z \u </w:instrText>
          </w:r>
          <w:r w:rsidRPr="0066727B">
            <w:rPr>
              <w:rFonts w:ascii="Palatino Linotype" w:hAnsi="Palatino Linotype"/>
              <w:b/>
            </w:rPr>
            <w:fldChar w:fldCharType="separate"/>
          </w:r>
          <w:hyperlink w:anchor="_Toc58589150" w:history="1">
            <w:r w:rsidR="00F21408" w:rsidRPr="0066727B">
              <w:rPr>
                <w:rStyle w:val="Hipervnculo"/>
                <w:noProof/>
              </w:rPr>
              <w:t>ANTECEDENTES</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_Toc58589150 \h </w:instrText>
            </w:r>
            <w:r w:rsidR="00F21408" w:rsidRPr="0066727B">
              <w:rPr>
                <w:noProof/>
                <w:webHidden/>
              </w:rPr>
            </w:r>
            <w:r w:rsidR="00F21408" w:rsidRPr="0066727B">
              <w:rPr>
                <w:noProof/>
                <w:webHidden/>
              </w:rPr>
              <w:fldChar w:fldCharType="separate"/>
            </w:r>
            <w:r w:rsidR="00F21408" w:rsidRPr="0066727B">
              <w:rPr>
                <w:noProof/>
                <w:webHidden/>
              </w:rPr>
              <w:t>3</w:t>
            </w:r>
            <w:r w:rsidR="00F21408" w:rsidRPr="0066727B">
              <w:rPr>
                <w:noProof/>
                <w:webHidden/>
              </w:rPr>
              <w:fldChar w:fldCharType="end"/>
            </w:r>
          </w:hyperlink>
        </w:p>
        <w:p w14:paraId="68CF8B8F" w14:textId="77777777" w:rsidR="00F21408" w:rsidRPr="0066727B" w:rsidRDefault="00887A2E">
          <w:pPr>
            <w:pStyle w:val="TDC2"/>
            <w:rPr>
              <w:noProof/>
              <w:sz w:val="22"/>
              <w:szCs w:val="22"/>
              <w:lang w:val="es-MX" w:eastAsia="es-MX"/>
            </w:rPr>
          </w:pPr>
          <w:hyperlink w:anchor="_Toc58589151" w:history="1">
            <w:r w:rsidR="00F21408" w:rsidRPr="0066727B">
              <w:rPr>
                <w:rStyle w:val="Hipervnculo"/>
                <w:noProof/>
                <w:lang w:val="es-ES"/>
              </w:rPr>
              <w:t>a) Acto impugnado:</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_Toc58589151 \h </w:instrText>
            </w:r>
            <w:r w:rsidR="00F21408" w:rsidRPr="0066727B">
              <w:rPr>
                <w:noProof/>
                <w:webHidden/>
              </w:rPr>
            </w:r>
            <w:r w:rsidR="00F21408" w:rsidRPr="0066727B">
              <w:rPr>
                <w:noProof/>
                <w:webHidden/>
              </w:rPr>
              <w:fldChar w:fldCharType="separate"/>
            </w:r>
            <w:r w:rsidR="00F21408" w:rsidRPr="0066727B">
              <w:rPr>
                <w:noProof/>
                <w:webHidden/>
              </w:rPr>
              <w:t>6</w:t>
            </w:r>
            <w:r w:rsidR="00F21408" w:rsidRPr="0066727B">
              <w:rPr>
                <w:noProof/>
                <w:webHidden/>
              </w:rPr>
              <w:fldChar w:fldCharType="end"/>
            </w:r>
          </w:hyperlink>
        </w:p>
        <w:p w14:paraId="7D29EEF2" w14:textId="77777777" w:rsidR="00F21408" w:rsidRPr="0066727B" w:rsidRDefault="00887A2E">
          <w:pPr>
            <w:pStyle w:val="TDC2"/>
            <w:rPr>
              <w:noProof/>
              <w:sz w:val="22"/>
              <w:szCs w:val="22"/>
              <w:lang w:val="es-MX" w:eastAsia="es-MX"/>
            </w:rPr>
          </w:pPr>
          <w:hyperlink w:anchor="_Toc58589152" w:history="1">
            <w:r w:rsidR="00F21408" w:rsidRPr="0066727B">
              <w:rPr>
                <w:rStyle w:val="Hipervnculo"/>
                <w:noProof/>
                <w:lang w:val="es-ES"/>
              </w:rPr>
              <w:t>b) Razones o Motivos de inconformidad:</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_Toc58589152 \h </w:instrText>
            </w:r>
            <w:r w:rsidR="00F21408" w:rsidRPr="0066727B">
              <w:rPr>
                <w:noProof/>
                <w:webHidden/>
              </w:rPr>
            </w:r>
            <w:r w:rsidR="00F21408" w:rsidRPr="0066727B">
              <w:rPr>
                <w:noProof/>
                <w:webHidden/>
              </w:rPr>
              <w:fldChar w:fldCharType="separate"/>
            </w:r>
            <w:r w:rsidR="00F21408" w:rsidRPr="0066727B">
              <w:rPr>
                <w:noProof/>
                <w:webHidden/>
              </w:rPr>
              <w:t>7</w:t>
            </w:r>
            <w:r w:rsidR="00F21408" w:rsidRPr="0066727B">
              <w:rPr>
                <w:noProof/>
                <w:webHidden/>
              </w:rPr>
              <w:fldChar w:fldCharType="end"/>
            </w:r>
          </w:hyperlink>
        </w:p>
        <w:p w14:paraId="4CC0BFBC" w14:textId="77777777" w:rsidR="00F21408" w:rsidRPr="0066727B" w:rsidRDefault="00887A2E">
          <w:pPr>
            <w:pStyle w:val="TDC1"/>
            <w:rPr>
              <w:noProof/>
              <w:sz w:val="22"/>
              <w:szCs w:val="22"/>
              <w:lang w:val="es-MX" w:eastAsia="es-MX"/>
            </w:rPr>
          </w:pPr>
          <w:hyperlink w:anchor="_Toc58589153" w:history="1">
            <w:r w:rsidR="00F21408" w:rsidRPr="0066727B">
              <w:rPr>
                <w:rStyle w:val="Hipervnculo"/>
                <w:noProof/>
              </w:rPr>
              <w:t>CONSIDERANDO</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_Toc58589153 \h </w:instrText>
            </w:r>
            <w:r w:rsidR="00F21408" w:rsidRPr="0066727B">
              <w:rPr>
                <w:noProof/>
                <w:webHidden/>
              </w:rPr>
            </w:r>
            <w:r w:rsidR="00F21408" w:rsidRPr="0066727B">
              <w:rPr>
                <w:noProof/>
                <w:webHidden/>
              </w:rPr>
              <w:fldChar w:fldCharType="separate"/>
            </w:r>
            <w:r w:rsidR="00F21408" w:rsidRPr="0066727B">
              <w:rPr>
                <w:noProof/>
                <w:webHidden/>
              </w:rPr>
              <w:t>11</w:t>
            </w:r>
            <w:r w:rsidR="00F21408" w:rsidRPr="0066727B">
              <w:rPr>
                <w:noProof/>
                <w:webHidden/>
              </w:rPr>
              <w:fldChar w:fldCharType="end"/>
            </w:r>
          </w:hyperlink>
        </w:p>
        <w:p w14:paraId="19887906" w14:textId="77777777" w:rsidR="00F21408" w:rsidRPr="0066727B" w:rsidRDefault="00887A2E">
          <w:pPr>
            <w:pStyle w:val="TDC1"/>
            <w:rPr>
              <w:noProof/>
              <w:sz w:val="22"/>
              <w:szCs w:val="22"/>
              <w:lang w:val="es-MX" w:eastAsia="es-MX"/>
            </w:rPr>
          </w:pPr>
          <w:hyperlink w:anchor="_Toc58589154" w:history="1">
            <w:r w:rsidR="00F21408" w:rsidRPr="0066727B">
              <w:rPr>
                <w:rStyle w:val="Hipervnculo"/>
                <w:noProof/>
              </w:rPr>
              <w:t>PRIMERO. De la competencia</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_Toc58589154 \h </w:instrText>
            </w:r>
            <w:r w:rsidR="00F21408" w:rsidRPr="0066727B">
              <w:rPr>
                <w:noProof/>
                <w:webHidden/>
              </w:rPr>
            </w:r>
            <w:r w:rsidR="00F21408" w:rsidRPr="0066727B">
              <w:rPr>
                <w:noProof/>
                <w:webHidden/>
              </w:rPr>
              <w:fldChar w:fldCharType="separate"/>
            </w:r>
            <w:r w:rsidR="00F21408" w:rsidRPr="0066727B">
              <w:rPr>
                <w:noProof/>
                <w:webHidden/>
              </w:rPr>
              <w:t>11</w:t>
            </w:r>
            <w:r w:rsidR="00F21408" w:rsidRPr="0066727B">
              <w:rPr>
                <w:noProof/>
                <w:webHidden/>
              </w:rPr>
              <w:fldChar w:fldCharType="end"/>
            </w:r>
          </w:hyperlink>
        </w:p>
        <w:p w14:paraId="239799F9" w14:textId="77777777" w:rsidR="00F21408" w:rsidRPr="0066727B" w:rsidRDefault="00887A2E">
          <w:pPr>
            <w:pStyle w:val="TDC1"/>
            <w:rPr>
              <w:noProof/>
              <w:sz w:val="22"/>
              <w:szCs w:val="22"/>
              <w:lang w:val="es-MX" w:eastAsia="es-MX"/>
            </w:rPr>
          </w:pPr>
          <w:hyperlink w:anchor="_Toc58589155" w:history="1">
            <w:r w:rsidR="00F21408" w:rsidRPr="0066727B">
              <w:rPr>
                <w:rStyle w:val="Hipervnculo"/>
                <w:noProof/>
              </w:rPr>
              <w:t>SEGUNDO. De la oportunidad y procedencia.</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_Toc58589155 \h </w:instrText>
            </w:r>
            <w:r w:rsidR="00F21408" w:rsidRPr="0066727B">
              <w:rPr>
                <w:noProof/>
                <w:webHidden/>
              </w:rPr>
            </w:r>
            <w:r w:rsidR="00F21408" w:rsidRPr="0066727B">
              <w:rPr>
                <w:noProof/>
                <w:webHidden/>
              </w:rPr>
              <w:fldChar w:fldCharType="separate"/>
            </w:r>
            <w:r w:rsidR="00F21408" w:rsidRPr="0066727B">
              <w:rPr>
                <w:noProof/>
                <w:webHidden/>
              </w:rPr>
              <w:t>12</w:t>
            </w:r>
            <w:r w:rsidR="00F21408" w:rsidRPr="0066727B">
              <w:rPr>
                <w:noProof/>
                <w:webHidden/>
              </w:rPr>
              <w:fldChar w:fldCharType="end"/>
            </w:r>
          </w:hyperlink>
        </w:p>
        <w:p w14:paraId="09FAA12E" w14:textId="77777777" w:rsidR="00F21408" w:rsidRPr="0066727B" w:rsidRDefault="00887A2E">
          <w:pPr>
            <w:pStyle w:val="TDC2"/>
            <w:rPr>
              <w:noProof/>
              <w:sz w:val="22"/>
              <w:szCs w:val="22"/>
              <w:lang w:val="es-MX" w:eastAsia="es-MX"/>
            </w:rPr>
          </w:pPr>
          <w:hyperlink w:anchor="_Toc58589156" w:history="1">
            <w:r w:rsidR="00F21408" w:rsidRPr="0066727B">
              <w:rPr>
                <w:rStyle w:val="Hipervnculo"/>
                <w:noProof/>
              </w:rPr>
              <w:t>TERCERO. Del planteamiento de la litis.</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_Toc58589156 \h </w:instrText>
            </w:r>
            <w:r w:rsidR="00F21408" w:rsidRPr="0066727B">
              <w:rPr>
                <w:noProof/>
                <w:webHidden/>
              </w:rPr>
            </w:r>
            <w:r w:rsidR="00F21408" w:rsidRPr="0066727B">
              <w:rPr>
                <w:noProof/>
                <w:webHidden/>
              </w:rPr>
              <w:fldChar w:fldCharType="separate"/>
            </w:r>
            <w:r w:rsidR="00F21408" w:rsidRPr="0066727B">
              <w:rPr>
                <w:noProof/>
                <w:webHidden/>
              </w:rPr>
              <w:t>13</w:t>
            </w:r>
            <w:r w:rsidR="00F21408" w:rsidRPr="0066727B">
              <w:rPr>
                <w:noProof/>
                <w:webHidden/>
              </w:rPr>
              <w:fldChar w:fldCharType="end"/>
            </w:r>
          </w:hyperlink>
        </w:p>
        <w:p w14:paraId="6F060C45" w14:textId="77777777" w:rsidR="00F21408" w:rsidRPr="0066727B" w:rsidRDefault="00887A2E">
          <w:pPr>
            <w:pStyle w:val="TDC1"/>
            <w:rPr>
              <w:noProof/>
              <w:sz w:val="22"/>
              <w:szCs w:val="22"/>
              <w:lang w:val="es-MX" w:eastAsia="es-MX"/>
            </w:rPr>
          </w:pPr>
          <w:hyperlink w:anchor="_Toc58589157" w:history="1">
            <w:r w:rsidR="00F21408" w:rsidRPr="0066727B">
              <w:rPr>
                <w:rStyle w:val="Hipervnculo"/>
                <w:noProof/>
              </w:rPr>
              <w:t>CUARTO. Del estudio y resolución del asunto.</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_Toc58589157 \h </w:instrText>
            </w:r>
            <w:r w:rsidR="00F21408" w:rsidRPr="0066727B">
              <w:rPr>
                <w:noProof/>
                <w:webHidden/>
              </w:rPr>
            </w:r>
            <w:r w:rsidR="00F21408" w:rsidRPr="0066727B">
              <w:rPr>
                <w:noProof/>
                <w:webHidden/>
              </w:rPr>
              <w:fldChar w:fldCharType="separate"/>
            </w:r>
            <w:r w:rsidR="00F21408" w:rsidRPr="0066727B">
              <w:rPr>
                <w:noProof/>
                <w:webHidden/>
              </w:rPr>
              <w:t>14</w:t>
            </w:r>
            <w:r w:rsidR="00F21408" w:rsidRPr="0066727B">
              <w:rPr>
                <w:noProof/>
                <w:webHidden/>
              </w:rPr>
              <w:fldChar w:fldCharType="end"/>
            </w:r>
          </w:hyperlink>
        </w:p>
        <w:p w14:paraId="56119380" w14:textId="77777777" w:rsidR="00F21408" w:rsidRPr="0066727B" w:rsidRDefault="00887A2E">
          <w:pPr>
            <w:pStyle w:val="TDC2"/>
            <w:tabs>
              <w:tab w:val="left" w:pos="660"/>
            </w:tabs>
            <w:rPr>
              <w:noProof/>
              <w:sz w:val="22"/>
              <w:szCs w:val="22"/>
              <w:lang w:val="es-MX" w:eastAsia="es-MX"/>
            </w:rPr>
          </w:pPr>
          <w:hyperlink w:anchor="_Toc58589158" w:history="1">
            <w:r w:rsidR="00F21408" w:rsidRPr="0066727B">
              <w:rPr>
                <w:rStyle w:val="Hipervnculo"/>
                <w:noProof/>
              </w:rPr>
              <w:t>I.</w:t>
            </w:r>
            <w:r w:rsidR="00F21408" w:rsidRPr="0066727B">
              <w:rPr>
                <w:noProof/>
                <w:sz w:val="22"/>
                <w:szCs w:val="22"/>
                <w:lang w:val="es-MX" w:eastAsia="es-MX"/>
              </w:rPr>
              <w:tab/>
            </w:r>
            <w:r w:rsidR="00F21408" w:rsidRPr="0066727B">
              <w:rPr>
                <w:rStyle w:val="Hipervnculo"/>
                <w:noProof/>
              </w:rPr>
              <w:t>Del Derecho de Acceso a la Información Pública (DAI).</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_Toc58589158 \h </w:instrText>
            </w:r>
            <w:r w:rsidR="00F21408" w:rsidRPr="0066727B">
              <w:rPr>
                <w:noProof/>
                <w:webHidden/>
              </w:rPr>
            </w:r>
            <w:r w:rsidR="00F21408" w:rsidRPr="0066727B">
              <w:rPr>
                <w:noProof/>
                <w:webHidden/>
              </w:rPr>
              <w:fldChar w:fldCharType="separate"/>
            </w:r>
            <w:r w:rsidR="00F21408" w:rsidRPr="0066727B">
              <w:rPr>
                <w:noProof/>
                <w:webHidden/>
              </w:rPr>
              <w:t>14</w:t>
            </w:r>
            <w:r w:rsidR="00F21408" w:rsidRPr="0066727B">
              <w:rPr>
                <w:noProof/>
                <w:webHidden/>
              </w:rPr>
              <w:fldChar w:fldCharType="end"/>
            </w:r>
          </w:hyperlink>
        </w:p>
        <w:p w14:paraId="7B5466A5" w14:textId="77777777" w:rsidR="00F21408" w:rsidRPr="0066727B" w:rsidRDefault="00887A2E">
          <w:pPr>
            <w:pStyle w:val="TDC2"/>
            <w:rPr>
              <w:noProof/>
              <w:sz w:val="22"/>
              <w:szCs w:val="22"/>
              <w:lang w:val="es-MX" w:eastAsia="es-MX"/>
            </w:rPr>
          </w:pPr>
          <w:hyperlink w:anchor="_Toc58589159" w:history="1">
            <w:r w:rsidR="00F21408" w:rsidRPr="0066727B">
              <w:rPr>
                <w:rStyle w:val="Hipervnculo"/>
                <w:noProof/>
              </w:rPr>
              <w:t>II.I. De la importancia de respetar el DAI.</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_Toc58589159 \h </w:instrText>
            </w:r>
            <w:r w:rsidR="00F21408" w:rsidRPr="0066727B">
              <w:rPr>
                <w:noProof/>
                <w:webHidden/>
              </w:rPr>
            </w:r>
            <w:r w:rsidR="00F21408" w:rsidRPr="0066727B">
              <w:rPr>
                <w:noProof/>
                <w:webHidden/>
              </w:rPr>
              <w:fldChar w:fldCharType="separate"/>
            </w:r>
            <w:r w:rsidR="00F21408" w:rsidRPr="0066727B">
              <w:rPr>
                <w:noProof/>
                <w:webHidden/>
              </w:rPr>
              <w:t>14</w:t>
            </w:r>
            <w:r w:rsidR="00F21408" w:rsidRPr="0066727B">
              <w:rPr>
                <w:noProof/>
                <w:webHidden/>
              </w:rPr>
              <w:fldChar w:fldCharType="end"/>
            </w:r>
          </w:hyperlink>
        </w:p>
        <w:p w14:paraId="6FF2BD47" w14:textId="77777777" w:rsidR="00F21408" w:rsidRPr="0066727B" w:rsidRDefault="00887A2E">
          <w:pPr>
            <w:pStyle w:val="TDC1"/>
            <w:rPr>
              <w:noProof/>
              <w:sz w:val="22"/>
              <w:szCs w:val="22"/>
              <w:lang w:val="es-MX" w:eastAsia="es-MX"/>
            </w:rPr>
          </w:pPr>
          <w:hyperlink w:anchor="_Toc58589160" w:history="1">
            <w:r w:rsidR="00F21408" w:rsidRPr="0066727B">
              <w:rPr>
                <w:rStyle w:val="Hipervnculo"/>
                <w:noProof/>
              </w:rPr>
              <w:t>III. De las atribuciones del SUJETO OBLIGADO.</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_Toc58589160 \h </w:instrText>
            </w:r>
            <w:r w:rsidR="00F21408" w:rsidRPr="0066727B">
              <w:rPr>
                <w:noProof/>
                <w:webHidden/>
              </w:rPr>
            </w:r>
            <w:r w:rsidR="00F21408" w:rsidRPr="0066727B">
              <w:rPr>
                <w:noProof/>
                <w:webHidden/>
              </w:rPr>
              <w:fldChar w:fldCharType="separate"/>
            </w:r>
            <w:r w:rsidR="00F21408" w:rsidRPr="0066727B">
              <w:rPr>
                <w:noProof/>
                <w:webHidden/>
              </w:rPr>
              <w:t>18</w:t>
            </w:r>
            <w:r w:rsidR="00F21408" w:rsidRPr="0066727B">
              <w:rPr>
                <w:noProof/>
                <w:webHidden/>
              </w:rPr>
              <w:fldChar w:fldCharType="end"/>
            </w:r>
          </w:hyperlink>
        </w:p>
        <w:p w14:paraId="4E543804" w14:textId="77777777" w:rsidR="00F21408" w:rsidRPr="0066727B" w:rsidRDefault="00887A2E">
          <w:pPr>
            <w:pStyle w:val="TDC1"/>
            <w:rPr>
              <w:noProof/>
              <w:sz w:val="22"/>
              <w:szCs w:val="22"/>
              <w:lang w:val="es-MX" w:eastAsia="es-MX"/>
            </w:rPr>
          </w:pPr>
          <w:hyperlink w:anchor="_Toc58589161" w:history="1">
            <w:r w:rsidR="00F21408" w:rsidRPr="0066727B">
              <w:rPr>
                <w:rStyle w:val="Hipervnculo"/>
                <w:rFonts w:eastAsia="Calibri"/>
                <w:noProof/>
                <w:lang w:val="es-ES"/>
              </w:rPr>
              <w:t>R E S O L U T I V O S</w:t>
            </w:r>
            <w:r w:rsidR="00F21408" w:rsidRPr="0066727B">
              <w:rPr>
                <w:noProof/>
                <w:webHidden/>
              </w:rPr>
              <w:tab/>
            </w:r>
            <w:r w:rsidR="00F21408" w:rsidRPr="0066727B">
              <w:rPr>
                <w:noProof/>
                <w:webHidden/>
              </w:rPr>
              <w:fldChar w:fldCharType="begin"/>
            </w:r>
            <w:r w:rsidR="00F21408" w:rsidRPr="0066727B">
              <w:rPr>
                <w:noProof/>
                <w:webHidden/>
              </w:rPr>
              <w:instrText xml:space="preserve"> PAGEREF _Toc58589161 \h </w:instrText>
            </w:r>
            <w:r w:rsidR="00F21408" w:rsidRPr="0066727B">
              <w:rPr>
                <w:noProof/>
                <w:webHidden/>
              </w:rPr>
            </w:r>
            <w:r w:rsidR="00F21408" w:rsidRPr="0066727B">
              <w:rPr>
                <w:noProof/>
                <w:webHidden/>
              </w:rPr>
              <w:fldChar w:fldCharType="separate"/>
            </w:r>
            <w:r w:rsidR="00F21408" w:rsidRPr="0066727B">
              <w:rPr>
                <w:noProof/>
                <w:webHidden/>
              </w:rPr>
              <w:t>33</w:t>
            </w:r>
            <w:r w:rsidR="00F21408" w:rsidRPr="0066727B">
              <w:rPr>
                <w:noProof/>
                <w:webHidden/>
              </w:rPr>
              <w:fldChar w:fldCharType="end"/>
            </w:r>
          </w:hyperlink>
        </w:p>
        <w:p w14:paraId="238F4D65" w14:textId="11F7807F" w:rsidR="004C3391" w:rsidRPr="0066727B" w:rsidRDefault="004C3391" w:rsidP="004C3391">
          <w:pPr>
            <w:rPr>
              <w:rFonts w:ascii="Palatino Linotype" w:hAnsi="Palatino Linotype"/>
              <w:bCs/>
              <w:lang w:val="es-ES"/>
            </w:rPr>
          </w:pPr>
          <w:r w:rsidRPr="0066727B">
            <w:rPr>
              <w:rFonts w:ascii="Palatino Linotype" w:hAnsi="Palatino Linotype"/>
              <w:b/>
              <w:bCs/>
              <w:lang w:val="es-ES"/>
            </w:rPr>
            <w:fldChar w:fldCharType="end"/>
          </w:r>
          <w:r w:rsidRPr="0066727B">
            <w:rPr>
              <w:rFonts w:ascii="Palatino Linotype" w:hAnsi="Palatino Linotype"/>
              <w:bCs/>
              <w:lang w:val="es-ES"/>
            </w:rPr>
            <w:br w:type="page"/>
          </w:r>
        </w:p>
      </w:sdtContent>
    </w:sdt>
    <w:p w14:paraId="4B98D024" w14:textId="69AE8EE0" w:rsidR="004C3391" w:rsidRPr="0066727B" w:rsidRDefault="004C3391" w:rsidP="004C3391">
      <w:pPr>
        <w:tabs>
          <w:tab w:val="left" w:pos="567"/>
        </w:tabs>
        <w:spacing w:before="240" w:after="240" w:line="360" w:lineRule="auto"/>
        <w:jc w:val="both"/>
        <w:rPr>
          <w:rFonts w:ascii="Palatino Linotype" w:hAnsi="Palatino Linotype"/>
          <w:lang w:val="es-MX"/>
        </w:rPr>
      </w:pPr>
      <w:r w:rsidRPr="0066727B">
        <w:rPr>
          <w:rFonts w:ascii="Palatino Linotype" w:hAnsi="Palatino Linotype"/>
        </w:rPr>
        <w:lastRenderedPageBreak/>
        <w:t>R</w:t>
      </w:r>
      <w:proofErr w:type="spellStart"/>
      <w:r w:rsidRPr="0066727B">
        <w:rPr>
          <w:rFonts w:ascii="Palatino Linotype" w:hAnsi="Palatino Linotype"/>
          <w:lang w:val="es-MX"/>
        </w:rPr>
        <w:t>esolución</w:t>
      </w:r>
      <w:proofErr w:type="spellEnd"/>
      <w:r w:rsidRPr="0066727B">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fecha </w:t>
      </w:r>
      <w:r w:rsidR="0066727B">
        <w:rPr>
          <w:rFonts w:ascii="Palatino Linotype" w:hAnsi="Palatino Linotype"/>
          <w:lang w:val="es-MX"/>
        </w:rPr>
        <w:t>dieciséis</w:t>
      </w:r>
      <w:r w:rsidRPr="0066727B">
        <w:rPr>
          <w:rFonts w:ascii="Palatino Linotype" w:hAnsi="Palatino Linotype"/>
          <w:lang w:val="es-MX"/>
        </w:rPr>
        <w:t xml:space="preserve"> (</w:t>
      </w:r>
      <w:r w:rsidR="0066727B">
        <w:rPr>
          <w:rFonts w:ascii="Palatino Linotype" w:hAnsi="Palatino Linotype"/>
          <w:lang w:val="es-MX"/>
        </w:rPr>
        <w:t>16</w:t>
      </w:r>
      <w:r w:rsidRPr="0066727B">
        <w:rPr>
          <w:rFonts w:ascii="Palatino Linotype" w:hAnsi="Palatino Linotype"/>
          <w:lang w:val="es-MX"/>
        </w:rPr>
        <w:t xml:space="preserve">) de </w:t>
      </w:r>
      <w:r w:rsidR="0066727B">
        <w:rPr>
          <w:rFonts w:ascii="Palatino Linotype" w:hAnsi="Palatino Linotype"/>
          <w:lang w:val="es-MX"/>
        </w:rPr>
        <w:t>diciembre</w:t>
      </w:r>
      <w:r w:rsidRPr="0066727B">
        <w:rPr>
          <w:rFonts w:ascii="Palatino Linotype" w:hAnsi="Palatino Linotype"/>
          <w:lang w:val="es-MX"/>
        </w:rPr>
        <w:t xml:space="preserve"> de dos mil veinte.</w:t>
      </w:r>
    </w:p>
    <w:p w14:paraId="4075D49D" w14:textId="6CCFFEE1" w:rsidR="004C3391" w:rsidRPr="0066727B" w:rsidRDefault="004C3391" w:rsidP="004C3391">
      <w:pPr>
        <w:pStyle w:val="Encabezado"/>
        <w:spacing w:line="360" w:lineRule="auto"/>
        <w:jc w:val="both"/>
        <w:rPr>
          <w:rFonts w:ascii="Palatino Linotype" w:eastAsia="Times New Roman" w:hAnsi="Palatino Linotype" w:cs="Times New Roman"/>
          <w:b/>
        </w:rPr>
      </w:pPr>
      <w:r w:rsidRPr="0066727B">
        <w:rPr>
          <w:rFonts w:ascii="Palatino Linotype" w:eastAsia="Times New Roman" w:hAnsi="Palatino Linotype" w:cs="Times New Roman"/>
          <w:b/>
        </w:rPr>
        <w:t>VISTO</w:t>
      </w:r>
      <w:r w:rsidRPr="0066727B">
        <w:rPr>
          <w:rFonts w:ascii="Palatino Linotype" w:eastAsia="Times New Roman" w:hAnsi="Palatino Linotype" w:cs="Times New Roman"/>
        </w:rPr>
        <w:t xml:space="preserve"> el expediente electrónico formado con motivo del recurso de revisión número </w:t>
      </w:r>
      <w:r w:rsidR="00521641" w:rsidRPr="0066727B">
        <w:rPr>
          <w:rFonts w:ascii="Palatino Linotype" w:hAnsi="Palatino Linotype" w:cs="Arial"/>
          <w:b/>
          <w:bCs/>
          <w:lang w:eastAsia="es-MX"/>
        </w:rPr>
        <w:t>05168/INFOEM/IP/RR/2020</w:t>
      </w:r>
      <w:r w:rsidRPr="0066727B">
        <w:rPr>
          <w:rFonts w:ascii="Palatino Linotype" w:eastAsia="Times New Roman" w:hAnsi="Palatino Linotype" w:cs="Arial"/>
          <w:bCs/>
        </w:rPr>
        <w:t xml:space="preserve">, </w:t>
      </w:r>
      <w:r w:rsidRPr="0066727B">
        <w:rPr>
          <w:rFonts w:ascii="Palatino Linotype" w:eastAsia="Times New Roman" w:hAnsi="Palatino Linotype" w:cs="Times New Roman"/>
        </w:rPr>
        <w:t>promovido por</w:t>
      </w:r>
      <w:r w:rsidRPr="0066727B">
        <w:rPr>
          <w:rFonts w:ascii="Palatino Linotype" w:eastAsia="Times New Roman" w:hAnsi="Palatino Linotype" w:cs="Times New Roman"/>
          <w:b/>
        </w:rPr>
        <w:t xml:space="preserve"> </w:t>
      </w:r>
      <w:r w:rsidR="000E7E89" w:rsidRPr="000E7E89">
        <w:rPr>
          <w:rFonts w:ascii="Palatino Linotype" w:eastAsia="Times New Roman" w:hAnsi="Palatino Linotype" w:cs="Times New Roman"/>
          <w:b/>
          <w:highlight w:val="black"/>
        </w:rPr>
        <w:t>-------------------------------------</w:t>
      </w:r>
      <w:r w:rsidR="007D4C10" w:rsidRPr="0066727B">
        <w:rPr>
          <w:rFonts w:ascii="Palatino Linotype" w:eastAsia="Times New Roman" w:hAnsi="Palatino Linotype" w:cs="Times New Roman"/>
          <w:b/>
        </w:rPr>
        <w:t xml:space="preserve"> </w:t>
      </w:r>
      <w:r w:rsidRPr="0066727B">
        <w:rPr>
          <w:rFonts w:ascii="Palatino Linotype" w:eastAsia="Times New Roman" w:hAnsi="Palatino Linotype" w:cs="Arial"/>
        </w:rPr>
        <w:t xml:space="preserve">en su calidad de </w:t>
      </w:r>
      <w:r w:rsidRPr="0066727B">
        <w:rPr>
          <w:rFonts w:ascii="Palatino Linotype" w:eastAsia="Times New Roman" w:hAnsi="Palatino Linotype" w:cs="Arial"/>
          <w:b/>
        </w:rPr>
        <w:t>RECURRENTE</w:t>
      </w:r>
      <w:r w:rsidRPr="0066727B">
        <w:rPr>
          <w:rFonts w:ascii="Palatino Linotype" w:eastAsia="Times New Roman" w:hAnsi="Palatino Linotype" w:cs="Arial"/>
        </w:rPr>
        <w:t xml:space="preserve">, en contra de la respuesta de la </w:t>
      </w:r>
      <w:r w:rsidRPr="0066727B">
        <w:rPr>
          <w:rFonts w:ascii="Palatino Linotype" w:hAnsi="Palatino Linotype"/>
          <w:b/>
          <w:bCs/>
          <w:color w:val="000000"/>
        </w:rPr>
        <w:t>Fiscalía General de Justicia del Estado de México</w:t>
      </w:r>
      <w:r w:rsidRPr="0066727B">
        <w:rPr>
          <w:rFonts w:ascii="Palatino Linotype" w:eastAsia="Calibri" w:hAnsi="Palatino Linotype" w:cs="Arial"/>
          <w:lang w:val="es-ES"/>
        </w:rPr>
        <w:t xml:space="preserve">, </w:t>
      </w:r>
      <w:r w:rsidRPr="0066727B">
        <w:rPr>
          <w:rFonts w:ascii="Palatino Linotype" w:eastAsia="Times New Roman" w:hAnsi="Palatino Linotype" w:cs="Times New Roman"/>
        </w:rPr>
        <w:t>en lo sucesivo el</w:t>
      </w:r>
      <w:r w:rsidRPr="0066727B">
        <w:rPr>
          <w:rFonts w:ascii="Palatino Linotype" w:eastAsia="Times New Roman" w:hAnsi="Palatino Linotype" w:cs="Times New Roman"/>
          <w:b/>
        </w:rPr>
        <w:t xml:space="preserve"> SUJETO OBLIGADO, </w:t>
      </w:r>
      <w:r w:rsidRPr="0066727B">
        <w:rPr>
          <w:rFonts w:ascii="Palatino Linotype" w:eastAsia="Times New Roman" w:hAnsi="Palatino Linotype" w:cs="Times New Roman"/>
        </w:rPr>
        <w:t>se procede a dictar la presente resolución, con base en los siguientes:</w:t>
      </w:r>
    </w:p>
    <w:p w14:paraId="036A5538" w14:textId="77777777" w:rsidR="004C3391" w:rsidRPr="0066727B" w:rsidRDefault="004C3391" w:rsidP="004C3391">
      <w:pPr>
        <w:pStyle w:val="Ttulo1"/>
        <w:tabs>
          <w:tab w:val="left" w:pos="567"/>
        </w:tabs>
        <w:jc w:val="center"/>
        <w:rPr>
          <w:b w:val="0"/>
          <w:color w:val="auto"/>
        </w:rPr>
      </w:pPr>
      <w:bookmarkStart w:id="4" w:name="_Toc58589150"/>
      <w:r w:rsidRPr="0066727B">
        <w:rPr>
          <w:color w:val="auto"/>
        </w:rPr>
        <w:t>ANTECEDENTES</w:t>
      </w:r>
      <w:bookmarkEnd w:id="4"/>
    </w:p>
    <w:p w14:paraId="2153F214" w14:textId="77777777" w:rsidR="004C3391" w:rsidRPr="0066727B" w:rsidRDefault="004C3391" w:rsidP="004C3391">
      <w:pPr>
        <w:tabs>
          <w:tab w:val="left" w:pos="567"/>
        </w:tabs>
        <w:rPr>
          <w:rFonts w:ascii="Palatino Linotype" w:hAnsi="Palatino Linotype"/>
          <w:lang w:val="es-MX" w:eastAsia="en-US"/>
        </w:rPr>
      </w:pPr>
    </w:p>
    <w:p w14:paraId="2C7AAD9A" w14:textId="4A8B4365" w:rsidR="004C3391" w:rsidRPr="0066727B" w:rsidRDefault="004C3391" w:rsidP="004C339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6727B">
        <w:rPr>
          <w:rFonts w:ascii="Palatino Linotype" w:eastAsia="Calibri" w:hAnsi="Palatino Linotype" w:cs="Arial"/>
          <w:color w:val="000000" w:themeColor="text1"/>
          <w:lang w:val="es-ES"/>
        </w:rPr>
        <w:t xml:space="preserve">El día </w:t>
      </w:r>
      <w:r w:rsidR="007D4C10" w:rsidRPr="0066727B">
        <w:rPr>
          <w:rFonts w:ascii="Palatino Linotype" w:eastAsia="Calibri" w:hAnsi="Palatino Linotype" w:cs="Arial"/>
          <w:color w:val="000000" w:themeColor="text1"/>
          <w:lang w:val="es-ES"/>
        </w:rPr>
        <w:t>nueve</w:t>
      </w:r>
      <w:r w:rsidRPr="0066727B">
        <w:rPr>
          <w:rFonts w:ascii="Palatino Linotype" w:eastAsia="Calibri" w:hAnsi="Palatino Linotype" w:cs="Arial"/>
          <w:color w:val="000000" w:themeColor="text1"/>
          <w:lang w:val="es-ES"/>
        </w:rPr>
        <w:t xml:space="preserve"> (</w:t>
      </w:r>
      <w:r w:rsidR="007D4C10" w:rsidRPr="0066727B">
        <w:rPr>
          <w:rFonts w:ascii="Palatino Linotype" w:eastAsia="Calibri" w:hAnsi="Palatino Linotype" w:cs="Arial"/>
          <w:color w:val="000000" w:themeColor="text1"/>
          <w:lang w:val="es-ES"/>
        </w:rPr>
        <w:t>09</w:t>
      </w:r>
      <w:r w:rsidRPr="0066727B">
        <w:rPr>
          <w:rFonts w:ascii="Palatino Linotype" w:eastAsia="Calibri" w:hAnsi="Palatino Linotype" w:cs="Arial"/>
          <w:color w:val="000000" w:themeColor="text1"/>
          <w:lang w:val="es-ES"/>
        </w:rPr>
        <w:t xml:space="preserve">) de </w:t>
      </w:r>
      <w:r w:rsidR="007D4C10" w:rsidRPr="0066727B">
        <w:rPr>
          <w:rFonts w:ascii="Palatino Linotype" w:eastAsia="Calibri" w:hAnsi="Palatino Linotype" w:cs="Arial"/>
          <w:color w:val="000000" w:themeColor="text1"/>
          <w:lang w:val="es-ES"/>
        </w:rPr>
        <w:t>octubre</w:t>
      </w:r>
      <w:r w:rsidRPr="0066727B">
        <w:rPr>
          <w:rFonts w:ascii="Palatino Linotype" w:eastAsia="Calibri" w:hAnsi="Palatino Linotype" w:cs="Arial"/>
          <w:color w:val="000000" w:themeColor="text1"/>
          <w:lang w:val="es-ES"/>
        </w:rPr>
        <w:t xml:space="preserve"> de dos mil veinte,</w:t>
      </w:r>
      <w:r w:rsidRPr="0066727B">
        <w:rPr>
          <w:rFonts w:ascii="Palatino Linotype" w:eastAsia="Calibri" w:hAnsi="Palatino Linotype" w:cs="Times New Roman"/>
          <w:color w:val="000000" w:themeColor="text1"/>
          <w:lang w:val="es-ES"/>
        </w:rPr>
        <w:t xml:space="preserve"> </w:t>
      </w:r>
      <w:r w:rsidRPr="0066727B">
        <w:rPr>
          <w:rFonts w:ascii="Palatino Linotype" w:eastAsia="Calibri" w:hAnsi="Palatino Linotype" w:cs="Arial"/>
          <w:lang w:val="es-ES"/>
        </w:rPr>
        <w:t>se</w:t>
      </w:r>
      <w:r w:rsidRPr="0066727B">
        <w:rPr>
          <w:rFonts w:ascii="Palatino Linotype" w:eastAsia="Calibri" w:hAnsi="Palatino Linotype" w:cs="Arial"/>
          <w:b/>
          <w:lang w:val="es-ES"/>
        </w:rPr>
        <w:t xml:space="preserve"> </w:t>
      </w:r>
      <w:r w:rsidRPr="0066727B">
        <w:rPr>
          <w:rFonts w:ascii="Palatino Linotype" w:hAnsi="Palatino Linotype"/>
          <w:color w:val="000000" w:themeColor="text1"/>
        </w:rPr>
        <w:t>presentó</w:t>
      </w:r>
      <w:r w:rsidRPr="0066727B">
        <w:rPr>
          <w:rFonts w:ascii="Palatino Linotype" w:hAnsi="Palatino Linotype"/>
          <w:b/>
          <w:color w:val="000000" w:themeColor="text1"/>
        </w:rPr>
        <w:t xml:space="preserve"> </w:t>
      </w:r>
      <w:r w:rsidRPr="0066727B">
        <w:rPr>
          <w:rFonts w:ascii="Palatino Linotype" w:eastAsia="Calibri" w:hAnsi="Palatino Linotype" w:cs="Arial"/>
          <w:color w:val="000000" w:themeColor="text1"/>
        </w:rPr>
        <w:t xml:space="preserve">vía </w:t>
      </w:r>
      <w:r w:rsidRPr="0066727B">
        <w:rPr>
          <w:rFonts w:ascii="Palatino Linotype" w:eastAsia="Calibri" w:hAnsi="Palatino Linotype" w:cs="Arial"/>
          <w:color w:val="000000" w:themeColor="text1"/>
          <w:lang w:val="es-ES"/>
        </w:rPr>
        <w:t xml:space="preserve">Sistema de Acceso a la Información Mexiquense </w:t>
      </w:r>
      <w:r w:rsidRPr="0066727B">
        <w:rPr>
          <w:rFonts w:ascii="Palatino Linotype" w:eastAsia="Calibri" w:hAnsi="Palatino Linotype" w:cs="Arial"/>
          <w:b/>
          <w:color w:val="000000" w:themeColor="text1"/>
          <w:lang w:val="es-ES"/>
        </w:rPr>
        <w:t>(SAIMEX)</w:t>
      </w:r>
      <w:r w:rsidRPr="0066727B">
        <w:rPr>
          <w:rFonts w:ascii="Palatino Linotype" w:eastAsia="Calibri" w:hAnsi="Palatino Linotype" w:cs="Arial"/>
          <w:color w:val="000000" w:themeColor="text1"/>
          <w:lang w:val="es-ES"/>
        </w:rPr>
        <w:t>, la solicitud de información pública registrada con el número</w:t>
      </w:r>
      <w:r w:rsidRPr="0066727B">
        <w:rPr>
          <w:rFonts w:ascii="Palatino Linotype" w:eastAsia="Calibri" w:hAnsi="Palatino Linotype" w:cs="Arial"/>
          <w:b/>
          <w:color w:val="000000" w:themeColor="text1"/>
          <w:lang w:val="es-ES"/>
        </w:rPr>
        <w:t xml:space="preserve"> </w:t>
      </w:r>
      <w:r w:rsidR="007D4C10" w:rsidRPr="0066727B">
        <w:rPr>
          <w:rFonts w:ascii="Palatino Linotype" w:eastAsia="Calibri" w:hAnsi="Palatino Linotype" w:cs="Arial"/>
          <w:b/>
          <w:color w:val="000000" w:themeColor="text1"/>
          <w:lang w:val="es-ES"/>
        </w:rPr>
        <w:t>00651/FGJ/IP/2020</w:t>
      </w:r>
      <w:r w:rsidRPr="0066727B">
        <w:rPr>
          <w:rFonts w:ascii="Palatino Linotype" w:hAnsi="Palatino Linotype"/>
          <w:b/>
          <w:bCs/>
          <w:color w:val="000000" w:themeColor="text1"/>
        </w:rPr>
        <w:t>,</w:t>
      </w:r>
      <w:r w:rsidRPr="0066727B">
        <w:rPr>
          <w:rFonts w:ascii="Palatino Linotype" w:eastAsia="Calibri" w:hAnsi="Palatino Linotype" w:cs="Arial"/>
          <w:color w:val="000000" w:themeColor="text1"/>
          <w:lang w:val="es-ES"/>
        </w:rPr>
        <w:t xml:space="preserve"> mediante la cual se requirió:</w:t>
      </w:r>
    </w:p>
    <w:p w14:paraId="7962B998" w14:textId="77777777" w:rsidR="004C3391" w:rsidRPr="0066727B" w:rsidRDefault="004C3391" w:rsidP="004C339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6F574" w14:textId="29AD6BBE" w:rsidR="004C3391" w:rsidRPr="0066727B" w:rsidRDefault="004C3391" w:rsidP="004C3391">
      <w:pPr>
        <w:spacing w:line="360" w:lineRule="auto"/>
        <w:ind w:left="567" w:right="567"/>
        <w:jc w:val="both"/>
        <w:rPr>
          <w:rFonts w:ascii="Palatino Linotype" w:hAnsi="Palatino Linotype"/>
          <w:i/>
          <w:color w:val="000000"/>
          <w:sz w:val="22"/>
          <w:szCs w:val="22"/>
        </w:rPr>
      </w:pPr>
      <w:r w:rsidRPr="0066727B">
        <w:rPr>
          <w:rFonts w:ascii="Palatino Linotype" w:hAnsi="Palatino Linotype"/>
          <w:i/>
          <w:color w:val="000000"/>
          <w:sz w:val="22"/>
          <w:szCs w:val="22"/>
        </w:rPr>
        <w:t>“</w:t>
      </w:r>
      <w:r w:rsidR="007D4C10" w:rsidRPr="0066727B">
        <w:rPr>
          <w:rFonts w:ascii="Palatino Linotype" w:hAnsi="Palatino Linotype"/>
          <w:i/>
          <w:color w:val="000000"/>
          <w:sz w:val="22"/>
          <w:szCs w:val="22"/>
        </w:rPr>
        <w:t>NUMERO DE DENUNCIAS POR EL DELITO DE ABUSO SEXUAL A MENORES DE EDAD PRESENTADAS ANTE DICHA REPRESENTACION SOCIAL EN FECHA 12 DE ABRIL DEL 2018 AL 12 DE ABRIL DEL2020. • NUMERO DE DENUNCIAS POR E DELITO DE ABUSO SEXUAL A MENORES DE EDADPRESENTADAS ANTE DICHA REPRESENTACION SOCIAL DE FECHA 12 DE ABRIL DEL 2019 AL 12 DE ABRIL DEL 2020.</w:t>
      </w:r>
      <w:r w:rsidRPr="0066727B">
        <w:rPr>
          <w:rFonts w:ascii="Palatino Linotype" w:hAnsi="Palatino Linotype"/>
          <w:i/>
          <w:color w:val="000000"/>
          <w:sz w:val="22"/>
          <w:szCs w:val="22"/>
        </w:rPr>
        <w:t>” (Sic)</w:t>
      </w:r>
    </w:p>
    <w:p w14:paraId="35BA537F" w14:textId="77777777" w:rsidR="00695AFE" w:rsidRPr="0066727B" w:rsidRDefault="00695AFE" w:rsidP="00695A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9F6D3EC" w14:textId="4DAB1F22" w:rsidR="00F86316" w:rsidRPr="0066727B" w:rsidRDefault="00F86316" w:rsidP="00F8631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sz w:val="22"/>
          <w:szCs w:val="22"/>
        </w:rPr>
      </w:pPr>
      <w:r w:rsidRPr="0066727B">
        <w:rPr>
          <w:rFonts w:ascii="Palatino Linotype" w:hAnsi="Palatino Linotype" w:cs="Arial"/>
          <w:color w:val="000000" w:themeColor="text1"/>
        </w:rPr>
        <w:lastRenderedPageBreak/>
        <w:t>A su solicitud adjuntó el archivo electrónico “</w:t>
      </w:r>
      <w:hyperlink r:id="rId8" w:tgtFrame="_blank" w:history="1">
        <w:r w:rsidRPr="0066727B">
          <w:rPr>
            <w:rStyle w:val="Hipervnculo"/>
            <w:rFonts w:ascii="Palatino Linotype" w:hAnsi="Palatino Linotype" w:cs="Arial"/>
            <w:b/>
            <w:bCs/>
            <w:i/>
            <w:color w:val="000000" w:themeColor="text1"/>
            <w:sz w:val="22"/>
            <w:szCs w:val="22"/>
            <w:u w:val="none"/>
          </w:rPr>
          <w:t>PETICION (1).docx</w:t>
        </w:r>
      </w:hyperlink>
      <w:r w:rsidRPr="0066727B">
        <w:rPr>
          <w:rFonts w:ascii="Palatino Linotype" w:hAnsi="Palatino Linotype" w:cs="Arial"/>
          <w:i/>
          <w:color w:val="000000" w:themeColor="text1"/>
          <w:sz w:val="22"/>
          <w:szCs w:val="22"/>
        </w:rPr>
        <w:t xml:space="preserve">” </w:t>
      </w:r>
      <w:r w:rsidR="00695AFE" w:rsidRPr="0066727B">
        <w:rPr>
          <w:rFonts w:ascii="Palatino Linotype" w:hAnsi="Palatino Linotype" w:cs="Arial"/>
          <w:color w:val="000000" w:themeColor="text1"/>
          <w:sz w:val="22"/>
          <w:szCs w:val="22"/>
        </w:rPr>
        <w:t>constante en una hoja con el requerimiento citado en el párrafo precedente, y a través del cual el particular señala correos electrónicos para recibir su respuesta.</w:t>
      </w:r>
    </w:p>
    <w:p w14:paraId="776B2CBD" w14:textId="77777777" w:rsidR="00F86316" w:rsidRPr="0066727B" w:rsidRDefault="00F86316" w:rsidP="00F86316">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DB7F9B4" w14:textId="07EDFD8B" w:rsidR="004C3391" w:rsidRPr="0066727B" w:rsidRDefault="004C3391"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6727B">
        <w:rPr>
          <w:rFonts w:ascii="Palatino Linotype" w:hAnsi="Palatino Linotype" w:cs="Arial"/>
          <w:color w:val="000000" w:themeColor="text1"/>
        </w:rPr>
        <w:t xml:space="preserve">Se hace constar que </w:t>
      </w:r>
      <w:r w:rsidRPr="0066727B">
        <w:rPr>
          <w:rFonts w:ascii="Palatino Linotype" w:eastAsia="Times New Roman" w:hAnsi="Palatino Linotype" w:cs="Arial"/>
          <w:color w:val="000000" w:themeColor="text1"/>
          <w:lang w:val="es-ES"/>
        </w:rPr>
        <w:t>se señaló como modalidad de entrega de la información</w:t>
      </w:r>
      <w:r w:rsidRPr="0066727B">
        <w:rPr>
          <w:rFonts w:ascii="Palatino Linotype" w:eastAsia="Times New Roman" w:hAnsi="Palatino Linotype" w:cs="Arial"/>
          <w:b/>
          <w:color w:val="000000" w:themeColor="text1"/>
          <w:lang w:val="es-ES"/>
        </w:rPr>
        <w:t>:</w:t>
      </w:r>
      <w:r w:rsidRPr="0066727B">
        <w:rPr>
          <w:rFonts w:ascii="Palatino Linotype" w:eastAsia="Times New Roman" w:hAnsi="Palatino Linotype" w:cs="Arial"/>
          <w:color w:val="000000" w:themeColor="text1"/>
          <w:lang w:val="es-ES"/>
        </w:rPr>
        <w:t xml:space="preserve"> </w:t>
      </w:r>
      <w:r w:rsidR="00695AFE" w:rsidRPr="0066727B">
        <w:rPr>
          <w:rFonts w:ascii="Palatino Linotype" w:eastAsia="Times New Roman" w:hAnsi="Palatino Linotype" w:cs="Arial"/>
          <w:color w:val="000000" w:themeColor="text1"/>
          <w:lang w:val="es-ES"/>
        </w:rPr>
        <w:t>Consulta Directa sin costo</w:t>
      </w:r>
      <w:r w:rsidR="00F86316" w:rsidRPr="0066727B">
        <w:rPr>
          <w:rFonts w:ascii="Palatino Linotype" w:eastAsia="Calibri" w:hAnsi="Palatino Linotype" w:cs="Arial"/>
          <w:b/>
          <w:color w:val="000000" w:themeColor="text1"/>
          <w:lang w:val="es-ES"/>
        </w:rPr>
        <w:t xml:space="preserve"> y a través de correo electrónico.</w:t>
      </w:r>
    </w:p>
    <w:p w14:paraId="7FB82C19" w14:textId="77777777" w:rsidR="005074F1" w:rsidRPr="0066727B" w:rsidRDefault="005074F1" w:rsidP="004C339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C80C6A5" w14:textId="155B5255" w:rsidR="004C3391" w:rsidRPr="0066727B" w:rsidRDefault="004C3391" w:rsidP="004C339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66727B">
        <w:rPr>
          <w:rFonts w:ascii="Palatino Linotype" w:eastAsia="Calibri" w:hAnsi="Palatino Linotype" w:cs="Arial"/>
          <w:lang w:val="es-AR"/>
        </w:rPr>
        <w:t xml:space="preserve">El día </w:t>
      </w:r>
      <w:r w:rsidR="00B06280" w:rsidRPr="0066727B">
        <w:rPr>
          <w:rFonts w:ascii="Palatino Linotype" w:eastAsia="Calibri" w:hAnsi="Palatino Linotype" w:cs="Arial"/>
          <w:lang w:val="es-AR"/>
        </w:rPr>
        <w:t>treinta</w:t>
      </w:r>
      <w:r w:rsidRPr="0066727B">
        <w:rPr>
          <w:rFonts w:ascii="Palatino Linotype" w:eastAsia="Calibri" w:hAnsi="Palatino Linotype" w:cs="Arial"/>
          <w:lang w:val="es-AR"/>
        </w:rPr>
        <w:t xml:space="preserve"> (</w:t>
      </w:r>
      <w:r w:rsidR="00B06280" w:rsidRPr="0066727B">
        <w:rPr>
          <w:rFonts w:ascii="Palatino Linotype" w:eastAsia="Calibri" w:hAnsi="Palatino Linotype" w:cs="Arial"/>
          <w:lang w:val="es-AR"/>
        </w:rPr>
        <w:t>30</w:t>
      </w:r>
      <w:r w:rsidRPr="0066727B">
        <w:rPr>
          <w:rFonts w:ascii="Palatino Linotype" w:hAnsi="Palatino Linotype"/>
          <w:i/>
        </w:rPr>
        <w:t xml:space="preserve">) </w:t>
      </w:r>
      <w:r w:rsidRPr="0066727B">
        <w:rPr>
          <w:rFonts w:ascii="Palatino Linotype" w:hAnsi="Palatino Linotype"/>
        </w:rPr>
        <w:t xml:space="preserve">de </w:t>
      </w:r>
      <w:r w:rsidR="00B06280" w:rsidRPr="0066727B">
        <w:rPr>
          <w:rFonts w:ascii="Palatino Linotype" w:hAnsi="Palatino Linotype"/>
        </w:rPr>
        <w:t>octubre</w:t>
      </w:r>
      <w:r w:rsidRPr="0066727B">
        <w:rPr>
          <w:rFonts w:ascii="Palatino Linotype" w:hAnsi="Palatino Linotype"/>
        </w:rPr>
        <w:t xml:space="preserve"> de dos mil veinte</w:t>
      </w:r>
      <w:r w:rsidRPr="0066727B">
        <w:rPr>
          <w:rFonts w:ascii="Palatino Linotype" w:eastAsia="Times New Roman" w:hAnsi="Palatino Linotype" w:cs="Arial"/>
          <w:lang w:val="es-ES"/>
        </w:rPr>
        <w:t xml:space="preserve">, el </w:t>
      </w:r>
      <w:r w:rsidRPr="0066727B">
        <w:rPr>
          <w:rFonts w:ascii="Palatino Linotype" w:eastAsia="Times New Roman" w:hAnsi="Palatino Linotype" w:cs="Arial"/>
          <w:b/>
          <w:lang w:val="es-ES"/>
        </w:rPr>
        <w:t xml:space="preserve">SUJETO OBLIGADO </w:t>
      </w:r>
      <w:r w:rsidRPr="0066727B">
        <w:rPr>
          <w:rFonts w:ascii="Palatino Linotype" w:eastAsia="Times New Roman" w:hAnsi="Palatino Linotype" w:cs="Arial"/>
          <w:color w:val="000000" w:themeColor="text1"/>
          <w:lang w:val="es-ES"/>
        </w:rPr>
        <w:t>respondió a la solicitud de información en los términos siguientes:</w:t>
      </w:r>
    </w:p>
    <w:p w14:paraId="53519376" w14:textId="77777777" w:rsidR="004C3391" w:rsidRPr="0066727B" w:rsidRDefault="004C3391" w:rsidP="004C339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24662E" w14:textId="52187800" w:rsidR="00695AFE" w:rsidRPr="0066727B" w:rsidRDefault="004C3391" w:rsidP="00695AFE">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66727B">
        <w:rPr>
          <w:rFonts w:ascii="Palatino Linotype" w:eastAsia="Calibri" w:hAnsi="Palatino Linotype" w:cs="Arial"/>
          <w:i/>
          <w:sz w:val="22"/>
          <w:szCs w:val="22"/>
          <w:lang w:val="es-AR"/>
        </w:rPr>
        <w:t>“</w:t>
      </w:r>
      <w:r w:rsidR="00695AFE" w:rsidRPr="0066727B">
        <w:rPr>
          <w:rFonts w:ascii="Palatino Linotype" w:eastAsia="Times New Roman" w:hAnsi="Palatino Linotype" w:cs="Times New Roman"/>
          <w:i/>
          <w:sz w:val="22"/>
          <w:szCs w:val="22"/>
          <w:lang w:val="es-MX" w:eastAsia="es-MX"/>
        </w:rPr>
        <w:t xml:space="preserve">Metepec, México a 30 de </w:t>
      </w:r>
      <w:proofErr w:type="gramStart"/>
      <w:r w:rsidR="00695AFE" w:rsidRPr="0066727B">
        <w:rPr>
          <w:rFonts w:ascii="Palatino Linotype" w:eastAsia="Times New Roman" w:hAnsi="Palatino Linotype" w:cs="Times New Roman"/>
          <w:i/>
          <w:sz w:val="22"/>
          <w:szCs w:val="22"/>
          <w:lang w:val="es-MX" w:eastAsia="es-MX"/>
        </w:rPr>
        <w:t>Octubre</w:t>
      </w:r>
      <w:proofErr w:type="gramEnd"/>
      <w:r w:rsidR="00695AFE" w:rsidRPr="0066727B">
        <w:rPr>
          <w:rFonts w:ascii="Palatino Linotype" w:eastAsia="Times New Roman" w:hAnsi="Palatino Linotype" w:cs="Times New Roman"/>
          <w:i/>
          <w:sz w:val="22"/>
          <w:szCs w:val="22"/>
          <w:lang w:val="es-MX" w:eastAsia="es-MX"/>
        </w:rPr>
        <w:t xml:space="preserve"> de 2020</w:t>
      </w:r>
    </w:p>
    <w:p w14:paraId="0FC0676D" w14:textId="0681539E" w:rsidR="00695AFE" w:rsidRPr="0066727B" w:rsidRDefault="00695AFE" w:rsidP="00695AFE">
      <w:pPr>
        <w:pStyle w:val="Prrafodelista"/>
        <w:tabs>
          <w:tab w:val="left" w:pos="567"/>
        </w:tabs>
        <w:spacing w:before="100" w:beforeAutospacing="1" w:after="100" w:afterAutospacing="1" w:line="360" w:lineRule="auto"/>
        <w:ind w:left="567" w:right="567"/>
        <w:jc w:val="right"/>
        <w:rPr>
          <w:rFonts w:ascii="Palatino Linotype" w:eastAsia="Times New Roman" w:hAnsi="Palatino Linotype" w:cs="Times New Roman"/>
          <w:i/>
          <w:sz w:val="22"/>
          <w:szCs w:val="22"/>
          <w:lang w:val="es-MX" w:eastAsia="es-MX"/>
        </w:rPr>
      </w:pPr>
      <w:r w:rsidRPr="0066727B">
        <w:rPr>
          <w:rFonts w:ascii="Palatino Linotype" w:eastAsia="Times New Roman" w:hAnsi="Palatino Linotype" w:cs="Times New Roman"/>
          <w:i/>
          <w:sz w:val="22"/>
          <w:szCs w:val="22"/>
          <w:lang w:val="es-MX" w:eastAsia="es-MX"/>
        </w:rPr>
        <w:t xml:space="preserve">Nombre del solicitante: </w:t>
      </w:r>
      <w:r w:rsidR="000E7E89" w:rsidRPr="000E7E89">
        <w:rPr>
          <w:rFonts w:ascii="Palatino Linotype" w:eastAsia="Times New Roman" w:hAnsi="Palatino Linotype" w:cs="Times New Roman"/>
          <w:i/>
          <w:sz w:val="22"/>
          <w:szCs w:val="22"/>
          <w:highlight w:val="black"/>
          <w:lang w:val="es-MX" w:eastAsia="es-MX"/>
        </w:rPr>
        <w:t>-----------------------------------------</w:t>
      </w:r>
    </w:p>
    <w:p w14:paraId="1873BE7C" w14:textId="2B5F605B" w:rsidR="00695AFE" w:rsidRPr="0066727B" w:rsidRDefault="00695AFE" w:rsidP="00695AFE">
      <w:pPr>
        <w:pStyle w:val="Prrafodelista"/>
        <w:tabs>
          <w:tab w:val="left" w:pos="567"/>
        </w:tabs>
        <w:spacing w:before="100" w:beforeAutospacing="1" w:after="100" w:afterAutospacing="1" w:line="360" w:lineRule="auto"/>
        <w:ind w:left="567" w:right="567"/>
        <w:jc w:val="right"/>
        <w:rPr>
          <w:rFonts w:ascii="Palatino Linotype" w:eastAsia="Calibri" w:hAnsi="Palatino Linotype" w:cs="Arial"/>
          <w:i/>
          <w:sz w:val="22"/>
          <w:szCs w:val="22"/>
          <w:lang w:val="es-AR"/>
        </w:rPr>
      </w:pPr>
      <w:r w:rsidRPr="0066727B">
        <w:rPr>
          <w:rFonts w:ascii="Palatino Linotype" w:eastAsia="Times New Roman" w:hAnsi="Palatino Linotype" w:cs="Times New Roman"/>
          <w:i/>
          <w:sz w:val="22"/>
          <w:szCs w:val="22"/>
          <w:lang w:val="es-MX" w:eastAsia="es-MX"/>
        </w:rPr>
        <w:t>Folio de la solicitud: 00651/FGJ/IP/2020</w:t>
      </w:r>
    </w:p>
    <w:p w14:paraId="4904851F" w14:textId="77777777" w:rsidR="00695AFE" w:rsidRPr="0066727B" w:rsidRDefault="00695AFE" w:rsidP="005074F1">
      <w:pPr>
        <w:pStyle w:val="Prrafodelista"/>
        <w:tabs>
          <w:tab w:val="left" w:pos="567"/>
        </w:tabs>
        <w:spacing w:before="100" w:beforeAutospacing="1" w:after="100" w:afterAutospacing="1" w:line="360" w:lineRule="auto"/>
        <w:ind w:left="567" w:right="567"/>
        <w:jc w:val="both"/>
        <w:rPr>
          <w:rFonts w:ascii="Palatino Linotype" w:eastAsia="Calibri" w:hAnsi="Palatino Linotype" w:cs="Arial"/>
          <w:i/>
          <w:sz w:val="22"/>
          <w:szCs w:val="22"/>
          <w:lang w:val="es-AR"/>
        </w:rPr>
      </w:pPr>
    </w:p>
    <w:p w14:paraId="065AF470" w14:textId="096C0B4B" w:rsidR="004C3391" w:rsidRPr="0066727B" w:rsidRDefault="005074F1" w:rsidP="005074F1">
      <w:pPr>
        <w:pStyle w:val="Prrafodelista"/>
        <w:tabs>
          <w:tab w:val="left" w:pos="567"/>
        </w:tabs>
        <w:spacing w:before="100" w:beforeAutospacing="1" w:after="100" w:afterAutospacing="1" w:line="360" w:lineRule="auto"/>
        <w:ind w:left="567" w:right="567"/>
        <w:jc w:val="both"/>
        <w:rPr>
          <w:rFonts w:ascii="Palatino Linotype" w:eastAsia="Calibri" w:hAnsi="Palatino Linotype" w:cs="Arial"/>
          <w:i/>
          <w:sz w:val="22"/>
          <w:szCs w:val="22"/>
          <w:lang w:val="es-AR"/>
        </w:rPr>
      </w:pPr>
      <w:r w:rsidRPr="0066727B">
        <w:rPr>
          <w:rFonts w:ascii="Palatino Linotype" w:eastAsia="Calibri" w:hAnsi="Palatino Linotype" w:cs="Arial"/>
          <w:i/>
          <w:sz w:val="22"/>
          <w:szCs w:val="22"/>
          <w:lang w:val="es-AR"/>
        </w:rPr>
        <w:t>Toluca de Lerdo, Estado de México; a 24 de agosto de 2020. Número de oficio: 0967/MAIP/FGJ/IP/2020 “</w:t>
      </w:r>
      <w:r w:rsidR="000E7E89" w:rsidRPr="000E7E89">
        <w:rPr>
          <w:rFonts w:ascii="Palatino Linotype" w:eastAsia="Calibri" w:hAnsi="Palatino Linotype" w:cs="Arial"/>
          <w:i/>
          <w:sz w:val="22"/>
          <w:szCs w:val="22"/>
          <w:highlight w:val="black"/>
          <w:lang w:val="es-AR"/>
        </w:rPr>
        <w:t>------------------------------------</w:t>
      </w:r>
      <w:r w:rsidRPr="0066727B">
        <w:rPr>
          <w:rFonts w:ascii="Palatino Linotype" w:eastAsia="Calibri" w:hAnsi="Palatino Linotype" w:cs="Arial"/>
          <w:i/>
          <w:sz w:val="22"/>
          <w:szCs w:val="22"/>
          <w:lang w:val="es-AR"/>
        </w:rPr>
        <w:t xml:space="preserve">” Hago referencia al contenido de su solicitud de información pública, presentada el 18 de junio del año 2020, ante la Unidad de Transparencia y Acceso a la Información Pública de la Fiscalía General de Justicia del Estado de México, misma que fue registrada en el Sistema de Acceso a la Información Mexiquense (SAIMEX), bajo el folio </w:t>
      </w:r>
      <w:r w:rsidR="007D4C10" w:rsidRPr="0066727B">
        <w:rPr>
          <w:rFonts w:ascii="Palatino Linotype" w:eastAsia="Calibri" w:hAnsi="Palatino Linotype" w:cs="Arial"/>
          <w:i/>
          <w:sz w:val="22"/>
          <w:szCs w:val="22"/>
          <w:lang w:val="es-AR"/>
        </w:rPr>
        <w:t>00651/FGJ/IP/2020</w:t>
      </w:r>
      <w:r w:rsidRPr="0066727B">
        <w:rPr>
          <w:rFonts w:ascii="Palatino Linotype" w:eastAsia="Calibri" w:hAnsi="Palatino Linotype" w:cs="Arial"/>
          <w:i/>
          <w:sz w:val="22"/>
          <w:szCs w:val="22"/>
          <w:lang w:val="es-AR"/>
        </w:rPr>
        <w:t xml:space="preserve">, en la que pide lo siguiente: “Solicito el expediente </w:t>
      </w:r>
      <w:proofErr w:type="spellStart"/>
      <w:r w:rsidRPr="0066727B">
        <w:rPr>
          <w:rFonts w:ascii="Palatino Linotype" w:eastAsia="Calibri" w:hAnsi="Palatino Linotype" w:cs="Arial"/>
          <w:i/>
          <w:sz w:val="22"/>
          <w:szCs w:val="22"/>
          <w:lang w:val="es-AR"/>
        </w:rPr>
        <w:t>publico</w:t>
      </w:r>
      <w:proofErr w:type="spellEnd"/>
      <w:r w:rsidRPr="0066727B">
        <w:rPr>
          <w:rFonts w:ascii="Palatino Linotype" w:eastAsia="Calibri" w:hAnsi="Palatino Linotype" w:cs="Arial"/>
          <w:i/>
          <w:sz w:val="22"/>
          <w:szCs w:val="22"/>
          <w:lang w:val="es-AR"/>
        </w:rPr>
        <w:t xml:space="preserve"> del caso Paulette </w:t>
      </w:r>
      <w:proofErr w:type="spellStart"/>
      <w:r w:rsidRPr="0066727B">
        <w:rPr>
          <w:rFonts w:ascii="Palatino Linotype" w:eastAsia="Calibri" w:hAnsi="Palatino Linotype" w:cs="Arial"/>
          <w:i/>
          <w:sz w:val="22"/>
          <w:szCs w:val="22"/>
          <w:lang w:val="es-AR"/>
        </w:rPr>
        <w:t>Gebara</w:t>
      </w:r>
      <w:proofErr w:type="spellEnd"/>
      <w:r w:rsidRPr="0066727B">
        <w:rPr>
          <w:rFonts w:ascii="Palatino Linotype" w:eastAsia="Calibri" w:hAnsi="Palatino Linotype" w:cs="Arial"/>
          <w:i/>
          <w:sz w:val="22"/>
          <w:szCs w:val="22"/>
          <w:lang w:val="es-AR"/>
        </w:rPr>
        <w:t xml:space="preserve"> Farah.” (sic). Al respecto, esta Fiscalía General de Justicia del Estado de México, con fundamento en los artículos 1, 4 y 163 de la Ley de Transparencia y Acceso a la Información Pública del Estado de México y Municipios, hace de su conocimiento que de acuerdo a lo informado por el Director General Jurídico y Consultivo, Servidor </w:t>
      </w:r>
      <w:r w:rsidRPr="0066727B">
        <w:rPr>
          <w:rFonts w:ascii="Palatino Linotype" w:eastAsia="Calibri" w:hAnsi="Palatino Linotype" w:cs="Arial"/>
          <w:i/>
          <w:sz w:val="22"/>
          <w:szCs w:val="22"/>
          <w:lang w:val="es-AR"/>
        </w:rPr>
        <w:lastRenderedPageBreak/>
        <w:t xml:space="preserve">Público Habilitado, después de efectuar una búsqueda en el archivo de esa Unidad Administrativa, advirtió lo siguiente: En fecha 31 de mayo de 2010, el entonces Procurador General de Justicia del Estado de México, Lic. Alfredo Castillo Cervantes, dio un informe final de la investigación del caso de la menor Paulette </w:t>
      </w:r>
      <w:proofErr w:type="spellStart"/>
      <w:r w:rsidRPr="0066727B">
        <w:rPr>
          <w:rFonts w:ascii="Palatino Linotype" w:eastAsia="Calibri" w:hAnsi="Palatino Linotype" w:cs="Arial"/>
          <w:i/>
          <w:sz w:val="22"/>
          <w:szCs w:val="22"/>
          <w:lang w:val="es-AR"/>
        </w:rPr>
        <w:t>Gebara</w:t>
      </w:r>
      <w:proofErr w:type="spellEnd"/>
      <w:r w:rsidRPr="0066727B">
        <w:rPr>
          <w:rFonts w:ascii="Palatino Linotype" w:eastAsia="Calibri" w:hAnsi="Palatino Linotype" w:cs="Arial"/>
          <w:i/>
          <w:sz w:val="22"/>
          <w:szCs w:val="22"/>
          <w:lang w:val="es-AR"/>
        </w:rPr>
        <w:t xml:space="preserve"> Farah, en el cual dio a conocer las conclusiones a las que se llegó con las investigaciones realizadas; así mismo, da detalles de los peritajes y las pruebas con las que se </w:t>
      </w:r>
      <w:proofErr w:type="spellStart"/>
      <w:r w:rsidRPr="0066727B">
        <w:rPr>
          <w:rFonts w:ascii="Palatino Linotype" w:eastAsia="Calibri" w:hAnsi="Palatino Linotype" w:cs="Arial"/>
          <w:i/>
          <w:sz w:val="22"/>
          <w:szCs w:val="22"/>
          <w:lang w:val="es-AR"/>
        </w:rPr>
        <w:t>allegó</w:t>
      </w:r>
      <w:proofErr w:type="spellEnd"/>
      <w:r w:rsidRPr="0066727B">
        <w:rPr>
          <w:rFonts w:ascii="Palatino Linotype" w:eastAsia="Calibri" w:hAnsi="Palatino Linotype" w:cs="Arial"/>
          <w:i/>
          <w:sz w:val="22"/>
          <w:szCs w:val="22"/>
          <w:lang w:val="es-AR"/>
        </w:rPr>
        <w:t xml:space="preserve"> a las mismas. Dicho informe fue publicado por la entonces Procuraduría General de Justicia del Estado de México, en la página web www.transparenciapaulette.com, sin embargo, durante la transición de Procuraduría a la ahora Fiscalía dicha página fue deshabilitada, no </w:t>
      </w:r>
      <w:proofErr w:type="gramStart"/>
      <w:r w:rsidRPr="0066727B">
        <w:rPr>
          <w:rFonts w:ascii="Palatino Linotype" w:eastAsia="Calibri" w:hAnsi="Palatino Linotype" w:cs="Arial"/>
          <w:i/>
          <w:sz w:val="22"/>
          <w:szCs w:val="22"/>
          <w:lang w:val="es-AR"/>
        </w:rPr>
        <w:t>obstante</w:t>
      </w:r>
      <w:proofErr w:type="gramEnd"/>
      <w:r w:rsidRPr="0066727B">
        <w:rPr>
          <w:rFonts w:ascii="Palatino Linotype" w:eastAsia="Calibri" w:hAnsi="Palatino Linotype" w:cs="Arial"/>
          <w:i/>
          <w:sz w:val="22"/>
          <w:szCs w:val="22"/>
          <w:lang w:val="es-AR"/>
        </w:rPr>
        <w:t xml:space="preserve"> lo anterior, dicho informe se albergó en el canal de YouTube denominado Transparencia PGJEM, mismo que se encuentra disponible en el siguiente link: https://www.youtube.com/user/TransparenciaPGJEM. Lo anterior, con fundamento en el artículo 12 párrafo segundo de la Ley de Transparencia y Acceso a la Información Pública del Estado de México y Municipios, el cual dispone: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A T E N T A M E N T E YAMILIT LEYVA GUTIÉRREZ TITULAR DE LA UNIDAD DE TRANSPARENCIA YLG/</w:t>
      </w:r>
      <w:proofErr w:type="spellStart"/>
      <w:r w:rsidRPr="0066727B">
        <w:rPr>
          <w:rFonts w:ascii="Palatino Linotype" w:eastAsia="Calibri" w:hAnsi="Palatino Linotype" w:cs="Arial"/>
          <w:i/>
          <w:sz w:val="22"/>
          <w:szCs w:val="22"/>
          <w:lang w:val="es-AR"/>
        </w:rPr>
        <w:t>pcs</w:t>
      </w:r>
      <w:proofErr w:type="spellEnd"/>
      <w:r w:rsidR="004C3391" w:rsidRPr="0066727B">
        <w:rPr>
          <w:rFonts w:ascii="Palatino Linotype" w:eastAsia="Calibri" w:hAnsi="Palatino Linotype" w:cs="Arial"/>
          <w:i/>
          <w:sz w:val="22"/>
          <w:szCs w:val="22"/>
          <w:lang w:val="es-AR"/>
        </w:rPr>
        <w:t>” (Sic)</w:t>
      </w:r>
    </w:p>
    <w:p w14:paraId="6A6025EE" w14:textId="77777777" w:rsidR="004C3391" w:rsidRPr="0066727B" w:rsidRDefault="004C3391" w:rsidP="004C3391">
      <w:pPr>
        <w:pStyle w:val="Prrafodelista"/>
        <w:tabs>
          <w:tab w:val="left" w:pos="426"/>
          <w:tab w:val="left" w:pos="567"/>
        </w:tabs>
        <w:spacing w:line="360" w:lineRule="auto"/>
        <w:ind w:left="0"/>
        <w:jc w:val="both"/>
        <w:rPr>
          <w:rFonts w:ascii="Palatino Linotype" w:hAnsi="Palatino Linotype" w:cs="Arial"/>
          <w:color w:val="000000" w:themeColor="text1"/>
        </w:rPr>
      </w:pPr>
    </w:p>
    <w:p w14:paraId="54611B85" w14:textId="1B566022" w:rsidR="00B06280" w:rsidRPr="0066727B" w:rsidRDefault="00B06280" w:rsidP="00B06280">
      <w:pPr>
        <w:pStyle w:val="Prrafodelista"/>
        <w:numPr>
          <w:ilvl w:val="0"/>
          <w:numId w:val="1"/>
        </w:numPr>
        <w:tabs>
          <w:tab w:val="left" w:pos="426"/>
          <w:tab w:val="left" w:pos="567"/>
        </w:tabs>
        <w:spacing w:line="360" w:lineRule="auto"/>
        <w:ind w:left="567" w:firstLine="0"/>
        <w:jc w:val="both"/>
        <w:rPr>
          <w:rFonts w:ascii="Palatino Linotype" w:hAnsi="Palatino Linotype" w:cs="Arial"/>
          <w:b/>
          <w:i/>
          <w:color w:val="000000" w:themeColor="text1"/>
        </w:rPr>
      </w:pPr>
      <w:r w:rsidRPr="0066727B">
        <w:rPr>
          <w:rFonts w:ascii="Palatino Linotype" w:hAnsi="Palatino Linotype" w:cs="Arial"/>
          <w:color w:val="000000" w:themeColor="text1"/>
        </w:rPr>
        <w:t>A su respuesta el SUJETO OBLIGADO adjuntó el archivo electrónico “</w:t>
      </w:r>
      <w:hyperlink r:id="rId9" w:tgtFrame="_blank" w:history="1">
        <w:r w:rsidRPr="0066727B">
          <w:rPr>
            <w:rFonts w:ascii="Palatino Linotype" w:hAnsi="Palatino Linotype"/>
            <w:b/>
            <w:i/>
            <w:color w:val="000000" w:themeColor="text1"/>
          </w:rPr>
          <w:t xml:space="preserve">C. </w:t>
        </w:r>
        <w:r w:rsidR="000E7E89" w:rsidRPr="000E7E89">
          <w:rPr>
            <w:rFonts w:ascii="Palatino Linotype" w:hAnsi="Palatino Linotype"/>
            <w:b/>
            <w:i/>
            <w:color w:val="000000" w:themeColor="text1"/>
            <w:highlight w:val="black"/>
          </w:rPr>
          <w:t>------------------------</w:t>
        </w:r>
        <w:r w:rsidRPr="0066727B">
          <w:rPr>
            <w:rFonts w:ascii="Palatino Linotype" w:hAnsi="Palatino Linotype"/>
            <w:b/>
            <w:i/>
            <w:color w:val="000000" w:themeColor="text1"/>
          </w:rPr>
          <w:t>_MAIP 1292_Turno 1890_Oficio 1293.pdf</w:t>
        </w:r>
      </w:hyperlink>
      <w:r w:rsidRPr="0066727B">
        <w:rPr>
          <w:rFonts w:ascii="Palatino Linotype" w:hAnsi="Palatino Linotype" w:cs="Arial"/>
          <w:b/>
          <w:i/>
          <w:color w:val="000000" w:themeColor="text1"/>
        </w:rPr>
        <w:t xml:space="preserve">” </w:t>
      </w:r>
      <w:r w:rsidRPr="0066727B">
        <w:rPr>
          <w:rFonts w:ascii="Palatino Linotype" w:hAnsi="Palatino Linotype" w:cs="Arial"/>
          <w:color w:val="000000" w:themeColor="text1"/>
        </w:rPr>
        <w:t>en cuyo contenido se aprecia la siguiente tabla de datos:</w:t>
      </w:r>
    </w:p>
    <w:p w14:paraId="6B3D1B2A" w14:textId="77777777" w:rsidR="00B06280" w:rsidRPr="0066727B" w:rsidRDefault="00B06280" w:rsidP="00B06280">
      <w:pPr>
        <w:pStyle w:val="Prrafodelista"/>
        <w:tabs>
          <w:tab w:val="left" w:pos="426"/>
          <w:tab w:val="left" w:pos="567"/>
        </w:tabs>
        <w:spacing w:line="360" w:lineRule="auto"/>
        <w:ind w:left="0"/>
        <w:jc w:val="both"/>
        <w:rPr>
          <w:rFonts w:ascii="Palatino Linotype" w:hAnsi="Palatino Linotype" w:cs="Arial"/>
          <w:color w:val="000000" w:themeColor="text1"/>
        </w:rPr>
      </w:pPr>
    </w:p>
    <w:p w14:paraId="77345612" w14:textId="2C69A073" w:rsidR="00B06280" w:rsidRPr="0066727B" w:rsidRDefault="00B06280" w:rsidP="00B06280">
      <w:pPr>
        <w:pStyle w:val="Prrafodelista"/>
        <w:tabs>
          <w:tab w:val="left" w:pos="426"/>
          <w:tab w:val="left" w:pos="567"/>
        </w:tabs>
        <w:spacing w:line="360" w:lineRule="auto"/>
        <w:ind w:left="567"/>
        <w:jc w:val="both"/>
        <w:rPr>
          <w:rFonts w:ascii="Palatino Linotype" w:hAnsi="Palatino Linotype" w:cs="Arial"/>
          <w:b/>
          <w:i/>
          <w:color w:val="000000" w:themeColor="text1"/>
        </w:rPr>
      </w:pPr>
      <w:r w:rsidRPr="0066727B">
        <w:rPr>
          <w:rFonts w:ascii="Palatino Linotype" w:hAnsi="Palatino Linotype" w:cs="Arial"/>
          <w:b/>
          <w:i/>
          <w:noProof/>
          <w:color w:val="000000" w:themeColor="text1"/>
          <w:lang w:val="es-MX" w:eastAsia="es-MX"/>
        </w:rPr>
        <w:drawing>
          <wp:inline distT="0" distB="0" distL="0" distR="0" wp14:anchorId="42B06BF0" wp14:editId="0067F31B">
            <wp:extent cx="5008880" cy="240955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585" t="7773" r="6634" b="6735"/>
                    <a:stretch/>
                  </pic:blipFill>
                  <pic:spPr bwMode="auto">
                    <a:xfrm>
                      <a:off x="0" y="0"/>
                      <a:ext cx="5010733" cy="2410443"/>
                    </a:xfrm>
                    <a:prstGeom prst="rect">
                      <a:avLst/>
                    </a:prstGeom>
                    <a:noFill/>
                    <a:ln>
                      <a:noFill/>
                    </a:ln>
                    <a:extLst>
                      <a:ext uri="{53640926-AAD7-44D8-BBD7-CCE9431645EC}">
                        <a14:shadowObscured xmlns:a14="http://schemas.microsoft.com/office/drawing/2010/main"/>
                      </a:ext>
                    </a:extLst>
                  </pic:spPr>
                </pic:pic>
              </a:graphicData>
            </a:graphic>
          </wp:inline>
        </w:drawing>
      </w:r>
    </w:p>
    <w:p w14:paraId="4D44FFFB" w14:textId="77777777" w:rsidR="00B06280" w:rsidRPr="0066727B" w:rsidRDefault="00B06280" w:rsidP="00B06280">
      <w:pPr>
        <w:pStyle w:val="Prrafodelista"/>
        <w:tabs>
          <w:tab w:val="left" w:pos="426"/>
          <w:tab w:val="left" w:pos="567"/>
        </w:tabs>
        <w:spacing w:line="360" w:lineRule="auto"/>
        <w:ind w:left="567"/>
        <w:jc w:val="both"/>
        <w:rPr>
          <w:rFonts w:ascii="Palatino Linotype" w:hAnsi="Palatino Linotype" w:cs="Arial"/>
          <w:b/>
          <w:color w:val="000000" w:themeColor="text1"/>
        </w:rPr>
      </w:pPr>
    </w:p>
    <w:p w14:paraId="059C12FA" w14:textId="69083EA8" w:rsidR="004C3391" w:rsidRPr="0066727B"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6727B">
        <w:rPr>
          <w:rFonts w:ascii="Palatino Linotype" w:eastAsia="Times New Roman" w:hAnsi="Palatino Linotype" w:cs="Arial"/>
          <w:lang w:val="es-ES"/>
        </w:rPr>
        <w:t xml:space="preserve">El día </w:t>
      </w:r>
      <w:r w:rsidR="00B06280" w:rsidRPr="0066727B">
        <w:rPr>
          <w:rFonts w:ascii="Palatino Linotype" w:eastAsia="Calibri" w:hAnsi="Palatino Linotype" w:cs="Arial"/>
          <w:lang w:val="es-AR"/>
        </w:rPr>
        <w:t>tres</w:t>
      </w:r>
      <w:r w:rsidR="0059422B" w:rsidRPr="0066727B">
        <w:rPr>
          <w:rFonts w:ascii="Palatino Linotype" w:eastAsia="Calibri" w:hAnsi="Palatino Linotype" w:cs="Arial"/>
          <w:lang w:val="es-AR"/>
        </w:rPr>
        <w:t xml:space="preserve"> (</w:t>
      </w:r>
      <w:r w:rsidR="00B06280" w:rsidRPr="0066727B">
        <w:rPr>
          <w:rFonts w:ascii="Palatino Linotype" w:eastAsia="Calibri" w:hAnsi="Palatino Linotype" w:cs="Arial"/>
          <w:lang w:val="es-AR"/>
        </w:rPr>
        <w:t>03</w:t>
      </w:r>
      <w:r w:rsidR="0059422B" w:rsidRPr="0066727B">
        <w:rPr>
          <w:rFonts w:ascii="Palatino Linotype" w:hAnsi="Palatino Linotype"/>
          <w:i/>
        </w:rPr>
        <w:t xml:space="preserve">) </w:t>
      </w:r>
      <w:r w:rsidR="0059422B" w:rsidRPr="0066727B">
        <w:rPr>
          <w:rFonts w:ascii="Palatino Linotype" w:hAnsi="Palatino Linotype"/>
        </w:rPr>
        <w:t xml:space="preserve">de </w:t>
      </w:r>
      <w:r w:rsidR="00B06280" w:rsidRPr="0066727B">
        <w:rPr>
          <w:rFonts w:ascii="Palatino Linotype" w:hAnsi="Palatino Linotype"/>
        </w:rPr>
        <w:t>noviembre</w:t>
      </w:r>
      <w:r w:rsidR="0059422B" w:rsidRPr="0066727B">
        <w:rPr>
          <w:rFonts w:ascii="Palatino Linotype" w:hAnsi="Palatino Linotype"/>
        </w:rPr>
        <w:t xml:space="preserve"> de dos mil veinte</w:t>
      </w:r>
      <w:r w:rsidRPr="0066727B">
        <w:rPr>
          <w:rFonts w:ascii="Palatino Linotype" w:eastAsia="Times New Roman" w:hAnsi="Palatino Linotype" w:cs="Arial"/>
          <w:lang w:val="es-ES"/>
        </w:rPr>
        <w:t xml:space="preserve">, </w:t>
      </w:r>
      <w:r w:rsidRPr="0066727B">
        <w:rPr>
          <w:rFonts w:ascii="Palatino Linotype" w:hAnsi="Palatino Linotype"/>
          <w:color w:val="000000"/>
        </w:rPr>
        <w:t xml:space="preserve">se </w:t>
      </w:r>
      <w:r w:rsidRPr="0066727B">
        <w:rPr>
          <w:rFonts w:ascii="Palatino Linotype" w:eastAsia="Times New Roman" w:hAnsi="Palatino Linotype" w:cs="Arial"/>
          <w:lang w:val="es-ES"/>
        </w:rPr>
        <w:t xml:space="preserve">interpuso el recurso de revisión, en contra de la respuesta emitida por el </w:t>
      </w:r>
      <w:r w:rsidRPr="0066727B">
        <w:rPr>
          <w:rFonts w:ascii="Palatino Linotype" w:eastAsia="Times New Roman" w:hAnsi="Palatino Linotype" w:cs="Arial"/>
          <w:b/>
          <w:lang w:val="es-ES"/>
        </w:rPr>
        <w:t>SUJETO OBLIGADO</w:t>
      </w:r>
      <w:r w:rsidRPr="0066727B">
        <w:rPr>
          <w:rFonts w:ascii="Palatino Linotype" w:eastAsia="Times New Roman" w:hAnsi="Palatino Linotype" w:cs="Arial"/>
          <w:lang w:val="es-ES"/>
        </w:rPr>
        <w:t>, señalando como:</w:t>
      </w:r>
    </w:p>
    <w:p w14:paraId="6D09E069" w14:textId="77777777" w:rsidR="0071031D" w:rsidRPr="0066727B" w:rsidRDefault="0071031D" w:rsidP="004C3391">
      <w:pPr>
        <w:pStyle w:val="Prrafodelista"/>
        <w:tabs>
          <w:tab w:val="left" w:pos="567"/>
        </w:tabs>
        <w:spacing w:line="360" w:lineRule="auto"/>
        <w:ind w:left="0"/>
        <w:jc w:val="both"/>
        <w:rPr>
          <w:rFonts w:ascii="Palatino Linotype" w:hAnsi="Palatino Linotype"/>
        </w:rPr>
      </w:pPr>
    </w:p>
    <w:p w14:paraId="7BC0CC08" w14:textId="77777777" w:rsidR="004C3391" w:rsidRPr="0066727B" w:rsidRDefault="004C3391" w:rsidP="004C3391">
      <w:pPr>
        <w:tabs>
          <w:tab w:val="left" w:pos="5454"/>
        </w:tabs>
        <w:spacing w:line="360" w:lineRule="auto"/>
        <w:ind w:left="567" w:right="567"/>
        <w:jc w:val="both"/>
        <w:rPr>
          <w:rStyle w:val="Ttulo2Car"/>
          <w:color w:val="auto"/>
          <w:sz w:val="22"/>
          <w:szCs w:val="22"/>
          <w:lang w:val="es-ES"/>
        </w:rPr>
      </w:pPr>
      <w:bookmarkStart w:id="5" w:name="_Toc58589151"/>
      <w:r w:rsidRPr="0066727B">
        <w:rPr>
          <w:rStyle w:val="Ttulo2Car"/>
          <w:color w:val="auto"/>
          <w:sz w:val="22"/>
          <w:szCs w:val="22"/>
          <w:lang w:val="es-ES"/>
        </w:rPr>
        <w:t>a) Acto impugnado:</w:t>
      </w:r>
      <w:bookmarkEnd w:id="5"/>
      <w:r w:rsidRPr="0066727B">
        <w:rPr>
          <w:rStyle w:val="Ttulo2Car"/>
          <w:color w:val="auto"/>
          <w:sz w:val="22"/>
          <w:szCs w:val="22"/>
          <w:lang w:val="es-ES"/>
        </w:rPr>
        <w:t xml:space="preserve"> </w:t>
      </w:r>
    </w:p>
    <w:p w14:paraId="2E603E67" w14:textId="252E9A7D" w:rsidR="004C3391" w:rsidRPr="0066727B" w:rsidRDefault="004C3391" w:rsidP="004C3391">
      <w:pPr>
        <w:tabs>
          <w:tab w:val="left" w:pos="5454"/>
        </w:tabs>
        <w:spacing w:line="360" w:lineRule="auto"/>
        <w:ind w:left="567" w:right="567"/>
        <w:jc w:val="both"/>
        <w:rPr>
          <w:rFonts w:ascii="Palatino Linotype" w:hAnsi="Palatino Linotype"/>
          <w:i/>
          <w:color w:val="000000"/>
          <w:sz w:val="22"/>
          <w:szCs w:val="22"/>
        </w:rPr>
      </w:pPr>
      <w:r w:rsidRPr="0066727B">
        <w:rPr>
          <w:rFonts w:ascii="Palatino Linotype" w:hAnsi="Palatino Linotype"/>
          <w:i/>
          <w:sz w:val="22"/>
          <w:szCs w:val="22"/>
        </w:rPr>
        <w:t>“</w:t>
      </w:r>
      <w:r w:rsidR="00B06280" w:rsidRPr="0066727B">
        <w:rPr>
          <w:rFonts w:ascii="Palatino Linotype" w:hAnsi="Palatino Linotype"/>
          <w:i/>
          <w:color w:val="000000"/>
          <w:sz w:val="22"/>
          <w:szCs w:val="22"/>
        </w:rPr>
        <w:t xml:space="preserve">De acuerdo con la solicitud de Toluca, México a 30 de Octubre de 2020, con </w:t>
      </w:r>
      <w:proofErr w:type="spellStart"/>
      <w:r w:rsidR="00B06280" w:rsidRPr="0066727B">
        <w:rPr>
          <w:rFonts w:ascii="Palatino Linotype" w:hAnsi="Palatino Linotype"/>
          <w:i/>
          <w:color w:val="000000"/>
          <w:sz w:val="22"/>
          <w:szCs w:val="22"/>
        </w:rPr>
        <w:t>numero</w:t>
      </w:r>
      <w:proofErr w:type="spellEnd"/>
      <w:r w:rsidR="00B06280" w:rsidRPr="0066727B">
        <w:rPr>
          <w:rFonts w:ascii="Palatino Linotype" w:hAnsi="Palatino Linotype"/>
          <w:i/>
          <w:color w:val="000000"/>
          <w:sz w:val="22"/>
          <w:szCs w:val="22"/>
        </w:rPr>
        <w:t xml:space="preserve"> de folio de la solicitud: 00651/FGJ/IP/</w:t>
      </w:r>
      <w:proofErr w:type="gramStart"/>
      <w:r w:rsidR="00B06280" w:rsidRPr="0066727B">
        <w:rPr>
          <w:rFonts w:ascii="Palatino Linotype" w:hAnsi="Palatino Linotype"/>
          <w:i/>
          <w:color w:val="000000"/>
          <w:sz w:val="22"/>
          <w:szCs w:val="22"/>
        </w:rPr>
        <w:t>2020 :</w:t>
      </w:r>
      <w:proofErr w:type="gramEnd"/>
      <w:r w:rsidR="00B06280" w:rsidRPr="0066727B">
        <w:rPr>
          <w:rFonts w:ascii="Palatino Linotype" w:hAnsi="Palatino Linotype"/>
          <w:i/>
          <w:color w:val="000000"/>
          <w:sz w:val="22"/>
          <w:szCs w:val="22"/>
        </w:rPr>
        <w:t xml:space="preserve"> de lo cual se solicita; “• NUMERO DE DENUNCIAS POR EL DELITO DE ABUSO SEXUAL A MENORES DE EDAD PRESENTADAS ANTE DICHA REPRESENTACIÓN SOCIAL EN FECHA 12 DE ABRIL DEL 2018 AL 12 DE ABRIL DEL2020. • NUMERO DE DENUNCIAS POR E DELITO DE ABUSO SEXUAL A MENORES DE EDAD PRESENTADAS ANTE DICHA REPRESENTACIÓN SOCIAL DE FECHA 12 DE ABRIL DEL 2019 AL 12 DE ABRIL DEL 2020.” (sic). Al respecto, la Fiscalía General de Justicia del Estado de México, localizó el número de delitos de abuso sexual (sin distinción de las </w:t>
      </w:r>
      <w:r w:rsidR="00B06280" w:rsidRPr="0066727B">
        <w:rPr>
          <w:rFonts w:ascii="Palatino Linotype" w:hAnsi="Palatino Linotype"/>
          <w:i/>
          <w:color w:val="000000"/>
          <w:sz w:val="22"/>
          <w:szCs w:val="22"/>
        </w:rPr>
        <w:lastRenderedPageBreak/>
        <w:t>edades de las víctimas), reportados ante el Ministerio Público, en el Estado de México, en el periodo del mes de abril de 2017 a abril de 2020</w:t>
      </w:r>
      <w:r w:rsidRPr="0066727B">
        <w:rPr>
          <w:rFonts w:ascii="Palatino Linotype" w:hAnsi="Palatino Linotype"/>
          <w:i/>
          <w:color w:val="000000"/>
          <w:sz w:val="22"/>
          <w:szCs w:val="22"/>
        </w:rPr>
        <w:t>.</w:t>
      </w:r>
      <w:r w:rsidRPr="0066727B">
        <w:rPr>
          <w:rFonts w:ascii="Palatino Linotype" w:eastAsia="Times New Roman" w:hAnsi="Palatino Linotype" w:cs="Times New Roman"/>
          <w:i/>
          <w:sz w:val="22"/>
          <w:szCs w:val="22"/>
          <w:lang w:val="es-MX" w:eastAsia="es-MX"/>
        </w:rPr>
        <w:t>"</w:t>
      </w:r>
      <w:r w:rsidRPr="0066727B">
        <w:rPr>
          <w:rFonts w:ascii="Palatino Linotype" w:eastAsia="Calibri" w:hAnsi="Palatino Linotype" w:cs="Arial"/>
          <w:i/>
          <w:sz w:val="22"/>
          <w:szCs w:val="22"/>
          <w:lang w:val="es-ES"/>
        </w:rPr>
        <w:t xml:space="preserve"> (Sic)</w:t>
      </w:r>
    </w:p>
    <w:p w14:paraId="3D46B3AF" w14:textId="77777777" w:rsidR="004C3391" w:rsidRPr="0066727B" w:rsidRDefault="004C3391" w:rsidP="004C3391">
      <w:pPr>
        <w:pStyle w:val="Prrafodelista"/>
        <w:tabs>
          <w:tab w:val="left" w:pos="567"/>
        </w:tabs>
        <w:spacing w:line="360" w:lineRule="auto"/>
        <w:ind w:left="0"/>
        <w:jc w:val="both"/>
        <w:rPr>
          <w:rFonts w:ascii="Palatino Linotype" w:hAnsi="Palatino Linotype"/>
          <w:sz w:val="22"/>
          <w:szCs w:val="22"/>
        </w:rPr>
      </w:pPr>
    </w:p>
    <w:p w14:paraId="5C68183D" w14:textId="77777777" w:rsidR="004C3391" w:rsidRPr="0066727B" w:rsidRDefault="004C3391" w:rsidP="004C3391">
      <w:pPr>
        <w:spacing w:line="360" w:lineRule="auto"/>
        <w:ind w:left="567" w:right="567"/>
        <w:jc w:val="both"/>
        <w:rPr>
          <w:rFonts w:ascii="Palatino Linotype" w:hAnsi="Palatino Linotype"/>
          <w:i/>
          <w:sz w:val="22"/>
          <w:szCs w:val="22"/>
        </w:rPr>
      </w:pPr>
      <w:bookmarkStart w:id="6" w:name="_Toc58589152"/>
      <w:r w:rsidRPr="0066727B">
        <w:rPr>
          <w:rStyle w:val="Ttulo2Car"/>
          <w:color w:val="auto"/>
          <w:sz w:val="22"/>
          <w:szCs w:val="22"/>
          <w:lang w:val="es-ES"/>
        </w:rPr>
        <w:t>b) Razones o Motivos de inconformidad:</w:t>
      </w:r>
      <w:bookmarkEnd w:id="6"/>
      <w:r w:rsidRPr="0066727B">
        <w:rPr>
          <w:rFonts w:ascii="Palatino Linotype" w:hAnsi="Palatino Linotype"/>
          <w:i/>
          <w:sz w:val="22"/>
          <w:szCs w:val="22"/>
        </w:rPr>
        <w:t xml:space="preserve"> </w:t>
      </w:r>
    </w:p>
    <w:p w14:paraId="2076C9EF" w14:textId="30CF80C6" w:rsidR="004C3391" w:rsidRPr="0066727B" w:rsidRDefault="004C3391" w:rsidP="004C3391">
      <w:pPr>
        <w:spacing w:line="360" w:lineRule="auto"/>
        <w:ind w:left="567" w:right="567"/>
        <w:jc w:val="both"/>
        <w:rPr>
          <w:rFonts w:ascii="Palatino Linotype" w:hAnsi="Palatino Linotype"/>
          <w:i/>
          <w:color w:val="000000"/>
          <w:sz w:val="22"/>
          <w:szCs w:val="22"/>
        </w:rPr>
      </w:pPr>
      <w:r w:rsidRPr="0066727B">
        <w:rPr>
          <w:rFonts w:ascii="Palatino Linotype" w:hAnsi="Palatino Linotype"/>
          <w:i/>
          <w:sz w:val="22"/>
          <w:szCs w:val="22"/>
        </w:rPr>
        <w:t>“</w:t>
      </w:r>
      <w:r w:rsidR="002A0D83" w:rsidRPr="0066727B">
        <w:rPr>
          <w:rFonts w:ascii="Palatino Linotype" w:hAnsi="Palatino Linotype"/>
          <w:i/>
          <w:color w:val="000000"/>
          <w:sz w:val="22"/>
          <w:szCs w:val="22"/>
        </w:rPr>
        <w:t xml:space="preserve">la información es incompleta, ya que de acuerdo a la solicitud de fecha 09 de octubre del 2020 bajo el </w:t>
      </w:r>
      <w:proofErr w:type="spellStart"/>
      <w:r w:rsidR="002A0D83" w:rsidRPr="0066727B">
        <w:rPr>
          <w:rFonts w:ascii="Palatino Linotype" w:hAnsi="Palatino Linotype"/>
          <w:i/>
          <w:color w:val="000000"/>
          <w:sz w:val="22"/>
          <w:szCs w:val="22"/>
        </w:rPr>
        <w:t>numero</w:t>
      </w:r>
      <w:proofErr w:type="spellEnd"/>
      <w:r w:rsidR="002A0D83" w:rsidRPr="0066727B">
        <w:rPr>
          <w:rFonts w:ascii="Palatino Linotype" w:hAnsi="Palatino Linotype"/>
          <w:i/>
          <w:color w:val="000000"/>
          <w:sz w:val="22"/>
          <w:szCs w:val="22"/>
        </w:rPr>
        <w:t xml:space="preserve"> de folio de la solicitud: 00651/FGJ/IP/2020, de lo cual dicha institución, entrego la información incompleta; ya que se </w:t>
      </w:r>
      <w:proofErr w:type="spellStart"/>
      <w:r w:rsidR="002A0D83" w:rsidRPr="0066727B">
        <w:rPr>
          <w:rFonts w:ascii="Palatino Linotype" w:hAnsi="Palatino Linotype"/>
          <w:i/>
          <w:color w:val="000000"/>
          <w:sz w:val="22"/>
          <w:szCs w:val="22"/>
        </w:rPr>
        <w:t>solicito</w:t>
      </w:r>
      <w:proofErr w:type="spellEnd"/>
      <w:r w:rsidR="002A0D83" w:rsidRPr="0066727B">
        <w:rPr>
          <w:rFonts w:ascii="Palatino Linotype" w:hAnsi="Palatino Linotype"/>
          <w:i/>
          <w:color w:val="000000"/>
          <w:sz w:val="22"/>
          <w:szCs w:val="22"/>
        </w:rPr>
        <w:t xml:space="preserve"> las denuncias por el delito de abuso sexual presentadas por victimas menores de edad, de las cuales se generalizo dicha información sin distinción de edad.</w:t>
      </w:r>
      <w:r w:rsidRPr="0066727B">
        <w:rPr>
          <w:rFonts w:ascii="Palatino Linotype" w:hAnsi="Palatino Linotype"/>
          <w:i/>
          <w:color w:val="000000"/>
          <w:sz w:val="22"/>
          <w:szCs w:val="22"/>
        </w:rPr>
        <w:t>” (Sic)</w:t>
      </w:r>
    </w:p>
    <w:p w14:paraId="082D8D46" w14:textId="77777777" w:rsidR="004C3391" w:rsidRPr="0066727B" w:rsidRDefault="004C3391" w:rsidP="004C3391">
      <w:pPr>
        <w:spacing w:line="360" w:lineRule="auto"/>
        <w:ind w:right="567"/>
        <w:jc w:val="both"/>
        <w:rPr>
          <w:rFonts w:ascii="Palatino Linotype" w:eastAsia="Times New Roman" w:hAnsi="Palatino Linotype" w:cs="Times New Roman"/>
          <w:lang w:val="es-MX" w:eastAsia="es-MX"/>
        </w:rPr>
      </w:pPr>
    </w:p>
    <w:p w14:paraId="6D9C6206" w14:textId="211BF16D" w:rsidR="002A0D83" w:rsidRPr="0066727B" w:rsidRDefault="002A0D83" w:rsidP="002A0D83">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66727B">
        <w:rPr>
          <w:rFonts w:ascii="Palatino Linotype" w:hAnsi="Palatino Linotype"/>
          <w:color w:val="000000" w:themeColor="text1"/>
        </w:rPr>
        <w:t>A su recurso de revisión el particular adjuntó los archivos electrónicos “</w:t>
      </w:r>
      <w:proofErr w:type="spellStart"/>
      <w:r w:rsidR="00887A2E">
        <w:rPr>
          <w:rFonts w:ascii="Palatino Linotype" w:hAnsi="Palatino Linotype"/>
          <w:b/>
          <w:i/>
          <w:color w:val="000000" w:themeColor="text1"/>
        </w:rPr>
        <w:fldChar w:fldCharType="begin"/>
      </w:r>
      <w:r w:rsidR="00887A2E">
        <w:rPr>
          <w:rFonts w:ascii="Palatino Linotype" w:hAnsi="Palatino Linotype"/>
          <w:b/>
          <w:i/>
          <w:color w:val="000000" w:themeColor="text1"/>
        </w:rPr>
        <w:instrText xml:space="preserve"> HYPERLINK "https://www.saimex.org.mx/saimex/solicitud/downloadAttach/1016594.page" \t "_blank" </w:instrText>
      </w:r>
      <w:r w:rsidR="00887A2E">
        <w:rPr>
          <w:rFonts w:ascii="Palatino Linotype" w:hAnsi="Palatino Linotype"/>
          <w:b/>
          <w:i/>
          <w:color w:val="000000" w:themeColor="text1"/>
        </w:rPr>
        <w:fldChar w:fldCharType="separate"/>
      </w:r>
      <w:r w:rsidRPr="0066727B">
        <w:rPr>
          <w:rFonts w:ascii="Palatino Linotype" w:hAnsi="Palatino Linotype"/>
          <w:b/>
          <w:i/>
          <w:color w:val="000000" w:themeColor="text1"/>
        </w:rPr>
        <w:t>fiscalia</w:t>
      </w:r>
      <w:proofErr w:type="spellEnd"/>
      <w:r w:rsidRPr="0066727B">
        <w:rPr>
          <w:rFonts w:ascii="Palatino Linotype" w:hAnsi="Palatino Linotype"/>
          <w:b/>
          <w:i/>
          <w:color w:val="000000" w:themeColor="text1"/>
        </w:rPr>
        <w:t xml:space="preserve"> </w:t>
      </w:r>
      <w:proofErr w:type="spellStart"/>
      <w:r w:rsidRPr="0066727B">
        <w:rPr>
          <w:rFonts w:ascii="Palatino Linotype" w:hAnsi="Palatino Linotype"/>
          <w:b/>
          <w:i/>
          <w:color w:val="000000" w:themeColor="text1"/>
        </w:rPr>
        <w:t>indice</w:t>
      </w:r>
      <w:proofErr w:type="spellEnd"/>
      <w:r w:rsidRPr="0066727B">
        <w:rPr>
          <w:rFonts w:ascii="Palatino Linotype" w:hAnsi="Palatino Linotype"/>
          <w:b/>
          <w:i/>
          <w:color w:val="000000" w:themeColor="text1"/>
        </w:rPr>
        <w:t xml:space="preserve"> de abuso sexual.pdf</w:t>
      </w:r>
      <w:r w:rsidR="00887A2E">
        <w:rPr>
          <w:rFonts w:ascii="Palatino Linotype" w:hAnsi="Palatino Linotype"/>
          <w:b/>
          <w:i/>
          <w:color w:val="000000" w:themeColor="text1"/>
        </w:rPr>
        <w:fldChar w:fldCharType="end"/>
      </w:r>
      <w:r w:rsidRPr="0066727B">
        <w:rPr>
          <w:rFonts w:ascii="Palatino Linotype" w:hAnsi="Palatino Linotype"/>
          <w:b/>
          <w:i/>
          <w:color w:val="000000" w:themeColor="text1"/>
        </w:rPr>
        <w:t xml:space="preserve">” </w:t>
      </w:r>
      <w:r w:rsidRPr="0066727B">
        <w:rPr>
          <w:rFonts w:ascii="Palatino Linotype" w:hAnsi="Palatino Linotype"/>
          <w:color w:val="000000" w:themeColor="text1"/>
        </w:rPr>
        <w:t xml:space="preserve">en cuyo contenido se aprecia la tabla antes descrita  y </w:t>
      </w:r>
      <w:r w:rsidRPr="0066727B">
        <w:rPr>
          <w:rFonts w:ascii="Palatino Linotype" w:hAnsi="Palatino Linotype"/>
          <w:b/>
          <w:i/>
          <w:color w:val="000000" w:themeColor="text1"/>
        </w:rPr>
        <w:t>“</w:t>
      </w:r>
      <w:proofErr w:type="spellStart"/>
      <w:r w:rsidR="00887A2E">
        <w:rPr>
          <w:rFonts w:ascii="Palatino Linotype" w:hAnsi="Palatino Linotype"/>
          <w:b/>
          <w:i/>
          <w:color w:val="000000" w:themeColor="text1"/>
        </w:rPr>
        <w:fldChar w:fldCharType="begin"/>
      </w:r>
      <w:r w:rsidR="00887A2E">
        <w:rPr>
          <w:rFonts w:ascii="Palatino Linotype" w:hAnsi="Palatino Linotype"/>
          <w:b/>
          <w:i/>
          <w:color w:val="000000" w:themeColor="text1"/>
        </w:rPr>
        <w:instrText xml:space="preserve"> HYPERLINK "https://www.saimex.org.mx/saimex/solicitud/downloadAttach/1016595.page" \t "_blank" </w:instrText>
      </w:r>
      <w:r w:rsidR="00887A2E">
        <w:rPr>
          <w:rFonts w:ascii="Palatino Linotype" w:hAnsi="Palatino Linotype"/>
          <w:b/>
          <w:i/>
          <w:color w:val="000000" w:themeColor="text1"/>
        </w:rPr>
        <w:fldChar w:fldCharType="separate"/>
      </w:r>
      <w:r w:rsidRPr="0066727B">
        <w:rPr>
          <w:rFonts w:ascii="Palatino Linotype" w:hAnsi="Palatino Linotype"/>
          <w:b/>
          <w:i/>
          <w:color w:val="000000" w:themeColor="text1"/>
        </w:rPr>
        <w:t>acuseinformacion</w:t>
      </w:r>
      <w:proofErr w:type="spellEnd"/>
      <w:r w:rsidRPr="0066727B">
        <w:rPr>
          <w:rFonts w:ascii="Palatino Linotype" w:hAnsi="Palatino Linotype"/>
          <w:b/>
          <w:i/>
          <w:color w:val="000000" w:themeColor="text1"/>
        </w:rPr>
        <w:t xml:space="preserve"> fiscalia.pdf</w:t>
      </w:r>
      <w:r w:rsidR="00887A2E">
        <w:rPr>
          <w:rFonts w:ascii="Palatino Linotype" w:hAnsi="Palatino Linotype"/>
          <w:b/>
          <w:i/>
          <w:color w:val="000000" w:themeColor="text1"/>
        </w:rPr>
        <w:fldChar w:fldCharType="end"/>
      </w:r>
      <w:r w:rsidRPr="0066727B">
        <w:rPr>
          <w:rFonts w:ascii="Palatino Linotype" w:hAnsi="Palatino Linotype"/>
          <w:b/>
          <w:i/>
          <w:color w:val="000000" w:themeColor="text1"/>
        </w:rPr>
        <w:t xml:space="preserve">” </w:t>
      </w:r>
      <w:r w:rsidRPr="0066727B">
        <w:rPr>
          <w:rFonts w:ascii="Palatino Linotype" w:hAnsi="Palatino Linotype"/>
          <w:color w:val="000000" w:themeColor="text1"/>
        </w:rPr>
        <w:t>en cuyo contenido se aprecia el acuse de la respuesta enviada por el SUJETO OBLIGADO.</w:t>
      </w:r>
    </w:p>
    <w:p w14:paraId="2101AD5E" w14:textId="77777777" w:rsidR="002A0D83" w:rsidRPr="0066727B" w:rsidRDefault="002A0D83" w:rsidP="002A0D83">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569179CA" w14:textId="77777777" w:rsidR="004C3391" w:rsidRPr="0066727B" w:rsidRDefault="004C3391" w:rsidP="004C339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66727B">
        <w:rPr>
          <w:rFonts w:ascii="Palatino Linotype" w:eastAsia="Times New Roman" w:hAnsi="Palatino Linotype" w:cs="Arial"/>
          <w:lang w:val="es-ES"/>
        </w:rPr>
        <w:t xml:space="preserve">Se registró el recurso de revisión bajo el número de expediente </w:t>
      </w:r>
      <w:r w:rsidRPr="0066727B">
        <w:rPr>
          <w:rFonts w:ascii="Palatino Linotype" w:hAnsi="Palatino Linotype" w:cs="Arial"/>
          <w:bCs/>
        </w:rPr>
        <w:t xml:space="preserve">al rubro indicado, así mismo con fundamento en lo dispuesto por el </w:t>
      </w:r>
      <w:r w:rsidRPr="0066727B">
        <w:rPr>
          <w:rFonts w:ascii="Palatino Linotype" w:eastAsia="Calibri" w:hAnsi="Palatino Linotype" w:cs="Arial"/>
          <w:lang w:val="es-ES"/>
        </w:rPr>
        <w:t xml:space="preserve">artículo 185 fracción I de la </w:t>
      </w:r>
      <w:r w:rsidRPr="0066727B">
        <w:rPr>
          <w:rFonts w:ascii="Palatino Linotype" w:eastAsia="Calibri" w:hAnsi="Palatino Linotype" w:cs="Arial"/>
          <w:b/>
          <w:lang w:val="es-ES"/>
        </w:rPr>
        <w:t xml:space="preserve">Ley de Transparencia y Acceso a la Información Pública del Estado de México y Municipios </w:t>
      </w:r>
      <w:r w:rsidRPr="0066727B">
        <w:rPr>
          <w:rFonts w:ascii="Palatino Linotype" w:eastAsia="Times New Roman" w:hAnsi="Palatino Linotype" w:cs="Arial"/>
          <w:lang w:val="es-ES"/>
        </w:rPr>
        <w:t xml:space="preserve">se turnó al </w:t>
      </w:r>
      <w:r w:rsidRPr="0066727B">
        <w:rPr>
          <w:rFonts w:ascii="Palatino Linotype" w:eastAsia="Times New Roman" w:hAnsi="Palatino Linotype" w:cs="Arial"/>
          <w:b/>
          <w:lang w:val="es-ES"/>
        </w:rPr>
        <w:t xml:space="preserve">Comisionado José Guadalupe Luna Hernández, </w:t>
      </w:r>
      <w:r w:rsidRPr="0066727B">
        <w:rPr>
          <w:rFonts w:ascii="Palatino Linotype" w:eastAsia="Times New Roman" w:hAnsi="Palatino Linotype" w:cs="Arial"/>
          <w:lang w:val="es-ES"/>
        </w:rPr>
        <w:t xml:space="preserve">con el objeto de </w:t>
      </w:r>
      <w:r w:rsidRPr="0066727B">
        <w:rPr>
          <w:rFonts w:ascii="Palatino Linotype" w:eastAsia="Times New Roman" w:hAnsi="Palatino Linotype" w:cs="Arial"/>
          <w:lang w:val="es-MX"/>
        </w:rPr>
        <w:t>su análisis.</w:t>
      </w:r>
    </w:p>
    <w:p w14:paraId="25FA1F8A" w14:textId="77777777" w:rsidR="004C3391" w:rsidRPr="0066727B" w:rsidRDefault="004C3391" w:rsidP="004C3391">
      <w:pPr>
        <w:spacing w:line="360" w:lineRule="auto"/>
        <w:ind w:right="567"/>
        <w:jc w:val="both"/>
        <w:rPr>
          <w:rFonts w:ascii="Palatino Linotype" w:eastAsia="Times New Roman" w:hAnsi="Palatino Linotype" w:cs="Times New Roman"/>
          <w:sz w:val="22"/>
          <w:szCs w:val="22"/>
          <w:lang w:val="es-MX" w:eastAsia="es-MX"/>
        </w:rPr>
      </w:pPr>
    </w:p>
    <w:p w14:paraId="0798ACDB" w14:textId="0827F6E7" w:rsidR="004C3391" w:rsidRPr="0066727B"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66727B">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746DC" w:rsidRPr="0066727B">
        <w:rPr>
          <w:rFonts w:ascii="Palatino Linotype" w:eastAsia="Calibri" w:hAnsi="Palatino Linotype" w:cs="Arial"/>
          <w:lang w:val="es-ES"/>
        </w:rPr>
        <w:t>nueve</w:t>
      </w:r>
      <w:r w:rsidR="00B52096" w:rsidRPr="0066727B">
        <w:rPr>
          <w:rFonts w:ascii="Palatino Linotype" w:eastAsia="Calibri" w:hAnsi="Palatino Linotype" w:cs="Arial"/>
          <w:lang w:val="es-ES"/>
        </w:rPr>
        <w:t xml:space="preserve"> </w:t>
      </w:r>
      <w:r w:rsidRPr="0066727B">
        <w:rPr>
          <w:rFonts w:ascii="Palatino Linotype" w:eastAsia="Calibri" w:hAnsi="Palatino Linotype" w:cs="Arial"/>
          <w:lang w:val="es-ES"/>
        </w:rPr>
        <w:lastRenderedPageBreak/>
        <w:t>(</w:t>
      </w:r>
      <w:r w:rsidR="00A746DC" w:rsidRPr="0066727B">
        <w:rPr>
          <w:rFonts w:ascii="Palatino Linotype" w:eastAsia="Calibri" w:hAnsi="Palatino Linotype" w:cs="Arial"/>
          <w:lang w:val="es-ES"/>
        </w:rPr>
        <w:t>09</w:t>
      </w:r>
      <w:r w:rsidRPr="0066727B">
        <w:rPr>
          <w:rFonts w:ascii="Palatino Linotype" w:eastAsia="Calibri" w:hAnsi="Palatino Linotype" w:cs="Arial"/>
          <w:lang w:val="es-ES"/>
        </w:rPr>
        <w:t xml:space="preserve">) </w:t>
      </w:r>
      <w:r w:rsidRPr="0066727B">
        <w:rPr>
          <w:rFonts w:ascii="Palatino Linotype" w:eastAsia="Times New Roman" w:hAnsi="Palatino Linotype" w:cs="Arial"/>
          <w:lang w:val="es-ES"/>
        </w:rPr>
        <w:t xml:space="preserve">de </w:t>
      </w:r>
      <w:r w:rsidR="00A746DC" w:rsidRPr="0066727B">
        <w:rPr>
          <w:rFonts w:ascii="Palatino Linotype" w:eastAsia="Times New Roman" w:hAnsi="Palatino Linotype" w:cs="Arial"/>
          <w:lang w:val="es-ES"/>
        </w:rPr>
        <w:t>noviembre</w:t>
      </w:r>
      <w:r w:rsidRPr="0066727B">
        <w:rPr>
          <w:rFonts w:ascii="Palatino Linotype" w:eastAsia="Times New Roman" w:hAnsi="Palatino Linotype" w:cs="Arial"/>
          <w:lang w:val="es-ES"/>
        </w:rPr>
        <w:t xml:space="preserve"> de dos mil veinte</w:t>
      </w:r>
      <w:r w:rsidRPr="0066727B">
        <w:rPr>
          <w:rFonts w:ascii="Palatino Linotype" w:eastAsia="Calibri" w:hAnsi="Palatino Linotype" w:cs="Arial"/>
          <w:lang w:val="es-ES"/>
        </w:rPr>
        <w:t xml:space="preserve">, puso a disposición de las partes el expediente electrónico </w:t>
      </w:r>
      <w:r w:rsidRPr="0066727B">
        <w:rPr>
          <w:rFonts w:ascii="Palatino Linotype" w:eastAsia="Calibri" w:hAnsi="Palatino Linotype" w:cs="Arial"/>
        </w:rPr>
        <w:t xml:space="preserve">vía </w:t>
      </w:r>
      <w:r w:rsidRPr="0066727B">
        <w:rPr>
          <w:rFonts w:ascii="Palatino Linotype" w:eastAsia="Calibri" w:hAnsi="Palatino Linotype" w:cs="Arial"/>
          <w:lang w:val="es-ES"/>
        </w:rPr>
        <w:t xml:space="preserve">Sistema de Acceso a la Información Mexiquense </w:t>
      </w:r>
      <w:r w:rsidRPr="0066727B">
        <w:rPr>
          <w:rFonts w:ascii="Palatino Linotype" w:eastAsia="Calibri" w:hAnsi="Palatino Linotype" w:cs="Arial"/>
          <w:b/>
          <w:lang w:val="es-ES"/>
        </w:rPr>
        <w:t xml:space="preserve">(SAIMEX) </w:t>
      </w:r>
      <w:r w:rsidRPr="0066727B">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78E295AF" w14:textId="77777777" w:rsidR="00B52096" w:rsidRPr="0066727B" w:rsidRDefault="00B52096" w:rsidP="00A50CA1">
      <w:pPr>
        <w:spacing w:line="360" w:lineRule="auto"/>
        <w:ind w:right="567"/>
        <w:jc w:val="both"/>
        <w:rPr>
          <w:rFonts w:ascii="Palatino Linotype" w:eastAsia="Times New Roman" w:hAnsi="Palatino Linotype" w:cs="Times New Roman"/>
          <w:sz w:val="22"/>
          <w:szCs w:val="22"/>
          <w:lang w:val="es-MX" w:eastAsia="es-MX"/>
        </w:rPr>
      </w:pPr>
    </w:p>
    <w:p w14:paraId="3CDA7755" w14:textId="0E18C7F5" w:rsidR="004C3391" w:rsidRPr="0066727B" w:rsidRDefault="004C3391" w:rsidP="00575D6B">
      <w:pPr>
        <w:pStyle w:val="Prrafodelista"/>
        <w:numPr>
          <w:ilvl w:val="0"/>
          <w:numId w:val="1"/>
        </w:numPr>
        <w:tabs>
          <w:tab w:val="left" w:pos="426"/>
          <w:tab w:val="left" w:pos="567"/>
        </w:tabs>
        <w:spacing w:line="360" w:lineRule="auto"/>
        <w:ind w:left="0" w:firstLine="0"/>
        <w:jc w:val="both"/>
        <w:rPr>
          <w:rStyle w:val="Hipervnculo"/>
          <w:rFonts w:cs="Arial"/>
          <w:bCs/>
          <w:color w:val="000000" w:themeColor="text1"/>
          <w:u w:val="none"/>
        </w:rPr>
      </w:pPr>
      <w:r w:rsidRPr="0066727B">
        <w:rPr>
          <w:rFonts w:ascii="Palatino Linotype" w:eastAsia="Calibri" w:hAnsi="Palatino Linotype" w:cs="Arial"/>
          <w:lang w:val="es-ES"/>
        </w:rPr>
        <w:t xml:space="preserve">El día </w:t>
      </w:r>
      <w:r w:rsidR="00575D6B" w:rsidRPr="0066727B">
        <w:rPr>
          <w:rFonts w:ascii="Palatino Linotype" w:eastAsia="Calibri" w:hAnsi="Palatino Linotype" w:cs="Arial"/>
          <w:lang w:val="es-ES"/>
        </w:rPr>
        <w:t>diecinueve</w:t>
      </w:r>
      <w:r w:rsidRPr="0066727B">
        <w:rPr>
          <w:rFonts w:ascii="Palatino Linotype" w:eastAsia="Calibri" w:hAnsi="Palatino Linotype" w:cs="Arial"/>
          <w:lang w:val="es-ES"/>
        </w:rPr>
        <w:t xml:space="preserve"> (</w:t>
      </w:r>
      <w:r w:rsidR="00575D6B" w:rsidRPr="0066727B">
        <w:rPr>
          <w:rFonts w:ascii="Palatino Linotype" w:eastAsia="Calibri" w:hAnsi="Palatino Linotype" w:cs="Arial"/>
          <w:lang w:val="es-ES"/>
        </w:rPr>
        <w:t>19</w:t>
      </w:r>
      <w:r w:rsidRPr="0066727B">
        <w:rPr>
          <w:rFonts w:ascii="Palatino Linotype" w:eastAsia="Calibri" w:hAnsi="Palatino Linotype" w:cs="Arial"/>
          <w:lang w:val="es-ES"/>
        </w:rPr>
        <w:t xml:space="preserve">) </w:t>
      </w:r>
      <w:r w:rsidRPr="0066727B">
        <w:rPr>
          <w:rFonts w:ascii="Palatino Linotype" w:eastAsia="Times New Roman" w:hAnsi="Palatino Linotype" w:cs="Arial"/>
          <w:lang w:val="es-ES"/>
        </w:rPr>
        <w:t xml:space="preserve">de </w:t>
      </w:r>
      <w:r w:rsidR="00575D6B" w:rsidRPr="0066727B">
        <w:rPr>
          <w:rFonts w:ascii="Palatino Linotype" w:eastAsia="Times New Roman" w:hAnsi="Palatino Linotype" w:cs="Arial"/>
          <w:lang w:val="es-ES"/>
        </w:rPr>
        <w:t>nov</w:t>
      </w:r>
      <w:r w:rsidR="00B52096" w:rsidRPr="0066727B">
        <w:rPr>
          <w:rFonts w:ascii="Palatino Linotype" w:eastAsia="Times New Roman" w:hAnsi="Palatino Linotype" w:cs="Arial"/>
          <w:lang w:val="es-ES"/>
        </w:rPr>
        <w:t>iembre</w:t>
      </w:r>
      <w:r w:rsidRPr="0066727B">
        <w:rPr>
          <w:rFonts w:ascii="Palatino Linotype" w:eastAsia="Times New Roman" w:hAnsi="Palatino Linotype" w:cs="Arial"/>
          <w:lang w:val="es-ES"/>
        </w:rPr>
        <w:t xml:space="preserve"> de dos mil veinte</w:t>
      </w:r>
      <w:r w:rsidRPr="0066727B">
        <w:rPr>
          <w:rFonts w:ascii="Palatino Linotype" w:eastAsia="Calibri" w:hAnsi="Palatino Linotype" w:cs="Arial"/>
          <w:lang w:val="es-ES"/>
        </w:rPr>
        <w:t xml:space="preserve">, el </w:t>
      </w:r>
      <w:r w:rsidRPr="0066727B">
        <w:rPr>
          <w:rFonts w:ascii="Palatino Linotype" w:eastAsia="Calibri" w:hAnsi="Palatino Linotype" w:cs="Arial"/>
          <w:b/>
          <w:lang w:val="es-ES"/>
        </w:rPr>
        <w:t xml:space="preserve">SUJETO OBLIGADO </w:t>
      </w:r>
      <w:r w:rsidR="00733130" w:rsidRPr="0066727B">
        <w:rPr>
          <w:rFonts w:ascii="Palatino Linotype" w:eastAsia="Calibri" w:hAnsi="Palatino Linotype" w:cs="Arial"/>
          <w:lang w:val="es-ES"/>
        </w:rPr>
        <w:t>realizó sus manifestaciones</w:t>
      </w:r>
      <w:r w:rsidRPr="0066727B">
        <w:rPr>
          <w:rFonts w:ascii="Palatino Linotype" w:eastAsia="Calibri" w:hAnsi="Palatino Linotype" w:cs="Arial"/>
          <w:lang w:val="es-ES"/>
        </w:rPr>
        <w:t xml:space="preserve"> mediante los archivos electrónicos </w:t>
      </w:r>
      <w:r w:rsidR="00575D6B" w:rsidRPr="0066727B">
        <w:rPr>
          <w:rFonts w:ascii="Palatino Linotype" w:eastAsia="Calibri" w:hAnsi="Palatino Linotype" w:cs="Arial"/>
          <w:lang w:val="es-ES"/>
        </w:rPr>
        <w:t>“</w:t>
      </w:r>
      <w:hyperlink r:id="rId11" w:history="1">
        <w:r w:rsidR="00575D6B" w:rsidRPr="000E7E89">
          <w:rPr>
            <w:rStyle w:val="Hipervnculo"/>
            <w:rFonts w:ascii="Palatino Linotype" w:hAnsi="Palatino Linotype" w:cs="Arial"/>
            <w:b/>
            <w:bCs/>
            <w:i/>
            <w:color w:val="000000" w:themeColor="text1"/>
            <w:highlight w:val="black"/>
            <w:u w:val="none"/>
          </w:rPr>
          <w:t xml:space="preserve">INF JUST </w:t>
        </w:r>
        <w:r w:rsidR="000E7E89" w:rsidRPr="000E7E89">
          <w:rPr>
            <w:rStyle w:val="Hipervnculo"/>
            <w:rFonts w:ascii="Palatino Linotype" w:hAnsi="Palatino Linotype" w:cs="Arial"/>
            <w:b/>
            <w:bCs/>
            <w:i/>
            <w:color w:val="000000" w:themeColor="text1"/>
            <w:highlight w:val="black"/>
            <w:u w:val="none"/>
          </w:rPr>
          <w:t>--------------------</w:t>
        </w:r>
        <w:r w:rsidR="00575D6B" w:rsidRPr="0066727B">
          <w:rPr>
            <w:rStyle w:val="Hipervnculo"/>
            <w:rFonts w:ascii="Palatino Linotype" w:hAnsi="Palatino Linotype" w:cs="Arial"/>
            <w:b/>
            <w:bCs/>
            <w:i/>
            <w:color w:val="000000" w:themeColor="text1"/>
            <w:u w:val="none"/>
          </w:rPr>
          <w:t>.</w:t>
        </w:r>
        <w:proofErr w:type="spellStart"/>
        <w:r w:rsidR="00575D6B" w:rsidRPr="0066727B">
          <w:rPr>
            <w:rStyle w:val="Hipervnculo"/>
            <w:rFonts w:ascii="Palatino Linotype" w:hAnsi="Palatino Linotype" w:cs="Arial"/>
            <w:b/>
            <w:bCs/>
            <w:i/>
            <w:color w:val="000000" w:themeColor="text1"/>
            <w:u w:val="none"/>
          </w:rPr>
          <w:t>pdf</w:t>
        </w:r>
        <w:proofErr w:type="spellEnd"/>
      </w:hyperlink>
      <w:r w:rsidR="00575D6B" w:rsidRPr="0066727B">
        <w:rPr>
          <w:rStyle w:val="Hipervnculo"/>
          <w:b/>
          <w:bCs/>
          <w:i/>
          <w:color w:val="000000" w:themeColor="text1"/>
          <w:u w:val="none"/>
        </w:rPr>
        <w:t xml:space="preserve">” </w:t>
      </w:r>
      <w:r w:rsidR="00575D6B" w:rsidRPr="0066727B">
        <w:rPr>
          <w:rFonts w:ascii="Palatino Linotype" w:hAnsi="Palatino Linotype" w:cs="Arial"/>
          <w:color w:val="000000" w:themeColor="text1"/>
        </w:rPr>
        <w:t xml:space="preserve">con el </w:t>
      </w:r>
      <w:r w:rsidR="00575D6B" w:rsidRPr="0066727B">
        <w:rPr>
          <w:rFonts w:ascii="Palatino Linotype" w:hAnsi="Palatino Linotype"/>
        </w:rPr>
        <w:t xml:space="preserve">oficio número </w:t>
      </w:r>
      <w:r w:rsidR="00575D6B" w:rsidRPr="0066727B">
        <w:rPr>
          <w:rStyle w:val="Hipervnculo"/>
          <w:rFonts w:ascii="Palatino Linotype" w:hAnsi="Palatino Linotype"/>
          <w:bCs/>
          <w:color w:val="000000" w:themeColor="text1"/>
          <w:u w:val="none"/>
        </w:rPr>
        <w:t>1609/MAIP/FGJ/2020 constante en cuatro hojas con el informe justificado rendido</w:t>
      </w:r>
      <w:r w:rsidR="00575D6B" w:rsidRPr="0066727B">
        <w:rPr>
          <w:rStyle w:val="Hipervnculo"/>
          <w:rFonts w:cs="Arial"/>
          <w:bCs/>
          <w:color w:val="000000" w:themeColor="text1"/>
          <w:u w:val="none"/>
        </w:rPr>
        <w:t xml:space="preserve"> </w:t>
      </w:r>
      <w:r w:rsidR="00575D6B" w:rsidRPr="0066727B">
        <w:rPr>
          <w:rFonts w:ascii="Palatino Linotype" w:hAnsi="Palatino Linotype"/>
        </w:rPr>
        <w:t xml:space="preserve">y </w:t>
      </w:r>
      <w:r w:rsidR="00575D6B" w:rsidRPr="0066727B">
        <w:rPr>
          <w:rStyle w:val="Hipervnculo"/>
          <w:b/>
          <w:bCs/>
          <w:i/>
          <w:color w:val="000000" w:themeColor="text1"/>
          <w:u w:val="none"/>
        </w:rPr>
        <w:t>“</w:t>
      </w:r>
      <w:hyperlink r:id="rId12" w:history="1">
        <w:r w:rsidR="00575D6B" w:rsidRPr="0066727B">
          <w:rPr>
            <w:rStyle w:val="Hipervnculo"/>
            <w:rFonts w:ascii="Palatino Linotype" w:hAnsi="Palatino Linotype" w:cs="Arial"/>
            <w:b/>
            <w:bCs/>
            <w:i/>
            <w:color w:val="000000" w:themeColor="text1"/>
            <w:u w:val="none"/>
          </w:rPr>
          <w:t xml:space="preserve">OF INF JUST </w:t>
        </w:r>
        <w:r w:rsidR="000E7E89" w:rsidRPr="000E7E89">
          <w:rPr>
            <w:rStyle w:val="Hipervnculo"/>
            <w:rFonts w:ascii="Palatino Linotype" w:hAnsi="Palatino Linotype" w:cs="Arial"/>
            <w:b/>
            <w:bCs/>
            <w:i/>
            <w:color w:val="000000" w:themeColor="text1"/>
            <w:highlight w:val="black"/>
            <w:u w:val="none"/>
          </w:rPr>
          <w:t>-----------------</w:t>
        </w:r>
        <w:r w:rsidR="00575D6B" w:rsidRPr="0066727B">
          <w:rPr>
            <w:rStyle w:val="Hipervnculo"/>
            <w:rFonts w:ascii="Palatino Linotype" w:hAnsi="Palatino Linotype" w:cs="Arial"/>
            <w:b/>
            <w:bCs/>
            <w:i/>
            <w:color w:val="000000" w:themeColor="text1"/>
            <w:u w:val="none"/>
          </w:rPr>
          <w:t>.</w:t>
        </w:r>
        <w:proofErr w:type="spellStart"/>
        <w:r w:rsidR="00575D6B" w:rsidRPr="0066727B">
          <w:rPr>
            <w:rStyle w:val="Hipervnculo"/>
            <w:rFonts w:ascii="Palatino Linotype" w:hAnsi="Palatino Linotype" w:cs="Arial"/>
            <w:b/>
            <w:bCs/>
            <w:i/>
            <w:color w:val="000000" w:themeColor="text1"/>
            <w:u w:val="none"/>
          </w:rPr>
          <w:t>pdf</w:t>
        </w:r>
        <w:proofErr w:type="spellEnd"/>
      </w:hyperlink>
      <w:r w:rsidR="00575D6B" w:rsidRPr="0066727B">
        <w:rPr>
          <w:rStyle w:val="Hipervnculo"/>
          <w:b/>
          <w:bCs/>
          <w:i/>
          <w:color w:val="000000" w:themeColor="text1"/>
          <w:u w:val="none"/>
        </w:rPr>
        <w:t>”</w:t>
      </w:r>
      <w:r w:rsidR="00575D6B" w:rsidRPr="0066727B">
        <w:rPr>
          <w:rStyle w:val="Hipervnculo"/>
          <w:rFonts w:cs="Arial"/>
          <w:bCs/>
          <w:color w:val="000000" w:themeColor="text1"/>
          <w:u w:val="none"/>
        </w:rPr>
        <w:t xml:space="preserve"> </w:t>
      </w:r>
      <w:r w:rsidR="00733130" w:rsidRPr="0066727B">
        <w:rPr>
          <w:rStyle w:val="Hipervnculo"/>
          <w:rFonts w:ascii="Palatino Linotype" w:hAnsi="Palatino Linotype"/>
          <w:bCs/>
          <w:color w:val="000000" w:themeColor="text1"/>
          <w:u w:val="none"/>
        </w:rPr>
        <w:t>con el oficio de remisión 1</w:t>
      </w:r>
      <w:r w:rsidR="00575D6B" w:rsidRPr="0066727B">
        <w:rPr>
          <w:rStyle w:val="Hipervnculo"/>
          <w:rFonts w:ascii="Palatino Linotype" w:hAnsi="Palatino Linotype"/>
          <w:bCs/>
          <w:color w:val="000000" w:themeColor="text1"/>
          <w:u w:val="none"/>
        </w:rPr>
        <w:t>610</w:t>
      </w:r>
      <w:r w:rsidR="00733130" w:rsidRPr="0066727B">
        <w:rPr>
          <w:rStyle w:val="Hipervnculo"/>
          <w:rFonts w:ascii="Palatino Linotype" w:hAnsi="Palatino Linotype"/>
          <w:bCs/>
          <w:color w:val="000000" w:themeColor="text1"/>
          <w:u w:val="none"/>
        </w:rPr>
        <w:t xml:space="preserve">/MAIP/FGJ/2020 </w:t>
      </w:r>
      <w:r w:rsidR="00733130" w:rsidRPr="0066727B">
        <w:rPr>
          <w:rFonts w:ascii="Palatino Linotype" w:hAnsi="Palatino Linotype"/>
        </w:rPr>
        <w:t>mediante el cual el Titular de la Unidad de Transparencia remite a ésta Ponencia su informe Justificado</w:t>
      </w:r>
      <w:r w:rsidR="00733130" w:rsidRPr="0066727B">
        <w:rPr>
          <w:rStyle w:val="Hipervnculo"/>
          <w:rFonts w:ascii="Palatino Linotype" w:hAnsi="Palatino Linotype"/>
          <w:bCs/>
          <w:color w:val="000000" w:themeColor="text1"/>
          <w:u w:val="none"/>
        </w:rPr>
        <w:t xml:space="preserve">, </w:t>
      </w:r>
      <w:r w:rsidR="00DE0322" w:rsidRPr="0066727B">
        <w:rPr>
          <w:rStyle w:val="Hipervnculo"/>
          <w:rFonts w:ascii="Palatino Linotype" w:hAnsi="Palatino Linotype"/>
          <w:bCs/>
          <w:color w:val="000000" w:themeColor="text1"/>
          <w:u w:val="none"/>
        </w:rPr>
        <w:t>mismo</w:t>
      </w:r>
      <w:r w:rsidR="00575D6B" w:rsidRPr="0066727B">
        <w:rPr>
          <w:rStyle w:val="Hipervnculo"/>
          <w:rFonts w:ascii="Palatino Linotype" w:hAnsi="Palatino Linotype"/>
          <w:bCs/>
          <w:color w:val="000000" w:themeColor="text1"/>
          <w:u w:val="none"/>
        </w:rPr>
        <w:t>s</w:t>
      </w:r>
      <w:r w:rsidR="00DE0322" w:rsidRPr="0066727B">
        <w:rPr>
          <w:rStyle w:val="Hipervnculo"/>
          <w:rFonts w:ascii="Palatino Linotype" w:hAnsi="Palatino Linotype"/>
          <w:bCs/>
          <w:color w:val="000000" w:themeColor="text1"/>
          <w:u w:val="none"/>
        </w:rPr>
        <w:t xml:space="preserve"> que ya </w:t>
      </w:r>
      <w:r w:rsidR="00575D6B" w:rsidRPr="0066727B">
        <w:rPr>
          <w:rStyle w:val="Hipervnculo"/>
          <w:rFonts w:ascii="Palatino Linotype" w:hAnsi="Palatino Linotype"/>
          <w:bCs/>
          <w:color w:val="000000" w:themeColor="text1"/>
          <w:u w:val="none"/>
        </w:rPr>
        <w:t>son</w:t>
      </w:r>
      <w:r w:rsidR="00DE0322" w:rsidRPr="0066727B">
        <w:rPr>
          <w:rStyle w:val="Hipervnculo"/>
          <w:rFonts w:ascii="Palatino Linotype" w:hAnsi="Palatino Linotype"/>
          <w:bCs/>
          <w:color w:val="000000" w:themeColor="text1"/>
          <w:u w:val="none"/>
        </w:rPr>
        <w:t xml:space="preserve"> del conocimiento de las partes, sin embargo</w:t>
      </w:r>
      <w:r w:rsidR="00733130" w:rsidRPr="0066727B">
        <w:rPr>
          <w:rStyle w:val="Hipervnculo"/>
          <w:rFonts w:ascii="Palatino Linotype" w:hAnsi="Palatino Linotype"/>
          <w:bCs/>
          <w:color w:val="000000" w:themeColor="text1"/>
          <w:u w:val="none"/>
        </w:rPr>
        <w:t xml:space="preserve"> se inserta en un extracto a fin de ejemplificar</w:t>
      </w:r>
      <w:r w:rsidR="00A77AA8" w:rsidRPr="0066727B">
        <w:rPr>
          <w:rStyle w:val="Hipervnculo"/>
          <w:rFonts w:ascii="Palatino Linotype" w:hAnsi="Palatino Linotype"/>
          <w:bCs/>
          <w:color w:val="000000" w:themeColor="text1"/>
          <w:u w:val="none"/>
        </w:rPr>
        <w:t>:</w:t>
      </w:r>
    </w:p>
    <w:p w14:paraId="752ED4E4" w14:textId="10A2F686" w:rsidR="00A77AA8" w:rsidRPr="0066727B" w:rsidRDefault="007608E7" w:rsidP="00A77AA8">
      <w:pPr>
        <w:spacing w:line="360" w:lineRule="auto"/>
        <w:ind w:right="567"/>
        <w:jc w:val="both"/>
        <w:rPr>
          <w:rFonts w:ascii="Palatino Linotype" w:eastAsia="Times New Roman" w:hAnsi="Palatino Linotype" w:cs="Times New Roman"/>
          <w:sz w:val="22"/>
          <w:szCs w:val="22"/>
          <w:lang w:val="es-MX" w:eastAsia="es-MX"/>
        </w:rPr>
      </w:pPr>
      <w:r w:rsidRPr="0066727B">
        <w:rPr>
          <w:rFonts w:ascii="Palatino Linotype" w:eastAsia="Times New Roman" w:hAnsi="Palatino Linotype" w:cs="Times New Roman"/>
          <w:noProof/>
          <w:sz w:val="22"/>
          <w:szCs w:val="22"/>
          <w:lang w:val="es-MX" w:eastAsia="es-MX"/>
        </w:rPr>
        <mc:AlternateContent>
          <mc:Choice Requires="wps">
            <w:drawing>
              <wp:anchor distT="0" distB="0" distL="114300" distR="114300" simplePos="0" relativeHeight="251659264" behindDoc="0" locked="0" layoutInCell="1" allowOverlap="1" wp14:anchorId="56D8355D" wp14:editId="58B05542">
                <wp:simplePos x="0" y="0"/>
                <wp:positionH relativeFrom="column">
                  <wp:posOffset>81915</wp:posOffset>
                </wp:positionH>
                <wp:positionV relativeFrom="paragraph">
                  <wp:posOffset>106044</wp:posOffset>
                </wp:positionV>
                <wp:extent cx="5448300" cy="2981325"/>
                <wp:effectExtent l="38100" t="19050" r="76200" b="85725"/>
                <wp:wrapNone/>
                <wp:docPr id="8" name="Conector recto 8"/>
                <wp:cNvGraphicFramePr/>
                <a:graphic xmlns:a="http://schemas.openxmlformats.org/drawingml/2006/main">
                  <a:graphicData uri="http://schemas.microsoft.com/office/word/2010/wordprocessingShape">
                    <wps:wsp>
                      <wps:cNvCnPr/>
                      <wps:spPr>
                        <a:xfrm>
                          <a:off x="0" y="0"/>
                          <a:ext cx="5448300" cy="2981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20AEFC"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8.35pt" to="435.4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" strokecolor="#4f81bd [3204]" strokeweight="2pt">
                <v:shadow on="t" color="black" opacity="24903f" origin=",.5" offset="0,.55556mm"/>
              </v:line>
            </w:pict>
          </mc:Fallback>
        </mc:AlternateContent>
      </w:r>
    </w:p>
    <w:p w14:paraId="5F4B6C0C" w14:textId="168B0BE9" w:rsidR="00B52096" w:rsidRPr="0066727B" w:rsidRDefault="00575D6B" w:rsidP="00A77AA8">
      <w:pPr>
        <w:spacing w:line="360" w:lineRule="auto"/>
        <w:ind w:left="567" w:right="567"/>
        <w:jc w:val="both"/>
        <w:rPr>
          <w:rFonts w:eastAsia="Times New Roman" w:cs="Times New Roman"/>
          <w:sz w:val="22"/>
          <w:szCs w:val="22"/>
          <w:lang w:val="es-MX" w:eastAsia="es-MX"/>
        </w:rPr>
      </w:pPr>
      <w:r w:rsidRPr="0066727B">
        <w:rPr>
          <w:rFonts w:eastAsia="Times New Roman" w:cs="Times New Roman"/>
          <w:noProof/>
          <w:sz w:val="22"/>
          <w:szCs w:val="22"/>
          <w:lang w:val="es-MX" w:eastAsia="es-MX"/>
        </w:rPr>
        <w:lastRenderedPageBreak/>
        <w:drawing>
          <wp:inline distT="0" distB="0" distL="0" distR="0" wp14:anchorId="6DFB3E36" wp14:editId="2DEDDE56">
            <wp:extent cx="4829175" cy="705802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651" cy="7058720"/>
                    </a:xfrm>
                    <a:prstGeom prst="rect">
                      <a:avLst/>
                    </a:prstGeom>
                    <a:noFill/>
                    <a:ln>
                      <a:noFill/>
                    </a:ln>
                  </pic:spPr>
                </pic:pic>
              </a:graphicData>
            </a:graphic>
          </wp:inline>
        </w:drawing>
      </w:r>
    </w:p>
    <w:p w14:paraId="2420C8F4" w14:textId="5EEAF4A5" w:rsidR="004C3391" w:rsidRPr="0066727B" w:rsidRDefault="00575D6B" w:rsidP="007608E7">
      <w:pPr>
        <w:spacing w:line="360" w:lineRule="auto"/>
        <w:ind w:left="567" w:right="567"/>
        <w:jc w:val="both"/>
        <w:rPr>
          <w:rFonts w:ascii="Palatino Linotype" w:eastAsia="Times New Roman" w:hAnsi="Palatino Linotype" w:cs="Times New Roman"/>
          <w:lang w:val="es-MX" w:eastAsia="es-MX"/>
        </w:rPr>
      </w:pPr>
      <w:r w:rsidRPr="0066727B">
        <w:rPr>
          <w:rFonts w:ascii="Palatino Linotype" w:eastAsia="Times New Roman" w:hAnsi="Palatino Linotype" w:cs="Times New Roman"/>
          <w:noProof/>
          <w:lang w:val="es-MX" w:eastAsia="es-MX"/>
        </w:rPr>
        <w:lastRenderedPageBreak/>
        <w:drawing>
          <wp:inline distT="0" distB="0" distL="0" distR="0" wp14:anchorId="7FA2708D" wp14:editId="7ED9BB2D">
            <wp:extent cx="4914900" cy="7172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240" cy="7172821"/>
                    </a:xfrm>
                    <a:prstGeom prst="rect">
                      <a:avLst/>
                    </a:prstGeom>
                    <a:noFill/>
                    <a:ln>
                      <a:noFill/>
                    </a:ln>
                  </pic:spPr>
                </pic:pic>
              </a:graphicData>
            </a:graphic>
          </wp:inline>
        </w:drawing>
      </w:r>
    </w:p>
    <w:p w14:paraId="01EEAD41" w14:textId="1C3D4689" w:rsidR="007608E7" w:rsidRPr="0066727B" w:rsidRDefault="004C3391" w:rsidP="004C3391">
      <w:pPr>
        <w:pStyle w:val="Prrafodelista"/>
        <w:numPr>
          <w:ilvl w:val="0"/>
          <w:numId w:val="1"/>
        </w:numPr>
        <w:tabs>
          <w:tab w:val="left" w:pos="426"/>
        </w:tabs>
        <w:spacing w:line="360" w:lineRule="auto"/>
        <w:ind w:left="0" w:hanging="11"/>
        <w:jc w:val="both"/>
        <w:rPr>
          <w:rFonts w:ascii="Palatino Linotype" w:hAnsi="Palatino Linotype"/>
        </w:rPr>
      </w:pPr>
      <w:r w:rsidRPr="0066727B">
        <w:rPr>
          <w:rFonts w:ascii="Palatino Linotype" w:hAnsi="Palatino Linotype"/>
        </w:rPr>
        <w:lastRenderedPageBreak/>
        <w:t xml:space="preserve">El día </w:t>
      </w:r>
      <w:r w:rsidR="007608E7" w:rsidRPr="0066727B">
        <w:rPr>
          <w:rFonts w:ascii="Palatino Linotype" w:hAnsi="Palatino Linotype"/>
        </w:rPr>
        <w:t xml:space="preserve">nueve (09) de diciembre de dos mil veinte, </w:t>
      </w:r>
      <w:proofErr w:type="gramStart"/>
      <w:r w:rsidR="007608E7" w:rsidRPr="0066727B">
        <w:rPr>
          <w:rFonts w:ascii="Palatino Linotype" w:hAnsi="Palatino Linotype"/>
        </w:rPr>
        <w:t>éste</w:t>
      </w:r>
      <w:proofErr w:type="gramEnd"/>
      <w:r w:rsidR="007608E7" w:rsidRPr="0066727B">
        <w:rPr>
          <w:rFonts w:ascii="Palatino Linotype" w:hAnsi="Palatino Linotype"/>
        </w:rPr>
        <w:t xml:space="preserve"> Instituto puso a disposición del particular el informe justificado rendido por el SUJETO OBLIGADO, sin embargo no hubo pronunciamiento alguno al respecto.</w:t>
      </w:r>
    </w:p>
    <w:p w14:paraId="46E0DB4D" w14:textId="77777777" w:rsidR="007608E7" w:rsidRPr="0066727B" w:rsidRDefault="007608E7" w:rsidP="007608E7">
      <w:pPr>
        <w:pStyle w:val="Prrafodelista"/>
        <w:tabs>
          <w:tab w:val="left" w:pos="426"/>
        </w:tabs>
        <w:spacing w:line="360" w:lineRule="auto"/>
        <w:ind w:left="0"/>
        <w:jc w:val="both"/>
        <w:rPr>
          <w:rFonts w:ascii="Palatino Linotype" w:hAnsi="Palatino Linotype"/>
        </w:rPr>
      </w:pPr>
    </w:p>
    <w:p w14:paraId="27706C79" w14:textId="14256911" w:rsidR="004C3391" w:rsidRPr="0066727B" w:rsidRDefault="007608E7" w:rsidP="004C3391">
      <w:pPr>
        <w:pStyle w:val="Prrafodelista"/>
        <w:numPr>
          <w:ilvl w:val="0"/>
          <w:numId w:val="1"/>
        </w:numPr>
        <w:tabs>
          <w:tab w:val="left" w:pos="426"/>
        </w:tabs>
        <w:spacing w:line="360" w:lineRule="auto"/>
        <w:ind w:left="0" w:hanging="11"/>
        <w:jc w:val="both"/>
        <w:rPr>
          <w:rFonts w:ascii="Palatino Linotype" w:hAnsi="Palatino Linotype"/>
        </w:rPr>
      </w:pPr>
      <w:r w:rsidRPr="0066727B">
        <w:rPr>
          <w:rFonts w:ascii="Palatino Linotype" w:hAnsi="Palatino Linotype"/>
        </w:rPr>
        <w:t>El día nueve (09) de diciembre de dos mil veinte</w:t>
      </w:r>
      <w:r w:rsidR="004C3391" w:rsidRPr="0066727B">
        <w:rPr>
          <w:rFonts w:ascii="Palatino Linotype" w:eastAsia="Calibri" w:hAnsi="Palatino Linotype" w:cs="Arial"/>
          <w:lang w:val="es-ES"/>
        </w:rPr>
        <w:t xml:space="preserve">, </w:t>
      </w:r>
      <w:r w:rsidR="004C3391" w:rsidRPr="0066727B">
        <w:rPr>
          <w:rFonts w:ascii="Palatino Linotype" w:hAnsi="Palatino Linotype"/>
        </w:rPr>
        <w:t xml:space="preserve">con fundamento en el artículo 181 tercer párrafo de la Ley de Transparencia y Acceso a la Información Pública del Estado de México y Municipios, se notificó que </w:t>
      </w:r>
      <w:r w:rsidRPr="0066727B">
        <w:rPr>
          <w:rFonts w:ascii="Palatino Linotype" w:hAnsi="Palatino Linotype"/>
        </w:rPr>
        <w:t xml:space="preserve">plazo de 30 días para resolver el </w:t>
      </w:r>
      <w:r w:rsidR="004C3391" w:rsidRPr="0066727B">
        <w:rPr>
          <w:rFonts w:ascii="Palatino Linotype" w:hAnsi="Palatino Linotype"/>
        </w:rPr>
        <w:t>recurso de revisión, sería ampliado por un periodo de 15 días hábiles adicionales; para un mejor estudio.</w:t>
      </w:r>
    </w:p>
    <w:p w14:paraId="1EFE1FBF" w14:textId="77777777" w:rsidR="004C3391" w:rsidRPr="0066727B" w:rsidRDefault="004C3391" w:rsidP="004C3391">
      <w:pPr>
        <w:pStyle w:val="Prrafodelista"/>
        <w:tabs>
          <w:tab w:val="left" w:pos="426"/>
        </w:tabs>
        <w:spacing w:before="240" w:after="240" w:line="360" w:lineRule="auto"/>
        <w:ind w:left="0"/>
        <w:jc w:val="both"/>
        <w:rPr>
          <w:rFonts w:ascii="Palatino Linotype" w:hAnsi="Palatino Linotype"/>
        </w:rPr>
      </w:pPr>
    </w:p>
    <w:p w14:paraId="1614A84C" w14:textId="72AF6925" w:rsidR="004C3391" w:rsidRPr="0066727B" w:rsidRDefault="004C3391" w:rsidP="004C3391">
      <w:pPr>
        <w:pStyle w:val="Prrafodelista"/>
        <w:numPr>
          <w:ilvl w:val="0"/>
          <w:numId w:val="1"/>
        </w:numPr>
        <w:tabs>
          <w:tab w:val="left" w:pos="426"/>
        </w:tabs>
        <w:spacing w:line="360" w:lineRule="auto"/>
        <w:ind w:left="0" w:hanging="11"/>
        <w:jc w:val="both"/>
        <w:rPr>
          <w:rFonts w:ascii="Palatino Linotype" w:hAnsi="Palatino Linotype"/>
        </w:rPr>
      </w:pPr>
      <w:r w:rsidRPr="0066727B">
        <w:rPr>
          <w:rFonts w:ascii="Palatino Linotype" w:hAnsi="Palatino Linotype"/>
        </w:rPr>
        <w:t>El Comisionado Ponente decretó el cierre de instrucción</w:t>
      </w:r>
      <w:r w:rsidRPr="0066727B">
        <w:rPr>
          <w:rFonts w:ascii="Palatino Linotype" w:hAnsi="Palatino Linotype" w:cs="Arial"/>
        </w:rPr>
        <w:t xml:space="preserve"> </w:t>
      </w:r>
      <w:r w:rsidRPr="0066727B">
        <w:rPr>
          <w:rFonts w:ascii="Palatino Linotype" w:hAnsi="Palatino Linotype"/>
        </w:rPr>
        <w:t xml:space="preserve">mediante acuerdo de fecha </w:t>
      </w:r>
      <w:r w:rsidR="007608E7" w:rsidRPr="0066727B">
        <w:rPr>
          <w:rFonts w:ascii="Palatino Linotype" w:hAnsi="Palatino Linotype"/>
        </w:rPr>
        <w:t>quince</w:t>
      </w:r>
      <w:r w:rsidR="001821DD" w:rsidRPr="0066727B">
        <w:rPr>
          <w:rFonts w:ascii="Palatino Linotype" w:hAnsi="Palatino Linotype"/>
        </w:rPr>
        <w:t xml:space="preserve"> (1</w:t>
      </w:r>
      <w:r w:rsidR="007608E7" w:rsidRPr="0066727B">
        <w:rPr>
          <w:rFonts w:ascii="Palatino Linotype" w:hAnsi="Palatino Linotype"/>
        </w:rPr>
        <w:t>5</w:t>
      </w:r>
      <w:r w:rsidR="001821DD" w:rsidRPr="0066727B">
        <w:rPr>
          <w:rFonts w:ascii="Palatino Linotype" w:hAnsi="Palatino Linotype"/>
        </w:rPr>
        <w:t xml:space="preserve">) de octubre </w:t>
      </w:r>
      <w:r w:rsidR="001821DD" w:rsidRPr="0066727B">
        <w:rPr>
          <w:rFonts w:ascii="Palatino Linotype" w:eastAsia="Calibri" w:hAnsi="Palatino Linotype" w:cs="Arial"/>
          <w:lang w:val="es-ES"/>
        </w:rPr>
        <w:t>de dos mil veinte</w:t>
      </w:r>
      <w:r w:rsidRPr="0066727B">
        <w:rPr>
          <w:rFonts w:ascii="Palatino Linotype" w:hAnsi="Palatino Linotype"/>
        </w:rPr>
        <w:t xml:space="preserve">, </w:t>
      </w:r>
      <w:r w:rsidRPr="0066727B">
        <w:rPr>
          <w:rFonts w:ascii="Palatino Linotype" w:hAnsi="Palatino Linotype" w:cs="Arial"/>
        </w:rPr>
        <w:t>por lo que ordenó turnar el expediente a resolución, misma que ahora se pronuncia.</w:t>
      </w:r>
    </w:p>
    <w:p w14:paraId="31893125" w14:textId="77777777" w:rsidR="004C3391" w:rsidRPr="0066727B" w:rsidRDefault="004C3391" w:rsidP="004C3391">
      <w:pPr>
        <w:pStyle w:val="Prrafodelista"/>
        <w:ind w:left="0"/>
        <w:rPr>
          <w:rFonts w:ascii="Palatino Linotype" w:hAnsi="Palatino Linotype"/>
        </w:rPr>
      </w:pPr>
    </w:p>
    <w:p w14:paraId="772F217E" w14:textId="77777777" w:rsidR="004C3391" w:rsidRPr="0066727B" w:rsidRDefault="004C3391" w:rsidP="004C3391">
      <w:pPr>
        <w:pStyle w:val="Ttulo1"/>
        <w:tabs>
          <w:tab w:val="left" w:pos="567"/>
        </w:tabs>
        <w:jc w:val="center"/>
        <w:rPr>
          <w:b w:val="0"/>
          <w:szCs w:val="24"/>
        </w:rPr>
      </w:pPr>
      <w:bookmarkStart w:id="7" w:name="_Toc58589153"/>
      <w:r w:rsidRPr="0066727B">
        <w:rPr>
          <w:szCs w:val="24"/>
        </w:rPr>
        <w:t>CONSIDERANDO</w:t>
      </w:r>
      <w:bookmarkEnd w:id="7"/>
    </w:p>
    <w:p w14:paraId="6624E2CC" w14:textId="77777777" w:rsidR="004C3391" w:rsidRPr="0066727B" w:rsidRDefault="004C3391" w:rsidP="004C3391">
      <w:pPr>
        <w:pStyle w:val="Ttulo1"/>
        <w:tabs>
          <w:tab w:val="left" w:pos="567"/>
        </w:tabs>
        <w:rPr>
          <w:b w:val="0"/>
          <w:bCs/>
          <w:spacing w:val="60"/>
        </w:rPr>
      </w:pPr>
      <w:bookmarkStart w:id="8" w:name="_Toc58589154"/>
      <w:r w:rsidRPr="0066727B">
        <w:t>PRIMERO. De la competencia</w:t>
      </w:r>
      <w:bookmarkEnd w:id="8"/>
    </w:p>
    <w:p w14:paraId="301D880C" w14:textId="77777777" w:rsidR="004C3391" w:rsidRPr="0066727B" w:rsidRDefault="004C3391" w:rsidP="004C3391">
      <w:pPr>
        <w:pStyle w:val="Prrafodelista"/>
        <w:tabs>
          <w:tab w:val="left" w:pos="567"/>
        </w:tabs>
        <w:spacing w:line="360" w:lineRule="auto"/>
        <w:ind w:left="0"/>
        <w:jc w:val="both"/>
        <w:rPr>
          <w:rFonts w:ascii="Palatino Linotype" w:hAnsi="Palatino Linotype"/>
          <w:color w:val="000000"/>
        </w:rPr>
      </w:pPr>
    </w:p>
    <w:p w14:paraId="77F90953" w14:textId="77777777" w:rsidR="004C3391" w:rsidRPr="0066727B" w:rsidRDefault="004C3391" w:rsidP="004C3391">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66727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6727B">
        <w:rPr>
          <w:rFonts w:ascii="Palatino Linotype" w:eastAsia="Calibri" w:hAnsi="Palatino Linotype" w:cs="Times New Roman"/>
          <w:b/>
          <w:lang w:val="es-ES"/>
        </w:rPr>
        <w:t>Constitución Política de los Estados Unidos Mexicanos</w:t>
      </w:r>
      <w:r w:rsidRPr="0066727B">
        <w:rPr>
          <w:rFonts w:ascii="Palatino Linotype" w:eastAsia="Calibri" w:hAnsi="Palatino Linotype" w:cs="Times New Roman"/>
          <w:lang w:val="es-ES"/>
        </w:rPr>
        <w:t xml:space="preserve">; 5, párrafos </w:t>
      </w:r>
      <w:r w:rsidRPr="0066727B">
        <w:rPr>
          <w:rFonts w:ascii="Palatino Linotype" w:eastAsia="Calibri" w:hAnsi="Palatino Linotype" w:cs="Times New Roman"/>
          <w:color w:val="000000" w:themeColor="text1"/>
          <w:lang w:val="es-ES"/>
        </w:rPr>
        <w:t xml:space="preserve">vigésimo segundo, vigésimo tercero y vigésimo cuarto </w:t>
      </w:r>
      <w:r w:rsidRPr="0066727B">
        <w:rPr>
          <w:rFonts w:ascii="Palatino Linotype" w:eastAsia="Calibri" w:hAnsi="Palatino Linotype" w:cs="Times New Roman"/>
          <w:lang w:val="es-ES"/>
        </w:rPr>
        <w:t xml:space="preserve">fracciones IV y V de la </w:t>
      </w:r>
      <w:r w:rsidRPr="0066727B">
        <w:rPr>
          <w:rFonts w:ascii="Palatino Linotype" w:eastAsia="Calibri" w:hAnsi="Palatino Linotype" w:cs="Times New Roman"/>
          <w:b/>
          <w:lang w:val="es-ES"/>
        </w:rPr>
        <w:t>Constitución Política del Estado Libre y Soberano de México</w:t>
      </w:r>
      <w:r w:rsidRPr="0066727B">
        <w:rPr>
          <w:rFonts w:ascii="Palatino Linotype" w:eastAsia="Calibri" w:hAnsi="Palatino Linotype" w:cs="Times New Roman"/>
          <w:lang w:val="es-ES"/>
        </w:rPr>
        <w:t xml:space="preserve">; artículos 1, 2 </w:t>
      </w:r>
      <w:r w:rsidRPr="0066727B">
        <w:rPr>
          <w:rFonts w:ascii="Palatino Linotype" w:eastAsia="Calibri" w:hAnsi="Palatino Linotype" w:cs="Times New Roman"/>
          <w:lang w:val="es-ES"/>
        </w:rPr>
        <w:lastRenderedPageBreak/>
        <w:t xml:space="preserve">fracción II, 13, 29, 36 fracciones I y II, 176, 178, 179, 181 párrafo tercero y 185 </w:t>
      </w:r>
      <w:r w:rsidRPr="0066727B">
        <w:rPr>
          <w:rFonts w:ascii="Palatino Linotype" w:eastAsia="Calibri" w:hAnsi="Palatino Linotype" w:cs="Arial"/>
          <w:lang w:val="es-ES"/>
        </w:rPr>
        <w:t xml:space="preserve">de la </w:t>
      </w:r>
      <w:r w:rsidRPr="0066727B">
        <w:rPr>
          <w:rFonts w:ascii="Palatino Linotype" w:eastAsia="Calibri" w:hAnsi="Palatino Linotype" w:cs="Arial"/>
          <w:b/>
          <w:lang w:val="es-ES"/>
        </w:rPr>
        <w:t>Ley de Transparencia y Acceso a la Información Pública del Estado de México y Municipios</w:t>
      </w:r>
      <w:r w:rsidRPr="0066727B">
        <w:rPr>
          <w:rFonts w:ascii="Palatino Linotype" w:eastAsia="Calibri" w:hAnsi="Palatino Linotype" w:cs="Arial"/>
          <w:lang w:val="es-ES"/>
        </w:rPr>
        <w:t xml:space="preserve">; y 10, 7, 9 fracciones I y XXIV, y 11 del </w:t>
      </w:r>
      <w:r w:rsidRPr="0066727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6727B">
        <w:rPr>
          <w:rFonts w:ascii="Palatino Linotype" w:hAnsi="Palatino Linotype"/>
        </w:rPr>
        <w:t>.</w:t>
      </w:r>
    </w:p>
    <w:p w14:paraId="27E7B49B" w14:textId="3CE93AAE" w:rsidR="004C3391" w:rsidRPr="0066727B"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r w:rsidRPr="0066727B">
        <w:rPr>
          <w:rFonts w:ascii="Palatino Linotype" w:hAnsi="Palatino Linotype"/>
          <w:color w:val="000000"/>
          <w:sz w:val="22"/>
          <w:szCs w:val="22"/>
        </w:rPr>
        <w:t>Trascendental</w:t>
      </w:r>
    </w:p>
    <w:p w14:paraId="27F5C37B" w14:textId="77777777" w:rsidR="002A1203" w:rsidRPr="0066727B" w:rsidRDefault="002A1203" w:rsidP="004C3391">
      <w:pPr>
        <w:pStyle w:val="Prrafodelista"/>
        <w:tabs>
          <w:tab w:val="left" w:pos="426"/>
          <w:tab w:val="left" w:pos="567"/>
        </w:tabs>
        <w:spacing w:line="360" w:lineRule="auto"/>
        <w:ind w:left="0"/>
        <w:jc w:val="both"/>
        <w:rPr>
          <w:rFonts w:ascii="Palatino Linotype" w:hAnsi="Palatino Linotype"/>
          <w:color w:val="000000"/>
          <w:sz w:val="22"/>
          <w:szCs w:val="22"/>
        </w:rPr>
      </w:pPr>
    </w:p>
    <w:p w14:paraId="7F087718" w14:textId="77777777" w:rsidR="004C3391" w:rsidRPr="0066727B" w:rsidRDefault="004C3391" w:rsidP="004C3391">
      <w:pPr>
        <w:pStyle w:val="Ttulo1"/>
        <w:tabs>
          <w:tab w:val="left" w:pos="567"/>
        </w:tabs>
        <w:spacing w:before="0"/>
      </w:pPr>
      <w:bookmarkStart w:id="9" w:name="_Toc58589155"/>
      <w:r w:rsidRPr="0066727B">
        <w:t>SEGUNDO. De la oportunidad y procedencia.</w:t>
      </w:r>
      <w:bookmarkEnd w:id="9"/>
    </w:p>
    <w:p w14:paraId="02CDDD4B" w14:textId="77777777" w:rsidR="004C3391" w:rsidRPr="0066727B" w:rsidRDefault="004C3391" w:rsidP="004C3391">
      <w:pPr>
        <w:pStyle w:val="Prrafodelista"/>
        <w:tabs>
          <w:tab w:val="left" w:pos="567"/>
        </w:tabs>
        <w:spacing w:line="360" w:lineRule="auto"/>
        <w:ind w:left="0"/>
        <w:jc w:val="both"/>
        <w:rPr>
          <w:rFonts w:ascii="Palatino Linotype" w:hAnsi="Palatino Linotype"/>
          <w:b/>
          <w:color w:val="000000" w:themeColor="text1"/>
        </w:rPr>
      </w:pPr>
    </w:p>
    <w:p w14:paraId="5C441C10" w14:textId="77777777" w:rsidR="00FF59AA" w:rsidRPr="0066727B" w:rsidRDefault="004C3391" w:rsidP="00FF59AA">
      <w:pPr>
        <w:pStyle w:val="Prrafodelista"/>
        <w:numPr>
          <w:ilvl w:val="0"/>
          <w:numId w:val="25"/>
        </w:numPr>
        <w:tabs>
          <w:tab w:val="left" w:pos="567"/>
        </w:tabs>
        <w:spacing w:before="240" w:after="240" w:line="360" w:lineRule="auto"/>
        <w:ind w:left="0" w:firstLine="0"/>
        <w:jc w:val="both"/>
        <w:rPr>
          <w:rFonts w:ascii="Palatino Linotype" w:hAnsi="Palatino Linotype"/>
          <w:b/>
          <w:color w:val="000000" w:themeColor="text1"/>
        </w:rPr>
      </w:pPr>
      <w:r w:rsidRPr="0066727B">
        <w:rPr>
          <w:rFonts w:ascii="Palatino Linotype" w:eastAsia="Calibri" w:hAnsi="Palatino Linotype" w:cs="Arial"/>
        </w:rPr>
        <w:t>El medio de impugnación fue presentado a través del Sistema de Acceso a la Información Mexiquense (SAIMEX)</w:t>
      </w:r>
      <w:r w:rsidRPr="0066727B">
        <w:rPr>
          <w:rFonts w:ascii="Palatino Linotype" w:eastAsia="Calibri" w:hAnsi="Palatino Linotype" w:cs="Arial"/>
          <w:b/>
        </w:rPr>
        <w:t>,</w:t>
      </w:r>
      <w:r w:rsidRPr="0066727B">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6727B">
        <w:rPr>
          <w:rFonts w:ascii="Palatino Linotype" w:eastAsia="Calibri" w:hAnsi="Palatino Linotype" w:cs="Arial"/>
          <w:b/>
        </w:rPr>
        <w:t>SUJETO OBLIGADO</w:t>
      </w:r>
      <w:r w:rsidRPr="0066727B">
        <w:rPr>
          <w:rFonts w:ascii="Palatino Linotype" w:eastAsia="Calibri" w:hAnsi="Palatino Linotype" w:cs="Arial"/>
        </w:rPr>
        <w:t xml:space="preserve"> entregó respuesta el día </w:t>
      </w:r>
      <w:r w:rsidR="008E63E8" w:rsidRPr="0066727B">
        <w:rPr>
          <w:rFonts w:ascii="Palatino Linotype" w:eastAsia="Calibri" w:hAnsi="Palatino Linotype" w:cs="Arial"/>
          <w:lang w:val="es-AR"/>
        </w:rPr>
        <w:t xml:space="preserve">treinta </w:t>
      </w:r>
      <w:r w:rsidRPr="0066727B">
        <w:rPr>
          <w:rFonts w:ascii="Palatino Linotype" w:eastAsia="Calibri" w:hAnsi="Palatino Linotype" w:cs="Arial"/>
          <w:lang w:val="es-AR"/>
        </w:rPr>
        <w:t>(</w:t>
      </w:r>
      <w:r w:rsidR="008E63E8" w:rsidRPr="0066727B">
        <w:rPr>
          <w:rFonts w:ascii="Palatino Linotype" w:eastAsia="Calibri" w:hAnsi="Palatino Linotype" w:cs="Arial"/>
          <w:lang w:val="es-AR"/>
        </w:rPr>
        <w:t>30</w:t>
      </w:r>
      <w:r w:rsidRPr="0066727B">
        <w:rPr>
          <w:rFonts w:ascii="Palatino Linotype" w:hAnsi="Palatino Linotype"/>
          <w:i/>
        </w:rPr>
        <w:t xml:space="preserve">) </w:t>
      </w:r>
      <w:r w:rsidRPr="0066727B">
        <w:rPr>
          <w:rFonts w:ascii="Palatino Linotype" w:hAnsi="Palatino Linotype"/>
        </w:rPr>
        <w:t xml:space="preserve">de </w:t>
      </w:r>
      <w:r w:rsidR="008E63E8" w:rsidRPr="0066727B">
        <w:rPr>
          <w:rFonts w:ascii="Palatino Linotype" w:hAnsi="Palatino Linotype"/>
        </w:rPr>
        <w:t>octubre</w:t>
      </w:r>
      <w:r w:rsidRPr="0066727B">
        <w:rPr>
          <w:rFonts w:ascii="Palatino Linotype" w:hAnsi="Palatino Linotype"/>
        </w:rPr>
        <w:t xml:space="preserve"> de dos mil veinte</w:t>
      </w:r>
      <w:r w:rsidRPr="0066727B">
        <w:rPr>
          <w:rFonts w:ascii="Palatino Linotype" w:eastAsia="Calibri" w:hAnsi="Palatino Linotype" w:cs="Arial"/>
        </w:rPr>
        <w:t xml:space="preserve">, </w:t>
      </w:r>
      <w:r w:rsidRPr="0066727B">
        <w:rPr>
          <w:rFonts w:ascii="Palatino Linotype" w:hAnsi="Palatino Linotype" w:cs="Arial"/>
        </w:rPr>
        <w:t xml:space="preserve">de tal forma que el plazo para interponer el recurso de revisión transcurrió del día </w:t>
      </w:r>
      <w:r w:rsidR="002F6A81" w:rsidRPr="0066727B">
        <w:rPr>
          <w:rFonts w:ascii="Palatino Linotype" w:hAnsi="Palatino Linotype" w:cs="Arial"/>
        </w:rPr>
        <w:t xml:space="preserve">tres </w:t>
      </w:r>
      <w:r w:rsidRPr="0066727B">
        <w:rPr>
          <w:rFonts w:ascii="Palatino Linotype" w:eastAsia="Calibri" w:hAnsi="Palatino Linotype" w:cs="Arial"/>
          <w:lang w:val="es-AR"/>
        </w:rPr>
        <w:t>(</w:t>
      </w:r>
      <w:r w:rsidR="002F6A81" w:rsidRPr="0066727B">
        <w:rPr>
          <w:rFonts w:ascii="Palatino Linotype" w:eastAsia="Calibri" w:hAnsi="Palatino Linotype" w:cs="Arial"/>
          <w:lang w:val="es-AR"/>
        </w:rPr>
        <w:t>03</w:t>
      </w:r>
      <w:r w:rsidRPr="0066727B">
        <w:rPr>
          <w:rFonts w:ascii="Palatino Linotype" w:hAnsi="Palatino Linotype"/>
          <w:i/>
        </w:rPr>
        <w:t xml:space="preserve">) </w:t>
      </w:r>
      <w:r w:rsidRPr="0066727B">
        <w:rPr>
          <w:rFonts w:ascii="Palatino Linotype" w:hAnsi="Palatino Linotype"/>
        </w:rPr>
        <w:t xml:space="preserve">de </w:t>
      </w:r>
      <w:r w:rsidR="002F6A81" w:rsidRPr="0066727B">
        <w:rPr>
          <w:rFonts w:ascii="Palatino Linotype" w:hAnsi="Palatino Linotype"/>
        </w:rPr>
        <w:t>noviembre</w:t>
      </w:r>
      <w:r w:rsidRPr="0066727B">
        <w:rPr>
          <w:rFonts w:ascii="Palatino Linotype" w:hAnsi="Palatino Linotype"/>
          <w:i/>
        </w:rPr>
        <w:t xml:space="preserve"> </w:t>
      </w:r>
      <w:r w:rsidRPr="0066727B">
        <w:rPr>
          <w:rFonts w:ascii="Palatino Linotype" w:hAnsi="Palatino Linotype" w:cs="Arial"/>
        </w:rPr>
        <w:t xml:space="preserve">al </w:t>
      </w:r>
      <w:r w:rsidR="002F6A81" w:rsidRPr="0066727B">
        <w:rPr>
          <w:rFonts w:ascii="Palatino Linotype" w:hAnsi="Palatino Linotype" w:cs="Arial"/>
        </w:rPr>
        <w:t>veinticuatro</w:t>
      </w:r>
      <w:r w:rsidR="00C21053" w:rsidRPr="0066727B">
        <w:rPr>
          <w:rFonts w:ascii="Palatino Linotype" w:hAnsi="Palatino Linotype" w:cs="Arial"/>
        </w:rPr>
        <w:t xml:space="preserve"> (</w:t>
      </w:r>
      <w:r w:rsidR="002F6A81" w:rsidRPr="0066727B">
        <w:rPr>
          <w:rFonts w:ascii="Palatino Linotype" w:hAnsi="Palatino Linotype" w:cs="Arial"/>
        </w:rPr>
        <w:t>24</w:t>
      </w:r>
      <w:r w:rsidR="00C21053" w:rsidRPr="0066727B">
        <w:rPr>
          <w:rFonts w:ascii="Palatino Linotype" w:hAnsi="Palatino Linotype" w:cs="Arial"/>
        </w:rPr>
        <w:t xml:space="preserve">) de </w:t>
      </w:r>
      <w:r w:rsidR="002F6A81" w:rsidRPr="0066727B">
        <w:rPr>
          <w:rFonts w:ascii="Palatino Linotype" w:hAnsi="Palatino Linotype" w:cs="Arial"/>
        </w:rPr>
        <w:t>nov</w:t>
      </w:r>
      <w:r w:rsidR="00C21053" w:rsidRPr="0066727B">
        <w:rPr>
          <w:rFonts w:ascii="Palatino Linotype" w:hAnsi="Palatino Linotype" w:cs="Arial"/>
        </w:rPr>
        <w:t>iembre</w:t>
      </w:r>
      <w:r w:rsidRPr="0066727B">
        <w:rPr>
          <w:rFonts w:ascii="Palatino Linotype" w:hAnsi="Palatino Linotype"/>
        </w:rPr>
        <w:t xml:space="preserve"> </w:t>
      </w:r>
      <w:r w:rsidRPr="0066727B">
        <w:rPr>
          <w:rFonts w:ascii="Palatino Linotype" w:hAnsi="Palatino Linotype" w:cs="Arial"/>
        </w:rPr>
        <w:t>de dos mil veinte;</w:t>
      </w:r>
      <w:r w:rsidRPr="0066727B">
        <w:rPr>
          <w:rFonts w:ascii="Palatino Linotype" w:eastAsia="Calibri" w:hAnsi="Palatino Linotype" w:cs="Arial"/>
        </w:rPr>
        <w:t xml:space="preserve"> </w:t>
      </w:r>
      <w:r w:rsidRPr="0066727B">
        <w:rPr>
          <w:rFonts w:ascii="Palatino Linotype" w:hAnsi="Palatino Linotype" w:cs="Arial"/>
        </w:rPr>
        <w:t xml:space="preserve">por lo que si presentó su inconformidad el día </w:t>
      </w:r>
      <w:r w:rsidR="002F6A81" w:rsidRPr="0066727B">
        <w:rPr>
          <w:rFonts w:ascii="Palatino Linotype" w:hAnsi="Palatino Linotype" w:cs="Arial"/>
        </w:rPr>
        <w:t xml:space="preserve">tres </w:t>
      </w:r>
      <w:r w:rsidR="002F6A81" w:rsidRPr="0066727B">
        <w:rPr>
          <w:rFonts w:ascii="Palatino Linotype" w:eastAsia="Calibri" w:hAnsi="Palatino Linotype" w:cs="Arial"/>
          <w:lang w:val="es-AR"/>
        </w:rPr>
        <w:t>(03</w:t>
      </w:r>
      <w:r w:rsidR="002F6A81" w:rsidRPr="0066727B">
        <w:rPr>
          <w:rFonts w:ascii="Palatino Linotype" w:hAnsi="Palatino Linotype"/>
          <w:i/>
        </w:rPr>
        <w:t xml:space="preserve">) </w:t>
      </w:r>
      <w:r w:rsidR="002F6A81" w:rsidRPr="0066727B">
        <w:rPr>
          <w:rFonts w:ascii="Palatino Linotype" w:hAnsi="Palatino Linotype"/>
        </w:rPr>
        <w:t>de noviembre</w:t>
      </w:r>
      <w:r w:rsidR="002F6A81" w:rsidRPr="0066727B">
        <w:rPr>
          <w:rFonts w:ascii="Palatino Linotype" w:hAnsi="Palatino Linotype"/>
          <w:i/>
        </w:rPr>
        <w:t xml:space="preserve"> </w:t>
      </w:r>
      <w:r w:rsidR="00C21053" w:rsidRPr="0066727B">
        <w:rPr>
          <w:rFonts w:ascii="Palatino Linotype" w:hAnsi="Palatino Linotype"/>
        </w:rPr>
        <w:t>de dos mil veinte</w:t>
      </w:r>
      <w:r w:rsidRPr="0066727B">
        <w:rPr>
          <w:rFonts w:ascii="Palatino Linotype" w:hAnsi="Palatino Linotype" w:cs="Arial"/>
        </w:rPr>
        <w:t>,</w:t>
      </w:r>
      <w:r w:rsidRPr="0066727B">
        <w:rPr>
          <w:rFonts w:ascii="Palatino Linotype" w:hAnsi="Palatino Linotype" w:cs="Arial"/>
          <w:color w:val="000000" w:themeColor="text1"/>
        </w:rPr>
        <w:t xml:space="preserve"> </w:t>
      </w:r>
      <w:r w:rsidR="00FF59AA" w:rsidRPr="0066727B">
        <w:rPr>
          <w:rFonts w:ascii="Palatino Linotype" w:hAnsi="Palatino Linotype" w:cs="Arial"/>
          <w:color w:val="000000" w:themeColor="text1"/>
        </w:rPr>
        <w:t xml:space="preserve">éste se encuentra dentro de los márgenes temporales previstos en el artículo 178 de la </w:t>
      </w:r>
      <w:r w:rsidR="00FF59AA" w:rsidRPr="0066727B">
        <w:rPr>
          <w:rFonts w:ascii="Palatino Linotype" w:hAnsi="Palatino Linotype" w:cs="Arial"/>
          <w:b/>
          <w:color w:val="000000" w:themeColor="text1"/>
        </w:rPr>
        <w:t>Ley de Transparencia y Acceso a la Información Pública del Estado de México y Municipios.</w:t>
      </w:r>
    </w:p>
    <w:p w14:paraId="3BF56AFA" w14:textId="77777777" w:rsidR="00FF59AA" w:rsidRPr="0066727B" w:rsidRDefault="00FF59AA" w:rsidP="00FF59AA">
      <w:pPr>
        <w:pStyle w:val="Prrafodelista"/>
        <w:tabs>
          <w:tab w:val="left" w:pos="567"/>
        </w:tabs>
        <w:spacing w:before="240" w:after="240" w:line="360" w:lineRule="auto"/>
        <w:ind w:left="0"/>
        <w:jc w:val="both"/>
        <w:rPr>
          <w:rFonts w:ascii="Palatino Linotype" w:hAnsi="Palatino Linotype"/>
          <w:b/>
          <w:color w:val="000000" w:themeColor="text1"/>
        </w:rPr>
      </w:pPr>
    </w:p>
    <w:p w14:paraId="74C2196F" w14:textId="1C71D404" w:rsidR="004C3391" w:rsidRPr="0066727B" w:rsidRDefault="00FF59AA" w:rsidP="00FF59AA">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66727B">
        <w:rPr>
          <w:rFonts w:ascii="Palatino Linotype" w:eastAsia="Calibri" w:hAnsi="Palatino Linotype" w:cs="Arial"/>
          <w:color w:val="000000" w:themeColor="text1"/>
        </w:rPr>
        <w:t xml:space="preserve">Por otro lado, el escrito contiene las formalidades previstas por el artículo 180 último párrafo de la </w:t>
      </w:r>
      <w:r w:rsidRPr="0066727B">
        <w:rPr>
          <w:rFonts w:ascii="Palatino Linotype" w:hAnsi="Palatino Linotype" w:cs="Arial"/>
          <w:b/>
          <w:color w:val="000000" w:themeColor="text1"/>
        </w:rPr>
        <w:t>Ley de Transparencia y Acceso a la Información Pública del Estado de México y Municipios</w:t>
      </w:r>
      <w:r w:rsidRPr="0066727B">
        <w:rPr>
          <w:rFonts w:ascii="Palatino Linotype" w:eastAsia="Calibri" w:hAnsi="Palatino Linotype" w:cs="Arial"/>
          <w:color w:val="000000" w:themeColor="text1"/>
        </w:rPr>
        <w:t xml:space="preserve">, por lo que es procedente que este Instituto de </w:t>
      </w:r>
      <w:r w:rsidRPr="0066727B">
        <w:rPr>
          <w:rFonts w:ascii="Palatino Linotype" w:eastAsia="Calibri" w:hAnsi="Palatino Linotype" w:cs="Arial"/>
          <w:color w:val="000000" w:themeColor="text1"/>
        </w:rPr>
        <w:lastRenderedPageBreak/>
        <w:t>Transparencia, Acceso a la Información Pública y Protección de Datos Personales del Estado de México y Municipios, conozca y resuelva el presente recurso.</w:t>
      </w:r>
    </w:p>
    <w:p w14:paraId="55DF5AF8" w14:textId="77777777" w:rsidR="00FF59AA" w:rsidRPr="0066727B" w:rsidRDefault="00FF59AA" w:rsidP="00FF59AA">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55569CDA" w14:textId="5884798D" w:rsidR="004C3391" w:rsidRPr="0066727B" w:rsidRDefault="004C3391" w:rsidP="004C3391">
      <w:pPr>
        <w:pStyle w:val="Ttulo2"/>
        <w:spacing w:before="0"/>
        <w:rPr>
          <w:szCs w:val="24"/>
        </w:rPr>
      </w:pPr>
      <w:r w:rsidRPr="0066727B">
        <w:rPr>
          <w:szCs w:val="24"/>
        </w:rPr>
        <w:t xml:space="preserve"> </w:t>
      </w:r>
      <w:bookmarkStart w:id="10" w:name="_Toc58589156"/>
      <w:r w:rsidRPr="0066727B">
        <w:rPr>
          <w:szCs w:val="24"/>
        </w:rPr>
        <w:t xml:space="preserve">TERCERO. </w:t>
      </w:r>
      <w:r w:rsidR="00CA1EBC" w:rsidRPr="0066727B">
        <w:rPr>
          <w:szCs w:val="24"/>
        </w:rPr>
        <w:t>D</w:t>
      </w:r>
      <w:r w:rsidRPr="0066727B">
        <w:rPr>
          <w:szCs w:val="24"/>
        </w:rPr>
        <w:t>el planteamiento de la litis.</w:t>
      </w:r>
      <w:bookmarkEnd w:id="10"/>
    </w:p>
    <w:p w14:paraId="76CC35D4" w14:textId="77777777" w:rsidR="004C3391" w:rsidRPr="0066727B" w:rsidRDefault="004C3391" w:rsidP="004C3391">
      <w:pPr>
        <w:rPr>
          <w:lang w:val="es-MX" w:eastAsia="en-US"/>
        </w:rPr>
      </w:pPr>
    </w:p>
    <w:p w14:paraId="26E20DD3" w14:textId="240CB261" w:rsidR="00E82A50" w:rsidRPr="0066727B" w:rsidRDefault="00CA1EBC" w:rsidP="00E82A50">
      <w:pPr>
        <w:pStyle w:val="Prrafodelista"/>
        <w:numPr>
          <w:ilvl w:val="0"/>
          <w:numId w:val="1"/>
        </w:numPr>
        <w:tabs>
          <w:tab w:val="left" w:pos="567"/>
        </w:tabs>
        <w:spacing w:before="240" w:after="240" w:line="360" w:lineRule="auto"/>
        <w:ind w:left="0" w:firstLine="0"/>
        <w:jc w:val="both"/>
        <w:rPr>
          <w:rFonts w:ascii="Palatino Linotype" w:eastAsia="MS Mincho" w:hAnsi="Palatino Linotype" w:cs="Times New Roman"/>
          <w:color w:val="000000" w:themeColor="text1"/>
        </w:rPr>
      </w:pPr>
      <w:r w:rsidRPr="0066727B">
        <w:rPr>
          <w:rFonts w:ascii="Palatino Linotype" w:hAnsi="Palatino Linotype"/>
          <w:color w:val="000000" w:themeColor="text1"/>
        </w:rPr>
        <w:t>El particular manifestó su inconformidad</w:t>
      </w:r>
      <w:r w:rsidRPr="0066727B">
        <w:rPr>
          <w:rFonts w:ascii="Palatino Linotype" w:hAnsi="Palatino Linotype"/>
          <w:b/>
          <w:color w:val="000000" w:themeColor="text1"/>
        </w:rPr>
        <w:t xml:space="preserve"> </w:t>
      </w:r>
      <w:r w:rsidR="00FF59AA" w:rsidRPr="0066727B">
        <w:rPr>
          <w:rFonts w:ascii="Palatino Linotype" w:hAnsi="Palatino Linotype"/>
          <w:color w:val="000000" w:themeColor="text1"/>
        </w:rPr>
        <w:t>porque a su consideración la respuesta del SUJETO OBLIGADO se encuentra incompleta argumentando “</w:t>
      </w:r>
      <w:r w:rsidR="00FF59AA" w:rsidRPr="0066727B">
        <w:rPr>
          <w:rFonts w:ascii="Palatino Linotype" w:hAnsi="Palatino Linotype"/>
          <w:i/>
          <w:color w:val="000000"/>
          <w:sz w:val="22"/>
          <w:szCs w:val="22"/>
        </w:rPr>
        <w:t>solicito las denuncias por el delito de abuso sexual presentadas por victimas menores de edad, de las cuales se generalizo dicha información sin distinción de edad</w:t>
      </w:r>
      <w:r w:rsidR="00FF59AA" w:rsidRPr="0066727B">
        <w:rPr>
          <w:rFonts w:ascii="Palatino Linotype" w:hAnsi="Palatino Linotype"/>
          <w:color w:val="000000" w:themeColor="text1"/>
        </w:rPr>
        <w:t>”</w:t>
      </w:r>
      <w:r w:rsidR="00210D94" w:rsidRPr="0066727B">
        <w:rPr>
          <w:rFonts w:ascii="Palatino Linotype" w:eastAsia="Calibri" w:hAnsi="Palatino Linotype" w:cs="Arial"/>
          <w:i/>
          <w:sz w:val="22"/>
          <w:szCs w:val="22"/>
          <w:lang w:val="es-AR"/>
        </w:rPr>
        <w:t>.</w:t>
      </w:r>
    </w:p>
    <w:p w14:paraId="7044600A" w14:textId="77777777" w:rsidR="006E5131" w:rsidRPr="0066727B" w:rsidRDefault="006E5131" w:rsidP="006E5131">
      <w:pPr>
        <w:pStyle w:val="Prrafodelista"/>
        <w:tabs>
          <w:tab w:val="left" w:pos="567"/>
        </w:tabs>
        <w:spacing w:before="240" w:after="240" w:line="360" w:lineRule="auto"/>
        <w:ind w:left="0"/>
        <w:jc w:val="both"/>
        <w:rPr>
          <w:rFonts w:ascii="Palatino Linotype" w:eastAsia="MS Mincho" w:hAnsi="Palatino Linotype" w:cs="Times New Roman"/>
          <w:color w:val="000000" w:themeColor="text1"/>
        </w:rPr>
      </w:pPr>
    </w:p>
    <w:p w14:paraId="043C7CEA" w14:textId="692DF13B" w:rsidR="006E5131" w:rsidRPr="0066727B" w:rsidRDefault="006E5131" w:rsidP="008B59E4">
      <w:pPr>
        <w:pStyle w:val="Prrafodelista"/>
        <w:numPr>
          <w:ilvl w:val="0"/>
          <w:numId w:val="1"/>
        </w:numPr>
        <w:tabs>
          <w:tab w:val="left" w:pos="567"/>
        </w:tabs>
        <w:spacing w:before="240" w:after="240" w:line="360" w:lineRule="auto"/>
        <w:ind w:left="0" w:firstLine="0"/>
        <w:jc w:val="both"/>
        <w:rPr>
          <w:rFonts w:ascii="Palatino Linotype" w:eastAsia="MS Mincho" w:hAnsi="Palatino Linotype" w:cs="Times New Roman"/>
          <w:color w:val="000000" w:themeColor="text1"/>
        </w:rPr>
      </w:pPr>
      <w:r w:rsidRPr="0066727B">
        <w:rPr>
          <w:rFonts w:ascii="Palatino Linotype" w:hAnsi="Palatino Linotype"/>
          <w:color w:val="000000" w:themeColor="text1"/>
        </w:rPr>
        <w:t xml:space="preserve">Aunado a ello el SUJETO OBLIGADO en su informe justificado argumentó </w:t>
      </w:r>
      <w:r w:rsidR="008B59E4" w:rsidRPr="0066727B">
        <w:rPr>
          <w:rFonts w:ascii="Palatino Linotype" w:hAnsi="Palatino Linotype"/>
          <w:color w:val="000000" w:themeColor="text1"/>
        </w:rPr>
        <w:t xml:space="preserve">que la manifestación efectuada por el hoy recurrente es inoperante e infundada, toda vez que se proporcionó la información que genera y obra en sus archivos, la </w:t>
      </w:r>
      <w:proofErr w:type="gramStart"/>
      <w:r w:rsidR="008B59E4" w:rsidRPr="0066727B">
        <w:rPr>
          <w:rFonts w:ascii="Palatino Linotype" w:hAnsi="Palatino Linotype"/>
          <w:color w:val="000000" w:themeColor="text1"/>
        </w:rPr>
        <w:t>cual</w:t>
      </w:r>
      <w:proofErr w:type="gramEnd"/>
      <w:r w:rsidR="008B59E4" w:rsidRPr="0066727B">
        <w:rPr>
          <w:rFonts w:ascii="Palatino Linotype" w:hAnsi="Palatino Linotype"/>
          <w:color w:val="000000" w:themeColor="text1"/>
        </w:rPr>
        <w:t xml:space="preserve"> si bien no es conforme al interés del solicitante, también lo es que se proporcionó en aras de privilegiar el principio de máxima publicidad</w:t>
      </w:r>
      <w:r w:rsidRPr="0066727B">
        <w:rPr>
          <w:rFonts w:ascii="Palatino Linotype" w:eastAsia="MS Mincho" w:hAnsi="Palatino Linotype" w:cs="Times New Roman"/>
          <w:color w:val="000000" w:themeColor="text1"/>
        </w:rPr>
        <w:t>.</w:t>
      </w:r>
    </w:p>
    <w:p w14:paraId="228C482A" w14:textId="77777777" w:rsidR="008B59E4" w:rsidRPr="0066727B" w:rsidRDefault="008B59E4" w:rsidP="008B59E4">
      <w:pPr>
        <w:pStyle w:val="Prrafodelista"/>
        <w:tabs>
          <w:tab w:val="left" w:pos="567"/>
        </w:tabs>
        <w:spacing w:before="240" w:after="240" w:line="360" w:lineRule="auto"/>
        <w:ind w:left="0"/>
        <w:jc w:val="both"/>
        <w:rPr>
          <w:rFonts w:ascii="Palatino Linotype" w:eastAsia="MS Mincho" w:hAnsi="Palatino Linotype" w:cs="Times New Roman"/>
          <w:color w:val="000000" w:themeColor="text1"/>
        </w:rPr>
      </w:pPr>
    </w:p>
    <w:p w14:paraId="01E24A0D" w14:textId="26F4C9F1" w:rsidR="00524CD7" w:rsidRPr="0066727B" w:rsidRDefault="00524CD7" w:rsidP="00524CD7">
      <w:pPr>
        <w:pStyle w:val="Prrafodelista"/>
        <w:numPr>
          <w:ilvl w:val="0"/>
          <w:numId w:val="1"/>
        </w:numPr>
        <w:tabs>
          <w:tab w:val="left" w:pos="567"/>
        </w:tabs>
        <w:spacing w:before="240" w:after="240" w:line="360" w:lineRule="auto"/>
        <w:ind w:left="0" w:firstLine="0"/>
        <w:jc w:val="both"/>
        <w:rPr>
          <w:rFonts w:ascii="Palatino Linotype" w:hAnsi="Palatino Linotype"/>
          <w:i/>
          <w:color w:val="000000"/>
          <w:sz w:val="22"/>
          <w:szCs w:val="22"/>
        </w:rPr>
      </w:pPr>
      <w:r w:rsidRPr="0066727B">
        <w:rPr>
          <w:rFonts w:ascii="Palatino Linotype" w:hAnsi="Palatino Linotype" w:cs="Arial"/>
          <w:color w:val="000000" w:themeColor="text1"/>
        </w:rPr>
        <w:t xml:space="preserve">Visto lo anterior se </w:t>
      </w:r>
      <w:r w:rsidR="001446E8" w:rsidRPr="0066727B">
        <w:rPr>
          <w:rFonts w:ascii="Palatino Linotype" w:hAnsi="Palatino Linotype" w:cs="Arial"/>
          <w:color w:val="000000" w:themeColor="text1"/>
        </w:rPr>
        <w:t xml:space="preserve">observó </w:t>
      </w:r>
      <w:r w:rsidR="001446E8" w:rsidRPr="0066727B">
        <w:rPr>
          <w:rFonts w:ascii="Palatino Linotype" w:hAnsi="Palatino Linotype"/>
          <w:color w:val="000000" w:themeColor="text1"/>
        </w:rPr>
        <w:t xml:space="preserve">que el </w:t>
      </w:r>
      <w:r w:rsidR="001446E8" w:rsidRPr="0066727B">
        <w:rPr>
          <w:rFonts w:ascii="Palatino Linotype" w:hAnsi="Palatino Linotype"/>
          <w:b/>
          <w:color w:val="000000" w:themeColor="text1"/>
        </w:rPr>
        <w:t>SUJETO OBLIGADO</w:t>
      </w:r>
      <w:r w:rsidR="001446E8" w:rsidRPr="0066727B">
        <w:rPr>
          <w:rFonts w:ascii="Palatino Linotype" w:hAnsi="Palatino Linotype"/>
          <w:color w:val="000000" w:themeColor="text1"/>
        </w:rPr>
        <w:t xml:space="preserve"> al emitir su respuesta está contraviniendo el </w:t>
      </w:r>
      <w:r w:rsidR="001446E8" w:rsidRPr="0066727B">
        <w:rPr>
          <w:rFonts w:ascii="Palatino Linotype" w:hAnsi="Palatino Linotype"/>
        </w:rPr>
        <w:t xml:space="preserve">artículo 11, por lo que se </w:t>
      </w:r>
      <w:r w:rsidRPr="0066727B">
        <w:rPr>
          <w:rFonts w:ascii="Palatino Linotype" w:hAnsi="Palatino Linotype" w:cs="Arial"/>
          <w:color w:val="000000" w:themeColor="text1"/>
        </w:rPr>
        <w:t xml:space="preserve">actualizan las causas de procedencia del recurso de revisión establecidas en el artículo 179 </w:t>
      </w:r>
      <w:r w:rsidRPr="0066727B">
        <w:rPr>
          <w:rFonts w:ascii="Palatino Linotype" w:hAnsi="Palatino Linotype" w:cs="Arial"/>
        </w:rPr>
        <w:t>fracciones I</w:t>
      </w:r>
      <w:r w:rsidRPr="0066727B">
        <w:rPr>
          <w:rFonts w:ascii="Palatino Linotype" w:hAnsi="Palatino Linotype" w:cs="Arial"/>
          <w:color w:val="000000" w:themeColor="text1"/>
        </w:rPr>
        <w:t xml:space="preserve"> y </w:t>
      </w:r>
      <w:r w:rsidR="008B59E4" w:rsidRPr="0066727B">
        <w:rPr>
          <w:rFonts w:ascii="Palatino Linotype" w:hAnsi="Palatino Linotype" w:cs="Arial"/>
          <w:color w:val="000000" w:themeColor="text1"/>
        </w:rPr>
        <w:t>V</w:t>
      </w:r>
      <w:r w:rsidRPr="0066727B">
        <w:rPr>
          <w:rFonts w:ascii="Palatino Linotype" w:hAnsi="Palatino Linotype" w:cs="Arial"/>
          <w:color w:val="000000" w:themeColor="text1"/>
        </w:rPr>
        <w:t xml:space="preserve"> de la </w:t>
      </w:r>
      <w:r w:rsidRPr="0066727B">
        <w:rPr>
          <w:rFonts w:ascii="Palatino Linotype" w:hAnsi="Palatino Linotype" w:cs="Arial"/>
          <w:b/>
          <w:color w:val="000000" w:themeColor="text1"/>
        </w:rPr>
        <w:t>Ley de Transparencia y Acceso a la Información Pública del Estado de México y Municipios.</w:t>
      </w:r>
    </w:p>
    <w:p w14:paraId="0710836A" w14:textId="77777777" w:rsidR="00524CD7" w:rsidRPr="0066727B" w:rsidRDefault="00524CD7" w:rsidP="00524CD7">
      <w:pPr>
        <w:pStyle w:val="Prrafodelista"/>
        <w:tabs>
          <w:tab w:val="left" w:pos="567"/>
        </w:tabs>
        <w:spacing w:before="240" w:after="240" w:line="360" w:lineRule="auto"/>
        <w:ind w:left="0" w:right="49"/>
        <w:jc w:val="both"/>
        <w:rPr>
          <w:rFonts w:ascii="Palatino Linotype" w:hAnsi="Palatino Linotype"/>
          <w:b/>
          <w:color w:val="000000" w:themeColor="text1"/>
        </w:rPr>
      </w:pPr>
    </w:p>
    <w:p w14:paraId="09AF50C2" w14:textId="73BA27A2" w:rsidR="004C3391" w:rsidRPr="0066727B" w:rsidRDefault="004C3391" w:rsidP="004C3391">
      <w:pPr>
        <w:pStyle w:val="Prrafodelista"/>
        <w:numPr>
          <w:ilvl w:val="0"/>
          <w:numId w:val="1"/>
        </w:numPr>
        <w:tabs>
          <w:tab w:val="left" w:pos="567"/>
        </w:tabs>
        <w:spacing w:before="240" w:after="240" w:line="360" w:lineRule="auto"/>
        <w:ind w:left="0" w:right="49" w:firstLine="0"/>
        <w:jc w:val="both"/>
        <w:rPr>
          <w:rFonts w:ascii="Palatino Linotype" w:hAnsi="Palatino Linotype"/>
          <w:b/>
          <w:color w:val="000000" w:themeColor="text1"/>
        </w:rPr>
      </w:pPr>
      <w:r w:rsidRPr="0066727B">
        <w:rPr>
          <w:rFonts w:ascii="Palatino Linotype" w:eastAsia="Times New Roman" w:hAnsi="Palatino Linotype" w:cs="Arial"/>
          <w:color w:val="000000" w:themeColor="text1"/>
        </w:rPr>
        <w:t xml:space="preserve">En dichas condiciones, la </w:t>
      </w:r>
      <w:r w:rsidRPr="0066727B">
        <w:rPr>
          <w:rFonts w:ascii="Palatino Linotype" w:eastAsia="Times New Roman" w:hAnsi="Palatino Linotype" w:cs="Arial"/>
          <w:i/>
          <w:color w:val="000000" w:themeColor="text1"/>
        </w:rPr>
        <w:t>litis</w:t>
      </w:r>
      <w:r w:rsidRPr="0066727B">
        <w:rPr>
          <w:rFonts w:ascii="Palatino Linotype" w:eastAsia="Times New Roman" w:hAnsi="Palatino Linotype" w:cs="Arial"/>
          <w:color w:val="000000" w:themeColor="text1"/>
        </w:rPr>
        <w:t xml:space="preserve"> a resolver en este recurso se circunscribe a determinar si </w:t>
      </w:r>
      <w:r w:rsidR="006F0271" w:rsidRPr="0066727B">
        <w:rPr>
          <w:rFonts w:ascii="Palatino Linotype" w:eastAsia="Times New Roman" w:hAnsi="Palatino Linotype" w:cs="Arial"/>
          <w:color w:val="000000" w:themeColor="text1"/>
        </w:rPr>
        <w:t xml:space="preserve">el Derecho de Acceso a la Información Pública puede ser el medio </w:t>
      </w:r>
      <w:r w:rsidR="006F0271" w:rsidRPr="0066727B">
        <w:rPr>
          <w:rFonts w:ascii="Palatino Linotype" w:eastAsia="Times New Roman" w:hAnsi="Palatino Linotype" w:cs="Arial"/>
          <w:color w:val="000000" w:themeColor="text1"/>
        </w:rPr>
        <w:lastRenderedPageBreak/>
        <w:t>para que cualquier persona acceda a la Información en posesión del SUJETO OBLIGADO relacionada con sus facultades sustantivas.</w:t>
      </w:r>
    </w:p>
    <w:p w14:paraId="25B9DAC0" w14:textId="77777777" w:rsidR="004C3391" w:rsidRPr="0066727B" w:rsidRDefault="004C3391" w:rsidP="004C3391">
      <w:pPr>
        <w:pStyle w:val="Ttulo1"/>
        <w:rPr>
          <w:szCs w:val="24"/>
        </w:rPr>
      </w:pPr>
      <w:bookmarkStart w:id="11" w:name="_Toc58589157"/>
      <w:r w:rsidRPr="0066727B">
        <w:rPr>
          <w:szCs w:val="24"/>
        </w:rPr>
        <w:t>CUARTO. Del estudio y resolución del asunto.</w:t>
      </w:r>
      <w:bookmarkEnd w:id="11"/>
    </w:p>
    <w:p w14:paraId="1E592675" w14:textId="461F6E9F" w:rsidR="004C3391" w:rsidRPr="0066727B" w:rsidRDefault="006F0271" w:rsidP="004C3391">
      <w:pPr>
        <w:pStyle w:val="Ttulo2"/>
        <w:numPr>
          <w:ilvl w:val="2"/>
          <w:numId w:val="1"/>
        </w:numPr>
        <w:ind w:left="0" w:firstLine="0"/>
      </w:pPr>
      <w:bookmarkStart w:id="12" w:name="_Toc58589158"/>
      <w:r w:rsidRPr="0066727B">
        <w:t>Del Derecho de Acceso a la Información Pública (DAI).</w:t>
      </w:r>
      <w:bookmarkEnd w:id="12"/>
    </w:p>
    <w:p w14:paraId="5D251657" w14:textId="18B8BF1A" w:rsidR="004C3391" w:rsidRPr="0066727B" w:rsidRDefault="004C3391" w:rsidP="004C3391">
      <w:pPr>
        <w:pStyle w:val="Ttulo2"/>
      </w:pPr>
      <w:bookmarkStart w:id="13" w:name="_Toc58589159"/>
      <w:r w:rsidRPr="0066727B">
        <w:t>I</w:t>
      </w:r>
      <w:r w:rsidR="00B920F1" w:rsidRPr="0066727B">
        <w:t>I</w:t>
      </w:r>
      <w:r w:rsidRPr="0066727B">
        <w:t>.I. De</w:t>
      </w:r>
      <w:r w:rsidR="006F0271" w:rsidRPr="0066727B">
        <w:t xml:space="preserve"> la importancia de respetar el DAI</w:t>
      </w:r>
      <w:r w:rsidRPr="0066727B">
        <w:t>.</w:t>
      </w:r>
      <w:bookmarkEnd w:id="13"/>
    </w:p>
    <w:p w14:paraId="72D6FE84" w14:textId="77777777" w:rsidR="004C3391" w:rsidRPr="0066727B" w:rsidRDefault="004C3391" w:rsidP="004C3391">
      <w:pPr>
        <w:pStyle w:val="Prrafodelista"/>
        <w:tabs>
          <w:tab w:val="left" w:pos="567"/>
        </w:tabs>
        <w:spacing w:line="360" w:lineRule="auto"/>
        <w:ind w:left="0"/>
        <w:jc w:val="both"/>
        <w:rPr>
          <w:rFonts w:ascii="Palatino Linotype" w:hAnsi="Palatino Linotype"/>
        </w:rPr>
      </w:pPr>
    </w:p>
    <w:p w14:paraId="4DC78C66" w14:textId="74124E7B" w:rsidR="00873348" w:rsidRPr="0066727B" w:rsidRDefault="004C3391" w:rsidP="0087334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66727B">
        <w:rPr>
          <w:rFonts w:ascii="Palatino Linotype" w:hAnsi="Palatino Linotype"/>
          <w:color w:val="000000" w:themeColor="text1"/>
        </w:rPr>
        <w:t xml:space="preserve">Antes de analizar este tema, es menester precisar que </w:t>
      </w:r>
      <w:r w:rsidR="00873348" w:rsidRPr="0066727B">
        <w:rPr>
          <w:rFonts w:ascii="Palatino Linotype" w:hAnsi="Palatino Linotype"/>
          <w:color w:val="000000" w:themeColor="text1"/>
        </w:rPr>
        <w:t xml:space="preserve">el artículo 1 de </w:t>
      </w:r>
      <w:r w:rsidR="00873348" w:rsidRPr="0066727B">
        <w:rPr>
          <w:rFonts w:ascii="Palatino Linotype" w:eastAsia="MS Mincho" w:hAnsi="Palatino Linotype" w:cs="Times New Roman"/>
          <w:color w:val="000000" w:themeColor="text1"/>
        </w:rPr>
        <w:t xml:space="preserve">la </w:t>
      </w:r>
      <w:r w:rsidR="00873348" w:rsidRPr="0066727B">
        <w:rPr>
          <w:rFonts w:ascii="Palatino Linotype" w:eastAsia="MS Mincho" w:hAnsi="Palatino Linotype" w:cs="Times New Roman"/>
          <w:b/>
          <w:color w:val="000000" w:themeColor="text1"/>
        </w:rPr>
        <w:t>Constitución Política de los Estados Unidos Mexicanos</w:t>
      </w:r>
      <w:r w:rsidR="00873348" w:rsidRPr="0066727B">
        <w:rPr>
          <w:rFonts w:ascii="Palatino Linotype" w:eastAsia="MS Mincho" w:hAnsi="Palatino Linotype" w:cs="Times New Roman"/>
          <w:color w:val="000000" w:themeColor="text1"/>
        </w:rPr>
        <w:t xml:space="preserve"> señala que </w:t>
      </w:r>
      <w:r w:rsidR="00873348" w:rsidRPr="0066727B">
        <w:rPr>
          <w:rFonts w:ascii="Palatino Linotype" w:hAnsi="Palatino Linotype"/>
        </w:rPr>
        <w:t xml:space="preserve">todas las personas gozarán de los derechos humanos </w:t>
      </w:r>
      <w:r w:rsidR="00873348" w:rsidRPr="0066727B">
        <w:rPr>
          <w:rFonts w:ascii="Palatino Linotype" w:hAnsi="Palatino Linotype"/>
          <w:b/>
          <w:u w:val="single"/>
        </w:rPr>
        <w:t>reconocidos en la Constitución y en los tratados internacionales</w:t>
      </w:r>
      <w:r w:rsidR="00873348" w:rsidRPr="0066727B">
        <w:rPr>
          <w:rFonts w:ascii="Palatino Linotype" w:hAnsi="Palatino Linotype"/>
        </w:rPr>
        <w:t xml:space="preserve"> de los que el Estado Mexicano sea parte, así como de las garantías para su protección, cuyo ejercicio no podrá restringirse ni suspenderse, salvo en los casos y bajo las condiciones que </w:t>
      </w:r>
      <w:r w:rsidR="00565407" w:rsidRPr="0066727B">
        <w:rPr>
          <w:rFonts w:ascii="Palatino Linotype" w:hAnsi="Palatino Linotype"/>
        </w:rPr>
        <w:t>la propia</w:t>
      </w:r>
      <w:r w:rsidR="00873348" w:rsidRPr="0066727B">
        <w:rPr>
          <w:rFonts w:ascii="Palatino Linotype" w:hAnsi="Palatino Linotype"/>
        </w:rPr>
        <w:t xml:space="preserve"> Constitución establece.</w:t>
      </w:r>
    </w:p>
    <w:p w14:paraId="3E8E339F" w14:textId="77777777" w:rsidR="00873348" w:rsidRPr="0066727B" w:rsidRDefault="00873348" w:rsidP="00565407">
      <w:pPr>
        <w:pStyle w:val="Prrafodelista"/>
        <w:spacing w:before="240" w:after="240" w:line="360" w:lineRule="auto"/>
        <w:ind w:left="0"/>
        <w:jc w:val="both"/>
        <w:rPr>
          <w:rFonts w:ascii="Palatino Linotype" w:eastAsia="MS Mincho" w:hAnsi="Palatino Linotype" w:cs="Times New Roman"/>
          <w:color w:val="000000" w:themeColor="text1"/>
        </w:rPr>
      </w:pPr>
    </w:p>
    <w:p w14:paraId="35C3371C" w14:textId="7E8822FB" w:rsidR="004C3391" w:rsidRPr="0066727B" w:rsidRDefault="00206EBF" w:rsidP="0061722C">
      <w:pPr>
        <w:pStyle w:val="Prrafodelista"/>
        <w:numPr>
          <w:ilvl w:val="0"/>
          <w:numId w:val="1"/>
        </w:numPr>
        <w:spacing w:before="240" w:after="240" w:line="360" w:lineRule="auto"/>
        <w:ind w:left="0" w:firstLine="0"/>
        <w:jc w:val="both"/>
        <w:rPr>
          <w:rFonts w:ascii="Palatino Linotype" w:eastAsia="MS Mincho" w:hAnsi="Palatino Linotype" w:cs="Times New Roman"/>
          <w:color w:val="000000" w:themeColor="text1"/>
        </w:rPr>
      </w:pPr>
      <w:r w:rsidRPr="0066727B">
        <w:rPr>
          <w:rFonts w:ascii="Palatino Linotype" w:hAnsi="Palatino Linotype"/>
          <w:color w:val="000000" w:themeColor="text1"/>
        </w:rPr>
        <w:t>E</w:t>
      </w:r>
      <w:r w:rsidR="004C3391" w:rsidRPr="0066727B">
        <w:rPr>
          <w:rFonts w:ascii="Palatino Linotype" w:hAnsi="Palatino Linotype"/>
          <w:color w:val="000000" w:themeColor="text1"/>
        </w:rPr>
        <w:t xml:space="preserve">ste </w:t>
      </w:r>
      <w:r w:rsidR="004C3391" w:rsidRPr="0066727B">
        <w:rPr>
          <w:rFonts w:ascii="Palatino Linotype" w:eastAsia="MS Mincho" w:hAnsi="Palatino Linotype" w:cs="Times New Roman"/>
          <w:color w:val="000000" w:themeColor="text1"/>
        </w:rPr>
        <w:t xml:space="preserve">Órgano Garante parte de que </w:t>
      </w:r>
      <w:r w:rsidR="004C3391" w:rsidRPr="0066727B">
        <w:rPr>
          <w:rFonts w:ascii="Palatino Linotype" w:eastAsia="Times New Roman" w:hAnsi="Palatino Linotype" w:cs="Arial"/>
          <w:color w:val="000000" w:themeColor="text1"/>
          <w:lang w:eastAsia="es-MX"/>
        </w:rPr>
        <w:t>el Derecho de Acceso a la Información Pública, es un</w:t>
      </w:r>
      <w:r w:rsidR="004C3391" w:rsidRPr="0066727B">
        <w:rPr>
          <w:rFonts w:ascii="Palatino Linotype" w:eastAsia="Times New Roman" w:hAnsi="Palatino Linotype" w:cs="Arial"/>
          <w:b/>
          <w:color w:val="000000" w:themeColor="text1"/>
          <w:lang w:eastAsia="es-MX"/>
        </w:rPr>
        <w:t xml:space="preserve"> derecho humano</w:t>
      </w:r>
      <w:r w:rsidR="004C3391" w:rsidRPr="0066727B">
        <w:rPr>
          <w:rFonts w:ascii="Palatino Linotype" w:eastAsia="Times New Roman" w:hAnsi="Palatino Linotype" w:cs="Arial"/>
          <w:color w:val="000000" w:themeColor="text1"/>
          <w:lang w:eastAsia="es-MX"/>
        </w:rPr>
        <w:t xml:space="preserve">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4C3391" w:rsidRPr="0066727B">
        <w:rPr>
          <w:rFonts w:ascii="Palatino Linotype" w:eastAsia="Times New Roman" w:hAnsi="Palatino Linotype" w:cs="Arial"/>
          <w:color w:val="000000" w:themeColor="text1"/>
        </w:rPr>
        <w:t xml:space="preserve"> </w:t>
      </w:r>
      <w:r w:rsidR="004C3391" w:rsidRPr="0066727B">
        <w:rPr>
          <w:rFonts w:ascii="Palatino Linotype" w:eastAsia="Times New Roman" w:hAnsi="Palatino Linotype" w:cs="Arial"/>
          <w:b/>
          <w:color w:val="000000" w:themeColor="text1"/>
        </w:rPr>
        <w:t>SUJETO OBLIGADO</w:t>
      </w:r>
      <w:r w:rsidR="004C3391" w:rsidRPr="0066727B">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4C3391" w:rsidRPr="0066727B">
        <w:rPr>
          <w:rFonts w:ascii="Palatino Linotype" w:eastAsia="Times New Roman" w:hAnsi="Palatino Linotype" w:cs="Arial"/>
          <w:b/>
          <w:color w:val="000000" w:themeColor="text1"/>
        </w:rPr>
        <w:t xml:space="preserve">Constitución Política de los Estados Unidos Mexicanos </w:t>
      </w:r>
      <w:r w:rsidR="004C3391" w:rsidRPr="0066727B">
        <w:rPr>
          <w:rFonts w:ascii="Palatino Linotype" w:eastAsia="Times New Roman" w:hAnsi="Palatino Linotype" w:cs="Arial"/>
          <w:color w:val="000000" w:themeColor="text1"/>
        </w:rPr>
        <w:t xml:space="preserve">al señalar la obligación de “promover, </w:t>
      </w:r>
      <w:r w:rsidR="004C3391" w:rsidRPr="0066727B">
        <w:rPr>
          <w:rFonts w:ascii="Palatino Linotype" w:eastAsia="Times New Roman" w:hAnsi="Palatino Linotype" w:cs="Arial"/>
          <w:b/>
          <w:color w:val="000000" w:themeColor="text1"/>
        </w:rPr>
        <w:t>respetar</w:t>
      </w:r>
      <w:r w:rsidR="004C3391" w:rsidRPr="0066727B">
        <w:rPr>
          <w:rFonts w:ascii="Palatino Linotype" w:eastAsia="Times New Roman" w:hAnsi="Palatino Linotype" w:cs="Arial"/>
          <w:color w:val="000000" w:themeColor="text1"/>
        </w:rPr>
        <w:t xml:space="preserve">, </w:t>
      </w:r>
      <w:r w:rsidR="004C3391" w:rsidRPr="0066727B">
        <w:rPr>
          <w:rFonts w:ascii="Palatino Linotype" w:eastAsia="Times New Roman" w:hAnsi="Palatino Linotype" w:cs="Arial"/>
          <w:color w:val="000000" w:themeColor="text1"/>
        </w:rPr>
        <w:lastRenderedPageBreak/>
        <w:t xml:space="preserve">proteger y </w:t>
      </w:r>
      <w:r w:rsidR="004C3391" w:rsidRPr="0066727B">
        <w:rPr>
          <w:rFonts w:ascii="Palatino Linotype" w:eastAsia="Times New Roman" w:hAnsi="Palatino Linotype" w:cs="Arial"/>
          <w:b/>
          <w:color w:val="000000" w:themeColor="text1"/>
        </w:rPr>
        <w:t>garantizar</w:t>
      </w:r>
      <w:r w:rsidR="004C3391" w:rsidRPr="0066727B">
        <w:rPr>
          <w:rFonts w:ascii="Palatino Linotype" w:eastAsia="Times New Roman" w:hAnsi="Palatino Linotype" w:cs="Arial"/>
          <w:color w:val="000000" w:themeColor="text1"/>
        </w:rPr>
        <w:t xml:space="preserve"> los derechos humanos”, entre los cua</w:t>
      </w:r>
      <w:r w:rsidR="0061722C" w:rsidRPr="0066727B">
        <w:rPr>
          <w:rFonts w:ascii="Palatino Linotype" w:eastAsia="Times New Roman" w:hAnsi="Palatino Linotype" w:cs="Arial"/>
          <w:color w:val="000000" w:themeColor="text1"/>
        </w:rPr>
        <w:t>les se encuentra dicho derecho.</w:t>
      </w:r>
    </w:p>
    <w:p w14:paraId="1D26013E" w14:textId="47C81050" w:rsidR="004C3391" w:rsidRPr="0066727B" w:rsidRDefault="004C3391" w:rsidP="004C3391">
      <w:pPr>
        <w:numPr>
          <w:ilvl w:val="0"/>
          <w:numId w:val="1"/>
        </w:numPr>
        <w:spacing w:before="240" w:line="360" w:lineRule="auto"/>
        <w:ind w:left="0" w:firstLine="0"/>
        <w:contextualSpacing/>
        <w:jc w:val="both"/>
        <w:rPr>
          <w:rFonts w:ascii="Palatino Linotype" w:eastAsia="Times New Roman" w:hAnsi="Palatino Linotype"/>
          <w:color w:val="000000" w:themeColor="text1"/>
        </w:rPr>
      </w:pPr>
      <w:r w:rsidRPr="0066727B">
        <w:rPr>
          <w:rFonts w:ascii="Palatino Linotype" w:eastAsia="Times New Roman" w:hAnsi="Palatino Linotype"/>
          <w:color w:val="000000" w:themeColor="text1"/>
        </w:rPr>
        <w:t xml:space="preserve">Definiendo el Derecho de Acceso a la Información Pública como: </w:t>
      </w:r>
      <w:r w:rsidRPr="0066727B">
        <w:rPr>
          <w:rFonts w:ascii="Palatino Linotype" w:hAnsi="Palatino Linotype"/>
          <w:i/>
          <w:color w:val="000000" w:themeColor="text1"/>
        </w:rPr>
        <w:t xml:space="preserve">La igualdad de oportunidades para recibir, </w:t>
      </w:r>
      <w:r w:rsidRPr="0066727B">
        <w:rPr>
          <w:rFonts w:ascii="Palatino Linotype" w:hAnsi="Palatino Linotype"/>
          <w:b/>
          <w:i/>
          <w:color w:val="000000" w:themeColor="text1"/>
          <w:u w:val="single"/>
        </w:rPr>
        <w:t>buscar e impartir información</w:t>
      </w:r>
      <w:r w:rsidRPr="0066727B">
        <w:rPr>
          <w:rFonts w:ascii="Palatino Linotype" w:hAnsi="Palatino Linotype"/>
          <w:i/>
          <w:color w:val="000000" w:themeColor="text1"/>
          <w:vertAlign w:val="superscript"/>
        </w:rPr>
        <w:footnoteReference w:id="1"/>
      </w:r>
      <w:r w:rsidR="00B26AFA" w:rsidRPr="0066727B">
        <w:rPr>
          <w:rFonts w:ascii="Palatino Linotype" w:hAnsi="Palatino Linotype"/>
          <w:b/>
          <w:i/>
          <w:color w:val="000000" w:themeColor="text1"/>
          <w:u w:val="single"/>
        </w:rPr>
        <w:t xml:space="preserve"> </w:t>
      </w:r>
      <w:r w:rsidRPr="0066727B">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6727B">
        <w:rPr>
          <w:rFonts w:ascii="Palatino Linotype" w:hAnsi="Palatino Linotype"/>
          <w:i/>
          <w:color w:val="000000" w:themeColor="text1"/>
          <w:vertAlign w:val="superscript"/>
        </w:rPr>
        <w:footnoteReference w:id="2"/>
      </w:r>
      <w:r w:rsidRPr="0066727B">
        <w:rPr>
          <w:rFonts w:ascii="Palatino Linotype" w:hAnsi="Palatino Linotype"/>
          <w:color w:val="000000" w:themeColor="text1"/>
        </w:rPr>
        <w:t>que se constituye como una herramienta fundamental para ejercer</w:t>
      </w:r>
      <w:r w:rsidRPr="0066727B">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66727B">
        <w:rPr>
          <w:rFonts w:ascii="Palatino Linotype" w:hAnsi="Palatino Linotype"/>
          <w:i/>
          <w:color w:val="000000" w:themeColor="text1"/>
          <w:vertAlign w:val="superscript"/>
        </w:rPr>
        <w:footnoteReference w:id="3"/>
      </w:r>
      <w:r w:rsidRPr="0066727B">
        <w:rPr>
          <w:rFonts w:ascii="Palatino Linotype" w:hAnsi="Palatino Linotype"/>
          <w:color w:val="000000" w:themeColor="text1"/>
        </w:rPr>
        <w:t>fomentando</w:t>
      </w:r>
      <w:r w:rsidRPr="0066727B">
        <w:rPr>
          <w:rFonts w:ascii="Palatino Linotype" w:hAnsi="Palatino Linotype"/>
          <w:i/>
          <w:color w:val="000000" w:themeColor="text1"/>
        </w:rPr>
        <w:t xml:space="preserve"> la transparencia de las actividades estatales y </w:t>
      </w:r>
      <w:r w:rsidRPr="0066727B">
        <w:rPr>
          <w:rFonts w:ascii="Palatino Linotype" w:hAnsi="Palatino Linotype"/>
          <w:color w:val="000000" w:themeColor="text1"/>
        </w:rPr>
        <w:t>promoviendo</w:t>
      </w:r>
      <w:r w:rsidRPr="0066727B">
        <w:rPr>
          <w:rFonts w:ascii="Palatino Linotype" w:hAnsi="Palatino Linotype"/>
          <w:i/>
          <w:color w:val="000000" w:themeColor="text1"/>
        </w:rPr>
        <w:t xml:space="preserve"> la responsabilidad de los funcionarios sobre su gestión pública,</w:t>
      </w:r>
      <w:r w:rsidRPr="0066727B">
        <w:rPr>
          <w:rFonts w:ascii="Palatino Linotype" w:hAnsi="Palatino Linotype"/>
          <w:i/>
          <w:color w:val="000000" w:themeColor="text1"/>
          <w:vertAlign w:val="superscript"/>
        </w:rPr>
        <w:footnoteReference w:id="4"/>
      </w:r>
      <w:r w:rsidRPr="0066727B">
        <w:rPr>
          <w:rFonts w:ascii="Palatino Linotype" w:hAnsi="Palatino Linotype"/>
          <w:color w:val="000000" w:themeColor="text1"/>
        </w:rPr>
        <w:t>que permite</w:t>
      </w:r>
      <w:r w:rsidRPr="0066727B">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560A79B8" w14:textId="77777777" w:rsidR="004C3391" w:rsidRPr="0066727B" w:rsidRDefault="004C3391" w:rsidP="00651431">
      <w:pPr>
        <w:spacing w:before="240" w:line="360" w:lineRule="auto"/>
        <w:contextualSpacing/>
        <w:jc w:val="both"/>
        <w:rPr>
          <w:rFonts w:ascii="Palatino Linotype" w:eastAsia="Times New Roman" w:hAnsi="Palatino Linotype"/>
          <w:color w:val="000000" w:themeColor="text1"/>
        </w:rPr>
      </w:pPr>
    </w:p>
    <w:p w14:paraId="6AEC6BA5" w14:textId="77777777" w:rsidR="004C3391" w:rsidRPr="0066727B" w:rsidRDefault="004C3391" w:rsidP="004C3391">
      <w:pPr>
        <w:pStyle w:val="paragraph"/>
        <w:numPr>
          <w:ilvl w:val="0"/>
          <w:numId w:val="1"/>
        </w:numPr>
        <w:spacing w:before="0" w:beforeAutospacing="0" w:after="240" w:afterAutospacing="0" w:line="360" w:lineRule="auto"/>
        <w:ind w:left="0" w:right="-150" w:firstLine="0"/>
        <w:jc w:val="both"/>
        <w:textAlignment w:val="baseline"/>
        <w:rPr>
          <w:rFonts w:ascii="Palatino Linotype" w:hAnsi="Palatino Linotype" w:cs="Arial"/>
        </w:rPr>
      </w:pPr>
      <w:r w:rsidRPr="0066727B">
        <w:rPr>
          <w:rFonts w:ascii="Palatino Linotype" w:hAnsi="Palatino Linotype"/>
          <w:color w:val="000000" w:themeColor="text1"/>
        </w:rPr>
        <w:t xml:space="preserve">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 pues en el derecho de acceso a la </w:t>
      </w:r>
      <w:r w:rsidRPr="0066727B">
        <w:rPr>
          <w:rFonts w:ascii="Palatino Linotype" w:hAnsi="Palatino Linotype"/>
          <w:color w:val="000000" w:themeColor="text1"/>
        </w:rPr>
        <w:lastRenderedPageBreak/>
        <w:t xml:space="preserve">información pública </w:t>
      </w:r>
      <w:r w:rsidRPr="0066727B">
        <w:rPr>
          <w:rFonts w:ascii="Palatino Linotype" w:hAnsi="Palatino Linotype" w:cs="Arial"/>
        </w:rPr>
        <w:t>la pretensión radica en que se permita el acceso a datos y todo tipo de documentación que tenga el carácter de información pública, que sea generada, administrada o se encuentre en posesión de los considerados sujetos obligados por la ley de la materia.</w:t>
      </w:r>
    </w:p>
    <w:p w14:paraId="5BE160EA" w14:textId="77777777" w:rsidR="008F52B4" w:rsidRPr="0066727B" w:rsidRDefault="008F52B4" w:rsidP="008F52B4">
      <w:pPr>
        <w:pStyle w:val="Prrafodelista"/>
        <w:rPr>
          <w:rFonts w:ascii="Palatino Linotype" w:hAnsi="Palatino Linotype" w:cs="Arial"/>
        </w:rPr>
      </w:pPr>
    </w:p>
    <w:p w14:paraId="0AEA970D" w14:textId="77777777" w:rsidR="004C3391" w:rsidRPr="0066727B" w:rsidRDefault="004C3391" w:rsidP="004C3391">
      <w:pPr>
        <w:pStyle w:val="paragraph"/>
        <w:numPr>
          <w:ilvl w:val="0"/>
          <w:numId w:val="1"/>
        </w:numPr>
        <w:spacing w:before="0" w:beforeAutospacing="0" w:after="240" w:afterAutospacing="0" w:line="360" w:lineRule="auto"/>
        <w:ind w:left="0" w:right="-150" w:firstLine="0"/>
        <w:jc w:val="both"/>
        <w:textAlignment w:val="baseline"/>
        <w:rPr>
          <w:rFonts w:ascii="Palatino Linotype" w:hAnsi="Palatino Linotype" w:cs="Arial"/>
        </w:rPr>
      </w:pPr>
      <w:r w:rsidRPr="0066727B">
        <w:rPr>
          <w:rFonts w:ascii="Palatino Linotype" w:hAnsi="Palatino Linotype" w:cs="Arial"/>
        </w:rPr>
        <w:t>Para robustecer lo antes expuesto resulta conveniente citar a José Guadalupe Robles, quien conceptualiza el derecho a la información como “un derecho fundamental tanto de carácter individual como colectivo, cuyas limitaciones deben estar establecidas en la ley, así como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66727B">
        <w:rPr>
          <w:rStyle w:val="Refdenotaalpie"/>
          <w:rFonts w:ascii="Palatino Linotype" w:hAnsi="Palatino Linotype" w:cs="Arial"/>
        </w:rPr>
        <w:footnoteReference w:id="5"/>
      </w:r>
      <w:r w:rsidRPr="0066727B">
        <w:rPr>
          <w:rFonts w:ascii="Palatino Linotype" w:hAnsi="Palatino Linotype" w:cs="Arial"/>
        </w:rPr>
        <w:t>”</w:t>
      </w:r>
    </w:p>
    <w:p w14:paraId="64B175CF" w14:textId="77777777" w:rsidR="004C3391" w:rsidRPr="0066727B" w:rsidRDefault="004C3391" w:rsidP="004C3391">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66727B">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66727B">
        <w:rPr>
          <w:rFonts w:ascii="Palatino Linotype" w:hAnsi="Palatino Linotype"/>
          <w:color w:val="000000" w:themeColor="text1"/>
        </w:rPr>
        <w:t>Villanueva</w:t>
      </w:r>
      <w:proofErr w:type="spellEnd"/>
      <w:r w:rsidRPr="0066727B">
        <w:rPr>
          <w:rFonts w:ascii="Palatino Linotype" w:hAnsi="Palatino Linotype"/>
          <w:color w:val="000000" w:themeColor="text1"/>
        </w:rPr>
        <w:t xml:space="preserve"> que dice: “</w:t>
      </w:r>
      <w:r w:rsidRPr="0066727B">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66727B">
        <w:rPr>
          <w:rStyle w:val="Refdenotaalpie"/>
          <w:rFonts w:ascii="Palatino Linotype" w:hAnsi="Palatino Linotype"/>
          <w:i/>
          <w:iCs/>
          <w:color w:val="000000" w:themeColor="text1"/>
        </w:rPr>
        <w:footnoteReference w:id="6"/>
      </w:r>
      <w:r w:rsidRPr="0066727B">
        <w:rPr>
          <w:rFonts w:ascii="Palatino Linotype" w:hAnsi="Palatino Linotype"/>
          <w:i/>
          <w:iCs/>
          <w:color w:val="000000" w:themeColor="text1"/>
        </w:rPr>
        <w:t>.</w:t>
      </w:r>
    </w:p>
    <w:p w14:paraId="070166DC" w14:textId="77777777" w:rsidR="004C3391" w:rsidRPr="0066727B" w:rsidRDefault="004C3391" w:rsidP="004C3391">
      <w:pPr>
        <w:pStyle w:val="Prrafodelista"/>
        <w:spacing w:before="240" w:after="360"/>
        <w:ind w:left="0"/>
        <w:jc w:val="both"/>
        <w:rPr>
          <w:rFonts w:ascii="Palatino Linotype" w:hAnsi="Palatino Linotype" w:cs="Arial"/>
          <w:lang w:val="es-MX"/>
        </w:rPr>
      </w:pPr>
    </w:p>
    <w:p w14:paraId="31EB9145" w14:textId="03FFF66B" w:rsidR="00206EBF" w:rsidRPr="0066727B" w:rsidRDefault="004C3391" w:rsidP="00206EBF">
      <w:pPr>
        <w:pStyle w:val="Prrafodelista"/>
        <w:numPr>
          <w:ilvl w:val="0"/>
          <w:numId w:val="1"/>
        </w:numPr>
        <w:spacing w:before="240" w:after="360" w:line="360" w:lineRule="auto"/>
        <w:ind w:left="0" w:firstLine="0"/>
        <w:jc w:val="both"/>
        <w:rPr>
          <w:rFonts w:ascii="Palatino Linotype" w:hAnsi="Palatino Linotype" w:cs="Arial"/>
          <w:lang w:val="es-MX"/>
        </w:rPr>
      </w:pPr>
      <w:r w:rsidRPr="0066727B">
        <w:rPr>
          <w:rFonts w:ascii="Palatino Linotype" w:hAnsi="Palatino Linotype"/>
          <w:color w:val="000000" w:themeColor="text1"/>
        </w:rPr>
        <w:lastRenderedPageBreak/>
        <w:t>En esa virtud, -se reitera-</w:t>
      </w:r>
      <w:r w:rsidR="0002189F" w:rsidRPr="0066727B">
        <w:rPr>
          <w:rFonts w:ascii="Palatino Linotype" w:hAnsi="Palatino Linotype"/>
          <w:color w:val="000000" w:themeColor="text1"/>
        </w:rPr>
        <w:t>el SUJETO OBLIGADO</w:t>
      </w:r>
      <w:r w:rsidR="00206EBF" w:rsidRPr="0066727B">
        <w:rPr>
          <w:rStyle w:val="apple-converted-space"/>
          <w:rFonts w:ascii="Palatino Linotype" w:hAnsi="Palatino Linotype"/>
          <w:color w:val="000000" w:themeColor="text1"/>
        </w:rPr>
        <w:t xml:space="preserve">, </w:t>
      </w:r>
      <w:r w:rsidR="0002189F" w:rsidRPr="0066727B">
        <w:rPr>
          <w:rFonts w:ascii="Palatino Linotype" w:hAnsi="Palatino Linotype"/>
          <w:color w:val="000000" w:themeColor="text1"/>
        </w:rPr>
        <w:t>está constreñido</w:t>
      </w:r>
      <w:r w:rsidRPr="0066727B">
        <w:rPr>
          <w:rFonts w:ascii="Palatino Linotype" w:hAnsi="Palatino Linotype"/>
          <w:color w:val="000000" w:themeColor="text1"/>
        </w:rPr>
        <w:t xml:space="preserve"> a entregar los documentos en los que conste la información que sea generada, poseída o administrada </w:t>
      </w:r>
      <w:r w:rsidRPr="0066727B">
        <w:rPr>
          <w:rFonts w:ascii="Palatino Linotype" w:hAnsi="Palatino Linotype"/>
          <w:b/>
          <w:color w:val="000000" w:themeColor="text1"/>
          <w:u w:val="single"/>
        </w:rPr>
        <w:t>en el ejercicio de sus atribuciones</w:t>
      </w:r>
      <w:r w:rsidRPr="0066727B">
        <w:rPr>
          <w:rFonts w:ascii="Palatino Linotype" w:hAnsi="Palatino Linotype"/>
          <w:color w:val="000000" w:themeColor="text1"/>
        </w:rPr>
        <w:t xml:space="preserve">, como son: </w:t>
      </w:r>
      <w:r w:rsidRPr="0066727B">
        <w:rPr>
          <w:rFonts w:ascii="Palatino Linotype" w:hAnsi="Palatino Linotyp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r w:rsidRPr="0066727B">
        <w:rPr>
          <w:rStyle w:val="Refdenotaalpie"/>
          <w:rFonts w:ascii="Palatino Linotype" w:hAnsi="Palatino Linotype"/>
        </w:rPr>
        <w:footnoteReference w:id="7"/>
      </w:r>
      <w:r w:rsidRPr="0066727B">
        <w:rPr>
          <w:rFonts w:ascii="Palatino Linotype" w:hAnsi="Palatino Linotype"/>
          <w:color w:val="000000" w:themeColor="text1"/>
        </w:rPr>
        <w:t>, etc.</w:t>
      </w:r>
    </w:p>
    <w:p w14:paraId="0A637B6A" w14:textId="6102A373" w:rsidR="0002189F" w:rsidRPr="0066727B" w:rsidRDefault="0002189F" w:rsidP="00696880">
      <w:pPr>
        <w:pStyle w:val="paragraph"/>
        <w:numPr>
          <w:ilvl w:val="0"/>
          <w:numId w:val="1"/>
        </w:numPr>
        <w:spacing w:before="0" w:beforeAutospacing="0" w:after="0" w:afterAutospacing="0" w:line="360" w:lineRule="auto"/>
        <w:ind w:left="0" w:right="-150" w:firstLine="0"/>
        <w:jc w:val="both"/>
        <w:textAlignment w:val="baseline"/>
        <w:rPr>
          <w:rFonts w:ascii="Palatino Linotype" w:hAnsi="Palatino Linotype" w:cs="Arial"/>
          <w:b/>
        </w:rPr>
      </w:pPr>
      <w:r w:rsidRPr="0066727B">
        <w:rPr>
          <w:rFonts w:ascii="Palatino Linotype" w:hAnsi="Palatino Linotype"/>
          <w:color w:val="000000"/>
        </w:rPr>
        <w:t xml:space="preserve">De lo apuntado hasta aquí se advierte que se deberá dar </w:t>
      </w:r>
      <w:r w:rsidR="00696880" w:rsidRPr="0066727B">
        <w:rPr>
          <w:rFonts w:ascii="Palatino Linotype" w:hAnsi="Palatino Linotype"/>
          <w:color w:val="000000"/>
        </w:rPr>
        <w:t>acceso</w:t>
      </w:r>
      <w:r w:rsidRPr="0066727B">
        <w:rPr>
          <w:rFonts w:ascii="Palatino Linotype" w:hAnsi="Palatino Linotype"/>
          <w:color w:val="000000"/>
        </w:rPr>
        <w:t xml:space="preserve"> a toda la información que se</w:t>
      </w:r>
      <w:r w:rsidR="00696880" w:rsidRPr="0066727B">
        <w:rPr>
          <w:rFonts w:ascii="Palatino Linotype" w:hAnsi="Palatino Linotype"/>
          <w:color w:val="000000"/>
        </w:rPr>
        <w:t>a generada o bien se</w:t>
      </w:r>
      <w:r w:rsidRPr="0066727B">
        <w:rPr>
          <w:rFonts w:ascii="Palatino Linotype" w:hAnsi="Palatino Linotype" w:cs="Arial"/>
        </w:rPr>
        <w:t xml:space="preserve"> encuentre en posesión de los considerados sujetos obligados por la ley de la materia, siendo la </w:t>
      </w:r>
      <w:r w:rsidRPr="0066727B">
        <w:rPr>
          <w:rFonts w:ascii="Palatino Linotype" w:hAnsi="Palatino Linotype" w:cs="Arial"/>
          <w:b/>
        </w:rPr>
        <w:t>Fiscalía General de Justicia del Estado de México</w:t>
      </w:r>
      <w:r w:rsidRPr="0066727B">
        <w:rPr>
          <w:rFonts w:ascii="Palatino Linotype" w:hAnsi="Palatino Linotype" w:cs="Arial"/>
        </w:rPr>
        <w:t xml:space="preserve"> un </w:t>
      </w:r>
      <w:r w:rsidRPr="0066727B">
        <w:rPr>
          <w:rFonts w:ascii="Palatino Linotype" w:hAnsi="Palatino Linotype" w:cs="Arial"/>
          <w:b/>
        </w:rPr>
        <w:t>SUJETO OBLIGADO</w:t>
      </w:r>
      <w:r w:rsidR="000522F6" w:rsidRPr="0066727B">
        <w:rPr>
          <w:rStyle w:val="Refdenotaalpie"/>
          <w:rFonts w:ascii="Palatino Linotype" w:hAnsi="Palatino Linotype" w:cs="Arial"/>
          <w:b/>
        </w:rPr>
        <w:footnoteReference w:id="8"/>
      </w:r>
      <w:r w:rsidRPr="0066727B">
        <w:rPr>
          <w:rFonts w:ascii="Palatino Linotype" w:hAnsi="Palatino Linotype" w:cs="Arial"/>
        </w:rPr>
        <w:t xml:space="preserve"> </w:t>
      </w:r>
      <w:r w:rsidR="00696880" w:rsidRPr="0066727B">
        <w:rPr>
          <w:rFonts w:ascii="Palatino Linotype" w:hAnsi="Palatino Linotype" w:cs="Arial"/>
        </w:rPr>
        <w:t xml:space="preserve">en materia de transparencia de conformidad con el numeral 112 del </w:t>
      </w:r>
      <w:r w:rsidR="00696880" w:rsidRPr="0066727B">
        <w:rPr>
          <w:rFonts w:ascii="Palatino Linotype" w:hAnsi="Palatino Linotype"/>
          <w:b/>
        </w:rPr>
        <w:t>Acuerdo mediante el cual se aprueba el padrón de Sujetos Obligados en materia de Transparencia y Acceso a la Información Pública del Estado de México y Municipios.</w:t>
      </w:r>
    </w:p>
    <w:p w14:paraId="3C98CB9E" w14:textId="77777777" w:rsidR="00206EBF" w:rsidRPr="0066727B" w:rsidRDefault="00206EBF" w:rsidP="0002189F">
      <w:pPr>
        <w:pStyle w:val="Prrafodelista"/>
        <w:spacing w:line="360" w:lineRule="auto"/>
        <w:ind w:left="0"/>
        <w:jc w:val="both"/>
        <w:rPr>
          <w:rFonts w:ascii="Palatino Linotype" w:hAnsi="Palatino Linotype" w:cs="Arial"/>
          <w:lang w:val="es-MX"/>
        </w:rPr>
      </w:pPr>
    </w:p>
    <w:p w14:paraId="168FD748" w14:textId="0AF853F9" w:rsidR="004C3391" w:rsidRPr="0066727B" w:rsidRDefault="004C3391" w:rsidP="004C3391">
      <w:pPr>
        <w:pStyle w:val="Ttulo1"/>
      </w:pPr>
      <w:bookmarkStart w:id="14" w:name="_Toc58589160"/>
      <w:r w:rsidRPr="0066727B">
        <w:lastRenderedPageBreak/>
        <w:t>II</w:t>
      </w:r>
      <w:r w:rsidR="00CC458C" w:rsidRPr="0066727B">
        <w:t>I</w:t>
      </w:r>
      <w:r w:rsidRPr="0066727B">
        <w:t>. De las atribuciones del SUJETO OBLIGADO.</w:t>
      </w:r>
      <w:bookmarkEnd w:id="14"/>
    </w:p>
    <w:p w14:paraId="55D8A99E" w14:textId="77777777" w:rsidR="00D577A6" w:rsidRPr="0066727B" w:rsidRDefault="00D577A6" w:rsidP="00D577A6">
      <w:pPr>
        <w:pStyle w:val="Prrafodelista"/>
        <w:rPr>
          <w:rFonts w:ascii="Palatino Linotype" w:hAnsi="Palatino Linotype"/>
          <w:color w:val="000000"/>
        </w:rPr>
      </w:pPr>
    </w:p>
    <w:p w14:paraId="22A67320" w14:textId="19C08E5F" w:rsidR="00D577A6" w:rsidRPr="0066727B" w:rsidRDefault="00841014" w:rsidP="00D577A6">
      <w:pPr>
        <w:pStyle w:val="Prrafodelista"/>
        <w:numPr>
          <w:ilvl w:val="0"/>
          <w:numId w:val="1"/>
        </w:numPr>
        <w:spacing w:before="240" w:after="240" w:line="360" w:lineRule="auto"/>
        <w:ind w:left="0" w:firstLine="0"/>
        <w:jc w:val="both"/>
        <w:rPr>
          <w:rFonts w:ascii="Palatino Linotype" w:hAnsi="Palatino Linotype"/>
          <w:color w:val="000000"/>
        </w:rPr>
      </w:pPr>
      <w:r w:rsidRPr="0066727B">
        <w:rPr>
          <w:rFonts w:ascii="Palatino Linotype" w:hAnsi="Palatino Linotype" w:cs="Arial"/>
        </w:rPr>
        <w:t xml:space="preserve">En esa tesitura, es bien sabido que el Ministerio Público es un representante social </w:t>
      </w:r>
      <w:r w:rsidRPr="0066727B">
        <w:rPr>
          <w:rFonts w:ascii="Palatino Linotype" w:hAnsi="Palatino Linotype"/>
        </w:rPr>
        <w:t xml:space="preserve">en los intereses de </w:t>
      </w:r>
      <w:r w:rsidR="00A4365E" w:rsidRPr="0066727B">
        <w:rPr>
          <w:rFonts w:ascii="Palatino Linotype" w:hAnsi="Palatino Linotype"/>
        </w:rPr>
        <w:t>personas que</w:t>
      </w:r>
      <w:r w:rsidRPr="0066727B">
        <w:rPr>
          <w:rFonts w:ascii="Palatino Linotype" w:hAnsi="Palatino Linotype"/>
        </w:rPr>
        <w:t xml:space="preserve"> sean lesionadas en sus derechos, a través de la investigación y persecución de los delitos y el ejercicio de la acción penal ante los tribunales competentes</w:t>
      </w:r>
      <w:r w:rsidR="00A4365E" w:rsidRPr="0066727B">
        <w:rPr>
          <w:rFonts w:ascii="Palatino Linotype" w:hAnsi="Palatino Linotype"/>
        </w:rPr>
        <w:t>, sin embargo ¿Quién es la autoridad competente para generar estadísticas?</w:t>
      </w:r>
      <w:r w:rsidRPr="0066727B">
        <w:rPr>
          <w:rFonts w:ascii="Palatino Linotype" w:hAnsi="Palatino Linotype" w:cs="Arial"/>
        </w:rPr>
        <w:t xml:space="preserve"> </w:t>
      </w:r>
      <w:r w:rsidR="006677F7" w:rsidRPr="0066727B">
        <w:rPr>
          <w:rFonts w:ascii="Palatino Linotype" w:hAnsi="Palatino Linotype" w:cs="Arial"/>
        </w:rPr>
        <w:t>previo a</w:t>
      </w:r>
      <w:r w:rsidR="008B59E4" w:rsidRPr="0066727B">
        <w:rPr>
          <w:rFonts w:ascii="Palatino Linotype" w:hAnsi="Palatino Linotype" w:cs="Arial"/>
        </w:rPr>
        <w:t xml:space="preserve"> de determinar si la Fiscalía cuenta con las atribuciones </w:t>
      </w:r>
      <w:r w:rsidR="006677F7" w:rsidRPr="0066727B">
        <w:rPr>
          <w:rFonts w:ascii="Palatino Linotype" w:hAnsi="Palatino Linotype" w:cs="Arial"/>
        </w:rPr>
        <w:t xml:space="preserve">de generar estadísticas </w:t>
      </w:r>
      <w:r w:rsidR="00D577A6" w:rsidRPr="0066727B">
        <w:rPr>
          <w:rFonts w:ascii="Palatino Linotype" w:hAnsi="Palatino Linotype" w:cs="Arial"/>
        </w:rPr>
        <w:t>delictiva</w:t>
      </w:r>
      <w:r w:rsidR="006677F7" w:rsidRPr="0066727B">
        <w:rPr>
          <w:rFonts w:ascii="Palatino Linotype" w:hAnsi="Palatino Linotype" w:cs="Arial"/>
        </w:rPr>
        <w:t xml:space="preserve">s </w:t>
      </w:r>
      <w:r w:rsidR="00D577A6" w:rsidRPr="0066727B">
        <w:rPr>
          <w:rFonts w:ascii="Palatino Linotype" w:hAnsi="Palatino Linotype" w:cs="Arial"/>
        </w:rPr>
        <w:t xml:space="preserve">se consideró importante visualizar el contenido del sitio electrónico </w:t>
      </w:r>
      <w:hyperlink r:id="rId15" w:history="1">
        <w:r w:rsidR="006677F7" w:rsidRPr="0066727B">
          <w:rPr>
            <w:rStyle w:val="Hipervnculo"/>
            <w:rFonts w:ascii="Palatino Linotype" w:hAnsi="Palatino Linotype" w:cs="Arial"/>
            <w:i/>
            <w:sz w:val="22"/>
            <w:szCs w:val="22"/>
          </w:rPr>
          <w:t>http://www.secretariadoejecutivo.gob.mx/incidencia-delictiva/incidencia-delictiva-actual.php</w:t>
        </w:r>
      </w:hyperlink>
      <w:r w:rsidR="00D577A6" w:rsidRPr="0066727B">
        <w:rPr>
          <w:rFonts w:ascii="Palatino Linotype" w:hAnsi="Palatino Linotype" w:cs="Arial"/>
        </w:rPr>
        <w:t>, dando como resultado que en efecto en la dirección electrónica correspondiente al Secretariado Ejecutivo del Sistema Nacional de Seguridad Pública se puede apreciar un listado con las cifras de incidencia delictiva por entidad federativa tal como se muestra a continuación</w:t>
      </w:r>
      <w:r w:rsidR="00747F3D" w:rsidRPr="0066727B">
        <w:rPr>
          <w:rFonts w:ascii="Palatino Linotype" w:hAnsi="Palatino Linotype" w:cs="Arial"/>
        </w:rPr>
        <w:t xml:space="preserve"> y que al seleccionarse la palabra incidencia delictiva se aprecia un párrafo que señala “</w:t>
      </w:r>
      <w:r w:rsidR="00747F3D" w:rsidRPr="0066727B">
        <w:rPr>
          <w:rFonts w:ascii="Palatino Linotype" w:hAnsi="Palatino Linotype" w:cs="Arial"/>
          <w:i/>
        </w:rPr>
        <w:t xml:space="preserve">La incidencia delictiva se refiere a la presunta ocurrencia de delitos registrados en averiguaciones previas iniciadas o carpetas de investigación, </w:t>
      </w:r>
      <w:r w:rsidR="00747F3D" w:rsidRPr="0066727B">
        <w:rPr>
          <w:rFonts w:ascii="Palatino Linotype" w:hAnsi="Palatino Linotype" w:cs="Arial"/>
          <w:b/>
          <w:i/>
          <w:u w:val="single"/>
        </w:rPr>
        <w:t>reportadas por las Procuradurías de Justicia y Fiscalías Generales de las entidades federativas</w:t>
      </w:r>
      <w:r w:rsidR="00747F3D" w:rsidRPr="0066727B">
        <w:rPr>
          <w:rFonts w:ascii="Palatino Linotype" w:hAnsi="Palatino Linotype" w:cs="Arial"/>
          <w:i/>
        </w:rPr>
        <w:t xml:space="preserve"> en el caso del fuero común y por la Fiscalía General de la República en el fuero federal.”</w:t>
      </w:r>
      <w:r w:rsidR="00F5454C" w:rsidRPr="0066727B">
        <w:rPr>
          <w:rFonts w:ascii="Palatino Linotype" w:hAnsi="Palatino Linotype" w:cs="Arial"/>
          <w:i/>
        </w:rPr>
        <w:t>(Énfasis añadido)</w:t>
      </w:r>
      <w:r w:rsidR="00747F3D" w:rsidRPr="0066727B">
        <w:rPr>
          <w:rFonts w:ascii="Palatino Linotype" w:hAnsi="Palatino Linotype" w:cs="Arial"/>
        </w:rPr>
        <w:t>, tal como se aprecia a continuación</w:t>
      </w:r>
      <w:r w:rsidR="00D577A6" w:rsidRPr="0066727B">
        <w:rPr>
          <w:rFonts w:ascii="Palatino Linotype" w:hAnsi="Palatino Linotype" w:cs="Arial"/>
        </w:rPr>
        <w:t>:</w:t>
      </w:r>
    </w:p>
    <w:p w14:paraId="669B504A" w14:textId="149FACA8" w:rsidR="00D577A6" w:rsidRPr="0066727B" w:rsidRDefault="00D577A6" w:rsidP="00D577A6">
      <w:pPr>
        <w:pStyle w:val="Prrafodelista"/>
        <w:spacing w:before="240" w:after="240" w:line="360" w:lineRule="auto"/>
        <w:ind w:left="0"/>
        <w:jc w:val="both"/>
        <w:rPr>
          <w:rFonts w:ascii="Palatino Linotype" w:hAnsi="Palatino Linotype"/>
          <w:color w:val="000000"/>
        </w:rPr>
      </w:pPr>
    </w:p>
    <w:p w14:paraId="2AB0357E" w14:textId="7E25C76F" w:rsidR="00747F3D" w:rsidRPr="0066727B" w:rsidRDefault="00747F3D" w:rsidP="00F5454C">
      <w:pPr>
        <w:pStyle w:val="Prrafodelista"/>
        <w:spacing w:before="240" w:after="240" w:line="360" w:lineRule="auto"/>
        <w:ind w:left="567"/>
        <w:jc w:val="both"/>
        <w:rPr>
          <w:rFonts w:ascii="Palatino Linotype" w:hAnsi="Palatino Linotype"/>
          <w:color w:val="000000"/>
        </w:rPr>
      </w:pPr>
      <w:r w:rsidRPr="0066727B">
        <w:rPr>
          <w:noProof/>
          <w:lang w:val="es-MX" w:eastAsia="es-MX"/>
        </w:rPr>
        <w:lastRenderedPageBreak/>
        <w:drawing>
          <wp:inline distT="0" distB="0" distL="0" distR="0" wp14:anchorId="0A60FAF1" wp14:editId="37A564FD">
            <wp:extent cx="4857750" cy="3800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73" t="3944" r="39924" b="23543"/>
                    <a:stretch/>
                  </pic:blipFill>
                  <pic:spPr bwMode="auto">
                    <a:xfrm>
                      <a:off x="0" y="0"/>
                      <a:ext cx="4857750" cy="3800475"/>
                    </a:xfrm>
                    <a:prstGeom prst="rect">
                      <a:avLst/>
                    </a:prstGeom>
                    <a:ln>
                      <a:noFill/>
                    </a:ln>
                    <a:extLst>
                      <a:ext uri="{53640926-AAD7-44D8-BBD7-CCE9431645EC}">
                        <a14:shadowObscured xmlns:a14="http://schemas.microsoft.com/office/drawing/2010/main"/>
                      </a:ext>
                    </a:extLst>
                  </pic:spPr>
                </pic:pic>
              </a:graphicData>
            </a:graphic>
          </wp:inline>
        </w:drawing>
      </w:r>
    </w:p>
    <w:p w14:paraId="520CCFE2" w14:textId="77777777" w:rsidR="00D577A6" w:rsidRPr="0066727B" w:rsidRDefault="00D577A6" w:rsidP="00D577A6">
      <w:pPr>
        <w:pStyle w:val="Prrafodelista"/>
        <w:spacing w:before="240" w:after="240" w:line="360" w:lineRule="auto"/>
        <w:ind w:left="0"/>
        <w:jc w:val="both"/>
        <w:rPr>
          <w:rFonts w:ascii="Palatino Linotype" w:hAnsi="Palatino Linotype"/>
          <w:color w:val="000000"/>
        </w:rPr>
      </w:pPr>
    </w:p>
    <w:p w14:paraId="72966086" w14:textId="785C1211" w:rsidR="00A4365E" w:rsidRPr="0066727B" w:rsidRDefault="00927CF6" w:rsidP="00A4365E">
      <w:pPr>
        <w:pStyle w:val="Prrafodelista"/>
        <w:numPr>
          <w:ilvl w:val="0"/>
          <w:numId w:val="1"/>
        </w:numPr>
        <w:spacing w:before="240" w:after="240" w:line="360" w:lineRule="auto"/>
        <w:ind w:left="0" w:firstLine="0"/>
        <w:jc w:val="both"/>
        <w:rPr>
          <w:rFonts w:ascii="Palatino Linotype" w:hAnsi="Palatino Linotype"/>
          <w:color w:val="000000"/>
        </w:rPr>
      </w:pPr>
      <w:r w:rsidRPr="0066727B">
        <w:rPr>
          <w:rFonts w:ascii="Palatino Linotype" w:hAnsi="Palatino Linotype"/>
          <w:color w:val="000000"/>
        </w:rPr>
        <w:t xml:space="preserve">De esta manera al seleccionar el reporte de incidencia delictiva se puede observar un reporte de incidencia delictiva del Fuero Común (Instrumento para el Registro, Clasificación y Reporte de Delitos y las Víctimas CNSP/38/15) </w:t>
      </w:r>
      <w:r w:rsidR="004F13D0" w:rsidRPr="0066727B">
        <w:rPr>
          <w:rFonts w:ascii="Palatino Linotype" w:hAnsi="Palatino Linotype"/>
          <w:color w:val="000000"/>
        </w:rPr>
        <w:t xml:space="preserve">el cual </w:t>
      </w:r>
      <w:r w:rsidRPr="0066727B">
        <w:rPr>
          <w:rFonts w:ascii="Palatino Linotype" w:hAnsi="Palatino Linotype"/>
          <w:color w:val="000000"/>
        </w:rPr>
        <w:t xml:space="preserve">presenta la información correspondiente a los meses de enero a octubre de 2020 proporcionada por las entidades federativas. Los delitos se encuentran agrupados por el tipo de bien jurídico afectado: la vida y la integridad corporal, la libertad personal, </w:t>
      </w:r>
      <w:r w:rsidRPr="0066727B">
        <w:rPr>
          <w:rFonts w:ascii="Palatino Linotype" w:hAnsi="Palatino Linotype"/>
          <w:b/>
          <w:color w:val="000000"/>
          <w:u w:val="single"/>
        </w:rPr>
        <w:t>la libertad y la seguridad sexual</w:t>
      </w:r>
      <w:r w:rsidRPr="0066727B">
        <w:rPr>
          <w:rFonts w:ascii="Palatino Linotype" w:hAnsi="Palatino Linotype"/>
          <w:color w:val="000000"/>
        </w:rPr>
        <w:t>, el patrimonio, la familia, la sociedad y ot</w:t>
      </w:r>
      <w:r w:rsidR="004F13D0" w:rsidRPr="0066727B">
        <w:rPr>
          <w:rFonts w:ascii="Palatino Linotype" w:hAnsi="Palatino Linotype"/>
          <w:color w:val="000000"/>
        </w:rPr>
        <w:t xml:space="preserve">ros; dicho documento es presentado </w:t>
      </w:r>
      <w:r w:rsidRPr="0066727B">
        <w:rPr>
          <w:rFonts w:ascii="Palatino Linotype" w:hAnsi="Palatino Linotype"/>
          <w:color w:val="000000"/>
        </w:rPr>
        <w:t>en formato PDF y Excel</w:t>
      </w:r>
      <w:r w:rsidR="00A4365E" w:rsidRPr="0066727B">
        <w:rPr>
          <w:rFonts w:ascii="Palatino Linotype" w:hAnsi="Palatino Linotype"/>
          <w:color w:val="000000"/>
        </w:rPr>
        <w:t xml:space="preserve"> en la dirección electrónica </w:t>
      </w:r>
      <w:hyperlink r:id="rId17" w:history="1">
        <w:r w:rsidR="00A4365E" w:rsidRPr="0066727B">
          <w:rPr>
            <w:rStyle w:val="Hipervnculo"/>
            <w:rFonts w:ascii="Palatino Linotype" w:hAnsi="Palatino Linotype"/>
          </w:rPr>
          <w:t>https://drive.google.com/file/d/1FTmOXbnIDFeZGBjzQ0g_5ajhr_kvmdUE/view</w:t>
        </w:r>
      </w:hyperlink>
      <w:r w:rsidRPr="0066727B">
        <w:rPr>
          <w:rFonts w:ascii="Palatino Linotype" w:hAnsi="Palatino Linotype"/>
          <w:color w:val="000000"/>
        </w:rPr>
        <w:t>,</w:t>
      </w:r>
    </w:p>
    <w:p w14:paraId="4A4CDA20" w14:textId="7F2E0F2E" w:rsidR="00927CF6" w:rsidRPr="0066727B" w:rsidRDefault="00927CF6" w:rsidP="00A4365E">
      <w:pPr>
        <w:pStyle w:val="Prrafodelista"/>
        <w:spacing w:before="240" w:after="240" w:line="360" w:lineRule="auto"/>
        <w:ind w:left="0"/>
        <w:jc w:val="both"/>
        <w:rPr>
          <w:rFonts w:ascii="Palatino Linotype" w:hAnsi="Palatino Linotype"/>
          <w:color w:val="000000"/>
        </w:rPr>
      </w:pPr>
      <w:r w:rsidRPr="0066727B">
        <w:rPr>
          <w:rFonts w:ascii="Palatino Linotype" w:hAnsi="Palatino Linotype"/>
          <w:color w:val="000000"/>
        </w:rPr>
        <w:lastRenderedPageBreak/>
        <w:t xml:space="preserve"> tal como se muestra a fin de ejemplificar:</w:t>
      </w:r>
    </w:p>
    <w:p w14:paraId="0E8EAA8C" w14:textId="77777777" w:rsidR="004F13D0" w:rsidRPr="0066727B" w:rsidRDefault="004F13D0" w:rsidP="004F13D0">
      <w:pPr>
        <w:pStyle w:val="Prrafodelista"/>
        <w:spacing w:before="240" w:after="240" w:line="360" w:lineRule="auto"/>
        <w:ind w:left="0"/>
        <w:jc w:val="both"/>
        <w:rPr>
          <w:rFonts w:ascii="Palatino Linotype" w:hAnsi="Palatino Linotype"/>
          <w:color w:val="000000"/>
        </w:rPr>
      </w:pPr>
    </w:p>
    <w:p w14:paraId="1231688C" w14:textId="1173A287" w:rsidR="004F13D0" w:rsidRPr="0066727B" w:rsidRDefault="004F13D0" w:rsidP="004F13D0">
      <w:pPr>
        <w:pStyle w:val="Prrafodelista"/>
        <w:spacing w:before="240" w:after="240" w:line="360" w:lineRule="auto"/>
        <w:ind w:left="0"/>
        <w:jc w:val="both"/>
        <w:rPr>
          <w:rFonts w:ascii="Palatino Linotype" w:hAnsi="Palatino Linotype"/>
          <w:color w:val="000000"/>
        </w:rPr>
      </w:pPr>
      <w:r w:rsidRPr="0066727B">
        <w:rPr>
          <w:rFonts w:ascii="Palatino Linotype" w:hAnsi="Palatino Linotype"/>
          <w:noProof/>
          <w:color w:val="000000"/>
          <w:lang w:val="es-MX" w:eastAsia="es-MX"/>
        </w:rPr>
        <w:drawing>
          <wp:inline distT="0" distB="0" distL="0" distR="0" wp14:anchorId="734C2088" wp14:editId="0DC20DD1">
            <wp:extent cx="5581650" cy="419099"/>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926" cy="434062"/>
                    </a:xfrm>
                    <a:prstGeom prst="rect">
                      <a:avLst/>
                    </a:prstGeom>
                    <a:noFill/>
                    <a:ln>
                      <a:noFill/>
                    </a:ln>
                  </pic:spPr>
                </pic:pic>
              </a:graphicData>
            </a:graphic>
          </wp:inline>
        </w:drawing>
      </w:r>
    </w:p>
    <w:p w14:paraId="5409E531" w14:textId="7E63E363" w:rsidR="00927CF6" w:rsidRPr="0066727B" w:rsidRDefault="00841014" w:rsidP="00927CF6">
      <w:pPr>
        <w:pStyle w:val="Prrafodelista"/>
        <w:spacing w:before="240" w:after="240" w:line="360" w:lineRule="auto"/>
        <w:ind w:left="0"/>
        <w:jc w:val="both"/>
        <w:rPr>
          <w:rFonts w:ascii="Palatino Linotype" w:hAnsi="Palatino Linotype"/>
          <w:color w:val="000000"/>
        </w:rPr>
      </w:pPr>
      <w:r w:rsidRPr="0066727B">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14:anchorId="59173F14" wp14:editId="704FA219">
                <wp:simplePos x="0" y="0"/>
                <wp:positionH relativeFrom="margin">
                  <wp:align>left</wp:align>
                </wp:positionH>
                <wp:positionV relativeFrom="paragraph">
                  <wp:posOffset>548640</wp:posOffset>
                </wp:positionV>
                <wp:extent cx="5495925" cy="571500"/>
                <wp:effectExtent l="57150" t="38100" r="85725" b="95250"/>
                <wp:wrapNone/>
                <wp:docPr id="19" name="Rectángulo 19"/>
                <wp:cNvGraphicFramePr/>
                <a:graphic xmlns:a="http://schemas.openxmlformats.org/drawingml/2006/main">
                  <a:graphicData uri="http://schemas.microsoft.com/office/word/2010/wordprocessingShape">
                    <wps:wsp>
                      <wps:cNvSpPr/>
                      <wps:spPr>
                        <a:xfrm>
                          <a:off x="0" y="0"/>
                          <a:ext cx="5495925" cy="5715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926C3" id="Rectángulo 19" o:spid="_x0000_s1026" style="position:absolute;margin-left:0;margin-top:43.2pt;width:432.75pt;height:4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" filled="f" strokecolor="red" strokeweight="3pt">
                <v:shadow on="t" color="black" opacity="22937f" origin=",.5" offset="0,.63889mm"/>
                <w10:wrap anchorx="margin"/>
              </v:rect>
            </w:pict>
          </mc:Fallback>
        </mc:AlternateContent>
      </w:r>
      <w:r w:rsidR="00927CF6" w:rsidRPr="0066727B">
        <w:rPr>
          <w:rFonts w:ascii="Palatino Linotype" w:hAnsi="Palatino Linotype"/>
          <w:noProof/>
          <w:color w:val="000000"/>
          <w:lang w:val="es-MX" w:eastAsia="es-MX"/>
        </w:rPr>
        <w:drawing>
          <wp:inline distT="0" distB="0" distL="0" distR="0" wp14:anchorId="4A87C0F8" wp14:editId="166DD4F0">
            <wp:extent cx="5572125" cy="214249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2356"/>
                    <a:stretch/>
                  </pic:blipFill>
                  <pic:spPr bwMode="auto">
                    <a:xfrm>
                      <a:off x="0" y="0"/>
                      <a:ext cx="5591993" cy="2150129"/>
                    </a:xfrm>
                    <a:prstGeom prst="rect">
                      <a:avLst/>
                    </a:prstGeom>
                    <a:noFill/>
                    <a:ln>
                      <a:noFill/>
                    </a:ln>
                    <a:extLst>
                      <a:ext uri="{53640926-AAD7-44D8-BBD7-CCE9431645EC}">
                        <a14:shadowObscured xmlns:a14="http://schemas.microsoft.com/office/drawing/2010/main"/>
                      </a:ext>
                    </a:extLst>
                  </pic:spPr>
                </pic:pic>
              </a:graphicData>
            </a:graphic>
          </wp:inline>
        </w:drawing>
      </w:r>
    </w:p>
    <w:p w14:paraId="21360669" w14:textId="35FD5A32" w:rsidR="00A4365E" w:rsidRPr="0066727B" w:rsidRDefault="00A4365E" w:rsidP="00927CF6">
      <w:pPr>
        <w:pStyle w:val="Prrafodelista"/>
        <w:spacing w:before="240" w:after="240" w:line="360" w:lineRule="auto"/>
        <w:ind w:left="0"/>
        <w:jc w:val="both"/>
        <w:rPr>
          <w:rFonts w:ascii="Palatino Linotype" w:hAnsi="Palatino Linotype"/>
          <w:color w:val="000000"/>
        </w:rPr>
      </w:pPr>
    </w:p>
    <w:p w14:paraId="30A0AE1B" w14:textId="5379F95E" w:rsidR="00A4365E" w:rsidRPr="0066727B" w:rsidRDefault="00CC1738" w:rsidP="00927CF6">
      <w:pPr>
        <w:pStyle w:val="Prrafodelista"/>
        <w:spacing w:before="240" w:after="240" w:line="360" w:lineRule="auto"/>
        <w:ind w:left="0"/>
        <w:jc w:val="both"/>
        <w:rPr>
          <w:rFonts w:ascii="Palatino Linotype" w:hAnsi="Palatino Linotype"/>
          <w:color w:val="000000"/>
        </w:rPr>
      </w:pPr>
      <w:r w:rsidRPr="0066727B">
        <w:rPr>
          <w:rFonts w:ascii="Palatino Linotype" w:hAnsi="Palatino Linotype"/>
          <w:noProof/>
          <w:color w:val="000000"/>
          <w:lang w:val="es-MX" w:eastAsia="es-MX"/>
        </w:rPr>
        <mc:AlternateContent>
          <mc:Choice Requires="wps">
            <w:drawing>
              <wp:anchor distT="0" distB="0" distL="114300" distR="114300" simplePos="0" relativeHeight="251662336" behindDoc="0" locked="0" layoutInCell="1" allowOverlap="1" wp14:anchorId="26BFA03B" wp14:editId="4E463FC6">
                <wp:simplePos x="0" y="0"/>
                <wp:positionH relativeFrom="margin">
                  <wp:align>right</wp:align>
                </wp:positionH>
                <wp:positionV relativeFrom="paragraph">
                  <wp:posOffset>186690</wp:posOffset>
                </wp:positionV>
                <wp:extent cx="5495925" cy="571500"/>
                <wp:effectExtent l="57150" t="38100" r="85725" b="95250"/>
                <wp:wrapNone/>
                <wp:docPr id="21" name="Rectángulo 21"/>
                <wp:cNvGraphicFramePr/>
                <a:graphic xmlns:a="http://schemas.openxmlformats.org/drawingml/2006/main">
                  <a:graphicData uri="http://schemas.microsoft.com/office/word/2010/wordprocessingShape">
                    <wps:wsp>
                      <wps:cNvSpPr/>
                      <wps:spPr>
                        <a:xfrm>
                          <a:off x="0" y="0"/>
                          <a:ext cx="5495925" cy="5715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B9498F" id="Rectángulo 21" o:spid="_x0000_s1026" style="position:absolute;margin-left:381.55pt;margin-top:14.7pt;width:432.75pt;height:4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" filled="f" strokecolor="red" strokeweight="3pt">
                <v:shadow on="t" color="black" opacity="22937f" origin=",.5" offset="0,.63889mm"/>
                <w10:wrap anchorx="margin"/>
              </v:rect>
            </w:pict>
          </mc:Fallback>
        </mc:AlternateContent>
      </w:r>
      <w:r w:rsidR="00A4365E" w:rsidRPr="0066727B">
        <w:rPr>
          <w:rFonts w:ascii="Palatino Linotype" w:hAnsi="Palatino Linotype"/>
          <w:noProof/>
          <w:color w:val="000000"/>
          <w:lang w:val="es-MX" w:eastAsia="es-MX"/>
        </w:rPr>
        <w:drawing>
          <wp:inline distT="0" distB="0" distL="0" distR="0" wp14:anchorId="78167450" wp14:editId="3825C15E">
            <wp:extent cx="5579745" cy="1857375"/>
            <wp:effectExtent l="0" t="0" r="190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6963"/>
                    <a:stretch/>
                  </pic:blipFill>
                  <pic:spPr bwMode="auto">
                    <a:xfrm>
                      <a:off x="0" y="0"/>
                      <a:ext cx="5581023" cy="1857800"/>
                    </a:xfrm>
                    <a:prstGeom prst="rect">
                      <a:avLst/>
                    </a:prstGeom>
                    <a:noFill/>
                    <a:ln>
                      <a:noFill/>
                    </a:ln>
                    <a:extLst>
                      <a:ext uri="{53640926-AAD7-44D8-BBD7-CCE9431645EC}">
                        <a14:shadowObscured xmlns:a14="http://schemas.microsoft.com/office/drawing/2010/main"/>
                      </a:ext>
                    </a:extLst>
                  </pic:spPr>
                </pic:pic>
              </a:graphicData>
            </a:graphic>
          </wp:inline>
        </w:drawing>
      </w:r>
    </w:p>
    <w:p w14:paraId="24B96F6A" w14:textId="77777777" w:rsidR="00D577A6" w:rsidRPr="0066727B" w:rsidRDefault="00D577A6" w:rsidP="00D577A6">
      <w:pPr>
        <w:pStyle w:val="Prrafodelista"/>
        <w:spacing w:before="240" w:after="240" w:line="360" w:lineRule="auto"/>
        <w:ind w:left="0"/>
        <w:jc w:val="both"/>
        <w:rPr>
          <w:rFonts w:ascii="Palatino Linotype" w:hAnsi="Palatino Linotype"/>
          <w:color w:val="000000"/>
        </w:rPr>
      </w:pPr>
    </w:p>
    <w:p w14:paraId="515CB3F3" w14:textId="5CEF7063" w:rsidR="00CC1738" w:rsidRPr="0066727B" w:rsidRDefault="00841014" w:rsidP="00D577A6">
      <w:pPr>
        <w:pStyle w:val="Prrafodelista"/>
        <w:numPr>
          <w:ilvl w:val="0"/>
          <w:numId w:val="1"/>
        </w:numPr>
        <w:spacing w:before="240" w:after="240" w:line="360" w:lineRule="auto"/>
        <w:ind w:left="0" w:firstLine="0"/>
        <w:jc w:val="both"/>
        <w:rPr>
          <w:rFonts w:ascii="Palatino Linotype" w:hAnsi="Palatino Linotype"/>
          <w:color w:val="000000"/>
        </w:rPr>
      </w:pPr>
      <w:r w:rsidRPr="0066727B">
        <w:rPr>
          <w:rFonts w:ascii="Palatino Linotype" w:hAnsi="Palatino Linotype"/>
          <w:color w:val="000000"/>
        </w:rPr>
        <w:t>De</w:t>
      </w:r>
      <w:r w:rsidR="00A4365E" w:rsidRPr="0066727B">
        <w:rPr>
          <w:rFonts w:ascii="Palatino Linotype" w:hAnsi="Palatino Linotype"/>
          <w:color w:val="000000"/>
        </w:rPr>
        <w:t xml:space="preserve"> </w:t>
      </w:r>
      <w:r w:rsidRPr="0066727B">
        <w:rPr>
          <w:rFonts w:ascii="Palatino Linotype" w:hAnsi="Palatino Linotype"/>
          <w:color w:val="000000"/>
        </w:rPr>
        <w:t>l</w:t>
      </w:r>
      <w:r w:rsidR="00A4365E" w:rsidRPr="0066727B">
        <w:rPr>
          <w:rFonts w:ascii="Palatino Linotype" w:hAnsi="Palatino Linotype"/>
          <w:color w:val="000000"/>
        </w:rPr>
        <w:t>os</w:t>
      </w:r>
      <w:r w:rsidRPr="0066727B">
        <w:rPr>
          <w:rFonts w:ascii="Palatino Linotype" w:hAnsi="Palatino Linotype"/>
          <w:color w:val="000000"/>
        </w:rPr>
        <w:t xml:space="preserve"> </w:t>
      </w:r>
      <w:r w:rsidR="00A4365E" w:rsidRPr="0066727B">
        <w:rPr>
          <w:rFonts w:ascii="Palatino Linotype" w:hAnsi="Palatino Linotype"/>
          <w:color w:val="000000"/>
        </w:rPr>
        <w:t xml:space="preserve">cuadros insertos se lograron </w:t>
      </w:r>
      <w:r w:rsidR="00CC1738" w:rsidRPr="0066727B">
        <w:rPr>
          <w:rFonts w:ascii="Palatino Linotype" w:hAnsi="Palatino Linotype"/>
          <w:color w:val="000000"/>
        </w:rPr>
        <w:t xml:space="preserve">destacar las cifras nacionales y estatal mensuales de presuntos delitos cometidos en cada entidad y reportadas por la Fiscalía General de Justicia de cada entidad, por lo que cabría hacer la siguiente cuestión para el caso en particular, si las cifras delictivas del Estado de México son </w:t>
      </w:r>
      <w:r w:rsidR="00CC1738" w:rsidRPr="0066727B">
        <w:rPr>
          <w:rFonts w:ascii="Palatino Linotype" w:hAnsi="Palatino Linotype"/>
          <w:color w:val="000000"/>
        </w:rPr>
        <w:lastRenderedPageBreak/>
        <w:t xml:space="preserve">proporcionadas por la Fiscalía General de Justicia del Estado de México ¿Por qué el SUJETO OBLIGADO remite al particular la información del </w:t>
      </w:r>
      <w:r w:rsidR="00CC1738" w:rsidRPr="0066727B">
        <w:rPr>
          <w:rFonts w:ascii="Palatino Linotype" w:hAnsi="Palatino Linotype" w:cs="Arial"/>
        </w:rPr>
        <w:t xml:space="preserve">Secretariado Ejecutivo del Sistema Nacional de Seguridad Pública? </w:t>
      </w:r>
    </w:p>
    <w:p w14:paraId="77C339C6" w14:textId="77777777" w:rsidR="00CC1738" w:rsidRPr="0066727B" w:rsidRDefault="00CC1738" w:rsidP="00CC1738">
      <w:pPr>
        <w:pStyle w:val="Prrafodelista"/>
        <w:spacing w:before="240" w:after="240" w:line="360" w:lineRule="auto"/>
        <w:ind w:left="0"/>
        <w:jc w:val="both"/>
        <w:rPr>
          <w:rFonts w:ascii="Palatino Linotype" w:hAnsi="Palatino Linotype"/>
          <w:color w:val="000000"/>
        </w:rPr>
      </w:pPr>
    </w:p>
    <w:p w14:paraId="1D605A5F" w14:textId="4AB503A8" w:rsidR="00CC1738" w:rsidRPr="0066727B" w:rsidRDefault="00CC1738" w:rsidP="00905B22">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66727B">
        <w:rPr>
          <w:rFonts w:ascii="Palatino Linotype" w:hAnsi="Palatino Linotype"/>
          <w:color w:val="000000"/>
        </w:rPr>
        <w:t xml:space="preserve">A fin de constatar lo anterior cabe hacer mención que en la página electrónica del </w:t>
      </w:r>
      <w:r w:rsidRPr="0066727B">
        <w:rPr>
          <w:rFonts w:ascii="Palatino Linotype" w:hAnsi="Palatino Linotype" w:cs="Arial"/>
        </w:rPr>
        <w:t>Secretariado Ejecutivo del Sistema Nacional de Seguridad Pública</w:t>
      </w:r>
      <w:r w:rsidR="00905B22" w:rsidRPr="0066727B">
        <w:rPr>
          <w:rFonts w:ascii="Palatino Linotype" w:hAnsi="Palatino Linotype" w:cs="Arial"/>
        </w:rPr>
        <w:t xml:space="preserve"> </w:t>
      </w:r>
      <w:hyperlink r:id="rId21" w:history="1">
        <w:r w:rsidR="00905B22" w:rsidRPr="0066727B">
          <w:rPr>
            <w:rStyle w:val="Hipervnculo"/>
            <w:rFonts w:ascii="Palatino Linotype" w:hAnsi="Palatino Linotype" w:cs="Arial"/>
            <w:sz w:val="22"/>
            <w:szCs w:val="22"/>
          </w:rPr>
          <w:t>https://www.gob.mx/sesnsp/acciones-y-programas/incidencia-delictiva-87005?idiom=es</w:t>
        </w:r>
      </w:hyperlink>
      <w:r w:rsidR="00905B22" w:rsidRPr="0066727B">
        <w:rPr>
          <w:rFonts w:ascii="Palatino Linotype" w:hAnsi="Palatino Linotype" w:cs="Arial"/>
          <w:sz w:val="22"/>
          <w:szCs w:val="22"/>
        </w:rPr>
        <w:t>, se advierte lo siguiente aviso:</w:t>
      </w:r>
    </w:p>
    <w:p w14:paraId="6D2AC59A" w14:textId="113CC141" w:rsidR="00CC1738" w:rsidRPr="0066727B" w:rsidRDefault="00E643D5" w:rsidP="00E643D5">
      <w:pPr>
        <w:pStyle w:val="Prrafodelista"/>
        <w:ind w:left="567"/>
        <w:rPr>
          <w:rFonts w:ascii="Palatino Linotype" w:hAnsi="Palatino Linotype"/>
          <w:color w:val="000000"/>
        </w:rPr>
      </w:pPr>
      <w:r w:rsidRPr="0066727B">
        <w:rPr>
          <w:noProof/>
          <w:lang w:val="es-MX" w:eastAsia="es-MX"/>
        </w:rPr>
        <mc:AlternateContent>
          <mc:Choice Requires="wps">
            <w:drawing>
              <wp:anchor distT="0" distB="0" distL="114300" distR="114300" simplePos="0" relativeHeight="251663360" behindDoc="0" locked="0" layoutInCell="1" allowOverlap="1" wp14:anchorId="62CE9894" wp14:editId="23E8C62F">
                <wp:simplePos x="0" y="0"/>
                <wp:positionH relativeFrom="column">
                  <wp:posOffset>824865</wp:posOffset>
                </wp:positionH>
                <wp:positionV relativeFrom="paragraph">
                  <wp:posOffset>1449705</wp:posOffset>
                </wp:positionV>
                <wp:extent cx="4552950" cy="1028700"/>
                <wp:effectExtent l="57150" t="38100" r="76200" b="95250"/>
                <wp:wrapNone/>
                <wp:docPr id="23" name="Rectángulo 23"/>
                <wp:cNvGraphicFramePr/>
                <a:graphic xmlns:a="http://schemas.openxmlformats.org/drawingml/2006/main">
                  <a:graphicData uri="http://schemas.microsoft.com/office/word/2010/wordprocessingShape">
                    <wps:wsp>
                      <wps:cNvSpPr/>
                      <wps:spPr>
                        <a:xfrm>
                          <a:off x="0" y="0"/>
                          <a:ext cx="4552950" cy="10287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09677" id="Rectángulo 23" o:spid="_x0000_s1026" style="position:absolute;margin-left:64.95pt;margin-top:114.15pt;width:358.5pt;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" filled="f" strokecolor="red" strokeweight="3pt">
                <v:shadow on="t" color="black" opacity="22937f" origin=",.5" offset="0,.63889mm"/>
              </v:rect>
            </w:pict>
          </mc:Fallback>
        </mc:AlternateContent>
      </w:r>
      <w:r w:rsidR="00CC1738" w:rsidRPr="0066727B">
        <w:rPr>
          <w:noProof/>
          <w:lang w:val="es-MX" w:eastAsia="es-MX"/>
        </w:rPr>
        <w:drawing>
          <wp:inline distT="0" distB="0" distL="0" distR="0" wp14:anchorId="2C45BEA9" wp14:editId="3A9015DC">
            <wp:extent cx="4914900" cy="3467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38" t="31250" r="45557" b="26881"/>
                    <a:stretch/>
                  </pic:blipFill>
                  <pic:spPr bwMode="auto">
                    <a:xfrm>
                      <a:off x="0" y="0"/>
                      <a:ext cx="4914900" cy="3467100"/>
                    </a:xfrm>
                    <a:prstGeom prst="rect">
                      <a:avLst/>
                    </a:prstGeom>
                    <a:ln>
                      <a:noFill/>
                    </a:ln>
                    <a:extLst>
                      <a:ext uri="{53640926-AAD7-44D8-BBD7-CCE9431645EC}">
                        <a14:shadowObscured xmlns:a14="http://schemas.microsoft.com/office/drawing/2010/main"/>
                      </a:ext>
                    </a:extLst>
                  </pic:spPr>
                </pic:pic>
              </a:graphicData>
            </a:graphic>
          </wp:inline>
        </w:drawing>
      </w:r>
    </w:p>
    <w:p w14:paraId="78F408FA" w14:textId="0DBC2EDA" w:rsidR="00D577A6" w:rsidRPr="0066727B" w:rsidRDefault="00420791" w:rsidP="00D577A6">
      <w:pPr>
        <w:pStyle w:val="Prrafodelista"/>
        <w:numPr>
          <w:ilvl w:val="0"/>
          <w:numId w:val="1"/>
        </w:numPr>
        <w:spacing w:before="240" w:after="240" w:line="360" w:lineRule="auto"/>
        <w:ind w:left="0" w:firstLine="0"/>
        <w:jc w:val="both"/>
        <w:rPr>
          <w:rFonts w:ascii="Palatino Linotype" w:hAnsi="Palatino Linotype"/>
          <w:color w:val="000000"/>
        </w:rPr>
      </w:pPr>
      <w:r w:rsidRPr="0066727B">
        <w:rPr>
          <w:rFonts w:ascii="Palatino Linotype" w:hAnsi="Palatino Linotype"/>
          <w:lang w:val="es-MX" w:eastAsia="en-US"/>
        </w:rPr>
        <w:t xml:space="preserve">Una vez que se advierte que los reportes sobre las cifras de la comisión de delitos son proporcionados en el Estado de México corresponde a la Fiscalía General de Justicia cabe hacer mención que </w:t>
      </w:r>
      <w:r w:rsidRPr="0066727B">
        <w:rPr>
          <w:rFonts w:ascii="Palatino Linotype" w:eastAsia="Calibri" w:hAnsi="Palatino Linotype" w:cs="Times New Roman"/>
          <w:lang w:val="es-ES"/>
        </w:rPr>
        <w:t>e</w:t>
      </w:r>
      <w:r w:rsidR="00CC458C" w:rsidRPr="0066727B">
        <w:rPr>
          <w:rFonts w:ascii="Palatino Linotype" w:eastAsia="Calibri" w:hAnsi="Palatino Linotype" w:cs="Times New Roman"/>
          <w:lang w:val="es-ES"/>
        </w:rPr>
        <w:t>l particular</w:t>
      </w:r>
      <w:r w:rsidR="00841014" w:rsidRPr="0066727B">
        <w:rPr>
          <w:rFonts w:ascii="Palatino Linotype" w:eastAsia="Calibri" w:hAnsi="Palatino Linotype" w:cs="Times New Roman"/>
          <w:b/>
          <w:lang w:val="es-ES"/>
        </w:rPr>
        <w:t xml:space="preserve"> </w:t>
      </w:r>
      <w:r w:rsidR="00D577A6" w:rsidRPr="0066727B">
        <w:rPr>
          <w:rFonts w:ascii="Palatino Linotype" w:hAnsi="Palatino Linotype"/>
          <w:lang w:val="es-MX" w:eastAsia="en-US"/>
        </w:rPr>
        <w:t xml:space="preserve">hace valer como razones o motivos de inconformidad, medularmente que </w:t>
      </w:r>
      <w:r w:rsidR="00D577A6" w:rsidRPr="0066727B">
        <w:rPr>
          <w:rFonts w:ascii="Palatino Linotype" w:hAnsi="Palatino Linotype"/>
          <w:i/>
          <w:lang w:val="es-MX" w:eastAsia="en-US"/>
        </w:rPr>
        <w:t>“</w:t>
      </w:r>
      <w:r w:rsidRPr="0066727B">
        <w:rPr>
          <w:rFonts w:ascii="Palatino Linotype" w:hAnsi="Palatino Linotype"/>
          <w:i/>
          <w:color w:val="000000"/>
          <w:sz w:val="22"/>
          <w:szCs w:val="22"/>
        </w:rPr>
        <w:t xml:space="preserve">dicha institución, entrego la información incompleta; </w:t>
      </w:r>
      <w:r w:rsidRPr="0066727B">
        <w:rPr>
          <w:rFonts w:ascii="Palatino Linotype" w:hAnsi="Palatino Linotype"/>
          <w:i/>
          <w:color w:val="000000"/>
          <w:sz w:val="22"/>
          <w:szCs w:val="22"/>
        </w:rPr>
        <w:lastRenderedPageBreak/>
        <w:t xml:space="preserve">ya que se </w:t>
      </w:r>
      <w:proofErr w:type="spellStart"/>
      <w:r w:rsidRPr="0066727B">
        <w:rPr>
          <w:rFonts w:ascii="Palatino Linotype" w:hAnsi="Palatino Linotype"/>
          <w:i/>
          <w:color w:val="000000"/>
          <w:sz w:val="22"/>
          <w:szCs w:val="22"/>
        </w:rPr>
        <w:t>solicito</w:t>
      </w:r>
      <w:proofErr w:type="spellEnd"/>
      <w:r w:rsidRPr="0066727B">
        <w:rPr>
          <w:rFonts w:ascii="Palatino Linotype" w:hAnsi="Palatino Linotype"/>
          <w:i/>
          <w:color w:val="000000"/>
          <w:sz w:val="22"/>
          <w:szCs w:val="22"/>
        </w:rPr>
        <w:t xml:space="preserve"> las denuncias por el delito de abuso sexual presentadas por victimas menores de edad, de las cuales se generalizo dicha información sin distinción de edad.</w:t>
      </w:r>
      <w:r w:rsidR="00D577A6" w:rsidRPr="0066727B">
        <w:rPr>
          <w:rFonts w:ascii="Palatino Linotype" w:hAnsi="Palatino Linotype"/>
          <w:i/>
          <w:sz w:val="22"/>
          <w:szCs w:val="22"/>
        </w:rPr>
        <w:t>”</w:t>
      </w:r>
      <w:r w:rsidRPr="0066727B">
        <w:rPr>
          <w:rFonts w:ascii="Palatino Linotype" w:hAnsi="Palatino Linotype"/>
          <w:i/>
          <w:sz w:val="22"/>
          <w:szCs w:val="22"/>
        </w:rPr>
        <w:t xml:space="preserve"> </w:t>
      </w:r>
      <w:r w:rsidRPr="0066727B">
        <w:rPr>
          <w:rFonts w:ascii="Palatino Linotype" w:hAnsi="Palatino Linotype"/>
          <w:sz w:val="22"/>
          <w:szCs w:val="22"/>
        </w:rPr>
        <w:t xml:space="preserve">y a su vez manifestó como acto impugnado que </w:t>
      </w:r>
      <w:r w:rsidRPr="0066727B">
        <w:rPr>
          <w:rFonts w:ascii="Palatino Linotype" w:hAnsi="Palatino Linotype"/>
          <w:i/>
          <w:sz w:val="22"/>
          <w:szCs w:val="22"/>
        </w:rPr>
        <w:t>“</w:t>
      </w:r>
      <w:r w:rsidRPr="0066727B">
        <w:rPr>
          <w:rFonts w:ascii="Palatino Linotype" w:hAnsi="Palatino Linotype"/>
          <w:i/>
          <w:color w:val="000000"/>
          <w:sz w:val="22"/>
          <w:szCs w:val="22"/>
        </w:rPr>
        <w:t xml:space="preserve">la Fiscalía General de Justicia del Estado de México, localizó el número de delitos de abuso sexual (sin distinción de las edades de las víctimas), </w:t>
      </w:r>
      <w:r w:rsidRPr="0066727B">
        <w:rPr>
          <w:rFonts w:ascii="Palatino Linotype" w:hAnsi="Palatino Linotype"/>
          <w:b/>
          <w:i/>
          <w:color w:val="000000"/>
          <w:sz w:val="22"/>
          <w:szCs w:val="22"/>
          <w:u w:val="single"/>
        </w:rPr>
        <w:t>reportados ante el Ministerio Público</w:t>
      </w:r>
      <w:r w:rsidRPr="0066727B">
        <w:rPr>
          <w:rFonts w:ascii="Palatino Linotype" w:hAnsi="Palatino Linotype"/>
          <w:i/>
          <w:color w:val="000000"/>
          <w:sz w:val="22"/>
          <w:szCs w:val="22"/>
        </w:rPr>
        <w:t>, en el Estado de México, en el periodo del mes de abril de 2017 a abril de 2020.</w:t>
      </w:r>
      <w:r w:rsidRPr="0066727B">
        <w:rPr>
          <w:rFonts w:ascii="Palatino Linotype" w:hAnsi="Palatino Linotype"/>
        </w:rPr>
        <w:t>”</w:t>
      </w:r>
      <w:r w:rsidR="00D577A6" w:rsidRPr="0066727B">
        <w:rPr>
          <w:rFonts w:ascii="Palatino Linotype" w:hAnsi="Palatino Linotype"/>
        </w:rPr>
        <w:t>.</w:t>
      </w:r>
    </w:p>
    <w:p w14:paraId="3766EE31" w14:textId="77777777" w:rsidR="00741374" w:rsidRPr="0066727B" w:rsidRDefault="00741374" w:rsidP="00741374">
      <w:pPr>
        <w:pStyle w:val="Prrafodelista"/>
        <w:spacing w:before="240" w:after="360" w:line="360" w:lineRule="auto"/>
        <w:ind w:left="0"/>
        <w:jc w:val="both"/>
        <w:rPr>
          <w:rFonts w:ascii="Palatino Linotype" w:hAnsi="Palatino Linotype" w:cs="Arial"/>
          <w:lang w:val="es-MX"/>
        </w:rPr>
      </w:pPr>
    </w:p>
    <w:p w14:paraId="02CCA180" w14:textId="345D32EB" w:rsidR="00741374" w:rsidRPr="0066727B" w:rsidRDefault="00741374" w:rsidP="00741374">
      <w:pPr>
        <w:pStyle w:val="Prrafodelista"/>
        <w:numPr>
          <w:ilvl w:val="0"/>
          <w:numId w:val="1"/>
        </w:numPr>
        <w:spacing w:line="360" w:lineRule="auto"/>
        <w:ind w:left="0" w:firstLine="0"/>
        <w:jc w:val="both"/>
        <w:rPr>
          <w:rFonts w:ascii="Palatino Linotype" w:hAnsi="Palatino Linotype"/>
          <w:color w:val="000000"/>
        </w:rPr>
      </w:pPr>
      <w:r w:rsidRPr="0066727B">
        <w:rPr>
          <w:rFonts w:ascii="Palatino Linotype" w:hAnsi="Palatino Linotype"/>
          <w:color w:val="000000"/>
        </w:rPr>
        <w:t xml:space="preserve">Atendiendo a ello y como fue abordado en párrafos anteriores, es sabido por todos que </w:t>
      </w:r>
      <w:r w:rsidRPr="0066727B">
        <w:rPr>
          <w:rFonts w:ascii="Palatino Linotype" w:hAnsi="Palatino Linotype"/>
        </w:rPr>
        <w:t>nuestra Carta Magna y nuestra Constitución local disponen que “</w:t>
      </w:r>
      <w:r w:rsidRPr="0066727B">
        <w:rPr>
          <w:rFonts w:ascii="Palatino Linotype" w:hAnsi="Palatino Linotype"/>
          <w:i/>
        </w:rPr>
        <w:t>La investigación de los delitos corresponde al Ministerio Público y a las policías, las cuales actuarán bajo la conducción y mando de aquél en el ejercicio de esta función</w:t>
      </w:r>
      <w:r w:rsidRPr="0066727B">
        <w:rPr>
          <w:rFonts w:ascii="Palatino Linotype" w:hAnsi="Palatino Linotype"/>
        </w:rPr>
        <w:t>”</w:t>
      </w:r>
      <w:r w:rsidRPr="0066727B">
        <w:rPr>
          <w:rStyle w:val="Refdenotaalpie"/>
          <w:rFonts w:ascii="Palatino Linotype" w:hAnsi="Palatino Linotype"/>
        </w:rPr>
        <w:footnoteReference w:id="9"/>
      </w:r>
    </w:p>
    <w:p w14:paraId="7F5C5ADA" w14:textId="77777777" w:rsidR="00741374" w:rsidRPr="0066727B" w:rsidRDefault="00741374" w:rsidP="00741374">
      <w:pPr>
        <w:pStyle w:val="Prrafodelista"/>
        <w:spacing w:line="360" w:lineRule="auto"/>
        <w:ind w:left="0"/>
        <w:jc w:val="both"/>
        <w:rPr>
          <w:rFonts w:ascii="Palatino Linotype" w:hAnsi="Palatino Linotype"/>
          <w:color w:val="000000"/>
        </w:rPr>
      </w:pPr>
    </w:p>
    <w:p w14:paraId="1516559C" w14:textId="77777777" w:rsidR="00741374" w:rsidRPr="0066727B" w:rsidRDefault="00741374" w:rsidP="00741374">
      <w:pPr>
        <w:pStyle w:val="Prrafodelista"/>
        <w:numPr>
          <w:ilvl w:val="0"/>
          <w:numId w:val="1"/>
        </w:numPr>
        <w:spacing w:line="360" w:lineRule="auto"/>
        <w:ind w:left="0" w:firstLine="0"/>
        <w:jc w:val="both"/>
        <w:rPr>
          <w:rFonts w:ascii="Palatino Linotype" w:hAnsi="Palatino Linotype"/>
          <w:color w:val="000000"/>
        </w:rPr>
      </w:pPr>
      <w:proofErr w:type="gramStart"/>
      <w:r w:rsidRPr="0066727B">
        <w:rPr>
          <w:rFonts w:ascii="Palatino Linotype" w:hAnsi="Palatino Linotype"/>
        </w:rPr>
        <w:t>Asimismo</w:t>
      </w:r>
      <w:proofErr w:type="gramEnd"/>
      <w:r w:rsidRPr="0066727B">
        <w:rPr>
          <w:rFonts w:ascii="Palatino Linotype" w:hAnsi="Palatino Linotype"/>
        </w:rPr>
        <w:t xml:space="preserve"> de conformidad con el artículo 127 del </w:t>
      </w:r>
      <w:r w:rsidRPr="0066727B">
        <w:rPr>
          <w:rFonts w:ascii="Palatino Linotype" w:hAnsi="Palatino Linotype"/>
          <w:b/>
        </w:rPr>
        <w:t>Código Nacional de Procedimientos Penales</w:t>
      </w:r>
      <w:r w:rsidRPr="0066727B">
        <w:rPr>
          <w:rFonts w:ascii="Palatino Linotype" w:hAnsi="Palatino Linotype"/>
        </w:rPr>
        <w:t xml:space="preserve"> compete al Ministerio Público conducir la investigación, coordinar a las Policías y a los servicios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w:t>
      </w:r>
    </w:p>
    <w:p w14:paraId="14DF082F" w14:textId="77777777" w:rsidR="00741374" w:rsidRPr="0066727B" w:rsidRDefault="00741374" w:rsidP="00741374">
      <w:pPr>
        <w:pStyle w:val="Prrafodelista"/>
        <w:rPr>
          <w:rFonts w:ascii="Palatino Linotype" w:hAnsi="Palatino Linotype"/>
          <w:color w:val="000000"/>
        </w:rPr>
      </w:pPr>
    </w:p>
    <w:p w14:paraId="4B49A3A1" w14:textId="77777777" w:rsidR="00741374" w:rsidRPr="0066727B" w:rsidRDefault="00741374" w:rsidP="00741374">
      <w:pPr>
        <w:pStyle w:val="Prrafodelista"/>
        <w:numPr>
          <w:ilvl w:val="0"/>
          <w:numId w:val="1"/>
        </w:numPr>
        <w:spacing w:line="360" w:lineRule="auto"/>
        <w:ind w:left="0" w:firstLine="0"/>
        <w:jc w:val="both"/>
        <w:rPr>
          <w:rFonts w:ascii="Palatino Linotype" w:hAnsi="Palatino Linotype"/>
          <w:color w:val="000000"/>
        </w:rPr>
      </w:pPr>
      <w:r w:rsidRPr="0066727B">
        <w:rPr>
          <w:rFonts w:ascii="Palatino Linotype" w:hAnsi="Palatino Linotype"/>
          <w:color w:val="000000"/>
        </w:rPr>
        <w:t xml:space="preserve">El Ministerio Público </w:t>
      </w:r>
      <w:r w:rsidRPr="0066727B">
        <w:rPr>
          <w:rFonts w:ascii="Palatino Linotype" w:hAnsi="Palatino Linotype"/>
        </w:rPr>
        <w:t>se integra en una Fiscalía General de Justicia</w:t>
      </w:r>
      <w:r w:rsidRPr="0066727B">
        <w:rPr>
          <w:rFonts w:ascii="Palatino Linotype" w:hAnsi="Palatino Linotype"/>
          <w:i/>
        </w:rPr>
        <w:t xml:space="preserve"> </w:t>
      </w:r>
      <w:r w:rsidRPr="0066727B">
        <w:rPr>
          <w:rFonts w:ascii="Palatino Linotype" w:hAnsi="Palatino Linotype"/>
        </w:rPr>
        <w:t>dependencia que de acuerdo a</w:t>
      </w:r>
      <w:r w:rsidRPr="0066727B">
        <w:rPr>
          <w:rFonts w:ascii="Palatino Linotype" w:hAnsi="Palatino Linotype"/>
          <w:i/>
        </w:rPr>
        <w:t xml:space="preserve"> </w:t>
      </w:r>
      <w:r w:rsidRPr="0066727B">
        <w:rPr>
          <w:rFonts w:ascii="Palatino Linotype" w:hAnsi="Palatino Linotype"/>
        </w:rPr>
        <w:t>la Constitución local es un</w:t>
      </w:r>
      <w:r w:rsidRPr="0066727B">
        <w:rPr>
          <w:rFonts w:ascii="Palatino Linotype" w:hAnsi="Palatino Linotype"/>
          <w:i/>
        </w:rPr>
        <w:t xml:space="preserve"> “ órgano público autónomo, dotado de personalidad jurídica y patrimonio propios con autonomía presupuestal, técnica y de gestión, así como con capacidad para decidir sobre el ejercicio de su presupuesto, en los </w:t>
      </w:r>
      <w:r w:rsidRPr="0066727B">
        <w:rPr>
          <w:rFonts w:ascii="Palatino Linotype" w:hAnsi="Palatino Linotype"/>
          <w:i/>
        </w:rPr>
        <w:lastRenderedPageBreak/>
        <w:t>términos que establece la Constitución Política de los Estados Unidos Mexicanos, esta Constitución y las demás leyes aplicables, la cual estará a cargo de un Fiscal General</w:t>
      </w:r>
      <w:r w:rsidRPr="0066727B">
        <w:t>”</w:t>
      </w:r>
      <w:r w:rsidRPr="0066727B">
        <w:rPr>
          <w:rStyle w:val="Refdenotaalpie"/>
        </w:rPr>
        <w:footnoteReference w:id="10"/>
      </w:r>
      <w:r w:rsidRPr="0066727B">
        <w:t>.</w:t>
      </w:r>
    </w:p>
    <w:p w14:paraId="631725F0" w14:textId="77777777" w:rsidR="00741374" w:rsidRPr="0066727B" w:rsidRDefault="00741374" w:rsidP="00741374">
      <w:pPr>
        <w:pStyle w:val="Prrafodelista"/>
        <w:rPr>
          <w:rFonts w:ascii="Palatino Linotype" w:hAnsi="Palatino Linotype"/>
          <w:color w:val="000000"/>
        </w:rPr>
      </w:pPr>
    </w:p>
    <w:p w14:paraId="0A1748D9" w14:textId="77777777" w:rsidR="00741374" w:rsidRPr="0066727B" w:rsidRDefault="00741374" w:rsidP="00741374">
      <w:pPr>
        <w:pStyle w:val="Prrafodelista"/>
        <w:numPr>
          <w:ilvl w:val="0"/>
          <w:numId w:val="1"/>
        </w:numPr>
        <w:spacing w:line="360" w:lineRule="auto"/>
        <w:ind w:left="0" w:firstLine="0"/>
        <w:jc w:val="both"/>
        <w:rPr>
          <w:rFonts w:ascii="Palatino Linotype" w:hAnsi="Palatino Linotype"/>
          <w:color w:val="000000"/>
        </w:rPr>
      </w:pPr>
      <w:r w:rsidRPr="0066727B">
        <w:rPr>
          <w:rFonts w:ascii="Palatino Linotype" w:hAnsi="Palatino Linotype"/>
        </w:rPr>
        <w:t xml:space="preserve">Por su parte la </w:t>
      </w:r>
      <w:r w:rsidRPr="0066727B">
        <w:rPr>
          <w:rFonts w:ascii="Palatino Linotype" w:hAnsi="Palatino Linotype"/>
          <w:b/>
        </w:rPr>
        <w:t>Ley de la Fiscalía General de Justicia del Estado de México</w:t>
      </w:r>
      <w:r w:rsidRPr="0066727B">
        <w:rPr>
          <w:rFonts w:ascii="Palatino Linotype" w:hAnsi="Palatino Linotype"/>
        </w:rPr>
        <w:t xml:space="preserve"> establece en su artículo 33 que el Ministerio Público es una institución única e indivisible, que funge como representante social en los intereses de quienes sean lesionadas o lesionados en sus derechos, </w:t>
      </w:r>
      <w:r w:rsidRPr="0066727B">
        <w:rPr>
          <w:rFonts w:ascii="Palatino Linotype" w:hAnsi="Palatino Linotype"/>
          <w:b/>
          <w:u w:val="single"/>
        </w:rPr>
        <w:t>a través de la investigación y persecución de los delitos y el ejercicio de la acción penal ante los tribunales competentes</w:t>
      </w:r>
      <w:r w:rsidRPr="0066727B">
        <w:rPr>
          <w:rFonts w:ascii="Palatino Linotype" w:hAnsi="Palatino Linotype"/>
        </w:rPr>
        <w:t>. Solo en los casos establecidos en la Constitución Federal y el Código Nacional, las y los particulares podrán ejercitar acción penal directamente.</w:t>
      </w:r>
    </w:p>
    <w:p w14:paraId="0439D572" w14:textId="77777777" w:rsidR="00D4395A" w:rsidRPr="0066727B" w:rsidRDefault="00D4395A" w:rsidP="00D4395A">
      <w:pPr>
        <w:pStyle w:val="Prrafodelista"/>
        <w:spacing w:line="360" w:lineRule="auto"/>
        <w:ind w:left="0"/>
        <w:jc w:val="both"/>
        <w:rPr>
          <w:rFonts w:ascii="Palatino Linotype" w:hAnsi="Palatino Linotype"/>
          <w:color w:val="000000"/>
        </w:rPr>
      </w:pPr>
    </w:p>
    <w:p w14:paraId="6F956B2D" w14:textId="48096D68" w:rsidR="00D4395A" w:rsidRPr="0066727B" w:rsidRDefault="00741374" w:rsidP="00741374">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66727B">
        <w:rPr>
          <w:rFonts w:ascii="Palatino Linotype" w:hAnsi="Palatino Linotype"/>
        </w:rPr>
        <w:t xml:space="preserve">Así mismo </w:t>
      </w:r>
      <w:r w:rsidR="003F58E9" w:rsidRPr="0066727B">
        <w:rPr>
          <w:rFonts w:ascii="Palatino Linotype" w:hAnsi="Palatino Linotype"/>
        </w:rPr>
        <w:t xml:space="preserve">de conformidad con lo establecido en el artículo 34 de la Ley de la Fiscalía antes citada </w:t>
      </w:r>
      <w:r w:rsidR="002F1D5E" w:rsidRPr="0066727B">
        <w:rPr>
          <w:rFonts w:ascii="Palatino Linotype" w:hAnsi="Palatino Linotype"/>
        </w:rPr>
        <w:t>e</w:t>
      </w:r>
      <w:r w:rsidR="003F58E9" w:rsidRPr="0066727B">
        <w:rPr>
          <w:rFonts w:ascii="Palatino Linotype" w:hAnsi="Palatino Linotype"/>
        </w:rPr>
        <w:t xml:space="preserv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w:t>
      </w:r>
      <w:r w:rsidR="003F58E9" w:rsidRPr="0066727B">
        <w:rPr>
          <w:rFonts w:ascii="Palatino Linotype" w:hAnsi="Palatino Linotype"/>
          <w:b/>
          <w:u w:val="single"/>
        </w:rPr>
        <w:t xml:space="preserve">remitir al </w:t>
      </w:r>
      <w:r w:rsidR="003F58E9" w:rsidRPr="0066727B">
        <w:rPr>
          <w:rFonts w:ascii="Palatino Linotype" w:hAnsi="Palatino Linotype"/>
        </w:rPr>
        <w:t>Secretariado Ejecutivo del Sistema Estatal de Seguridad Pública del Estado de México y del Sistema Nacional,</w:t>
      </w:r>
      <w:r w:rsidR="003F58E9" w:rsidRPr="0066727B">
        <w:rPr>
          <w:rFonts w:ascii="Palatino Linotype" w:hAnsi="Palatino Linotype"/>
          <w:b/>
          <w:u w:val="single"/>
        </w:rPr>
        <w:t xml:space="preserve"> la información correspondiente para la integración de los registros y bases de datos</w:t>
      </w:r>
      <w:r w:rsidR="002F1D5E" w:rsidRPr="0066727B">
        <w:rPr>
          <w:rFonts w:ascii="Palatino Linotype" w:hAnsi="Palatino Linotype"/>
          <w:b/>
          <w:u w:val="single"/>
        </w:rPr>
        <w:t>, tal como se transcribe:</w:t>
      </w:r>
    </w:p>
    <w:p w14:paraId="0C579319" w14:textId="77777777" w:rsidR="003F58E9" w:rsidRPr="0066727B" w:rsidRDefault="003F58E9" w:rsidP="003F58E9">
      <w:pPr>
        <w:pStyle w:val="Prrafodelista"/>
        <w:autoSpaceDE w:val="0"/>
        <w:autoSpaceDN w:val="0"/>
        <w:adjustRightInd w:val="0"/>
        <w:spacing w:line="360" w:lineRule="auto"/>
        <w:ind w:left="0"/>
        <w:jc w:val="both"/>
        <w:rPr>
          <w:rFonts w:ascii="Palatino Linotype" w:hAnsi="Palatino Linotype"/>
        </w:rPr>
      </w:pPr>
    </w:p>
    <w:p w14:paraId="2513BB25" w14:textId="3249F74C" w:rsidR="003F58E9" w:rsidRPr="0066727B" w:rsidRDefault="003F58E9" w:rsidP="003F58E9">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lastRenderedPageBreak/>
        <w:t>Artículo 34. 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w:t>
      </w:r>
    </w:p>
    <w:p w14:paraId="16B2E4BA" w14:textId="71EAE19A" w:rsidR="003F58E9" w:rsidRPr="0066727B" w:rsidRDefault="003F58E9" w:rsidP="003F58E9">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w:t>
      </w:r>
    </w:p>
    <w:p w14:paraId="1F0610AA" w14:textId="0965496F" w:rsidR="00D4395A" w:rsidRPr="0066727B" w:rsidRDefault="00D4395A" w:rsidP="00D4395A">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XXV. Requerir al Secretariado Ejecutivo del Sistema Estatal de Seguridad Pública del Estado de México y del Sistema Nacional la información necesaria para la investigación y persecución de los delitos, así como </w:t>
      </w:r>
      <w:r w:rsidRPr="0066727B">
        <w:rPr>
          <w:rFonts w:ascii="Palatino Linotype" w:hAnsi="Palatino Linotype"/>
          <w:b/>
          <w:i/>
          <w:sz w:val="22"/>
          <w:szCs w:val="22"/>
          <w:u w:val="single"/>
        </w:rPr>
        <w:t>remitirle la información correspondiente para la integración de los registros y bases de datos que establece la ley</w:t>
      </w:r>
      <w:r w:rsidRPr="0066727B">
        <w:rPr>
          <w:rFonts w:ascii="Palatino Linotype" w:hAnsi="Palatino Linotype"/>
          <w:i/>
          <w:sz w:val="22"/>
          <w:szCs w:val="22"/>
        </w:rPr>
        <w:t>.</w:t>
      </w:r>
    </w:p>
    <w:p w14:paraId="0DBEDF60" w14:textId="77777777" w:rsidR="00D4395A" w:rsidRPr="0066727B" w:rsidRDefault="00D4395A" w:rsidP="00D4395A">
      <w:pPr>
        <w:pStyle w:val="Prrafodelista"/>
        <w:autoSpaceDE w:val="0"/>
        <w:autoSpaceDN w:val="0"/>
        <w:adjustRightInd w:val="0"/>
        <w:spacing w:line="360" w:lineRule="auto"/>
        <w:ind w:left="0"/>
        <w:jc w:val="both"/>
        <w:rPr>
          <w:rFonts w:ascii="Palatino Linotype" w:hAnsi="Palatino Linotype"/>
        </w:rPr>
      </w:pPr>
    </w:p>
    <w:p w14:paraId="133A3785" w14:textId="77777777" w:rsidR="003F58E9" w:rsidRPr="0066727B" w:rsidRDefault="003F58E9" w:rsidP="003F58E9">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66727B">
        <w:rPr>
          <w:rFonts w:ascii="Palatino Linotype" w:hAnsi="Palatino Linotype"/>
          <w:noProof/>
          <w:lang w:eastAsia="es-MX"/>
        </w:rPr>
        <w:t xml:space="preserve">Por otra parte la </w:t>
      </w:r>
      <w:r w:rsidRPr="0066727B">
        <w:rPr>
          <w:rFonts w:ascii="Palatino Linotype" w:hAnsi="Palatino Linotype"/>
          <w:b/>
        </w:rPr>
        <w:t xml:space="preserve">Ley de la Fiscalía General de Justicia del Estado de México </w:t>
      </w:r>
      <w:r w:rsidRPr="0066727B">
        <w:rPr>
          <w:rFonts w:ascii="Palatino Linotype" w:hAnsi="Palatino Linotype"/>
        </w:rPr>
        <w:t>en su artículo 32</w:t>
      </w:r>
      <w:r w:rsidRPr="0066727B">
        <w:rPr>
          <w:rFonts w:ascii="Palatino Linotype" w:hAnsi="Palatino Linotype"/>
          <w:b/>
        </w:rPr>
        <w:t xml:space="preserve"> </w:t>
      </w:r>
      <w:r w:rsidRPr="0066727B">
        <w:rPr>
          <w:rFonts w:ascii="Palatino Linotype" w:hAnsi="Palatino Linotype"/>
        </w:rPr>
        <w:t>dispone que para el eficaz cumplimiento de sus atribuciones la Fiscalía General de Justicia contará con autoridades auxiliares entre las cuales se destacan entre otras de manera enunciativa más no limitativa las siguientes:</w:t>
      </w:r>
    </w:p>
    <w:p w14:paraId="3B709586" w14:textId="77777777" w:rsidR="003F58E9" w:rsidRPr="0066727B" w:rsidRDefault="003F58E9" w:rsidP="003F58E9">
      <w:pPr>
        <w:pStyle w:val="Prrafodelista"/>
        <w:autoSpaceDE w:val="0"/>
        <w:autoSpaceDN w:val="0"/>
        <w:adjustRightInd w:val="0"/>
        <w:spacing w:line="360" w:lineRule="auto"/>
        <w:ind w:left="567" w:right="567"/>
        <w:jc w:val="both"/>
        <w:rPr>
          <w:rFonts w:ascii="Palatino Linotype" w:eastAsia="Times New Roman" w:hAnsi="Palatino Linotype" w:cs="Arial"/>
          <w:i/>
          <w:color w:val="000000" w:themeColor="text1"/>
          <w:sz w:val="22"/>
          <w:szCs w:val="22"/>
        </w:rPr>
      </w:pPr>
      <w:r w:rsidRPr="0066727B">
        <w:rPr>
          <w:rFonts w:ascii="Palatino Linotype" w:hAnsi="Palatino Linotype"/>
          <w:i/>
          <w:sz w:val="22"/>
          <w:szCs w:val="22"/>
        </w:rPr>
        <w:t>…</w:t>
      </w:r>
    </w:p>
    <w:p w14:paraId="692515F6" w14:textId="77777777" w:rsidR="003F58E9" w:rsidRPr="0066727B" w:rsidRDefault="003F58E9" w:rsidP="003F58E9">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VI. Las áreas de estadísticas, sistemas, logística y archivo. </w:t>
      </w:r>
    </w:p>
    <w:p w14:paraId="4EC867DE" w14:textId="77777777" w:rsidR="003F58E9" w:rsidRPr="0066727B" w:rsidRDefault="003F58E9" w:rsidP="003F58E9">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VII. Las áreas de tecnologías de la información y comunicación</w:t>
      </w:r>
    </w:p>
    <w:p w14:paraId="3F4D4AC5" w14:textId="77777777" w:rsidR="003F58E9" w:rsidRPr="0066727B" w:rsidRDefault="003F58E9" w:rsidP="003F58E9">
      <w:pPr>
        <w:pStyle w:val="Prrafodelista"/>
        <w:autoSpaceDE w:val="0"/>
        <w:autoSpaceDN w:val="0"/>
        <w:adjustRightInd w:val="0"/>
        <w:spacing w:line="360" w:lineRule="auto"/>
        <w:ind w:left="0"/>
        <w:jc w:val="both"/>
        <w:rPr>
          <w:rFonts w:ascii="Palatino Linotype" w:hAnsi="Palatino Linotype"/>
        </w:rPr>
      </w:pPr>
    </w:p>
    <w:p w14:paraId="17AB82C0" w14:textId="66403226" w:rsidR="00741374" w:rsidRPr="0066727B" w:rsidRDefault="002F1D5E" w:rsidP="002F1D5E">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66727B">
        <w:rPr>
          <w:rFonts w:ascii="Palatino Linotype" w:hAnsi="Palatino Linotype"/>
        </w:rPr>
        <w:t>Es así que, con fundamento en</w:t>
      </w:r>
      <w:r w:rsidR="00741374" w:rsidRPr="0066727B">
        <w:rPr>
          <w:rFonts w:ascii="Palatino Linotype" w:hAnsi="Palatino Linotype"/>
        </w:rPr>
        <w:t xml:space="preserve"> el artículo 21 de la </w:t>
      </w:r>
      <w:r w:rsidR="00741374" w:rsidRPr="0066727B">
        <w:rPr>
          <w:rFonts w:ascii="Palatino Linotype" w:hAnsi="Palatino Linotype"/>
          <w:b/>
        </w:rPr>
        <w:t>Constitución Política de los Estados Unidos Mexicanos</w:t>
      </w:r>
      <w:r w:rsidRPr="0066727B">
        <w:rPr>
          <w:rFonts w:ascii="Palatino Linotype" w:hAnsi="Palatino Linotype"/>
        </w:rPr>
        <w:t xml:space="preserve">, </w:t>
      </w:r>
      <w:r w:rsidR="00741374" w:rsidRPr="0066727B">
        <w:rPr>
          <w:rFonts w:ascii="Palatino Linotype" w:hAnsi="Palatino Linotype"/>
        </w:rPr>
        <w:t xml:space="preserve">los artículos 33 y 34 de la </w:t>
      </w:r>
      <w:r w:rsidR="00741374" w:rsidRPr="0066727B">
        <w:rPr>
          <w:rFonts w:ascii="Palatino Linotype" w:hAnsi="Palatino Linotype"/>
          <w:b/>
        </w:rPr>
        <w:t>Ley de la Fiscalía General de Justicia del Estado de México</w:t>
      </w:r>
      <w:r w:rsidR="00741374" w:rsidRPr="0066727B">
        <w:rPr>
          <w:rFonts w:ascii="Palatino Linotype" w:hAnsi="Palatino Linotype"/>
        </w:rPr>
        <w:t xml:space="preserve"> </w:t>
      </w:r>
      <w:r w:rsidRPr="0066727B">
        <w:rPr>
          <w:rFonts w:ascii="Palatino Linotype" w:hAnsi="Palatino Linotype"/>
        </w:rPr>
        <w:t xml:space="preserve">se puede concluir </w:t>
      </w:r>
      <w:r w:rsidR="00741374" w:rsidRPr="0066727B">
        <w:rPr>
          <w:rFonts w:ascii="Palatino Linotype" w:hAnsi="Palatino Linotype"/>
        </w:rPr>
        <w:t xml:space="preserve">que la investigación y persecución de los delitos corresponde al Ministerio Público, y por tanto </w:t>
      </w:r>
      <w:r w:rsidRPr="0066727B">
        <w:rPr>
          <w:rFonts w:ascii="Palatino Linotype" w:hAnsi="Palatino Linotype"/>
        </w:rPr>
        <w:t>la Fiscalía General de Justicia</w:t>
      </w:r>
      <w:r w:rsidR="00741374" w:rsidRPr="0066727B">
        <w:rPr>
          <w:rFonts w:ascii="Palatino Linotype" w:hAnsi="Palatino Linotype"/>
        </w:rPr>
        <w:t xml:space="preserve"> podría generar la estadística delictiva a través de sus carp</w:t>
      </w:r>
      <w:r w:rsidRPr="0066727B">
        <w:rPr>
          <w:rFonts w:ascii="Palatino Linotype" w:hAnsi="Palatino Linotype"/>
        </w:rPr>
        <w:t>etas de investigación iniciadas y remitirla al Secretariado Ejecutivo.</w:t>
      </w:r>
    </w:p>
    <w:p w14:paraId="2AF09A63" w14:textId="0673EBE9" w:rsidR="00E202BE" w:rsidRPr="0066727B" w:rsidRDefault="00E202BE" w:rsidP="00D577A6">
      <w:pPr>
        <w:pStyle w:val="Prrafodelista"/>
        <w:numPr>
          <w:ilvl w:val="0"/>
          <w:numId w:val="1"/>
        </w:numPr>
        <w:spacing w:before="240" w:after="240" w:line="360" w:lineRule="auto"/>
        <w:ind w:left="0" w:firstLine="0"/>
        <w:jc w:val="both"/>
        <w:rPr>
          <w:rFonts w:ascii="Palatino Linotype" w:hAnsi="Palatino Linotype"/>
        </w:rPr>
      </w:pPr>
      <w:r w:rsidRPr="0066727B">
        <w:rPr>
          <w:rFonts w:ascii="Palatino Linotype" w:hAnsi="Palatino Linotype"/>
        </w:rPr>
        <w:lastRenderedPageBreak/>
        <w:t>Como consecuencia de lo anterior se puede dilucidar que la Fiscalía General de Justicia “bajo el principio de máxima publicidad” se dio a la tarea de investigar en otras dependencias públicas gubernamentales información que ya obra en sus archivos y que de conformidad con sus atribuciones tiene el deber de generar, sin embargo no entregó la informaci</w:t>
      </w:r>
      <w:r w:rsidR="00437285" w:rsidRPr="0066727B">
        <w:rPr>
          <w:rFonts w:ascii="Palatino Linotype" w:hAnsi="Palatino Linotype"/>
        </w:rPr>
        <w:t xml:space="preserve">ón de forma completa y conforme al requerimiento planteado por el particular, pues si bien es cierto que la Ley de Transparencia en su artículo 12 mandata que la obligación de proporcionar información no comprende el procesamiento de la misma, también lo es que las denuncias presentadas por abuso sexual </w:t>
      </w:r>
      <w:r w:rsidR="00437285" w:rsidRPr="0066727B">
        <w:rPr>
          <w:rFonts w:ascii="Palatino Linotype" w:hAnsi="Palatino Linotype"/>
          <w:b/>
          <w:u w:val="single"/>
        </w:rPr>
        <w:t>contra menores</w:t>
      </w:r>
      <w:r w:rsidR="00437285" w:rsidRPr="0066727B">
        <w:rPr>
          <w:rFonts w:ascii="Palatino Linotype" w:hAnsi="Palatino Linotype"/>
        </w:rPr>
        <w:t xml:space="preserve"> </w:t>
      </w:r>
      <w:r w:rsidR="00ED342B" w:rsidRPr="0066727B">
        <w:rPr>
          <w:rFonts w:ascii="Palatino Linotype" w:hAnsi="Palatino Linotype"/>
        </w:rPr>
        <w:t xml:space="preserve">de conformidad con el Código Penal del Estado de México </w:t>
      </w:r>
      <w:r w:rsidR="00437285" w:rsidRPr="0066727B">
        <w:rPr>
          <w:rFonts w:ascii="Palatino Linotype" w:hAnsi="Palatino Linotype"/>
        </w:rPr>
        <w:t>refleja un agravante,</w:t>
      </w:r>
      <w:r w:rsidR="00ED342B" w:rsidRPr="0066727B">
        <w:rPr>
          <w:rFonts w:ascii="Palatino Linotype" w:hAnsi="Palatino Linotype"/>
        </w:rPr>
        <w:t xml:space="preserve"> por lo que no puede ser identificado por el </w:t>
      </w:r>
      <w:r w:rsidR="00ED342B" w:rsidRPr="0066727B">
        <w:rPr>
          <w:rFonts w:ascii="Palatino Linotype" w:hAnsi="Palatino Linotype"/>
          <w:b/>
        </w:rPr>
        <w:t>SUJETO OBLIGADO</w:t>
      </w:r>
      <w:r w:rsidR="00ED342B" w:rsidRPr="0066727B">
        <w:rPr>
          <w:rFonts w:ascii="Palatino Linotype" w:hAnsi="Palatino Linotype"/>
        </w:rPr>
        <w:t xml:space="preserve"> como abuso sexual de forma genérica, </w:t>
      </w:r>
      <w:r w:rsidR="00437285" w:rsidRPr="0066727B">
        <w:rPr>
          <w:rFonts w:ascii="Palatino Linotype" w:hAnsi="Palatino Linotype"/>
        </w:rPr>
        <w:t>:</w:t>
      </w:r>
    </w:p>
    <w:p w14:paraId="450945FF" w14:textId="77777777" w:rsidR="00D577A6" w:rsidRPr="0066727B" w:rsidRDefault="00D577A6" w:rsidP="00D577A6">
      <w:pPr>
        <w:pStyle w:val="Prrafodelista"/>
        <w:spacing w:before="240" w:after="240" w:line="360" w:lineRule="auto"/>
        <w:ind w:left="0"/>
        <w:jc w:val="both"/>
        <w:rPr>
          <w:rFonts w:ascii="Palatino Linotype" w:hAnsi="Palatino Linotype"/>
          <w:color w:val="000000"/>
        </w:rPr>
      </w:pPr>
    </w:p>
    <w:p w14:paraId="4E83D807" w14:textId="77777777" w:rsidR="00437285" w:rsidRPr="0066727B" w:rsidRDefault="00437285" w:rsidP="00ED342B">
      <w:pPr>
        <w:pStyle w:val="Prrafodelista"/>
        <w:spacing w:before="240" w:after="240"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Artículo 270.- Comete el delito de abuso sexual: </w:t>
      </w:r>
    </w:p>
    <w:p w14:paraId="70499780" w14:textId="570F425B" w:rsidR="00ED342B" w:rsidRPr="0066727B" w:rsidRDefault="00437285" w:rsidP="00ED342B">
      <w:pPr>
        <w:pStyle w:val="Prrafodelista"/>
        <w:numPr>
          <w:ilvl w:val="2"/>
          <w:numId w:val="1"/>
        </w:numPr>
        <w:spacing w:before="240" w:after="240" w:line="360" w:lineRule="auto"/>
        <w:ind w:left="567" w:right="567" w:firstLine="0"/>
        <w:jc w:val="both"/>
        <w:rPr>
          <w:rFonts w:ascii="Palatino Linotype" w:hAnsi="Palatino Linotype"/>
          <w:i/>
          <w:sz w:val="22"/>
          <w:szCs w:val="22"/>
        </w:rPr>
      </w:pPr>
      <w:r w:rsidRPr="0066727B">
        <w:rPr>
          <w:rFonts w:ascii="Palatino Linotype" w:hAnsi="Palatino Linotype"/>
          <w:i/>
          <w:sz w:val="22"/>
          <w:szCs w:val="22"/>
        </w:rPr>
        <w:t>Quien ejecute en una persona un acto erótico o sexual sin su consentimiento y sin el propósito de llegar a la cópula o a quien lo realice en su presencia o haga ejecutarlo para sí o en otra persona. A quien cometa este delito, se le impondrá pena de dos a cuatro años de prisión y de doscien</w:t>
      </w:r>
      <w:r w:rsidR="00ED342B" w:rsidRPr="0066727B">
        <w:rPr>
          <w:rFonts w:ascii="Palatino Linotype" w:hAnsi="Palatino Linotype"/>
          <w:i/>
          <w:sz w:val="22"/>
          <w:szCs w:val="22"/>
        </w:rPr>
        <w:t>tos a cuatrocientos días multa.</w:t>
      </w:r>
    </w:p>
    <w:p w14:paraId="085F9CCE" w14:textId="77777777" w:rsidR="00ED342B" w:rsidRPr="0066727B" w:rsidRDefault="00ED342B" w:rsidP="00ED342B">
      <w:pPr>
        <w:pStyle w:val="Prrafodelista"/>
        <w:spacing w:before="240" w:after="240" w:line="360" w:lineRule="auto"/>
        <w:ind w:left="567" w:right="567"/>
        <w:jc w:val="both"/>
        <w:rPr>
          <w:rFonts w:ascii="Palatino Linotype" w:hAnsi="Palatino Linotype"/>
          <w:i/>
          <w:sz w:val="22"/>
          <w:szCs w:val="22"/>
        </w:rPr>
      </w:pPr>
    </w:p>
    <w:p w14:paraId="2BFBC3EC" w14:textId="71BDC8E7" w:rsidR="00ED342B" w:rsidRPr="0066727B" w:rsidRDefault="00437285" w:rsidP="00ED342B">
      <w:pPr>
        <w:pStyle w:val="Prrafodelista"/>
        <w:spacing w:before="240" w:after="240"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II. Quien ejecute </w:t>
      </w:r>
      <w:r w:rsidRPr="0066727B">
        <w:rPr>
          <w:rFonts w:ascii="Palatino Linotype" w:hAnsi="Palatino Linotype"/>
          <w:b/>
          <w:i/>
          <w:sz w:val="22"/>
          <w:szCs w:val="22"/>
          <w:u w:val="single"/>
        </w:rPr>
        <w:t>en una persona menor de edad</w:t>
      </w:r>
      <w:r w:rsidRPr="0066727B">
        <w:rPr>
          <w:rFonts w:ascii="Palatino Linotype" w:hAnsi="Palatino Linotype"/>
          <w:i/>
          <w:sz w:val="22"/>
          <w:szCs w:val="22"/>
        </w:rPr>
        <w:t xml:space="preserve"> o que no tenga la capacidad de comprender las cosas o de resistir al hecho, un acto erótico o sexual sin el propósito de llegar a la cópula o a quien lo realice en su presencia o haga ejecutarlo para sí o en otra persona. A quien cometa este delito, </w:t>
      </w:r>
      <w:r w:rsidRPr="0066727B">
        <w:rPr>
          <w:rFonts w:ascii="Palatino Linotype" w:hAnsi="Palatino Linotype"/>
          <w:b/>
          <w:i/>
          <w:sz w:val="22"/>
          <w:szCs w:val="22"/>
          <w:u w:val="single"/>
        </w:rPr>
        <w:t>se le impondrá pena de ocho a quince años de prisión</w:t>
      </w:r>
      <w:r w:rsidRPr="0066727B">
        <w:rPr>
          <w:rFonts w:ascii="Palatino Linotype" w:hAnsi="Palatino Linotype"/>
          <w:i/>
          <w:sz w:val="22"/>
          <w:szCs w:val="22"/>
        </w:rPr>
        <w:t xml:space="preserve"> y de quinientos a mil días multa</w:t>
      </w:r>
    </w:p>
    <w:p w14:paraId="1C4C702B" w14:textId="77777777" w:rsidR="00741374" w:rsidRPr="0066727B" w:rsidRDefault="00741374" w:rsidP="002F1D5E">
      <w:pPr>
        <w:pStyle w:val="Prrafodelista"/>
        <w:spacing w:before="240" w:after="240" w:line="360" w:lineRule="auto"/>
        <w:ind w:left="0" w:right="49"/>
        <w:jc w:val="both"/>
        <w:rPr>
          <w:rFonts w:ascii="Palatino Linotype" w:hAnsi="Palatino Linotype"/>
          <w:color w:val="000000"/>
        </w:rPr>
      </w:pPr>
    </w:p>
    <w:p w14:paraId="180AF4E6" w14:textId="2213B612" w:rsidR="00D608A8" w:rsidRPr="0066727B" w:rsidRDefault="00D577A6" w:rsidP="00D577A6">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color w:val="000000"/>
        </w:rPr>
        <w:lastRenderedPageBreak/>
        <w:t xml:space="preserve">Ante ello cabe hacer notar que </w:t>
      </w:r>
      <w:r w:rsidR="00D608A8" w:rsidRPr="0066727B">
        <w:rPr>
          <w:rFonts w:ascii="Palatino Linotype" w:hAnsi="Palatino Linotype"/>
          <w:color w:val="000000"/>
        </w:rPr>
        <w:t xml:space="preserve">la </w:t>
      </w:r>
      <w:r w:rsidR="00D608A8" w:rsidRPr="0066727B">
        <w:rPr>
          <w:rFonts w:ascii="Palatino Linotype" w:hAnsi="Palatino Linotype"/>
          <w:b/>
        </w:rPr>
        <w:t>Ley del Sistema Nacional de Información Estadística y Geográfica</w:t>
      </w:r>
      <w:r w:rsidR="00D608A8" w:rsidRPr="0066727B">
        <w:t xml:space="preserve"> dispone que </w:t>
      </w:r>
    </w:p>
    <w:p w14:paraId="60AB2E15" w14:textId="77777777" w:rsidR="00D608A8" w:rsidRPr="0066727B" w:rsidRDefault="00D608A8" w:rsidP="00D608A8">
      <w:pPr>
        <w:pStyle w:val="Prrafodelista"/>
        <w:spacing w:before="240" w:after="240" w:line="360" w:lineRule="auto"/>
        <w:ind w:left="0" w:right="49"/>
        <w:jc w:val="both"/>
        <w:rPr>
          <w:rFonts w:ascii="Palatino Linotype" w:hAnsi="Palatino Linotype"/>
          <w:color w:val="000000"/>
        </w:rPr>
      </w:pPr>
    </w:p>
    <w:p w14:paraId="45819EA4" w14:textId="77777777" w:rsidR="00D608A8" w:rsidRPr="0066727B" w:rsidRDefault="00D608A8" w:rsidP="00D608A8">
      <w:pPr>
        <w:pStyle w:val="Prrafodelista"/>
        <w:spacing w:before="240" w:after="240" w:line="360" w:lineRule="auto"/>
        <w:ind w:left="567" w:right="567"/>
        <w:jc w:val="both"/>
        <w:rPr>
          <w:rFonts w:ascii="Palatino Linotype" w:hAnsi="Palatino Linotype"/>
          <w:i/>
        </w:rPr>
      </w:pPr>
      <w:r w:rsidRPr="0066727B">
        <w:rPr>
          <w:rFonts w:ascii="Palatino Linotype" w:hAnsi="Palatino Linotype"/>
          <w:i/>
        </w:rPr>
        <w:t xml:space="preserve">ARTÍCULO 6.- La Información de Interés Nacional será oficial y de uso obligatorio para la Federación, </w:t>
      </w:r>
      <w:r w:rsidRPr="0066727B">
        <w:rPr>
          <w:rFonts w:ascii="Palatino Linotype" w:hAnsi="Palatino Linotype"/>
          <w:b/>
          <w:i/>
          <w:u w:val="single"/>
        </w:rPr>
        <w:t>las entidades federativas</w:t>
      </w:r>
      <w:r w:rsidRPr="0066727B">
        <w:rPr>
          <w:rFonts w:ascii="Palatino Linotype" w:hAnsi="Palatino Linotype"/>
          <w:i/>
        </w:rPr>
        <w:t xml:space="preserve">, los municipios y las demarcaciones territoriales de la Ciudad de México. </w:t>
      </w:r>
    </w:p>
    <w:p w14:paraId="0191D214" w14:textId="18AFD2D2" w:rsidR="00D608A8" w:rsidRPr="0066727B" w:rsidRDefault="00D608A8" w:rsidP="00D608A8">
      <w:pPr>
        <w:pStyle w:val="Prrafodelista"/>
        <w:spacing w:before="240" w:after="240" w:line="360" w:lineRule="auto"/>
        <w:ind w:left="567" w:right="567"/>
        <w:jc w:val="both"/>
        <w:rPr>
          <w:rFonts w:ascii="Palatino Linotype" w:hAnsi="Palatino Linotype"/>
          <w:b/>
          <w:i/>
        </w:rPr>
      </w:pPr>
      <w:r w:rsidRPr="0066727B">
        <w:rPr>
          <w:rFonts w:ascii="Palatino Linotype" w:hAnsi="Palatino Linotype"/>
          <w:b/>
          <w:i/>
        </w:rPr>
        <w:t>Sin perjuicio de lo señalado en el párrafo anterior, las Unidades podrán producir y dar a conocer información pública oficial adicional a la Información de Interés Nacional.</w:t>
      </w:r>
    </w:p>
    <w:p w14:paraId="6340CA22" w14:textId="77777777" w:rsidR="00D608A8" w:rsidRPr="0066727B" w:rsidRDefault="00D608A8" w:rsidP="00D608A8">
      <w:pPr>
        <w:pStyle w:val="Prrafodelista"/>
        <w:spacing w:before="240" w:after="240" w:line="360" w:lineRule="auto"/>
        <w:ind w:left="0" w:right="49"/>
        <w:jc w:val="both"/>
        <w:rPr>
          <w:rFonts w:ascii="Palatino Linotype" w:hAnsi="Palatino Linotype"/>
          <w:color w:val="000000"/>
        </w:rPr>
      </w:pPr>
    </w:p>
    <w:p w14:paraId="3CE272C2" w14:textId="5BC3213B" w:rsidR="00741374" w:rsidRPr="0066727B" w:rsidRDefault="00741374" w:rsidP="00741374">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color w:val="000000"/>
        </w:rPr>
        <w:t xml:space="preserve">Así mismo la </w:t>
      </w:r>
      <w:r w:rsidRPr="0066727B">
        <w:rPr>
          <w:rFonts w:ascii="Palatino Linotype" w:hAnsi="Palatino Linotype"/>
          <w:b/>
        </w:rPr>
        <w:t xml:space="preserve">Ley del Sistema Nacional de Información Estadística y Geográfica </w:t>
      </w:r>
      <w:r w:rsidRPr="0066727B">
        <w:rPr>
          <w:rFonts w:ascii="Palatino Linotype" w:hAnsi="Palatino Linotype"/>
        </w:rPr>
        <w:t>establece la existencia</w:t>
      </w:r>
      <w:r w:rsidRPr="0066727B">
        <w:rPr>
          <w:rFonts w:ascii="Palatino Linotype" w:hAnsi="Palatino Linotype"/>
          <w:b/>
        </w:rPr>
        <w:t xml:space="preserve"> </w:t>
      </w:r>
      <w:r w:rsidRPr="0066727B">
        <w:rPr>
          <w:rFonts w:ascii="Palatino Linotype" w:hAnsi="Palatino Linotype"/>
        </w:rPr>
        <w:t>del Subsistema Nacional de Gobierno, Seguridad Pública e Impartición de Justicia, dependencia que de conformidad con los artículos 28  Bis y 28 Ter de la propia Ley</w:t>
      </w:r>
      <w:r w:rsidRPr="0066727B">
        <w:t xml:space="preserve"> </w:t>
      </w:r>
      <w:r w:rsidRPr="0066727B">
        <w:rPr>
          <w:rFonts w:ascii="Palatino Linotype" w:hAnsi="Palatino Linotype"/>
        </w:rPr>
        <w:t xml:space="preserve">tendrá como objetivo institucionalizar y operar un esquema coordinado para la producción, integración, conservación y difusión de información estadística y geográfica de interés nacional, de calidad, pertinente, veraz y oportuna que permita conocer la situación que guardan la gestión y el desempeño de las instituciones públicas que conforman el Estado y sus respectivos poderes en las funciones de gobierno, seguridad pública e impartición de justicia, para apoyar los procesos de diseño, implementación, monitoreo y evaluación de las políticas públicas en estas materias,  y que para el cumplimiento de su objetivo el Subsistema contará con una infraestructura de información que integre, como mínimo, un marco geoestadístico, un inventario nacional de registros </w:t>
      </w:r>
      <w:r w:rsidRPr="0066727B">
        <w:rPr>
          <w:rFonts w:ascii="Palatino Linotype" w:hAnsi="Palatino Linotype"/>
        </w:rPr>
        <w:lastRenderedPageBreak/>
        <w:t>administrativos, un registro de Unidades del Estado y un inventario de proyectos y productos estadísticos que permitan apoyar la obtención de información oficial respecto a la gestión y desempeño de las instituciones públicas que conforman al Estado y sus respectivos poderes, en las funciones de gobierno, de seguridad pública y de impartición de justicia, según corresponda.</w:t>
      </w:r>
    </w:p>
    <w:p w14:paraId="18ACBB24" w14:textId="77777777" w:rsidR="00611686" w:rsidRPr="0066727B" w:rsidRDefault="00611686" w:rsidP="00611686">
      <w:pPr>
        <w:pStyle w:val="Prrafodelista"/>
        <w:spacing w:before="240" w:after="240" w:line="360" w:lineRule="auto"/>
        <w:ind w:left="0" w:right="49"/>
        <w:jc w:val="both"/>
        <w:rPr>
          <w:rFonts w:ascii="Palatino Linotype" w:hAnsi="Palatino Linotype"/>
          <w:color w:val="000000"/>
        </w:rPr>
      </w:pPr>
    </w:p>
    <w:p w14:paraId="45054305" w14:textId="2B6B0468" w:rsidR="00611686" w:rsidRPr="0066727B" w:rsidRDefault="00611686" w:rsidP="00741374">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rPr>
        <w:t xml:space="preserve">La </w:t>
      </w:r>
      <w:r w:rsidRPr="0066727B">
        <w:rPr>
          <w:rFonts w:ascii="Palatino Linotype" w:hAnsi="Palatino Linotype"/>
          <w:b/>
        </w:rPr>
        <w:t xml:space="preserve">Ley del Sistema Nacional de Información Estadística y Geográfica establece </w:t>
      </w:r>
      <w:r w:rsidR="00484344" w:rsidRPr="0066727B">
        <w:rPr>
          <w:rFonts w:ascii="Palatino Linotype" w:hAnsi="Palatino Linotype"/>
        </w:rPr>
        <w:t>que el</w:t>
      </w:r>
      <w:r w:rsidRPr="0066727B">
        <w:rPr>
          <w:rFonts w:ascii="Palatino Linotype" w:hAnsi="Palatino Linotype"/>
        </w:rPr>
        <w:t xml:space="preserve"> Instituto Nacional de Estadística y Geografía, deberá elaborar y someter a consideración del Comité Ejecutivo correspondiente, </w:t>
      </w:r>
      <w:r w:rsidRPr="0066727B">
        <w:rPr>
          <w:rFonts w:ascii="Palatino Linotype" w:hAnsi="Palatino Linotype"/>
          <w:b/>
          <w:u w:val="single"/>
        </w:rPr>
        <w:t>las normas técnicas</w:t>
      </w:r>
      <w:r w:rsidRPr="0066727B">
        <w:rPr>
          <w:rFonts w:ascii="Palatino Linotype" w:hAnsi="Palatino Linotype"/>
        </w:rPr>
        <w:t xml:space="preserve"> y las metodologías que sean necesarias para realizar las Actividades Estadísticas y Geográficas.</w:t>
      </w:r>
    </w:p>
    <w:p w14:paraId="67DEB90F" w14:textId="77777777" w:rsidR="00741374" w:rsidRPr="0066727B" w:rsidRDefault="00741374" w:rsidP="00741374">
      <w:pPr>
        <w:pStyle w:val="Prrafodelista"/>
        <w:spacing w:before="240" w:after="240" w:line="360" w:lineRule="auto"/>
        <w:ind w:left="0" w:right="49"/>
        <w:jc w:val="both"/>
        <w:rPr>
          <w:rFonts w:ascii="Palatino Linotype" w:hAnsi="Palatino Linotype"/>
          <w:color w:val="000000"/>
        </w:rPr>
      </w:pPr>
    </w:p>
    <w:p w14:paraId="18F64EFA" w14:textId="2E0BBEA6" w:rsidR="00D577A6" w:rsidRPr="0066727B" w:rsidRDefault="002F1D5E" w:rsidP="00D577A6">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color w:val="000000"/>
        </w:rPr>
        <w:t xml:space="preserve">Bajo ese tenor, </w:t>
      </w:r>
      <w:r w:rsidR="00D577A6" w:rsidRPr="0066727B">
        <w:rPr>
          <w:rFonts w:ascii="Palatino Linotype" w:hAnsi="Palatino Linotype"/>
          <w:color w:val="000000"/>
        </w:rPr>
        <w:t xml:space="preserve">la </w:t>
      </w:r>
      <w:r w:rsidR="00D577A6" w:rsidRPr="0066727B">
        <w:rPr>
          <w:rFonts w:ascii="Palatino Linotype" w:hAnsi="Palatino Linotype"/>
          <w:b/>
          <w:color w:val="000000"/>
        </w:rPr>
        <w:t>Procuraduría General de Justicia</w:t>
      </w:r>
      <w:r w:rsidR="00D577A6" w:rsidRPr="0066727B">
        <w:rPr>
          <w:rFonts w:ascii="Palatino Linotype" w:hAnsi="Palatino Linotype"/>
          <w:color w:val="000000"/>
        </w:rPr>
        <w:t xml:space="preserve"> a partir del año 2011 </w:t>
      </w:r>
      <w:r w:rsidR="00D577A6" w:rsidRPr="0066727B">
        <w:rPr>
          <w:rFonts w:ascii="Palatino Linotype" w:hAnsi="Palatino Linotype"/>
        </w:rPr>
        <w:t xml:space="preserve">está obligada a generar, actualizar e integrar los registros administrativos de conformidad a los lineamientos previstos en la </w:t>
      </w:r>
      <w:r w:rsidR="00D577A6" w:rsidRPr="0066727B">
        <w:rPr>
          <w:rFonts w:ascii="Palatino Linotype" w:hAnsi="Palatino Linotype"/>
          <w:b/>
        </w:rPr>
        <w:t>Norma Técnica para la Clasificación Nacional de Delitos del Fuero Común</w:t>
      </w:r>
      <w:r w:rsidR="00D577A6" w:rsidRPr="0066727B">
        <w:rPr>
          <w:rFonts w:ascii="Palatino Linotype" w:hAnsi="Palatino Linotype"/>
        </w:rPr>
        <w:t xml:space="preserve"> </w:t>
      </w:r>
      <w:r w:rsidR="00D577A6" w:rsidRPr="0066727B">
        <w:rPr>
          <w:rFonts w:ascii="Palatino Linotype" w:hAnsi="Palatino Linotype"/>
          <w:b/>
        </w:rPr>
        <w:t>para fines estadísticos</w:t>
      </w:r>
      <w:r w:rsidR="00D577A6" w:rsidRPr="0066727B">
        <w:rPr>
          <w:rFonts w:ascii="Palatino Linotype" w:hAnsi="Palatino Linotype"/>
        </w:rPr>
        <w:t>.</w:t>
      </w:r>
    </w:p>
    <w:p w14:paraId="0F2EE980" w14:textId="77777777" w:rsidR="007235E7" w:rsidRPr="0066727B" w:rsidRDefault="007235E7" w:rsidP="00D608A8">
      <w:pPr>
        <w:pStyle w:val="Prrafodelista"/>
        <w:spacing w:before="240" w:after="240" w:line="360" w:lineRule="auto"/>
        <w:ind w:left="0" w:right="49"/>
        <w:jc w:val="both"/>
        <w:rPr>
          <w:rFonts w:ascii="Palatino Linotype" w:hAnsi="Palatino Linotype"/>
          <w:color w:val="000000"/>
        </w:rPr>
      </w:pPr>
    </w:p>
    <w:p w14:paraId="63CC1BDC" w14:textId="117AA0D3" w:rsidR="00D608A8" w:rsidRPr="0066727B" w:rsidRDefault="007235E7" w:rsidP="00D608A8">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color w:val="000000"/>
        </w:rPr>
        <w:t xml:space="preserve">Tal es así que la </w:t>
      </w:r>
      <w:r w:rsidR="00D608A8" w:rsidRPr="0066727B">
        <w:rPr>
          <w:rFonts w:ascii="Palatino Linotype" w:hAnsi="Palatino Linotype"/>
          <w:b/>
        </w:rPr>
        <w:t>Norma Técnica para la Clasificación Nacional de Delitos del Fuero Común para fines estadísticos</w:t>
      </w:r>
      <w:r w:rsidR="00D608A8" w:rsidRPr="0066727B">
        <w:rPr>
          <w:rFonts w:ascii="Palatino Linotype" w:hAnsi="Palatino Linotype"/>
          <w:b/>
          <w:color w:val="000000"/>
        </w:rPr>
        <w:t xml:space="preserve"> 2020</w:t>
      </w:r>
      <w:r w:rsidR="00D608A8" w:rsidRPr="0066727B">
        <w:rPr>
          <w:rFonts w:ascii="Palatino Linotype" w:hAnsi="Palatino Linotype"/>
          <w:color w:val="000000"/>
        </w:rPr>
        <w:t xml:space="preserve"> dispone que será de uso obligatorio para la Federación, </w:t>
      </w:r>
      <w:r w:rsidR="00D608A8" w:rsidRPr="0066727B">
        <w:rPr>
          <w:rFonts w:ascii="Palatino Linotype" w:hAnsi="Palatino Linotype"/>
          <w:b/>
          <w:color w:val="000000"/>
          <w:u w:val="single"/>
        </w:rPr>
        <w:t>las entidades federativas</w:t>
      </w:r>
      <w:r w:rsidR="00D608A8" w:rsidRPr="0066727B">
        <w:rPr>
          <w:rFonts w:ascii="Palatino Linotype" w:hAnsi="Palatino Linotype"/>
          <w:color w:val="000000"/>
        </w:rPr>
        <w:t xml:space="preserve">, los municipios y las demarcaciones territoriales de la Ciudad de México, considerando en todo momento los estándares nacionales e internacionales, así como las mejores prácticas en la materia, a fin de </w:t>
      </w:r>
      <w:r w:rsidR="00D608A8" w:rsidRPr="0066727B">
        <w:rPr>
          <w:rFonts w:ascii="Palatino Linotype" w:hAnsi="Palatino Linotype"/>
          <w:color w:val="000000"/>
        </w:rPr>
        <w:lastRenderedPageBreak/>
        <w:t>suministrar a la sociedad y al Estado información de calidad, pertinente, veraz y oportuna, a efecto de coadyuvar al desarrollo nacional.</w:t>
      </w:r>
    </w:p>
    <w:p w14:paraId="287872CE" w14:textId="77777777" w:rsidR="00D608A8" w:rsidRPr="0066727B" w:rsidRDefault="00D608A8" w:rsidP="002F1D5E">
      <w:pPr>
        <w:pStyle w:val="Prrafodelista"/>
        <w:spacing w:before="240" w:after="240" w:line="360" w:lineRule="auto"/>
        <w:ind w:left="0" w:right="49"/>
        <w:jc w:val="both"/>
        <w:rPr>
          <w:rFonts w:ascii="Palatino Linotype" w:hAnsi="Palatino Linotype"/>
          <w:color w:val="000000"/>
        </w:rPr>
      </w:pPr>
    </w:p>
    <w:p w14:paraId="1C660E52" w14:textId="25BBAD57" w:rsidR="00E912B1" w:rsidRPr="0066727B" w:rsidRDefault="002F1D5E" w:rsidP="00DA7C95">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color w:val="000000"/>
        </w:rPr>
        <w:t xml:space="preserve">La </w:t>
      </w:r>
      <w:r w:rsidRPr="0066727B">
        <w:rPr>
          <w:rFonts w:ascii="Palatino Linotype" w:hAnsi="Palatino Linotype"/>
          <w:b/>
        </w:rPr>
        <w:t>Norma Técnica para la Clasificación Nacional de Delitos del Fuero Común para fines estadísticos</w:t>
      </w:r>
      <w:r w:rsidRPr="0066727B">
        <w:rPr>
          <w:rFonts w:ascii="Palatino Linotype" w:hAnsi="Palatino Linotype"/>
          <w:b/>
          <w:color w:val="000000"/>
        </w:rPr>
        <w:t xml:space="preserve"> 2020</w:t>
      </w:r>
      <w:r w:rsidRPr="0066727B">
        <w:rPr>
          <w:rFonts w:ascii="Palatino Linotype" w:hAnsi="Palatino Linotype"/>
          <w:color w:val="000000"/>
        </w:rPr>
        <w:t xml:space="preserve"> </w:t>
      </w:r>
      <w:r w:rsidR="007235E7" w:rsidRPr="0066727B">
        <w:rPr>
          <w:rFonts w:ascii="Palatino Linotype" w:hAnsi="Palatino Linotype"/>
          <w:color w:val="000000"/>
        </w:rPr>
        <w:t xml:space="preserve">señalada en el párrafo anterior y publicada en la página </w:t>
      </w:r>
      <w:hyperlink r:id="rId23" w:history="1">
        <w:r w:rsidR="00E912B1" w:rsidRPr="0066727B">
          <w:rPr>
            <w:rStyle w:val="Hipervnculo"/>
            <w:rFonts w:ascii="Palatino Linotype" w:hAnsi="Palatino Linotype"/>
            <w:sz w:val="20"/>
            <w:szCs w:val="20"/>
          </w:rPr>
          <w:t>https://snieg.mx/DocumentacionPortal/Normatividad/vigente/Norma_Tecnica_Delitos_con_Fines_Estadisticos.pdf</w:t>
        </w:r>
      </w:hyperlink>
      <w:r w:rsidR="00E912B1" w:rsidRPr="0066727B">
        <w:rPr>
          <w:rFonts w:ascii="Palatino Linotype" w:hAnsi="Palatino Linotype"/>
          <w:color w:val="000000"/>
          <w:sz w:val="20"/>
          <w:szCs w:val="20"/>
        </w:rPr>
        <w:t xml:space="preserve">, </w:t>
      </w:r>
      <w:r w:rsidR="00E912B1" w:rsidRPr="0066727B">
        <w:rPr>
          <w:rFonts w:ascii="Palatino Linotype" w:hAnsi="Palatino Linotype"/>
          <w:color w:val="000000"/>
        </w:rPr>
        <w:t xml:space="preserve">dispone en su artículo 8 que para efectos del reporte de información estadística contenida en los registros administrativos que proporcionen las unidades del Estado, en lo que corresponde a la categoría de “Bien Jurídico” se deberá realizar con base en la estructura que se presenta en la tabla que se anexa y conformada a partir de tres niveles: categoría, variable y clase; los cuales se </w:t>
      </w:r>
      <w:r w:rsidRPr="0066727B">
        <w:rPr>
          <w:rFonts w:ascii="Palatino Linotype" w:hAnsi="Palatino Linotype"/>
          <w:color w:val="000000"/>
        </w:rPr>
        <w:t>representan por bien jurídico, delito y tipo espec</w:t>
      </w:r>
      <w:r w:rsidR="00484344" w:rsidRPr="0066727B">
        <w:rPr>
          <w:rFonts w:ascii="Palatino Linotype" w:hAnsi="Palatino Linotype"/>
          <w:color w:val="000000"/>
        </w:rPr>
        <w:t>ífico, respectivamente;</w:t>
      </w:r>
      <w:r w:rsidR="00CF2DB3" w:rsidRPr="0066727B">
        <w:rPr>
          <w:rFonts w:ascii="Palatino Linotype" w:hAnsi="Palatino Linotype"/>
          <w:color w:val="000000"/>
        </w:rPr>
        <w:t xml:space="preserve"> </w:t>
      </w:r>
      <w:r w:rsidR="00484344" w:rsidRPr="0066727B">
        <w:rPr>
          <w:rFonts w:ascii="Palatino Linotype" w:hAnsi="Palatino Linotype"/>
          <w:color w:val="000000"/>
        </w:rPr>
        <w:t>en ese orden de ideas la tabla que se encuentra contenida en dicha disposición</w:t>
      </w:r>
      <w:r w:rsidR="00CF2DB3" w:rsidRPr="0066727B">
        <w:rPr>
          <w:rFonts w:ascii="Palatino Linotype" w:hAnsi="Palatino Linotype"/>
          <w:color w:val="000000"/>
        </w:rPr>
        <w:t xml:space="preserve"> </w:t>
      </w:r>
      <w:r w:rsidR="00484344" w:rsidRPr="0066727B">
        <w:rPr>
          <w:rFonts w:ascii="Palatino Linotype" w:hAnsi="Palatino Linotype"/>
          <w:color w:val="000000"/>
        </w:rPr>
        <w:t>contempla</w:t>
      </w:r>
      <w:r w:rsidR="00CF2DB3" w:rsidRPr="0066727B">
        <w:rPr>
          <w:rFonts w:ascii="Palatino Linotype" w:hAnsi="Palatino Linotype"/>
          <w:color w:val="000000"/>
        </w:rPr>
        <w:t xml:space="preserve"> el delito de abuso sexual, tal como se ejemplifica:</w:t>
      </w:r>
    </w:p>
    <w:p w14:paraId="41596DEB" w14:textId="77777777" w:rsidR="00086E02" w:rsidRPr="0066727B" w:rsidRDefault="00086E02" w:rsidP="00086E02">
      <w:pPr>
        <w:pStyle w:val="Prrafodelista"/>
        <w:spacing w:before="240" w:after="240" w:line="360" w:lineRule="auto"/>
        <w:ind w:left="0" w:right="49"/>
        <w:jc w:val="both"/>
        <w:rPr>
          <w:rFonts w:ascii="Palatino Linotype" w:hAnsi="Palatino Linotype"/>
          <w:color w:val="000000"/>
        </w:rPr>
      </w:pPr>
    </w:p>
    <w:p w14:paraId="5443C1D8" w14:textId="6F879F4F" w:rsidR="00CF2DB3" w:rsidRPr="0066727B" w:rsidRDefault="00086E02" w:rsidP="00CF2DB3">
      <w:pPr>
        <w:pStyle w:val="Prrafodelista"/>
        <w:rPr>
          <w:rFonts w:ascii="Palatino Linotype" w:hAnsi="Palatino Linotype"/>
          <w:color w:val="000000"/>
        </w:rPr>
      </w:pPr>
      <w:r w:rsidRPr="0066727B">
        <w:rPr>
          <w:rFonts w:ascii="Palatino Linotype" w:hAnsi="Palatino Linotype"/>
          <w:noProof/>
          <w:color w:val="000000"/>
          <w:lang w:val="es-MX" w:eastAsia="es-MX"/>
        </w:rPr>
        <w:drawing>
          <wp:inline distT="0" distB="0" distL="0" distR="0" wp14:anchorId="0F042244" wp14:editId="00E737EF">
            <wp:extent cx="4791075" cy="88391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9389" r="4735"/>
                    <a:stretch/>
                  </pic:blipFill>
                  <pic:spPr bwMode="auto">
                    <a:xfrm>
                      <a:off x="0" y="0"/>
                      <a:ext cx="4792715" cy="884215"/>
                    </a:xfrm>
                    <a:prstGeom prst="rect">
                      <a:avLst/>
                    </a:prstGeom>
                    <a:noFill/>
                    <a:ln>
                      <a:noFill/>
                    </a:ln>
                    <a:extLst>
                      <a:ext uri="{53640926-AAD7-44D8-BBD7-CCE9431645EC}">
                        <a14:shadowObscured xmlns:a14="http://schemas.microsoft.com/office/drawing/2010/main"/>
                      </a:ext>
                    </a:extLst>
                  </pic:spPr>
                </pic:pic>
              </a:graphicData>
            </a:graphic>
          </wp:inline>
        </w:drawing>
      </w:r>
    </w:p>
    <w:p w14:paraId="7E4911FB" w14:textId="77777777" w:rsidR="00CF2DB3" w:rsidRPr="0066727B" w:rsidRDefault="00CF2DB3" w:rsidP="00086E02">
      <w:pPr>
        <w:pStyle w:val="Prrafodelista"/>
        <w:spacing w:before="240" w:after="240" w:line="360" w:lineRule="auto"/>
        <w:ind w:left="0" w:right="49"/>
        <w:jc w:val="both"/>
        <w:rPr>
          <w:rFonts w:ascii="Palatino Linotype" w:hAnsi="Palatino Linotype"/>
          <w:color w:val="000000"/>
        </w:rPr>
      </w:pPr>
    </w:p>
    <w:p w14:paraId="00F1CB96" w14:textId="6AB86256" w:rsidR="007235E7" w:rsidRPr="0066727B" w:rsidRDefault="00086E02" w:rsidP="00086E02">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color w:val="000000"/>
        </w:rPr>
        <w:t xml:space="preserve">De la misma manera la </w:t>
      </w:r>
      <w:r w:rsidRPr="0066727B">
        <w:rPr>
          <w:rFonts w:ascii="Palatino Linotype" w:hAnsi="Palatino Linotype"/>
          <w:b/>
        </w:rPr>
        <w:t>Norma Técnica para la Clasificación Nacional de Delitos del Fuero Común para fines estadísticos</w:t>
      </w:r>
      <w:r w:rsidRPr="0066727B">
        <w:rPr>
          <w:rFonts w:ascii="Palatino Linotype" w:hAnsi="Palatino Linotype"/>
          <w:b/>
          <w:color w:val="000000"/>
        </w:rPr>
        <w:t xml:space="preserve"> 2020, </w:t>
      </w:r>
      <w:r w:rsidRPr="0066727B">
        <w:rPr>
          <w:rFonts w:ascii="Palatino Linotype" w:hAnsi="Palatino Linotype"/>
          <w:color w:val="000000"/>
        </w:rPr>
        <w:t xml:space="preserve">en su artículo 15 dispone que Para efectos del reporte de información estadística en lo que corresponde a la categoría de “Características de las personas involucradas”, se deberá realizar </w:t>
      </w:r>
      <w:r w:rsidRPr="0066727B">
        <w:rPr>
          <w:rFonts w:ascii="Palatino Linotype" w:hAnsi="Palatino Linotype"/>
          <w:color w:val="000000"/>
        </w:rPr>
        <w:lastRenderedPageBreak/>
        <w:t>conforme a la estructura que se presenta en la siguiente tabla, conformada a partir de dos niveles: variable y clase; los cuales se representan por la descripción de las personas involucradas y sus especificaciones, respectivamente:</w:t>
      </w:r>
    </w:p>
    <w:p w14:paraId="38913A38" w14:textId="13169A10" w:rsidR="007235E7" w:rsidRPr="0066727B" w:rsidRDefault="007235E7" w:rsidP="007235E7">
      <w:pPr>
        <w:pStyle w:val="Prrafodelista"/>
        <w:spacing w:before="240" w:after="240" w:line="360" w:lineRule="auto"/>
        <w:ind w:left="0" w:right="49"/>
        <w:jc w:val="both"/>
        <w:rPr>
          <w:rFonts w:ascii="Palatino Linotype" w:hAnsi="Palatino Linotype"/>
          <w:color w:val="000000"/>
        </w:rPr>
      </w:pPr>
      <w:r w:rsidRPr="0066727B">
        <w:rPr>
          <w:noProof/>
          <w:lang w:val="es-MX" w:eastAsia="es-MX"/>
        </w:rPr>
        <mc:AlternateContent>
          <mc:Choice Requires="wps">
            <w:drawing>
              <wp:anchor distT="0" distB="0" distL="114300" distR="114300" simplePos="0" relativeHeight="251664384" behindDoc="0" locked="0" layoutInCell="1" allowOverlap="1" wp14:anchorId="652110FB" wp14:editId="2D4020A3">
                <wp:simplePos x="0" y="0"/>
                <wp:positionH relativeFrom="column">
                  <wp:posOffset>205740</wp:posOffset>
                </wp:positionH>
                <wp:positionV relativeFrom="paragraph">
                  <wp:posOffset>4746624</wp:posOffset>
                </wp:positionV>
                <wp:extent cx="5229225" cy="695325"/>
                <wp:effectExtent l="76200" t="38100" r="66675" b="104775"/>
                <wp:wrapNone/>
                <wp:docPr id="26" name="Elipse 26"/>
                <wp:cNvGraphicFramePr/>
                <a:graphic xmlns:a="http://schemas.openxmlformats.org/drawingml/2006/main">
                  <a:graphicData uri="http://schemas.microsoft.com/office/word/2010/wordprocessingShape">
                    <wps:wsp>
                      <wps:cNvSpPr/>
                      <wps:spPr>
                        <a:xfrm>
                          <a:off x="0" y="0"/>
                          <a:ext cx="5229225" cy="69532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E8104" id="Elipse 26" o:spid="_x0000_s1026" style="position:absolute;margin-left:16.2pt;margin-top:373.75pt;width:411.7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" filled="f" strokecolor="red" strokeweight="3pt">
                <v:shadow on="t" color="black" opacity="22937f" origin=",.5" offset="0,.63889mm"/>
              </v:oval>
            </w:pict>
          </mc:Fallback>
        </mc:AlternateContent>
      </w:r>
      <w:r w:rsidRPr="0066727B">
        <w:rPr>
          <w:noProof/>
          <w:lang w:val="es-MX" w:eastAsia="es-MX"/>
        </w:rPr>
        <w:drawing>
          <wp:inline distT="0" distB="0" distL="0" distR="0" wp14:anchorId="4F6031F8" wp14:editId="2CFF2C97">
            <wp:extent cx="5553075" cy="62293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892" r="34281" b="11408"/>
                    <a:stretch/>
                  </pic:blipFill>
                  <pic:spPr bwMode="auto">
                    <a:xfrm>
                      <a:off x="0" y="0"/>
                      <a:ext cx="5553075" cy="6229350"/>
                    </a:xfrm>
                    <a:prstGeom prst="rect">
                      <a:avLst/>
                    </a:prstGeom>
                    <a:ln>
                      <a:noFill/>
                    </a:ln>
                    <a:extLst>
                      <a:ext uri="{53640926-AAD7-44D8-BBD7-CCE9431645EC}">
                        <a14:shadowObscured xmlns:a14="http://schemas.microsoft.com/office/drawing/2010/main"/>
                      </a:ext>
                    </a:extLst>
                  </pic:spPr>
                </pic:pic>
              </a:graphicData>
            </a:graphic>
          </wp:inline>
        </w:drawing>
      </w:r>
    </w:p>
    <w:p w14:paraId="3C408CE2" w14:textId="77777777" w:rsidR="00D577A6" w:rsidRPr="0066727B" w:rsidRDefault="00D577A6" w:rsidP="00D577A6">
      <w:pPr>
        <w:pStyle w:val="Prrafodelista"/>
        <w:spacing w:before="240" w:after="240" w:line="360" w:lineRule="auto"/>
        <w:ind w:left="0" w:right="49"/>
        <w:jc w:val="both"/>
        <w:rPr>
          <w:rFonts w:ascii="Palatino Linotype" w:hAnsi="Palatino Linotype"/>
          <w:color w:val="000000"/>
        </w:rPr>
      </w:pPr>
    </w:p>
    <w:p w14:paraId="13699F8F" w14:textId="685CBE91" w:rsidR="00D577A6" w:rsidRPr="0066727B" w:rsidRDefault="00D577A6" w:rsidP="00672FCD">
      <w:pPr>
        <w:pStyle w:val="Prrafodelista"/>
        <w:numPr>
          <w:ilvl w:val="0"/>
          <w:numId w:val="1"/>
        </w:numPr>
        <w:spacing w:before="240" w:after="240" w:line="360" w:lineRule="auto"/>
        <w:ind w:left="0" w:right="49" w:firstLine="0"/>
        <w:jc w:val="both"/>
        <w:rPr>
          <w:rFonts w:ascii="Palatino Linotype" w:hAnsi="Palatino Linotype"/>
          <w:color w:val="000000"/>
        </w:rPr>
      </w:pPr>
      <w:r w:rsidRPr="0066727B">
        <w:rPr>
          <w:rFonts w:ascii="Palatino Linotype" w:hAnsi="Palatino Linotype"/>
        </w:rPr>
        <w:t xml:space="preserve">Aunado a ello el Instituto Nacional de Estadística y Geografía (INEGI) recopiló información estadística de incidencia delictiva mediante </w:t>
      </w:r>
      <w:r w:rsidRPr="0066727B">
        <w:rPr>
          <w:rFonts w:ascii="Palatino Linotype" w:hAnsi="Palatino Linotype"/>
          <w:lang w:val="es-MX" w:eastAsia="es-MX"/>
        </w:rPr>
        <w:t xml:space="preserve">el Censo Nacional de Procuración de Justicia Estatal </w:t>
      </w:r>
      <w:r w:rsidR="0077306A" w:rsidRPr="0066727B">
        <w:rPr>
          <w:rFonts w:ascii="Palatino Linotype" w:hAnsi="Palatino Linotype"/>
          <w:lang w:val="es-MX" w:eastAsia="es-MX"/>
        </w:rPr>
        <w:t>2020</w:t>
      </w:r>
      <w:r w:rsidRPr="0066727B">
        <w:rPr>
          <w:rFonts w:ascii="Palatino Linotype" w:hAnsi="Palatino Linotype"/>
          <w:lang w:val="es-MX" w:eastAsia="es-MX"/>
        </w:rPr>
        <w:t xml:space="preserve">, mismo que de acuerdo a su página </w:t>
      </w:r>
      <w:r w:rsidR="00672FCD" w:rsidRPr="0066727B">
        <w:rPr>
          <w:rStyle w:val="Hipervnculo"/>
          <w:rFonts w:ascii="Palatino Linotype" w:hAnsi="Palatino Linotype"/>
          <w:lang w:val="es-MX" w:eastAsia="es-MX"/>
        </w:rPr>
        <w:t>https://www.inegi.org.mx/programas/cnpje/2020/</w:t>
      </w:r>
      <w:r w:rsidRPr="0066727B">
        <w:rPr>
          <w:rFonts w:ascii="Palatino Linotype" w:hAnsi="Palatino Linotype"/>
          <w:u w:val="single"/>
          <w:lang w:val="es-MX" w:eastAsia="es-MX"/>
        </w:rPr>
        <w:t>,</w:t>
      </w:r>
      <w:r w:rsidRPr="0066727B">
        <w:rPr>
          <w:rFonts w:ascii="Palatino Linotype" w:hAnsi="Palatino Linotype"/>
          <w:lang w:val="es-MX" w:eastAsia="es-MX"/>
        </w:rPr>
        <w:t xml:space="preserve"> “</w:t>
      </w:r>
      <w:r w:rsidR="00672FCD" w:rsidRPr="0066727B">
        <w:rPr>
          <w:rFonts w:ascii="Palatino Linotype" w:hAnsi="Palatino Linotype" w:cs="Helvetica"/>
          <w:i/>
          <w:color w:val="333333"/>
          <w:sz w:val="22"/>
          <w:szCs w:val="22"/>
          <w:shd w:val="clear" w:color="auto" w:fill="FFFFFF"/>
        </w:rPr>
        <w:t xml:space="preserve">Éste tiene como objetivo generar información estadística y geográfica sobre la gestión y desempeño de la Procuraduría General de Justicia o </w:t>
      </w:r>
      <w:r w:rsidR="00672FCD" w:rsidRPr="0066727B">
        <w:rPr>
          <w:rFonts w:ascii="Palatino Linotype" w:hAnsi="Palatino Linotype" w:cs="Helvetica"/>
          <w:b/>
          <w:i/>
          <w:color w:val="333333"/>
          <w:sz w:val="22"/>
          <w:szCs w:val="22"/>
          <w:u w:val="single"/>
          <w:shd w:val="clear" w:color="auto" w:fill="FFFFFF"/>
        </w:rPr>
        <w:t>Fiscalía General de cada entidad federativa</w:t>
      </w:r>
      <w:r w:rsidR="00672FCD" w:rsidRPr="0066727B">
        <w:rPr>
          <w:rFonts w:ascii="Palatino Linotype" w:hAnsi="Palatino Linotype" w:cs="Helvetica"/>
          <w:i/>
          <w:color w:val="333333"/>
          <w:sz w:val="22"/>
          <w:szCs w:val="22"/>
          <w:shd w:val="clear" w:color="auto" w:fill="FFFFFF"/>
        </w:rPr>
        <w:t>, específicamente en las funciones de gobierno, procuración de justicia, justicia para adolescentes y mecanismos alternativos de solución de controversias, con la finalidad de que esta se vincule con el quehacer gubernamental dentro del proceso de diseño, implementación, monitoreo y evaluación de las políticas públicas de alcance nacional en los referidos temas.</w:t>
      </w:r>
      <w:r w:rsidRPr="0066727B">
        <w:rPr>
          <w:rFonts w:ascii="Palatino Linotype" w:hAnsi="Palatino Linotype"/>
          <w:i/>
          <w:lang w:val="es-MX" w:eastAsia="es-MX"/>
        </w:rPr>
        <w:t>”.</w:t>
      </w:r>
    </w:p>
    <w:p w14:paraId="61FC0304" w14:textId="77777777" w:rsidR="00C51596" w:rsidRPr="0066727B" w:rsidRDefault="00C51596" w:rsidP="00C51596">
      <w:pPr>
        <w:pStyle w:val="Prrafodelista"/>
        <w:spacing w:before="240" w:after="240" w:line="360" w:lineRule="auto"/>
        <w:ind w:left="0" w:right="49"/>
        <w:jc w:val="both"/>
        <w:rPr>
          <w:rFonts w:ascii="Palatino Linotype" w:hAnsi="Palatino Linotype"/>
          <w:color w:val="000000"/>
        </w:rPr>
      </w:pPr>
    </w:p>
    <w:p w14:paraId="0D0BA6A1" w14:textId="02B35845" w:rsidR="00D577A6" w:rsidRPr="0066727B" w:rsidRDefault="00D577A6" w:rsidP="00D577A6">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66727B">
        <w:rPr>
          <w:rFonts w:ascii="Palatino Linotype" w:hAnsi="Palatino Linotype"/>
        </w:rPr>
        <w:t xml:space="preserve">Por otra </w:t>
      </w:r>
      <w:proofErr w:type="gramStart"/>
      <w:r w:rsidRPr="0066727B">
        <w:rPr>
          <w:rFonts w:ascii="Palatino Linotype" w:hAnsi="Palatino Linotype"/>
        </w:rPr>
        <w:t>parte</w:t>
      </w:r>
      <w:proofErr w:type="gramEnd"/>
      <w:r w:rsidRPr="0066727B">
        <w:rPr>
          <w:rFonts w:ascii="Palatino Linotype" w:hAnsi="Palatino Linotype"/>
        </w:rPr>
        <w:t xml:space="preserve"> del análisis realizado por éste Instituto y bajo el principio de Auxilio y orientación que rige al Derecho de Acceso a la Información Pública de manera enunciativa más no limitativa se observa que la </w:t>
      </w:r>
      <w:r w:rsidR="006D57C3" w:rsidRPr="0066727B">
        <w:rPr>
          <w:rFonts w:ascii="Palatino Linotype" w:hAnsi="Palatino Linotype"/>
        </w:rPr>
        <w:t>Secretaría de Seguridad</w:t>
      </w:r>
      <w:r w:rsidRPr="0066727B">
        <w:rPr>
          <w:rFonts w:ascii="Palatino Linotype" w:hAnsi="Palatino Linotype"/>
        </w:rPr>
        <w:t xml:space="preserve"> también podría contar con la información requerida toda vez que la Ley de Seguridad del Estado de México establece lo siguiente:</w:t>
      </w:r>
    </w:p>
    <w:p w14:paraId="13041F45" w14:textId="77777777" w:rsidR="00D577A6" w:rsidRPr="0066727B" w:rsidRDefault="00D577A6" w:rsidP="00D577A6">
      <w:pPr>
        <w:pStyle w:val="Prrafodelista"/>
        <w:autoSpaceDE w:val="0"/>
        <w:autoSpaceDN w:val="0"/>
        <w:adjustRightInd w:val="0"/>
        <w:spacing w:line="360" w:lineRule="auto"/>
        <w:ind w:left="0"/>
        <w:jc w:val="both"/>
        <w:rPr>
          <w:rFonts w:ascii="Palatino Linotype" w:hAnsi="Palatino Linotype"/>
        </w:rPr>
      </w:pPr>
    </w:p>
    <w:p w14:paraId="514B0334" w14:textId="77777777" w:rsidR="008C382F" w:rsidRPr="0066727B" w:rsidRDefault="00086E02" w:rsidP="008C382F">
      <w:pPr>
        <w:pStyle w:val="Prrafodelista"/>
        <w:tabs>
          <w:tab w:val="left" w:pos="567"/>
        </w:tabs>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Artículo 59.- El Secretariado Ejecutivo es un órgano desconcentrado de la Secretaría de Seguridad y operativo del Sistema Estatal, responsable del correcto funcionamiento del mismo, así como del enlace con el Sistema Nacional. El Secretariado Ejecutivo se auxiliará de los órganos siguientes: </w:t>
      </w:r>
    </w:p>
    <w:p w14:paraId="17266357" w14:textId="77777777" w:rsidR="008C382F" w:rsidRPr="0066727B" w:rsidRDefault="008C382F" w:rsidP="008C382F">
      <w:pPr>
        <w:pStyle w:val="Prrafodelista"/>
        <w:tabs>
          <w:tab w:val="left" w:pos="567"/>
        </w:tabs>
        <w:autoSpaceDE w:val="0"/>
        <w:autoSpaceDN w:val="0"/>
        <w:adjustRightInd w:val="0"/>
        <w:spacing w:line="360" w:lineRule="auto"/>
        <w:ind w:left="567" w:right="567"/>
        <w:jc w:val="both"/>
        <w:rPr>
          <w:rFonts w:ascii="Palatino Linotype" w:hAnsi="Palatino Linotype"/>
          <w:i/>
          <w:sz w:val="22"/>
          <w:szCs w:val="22"/>
        </w:rPr>
      </w:pPr>
    </w:p>
    <w:p w14:paraId="731FD1FC" w14:textId="529E6C7C" w:rsidR="008C382F" w:rsidRPr="0066727B" w:rsidRDefault="00086E02" w:rsidP="008C382F">
      <w:pPr>
        <w:pStyle w:val="Prrafodelista"/>
        <w:numPr>
          <w:ilvl w:val="2"/>
          <w:numId w:val="1"/>
        </w:numPr>
        <w:tabs>
          <w:tab w:val="left" w:pos="567"/>
        </w:tabs>
        <w:autoSpaceDE w:val="0"/>
        <w:autoSpaceDN w:val="0"/>
        <w:adjustRightInd w:val="0"/>
        <w:spacing w:line="360" w:lineRule="auto"/>
        <w:ind w:left="567" w:right="567" w:firstLine="0"/>
        <w:jc w:val="both"/>
        <w:rPr>
          <w:rFonts w:ascii="Palatino Linotype" w:hAnsi="Palatino Linotype"/>
          <w:b/>
          <w:i/>
          <w:sz w:val="22"/>
          <w:szCs w:val="22"/>
        </w:rPr>
      </w:pPr>
      <w:r w:rsidRPr="0066727B">
        <w:rPr>
          <w:rFonts w:ascii="Palatino Linotype" w:hAnsi="Palatino Linotype"/>
          <w:b/>
          <w:i/>
          <w:sz w:val="22"/>
          <w:szCs w:val="22"/>
        </w:rPr>
        <w:t xml:space="preserve">Centro de Información y Estadística; </w:t>
      </w:r>
    </w:p>
    <w:p w14:paraId="3514901E" w14:textId="5BCF664E" w:rsidR="008C382F" w:rsidRPr="0066727B" w:rsidRDefault="00086E02" w:rsidP="008C382F">
      <w:pPr>
        <w:pStyle w:val="Prrafodelista"/>
        <w:numPr>
          <w:ilvl w:val="2"/>
          <w:numId w:val="1"/>
        </w:numPr>
        <w:tabs>
          <w:tab w:val="left" w:pos="567"/>
        </w:tabs>
        <w:autoSpaceDE w:val="0"/>
        <w:autoSpaceDN w:val="0"/>
        <w:adjustRightInd w:val="0"/>
        <w:spacing w:line="360" w:lineRule="auto"/>
        <w:ind w:left="567" w:right="567" w:firstLine="0"/>
        <w:jc w:val="both"/>
        <w:rPr>
          <w:rFonts w:ascii="Palatino Linotype" w:hAnsi="Palatino Linotype"/>
          <w:i/>
          <w:sz w:val="22"/>
          <w:szCs w:val="22"/>
        </w:rPr>
      </w:pPr>
      <w:r w:rsidRPr="0066727B">
        <w:rPr>
          <w:rFonts w:ascii="Palatino Linotype" w:hAnsi="Palatino Linotype"/>
          <w:i/>
          <w:sz w:val="22"/>
          <w:szCs w:val="22"/>
        </w:rPr>
        <w:lastRenderedPageBreak/>
        <w:t xml:space="preserve">Centro de Prevención del Delito; </w:t>
      </w:r>
    </w:p>
    <w:p w14:paraId="676E7D4D" w14:textId="77777777" w:rsidR="008C382F" w:rsidRPr="0066727B" w:rsidRDefault="00086E02" w:rsidP="008C382F">
      <w:pPr>
        <w:pStyle w:val="Prrafodelista"/>
        <w:numPr>
          <w:ilvl w:val="2"/>
          <w:numId w:val="1"/>
        </w:numPr>
        <w:tabs>
          <w:tab w:val="left" w:pos="567"/>
        </w:tabs>
        <w:autoSpaceDE w:val="0"/>
        <w:autoSpaceDN w:val="0"/>
        <w:adjustRightInd w:val="0"/>
        <w:spacing w:line="360" w:lineRule="auto"/>
        <w:ind w:left="567" w:right="567" w:firstLine="0"/>
        <w:jc w:val="both"/>
        <w:rPr>
          <w:rFonts w:ascii="Palatino Linotype" w:hAnsi="Palatino Linotype"/>
          <w:i/>
          <w:sz w:val="22"/>
          <w:szCs w:val="22"/>
        </w:rPr>
      </w:pPr>
      <w:r w:rsidRPr="0066727B">
        <w:rPr>
          <w:rFonts w:ascii="Palatino Linotype" w:hAnsi="Palatino Linotype"/>
          <w:i/>
          <w:sz w:val="22"/>
          <w:szCs w:val="22"/>
        </w:rPr>
        <w:t xml:space="preserve">Consejo Ciudadano de Seguridad Pública; y </w:t>
      </w:r>
    </w:p>
    <w:p w14:paraId="0A4AF1E0" w14:textId="1FA01842" w:rsidR="00086E02" w:rsidRPr="0066727B" w:rsidRDefault="00086E02" w:rsidP="008C382F">
      <w:pPr>
        <w:pStyle w:val="Prrafodelista"/>
        <w:numPr>
          <w:ilvl w:val="2"/>
          <w:numId w:val="1"/>
        </w:numPr>
        <w:tabs>
          <w:tab w:val="left" w:pos="567"/>
        </w:tabs>
        <w:autoSpaceDE w:val="0"/>
        <w:autoSpaceDN w:val="0"/>
        <w:adjustRightInd w:val="0"/>
        <w:spacing w:line="360" w:lineRule="auto"/>
        <w:ind w:left="567" w:right="567" w:firstLine="0"/>
        <w:jc w:val="both"/>
        <w:rPr>
          <w:rFonts w:ascii="Palatino Linotype" w:hAnsi="Palatino Linotype"/>
          <w:i/>
          <w:sz w:val="22"/>
          <w:szCs w:val="22"/>
        </w:rPr>
      </w:pPr>
      <w:r w:rsidRPr="0066727B">
        <w:rPr>
          <w:rFonts w:ascii="Palatino Linotype" w:hAnsi="Palatino Linotype"/>
          <w:i/>
          <w:sz w:val="22"/>
          <w:szCs w:val="22"/>
        </w:rPr>
        <w:t>Los demás que establezcan las disposiciones aplicables y los que determine el Consejo Estatal en los acuerdos correspondientes. Asimismo, el Secretariado Ejecutivo se auxiliará de los organismos públicos descentralizados e instituciones que determine</w:t>
      </w:r>
      <w:r w:rsidR="008C382F" w:rsidRPr="0066727B">
        <w:rPr>
          <w:rFonts w:ascii="Palatino Linotype" w:hAnsi="Palatino Linotype"/>
          <w:i/>
          <w:sz w:val="22"/>
          <w:szCs w:val="22"/>
        </w:rPr>
        <w:t>n los ordenamientos aplicables.</w:t>
      </w:r>
    </w:p>
    <w:p w14:paraId="4A358F75" w14:textId="77777777"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sz w:val="22"/>
          <w:szCs w:val="22"/>
        </w:rPr>
      </w:pPr>
    </w:p>
    <w:p w14:paraId="44202111" w14:textId="782DD572" w:rsidR="00D577A6" w:rsidRPr="0066727B" w:rsidRDefault="00D577A6" w:rsidP="00D577A6">
      <w:pPr>
        <w:pStyle w:val="Prrafodelista"/>
        <w:autoSpaceDE w:val="0"/>
        <w:autoSpaceDN w:val="0"/>
        <w:adjustRightInd w:val="0"/>
        <w:spacing w:line="360" w:lineRule="auto"/>
        <w:ind w:left="567" w:right="567"/>
        <w:jc w:val="both"/>
        <w:rPr>
          <w:rFonts w:ascii="Palatino Linotype" w:hAnsi="Palatino Linotype"/>
          <w:b/>
          <w:i/>
          <w:sz w:val="22"/>
          <w:szCs w:val="22"/>
        </w:rPr>
      </w:pPr>
      <w:r w:rsidRPr="0066727B">
        <w:rPr>
          <w:rFonts w:ascii="Palatino Linotype" w:hAnsi="Palatino Linotype"/>
          <w:b/>
          <w:i/>
          <w:sz w:val="22"/>
          <w:szCs w:val="22"/>
        </w:rPr>
        <w:t xml:space="preserve">DEL CENTRO DE INFORMACIÓN Y ESTADÍSTICA </w:t>
      </w:r>
    </w:p>
    <w:p w14:paraId="4A7BDD1B"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Artículo 63.- El Centro de Información y Estadística tendrá las atribuciones siguientes: </w:t>
      </w:r>
    </w:p>
    <w:p w14:paraId="4DC23B8F"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I. Establecer, administrar y resguardar las bases de datos siguientes: </w:t>
      </w:r>
    </w:p>
    <w:p w14:paraId="41B6533A" w14:textId="2F73C746"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b/>
          <w:i/>
          <w:sz w:val="22"/>
          <w:szCs w:val="22"/>
        </w:rPr>
      </w:pPr>
      <w:r w:rsidRPr="0066727B">
        <w:rPr>
          <w:rFonts w:ascii="Palatino Linotype" w:hAnsi="Palatino Linotype"/>
          <w:b/>
          <w:i/>
          <w:sz w:val="22"/>
          <w:szCs w:val="22"/>
        </w:rPr>
        <w:t xml:space="preserve">a) Información Criminal: </w:t>
      </w:r>
    </w:p>
    <w:p w14:paraId="46D89334"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b) Información Penitenciaria; </w:t>
      </w:r>
    </w:p>
    <w:p w14:paraId="31624FD3"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c) Del Personal del Sistema Estatal; </w:t>
      </w:r>
    </w:p>
    <w:p w14:paraId="5F3E5695"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d) Del Registro de Armamento y Equipo; </w:t>
      </w:r>
    </w:p>
    <w:p w14:paraId="29897E93"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e) Del Registro Administrativo de Detenciones; y </w:t>
      </w:r>
    </w:p>
    <w:p w14:paraId="42A963A6" w14:textId="77777777"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f) Las demás bases de datos que se implementen. </w:t>
      </w:r>
    </w:p>
    <w:p w14:paraId="01CFB11F" w14:textId="7760A29B"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II. Acceder a bases de datos que tengan y generen las dependencias estatales para los efectos de la formulación de políticas en materia de seguridad pública; </w:t>
      </w:r>
    </w:p>
    <w:p w14:paraId="2F936A65" w14:textId="17CA9F72" w:rsidR="008C382F" w:rsidRPr="0066727B" w:rsidRDefault="00086E02"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III. Determinar los criterios técnicos y de homologación de las bases de datos de los integrantes del Sistema Estatal;</w:t>
      </w:r>
    </w:p>
    <w:p w14:paraId="07B0989B" w14:textId="343CDC66" w:rsidR="008C382F" w:rsidRPr="0066727B" w:rsidRDefault="008C382F" w:rsidP="008C382F">
      <w:pPr>
        <w:autoSpaceDE w:val="0"/>
        <w:autoSpaceDN w:val="0"/>
        <w:adjustRightInd w:val="0"/>
        <w:spacing w:line="360" w:lineRule="auto"/>
        <w:ind w:left="567" w:right="567"/>
        <w:jc w:val="both"/>
        <w:rPr>
          <w:rFonts w:ascii="Palatino Linotype" w:hAnsi="Palatino Linotype"/>
          <w:b/>
          <w:i/>
          <w:sz w:val="22"/>
          <w:szCs w:val="22"/>
          <w:u w:val="single"/>
        </w:rPr>
      </w:pPr>
      <w:r w:rsidRPr="0066727B">
        <w:rPr>
          <w:rFonts w:ascii="Palatino Linotype" w:hAnsi="Palatino Linotype"/>
          <w:b/>
          <w:i/>
          <w:sz w:val="22"/>
          <w:szCs w:val="22"/>
          <w:u w:val="single"/>
        </w:rPr>
        <w:t>IV. Establecer sistemas de intercambio de información con las autoridades competentes del orden federal y entidades federativas;</w:t>
      </w:r>
    </w:p>
    <w:p w14:paraId="4CD0E4CA" w14:textId="77777777" w:rsidR="008C382F" w:rsidRPr="0066727B" w:rsidRDefault="008C382F" w:rsidP="008C382F">
      <w:pPr>
        <w:ind w:left="567"/>
      </w:pPr>
    </w:p>
    <w:p w14:paraId="47B99682" w14:textId="648DEBA4" w:rsidR="008C382F" w:rsidRPr="0066727B" w:rsidRDefault="008C382F" w:rsidP="008C382F">
      <w:pPr>
        <w:autoSpaceDE w:val="0"/>
        <w:autoSpaceDN w:val="0"/>
        <w:adjustRightInd w:val="0"/>
        <w:spacing w:line="360" w:lineRule="auto"/>
        <w:ind w:left="567" w:right="567"/>
        <w:jc w:val="both"/>
        <w:rPr>
          <w:rFonts w:ascii="Palatino Linotype" w:hAnsi="Palatino Linotype"/>
          <w:b/>
          <w:i/>
          <w:sz w:val="22"/>
          <w:szCs w:val="22"/>
          <w:u w:val="single"/>
        </w:rPr>
      </w:pPr>
      <w:r w:rsidRPr="0066727B">
        <w:rPr>
          <w:rFonts w:ascii="Palatino Linotype" w:hAnsi="Palatino Linotype"/>
          <w:b/>
          <w:i/>
          <w:sz w:val="22"/>
          <w:szCs w:val="22"/>
          <w:u w:val="single"/>
        </w:rPr>
        <w:t xml:space="preserve">V. Establecer enlaces para el intercambio de información con las instancias competentes del Sistema Nacional, y determinar los sistemas de actualización y consulta de la información del Sistema Único de Información Criminal, del </w:t>
      </w:r>
      <w:r w:rsidRPr="0066727B">
        <w:rPr>
          <w:rFonts w:ascii="Palatino Linotype" w:hAnsi="Palatino Linotype"/>
          <w:b/>
          <w:i/>
          <w:sz w:val="22"/>
          <w:szCs w:val="22"/>
          <w:u w:val="single"/>
        </w:rPr>
        <w:lastRenderedPageBreak/>
        <w:t xml:space="preserve">Registro Nacional de Personal de Seguridad Pública, del Registro Nacional de Armamento y Equipo y demás bases de datos y registros de información de dicho Sistema; </w:t>
      </w:r>
    </w:p>
    <w:p w14:paraId="1DDFF426" w14:textId="77777777" w:rsidR="008C382F" w:rsidRPr="0066727B" w:rsidRDefault="008C382F" w:rsidP="008C382F">
      <w:pPr>
        <w:ind w:left="567"/>
      </w:pPr>
    </w:p>
    <w:p w14:paraId="6BFA788E" w14:textId="35CFD94A"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VI. Emitir los protocolos de interconexión, acceso y seguridad de las bases de datos; </w:t>
      </w:r>
    </w:p>
    <w:p w14:paraId="766A69E7" w14:textId="02EFE1E4"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VII. Vigilar el cumplimiento de los criterios de acceso a la información y hacer del conocimiento de las instancias competentes cualquier irregularidad detectada; </w:t>
      </w:r>
    </w:p>
    <w:p w14:paraId="7FDBDB16" w14:textId="6B6DBD0C"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b/>
          <w:i/>
          <w:sz w:val="22"/>
          <w:szCs w:val="22"/>
          <w:u w:val="single"/>
        </w:rPr>
      </w:pPr>
      <w:r w:rsidRPr="0066727B">
        <w:rPr>
          <w:rFonts w:ascii="Palatino Linotype" w:hAnsi="Palatino Linotype"/>
          <w:b/>
          <w:i/>
          <w:sz w:val="22"/>
          <w:szCs w:val="22"/>
          <w:u w:val="single"/>
        </w:rPr>
        <w:t xml:space="preserve">VIII. Colaborar con el Instituto Nacional de Información de Estadística y Geografía, en la integración de la estadística nacional en materia de seguridad pública, de conformidad con la Ley de la materia y demás normas aplicables; </w:t>
      </w:r>
    </w:p>
    <w:p w14:paraId="6BDCF6C8" w14:textId="3070E769"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IX. Coordinar y clasificar información útil para la identificación y evolución de actividades y modos de operación de la delincuencia, así como su </w:t>
      </w:r>
      <w:proofErr w:type="spellStart"/>
      <w:r w:rsidRPr="0066727B">
        <w:rPr>
          <w:rFonts w:ascii="Palatino Linotype" w:hAnsi="Palatino Linotype"/>
          <w:i/>
          <w:sz w:val="22"/>
          <w:szCs w:val="22"/>
        </w:rPr>
        <w:t>georeferenciación</w:t>
      </w:r>
      <w:proofErr w:type="spellEnd"/>
      <w:r w:rsidRPr="0066727B">
        <w:rPr>
          <w:rFonts w:ascii="Palatino Linotype" w:hAnsi="Palatino Linotype"/>
          <w:i/>
          <w:sz w:val="22"/>
          <w:szCs w:val="22"/>
        </w:rPr>
        <w:t xml:space="preserve">; </w:t>
      </w:r>
    </w:p>
    <w:p w14:paraId="17CE64DF" w14:textId="77777777"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b/>
          <w:i/>
          <w:sz w:val="22"/>
          <w:szCs w:val="22"/>
        </w:rPr>
      </w:pPr>
      <w:r w:rsidRPr="0066727B">
        <w:rPr>
          <w:rFonts w:ascii="Palatino Linotype" w:hAnsi="Palatino Linotype"/>
          <w:b/>
          <w:i/>
          <w:sz w:val="22"/>
          <w:szCs w:val="22"/>
        </w:rPr>
        <w:t xml:space="preserve">X. Realizar análisis estadísticos que coadyuven al diseño e implementación de las políticas de prevención e investigación del delito; </w:t>
      </w:r>
    </w:p>
    <w:p w14:paraId="3439C453" w14:textId="6400702A"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b/>
          <w:i/>
          <w:sz w:val="22"/>
          <w:szCs w:val="22"/>
          <w:u w:val="single"/>
        </w:rPr>
      </w:pPr>
      <w:r w:rsidRPr="0066727B">
        <w:rPr>
          <w:rFonts w:ascii="Palatino Linotype" w:hAnsi="Palatino Linotype"/>
          <w:b/>
          <w:i/>
          <w:sz w:val="22"/>
          <w:szCs w:val="22"/>
          <w:u w:val="single"/>
        </w:rPr>
        <w:t xml:space="preserve">XI. Implementar y generar las estadísticas de la materia; </w:t>
      </w:r>
    </w:p>
    <w:p w14:paraId="0339BDDC" w14:textId="272D8184"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XII. Establecer indicadores del desempeño a las Instituciones de Seguridad Pública; </w:t>
      </w:r>
    </w:p>
    <w:p w14:paraId="61297D58" w14:textId="59354676" w:rsidR="008C382F" w:rsidRPr="0066727B" w:rsidRDefault="008C382F" w:rsidP="00D577A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 xml:space="preserve">XIII. Brindar asesoría a las Instituciones de Seguridad Pública para la integración de información, interconexión, acceso, uso, intercambio y establecimiento de medidas de seguridad para las bases de datos; </w:t>
      </w:r>
    </w:p>
    <w:p w14:paraId="220285ED" w14:textId="1C0C8C78" w:rsidR="00D577A6" w:rsidRPr="0066727B" w:rsidRDefault="008C382F" w:rsidP="00C51596">
      <w:pPr>
        <w:pStyle w:val="Prrafodelista"/>
        <w:autoSpaceDE w:val="0"/>
        <w:autoSpaceDN w:val="0"/>
        <w:adjustRightInd w:val="0"/>
        <w:spacing w:line="360" w:lineRule="auto"/>
        <w:ind w:left="567" w:right="567"/>
        <w:jc w:val="both"/>
        <w:rPr>
          <w:rFonts w:ascii="Palatino Linotype" w:hAnsi="Palatino Linotype"/>
          <w:i/>
          <w:sz w:val="22"/>
          <w:szCs w:val="22"/>
        </w:rPr>
      </w:pPr>
      <w:r w:rsidRPr="0066727B">
        <w:rPr>
          <w:rFonts w:ascii="Palatino Linotype" w:hAnsi="Palatino Linotype"/>
          <w:i/>
          <w:sz w:val="22"/>
          <w:szCs w:val="22"/>
        </w:rPr>
        <w:t>…</w:t>
      </w:r>
    </w:p>
    <w:p w14:paraId="28758D2B" w14:textId="77777777" w:rsidR="00C51596" w:rsidRPr="0066727B" w:rsidRDefault="00C51596" w:rsidP="00C51596">
      <w:pPr>
        <w:pStyle w:val="Prrafodelista"/>
        <w:autoSpaceDE w:val="0"/>
        <w:autoSpaceDN w:val="0"/>
        <w:adjustRightInd w:val="0"/>
        <w:spacing w:line="360" w:lineRule="auto"/>
        <w:ind w:left="567" w:right="567"/>
        <w:jc w:val="both"/>
        <w:rPr>
          <w:rFonts w:ascii="Palatino Linotype" w:hAnsi="Palatino Linotype"/>
          <w:i/>
          <w:sz w:val="22"/>
          <w:szCs w:val="22"/>
        </w:rPr>
      </w:pPr>
    </w:p>
    <w:p w14:paraId="0D95FDF7" w14:textId="2C7EBF66" w:rsidR="00500B79" w:rsidRPr="0066727B" w:rsidRDefault="00500B79" w:rsidP="00154A05">
      <w:pPr>
        <w:pStyle w:val="Prrafodelista"/>
        <w:numPr>
          <w:ilvl w:val="0"/>
          <w:numId w:val="1"/>
        </w:numPr>
        <w:spacing w:before="240" w:after="240" w:line="360" w:lineRule="auto"/>
        <w:ind w:left="0" w:right="49" w:firstLine="0"/>
        <w:jc w:val="both"/>
        <w:rPr>
          <w:rFonts w:ascii="Palatino Linotype" w:hAnsi="Palatino Linotype"/>
        </w:rPr>
      </w:pPr>
      <w:r w:rsidRPr="0066727B">
        <w:rPr>
          <w:rFonts w:ascii="Palatino Linotype" w:hAnsi="Palatino Linotype"/>
        </w:rPr>
        <w:t xml:space="preserve">Derivado de todo lo anteriormente expuesto se advierte que el SUJETO OBLIGADO cuenta con atribuciones para generar los reportes estadísticos o registros por </w:t>
      </w:r>
      <w:r w:rsidR="006A685B" w:rsidRPr="0066727B">
        <w:rPr>
          <w:rFonts w:ascii="Palatino Linotype" w:hAnsi="Palatino Linotype"/>
        </w:rPr>
        <w:t xml:space="preserve">mayoría o minoría de edad, por lo que </w:t>
      </w:r>
      <w:proofErr w:type="gramStart"/>
      <w:r w:rsidR="006A685B" w:rsidRPr="0066727B">
        <w:rPr>
          <w:rFonts w:ascii="Palatino Linotype" w:hAnsi="Palatino Linotype"/>
        </w:rPr>
        <w:t>éste</w:t>
      </w:r>
      <w:proofErr w:type="gramEnd"/>
      <w:r w:rsidR="006A685B" w:rsidRPr="0066727B">
        <w:rPr>
          <w:rFonts w:ascii="Palatino Linotype" w:hAnsi="Palatino Linotype"/>
        </w:rPr>
        <w:t xml:space="preserve"> Órgano garante considera procedente modificar la respuesta emitida por la Fiscalía General de Justicia del Estado de México y ordenar la entrega de la información.</w:t>
      </w:r>
    </w:p>
    <w:p w14:paraId="31469706" w14:textId="1261B98E" w:rsidR="00154A05" w:rsidRPr="0066727B" w:rsidRDefault="00154A05" w:rsidP="00154A05">
      <w:pPr>
        <w:pStyle w:val="Prrafodelista"/>
        <w:numPr>
          <w:ilvl w:val="0"/>
          <w:numId w:val="1"/>
        </w:numPr>
        <w:spacing w:before="240" w:after="240" w:line="360" w:lineRule="auto"/>
        <w:ind w:left="0" w:right="49" w:firstLine="0"/>
        <w:jc w:val="both"/>
        <w:rPr>
          <w:rFonts w:ascii="Palatino Linotype" w:hAnsi="Palatino Linotype"/>
        </w:rPr>
      </w:pPr>
      <w:r w:rsidRPr="0066727B">
        <w:rPr>
          <w:rFonts w:ascii="Palatino Linotype" w:eastAsia="Times New Roman" w:hAnsi="Palatino Linotype" w:cs="Arial"/>
          <w:color w:val="222222"/>
          <w:lang w:eastAsia="es-MX"/>
        </w:rPr>
        <w:lastRenderedPageBreak/>
        <w:t xml:space="preserve">Por lo anteriormente expuesto y fundado, este </w:t>
      </w:r>
      <w:r w:rsidRPr="0066727B">
        <w:rPr>
          <w:rFonts w:ascii="Palatino Linotype" w:eastAsia="Times New Roman" w:hAnsi="Palatino Linotype" w:cs="Arial"/>
          <w:b/>
          <w:bCs/>
          <w:color w:val="222222"/>
          <w:lang w:eastAsia="es-MX"/>
        </w:rPr>
        <w:t>ÓRGANO GARANTE</w:t>
      </w:r>
      <w:r w:rsidRPr="0066727B">
        <w:rPr>
          <w:rFonts w:ascii="Palatino Linotype" w:eastAsia="Times New Roman" w:hAnsi="Palatino Linotype" w:cs="Arial"/>
          <w:color w:val="222222"/>
          <w:lang w:eastAsia="es-MX"/>
        </w:rPr>
        <w:t xml:space="preserve"> emite los siguientes:</w:t>
      </w:r>
      <w:r w:rsidR="00B311A1" w:rsidRPr="0066727B">
        <w:rPr>
          <w:rFonts w:ascii="Palatino Linotype" w:eastAsia="Times New Roman" w:hAnsi="Palatino Linotype" w:cs="Arial"/>
          <w:color w:val="222222"/>
          <w:lang w:eastAsia="es-MX"/>
        </w:rPr>
        <w:t>------------------------------------------------------------------------------------------</w:t>
      </w:r>
    </w:p>
    <w:p w14:paraId="0FD6C52B" w14:textId="77777777" w:rsidR="00E011CB" w:rsidRPr="0066727B" w:rsidRDefault="00E011CB" w:rsidP="00E011CB">
      <w:pPr>
        <w:pStyle w:val="Ttulo1"/>
        <w:spacing w:line="360" w:lineRule="auto"/>
        <w:ind w:left="2912"/>
        <w:rPr>
          <w:rFonts w:eastAsia="Calibri"/>
          <w:color w:val="auto"/>
          <w:szCs w:val="24"/>
          <w:lang w:val="es-ES" w:eastAsia="es-ES"/>
        </w:rPr>
      </w:pPr>
      <w:bookmarkStart w:id="15" w:name="_Toc54360241"/>
      <w:bookmarkStart w:id="16" w:name="_Toc58589161"/>
      <w:r w:rsidRPr="0066727B">
        <w:rPr>
          <w:rFonts w:eastAsia="Calibri"/>
          <w:color w:val="auto"/>
          <w:szCs w:val="24"/>
          <w:lang w:val="es-ES" w:eastAsia="es-ES"/>
        </w:rPr>
        <w:t>R E S O L U T I V O S</w:t>
      </w:r>
      <w:bookmarkEnd w:id="15"/>
      <w:bookmarkEnd w:id="16"/>
    </w:p>
    <w:p w14:paraId="3D56CC0D" w14:textId="77777777" w:rsidR="00E011CB" w:rsidRPr="0066727B" w:rsidRDefault="00E011CB" w:rsidP="00E011CB">
      <w:pPr>
        <w:rPr>
          <w:lang w:val="es-ES"/>
        </w:rPr>
      </w:pPr>
    </w:p>
    <w:p w14:paraId="45DEE8DD" w14:textId="7BB32B0A" w:rsidR="00E011CB" w:rsidRPr="0066727B" w:rsidRDefault="00E011CB" w:rsidP="00E011CB">
      <w:pPr>
        <w:spacing w:line="360" w:lineRule="auto"/>
        <w:jc w:val="both"/>
        <w:rPr>
          <w:rFonts w:ascii="Palatino Linotype" w:eastAsia="Times New Roman" w:hAnsi="Palatino Linotype" w:cs="Times New Roman"/>
        </w:rPr>
      </w:pPr>
      <w:r w:rsidRPr="0066727B">
        <w:rPr>
          <w:rFonts w:ascii="Palatino Linotype" w:eastAsia="Times New Roman" w:hAnsi="Palatino Linotype" w:cs="Arial"/>
          <w:b/>
        </w:rPr>
        <w:t xml:space="preserve">PRIMERO. </w:t>
      </w:r>
      <w:r w:rsidRPr="0066727B">
        <w:rPr>
          <w:rFonts w:ascii="Palatino Linotype" w:eastAsia="Times New Roman" w:hAnsi="Palatino Linotype" w:cs="Arial"/>
        </w:rPr>
        <w:t>Resultan fundadas las</w:t>
      </w:r>
      <w:r w:rsidRPr="0066727B">
        <w:rPr>
          <w:rFonts w:ascii="Palatino Linotype" w:eastAsia="Times New Roman" w:hAnsi="Palatino Linotype" w:cs="Arial"/>
          <w:b/>
        </w:rPr>
        <w:t xml:space="preserve"> </w:t>
      </w:r>
      <w:r w:rsidRPr="0066727B">
        <w:rPr>
          <w:rFonts w:ascii="Palatino Linotype" w:eastAsia="Times New Roman" w:hAnsi="Palatino Linotype" w:cs="Arial"/>
          <w:lang w:val="es-ES"/>
        </w:rPr>
        <w:t xml:space="preserve">razones o motivos de inconformidad hechos valer </w:t>
      </w:r>
      <w:r w:rsidRPr="0066727B">
        <w:rPr>
          <w:rFonts w:ascii="Palatino Linotype" w:eastAsia="Calibri" w:hAnsi="Palatino Linotype" w:cs="Arial"/>
          <w:lang w:val="es-ES"/>
        </w:rPr>
        <w:t xml:space="preserve">en el recurso de revisión </w:t>
      </w:r>
      <w:r w:rsidR="00521641" w:rsidRPr="0066727B">
        <w:rPr>
          <w:rFonts w:ascii="Palatino Linotype" w:hAnsi="Palatino Linotype" w:cs="Arial"/>
          <w:b/>
          <w:bCs/>
        </w:rPr>
        <w:t>05168/INFOEM/IP/RR/2020</w:t>
      </w:r>
      <w:r w:rsidRPr="0066727B">
        <w:rPr>
          <w:rFonts w:ascii="Palatino Linotype" w:hAnsi="Palatino Linotype" w:cs="Arial"/>
          <w:b/>
          <w:bCs/>
        </w:rPr>
        <w:t xml:space="preserve">, </w:t>
      </w:r>
      <w:r w:rsidRPr="0066727B">
        <w:rPr>
          <w:rFonts w:ascii="Palatino Linotype" w:hAnsi="Palatino Linotype" w:cs="Arial"/>
          <w:bCs/>
        </w:rPr>
        <w:t xml:space="preserve">en términos del </w:t>
      </w:r>
      <w:r w:rsidRPr="0066727B">
        <w:rPr>
          <w:rFonts w:ascii="Palatino Linotype" w:hAnsi="Palatino Linotype" w:cs="Arial"/>
          <w:b/>
          <w:bCs/>
        </w:rPr>
        <w:t>Considerando</w:t>
      </w:r>
      <w:r w:rsidRPr="0066727B">
        <w:rPr>
          <w:rFonts w:ascii="Palatino Linotype" w:hAnsi="Palatino Linotype" w:cs="Arial"/>
          <w:bCs/>
        </w:rPr>
        <w:t xml:space="preserve"> </w:t>
      </w:r>
      <w:r w:rsidRPr="0066727B">
        <w:rPr>
          <w:rFonts w:ascii="Palatino Linotype" w:hAnsi="Palatino Linotype" w:cs="Arial"/>
          <w:b/>
          <w:bCs/>
        </w:rPr>
        <w:t xml:space="preserve">CUARTO </w:t>
      </w:r>
      <w:r w:rsidRPr="0066727B">
        <w:rPr>
          <w:rFonts w:ascii="Palatino Linotype" w:hAnsi="Palatino Linotype" w:cs="Arial"/>
          <w:bCs/>
        </w:rPr>
        <w:t>de la presente resolución.</w:t>
      </w:r>
    </w:p>
    <w:p w14:paraId="4120B08E" w14:textId="0E891007" w:rsidR="00473A60" w:rsidRPr="0066727B" w:rsidRDefault="00E011CB" w:rsidP="002C384B">
      <w:pPr>
        <w:spacing w:before="240" w:after="240" w:line="360" w:lineRule="auto"/>
        <w:jc w:val="both"/>
        <w:rPr>
          <w:rFonts w:ascii="Palatino Linotype" w:hAnsi="Palatino Linotype" w:cs="Arial"/>
          <w:bCs/>
        </w:rPr>
      </w:pPr>
      <w:r w:rsidRPr="0066727B">
        <w:rPr>
          <w:rFonts w:ascii="Palatino Linotype" w:hAnsi="Palatino Linotype"/>
          <w:b/>
        </w:rPr>
        <w:t>SEGUNDO.</w:t>
      </w:r>
      <w:r w:rsidRPr="0066727B">
        <w:rPr>
          <w:rStyle w:val="Ttulo2Car"/>
        </w:rPr>
        <w:t xml:space="preserve"> </w:t>
      </w:r>
      <w:r w:rsidRPr="0066727B">
        <w:rPr>
          <w:rFonts w:ascii="Palatino Linotype" w:eastAsia="Calibri" w:hAnsi="Palatino Linotype" w:cs="Arial"/>
          <w:lang w:val="es-ES"/>
        </w:rPr>
        <w:t>Se</w:t>
      </w:r>
      <w:r w:rsidRPr="0066727B">
        <w:rPr>
          <w:rFonts w:ascii="Palatino Linotype" w:eastAsia="Calibri" w:hAnsi="Palatino Linotype" w:cs="Arial"/>
          <w:b/>
          <w:lang w:val="es-ES"/>
        </w:rPr>
        <w:t xml:space="preserve"> </w:t>
      </w:r>
      <w:r w:rsidR="00473A60" w:rsidRPr="0066727B">
        <w:rPr>
          <w:rFonts w:ascii="Palatino Linotype" w:eastAsia="Calibri" w:hAnsi="Palatino Linotype" w:cs="Arial"/>
          <w:b/>
          <w:lang w:val="es-ES"/>
        </w:rPr>
        <w:t>MODIFICA</w:t>
      </w:r>
      <w:r w:rsidRPr="0066727B">
        <w:rPr>
          <w:rFonts w:ascii="Palatino Linotype" w:eastAsia="Calibri" w:hAnsi="Palatino Linotype" w:cs="Arial"/>
          <w:b/>
          <w:lang w:val="es-ES"/>
        </w:rPr>
        <w:t xml:space="preserve"> </w:t>
      </w:r>
      <w:r w:rsidRPr="0066727B">
        <w:rPr>
          <w:rFonts w:ascii="Palatino Linotype" w:eastAsia="Calibri" w:hAnsi="Palatino Linotype" w:cs="Arial"/>
          <w:lang w:val="es-ES"/>
        </w:rPr>
        <w:t xml:space="preserve">la respuesta emitida por la </w:t>
      </w:r>
      <w:r w:rsidRPr="0066727B">
        <w:rPr>
          <w:rFonts w:ascii="Palatino Linotype" w:hAnsi="Palatino Linotype" w:cs="Arial"/>
          <w:b/>
        </w:rPr>
        <w:t>Fiscalía General de Justicia del Estado de México</w:t>
      </w:r>
      <w:r w:rsidRPr="0066727B">
        <w:rPr>
          <w:rFonts w:ascii="Palatino Linotype" w:eastAsia="Calibri" w:hAnsi="Palatino Linotype" w:cs="Arial"/>
          <w:lang w:val="es-ES"/>
        </w:rPr>
        <w:t xml:space="preserve"> y se</w:t>
      </w:r>
      <w:r w:rsidRPr="0066727B">
        <w:rPr>
          <w:rFonts w:ascii="Palatino Linotype" w:eastAsia="Calibri" w:hAnsi="Palatino Linotype" w:cs="Arial"/>
          <w:b/>
          <w:lang w:val="es-ES"/>
        </w:rPr>
        <w:t xml:space="preserve"> ORDENA </w:t>
      </w:r>
      <w:r w:rsidRPr="0066727B">
        <w:rPr>
          <w:rFonts w:ascii="Palatino Linotype" w:eastAsia="Times New Roman" w:hAnsi="Palatino Linotype" w:cs="Arial"/>
          <w:lang w:val="es-ES"/>
        </w:rPr>
        <w:t xml:space="preserve">entregar, vía </w:t>
      </w:r>
      <w:r w:rsidR="00C51596" w:rsidRPr="0066727B">
        <w:rPr>
          <w:rFonts w:ascii="Palatino Linotype" w:eastAsia="Times New Roman" w:hAnsi="Palatino Linotype" w:cs="Arial"/>
          <w:lang w:val="es-ES"/>
        </w:rPr>
        <w:t xml:space="preserve">consulta directa </w:t>
      </w:r>
      <w:r w:rsidR="004B2B47" w:rsidRPr="0066727B">
        <w:rPr>
          <w:rFonts w:ascii="Palatino Linotype" w:eastAsia="Times New Roman" w:hAnsi="Palatino Linotype" w:cs="Arial"/>
          <w:lang w:val="es-ES"/>
        </w:rPr>
        <w:t>(</w:t>
      </w:r>
      <w:r w:rsidR="00C51596" w:rsidRPr="0066727B">
        <w:rPr>
          <w:rFonts w:ascii="Palatino Linotype" w:eastAsia="Times New Roman" w:hAnsi="Palatino Linotype" w:cs="Arial"/>
          <w:lang w:val="es-ES"/>
        </w:rPr>
        <w:t>sin costo</w:t>
      </w:r>
      <w:r w:rsidR="004B2B47" w:rsidRPr="0066727B">
        <w:rPr>
          <w:rFonts w:ascii="Palatino Linotype" w:eastAsia="Times New Roman" w:hAnsi="Palatino Linotype" w:cs="Arial"/>
          <w:lang w:val="es-ES"/>
        </w:rPr>
        <w:t>)</w:t>
      </w:r>
      <w:r w:rsidR="00F86316" w:rsidRPr="0066727B">
        <w:rPr>
          <w:rFonts w:ascii="Palatino Linotype" w:eastAsia="Times New Roman" w:hAnsi="Palatino Linotype" w:cs="Arial"/>
          <w:lang w:val="es-ES"/>
        </w:rPr>
        <w:t xml:space="preserve"> y correo electrónico</w:t>
      </w:r>
      <w:r w:rsidRPr="0066727B">
        <w:rPr>
          <w:rFonts w:ascii="Palatino Linotype" w:eastAsia="Times New Roman" w:hAnsi="Palatino Linotype" w:cs="Arial"/>
          <w:b/>
          <w:lang w:val="es-ES"/>
        </w:rPr>
        <w:t>,</w:t>
      </w:r>
      <w:r w:rsidRPr="0066727B">
        <w:rPr>
          <w:rFonts w:ascii="Palatino Linotype" w:eastAsia="Times New Roman" w:hAnsi="Palatino Linotype" w:cs="Arial"/>
          <w:lang w:val="es-ES"/>
        </w:rPr>
        <w:t xml:space="preserve"> la siguiente </w:t>
      </w:r>
      <w:r w:rsidRPr="0066727B">
        <w:rPr>
          <w:rFonts w:ascii="Palatino Linotype" w:hAnsi="Palatino Linotype" w:cs="Arial"/>
          <w:bCs/>
        </w:rPr>
        <w:t>información:</w:t>
      </w:r>
    </w:p>
    <w:p w14:paraId="1E2204FD" w14:textId="28B0CDBE" w:rsidR="00473A60" w:rsidRPr="0066727B" w:rsidRDefault="00473A60" w:rsidP="002C384B">
      <w:pPr>
        <w:pStyle w:val="Prrafodelista"/>
        <w:numPr>
          <w:ilvl w:val="1"/>
          <w:numId w:val="25"/>
        </w:numPr>
        <w:spacing w:before="240" w:after="240" w:line="360" w:lineRule="auto"/>
        <w:ind w:left="567" w:right="567" w:firstLine="0"/>
        <w:jc w:val="both"/>
        <w:rPr>
          <w:rFonts w:ascii="Palatino Linotype" w:hAnsi="Palatino Linotype"/>
          <w:b/>
          <w:color w:val="000000"/>
          <w:sz w:val="22"/>
          <w:szCs w:val="22"/>
        </w:rPr>
      </w:pPr>
      <w:r w:rsidRPr="0066727B">
        <w:rPr>
          <w:rFonts w:ascii="Palatino Linotype" w:hAnsi="Palatino Linotype"/>
          <w:b/>
          <w:color w:val="000000"/>
          <w:sz w:val="22"/>
          <w:szCs w:val="22"/>
        </w:rPr>
        <w:t>Registros estadísticos o reportes estadísticos, en donde conste el número de denuncias por el delito de abuso sexual a menores de edad en el periodo comprendido del 12 de abril de 2018 al 12 de abril de 2020</w:t>
      </w:r>
      <w:r w:rsidR="00BD76B4" w:rsidRPr="0066727B">
        <w:rPr>
          <w:rFonts w:ascii="Palatino Linotype" w:hAnsi="Palatino Linotype"/>
          <w:b/>
          <w:color w:val="000000"/>
          <w:sz w:val="22"/>
          <w:szCs w:val="22"/>
        </w:rPr>
        <w:t xml:space="preserve"> y del </w:t>
      </w:r>
      <w:r w:rsidRPr="0066727B">
        <w:rPr>
          <w:rFonts w:ascii="Palatino Linotype" w:hAnsi="Palatino Linotype"/>
          <w:b/>
          <w:color w:val="000000"/>
          <w:sz w:val="22"/>
          <w:szCs w:val="22"/>
        </w:rPr>
        <w:t>12 de abril del 2019 al 12 de abril de 2020.</w:t>
      </w:r>
    </w:p>
    <w:p w14:paraId="5F20FB23" w14:textId="77777777" w:rsidR="002C384B" w:rsidRPr="0066727B" w:rsidRDefault="002C384B" w:rsidP="002C384B">
      <w:pPr>
        <w:tabs>
          <w:tab w:val="left" w:pos="426"/>
        </w:tabs>
        <w:spacing w:line="360" w:lineRule="auto"/>
        <w:ind w:right="34"/>
        <w:contextualSpacing/>
        <w:jc w:val="both"/>
        <w:rPr>
          <w:rFonts w:ascii="Palatino Linotype" w:eastAsia="MS Mincho" w:hAnsi="Palatino Linotype" w:cs="Arial"/>
          <w:b/>
        </w:rPr>
      </w:pPr>
      <w:r w:rsidRPr="0066727B">
        <w:rPr>
          <w:rFonts w:ascii="Palatino Linotype" w:eastAsia="MS Mincho" w:hAnsi="Palatino Linotype" w:cs="Arial"/>
        </w:rPr>
        <w:t>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así como el periodo durante el cual quedará a su disposición la información conforme a lo dispuesto por el artículo 166 de la Ley de Transparencia y Acceso a la Información Pública del Estado de México y Municipios.</w:t>
      </w:r>
    </w:p>
    <w:p w14:paraId="7C5AD593" w14:textId="77777777" w:rsidR="002C384B" w:rsidRPr="0066727B" w:rsidRDefault="002C384B" w:rsidP="00E011CB">
      <w:pPr>
        <w:pStyle w:val="Prrafodelista"/>
        <w:spacing w:line="360" w:lineRule="auto"/>
        <w:ind w:left="0"/>
        <w:jc w:val="both"/>
        <w:rPr>
          <w:rFonts w:ascii="Palatino Linotype" w:hAnsi="Palatino Linotype"/>
        </w:rPr>
      </w:pPr>
    </w:p>
    <w:p w14:paraId="1EF8352F" w14:textId="77777777" w:rsidR="00E011CB" w:rsidRPr="0066727B" w:rsidRDefault="00E011CB" w:rsidP="00E011CB">
      <w:pPr>
        <w:tabs>
          <w:tab w:val="left" w:pos="8080"/>
        </w:tabs>
        <w:spacing w:line="360" w:lineRule="auto"/>
        <w:ind w:right="49"/>
        <w:contextualSpacing/>
        <w:jc w:val="both"/>
        <w:rPr>
          <w:rFonts w:ascii="Palatino Linotype" w:eastAsia="Palatino Linotype" w:hAnsi="Palatino Linotype" w:cs="Palatino Linotype"/>
          <w:b/>
        </w:rPr>
      </w:pPr>
      <w:r w:rsidRPr="0066727B">
        <w:rPr>
          <w:rFonts w:ascii="Palatino Linotype" w:eastAsia="Palatino Linotype" w:hAnsi="Palatino Linotype" w:cs="Palatino Linotype"/>
          <w:b/>
        </w:rPr>
        <w:lastRenderedPageBreak/>
        <w:t xml:space="preserve">TERCERO. Notifíquese </w:t>
      </w:r>
      <w:r w:rsidRPr="0066727B">
        <w:rPr>
          <w:rFonts w:ascii="Palatino Linotype" w:eastAsia="Palatino Linotype" w:hAnsi="Palatino Linotype" w:cs="Palatino Linotype"/>
        </w:rPr>
        <w:t xml:space="preserve">al Titular de la Unidad de Transparencia del </w:t>
      </w:r>
      <w:r w:rsidRPr="0066727B">
        <w:rPr>
          <w:rFonts w:ascii="Palatino Linotype" w:eastAsia="Palatino Linotype" w:hAnsi="Palatino Linotype" w:cs="Palatino Linotype"/>
          <w:b/>
        </w:rPr>
        <w:t>SUJETO OBLIGADO</w:t>
      </w:r>
      <w:r w:rsidRPr="0066727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6727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31D0D30" w14:textId="77777777" w:rsidR="00E011CB" w:rsidRPr="0066727B" w:rsidRDefault="00E011CB" w:rsidP="00E011CB">
      <w:pPr>
        <w:shd w:val="clear" w:color="auto" w:fill="FFFFFF"/>
        <w:spacing w:line="360" w:lineRule="auto"/>
        <w:jc w:val="both"/>
        <w:rPr>
          <w:rFonts w:ascii="Palatino Linotype" w:hAnsi="Palatino Linotype"/>
        </w:rPr>
      </w:pPr>
    </w:p>
    <w:p w14:paraId="7C8FBE5B" w14:textId="1FA3CCBF" w:rsidR="00E011CB" w:rsidRPr="0066727B" w:rsidRDefault="00E011CB" w:rsidP="00E011CB">
      <w:pPr>
        <w:shd w:val="clear" w:color="auto" w:fill="FFFFFF"/>
        <w:spacing w:line="360" w:lineRule="auto"/>
        <w:jc w:val="both"/>
        <w:rPr>
          <w:rFonts w:ascii="Palatino Linotype" w:hAnsi="Palatino Linotype"/>
          <w:b/>
        </w:rPr>
      </w:pPr>
      <w:r w:rsidRPr="0066727B">
        <w:rPr>
          <w:rFonts w:ascii="Palatino Linotype" w:eastAsia="Times New Roman" w:hAnsi="Palatino Linotype" w:cs="Arial"/>
          <w:b/>
        </w:rPr>
        <w:t xml:space="preserve">CUARTO. </w:t>
      </w:r>
      <w:r w:rsidRPr="0066727B">
        <w:rPr>
          <w:rFonts w:ascii="Palatino Linotype" w:eastAsia="Times New Roman" w:hAnsi="Palatino Linotype" w:cs="Times New Roman"/>
          <w:b/>
          <w:bCs/>
          <w:color w:val="222222"/>
          <w:lang w:val="es-ES"/>
        </w:rPr>
        <w:t xml:space="preserve">Notifíquese </w:t>
      </w:r>
      <w:r w:rsidRPr="0066727B">
        <w:rPr>
          <w:rFonts w:ascii="Palatino Linotype" w:eastAsia="Times New Roman" w:hAnsi="Palatino Linotype" w:cs="Times New Roman"/>
          <w:bCs/>
          <w:color w:val="222222"/>
          <w:lang w:val="es-ES"/>
        </w:rPr>
        <w:t>a</w:t>
      </w:r>
      <w:r w:rsidRPr="0066727B">
        <w:rPr>
          <w:rFonts w:ascii="Palatino Linotype" w:hAnsi="Palatino Linotype"/>
        </w:rPr>
        <w:t xml:space="preserve"> </w:t>
      </w:r>
      <w:r w:rsidR="000E7E89" w:rsidRPr="000E7E89">
        <w:rPr>
          <w:rFonts w:ascii="Palatino Linotype" w:eastAsia="Times New Roman" w:hAnsi="Palatino Linotype" w:cs="Times New Roman"/>
          <w:b/>
          <w:highlight w:val="black"/>
        </w:rPr>
        <w:t>----------------------------------</w:t>
      </w:r>
      <w:r w:rsidR="002C384B" w:rsidRPr="0066727B">
        <w:rPr>
          <w:rFonts w:ascii="Palatino Linotype" w:eastAsia="Times New Roman" w:hAnsi="Palatino Linotype" w:cs="Times New Roman"/>
          <w:b/>
        </w:rPr>
        <w:t xml:space="preserve"> </w:t>
      </w:r>
      <w:r w:rsidR="00BD76B4" w:rsidRPr="0066727B">
        <w:rPr>
          <w:rFonts w:ascii="Palatino Linotype" w:hAnsi="Palatino Linotype"/>
        </w:rPr>
        <w:t>la presente resolución.</w:t>
      </w:r>
    </w:p>
    <w:p w14:paraId="318693AF" w14:textId="77777777" w:rsidR="00E011CB" w:rsidRPr="0066727B" w:rsidRDefault="00E011CB" w:rsidP="00E011CB">
      <w:pPr>
        <w:shd w:val="clear" w:color="auto" w:fill="FFFFFF"/>
        <w:spacing w:line="360" w:lineRule="auto"/>
        <w:jc w:val="both"/>
        <w:rPr>
          <w:rFonts w:ascii="Palatino Linotype" w:hAnsi="Palatino Linotype"/>
        </w:rPr>
      </w:pPr>
    </w:p>
    <w:p w14:paraId="12DC6656" w14:textId="3A4CE268" w:rsidR="00E011CB" w:rsidRPr="0066727B" w:rsidRDefault="00E011CB" w:rsidP="00E011CB">
      <w:pPr>
        <w:shd w:val="clear" w:color="auto" w:fill="FFFFFF"/>
        <w:spacing w:line="360" w:lineRule="auto"/>
        <w:jc w:val="both"/>
        <w:rPr>
          <w:rFonts w:ascii="Palatino Linotype" w:eastAsia="MS Mincho" w:hAnsi="Palatino Linotype" w:cs="Times New Roman"/>
          <w:lang w:val="es-ES"/>
        </w:rPr>
      </w:pPr>
      <w:r w:rsidRPr="0066727B">
        <w:rPr>
          <w:rFonts w:ascii="Palatino Linotype" w:eastAsia="MS Mincho" w:hAnsi="Palatino Linotype" w:cs="Times New Roman"/>
          <w:b/>
          <w:lang w:val="es-MX"/>
        </w:rPr>
        <w:t>QUINTO.</w:t>
      </w:r>
      <w:r w:rsidRPr="0066727B">
        <w:rPr>
          <w:rFonts w:ascii="Palatino Linotype" w:eastAsia="MS Mincho" w:hAnsi="Palatino Linotype" w:cs="Times New Roman"/>
          <w:lang w:val="es-MX"/>
        </w:rPr>
        <w:t xml:space="preserve"> </w:t>
      </w:r>
      <w:r w:rsidRPr="0066727B">
        <w:rPr>
          <w:rFonts w:ascii="Palatino Linotype" w:eastAsia="MS Mincho" w:hAnsi="Palatino Linotype" w:cs="Times New Roman"/>
          <w:lang w:val="es-ES"/>
        </w:rPr>
        <w:t xml:space="preserve">Se hace del conocimiento de </w:t>
      </w:r>
      <w:r w:rsidR="000E7E89" w:rsidRPr="000E7E89">
        <w:rPr>
          <w:rFonts w:ascii="Palatino Linotype" w:eastAsia="Times New Roman" w:hAnsi="Palatino Linotype" w:cs="Times New Roman"/>
          <w:b/>
          <w:highlight w:val="black"/>
        </w:rPr>
        <w:t>----------------------------------</w:t>
      </w:r>
      <w:bookmarkStart w:id="17" w:name="_GoBack"/>
      <w:bookmarkEnd w:id="17"/>
      <w:r w:rsidR="00500B79" w:rsidRPr="0066727B">
        <w:rPr>
          <w:rFonts w:ascii="Palatino Linotype" w:eastAsia="Times New Roman" w:hAnsi="Palatino Linotype" w:cs="Times New Roman"/>
          <w:b/>
        </w:rPr>
        <w:t xml:space="preserve"> </w:t>
      </w:r>
      <w:r w:rsidRPr="0066727B">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66727B">
        <w:rPr>
          <w:rFonts w:ascii="Palatino Linotype" w:eastAsia="MS Mincho" w:hAnsi="Palatino Linotype" w:cs="Times New Roman"/>
          <w:bCs/>
          <w:lang w:val="es-ES"/>
        </w:rPr>
        <w:t>vía juicio de amparo</w:t>
      </w:r>
      <w:r w:rsidRPr="0066727B">
        <w:rPr>
          <w:rFonts w:ascii="Palatino Linotype" w:eastAsia="MS Mincho" w:hAnsi="Palatino Linotype" w:cs="Times New Roman"/>
          <w:lang w:val="es-ES"/>
        </w:rPr>
        <w:t> en los términos de las leyes aplicables.</w:t>
      </w:r>
    </w:p>
    <w:p w14:paraId="2C4EA8D7" w14:textId="77777777" w:rsidR="00E011CB" w:rsidRPr="0066727B" w:rsidRDefault="00E011CB" w:rsidP="00E011CB">
      <w:pPr>
        <w:shd w:val="clear" w:color="auto" w:fill="FFFFFF"/>
        <w:spacing w:line="360" w:lineRule="auto"/>
        <w:jc w:val="both"/>
        <w:rPr>
          <w:rFonts w:ascii="Palatino Linotype" w:eastAsia="MS Mincho" w:hAnsi="Palatino Linotype" w:cs="Times New Roman"/>
          <w:lang w:val="es-ES"/>
        </w:rPr>
      </w:pPr>
    </w:p>
    <w:p w14:paraId="60B01167" w14:textId="77777777" w:rsidR="00E011CB" w:rsidRPr="0066727B" w:rsidRDefault="00E011CB" w:rsidP="00500B79">
      <w:pPr>
        <w:shd w:val="clear" w:color="auto" w:fill="FFFFFF"/>
        <w:spacing w:before="240" w:line="360" w:lineRule="auto"/>
        <w:jc w:val="both"/>
        <w:rPr>
          <w:rFonts w:ascii="Cambria" w:eastAsia="Times New Roman" w:hAnsi="Cambria" w:cs="Times New Roman"/>
          <w:color w:val="222222"/>
          <w:lang w:val="es-MX" w:eastAsia="es-MX"/>
        </w:rPr>
      </w:pPr>
      <w:r w:rsidRPr="0066727B">
        <w:rPr>
          <w:rFonts w:ascii="Palatino Linotype" w:eastAsia="Times New Roman" w:hAnsi="Palatino Linotype" w:cs="Times New Roman"/>
          <w:b/>
          <w:bCs/>
          <w:color w:val="000000"/>
          <w:lang w:eastAsia="es-MX"/>
        </w:rPr>
        <w:t>SEXTO.</w:t>
      </w:r>
      <w:r w:rsidRPr="0066727B">
        <w:rPr>
          <w:rFonts w:ascii="Palatino Linotype" w:eastAsia="Times New Roman" w:hAnsi="Palatino Linotype" w:cs="Times New Roman"/>
          <w:color w:val="000000"/>
          <w:lang w:eastAsia="es-MX"/>
        </w:rPr>
        <w:t xml:space="preserve"> Con fundamento en el artículo 198 de la Ley de Transparencia y Acceso a la Información Pública del Estado de México y Municipios, se apercibe al </w:t>
      </w:r>
      <w:r w:rsidRPr="0066727B">
        <w:rPr>
          <w:rFonts w:ascii="Palatino Linotype" w:eastAsia="Times New Roman" w:hAnsi="Palatino Linotype" w:cs="Times New Roman"/>
          <w:b/>
          <w:bCs/>
          <w:color w:val="000000"/>
          <w:lang w:eastAsia="es-MX"/>
        </w:rPr>
        <w:t>SUJETO OBLIGADO</w:t>
      </w:r>
      <w:r w:rsidRPr="0066727B">
        <w:rPr>
          <w:rFonts w:ascii="Palatino Linotype" w:eastAsia="Times New Roman" w:hAnsi="Palatino Linotype" w:cs="Times New Roman"/>
          <w:color w:val="000000"/>
          <w:lang w:eastAsia="es-MX"/>
        </w:rPr>
        <w:t xml:space="preserve"> de que, en caso de incumplimiento total o parcial de la presente resolución, se actuará de conformidad con lo dispuesto en los artículos 213, 214, 215, 216 y 217 de la ley en cita.</w:t>
      </w:r>
    </w:p>
    <w:p w14:paraId="5D987954" w14:textId="77777777" w:rsidR="00E011CB" w:rsidRPr="0066727B" w:rsidRDefault="00E011CB" w:rsidP="00E011CB"/>
    <w:p w14:paraId="219D4182" w14:textId="003AEC3C" w:rsidR="004C3391" w:rsidRPr="0066727B" w:rsidRDefault="004C3391" w:rsidP="004C3391">
      <w:pPr>
        <w:spacing w:line="360" w:lineRule="auto"/>
        <w:jc w:val="both"/>
        <w:rPr>
          <w:rFonts w:ascii="Palatino Linotype" w:hAnsi="Palatino Linotype"/>
        </w:rPr>
      </w:pPr>
      <w:r w:rsidRPr="0066727B">
        <w:rPr>
          <w:rFonts w:ascii="Palatino Linotype" w:hAnsi="Palatino Linotype" w:cs="Arial"/>
        </w:rPr>
        <w:t>ASÍ LO RESUELVE, POR UNANIMIDAD DE VOTOS, EL PLENO DEL</w:t>
      </w:r>
      <w:r w:rsidRPr="0066727B">
        <w:rPr>
          <w:rFonts w:ascii="Palatino Linotype" w:eastAsia="Arial Unicode MS" w:hAnsi="Palatino Linotype" w:cs="Arial"/>
        </w:rPr>
        <w:t xml:space="preserve"> INSTITUTO DE TRANSPARENCIA, ACCESO A LA INFORMACIÓN PÚBLICA Y </w:t>
      </w:r>
      <w:r w:rsidRPr="0066727B">
        <w:rPr>
          <w:rFonts w:ascii="Palatino Linotype" w:eastAsia="Arial Unicode MS" w:hAnsi="Palatino Linotype" w:cs="Arial"/>
        </w:rPr>
        <w:lastRenderedPageBreak/>
        <w:t>PROTECCIÓN DE DATOS PERSONALES DEL ESTADO DE MÉXICO Y MUNICIPIOS</w:t>
      </w:r>
      <w:r w:rsidRPr="0066727B">
        <w:rPr>
          <w:rFonts w:ascii="Palatino Linotype" w:hAnsi="Palatino Linotype" w:cs="Arial"/>
        </w:rPr>
        <w:t xml:space="preserve">, CONFORMADO POR LOS COMISIONADOS ZULEMA MARTÍNEZ SÁNCHEZ, EVA ABAID YAPUR, JOSÉ GUADALUPE LUNA HERNÁNDEZ, JAVIER MARTÍNEZ CRUZ Y LUIS GUSTAVO PARRA NORIEGA, EN LA </w:t>
      </w:r>
      <w:r w:rsidR="0066727B">
        <w:rPr>
          <w:rFonts w:ascii="Palatino Linotype" w:hAnsi="Palatino Linotype" w:cs="Arial"/>
        </w:rPr>
        <w:t>TRIGÉSIMA PRIMERA</w:t>
      </w:r>
      <w:r w:rsidRPr="0066727B">
        <w:rPr>
          <w:rFonts w:ascii="Palatino Linotype" w:hAnsi="Palatino Linotype" w:cs="Arial"/>
        </w:rPr>
        <w:t xml:space="preserve"> SESIÓN ORDINARIA CELEBRADA EL </w:t>
      </w:r>
      <w:proofErr w:type="gramStart"/>
      <w:r w:rsidR="0066727B">
        <w:rPr>
          <w:rFonts w:ascii="Palatino Linotype" w:eastAsia="Times New Roman" w:hAnsi="Palatino Linotype" w:cs="Arial"/>
          <w:color w:val="000000"/>
          <w:lang w:eastAsia="es-MX"/>
        </w:rPr>
        <w:t xml:space="preserve">DIECISÉIS </w:t>
      </w:r>
      <w:r w:rsidRPr="0066727B">
        <w:rPr>
          <w:rFonts w:ascii="Palatino Linotype" w:eastAsia="Times New Roman" w:hAnsi="Palatino Linotype" w:cs="Arial"/>
          <w:color w:val="000000"/>
          <w:lang w:eastAsia="es-MX"/>
        </w:rPr>
        <w:t xml:space="preserve"> DE</w:t>
      </w:r>
      <w:proofErr w:type="gramEnd"/>
      <w:r w:rsidRPr="0066727B">
        <w:rPr>
          <w:rFonts w:ascii="Palatino Linotype" w:eastAsia="Times New Roman" w:hAnsi="Palatino Linotype" w:cs="Arial"/>
          <w:color w:val="000000"/>
          <w:lang w:eastAsia="es-MX"/>
        </w:rPr>
        <w:t xml:space="preserve"> </w:t>
      </w:r>
      <w:r w:rsidR="006A516D" w:rsidRPr="0066727B">
        <w:rPr>
          <w:rFonts w:ascii="Palatino Linotype" w:eastAsia="Times New Roman" w:hAnsi="Palatino Linotype" w:cs="Arial"/>
          <w:color w:val="000000"/>
          <w:lang w:eastAsia="es-MX"/>
        </w:rPr>
        <w:t>DICIEMBRE</w:t>
      </w:r>
      <w:r w:rsidRPr="0066727B">
        <w:rPr>
          <w:rFonts w:ascii="Palatino Linotype" w:eastAsia="Times New Roman" w:hAnsi="Palatino Linotype" w:cs="Arial"/>
          <w:color w:val="000000"/>
          <w:lang w:eastAsia="es-MX"/>
        </w:rPr>
        <w:t xml:space="preserve"> DE</w:t>
      </w:r>
      <w:r w:rsidRPr="0066727B">
        <w:rPr>
          <w:rFonts w:ascii="Palatino Linotype" w:hAnsi="Palatino Linotype" w:cs="Arial"/>
        </w:rPr>
        <w:t xml:space="preserve"> DOS MIL </w:t>
      </w:r>
      <w:r w:rsidR="00C24965" w:rsidRPr="0066727B">
        <w:rPr>
          <w:rFonts w:ascii="Palatino Linotype" w:hAnsi="Palatino Linotype" w:cs="Arial"/>
        </w:rPr>
        <w:t>VEINTE</w:t>
      </w:r>
      <w:r w:rsidRPr="0066727B">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4C3391" w:rsidRPr="0066727B" w14:paraId="54F6286E" w14:textId="77777777" w:rsidTr="004C3391">
        <w:trPr>
          <w:jc w:val="center"/>
        </w:trPr>
        <w:tc>
          <w:tcPr>
            <w:tcW w:w="10368" w:type="dxa"/>
            <w:gridSpan w:val="2"/>
          </w:tcPr>
          <w:tbl>
            <w:tblPr>
              <w:tblW w:w="10240" w:type="dxa"/>
              <w:jc w:val="center"/>
              <w:tblLayout w:type="fixed"/>
              <w:tblLook w:val="04A0" w:firstRow="1" w:lastRow="0" w:firstColumn="1" w:lastColumn="0" w:noHBand="0" w:noVBand="1"/>
            </w:tblPr>
            <w:tblGrid>
              <w:gridCol w:w="5182"/>
              <w:gridCol w:w="5058"/>
            </w:tblGrid>
            <w:tr w:rsidR="004C3391" w:rsidRPr="0066727B" w14:paraId="595D61A2" w14:textId="77777777" w:rsidTr="004C3391">
              <w:trPr>
                <w:jc w:val="center"/>
              </w:trPr>
              <w:tc>
                <w:tcPr>
                  <w:tcW w:w="10240" w:type="dxa"/>
                  <w:gridSpan w:val="2"/>
                  <w:shd w:val="clear" w:color="auto" w:fill="auto"/>
                </w:tcPr>
                <w:p w14:paraId="4113E5DC" w14:textId="77777777" w:rsidR="004C3391" w:rsidRPr="0066727B" w:rsidRDefault="004C3391" w:rsidP="004C3391">
                  <w:pPr>
                    <w:spacing w:line="0" w:lineRule="atLeast"/>
                    <w:rPr>
                      <w:rFonts w:ascii="Palatino Linotype" w:hAnsi="Palatino Linotype" w:cs="Arial"/>
                      <w:b/>
                    </w:rPr>
                  </w:pPr>
                </w:p>
                <w:p w14:paraId="3365F4E6" w14:textId="77777777" w:rsidR="004C3391" w:rsidRPr="0066727B" w:rsidRDefault="004C3391" w:rsidP="004C3391">
                  <w:pPr>
                    <w:spacing w:line="0" w:lineRule="atLeast"/>
                    <w:jc w:val="center"/>
                    <w:rPr>
                      <w:rFonts w:ascii="Palatino Linotype" w:hAnsi="Palatino Linotype" w:cs="Arial"/>
                      <w:b/>
                    </w:rPr>
                  </w:pPr>
                </w:p>
                <w:p w14:paraId="6970FC6F"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Zulema Martínez Sánchez</w:t>
                  </w:r>
                </w:p>
                <w:p w14:paraId="2E912935"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rPr>
                    <w:t xml:space="preserve">Comisionada </w:t>
                  </w:r>
                  <w:proofErr w:type="gramStart"/>
                  <w:r w:rsidRPr="0066727B">
                    <w:rPr>
                      <w:rFonts w:ascii="Palatino Linotype" w:hAnsi="Palatino Linotype" w:cs="Arial"/>
                    </w:rPr>
                    <w:t>Presidenta</w:t>
                  </w:r>
                  <w:proofErr w:type="gramEnd"/>
                </w:p>
                <w:p w14:paraId="11E6ABE6"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 xml:space="preserve">(RÚBRICA) </w:t>
                  </w:r>
                </w:p>
              </w:tc>
            </w:tr>
            <w:tr w:rsidR="004C3391" w:rsidRPr="0066727B" w14:paraId="1282D03C" w14:textId="77777777" w:rsidTr="004C3391">
              <w:trPr>
                <w:jc w:val="center"/>
              </w:trPr>
              <w:tc>
                <w:tcPr>
                  <w:tcW w:w="5182" w:type="dxa"/>
                  <w:shd w:val="clear" w:color="auto" w:fill="auto"/>
                </w:tcPr>
                <w:p w14:paraId="6E775DD7" w14:textId="77777777" w:rsidR="004C3391" w:rsidRPr="0066727B" w:rsidRDefault="004C3391" w:rsidP="004C3391">
                  <w:pPr>
                    <w:spacing w:line="0" w:lineRule="atLeast"/>
                    <w:jc w:val="center"/>
                    <w:rPr>
                      <w:rFonts w:ascii="Palatino Linotype" w:hAnsi="Palatino Linotype" w:cs="Arial"/>
                      <w:b/>
                    </w:rPr>
                  </w:pPr>
                </w:p>
                <w:p w14:paraId="6A549DA0" w14:textId="77777777" w:rsidR="004C3391" w:rsidRPr="0066727B" w:rsidRDefault="004C3391" w:rsidP="004C3391">
                  <w:pPr>
                    <w:spacing w:line="0" w:lineRule="atLeast"/>
                    <w:jc w:val="center"/>
                    <w:rPr>
                      <w:rFonts w:ascii="Palatino Linotype" w:hAnsi="Palatino Linotype" w:cs="Arial"/>
                      <w:b/>
                    </w:rPr>
                  </w:pPr>
                </w:p>
                <w:p w14:paraId="4B2FF88A"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 xml:space="preserve">Eva </w:t>
                  </w:r>
                  <w:proofErr w:type="spellStart"/>
                  <w:r w:rsidRPr="0066727B">
                    <w:rPr>
                      <w:rFonts w:ascii="Palatino Linotype" w:hAnsi="Palatino Linotype" w:cs="Arial"/>
                      <w:b/>
                    </w:rPr>
                    <w:t>Abaid</w:t>
                  </w:r>
                  <w:proofErr w:type="spellEnd"/>
                  <w:r w:rsidRPr="0066727B">
                    <w:rPr>
                      <w:rFonts w:ascii="Palatino Linotype" w:hAnsi="Palatino Linotype" w:cs="Arial"/>
                      <w:b/>
                    </w:rPr>
                    <w:t xml:space="preserve"> Yapur</w:t>
                  </w:r>
                </w:p>
                <w:p w14:paraId="0A5E91D0"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rPr>
                    <w:t>Comisionada</w:t>
                  </w:r>
                </w:p>
                <w:p w14:paraId="690C9D92"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(RÚBRICA)</w:t>
                  </w:r>
                </w:p>
              </w:tc>
              <w:tc>
                <w:tcPr>
                  <w:tcW w:w="5058" w:type="dxa"/>
                  <w:shd w:val="clear" w:color="auto" w:fill="auto"/>
                </w:tcPr>
                <w:p w14:paraId="2405CF0B" w14:textId="77777777" w:rsidR="004C3391" w:rsidRPr="0066727B" w:rsidRDefault="004C3391" w:rsidP="004C3391">
                  <w:pPr>
                    <w:spacing w:line="0" w:lineRule="atLeast"/>
                    <w:jc w:val="center"/>
                    <w:rPr>
                      <w:rFonts w:ascii="Palatino Linotype" w:hAnsi="Palatino Linotype" w:cs="Arial"/>
                      <w:b/>
                    </w:rPr>
                  </w:pPr>
                </w:p>
                <w:p w14:paraId="0DE4AD25" w14:textId="77777777" w:rsidR="004C3391" w:rsidRPr="0066727B" w:rsidRDefault="004C3391" w:rsidP="004C3391">
                  <w:pPr>
                    <w:spacing w:line="0" w:lineRule="atLeast"/>
                    <w:rPr>
                      <w:rFonts w:ascii="Palatino Linotype" w:hAnsi="Palatino Linotype" w:cs="Arial"/>
                      <w:b/>
                    </w:rPr>
                  </w:pPr>
                </w:p>
                <w:p w14:paraId="752F8534"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José Guadalupe Luna Hernández</w:t>
                  </w:r>
                </w:p>
                <w:p w14:paraId="3B161A5F"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rPr>
                    <w:t>Comisionado</w:t>
                  </w:r>
                </w:p>
                <w:p w14:paraId="59FE795D"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(RÚBRICA)</w:t>
                  </w:r>
                </w:p>
              </w:tc>
            </w:tr>
            <w:tr w:rsidR="004C3391" w:rsidRPr="0066727B" w14:paraId="02755A7A" w14:textId="77777777" w:rsidTr="004C3391">
              <w:trPr>
                <w:jc w:val="center"/>
              </w:trPr>
              <w:tc>
                <w:tcPr>
                  <w:tcW w:w="5182" w:type="dxa"/>
                  <w:shd w:val="clear" w:color="auto" w:fill="auto"/>
                </w:tcPr>
                <w:p w14:paraId="793B8CCD" w14:textId="77777777" w:rsidR="004C3391" w:rsidRPr="0066727B" w:rsidRDefault="004C3391" w:rsidP="004C3391">
                  <w:pPr>
                    <w:spacing w:line="0" w:lineRule="atLeast"/>
                    <w:ind w:left="635"/>
                    <w:rPr>
                      <w:rFonts w:ascii="Palatino Linotype" w:hAnsi="Palatino Linotype" w:cs="Arial"/>
                      <w:b/>
                    </w:rPr>
                  </w:pPr>
                </w:p>
                <w:p w14:paraId="7C95945F" w14:textId="77777777" w:rsidR="004C3391" w:rsidRPr="0066727B" w:rsidRDefault="004C3391" w:rsidP="004C3391">
                  <w:pPr>
                    <w:spacing w:line="0" w:lineRule="atLeast"/>
                    <w:jc w:val="center"/>
                    <w:rPr>
                      <w:rFonts w:ascii="Palatino Linotype" w:hAnsi="Palatino Linotype" w:cs="Arial"/>
                      <w:b/>
                    </w:rPr>
                  </w:pPr>
                </w:p>
                <w:p w14:paraId="116A031D"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Javier Martínez Cruz</w:t>
                  </w:r>
                </w:p>
                <w:p w14:paraId="2B063A17"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rPr>
                    <w:t>Comisionado</w:t>
                  </w:r>
                </w:p>
                <w:p w14:paraId="28EF53EE"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b/>
                    </w:rPr>
                    <w:t>(RÚBRICA)</w:t>
                  </w:r>
                </w:p>
              </w:tc>
              <w:tc>
                <w:tcPr>
                  <w:tcW w:w="5058" w:type="dxa"/>
                  <w:shd w:val="clear" w:color="auto" w:fill="auto"/>
                </w:tcPr>
                <w:p w14:paraId="0073A78F" w14:textId="77777777" w:rsidR="004C3391" w:rsidRPr="0066727B" w:rsidRDefault="004C3391" w:rsidP="004C3391">
                  <w:pPr>
                    <w:spacing w:line="0" w:lineRule="atLeast"/>
                    <w:jc w:val="center"/>
                    <w:rPr>
                      <w:rFonts w:ascii="Palatino Linotype" w:hAnsi="Palatino Linotype" w:cs="Arial"/>
                      <w:b/>
                    </w:rPr>
                  </w:pPr>
                </w:p>
                <w:p w14:paraId="5BD036CC" w14:textId="77777777" w:rsidR="004C3391" w:rsidRPr="0066727B" w:rsidRDefault="004C3391" w:rsidP="004C3391">
                  <w:pPr>
                    <w:spacing w:line="0" w:lineRule="atLeast"/>
                    <w:rPr>
                      <w:rFonts w:ascii="Palatino Linotype" w:hAnsi="Palatino Linotype" w:cs="Arial"/>
                      <w:b/>
                    </w:rPr>
                  </w:pPr>
                </w:p>
                <w:p w14:paraId="5DD31D94"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Luis Gustavo Parra Noriega</w:t>
                  </w:r>
                </w:p>
                <w:p w14:paraId="07229F12"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rPr>
                    <w:t>Comisionado</w:t>
                  </w:r>
                </w:p>
                <w:p w14:paraId="563D2305"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(RÚBRICA)</w:t>
                  </w:r>
                </w:p>
              </w:tc>
            </w:tr>
            <w:tr w:rsidR="004C3391" w:rsidRPr="0066727B" w14:paraId="5FFC3DC3" w14:textId="77777777" w:rsidTr="004C3391">
              <w:trPr>
                <w:jc w:val="center"/>
              </w:trPr>
              <w:tc>
                <w:tcPr>
                  <w:tcW w:w="10240" w:type="dxa"/>
                  <w:gridSpan w:val="2"/>
                  <w:shd w:val="clear" w:color="auto" w:fill="auto"/>
                </w:tcPr>
                <w:p w14:paraId="6B1C9DC2" w14:textId="77777777" w:rsidR="004C3391" w:rsidRPr="0066727B" w:rsidRDefault="004C3391" w:rsidP="004C3391">
                  <w:pPr>
                    <w:tabs>
                      <w:tab w:val="left" w:pos="3720"/>
                    </w:tabs>
                    <w:spacing w:line="0" w:lineRule="atLeast"/>
                    <w:rPr>
                      <w:rFonts w:ascii="Palatino Linotype" w:hAnsi="Palatino Linotype" w:cs="Arial"/>
                      <w:b/>
                    </w:rPr>
                  </w:pPr>
                  <w:r w:rsidRPr="0066727B">
                    <w:rPr>
                      <w:rFonts w:ascii="Palatino Linotype" w:hAnsi="Palatino Linotype" w:cs="Arial"/>
                      <w:b/>
                    </w:rPr>
                    <w:tab/>
                  </w:r>
                </w:p>
                <w:p w14:paraId="43DD1876" w14:textId="77777777" w:rsidR="004C3391" w:rsidRPr="0066727B" w:rsidRDefault="004C3391" w:rsidP="004C3391">
                  <w:pPr>
                    <w:spacing w:line="0" w:lineRule="atLeast"/>
                    <w:ind w:left="635"/>
                    <w:rPr>
                      <w:rFonts w:ascii="Palatino Linotype" w:hAnsi="Palatino Linotype" w:cs="Arial"/>
                      <w:b/>
                    </w:rPr>
                  </w:pPr>
                </w:p>
                <w:p w14:paraId="66524D5C" w14:textId="77777777" w:rsidR="004C3391" w:rsidRPr="0066727B" w:rsidRDefault="004C3391" w:rsidP="004C3391">
                  <w:pPr>
                    <w:spacing w:line="0" w:lineRule="atLeast"/>
                    <w:jc w:val="center"/>
                    <w:rPr>
                      <w:rFonts w:ascii="Palatino Linotype" w:hAnsi="Palatino Linotype" w:cs="Arial"/>
                      <w:b/>
                    </w:rPr>
                  </w:pPr>
                  <w:r w:rsidRPr="0066727B">
                    <w:rPr>
                      <w:rFonts w:ascii="Palatino Linotype" w:hAnsi="Palatino Linotype" w:cs="Arial"/>
                      <w:b/>
                    </w:rPr>
                    <w:t>Alexis Tapia Ramírez</w:t>
                  </w:r>
                </w:p>
                <w:p w14:paraId="7E6EA39A"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rPr>
                    <w:t>Secretario Técnico del Pleno</w:t>
                  </w:r>
                </w:p>
                <w:p w14:paraId="75873B56" w14:textId="77777777" w:rsidR="004C3391" w:rsidRPr="0066727B" w:rsidRDefault="004C3391" w:rsidP="004C3391">
                  <w:pPr>
                    <w:spacing w:line="0" w:lineRule="atLeast"/>
                    <w:jc w:val="center"/>
                    <w:rPr>
                      <w:rFonts w:ascii="Palatino Linotype" w:hAnsi="Palatino Linotype" w:cs="Arial"/>
                    </w:rPr>
                  </w:pPr>
                  <w:r w:rsidRPr="0066727B">
                    <w:rPr>
                      <w:rFonts w:ascii="Palatino Linotype" w:hAnsi="Palatino Linotype" w:cs="Arial"/>
                      <w:b/>
                    </w:rPr>
                    <w:t>(RÚBRICA)</w:t>
                  </w:r>
                  <w:r w:rsidRPr="0066727B">
                    <w:rPr>
                      <w:rFonts w:ascii="Palatino Linotype" w:hAnsi="Palatino Linotype" w:cs="Arial"/>
                    </w:rPr>
                    <w:t xml:space="preserve"> </w:t>
                  </w:r>
                </w:p>
              </w:tc>
            </w:tr>
          </w:tbl>
          <w:p w14:paraId="6ADA54DA" w14:textId="77777777" w:rsidR="004C3391" w:rsidRPr="0066727B" w:rsidRDefault="004C3391" w:rsidP="004C3391">
            <w:pPr>
              <w:jc w:val="both"/>
              <w:rPr>
                <w:rFonts w:ascii="Palatino Linotype" w:hAnsi="Palatino Linotype" w:cs="Arial"/>
                <w:lang w:val="es-ES"/>
              </w:rPr>
            </w:pPr>
          </w:p>
        </w:tc>
      </w:tr>
      <w:tr w:rsidR="004C3391" w:rsidRPr="0066727B" w14:paraId="56E98985" w14:textId="77777777" w:rsidTr="004C3391">
        <w:trPr>
          <w:jc w:val="center"/>
        </w:trPr>
        <w:tc>
          <w:tcPr>
            <w:tcW w:w="5184" w:type="dxa"/>
            <w:hideMark/>
          </w:tcPr>
          <w:p w14:paraId="0279D9E8" w14:textId="77777777" w:rsidR="004C3391" w:rsidRPr="0066727B" w:rsidRDefault="004C3391" w:rsidP="004C3391">
            <w:pPr>
              <w:jc w:val="both"/>
              <w:rPr>
                <w:rFonts w:ascii="Palatino Linotype" w:hAnsi="Palatino Linotype" w:cs="Arial"/>
                <w:lang w:val="es-ES"/>
              </w:rPr>
            </w:pPr>
          </w:p>
        </w:tc>
        <w:tc>
          <w:tcPr>
            <w:tcW w:w="5184" w:type="dxa"/>
          </w:tcPr>
          <w:p w14:paraId="17A959DF" w14:textId="77777777" w:rsidR="004C3391" w:rsidRPr="0066727B" w:rsidRDefault="004C3391" w:rsidP="004C3391">
            <w:pPr>
              <w:jc w:val="center"/>
              <w:rPr>
                <w:rFonts w:ascii="Palatino Linotype" w:hAnsi="Palatino Linotype" w:cs="Arial"/>
                <w:b/>
              </w:rPr>
            </w:pPr>
          </w:p>
        </w:tc>
      </w:tr>
    </w:tbl>
    <w:p w14:paraId="7F123D16" w14:textId="47455EAF" w:rsidR="004C3391" w:rsidRPr="00964322" w:rsidRDefault="004C3391" w:rsidP="004C3391">
      <w:pPr>
        <w:tabs>
          <w:tab w:val="left" w:pos="567"/>
        </w:tabs>
        <w:spacing w:before="240" w:after="240" w:line="360" w:lineRule="auto"/>
        <w:jc w:val="both"/>
        <w:rPr>
          <w:rFonts w:ascii="Palatino Linotype" w:hAnsi="Palatino Linotype" w:cs="Arial"/>
          <w:sz w:val="22"/>
          <w:szCs w:val="22"/>
          <w:lang w:val="es-MX"/>
        </w:rPr>
      </w:pPr>
      <w:r w:rsidRPr="0066727B">
        <w:rPr>
          <w:rFonts w:ascii="Palatino Linotype" w:eastAsia="Times New Roman" w:hAnsi="Palatino Linotype" w:cs="Arial"/>
          <w:sz w:val="22"/>
          <w:szCs w:val="22"/>
          <w:lang w:val="es-MX"/>
        </w:rPr>
        <w:t xml:space="preserve">Esta hoja corresponde a la resolución de </w:t>
      </w:r>
      <w:r w:rsidR="0066727B">
        <w:rPr>
          <w:rFonts w:ascii="Palatino Linotype" w:eastAsia="Times New Roman" w:hAnsi="Palatino Linotype" w:cs="Arial"/>
          <w:sz w:val="22"/>
          <w:szCs w:val="22"/>
          <w:lang w:val="es-MX"/>
        </w:rPr>
        <w:t xml:space="preserve">fecha dieciséis de diciembre </w:t>
      </w:r>
      <w:r w:rsidRPr="0066727B">
        <w:rPr>
          <w:rFonts w:ascii="Palatino Linotype" w:eastAsia="Times New Roman" w:hAnsi="Palatino Linotype" w:cs="Arial"/>
          <w:sz w:val="22"/>
          <w:szCs w:val="22"/>
          <w:lang w:val="es-MX"/>
        </w:rPr>
        <w:t xml:space="preserve">de dos </w:t>
      </w:r>
      <w:proofErr w:type="gramStart"/>
      <w:r w:rsidRPr="0066727B">
        <w:rPr>
          <w:rFonts w:ascii="Palatino Linotype" w:eastAsia="Times New Roman" w:hAnsi="Palatino Linotype" w:cs="Arial"/>
          <w:sz w:val="22"/>
          <w:szCs w:val="22"/>
          <w:lang w:val="es-MX"/>
        </w:rPr>
        <w:t>mil  veinte</w:t>
      </w:r>
      <w:proofErr w:type="gramEnd"/>
      <w:r w:rsidRPr="0066727B">
        <w:rPr>
          <w:rFonts w:ascii="Palatino Linotype" w:eastAsia="Times New Roman" w:hAnsi="Palatino Linotype" w:cs="Arial"/>
          <w:sz w:val="22"/>
          <w:szCs w:val="22"/>
          <w:lang w:val="es-MX"/>
        </w:rPr>
        <w:t xml:space="preserve">, emitida en el recurso de revisión </w:t>
      </w:r>
      <w:r w:rsidR="00521641" w:rsidRPr="0066727B">
        <w:rPr>
          <w:rFonts w:ascii="Palatino Linotype" w:hAnsi="Palatino Linotype" w:cs="Arial"/>
          <w:b/>
          <w:bCs/>
          <w:sz w:val="22"/>
          <w:szCs w:val="22"/>
          <w:lang w:val="es-MX" w:eastAsia="es-MX"/>
        </w:rPr>
        <w:t>05168/INFOEM/IP/RR/2020</w:t>
      </w:r>
      <w:r w:rsidRPr="0066727B">
        <w:rPr>
          <w:rFonts w:ascii="Palatino Linotype" w:hAnsi="Palatino Linotype" w:cs="Arial"/>
          <w:b/>
          <w:bCs/>
          <w:sz w:val="22"/>
          <w:szCs w:val="22"/>
          <w:lang w:val="es-MX" w:eastAsia="es-MX"/>
        </w:rPr>
        <w:t>.</w:t>
      </w:r>
      <w:bookmarkEnd w:id="0"/>
      <w:bookmarkEnd w:id="1"/>
      <w:bookmarkEnd w:id="2"/>
      <w:bookmarkEnd w:id="3"/>
    </w:p>
    <w:sectPr w:rsidR="004C3391" w:rsidRPr="00964322" w:rsidSect="00F801DD">
      <w:headerReference w:type="even" r:id="rId26"/>
      <w:headerReference w:type="default" r:id="rId27"/>
      <w:footerReference w:type="default" r:id="rId28"/>
      <w:headerReference w:type="first" r:id="rId29"/>
      <w:footerReference w:type="first" r:id="rId3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6998F" w14:textId="77777777" w:rsidR="001D3D4A" w:rsidRDefault="001D3D4A" w:rsidP="00587366">
      <w:r>
        <w:separator/>
      </w:r>
    </w:p>
    <w:p w14:paraId="3F7DDB84" w14:textId="77777777" w:rsidR="001D3D4A" w:rsidRDefault="001D3D4A"/>
  </w:endnote>
  <w:endnote w:type="continuationSeparator" w:id="0">
    <w:p w14:paraId="75B10155" w14:textId="77777777" w:rsidR="001D3D4A" w:rsidRDefault="001D3D4A" w:rsidP="00587366">
      <w:r>
        <w:continuationSeparator/>
      </w:r>
    </w:p>
    <w:p w14:paraId="228D081A" w14:textId="77777777" w:rsidR="001D3D4A" w:rsidRDefault="001D3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23044FFB" w:rsidR="00CC458C" w:rsidRDefault="00CC458C"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6727B">
              <w:rPr>
                <w:rFonts w:ascii="Palatino Linotype" w:hAnsi="Palatino Linotype"/>
                <w:b/>
                <w:bCs/>
                <w:noProof/>
                <w:sz w:val="22"/>
                <w:szCs w:val="20"/>
              </w:rPr>
              <w:t>33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6727B">
              <w:rPr>
                <w:rFonts w:ascii="Palatino Linotype" w:hAnsi="Palatino Linotype"/>
                <w:b/>
                <w:bCs/>
                <w:noProof/>
                <w:sz w:val="22"/>
                <w:szCs w:val="20"/>
              </w:rPr>
              <w:t>35</w:t>
            </w:r>
            <w:r w:rsidRPr="00883450">
              <w:rPr>
                <w:rFonts w:ascii="Palatino Linotype" w:hAnsi="Palatino Linotype"/>
                <w:b/>
                <w:bCs/>
                <w:sz w:val="22"/>
                <w:szCs w:val="20"/>
              </w:rPr>
              <w:fldChar w:fldCharType="end"/>
            </w:r>
          </w:p>
          <w:p w14:paraId="187818B4" w14:textId="42E0FFCB" w:rsidR="00CC458C" w:rsidRDefault="00887A2E" w:rsidP="00985DA6">
            <w:pPr>
              <w:pStyle w:val="Piedepgina"/>
              <w:rPr>
                <w:rFonts w:ascii="Palatino Linotype" w:hAnsi="Palatino Linotype"/>
                <w:sz w:val="28"/>
              </w:rPr>
            </w:pPr>
          </w:p>
        </w:sdtContent>
      </w:sdt>
    </w:sdtContent>
  </w:sdt>
  <w:p w14:paraId="1AED78E8" w14:textId="77777777" w:rsidR="00CC458C" w:rsidRDefault="00CC45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23A03ABE" w:rsidR="00CC458C" w:rsidRPr="00883450" w:rsidRDefault="00CC458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6727B" w:rsidRPr="0066727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6727B" w:rsidRPr="0066727B">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77777777" w:rsidR="00CC458C" w:rsidRPr="00883450" w:rsidRDefault="00CC458C">
    <w:pPr>
      <w:pStyle w:val="Piedepgina"/>
      <w:rPr>
        <w:rFonts w:ascii="Palatino Linotype" w:hAnsi="Palatino Linotype"/>
        <w:sz w:val="22"/>
        <w:szCs w:val="22"/>
      </w:rPr>
    </w:pPr>
  </w:p>
  <w:p w14:paraId="2E09EA83" w14:textId="77777777" w:rsidR="00CC458C" w:rsidRDefault="00CC45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5BEB9" w14:textId="77777777" w:rsidR="001D3D4A" w:rsidRDefault="001D3D4A" w:rsidP="00587366">
      <w:r>
        <w:separator/>
      </w:r>
    </w:p>
    <w:p w14:paraId="6322C554" w14:textId="77777777" w:rsidR="001D3D4A" w:rsidRDefault="001D3D4A"/>
  </w:footnote>
  <w:footnote w:type="continuationSeparator" w:id="0">
    <w:p w14:paraId="3784C86B" w14:textId="77777777" w:rsidR="001D3D4A" w:rsidRDefault="001D3D4A" w:rsidP="00587366">
      <w:r>
        <w:continuationSeparator/>
      </w:r>
    </w:p>
    <w:p w14:paraId="7C099473" w14:textId="77777777" w:rsidR="001D3D4A" w:rsidRDefault="001D3D4A"/>
  </w:footnote>
  <w:footnote w:id="1">
    <w:p w14:paraId="5F6AB0FB" w14:textId="77777777" w:rsidR="00CC458C" w:rsidRDefault="00CC458C" w:rsidP="004C3391">
      <w:pPr>
        <w:pStyle w:val="Textonotapie"/>
      </w:pPr>
      <w:r>
        <w:rPr>
          <w:rStyle w:val="Refdenotaalpie"/>
        </w:rPr>
        <w:footnoteRef/>
      </w:r>
      <w:r>
        <w:t xml:space="preserve"> Convención Americana sobre Derechos Humanos. Artículo 13.</w:t>
      </w:r>
    </w:p>
  </w:footnote>
  <w:footnote w:id="2">
    <w:p w14:paraId="1B146DB2" w14:textId="77777777" w:rsidR="00CC458C" w:rsidRDefault="00CC458C" w:rsidP="004C3391">
      <w:pPr>
        <w:pStyle w:val="Textonotapie"/>
      </w:pPr>
      <w:r>
        <w:rPr>
          <w:rStyle w:val="Refdenotaalpie"/>
        </w:rPr>
        <w:footnoteRef/>
      </w:r>
      <w:r>
        <w:t xml:space="preserve"> Constitución Política de los Estados Unidos Mexicanos. Artículo sexto, sección A, fracción I.</w:t>
      </w:r>
    </w:p>
  </w:footnote>
  <w:footnote w:id="3">
    <w:p w14:paraId="79C0F757" w14:textId="77777777" w:rsidR="00CC458C" w:rsidRDefault="00CC458C" w:rsidP="004C339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ADDAEDA" w14:textId="77777777" w:rsidR="00CC458C" w:rsidRDefault="00CC458C" w:rsidP="004C3391">
      <w:pPr>
        <w:pStyle w:val="Textonotapie"/>
      </w:pPr>
      <w:r>
        <w:rPr>
          <w:rStyle w:val="Refdenotaalpie"/>
        </w:rPr>
        <w:footnoteRef/>
      </w:r>
      <w:r>
        <w:t xml:space="preserve"> Ibídem. Parr. 87.</w:t>
      </w:r>
    </w:p>
  </w:footnote>
  <w:footnote w:id="5">
    <w:p w14:paraId="2589D0EA" w14:textId="77777777" w:rsidR="00CC458C" w:rsidRDefault="00CC458C" w:rsidP="004C3391">
      <w:pPr>
        <w:pStyle w:val="Textonotapie"/>
      </w:pPr>
      <w:r w:rsidRPr="00F96CC2">
        <w:rPr>
          <w:rStyle w:val="Refdenotaalpie"/>
          <w:rFonts w:ascii="Palatino Linotype" w:hAnsi="Palatino Linotype"/>
        </w:rPr>
        <w:footnoteRef/>
      </w:r>
      <w:r w:rsidRPr="00F96CC2">
        <w:rPr>
          <w:rFonts w:ascii="Palatino Linotype" w:hAnsi="Palatino Linotype"/>
        </w:rPr>
        <w:t xml:space="preserve"> ROBLES HERNÁNDEZ José Guadalupe. Derecho de la Información y Comunicación Pública. Ed. Universidad de Occidente de México, 2004, pág.72.</w:t>
      </w:r>
    </w:p>
  </w:footnote>
  <w:footnote w:id="6">
    <w:p w14:paraId="33207441" w14:textId="77777777" w:rsidR="00CC458C" w:rsidRPr="001D5FB5" w:rsidRDefault="00CC458C" w:rsidP="004C3391">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7">
    <w:p w14:paraId="7F18B3E2" w14:textId="77777777" w:rsidR="00CC458C" w:rsidRDefault="00CC458C" w:rsidP="004C3391">
      <w:pPr>
        <w:pStyle w:val="Textonotapie"/>
        <w:jc w:val="both"/>
      </w:pPr>
      <w:r>
        <w:rPr>
          <w:rStyle w:val="Refdenotaalpie"/>
        </w:rPr>
        <w:footnoteRef/>
      </w:r>
      <w:r>
        <w:t xml:space="preserve"> Artículo 3 fracción XI de la </w:t>
      </w:r>
      <w:r w:rsidRPr="00182B68">
        <w:t>Ley de Transparencia y Acceso a la Información Pública del Estado de México y Municipios</w:t>
      </w:r>
      <w:r>
        <w:t>.</w:t>
      </w:r>
    </w:p>
  </w:footnote>
  <w:footnote w:id="8">
    <w:p w14:paraId="3D454B1E" w14:textId="54558963" w:rsidR="00CC458C" w:rsidRDefault="00CC458C" w:rsidP="000522F6">
      <w:pPr>
        <w:pStyle w:val="Textonotapie"/>
        <w:jc w:val="both"/>
      </w:pPr>
      <w:r>
        <w:rPr>
          <w:rStyle w:val="Refdenotaalpie"/>
        </w:rPr>
        <w:footnoteRef/>
      </w:r>
      <w:r>
        <w:t xml:space="preserve"> De conformidad con el artículo 3 fracción XLI de la </w:t>
      </w:r>
      <w:r w:rsidRPr="00182B68">
        <w:t>Ley de Transparencia y Acceso a la Información Pública del Estado de México y Municipios</w:t>
      </w:r>
      <w:r>
        <w:t>, un sujeto obligado es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w:t>
      </w:r>
    </w:p>
  </w:footnote>
  <w:footnote w:id="9">
    <w:p w14:paraId="1F6C319B" w14:textId="77777777" w:rsidR="00741374" w:rsidRDefault="00741374" w:rsidP="00741374">
      <w:pPr>
        <w:pStyle w:val="Textonotapie"/>
      </w:pPr>
      <w:r>
        <w:rPr>
          <w:rStyle w:val="Refdenotaalpie"/>
        </w:rPr>
        <w:footnoteRef/>
      </w:r>
      <w:r>
        <w:t xml:space="preserve"> Artículo 21 de la Constitución Política de los Estados Unidos Mexicanos, en correlación con el artículo 81 de la Constitución Política del Estado Libre y Soberano de México.</w:t>
      </w:r>
    </w:p>
  </w:footnote>
  <w:footnote w:id="10">
    <w:p w14:paraId="14B7D743" w14:textId="77777777" w:rsidR="00741374" w:rsidRDefault="00741374" w:rsidP="00741374">
      <w:pPr>
        <w:pStyle w:val="Textonotapie"/>
      </w:pPr>
      <w:r>
        <w:rPr>
          <w:rStyle w:val="Refdenotaalpie"/>
        </w:rPr>
        <w:footnoteRef/>
      </w:r>
      <w:r>
        <w:t xml:space="preserve"> artículo 83 de la Constitución Política del Estado Libre y Soberano de México.</w:t>
      </w:r>
    </w:p>
    <w:p w14:paraId="6BC9D18C" w14:textId="77777777" w:rsidR="00741374" w:rsidRDefault="00741374" w:rsidP="0074137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3AB7" w14:textId="31B469E8" w:rsidR="0066727B" w:rsidRDefault="00887A2E">
    <w:pPr>
      <w:pStyle w:val="Encabezado"/>
    </w:pPr>
    <w:r>
      <w:rPr>
        <w:noProof/>
        <w:lang w:val="es-MX" w:eastAsia="es-MX"/>
      </w:rPr>
      <w:pict w14:anchorId="714FB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1A53E114" w:rsidR="00CC458C" w:rsidRDefault="00887A2E">
    <w:pPr>
      <w:pStyle w:val="Encabezado"/>
    </w:pPr>
    <w:r>
      <w:rPr>
        <w:noProof/>
        <w:lang w:val="es-MX" w:eastAsia="es-MX"/>
      </w:rPr>
      <w:pict w14:anchorId="1EEE6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C458C" w:rsidRPr="00E84957" w14:paraId="07F2896E" w14:textId="77777777" w:rsidTr="003116A6">
      <w:trPr>
        <w:trHeight w:val="138"/>
        <w:jc w:val="right"/>
      </w:trPr>
      <w:tc>
        <w:tcPr>
          <w:tcW w:w="2552" w:type="dxa"/>
          <w:vAlign w:val="center"/>
        </w:tcPr>
        <w:p w14:paraId="4A5B1974" w14:textId="77777777" w:rsidR="00CC458C" w:rsidRPr="00E84957" w:rsidRDefault="00CC458C"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E33D7FA" w:rsidR="00CC458C" w:rsidRPr="002D0ECC" w:rsidRDefault="00CC458C" w:rsidP="00521641">
          <w:pPr>
            <w:pStyle w:val="Encabezado"/>
            <w:jc w:val="right"/>
            <w:rPr>
              <w:rFonts w:ascii="Palatino Linotype" w:hAnsi="Palatino Linotype"/>
              <w:b/>
              <w:sz w:val="20"/>
              <w:szCs w:val="20"/>
            </w:rPr>
          </w:pPr>
          <w:r>
            <w:rPr>
              <w:rFonts w:ascii="Palatino Linotype" w:hAnsi="Palatino Linotype" w:cs="Arial"/>
              <w:b/>
              <w:bCs/>
              <w:sz w:val="20"/>
              <w:szCs w:val="20"/>
              <w:lang w:eastAsia="es-MX"/>
            </w:rPr>
            <w:t>05168/INFOEM/IP/RR/2020</w:t>
          </w:r>
        </w:p>
      </w:tc>
    </w:tr>
    <w:tr w:rsidR="00CC458C" w:rsidRPr="00E84957" w14:paraId="095EB01B" w14:textId="77777777" w:rsidTr="003116A6">
      <w:trPr>
        <w:trHeight w:val="321"/>
        <w:jc w:val="right"/>
      </w:trPr>
      <w:tc>
        <w:tcPr>
          <w:tcW w:w="2552" w:type="dxa"/>
          <w:vAlign w:val="center"/>
        </w:tcPr>
        <w:p w14:paraId="6E000A51" w14:textId="4DA3E277" w:rsidR="00CC458C" w:rsidRPr="00E84957" w:rsidRDefault="00CC458C"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2255BF6" w14:textId="62E48B72" w:rsidR="00CC458C" w:rsidRDefault="00CC458C" w:rsidP="000A175B">
          <w:pPr>
            <w:pStyle w:val="Encabezado"/>
            <w:jc w:val="right"/>
            <w:rPr>
              <w:rFonts w:ascii="Palatino Linotype" w:hAnsi="Palatino Linotype"/>
              <w:b/>
              <w:sz w:val="20"/>
              <w:szCs w:val="20"/>
            </w:rPr>
          </w:pPr>
          <w:r>
            <w:rPr>
              <w:rFonts w:ascii="Palatino Linotype" w:hAnsi="Palatino Linotype"/>
              <w:b/>
              <w:sz w:val="20"/>
              <w:szCs w:val="20"/>
            </w:rPr>
            <w:t xml:space="preserve">Fiscalía General de Justicia </w:t>
          </w:r>
        </w:p>
        <w:p w14:paraId="07560085" w14:textId="5E45A7EF" w:rsidR="00CC458C" w:rsidRPr="00740719" w:rsidRDefault="00CC458C" w:rsidP="000A175B">
          <w:pPr>
            <w:pStyle w:val="Encabezado"/>
            <w:jc w:val="right"/>
            <w:rPr>
              <w:rFonts w:ascii="Palatino Linotype" w:hAnsi="Palatino Linotype"/>
              <w:b/>
              <w:sz w:val="18"/>
              <w:szCs w:val="18"/>
            </w:rPr>
          </w:pPr>
          <w:r>
            <w:rPr>
              <w:rFonts w:ascii="Palatino Linotype" w:hAnsi="Palatino Linotype"/>
              <w:b/>
              <w:sz w:val="20"/>
              <w:szCs w:val="20"/>
            </w:rPr>
            <w:t>del Estado de México</w:t>
          </w:r>
        </w:p>
      </w:tc>
    </w:tr>
    <w:tr w:rsidR="00CC458C" w:rsidRPr="00E84957" w14:paraId="14F3CE0D" w14:textId="77777777" w:rsidTr="003116A6">
      <w:trPr>
        <w:trHeight w:val="321"/>
        <w:jc w:val="right"/>
      </w:trPr>
      <w:tc>
        <w:tcPr>
          <w:tcW w:w="2552" w:type="dxa"/>
          <w:vAlign w:val="center"/>
        </w:tcPr>
        <w:p w14:paraId="12248485" w14:textId="081B3348" w:rsidR="00CC458C" w:rsidRPr="00E84957" w:rsidRDefault="00CC458C"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C458C" w:rsidRPr="002D0ECC" w:rsidRDefault="00CC458C"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CC458C" w:rsidRDefault="00CC458C" w:rsidP="00587366">
    <w:pPr>
      <w:pStyle w:val="Encabezado"/>
    </w:pPr>
  </w:p>
  <w:p w14:paraId="01FCACBC" w14:textId="77777777" w:rsidR="00CC458C" w:rsidRDefault="00CC45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09B8298E" w:rsidR="00CC458C" w:rsidRDefault="00887A2E" w:rsidP="000B5D79">
    <w:pPr>
      <w:pStyle w:val="Encabezado"/>
      <w:tabs>
        <w:tab w:val="clear" w:pos="4252"/>
        <w:tab w:val="clear" w:pos="8504"/>
        <w:tab w:val="left" w:pos="3103"/>
      </w:tabs>
    </w:pPr>
    <w:r>
      <w:rPr>
        <w:noProof/>
        <w:lang w:val="es-MX" w:eastAsia="es-MX"/>
      </w:rPr>
      <w:pict w14:anchorId="791EE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C458C">
      <w:tab/>
    </w:r>
    <w:r w:rsidR="00CC458C">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CC458C" w:rsidRPr="00182113" w14:paraId="665387B4" w14:textId="77777777" w:rsidTr="000B5D79">
      <w:trPr>
        <w:trHeight w:val="138"/>
      </w:trPr>
      <w:tc>
        <w:tcPr>
          <w:tcW w:w="2532" w:type="dxa"/>
          <w:vAlign w:val="center"/>
        </w:tcPr>
        <w:p w14:paraId="01509DD6" w14:textId="77777777" w:rsidR="00CC458C" w:rsidRPr="00182113" w:rsidRDefault="00CC458C"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C458C" w:rsidRPr="00182113" w:rsidRDefault="00CC458C" w:rsidP="000B5D79">
          <w:pPr>
            <w:pStyle w:val="Encabezado"/>
            <w:jc w:val="center"/>
            <w:rPr>
              <w:rFonts w:ascii="Palatino Linotype" w:hAnsi="Palatino Linotype"/>
              <w:b/>
              <w:sz w:val="22"/>
              <w:szCs w:val="22"/>
            </w:rPr>
          </w:pPr>
        </w:p>
      </w:tc>
      <w:tc>
        <w:tcPr>
          <w:tcW w:w="3261" w:type="dxa"/>
          <w:vAlign w:val="center"/>
        </w:tcPr>
        <w:p w14:paraId="4FAE21CD" w14:textId="0E947BC5" w:rsidR="00CC458C" w:rsidRPr="00182113" w:rsidRDefault="00CC458C" w:rsidP="00521641">
          <w:pPr>
            <w:pStyle w:val="Encabezado"/>
            <w:rPr>
              <w:rFonts w:ascii="Palatino Linotype" w:hAnsi="Palatino Linotype"/>
              <w:b/>
              <w:sz w:val="22"/>
              <w:szCs w:val="22"/>
            </w:rPr>
          </w:pPr>
          <w:r>
            <w:rPr>
              <w:rFonts w:ascii="Palatino Linotype" w:hAnsi="Palatino Linotype" w:cs="Arial"/>
              <w:b/>
              <w:bCs/>
              <w:sz w:val="20"/>
              <w:szCs w:val="20"/>
              <w:lang w:eastAsia="es-MX"/>
            </w:rPr>
            <w:t>05168/INFOEM/IP/RR/2020</w:t>
          </w:r>
        </w:p>
      </w:tc>
    </w:tr>
    <w:tr w:rsidR="00CC458C" w:rsidRPr="00182113" w14:paraId="78C9F2F4" w14:textId="77777777" w:rsidTr="000B5D79">
      <w:trPr>
        <w:trHeight w:val="227"/>
      </w:trPr>
      <w:tc>
        <w:tcPr>
          <w:tcW w:w="2532" w:type="dxa"/>
          <w:vAlign w:val="center"/>
        </w:tcPr>
        <w:p w14:paraId="2D89FED3" w14:textId="77777777" w:rsidR="00CC458C" w:rsidRPr="00182113" w:rsidRDefault="00CC458C"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C458C" w:rsidRPr="00182113" w:rsidRDefault="00CC458C" w:rsidP="000B5D79">
          <w:pPr>
            <w:pStyle w:val="Encabezado"/>
            <w:jc w:val="center"/>
            <w:rPr>
              <w:rFonts w:ascii="Palatino Linotype" w:hAnsi="Palatino Linotype"/>
              <w:b/>
              <w:sz w:val="22"/>
              <w:szCs w:val="22"/>
            </w:rPr>
          </w:pPr>
        </w:p>
      </w:tc>
      <w:tc>
        <w:tcPr>
          <w:tcW w:w="3261" w:type="dxa"/>
          <w:vAlign w:val="center"/>
        </w:tcPr>
        <w:p w14:paraId="36D086A3" w14:textId="04602F23" w:rsidR="00CC458C" w:rsidRPr="00F801DD" w:rsidRDefault="000E7E89" w:rsidP="000B5D79">
          <w:pPr>
            <w:pStyle w:val="Encabezado"/>
            <w:rPr>
              <w:rFonts w:ascii="Palatino Linotype" w:hAnsi="Palatino Linotype"/>
              <w:b/>
              <w:sz w:val="20"/>
              <w:szCs w:val="20"/>
            </w:rPr>
          </w:pPr>
          <w:r w:rsidRPr="000E7E89">
            <w:rPr>
              <w:rFonts w:ascii="Palatino Linotype" w:hAnsi="Palatino Linotype"/>
              <w:b/>
              <w:sz w:val="20"/>
              <w:szCs w:val="20"/>
              <w:highlight w:val="black"/>
            </w:rPr>
            <w:t>-----------------------------------------</w:t>
          </w:r>
        </w:p>
      </w:tc>
    </w:tr>
    <w:tr w:rsidR="00CC458C" w:rsidRPr="00182113" w14:paraId="1A862673" w14:textId="77777777" w:rsidTr="000B5D79">
      <w:trPr>
        <w:trHeight w:val="232"/>
      </w:trPr>
      <w:tc>
        <w:tcPr>
          <w:tcW w:w="2532" w:type="dxa"/>
          <w:vAlign w:val="center"/>
        </w:tcPr>
        <w:p w14:paraId="767A6F60" w14:textId="77777777" w:rsidR="00CC458C" w:rsidRPr="00182113" w:rsidRDefault="00CC458C"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C458C" w:rsidRPr="00182113" w:rsidRDefault="00CC458C" w:rsidP="000B5D79">
          <w:pPr>
            <w:pStyle w:val="Encabezado"/>
            <w:jc w:val="center"/>
            <w:rPr>
              <w:rFonts w:ascii="Palatino Linotype" w:hAnsi="Palatino Linotype"/>
              <w:b/>
              <w:sz w:val="22"/>
              <w:szCs w:val="22"/>
            </w:rPr>
          </w:pPr>
        </w:p>
      </w:tc>
      <w:tc>
        <w:tcPr>
          <w:tcW w:w="3261" w:type="dxa"/>
          <w:vAlign w:val="center"/>
        </w:tcPr>
        <w:p w14:paraId="3FC8EF03" w14:textId="081E0FA0" w:rsidR="00CC458C" w:rsidRPr="00114C6B" w:rsidRDefault="00CC458C" w:rsidP="00F354BA">
          <w:pPr>
            <w:pStyle w:val="Encabezado"/>
            <w:rPr>
              <w:rFonts w:ascii="Palatino Linotype" w:hAnsi="Palatino Linotype"/>
              <w:b/>
              <w:sz w:val="20"/>
              <w:szCs w:val="20"/>
            </w:rPr>
          </w:pPr>
          <w:r>
            <w:rPr>
              <w:rFonts w:ascii="Palatino Linotype" w:hAnsi="Palatino Linotype"/>
              <w:b/>
              <w:sz w:val="20"/>
              <w:szCs w:val="20"/>
            </w:rPr>
            <w:t>Fiscalía General de Justicia del Estado de México</w:t>
          </w:r>
        </w:p>
      </w:tc>
    </w:tr>
    <w:tr w:rsidR="00CC458C" w:rsidRPr="00182113" w14:paraId="4416531B" w14:textId="77777777" w:rsidTr="000B5D79">
      <w:trPr>
        <w:trHeight w:val="320"/>
      </w:trPr>
      <w:tc>
        <w:tcPr>
          <w:tcW w:w="2532" w:type="dxa"/>
          <w:vAlign w:val="center"/>
        </w:tcPr>
        <w:p w14:paraId="277DD3E2" w14:textId="4C90BB0A" w:rsidR="00CC458C" w:rsidRPr="00182113" w:rsidRDefault="00CC458C"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C458C" w:rsidRPr="00182113" w:rsidRDefault="00CC458C" w:rsidP="000B5D79">
          <w:pPr>
            <w:pStyle w:val="Encabezado"/>
            <w:jc w:val="center"/>
            <w:rPr>
              <w:rFonts w:ascii="Palatino Linotype" w:hAnsi="Palatino Linotype"/>
              <w:b/>
              <w:sz w:val="22"/>
              <w:szCs w:val="22"/>
            </w:rPr>
          </w:pPr>
        </w:p>
      </w:tc>
      <w:tc>
        <w:tcPr>
          <w:tcW w:w="3261" w:type="dxa"/>
          <w:vAlign w:val="center"/>
        </w:tcPr>
        <w:p w14:paraId="3BD70CE4" w14:textId="61A13249" w:rsidR="00CC458C" w:rsidRPr="00182113" w:rsidRDefault="00CC458C"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CC458C" w:rsidRDefault="00CC458C">
    <w:pPr>
      <w:pStyle w:val="Encabezado"/>
    </w:pPr>
  </w:p>
  <w:p w14:paraId="2C496126" w14:textId="77777777" w:rsidR="00CC458C" w:rsidRDefault="00CC4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7952"/>
    <w:multiLevelType w:val="multilevel"/>
    <w:tmpl w:val="3BE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E4326"/>
    <w:multiLevelType w:val="hybridMultilevel"/>
    <w:tmpl w:val="36605D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A532D8"/>
    <w:multiLevelType w:val="hybridMultilevel"/>
    <w:tmpl w:val="A30A5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B72C70"/>
    <w:multiLevelType w:val="hybridMultilevel"/>
    <w:tmpl w:val="6F686C92"/>
    <w:lvl w:ilvl="0" w:tplc="EE7492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761BE9"/>
    <w:multiLevelType w:val="hybridMultilevel"/>
    <w:tmpl w:val="E3BC5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5852D2"/>
    <w:multiLevelType w:val="hybridMultilevel"/>
    <w:tmpl w:val="2AD80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2E5188"/>
    <w:multiLevelType w:val="multilevel"/>
    <w:tmpl w:val="39EA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2A63A8"/>
    <w:multiLevelType w:val="hybridMultilevel"/>
    <w:tmpl w:val="CCF2E5CA"/>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0136A0"/>
    <w:multiLevelType w:val="hybridMultilevel"/>
    <w:tmpl w:val="00C86FE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0"/>
  </w:num>
  <w:num w:numId="3">
    <w:abstractNumId w:val="22"/>
  </w:num>
  <w:num w:numId="4">
    <w:abstractNumId w:val="14"/>
  </w:num>
  <w:num w:numId="5">
    <w:abstractNumId w:val="24"/>
  </w:num>
  <w:num w:numId="6">
    <w:abstractNumId w:val="17"/>
  </w:num>
  <w:num w:numId="7">
    <w:abstractNumId w:val="11"/>
  </w:num>
  <w:num w:numId="8">
    <w:abstractNumId w:val="3"/>
  </w:num>
  <w:num w:numId="9">
    <w:abstractNumId w:val="9"/>
  </w:num>
  <w:num w:numId="10">
    <w:abstractNumId w:val="5"/>
  </w:num>
  <w:num w:numId="11">
    <w:abstractNumId w:val="6"/>
  </w:num>
  <w:num w:numId="12">
    <w:abstractNumId w:val="1"/>
  </w:num>
  <w:num w:numId="13">
    <w:abstractNumId w:val="21"/>
  </w:num>
  <w:num w:numId="14">
    <w:abstractNumId w:val="19"/>
  </w:num>
  <w:num w:numId="15">
    <w:abstractNumId w:val="10"/>
  </w:num>
  <w:num w:numId="16">
    <w:abstractNumId w:val="15"/>
  </w:num>
  <w:num w:numId="17">
    <w:abstractNumId w:val="13"/>
  </w:num>
  <w:num w:numId="18">
    <w:abstractNumId w:val="7"/>
  </w:num>
  <w:num w:numId="19">
    <w:abstractNumId w:val="8"/>
  </w:num>
  <w:num w:numId="20">
    <w:abstractNumId w:val="26"/>
  </w:num>
  <w:num w:numId="21">
    <w:abstractNumId w:val="12"/>
  </w:num>
  <w:num w:numId="22">
    <w:abstractNumId w:val="18"/>
  </w:num>
  <w:num w:numId="23">
    <w:abstractNumId w:val="4"/>
  </w:num>
  <w:num w:numId="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5"/>
  </w:num>
  <w:num w:numId="27">
    <w:abstractNumId w:val="16"/>
  </w:num>
  <w:num w:numId="2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9F"/>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3508"/>
    <w:rsid w:val="00034578"/>
    <w:rsid w:val="000348AB"/>
    <w:rsid w:val="00034AEC"/>
    <w:rsid w:val="00034D1D"/>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BAB"/>
    <w:rsid w:val="00050C57"/>
    <w:rsid w:val="00051730"/>
    <w:rsid w:val="00051EDD"/>
    <w:rsid w:val="00051F9D"/>
    <w:rsid w:val="00052007"/>
    <w:rsid w:val="0005201F"/>
    <w:rsid w:val="000520C1"/>
    <w:rsid w:val="000522F6"/>
    <w:rsid w:val="00052570"/>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66412"/>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6E02"/>
    <w:rsid w:val="000877FD"/>
    <w:rsid w:val="00087F83"/>
    <w:rsid w:val="00090A31"/>
    <w:rsid w:val="00091EC6"/>
    <w:rsid w:val="00094279"/>
    <w:rsid w:val="000946B6"/>
    <w:rsid w:val="00094CAC"/>
    <w:rsid w:val="00095527"/>
    <w:rsid w:val="000957B1"/>
    <w:rsid w:val="0009723C"/>
    <w:rsid w:val="00097D8A"/>
    <w:rsid w:val="000A09F5"/>
    <w:rsid w:val="000A0D7B"/>
    <w:rsid w:val="000A13A2"/>
    <w:rsid w:val="000A1421"/>
    <w:rsid w:val="000A149C"/>
    <w:rsid w:val="000A175B"/>
    <w:rsid w:val="000A1909"/>
    <w:rsid w:val="000A379E"/>
    <w:rsid w:val="000A5102"/>
    <w:rsid w:val="000A69FC"/>
    <w:rsid w:val="000A6A59"/>
    <w:rsid w:val="000A6AFF"/>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DCB"/>
    <w:rsid w:val="000E2013"/>
    <w:rsid w:val="000E41A9"/>
    <w:rsid w:val="000E48E7"/>
    <w:rsid w:val="000E5A4F"/>
    <w:rsid w:val="000E6945"/>
    <w:rsid w:val="000E6BDE"/>
    <w:rsid w:val="000E7E89"/>
    <w:rsid w:val="000E7F64"/>
    <w:rsid w:val="000F1D4F"/>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3953"/>
    <w:rsid w:val="00113DF7"/>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15C"/>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46E8"/>
    <w:rsid w:val="00145FFA"/>
    <w:rsid w:val="00146524"/>
    <w:rsid w:val="00146A0A"/>
    <w:rsid w:val="00146E2E"/>
    <w:rsid w:val="00147163"/>
    <w:rsid w:val="00147864"/>
    <w:rsid w:val="00150B2F"/>
    <w:rsid w:val="0015179D"/>
    <w:rsid w:val="00151A62"/>
    <w:rsid w:val="00151FD7"/>
    <w:rsid w:val="00152EE8"/>
    <w:rsid w:val="001537A3"/>
    <w:rsid w:val="0015466E"/>
    <w:rsid w:val="00154A05"/>
    <w:rsid w:val="00154BCB"/>
    <w:rsid w:val="00155733"/>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5C90"/>
    <w:rsid w:val="00176DE7"/>
    <w:rsid w:val="001775DF"/>
    <w:rsid w:val="00181DC0"/>
    <w:rsid w:val="001821DD"/>
    <w:rsid w:val="001850D6"/>
    <w:rsid w:val="00186391"/>
    <w:rsid w:val="00186971"/>
    <w:rsid w:val="0018788D"/>
    <w:rsid w:val="001878A8"/>
    <w:rsid w:val="0019076C"/>
    <w:rsid w:val="0019358B"/>
    <w:rsid w:val="0019484F"/>
    <w:rsid w:val="00194E85"/>
    <w:rsid w:val="001964AF"/>
    <w:rsid w:val="00196F89"/>
    <w:rsid w:val="00197168"/>
    <w:rsid w:val="00197318"/>
    <w:rsid w:val="00197709"/>
    <w:rsid w:val="001979C5"/>
    <w:rsid w:val="00197B63"/>
    <w:rsid w:val="001A04D3"/>
    <w:rsid w:val="001A0524"/>
    <w:rsid w:val="001A0AA2"/>
    <w:rsid w:val="001A0BE8"/>
    <w:rsid w:val="001A1220"/>
    <w:rsid w:val="001A138D"/>
    <w:rsid w:val="001A230D"/>
    <w:rsid w:val="001A339A"/>
    <w:rsid w:val="001A3C17"/>
    <w:rsid w:val="001A4753"/>
    <w:rsid w:val="001A4764"/>
    <w:rsid w:val="001A513D"/>
    <w:rsid w:val="001A5277"/>
    <w:rsid w:val="001A6227"/>
    <w:rsid w:val="001A6360"/>
    <w:rsid w:val="001A6D38"/>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D4A"/>
    <w:rsid w:val="001D3EEA"/>
    <w:rsid w:val="001D64F6"/>
    <w:rsid w:val="001E0EE9"/>
    <w:rsid w:val="001E18B8"/>
    <w:rsid w:val="001E2813"/>
    <w:rsid w:val="001E2987"/>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6EBF"/>
    <w:rsid w:val="002077BE"/>
    <w:rsid w:val="0021022A"/>
    <w:rsid w:val="00210263"/>
    <w:rsid w:val="00210D94"/>
    <w:rsid w:val="00210FED"/>
    <w:rsid w:val="00211649"/>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552"/>
    <w:rsid w:val="002479E3"/>
    <w:rsid w:val="002504D6"/>
    <w:rsid w:val="00250DF8"/>
    <w:rsid w:val="002519B8"/>
    <w:rsid w:val="00252174"/>
    <w:rsid w:val="00252BD0"/>
    <w:rsid w:val="00252C2F"/>
    <w:rsid w:val="00252C4D"/>
    <w:rsid w:val="002545BF"/>
    <w:rsid w:val="0025467E"/>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ABC"/>
    <w:rsid w:val="00273B0A"/>
    <w:rsid w:val="0027430D"/>
    <w:rsid w:val="0027468C"/>
    <w:rsid w:val="0027482D"/>
    <w:rsid w:val="00274BE9"/>
    <w:rsid w:val="0027625D"/>
    <w:rsid w:val="0027645C"/>
    <w:rsid w:val="00277D3D"/>
    <w:rsid w:val="00280260"/>
    <w:rsid w:val="002802AC"/>
    <w:rsid w:val="00281389"/>
    <w:rsid w:val="002823A0"/>
    <w:rsid w:val="0028429B"/>
    <w:rsid w:val="00286BCA"/>
    <w:rsid w:val="0028727E"/>
    <w:rsid w:val="0029059C"/>
    <w:rsid w:val="00292CBE"/>
    <w:rsid w:val="00293DE8"/>
    <w:rsid w:val="00294AF3"/>
    <w:rsid w:val="00295595"/>
    <w:rsid w:val="00295CAC"/>
    <w:rsid w:val="002A00A2"/>
    <w:rsid w:val="002A0C6D"/>
    <w:rsid w:val="002A0D83"/>
    <w:rsid w:val="002A1203"/>
    <w:rsid w:val="002A13C4"/>
    <w:rsid w:val="002A2FBF"/>
    <w:rsid w:val="002A48BE"/>
    <w:rsid w:val="002A4C02"/>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4B"/>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1D5E"/>
    <w:rsid w:val="002F3672"/>
    <w:rsid w:val="002F3693"/>
    <w:rsid w:val="002F397F"/>
    <w:rsid w:val="002F5BD8"/>
    <w:rsid w:val="002F5F94"/>
    <w:rsid w:val="002F6123"/>
    <w:rsid w:val="002F62A4"/>
    <w:rsid w:val="002F62DC"/>
    <w:rsid w:val="002F6A81"/>
    <w:rsid w:val="002F6F9C"/>
    <w:rsid w:val="002F768F"/>
    <w:rsid w:val="002F7950"/>
    <w:rsid w:val="002F7E3E"/>
    <w:rsid w:val="00300E89"/>
    <w:rsid w:val="00300FA7"/>
    <w:rsid w:val="0030150B"/>
    <w:rsid w:val="0030255D"/>
    <w:rsid w:val="00302998"/>
    <w:rsid w:val="0030302B"/>
    <w:rsid w:val="00303717"/>
    <w:rsid w:val="00305279"/>
    <w:rsid w:val="00305A88"/>
    <w:rsid w:val="003071F9"/>
    <w:rsid w:val="00307227"/>
    <w:rsid w:val="003079C2"/>
    <w:rsid w:val="00307E34"/>
    <w:rsid w:val="003102A6"/>
    <w:rsid w:val="0031044F"/>
    <w:rsid w:val="0031056C"/>
    <w:rsid w:val="003105D0"/>
    <w:rsid w:val="00310962"/>
    <w:rsid w:val="003116A6"/>
    <w:rsid w:val="003118CB"/>
    <w:rsid w:val="00311F9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271B"/>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0E7"/>
    <w:rsid w:val="0039214C"/>
    <w:rsid w:val="00392447"/>
    <w:rsid w:val="00393859"/>
    <w:rsid w:val="00393B71"/>
    <w:rsid w:val="003947DD"/>
    <w:rsid w:val="00394886"/>
    <w:rsid w:val="003958D9"/>
    <w:rsid w:val="00395C0B"/>
    <w:rsid w:val="00395C5C"/>
    <w:rsid w:val="00395D7D"/>
    <w:rsid w:val="00396732"/>
    <w:rsid w:val="00396885"/>
    <w:rsid w:val="003A00C8"/>
    <w:rsid w:val="003A10CB"/>
    <w:rsid w:val="003A11ED"/>
    <w:rsid w:val="003A1261"/>
    <w:rsid w:val="003A23D8"/>
    <w:rsid w:val="003A2508"/>
    <w:rsid w:val="003A320E"/>
    <w:rsid w:val="003A3B6F"/>
    <w:rsid w:val="003A3E6E"/>
    <w:rsid w:val="003A46C7"/>
    <w:rsid w:val="003A4A94"/>
    <w:rsid w:val="003A4C79"/>
    <w:rsid w:val="003A4DFA"/>
    <w:rsid w:val="003A5572"/>
    <w:rsid w:val="003A5D1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23E"/>
    <w:rsid w:val="003C2FC2"/>
    <w:rsid w:val="003C31E8"/>
    <w:rsid w:val="003C3F45"/>
    <w:rsid w:val="003C665B"/>
    <w:rsid w:val="003C66EF"/>
    <w:rsid w:val="003C7282"/>
    <w:rsid w:val="003D04B3"/>
    <w:rsid w:val="003D1343"/>
    <w:rsid w:val="003D1971"/>
    <w:rsid w:val="003D210D"/>
    <w:rsid w:val="003D2BDA"/>
    <w:rsid w:val="003D338E"/>
    <w:rsid w:val="003D4544"/>
    <w:rsid w:val="003D46D0"/>
    <w:rsid w:val="003D5118"/>
    <w:rsid w:val="003D5EE4"/>
    <w:rsid w:val="003D7850"/>
    <w:rsid w:val="003E0B0F"/>
    <w:rsid w:val="003E167A"/>
    <w:rsid w:val="003E1BC4"/>
    <w:rsid w:val="003E1C5B"/>
    <w:rsid w:val="003E1DF9"/>
    <w:rsid w:val="003E2043"/>
    <w:rsid w:val="003E2194"/>
    <w:rsid w:val="003E2871"/>
    <w:rsid w:val="003E3BCD"/>
    <w:rsid w:val="003E3DB3"/>
    <w:rsid w:val="003E466F"/>
    <w:rsid w:val="003E4742"/>
    <w:rsid w:val="003E562F"/>
    <w:rsid w:val="003E64F3"/>
    <w:rsid w:val="003E6C90"/>
    <w:rsid w:val="003E720E"/>
    <w:rsid w:val="003F1143"/>
    <w:rsid w:val="003F11BF"/>
    <w:rsid w:val="003F15DB"/>
    <w:rsid w:val="003F2702"/>
    <w:rsid w:val="003F3245"/>
    <w:rsid w:val="003F380A"/>
    <w:rsid w:val="003F3908"/>
    <w:rsid w:val="003F4B66"/>
    <w:rsid w:val="003F58E9"/>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0791"/>
    <w:rsid w:val="004211BA"/>
    <w:rsid w:val="00421799"/>
    <w:rsid w:val="00421F72"/>
    <w:rsid w:val="00422367"/>
    <w:rsid w:val="00423965"/>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37285"/>
    <w:rsid w:val="004376EA"/>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4EF0"/>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A60"/>
    <w:rsid w:val="00473D11"/>
    <w:rsid w:val="00477411"/>
    <w:rsid w:val="00477932"/>
    <w:rsid w:val="00480009"/>
    <w:rsid w:val="00480BA2"/>
    <w:rsid w:val="00481A7B"/>
    <w:rsid w:val="00481D42"/>
    <w:rsid w:val="0048344A"/>
    <w:rsid w:val="00483DB3"/>
    <w:rsid w:val="00484344"/>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5BBA"/>
    <w:rsid w:val="004A6B0A"/>
    <w:rsid w:val="004B1D5D"/>
    <w:rsid w:val="004B293C"/>
    <w:rsid w:val="004B2AEB"/>
    <w:rsid w:val="004B2B47"/>
    <w:rsid w:val="004B31A6"/>
    <w:rsid w:val="004B3B1A"/>
    <w:rsid w:val="004B3CD9"/>
    <w:rsid w:val="004B40BF"/>
    <w:rsid w:val="004B4396"/>
    <w:rsid w:val="004B4A7B"/>
    <w:rsid w:val="004B57A3"/>
    <w:rsid w:val="004B5AC8"/>
    <w:rsid w:val="004B607D"/>
    <w:rsid w:val="004B64D1"/>
    <w:rsid w:val="004B6F5C"/>
    <w:rsid w:val="004B7B21"/>
    <w:rsid w:val="004C00C8"/>
    <w:rsid w:val="004C0E27"/>
    <w:rsid w:val="004C2DB2"/>
    <w:rsid w:val="004C324B"/>
    <w:rsid w:val="004C3391"/>
    <w:rsid w:val="004C3779"/>
    <w:rsid w:val="004C3A91"/>
    <w:rsid w:val="004C3FBD"/>
    <w:rsid w:val="004C412C"/>
    <w:rsid w:val="004C494D"/>
    <w:rsid w:val="004C4A44"/>
    <w:rsid w:val="004C51CE"/>
    <w:rsid w:val="004C6780"/>
    <w:rsid w:val="004C6D62"/>
    <w:rsid w:val="004C6EFC"/>
    <w:rsid w:val="004C7579"/>
    <w:rsid w:val="004C75EE"/>
    <w:rsid w:val="004C78C3"/>
    <w:rsid w:val="004D00B3"/>
    <w:rsid w:val="004D11B8"/>
    <w:rsid w:val="004D1287"/>
    <w:rsid w:val="004D1332"/>
    <w:rsid w:val="004D215D"/>
    <w:rsid w:val="004D257A"/>
    <w:rsid w:val="004D3026"/>
    <w:rsid w:val="004D3762"/>
    <w:rsid w:val="004D4DAD"/>
    <w:rsid w:val="004D510E"/>
    <w:rsid w:val="004D5AE8"/>
    <w:rsid w:val="004D5BF4"/>
    <w:rsid w:val="004D5E35"/>
    <w:rsid w:val="004D604D"/>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06D3"/>
    <w:rsid w:val="004F13D0"/>
    <w:rsid w:val="004F19A6"/>
    <w:rsid w:val="004F3C08"/>
    <w:rsid w:val="004F44C7"/>
    <w:rsid w:val="004F489F"/>
    <w:rsid w:val="004F48F8"/>
    <w:rsid w:val="004F4915"/>
    <w:rsid w:val="004F6261"/>
    <w:rsid w:val="004F65D2"/>
    <w:rsid w:val="004F766F"/>
    <w:rsid w:val="004F7944"/>
    <w:rsid w:val="004F7BF5"/>
    <w:rsid w:val="00500B79"/>
    <w:rsid w:val="00500B84"/>
    <w:rsid w:val="005010B6"/>
    <w:rsid w:val="0050190F"/>
    <w:rsid w:val="005019F7"/>
    <w:rsid w:val="00501BB6"/>
    <w:rsid w:val="005037B4"/>
    <w:rsid w:val="005040AC"/>
    <w:rsid w:val="00504811"/>
    <w:rsid w:val="00504B5E"/>
    <w:rsid w:val="00505B93"/>
    <w:rsid w:val="00505CFF"/>
    <w:rsid w:val="005074F1"/>
    <w:rsid w:val="005077B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641"/>
    <w:rsid w:val="00521EBC"/>
    <w:rsid w:val="005221FA"/>
    <w:rsid w:val="00522396"/>
    <w:rsid w:val="00522BDB"/>
    <w:rsid w:val="00524CC5"/>
    <w:rsid w:val="00524CD7"/>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7C87"/>
    <w:rsid w:val="00540029"/>
    <w:rsid w:val="00540F3C"/>
    <w:rsid w:val="005419B4"/>
    <w:rsid w:val="00542B3A"/>
    <w:rsid w:val="00544EC9"/>
    <w:rsid w:val="00545E6A"/>
    <w:rsid w:val="005508E5"/>
    <w:rsid w:val="00550F81"/>
    <w:rsid w:val="005515B5"/>
    <w:rsid w:val="00551714"/>
    <w:rsid w:val="00551D75"/>
    <w:rsid w:val="005520BF"/>
    <w:rsid w:val="00552198"/>
    <w:rsid w:val="005527B6"/>
    <w:rsid w:val="00554431"/>
    <w:rsid w:val="00555C32"/>
    <w:rsid w:val="00556814"/>
    <w:rsid w:val="00557D6A"/>
    <w:rsid w:val="005621AD"/>
    <w:rsid w:val="00562474"/>
    <w:rsid w:val="00563BDC"/>
    <w:rsid w:val="00563FE5"/>
    <w:rsid w:val="00564721"/>
    <w:rsid w:val="00565407"/>
    <w:rsid w:val="0056598A"/>
    <w:rsid w:val="005660F0"/>
    <w:rsid w:val="0056692A"/>
    <w:rsid w:val="00566997"/>
    <w:rsid w:val="00566F85"/>
    <w:rsid w:val="00567154"/>
    <w:rsid w:val="005673C2"/>
    <w:rsid w:val="00570139"/>
    <w:rsid w:val="00570A27"/>
    <w:rsid w:val="00570A2E"/>
    <w:rsid w:val="00571235"/>
    <w:rsid w:val="005720DF"/>
    <w:rsid w:val="00572195"/>
    <w:rsid w:val="00572B55"/>
    <w:rsid w:val="00573665"/>
    <w:rsid w:val="0057438B"/>
    <w:rsid w:val="00574B70"/>
    <w:rsid w:val="00575BB2"/>
    <w:rsid w:val="00575D6B"/>
    <w:rsid w:val="00577327"/>
    <w:rsid w:val="005774AF"/>
    <w:rsid w:val="00577B42"/>
    <w:rsid w:val="00580FC0"/>
    <w:rsid w:val="00581C0F"/>
    <w:rsid w:val="00581D99"/>
    <w:rsid w:val="00582919"/>
    <w:rsid w:val="005832D5"/>
    <w:rsid w:val="005833AC"/>
    <w:rsid w:val="005840D6"/>
    <w:rsid w:val="0058547C"/>
    <w:rsid w:val="00585902"/>
    <w:rsid w:val="00585A8F"/>
    <w:rsid w:val="00586760"/>
    <w:rsid w:val="00587366"/>
    <w:rsid w:val="005876AF"/>
    <w:rsid w:val="005878DD"/>
    <w:rsid w:val="00587A7A"/>
    <w:rsid w:val="00590BB3"/>
    <w:rsid w:val="00592B9F"/>
    <w:rsid w:val="0059422B"/>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3E46"/>
    <w:rsid w:val="005C4072"/>
    <w:rsid w:val="005C4817"/>
    <w:rsid w:val="005C4EBC"/>
    <w:rsid w:val="005C4EEC"/>
    <w:rsid w:val="005C540C"/>
    <w:rsid w:val="005C54EF"/>
    <w:rsid w:val="005C637A"/>
    <w:rsid w:val="005C6CE3"/>
    <w:rsid w:val="005C6DEC"/>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170"/>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4E2"/>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5C3"/>
    <w:rsid w:val="006037DA"/>
    <w:rsid w:val="00604626"/>
    <w:rsid w:val="00604AC3"/>
    <w:rsid w:val="00605D3E"/>
    <w:rsid w:val="00606165"/>
    <w:rsid w:val="0060655B"/>
    <w:rsid w:val="00606A50"/>
    <w:rsid w:val="00606DC7"/>
    <w:rsid w:val="00606FE5"/>
    <w:rsid w:val="006071D8"/>
    <w:rsid w:val="0060753C"/>
    <w:rsid w:val="00611107"/>
    <w:rsid w:val="00611686"/>
    <w:rsid w:val="006116DE"/>
    <w:rsid w:val="00611921"/>
    <w:rsid w:val="00611FB6"/>
    <w:rsid w:val="006127AB"/>
    <w:rsid w:val="0061287F"/>
    <w:rsid w:val="00612ADE"/>
    <w:rsid w:val="00612CB2"/>
    <w:rsid w:val="00612E6D"/>
    <w:rsid w:val="00613297"/>
    <w:rsid w:val="00613980"/>
    <w:rsid w:val="00613B9E"/>
    <w:rsid w:val="00616B24"/>
    <w:rsid w:val="0061722C"/>
    <w:rsid w:val="006174EC"/>
    <w:rsid w:val="00620179"/>
    <w:rsid w:val="00621C12"/>
    <w:rsid w:val="006228BC"/>
    <w:rsid w:val="00622B06"/>
    <w:rsid w:val="0062357F"/>
    <w:rsid w:val="0062365A"/>
    <w:rsid w:val="006238D2"/>
    <w:rsid w:val="0062416F"/>
    <w:rsid w:val="00625557"/>
    <w:rsid w:val="0062622B"/>
    <w:rsid w:val="00627DF5"/>
    <w:rsid w:val="00630609"/>
    <w:rsid w:val="00631337"/>
    <w:rsid w:val="006314A8"/>
    <w:rsid w:val="00631A28"/>
    <w:rsid w:val="00632B31"/>
    <w:rsid w:val="00633171"/>
    <w:rsid w:val="0063422F"/>
    <w:rsid w:val="00637311"/>
    <w:rsid w:val="006402EE"/>
    <w:rsid w:val="006412FD"/>
    <w:rsid w:val="00641924"/>
    <w:rsid w:val="00641AB0"/>
    <w:rsid w:val="00642B18"/>
    <w:rsid w:val="00643B42"/>
    <w:rsid w:val="00643D5D"/>
    <w:rsid w:val="00644C6E"/>
    <w:rsid w:val="006460B5"/>
    <w:rsid w:val="00646A08"/>
    <w:rsid w:val="006508C1"/>
    <w:rsid w:val="00651431"/>
    <w:rsid w:val="00651B1B"/>
    <w:rsid w:val="0065212B"/>
    <w:rsid w:val="00652EA1"/>
    <w:rsid w:val="00653CD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6727B"/>
    <w:rsid w:val="006677F7"/>
    <w:rsid w:val="00670087"/>
    <w:rsid w:val="006711DB"/>
    <w:rsid w:val="0067245D"/>
    <w:rsid w:val="00672FCD"/>
    <w:rsid w:val="00674C1B"/>
    <w:rsid w:val="006751CA"/>
    <w:rsid w:val="00675AC5"/>
    <w:rsid w:val="00675D22"/>
    <w:rsid w:val="00676A29"/>
    <w:rsid w:val="006770E9"/>
    <w:rsid w:val="00677556"/>
    <w:rsid w:val="00677899"/>
    <w:rsid w:val="00677AAD"/>
    <w:rsid w:val="006803E4"/>
    <w:rsid w:val="0068178C"/>
    <w:rsid w:val="00682B40"/>
    <w:rsid w:val="00684F0B"/>
    <w:rsid w:val="00685D21"/>
    <w:rsid w:val="00686CD7"/>
    <w:rsid w:val="006870BD"/>
    <w:rsid w:val="00690989"/>
    <w:rsid w:val="00692B64"/>
    <w:rsid w:val="0069302E"/>
    <w:rsid w:val="00693427"/>
    <w:rsid w:val="00693495"/>
    <w:rsid w:val="00693EF3"/>
    <w:rsid w:val="00694432"/>
    <w:rsid w:val="00694CAC"/>
    <w:rsid w:val="00694F35"/>
    <w:rsid w:val="006950EE"/>
    <w:rsid w:val="0069518A"/>
    <w:rsid w:val="00695AFE"/>
    <w:rsid w:val="00696880"/>
    <w:rsid w:val="00696990"/>
    <w:rsid w:val="006969CA"/>
    <w:rsid w:val="00696EF8"/>
    <w:rsid w:val="006A1EE9"/>
    <w:rsid w:val="006A1FD4"/>
    <w:rsid w:val="006A2B11"/>
    <w:rsid w:val="006A3A04"/>
    <w:rsid w:val="006A430D"/>
    <w:rsid w:val="006A4D91"/>
    <w:rsid w:val="006A516D"/>
    <w:rsid w:val="006A5558"/>
    <w:rsid w:val="006A56DE"/>
    <w:rsid w:val="006A6278"/>
    <w:rsid w:val="006A628C"/>
    <w:rsid w:val="006A685B"/>
    <w:rsid w:val="006A6958"/>
    <w:rsid w:val="006A6F3A"/>
    <w:rsid w:val="006A78DC"/>
    <w:rsid w:val="006A7D36"/>
    <w:rsid w:val="006A7FDB"/>
    <w:rsid w:val="006B0198"/>
    <w:rsid w:val="006B12E8"/>
    <w:rsid w:val="006B1B90"/>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35"/>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D57C3"/>
    <w:rsid w:val="006E0D75"/>
    <w:rsid w:val="006E1056"/>
    <w:rsid w:val="006E21D4"/>
    <w:rsid w:val="006E27CA"/>
    <w:rsid w:val="006E4010"/>
    <w:rsid w:val="006E47E7"/>
    <w:rsid w:val="006E5131"/>
    <w:rsid w:val="006E54D3"/>
    <w:rsid w:val="006E694E"/>
    <w:rsid w:val="006F0271"/>
    <w:rsid w:val="006F07F8"/>
    <w:rsid w:val="006F0A09"/>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700173"/>
    <w:rsid w:val="00701047"/>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031D"/>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5E7"/>
    <w:rsid w:val="007237BF"/>
    <w:rsid w:val="00723884"/>
    <w:rsid w:val="00724054"/>
    <w:rsid w:val="0072483C"/>
    <w:rsid w:val="00725463"/>
    <w:rsid w:val="007301D7"/>
    <w:rsid w:val="00730D94"/>
    <w:rsid w:val="00731194"/>
    <w:rsid w:val="00731C85"/>
    <w:rsid w:val="00732469"/>
    <w:rsid w:val="007326B7"/>
    <w:rsid w:val="00732EA5"/>
    <w:rsid w:val="00733130"/>
    <w:rsid w:val="007335A2"/>
    <w:rsid w:val="00735205"/>
    <w:rsid w:val="0073540B"/>
    <w:rsid w:val="00735965"/>
    <w:rsid w:val="00736B9E"/>
    <w:rsid w:val="00736D69"/>
    <w:rsid w:val="007377E3"/>
    <w:rsid w:val="00740719"/>
    <w:rsid w:val="007408CD"/>
    <w:rsid w:val="00740A75"/>
    <w:rsid w:val="00741374"/>
    <w:rsid w:val="00741C5B"/>
    <w:rsid w:val="007422EF"/>
    <w:rsid w:val="00742974"/>
    <w:rsid w:val="00743C9C"/>
    <w:rsid w:val="00744FE0"/>
    <w:rsid w:val="00746026"/>
    <w:rsid w:val="00746D8D"/>
    <w:rsid w:val="0074727C"/>
    <w:rsid w:val="007472FC"/>
    <w:rsid w:val="00747727"/>
    <w:rsid w:val="0074796B"/>
    <w:rsid w:val="007479C2"/>
    <w:rsid w:val="00747F0B"/>
    <w:rsid w:val="00747F3D"/>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8E7"/>
    <w:rsid w:val="00760CCF"/>
    <w:rsid w:val="0076130D"/>
    <w:rsid w:val="00761335"/>
    <w:rsid w:val="00761716"/>
    <w:rsid w:val="007617AE"/>
    <w:rsid w:val="007617F3"/>
    <w:rsid w:val="00761A6A"/>
    <w:rsid w:val="00761FF2"/>
    <w:rsid w:val="00762E88"/>
    <w:rsid w:val="0076300A"/>
    <w:rsid w:val="00765686"/>
    <w:rsid w:val="00765D83"/>
    <w:rsid w:val="00766A89"/>
    <w:rsid w:val="007671BB"/>
    <w:rsid w:val="007674CB"/>
    <w:rsid w:val="00767703"/>
    <w:rsid w:val="00770454"/>
    <w:rsid w:val="00770A64"/>
    <w:rsid w:val="00770B33"/>
    <w:rsid w:val="00770BBC"/>
    <w:rsid w:val="00771243"/>
    <w:rsid w:val="00771337"/>
    <w:rsid w:val="00771FED"/>
    <w:rsid w:val="00772095"/>
    <w:rsid w:val="0077306A"/>
    <w:rsid w:val="007732F0"/>
    <w:rsid w:val="00774459"/>
    <w:rsid w:val="00774DFD"/>
    <w:rsid w:val="00775353"/>
    <w:rsid w:val="007760C8"/>
    <w:rsid w:val="007761CE"/>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6DD"/>
    <w:rsid w:val="00790804"/>
    <w:rsid w:val="007908A0"/>
    <w:rsid w:val="007914E4"/>
    <w:rsid w:val="007918F9"/>
    <w:rsid w:val="0079378F"/>
    <w:rsid w:val="007940E8"/>
    <w:rsid w:val="00795745"/>
    <w:rsid w:val="00795D47"/>
    <w:rsid w:val="0079672F"/>
    <w:rsid w:val="00797148"/>
    <w:rsid w:val="007A1118"/>
    <w:rsid w:val="007A1303"/>
    <w:rsid w:val="007A1D80"/>
    <w:rsid w:val="007A1FD6"/>
    <w:rsid w:val="007A2C34"/>
    <w:rsid w:val="007A4CEA"/>
    <w:rsid w:val="007A52D0"/>
    <w:rsid w:val="007A6016"/>
    <w:rsid w:val="007A6979"/>
    <w:rsid w:val="007A77F5"/>
    <w:rsid w:val="007A7B06"/>
    <w:rsid w:val="007B0020"/>
    <w:rsid w:val="007B0864"/>
    <w:rsid w:val="007B09E1"/>
    <w:rsid w:val="007B173E"/>
    <w:rsid w:val="007B215C"/>
    <w:rsid w:val="007B2228"/>
    <w:rsid w:val="007B30F3"/>
    <w:rsid w:val="007B3846"/>
    <w:rsid w:val="007B3C8F"/>
    <w:rsid w:val="007C0013"/>
    <w:rsid w:val="007C23C4"/>
    <w:rsid w:val="007C37D2"/>
    <w:rsid w:val="007C393A"/>
    <w:rsid w:val="007C3B22"/>
    <w:rsid w:val="007C4D41"/>
    <w:rsid w:val="007C522C"/>
    <w:rsid w:val="007C6C5A"/>
    <w:rsid w:val="007D2A1A"/>
    <w:rsid w:val="007D2E5F"/>
    <w:rsid w:val="007D4253"/>
    <w:rsid w:val="007D4C10"/>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08E8"/>
    <w:rsid w:val="007F1FB3"/>
    <w:rsid w:val="007F254E"/>
    <w:rsid w:val="007F283E"/>
    <w:rsid w:val="007F3166"/>
    <w:rsid w:val="007F3B89"/>
    <w:rsid w:val="007F42D7"/>
    <w:rsid w:val="007F4490"/>
    <w:rsid w:val="007F4937"/>
    <w:rsid w:val="007F4BCC"/>
    <w:rsid w:val="007F5F5B"/>
    <w:rsid w:val="007F6CB3"/>
    <w:rsid w:val="007F7690"/>
    <w:rsid w:val="00800647"/>
    <w:rsid w:val="008006A4"/>
    <w:rsid w:val="00801802"/>
    <w:rsid w:val="00803459"/>
    <w:rsid w:val="0080446B"/>
    <w:rsid w:val="0080467D"/>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272"/>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1014"/>
    <w:rsid w:val="00841A14"/>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075"/>
    <w:rsid w:val="00866DE8"/>
    <w:rsid w:val="00866F1B"/>
    <w:rsid w:val="00867743"/>
    <w:rsid w:val="00867D0D"/>
    <w:rsid w:val="00870B20"/>
    <w:rsid w:val="00870C2F"/>
    <w:rsid w:val="00870D08"/>
    <w:rsid w:val="0087111F"/>
    <w:rsid w:val="00872A7B"/>
    <w:rsid w:val="00873348"/>
    <w:rsid w:val="0087356C"/>
    <w:rsid w:val="008737E9"/>
    <w:rsid w:val="00875167"/>
    <w:rsid w:val="00877472"/>
    <w:rsid w:val="00880095"/>
    <w:rsid w:val="00880236"/>
    <w:rsid w:val="00880BA5"/>
    <w:rsid w:val="00881753"/>
    <w:rsid w:val="008826F4"/>
    <w:rsid w:val="008827C1"/>
    <w:rsid w:val="00882DE1"/>
    <w:rsid w:val="00883450"/>
    <w:rsid w:val="008835C6"/>
    <w:rsid w:val="00883659"/>
    <w:rsid w:val="00884511"/>
    <w:rsid w:val="00887A2E"/>
    <w:rsid w:val="00891563"/>
    <w:rsid w:val="00892281"/>
    <w:rsid w:val="00892282"/>
    <w:rsid w:val="00892449"/>
    <w:rsid w:val="008929DD"/>
    <w:rsid w:val="0089358F"/>
    <w:rsid w:val="00894303"/>
    <w:rsid w:val="00895D34"/>
    <w:rsid w:val="00896700"/>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59E4"/>
    <w:rsid w:val="008B5BE7"/>
    <w:rsid w:val="008B6281"/>
    <w:rsid w:val="008B649A"/>
    <w:rsid w:val="008B6C0A"/>
    <w:rsid w:val="008B6DE0"/>
    <w:rsid w:val="008C2B3C"/>
    <w:rsid w:val="008C382F"/>
    <w:rsid w:val="008C41A7"/>
    <w:rsid w:val="008C41AE"/>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5123"/>
    <w:rsid w:val="008E63E8"/>
    <w:rsid w:val="008E6986"/>
    <w:rsid w:val="008E6C1A"/>
    <w:rsid w:val="008E6D05"/>
    <w:rsid w:val="008E7A93"/>
    <w:rsid w:val="008F12E6"/>
    <w:rsid w:val="008F1B10"/>
    <w:rsid w:val="008F1E64"/>
    <w:rsid w:val="008F375A"/>
    <w:rsid w:val="008F4404"/>
    <w:rsid w:val="008F4921"/>
    <w:rsid w:val="008F52B4"/>
    <w:rsid w:val="008F5D01"/>
    <w:rsid w:val="008F6458"/>
    <w:rsid w:val="009017D1"/>
    <w:rsid w:val="00902959"/>
    <w:rsid w:val="00902E5A"/>
    <w:rsid w:val="00903058"/>
    <w:rsid w:val="00903242"/>
    <w:rsid w:val="00903BBA"/>
    <w:rsid w:val="009055FD"/>
    <w:rsid w:val="00905B22"/>
    <w:rsid w:val="009061D3"/>
    <w:rsid w:val="009062C0"/>
    <w:rsid w:val="009071FE"/>
    <w:rsid w:val="0091079B"/>
    <w:rsid w:val="00910A8B"/>
    <w:rsid w:val="0091154D"/>
    <w:rsid w:val="0091369F"/>
    <w:rsid w:val="009145A9"/>
    <w:rsid w:val="00914A6E"/>
    <w:rsid w:val="00915245"/>
    <w:rsid w:val="00915778"/>
    <w:rsid w:val="00915C84"/>
    <w:rsid w:val="009164D0"/>
    <w:rsid w:val="009164DD"/>
    <w:rsid w:val="00916840"/>
    <w:rsid w:val="00917B05"/>
    <w:rsid w:val="009204FF"/>
    <w:rsid w:val="00920F93"/>
    <w:rsid w:val="0092262C"/>
    <w:rsid w:val="00924CEA"/>
    <w:rsid w:val="009256FF"/>
    <w:rsid w:val="00925E2A"/>
    <w:rsid w:val="00925ED1"/>
    <w:rsid w:val="00925F38"/>
    <w:rsid w:val="00927CF6"/>
    <w:rsid w:val="009316E9"/>
    <w:rsid w:val="009325ED"/>
    <w:rsid w:val="009337EC"/>
    <w:rsid w:val="00933835"/>
    <w:rsid w:val="00934F4D"/>
    <w:rsid w:val="00935B80"/>
    <w:rsid w:val="00935DA0"/>
    <w:rsid w:val="00936FCD"/>
    <w:rsid w:val="0093734D"/>
    <w:rsid w:val="00937767"/>
    <w:rsid w:val="00940F1B"/>
    <w:rsid w:val="00941637"/>
    <w:rsid w:val="009416A5"/>
    <w:rsid w:val="00941B55"/>
    <w:rsid w:val="00942E0C"/>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B57"/>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3972"/>
    <w:rsid w:val="00985D7A"/>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B7ED1"/>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0E2A"/>
    <w:rsid w:val="009E1584"/>
    <w:rsid w:val="009E1C30"/>
    <w:rsid w:val="009E241F"/>
    <w:rsid w:val="009E3C59"/>
    <w:rsid w:val="009E4942"/>
    <w:rsid w:val="009E5D70"/>
    <w:rsid w:val="009F124C"/>
    <w:rsid w:val="009F1480"/>
    <w:rsid w:val="009F1E4C"/>
    <w:rsid w:val="009F1F30"/>
    <w:rsid w:val="009F263F"/>
    <w:rsid w:val="009F3F06"/>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547F"/>
    <w:rsid w:val="00A25E2D"/>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5E16"/>
    <w:rsid w:val="00A3629E"/>
    <w:rsid w:val="00A370D1"/>
    <w:rsid w:val="00A37925"/>
    <w:rsid w:val="00A40ACB"/>
    <w:rsid w:val="00A41518"/>
    <w:rsid w:val="00A41E4A"/>
    <w:rsid w:val="00A42506"/>
    <w:rsid w:val="00A42BC6"/>
    <w:rsid w:val="00A42C3A"/>
    <w:rsid w:val="00A4327F"/>
    <w:rsid w:val="00A43392"/>
    <w:rsid w:val="00A4365E"/>
    <w:rsid w:val="00A442C4"/>
    <w:rsid w:val="00A443C1"/>
    <w:rsid w:val="00A45CFF"/>
    <w:rsid w:val="00A462D5"/>
    <w:rsid w:val="00A46F7A"/>
    <w:rsid w:val="00A474C0"/>
    <w:rsid w:val="00A477D0"/>
    <w:rsid w:val="00A50234"/>
    <w:rsid w:val="00A50953"/>
    <w:rsid w:val="00A50CA1"/>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6DC"/>
    <w:rsid w:val="00A74E9D"/>
    <w:rsid w:val="00A754AF"/>
    <w:rsid w:val="00A756C8"/>
    <w:rsid w:val="00A75A23"/>
    <w:rsid w:val="00A75EE4"/>
    <w:rsid w:val="00A76BEE"/>
    <w:rsid w:val="00A770CD"/>
    <w:rsid w:val="00A77AA8"/>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1CE"/>
    <w:rsid w:val="00A91D16"/>
    <w:rsid w:val="00A92889"/>
    <w:rsid w:val="00A92D7D"/>
    <w:rsid w:val="00A941F5"/>
    <w:rsid w:val="00A94982"/>
    <w:rsid w:val="00A94D69"/>
    <w:rsid w:val="00A9576E"/>
    <w:rsid w:val="00A97EE2"/>
    <w:rsid w:val="00AA0660"/>
    <w:rsid w:val="00AA0C1B"/>
    <w:rsid w:val="00AA0C32"/>
    <w:rsid w:val="00AA13C2"/>
    <w:rsid w:val="00AA218B"/>
    <w:rsid w:val="00AA223A"/>
    <w:rsid w:val="00AA22A7"/>
    <w:rsid w:val="00AA23F6"/>
    <w:rsid w:val="00AA2A0A"/>
    <w:rsid w:val="00AA359E"/>
    <w:rsid w:val="00AA384F"/>
    <w:rsid w:val="00AA41CF"/>
    <w:rsid w:val="00AA590E"/>
    <w:rsid w:val="00AA60EE"/>
    <w:rsid w:val="00AA6228"/>
    <w:rsid w:val="00AA69A4"/>
    <w:rsid w:val="00AA736D"/>
    <w:rsid w:val="00AB1761"/>
    <w:rsid w:val="00AB2419"/>
    <w:rsid w:val="00AB258C"/>
    <w:rsid w:val="00AB274F"/>
    <w:rsid w:val="00AB37CE"/>
    <w:rsid w:val="00AB4EE0"/>
    <w:rsid w:val="00AB4F6A"/>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328"/>
    <w:rsid w:val="00AE28FE"/>
    <w:rsid w:val="00AE2DB3"/>
    <w:rsid w:val="00AE32E5"/>
    <w:rsid w:val="00AE38A6"/>
    <w:rsid w:val="00AE4AFC"/>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06280"/>
    <w:rsid w:val="00B10987"/>
    <w:rsid w:val="00B10BAD"/>
    <w:rsid w:val="00B119B6"/>
    <w:rsid w:val="00B11A97"/>
    <w:rsid w:val="00B124B4"/>
    <w:rsid w:val="00B13D85"/>
    <w:rsid w:val="00B13EC1"/>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5275"/>
    <w:rsid w:val="00B252A2"/>
    <w:rsid w:val="00B25407"/>
    <w:rsid w:val="00B263B2"/>
    <w:rsid w:val="00B26AFA"/>
    <w:rsid w:val="00B27684"/>
    <w:rsid w:val="00B27805"/>
    <w:rsid w:val="00B30A40"/>
    <w:rsid w:val="00B30B2D"/>
    <w:rsid w:val="00B30EF0"/>
    <w:rsid w:val="00B311A1"/>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2096"/>
    <w:rsid w:val="00B54161"/>
    <w:rsid w:val="00B549E4"/>
    <w:rsid w:val="00B54A22"/>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058"/>
    <w:rsid w:val="00B77623"/>
    <w:rsid w:val="00B81371"/>
    <w:rsid w:val="00B8193E"/>
    <w:rsid w:val="00B81DD6"/>
    <w:rsid w:val="00B8335E"/>
    <w:rsid w:val="00B83900"/>
    <w:rsid w:val="00B84FED"/>
    <w:rsid w:val="00B85B1C"/>
    <w:rsid w:val="00B8601B"/>
    <w:rsid w:val="00B86C2C"/>
    <w:rsid w:val="00B86D4B"/>
    <w:rsid w:val="00B86E90"/>
    <w:rsid w:val="00B90D3C"/>
    <w:rsid w:val="00B91835"/>
    <w:rsid w:val="00B91FA8"/>
    <w:rsid w:val="00B91FAB"/>
    <w:rsid w:val="00B9204A"/>
    <w:rsid w:val="00B920F1"/>
    <w:rsid w:val="00B924C9"/>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34F9"/>
    <w:rsid w:val="00BA3F66"/>
    <w:rsid w:val="00BA4537"/>
    <w:rsid w:val="00BA4A54"/>
    <w:rsid w:val="00BA56A8"/>
    <w:rsid w:val="00BA5DD6"/>
    <w:rsid w:val="00BA61BB"/>
    <w:rsid w:val="00BA62CB"/>
    <w:rsid w:val="00BA75C1"/>
    <w:rsid w:val="00BA797B"/>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3F5C"/>
    <w:rsid w:val="00BC4E4B"/>
    <w:rsid w:val="00BC5BA0"/>
    <w:rsid w:val="00BC69B7"/>
    <w:rsid w:val="00BC755B"/>
    <w:rsid w:val="00BC7DCE"/>
    <w:rsid w:val="00BD1B67"/>
    <w:rsid w:val="00BD30EA"/>
    <w:rsid w:val="00BD3BA2"/>
    <w:rsid w:val="00BD3FFB"/>
    <w:rsid w:val="00BD433F"/>
    <w:rsid w:val="00BD5ACF"/>
    <w:rsid w:val="00BD5FC4"/>
    <w:rsid w:val="00BD76B4"/>
    <w:rsid w:val="00BE00FA"/>
    <w:rsid w:val="00BE0B1A"/>
    <w:rsid w:val="00BE0C95"/>
    <w:rsid w:val="00BE1028"/>
    <w:rsid w:val="00BE1152"/>
    <w:rsid w:val="00BE15C4"/>
    <w:rsid w:val="00BE203D"/>
    <w:rsid w:val="00BE26B9"/>
    <w:rsid w:val="00BE38BC"/>
    <w:rsid w:val="00BE430D"/>
    <w:rsid w:val="00BE5B14"/>
    <w:rsid w:val="00BE5F02"/>
    <w:rsid w:val="00BE63DC"/>
    <w:rsid w:val="00BE7363"/>
    <w:rsid w:val="00BF013C"/>
    <w:rsid w:val="00BF01CB"/>
    <w:rsid w:val="00BF02F7"/>
    <w:rsid w:val="00BF0438"/>
    <w:rsid w:val="00BF0462"/>
    <w:rsid w:val="00BF0848"/>
    <w:rsid w:val="00BF0D16"/>
    <w:rsid w:val="00BF2854"/>
    <w:rsid w:val="00BF2E2C"/>
    <w:rsid w:val="00BF310D"/>
    <w:rsid w:val="00BF36A7"/>
    <w:rsid w:val="00BF5B19"/>
    <w:rsid w:val="00BF5B55"/>
    <w:rsid w:val="00BF5CCC"/>
    <w:rsid w:val="00BF5EF4"/>
    <w:rsid w:val="00BF6A7C"/>
    <w:rsid w:val="00BF6D83"/>
    <w:rsid w:val="00C00017"/>
    <w:rsid w:val="00C0138A"/>
    <w:rsid w:val="00C020B9"/>
    <w:rsid w:val="00C0215D"/>
    <w:rsid w:val="00C0217D"/>
    <w:rsid w:val="00C023F8"/>
    <w:rsid w:val="00C02746"/>
    <w:rsid w:val="00C02AAB"/>
    <w:rsid w:val="00C03887"/>
    <w:rsid w:val="00C03C93"/>
    <w:rsid w:val="00C0515E"/>
    <w:rsid w:val="00C0577F"/>
    <w:rsid w:val="00C05C75"/>
    <w:rsid w:val="00C06DE1"/>
    <w:rsid w:val="00C10372"/>
    <w:rsid w:val="00C10A29"/>
    <w:rsid w:val="00C126E3"/>
    <w:rsid w:val="00C12D36"/>
    <w:rsid w:val="00C13B9F"/>
    <w:rsid w:val="00C14291"/>
    <w:rsid w:val="00C14542"/>
    <w:rsid w:val="00C15336"/>
    <w:rsid w:val="00C1673F"/>
    <w:rsid w:val="00C16AA8"/>
    <w:rsid w:val="00C16BBA"/>
    <w:rsid w:val="00C201C1"/>
    <w:rsid w:val="00C20722"/>
    <w:rsid w:val="00C21053"/>
    <w:rsid w:val="00C21141"/>
    <w:rsid w:val="00C2139F"/>
    <w:rsid w:val="00C2181B"/>
    <w:rsid w:val="00C22888"/>
    <w:rsid w:val="00C22E8E"/>
    <w:rsid w:val="00C22F9F"/>
    <w:rsid w:val="00C23941"/>
    <w:rsid w:val="00C24339"/>
    <w:rsid w:val="00C24682"/>
    <w:rsid w:val="00C24965"/>
    <w:rsid w:val="00C26954"/>
    <w:rsid w:val="00C271AA"/>
    <w:rsid w:val="00C279AD"/>
    <w:rsid w:val="00C27CBC"/>
    <w:rsid w:val="00C3089B"/>
    <w:rsid w:val="00C30F98"/>
    <w:rsid w:val="00C3112A"/>
    <w:rsid w:val="00C318B7"/>
    <w:rsid w:val="00C31C9D"/>
    <w:rsid w:val="00C31CF1"/>
    <w:rsid w:val="00C31F3D"/>
    <w:rsid w:val="00C34285"/>
    <w:rsid w:val="00C35103"/>
    <w:rsid w:val="00C35483"/>
    <w:rsid w:val="00C378D3"/>
    <w:rsid w:val="00C40C91"/>
    <w:rsid w:val="00C41C75"/>
    <w:rsid w:val="00C43270"/>
    <w:rsid w:val="00C43B2C"/>
    <w:rsid w:val="00C43EE3"/>
    <w:rsid w:val="00C440BE"/>
    <w:rsid w:val="00C44212"/>
    <w:rsid w:val="00C454A9"/>
    <w:rsid w:val="00C45BF0"/>
    <w:rsid w:val="00C45FA0"/>
    <w:rsid w:val="00C46026"/>
    <w:rsid w:val="00C46471"/>
    <w:rsid w:val="00C50D78"/>
    <w:rsid w:val="00C51596"/>
    <w:rsid w:val="00C5279D"/>
    <w:rsid w:val="00C5394F"/>
    <w:rsid w:val="00C53F0C"/>
    <w:rsid w:val="00C5487B"/>
    <w:rsid w:val="00C54C98"/>
    <w:rsid w:val="00C55302"/>
    <w:rsid w:val="00C559EF"/>
    <w:rsid w:val="00C55E7B"/>
    <w:rsid w:val="00C56C71"/>
    <w:rsid w:val="00C56FDA"/>
    <w:rsid w:val="00C571C2"/>
    <w:rsid w:val="00C57782"/>
    <w:rsid w:val="00C6051A"/>
    <w:rsid w:val="00C616EE"/>
    <w:rsid w:val="00C61E8D"/>
    <w:rsid w:val="00C6220B"/>
    <w:rsid w:val="00C6469C"/>
    <w:rsid w:val="00C6565C"/>
    <w:rsid w:val="00C6595D"/>
    <w:rsid w:val="00C66059"/>
    <w:rsid w:val="00C66443"/>
    <w:rsid w:val="00C66506"/>
    <w:rsid w:val="00C66C67"/>
    <w:rsid w:val="00C67920"/>
    <w:rsid w:val="00C7024C"/>
    <w:rsid w:val="00C71E96"/>
    <w:rsid w:val="00C71FF4"/>
    <w:rsid w:val="00C733E9"/>
    <w:rsid w:val="00C7354D"/>
    <w:rsid w:val="00C73C25"/>
    <w:rsid w:val="00C748E7"/>
    <w:rsid w:val="00C74F56"/>
    <w:rsid w:val="00C750A0"/>
    <w:rsid w:val="00C76080"/>
    <w:rsid w:val="00C76498"/>
    <w:rsid w:val="00C76908"/>
    <w:rsid w:val="00C776E5"/>
    <w:rsid w:val="00C80542"/>
    <w:rsid w:val="00C80991"/>
    <w:rsid w:val="00C80BE8"/>
    <w:rsid w:val="00C80EFB"/>
    <w:rsid w:val="00C81097"/>
    <w:rsid w:val="00C82422"/>
    <w:rsid w:val="00C82B21"/>
    <w:rsid w:val="00C83A91"/>
    <w:rsid w:val="00C84A05"/>
    <w:rsid w:val="00C851D9"/>
    <w:rsid w:val="00C86964"/>
    <w:rsid w:val="00C86C1E"/>
    <w:rsid w:val="00C87160"/>
    <w:rsid w:val="00C87449"/>
    <w:rsid w:val="00C90BE5"/>
    <w:rsid w:val="00C90C75"/>
    <w:rsid w:val="00C910AC"/>
    <w:rsid w:val="00C92AD2"/>
    <w:rsid w:val="00C9357D"/>
    <w:rsid w:val="00C9486B"/>
    <w:rsid w:val="00C9545D"/>
    <w:rsid w:val="00C978B2"/>
    <w:rsid w:val="00CA063C"/>
    <w:rsid w:val="00CA06D5"/>
    <w:rsid w:val="00CA18ED"/>
    <w:rsid w:val="00CA1D49"/>
    <w:rsid w:val="00CA1EBC"/>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A4B"/>
    <w:rsid w:val="00CC0CC7"/>
    <w:rsid w:val="00CC0CE3"/>
    <w:rsid w:val="00CC0EA9"/>
    <w:rsid w:val="00CC1738"/>
    <w:rsid w:val="00CC21C7"/>
    <w:rsid w:val="00CC360E"/>
    <w:rsid w:val="00CC3656"/>
    <w:rsid w:val="00CC3AED"/>
    <w:rsid w:val="00CC41A7"/>
    <w:rsid w:val="00CC458C"/>
    <w:rsid w:val="00CC5686"/>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270B"/>
    <w:rsid w:val="00CE3ACB"/>
    <w:rsid w:val="00CE57DE"/>
    <w:rsid w:val="00CE5FF9"/>
    <w:rsid w:val="00CE630A"/>
    <w:rsid w:val="00CE6F59"/>
    <w:rsid w:val="00CE7E6A"/>
    <w:rsid w:val="00CF0074"/>
    <w:rsid w:val="00CF116C"/>
    <w:rsid w:val="00CF1291"/>
    <w:rsid w:val="00CF1ADD"/>
    <w:rsid w:val="00CF1F77"/>
    <w:rsid w:val="00CF26CB"/>
    <w:rsid w:val="00CF2DB3"/>
    <w:rsid w:val="00CF377E"/>
    <w:rsid w:val="00CF3B06"/>
    <w:rsid w:val="00CF4F8C"/>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41E6"/>
    <w:rsid w:val="00D3451C"/>
    <w:rsid w:val="00D34CE2"/>
    <w:rsid w:val="00D3541F"/>
    <w:rsid w:val="00D3572E"/>
    <w:rsid w:val="00D35986"/>
    <w:rsid w:val="00D35E27"/>
    <w:rsid w:val="00D36173"/>
    <w:rsid w:val="00D36631"/>
    <w:rsid w:val="00D3789A"/>
    <w:rsid w:val="00D41301"/>
    <w:rsid w:val="00D41E2D"/>
    <w:rsid w:val="00D43146"/>
    <w:rsid w:val="00D4338A"/>
    <w:rsid w:val="00D43578"/>
    <w:rsid w:val="00D4395A"/>
    <w:rsid w:val="00D43AAD"/>
    <w:rsid w:val="00D451D1"/>
    <w:rsid w:val="00D45B8C"/>
    <w:rsid w:val="00D468C3"/>
    <w:rsid w:val="00D46D9C"/>
    <w:rsid w:val="00D4793C"/>
    <w:rsid w:val="00D47BD2"/>
    <w:rsid w:val="00D50842"/>
    <w:rsid w:val="00D51084"/>
    <w:rsid w:val="00D521BF"/>
    <w:rsid w:val="00D524EB"/>
    <w:rsid w:val="00D5273B"/>
    <w:rsid w:val="00D53931"/>
    <w:rsid w:val="00D53A58"/>
    <w:rsid w:val="00D53DA0"/>
    <w:rsid w:val="00D547D2"/>
    <w:rsid w:val="00D5594A"/>
    <w:rsid w:val="00D55B7A"/>
    <w:rsid w:val="00D573A8"/>
    <w:rsid w:val="00D577A6"/>
    <w:rsid w:val="00D57969"/>
    <w:rsid w:val="00D57990"/>
    <w:rsid w:val="00D6024B"/>
    <w:rsid w:val="00D60281"/>
    <w:rsid w:val="00D608A1"/>
    <w:rsid w:val="00D608A8"/>
    <w:rsid w:val="00D60E1C"/>
    <w:rsid w:val="00D6131A"/>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13A4"/>
    <w:rsid w:val="00DA2186"/>
    <w:rsid w:val="00DA2BD5"/>
    <w:rsid w:val="00DA2F08"/>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0322"/>
    <w:rsid w:val="00DE156E"/>
    <w:rsid w:val="00DE236C"/>
    <w:rsid w:val="00DE28A7"/>
    <w:rsid w:val="00DE329E"/>
    <w:rsid w:val="00DE3ABB"/>
    <w:rsid w:val="00DE3D8D"/>
    <w:rsid w:val="00DE5DB4"/>
    <w:rsid w:val="00DE70DC"/>
    <w:rsid w:val="00DE74C8"/>
    <w:rsid w:val="00DE787E"/>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1CB"/>
    <w:rsid w:val="00E016A3"/>
    <w:rsid w:val="00E01739"/>
    <w:rsid w:val="00E01CE3"/>
    <w:rsid w:val="00E02777"/>
    <w:rsid w:val="00E028C6"/>
    <w:rsid w:val="00E03246"/>
    <w:rsid w:val="00E03C0E"/>
    <w:rsid w:val="00E04848"/>
    <w:rsid w:val="00E05D8B"/>
    <w:rsid w:val="00E060DD"/>
    <w:rsid w:val="00E12D1C"/>
    <w:rsid w:val="00E140CC"/>
    <w:rsid w:val="00E15453"/>
    <w:rsid w:val="00E15875"/>
    <w:rsid w:val="00E15B5E"/>
    <w:rsid w:val="00E1688C"/>
    <w:rsid w:val="00E16A8F"/>
    <w:rsid w:val="00E16EE5"/>
    <w:rsid w:val="00E202BE"/>
    <w:rsid w:val="00E229C8"/>
    <w:rsid w:val="00E239DF"/>
    <w:rsid w:val="00E2518F"/>
    <w:rsid w:val="00E256F1"/>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4FB0"/>
    <w:rsid w:val="00E563A0"/>
    <w:rsid w:val="00E5713E"/>
    <w:rsid w:val="00E573EE"/>
    <w:rsid w:val="00E609BA"/>
    <w:rsid w:val="00E6120E"/>
    <w:rsid w:val="00E614DF"/>
    <w:rsid w:val="00E61CB9"/>
    <w:rsid w:val="00E62066"/>
    <w:rsid w:val="00E627D0"/>
    <w:rsid w:val="00E62DAE"/>
    <w:rsid w:val="00E63062"/>
    <w:rsid w:val="00E63879"/>
    <w:rsid w:val="00E643D5"/>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A50"/>
    <w:rsid w:val="00E82C38"/>
    <w:rsid w:val="00E83D40"/>
    <w:rsid w:val="00E83F4A"/>
    <w:rsid w:val="00E84957"/>
    <w:rsid w:val="00E84FE6"/>
    <w:rsid w:val="00E850FE"/>
    <w:rsid w:val="00E863D2"/>
    <w:rsid w:val="00E866E1"/>
    <w:rsid w:val="00E86EF4"/>
    <w:rsid w:val="00E875D4"/>
    <w:rsid w:val="00E87C8A"/>
    <w:rsid w:val="00E90F63"/>
    <w:rsid w:val="00E912B1"/>
    <w:rsid w:val="00E916C4"/>
    <w:rsid w:val="00E91722"/>
    <w:rsid w:val="00E91B4E"/>
    <w:rsid w:val="00E92247"/>
    <w:rsid w:val="00E92503"/>
    <w:rsid w:val="00E9259B"/>
    <w:rsid w:val="00E927E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4B06"/>
    <w:rsid w:val="00EA5392"/>
    <w:rsid w:val="00EA5A2F"/>
    <w:rsid w:val="00EA5A8E"/>
    <w:rsid w:val="00EA6454"/>
    <w:rsid w:val="00EA6C23"/>
    <w:rsid w:val="00EA7936"/>
    <w:rsid w:val="00EA795F"/>
    <w:rsid w:val="00EB00DC"/>
    <w:rsid w:val="00EB0CD2"/>
    <w:rsid w:val="00EB10A3"/>
    <w:rsid w:val="00EB1460"/>
    <w:rsid w:val="00EB1559"/>
    <w:rsid w:val="00EB19AE"/>
    <w:rsid w:val="00EB1B46"/>
    <w:rsid w:val="00EB1EF0"/>
    <w:rsid w:val="00EB249B"/>
    <w:rsid w:val="00EB291A"/>
    <w:rsid w:val="00EB407D"/>
    <w:rsid w:val="00EB40DC"/>
    <w:rsid w:val="00EB474F"/>
    <w:rsid w:val="00EB4847"/>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42B"/>
    <w:rsid w:val="00ED3F83"/>
    <w:rsid w:val="00ED49B6"/>
    <w:rsid w:val="00ED7EBA"/>
    <w:rsid w:val="00EE107C"/>
    <w:rsid w:val="00EE23EB"/>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CA5"/>
    <w:rsid w:val="00F05EAC"/>
    <w:rsid w:val="00F05FE6"/>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08"/>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52A0"/>
    <w:rsid w:val="00F458B2"/>
    <w:rsid w:val="00F45CE4"/>
    <w:rsid w:val="00F468DB"/>
    <w:rsid w:val="00F469F5"/>
    <w:rsid w:val="00F46E03"/>
    <w:rsid w:val="00F474F9"/>
    <w:rsid w:val="00F51118"/>
    <w:rsid w:val="00F51D89"/>
    <w:rsid w:val="00F523D6"/>
    <w:rsid w:val="00F52DE5"/>
    <w:rsid w:val="00F5370B"/>
    <w:rsid w:val="00F53DA1"/>
    <w:rsid w:val="00F5454C"/>
    <w:rsid w:val="00F54C8D"/>
    <w:rsid w:val="00F56189"/>
    <w:rsid w:val="00F5623F"/>
    <w:rsid w:val="00F56F2D"/>
    <w:rsid w:val="00F57112"/>
    <w:rsid w:val="00F5759B"/>
    <w:rsid w:val="00F6079C"/>
    <w:rsid w:val="00F60C62"/>
    <w:rsid w:val="00F62B08"/>
    <w:rsid w:val="00F62E76"/>
    <w:rsid w:val="00F645DC"/>
    <w:rsid w:val="00F67946"/>
    <w:rsid w:val="00F7061F"/>
    <w:rsid w:val="00F71078"/>
    <w:rsid w:val="00F71ECB"/>
    <w:rsid w:val="00F724B1"/>
    <w:rsid w:val="00F72CF5"/>
    <w:rsid w:val="00F73688"/>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5344"/>
    <w:rsid w:val="00F86316"/>
    <w:rsid w:val="00F86951"/>
    <w:rsid w:val="00F8702D"/>
    <w:rsid w:val="00F876BB"/>
    <w:rsid w:val="00F878C9"/>
    <w:rsid w:val="00F9000A"/>
    <w:rsid w:val="00F936ED"/>
    <w:rsid w:val="00F93EBF"/>
    <w:rsid w:val="00F957AE"/>
    <w:rsid w:val="00F95826"/>
    <w:rsid w:val="00F958F9"/>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E2025"/>
    <w:rsid w:val="00FE2651"/>
    <w:rsid w:val="00FE2E18"/>
    <w:rsid w:val="00FE3061"/>
    <w:rsid w:val="00FE32C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9AA"/>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0AC62F13-074B-4FC1-A989-E04B00B3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 w:type="paragraph" w:customStyle="1" w:styleId="gmail-msolistparagraph">
    <w:name w:val="gmail-msolistparagraph"/>
    <w:basedOn w:val="Normal"/>
    <w:rsid w:val="00050BAB"/>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lbl-encabezado-negro">
    <w:name w:val="lbl-encabezado-negro"/>
    <w:basedOn w:val="Fuentedeprrafopredeter"/>
    <w:rsid w:val="004C3391"/>
  </w:style>
  <w:style w:type="paragraph" w:customStyle="1" w:styleId="body">
    <w:name w:val="body"/>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4C3391"/>
  </w:style>
  <w:style w:type="character" w:customStyle="1" w:styleId="charoverride-1">
    <w:name w:val="charoverride-1"/>
    <w:basedOn w:val="Fuentedeprrafopredeter"/>
    <w:rsid w:val="004C3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4179301">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4036019">
      <w:bodyDiv w:val="1"/>
      <w:marLeft w:val="0"/>
      <w:marRight w:val="0"/>
      <w:marTop w:val="0"/>
      <w:marBottom w:val="0"/>
      <w:divBdr>
        <w:top w:val="none" w:sz="0" w:space="0" w:color="auto"/>
        <w:left w:val="none" w:sz="0" w:space="0" w:color="auto"/>
        <w:bottom w:val="none" w:sz="0" w:space="0" w:color="auto"/>
        <w:right w:val="none" w:sz="0" w:space="0" w:color="auto"/>
      </w:divBdr>
      <w:divsChild>
        <w:div w:id="974946060">
          <w:marLeft w:val="0"/>
          <w:marRight w:val="0"/>
          <w:marTop w:val="0"/>
          <w:marBottom w:val="101"/>
          <w:divBdr>
            <w:top w:val="none" w:sz="0" w:space="0" w:color="auto"/>
            <w:left w:val="none" w:sz="0" w:space="0" w:color="auto"/>
            <w:bottom w:val="none" w:sz="0" w:space="0" w:color="auto"/>
            <w:right w:val="none" w:sz="0" w:space="0" w:color="auto"/>
          </w:divBdr>
        </w:div>
        <w:div w:id="758909270">
          <w:marLeft w:val="864"/>
          <w:marRight w:val="0"/>
          <w:marTop w:val="0"/>
          <w:marBottom w:val="101"/>
          <w:divBdr>
            <w:top w:val="none" w:sz="0" w:space="0" w:color="auto"/>
            <w:left w:val="none" w:sz="0" w:space="0" w:color="auto"/>
            <w:bottom w:val="none" w:sz="0" w:space="0" w:color="auto"/>
            <w:right w:val="none" w:sz="0" w:space="0" w:color="auto"/>
          </w:divBdr>
        </w:div>
        <w:div w:id="603149273">
          <w:marLeft w:val="864"/>
          <w:marRight w:val="0"/>
          <w:marTop w:val="0"/>
          <w:marBottom w:val="101"/>
          <w:divBdr>
            <w:top w:val="none" w:sz="0" w:space="0" w:color="auto"/>
            <w:left w:val="none" w:sz="0" w:space="0" w:color="auto"/>
            <w:bottom w:val="none" w:sz="0" w:space="0" w:color="auto"/>
            <w:right w:val="none" w:sz="0" w:space="0" w:color="auto"/>
          </w:divBdr>
        </w:div>
        <w:div w:id="1553496852">
          <w:marLeft w:val="864"/>
          <w:marRight w:val="0"/>
          <w:marTop w:val="0"/>
          <w:marBottom w:val="101"/>
          <w:divBdr>
            <w:top w:val="none" w:sz="0" w:space="0" w:color="auto"/>
            <w:left w:val="none" w:sz="0" w:space="0" w:color="auto"/>
            <w:bottom w:val="none" w:sz="0" w:space="0" w:color="auto"/>
            <w:right w:val="none" w:sz="0" w:space="0" w:color="auto"/>
          </w:divBdr>
        </w:div>
        <w:div w:id="1802653722">
          <w:marLeft w:val="0"/>
          <w:marRight w:val="0"/>
          <w:marTop w:val="0"/>
          <w:marBottom w:val="101"/>
          <w:divBdr>
            <w:top w:val="none" w:sz="0" w:space="0" w:color="auto"/>
            <w:left w:val="none" w:sz="0" w:space="0" w:color="auto"/>
            <w:bottom w:val="none" w:sz="0" w:space="0" w:color="auto"/>
            <w:right w:val="none" w:sz="0" w:space="0" w:color="auto"/>
          </w:divBdr>
        </w:div>
      </w:divsChild>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39877076">
      <w:bodyDiv w:val="1"/>
      <w:marLeft w:val="0"/>
      <w:marRight w:val="0"/>
      <w:marTop w:val="0"/>
      <w:marBottom w:val="0"/>
      <w:divBdr>
        <w:top w:val="none" w:sz="0" w:space="0" w:color="auto"/>
        <w:left w:val="none" w:sz="0" w:space="0" w:color="auto"/>
        <w:bottom w:val="none" w:sz="0" w:space="0" w:color="auto"/>
        <w:right w:val="none" w:sz="0" w:space="0" w:color="auto"/>
      </w:divBdr>
    </w:div>
    <w:div w:id="242571405">
      <w:bodyDiv w:val="1"/>
      <w:marLeft w:val="0"/>
      <w:marRight w:val="0"/>
      <w:marTop w:val="0"/>
      <w:marBottom w:val="0"/>
      <w:divBdr>
        <w:top w:val="none" w:sz="0" w:space="0" w:color="auto"/>
        <w:left w:val="none" w:sz="0" w:space="0" w:color="auto"/>
        <w:bottom w:val="none" w:sz="0" w:space="0" w:color="auto"/>
        <w:right w:val="none" w:sz="0" w:space="0" w:color="auto"/>
      </w:divBdr>
      <w:divsChild>
        <w:div w:id="1273364977">
          <w:marLeft w:val="0"/>
          <w:marRight w:val="0"/>
          <w:marTop w:val="0"/>
          <w:marBottom w:val="0"/>
          <w:divBdr>
            <w:top w:val="none" w:sz="0" w:space="0" w:color="auto"/>
            <w:left w:val="none" w:sz="0" w:space="0" w:color="auto"/>
            <w:bottom w:val="none" w:sz="0" w:space="0" w:color="auto"/>
            <w:right w:val="none" w:sz="0" w:space="0" w:color="auto"/>
          </w:divBdr>
        </w:div>
      </w:divsChild>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82226497">
      <w:bodyDiv w:val="1"/>
      <w:marLeft w:val="0"/>
      <w:marRight w:val="0"/>
      <w:marTop w:val="0"/>
      <w:marBottom w:val="0"/>
      <w:divBdr>
        <w:top w:val="none" w:sz="0" w:space="0" w:color="auto"/>
        <w:left w:val="none" w:sz="0" w:space="0" w:color="auto"/>
        <w:bottom w:val="none" w:sz="0" w:space="0" w:color="auto"/>
        <w:right w:val="none" w:sz="0" w:space="0" w:color="auto"/>
      </w:divBdr>
      <w:divsChild>
        <w:div w:id="390152974">
          <w:marLeft w:val="0"/>
          <w:marRight w:val="0"/>
          <w:marTop w:val="0"/>
          <w:marBottom w:val="0"/>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02473031">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564647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07023980">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7137881">
      <w:bodyDiv w:val="1"/>
      <w:marLeft w:val="0"/>
      <w:marRight w:val="0"/>
      <w:marTop w:val="0"/>
      <w:marBottom w:val="0"/>
      <w:divBdr>
        <w:top w:val="none" w:sz="0" w:space="0" w:color="auto"/>
        <w:left w:val="none" w:sz="0" w:space="0" w:color="auto"/>
        <w:bottom w:val="none" w:sz="0" w:space="0" w:color="auto"/>
        <w:right w:val="none" w:sz="0" w:space="0" w:color="auto"/>
      </w:divBdr>
      <w:divsChild>
        <w:div w:id="675769044">
          <w:marLeft w:val="0"/>
          <w:marRight w:val="0"/>
          <w:marTop w:val="0"/>
          <w:marBottom w:val="101"/>
          <w:divBdr>
            <w:top w:val="none" w:sz="0" w:space="0" w:color="auto"/>
            <w:left w:val="none" w:sz="0" w:space="0" w:color="auto"/>
            <w:bottom w:val="none" w:sz="0" w:space="0" w:color="auto"/>
            <w:right w:val="none" w:sz="0" w:space="0" w:color="auto"/>
          </w:divBdr>
        </w:div>
        <w:div w:id="2126383169">
          <w:marLeft w:val="864"/>
          <w:marRight w:val="0"/>
          <w:marTop w:val="0"/>
          <w:marBottom w:val="101"/>
          <w:divBdr>
            <w:top w:val="none" w:sz="0" w:space="0" w:color="auto"/>
            <w:left w:val="none" w:sz="0" w:space="0" w:color="auto"/>
            <w:bottom w:val="none" w:sz="0" w:space="0" w:color="auto"/>
            <w:right w:val="none" w:sz="0" w:space="0" w:color="auto"/>
          </w:divBdr>
        </w:div>
        <w:div w:id="685013517">
          <w:marLeft w:val="864"/>
          <w:marRight w:val="0"/>
          <w:marTop w:val="0"/>
          <w:marBottom w:val="101"/>
          <w:divBdr>
            <w:top w:val="none" w:sz="0" w:space="0" w:color="auto"/>
            <w:left w:val="none" w:sz="0" w:space="0" w:color="auto"/>
            <w:bottom w:val="none" w:sz="0" w:space="0" w:color="auto"/>
            <w:right w:val="none" w:sz="0" w:space="0" w:color="auto"/>
          </w:divBdr>
        </w:div>
        <w:div w:id="2139060514">
          <w:marLeft w:val="864"/>
          <w:marRight w:val="0"/>
          <w:marTop w:val="0"/>
          <w:marBottom w:val="101"/>
          <w:divBdr>
            <w:top w:val="none" w:sz="0" w:space="0" w:color="auto"/>
            <w:left w:val="none" w:sz="0" w:space="0" w:color="auto"/>
            <w:bottom w:val="none" w:sz="0" w:space="0" w:color="auto"/>
            <w:right w:val="none" w:sz="0" w:space="0" w:color="auto"/>
          </w:divBdr>
        </w:div>
      </w:divsChild>
    </w:div>
    <w:div w:id="848057790">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930316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37125533">
      <w:bodyDiv w:val="1"/>
      <w:marLeft w:val="0"/>
      <w:marRight w:val="0"/>
      <w:marTop w:val="0"/>
      <w:marBottom w:val="0"/>
      <w:divBdr>
        <w:top w:val="none" w:sz="0" w:space="0" w:color="auto"/>
        <w:left w:val="none" w:sz="0" w:space="0" w:color="auto"/>
        <w:bottom w:val="none" w:sz="0" w:space="0" w:color="auto"/>
        <w:right w:val="none" w:sz="0" w:space="0" w:color="auto"/>
      </w:divBdr>
    </w:div>
    <w:div w:id="1241325800">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122997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917714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6744638">
      <w:bodyDiv w:val="1"/>
      <w:marLeft w:val="0"/>
      <w:marRight w:val="0"/>
      <w:marTop w:val="0"/>
      <w:marBottom w:val="0"/>
      <w:divBdr>
        <w:top w:val="none" w:sz="0" w:space="0" w:color="auto"/>
        <w:left w:val="none" w:sz="0" w:space="0" w:color="auto"/>
        <w:bottom w:val="none" w:sz="0" w:space="0" w:color="auto"/>
        <w:right w:val="none" w:sz="0" w:space="0" w:color="auto"/>
      </w:divBdr>
      <w:divsChild>
        <w:div w:id="1124887765">
          <w:marLeft w:val="0"/>
          <w:marRight w:val="0"/>
          <w:marTop w:val="0"/>
          <w:marBottom w:val="0"/>
          <w:divBdr>
            <w:top w:val="none" w:sz="0" w:space="0" w:color="auto"/>
            <w:left w:val="none" w:sz="0" w:space="0" w:color="auto"/>
            <w:bottom w:val="none" w:sz="0" w:space="0" w:color="auto"/>
            <w:right w:val="none" w:sz="0" w:space="0" w:color="auto"/>
          </w:divBdr>
        </w:div>
      </w:divsChild>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068462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4287893">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4621518">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7863.page" TargetMode="Externa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b.mx/sesnsp/acciones-y-programas/incidencia-delictiva-87005?idiom=es" TargetMode="External"/><Relationship Id="rId7" Type="http://schemas.openxmlformats.org/officeDocument/2006/relationships/endnotes" Target="endnotes.xml"/><Relationship Id="rId12" Type="http://schemas.openxmlformats.org/officeDocument/2006/relationships/hyperlink" Target="https://www.saimex.org.mx/saimex/solicitud/downloadAttach/1026771.page" TargetMode="External"/><Relationship Id="rId17" Type="http://schemas.openxmlformats.org/officeDocument/2006/relationships/hyperlink" Target="https://drive.google.com/file/d/1FTmOXbnIDFeZGBjzQ0g_5ajhr_kvmdUE/view"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26770.page" TargetMode="Externa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cretariadoejecutivo.gob.mx/incidencia-delictiva/incidencia-delictiva-actual.php" TargetMode="External"/><Relationship Id="rId23" Type="http://schemas.openxmlformats.org/officeDocument/2006/relationships/hyperlink" Target="https://snieg.mx/DocumentacionPortal/Normatividad/vigente/Norma_Tecnica_Delitos_con_Fines_Estadisticos.pdf" TargetMode="Externa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014676.page" TargetMode="Externa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A27D9-03BC-4A93-8232-B05DF227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6481</Words>
  <Characters>35647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2019-11-14T20:53:00Z</cp:lastPrinted>
  <dcterms:created xsi:type="dcterms:W3CDTF">2020-12-12T00:43:00Z</dcterms:created>
  <dcterms:modified xsi:type="dcterms:W3CDTF">2021-02-13T03:53:00Z</dcterms:modified>
</cp:coreProperties>
</file>