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EAE4B8" w14:textId="77777777" w:rsidR="000B49AB" w:rsidRPr="00CC493D" w:rsidRDefault="000B49AB" w:rsidP="000B49AB">
      <w:pPr>
        <w:spacing w:before="240" w:after="240" w:line="360" w:lineRule="auto"/>
        <w:jc w:val="center"/>
        <w:rPr>
          <w:rFonts w:ascii="Palatino Linotype" w:eastAsia="MS Mincho" w:hAnsi="Palatino Linotype"/>
          <w:b/>
        </w:rPr>
      </w:pPr>
      <w:r w:rsidRPr="00CC493D">
        <w:rPr>
          <w:rFonts w:ascii="Palatino Linotype" w:eastAsia="MS Mincho" w:hAnsi="Palatino Linotype"/>
          <w:b/>
        </w:rPr>
        <w:t>LÍNEAS ARGUMENTATIVAS.</w:t>
      </w:r>
    </w:p>
    <w:p w14:paraId="50E59E00" w14:textId="77777777" w:rsidR="00D166BC" w:rsidRPr="00CC493D" w:rsidRDefault="00D166BC" w:rsidP="00D166BC">
      <w:pPr>
        <w:spacing w:before="240" w:after="360" w:line="360" w:lineRule="auto"/>
        <w:contextualSpacing/>
        <w:jc w:val="both"/>
        <w:rPr>
          <w:rFonts w:ascii="Palatino Linotype" w:hAnsi="Palatino Linotype"/>
          <w:lang w:val="es-ES_tradnl" w:eastAsia="es-ES"/>
        </w:rPr>
      </w:pPr>
      <w:r w:rsidRPr="00CC493D">
        <w:rPr>
          <w:rFonts w:ascii="Palatino Linotype" w:hAnsi="Palatino Linotype"/>
          <w:b/>
          <w:lang w:val="es-ES_tradnl" w:eastAsia="es-ES"/>
        </w:rPr>
        <w:t>DEBERES DE LAS AUTORIDADES.</w:t>
      </w:r>
      <w:r w:rsidRPr="00CC493D">
        <w:rPr>
          <w:rFonts w:ascii="Palatino Linotype" w:hAnsi="Palatino Linotype"/>
          <w:lang w:val="es-ES_tradnl" w:eastAsia="es-ES"/>
        </w:rPr>
        <w:t xml:space="preserve"> El derecho humano de acceso a la información pública es un derecho humano constitucionalmente reconocido en consecuencia todas las autoridades en el ámbito de sus competencias tienen la obligación de respetarlo, protegerlo y garantizarlo.</w:t>
      </w:r>
    </w:p>
    <w:p w14:paraId="13EB3653" w14:textId="77777777" w:rsidR="00D166BC" w:rsidRPr="00CC493D" w:rsidRDefault="00D166BC" w:rsidP="00D166BC">
      <w:pPr>
        <w:spacing w:before="240" w:after="360" w:line="360" w:lineRule="auto"/>
        <w:contextualSpacing/>
        <w:jc w:val="both"/>
        <w:rPr>
          <w:rFonts w:ascii="Palatino Linotype" w:hAnsi="Palatino Linotype"/>
          <w:lang w:val="es-ES_tradnl" w:eastAsia="es-ES"/>
        </w:rPr>
      </w:pPr>
    </w:p>
    <w:p w14:paraId="418FDD34" w14:textId="77777777" w:rsidR="00D166BC" w:rsidRPr="00CC493D" w:rsidRDefault="00D166BC" w:rsidP="00D166BC">
      <w:pPr>
        <w:spacing w:before="240" w:after="240" w:line="360" w:lineRule="auto"/>
        <w:jc w:val="both"/>
        <w:rPr>
          <w:rFonts w:ascii="Palatino Linotype" w:hAnsi="Palatino Linotype" w:cs="Arial"/>
          <w:color w:val="000000"/>
          <w:lang w:val="es-ES" w:eastAsia="es-MX"/>
        </w:rPr>
      </w:pPr>
      <w:r w:rsidRPr="00CC493D">
        <w:rPr>
          <w:rFonts w:ascii="Palatino Linotype" w:eastAsia="MS Mincho" w:hAnsi="Palatino Linotype"/>
          <w:b/>
          <w:lang w:val="es-ES_tradnl" w:eastAsia="es-ES"/>
        </w:rPr>
        <w:t>NEGATIVA FICTA, NO EXISTE PLAZO PERENTORIO PARA INTERPONER EL RECURSO.</w:t>
      </w:r>
      <w:r w:rsidRPr="00CC493D">
        <w:rPr>
          <w:rFonts w:ascii="Palatino Linotype" w:eastAsia="MS Mincho" w:hAnsi="Palatino Linotype"/>
          <w:lang w:val="es-ES_tradnl" w:eastAsia="es-ES"/>
        </w:rPr>
        <w:t xml:space="preserve"> </w:t>
      </w:r>
      <w:r w:rsidRPr="00CC493D">
        <w:rPr>
          <w:rFonts w:ascii="Palatino Linotype" w:hAnsi="Palatino Linotype" w:cs="Arial"/>
          <w:color w:val="000000"/>
          <w:lang w:val="es-ES" w:eastAsia="es-MX"/>
        </w:rPr>
        <w:t>Tratándose de negativa ficta no existe plazo para la interposición del recurso de revisión por tratarse de una afectación continua al Derecho de Acceso a la Información Pública.</w:t>
      </w:r>
    </w:p>
    <w:p w14:paraId="523F9699" w14:textId="0D61AFD1" w:rsidR="00B0144D" w:rsidRPr="00CC493D" w:rsidRDefault="00B0144D" w:rsidP="00B0144D">
      <w:pPr>
        <w:spacing w:line="360" w:lineRule="auto"/>
        <w:jc w:val="both"/>
        <w:rPr>
          <w:rFonts w:ascii="Palatino Linotype" w:hAnsi="Palatino Linotype" w:cs="Arial"/>
          <w:lang w:val="es-ES"/>
        </w:rPr>
      </w:pPr>
    </w:p>
    <w:p w14:paraId="42C21874" w14:textId="77777777" w:rsidR="00AC22B5" w:rsidRPr="00CC493D" w:rsidRDefault="00AC22B5" w:rsidP="00B0144D">
      <w:pPr>
        <w:spacing w:line="360" w:lineRule="auto"/>
        <w:jc w:val="both"/>
        <w:rPr>
          <w:rFonts w:ascii="Palatino Linotype" w:hAnsi="Palatino Linotype" w:cs="Arial"/>
        </w:rPr>
      </w:pPr>
    </w:p>
    <w:p w14:paraId="2B30FCD3" w14:textId="77777777" w:rsidR="00AC22B5" w:rsidRPr="00CC493D" w:rsidRDefault="00AC22B5" w:rsidP="00B0144D">
      <w:pPr>
        <w:spacing w:line="360" w:lineRule="auto"/>
        <w:jc w:val="both"/>
        <w:rPr>
          <w:rFonts w:ascii="Palatino Linotype" w:hAnsi="Palatino Linotype" w:cs="Arial"/>
        </w:rPr>
      </w:pPr>
    </w:p>
    <w:p w14:paraId="115FE699" w14:textId="77777777" w:rsidR="00AC22B5" w:rsidRPr="00CC493D" w:rsidRDefault="00AC22B5" w:rsidP="00B0144D">
      <w:pPr>
        <w:spacing w:line="360" w:lineRule="auto"/>
        <w:jc w:val="both"/>
        <w:rPr>
          <w:rFonts w:ascii="Palatino Linotype" w:hAnsi="Palatino Linotype" w:cs="Arial"/>
        </w:rPr>
      </w:pPr>
    </w:p>
    <w:p w14:paraId="271E3B0C" w14:textId="77777777" w:rsidR="00AC22B5" w:rsidRPr="00CC493D" w:rsidRDefault="00AC22B5" w:rsidP="00B0144D">
      <w:pPr>
        <w:spacing w:line="360" w:lineRule="auto"/>
        <w:jc w:val="both"/>
        <w:rPr>
          <w:rFonts w:ascii="Palatino Linotype" w:hAnsi="Palatino Linotype" w:cs="Arial"/>
        </w:rPr>
      </w:pPr>
    </w:p>
    <w:p w14:paraId="0023DA9A" w14:textId="421A30AD" w:rsidR="002F7480" w:rsidRPr="00CC493D" w:rsidRDefault="002F7480" w:rsidP="00943B9C">
      <w:pPr>
        <w:spacing w:before="240" w:after="240" w:line="360" w:lineRule="auto"/>
        <w:jc w:val="both"/>
        <w:rPr>
          <w:rFonts w:ascii="Palatino Linotype" w:eastAsia="MS Mincho" w:hAnsi="Palatino Linotype" w:cs="Arial"/>
        </w:rPr>
      </w:pPr>
      <w:r w:rsidRPr="00CC493D">
        <w:rPr>
          <w:rFonts w:ascii="Palatino Linotype" w:hAnsi="Palatino Linotype"/>
        </w:rPr>
        <w:t xml:space="preserve">  </w:t>
      </w:r>
      <w:r w:rsidR="008632C8" w:rsidRPr="00CC493D">
        <w:rPr>
          <w:rFonts w:ascii="Palatino Linotype" w:eastAsia="MS Mincho" w:hAnsi="Palatino Linotype" w:cs="Arial"/>
        </w:rPr>
        <w:t xml:space="preserve"> </w:t>
      </w:r>
    </w:p>
    <w:p w14:paraId="01CA3DE2" w14:textId="46B4C332" w:rsidR="005C1A62" w:rsidRPr="00CC493D" w:rsidRDefault="005C1A62" w:rsidP="00943B9C">
      <w:pPr>
        <w:spacing w:before="240" w:after="240" w:line="360" w:lineRule="auto"/>
        <w:jc w:val="both"/>
        <w:rPr>
          <w:rFonts w:ascii="Palatino Linotype" w:hAnsi="Palatino Linotype"/>
          <w:b/>
          <w:u w:val="single"/>
        </w:rPr>
      </w:pPr>
    </w:p>
    <w:p w14:paraId="1FB12292" w14:textId="77777777" w:rsidR="005C1A62" w:rsidRPr="00CC493D" w:rsidRDefault="005C1A62" w:rsidP="00943B9C">
      <w:pPr>
        <w:spacing w:before="240" w:after="240" w:line="360" w:lineRule="auto"/>
        <w:jc w:val="both"/>
        <w:rPr>
          <w:rFonts w:ascii="Palatino Linotype" w:hAnsi="Palatino Linotype"/>
          <w:b/>
          <w:u w:val="single"/>
        </w:rPr>
      </w:pPr>
    </w:p>
    <w:p w14:paraId="65652C33" w14:textId="77777777" w:rsidR="00BB03D0" w:rsidRPr="00CC493D" w:rsidRDefault="00BB03D0" w:rsidP="001E74A5">
      <w:pPr>
        <w:spacing w:line="360" w:lineRule="auto"/>
        <w:jc w:val="center"/>
        <w:rPr>
          <w:rFonts w:ascii="Palatino Linotype" w:hAnsi="Palatino Linotype"/>
          <w:b/>
          <w:u w:val="single"/>
        </w:rPr>
      </w:pPr>
    </w:p>
    <w:p w14:paraId="708B3C4A" w14:textId="77777777" w:rsidR="00EB2DEA" w:rsidRPr="00CC493D" w:rsidRDefault="00EB2DEA" w:rsidP="00EB2DEA">
      <w:pPr>
        <w:spacing w:before="240" w:after="240" w:line="360" w:lineRule="auto"/>
        <w:jc w:val="center"/>
        <w:rPr>
          <w:rFonts w:ascii="Palatino Linotype" w:eastAsiaTheme="minorEastAsia" w:hAnsi="Palatino Linotype"/>
          <w:sz w:val="20"/>
          <w:szCs w:val="20"/>
          <w:lang w:val="es-ES_tradnl" w:eastAsia="es-ES"/>
        </w:rPr>
      </w:pPr>
      <w:r w:rsidRPr="00CC493D">
        <w:rPr>
          <w:rFonts w:ascii="Palatino Linotype" w:eastAsiaTheme="minorEastAsia" w:hAnsi="Palatino Linotype"/>
          <w:b/>
          <w:sz w:val="20"/>
          <w:szCs w:val="20"/>
          <w:lang w:val="es-ES_tradnl" w:eastAsia="es-ES"/>
        </w:rPr>
        <w:lastRenderedPageBreak/>
        <w:t>ÍNDICE</w:t>
      </w:r>
      <w:r w:rsidRPr="00CC493D">
        <w:rPr>
          <w:rFonts w:ascii="Palatino Linotype" w:eastAsiaTheme="minorEastAsia" w:hAnsi="Palatino Linotype"/>
          <w:sz w:val="20"/>
          <w:szCs w:val="20"/>
          <w:lang w:val="es-ES_tradnl" w:eastAsia="es-ES"/>
        </w:rPr>
        <w:t>.</w:t>
      </w:r>
    </w:p>
    <w:sdt>
      <w:sdtPr>
        <w:rPr>
          <w:rFonts w:eastAsiaTheme="minorEastAsia"/>
          <w:b/>
          <w:sz w:val="20"/>
          <w:szCs w:val="20"/>
          <w:lang w:val="es-ES" w:eastAsia="es-ES"/>
        </w:rPr>
        <w:id w:val="1703668029"/>
        <w:docPartObj>
          <w:docPartGallery w:val="Table of Contents"/>
          <w:docPartUnique/>
        </w:docPartObj>
      </w:sdtPr>
      <w:sdtEndPr>
        <w:rPr>
          <w:b w:val="0"/>
          <w:bCs/>
          <w:sz w:val="24"/>
          <w:szCs w:val="24"/>
        </w:rPr>
      </w:sdtEndPr>
      <w:sdtContent>
        <w:p w14:paraId="2894CA23" w14:textId="77777777" w:rsidR="00EB2DEA" w:rsidRPr="00CC493D" w:rsidRDefault="00EB2DEA" w:rsidP="00EB2DEA">
          <w:pPr>
            <w:tabs>
              <w:tab w:val="left" w:pos="660"/>
              <w:tab w:val="right" w:leader="dot" w:pos="8779"/>
            </w:tabs>
            <w:spacing w:after="100"/>
            <w:ind w:left="426" w:hanging="426"/>
            <w:rPr>
              <w:rFonts w:eastAsiaTheme="minorEastAsia"/>
              <w:noProof/>
              <w:sz w:val="20"/>
              <w:szCs w:val="20"/>
              <w:lang w:eastAsia="es-MX"/>
            </w:rPr>
          </w:pPr>
          <w:r w:rsidRPr="00CC493D">
            <w:rPr>
              <w:rFonts w:asciiTheme="minorHAnsi" w:eastAsiaTheme="minorEastAsia" w:hAnsiTheme="minorHAnsi"/>
              <w:b/>
              <w:sz w:val="20"/>
              <w:szCs w:val="20"/>
              <w:lang w:val="es-ES_tradnl" w:eastAsia="es-ES"/>
            </w:rPr>
            <w:fldChar w:fldCharType="begin"/>
          </w:r>
          <w:r w:rsidRPr="00CC493D">
            <w:rPr>
              <w:rFonts w:eastAsiaTheme="minorEastAsia"/>
              <w:b/>
              <w:sz w:val="20"/>
              <w:szCs w:val="20"/>
              <w:lang w:val="es-ES_tradnl" w:eastAsia="es-ES"/>
            </w:rPr>
            <w:instrText xml:space="preserve"> TOC \o "1-3" \h \z \u </w:instrText>
          </w:r>
          <w:r w:rsidRPr="00CC493D">
            <w:rPr>
              <w:rFonts w:asciiTheme="minorHAnsi" w:eastAsiaTheme="minorEastAsia" w:hAnsiTheme="minorHAnsi"/>
              <w:b/>
              <w:sz w:val="20"/>
              <w:szCs w:val="20"/>
              <w:lang w:val="es-ES_tradnl" w:eastAsia="es-ES"/>
            </w:rPr>
            <w:fldChar w:fldCharType="separate"/>
          </w:r>
          <w:hyperlink w:anchor="_Toc3467934" w:history="1">
            <w:r w:rsidRPr="00CC493D">
              <w:rPr>
                <w:rFonts w:ascii="Palatino Linotype" w:eastAsiaTheme="minorEastAsia" w:hAnsi="Palatino Linotype"/>
                <w:b/>
                <w:noProof/>
                <w:color w:val="0000FF" w:themeColor="hyperlink"/>
                <w:sz w:val="20"/>
                <w:szCs w:val="20"/>
                <w:u w:val="single"/>
                <w:lang w:val="es-ES_tradnl" w:eastAsia="es-ES"/>
              </w:rPr>
              <w:t>ANTECEDENTES</w:t>
            </w:r>
            <w:r w:rsidRPr="00CC493D">
              <w:rPr>
                <w:rFonts w:eastAsiaTheme="minorEastAsia"/>
                <w:noProof/>
                <w:webHidden/>
                <w:sz w:val="20"/>
                <w:szCs w:val="20"/>
                <w:lang w:val="es-ES_tradnl" w:eastAsia="es-ES"/>
              </w:rPr>
              <w:tab/>
            </w:r>
            <w:r w:rsidRPr="00CC493D">
              <w:rPr>
                <w:rFonts w:eastAsiaTheme="minorEastAsia"/>
                <w:noProof/>
                <w:webHidden/>
                <w:sz w:val="20"/>
                <w:szCs w:val="20"/>
                <w:lang w:val="es-ES_tradnl" w:eastAsia="es-ES"/>
              </w:rPr>
              <w:fldChar w:fldCharType="begin"/>
            </w:r>
            <w:r w:rsidRPr="00CC493D">
              <w:rPr>
                <w:rFonts w:eastAsiaTheme="minorEastAsia"/>
                <w:noProof/>
                <w:webHidden/>
                <w:sz w:val="20"/>
                <w:szCs w:val="20"/>
                <w:lang w:val="es-ES_tradnl" w:eastAsia="es-ES"/>
              </w:rPr>
              <w:instrText xml:space="preserve"> PAGEREF _Toc3467934 \h </w:instrText>
            </w:r>
            <w:r w:rsidRPr="00CC493D">
              <w:rPr>
                <w:rFonts w:eastAsiaTheme="minorEastAsia"/>
                <w:noProof/>
                <w:webHidden/>
                <w:sz w:val="20"/>
                <w:szCs w:val="20"/>
                <w:lang w:val="es-ES_tradnl" w:eastAsia="es-ES"/>
              </w:rPr>
            </w:r>
            <w:r w:rsidRPr="00CC493D">
              <w:rPr>
                <w:rFonts w:eastAsiaTheme="minorEastAsia"/>
                <w:noProof/>
                <w:webHidden/>
                <w:sz w:val="20"/>
                <w:szCs w:val="20"/>
                <w:lang w:val="es-ES_tradnl" w:eastAsia="es-ES"/>
              </w:rPr>
              <w:fldChar w:fldCharType="separate"/>
            </w:r>
            <w:r w:rsidRPr="00CC493D">
              <w:rPr>
                <w:rFonts w:eastAsiaTheme="minorEastAsia"/>
                <w:noProof/>
                <w:webHidden/>
                <w:sz w:val="20"/>
                <w:szCs w:val="20"/>
                <w:lang w:val="es-ES_tradnl" w:eastAsia="es-ES"/>
              </w:rPr>
              <w:t>4</w:t>
            </w:r>
            <w:r w:rsidRPr="00CC493D">
              <w:rPr>
                <w:rFonts w:eastAsiaTheme="minorEastAsia"/>
                <w:noProof/>
                <w:webHidden/>
                <w:sz w:val="20"/>
                <w:szCs w:val="20"/>
                <w:lang w:val="es-ES_tradnl" w:eastAsia="es-ES"/>
              </w:rPr>
              <w:fldChar w:fldCharType="end"/>
            </w:r>
          </w:hyperlink>
        </w:p>
        <w:p w14:paraId="6F1B5FE0"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37" w:history="1">
            <w:r w:rsidR="00EB2DEA" w:rsidRPr="00CC493D">
              <w:rPr>
                <w:rFonts w:ascii="Palatino Linotype" w:eastAsiaTheme="minorEastAsia" w:hAnsi="Palatino Linotype"/>
                <w:b/>
                <w:noProof/>
                <w:color w:val="0000FF" w:themeColor="hyperlink"/>
                <w:sz w:val="20"/>
                <w:szCs w:val="20"/>
                <w:u w:val="single"/>
                <w:lang w:val="es-ES_tradnl" w:eastAsia="es-ES"/>
              </w:rPr>
              <w:t>CONSIDERANDO</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_Toc3467937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6</w:t>
            </w:r>
            <w:r w:rsidR="00EB2DEA" w:rsidRPr="00CC493D">
              <w:rPr>
                <w:rFonts w:eastAsiaTheme="minorEastAsia"/>
                <w:noProof/>
                <w:webHidden/>
                <w:sz w:val="20"/>
                <w:szCs w:val="20"/>
                <w:lang w:val="es-ES_tradnl" w:eastAsia="es-ES"/>
              </w:rPr>
              <w:fldChar w:fldCharType="end"/>
            </w:r>
          </w:hyperlink>
        </w:p>
        <w:p w14:paraId="083A194D"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38" w:history="1">
            <w:r w:rsidR="00EB2DEA" w:rsidRPr="00CC493D">
              <w:rPr>
                <w:rFonts w:ascii="Palatino Linotype" w:eastAsiaTheme="minorEastAsia" w:hAnsi="Palatino Linotype"/>
                <w:b/>
                <w:noProof/>
                <w:color w:val="0000FF" w:themeColor="hyperlink"/>
                <w:sz w:val="20"/>
                <w:szCs w:val="20"/>
                <w:u w:val="single"/>
                <w:lang w:val="es-ES_tradnl" w:eastAsia="es-ES"/>
              </w:rPr>
              <w:t>PRIMERO.</w:t>
            </w:r>
            <w:r w:rsidR="00EB2DEA" w:rsidRPr="00CC493D">
              <w:rPr>
                <w:rFonts w:ascii="Palatino Linotype" w:eastAsiaTheme="minorEastAsia" w:hAnsi="Palatino Linotype"/>
                <w:noProof/>
                <w:color w:val="0000FF" w:themeColor="hyperlink"/>
                <w:sz w:val="20"/>
                <w:szCs w:val="20"/>
                <w:u w:val="single"/>
                <w:lang w:val="es-ES_tradnl" w:eastAsia="es-ES"/>
              </w:rPr>
              <w:t xml:space="preserve"> De la competencia.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_Toc3467938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6</w:t>
            </w:r>
            <w:r w:rsidR="00EB2DEA" w:rsidRPr="00CC493D">
              <w:rPr>
                <w:rFonts w:eastAsiaTheme="minorEastAsia"/>
                <w:noProof/>
                <w:webHidden/>
                <w:sz w:val="20"/>
                <w:szCs w:val="20"/>
                <w:lang w:val="es-ES_tradnl" w:eastAsia="es-ES"/>
              </w:rPr>
              <w:fldChar w:fldCharType="end"/>
            </w:r>
          </w:hyperlink>
        </w:p>
        <w:p w14:paraId="37E95B71"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39" w:history="1">
            <w:r w:rsidR="00EB2DEA" w:rsidRPr="00CC493D">
              <w:rPr>
                <w:rFonts w:ascii="Palatino Linotype" w:eastAsiaTheme="minorEastAsia" w:hAnsi="Palatino Linotype"/>
                <w:b/>
                <w:noProof/>
                <w:color w:val="0000FF" w:themeColor="hyperlink"/>
                <w:sz w:val="20"/>
                <w:szCs w:val="20"/>
                <w:u w:val="single"/>
                <w:lang w:val="es-ES_tradnl" w:eastAsia="es-ES"/>
              </w:rPr>
              <w:t>SEGUNDO.</w:t>
            </w:r>
            <w:r w:rsidR="00EB2DEA" w:rsidRPr="00CC493D">
              <w:rPr>
                <w:rFonts w:ascii="Palatino Linotype" w:eastAsiaTheme="minorEastAsia" w:hAnsi="Palatino Linotype"/>
                <w:noProof/>
                <w:color w:val="0000FF" w:themeColor="hyperlink"/>
                <w:sz w:val="20"/>
                <w:szCs w:val="20"/>
                <w:u w:val="single"/>
                <w:lang w:val="es-ES_tradnl" w:eastAsia="es-ES"/>
              </w:rPr>
              <w:t xml:space="preserve"> De la oportunidad y procedencia.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_Toc3467939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7</w:t>
            </w:r>
            <w:r w:rsidR="00EB2DEA" w:rsidRPr="00CC493D">
              <w:rPr>
                <w:rFonts w:eastAsiaTheme="minorEastAsia"/>
                <w:noProof/>
                <w:webHidden/>
                <w:sz w:val="20"/>
                <w:szCs w:val="20"/>
                <w:lang w:val="es-ES_tradnl" w:eastAsia="es-ES"/>
              </w:rPr>
              <w:fldChar w:fldCharType="end"/>
            </w:r>
          </w:hyperlink>
        </w:p>
        <w:p w14:paraId="0E65C7EF"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40" w:history="1">
            <w:r w:rsidR="00EB2DEA" w:rsidRPr="00CC493D">
              <w:rPr>
                <w:rFonts w:ascii="Palatino Linotype" w:eastAsia="Calibri" w:hAnsi="Palatino Linotype"/>
                <w:b/>
                <w:bCs/>
                <w:noProof/>
                <w:color w:val="0000FF" w:themeColor="hyperlink"/>
                <w:sz w:val="20"/>
                <w:szCs w:val="20"/>
                <w:u w:val="single"/>
                <w:lang w:val="es-ES" w:eastAsia="es-ES"/>
              </w:rPr>
              <w:t>TERCERO.</w:t>
            </w:r>
            <w:r w:rsidR="00EB2DEA" w:rsidRPr="00CC493D">
              <w:rPr>
                <w:rFonts w:ascii="Palatino Linotype" w:eastAsia="Calibri" w:hAnsi="Palatino Linotype"/>
                <w:bCs/>
                <w:noProof/>
                <w:color w:val="0000FF" w:themeColor="hyperlink"/>
                <w:sz w:val="20"/>
                <w:szCs w:val="20"/>
                <w:u w:val="single"/>
                <w:lang w:val="es-ES" w:eastAsia="es-ES"/>
              </w:rPr>
              <w:t xml:space="preserve"> Del planteamiento de la litis.</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_Toc3467940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11</w:t>
            </w:r>
            <w:r w:rsidR="00EB2DEA" w:rsidRPr="00CC493D">
              <w:rPr>
                <w:rFonts w:eastAsiaTheme="minorEastAsia"/>
                <w:noProof/>
                <w:webHidden/>
                <w:sz w:val="20"/>
                <w:szCs w:val="20"/>
                <w:lang w:val="es-ES_tradnl" w:eastAsia="es-ES"/>
              </w:rPr>
              <w:fldChar w:fldCharType="end"/>
            </w:r>
          </w:hyperlink>
        </w:p>
        <w:p w14:paraId="71B3D30B"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41" w:history="1">
            <w:r w:rsidR="00EB2DEA" w:rsidRPr="00CC493D">
              <w:rPr>
                <w:rFonts w:ascii="Palatino Linotype" w:eastAsia="MS Gothic" w:hAnsi="Palatino Linotype"/>
                <w:b/>
                <w:noProof/>
                <w:color w:val="0000FF" w:themeColor="hyperlink"/>
                <w:sz w:val="20"/>
                <w:szCs w:val="20"/>
                <w:u w:val="single"/>
                <w:lang w:val="es-ES_tradnl" w:eastAsia="es-ES"/>
              </w:rPr>
              <w:t>CUARTO.</w:t>
            </w:r>
            <w:r w:rsidR="00EB2DEA" w:rsidRPr="00CC493D">
              <w:rPr>
                <w:rFonts w:ascii="Palatino Linotype" w:eastAsia="MS Gothic" w:hAnsi="Palatino Linotype"/>
                <w:noProof/>
                <w:color w:val="0000FF" w:themeColor="hyperlink"/>
                <w:sz w:val="20"/>
                <w:szCs w:val="20"/>
                <w:u w:val="single"/>
                <w:lang w:val="es-ES_tradnl" w:eastAsia="es-ES"/>
              </w:rPr>
              <w:t xml:space="preserve"> Del estudio y resolución del asunto.</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_Toc3467941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12</w:t>
            </w:r>
            <w:r w:rsidR="00EB2DEA" w:rsidRPr="00CC493D">
              <w:rPr>
                <w:rFonts w:eastAsiaTheme="minorEastAsia"/>
                <w:noProof/>
                <w:webHidden/>
                <w:sz w:val="20"/>
                <w:szCs w:val="20"/>
                <w:lang w:val="es-ES_tradnl" w:eastAsia="es-ES"/>
              </w:rPr>
              <w:fldChar w:fldCharType="end"/>
            </w:r>
          </w:hyperlink>
        </w:p>
        <w:p w14:paraId="1AB4482E"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42" w:history="1">
            <w:r w:rsidR="00EB2DEA" w:rsidRPr="00CC493D">
              <w:rPr>
                <w:rFonts w:ascii="Palatino Linotype" w:eastAsiaTheme="minorEastAsia" w:hAnsi="Palatino Linotype"/>
                <w:b/>
                <w:noProof/>
                <w:color w:val="0000FF" w:themeColor="hyperlink"/>
                <w:sz w:val="20"/>
                <w:szCs w:val="20"/>
                <w:u w:val="single"/>
                <w:lang w:val="es-ES_tradnl" w:eastAsia="es-ES"/>
              </w:rPr>
              <w:t>I.</w:t>
            </w:r>
            <w:r w:rsidR="00EB2DEA" w:rsidRPr="00CC493D">
              <w:rPr>
                <w:rFonts w:eastAsiaTheme="minorEastAsia"/>
                <w:noProof/>
                <w:sz w:val="20"/>
                <w:szCs w:val="20"/>
                <w:lang w:eastAsia="es-MX"/>
              </w:rPr>
              <w:tab/>
            </w:r>
            <w:r w:rsidR="00EB2DEA" w:rsidRPr="00CC493D">
              <w:rPr>
                <w:rFonts w:ascii="Palatino Linotype" w:eastAsia="MS Gothic" w:hAnsi="Palatino Linotype"/>
                <w:noProof/>
                <w:color w:val="0000FF" w:themeColor="hyperlink"/>
                <w:sz w:val="20"/>
                <w:szCs w:val="20"/>
                <w:u w:val="single"/>
                <w:lang w:val="es-ES_tradnl" w:eastAsia="es-ES"/>
              </w:rPr>
              <w:t>Del deber de las autoridades de promover, respetar, proteger y garantizar el derecho de acceso a la información pública.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_Toc3467942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12</w:t>
            </w:r>
            <w:r w:rsidR="00EB2DEA" w:rsidRPr="00CC493D">
              <w:rPr>
                <w:rFonts w:eastAsiaTheme="minorEastAsia"/>
                <w:noProof/>
                <w:webHidden/>
                <w:sz w:val="20"/>
                <w:szCs w:val="20"/>
                <w:lang w:val="es-ES_tradnl" w:eastAsia="es-ES"/>
              </w:rPr>
              <w:fldChar w:fldCharType="end"/>
            </w:r>
          </w:hyperlink>
        </w:p>
        <w:p w14:paraId="1141D7DE"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43" w:history="1">
            <w:r w:rsidR="00EB2DEA" w:rsidRPr="00CC493D">
              <w:rPr>
                <w:rFonts w:ascii="Palatino Linotype" w:eastAsia="MS Gothic" w:hAnsi="Palatino Linotype"/>
                <w:b/>
                <w:noProof/>
                <w:color w:val="0000FF" w:themeColor="hyperlink"/>
                <w:sz w:val="20"/>
                <w:szCs w:val="20"/>
                <w:u w:val="single"/>
                <w:lang w:val="es-ES_tradnl" w:eastAsia="es-ES"/>
              </w:rPr>
              <w:t>II.</w:t>
            </w:r>
            <w:r w:rsidR="00EB2DEA" w:rsidRPr="00CC493D">
              <w:rPr>
                <w:rFonts w:eastAsiaTheme="minorEastAsia"/>
                <w:noProof/>
                <w:sz w:val="20"/>
                <w:szCs w:val="20"/>
                <w:lang w:eastAsia="es-MX"/>
              </w:rPr>
              <w:tab/>
            </w:r>
            <w:r w:rsidR="00EB2DEA" w:rsidRPr="00CC493D">
              <w:rPr>
                <w:rFonts w:ascii="Palatino Linotype" w:eastAsia="MS Gothic" w:hAnsi="Palatino Linotype"/>
                <w:noProof/>
                <w:color w:val="0000FF" w:themeColor="hyperlink"/>
                <w:sz w:val="20"/>
                <w:szCs w:val="20"/>
                <w:u w:val="single"/>
                <w:lang w:val="es-ES_tradnl" w:eastAsia="es-ES"/>
              </w:rPr>
              <w:t>De la naturaleza de la información solicitada.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_Toc3467943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15</w:t>
            </w:r>
            <w:r w:rsidR="00EB2DEA" w:rsidRPr="00CC493D">
              <w:rPr>
                <w:rFonts w:eastAsiaTheme="minorEastAsia"/>
                <w:noProof/>
                <w:webHidden/>
                <w:sz w:val="20"/>
                <w:szCs w:val="20"/>
                <w:lang w:val="es-ES_tradnl" w:eastAsia="es-ES"/>
              </w:rPr>
              <w:fldChar w:fldCharType="end"/>
            </w:r>
          </w:hyperlink>
        </w:p>
        <w:p w14:paraId="26031A3F"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44" w:history="1">
            <w:r w:rsidR="00EB2DEA" w:rsidRPr="00CC493D">
              <w:rPr>
                <w:rFonts w:ascii="Palatino Linotype" w:hAnsi="Palatino Linotype" w:cstheme="majorBidi"/>
                <w:b/>
                <w:noProof/>
                <w:color w:val="0000FF" w:themeColor="hyperlink"/>
                <w:sz w:val="20"/>
                <w:szCs w:val="20"/>
                <w:u w:val="single"/>
              </w:rPr>
              <w:t>III.</w:t>
            </w:r>
            <w:r w:rsidR="00EB2DEA" w:rsidRPr="00CC493D">
              <w:rPr>
                <w:rFonts w:eastAsiaTheme="minorEastAsia"/>
                <w:noProof/>
                <w:sz w:val="20"/>
                <w:szCs w:val="20"/>
                <w:lang w:eastAsia="es-MX"/>
              </w:rPr>
              <w:tab/>
            </w:r>
            <w:r w:rsidR="00EB2DEA" w:rsidRPr="00CC493D">
              <w:rPr>
                <w:rFonts w:ascii="Palatino Linotype" w:hAnsi="Palatino Linotype" w:cstheme="majorBidi"/>
                <w:noProof/>
                <w:color w:val="0000FF" w:themeColor="hyperlink"/>
                <w:sz w:val="20"/>
                <w:szCs w:val="20"/>
                <w:u w:val="single"/>
              </w:rPr>
              <w:t>Sobre la respuesta que se emita a la solicitud.</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_Toc3467944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22</w:t>
            </w:r>
            <w:r w:rsidR="00EB2DEA" w:rsidRPr="00CC493D">
              <w:rPr>
                <w:rFonts w:eastAsiaTheme="minorEastAsia"/>
                <w:noProof/>
                <w:webHidden/>
                <w:sz w:val="20"/>
                <w:szCs w:val="20"/>
                <w:lang w:val="es-ES_tradnl" w:eastAsia="es-ES"/>
              </w:rPr>
              <w:fldChar w:fldCharType="end"/>
            </w:r>
          </w:hyperlink>
        </w:p>
        <w:p w14:paraId="60129802"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45" w:history="1">
            <w:r w:rsidR="00EB2DEA" w:rsidRPr="00CC493D">
              <w:rPr>
                <w:rFonts w:ascii="Palatino Linotype" w:hAnsi="Palatino Linotype" w:cstheme="majorBidi"/>
                <w:b/>
                <w:noProof/>
                <w:color w:val="0000FF" w:themeColor="hyperlink"/>
                <w:sz w:val="20"/>
                <w:szCs w:val="20"/>
                <w:u w:val="single"/>
              </w:rPr>
              <w:t>IV.</w:t>
            </w:r>
            <w:r w:rsidR="00EB2DEA" w:rsidRPr="00CC493D">
              <w:rPr>
                <w:rFonts w:ascii="Palatino Linotype" w:hAnsi="Palatino Linotype" w:cstheme="majorBidi"/>
                <w:noProof/>
                <w:color w:val="0000FF" w:themeColor="hyperlink"/>
                <w:sz w:val="20"/>
                <w:szCs w:val="20"/>
                <w:u w:val="single"/>
              </w:rPr>
              <w:t xml:space="preserve"> Análisis al que debe someterse la información antes de su entrega.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_Toc3467945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27</w:t>
            </w:r>
            <w:r w:rsidR="00EB2DEA" w:rsidRPr="00CC493D">
              <w:rPr>
                <w:rFonts w:eastAsiaTheme="minorEastAsia"/>
                <w:noProof/>
                <w:webHidden/>
                <w:sz w:val="20"/>
                <w:szCs w:val="20"/>
                <w:lang w:val="es-ES_tradnl" w:eastAsia="es-ES"/>
              </w:rPr>
              <w:fldChar w:fldCharType="end"/>
            </w:r>
          </w:hyperlink>
        </w:p>
        <w:p w14:paraId="445E7C9D"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46" w:history="1">
            <w:r w:rsidR="00EB2DEA" w:rsidRPr="00CC493D">
              <w:rPr>
                <w:rFonts w:ascii="Palatino Linotype" w:hAnsi="Palatino Linotype" w:cstheme="majorBidi"/>
                <w:b/>
                <w:noProof/>
                <w:color w:val="0000FF" w:themeColor="hyperlink"/>
                <w:sz w:val="20"/>
                <w:szCs w:val="20"/>
                <w:u w:val="single"/>
              </w:rPr>
              <w:t>QUINTO.</w:t>
            </w:r>
            <w:r w:rsidR="00EB2DEA" w:rsidRPr="00CC493D">
              <w:rPr>
                <w:rFonts w:ascii="Palatino Linotype" w:hAnsi="Palatino Linotype" w:cstheme="majorBidi"/>
                <w:noProof/>
                <w:color w:val="0000FF" w:themeColor="hyperlink"/>
                <w:sz w:val="20"/>
                <w:szCs w:val="20"/>
                <w:u w:val="single"/>
              </w:rPr>
              <w:t xml:space="preserve"> El cumplimiento a esta resolución es susceptible de ser impugnado.</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_Toc3467946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35</w:t>
            </w:r>
            <w:r w:rsidR="00EB2DEA" w:rsidRPr="00CC493D">
              <w:rPr>
                <w:rFonts w:eastAsiaTheme="minorEastAsia"/>
                <w:noProof/>
                <w:webHidden/>
                <w:sz w:val="20"/>
                <w:szCs w:val="20"/>
                <w:lang w:val="es-ES_tradnl" w:eastAsia="es-ES"/>
              </w:rPr>
              <w:fldChar w:fldCharType="end"/>
            </w:r>
          </w:hyperlink>
        </w:p>
        <w:p w14:paraId="77DF5E7C"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47" w:history="1">
            <w:r w:rsidR="00EB2DEA" w:rsidRPr="00CC493D">
              <w:rPr>
                <w:rFonts w:ascii="Palatino Linotype" w:eastAsia="MS Gothic" w:hAnsi="Palatino Linotype" w:cstheme="majorBidi"/>
                <w:b/>
                <w:noProof/>
                <w:color w:val="0000FF" w:themeColor="hyperlink"/>
                <w:sz w:val="20"/>
                <w:szCs w:val="20"/>
                <w:u w:val="single"/>
              </w:rPr>
              <w:t>SEXTO.</w:t>
            </w:r>
            <w:r w:rsidR="00EB2DEA" w:rsidRPr="00CC493D">
              <w:rPr>
                <w:rFonts w:ascii="Palatino Linotype" w:eastAsia="MS Gothic" w:hAnsi="Palatino Linotype" w:cstheme="majorBidi"/>
                <w:noProof/>
                <w:color w:val="0000FF" w:themeColor="hyperlink"/>
                <w:sz w:val="20"/>
                <w:szCs w:val="20"/>
                <w:u w:val="single"/>
              </w:rPr>
              <w:t xml:space="preserve"> Vista a los órganos de control interno.</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_Toc3467947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36</w:t>
            </w:r>
            <w:r w:rsidR="00EB2DEA" w:rsidRPr="00CC493D">
              <w:rPr>
                <w:rFonts w:eastAsiaTheme="minorEastAsia"/>
                <w:noProof/>
                <w:webHidden/>
                <w:sz w:val="20"/>
                <w:szCs w:val="20"/>
                <w:lang w:val="es-ES_tradnl" w:eastAsia="es-ES"/>
              </w:rPr>
              <w:fldChar w:fldCharType="end"/>
            </w:r>
          </w:hyperlink>
        </w:p>
        <w:p w14:paraId="4F38B7E0"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48" w:history="1">
            <w:r w:rsidR="00EB2DEA" w:rsidRPr="00CC493D">
              <w:rPr>
                <w:rFonts w:ascii="Palatino Linotype" w:hAnsi="Palatino Linotype" w:cstheme="majorBidi"/>
                <w:b/>
                <w:noProof/>
                <w:color w:val="0000FF" w:themeColor="hyperlink"/>
                <w:sz w:val="20"/>
                <w:szCs w:val="20"/>
                <w:u w:val="single"/>
                <w:lang w:val="es-ES_tradnl" w:eastAsia="es-ES"/>
              </w:rPr>
              <w:t>SÉPTIMO.</w:t>
            </w:r>
            <w:r w:rsidR="00EB2DEA" w:rsidRPr="00CC493D">
              <w:rPr>
                <w:rFonts w:ascii="Palatino Linotype" w:hAnsi="Palatino Linotype" w:cstheme="majorBidi"/>
                <w:noProof/>
                <w:color w:val="0000FF" w:themeColor="hyperlink"/>
                <w:sz w:val="20"/>
                <w:szCs w:val="20"/>
                <w:u w:val="single"/>
                <w:lang w:val="es-ES_tradnl" w:eastAsia="es-ES"/>
              </w:rPr>
              <w:t xml:space="preserve"> De la versión pública.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_Toc3467948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38</w:t>
            </w:r>
            <w:r w:rsidR="00EB2DEA" w:rsidRPr="00CC493D">
              <w:rPr>
                <w:rFonts w:eastAsiaTheme="minorEastAsia"/>
                <w:noProof/>
                <w:webHidden/>
                <w:sz w:val="20"/>
                <w:szCs w:val="20"/>
                <w:lang w:val="es-ES_tradnl" w:eastAsia="es-ES"/>
              </w:rPr>
              <w:fldChar w:fldCharType="end"/>
            </w:r>
          </w:hyperlink>
        </w:p>
        <w:p w14:paraId="4DF2FDE4"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49" w:history="1">
            <w:r w:rsidR="00EB2DEA" w:rsidRPr="00CC493D">
              <w:rPr>
                <w:rFonts w:ascii="Palatino Linotype" w:eastAsiaTheme="majorEastAsia" w:hAnsi="Palatino Linotype" w:cstheme="majorBidi"/>
                <w:b/>
                <w:noProof/>
                <w:color w:val="0000FF" w:themeColor="hyperlink"/>
                <w:sz w:val="20"/>
                <w:szCs w:val="20"/>
                <w:u w:val="single"/>
              </w:rPr>
              <w:t>I.</w:t>
            </w:r>
            <w:r w:rsidR="00EB2DEA" w:rsidRPr="00CC493D">
              <w:rPr>
                <w:rFonts w:ascii="Palatino Linotype" w:eastAsiaTheme="majorEastAsia" w:hAnsi="Palatino Linotype" w:cstheme="majorBidi"/>
                <w:noProof/>
                <w:color w:val="0000FF" w:themeColor="hyperlink"/>
                <w:sz w:val="20"/>
                <w:szCs w:val="20"/>
                <w:u w:val="single"/>
              </w:rPr>
              <w:t xml:space="preserve"> De la clasificación de la información.</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_Toc3467949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39</w:t>
            </w:r>
            <w:r w:rsidR="00EB2DEA" w:rsidRPr="00CC493D">
              <w:rPr>
                <w:rFonts w:eastAsiaTheme="minorEastAsia"/>
                <w:noProof/>
                <w:webHidden/>
                <w:sz w:val="20"/>
                <w:szCs w:val="20"/>
                <w:lang w:val="es-ES_tradnl" w:eastAsia="es-ES"/>
              </w:rPr>
              <w:fldChar w:fldCharType="end"/>
            </w:r>
          </w:hyperlink>
        </w:p>
        <w:p w14:paraId="7E02F4C8"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50" w:history="1">
            <w:r w:rsidR="00EB2DEA" w:rsidRPr="00CC493D">
              <w:rPr>
                <w:rFonts w:ascii="Palatino Linotype" w:eastAsiaTheme="majorEastAsia" w:hAnsi="Palatino Linotype" w:cstheme="majorBidi"/>
                <w:b/>
                <w:noProof/>
                <w:color w:val="0000FF" w:themeColor="hyperlink"/>
                <w:sz w:val="20"/>
                <w:szCs w:val="20"/>
                <w:u w:val="single"/>
              </w:rPr>
              <w:t>a)</w:t>
            </w:r>
            <w:r w:rsidR="00EB2DEA" w:rsidRPr="00CC493D">
              <w:rPr>
                <w:rFonts w:eastAsiaTheme="minorEastAsia"/>
                <w:noProof/>
                <w:sz w:val="20"/>
                <w:szCs w:val="20"/>
                <w:lang w:eastAsia="es-MX"/>
              </w:rPr>
              <w:tab/>
            </w:r>
            <w:r w:rsidR="00EB2DEA" w:rsidRPr="00CC493D">
              <w:rPr>
                <w:rFonts w:ascii="Palatino Linotype" w:eastAsiaTheme="majorEastAsia" w:hAnsi="Palatino Linotype" w:cstheme="majorBidi"/>
                <w:noProof/>
                <w:color w:val="0000FF" w:themeColor="hyperlink"/>
                <w:sz w:val="20"/>
                <w:szCs w:val="20"/>
                <w:u w:val="single"/>
              </w:rPr>
              <w:t>Requisitos previos.</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_Toc3467950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41</w:t>
            </w:r>
            <w:r w:rsidR="00EB2DEA" w:rsidRPr="00CC493D">
              <w:rPr>
                <w:rFonts w:eastAsiaTheme="minorEastAsia"/>
                <w:noProof/>
                <w:webHidden/>
                <w:sz w:val="20"/>
                <w:szCs w:val="20"/>
                <w:lang w:val="es-ES_tradnl" w:eastAsia="es-ES"/>
              </w:rPr>
              <w:fldChar w:fldCharType="end"/>
            </w:r>
          </w:hyperlink>
        </w:p>
        <w:p w14:paraId="52759E82"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51" w:history="1">
            <w:r w:rsidR="00EB2DEA" w:rsidRPr="00CC493D">
              <w:rPr>
                <w:rFonts w:ascii="Palatino Linotype" w:eastAsiaTheme="majorEastAsia" w:hAnsi="Palatino Linotype" w:cstheme="majorBidi"/>
                <w:b/>
                <w:noProof/>
                <w:color w:val="0000FF" w:themeColor="hyperlink"/>
                <w:sz w:val="20"/>
                <w:szCs w:val="20"/>
                <w:u w:val="single"/>
              </w:rPr>
              <w:t>b)</w:t>
            </w:r>
            <w:r w:rsidR="00EB2DEA" w:rsidRPr="00CC493D">
              <w:rPr>
                <w:rFonts w:eastAsiaTheme="minorEastAsia"/>
                <w:noProof/>
                <w:sz w:val="20"/>
                <w:szCs w:val="20"/>
                <w:lang w:eastAsia="es-MX"/>
              </w:rPr>
              <w:tab/>
            </w:r>
            <w:r w:rsidR="00EB2DEA" w:rsidRPr="00CC493D">
              <w:rPr>
                <w:rFonts w:ascii="Palatino Linotype" w:eastAsiaTheme="majorEastAsia" w:hAnsi="Palatino Linotype" w:cstheme="majorBidi"/>
                <w:noProof/>
                <w:color w:val="0000FF" w:themeColor="hyperlink"/>
                <w:sz w:val="20"/>
                <w:szCs w:val="20"/>
                <w:u w:val="single"/>
              </w:rPr>
              <w:t>Supuestos de clasificación.</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_Toc3467951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42</w:t>
            </w:r>
            <w:r w:rsidR="00EB2DEA" w:rsidRPr="00CC493D">
              <w:rPr>
                <w:rFonts w:eastAsiaTheme="minorEastAsia"/>
                <w:noProof/>
                <w:webHidden/>
                <w:sz w:val="20"/>
                <w:szCs w:val="20"/>
                <w:lang w:val="es-ES_tradnl" w:eastAsia="es-ES"/>
              </w:rPr>
              <w:fldChar w:fldCharType="end"/>
            </w:r>
          </w:hyperlink>
        </w:p>
        <w:p w14:paraId="054EB2D4"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52" w:history="1">
            <w:r w:rsidR="00EB2DEA" w:rsidRPr="00CC493D">
              <w:rPr>
                <w:rFonts w:ascii="Palatino Linotype" w:eastAsiaTheme="majorEastAsia" w:hAnsi="Palatino Linotype" w:cstheme="majorBidi"/>
                <w:b/>
                <w:noProof/>
                <w:color w:val="0000FF" w:themeColor="hyperlink"/>
                <w:sz w:val="20"/>
                <w:szCs w:val="20"/>
                <w:u w:val="single"/>
              </w:rPr>
              <w:t>c)</w:t>
            </w:r>
            <w:r w:rsidR="00EB2DEA" w:rsidRPr="00CC493D">
              <w:rPr>
                <w:rFonts w:eastAsiaTheme="minorEastAsia"/>
                <w:noProof/>
                <w:sz w:val="20"/>
                <w:szCs w:val="20"/>
                <w:lang w:eastAsia="es-MX"/>
              </w:rPr>
              <w:tab/>
            </w:r>
            <w:r w:rsidR="00EB2DEA" w:rsidRPr="00CC493D">
              <w:rPr>
                <w:rFonts w:ascii="Palatino Linotype" w:eastAsiaTheme="majorEastAsia" w:hAnsi="Palatino Linotype" w:cstheme="majorBidi"/>
                <w:noProof/>
                <w:color w:val="0000FF" w:themeColor="hyperlink"/>
                <w:sz w:val="20"/>
                <w:szCs w:val="20"/>
                <w:u w:val="single"/>
              </w:rPr>
              <w:t>Excepciones a los supuestos de clasificación de la información como reservada.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_Toc3467952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48</w:t>
            </w:r>
            <w:r w:rsidR="00EB2DEA" w:rsidRPr="00CC493D">
              <w:rPr>
                <w:rFonts w:eastAsiaTheme="minorEastAsia"/>
                <w:noProof/>
                <w:webHidden/>
                <w:sz w:val="20"/>
                <w:szCs w:val="20"/>
                <w:lang w:val="es-ES_tradnl" w:eastAsia="es-ES"/>
              </w:rPr>
              <w:fldChar w:fldCharType="end"/>
            </w:r>
          </w:hyperlink>
        </w:p>
        <w:p w14:paraId="372F1B13"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53" w:history="1">
            <w:r w:rsidR="00EB2DEA" w:rsidRPr="00CC493D">
              <w:rPr>
                <w:rFonts w:ascii="Palatino Linotype" w:eastAsiaTheme="majorEastAsia" w:hAnsi="Palatino Linotype" w:cstheme="majorBidi"/>
                <w:b/>
                <w:noProof/>
                <w:color w:val="0000FF" w:themeColor="hyperlink"/>
                <w:sz w:val="20"/>
                <w:szCs w:val="20"/>
                <w:u w:val="single"/>
              </w:rPr>
              <w:t>II.</w:t>
            </w:r>
            <w:r w:rsidR="00EB2DEA" w:rsidRPr="00CC493D">
              <w:rPr>
                <w:rFonts w:ascii="Palatino Linotype" w:eastAsiaTheme="majorEastAsia" w:hAnsi="Palatino Linotype" w:cstheme="majorBidi"/>
                <w:noProof/>
                <w:color w:val="0000FF" w:themeColor="hyperlink"/>
                <w:sz w:val="20"/>
                <w:szCs w:val="20"/>
                <w:u w:val="single"/>
              </w:rPr>
              <w:t xml:space="preserve"> La intervención del Comité de Transparencia.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_Toc3467953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49</w:t>
            </w:r>
            <w:r w:rsidR="00EB2DEA" w:rsidRPr="00CC493D">
              <w:rPr>
                <w:rFonts w:eastAsiaTheme="minorEastAsia"/>
                <w:noProof/>
                <w:webHidden/>
                <w:sz w:val="20"/>
                <w:szCs w:val="20"/>
                <w:lang w:val="es-ES_tradnl" w:eastAsia="es-ES"/>
              </w:rPr>
              <w:fldChar w:fldCharType="end"/>
            </w:r>
          </w:hyperlink>
        </w:p>
        <w:p w14:paraId="252E7A40"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54" w:history="1">
            <w:r w:rsidR="00EB2DEA" w:rsidRPr="00CC493D">
              <w:rPr>
                <w:rFonts w:ascii="Palatino Linotype" w:eastAsiaTheme="majorEastAsia" w:hAnsi="Palatino Linotype" w:cstheme="majorBidi"/>
                <w:b/>
                <w:noProof/>
                <w:color w:val="0000FF" w:themeColor="hyperlink"/>
                <w:sz w:val="20"/>
                <w:szCs w:val="20"/>
                <w:u w:val="single"/>
              </w:rPr>
              <w:t>a)</w:t>
            </w:r>
            <w:r w:rsidR="00EB2DEA" w:rsidRPr="00CC493D">
              <w:rPr>
                <w:rFonts w:eastAsiaTheme="minorEastAsia"/>
                <w:noProof/>
                <w:sz w:val="20"/>
                <w:szCs w:val="20"/>
                <w:lang w:eastAsia="es-MX"/>
              </w:rPr>
              <w:tab/>
            </w:r>
            <w:r w:rsidR="00EB2DEA" w:rsidRPr="00CC493D">
              <w:rPr>
                <w:rFonts w:ascii="Palatino Linotype" w:eastAsiaTheme="majorEastAsia" w:hAnsi="Palatino Linotype" w:cstheme="majorBidi"/>
                <w:noProof/>
                <w:color w:val="0000FF" w:themeColor="hyperlink"/>
                <w:sz w:val="20"/>
                <w:szCs w:val="20"/>
                <w:u w:val="single"/>
              </w:rPr>
              <w:t>Formalidades para emitir el acuerdo de clasificación.</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_Toc3467954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49</w:t>
            </w:r>
            <w:r w:rsidR="00EB2DEA" w:rsidRPr="00CC493D">
              <w:rPr>
                <w:rFonts w:eastAsiaTheme="minorEastAsia"/>
                <w:noProof/>
                <w:webHidden/>
                <w:sz w:val="20"/>
                <w:szCs w:val="20"/>
                <w:lang w:val="es-ES_tradnl" w:eastAsia="es-ES"/>
              </w:rPr>
              <w:fldChar w:fldCharType="end"/>
            </w:r>
          </w:hyperlink>
        </w:p>
        <w:p w14:paraId="0314B4A2"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55" w:history="1">
            <w:r w:rsidR="00EB2DEA" w:rsidRPr="00CC493D">
              <w:rPr>
                <w:rFonts w:ascii="Palatino Linotype" w:eastAsiaTheme="majorEastAsia" w:hAnsi="Palatino Linotype" w:cstheme="majorBidi"/>
                <w:b/>
                <w:noProof/>
                <w:color w:val="0000FF" w:themeColor="hyperlink"/>
                <w:sz w:val="20"/>
                <w:szCs w:val="20"/>
                <w:u w:val="single"/>
              </w:rPr>
              <w:t>b)</w:t>
            </w:r>
            <w:r w:rsidR="00EB2DEA" w:rsidRPr="00CC493D">
              <w:rPr>
                <w:rFonts w:eastAsiaTheme="minorEastAsia"/>
                <w:noProof/>
                <w:sz w:val="20"/>
                <w:szCs w:val="20"/>
                <w:lang w:eastAsia="es-MX"/>
              </w:rPr>
              <w:tab/>
            </w:r>
            <w:r w:rsidR="00EB2DEA" w:rsidRPr="00CC493D">
              <w:rPr>
                <w:rFonts w:ascii="Palatino Linotype" w:eastAsiaTheme="majorEastAsia" w:hAnsi="Palatino Linotype" w:cstheme="majorBidi"/>
                <w:noProof/>
                <w:color w:val="0000FF" w:themeColor="hyperlink"/>
                <w:sz w:val="20"/>
                <w:szCs w:val="20"/>
                <w:u w:val="single"/>
              </w:rPr>
              <w:t>Requisitos de fondo del acuerdo de clasificación.</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_Toc3467955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50</w:t>
            </w:r>
            <w:r w:rsidR="00EB2DEA" w:rsidRPr="00CC493D">
              <w:rPr>
                <w:rFonts w:eastAsiaTheme="minorEastAsia"/>
                <w:noProof/>
                <w:webHidden/>
                <w:sz w:val="20"/>
                <w:szCs w:val="20"/>
                <w:lang w:val="es-ES_tradnl" w:eastAsia="es-ES"/>
              </w:rPr>
              <w:fldChar w:fldCharType="end"/>
            </w:r>
          </w:hyperlink>
        </w:p>
        <w:p w14:paraId="4C6253FD"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56" w:history="1">
            <w:r w:rsidR="00EB2DEA" w:rsidRPr="00CC493D">
              <w:rPr>
                <w:rFonts w:ascii="Palatino Linotype" w:eastAsiaTheme="majorEastAsia" w:hAnsi="Palatino Linotype" w:cstheme="majorBidi"/>
                <w:b/>
                <w:noProof/>
                <w:color w:val="0000FF" w:themeColor="hyperlink"/>
                <w:sz w:val="20"/>
                <w:szCs w:val="20"/>
                <w:u w:val="single"/>
              </w:rPr>
              <w:t>III.</w:t>
            </w:r>
            <w:r w:rsidR="00EB2DEA" w:rsidRPr="00CC493D">
              <w:rPr>
                <w:rFonts w:ascii="Palatino Linotype" w:eastAsiaTheme="majorEastAsia" w:hAnsi="Palatino Linotype" w:cstheme="majorBidi"/>
                <w:noProof/>
                <w:color w:val="0000FF" w:themeColor="hyperlink"/>
                <w:sz w:val="20"/>
                <w:szCs w:val="20"/>
                <w:u w:val="single"/>
              </w:rPr>
              <w:t xml:space="preserve"> Condiciones especiales de la clasificación de la información como reservada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_Toc3467956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54</w:t>
            </w:r>
            <w:r w:rsidR="00EB2DEA" w:rsidRPr="00CC493D">
              <w:rPr>
                <w:rFonts w:eastAsiaTheme="minorEastAsia"/>
                <w:noProof/>
                <w:webHidden/>
                <w:sz w:val="20"/>
                <w:szCs w:val="20"/>
                <w:lang w:val="es-ES_tradnl" w:eastAsia="es-ES"/>
              </w:rPr>
              <w:fldChar w:fldCharType="end"/>
            </w:r>
          </w:hyperlink>
        </w:p>
        <w:p w14:paraId="733CE009" w14:textId="77777777" w:rsidR="00EB2DEA" w:rsidRPr="00CC493D" w:rsidRDefault="00817C7E" w:rsidP="00EB2DEA">
          <w:pPr>
            <w:tabs>
              <w:tab w:val="left" w:pos="1100"/>
              <w:tab w:val="right" w:leader="dot" w:pos="8779"/>
            </w:tabs>
            <w:spacing w:after="100"/>
            <w:ind w:left="567" w:hanging="567"/>
            <w:rPr>
              <w:rFonts w:eastAsiaTheme="minorEastAsia"/>
              <w:noProof/>
              <w:sz w:val="20"/>
              <w:szCs w:val="20"/>
              <w:lang w:eastAsia="es-MX"/>
            </w:rPr>
          </w:pPr>
          <w:hyperlink w:anchor="_Toc3467957" w:history="1">
            <w:r w:rsidR="00EB2DEA" w:rsidRPr="00CC493D">
              <w:rPr>
                <w:rFonts w:ascii="Palatino Linotype" w:eastAsiaTheme="majorEastAsia" w:hAnsi="Palatino Linotype" w:cstheme="majorBidi"/>
                <w:b/>
                <w:noProof/>
                <w:color w:val="0000FF" w:themeColor="hyperlink"/>
                <w:sz w:val="20"/>
                <w:szCs w:val="20"/>
                <w:u w:val="single"/>
                <w:lang w:val="es-ES_tradnl" w:eastAsia="es-ES"/>
              </w:rPr>
              <w:t>a)</w:t>
            </w:r>
            <w:r w:rsidR="00EB2DEA" w:rsidRPr="00CC493D">
              <w:rPr>
                <w:rFonts w:eastAsiaTheme="minorEastAsia"/>
                <w:noProof/>
                <w:sz w:val="20"/>
                <w:szCs w:val="20"/>
                <w:lang w:eastAsia="es-MX"/>
              </w:rPr>
              <w:tab/>
            </w:r>
            <w:r w:rsidR="00EB2DEA" w:rsidRPr="00CC493D">
              <w:rPr>
                <w:rFonts w:ascii="Palatino Linotype" w:eastAsiaTheme="majorEastAsia" w:hAnsi="Palatino Linotype" w:cstheme="majorBidi"/>
                <w:noProof/>
                <w:color w:val="0000FF" w:themeColor="hyperlink"/>
                <w:sz w:val="20"/>
                <w:szCs w:val="20"/>
                <w:u w:val="single"/>
                <w:lang w:val="es-ES_tradnl" w:eastAsia="es-ES"/>
              </w:rPr>
              <w:t>La fundamentación específica.</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_Toc3467957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55</w:t>
            </w:r>
            <w:r w:rsidR="00EB2DEA" w:rsidRPr="00CC493D">
              <w:rPr>
                <w:rFonts w:eastAsiaTheme="minorEastAsia"/>
                <w:noProof/>
                <w:webHidden/>
                <w:sz w:val="20"/>
                <w:szCs w:val="20"/>
                <w:lang w:val="es-ES_tradnl" w:eastAsia="es-ES"/>
              </w:rPr>
              <w:fldChar w:fldCharType="end"/>
            </w:r>
          </w:hyperlink>
        </w:p>
        <w:p w14:paraId="016BA2EC" w14:textId="77777777" w:rsidR="00EB2DEA" w:rsidRPr="00CC493D" w:rsidRDefault="00817C7E" w:rsidP="00EB2DEA">
          <w:pPr>
            <w:tabs>
              <w:tab w:val="left" w:pos="1100"/>
              <w:tab w:val="right" w:leader="dot" w:pos="8779"/>
            </w:tabs>
            <w:spacing w:after="100"/>
            <w:ind w:left="567" w:hanging="567"/>
            <w:rPr>
              <w:rFonts w:eastAsiaTheme="minorEastAsia"/>
              <w:noProof/>
              <w:sz w:val="20"/>
              <w:szCs w:val="20"/>
              <w:lang w:eastAsia="es-MX"/>
            </w:rPr>
          </w:pPr>
          <w:hyperlink w:anchor="_Toc3467958" w:history="1">
            <w:r w:rsidR="00EB2DEA" w:rsidRPr="00CC493D">
              <w:rPr>
                <w:rFonts w:ascii="Palatino Linotype" w:eastAsiaTheme="majorEastAsia" w:hAnsi="Palatino Linotype" w:cstheme="majorBidi"/>
                <w:b/>
                <w:noProof/>
                <w:color w:val="0000FF" w:themeColor="hyperlink"/>
                <w:sz w:val="20"/>
                <w:szCs w:val="20"/>
                <w:u w:val="single"/>
                <w:lang w:val="es-ES_tradnl" w:eastAsia="es-ES"/>
              </w:rPr>
              <w:t>b)</w:t>
            </w:r>
            <w:r w:rsidR="00EB2DEA" w:rsidRPr="00CC493D">
              <w:rPr>
                <w:rFonts w:eastAsiaTheme="minorEastAsia"/>
                <w:noProof/>
                <w:sz w:val="20"/>
                <w:szCs w:val="20"/>
                <w:lang w:eastAsia="es-MX"/>
              </w:rPr>
              <w:tab/>
            </w:r>
            <w:r w:rsidR="00EB2DEA" w:rsidRPr="00CC493D">
              <w:rPr>
                <w:rFonts w:ascii="Palatino Linotype" w:eastAsiaTheme="majorEastAsia" w:hAnsi="Palatino Linotype" w:cstheme="majorBidi"/>
                <w:noProof/>
                <w:color w:val="0000FF" w:themeColor="hyperlink"/>
                <w:sz w:val="20"/>
                <w:szCs w:val="20"/>
                <w:u w:val="single"/>
                <w:lang w:val="es-ES_tradnl" w:eastAsia="es-ES"/>
              </w:rPr>
              <w:t>La prueba de daño.</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_Toc3467958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55</w:t>
            </w:r>
            <w:r w:rsidR="00EB2DEA" w:rsidRPr="00CC493D">
              <w:rPr>
                <w:rFonts w:eastAsiaTheme="minorEastAsia"/>
                <w:noProof/>
                <w:webHidden/>
                <w:sz w:val="20"/>
                <w:szCs w:val="20"/>
                <w:lang w:val="es-ES_tradnl" w:eastAsia="es-ES"/>
              </w:rPr>
              <w:fldChar w:fldCharType="end"/>
            </w:r>
          </w:hyperlink>
        </w:p>
        <w:p w14:paraId="1955EFB5"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59" w:history="1">
            <w:r w:rsidR="00EB2DEA" w:rsidRPr="00CC493D">
              <w:rPr>
                <w:rFonts w:ascii="Palatino Linotype" w:eastAsiaTheme="majorEastAsia" w:hAnsi="Palatino Linotype" w:cstheme="majorBidi"/>
                <w:b/>
                <w:noProof/>
                <w:color w:val="0000FF" w:themeColor="hyperlink"/>
                <w:sz w:val="20"/>
                <w:szCs w:val="20"/>
                <w:u w:val="single"/>
              </w:rPr>
              <w:t>c)</w:t>
            </w:r>
            <w:r w:rsidR="00EB2DEA" w:rsidRPr="00CC493D">
              <w:rPr>
                <w:rFonts w:eastAsiaTheme="minorEastAsia"/>
                <w:noProof/>
                <w:sz w:val="20"/>
                <w:szCs w:val="20"/>
                <w:lang w:eastAsia="es-MX"/>
              </w:rPr>
              <w:tab/>
            </w:r>
            <w:r w:rsidR="00EB2DEA" w:rsidRPr="00CC493D">
              <w:rPr>
                <w:rFonts w:ascii="Palatino Linotype" w:eastAsiaTheme="majorEastAsia" w:hAnsi="Palatino Linotype" w:cstheme="majorBidi"/>
                <w:noProof/>
                <w:color w:val="0000FF" w:themeColor="hyperlink"/>
                <w:sz w:val="20"/>
                <w:szCs w:val="20"/>
                <w:u w:val="single"/>
              </w:rPr>
              <w:t>La clasificación de la información reservada debe ser de manera temporal.</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_Toc3467959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58</w:t>
            </w:r>
            <w:r w:rsidR="00EB2DEA" w:rsidRPr="00CC493D">
              <w:rPr>
                <w:rFonts w:eastAsiaTheme="minorEastAsia"/>
                <w:noProof/>
                <w:webHidden/>
                <w:sz w:val="20"/>
                <w:szCs w:val="20"/>
                <w:lang w:val="es-ES_tradnl" w:eastAsia="es-ES"/>
              </w:rPr>
              <w:fldChar w:fldCharType="end"/>
            </w:r>
          </w:hyperlink>
        </w:p>
        <w:p w14:paraId="10D9C089" w14:textId="77777777" w:rsidR="00EB2DEA" w:rsidRPr="00CC493D" w:rsidRDefault="00817C7E" w:rsidP="00EB2DEA">
          <w:pPr>
            <w:tabs>
              <w:tab w:val="left" w:pos="480"/>
              <w:tab w:val="right" w:leader="dot" w:pos="8779"/>
            </w:tabs>
            <w:spacing w:after="100"/>
            <w:ind w:left="426" w:hanging="426"/>
            <w:rPr>
              <w:rFonts w:eastAsiaTheme="minorEastAsia"/>
              <w:noProof/>
              <w:sz w:val="20"/>
              <w:szCs w:val="20"/>
              <w:lang w:eastAsia="es-MX"/>
            </w:rPr>
          </w:pPr>
          <w:hyperlink w:anchor="_Toc3467960" w:history="1">
            <w:r w:rsidR="00EB2DEA" w:rsidRPr="00CC493D">
              <w:rPr>
                <w:rFonts w:ascii="Palatino Linotype" w:eastAsiaTheme="majorEastAsia" w:hAnsi="Palatino Linotype" w:cstheme="majorBidi"/>
                <w:b/>
                <w:noProof/>
                <w:color w:val="0000FF" w:themeColor="hyperlink"/>
                <w:sz w:val="20"/>
                <w:szCs w:val="20"/>
                <w:u w:val="single"/>
              </w:rPr>
              <w:t>IV.</w:t>
            </w:r>
            <w:r w:rsidR="00EB2DEA" w:rsidRPr="00CC493D">
              <w:rPr>
                <w:rFonts w:eastAsiaTheme="minorEastAsia"/>
                <w:noProof/>
                <w:sz w:val="20"/>
                <w:szCs w:val="20"/>
                <w:lang w:eastAsia="es-MX"/>
              </w:rPr>
              <w:tab/>
            </w:r>
            <w:r w:rsidR="00EB2DEA" w:rsidRPr="00CC493D">
              <w:rPr>
                <w:rFonts w:ascii="Palatino Linotype" w:eastAsiaTheme="majorEastAsia" w:hAnsi="Palatino Linotype" w:cstheme="majorBidi"/>
                <w:noProof/>
                <w:color w:val="0000FF" w:themeColor="hyperlink"/>
                <w:sz w:val="20"/>
                <w:szCs w:val="20"/>
                <w:u w:val="single"/>
              </w:rPr>
              <w:t>Condiciones especiales de la clasificación de la información como confidencial.</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_Toc3467960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60</w:t>
            </w:r>
            <w:r w:rsidR="00EB2DEA" w:rsidRPr="00CC493D">
              <w:rPr>
                <w:rFonts w:eastAsiaTheme="minorEastAsia"/>
                <w:noProof/>
                <w:webHidden/>
                <w:sz w:val="20"/>
                <w:szCs w:val="20"/>
                <w:lang w:val="es-ES_tradnl" w:eastAsia="es-ES"/>
              </w:rPr>
              <w:fldChar w:fldCharType="end"/>
            </w:r>
          </w:hyperlink>
        </w:p>
        <w:p w14:paraId="0CBBF538" w14:textId="77777777" w:rsidR="00EB2DEA" w:rsidRPr="00CC493D" w:rsidRDefault="00817C7E" w:rsidP="00EB2DEA">
          <w:pPr>
            <w:tabs>
              <w:tab w:val="left" w:pos="660"/>
              <w:tab w:val="right" w:leader="dot" w:pos="8779"/>
            </w:tabs>
            <w:spacing w:after="100"/>
            <w:ind w:left="426" w:hanging="426"/>
            <w:rPr>
              <w:rFonts w:eastAsiaTheme="minorEastAsia"/>
              <w:noProof/>
              <w:sz w:val="20"/>
              <w:szCs w:val="20"/>
              <w:lang w:eastAsia="es-MX"/>
            </w:rPr>
          </w:pPr>
          <w:hyperlink w:anchor="_Toc3467961" w:history="1">
            <w:r w:rsidR="00EB2DEA" w:rsidRPr="00CC493D">
              <w:rPr>
                <w:rFonts w:ascii="Palatino Linotype" w:eastAsia="Calibri" w:hAnsi="Palatino Linotype" w:cstheme="majorBidi"/>
                <w:b/>
                <w:noProof/>
                <w:color w:val="0000FF" w:themeColor="hyperlink"/>
                <w:sz w:val="20"/>
                <w:szCs w:val="20"/>
                <w:u w:val="single"/>
                <w:lang w:val="es-ES" w:eastAsia="es-ES"/>
              </w:rPr>
              <w:t>R E S O L U T I V O S</w:t>
            </w:r>
            <w:r w:rsidR="00EB2DEA" w:rsidRPr="00CC493D">
              <w:rPr>
                <w:rFonts w:eastAsiaTheme="minorEastAsia"/>
                <w:noProof/>
                <w:webHidden/>
                <w:sz w:val="20"/>
                <w:szCs w:val="20"/>
                <w:lang w:val="es-ES_tradnl" w:eastAsia="es-ES"/>
              </w:rPr>
              <w:tab/>
            </w:r>
            <w:r w:rsidR="00EB2DEA" w:rsidRPr="00CC493D">
              <w:rPr>
                <w:rFonts w:eastAsiaTheme="minorEastAsia"/>
                <w:noProof/>
                <w:webHidden/>
                <w:sz w:val="20"/>
                <w:szCs w:val="20"/>
                <w:lang w:val="es-ES_tradnl" w:eastAsia="es-ES"/>
              </w:rPr>
              <w:fldChar w:fldCharType="begin"/>
            </w:r>
            <w:r w:rsidR="00EB2DEA" w:rsidRPr="00CC493D">
              <w:rPr>
                <w:rFonts w:eastAsiaTheme="minorEastAsia"/>
                <w:noProof/>
                <w:webHidden/>
                <w:sz w:val="20"/>
                <w:szCs w:val="20"/>
                <w:lang w:val="es-ES_tradnl" w:eastAsia="es-ES"/>
              </w:rPr>
              <w:instrText xml:space="preserve"> PAGEREF _Toc3467961 \h </w:instrText>
            </w:r>
            <w:r w:rsidR="00EB2DEA" w:rsidRPr="00CC493D">
              <w:rPr>
                <w:rFonts w:eastAsiaTheme="minorEastAsia"/>
                <w:noProof/>
                <w:webHidden/>
                <w:sz w:val="20"/>
                <w:szCs w:val="20"/>
                <w:lang w:val="es-ES_tradnl" w:eastAsia="es-ES"/>
              </w:rPr>
            </w:r>
            <w:r w:rsidR="00EB2DEA" w:rsidRPr="00CC493D">
              <w:rPr>
                <w:rFonts w:eastAsiaTheme="minorEastAsia"/>
                <w:noProof/>
                <w:webHidden/>
                <w:sz w:val="20"/>
                <w:szCs w:val="20"/>
                <w:lang w:val="es-ES_tradnl" w:eastAsia="es-ES"/>
              </w:rPr>
              <w:fldChar w:fldCharType="separate"/>
            </w:r>
            <w:r w:rsidR="00EB2DEA" w:rsidRPr="00CC493D">
              <w:rPr>
                <w:rFonts w:eastAsiaTheme="minorEastAsia"/>
                <w:noProof/>
                <w:webHidden/>
                <w:sz w:val="20"/>
                <w:szCs w:val="20"/>
                <w:lang w:val="es-ES_tradnl" w:eastAsia="es-ES"/>
              </w:rPr>
              <w:t>66</w:t>
            </w:r>
            <w:r w:rsidR="00EB2DEA" w:rsidRPr="00CC493D">
              <w:rPr>
                <w:rFonts w:eastAsiaTheme="minorEastAsia"/>
                <w:noProof/>
                <w:webHidden/>
                <w:sz w:val="20"/>
                <w:szCs w:val="20"/>
                <w:lang w:val="es-ES_tradnl" w:eastAsia="es-ES"/>
              </w:rPr>
              <w:fldChar w:fldCharType="end"/>
            </w:r>
          </w:hyperlink>
        </w:p>
        <w:p w14:paraId="089417F8" w14:textId="5F615ABC" w:rsidR="00AC22B5" w:rsidRPr="00CC493D" w:rsidRDefault="00EB2DEA" w:rsidP="00EB2DEA">
          <w:pPr>
            <w:spacing w:line="720" w:lineRule="auto"/>
            <w:rPr>
              <w:rFonts w:eastAsiaTheme="minorEastAsia"/>
              <w:bCs/>
              <w:lang w:val="es-ES" w:eastAsia="es-ES"/>
            </w:rPr>
          </w:pPr>
          <w:r w:rsidRPr="00CC493D">
            <w:rPr>
              <w:rFonts w:ascii="Palatino Linotype" w:eastAsiaTheme="minorEastAsia" w:hAnsi="Palatino Linotype"/>
              <w:b/>
              <w:bCs/>
              <w:sz w:val="20"/>
              <w:szCs w:val="20"/>
              <w:lang w:val="es-ES" w:eastAsia="es-ES"/>
            </w:rPr>
            <w:fldChar w:fldCharType="end"/>
          </w:r>
        </w:p>
      </w:sdtContent>
    </w:sdt>
    <w:p w14:paraId="73F7F940" w14:textId="08E8496C" w:rsidR="00662C69" w:rsidRPr="00CC493D" w:rsidRDefault="009B11D6" w:rsidP="00440800">
      <w:pPr>
        <w:tabs>
          <w:tab w:val="left" w:pos="3465"/>
        </w:tabs>
        <w:spacing w:before="240" w:after="360" w:line="360" w:lineRule="auto"/>
        <w:jc w:val="both"/>
        <w:rPr>
          <w:rFonts w:ascii="Palatino Linotype" w:hAnsi="Palatino Linotype"/>
        </w:rPr>
      </w:pPr>
      <w:r w:rsidRPr="00CC493D">
        <w:rPr>
          <w:rFonts w:ascii="Palatino Linotype" w:hAnsi="Palatino Linotype"/>
        </w:rPr>
        <w:lastRenderedPageBreak/>
        <w:t>R</w:t>
      </w:r>
      <w:r w:rsidR="00662C69" w:rsidRPr="00CC493D">
        <w:rPr>
          <w:rFonts w:ascii="Palatino Linotype" w:hAnsi="Palatino Linotype"/>
        </w:rPr>
        <w:t>esolución del Pleno del Instituto de Transparencia, Acceso a la Información Pública y Protección de Datos Personales del Estado de México y Mun</w:t>
      </w:r>
      <w:r w:rsidR="000D5A1D" w:rsidRPr="00CC493D">
        <w:rPr>
          <w:rFonts w:ascii="Palatino Linotype" w:hAnsi="Palatino Linotype"/>
        </w:rPr>
        <w:t>icipios, con</w:t>
      </w:r>
      <w:r w:rsidR="00662C69" w:rsidRPr="00CC493D">
        <w:rPr>
          <w:rFonts w:ascii="Palatino Linotype" w:hAnsi="Palatino Linotype"/>
        </w:rPr>
        <w:t xml:space="preserve"> </w:t>
      </w:r>
      <w:r w:rsidR="00485DB6" w:rsidRPr="00CC493D">
        <w:rPr>
          <w:rFonts w:ascii="Palatino Linotype" w:hAnsi="Palatino Linotype"/>
        </w:rPr>
        <w:t xml:space="preserve">domicilio </w:t>
      </w:r>
      <w:r w:rsidR="00662C69" w:rsidRPr="00CC493D">
        <w:rPr>
          <w:rFonts w:ascii="Palatino Linotype" w:hAnsi="Palatino Linotype"/>
        </w:rPr>
        <w:t xml:space="preserve">en </w:t>
      </w:r>
      <w:r w:rsidR="00AC22B5" w:rsidRPr="00CC493D">
        <w:rPr>
          <w:rFonts w:ascii="Palatino Linotype" w:hAnsi="Palatino Linotype"/>
        </w:rPr>
        <w:t>Metepec</w:t>
      </w:r>
      <w:r w:rsidR="00662C69" w:rsidRPr="00CC493D">
        <w:rPr>
          <w:rFonts w:ascii="Palatino Linotype" w:hAnsi="Palatino Linotype"/>
        </w:rPr>
        <w:t xml:space="preserve">, Estado de México; de </w:t>
      </w:r>
      <w:r w:rsidR="000D5A1D" w:rsidRPr="00CC493D">
        <w:rPr>
          <w:rFonts w:ascii="Palatino Linotype" w:hAnsi="Palatino Linotype"/>
        </w:rPr>
        <w:t xml:space="preserve">fecha </w:t>
      </w:r>
      <w:r w:rsidR="003949FA" w:rsidRPr="00CC493D">
        <w:rPr>
          <w:rFonts w:ascii="Palatino Linotype" w:hAnsi="Palatino Linotype"/>
        </w:rPr>
        <w:t xml:space="preserve">veintiocho (28) </w:t>
      </w:r>
      <w:r w:rsidR="002F30A6" w:rsidRPr="00CC493D">
        <w:rPr>
          <w:rFonts w:ascii="Palatino Linotype" w:hAnsi="Palatino Linotype"/>
        </w:rPr>
        <w:t xml:space="preserve">de octubre </w:t>
      </w:r>
      <w:r w:rsidR="00ED02CC" w:rsidRPr="00CC493D">
        <w:rPr>
          <w:rFonts w:ascii="Palatino Linotype" w:hAnsi="Palatino Linotype"/>
        </w:rPr>
        <w:t>de</w:t>
      </w:r>
      <w:r w:rsidR="00662C69" w:rsidRPr="00CC493D">
        <w:rPr>
          <w:rFonts w:ascii="Palatino Linotype" w:hAnsi="Palatino Linotype"/>
        </w:rPr>
        <w:t xml:space="preserve"> dos mil </w:t>
      </w:r>
      <w:r w:rsidR="00222AAA" w:rsidRPr="00CC493D">
        <w:rPr>
          <w:rFonts w:ascii="Palatino Linotype" w:hAnsi="Palatino Linotype"/>
        </w:rPr>
        <w:t>veinte</w:t>
      </w:r>
      <w:r w:rsidR="00662C69" w:rsidRPr="00CC493D">
        <w:rPr>
          <w:rFonts w:ascii="Palatino Linotype" w:hAnsi="Palatino Linotype"/>
        </w:rPr>
        <w:t>.</w:t>
      </w:r>
    </w:p>
    <w:p w14:paraId="02C1324E" w14:textId="2CC117CA" w:rsidR="00662C69" w:rsidRPr="00CC493D" w:rsidRDefault="00662C69" w:rsidP="001E74A5">
      <w:pPr>
        <w:spacing w:before="240" w:after="360" w:line="360" w:lineRule="auto"/>
        <w:jc w:val="both"/>
        <w:rPr>
          <w:rFonts w:ascii="Palatino Linotype" w:hAnsi="Palatino Linotype"/>
          <w:b/>
        </w:rPr>
      </w:pPr>
      <w:r w:rsidRPr="00CC493D">
        <w:rPr>
          <w:rFonts w:ascii="Palatino Linotype" w:hAnsi="Palatino Linotype"/>
          <w:b/>
        </w:rPr>
        <w:t>VISTO</w:t>
      </w:r>
      <w:r w:rsidRPr="00CC493D">
        <w:rPr>
          <w:rFonts w:ascii="Palatino Linotype" w:hAnsi="Palatino Linotype"/>
        </w:rPr>
        <w:t xml:space="preserve"> el expediente electrónico for</w:t>
      </w:r>
      <w:r w:rsidR="00D37494" w:rsidRPr="00CC493D">
        <w:rPr>
          <w:rFonts w:ascii="Palatino Linotype" w:hAnsi="Palatino Linotype"/>
        </w:rPr>
        <w:t>mado con motivo del</w:t>
      </w:r>
      <w:r w:rsidRPr="00CC493D">
        <w:rPr>
          <w:rFonts w:ascii="Palatino Linotype" w:hAnsi="Palatino Linotype"/>
        </w:rPr>
        <w:t xml:space="preserve"> recurso de revisión </w:t>
      </w:r>
      <w:r w:rsidR="00AA38CA" w:rsidRPr="00CC493D">
        <w:rPr>
          <w:rFonts w:ascii="Palatino Linotype" w:hAnsi="Palatino Linotype"/>
          <w:b/>
        </w:rPr>
        <w:t>0</w:t>
      </w:r>
      <w:r w:rsidR="002F30A6" w:rsidRPr="00CC493D">
        <w:rPr>
          <w:rFonts w:ascii="Palatino Linotype" w:hAnsi="Palatino Linotype"/>
          <w:b/>
        </w:rPr>
        <w:t>3</w:t>
      </w:r>
      <w:r w:rsidR="003949FA" w:rsidRPr="00CC493D">
        <w:rPr>
          <w:rFonts w:ascii="Palatino Linotype" w:hAnsi="Palatino Linotype"/>
          <w:b/>
        </w:rPr>
        <w:t>863</w:t>
      </w:r>
      <w:r w:rsidR="00AA38CA" w:rsidRPr="00CC493D">
        <w:rPr>
          <w:rFonts w:ascii="Palatino Linotype" w:hAnsi="Palatino Linotype"/>
          <w:b/>
        </w:rPr>
        <w:t>/INFOEM/IP/RR/2020</w:t>
      </w:r>
      <w:r w:rsidR="004F3DEB" w:rsidRPr="00CC493D">
        <w:rPr>
          <w:rFonts w:ascii="Palatino Linotype" w:hAnsi="Palatino Linotype"/>
          <w:b/>
        </w:rPr>
        <w:t>,</w:t>
      </w:r>
      <w:r w:rsidR="00335BFE" w:rsidRPr="00CC493D">
        <w:rPr>
          <w:rFonts w:ascii="Palatino Linotype" w:hAnsi="Palatino Linotype" w:cs="Arial"/>
          <w:b/>
          <w:bCs/>
        </w:rPr>
        <w:t xml:space="preserve"> </w:t>
      </w:r>
      <w:r w:rsidRPr="00CC493D">
        <w:rPr>
          <w:rFonts w:ascii="Palatino Linotype" w:hAnsi="Palatino Linotype"/>
        </w:rPr>
        <w:t>promovido por</w:t>
      </w:r>
      <w:r w:rsidR="00311C3D" w:rsidRPr="00CC493D">
        <w:rPr>
          <w:rFonts w:ascii="Palatino Linotype" w:hAnsi="Palatino Linotype"/>
        </w:rPr>
        <w:t xml:space="preserve"> </w:t>
      </w:r>
      <w:r w:rsidR="00817C7E" w:rsidRPr="00817C7E">
        <w:rPr>
          <w:rFonts w:ascii="Palatino Linotype" w:hAnsi="Palatino Linotype"/>
          <w:highlight w:val="black"/>
        </w:rPr>
        <w:t>------------------------------</w:t>
      </w:r>
      <w:r w:rsidR="007521DE" w:rsidRPr="00CC493D">
        <w:rPr>
          <w:rFonts w:ascii="Palatino Linotype" w:hAnsi="Palatino Linotype"/>
        </w:rPr>
        <w:t xml:space="preserve">, </w:t>
      </w:r>
      <w:r w:rsidR="0064508B" w:rsidRPr="00CC493D">
        <w:rPr>
          <w:rFonts w:ascii="Palatino Linotype" w:hAnsi="Palatino Linotype"/>
        </w:rPr>
        <w:t xml:space="preserve">a quien </w:t>
      </w:r>
      <w:r w:rsidR="00A05D06" w:rsidRPr="00CC493D">
        <w:rPr>
          <w:rFonts w:ascii="Palatino Linotype" w:hAnsi="Palatino Linotype"/>
        </w:rPr>
        <w:t xml:space="preserve">en </w:t>
      </w:r>
      <w:r w:rsidR="00E64EAF" w:rsidRPr="00CC493D">
        <w:rPr>
          <w:rFonts w:ascii="Palatino Linotype" w:hAnsi="Palatino Linotype"/>
        </w:rPr>
        <w:t>lo sucesivo</w:t>
      </w:r>
      <w:r w:rsidR="00A05D06" w:rsidRPr="00CC493D">
        <w:rPr>
          <w:rFonts w:ascii="Palatino Linotype" w:hAnsi="Palatino Linotype"/>
        </w:rPr>
        <w:t xml:space="preserve"> se </w:t>
      </w:r>
      <w:r w:rsidR="007521DE" w:rsidRPr="00CC493D">
        <w:rPr>
          <w:rFonts w:ascii="Palatino Linotype" w:hAnsi="Palatino Linotype"/>
        </w:rPr>
        <w:t xml:space="preserve">le </w:t>
      </w:r>
      <w:r w:rsidR="00A05D06" w:rsidRPr="00CC493D">
        <w:rPr>
          <w:rFonts w:ascii="Palatino Linotype" w:hAnsi="Palatino Linotype"/>
        </w:rPr>
        <w:t>identificará como</w:t>
      </w:r>
      <w:r w:rsidR="00FF0139" w:rsidRPr="00CC493D">
        <w:rPr>
          <w:rFonts w:ascii="Palatino Linotype" w:hAnsi="Palatino Linotype"/>
        </w:rPr>
        <w:t xml:space="preserve"> </w:t>
      </w:r>
      <w:r w:rsidR="00311C3D" w:rsidRPr="00CC493D">
        <w:rPr>
          <w:rFonts w:ascii="Palatino Linotype" w:hAnsi="Palatino Linotype"/>
        </w:rPr>
        <w:t>e</w:t>
      </w:r>
      <w:r w:rsidR="0064508B" w:rsidRPr="00CC493D">
        <w:rPr>
          <w:rFonts w:ascii="Palatino Linotype" w:hAnsi="Palatino Linotype"/>
        </w:rPr>
        <w:t>l</w:t>
      </w:r>
      <w:r w:rsidR="0004427A" w:rsidRPr="00CC493D">
        <w:rPr>
          <w:rFonts w:ascii="Palatino Linotype" w:hAnsi="Palatino Linotype"/>
          <w:b/>
        </w:rPr>
        <w:t xml:space="preserve"> </w:t>
      </w:r>
      <w:r w:rsidRPr="00CC493D">
        <w:rPr>
          <w:rFonts w:ascii="Palatino Linotype" w:hAnsi="Palatino Linotype" w:cs="Arial"/>
          <w:b/>
        </w:rPr>
        <w:t>RECURRENTE</w:t>
      </w:r>
      <w:r w:rsidRPr="00CC493D">
        <w:rPr>
          <w:rFonts w:ascii="Palatino Linotype" w:hAnsi="Palatino Linotype" w:cs="Arial"/>
        </w:rPr>
        <w:t xml:space="preserve">, en contra </w:t>
      </w:r>
      <w:r w:rsidR="000D5A1D" w:rsidRPr="00CC493D">
        <w:rPr>
          <w:rFonts w:ascii="Palatino Linotype" w:hAnsi="Palatino Linotype" w:cs="Arial"/>
        </w:rPr>
        <w:t xml:space="preserve">de </w:t>
      </w:r>
      <w:r w:rsidR="00843908" w:rsidRPr="00CC493D">
        <w:rPr>
          <w:rFonts w:ascii="Palatino Linotype" w:hAnsi="Palatino Linotype" w:cs="Arial"/>
        </w:rPr>
        <w:t>la respuesta de</w:t>
      </w:r>
      <w:r w:rsidR="00ED02CC" w:rsidRPr="00CC493D">
        <w:rPr>
          <w:rFonts w:ascii="Palatino Linotype" w:hAnsi="Palatino Linotype" w:cs="Arial"/>
        </w:rPr>
        <w:t xml:space="preserve">l </w:t>
      </w:r>
      <w:r w:rsidR="00F378CB" w:rsidRPr="00CC493D">
        <w:rPr>
          <w:rFonts w:ascii="Palatino Linotype" w:hAnsi="Palatino Linotype" w:cs="Arial"/>
        </w:rPr>
        <w:t xml:space="preserve"> </w:t>
      </w:r>
      <w:r w:rsidR="00136325" w:rsidRPr="00CC493D">
        <w:rPr>
          <w:rFonts w:ascii="Palatino Linotype" w:hAnsi="Palatino Linotype" w:cs="Arial"/>
          <w:b/>
        </w:rPr>
        <w:t xml:space="preserve">Ayuntamiento de </w:t>
      </w:r>
      <w:r w:rsidR="003949FA" w:rsidRPr="00CC493D">
        <w:rPr>
          <w:rFonts w:ascii="Palatino Linotype" w:hAnsi="Palatino Linotype" w:cs="Arial"/>
          <w:b/>
        </w:rPr>
        <w:t>Teoloyucan</w:t>
      </w:r>
      <w:r w:rsidR="004F3DEB" w:rsidRPr="00CC493D">
        <w:rPr>
          <w:rFonts w:ascii="Palatino Linotype" w:hAnsi="Palatino Linotype" w:cs="Arial"/>
          <w:b/>
        </w:rPr>
        <w:t>,</w:t>
      </w:r>
      <w:r w:rsidR="0036073F" w:rsidRPr="00CC493D">
        <w:rPr>
          <w:rFonts w:ascii="Palatino Linotype" w:hAnsi="Palatino Linotype"/>
          <w:b/>
        </w:rPr>
        <w:t xml:space="preserve"> </w:t>
      </w:r>
      <w:r w:rsidR="00F378CB" w:rsidRPr="00CC493D">
        <w:rPr>
          <w:rFonts w:ascii="Palatino Linotype" w:hAnsi="Palatino Linotype"/>
        </w:rPr>
        <w:t xml:space="preserve">en lo sucesivo </w:t>
      </w:r>
      <w:r w:rsidR="0081425E" w:rsidRPr="00CC493D">
        <w:rPr>
          <w:rFonts w:ascii="Palatino Linotype" w:hAnsi="Palatino Linotype"/>
        </w:rPr>
        <w:t>e</w:t>
      </w:r>
      <w:r w:rsidRPr="00CC493D">
        <w:rPr>
          <w:rFonts w:ascii="Palatino Linotype" w:hAnsi="Palatino Linotype"/>
        </w:rPr>
        <w:t>l</w:t>
      </w:r>
      <w:r w:rsidRPr="00CC493D">
        <w:rPr>
          <w:rFonts w:ascii="Palatino Linotype" w:hAnsi="Palatino Linotype"/>
          <w:b/>
        </w:rPr>
        <w:t xml:space="preserve"> SUJETO OBLIGADO</w:t>
      </w:r>
      <w:r w:rsidRPr="00CC493D">
        <w:rPr>
          <w:rFonts w:ascii="Palatino Linotype" w:hAnsi="Palatino Linotype"/>
        </w:rPr>
        <w:t xml:space="preserve">, </w:t>
      </w:r>
      <w:r w:rsidR="004D71C0" w:rsidRPr="00CC493D">
        <w:rPr>
          <w:rFonts w:ascii="Palatino Linotype" w:hAnsi="Palatino Linotype"/>
        </w:rPr>
        <w:t xml:space="preserve">por lo que </w:t>
      </w:r>
      <w:r w:rsidRPr="00CC493D">
        <w:rPr>
          <w:rFonts w:ascii="Palatino Linotype" w:hAnsi="Palatino Linotype"/>
        </w:rPr>
        <w:t>se procede a dictar la presente resolución, con base en los siguientes:</w:t>
      </w:r>
    </w:p>
    <w:p w14:paraId="769E1410" w14:textId="5740327F" w:rsidR="00587366" w:rsidRPr="00CC493D" w:rsidRDefault="00662C69" w:rsidP="001E74A5">
      <w:pPr>
        <w:pStyle w:val="Ttulo1"/>
        <w:spacing w:line="360" w:lineRule="auto"/>
        <w:jc w:val="center"/>
        <w:rPr>
          <w:b/>
        </w:rPr>
      </w:pPr>
      <w:bookmarkStart w:id="0" w:name="_Toc461555884"/>
      <w:bookmarkStart w:id="1" w:name="_Toc466371847"/>
      <w:bookmarkStart w:id="2" w:name="_Toc34157661"/>
      <w:r w:rsidRPr="00CC493D">
        <w:rPr>
          <w:b/>
        </w:rPr>
        <w:t>ANTECEDENTES</w:t>
      </w:r>
      <w:bookmarkEnd w:id="0"/>
      <w:bookmarkEnd w:id="1"/>
      <w:bookmarkEnd w:id="2"/>
    </w:p>
    <w:p w14:paraId="402A4C0A" w14:textId="3C27BF27" w:rsidR="00D9392E" w:rsidRPr="00CC493D" w:rsidRDefault="00D9392E" w:rsidP="00D95855">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CC493D">
        <w:rPr>
          <w:rFonts w:ascii="Palatino Linotype" w:eastAsia="Calibri" w:hAnsi="Palatino Linotype" w:cs="Arial"/>
          <w:lang w:val="es-ES"/>
        </w:rPr>
        <w:t xml:space="preserve">El día </w:t>
      </w:r>
      <w:r w:rsidR="003949FA" w:rsidRPr="00CC493D">
        <w:rPr>
          <w:rFonts w:ascii="Palatino Linotype" w:eastAsia="Calibri" w:hAnsi="Palatino Linotype" w:cs="Arial"/>
          <w:lang w:val="es-ES"/>
        </w:rPr>
        <w:t xml:space="preserve">veintiuno (21) de agosto de </w:t>
      </w:r>
      <w:r w:rsidR="00BF6B7C" w:rsidRPr="00CC493D">
        <w:rPr>
          <w:rFonts w:ascii="Palatino Linotype" w:eastAsia="Calibri" w:hAnsi="Palatino Linotype" w:cs="Arial"/>
          <w:lang w:val="es-ES"/>
        </w:rPr>
        <w:t>dos mil veinte</w:t>
      </w:r>
      <w:r w:rsidRPr="00CC493D">
        <w:rPr>
          <w:rFonts w:ascii="Palatino Linotype" w:hAnsi="Palatino Linotype"/>
          <w:b/>
        </w:rPr>
        <w:t xml:space="preserve">, </w:t>
      </w:r>
      <w:r w:rsidRPr="00CC493D">
        <w:rPr>
          <w:rFonts w:ascii="Palatino Linotype" w:eastAsia="Calibri" w:hAnsi="Palatino Linotype" w:cs="Arial"/>
          <w:lang w:val="es-ES"/>
        </w:rPr>
        <w:t>se presentó</w:t>
      </w:r>
      <w:r w:rsidR="00223D1A" w:rsidRPr="00CC493D">
        <w:rPr>
          <w:rFonts w:ascii="Palatino Linotype" w:eastAsia="Calibri" w:hAnsi="Palatino Linotype" w:cs="Arial"/>
          <w:lang w:val="es-ES"/>
        </w:rPr>
        <w:t xml:space="preserve"> ante </w:t>
      </w:r>
      <w:r w:rsidR="0081425E" w:rsidRPr="00CC493D">
        <w:rPr>
          <w:rFonts w:ascii="Palatino Linotype" w:eastAsia="Calibri" w:hAnsi="Palatino Linotype" w:cs="Arial"/>
          <w:lang w:val="es-ES"/>
        </w:rPr>
        <w:t>e</w:t>
      </w:r>
      <w:r w:rsidRPr="00CC493D">
        <w:rPr>
          <w:rFonts w:ascii="Palatino Linotype" w:eastAsia="Calibri" w:hAnsi="Palatino Linotype" w:cs="Arial"/>
          <w:lang w:val="es-ES"/>
        </w:rPr>
        <w:t xml:space="preserve">l </w:t>
      </w:r>
      <w:r w:rsidRPr="00CC493D">
        <w:rPr>
          <w:rFonts w:ascii="Palatino Linotype" w:eastAsia="Calibri" w:hAnsi="Palatino Linotype" w:cs="Arial"/>
          <w:b/>
          <w:lang w:val="es-ES"/>
        </w:rPr>
        <w:t>SUJETO OBLIGADO</w:t>
      </w:r>
      <w:r w:rsidRPr="00CC493D">
        <w:rPr>
          <w:rFonts w:ascii="Palatino Linotype" w:eastAsia="Calibri" w:hAnsi="Palatino Linotype" w:cs="Arial"/>
        </w:rPr>
        <w:t xml:space="preserve"> vía </w:t>
      </w:r>
      <w:r w:rsidR="00DA77AE" w:rsidRPr="00CC493D">
        <w:rPr>
          <w:rFonts w:ascii="Palatino Linotype" w:eastAsia="Calibri" w:hAnsi="Palatino Linotype" w:cs="Arial"/>
          <w:lang w:val="es-ES"/>
        </w:rPr>
        <w:t>Sistema de Acceso a la Información Mexiquense</w:t>
      </w:r>
      <w:r w:rsidRPr="00CC493D">
        <w:rPr>
          <w:rFonts w:ascii="Palatino Linotype" w:eastAsia="Calibri" w:hAnsi="Palatino Linotype" w:cs="Arial"/>
          <w:lang w:val="es-ES"/>
        </w:rPr>
        <w:t xml:space="preserve"> </w:t>
      </w:r>
      <w:r w:rsidR="00FB1953" w:rsidRPr="00CC493D">
        <w:rPr>
          <w:rFonts w:ascii="Palatino Linotype" w:eastAsia="Calibri" w:hAnsi="Palatino Linotype" w:cs="Arial"/>
          <w:b/>
          <w:lang w:val="es-ES"/>
        </w:rPr>
        <w:t>(</w:t>
      </w:r>
      <w:r w:rsidR="00DA77AE" w:rsidRPr="00CC493D">
        <w:rPr>
          <w:rFonts w:ascii="Palatino Linotype" w:eastAsia="Calibri" w:hAnsi="Palatino Linotype" w:cs="Arial"/>
          <w:b/>
          <w:lang w:val="es-ES"/>
        </w:rPr>
        <w:t>SAIMEX</w:t>
      </w:r>
      <w:r w:rsidR="00FB1953" w:rsidRPr="00CC493D">
        <w:rPr>
          <w:rFonts w:ascii="Palatino Linotype" w:eastAsia="Calibri" w:hAnsi="Palatino Linotype" w:cs="Arial"/>
          <w:b/>
          <w:lang w:val="es-ES"/>
        </w:rPr>
        <w:t>)</w:t>
      </w:r>
      <w:r w:rsidRPr="00CC493D">
        <w:rPr>
          <w:rFonts w:ascii="Palatino Linotype" w:eastAsia="Calibri" w:hAnsi="Palatino Linotype" w:cs="Arial"/>
          <w:lang w:val="es-ES"/>
        </w:rPr>
        <w:t>, la solicitud de información pública registrad</w:t>
      </w:r>
      <w:r w:rsidR="0081425E" w:rsidRPr="00CC493D">
        <w:rPr>
          <w:rFonts w:ascii="Palatino Linotype" w:eastAsia="Calibri" w:hAnsi="Palatino Linotype" w:cs="Arial"/>
          <w:lang w:val="es-ES"/>
        </w:rPr>
        <w:t>a</w:t>
      </w:r>
      <w:r w:rsidRPr="00CC493D">
        <w:rPr>
          <w:rFonts w:ascii="Palatino Linotype" w:eastAsia="Calibri" w:hAnsi="Palatino Linotype" w:cs="Arial"/>
          <w:lang w:val="es-ES"/>
        </w:rPr>
        <w:t xml:space="preserve"> con </w:t>
      </w:r>
      <w:r w:rsidR="0081425E" w:rsidRPr="00CC493D">
        <w:rPr>
          <w:rFonts w:ascii="Palatino Linotype" w:eastAsia="Calibri" w:hAnsi="Palatino Linotype" w:cs="Arial"/>
          <w:lang w:val="es-ES"/>
        </w:rPr>
        <w:t>e</w:t>
      </w:r>
      <w:r w:rsidRPr="00CC493D">
        <w:rPr>
          <w:rFonts w:ascii="Palatino Linotype" w:eastAsia="Calibri" w:hAnsi="Palatino Linotype" w:cs="Arial"/>
          <w:lang w:val="es-ES"/>
        </w:rPr>
        <w:t>l</w:t>
      </w:r>
      <w:r w:rsidR="0081425E" w:rsidRPr="00CC493D">
        <w:rPr>
          <w:rFonts w:ascii="Palatino Linotype" w:eastAsia="Calibri" w:hAnsi="Palatino Linotype" w:cs="Arial"/>
          <w:lang w:val="es-ES"/>
        </w:rPr>
        <w:t xml:space="preserve"> número</w:t>
      </w:r>
      <w:r w:rsidR="004D71C0" w:rsidRPr="00CC493D">
        <w:rPr>
          <w:rFonts w:ascii="Palatino Linotype" w:hAnsi="Palatino Linotype"/>
          <w:b/>
          <w:bCs/>
          <w:color w:val="000000" w:themeColor="text1"/>
        </w:rPr>
        <w:t xml:space="preserve"> </w:t>
      </w:r>
      <w:r w:rsidR="009B4D4E" w:rsidRPr="00CC493D">
        <w:rPr>
          <w:rFonts w:ascii="Palatino Linotype" w:hAnsi="Palatino Linotype"/>
          <w:b/>
          <w:bCs/>
          <w:color w:val="000000" w:themeColor="text1"/>
        </w:rPr>
        <w:t xml:space="preserve"> </w:t>
      </w:r>
      <w:r w:rsidR="00815D6F" w:rsidRPr="00CC493D">
        <w:rPr>
          <w:rFonts w:ascii="Palatino Linotype" w:hAnsi="Palatino Linotype"/>
          <w:b/>
          <w:bCs/>
          <w:color w:val="000000" w:themeColor="text1"/>
        </w:rPr>
        <w:t>00</w:t>
      </w:r>
      <w:r w:rsidR="003949FA" w:rsidRPr="00CC493D">
        <w:rPr>
          <w:rFonts w:ascii="Palatino Linotype" w:hAnsi="Palatino Linotype"/>
          <w:b/>
          <w:bCs/>
          <w:color w:val="000000" w:themeColor="text1"/>
        </w:rPr>
        <w:t>163</w:t>
      </w:r>
      <w:r w:rsidR="00815D6F" w:rsidRPr="00CC493D">
        <w:rPr>
          <w:rFonts w:ascii="Palatino Linotype" w:hAnsi="Palatino Linotype"/>
          <w:b/>
          <w:bCs/>
          <w:color w:val="000000" w:themeColor="text1"/>
        </w:rPr>
        <w:t>/</w:t>
      </w:r>
      <w:r w:rsidR="003949FA" w:rsidRPr="00CC493D">
        <w:rPr>
          <w:rFonts w:ascii="Palatino Linotype" w:hAnsi="Palatino Linotype"/>
          <w:b/>
          <w:bCs/>
          <w:color w:val="000000" w:themeColor="text1"/>
        </w:rPr>
        <w:t>TEOLOYU</w:t>
      </w:r>
      <w:r w:rsidR="00815D6F" w:rsidRPr="00CC493D">
        <w:rPr>
          <w:rFonts w:ascii="Palatino Linotype" w:hAnsi="Palatino Linotype"/>
          <w:b/>
          <w:bCs/>
          <w:color w:val="000000" w:themeColor="text1"/>
        </w:rPr>
        <w:t>/IP/20</w:t>
      </w:r>
      <w:r w:rsidR="00DA2928" w:rsidRPr="00CC493D">
        <w:rPr>
          <w:rFonts w:ascii="Palatino Linotype" w:hAnsi="Palatino Linotype"/>
          <w:b/>
          <w:bCs/>
          <w:color w:val="000000" w:themeColor="text1"/>
        </w:rPr>
        <w:t>20</w:t>
      </w:r>
      <w:r w:rsidRPr="00CC493D">
        <w:rPr>
          <w:rFonts w:ascii="Palatino Linotype" w:eastAsia="Calibri" w:hAnsi="Palatino Linotype" w:cs="Arial"/>
          <w:lang w:val="es-ES"/>
        </w:rPr>
        <w:t xml:space="preserve"> mediante la cual </w:t>
      </w:r>
      <w:r w:rsidR="00A133FA" w:rsidRPr="00CC493D">
        <w:rPr>
          <w:rFonts w:ascii="Palatino Linotype" w:eastAsia="Calibri" w:hAnsi="Palatino Linotype" w:cs="Arial"/>
          <w:lang w:val="es-ES"/>
        </w:rPr>
        <w:t xml:space="preserve">se </w:t>
      </w:r>
      <w:r w:rsidRPr="00CC493D">
        <w:rPr>
          <w:rFonts w:ascii="Palatino Linotype" w:eastAsia="Calibri" w:hAnsi="Palatino Linotype" w:cs="Arial"/>
          <w:lang w:val="es-ES"/>
        </w:rPr>
        <w:t>solicitó</w:t>
      </w:r>
      <w:r w:rsidR="00A16B32" w:rsidRPr="00CC493D">
        <w:rPr>
          <w:rFonts w:ascii="Palatino Linotype" w:eastAsia="Calibri" w:hAnsi="Palatino Linotype" w:cs="Arial"/>
          <w:lang w:val="es-ES"/>
        </w:rPr>
        <w:t xml:space="preserve"> </w:t>
      </w:r>
      <w:r w:rsidR="00646BEE" w:rsidRPr="00CC493D">
        <w:rPr>
          <w:rFonts w:ascii="Palatino Linotype" w:eastAsia="Calibri" w:hAnsi="Palatino Linotype" w:cs="Arial"/>
          <w:lang w:val="es-ES"/>
        </w:rPr>
        <w:t>la</w:t>
      </w:r>
      <w:r w:rsidR="00A16B32" w:rsidRPr="00CC493D">
        <w:rPr>
          <w:rFonts w:ascii="Palatino Linotype" w:eastAsia="Calibri" w:hAnsi="Palatino Linotype" w:cs="Arial"/>
          <w:lang w:val="es-ES"/>
        </w:rPr>
        <w:t xml:space="preserve"> siguiente</w:t>
      </w:r>
      <w:r w:rsidR="00646BEE" w:rsidRPr="00CC493D">
        <w:rPr>
          <w:rFonts w:ascii="Palatino Linotype" w:eastAsia="Calibri" w:hAnsi="Palatino Linotype" w:cs="Arial"/>
          <w:lang w:val="es-ES"/>
        </w:rPr>
        <w:t xml:space="preserve"> información</w:t>
      </w:r>
      <w:r w:rsidRPr="00CC493D">
        <w:rPr>
          <w:rFonts w:ascii="Palatino Linotype" w:eastAsia="Calibri" w:hAnsi="Palatino Linotype" w:cs="Arial"/>
          <w:lang w:val="es-ES"/>
        </w:rPr>
        <w:t>:</w:t>
      </w:r>
    </w:p>
    <w:p w14:paraId="6601F6E5" w14:textId="17545C95" w:rsidR="00FE2D41" w:rsidRPr="00CC493D" w:rsidRDefault="00FE2D41" w:rsidP="00BF6B7C">
      <w:pPr>
        <w:pStyle w:val="Prrafodelista"/>
        <w:spacing w:line="276" w:lineRule="auto"/>
        <w:ind w:right="333"/>
        <w:jc w:val="both"/>
        <w:rPr>
          <w:rFonts w:ascii="Palatino Linotype" w:hAnsi="Palatino Linotype"/>
          <w:i/>
          <w:color w:val="000000"/>
          <w:lang w:val="es-ES"/>
        </w:rPr>
      </w:pPr>
    </w:p>
    <w:p w14:paraId="45EF49F8" w14:textId="303D7B3A" w:rsidR="001C34D6" w:rsidRPr="00CC493D" w:rsidRDefault="003745FC" w:rsidP="001553C1">
      <w:pPr>
        <w:spacing w:line="360" w:lineRule="auto"/>
        <w:ind w:left="720"/>
        <w:jc w:val="both"/>
        <w:rPr>
          <w:rFonts w:ascii="Palatino Linotype" w:hAnsi="Palatino Linotype"/>
          <w:i/>
        </w:rPr>
      </w:pPr>
      <w:r w:rsidRPr="00CC493D">
        <w:rPr>
          <w:rFonts w:ascii="Palatino Linotype" w:hAnsi="Palatino Linotype"/>
          <w:i/>
          <w:color w:val="000000"/>
        </w:rPr>
        <w:t>“</w:t>
      </w:r>
      <w:r w:rsidR="003949FA" w:rsidRPr="00CC493D">
        <w:rPr>
          <w:rFonts w:ascii="Palatino Linotype" w:hAnsi="Palatino Linotype"/>
          <w:i/>
          <w:color w:val="000000"/>
        </w:rPr>
        <w:t xml:space="preserve">Con fundamento por lo establecido en el articulo 6 de la Constitucion Politica de los Estados Unidos Mexicanos, La Ley General de Transparencia y Acceso a la Información Pública; El artículo 5 de la Constitución Política del Estado Libre y Soberano de México y La Ley de Transparencia y Acceso a la Información Pública del Estado de México y Municipios y demas legislacion y jurisprudencia relativa y aplicable a la materia; asi como los criterios de interpretacion vigentes emitidos por el </w:t>
      </w:r>
      <w:r w:rsidR="003949FA" w:rsidRPr="00CC493D">
        <w:rPr>
          <w:rFonts w:ascii="Palatino Linotype" w:hAnsi="Palatino Linotype"/>
          <w:i/>
          <w:color w:val="000000"/>
        </w:rPr>
        <w:lastRenderedPageBreak/>
        <w:t xml:space="preserve">Instituto Nacional de Transparencia, Acceso a la Información y Protección de Datos Personales y los Lineamientos vigentes emitidos por el Instituto de Transparencia, Acceso a la Información Pública y Protección de Datos Personales del Estado de México y Municipios que sean aplicables a mi solicitud, respetuosamente pido del Ayuntamiento de Teoloyucan (Sujeto Obligado) la siguiente información: </w:t>
      </w:r>
      <w:r w:rsidR="003949FA" w:rsidRPr="00CC493D">
        <w:rPr>
          <w:rFonts w:ascii="Palatino Linotype" w:hAnsi="Palatino Linotype"/>
          <w:b/>
          <w:i/>
          <w:color w:val="000000"/>
          <w:u w:val="single"/>
        </w:rPr>
        <w:t>1.- Solicito un informe detallado y por escrito por parte del Presidente(A) de la Comision Edilicia transitoria de atencion y seguimiento de las acciones, insumos y casos del covid 19 en el Municipio de Teoloyucan respecto a: a).-Todas y cada una de las acciones que se implementaron. b).-El presupuesto asignado respecto a todas y cada una de las acciones implementadas. c).-La comprobacion de gastos y los comprobantes respectivos de todas y cada una de las acciones implementadas. 2.-El periodo comprendido sera desde el dia de creacion de la comision edilicia en cita; y hasta el dia treinta y uno de julio de dos mil veinte. 3.-Todos y cada uno de los documentos considerados como anexos de la presente solicitud de informacio</w:t>
      </w:r>
      <w:r w:rsidR="003949FA" w:rsidRPr="00CC493D">
        <w:rPr>
          <w:rFonts w:ascii="Palatino Linotype" w:hAnsi="Palatino Linotype"/>
          <w:i/>
          <w:color w:val="000000"/>
        </w:rPr>
        <w:t xml:space="preserve">n. En caso de que el sujeto obligado o la Titular de la Unidad de Transparencia no de contestacion a la presente solicitud en tiempo y forma; y me vea en la penosa necesidad de promover un recurso de revisión y que la resolucion del mismo me sea favorable, pido sean sancionados de conformidad al artículo 214 y demas articulos relativos y aplicables de la Ley de Transparencia y Acceso a la Información Pública del Estado de México y Municipios. Finalmente, respetuosamente solicito en mi calidad de solicitante, sean reservados todos mis datos personales y se ingrese mi solicitud como anonima, de conformidad </w:t>
      </w:r>
      <w:r w:rsidR="003949FA" w:rsidRPr="00CC493D">
        <w:rPr>
          <w:rFonts w:ascii="Palatino Linotype" w:hAnsi="Palatino Linotype"/>
          <w:i/>
          <w:color w:val="000000"/>
        </w:rPr>
        <w:lastRenderedPageBreak/>
        <w:t>con lo establecido en el articulo 155 de la La Ley de Transparencia y Acceso a la Información Pública del Estado de México y Municipios, para efectos de evitar que el sujeto obligado (Ayuntamiento de Teoloyucan), recabé datos que den lugar a indagatorias sobre mi identidad. Por su atencion, Gracias.</w:t>
      </w:r>
      <w:r w:rsidR="00F9357C" w:rsidRPr="00CC493D">
        <w:rPr>
          <w:rFonts w:ascii="Palatino Linotype" w:hAnsi="Palatino Linotype"/>
          <w:i/>
        </w:rPr>
        <w:t>”</w:t>
      </w:r>
      <w:r w:rsidR="001C34D6" w:rsidRPr="00CC493D">
        <w:rPr>
          <w:rFonts w:ascii="Palatino Linotype" w:hAnsi="Palatino Linotype"/>
          <w:i/>
          <w:color w:val="000000"/>
        </w:rPr>
        <w:t xml:space="preserve"> (Sic)</w:t>
      </w:r>
    </w:p>
    <w:p w14:paraId="2623C1CF" w14:textId="0CF14D4F" w:rsidR="00D9392E" w:rsidRPr="00CC493D" w:rsidRDefault="00D9392E" w:rsidP="002D3C71">
      <w:pPr>
        <w:spacing w:line="360" w:lineRule="auto"/>
        <w:jc w:val="both"/>
        <w:rPr>
          <w:rFonts w:ascii="Palatino" w:hAnsi="Palatino"/>
        </w:rPr>
      </w:pPr>
    </w:p>
    <w:p w14:paraId="50BB2322" w14:textId="77777777" w:rsidR="00BC2CF8" w:rsidRPr="00CC493D" w:rsidRDefault="00BC2CF8" w:rsidP="00D95855">
      <w:pPr>
        <w:pStyle w:val="Prrafodelista"/>
        <w:numPr>
          <w:ilvl w:val="0"/>
          <w:numId w:val="2"/>
        </w:numPr>
        <w:spacing w:line="360" w:lineRule="auto"/>
        <w:ind w:right="34" w:hanging="437"/>
        <w:jc w:val="both"/>
        <w:rPr>
          <w:rFonts w:ascii="Palatino Linotype" w:hAnsi="Palatino Linotype"/>
        </w:rPr>
      </w:pPr>
      <w:r w:rsidRPr="00CC493D">
        <w:rPr>
          <w:rFonts w:ascii="Palatino Linotype" w:hAnsi="Palatino Linotype" w:cs="Arial"/>
          <w:lang w:val="es-ES"/>
        </w:rPr>
        <w:t>Se eligió como modalidad de entrega de la información</w:t>
      </w:r>
      <w:r w:rsidRPr="00CC493D">
        <w:rPr>
          <w:rFonts w:ascii="Palatino Linotype" w:hAnsi="Palatino Linotype"/>
        </w:rPr>
        <w:t xml:space="preserve">: Vía </w:t>
      </w:r>
      <w:r w:rsidRPr="00CC493D">
        <w:rPr>
          <w:rFonts w:ascii="Palatino Linotype" w:hAnsi="Palatino Linotype"/>
          <w:b/>
        </w:rPr>
        <w:t>SAIMEX</w:t>
      </w:r>
    </w:p>
    <w:p w14:paraId="04265B83" w14:textId="77777777" w:rsidR="005C3C00" w:rsidRPr="00CC493D" w:rsidRDefault="005C3C00" w:rsidP="005C3C00">
      <w:pPr>
        <w:pStyle w:val="Prrafodelista"/>
        <w:spacing w:line="360" w:lineRule="auto"/>
        <w:ind w:left="0" w:right="34"/>
        <w:jc w:val="both"/>
        <w:rPr>
          <w:rFonts w:ascii="Palatino Linotype" w:hAnsi="Palatino Linotype"/>
        </w:rPr>
      </w:pPr>
    </w:p>
    <w:p w14:paraId="1C7D9A24" w14:textId="0AC51CFA" w:rsidR="003949FA" w:rsidRPr="00CC493D" w:rsidRDefault="003949FA" w:rsidP="00D95855">
      <w:pPr>
        <w:pStyle w:val="Prrafodelista"/>
        <w:numPr>
          <w:ilvl w:val="0"/>
          <w:numId w:val="1"/>
        </w:numPr>
        <w:spacing w:line="360" w:lineRule="auto"/>
        <w:ind w:left="0" w:right="34" w:firstLine="0"/>
        <w:jc w:val="both"/>
        <w:rPr>
          <w:rFonts w:ascii="Palatino Linotype" w:hAnsi="Palatino Linotype"/>
        </w:rPr>
      </w:pPr>
      <w:r w:rsidRPr="00CC493D">
        <w:rPr>
          <w:rFonts w:ascii="Palatino Linotype" w:hAnsi="Palatino Linotype"/>
        </w:rPr>
        <w:t>De las constancias del expediente electrónico</w:t>
      </w:r>
      <w:r w:rsidR="001553C1" w:rsidRPr="00CC493D">
        <w:rPr>
          <w:rFonts w:ascii="Palatino Linotype" w:hAnsi="Palatino Linotype"/>
        </w:rPr>
        <w:t xml:space="preserve"> vía</w:t>
      </w:r>
      <w:r w:rsidRPr="00CC493D">
        <w:rPr>
          <w:rFonts w:ascii="Palatino Linotype" w:hAnsi="Palatino Linotype"/>
        </w:rPr>
        <w:t xml:space="preserve"> SAIMEX se advierte que el  </w:t>
      </w:r>
      <w:r w:rsidRPr="00CC493D">
        <w:rPr>
          <w:rFonts w:ascii="Palatino Linotype" w:hAnsi="Palatino Linotype"/>
          <w:b/>
        </w:rPr>
        <w:t>SUJETO OBLIGADO</w:t>
      </w:r>
      <w:r w:rsidRPr="00CC493D">
        <w:rPr>
          <w:rFonts w:ascii="Palatino Linotype" w:hAnsi="Palatino Linotype"/>
        </w:rPr>
        <w:t xml:space="preserve"> fue omiso en proporcionar respuesta al hoy </w:t>
      </w:r>
      <w:r w:rsidRPr="00CC493D">
        <w:rPr>
          <w:rFonts w:ascii="Palatino Linotype" w:hAnsi="Palatino Linotype"/>
          <w:b/>
        </w:rPr>
        <w:t>RECURRENTE,</w:t>
      </w:r>
      <w:r w:rsidRPr="00CC493D">
        <w:rPr>
          <w:rFonts w:ascii="Palatino Linotype" w:hAnsi="Palatino Linotype"/>
        </w:rPr>
        <w:t xml:space="preserve"> como a continuación se muestra:</w:t>
      </w:r>
    </w:p>
    <w:p w14:paraId="0D67AD2A" w14:textId="186B90EB" w:rsidR="00AE1C2D" w:rsidRPr="00CC493D" w:rsidRDefault="00817C7E" w:rsidP="003745FC">
      <w:pPr>
        <w:spacing w:line="360" w:lineRule="auto"/>
        <w:jc w:val="both"/>
        <w:rPr>
          <w:rFonts w:ascii="Palatino Linotype" w:hAnsi="Palatino Linotype"/>
          <w:color w:val="000000" w:themeColor="text1"/>
        </w:rPr>
      </w:pPr>
      <w:r w:rsidRPr="00817C7E">
        <w:rPr>
          <w:rFonts w:ascii="Palatino Linotype" w:hAnsi="Palatino Linotype"/>
          <w:noProof/>
          <w:color w:val="000000" w:themeColor="text1"/>
          <w:lang w:val="es-MX" w:eastAsia="es-MX"/>
        </w:rPr>
        <w:drawing>
          <wp:inline distT="0" distB="0" distL="0" distR="0" wp14:anchorId="01012128" wp14:editId="0BA455E6">
            <wp:extent cx="5612130" cy="2569450"/>
            <wp:effectExtent l="0" t="0" r="762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2569450"/>
                    </a:xfrm>
                    <a:prstGeom prst="rect">
                      <a:avLst/>
                    </a:prstGeom>
                    <a:noFill/>
                    <a:ln>
                      <a:noFill/>
                    </a:ln>
                  </pic:spPr>
                </pic:pic>
              </a:graphicData>
            </a:graphic>
          </wp:inline>
        </w:drawing>
      </w:r>
      <w:bookmarkStart w:id="3" w:name="_GoBack"/>
      <w:bookmarkEnd w:id="3"/>
    </w:p>
    <w:p w14:paraId="1C4B311E" w14:textId="77777777" w:rsidR="001553C1" w:rsidRPr="00CC493D" w:rsidRDefault="001553C1" w:rsidP="003745FC">
      <w:pPr>
        <w:spacing w:line="360" w:lineRule="auto"/>
        <w:jc w:val="both"/>
        <w:rPr>
          <w:rFonts w:ascii="Palatino Linotype" w:hAnsi="Palatino Linotype"/>
          <w:color w:val="000000" w:themeColor="text1"/>
        </w:rPr>
      </w:pPr>
    </w:p>
    <w:p w14:paraId="63ACDCD1" w14:textId="410190CF" w:rsidR="00CB3448" w:rsidRPr="00CC493D" w:rsidRDefault="00FB2BAF" w:rsidP="00D95855">
      <w:pPr>
        <w:pStyle w:val="Prrafodelista"/>
        <w:numPr>
          <w:ilvl w:val="0"/>
          <w:numId w:val="1"/>
        </w:numPr>
        <w:spacing w:line="360" w:lineRule="auto"/>
        <w:ind w:left="0" w:right="34" w:firstLine="0"/>
        <w:jc w:val="both"/>
        <w:rPr>
          <w:rFonts w:ascii="Palatino Linotype" w:hAnsi="Palatino Linotype"/>
        </w:rPr>
      </w:pPr>
      <w:r w:rsidRPr="00CC493D">
        <w:rPr>
          <w:rFonts w:ascii="Palatino Linotype" w:hAnsi="Palatino Linotype" w:cs="Arial"/>
          <w:i/>
          <w:lang w:val="es-ES"/>
        </w:rPr>
        <w:t xml:space="preserve"> </w:t>
      </w:r>
      <w:r w:rsidR="00CB3448" w:rsidRPr="00CC493D">
        <w:rPr>
          <w:rFonts w:ascii="Palatino Linotype" w:hAnsi="Palatino Linotype" w:cs="Arial"/>
          <w:color w:val="000000" w:themeColor="text1"/>
          <w:lang w:val="es-ES"/>
        </w:rPr>
        <w:t>E</w:t>
      </w:r>
      <w:r w:rsidRPr="00CC493D">
        <w:rPr>
          <w:rFonts w:ascii="Palatino Linotype" w:hAnsi="Palatino Linotype" w:cs="Arial"/>
          <w:color w:val="000000" w:themeColor="text1"/>
          <w:lang w:val="es-ES"/>
        </w:rPr>
        <w:t>l</w:t>
      </w:r>
      <w:r w:rsidR="00CB3448" w:rsidRPr="00CC493D">
        <w:rPr>
          <w:rFonts w:ascii="Palatino Linotype" w:hAnsi="Palatino Linotype" w:cs="Arial"/>
          <w:color w:val="000000" w:themeColor="text1"/>
          <w:lang w:val="es-ES"/>
        </w:rPr>
        <w:t xml:space="preserve"> </w:t>
      </w:r>
      <w:r w:rsidRPr="00CC493D">
        <w:rPr>
          <w:rFonts w:ascii="Palatino Linotype" w:hAnsi="Palatino Linotype" w:cs="Arial"/>
          <w:color w:val="000000" w:themeColor="text1"/>
          <w:lang w:val="es-ES"/>
        </w:rPr>
        <w:t xml:space="preserve">día </w:t>
      </w:r>
      <w:r w:rsidR="003949FA" w:rsidRPr="00CC493D">
        <w:rPr>
          <w:rFonts w:ascii="Palatino Linotype" w:hAnsi="Palatino Linotype" w:cs="Arial"/>
          <w:color w:val="000000" w:themeColor="text1"/>
          <w:lang w:val="es-ES"/>
        </w:rPr>
        <w:t xml:space="preserve">catorce (14) de septiembre de </w:t>
      </w:r>
      <w:r w:rsidR="00DA2928" w:rsidRPr="00CC493D">
        <w:rPr>
          <w:rFonts w:ascii="Palatino Linotype" w:hAnsi="Palatino Linotype" w:cs="Arial"/>
          <w:color w:val="000000" w:themeColor="text1"/>
          <w:lang w:val="es-ES"/>
        </w:rPr>
        <w:t>dos mil veinte</w:t>
      </w:r>
      <w:r w:rsidR="00CB3448" w:rsidRPr="00CC493D">
        <w:rPr>
          <w:rFonts w:ascii="Palatino Linotype" w:hAnsi="Palatino Linotype" w:cs="Arial"/>
          <w:color w:val="000000" w:themeColor="text1"/>
          <w:lang w:val="es-ES"/>
        </w:rPr>
        <w:t>, el particular interpuso el recurso de revisión en contra de la respuesta, señalando</w:t>
      </w:r>
      <w:r w:rsidR="00CB3448" w:rsidRPr="00CC493D">
        <w:rPr>
          <w:rFonts w:ascii="Palatino Linotype" w:hAnsi="Palatino Linotype" w:cs="Arial"/>
          <w:color w:val="000000" w:themeColor="text1"/>
        </w:rPr>
        <w:t xml:space="preserve"> </w:t>
      </w:r>
      <w:r w:rsidR="00CB3448" w:rsidRPr="00CC493D">
        <w:rPr>
          <w:rFonts w:ascii="Palatino Linotype" w:hAnsi="Palatino Linotype" w:cs="Arial"/>
          <w:color w:val="000000" w:themeColor="text1"/>
          <w:lang w:val="es-ES"/>
        </w:rPr>
        <w:t>como:</w:t>
      </w:r>
    </w:p>
    <w:p w14:paraId="1744C6A0" w14:textId="017C7CC4" w:rsidR="00CB3448" w:rsidRPr="00CC493D" w:rsidRDefault="00CB3448" w:rsidP="001553C1">
      <w:pPr>
        <w:spacing w:line="360" w:lineRule="auto"/>
        <w:ind w:right="34"/>
        <w:jc w:val="both"/>
        <w:rPr>
          <w:rFonts w:ascii="Palatino Linotype" w:hAnsi="Palatino Linotype"/>
          <w:b/>
          <w:i/>
        </w:rPr>
      </w:pPr>
    </w:p>
    <w:p w14:paraId="396F43F8" w14:textId="10E2ED84" w:rsidR="001553C1" w:rsidRPr="00CC493D" w:rsidRDefault="00585F00" w:rsidP="00D95855">
      <w:pPr>
        <w:pStyle w:val="Prrafodelista"/>
        <w:numPr>
          <w:ilvl w:val="0"/>
          <w:numId w:val="8"/>
        </w:numPr>
        <w:spacing w:line="360" w:lineRule="auto"/>
        <w:jc w:val="both"/>
        <w:rPr>
          <w:rFonts w:ascii="Palatino Linotype" w:hAnsi="Palatino Linotype"/>
          <w:i/>
        </w:rPr>
      </w:pPr>
      <w:bookmarkStart w:id="4" w:name="_Toc466982514"/>
      <w:bookmarkStart w:id="5" w:name="_Toc27589208"/>
      <w:bookmarkStart w:id="6" w:name="_Toc29395022"/>
      <w:bookmarkStart w:id="7" w:name="_Toc29481467"/>
      <w:bookmarkStart w:id="8" w:name="_Toc33113911"/>
      <w:bookmarkStart w:id="9" w:name="_Toc33643059"/>
      <w:bookmarkStart w:id="10" w:name="_Toc33724991"/>
      <w:bookmarkStart w:id="11" w:name="_Toc33726434"/>
      <w:bookmarkStart w:id="12" w:name="_Toc34157662"/>
      <w:bookmarkStart w:id="13" w:name="_Toc471908126"/>
      <w:bookmarkStart w:id="14" w:name="_Toc491791300"/>
      <w:bookmarkStart w:id="15" w:name="_Toc496726170"/>
      <w:bookmarkStart w:id="16" w:name="_Toc497242134"/>
      <w:bookmarkStart w:id="17" w:name="_Toc497292517"/>
      <w:bookmarkStart w:id="18" w:name="_Toc498503716"/>
      <w:bookmarkStart w:id="19" w:name="_Toc499568660"/>
      <w:bookmarkStart w:id="20" w:name="_Toc499568693"/>
      <w:bookmarkStart w:id="21" w:name="_Toc499665452"/>
      <w:bookmarkStart w:id="22" w:name="_Toc499729819"/>
      <w:bookmarkStart w:id="23" w:name="_Toc499835024"/>
      <w:bookmarkStart w:id="24" w:name="_Toc499835835"/>
      <w:bookmarkStart w:id="25" w:name="_Toc499835858"/>
      <w:bookmarkStart w:id="26" w:name="_Toc500264537"/>
      <w:bookmarkStart w:id="27" w:name="_Toc503290275"/>
      <w:bookmarkStart w:id="28" w:name="_Toc524009637"/>
      <w:bookmarkStart w:id="29" w:name="_Toc524009672"/>
      <w:bookmarkStart w:id="30" w:name="_Toc524602720"/>
      <w:bookmarkStart w:id="31" w:name="_Toc526365279"/>
      <w:bookmarkStart w:id="32" w:name="_Toc526365337"/>
      <w:bookmarkStart w:id="33" w:name="_Toc530067664"/>
      <w:bookmarkStart w:id="34" w:name="_Toc530067692"/>
      <w:bookmarkStart w:id="35" w:name="_Toc530067939"/>
      <w:bookmarkStart w:id="36" w:name="_Toc530590420"/>
      <w:bookmarkStart w:id="37" w:name="_Toc530593951"/>
      <w:bookmarkStart w:id="38" w:name="_Toc531190248"/>
      <w:bookmarkStart w:id="39" w:name="_Toc531190295"/>
      <w:bookmarkStart w:id="40" w:name="_Toc534908208"/>
      <w:bookmarkStart w:id="41" w:name="_Toc534909344"/>
      <w:bookmarkStart w:id="42" w:name="_Toc535353305"/>
      <w:bookmarkStart w:id="43" w:name="_Toc535353791"/>
      <w:bookmarkStart w:id="44" w:name="_Toc18436351"/>
      <w:bookmarkStart w:id="45" w:name="_Toc18436385"/>
      <w:bookmarkStart w:id="46" w:name="_Toc18513477"/>
      <w:bookmarkStart w:id="47" w:name="_Toc18513503"/>
      <w:bookmarkStart w:id="48" w:name="_Toc18606801"/>
      <w:bookmarkStart w:id="49" w:name="_Toc19723536"/>
      <w:bookmarkStart w:id="50" w:name="_Toc20322795"/>
      <w:bookmarkStart w:id="51" w:name="_Toc20323052"/>
      <w:bookmarkStart w:id="52" w:name="_Toc20323181"/>
      <w:bookmarkStart w:id="53" w:name="_Toc20420591"/>
      <w:bookmarkStart w:id="54" w:name="_Toc20421579"/>
      <w:bookmarkStart w:id="55" w:name="_Toc21027316"/>
      <w:bookmarkStart w:id="56" w:name="_Toc22660652"/>
      <w:bookmarkStart w:id="57" w:name="_Toc22811623"/>
      <w:bookmarkStart w:id="58" w:name="_Toc26436015"/>
      <w:r w:rsidRPr="00CC493D">
        <w:rPr>
          <w:rStyle w:val="Ttulo2Car"/>
          <w:rFonts w:ascii="Palatino Linotype" w:hAnsi="Palatino Linotype"/>
          <w:b/>
          <w:i/>
          <w:color w:val="auto"/>
          <w:sz w:val="24"/>
          <w:szCs w:val="24"/>
        </w:rPr>
        <w:lastRenderedPageBreak/>
        <w:t>Acto impugnado</w:t>
      </w:r>
      <w:bookmarkEnd w:id="4"/>
      <w:r w:rsidR="00F95F7E" w:rsidRPr="00CC493D">
        <w:rPr>
          <w:rStyle w:val="Ttulo2Car"/>
          <w:rFonts w:ascii="Palatino Linotype" w:hAnsi="Palatino Linotype"/>
          <w:b/>
          <w:i/>
          <w:color w:val="000000" w:themeColor="text1"/>
          <w:sz w:val="24"/>
          <w:szCs w:val="24"/>
        </w:rPr>
        <w:t xml:space="preserve">: </w:t>
      </w:r>
      <w:r w:rsidR="00761DD9" w:rsidRPr="00CC493D">
        <w:rPr>
          <w:rStyle w:val="Ttulo2Car"/>
          <w:rFonts w:ascii="Palatino Linotype" w:hAnsi="Palatino Linotype"/>
          <w:i/>
          <w:color w:val="000000" w:themeColor="text1"/>
          <w:sz w:val="24"/>
          <w:szCs w:val="24"/>
        </w:rPr>
        <w:t>“</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r w:rsidR="001553C1" w:rsidRPr="00CC493D">
        <w:rPr>
          <w:rFonts w:ascii="Palatino Linotype" w:hAnsi="Palatino Linotype"/>
          <w:i/>
          <w:color w:val="000000"/>
        </w:rPr>
        <w:t>La falta de respuesta a la solicitud de informacion pùblica con nùmero de folio:00163/TEOLOYU/IP/2020.</w:t>
      </w:r>
      <w:bookmarkStart w:id="59" w:name="_Toc466982515"/>
      <w:bookmarkStart w:id="60" w:name="_Toc27589209"/>
      <w:bookmarkStart w:id="61" w:name="_Toc29395023"/>
      <w:bookmarkStart w:id="62" w:name="_Toc29481468"/>
      <w:bookmarkStart w:id="63" w:name="_Toc33113912"/>
      <w:bookmarkStart w:id="64" w:name="_Toc33643060"/>
      <w:bookmarkStart w:id="65" w:name="_Toc33724992"/>
      <w:bookmarkStart w:id="66" w:name="_Toc33726435"/>
      <w:bookmarkStart w:id="67" w:name="_Toc34157663"/>
      <w:bookmarkStart w:id="68" w:name="_Toc471908127"/>
      <w:bookmarkStart w:id="69" w:name="_Toc491791301"/>
      <w:bookmarkStart w:id="70" w:name="_Toc496726171"/>
      <w:bookmarkStart w:id="71" w:name="_Toc497242135"/>
      <w:bookmarkStart w:id="72" w:name="_Toc497292518"/>
      <w:bookmarkStart w:id="73" w:name="_Toc498503717"/>
      <w:bookmarkStart w:id="74" w:name="_Toc499568661"/>
      <w:bookmarkStart w:id="75" w:name="_Toc499568694"/>
      <w:bookmarkStart w:id="76" w:name="_Toc499665453"/>
      <w:bookmarkStart w:id="77" w:name="_Toc499729820"/>
      <w:bookmarkStart w:id="78" w:name="_Toc499835025"/>
      <w:bookmarkStart w:id="79" w:name="_Toc499835836"/>
      <w:bookmarkStart w:id="80" w:name="_Toc499835859"/>
      <w:bookmarkStart w:id="81" w:name="_Toc500264538"/>
      <w:bookmarkStart w:id="82" w:name="_Toc503290276"/>
      <w:bookmarkStart w:id="83" w:name="_Toc524009638"/>
      <w:bookmarkStart w:id="84" w:name="_Toc524009673"/>
      <w:bookmarkStart w:id="85" w:name="_Toc524602721"/>
      <w:bookmarkStart w:id="86" w:name="_Toc526365280"/>
      <w:bookmarkStart w:id="87" w:name="_Toc526365338"/>
      <w:bookmarkStart w:id="88" w:name="_Toc530067665"/>
      <w:bookmarkStart w:id="89" w:name="_Toc530067693"/>
      <w:bookmarkStart w:id="90" w:name="_Toc530067940"/>
      <w:bookmarkStart w:id="91" w:name="_Toc530590421"/>
      <w:bookmarkStart w:id="92" w:name="_Toc530593952"/>
      <w:bookmarkStart w:id="93" w:name="_Toc531190249"/>
      <w:bookmarkStart w:id="94" w:name="_Toc531190296"/>
      <w:bookmarkStart w:id="95" w:name="_Toc534908209"/>
      <w:bookmarkStart w:id="96" w:name="_Toc534909345"/>
      <w:bookmarkStart w:id="97" w:name="_Toc535353306"/>
      <w:bookmarkStart w:id="98" w:name="_Toc535353792"/>
      <w:bookmarkStart w:id="99" w:name="_Toc18436352"/>
      <w:bookmarkStart w:id="100" w:name="_Toc18436386"/>
      <w:bookmarkStart w:id="101" w:name="_Toc18513478"/>
      <w:bookmarkStart w:id="102" w:name="_Toc18513504"/>
      <w:bookmarkStart w:id="103" w:name="_Toc18606802"/>
      <w:bookmarkStart w:id="104" w:name="_Toc19723537"/>
      <w:bookmarkStart w:id="105" w:name="_Toc20322796"/>
      <w:bookmarkStart w:id="106" w:name="_Toc20323053"/>
      <w:bookmarkStart w:id="107" w:name="_Toc20323182"/>
      <w:bookmarkStart w:id="108" w:name="_Toc20420592"/>
      <w:bookmarkStart w:id="109" w:name="_Toc20421580"/>
      <w:bookmarkStart w:id="110" w:name="_Toc21027317"/>
      <w:bookmarkStart w:id="111" w:name="_Toc22660653"/>
      <w:bookmarkStart w:id="112" w:name="_Toc22811624"/>
      <w:bookmarkStart w:id="113" w:name="_Toc26436016"/>
      <w:r w:rsidR="001553C1" w:rsidRPr="00CC493D">
        <w:rPr>
          <w:rFonts w:ascii="Palatino Linotype" w:hAnsi="Palatino Linotype"/>
          <w:i/>
          <w:color w:val="000000"/>
        </w:rPr>
        <w:t>”</w:t>
      </w:r>
    </w:p>
    <w:p w14:paraId="6CBE9361" w14:textId="77777777" w:rsidR="001553C1" w:rsidRPr="00CC493D" w:rsidRDefault="001553C1" w:rsidP="001553C1">
      <w:pPr>
        <w:pStyle w:val="Prrafodelista"/>
        <w:spacing w:line="360" w:lineRule="auto"/>
        <w:jc w:val="both"/>
        <w:rPr>
          <w:rFonts w:ascii="Palatino Linotype" w:hAnsi="Palatino Linotype"/>
          <w:i/>
        </w:rPr>
      </w:pPr>
    </w:p>
    <w:p w14:paraId="5D1A6783" w14:textId="5BC40A8C" w:rsidR="001553C1" w:rsidRPr="00CC493D" w:rsidRDefault="00585F00" w:rsidP="00D95855">
      <w:pPr>
        <w:pStyle w:val="Prrafodelista"/>
        <w:numPr>
          <w:ilvl w:val="0"/>
          <w:numId w:val="8"/>
        </w:numPr>
        <w:spacing w:line="360" w:lineRule="auto"/>
        <w:jc w:val="both"/>
        <w:rPr>
          <w:rFonts w:ascii="Palatino Linotype" w:hAnsi="Palatino Linotype"/>
          <w:i/>
        </w:rPr>
      </w:pPr>
      <w:r w:rsidRPr="00CC493D">
        <w:rPr>
          <w:rStyle w:val="Ttulo2Car"/>
          <w:rFonts w:ascii="Palatino Linotype" w:hAnsi="Palatino Linotype"/>
          <w:b/>
          <w:i/>
          <w:color w:val="000000" w:themeColor="text1"/>
          <w:sz w:val="24"/>
          <w:szCs w:val="24"/>
        </w:rPr>
        <w:t>Razones o Motivos de inconformidad:</w:t>
      </w:r>
      <w:bookmarkEnd w:id="59"/>
      <w:r w:rsidR="00182FC7" w:rsidRPr="00CC493D">
        <w:rPr>
          <w:rFonts w:ascii="Palatino Linotype" w:hAnsi="Palatino Linotype"/>
          <w:i/>
          <w:color w:val="000000"/>
        </w:rPr>
        <w:t>.</w:t>
      </w:r>
      <w:r w:rsidR="00CA2481" w:rsidRPr="00CC493D">
        <w:rPr>
          <w:rFonts w:ascii="Palatino Linotype" w:hAnsi="Palatino Linotype"/>
          <w:i/>
          <w:color w:val="000000"/>
        </w:rPr>
        <w:t xml:space="preserve"> </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001553C1" w:rsidRPr="00CC493D">
        <w:rPr>
          <w:rFonts w:ascii="Palatino Linotype" w:hAnsi="Palatino Linotype"/>
          <w:i/>
          <w:color w:val="000000"/>
        </w:rPr>
        <w:t>“El sujeto obligado (Ayuntamiento de Teoloyucan) no dio respuesta a mi solicitud. Tampoco se me notifico ninguna acalaracion o ampliacion del plazo (prorroga) para la entrega de la informacion.”</w:t>
      </w:r>
    </w:p>
    <w:p w14:paraId="511BC948" w14:textId="77777777" w:rsidR="003745FC" w:rsidRPr="00CC493D" w:rsidRDefault="003745FC" w:rsidP="003745FC">
      <w:pPr>
        <w:jc w:val="both"/>
        <w:rPr>
          <w:rFonts w:ascii="Palatino Linotype" w:hAnsi="Palatino Linotype"/>
          <w:i/>
        </w:rPr>
      </w:pPr>
    </w:p>
    <w:p w14:paraId="2A36D9BD" w14:textId="301D29E1" w:rsidR="00034A1F" w:rsidRPr="00CC493D" w:rsidRDefault="00034A1F" w:rsidP="00D95855">
      <w:pPr>
        <w:pStyle w:val="Prrafodelista"/>
        <w:numPr>
          <w:ilvl w:val="0"/>
          <w:numId w:val="1"/>
        </w:numPr>
        <w:spacing w:before="240" w:after="240" w:line="360" w:lineRule="auto"/>
        <w:ind w:left="0" w:firstLine="0"/>
        <w:jc w:val="both"/>
        <w:rPr>
          <w:rFonts w:ascii="Palatino Linotype" w:hAnsi="Palatino Linotype"/>
          <w:i/>
          <w:sz w:val="22"/>
          <w:szCs w:val="22"/>
        </w:rPr>
      </w:pPr>
      <w:r w:rsidRPr="00CC493D">
        <w:rPr>
          <w:rFonts w:ascii="Palatino Linotype" w:eastAsia="Calibri" w:hAnsi="Palatino Linotype" w:cs="Arial"/>
          <w:lang w:val="es-ES"/>
        </w:rPr>
        <w:t>El Comisionado Ponente con fundamento en lo dispuesto por el artículo 185 fracción II de la</w:t>
      </w:r>
      <w:r w:rsidR="003364ED" w:rsidRPr="00CC493D">
        <w:rPr>
          <w:rFonts w:ascii="Palatino Linotype" w:eastAsia="Calibri" w:hAnsi="Palatino Linotype" w:cs="Arial"/>
          <w:lang w:val="es-ES"/>
        </w:rPr>
        <w:t xml:space="preserve"> ley de la materia, a través de</w:t>
      </w:r>
      <w:r w:rsidRPr="00CC493D">
        <w:rPr>
          <w:rFonts w:ascii="Palatino Linotype" w:eastAsia="Calibri" w:hAnsi="Palatino Linotype" w:cs="Arial"/>
          <w:lang w:val="es-ES"/>
        </w:rPr>
        <w:t xml:space="preserve">l acuerdo de admisión de fecha </w:t>
      </w:r>
      <w:r w:rsidR="003949FA" w:rsidRPr="00CC493D">
        <w:rPr>
          <w:rFonts w:ascii="Palatino Linotype" w:eastAsia="Calibri" w:hAnsi="Palatino Linotype" w:cs="Arial"/>
          <w:lang w:val="es-ES"/>
        </w:rPr>
        <w:t xml:space="preserve">vientiuno (21) de septiembre </w:t>
      </w:r>
      <w:r w:rsidRPr="00CC493D">
        <w:rPr>
          <w:rFonts w:ascii="Palatino Linotype" w:eastAsia="Calibri" w:hAnsi="Palatino Linotype" w:cs="Arial"/>
          <w:lang w:val="es-ES"/>
        </w:rPr>
        <w:t xml:space="preserve">del año en curso, puso a disposición de las partes </w:t>
      </w:r>
      <w:r w:rsidR="00C93405" w:rsidRPr="00CC493D">
        <w:rPr>
          <w:rFonts w:ascii="Palatino Linotype" w:eastAsia="Calibri" w:hAnsi="Palatino Linotype" w:cs="Arial"/>
          <w:lang w:val="es-ES"/>
        </w:rPr>
        <w:t>e</w:t>
      </w:r>
      <w:r w:rsidRPr="00CC493D">
        <w:rPr>
          <w:rFonts w:ascii="Palatino Linotype" w:eastAsia="Calibri" w:hAnsi="Palatino Linotype" w:cs="Arial"/>
          <w:lang w:val="es-ES"/>
        </w:rPr>
        <w:t xml:space="preserve">l expediente electrónico </w:t>
      </w:r>
      <w:r w:rsidRPr="00CC493D">
        <w:rPr>
          <w:rFonts w:ascii="Palatino Linotype" w:eastAsia="Calibri" w:hAnsi="Palatino Linotype" w:cs="Arial"/>
        </w:rPr>
        <w:t xml:space="preserve">vía </w:t>
      </w:r>
      <w:r w:rsidRPr="00CC493D">
        <w:rPr>
          <w:rFonts w:ascii="Palatino Linotype" w:eastAsia="Calibri" w:hAnsi="Palatino Linotype" w:cs="Arial"/>
          <w:b/>
          <w:lang w:val="es-ES"/>
        </w:rPr>
        <w:t xml:space="preserve">SAIMEX </w:t>
      </w:r>
      <w:r w:rsidRPr="00CC493D">
        <w:rPr>
          <w:rFonts w:ascii="Palatino Linotype" w:eastAsia="Calibri" w:hAnsi="Palatino Linotype" w:cs="Arial"/>
          <w:lang w:val="es-ES"/>
        </w:rPr>
        <w:t>a efecto de que en un plazo máximo de siete días manifestaran</w:t>
      </w:r>
      <w:r w:rsidR="005E77E6" w:rsidRPr="00CC493D">
        <w:rPr>
          <w:rFonts w:ascii="Palatino Linotype" w:eastAsia="Calibri" w:hAnsi="Palatino Linotype" w:cs="Arial"/>
          <w:lang w:val="es-ES"/>
        </w:rPr>
        <w:t xml:space="preserve"> lo que a su derecho conviniera</w:t>
      </w:r>
      <w:r w:rsidRPr="00CC493D">
        <w:rPr>
          <w:rFonts w:ascii="Palatino Linotype" w:eastAsia="Calibri" w:hAnsi="Palatino Linotype" w:cs="Arial"/>
          <w:lang w:val="es-ES"/>
        </w:rPr>
        <w:t>, ofrecieran pruebas y alegatos según corresponda</w:t>
      </w:r>
      <w:r w:rsidR="00FF4551" w:rsidRPr="00CC493D">
        <w:rPr>
          <w:rFonts w:ascii="Palatino Linotype" w:eastAsia="Calibri" w:hAnsi="Palatino Linotype" w:cs="Arial"/>
          <w:lang w:val="es-ES"/>
        </w:rPr>
        <w:t>,</w:t>
      </w:r>
      <w:r w:rsidRPr="00CC493D">
        <w:rPr>
          <w:rFonts w:ascii="Palatino Linotype" w:eastAsia="Calibri" w:hAnsi="Palatino Linotype" w:cs="Arial"/>
          <w:lang w:val="es-ES"/>
        </w:rPr>
        <w:t xml:space="preserve"> </w:t>
      </w:r>
      <w:r w:rsidR="00FF4551" w:rsidRPr="00CC493D">
        <w:rPr>
          <w:rFonts w:ascii="Palatino Linotype" w:eastAsia="Calibri" w:hAnsi="Palatino Linotype" w:cs="Arial"/>
          <w:lang w:val="es-ES"/>
        </w:rPr>
        <w:t xml:space="preserve">así como </w:t>
      </w:r>
      <w:r w:rsidRPr="00CC493D">
        <w:rPr>
          <w:rFonts w:ascii="Palatino Linotype" w:eastAsia="Calibri" w:hAnsi="Palatino Linotype" w:cs="Arial"/>
          <w:lang w:val="es-ES"/>
        </w:rPr>
        <w:t xml:space="preserve">para que el </w:t>
      </w:r>
      <w:r w:rsidRPr="00CC493D">
        <w:rPr>
          <w:rFonts w:ascii="Palatino Linotype" w:eastAsia="Calibri" w:hAnsi="Palatino Linotype" w:cs="Arial"/>
          <w:b/>
          <w:lang w:val="es-ES"/>
        </w:rPr>
        <w:t>SUJETO OBLIGADO</w:t>
      </w:r>
      <w:r w:rsidRPr="00CC493D">
        <w:rPr>
          <w:rFonts w:ascii="Palatino Linotype" w:eastAsia="Calibri" w:hAnsi="Palatino Linotype" w:cs="Arial"/>
          <w:lang w:val="es-ES"/>
        </w:rPr>
        <w:t xml:space="preserve"> presentará el Informe Justificado procedente.</w:t>
      </w:r>
    </w:p>
    <w:p w14:paraId="221FC3ED" w14:textId="77777777" w:rsidR="009B03ED" w:rsidRPr="00CC493D" w:rsidRDefault="009B03ED" w:rsidP="009B03ED">
      <w:pPr>
        <w:pStyle w:val="Prrafodelista"/>
        <w:spacing w:before="240" w:after="240" w:line="360" w:lineRule="auto"/>
        <w:ind w:left="0"/>
        <w:jc w:val="both"/>
        <w:rPr>
          <w:rFonts w:ascii="Palatino Linotype" w:hAnsi="Palatino Linotype"/>
          <w:i/>
          <w:sz w:val="22"/>
          <w:szCs w:val="22"/>
        </w:rPr>
      </w:pPr>
    </w:p>
    <w:p w14:paraId="28BBA388" w14:textId="18503515" w:rsidR="003949FA" w:rsidRPr="00CC493D" w:rsidRDefault="005B40E5" w:rsidP="00D95855">
      <w:pPr>
        <w:pStyle w:val="Prrafodelista"/>
        <w:numPr>
          <w:ilvl w:val="0"/>
          <w:numId w:val="1"/>
        </w:numPr>
        <w:spacing w:before="240" w:after="240" w:line="360" w:lineRule="auto"/>
        <w:ind w:left="0" w:firstLine="0"/>
        <w:jc w:val="both"/>
        <w:rPr>
          <w:rFonts w:ascii="Palatino Linotype" w:eastAsia="Arial Unicode MS" w:hAnsi="Palatino Linotype" w:cs="Arial"/>
          <w:lang w:val="es-ES_tradnl" w:eastAsia="es-ES"/>
        </w:rPr>
      </w:pPr>
      <w:r w:rsidRPr="00CC493D">
        <w:rPr>
          <w:rFonts w:ascii="Palatino Linotype" w:hAnsi="Palatino Linotype"/>
          <w:color w:val="000000"/>
          <w:szCs w:val="22"/>
        </w:rPr>
        <w:t xml:space="preserve">De las constancias del expediente electrónico en SAIMEX, se advierte que el </w:t>
      </w:r>
      <w:r w:rsidR="00AB1E40" w:rsidRPr="00CC493D">
        <w:rPr>
          <w:rFonts w:ascii="Palatino Linotype" w:hAnsi="Palatino Linotype"/>
          <w:b/>
          <w:color w:val="000000"/>
          <w:szCs w:val="22"/>
        </w:rPr>
        <w:t xml:space="preserve">SUJETO OBLIGADO </w:t>
      </w:r>
      <w:r w:rsidR="00FB2BAF" w:rsidRPr="00CC493D">
        <w:rPr>
          <w:rFonts w:ascii="Palatino Linotype" w:hAnsi="Palatino Linotype"/>
          <w:color w:val="000000"/>
          <w:szCs w:val="22"/>
        </w:rPr>
        <w:t xml:space="preserve">el día </w:t>
      </w:r>
      <w:r w:rsidR="003949FA" w:rsidRPr="00CC493D">
        <w:rPr>
          <w:rFonts w:ascii="Palatino Linotype" w:hAnsi="Palatino Linotype"/>
          <w:color w:val="000000"/>
          <w:szCs w:val="22"/>
        </w:rPr>
        <w:t>veintitres (23) de septiembre de dos mil veinte</w:t>
      </w:r>
      <w:r w:rsidR="00FB2BAF" w:rsidRPr="00CC493D">
        <w:rPr>
          <w:rFonts w:ascii="Palatino Linotype" w:hAnsi="Palatino Linotype"/>
          <w:color w:val="000000"/>
          <w:szCs w:val="22"/>
        </w:rPr>
        <w:t xml:space="preserve">, </w:t>
      </w:r>
      <w:r w:rsidR="00136C7D" w:rsidRPr="00CC493D">
        <w:rPr>
          <w:rFonts w:ascii="Palatino Linotype" w:hAnsi="Palatino Linotype"/>
          <w:color w:val="000000"/>
          <w:szCs w:val="22"/>
        </w:rPr>
        <w:t>rindió</w:t>
      </w:r>
      <w:r w:rsidR="00AB1E40" w:rsidRPr="00CC493D">
        <w:rPr>
          <w:rFonts w:ascii="Palatino Linotype" w:hAnsi="Palatino Linotype"/>
          <w:color w:val="000000"/>
          <w:szCs w:val="22"/>
        </w:rPr>
        <w:t xml:space="preserve"> el informe justificado respectivo</w:t>
      </w:r>
      <w:r w:rsidR="001553C1" w:rsidRPr="00CC493D">
        <w:rPr>
          <w:rFonts w:ascii="Palatino Linotype" w:hAnsi="Palatino Linotype"/>
          <w:color w:val="000000"/>
          <w:szCs w:val="22"/>
        </w:rPr>
        <w:t xml:space="preserve">, para lo cual adjunto los archivos en formato pdf denominados </w:t>
      </w:r>
      <w:r w:rsidR="001553C1" w:rsidRPr="00CC493D">
        <w:rPr>
          <w:rFonts w:ascii="Palatino Linotype" w:hAnsi="Palatino Linotype"/>
          <w:i/>
          <w:color w:val="000000"/>
          <w:szCs w:val="22"/>
        </w:rPr>
        <w:t xml:space="preserve">“Solicitud 163 oficio enviado al área.pdf; Acta 36.pdf; y, Solciitud 163-20.pdf”; </w:t>
      </w:r>
      <w:r w:rsidR="00FB2BAF" w:rsidRPr="00CC493D">
        <w:rPr>
          <w:rFonts w:ascii="Palatino Linotype" w:hAnsi="Palatino Linotype"/>
          <w:color w:val="000000"/>
          <w:szCs w:val="22"/>
        </w:rPr>
        <w:t xml:space="preserve"> </w:t>
      </w:r>
      <w:r w:rsidR="003949FA" w:rsidRPr="00CC493D">
        <w:rPr>
          <w:rFonts w:ascii="Palatino Linotype" w:hAnsi="Palatino Linotype"/>
          <w:color w:val="000000"/>
          <w:szCs w:val="22"/>
        </w:rPr>
        <w:t xml:space="preserve">por lo que </w:t>
      </w:r>
      <w:r w:rsidR="003949FA" w:rsidRPr="00CC493D">
        <w:rPr>
          <w:rFonts w:ascii="Palatino Linotype" w:eastAsiaTheme="minorEastAsia" w:hAnsi="Palatino Linotype"/>
          <w:lang w:val="es-ES_tradnl" w:eastAsia="es-ES"/>
        </w:rPr>
        <w:t xml:space="preserve">con fundamento en </w:t>
      </w:r>
      <w:r w:rsidR="003949FA" w:rsidRPr="00CC493D">
        <w:rPr>
          <w:rFonts w:ascii="Palatino Linotype" w:eastAsia="Arial Unicode MS" w:hAnsi="Palatino Linotype" w:cs="Arial"/>
          <w:lang w:val="es-ES_tradnl" w:eastAsia="es-ES"/>
        </w:rPr>
        <w:t xml:space="preserve">el artículo 185, fracciones II y III de la Ley de Transparencia y Acceso a la Información Pública del Estado de México y Municipios, se puso a disposición del recurrente, para que en un plazo de tres días hábiles </w:t>
      </w:r>
      <w:r w:rsidR="003949FA" w:rsidRPr="00CC493D">
        <w:rPr>
          <w:rFonts w:ascii="Palatino Linotype" w:eastAsia="Arial Unicode MS" w:hAnsi="Palatino Linotype" w:cs="Arial"/>
          <w:lang w:val="es-ES_tradnl" w:eastAsia="es-ES"/>
        </w:rPr>
        <w:lastRenderedPageBreak/>
        <w:t xml:space="preserve">manifieste lo que a su derecho convenga, apercibido de que en </w:t>
      </w:r>
      <w:r w:rsidR="003949FA" w:rsidRPr="00CC493D">
        <w:rPr>
          <w:rFonts w:ascii="Palatino Linotype" w:eastAsia="Arial Unicode MS" w:hAnsi="Palatino Linotype" w:cs="Arial"/>
          <w:bCs/>
          <w:lang w:val="es-ES_tradnl" w:eastAsia="es-ES"/>
        </w:rPr>
        <w:t>caso de no hacerlo se tendrá por precluído su derecho.</w:t>
      </w:r>
    </w:p>
    <w:p w14:paraId="4B503538" w14:textId="77777777" w:rsidR="003949FA" w:rsidRPr="00CC493D" w:rsidRDefault="003949FA" w:rsidP="003949FA">
      <w:pPr>
        <w:pStyle w:val="Prrafodelista"/>
        <w:spacing w:before="240" w:after="240" w:line="360" w:lineRule="auto"/>
        <w:ind w:left="0"/>
        <w:jc w:val="both"/>
        <w:rPr>
          <w:rFonts w:ascii="Palatino Linotype" w:hAnsi="Palatino Linotype"/>
          <w:color w:val="000000"/>
          <w:szCs w:val="22"/>
        </w:rPr>
      </w:pPr>
    </w:p>
    <w:p w14:paraId="16DDDB79" w14:textId="5B1752C4" w:rsidR="005E7AF2" w:rsidRPr="00CC493D" w:rsidRDefault="00FB2BAF" w:rsidP="00D95855">
      <w:pPr>
        <w:pStyle w:val="Prrafodelista"/>
        <w:numPr>
          <w:ilvl w:val="0"/>
          <w:numId w:val="1"/>
        </w:numPr>
        <w:spacing w:before="240" w:after="240" w:line="360" w:lineRule="auto"/>
        <w:ind w:left="0" w:firstLine="0"/>
        <w:jc w:val="both"/>
        <w:rPr>
          <w:rFonts w:ascii="Palatino Linotype" w:hAnsi="Palatino Linotype"/>
        </w:rPr>
      </w:pPr>
      <w:r w:rsidRPr="00CC493D">
        <w:rPr>
          <w:rFonts w:ascii="Palatino Linotype" w:hAnsi="Palatino Linotype"/>
          <w:color w:val="000000"/>
          <w:szCs w:val="22"/>
        </w:rPr>
        <w:t xml:space="preserve">Por su parte el </w:t>
      </w:r>
      <w:r w:rsidR="005B40E5" w:rsidRPr="00CC493D">
        <w:rPr>
          <w:rFonts w:ascii="Palatino Linotype" w:hAnsi="Palatino Linotype"/>
          <w:color w:val="000000"/>
          <w:szCs w:val="22"/>
        </w:rPr>
        <w:t xml:space="preserve">hoy </w:t>
      </w:r>
      <w:r w:rsidR="005B40E5" w:rsidRPr="00CC493D">
        <w:rPr>
          <w:rFonts w:ascii="Palatino Linotype" w:hAnsi="Palatino Linotype"/>
          <w:b/>
          <w:color w:val="000000"/>
          <w:szCs w:val="22"/>
        </w:rPr>
        <w:t>RECURRENTE</w:t>
      </w:r>
      <w:r w:rsidR="005B40E5" w:rsidRPr="00CC493D">
        <w:rPr>
          <w:rFonts w:ascii="Palatino Linotype" w:hAnsi="Palatino Linotype"/>
          <w:color w:val="000000"/>
          <w:szCs w:val="22"/>
        </w:rPr>
        <w:t xml:space="preserve"> </w:t>
      </w:r>
      <w:r w:rsidR="001553C1" w:rsidRPr="00CC493D">
        <w:rPr>
          <w:rFonts w:ascii="Palatino Linotype" w:hAnsi="Palatino Linotype"/>
          <w:color w:val="000000"/>
          <w:szCs w:val="22"/>
        </w:rPr>
        <w:t xml:space="preserve">en fecha treinta (30) de septiembre de dos mil veinte </w:t>
      </w:r>
      <w:r w:rsidR="005B40E5" w:rsidRPr="00CC493D">
        <w:rPr>
          <w:rFonts w:ascii="Palatino Linotype" w:hAnsi="Palatino Linotype"/>
          <w:color w:val="000000"/>
          <w:szCs w:val="22"/>
        </w:rPr>
        <w:t xml:space="preserve">realizó manifestaciones </w:t>
      </w:r>
      <w:r w:rsidR="003C63F1" w:rsidRPr="00CC493D">
        <w:rPr>
          <w:rFonts w:ascii="Palatino Linotype" w:hAnsi="Palatino Linotype"/>
          <w:color w:val="000000"/>
          <w:szCs w:val="22"/>
        </w:rPr>
        <w:t xml:space="preserve"> </w:t>
      </w:r>
      <w:r w:rsidR="00AB1E40" w:rsidRPr="00CC493D">
        <w:rPr>
          <w:rFonts w:ascii="Palatino Linotype" w:hAnsi="Palatino Linotype"/>
          <w:color w:val="000000"/>
          <w:szCs w:val="22"/>
        </w:rPr>
        <w:t>que a su derecho conviniera y asistiera</w:t>
      </w:r>
      <w:r w:rsidR="001553C1" w:rsidRPr="00CC493D">
        <w:rPr>
          <w:rFonts w:ascii="Palatino Linotype" w:hAnsi="Palatino Linotype"/>
          <w:color w:val="000000"/>
          <w:szCs w:val="22"/>
        </w:rPr>
        <w:t xml:space="preserve">, en los siguientes términos: </w:t>
      </w:r>
      <w:r w:rsidR="001553C1" w:rsidRPr="00CC493D">
        <w:rPr>
          <w:rFonts w:ascii="Palatino Linotype" w:hAnsi="Palatino Linotype"/>
          <w:i/>
          <w:color w:val="000000"/>
          <w:szCs w:val="22"/>
        </w:rPr>
        <w:t>“La comisión si existe”</w:t>
      </w:r>
      <w:r w:rsidR="001553C1" w:rsidRPr="00CC493D">
        <w:rPr>
          <w:rFonts w:ascii="Palatino Linotype" w:hAnsi="Palatino Linotype"/>
          <w:color w:val="000000"/>
          <w:szCs w:val="22"/>
        </w:rPr>
        <w:t xml:space="preserve"> ;además adjunto el archivo en formato pdf denominado “acta trigesima novena sesión extraordinaria comisión transitoria covid-19.pdf”.</w:t>
      </w:r>
    </w:p>
    <w:p w14:paraId="58397D4F" w14:textId="77777777" w:rsidR="005E7AF2" w:rsidRPr="00CC493D" w:rsidRDefault="005E7AF2" w:rsidP="005E7AF2">
      <w:pPr>
        <w:pStyle w:val="Prrafodelista"/>
        <w:rPr>
          <w:rFonts w:ascii="Palatino Linotype" w:hAnsi="Palatino Linotype"/>
        </w:rPr>
      </w:pPr>
    </w:p>
    <w:p w14:paraId="66F0290E" w14:textId="167F6474" w:rsidR="00643903" w:rsidRPr="00CC493D" w:rsidRDefault="00F53E50" w:rsidP="00D95855">
      <w:pPr>
        <w:pStyle w:val="Prrafodelista"/>
        <w:numPr>
          <w:ilvl w:val="0"/>
          <w:numId w:val="1"/>
        </w:numPr>
        <w:spacing w:before="240" w:after="240" w:line="360" w:lineRule="auto"/>
        <w:ind w:left="0" w:firstLine="0"/>
        <w:jc w:val="both"/>
        <w:rPr>
          <w:rFonts w:ascii="Palatino Linotype" w:hAnsi="Palatino Linotype"/>
        </w:rPr>
      </w:pPr>
      <w:r w:rsidRPr="00CC493D">
        <w:rPr>
          <w:rFonts w:ascii="Palatino Linotype" w:hAnsi="Palatino Linotype"/>
        </w:rPr>
        <w:t xml:space="preserve">El </w:t>
      </w:r>
      <w:r w:rsidR="001553C1" w:rsidRPr="00CC493D">
        <w:rPr>
          <w:rFonts w:ascii="Palatino Linotype" w:hAnsi="Palatino Linotype"/>
        </w:rPr>
        <w:t xml:space="preserve">cinco (5) de octubre de </w:t>
      </w:r>
      <w:r w:rsidRPr="00CC493D">
        <w:rPr>
          <w:rFonts w:ascii="Palatino Linotype" w:hAnsi="Palatino Linotype"/>
        </w:rPr>
        <w:t>dos mil veinte, e</w:t>
      </w:r>
      <w:r w:rsidR="00025B10" w:rsidRPr="00CC493D">
        <w:rPr>
          <w:rFonts w:ascii="Palatino Linotype" w:hAnsi="Palatino Linotype"/>
        </w:rPr>
        <w:t>l Comisionado Ponente</w:t>
      </w:r>
      <w:r w:rsidRPr="00CC493D">
        <w:rPr>
          <w:rFonts w:ascii="Palatino Linotype" w:hAnsi="Palatino Linotype"/>
        </w:rPr>
        <w:t xml:space="preserve"> acordó el cierre de instrucción</w:t>
      </w:r>
      <w:r w:rsidR="00C8486C" w:rsidRPr="00CC493D">
        <w:rPr>
          <w:rFonts w:ascii="Palatino Linotype" w:hAnsi="Palatino Linotype"/>
        </w:rPr>
        <w:t xml:space="preserve">, </w:t>
      </w:r>
      <w:r w:rsidR="006A3E8C" w:rsidRPr="00CC493D">
        <w:rPr>
          <w:rFonts w:ascii="Palatino Linotype" w:hAnsi="Palatino Linotype"/>
        </w:rPr>
        <w:t>por lo que</w:t>
      </w:r>
      <w:r w:rsidR="00CF3F0A" w:rsidRPr="00CC493D">
        <w:rPr>
          <w:rFonts w:ascii="Palatino Linotype" w:hAnsi="Palatino Linotype"/>
        </w:rPr>
        <w:t xml:space="preserve"> </w:t>
      </w:r>
      <w:r w:rsidR="00025B10" w:rsidRPr="00CC493D">
        <w:rPr>
          <w:rFonts w:ascii="Palatino Linotype" w:hAnsi="Palatino Linotype"/>
        </w:rPr>
        <w:t>se</w:t>
      </w:r>
      <w:r w:rsidR="00585F00" w:rsidRPr="00CC493D">
        <w:rPr>
          <w:rFonts w:ascii="Palatino Linotype" w:hAnsi="Palatino Linotype" w:cs="Arial"/>
        </w:rPr>
        <w:t xml:space="preserve"> ordenó tur</w:t>
      </w:r>
      <w:r w:rsidR="00434B23" w:rsidRPr="00CC493D">
        <w:rPr>
          <w:rFonts w:ascii="Palatino Linotype" w:hAnsi="Palatino Linotype" w:cs="Arial"/>
        </w:rPr>
        <w:t>nar el expediente a resolución</w:t>
      </w:r>
      <w:r w:rsidR="007E7CB0" w:rsidRPr="00CC493D">
        <w:rPr>
          <w:rFonts w:ascii="Palatino Linotype" w:hAnsi="Palatino Linotype" w:cs="Arial"/>
        </w:rPr>
        <w:t xml:space="preserve">; </w:t>
      </w:r>
      <w:r w:rsidR="00274F7F" w:rsidRPr="00CC493D">
        <w:rPr>
          <w:rFonts w:ascii="Palatino Linotype" w:hAnsi="Palatino Linotype" w:cs="Arial"/>
        </w:rPr>
        <w:t xml:space="preserve">por lo que no habiendo más que hacer constar, </w:t>
      </w:r>
      <w:r w:rsidR="001F5AF8" w:rsidRPr="00CC493D">
        <w:rPr>
          <w:rFonts w:ascii="Palatino Linotype" w:hAnsi="Palatino Linotype" w:cs="Arial"/>
        </w:rPr>
        <w:t xml:space="preserve">y - </w:t>
      </w:r>
    </w:p>
    <w:p w14:paraId="51E91971" w14:textId="576A8F67" w:rsidR="00585F00" w:rsidRPr="00CC493D" w:rsidRDefault="00585F00" w:rsidP="00585F00">
      <w:pPr>
        <w:pStyle w:val="Ttulo1"/>
        <w:jc w:val="center"/>
        <w:rPr>
          <w:b/>
        </w:rPr>
      </w:pPr>
      <w:bookmarkStart w:id="114" w:name="_Toc491791302"/>
      <w:bookmarkStart w:id="115" w:name="_Toc34157664"/>
      <w:r w:rsidRPr="00CC493D">
        <w:rPr>
          <w:b/>
        </w:rPr>
        <w:t>CONSIDERANDO</w:t>
      </w:r>
      <w:bookmarkEnd w:id="114"/>
      <w:bookmarkEnd w:id="115"/>
    </w:p>
    <w:p w14:paraId="7681ED66" w14:textId="77777777" w:rsidR="00585F00" w:rsidRPr="00CC493D" w:rsidRDefault="00585F00" w:rsidP="00585F00">
      <w:pPr>
        <w:rPr>
          <w:rFonts w:ascii="Palatino Linotype" w:hAnsi="Palatino Linotype"/>
          <w:lang w:val="es-MX" w:eastAsia="en-US"/>
        </w:rPr>
      </w:pPr>
    </w:p>
    <w:p w14:paraId="717D4ABA" w14:textId="77777777" w:rsidR="00585F00" w:rsidRPr="00CC493D" w:rsidRDefault="00585F00" w:rsidP="00585F00">
      <w:pPr>
        <w:pStyle w:val="Ttulo2"/>
        <w:rPr>
          <w:rFonts w:ascii="Palatino Linotype" w:hAnsi="Palatino Linotype"/>
          <w:b/>
          <w:color w:val="auto"/>
          <w:sz w:val="24"/>
        </w:rPr>
      </w:pPr>
      <w:bookmarkStart w:id="116" w:name="_Toc491791303"/>
      <w:bookmarkStart w:id="117" w:name="_Toc34157665"/>
      <w:r w:rsidRPr="00CC493D">
        <w:rPr>
          <w:rFonts w:ascii="Palatino Linotype" w:hAnsi="Palatino Linotype"/>
          <w:b/>
          <w:color w:val="auto"/>
          <w:sz w:val="24"/>
        </w:rPr>
        <w:t>PRIMERO. De la competencia</w:t>
      </w:r>
      <w:bookmarkEnd w:id="116"/>
      <w:bookmarkEnd w:id="117"/>
    </w:p>
    <w:p w14:paraId="6EA8B854" w14:textId="77777777" w:rsidR="00585F00" w:rsidRPr="00CC493D" w:rsidRDefault="00585F00" w:rsidP="00585F00">
      <w:pPr>
        <w:rPr>
          <w:lang w:val="es-MX" w:eastAsia="en-US"/>
        </w:rPr>
      </w:pPr>
    </w:p>
    <w:p w14:paraId="59B46AF8" w14:textId="0B650E0E" w:rsidR="00585F00" w:rsidRPr="00CC493D" w:rsidRDefault="00585F00" w:rsidP="00D95855">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eastAsia="Calibri" w:hAnsi="Palatino Linotype"/>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CC493D">
        <w:rPr>
          <w:rFonts w:ascii="Palatino Linotype" w:eastAsia="Calibri" w:hAnsi="Palatino Linotype"/>
          <w:b/>
          <w:lang w:val="es-ES"/>
        </w:rPr>
        <w:t>Constitución Política de los Estados Unidos Mexicanos</w:t>
      </w:r>
      <w:r w:rsidRPr="00CC493D">
        <w:rPr>
          <w:rFonts w:ascii="Palatino Linotype" w:eastAsia="Calibri" w:hAnsi="Palatino Linotype"/>
          <w:lang w:val="es-ES"/>
        </w:rPr>
        <w:t xml:space="preserve">; 5, párrafos vigésimo, vigésimo primero y vigésimo segundo fracciones IV y V de la </w:t>
      </w:r>
      <w:r w:rsidRPr="00CC493D">
        <w:rPr>
          <w:rFonts w:ascii="Palatino Linotype" w:eastAsia="Calibri" w:hAnsi="Palatino Linotype"/>
          <w:b/>
          <w:lang w:val="es-ES"/>
        </w:rPr>
        <w:t>Constitución Política del Estado Libre y Soberano de México</w:t>
      </w:r>
      <w:r w:rsidRPr="00CC493D">
        <w:rPr>
          <w:rFonts w:ascii="Palatino Linotype" w:eastAsia="Calibri" w:hAnsi="Palatino Linotype"/>
          <w:lang w:val="es-ES"/>
        </w:rPr>
        <w:t xml:space="preserve">; artículos 1, 2 fracción II, 13, 29, 36 fracciones I y II, 176, 178, 179, 181 párrafo tercero y 185 </w:t>
      </w:r>
      <w:r w:rsidRPr="00CC493D">
        <w:rPr>
          <w:rFonts w:ascii="Palatino Linotype" w:eastAsia="Calibri" w:hAnsi="Palatino Linotype" w:cs="Arial"/>
          <w:lang w:val="es-ES"/>
        </w:rPr>
        <w:t xml:space="preserve">de la </w:t>
      </w:r>
      <w:r w:rsidRPr="00CC493D">
        <w:rPr>
          <w:rFonts w:ascii="Palatino Linotype" w:eastAsia="Calibri" w:hAnsi="Palatino Linotype" w:cs="Arial"/>
          <w:b/>
          <w:lang w:val="es-ES"/>
        </w:rPr>
        <w:t xml:space="preserve">Ley de </w:t>
      </w:r>
      <w:r w:rsidRPr="00CC493D">
        <w:rPr>
          <w:rFonts w:ascii="Palatino Linotype" w:eastAsia="Calibri" w:hAnsi="Palatino Linotype" w:cs="Arial"/>
          <w:b/>
          <w:lang w:val="es-ES"/>
        </w:rPr>
        <w:lastRenderedPageBreak/>
        <w:t>Transparencia y Acceso a la Información Pública del Estado de México y Municipios</w:t>
      </w:r>
      <w:r w:rsidRPr="00CC493D">
        <w:rPr>
          <w:rFonts w:ascii="Palatino Linotype" w:eastAsia="Calibri" w:hAnsi="Palatino Linotype" w:cs="Arial"/>
          <w:lang w:val="es-ES"/>
        </w:rPr>
        <w:t xml:space="preserve">; ; y 10, 7, 9 fracciones I y XXIV, y 11 del </w:t>
      </w:r>
      <w:r w:rsidRPr="00CC493D">
        <w:rPr>
          <w:rFonts w:ascii="Palatino Linotype" w:eastAsia="Calibri" w:hAnsi="Palatino Linotype" w:cs="Arial"/>
          <w:b/>
          <w:lang w:val="es-ES"/>
        </w:rPr>
        <w:t>Reglamento Interior del Instituto de Transparencia, Acceso a la Información Pública y Protección de Datos Personales del Estado de México y Municipios.</w:t>
      </w:r>
    </w:p>
    <w:p w14:paraId="3ED8E6C2" w14:textId="77777777" w:rsidR="00D166BC" w:rsidRPr="00CC493D" w:rsidRDefault="00D166BC" w:rsidP="00D166BC">
      <w:pPr>
        <w:pStyle w:val="Prrafodelista"/>
        <w:spacing w:line="360" w:lineRule="auto"/>
        <w:ind w:left="0"/>
        <w:jc w:val="both"/>
        <w:rPr>
          <w:rFonts w:ascii="Palatino Linotype" w:eastAsia="Calibri" w:hAnsi="Palatino Linotype"/>
          <w:b/>
          <w:lang w:val="es-ES"/>
        </w:rPr>
      </w:pPr>
    </w:p>
    <w:p w14:paraId="0B3B07CD" w14:textId="77777777" w:rsidR="00D166BC" w:rsidRPr="00CC493D" w:rsidRDefault="00D166BC" w:rsidP="00D166BC">
      <w:pPr>
        <w:pStyle w:val="Ttulo2"/>
        <w:rPr>
          <w:rFonts w:ascii="Palatino Linotype" w:hAnsi="Palatino Linotype"/>
          <w:b/>
          <w:color w:val="auto"/>
          <w:sz w:val="24"/>
        </w:rPr>
      </w:pPr>
      <w:bookmarkStart w:id="118" w:name="_Toc491791304"/>
      <w:bookmarkStart w:id="119" w:name="_Toc34157666"/>
      <w:r w:rsidRPr="00CC493D">
        <w:rPr>
          <w:rFonts w:ascii="Palatino Linotype" w:hAnsi="Palatino Linotype"/>
          <w:b/>
          <w:color w:val="auto"/>
          <w:sz w:val="24"/>
        </w:rPr>
        <w:t>SEGUNDO. De la oportunidad y procedencia.</w:t>
      </w:r>
      <w:bookmarkEnd w:id="118"/>
      <w:bookmarkEnd w:id="119"/>
    </w:p>
    <w:p w14:paraId="2EC726A1" w14:textId="77777777" w:rsidR="00D166BC" w:rsidRPr="00CC493D" w:rsidRDefault="00D166BC" w:rsidP="00D166BC">
      <w:pPr>
        <w:pStyle w:val="Prrafodelista"/>
        <w:spacing w:line="360" w:lineRule="auto"/>
        <w:ind w:left="0"/>
        <w:jc w:val="both"/>
        <w:rPr>
          <w:rFonts w:ascii="Palatino Linotype" w:eastAsia="Calibri" w:hAnsi="Palatino Linotype"/>
          <w:b/>
          <w:lang w:val="es-ES"/>
        </w:rPr>
      </w:pPr>
    </w:p>
    <w:p w14:paraId="4CC99C3C" w14:textId="6D7B929E" w:rsidR="00D166BC" w:rsidRPr="00CC493D" w:rsidRDefault="001553C1" w:rsidP="00D95855">
      <w:pPr>
        <w:pStyle w:val="Prrafodelista"/>
        <w:numPr>
          <w:ilvl w:val="0"/>
          <w:numId w:val="1"/>
        </w:numPr>
        <w:spacing w:line="360" w:lineRule="auto"/>
        <w:ind w:left="0" w:firstLine="0"/>
        <w:jc w:val="both"/>
        <w:rPr>
          <w:rFonts w:ascii="Palatino Linotype" w:eastAsia="Calibri" w:hAnsi="Palatino Linotype"/>
          <w:b/>
          <w:lang w:val="es-ES"/>
        </w:rPr>
      </w:pPr>
      <w:bookmarkStart w:id="120" w:name="_Toc521431830"/>
      <w:bookmarkStart w:id="121" w:name="_Toc27653760"/>
      <w:r w:rsidRPr="00CC493D">
        <w:rPr>
          <w:rFonts w:ascii="Palatino Linotype" w:eastAsia="Calibri" w:hAnsi="Palatino Linotype" w:cs="Arial"/>
          <w:lang w:val="es-ES" w:eastAsia="es-ES"/>
        </w:rPr>
        <w:t xml:space="preserve">Es de precisar, que la Ley de Transparencia y Acceso a la Información Pública del Estado de México y Municipios, en el artículo 178 describe la procedencia del recurso de revisión, asimismo señala que el plazo del </w:t>
      </w:r>
      <w:r w:rsidRPr="00CC493D">
        <w:rPr>
          <w:rFonts w:ascii="Palatino Linotype" w:eastAsia="Calibri" w:hAnsi="Palatino Linotype" w:cs="Arial"/>
          <w:b/>
          <w:lang w:val="es-ES" w:eastAsia="es-ES"/>
        </w:rPr>
        <w:t>SUJETO OBLIGADO</w:t>
      </w:r>
      <w:r w:rsidRPr="00CC493D">
        <w:rPr>
          <w:rFonts w:ascii="Palatino Linotype" w:eastAsia="Calibri" w:hAnsi="Palatino Linotype" w:cs="Arial"/>
          <w:lang w:val="es-ES" w:eastAsia="es-ES"/>
        </w:rPr>
        <w:t xml:space="preserve"> para entregar la respuesta a una solicitud de información pública, es de quince días hábiles posteriores a la presentación de ésta; por lo que, transcurrido este término, cuando no entregue la respuesta a la solicitud dentro del plazo previsto en la Ley, la solicitud se entenderá negada y el solicitante podrá interponer el recurs o de revisión previsto en el ordenamiento en cita.  </w:t>
      </w:r>
    </w:p>
    <w:p w14:paraId="38B4BC06" w14:textId="77777777" w:rsidR="00D166BC" w:rsidRPr="00CC493D" w:rsidRDefault="00D166BC" w:rsidP="00D166BC">
      <w:pPr>
        <w:pStyle w:val="Prrafodelista"/>
        <w:spacing w:line="360" w:lineRule="auto"/>
        <w:ind w:left="0"/>
        <w:jc w:val="both"/>
        <w:rPr>
          <w:rFonts w:ascii="Palatino Linotype" w:eastAsia="Calibri" w:hAnsi="Palatino Linotype"/>
          <w:b/>
          <w:lang w:val="es-ES"/>
        </w:rPr>
      </w:pPr>
    </w:p>
    <w:p w14:paraId="1306E351" w14:textId="77777777" w:rsidR="00D166BC" w:rsidRPr="00CC493D" w:rsidRDefault="001553C1" w:rsidP="00D95855">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eastAsia="Calibri" w:hAnsi="Palatino Linotype" w:cs="Arial"/>
          <w:lang w:val="es-ES" w:eastAsia="es-ES"/>
        </w:rPr>
        <w:t xml:space="preserve">Por ende, se constituye la figura jurídica de la </w:t>
      </w:r>
      <w:r w:rsidRPr="00CC493D">
        <w:rPr>
          <w:rFonts w:ascii="Palatino Linotype" w:eastAsia="Calibri" w:hAnsi="Palatino Linotype" w:cs="Arial"/>
          <w:i/>
          <w:lang w:val="es-ES" w:eastAsia="es-ES"/>
        </w:rPr>
        <w:t>negativa ficta</w:t>
      </w:r>
      <w:r w:rsidRPr="00CC493D">
        <w:rPr>
          <w:rFonts w:ascii="Palatino Linotype" w:eastAsia="Calibri" w:hAnsi="Palatino Linotype" w:cs="Arial"/>
          <w:lang w:val="es-ES" w:eastAsia="es-ES"/>
        </w:rPr>
        <w:t xml:space="preserve">, cuya esencia es atribuir un efecto negativo al silencio de la autoridad administrativa frente a las instancias y solicitudes que hagan los particulares, lo cual encuentra sustento en lo que establece el artículo </w:t>
      </w:r>
      <w:r w:rsidRPr="00CC493D">
        <w:rPr>
          <w:rFonts w:ascii="Palatino Linotype" w:eastAsia="Calibri" w:hAnsi="Palatino Linotype" w:cs="Arial"/>
          <w:b/>
          <w:lang w:val="es-ES" w:eastAsia="es-ES"/>
        </w:rPr>
        <w:t>178</w:t>
      </w:r>
      <w:r w:rsidRPr="00CC493D">
        <w:rPr>
          <w:rFonts w:ascii="Palatino Linotype" w:eastAsia="Calibri" w:hAnsi="Palatino Linotype" w:cs="Arial"/>
          <w:lang w:val="es-ES" w:eastAsia="es-ES"/>
        </w:rPr>
        <w:t xml:space="preserve"> segundo párrafo de </w:t>
      </w:r>
      <w:r w:rsidRPr="00CC493D">
        <w:rPr>
          <w:rFonts w:ascii="Palatino Linotype" w:eastAsia="Calibri" w:hAnsi="Palatino Linotype" w:cs="Arial"/>
          <w:b/>
          <w:lang w:val="es-ES" w:eastAsia="es-ES"/>
        </w:rPr>
        <w:t>Ley de Transparencia y Acceso a la Información Pública del Estado de México y Municipios</w:t>
      </w:r>
      <w:r w:rsidRPr="00CC493D">
        <w:rPr>
          <w:rFonts w:ascii="Palatino Linotype" w:eastAsia="Calibri" w:hAnsi="Palatino Linotype"/>
          <w:color w:val="000000"/>
          <w:shd w:val="clear" w:color="auto" w:fill="FFFFFF"/>
        </w:rPr>
        <w:t xml:space="preserve">, que dispone; ante la falta de respuesta del </w:t>
      </w:r>
      <w:r w:rsidRPr="00CC493D">
        <w:rPr>
          <w:rFonts w:ascii="Palatino Linotype" w:eastAsia="Calibri" w:hAnsi="Palatino Linotype"/>
          <w:b/>
          <w:color w:val="000000"/>
          <w:shd w:val="clear" w:color="auto" w:fill="FFFFFF"/>
        </w:rPr>
        <w:t>SUJETO OBLIGADO,</w:t>
      </w:r>
      <w:r w:rsidRPr="00CC493D">
        <w:rPr>
          <w:rFonts w:ascii="Palatino Linotype" w:eastAsia="Calibri" w:hAnsi="Palatino Linotype"/>
          <w:color w:val="000000"/>
          <w:shd w:val="clear" w:color="auto" w:fill="FFFFFF"/>
        </w:rPr>
        <w:t xml:space="preserve"> dentro de los plazos establecidos en </w:t>
      </w:r>
      <w:r w:rsidRPr="00CC493D">
        <w:rPr>
          <w:rFonts w:ascii="Palatino Linotype" w:eastAsia="Calibri" w:hAnsi="Palatino Linotype"/>
          <w:color w:val="000000"/>
          <w:shd w:val="clear" w:color="auto" w:fill="FFFFFF"/>
        </w:rPr>
        <w:lastRenderedPageBreak/>
        <w:t xml:space="preserve">esta Ley, a una solicitud de acceso a la información pública, el recurso </w:t>
      </w:r>
      <w:r w:rsidRPr="00CC493D">
        <w:rPr>
          <w:rFonts w:ascii="Palatino Linotype" w:eastAsia="Calibri" w:hAnsi="Palatino Linotype"/>
          <w:b/>
          <w:color w:val="000000"/>
          <w:shd w:val="clear" w:color="auto" w:fill="FFFFFF"/>
        </w:rPr>
        <w:t xml:space="preserve">podrá ser interpuesto en cualquier momento. </w:t>
      </w:r>
    </w:p>
    <w:p w14:paraId="0A4B5A58" w14:textId="77777777" w:rsidR="00D166BC" w:rsidRPr="00CC493D" w:rsidRDefault="00D166BC" w:rsidP="00D166BC">
      <w:pPr>
        <w:pStyle w:val="Prrafodelista"/>
        <w:rPr>
          <w:rFonts w:ascii="Palatino Linotype" w:eastAsia="Calibri" w:hAnsi="Palatino Linotype" w:cs="Arial"/>
          <w:lang w:val="es-ES" w:eastAsia="es-ES"/>
        </w:rPr>
      </w:pPr>
    </w:p>
    <w:p w14:paraId="28AC8545" w14:textId="0D954CC7" w:rsidR="001553C1" w:rsidRPr="00CC493D" w:rsidRDefault="001553C1" w:rsidP="00D95855">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eastAsia="Calibri" w:hAnsi="Palatino Linotype" w:cs="Arial"/>
          <w:lang w:val="es-ES" w:eastAsia="es-ES"/>
        </w:rPr>
        <w:t xml:space="preserve">Por lo que, tratándose de la </w:t>
      </w:r>
      <w:r w:rsidRPr="00CC493D">
        <w:rPr>
          <w:rFonts w:ascii="Palatino Linotype" w:eastAsia="Calibri" w:hAnsi="Palatino Linotype" w:cs="Arial"/>
          <w:i/>
          <w:lang w:val="es-ES" w:eastAsia="es-ES"/>
        </w:rPr>
        <w:t>negativa ficta</w:t>
      </w:r>
      <w:r w:rsidRPr="00CC493D">
        <w:rPr>
          <w:rFonts w:ascii="Palatino Linotype" w:eastAsia="Calibri" w:hAnsi="Palatino Linotype" w:cs="Arial"/>
          <w:lang w:val="es-ES" w:eastAsia="es-ES"/>
        </w:rPr>
        <w:t xml:space="preserve"> no existe respuesta que se haga del conocimiento al particular, a partir de la cual pueda computarse el plazo legal establecido, por tal motivo es pertinente señalar que no existe plazo para la interposición del recurso de revisión, sirviendo de apoyo a lo anterior lo que dispone el Criterio de Interpretación en el orden administrativo número 001-15, emitido por el Pleno del Instituto de Transparencia y Acceso a la Información Pública del Estado de México y Municipios, en la Sexta Sesión Ordinaria, y publicada en el Periódico Oficial “Gaceta del Gobierno” el veintitrés de abril de dos mil quince, relativo a la interposición del recurso de revisión en cualquier tiempo cuando exista </w:t>
      </w:r>
      <w:r w:rsidRPr="00CC493D">
        <w:rPr>
          <w:rFonts w:ascii="Palatino Linotype" w:eastAsia="Calibri" w:hAnsi="Palatino Linotype" w:cs="Arial"/>
          <w:i/>
          <w:lang w:val="es-ES" w:eastAsia="es-ES"/>
        </w:rPr>
        <w:t>negativa ficta</w:t>
      </w:r>
      <w:r w:rsidRPr="00CC493D">
        <w:rPr>
          <w:rFonts w:ascii="Palatino Linotype" w:eastAsia="Calibri" w:hAnsi="Palatino Linotype" w:cs="Arial"/>
          <w:lang w:val="es-ES" w:eastAsia="es-ES"/>
        </w:rPr>
        <w:t>, que señala:</w:t>
      </w:r>
    </w:p>
    <w:p w14:paraId="5FDD7DAD" w14:textId="318DB48D" w:rsidR="00D166BC" w:rsidRPr="00CC493D" w:rsidRDefault="00D166BC" w:rsidP="00D166BC">
      <w:pPr>
        <w:pStyle w:val="Prrafodelista"/>
        <w:rPr>
          <w:rFonts w:ascii="Palatino Linotype" w:eastAsia="Calibri" w:hAnsi="Palatino Linotype"/>
          <w:b/>
          <w:lang w:val="es-ES"/>
        </w:rPr>
      </w:pPr>
    </w:p>
    <w:p w14:paraId="532901FC" w14:textId="77777777" w:rsidR="00D166BC" w:rsidRPr="00CC493D" w:rsidRDefault="00D166BC" w:rsidP="00D166BC">
      <w:pPr>
        <w:tabs>
          <w:tab w:val="left" w:pos="7655"/>
        </w:tabs>
        <w:spacing w:before="240" w:after="240" w:line="360" w:lineRule="auto"/>
        <w:ind w:left="567" w:right="567"/>
        <w:jc w:val="center"/>
        <w:rPr>
          <w:rFonts w:ascii="Palatino Linotype" w:eastAsia="Calibri" w:hAnsi="Palatino Linotype" w:cs="Arial"/>
          <w:b/>
          <w:lang w:val="es-ES" w:eastAsia="es-ES"/>
        </w:rPr>
      </w:pPr>
      <w:r w:rsidRPr="00CC493D">
        <w:rPr>
          <w:rFonts w:ascii="Palatino Linotype" w:eastAsia="Calibri" w:hAnsi="Palatino Linotype" w:cs="Arial"/>
          <w:b/>
          <w:lang w:val="es-ES" w:eastAsia="es-ES"/>
        </w:rPr>
        <w:t>Criterio 0001-15</w:t>
      </w:r>
    </w:p>
    <w:p w14:paraId="673E02C7" w14:textId="77777777" w:rsidR="00D166BC" w:rsidRPr="00CC493D" w:rsidRDefault="00D166BC" w:rsidP="00D166BC">
      <w:pPr>
        <w:tabs>
          <w:tab w:val="left" w:pos="7655"/>
        </w:tabs>
        <w:spacing w:before="240" w:after="240" w:line="360" w:lineRule="auto"/>
        <w:ind w:left="567" w:right="567"/>
        <w:jc w:val="both"/>
        <w:rPr>
          <w:rFonts w:ascii="Palatino Linotype" w:eastAsia="Calibri" w:hAnsi="Palatino Linotype" w:cs="Arial"/>
          <w:i/>
          <w:lang w:val="es-ES" w:eastAsia="es-ES"/>
        </w:rPr>
      </w:pPr>
      <w:r w:rsidRPr="00CC493D">
        <w:rPr>
          <w:rFonts w:ascii="Palatino Linotype" w:eastAsia="Calibri" w:hAnsi="Palatino Linotype" w:cs="Arial"/>
          <w:b/>
          <w:i/>
          <w:lang w:val="es-ES" w:eastAsia="es-ES"/>
        </w:rPr>
        <w:t>NEGATIVA FICTA. PLAZO PARA INTERPONER EL RECURSO DE REVISIÓN TRATÁNDOSE DE.</w:t>
      </w:r>
      <w:r w:rsidRPr="00CC493D">
        <w:rPr>
          <w:rFonts w:ascii="Palatino Linotype" w:eastAsia="Calibri" w:hAnsi="Palatino Linotype" w:cs="Arial"/>
          <w:i/>
          <w:lang w:val="es-ES" w:eastAsia="es-ES"/>
        </w:rPr>
        <w:t xml:space="preserve"> El artículo 48, párrafo tercero de la Ley de Transparencia y Acceso a la Información Pública del Estado de México y Municipios establece que, cuando no se entregue la respuesta a la solicitud dentro del plazo de 15 días establecidos en el artículo 46 de la Ley de la materia, se entenderá por negada la solicitud y podrá interponerse el recurso correspondiente. Por su parte, el artículo 72 del mismo ordenamiento legal </w:t>
      </w:r>
      <w:r w:rsidRPr="00CC493D">
        <w:rPr>
          <w:rFonts w:ascii="Palatino Linotype" w:eastAsia="Calibri" w:hAnsi="Palatino Linotype" w:cs="Arial"/>
          <w:i/>
          <w:lang w:val="es-ES" w:eastAsia="es-ES"/>
        </w:rPr>
        <w:lastRenderedPageBreak/>
        <w:t>establece el plazo de 15 días para interponer el recurso de revisión a partir del día siguiente al que tuvo conocimiento de la respuesta recaída a su solicitud, sin que se establezca excepción alguna tratándose de una falta de respuesta del sujeto obligado. Así, entonces, resulta evidente que, al no emitirse respuesta dentro del plazo establecido, se genera la ficción legal de una respuesta en sentido negativo; en el entendido de que el plazo para impugnar esa negativa podrá ser en cualquier tiempo y hasta en tanto no se dicte resolución expresa; es decir, mientras no haya respuesta por parte del Sujeto Obligado, momento a partir del cual deberá computarse el plazo previsto en el artículo 72 de la citada Ley.</w:t>
      </w:r>
    </w:p>
    <w:p w14:paraId="057A9990" w14:textId="77777777" w:rsidR="00D166BC" w:rsidRPr="00CC493D" w:rsidRDefault="00D166BC" w:rsidP="00D166BC">
      <w:pPr>
        <w:rPr>
          <w:rFonts w:ascii="Palatino Linotype" w:eastAsia="Calibri" w:hAnsi="Palatino Linotype"/>
          <w:b/>
          <w:lang w:val="es-ES"/>
        </w:rPr>
      </w:pPr>
    </w:p>
    <w:p w14:paraId="4F164022" w14:textId="23A73830" w:rsidR="00D166BC" w:rsidRPr="00CC493D" w:rsidRDefault="001553C1" w:rsidP="00D95855">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hAnsi="Palatino Linotype" w:cs="Arial"/>
          <w:color w:val="000000" w:themeColor="text1"/>
          <w:lang w:val="es-ES" w:eastAsia="es-MX"/>
        </w:rPr>
        <w:t xml:space="preserve">Lo anterior, se explica porque la </w:t>
      </w:r>
      <w:r w:rsidRPr="00CC493D">
        <w:rPr>
          <w:rFonts w:ascii="Palatino Linotype" w:hAnsi="Palatino Linotype" w:cs="Arial"/>
          <w:b/>
          <w:color w:val="000000" w:themeColor="text1"/>
          <w:u w:val="single"/>
          <w:lang w:val="es-ES" w:eastAsia="es-MX"/>
        </w:rPr>
        <w:t>posible ausencia</w:t>
      </w:r>
      <w:r w:rsidRPr="00CC493D">
        <w:rPr>
          <w:rFonts w:ascii="Palatino Linotype" w:hAnsi="Palatino Linotype" w:cs="Arial"/>
          <w:color w:val="000000" w:themeColor="text1"/>
          <w:lang w:val="es-ES" w:eastAsia="es-MX"/>
        </w:rPr>
        <w:t xml:space="preserve"> de una respuesta en la solicitud constituye un acto que vulnera el derecho de manera continua y actualizable cada día en tanto, no se emita la respuesta a la que esté impuesto el </w:t>
      </w:r>
      <w:r w:rsidRPr="00CC493D">
        <w:rPr>
          <w:rFonts w:ascii="Palatino Linotype" w:hAnsi="Palatino Linotype" w:cs="Arial"/>
          <w:b/>
          <w:color w:val="000000" w:themeColor="text1"/>
          <w:lang w:val="es-ES" w:eastAsia="es-MX"/>
        </w:rPr>
        <w:t>SUJETO OBLIGADO</w:t>
      </w:r>
      <w:r w:rsidRPr="00CC493D">
        <w:rPr>
          <w:rFonts w:ascii="Palatino Linotype" w:hAnsi="Palatino Linotype" w:cs="Arial"/>
          <w:color w:val="000000" w:themeColor="text1"/>
          <w:lang w:val="es-ES" w:eastAsia="es-MX"/>
        </w:rPr>
        <w:t>.</w:t>
      </w:r>
    </w:p>
    <w:p w14:paraId="61234920" w14:textId="77777777" w:rsidR="00D166BC" w:rsidRPr="00CC493D" w:rsidRDefault="00D166BC" w:rsidP="00D166BC">
      <w:pPr>
        <w:pStyle w:val="Prrafodelista"/>
        <w:spacing w:line="360" w:lineRule="auto"/>
        <w:ind w:left="0"/>
        <w:jc w:val="both"/>
        <w:rPr>
          <w:rFonts w:ascii="Palatino Linotype" w:eastAsia="Calibri" w:hAnsi="Palatino Linotype"/>
          <w:b/>
          <w:lang w:val="es-ES"/>
        </w:rPr>
      </w:pPr>
    </w:p>
    <w:p w14:paraId="0D90D08F" w14:textId="77777777" w:rsidR="00D166BC" w:rsidRPr="00CC493D" w:rsidRDefault="001553C1" w:rsidP="00D95855">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eastAsiaTheme="minorEastAsia" w:hAnsi="Palatino Linotype" w:cs="Arial"/>
          <w:lang w:val="es-ES" w:eastAsia="es-ES"/>
        </w:rPr>
        <w:t xml:space="preserve">Por otra parte, de la revisión al expediente electrónico del Sistema de Acceso a la Información Mexiquense (SAIMEX) se desprende que la parte solicitante en ejercicio de su derecho de acceso a la información pública, en el expediente que se revisa, tanto en la solicitud de información como en el recurso de revisión no proporciona su nombre para que sea identificada, ni se tiene la certeza sobre su identidad, sin embargo, es importante señalar también que </w:t>
      </w:r>
      <w:r w:rsidRPr="00CC493D">
        <w:rPr>
          <w:rFonts w:ascii="Palatino Linotype" w:eastAsiaTheme="minorEastAsia" w:hAnsi="Palatino Linotype" w:cs="Arial"/>
          <w:lang w:eastAsia="es-ES"/>
        </w:rPr>
        <w:t xml:space="preserve">el nombre de los solicitantes y recurrentes no es requisito indispensable para la tramitación del acto </w:t>
      </w:r>
      <w:r w:rsidRPr="00CC493D">
        <w:rPr>
          <w:rFonts w:ascii="Palatino Linotype" w:eastAsiaTheme="minorEastAsia" w:hAnsi="Palatino Linotype" w:cs="Arial"/>
          <w:lang w:eastAsia="es-ES"/>
        </w:rPr>
        <w:lastRenderedPageBreak/>
        <w:t xml:space="preserve">procesal específico en materia de acceso a la información, ello en estricto apego al numeral 155 párrafo tercero de la Ley de la materia, en concatenación con el </w:t>
      </w:r>
      <w:r w:rsidRPr="00CC493D">
        <w:rPr>
          <w:rFonts w:ascii="Palatino Linotype" w:eastAsiaTheme="minorEastAsia" w:hAnsi="Palatino Linotype" w:cs="Arial"/>
          <w:lang w:val="es-ES_tradnl" w:eastAsia="es-ES"/>
        </w:rPr>
        <w:t>artículo</w:t>
      </w:r>
      <w:r w:rsidRPr="00CC493D">
        <w:rPr>
          <w:rFonts w:ascii="Palatino Linotype" w:eastAsiaTheme="minorEastAsia" w:hAnsi="Palatino Linotype" w:cs="Arial"/>
          <w:lang w:eastAsia="es-ES"/>
        </w:rPr>
        <w:t xml:space="preserve"> 180 del mismo ordenamiento.</w:t>
      </w:r>
    </w:p>
    <w:p w14:paraId="079DB9AC" w14:textId="77777777" w:rsidR="00D166BC" w:rsidRPr="00CC493D" w:rsidRDefault="00D166BC" w:rsidP="00D166BC">
      <w:pPr>
        <w:pStyle w:val="Prrafodelista"/>
        <w:rPr>
          <w:rFonts w:ascii="Palatino Linotype" w:eastAsiaTheme="minorEastAsia" w:hAnsi="Palatino Linotype" w:cs="Arial"/>
          <w:lang w:val="es-ES" w:eastAsia="es-ES"/>
        </w:rPr>
      </w:pPr>
    </w:p>
    <w:p w14:paraId="7DBB1F2A" w14:textId="77777777" w:rsidR="00D166BC" w:rsidRPr="00CC493D" w:rsidRDefault="001553C1" w:rsidP="00D95855">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eastAsiaTheme="minorEastAsia" w:hAnsi="Palatino Linotype" w:cs="Arial"/>
          <w:lang w:val="es-ES" w:eastAsia="es-ES"/>
        </w:rPr>
        <w:t>Esto es así, ya que de conformidad con los artículos 6, Apartado A, fracciones III y IV de la Constitución Política de los Estados Unidos Mexicanos y 5 párrafos vigésimo, vigésimo primero y vigésimo segundo fracciones lV y V de la Constitución Política del Estado Libre y Soberano de México, se establece que toda persona, sin necesidad de acreditar interés alguno o justificar su utilización, tendrá acceso gratuito a la información pública, a sus datos personales o a la rectificación de éstos, además de que se establecerán mecanismos de acceso a la información y procedimientos de revisión expeditos que se sustanciarán ante los organismos autónomos especializados e imparciales que establece la Constitución Federal y local.</w:t>
      </w:r>
    </w:p>
    <w:p w14:paraId="0EA797C1" w14:textId="77777777" w:rsidR="00D166BC" w:rsidRPr="00CC493D" w:rsidRDefault="00D166BC" w:rsidP="00D166BC">
      <w:pPr>
        <w:pStyle w:val="Prrafodelista"/>
        <w:rPr>
          <w:rFonts w:ascii="Palatino Linotype" w:eastAsiaTheme="minorEastAsia" w:hAnsi="Palatino Linotype" w:cs="Arial"/>
          <w:lang w:val="es-ES" w:eastAsia="es-ES"/>
        </w:rPr>
      </w:pPr>
    </w:p>
    <w:p w14:paraId="34D27C07" w14:textId="7E0C8D9B" w:rsidR="00D166BC" w:rsidRPr="00CC493D" w:rsidRDefault="001553C1" w:rsidP="00EB2DEA">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eastAsiaTheme="minorEastAsia" w:hAnsi="Palatino Linotype" w:cs="Arial"/>
          <w:lang w:val="es-ES" w:eastAsia="es-ES"/>
        </w:rPr>
        <w:t>Por lo cual, de una interpretación sistemática, armónica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14:paraId="34D9A23E" w14:textId="77777777" w:rsidR="00D166BC" w:rsidRPr="00CC493D" w:rsidRDefault="001553C1" w:rsidP="00D95855">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eastAsiaTheme="minorEastAsia" w:hAnsi="Palatino Linotype" w:cs="Arial"/>
          <w:lang w:val="es-ES" w:eastAsia="es-ES"/>
        </w:rPr>
        <w:lastRenderedPageBreak/>
        <w:t>En ese entendido, se omite un análisis más profundo en torno a los conceptos de interés jurídico y legitimación, debido a que se estima que a ningún efecto práctico conduciría, puesto que la propia estructura del derecho fundamental bajo análisis no lo exige.</w:t>
      </w:r>
    </w:p>
    <w:p w14:paraId="1C31E497" w14:textId="77777777" w:rsidR="00D166BC" w:rsidRPr="00CC493D" w:rsidRDefault="00D166BC" w:rsidP="00D166BC">
      <w:pPr>
        <w:pStyle w:val="Prrafodelista"/>
        <w:rPr>
          <w:rFonts w:ascii="Palatino Linotype" w:eastAsiaTheme="minorEastAsia" w:hAnsi="Palatino Linotype" w:cs="Arial"/>
          <w:lang w:val="es-ES" w:eastAsia="es-ES"/>
        </w:rPr>
      </w:pPr>
    </w:p>
    <w:p w14:paraId="478AFA5B" w14:textId="77777777" w:rsidR="00D166BC" w:rsidRPr="00CC493D" w:rsidRDefault="001553C1" w:rsidP="00D95855">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eastAsiaTheme="minorEastAsia" w:hAnsi="Palatino Linotype" w:cs="Arial"/>
          <w:lang w:val="es-ES" w:eastAsia="es-ES"/>
        </w:rPr>
        <w:t>Por lo que el nombre del solicitando y recurrente no puede ser considerado un requisito indispensable de procedencia del recurso de revisión que nos ocupa, ya que el acceso a la información no está condicionado a acreditar algún interés ya sea jurídico o legítimo, máxime que es un elemento subsanable por este Órgano Garante.</w:t>
      </w:r>
    </w:p>
    <w:p w14:paraId="39B36168" w14:textId="77777777" w:rsidR="00D166BC" w:rsidRPr="00CC493D" w:rsidRDefault="00D166BC" w:rsidP="00D166BC">
      <w:pPr>
        <w:pStyle w:val="Prrafodelista"/>
        <w:rPr>
          <w:rFonts w:ascii="Palatino Linotype" w:eastAsia="Calibri" w:hAnsi="Palatino Linotype" w:cs="Arial"/>
          <w:lang w:val="es-ES_tradnl" w:eastAsia="es-ES"/>
        </w:rPr>
      </w:pPr>
    </w:p>
    <w:p w14:paraId="375A773E" w14:textId="3D1E1EA8" w:rsidR="001553C1" w:rsidRPr="00CC493D" w:rsidRDefault="001553C1" w:rsidP="00D95855">
      <w:pPr>
        <w:pStyle w:val="Prrafodelista"/>
        <w:numPr>
          <w:ilvl w:val="0"/>
          <w:numId w:val="1"/>
        </w:numPr>
        <w:spacing w:line="360" w:lineRule="auto"/>
        <w:ind w:left="0" w:firstLine="0"/>
        <w:jc w:val="both"/>
        <w:rPr>
          <w:rFonts w:ascii="Palatino Linotype" w:eastAsia="Calibri" w:hAnsi="Palatino Linotype"/>
          <w:b/>
          <w:lang w:val="es-ES"/>
        </w:rPr>
      </w:pPr>
      <w:r w:rsidRPr="00CC493D">
        <w:rPr>
          <w:rFonts w:ascii="Palatino Linotype" w:eastAsia="Calibri" w:hAnsi="Palatino Linotype" w:cs="Arial"/>
          <w:lang w:val="es-ES_tradnl" w:eastAsia="es-ES"/>
        </w:rPr>
        <w:t>Expuesto lo anterior,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14:paraId="2D78B6F4" w14:textId="77777777" w:rsidR="00483A12" w:rsidRPr="00CC493D" w:rsidRDefault="00483A12" w:rsidP="00FB2BAF">
      <w:pPr>
        <w:rPr>
          <w:rFonts w:ascii="Palatino Linotype" w:hAnsi="Palatino Linotype"/>
        </w:rPr>
      </w:pPr>
    </w:p>
    <w:p w14:paraId="7CA2838F" w14:textId="00334923" w:rsidR="00D166BC" w:rsidRPr="00CC493D" w:rsidRDefault="00483A12" w:rsidP="00D166BC">
      <w:pPr>
        <w:pStyle w:val="Ttulo1"/>
        <w:spacing w:line="360" w:lineRule="auto"/>
        <w:rPr>
          <w:b/>
          <w:color w:val="000000" w:themeColor="text1"/>
          <w:szCs w:val="24"/>
        </w:rPr>
      </w:pPr>
      <w:bookmarkStart w:id="122" w:name="_Toc34157667"/>
      <w:r w:rsidRPr="00CC493D">
        <w:rPr>
          <w:b/>
          <w:color w:val="000000" w:themeColor="text1"/>
          <w:szCs w:val="24"/>
        </w:rPr>
        <w:t xml:space="preserve">TERCERO. </w:t>
      </w:r>
      <w:bookmarkStart w:id="123" w:name="_Toc501021589"/>
      <w:r w:rsidRPr="00CC493D">
        <w:rPr>
          <w:b/>
          <w:color w:val="000000" w:themeColor="text1"/>
          <w:szCs w:val="24"/>
        </w:rPr>
        <w:t xml:space="preserve">Del planteamiento de la </w:t>
      </w:r>
      <w:r w:rsidRPr="00CC493D">
        <w:rPr>
          <w:b/>
          <w:i/>
          <w:color w:val="000000" w:themeColor="text1"/>
          <w:szCs w:val="24"/>
        </w:rPr>
        <w:t>Litis</w:t>
      </w:r>
      <w:r w:rsidRPr="00CC493D">
        <w:rPr>
          <w:b/>
          <w:color w:val="000000" w:themeColor="text1"/>
          <w:szCs w:val="24"/>
        </w:rPr>
        <w:t>.</w:t>
      </w:r>
      <w:bookmarkEnd w:id="122"/>
      <w:bookmarkEnd w:id="123"/>
    </w:p>
    <w:p w14:paraId="5F919D72" w14:textId="5E340B0A" w:rsidR="00F0600F" w:rsidRPr="00CC493D" w:rsidRDefault="00D166BC" w:rsidP="00F0600F">
      <w:pPr>
        <w:pStyle w:val="Prrafodelista"/>
        <w:numPr>
          <w:ilvl w:val="0"/>
          <w:numId w:val="1"/>
        </w:numPr>
        <w:spacing w:before="240" w:after="240" w:line="360" w:lineRule="auto"/>
        <w:ind w:left="0" w:firstLine="0"/>
        <w:jc w:val="both"/>
        <w:rPr>
          <w:rFonts w:ascii="Palatino Linotype" w:hAnsi="Palatino Linotype"/>
          <w:i/>
        </w:rPr>
      </w:pPr>
      <w:r w:rsidRPr="00CC493D">
        <w:rPr>
          <w:rFonts w:ascii="Palatino Linotype" w:eastAsiaTheme="minorEastAsia" w:hAnsi="Palatino Linotype" w:cs="Arial"/>
          <w:lang w:val="es-ES_tradnl" w:eastAsia="es-ES"/>
        </w:rPr>
        <w:t xml:space="preserve">De las constancias en el expediente al rubro indicado, se desprende que el particular </w:t>
      </w:r>
      <w:r w:rsidR="00F0600F" w:rsidRPr="00CC493D">
        <w:rPr>
          <w:rFonts w:ascii="Palatino Linotype" w:eastAsiaTheme="minorEastAsia" w:hAnsi="Palatino Linotype" w:cs="Arial"/>
          <w:lang w:val="es-ES_tradnl" w:eastAsia="es-ES"/>
        </w:rPr>
        <w:t>solicito l</w:t>
      </w:r>
      <w:r w:rsidR="00F0600F" w:rsidRPr="00CC493D">
        <w:rPr>
          <w:rFonts w:ascii="Palatino Linotype" w:hAnsi="Palatino Linotype"/>
          <w:color w:val="000000"/>
        </w:rPr>
        <w:t xml:space="preserve">a siguiente información: 1.- un informe detallado y por escrito por parte del Presidente(A) de la Comision Edilicia transitoria de atencion y seguimiento de las acciones, insumos y casos del covid 19 en el Municipio de Teoloyucan respecto a: a).-Todas y cada una de las acciones que se implementaron. b).-El presupuesto </w:t>
      </w:r>
      <w:r w:rsidR="00F0600F" w:rsidRPr="00CC493D">
        <w:rPr>
          <w:rFonts w:ascii="Palatino Linotype" w:hAnsi="Palatino Linotype"/>
          <w:color w:val="000000"/>
        </w:rPr>
        <w:lastRenderedPageBreak/>
        <w:t>asignado respecto a todas y cada una de las acciones implementadas. c).-La comprobacion de gastos y los comprobantes respectivos de todas y cada una de las acciones implementadas. 2.-El periodo comprendido sera desde el día de creacion de la comision edilicia en cita; y hasta el dia treinta y uno de julio de dos mil veinte. 3.-Todos y cada uno de los documentos considerados como anexos de la presente solicitud de informacion.</w:t>
      </w:r>
    </w:p>
    <w:p w14:paraId="0D985926" w14:textId="77777777" w:rsidR="00F0600F" w:rsidRPr="00CC493D" w:rsidRDefault="00F0600F" w:rsidP="00F0600F">
      <w:pPr>
        <w:pStyle w:val="Prrafodelista"/>
        <w:spacing w:before="240" w:after="240" w:line="360" w:lineRule="auto"/>
        <w:ind w:left="0"/>
        <w:jc w:val="both"/>
        <w:rPr>
          <w:rFonts w:ascii="Palatino Linotype" w:hAnsi="Palatino Linotype"/>
          <w:i/>
        </w:rPr>
      </w:pPr>
    </w:p>
    <w:p w14:paraId="3F21FAA8" w14:textId="16232AF7" w:rsidR="00D166BC" w:rsidRPr="00CC493D" w:rsidRDefault="00F0600F" w:rsidP="00F0600F">
      <w:pPr>
        <w:pStyle w:val="Prrafodelista"/>
        <w:numPr>
          <w:ilvl w:val="0"/>
          <w:numId w:val="1"/>
        </w:numPr>
        <w:spacing w:before="240" w:after="240" w:line="360" w:lineRule="auto"/>
        <w:ind w:left="0" w:firstLine="0"/>
        <w:jc w:val="both"/>
        <w:rPr>
          <w:rFonts w:ascii="Palatino Linotype" w:hAnsi="Palatino Linotype"/>
          <w:i/>
        </w:rPr>
      </w:pPr>
      <w:r w:rsidRPr="00CC493D">
        <w:rPr>
          <w:rFonts w:ascii="Palatino Linotype" w:eastAsiaTheme="minorEastAsia" w:hAnsi="Palatino Linotype" w:cs="Arial"/>
          <w:lang w:val="es-ES_tradnl" w:eastAsia="es-ES"/>
        </w:rPr>
        <w:t>D</w:t>
      </w:r>
      <w:r w:rsidR="00D166BC" w:rsidRPr="00CC493D">
        <w:rPr>
          <w:rFonts w:ascii="Palatino Linotype" w:eastAsiaTheme="minorEastAsia" w:hAnsi="Palatino Linotype" w:cs="Arial"/>
          <w:lang w:val="es-ES_tradnl" w:eastAsia="es-ES"/>
        </w:rPr>
        <w:t xml:space="preserve">erivado de la falta de respuesta por parte del </w:t>
      </w:r>
      <w:r w:rsidR="00D166BC" w:rsidRPr="00CC493D">
        <w:rPr>
          <w:rFonts w:ascii="Palatino Linotype" w:eastAsiaTheme="minorEastAsia" w:hAnsi="Palatino Linotype" w:cs="Arial"/>
          <w:b/>
          <w:lang w:val="es-ES_tradnl" w:eastAsia="es-ES"/>
        </w:rPr>
        <w:t>SUJETO OBLIGADO</w:t>
      </w:r>
      <w:r w:rsidR="00D166BC" w:rsidRPr="00CC493D">
        <w:rPr>
          <w:rFonts w:ascii="Palatino Linotype" w:eastAsiaTheme="minorEastAsia" w:hAnsi="Palatino Linotype" w:cs="Arial"/>
          <w:lang w:val="es-ES_tradnl" w:eastAsia="es-ES"/>
        </w:rPr>
        <w:t>, el particular  interpone el Recurso de Revisión</w:t>
      </w:r>
      <w:r w:rsidR="00D166BC" w:rsidRPr="00CC493D">
        <w:rPr>
          <w:rFonts w:ascii="Palatino Linotype" w:hAnsi="Palatino Linotype"/>
        </w:rPr>
        <w:t>, argumentado como razones o motivos de inconformidad la falta de respuesta a su solicitud.</w:t>
      </w:r>
    </w:p>
    <w:p w14:paraId="21CE2282" w14:textId="77777777" w:rsidR="00D166BC" w:rsidRPr="00CC493D" w:rsidRDefault="00D166BC" w:rsidP="00D166BC">
      <w:pPr>
        <w:pStyle w:val="Prrafodelista"/>
        <w:spacing w:before="240" w:after="240" w:line="360" w:lineRule="auto"/>
        <w:ind w:left="0"/>
        <w:jc w:val="both"/>
        <w:rPr>
          <w:rFonts w:ascii="Palatino Linotype" w:hAnsi="Palatino Linotype"/>
          <w:i/>
        </w:rPr>
      </w:pPr>
    </w:p>
    <w:p w14:paraId="2B5941B4" w14:textId="029F3F1D" w:rsidR="00D166BC" w:rsidRPr="00CC493D" w:rsidRDefault="00D166BC" w:rsidP="00D95855">
      <w:pPr>
        <w:pStyle w:val="Prrafodelista"/>
        <w:numPr>
          <w:ilvl w:val="0"/>
          <w:numId w:val="1"/>
        </w:numPr>
        <w:spacing w:before="240" w:after="240" w:line="360" w:lineRule="auto"/>
        <w:ind w:left="0" w:firstLine="0"/>
        <w:jc w:val="both"/>
        <w:rPr>
          <w:rFonts w:ascii="Palatino Linotype" w:hAnsi="Palatino Linotype"/>
        </w:rPr>
      </w:pPr>
      <w:r w:rsidRPr="00CC493D">
        <w:rPr>
          <w:rFonts w:ascii="Palatino Linotype" w:hAnsi="Palatino Linotype"/>
        </w:rPr>
        <w:t xml:space="preserve">Posteriormente el </w:t>
      </w:r>
      <w:r w:rsidRPr="00CC493D">
        <w:rPr>
          <w:rFonts w:ascii="Palatino Linotype" w:hAnsi="Palatino Linotype"/>
          <w:b/>
        </w:rPr>
        <w:t>SUJETO OBLIGADO</w:t>
      </w:r>
      <w:r w:rsidRPr="00CC493D">
        <w:rPr>
          <w:rFonts w:ascii="Palatino Linotype" w:hAnsi="Palatino Linotype"/>
        </w:rPr>
        <w:t xml:space="preserve"> mediante informe jsutificado remite diversa información que se puso a disposición del hoy </w:t>
      </w:r>
      <w:r w:rsidRPr="00CC493D">
        <w:rPr>
          <w:rFonts w:ascii="Palatino Linotype" w:hAnsi="Palatino Linotype"/>
          <w:b/>
        </w:rPr>
        <w:t>RECURRENTE,</w:t>
      </w:r>
      <w:r w:rsidRPr="00CC493D">
        <w:rPr>
          <w:rFonts w:ascii="Palatino Linotype" w:hAnsi="Palatino Linotype"/>
        </w:rPr>
        <w:t xml:space="preserve"> quien hizo manifestaciones conforme a su derecho convino.</w:t>
      </w:r>
    </w:p>
    <w:p w14:paraId="1A3A61D9" w14:textId="77777777" w:rsidR="00D166BC" w:rsidRPr="00CC493D" w:rsidRDefault="00D166BC" w:rsidP="00D166BC">
      <w:pPr>
        <w:pStyle w:val="Prrafodelista"/>
        <w:rPr>
          <w:rFonts w:ascii="Palatino Linotype" w:eastAsiaTheme="minorEastAsia" w:hAnsi="Palatino Linotype" w:cs="Arial"/>
          <w:lang w:val="es-ES_tradnl" w:eastAsia="es-ES"/>
        </w:rPr>
      </w:pPr>
    </w:p>
    <w:p w14:paraId="4A52927C" w14:textId="75432116" w:rsidR="00D166BC" w:rsidRPr="00CC493D" w:rsidRDefault="00D166BC" w:rsidP="00D95855">
      <w:pPr>
        <w:pStyle w:val="Prrafodelista"/>
        <w:numPr>
          <w:ilvl w:val="0"/>
          <w:numId w:val="1"/>
        </w:numPr>
        <w:spacing w:before="240" w:after="240" w:line="360" w:lineRule="auto"/>
        <w:ind w:left="0" w:firstLine="0"/>
        <w:jc w:val="both"/>
        <w:rPr>
          <w:rFonts w:ascii="Palatino Linotype" w:hAnsi="Palatino Linotype"/>
          <w:i/>
        </w:rPr>
      </w:pPr>
      <w:r w:rsidRPr="00CC493D">
        <w:rPr>
          <w:rFonts w:ascii="Palatino Linotype" w:eastAsiaTheme="minorEastAsia" w:hAnsi="Palatino Linotype" w:cs="Arial"/>
          <w:lang w:val="es-ES_tradnl" w:eastAsia="es-ES"/>
        </w:rPr>
        <w:t xml:space="preserve">Por lo tanto, el presente recurso de revisión se circunscribe en determinar si se </w:t>
      </w:r>
      <w:r w:rsidRPr="00CC493D">
        <w:rPr>
          <w:rFonts w:ascii="Palatino Linotype" w:hAnsi="Palatino Linotype"/>
          <w:lang w:val="es-ES_tradnl" w:eastAsia="es-ES"/>
        </w:rPr>
        <w:t>actualiza las causales de procedencia</w:t>
      </w:r>
      <w:r w:rsidRPr="00CC493D">
        <w:rPr>
          <w:rFonts w:ascii="Palatino Linotype" w:hAnsi="Palatino Linotype"/>
          <w:b/>
          <w:lang w:val="es-ES_tradnl" w:eastAsia="es-ES"/>
        </w:rPr>
        <w:t xml:space="preserve"> </w:t>
      </w:r>
      <w:r w:rsidRPr="00CC493D">
        <w:rPr>
          <w:rFonts w:ascii="Palatino Linotype" w:hAnsi="Palatino Linotype" w:cs="Arial"/>
          <w:lang w:val="es-ES_tradnl" w:eastAsia="es-MX"/>
        </w:rPr>
        <w:t xml:space="preserve">contenidas en </w:t>
      </w:r>
      <w:r w:rsidRPr="00CC493D">
        <w:rPr>
          <w:rFonts w:ascii="Palatino Linotype" w:hAnsi="Palatino Linotype" w:cs="Arial"/>
          <w:lang w:val="es-ES" w:eastAsia="es-MX"/>
        </w:rPr>
        <w:t xml:space="preserve">el artículo 179 fracciones VII y XI de la </w:t>
      </w:r>
      <w:r w:rsidRPr="00CC493D">
        <w:rPr>
          <w:rFonts w:ascii="Palatino Linotype" w:eastAsia="Calibri" w:hAnsi="Palatino Linotype" w:cs="Arial"/>
          <w:b/>
          <w:lang w:val="es-ES" w:eastAsia="es-ES"/>
        </w:rPr>
        <w:t>Ley de Transparencia y Acceso a la Información Pública del Estado de México y Municipios</w:t>
      </w:r>
      <w:r w:rsidRPr="00CC493D">
        <w:rPr>
          <w:rFonts w:ascii="Palatino Linotype" w:hAnsi="Palatino Linotype" w:cs="Arial"/>
          <w:lang w:val="es-ES" w:eastAsia="es-MX"/>
        </w:rPr>
        <w:t>.</w:t>
      </w:r>
    </w:p>
    <w:bookmarkEnd w:id="120"/>
    <w:bookmarkEnd w:id="121"/>
    <w:p w14:paraId="044E2928" w14:textId="77777777" w:rsidR="005C60C5" w:rsidRPr="00CC493D" w:rsidRDefault="005C60C5" w:rsidP="00D166BC">
      <w:pPr>
        <w:pStyle w:val="Prrafodelista"/>
        <w:spacing w:before="240" w:after="240" w:line="360" w:lineRule="auto"/>
        <w:ind w:left="0"/>
        <w:jc w:val="both"/>
        <w:rPr>
          <w:rFonts w:ascii="Palatino Linotype" w:hAnsi="Palatino Linotype"/>
          <w:i/>
        </w:rPr>
      </w:pPr>
    </w:p>
    <w:p w14:paraId="5B76AA66" w14:textId="17398137" w:rsidR="006B4F83" w:rsidRPr="00CC493D" w:rsidRDefault="006B4F83" w:rsidP="00A16DD0">
      <w:pPr>
        <w:pStyle w:val="Ttulo1"/>
        <w:spacing w:line="360" w:lineRule="auto"/>
        <w:rPr>
          <w:b/>
          <w:color w:val="000000" w:themeColor="text1"/>
          <w:szCs w:val="24"/>
        </w:rPr>
      </w:pPr>
      <w:bookmarkStart w:id="124" w:name="_Toc501021590"/>
      <w:bookmarkStart w:id="125" w:name="_Toc27653761"/>
      <w:bookmarkStart w:id="126" w:name="_Toc34157668"/>
      <w:r w:rsidRPr="00CC493D">
        <w:rPr>
          <w:b/>
          <w:color w:val="000000" w:themeColor="text1"/>
          <w:szCs w:val="24"/>
        </w:rPr>
        <w:lastRenderedPageBreak/>
        <w:t>CUARTO. Del estudio y resolución del asunto.</w:t>
      </w:r>
    </w:p>
    <w:p w14:paraId="04B52E9D" w14:textId="28A0CA77" w:rsidR="00A16DD0" w:rsidRPr="00CC493D" w:rsidRDefault="006B4F83" w:rsidP="00D95855">
      <w:pPr>
        <w:pStyle w:val="Prrafodelista"/>
        <w:numPr>
          <w:ilvl w:val="0"/>
          <w:numId w:val="1"/>
        </w:numPr>
        <w:spacing w:before="240" w:after="240" w:line="360" w:lineRule="auto"/>
        <w:ind w:left="0" w:firstLine="0"/>
        <w:jc w:val="both"/>
        <w:rPr>
          <w:rFonts w:ascii="Palatino Linotype" w:hAnsi="Palatino Linotype"/>
          <w:i/>
        </w:rPr>
      </w:pPr>
      <w:r w:rsidRPr="00CC493D">
        <w:rPr>
          <w:rFonts w:ascii="Palatino Linotype" w:eastAsia="Calibri" w:hAnsi="Palatino Linotype" w:cs="Arial"/>
          <w:color w:val="000000" w:themeColor="text1"/>
          <w:lang w:val="es-MX" w:eastAsia="en-US"/>
        </w:rPr>
        <w:t xml:space="preserve">El </w:t>
      </w:r>
      <w:r w:rsidRPr="00CC493D">
        <w:rPr>
          <w:rFonts w:ascii="Palatino Linotype" w:hAnsi="Palatino Linotype" w:cs="Arial"/>
          <w:color w:val="000000" w:themeColor="text1"/>
        </w:rPr>
        <w:t xml:space="preserve">ahora recurrente, solicitó del </w:t>
      </w:r>
      <w:r w:rsidRPr="00CC493D">
        <w:rPr>
          <w:rFonts w:ascii="Palatino Linotype" w:hAnsi="Palatino Linotype" w:cs="Arial"/>
          <w:b/>
          <w:color w:val="000000" w:themeColor="text1"/>
        </w:rPr>
        <w:t>SUJETO OBLIGADO</w:t>
      </w:r>
      <w:r w:rsidR="005C60C5" w:rsidRPr="00CC493D">
        <w:rPr>
          <w:rFonts w:ascii="Palatino Linotype" w:hAnsi="Palatino Linotype" w:cs="Arial"/>
          <w:b/>
          <w:color w:val="000000" w:themeColor="text1"/>
        </w:rPr>
        <w:t xml:space="preserve"> </w:t>
      </w:r>
      <w:r w:rsidR="00A16DD0" w:rsidRPr="00CC493D">
        <w:rPr>
          <w:rFonts w:ascii="Palatino Linotype" w:hAnsi="Palatino Linotype" w:cs="Arial"/>
          <w:b/>
          <w:color w:val="000000" w:themeColor="text1"/>
        </w:rPr>
        <w:t xml:space="preserve"> </w:t>
      </w:r>
      <w:r w:rsidR="00A16DD0" w:rsidRPr="00CC493D">
        <w:rPr>
          <w:rFonts w:ascii="Palatino Linotype" w:hAnsi="Palatino Linotype" w:cs="Arial"/>
          <w:color w:val="000000" w:themeColor="text1"/>
        </w:rPr>
        <w:t xml:space="preserve">la información siguiente: </w:t>
      </w:r>
    </w:p>
    <w:p w14:paraId="3BC9DAA4" w14:textId="1DDA3754" w:rsidR="00F0600F" w:rsidRPr="00CC493D" w:rsidRDefault="00F0600F" w:rsidP="00F0600F">
      <w:pPr>
        <w:pStyle w:val="Prrafodelista"/>
        <w:spacing w:before="240" w:after="240" w:line="360" w:lineRule="auto"/>
        <w:ind w:left="630"/>
        <w:jc w:val="both"/>
        <w:rPr>
          <w:rFonts w:ascii="Palatino Linotype" w:hAnsi="Palatino Linotype"/>
          <w:color w:val="000000"/>
        </w:rPr>
      </w:pPr>
      <w:r w:rsidRPr="00CC493D">
        <w:rPr>
          <w:rFonts w:ascii="Palatino Linotype" w:hAnsi="Palatino Linotype"/>
          <w:b/>
          <w:color w:val="000000"/>
        </w:rPr>
        <w:t>1.</w:t>
      </w:r>
      <w:r w:rsidRPr="00CC493D">
        <w:rPr>
          <w:rFonts w:ascii="Palatino Linotype" w:hAnsi="Palatino Linotype"/>
          <w:color w:val="000000"/>
        </w:rPr>
        <w:t xml:space="preserve"> Un informe detallado y por escrito por parte del Presidente(A) de la Comision Edilicia transitoria de atencion y seguimiento de las acciones, insumos y casos del covid 19 en el Municipio de Teoloyucan</w:t>
      </w:r>
      <w:r w:rsidR="00D13F1B" w:rsidRPr="00CC493D">
        <w:rPr>
          <w:rFonts w:ascii="Palatino Linotype" w:hAnsi="Palatino Linotype"/>
          <w:color w:val="000000"/>
        </w:rPr>
        <w:t>, por el periodo comprendido del día de creacion de la comision edilicia en cita y hasta el dia treinta y uno de julio de dos mil veinte.</w:t>
      </w:r>
      <w:r w:rsidRPr="00CC493D">
        <w:rPr>
          <w:rFonts w:ascii="Palatino Linotype" w:hAnsi="Palatino Linotype"/>
          <w:color w:val="000000"/>
        </w:rPr>
        <w:t xml:space="preserve"> respecto a: </w:t>
      </w:r>
    </w:p>
    <w:p w14:paraId="21B96FE9" w14:textId="3A907D88" w:rsidR="00F0600F" w:rsidRPr="00CC493D" w:rsidRDefault="00F0600F" w:rsidP="00F0600F">
      <w:pPr>
        <w:pStyle w:val="Prrafodelista"/>
        <w:spacing w:before="240" w:after="240" w:line="360" w:lineRule="auto"/>
        <w:ind w:left="1440"/>
        <w:jc w:val="both"/>
        <w:rPr>
          <w:rFonts w:ascii="Palatino Linotype" w:hAnsi="Palatino Linotype"/>
          <w:color w:val="000000"/>
        </w:rPr>
      </w:pPr>
      <w:r w:rsidRPr="00CC493D">
        <w:rPr>
          <w:rFonts w:ascii="Palatino Linotype" w:hAnsi="Palatino Linotype"/>
          <w:b/>
          <w:color w:val="000000"/>
        </w:rPr>
        <w:t>a)</w:t>
      </w:r>
      <w:r w:rsidRPr="00CC493D">
        <w:rPr>
          <w:rFonts w:ascii="Palatino Linotype" w:hAnsi="Palatino Linotype"/>
          <w:color w:val="000000"/>
        </w:rPr>
        <w:t xml:space="preserve"> Todas y cada una de las acciones que se implementaron. </w:t>
      </w:r>
    </w:p>
    <w:p w14:paraId="40C173E6" w14:textId="3262284D" w:rsidR="00F0600F" w:rsidRPr="00CC493D" w:rsidRDefault="00F0600F" w:rsidP="00F0600F">
      <w:pPr>
        <w:pStyle w:val="Prrafodelista"/>
        <w:spacing w:before="240" w:after="240" w:line="360" w:lineRule="auto"/>
        <w:ind w:left="1440"/>
        <w:jc w:val="both"/>
        <w:rPr>
          <w:rFonts w:ascii="Palatino Linotype" w:hAnsi="Palatino Linotype"/>
          <w:color w:val="000000"/>
        </w:rPr>
      </w:pPr>
      <w:r w:rsidRPr="00CC493D">
        <w:rPr>
          <w:rFonts w:ascii="Palatino Linotype" w:hAnsi="Palatino Linotype"/>
          <w:b/>
          <w:color w:val="000000"/>
        </w:rPr>
        <w:t>b)</w:t>
      </w:r>
      <w:r w:rsidRPr="00CC493D">
        <w:rPr>
          <w:rFonts w:ascii="Palatino Linotype" w:hAnsi="Palatino Linotype"/>
          <w:color w:val="000000"/>
        </w:rPr>
        <w:t xml:space="preserve"> El presupuesto asignado respecto a todas y cada una de las acciones implementadas. </w:t>
      </w:r>
    </w:p>
    <w:p w14:paraId="76340258" w14:textId="513D650D" w:rsidR="00F0600F" w:rsidRPr="00CC493D" w:rsidRDefault="00F0600F" w:rsidP="00F0600F">
      <w:pPr>
        <w:pStyle w:val="Prrafodelista"/>
        <w:spacing w:before="240" w:after="240" w:line="360" w:lineRule="auto"/>
        <w:ind w:left="1440"/>
        <w:jc w:val="both"/>
        <w:rPr>
          <w:rFonts w:ascii="Palatino Linotype" w:hAnsi="Palatino Linotype"/>
          <w:color w:val="000000"/>
        </w:rPr>
      </w:pPr>
      <w:r w:rsidRPr="00CC493D">
        <w:rPr>
          <w:rFonts w:ascii="Palatino Linotype" w:hAnsi="Palatino Linotype"/>
          <w:b/>
          <w:color w:val="000000"/>
        </w:rPr>
        <w:t>c)</w:t>
      </w:r>
      <w:r w:rsidRPr="00CC493D">
        <w:rPr>
          <w:rFonts w:ascii="Palatino Linotype" w:hAnsi="Palatino Linotype"/>
          <w:color w:val="000000"/>
        </w:rPr>
        <w:t xml:space="preserve"> La comprobacion de gastos y los comprobantes respectivos de todas y cada una de las acciones implementadas. </w:t>
      </w:r>
    </w:p>
    <w:p w14:paraId="6494CACD" w14:textId="4530CB54" w:rsidR="00F0600F" w:rsidRPr="00CC493D" w:rsidRDefault="00F0600F" w:rsidP="00D13F1B">
      <w:pPr>
        <w:pStyle w:val="Prrafodelista"/>
        <w:spacing w:before="240" w:after="240" w:line="360" w:lineRule="auto"/>
        <w:ind w:left="630"/>
        <w:jc w:val="both"/>
        <w:rPr>
          <w:rFonts w:ascii="Palatino Linotype" w:hAnsi="Palatino Linotype"/>
          <w:color w:val="000000"/>
        </w:rPr>
      </w:pPr>
      <w:r w:rsidRPr="00CC493D">
        <w:rPr>
          <w:rFonts w:ascii="Palatino Linotype" w:hAnsi="Palatino Linotype"/>
          <w:b/>
          <w:color w:val="000000"/>
        </w:rPr>
        <w:t>2.</w:t>
      </w:r>
      <w:r w:rsidRPr="00CC493D">
        <w:rPr>
          <w:rFonts w:ascii="Palatino Linotype" w:hAnsi="Palatino Linotype"/>
          <w:color w:val="000000"/>
        </w:rPr>
        <w:t xml:space="preserve"> Todos y cada uno de los documentos considerados como anexos de la presente solicitud de informacion.</w:t>
      </w:r>
    </w:p>
    <w:p w14:paraId="3B8411E5" w14:textId="77777777" w:rsidR="00F0600F" w:rsidRPr="00CC493D" w:rsidRDefault="00F0600F" w:rsidP="00F0600F">
      <w:pPr>
        <w:pStyle w:val="Prrafodelista"/>
        <w:spacing w:before="240" w:after="240" w:line="360" w:lineRule="auto"/>
        <w:ind w:left="0"/>
        <w:jc w:val="both"/>
        <w:rPr>
          <w:rFonts w:ascii="Palatino Linotype" w:hAnsi="Palatino Linotype"/>
          <w:i/>
        </w:rPr>
      </w:pPr>
    </w:p>
    <w:p w14:paraId="4853ABAC" w14:textId="7393ED94" w:rsidR="00F0600F" w:rsidRPr="00CC493D" w:rsidRDefault="00F0600F" w:rsidP="00F0600F">
      <w:pPr>
        <w:pStyle w:val="Prrafodelista"/>
        <w:numPr>
          <w:ilvl w:val="0"/>
          <w:numId w:val="1"/>
        </w:numPr>
        <w:spacing w:line="360" w:lineRule="auto"/>
        <w:jc w:val="both"/>
        <w:rPr>
          <w:rFonts w:ascii="Palatino" w:eastAsiaTheme="minorEastAsia" w:hAnsi="Palatino" w:cstheme="minorBidi"/>
          <w:lang w:val="es-ES_tradnl" w:eastAsia="es-ES"/>
        </w:rPr>
      </w:pPr>
      <w:r w:rsidRPr="00CC493D">
        <w:rPr>
          <w:rFonts w:ascii="Palatino Linotype" w:eastAsia="Calibri" w:hAnsi="Palatino Linotype" w:cs="Arial"/>
          <w:color w:val="000000" w:themeColor="text1"/>
          <w:lang w:val="es-MX" w:eastAsia="en-US"/>
        </w:rPr>
        <w:t xml:space="preserve">De las constancias que obran en el expedinete electrónico del SAIMEX </w:t>
      </w:r>
      <w:r w:rsidR="00A16DD0" w:rsidRPr="00CC493D">
        <w:rPr>
          <w:rFonts w:ascii="Palatino Linotype" w:eastAsia="Calibri" w:hAnsi="Palatino Linotype" w:cs="Arial"/>
          <w:color w:val="000000" w:themeColor="text1"/>
          <w:lang w:val="es-MX" w:eastAsia="en-US"/>
        </w:rPr>
        <w:t xml:space="preserve">el </w:t>
      </w:r>
      <w:r w:rsidR="00A16DD0" w:rsidRPr="00CC493D">
        <w:rPr>
          <w:rFonts w:ascii="Palatino Linotype" w:eastAsia="Calibri" w:hAnsi="Palatino Linotype" w:cs="Arial"/>
          <w:b/>
          <w:color w:val="000000" w:themeColor="text1"/>
          <w:lang w:val="es-MX" w:eastAsia="en-US"/>
        </w:rPr>
        <w:t>SUJETO OBLIGADO</w:t>
      </w:r>
      <w:r w:rsidR="00A16DD0" w:rsidRPr="00CC493D">
        <w:rPr>
          <w:rFonts w:ascii="Palatino Linotype" w:eastAsia="Calibri" w:hAnsi="Palatino Linotype" w:cs="Arial"/>
          <w:color w:val="000000" w:themeColor="text1"/>
          <w:lang w:val="es-MX" w:eastAsia="en-US"/>
        </w:rPr>
        <w:t xml:space="preserve"> </w:t>
      </w:r>
      <w:r w:rsidRPr="00CC493D">
        <w:rPr>
          <w:rFonts w:ascii="Palatino Linotype" w:eastAsia="Calibri" w:hAnsi="Palatino Linotype" w:cs="Arial"/>
          <w:color w:val="000000" w:themeColor="text1"/>
          <w:lang w:val="es-MX" w:eastAsia="en-US"/>
        </w:rPr>
        <w:t xml:space="preserve">se advierte que fue omiso en proporcionar respuesta; sin embargo en el informe justificado </w:t>
      </w:r>
      <w:r w:rsidR="00A16DD0" w:rsidRPr="00CC493D">
        <w:rPr>
          <w:rFonts w:ascii="Palatino Linotype" w:eastAsia="Calibri" w:hAnsi="Palatino Linotype" w:cs="Arial"/>
          <w:color w:val="000000" w:themeColor="text1"/>
          <w:lang w:val="es-MX" w:eastAsia="en-US"/>
        </w:rPr>
        <w:t xml:space="preserve">adjunto </w:t>
      </w:r>
      <w:r w:rsidRPr="00CC493D">
        <w:rPr>
          <w:rFonts w:ascii="Palatino Linotype" w:hAnsi="Palatino Linotype"/>
          <w:color w:val="000000"/>
          <w:szCs w:val="22"/>
        </w:rPr>
        <w:t xml:space="preserve">los archivos en formato pdf, siguientes: </w:t>
      </w:r>
    </w:p>
    <w:p w14:paraId="0D0E2D7F" w14:textId="77777777" w:rsidR="00B54C56" w:rsidRPr="00CC493D" w:rsidRDefault="00B54C56" w:rsidP="00B54C56">
      <w:pPr>
        <w:pStyle w:val="Prrafodelista"/>
        <w:spacing w:line="360" w:lineRule="auto"/>
        <w:ind w:left="360"/>
        <w:jc w:val="both"/>
        <w:rPr>
          <w:rFonts w:ascii="Palatino" w:eastAsiaTheme="minorEastAsia" w:hAnsi="Palatino" w:cstheme="minorBidi"/>
          <w:lang w:val="es-ES_tradnl" w:eastAsia="es-ES"/>
        </w:rPr>
      </w:pPr>
    </w:p>
    <w:p w14:paraId="757F3275" w14:textId="56DC4BA0" w:rsidR="00F0600F" w:rsidRPr="00CC493D" w:rsidRDefault="00F0600F" w:rsidP="00F0600F">
      <w:pPr>
        <w:pStyle w:val="Prrafodelista"/>
        <w:numPr>
          <w:ilvl w:val="0"/>
          <w:numId w:val="11"/>
        </w:numPr>
        <w:spacing w:line="360" w:lineRule="auto"/>
        <w:jc w:val="both"/>
        <w:rPr>
          <w:rFonts w:ascii="Palatino Linotype" w:hAnsi="Palatino Linotype"/>
          <w:color w:val="000000"/>
          <w:szCs w:val="22"/>
        </w:rPr>
      </w:pPr>
      <w:r w:rsidRPr="00CC493D">
        <w:rPr>
          <w:rFonts w:ascii="Palatino Linotype" w:hAnsi="Palatino Linotype"/>
          <w:b/>
          <w:color w:val="000000"/>
          <w:szCs w:val="22"/>
        </w:rPr>
        <w:lastRenderedPageBreak/>
        <w:t>“Solicitud 163 oficio enviado al área.pdf</w:t>
      </w:r>
      <w:r w:rsidR="00933283" w:rsidRPr="00CC493D">
        <w:rPr>
          <w:rFonts w:ascii="Palatino Linotype" w:hAnsi="Palatino Linotype"/>
          <w:b/>
          <w:color w:val="000000"/>
          <w:szCs w:val="22"/>
        </w:rPr>
        <w:t xml:space="preserve">, </w:t>
      </w:r>
      <w:r w:rsidR="00933283" w:rsidRPr="00CC493D">
        <w:rPr>
          <w:rFonts w:ascii="Palatino Linotype" w:hAnsi="Palatino Linotype"/>
          <w:color w:val="000000"/>
          <w:szCs w:val="22"/>
        </w:rPr>
        <w:t>el cual contiene le oficio número PMT/UTAIP/206/2020 de fecha veintiuno de septiembre de dos mil veinte, suscrito por la Titular de la Unidad de Transparencia mediante el cual le requiere información al Lic. Alejandro Hernández Barrera, del área de Gestión de Control de Presidencia.</w:t>
      </w:r>
    </w:p>
    <w:p w14:paraId="0284B709" w14:textId="77777777" w:rsidR="00933283" w:rsidRPr="00CC493D" w:rsidRDefault="00933283" w:rsidP="00933283">
      <w:pPr>
        <w:pStyle w:val="Prrafodelista"/>
        <w:spacing w:line="360" w:lineRule="auto"/>
        <w:ind w:left="1080"/>
        <w:jc w:val="both"/>
        <w:rPr>
          <w:rFonts w:ascii="Palatino Linotype" w:hAnsi="Palatino Linotype"/>
          <w:b/>
          <w:color w:val="000000"/>
          <w:szCs w:val="22"/>
        </w:rPr>
      </w:pPr>
    </w:p>
    <w:p w14:paraId="59D8C0C9" w14:textId="5C5CCF30" w:rsidR="00F0600F" w:rsidRPr="00CC493D" w:rsidRDefault="00F0600F" w:rsidP="00F0600F">
      <w:pPr>
        <w:pStyle w:val="Prrafodelista"/>
        <w:numPr>
          <w:ilvl w:val="0"/>
          <w:numId w:val="11"/>
        </w:numPr>
        <w:spacing w:line="360" w:lineRule="auto"/>
        <w:jc w:val="both"/>
        <w:rPr>
          <w:rFonts w:ascii="Palatino" w:eastAsiaTheme="minorEastAsia" w:hAnsi="Palatino" w:cstheme="minorBidi"/>
          <w:lang w:val="es-ES_tradnl" w:eastAsia="es-ES"/>
        </w:rPr>
      </w:pPr>
      <w:r w:rsidRPr="00CC493D">
        <w:rPr>
          <w:rFonts w:ascii="Palatino Linotype" w:hAnsi="Palatino Linotype"/>
          <w:b/>
          <w:color w:val="000000"/>
          <w:szCs w:val="22"/>
        </w:rPr>
        <w:t>Sol</w:t>
      </w:r>
      <w:r w:rsidR="00933283" w:rsidRPr="00CC493D">
        <w:rPr>
          <w:rFonts w:ascii="Palatino Linotype" w:hAnsi="Palatino Linotype"/>
          <w:b/>
          <w:color w:val="000000"/>
          <w:szCs w:val="22"/>
        </w:rPr>
        <w:t>i</w:t>
      </w:r>
      <w:r w:rsidRPr="00CC493D">
        <w:rPr>
          <w:rFonts w:ascii="Palatino Linotype" w:hAnsi="Palatino Linotype"/>
          <w:b/>
          <w:color w:val="000000"/>
          <w:szCs w:val="22"/>
        </w:rPr>
        <w:t xml:space="preserve">citud 163-20.pdf”;  </w:t>
      </w:r>
      <w:r w:rsidR="00933283" w:rsidRPr="00CC493D">
        <w:rPr>
          <w:rFonts w:ascii="Palatino Linotype" w:hAnsi="Palatino Linotype"/>
          <w:color w:val="000000"/>
          <w:szCs w:val="22"/>
        </w:rPr>
        <w:t>el cual contiene el oficio número CG/076/09/2020 de fecha veintitrés (23) de septiembre de dos mil veinte a través del cual el C. Alejandro Hernández Barrera, Titular de la Unidad de Gestión de Control, hace del conocimiento a la Titular de la Unidad de Transparecnia que las comisiones del ayuntamietno carecen de facultades ejecutivas y que no pueden generar el tipo de información especificamente solicitada.</w:t>
      </w:r>
    </w:p>
    <w:p w14:paraId="03B91E02" w14:textId="77777777" w:rsidR="00933283" w:rsidRPr="00CC493D" w:rsidRDefault="00933283" w:rsidP="00933283">
      <w:pPr>
        <w:pStyle w:val="Prrafodelista"/>
        <w:rPr>
          <w:rFonts w:ascii="Palatino" w:eastAsiaTheme="minorEastAsia" w:hAnsi="Palatino" w:cstheme="minorBidi"/>
          <w:lang w:val="es-ES_tradnl" w:eastAsia="es-ES"/>
        </w:rPr>
      </w:pPr>
    </w:p>
    <w:p w14:paraId="1BEF50E9" w14:textId="75C59022" w:rsidR="00933283" w:rsidRPr="00CC493D" w:rsidRDefault="00933283" w:rsidP="00933283">
      <w:pPr>
        <w:pStyle w:val="Prrafodelista"/>
        <w:numPr>
          <w:ilvl w:val="0"/>
          <w:numId w:val="11"/>
        </w:numPr>
        <w:spacing w:line="360" w:lineRule="auto"/>
        <w:jc w:val="both"/>
        <w:rPr>
          <w:rFonts w:ascii="Palatino Linotype" w:hAnsi="Palatino Linotype"/>
          <w:color w:val="000000"/>
          <w:szCs w:val="22"/>
        </w:rPr>
      </w:pPr>
      <w:r w:rsidRPr="00CC493D">
        <w:rPr>
          <w:rFonts w:ascii="Palatino Linotype" w:hAnsi="Palatino Linotype"/>
          <w:b/>
          <w:color w:val="000000"/>
          <w:szCs w:val="22"/>
        </w:rPr>
        <w:t xml:space="preserve">Acta 36.pdf; </w:t>
      </w:r>
      <w:r w:rsidRPr="00CC493D">
        <w:rPr>
          <w:rFonts w:ascii="Palatino Linotype" w:hAnsi="Palatino Linotype"/>
          <w:color w:val="000000"/>
          <w:szCs w:val="22"/>
        </w:rPr>
        <w:t>el cual contiene el Acta de la Trigésima Sesión Extraordinaria del Comité de Transparencia celebrada en fecha veintitrés (23) de septiembre de dos mil veinte, a través de la cual se apru</w:t>
      </w:r>
      <w:r w:rsidR="00A0019A" w:rsidRPr="00CC493D">
        <w:rPr>
          <w:rFonts w:ascii="Palatino Linotype" w:hAnsi="Palatino Linotype"/>
          <w:color w:val="000000"/>
          <w:szCs w:val="22"/>
        </w:rPr>
        <w:t>e</w:t>
      </w:r>
      <w:r w:rsidRPr="00CC493D">
        <w:rPr>
          <w:rFonts w:ascii="Palatino Linotype" w:hAnsi="Palatino Linotype"/>
          <w:color w:val="000000"/>
          <w:szCs w:val="22"/>
        </w:rPr>
        <w:t>ba la declaraci</w:t>
      </w:r>
      <w:r w:rsidR="00A0019A" w:rsidRPr="00CC493D">
        <w:rPr>
          <w:rFonts w:ascii="Palatino Linotype" w:hAnsi="Palatino Linotype"/>
          <w:color w:val="000000"/>
          <w:szCs w:val="22"/>
        </w:rPr>
        <w:t>ó</w:t>
      </w:r>
      <w:r w:rsidRPr="00CC493D">
        <w:rPr>
          <w:rFonts w:ascii="Palatino Linotype" w:hAnsi="Palatino Linotype"/>
          <w:color w:val="000000"/>
          <w:szCs w:val="22"/>
        </w:rPr>
        <w:t>n de inexistencia de la información para atender el recurso de revisión 03863/INFOEM/IP/2020, como a continuación se muestra:</w:t>
      </w:r>
    </w:p>
    <w:p w14:paraId="137B7EB8" w14:textId="6F854910" w:rsidR="00933283" w:rsidRPr="00CC493D" w:rsidRDefault="00933283" w:rsidP="00933283">
      <w:pPr>
        <w:pStyle w:val="Prrafodelista"/>
        <w:spacing w:line="360" w:lineRule="auto"/>
        <w:ind w:left="1080"/>
        <w:jc w:val="both"/>
        <w:rPr>
          <w:rFonts w:ascii="Palatino" w:eastAsiaTheme="minorEastAsia" w:hAnsi="Palatino" w:cstheme="minorBidi"/>
          <w:lang w:val="es-ES_tradnl" w:eastAsia="es-ES"/>
        </w:rPr>
      </w:pPr>
    </w:p>
    <w:p w14:paraId="6750E8D7" w14:textId="26016E07" w:rsidR="00933283" w:rsidRPr="00CC493D" w:rsidRDefault="00933283" w:rsidP="00933283">
      <w:pPr>
        <w:pStyle w:val="Prrafodelista"/>
        <w:spacing w:line="360" w:lineRule="auto"/>
        <w:ind w:left="1080"/>
        <w:jc w:val="both"/>
        <w:rPr>
          <w:rFonts w:ascii="Palatino" w:eastAsiaTheme="minorEastAsia" w:hAnsi="Palatino" w:cstheme="minorBidi"/>
          <w:lang w:val="es-ES_tradnl" w:eastAsia="es-ES"/>
        </w:rPr>
      </w:pPr>
    </w:p>
    <w:p w14:paraId="1FE6C7EE" w14:textId="7390B094" w:rsidR="00933283" w:rsidRPr="00CC493D" w:rsidRDefault="00933283" w:rsidP="00933283">
      <w:pPr>
        <w:pStyle w:val="Prrafodelista"/>
        <w:spacing w:line="360" w:lineRule="auto"/>
        <w:ind w:left="1080"/>
        <w:jc w:val="both"/>
        <w:rPr>
          <w:rFonts w:ascii="Palatino" w:eastAsiaTheme="minorEastAsia" w:hAnsi="Palatino" w:cstheme="minorBidi"/>
          <w:lang w:val="es-ES_tradnl" w:eastAsia="es-ES"/>
        </w:rPr>
      </w:pPr>
    </w:p>
    <w:p w14:paraId="10D303AC" w14:textId="0A40922A" w:rsidR="00933283" w:rsidRPr="00CC493D" w:rsidRDefault="00933283" w:rsidP="00933283">
      <w:pPr>
        <w:pStyle w:val="Prrafodelista"/>
        <w:spacing w:line="360" w:lineRule="auto"/>
        <w:ind w:left="1080"/>
        <w:jc w:val="both"/>
        <w:rPr>
          <w:rFonts w:ascii="Palatino" w:eastAsiaTheme="minorEastAsia" w:hAnsi="Palatino" w:cstheme="minorBidi"/>
          <w:lang w:val="es-ES_tradnl" w:eastAsia="es-ES"/>
        </w:rPr>
      </w:pPr>
    </w:p>
    <w:p w14:paraId="6A33FCF8" w14:textId="677C9A45" w:rsidR="00933283" w:rsidRPr="00CC493D" w:rsidRDefault="00933283" w:rsidP="00933283">
      <w:pPr>
        <w:pStyle w:val="Prrafodelista"/>
        <w:spacing w:line="360" w:lineRule="auto"/>
        <w:ind w:left="1080"/>
        <w:jc w:val="both"/>
        <w:rPr>
          <w:rFonts w:ascii="Palatino" w:eastAsiaTheme="minorEastAsia" w:hAnsi="Palatino" w:cstheme="minorBidi"/>
          <w:lang w:val="es-ES_tradnl" w:eastAsia="es-ES"/>
        </w:rPr>
      </w:pPr>
    </w:p>
    <w:p w14:paraId="3CABB915" w14:textId="05A7CAC0" w:rsidR="00B54C56" w:rsidRPr="00CC493D" w:rsidRDefault="00B54C56" w:rsidP="00B54C56">
      <w:pPr>
        <w:spacing w:line="360" w:lineRule="auto"/>
        <w:jc w:val="both"/>
        <w:rPr>
          <w:rFonts w:ascii="Palatino" w:eastAsiaTheme="minorEastAsia" w:hAnsi="Palatino" w:cstheme="minorBidi"/>
          <w:lang w:val="es-ES_tradnl" w:eastAsia="es-ES"/>
        </w:rPr>
      </w:pPr>
    </w:p>
    <w:p w14:paraId="1119CAF8" w14:textId="4AD82B92" w:rsidR="00B54C56" w:rsidRPr="00CC493D" w:rsidRDefault="00B54C56" w:rsidP="00933283">
      <w:pPr>
        <w:pStyle w:val="Prrafodelista"/>
        <w:spacing w:line="360" w:lineRule="auto"/>
        <w:ind w:left="1080"/>
        <w:jc w:val="both"/>
        <w:rPr>
          <w:rFonts w:ascii="Palatino" w:eastAsiaTheme="minorEastAsia" w:hAnsi="Palatino" w:cstheme="minorBidi"/>
          <w:lang w:val="es-ES_tradnl" w:eastAsia="es-ES"/>
        </w:rPr>
      </w:pPr>
      <w:r w:rsidRPr="00CC493D">
        <w:rPr>
          <w:rFonts w:ascii="Palatino" w:eastAsiaTheme="minorEastAsia" w:hAnsi="Palatino" w:cstheme="minorBidi"/>
          <w:noProof/>
          <w:lang w:val="es-MX" w:eastAsia="es-MX"/>
        </w:rPr>
        <w:lastRenderedPageBreak/>
        <w:drawing>
          <wp:inline distT="0" distB="0" distL="0" distR="0" wp14:anchorId="620C571B" wp14:editId="0E768333">
            <wp:extent cx="3766820" cy="6907530"/>
            <wp:effectExtent l="0" t="0" r="508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66820" cy="6907530"/>
                    </a:xfrm>
                    <a:prstGeom prst="rect">
                      <a:avLst/>
                    </a:prstGeom>
                  </pic:spPr>
                </pic:pic>
              </a:graphicData>
            </a:graphic>
          </wp:inline>
        </w:drawing>
      </w:r>
    </w:p>
    <w:p w14:paraId="3DF016C5" w14:textId="22C4AD85" w:rsidR="00B54C56" w:rsidRPr="00CC493D" w:rsidRDefault="00B54C56" w:rsidP="00933283">
      <w:pPr>
        <w:pStyle w:val="Prrafodelista"/>
        <w:spacing w:line="360" w:lineRule="auto"/>
        <w:ind w:left="1080"/>
        <w:jc w:val="both"/>
        <w:rPr>
          <w:rFonts w:ascii="Palatino" w:eastAsiaTheme="minorEastAsia" w:hAnsi="Palatino" w:cstheme="minorBidi"/>
          <w:lang w:val="es-ES_tradnl" w:eastAsia="es-ES"/>
        </w:rPr>
      </w:pPr>
      <w:r w:rsidRPr="00CC493D">
        <w:rPr>
          <w:rFonts w:ascii="Palatino" w:eastAsiaTheme="minorEastAsia" w:hAnsi="Palatino" w:cstheme="minorBidi"/>
          <w:noProof/>
          <w:lang w:val="es-MX" w:eastAsia="es-MX"/>
        </w:rPr>
        <w:lastRenderedPageBreak/>
        <w:drawing>
          <wp:inline distT="0" distB="0" distL="0" distR="0" wp14:anchorId="6E419ED5" wp14:editId="66773136">
            <wp:extent cx="3738880" cy="6907530"/>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38880" cy="6907530"/>
                    </a:xfrm>
                    <a:prstGeom prst="rect">
                      <a:avLst/>
                    </a:prstGeom>
                  </pic:spPr>
                </pic:pic>
              </a:graphicData>
            </a:graphic>
          </wp:inline>
        </w:drawing>
      </w:r>
    </w:p>
    <w:p w14:paraId="50222FB1" w14:textId="6BF713C2" w:rsidR="0068100C" w:rsidRPr="00CC493D" w:rsidRDefault="00B54C56" w:rsidP="00EB2DEA">
      <w:pPr>
        <w:pStyle w:val="Prrafodelista"/>
        <w:spacing w:line="360" w:lineRule="auto"/>
        <w:ind w:left="1080"/>
        <w:jc w:val="both"/>
        <w:rPr>
          <w:rFonts w:ascii="Palatino" w:eastAsiaTheme="minorEastAsia" w:hAnsi="Palatino" w:cstheme="minorBidi"/>
          <w:lang w:val="es-ES_tradnl" w:eastAsia="es-ES"/>
        </w:rPr>
      </w:pPr>
      <w:r w:rsidRPr="00CC493D">
        <w:rPr>
          <w:rFonts w:ascii="Palatino" w:eastAsiaTheme="minorEastAsia" w:hAnsi="Palatino" w:cstheme="minorBidi"/>
          <w:noProof/>
          <w:lang w:val="es-MX" w:eastAsia="es-MX"/>
        </w:rPr>
        <w:lastRenderedPageBreak/>
        <w:drawing>
          <wp:inline distT="0" distB="0" distL="0" distR="0" wp14:anchorId="4DBA5AEF" wp14:editId="013F6A3B">
            <wp:extent cx="3726180" cy="6907530"/>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26180" cy="6907530"/>
                    </a:xfrm>
                    <a:prstGeom prst="rect">
                      <a:avLst/>
                    </a:prstGeom>
                  </pic:spPr>
                </pic:pic>
              </a:graphicData>
            </a:graphic>
          </wp:inline>
        </w:drawing>
      </w:r>
    </w:p>
    <w:p w14:paraId="06BFFD7D" w14:textId="2B2C6752" w:rsidR="008611D5" w:rsidRPr="00CC493D" w:rsidRDefault="00F0600F" w:rsidP="00F0600F">
      <w:pPr>
        <w:pStyle w:val="Prrafodelista"/>
        <w:numPr>
          <w:ilvl w:val="0"/>
          <w:numId w:val="1"/>
        </w:numPr>
        <w:spacing w:before="240" w:after="240" w:line="360" w:lineRule="auto"/>
        <w:ind w:left="0" w:firstLine="0"/>
        <w:jc w:val="both"/>
        <w:rPr>
          <w:rFonts w:ascii="Palatino Linotype" w:hAnsi="Palatino Linotype"/>
          <w:b/>
        </w:rPr>
      </w:pPr>
      <w:r w:rsidRPr="00CC493D">
        <w:rPr>
          <w:rFonts w:ascii="Palatino Linotype" w:hAnsi="Palatino Linotype"/>
          <w:color w:val="000000"/>
          <w:szCs w:val="22"/>
        </w:rPr>
        <w:lastRenderedPageBreak/>
        <w:t xml:space="preserve">Por su parte el hoy </w:t>
      </w:r>
      <w:r w:rsidRPr="00CC493D">
        <w:rPr>
          <w:rFonts w:ascii="Palatino Linotype" w:hAnsi="Palatino Linotype"/>
          <w:b/>
          <w:color w:val="000000"/>
          <w:szCs w:val="22"/>
        </w:rPr>
        <w:t>RECURRENTE</w:t>
      </w:r>
      <w:r w:rsidRPr="00CC493D">
        <w:rPr>
          <w:rFonts w:ascii="Palatino Linotype" w:hAnsi="Palatino Linotype"/>
          <w:color w:val="000000"/>
          <w:szCs w:val="22"/>
        </w:rPr>
        <w:t xml:space="preserve"> en fecha treinta (30) de septiembre de dos mil veinte realizó manifestaciones  que a su derecho conviniera y asistiera, en los siguientes términos: </w:t>
      </w:r>
      <w:r w:rsidRPr="00CC493D">
        <w:rPr>
          <w:rFonts w:ascii="Palatino Linotype" w:hAnsi="Palatino Linotype"/>
          <w:i/>
          <w:color w:val="000000"/>
          <w:szCs w:val="22"/>
        </w:rPr>
        <w:t>“La comisión si existe”</w:t>
      </w:r>
      <w:r w:rsidRPr="00CC493D">
        <w:rPr>
          <w:rFonts w:ascii="Palatino Linotype" w:hAnsi="Palatino Linotype"/>
          <w:color w:val="000000"/>
          <w:szCs w:val="22"/>
        </w:rPr>
        <w:t xml:space="preserve"> ;además adjunto el archivo en formato pdf denominado </w:t>
      </w:r>
      <w:r w:rsidRPr="00CC493D">
        <w:rPr>
          <w:rFonts w:ascii="Palatino Linotype" w:hAnsi="Palatino Linotype"/>
          <w:b/>
          <w:color w:val="000000"/>
          <w:szCs w:val="22"/>
        </w:rPr>
        <w:t xml:space="preserve">“acta trigesima novena sesión extraordinaria comisión transitoria covid-19.pdf”, </w:t>
      </w:r>
      <w:r w:rsidRPr="00CC493D">
        <w:rPr>
          <w:rFonts w:ascii="Palatino Linotype" w:hAnsi="Palatino Linotype"/>
          <w:color w:val="000000"/>
          <w:szCs w:val="22"/>
        </w:rPr>
        <w:t>el cual contiene</w:t>
      </w:r>
      <w:r w:rsidRPr="00CC493D">
        <w:rPr>
          <w:rFonts w:ascii="Palatino Linotype" w:hAnsi="Palatino Linotype"/>
          <w:b/>
          <w:color w:val="000000"/>
          <w:szCs w:val="22"/>
        </w:rPr>
        <w:t xml:space="preserve"> </w:t>
      </w:r>
      <w:r w:rsidR="008611D5" w:rsidRPr="00CC493D">
        <w:rPr>
          <w:rFonts w:ascii="Palatino Linotype" w:hAnsi="Palatino Linotype"/>
          <w:color w:val="000000"/>
          <w:szCs w:val="22"/>
        </w:rPr>
        <w:t>lo siguiente:</w:t>
      </w:r>
    </w:p>
    <w:p w14:paraId="618470E1" w14:textId="77777777" w:rsidR="0068100C" w:rsidRPr="00CC493D" w:rsidRDefault="0068100C" w:rsidP="0068100C">
      <w:pPr>
        <w:pStyle w:val="Prrafodelista"/>
        <w:spacing w:before="240" w:after="240" w:line="360" w:lineRule="auto"/>
        <w:ind w:left="0"/>
        <w:jc w:val="both"/>
        <w:rPr>
          <w:rFonts w:ascii="Palatino Linotype" w:hAnsi="Palatino Linotype"/>
          <w:b/>
        </w:rPr>
      </w:pPr>
    </w:p>
    <w:p w14:paraId="2D2C4EB7" w14:textId="4A8C6C3F" w:rsidR="00F0600F" w:rsidRPr="00CC493D" w:rsidRDefault="008611D5" w:rsidP="008611D5">
      <w:pPr>
        <w:pStyle w:val="Prrafodelista"/>
        <w:numPr>
          <w:ilvl w:val="0"/>
          <w:numId w:val="12"/>
        </w:numPr>
        <w:spacing w:before="240" w:after="240" w:line="360" w:lineRule="auto"/>
        <w:jc w:val="both"/>
        <w:rPr>
          <w:rFonts w:ascii="Palatino Linotype" w:hAnsi="Palatino Linotype"/>
        </w:rPr>
      </w:pPr>
      <w:r w:rsidRPr="00CC493D">
        <w:rPr>
          <w:rFonts w:ascii="Palatino Linotype" w:hAnsi="Palatino Linotype"/>
          <w:color w:val="000000"/>
          <w:szCs w:val="22"/>
        </w:rPr>
        <w:t>El oficio número SA/LMB-CI-/0346-08/2020 de fecha siete (07) de agosto de dos mil veinte, suscrito por la Titular de la Unidad de Transparencia mediante el cual le requiere al encargado del Despacho de la Secretaría del Ayuntamietno de Teoloyucan le remita información relativa a todas y cada una de las actas de cabildo de las sesiones ordinarias y extraordinarias que se celebraron durante el peirodo comprendido del prinero de marzo de 2020 hasta el día treinta y uno de marzo del año en curso y los anexos a las mismas, con la finalidad de atender la solicitud núnero 00085/TEOLOYU/IP/20.</w:t>
      </w:r>
    </w:p>
    <w:p w14:paraId="082189A7" w14:textId="77777777" w:rsidR="0068100C" w:rsidRPr="00CC493D" w:rsidRDefault="0068100C" w:rsidP="0068100C">
      <w:pPr>
        <w:pStyle w:val="Prrafodelista"/>
        <w:spacing w:before="240" w:after="240" w:line="360" w:lineRule="auto"/>
        <w:jc w:val="both"/>
        <w:rPr>
          <w:rFonts w:ascii="Palatino Linotype" w:hAnsi="Palatino Linotype"/>
        </w:rPr>
      </w:pPr>
    </w:p>
    <w:p w14:paraId="40588731" w14:textId="6A6271A7" w:rsidR="0068100C" w:rsidRPr="00CC493D" w:rsidRDefault="008611D5" w:rsidP="0068100C">
      <w:pPr>
        <w:pStyle w:val="Prrafodelista"/>
        <w:numPr>
          <w:ilvl w:val="0"/>
          <w:numId w:val="12"/>
        </w:numPr>
        <w:spacing w:before="240" w:after="240" w:line="360" w:lineRule="auto"/>
        <w:jc w:val="both"/>
        <w:rPr>
          <w:rFonts w:ascii="Palatino Linotype" w:hAnsi="Palatino Linotype"/>
        </w:rPr>
      </w:pPr>
      <w:r w:rsidRPr="00CC493D">
        <w:rPr>
          <w:rFonts w:ascii="Palatino Linotype" w:hAnsi="Palatino Linotype"/>
        </w:rPr>
        <w:t>El acta de la Trigésima Octava Sesión de Cabildo celebrada en fecha cuatro (4) de marzo de dos mil veinte</w:t>
      </w:r>
      <w:r w:rsidR="0068100C" w:rsidRPr="00CC493D">
        <w:rPr>
          <w:rFonts w:ascii="Palatino Linotype" w:hAnsi="Palatino Linotype"/>
        </w:rPr>
        <w:t>.</w:t>
      </w:r>
    </w:p>
    <w:p w14:paraId="1C1C576B" w14:textId="77777777" w:rsidR="0068100C" w:rsidRPr="00CC493D" w:rsidRDefault="0068100C" w:rsidP="0068100C">
      <w:pPr>
        <w:pStyle w:val="Prrafodelista"/>
        <w:spacing w:before="240" w:after="240" w:line="360" w:lineRule="auto"/>
        <w:jc w:val="both"/>
        <w:rPr>
          <w:rFonts w:ascii="Palatino Linotype" w:hAnsi="Palatino Linotype"/>
        </w:rPr>
      </w:pPr>
    </w:p>
    <w:p w14:paraId="745F5F77" w14:textId="5DAEF5E6" w:rsidR="008611D5" w:rsidRPr="00CC493D" w:rsidRDefault="008611D5" w:rsidP="008611D5">
      <w:pPr>
        <w:pStyle w:val="Prrafodelista"/>
        <w:numPr>
          <w:ilvl w:val="0"/>
          <w:numId w:val="12"/>
        </w:numPr>
        <w:spacing w:before="240" w:after="240" w:line="360" w:lineRule="auto"/>
        <w:jc w:val="both"/>
        <w:rPr>
          <w:rFonts w:ascii="Palatino Linotype" w:hAnsi="Palatino Linotype"/>
        </w:rPr>
      </w:pPr>
      <w:r w:rsidRPr="00CC493D">
        <w:rPr>
          <w:rFonts w:ascii="Palatino Linotype" w:hAnsi="Palatino Linotype"/>
        </w:rPr>
        <w:t>El acta de la Trigésima Novena Sesión Extraordinaria de Cabildo celebrada en fecha dieciocho (18) de marzo de dos mil veinte.</w:t>
      </w:r>
    </w:p>
    <w:p w14:paraId="49C93062" w14:textId="77777777" w:rsidR="0068100C" w:rsidRPr="00CC493D" w:rsidRDefault="0068100C" w:rsidP="0068100C">
      <w:pPr>
        <w:pStyle w:val="Prrafodelista"/>
        <w:spacing w:before="240" w:after="240" w:line="360" w:lineRule="auto"/>
        <w:jc w:val="both"/>
        <w:rPr>
          <w:rFonts w:ascii="Palatino Linotype" w:hAnsi="Palatino Linotype"/>
        </w:rPr>
      </w:pPr>
    </w:p>
    <w:p w14:paraId="649E9A52" w14:textId="27DAA774" w:rsidR="008611D5" w:rsidRPr="00CC493D" w:rsidRDefault="008611D5" w:rsidP="00F0600F">
      <w:pPr>
        <w:pStyle w:val="Prrafodelista"/>
        <w:numPr>
          <w:ilvl w:val="0"/>
          <w:numId w:val="1"/>
        </w:numPr>
        <w:spacing w:before="240" w:after="240" w:line="360" w:lineRule="auto"/>
        <w:ind w:left="0" w:firstLine="0"/>
        <w:jc w:val="both"/>
        <w:rPr>
          <w:rFonts w:ascii="Palatino Linotype" w:hAnsi="Palatino Linotype"/>
        </w:rPr>
      </w:pPr>
      <w:r w:rsidRPr="00CC493D">
        <w:rPr>
          <w:rFonts w:ascii="Palatino Linotype" w:hAnsi="Palatino Linotype"/>
        </w:rPr>
        <w:lastRenderedPageBreak/>
        <w:t xml:space="preserve">Del análisis hecho a la documentación remitida por el hoy </w:t>
      </w:r>
      <w:r w:rsidRPr="00CC493D">
        <w:rPr>
          <w:rFonts w:ascii="Palatino Linotype" w:hAnsi="Palatino Linotype"/>
          <w:b/>
        </w:rPr>
        <w:t>RECURRENTE</w:t>
      </w:r>
      <w:r w:rsidRPr="00CC493D">
        <w:rPr>
          <w:rFonts w:ascii="Palatino Linotype" w:hAnsi="Palatino Linotype"/>
        </w:rPr>
        <w:t>, en especifico del acta de la Trigésima Novena Sesión Extraordinaria de Cabildo celebrada en fecha dieciocho (18) de marzo de dos mil veinte, se advierte que mediante Acuerdo 162/39 Ext se autorizo un monto de $250,000.00 (Doscientos cincuenta Mil pesos ) para compra de materiales y equipo para la sanación (sic) de las Instalaciones Municipa</w:t>
      </w:r>
      <w:r w:rsidR="0068100C" w:rsidRPr="00CC493D">
        <w:rPr>
          <w:rFonts w:ascii="Palatino Linotype" w:hAnsi="Palatino Linotype"/>
        </w:rPr>
        <w:t>l</w:t>
      </w:r>
      <w:r w:rsidRPr="00CC493D">
        <w:rPr>
          <w:rFonts w:ascii="Palatino Linotype" w:hAnsi="Palatino Linotype"/>
        </w:rPr>
        <w:t xml:space="preserve">es (pulverizadores, aspersores, gel antibacterial, entre otros, así como para el apoyo de los órganos Descentralizados y de la Ciudadnía que requiera </w:t>
      </w:r>
      <w:r w:rsidR="0068100C" w:rsidRPr="00CC493D">
        <w:rPr>
          <w:rFonts w:ascii="Palatino Linotype" w:hAnsi="Palatino Linotype"/>
        </w:rPr>
        <w:t>por estar en situación de riesgo, adultos mayores, gente enferma de las vías respiratorias o inmunodeficiencias. Asimismo mediante Acuerdo 163/39 Ext, se aprobó la creación de la Comisión Edilicia Transitoria de Atención y Seguimiento a las Acciones, Insumos y Casos de Covid-9 en el Municipio de Teoloyucan, como a continuación se muestra:</w:t>
      </w:r>
    </w:p>
    <w:p w14:paraId="17D481A6" w14:textId="53057312" w:rsidR="00F0600F" w:rsidRPr="00CC493D" w:rsidRDefault="0068100C" w:rsidP="00F0600F">
      <w:pPr>
        <w:pStyle w:val="Prrafodelista"/>
        <w:rPr>
          <w:rFonts w:ascii="Palatino Linotype" w:hAnsi="Palatino Linotype"/>
        </w:rPr>
      </w:pPr>
      <w:r w:rsidRPr="00CC493D">
        <w:rPr>
          <w:rFonts w:ascii="Palatino Linotype" w:hAnsi="Palatino Linotype"/>
          <w:noProof/>
          <w:lang w:val="es-MX" w:eastAsia="es-MX"/>
        </w:rPr>
        <w:lastRenderedPageBreak/>
        <w:drawing>
          <wp:inline distT="0" distB="0" distL="0" distR="0" wp14:anchorId="131C582D" wp14:editId="6F79E744">
            <wp:extent cx="6643441" cy="4984460"/>
            <wp:effectExtent l="4127" t="0" r="2858" b="2857"/>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6646196" cy="4986527"/>
                    </a:xfrm>
                    <a:prstGeom prst="rect">
                      <a:avLst/>
                    </a:prstGeom>
                  </pic:spPr>
                </pic:pic>
              </a:graphicData>
            </a:graphic>
          </wp:inline>
        </w:drawing>
      </w:r>
    </w:p>
    <w:p w14:paraId="17DD9FA5" w14:textId="2C42409A" w:rsidR="00A16DD0" w:rsidRPr="00CC493D" w:rsidRDefault="00A16DD0" w:rsidP="00A16DD0">
      <w:pPr>
        <w:pStyle w:val="Prrafodelista"/>
        <w:spacing w:line="360" w:lineRule="auto"/>
        <w:ind w:left="0"/>
        <w:jc w:val="both"/>
        <w:rPr>
          <w:rFonts w:ascii="Palatino Linotype" w:hAnsi="Palatino Linotype" w:cs="Arial"/>
          <w:color w:val="000000" w:themeColor="text1"/>
        </w:rPr>
      </w:pPr>
    </w:p>
    <w:p w14:paraId="0EF3A0B7" w14:textId="1FAE85DA" w:rsidR="00B50698" w:rsidRPr="00CC493D" w:rsidRDefault="0068100C" w:rsidP="0068100C">
      <w:pPr>
        <w:pStyle w:val="Prrafodelista"/>
        <w:spacing w:line="360" w:lineRule="auto"/>
        <w:ind w:left="0"/>
        <w:jc w:val="both"/>
        <w:rPr>
          <w:rFonts w:ascii="Palatino Linotype" w:hAnsi="Palatino Linotype" w:cs="Arial"/>
          <w:color w:val="000000" w:themeColor="text1"/>
        </w:rPr>
      </w:pPr>
      <w:r w:rsidRPr="00CC493D">
        <w:rPr>
          <w:rFonts w:ascii="Palatino Linotype" w:hAnsi="Palatino Linotype" w:cs="Arial"/>
          <w:noProof/>
          <w:color w:val="000000" w:themeColor="text1"/>
          <w:lang w:val="es-MX" w:eastAsia="es-MX"/>
        </w:rPr>
        <w:lastRenderedPageBreak/>
        <w:drawing>
          <wp:inline distT="0" distB="0" distL="0" distR="0" wp14:anchorId="3A43E054" wp14:editId="564188DD">
            <wp:extent cx="6696950" cy="5222378"/>
            <wp:effectExtent l="635"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6200000">
                      <a:off x="0" y="0"/>
                      <a:ext cx="6702664" cy="5226834"/>
                    </a:xfrm>
                    <a:prstGeom prst="rect">
                      <a:avLst/>
                    </a:prstGeom>
                  </pic:spPr>
                </pic:pic>
              </a:graphicData>
            </a:graphic>
          </wp:inline>
        </w:drawing>
      </w:r>
    </w:p>
    <w:p w14:paraId="32DF2D12" w14:textId="572A6AA9" w:rsidR="002D1751" w:rsidRPr="00CC493D" w:rsidRDefault="002D1751" w:rsidP="00D95855">
      <w:pPr>
        <w:numPr>
          <w:ilvl w:val="0"/>
          <w:numId w:val="1"/>
        </w:numPr>
        <w:spacing w:line="360" w:lineRule="auto"/>
        <w:ind w:left="0" w:right="49" w:firstLine="0"/>
        <w:contextualSpacing/>
        <w:jc w:val="both"/>
        <w:rPr>
          <w:rFonts w:ascii="Palatino Linotype" w:eastAsia="MS Mincho" w:hAnsi="Palatino Linotype" w:cstheme="majorBidi"/>
          <w:lang w:val="es-ES_tradnl" w:eastAsia="es-ES"/>
        </w:rPr>
      </w:pPr>
      <w:r w:rsidRPr="00CC493D">
        <w:rPr>
          <w:rFonts w:ascii="Palatino Linotype" w:eastAsia="MS Mincho" w:hAnsi="Palatino Linotype" w:cstheme="majorBidi"/>
          <w:lang w:val="es-ES_tradnl" w:eastAsia="es-ES"/>
        </w:rPr>
        <w:lastRenderedPageBreak/>
        <w:t xml:space="preserve">Aunado a lo anterior, esta Ponencia procedió a la verificaicón de su portal IPOMEX, en el apartado de “Sesiones celebradas por cabildo” en su Registro número (14), se advierte de la existencia del Acta </w:t>
      </w:r>
      <w:r w:rsidRPr="00CC493D">
        <w:rPr>
          <w:rFonts w:ascii="Palatino Linotype" w:hAnsi="Palatino Linotype"/>
        </w:rPr>
        <w:t>de la Trigésima Novena Sesión Extraordinaria de Cabildo celebrada en fecha dieciocho (18) de marzo de dos mil veinte y del Acuerdo 162/39 Ext, como a continuación se muestra:</w:t>
      </w:r>
    </w:p>
    <w:p w14:paraId="4C75D398" w14:textId="5F434F79" w:rsidR="002D1751" w:rsidRPr="00CC493D" w:rsidRDefault="002D1751" w:rsidP="002D1751">
      <w:pPr>
        <w:spacing w:line="360" w:lineRule="auto"/>
        <w:ind w:right="49"/>
        <w:contextualSpacing/>
        <w:jc w:val="both"/>
        <w:rPr>
          <w:rFonts w:ascii="Palatino Linotype" w:eastAsia="MS Mincho" w:hAnsi="Palatino Linotype" w:cstheme="majorBidi"/>
          <w:lang w:val="es-ES_tradnl" w:eastAsia="es-ES"/>
        </w:rPr>
      </w:pPr>
    </w:p>
    <w:p w14:paraId="344CCC52" w14:textId="49BADA9D" w:rsidR="002D1751" w:rsidRPr="00CC493D" w:rsidRDefault="002D1751" w:rsidP="002D1751">
      <w:pPr>
        <w:spacing w:line="360" w:lineRule="auto"/>
        <w:ind w:right="49"/>
        <w:contextualSpacing/>
        <w:jc w:val="both"/>
        <w:rPr>
          <w:rFonts w:ascii="Palatino Linotype" w:eastAsia="MS Mincho" w:hAnsi="Palatino Linotype" w:cstheme="majorBidi"/>
          <w:lang w:val="es-ES_tradnl" w:eastAsia="es-ES"/>
        </w:rPr>
      </w:pPr>
      <w:r w:rsidRPr="00CC493D">
        <w:rPr>
          <w:rFonts w:ascii="Palatino Linotype" w:eastAsia="MS Mincho" w:hAnsi="Palatino Linotype" w:cstheme="majorBidi"/>
          <w:noProof/>
          <w:lang w:val="es-MX" w:eastAsia="es-MX"/>
        </w:rPr>
        <w:drawing>
          <wp:inline distT="0" distB="0" distL="0" distR="0" wp14:anchorId="16CC8035" wp14:editId="0EA9B71D">
            <wp:extent cx="5462546" cy="344206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78945" cy="3452393"/>
                    </a:xfrm>
                    <a:prstGeom prst="rect">
                      <a:avLst/>
                    </a:prstGeom>
                  </pic:spPr>
                </pic:pic>
              </a:graphicData>
            </a:graphic>
          </wp:inline>
        </w:drawing>
      </w:r>
    </w:p>
    <w:p w14:paraId="2061A0BD" w14:textId="15A20C89" w:rsidR="002D1751" w:rsidRPr="00CC493D" w:rsidRDefault="002D1751" w:rsidP="002D1751">
      <w:pPr>
        <w:spacing w:line="360" w:lineRule="auto"/>
        <w:ind w:right="49"/>
        <w:contextualSpacing/>
        <w:jc w:val="both"/>
        <w:rPr>
          <w:rFonts w:ascii="Palatino Linotype" w:eastAsia="MS Mincho" w:hAnsi="Palatino Linotype" w:cstheme="majorBidi"/>
          <w:lang w:val="es-ES_tradnl" w:eastAsia="es-ES"/>
        </w:rPr>
      </w:pPr>
      <w:r w:rsidRPr="00CC493D">
        <w:rPr>
          <w:rFonts w:ascii="Palatino Linotype" w:eastAsia="MS Mincho" w:hAnsi="Palatino Linotype" w:cstheme="majorBidi"/>
          <w:noProof/>
          <w:lang w:val="es-MX" w:eastAsia="es-MX"/>
        </w:rPr>
        <w:lastRenderedPageBreak/>
        <w:drawing>
          <wp:inline distT="0" distB="0" distL="0" distR="0" wp14:anchorId="04C79933" wp14:editId="70D9E198">
            <wp:extent cx="5612130" cy="3823970"/>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3823970"/>
                    </a:xfrm>
                    <a:prstGeom prst="rect">
                      <a:avLst/>
                    </a:prstGeom>
                  </pic:spPr>
                </pic:pic>
              </a:graphicData>
            </a:graphic>
          </wp:inline>
        </w:drawing>
      </w:r>
    </w:p>
    <w:p w14:paraId="21A95FF8" w14:textId="77777777" w:rsidR="002D1751" w:rsidRPr="00CC493D" w:rsidRDefault="002D1751" w:rsidP="002D1751">
      <w:pPr>
        <w:spacing w:line="360" w:lineRule="auto"/>
        <w:ind w:right="49"/>
        <w:contextualSpacing/>
        <w:jc w:val="both"/>
        <w:rPr>
          <w:rFonts w:ascii="Palatino Linotype" w:eastAsia="MS Mincho" w:hAnsi="Palatino Linotype" w:cstheme="majorBidi"/>
          <w:lang w:val="es-ES_tradnl" w:eastAsia="es-ES"/>
        </w:rPr>
      </w:pPr>
    </w:p>
    <w:p w14:paraId="06A8BA38" w14:textId="14126F1E" w:rsidR="0038276E" w:rsidRPr="00CC493D" w:rsidRDefault="00FD1694" w:rsidP="002D1751">
      <w:pPr>
        <w:numPr>
          <w:ilvl w:val="0"/>
          <w:numId w:val="1"/>
        </w:numPr>
        <w:spacing w:line="360" w:lineRule="auto"/>
        <w:ind w:left="0" w:right="49" w:firstLine="0"/>
        <w:contextualSpacing/>
        <w:jc w:val="both"/>
        <w:rPr>
          <w:rFonts w:ascii="Palatino Linotype" w:eastAsia="MS Mincho" w:hAnsi="Palatino Linotype" w:cstheme="majorBidi"/>
          <w:lang w:val="es-ES_tradnl" w:eastAsia="es-ES"/>
        </w:rPr>
      </w:pPr>
      <w:r w:rsidRPr="00CC493D">
        <w:rPr>
          <w:rFonts w:ascii="Palatino Linotype" w:eastAsia="MS Mincho" w:hAnsi="Palatino Linotype" w:cstheme="majorBidi"/>
          <w:lang w:val="es-ES_tradnl" w:eastAsia="es-ES"/>
        </w:rPr>
        <w:t xml:space="preserve">De lo anterior, se presume la existencia de documentación relacionada con la información requerida, toda vez que el </w:t>
      </w:r>
      <w:r w:rsidRPr="00CC493D">
        <w:rPr>
          <w:rFonts w:ascii="Palatino Linotype" w:eastAsia="MS Mincho" w:hAnsi="Palatino Linotype" w:cstheme="majorBidi"/>
          <w:b/>
          <w:lang w:val="es-ES_tradnl" w:eastAsia="es-ES"/>
        </w:rPr>
        <w:t>SUJETO OBLIGADO</w:t>
      </w:r>
      <w:r w:rsidRPr="00CC493D">
        <w:rPr>
          <w:rFonts w:ascii="Palatino Linotype" w:eastAsia="MS Mincho" w:hAnsi="Palatino Linotype" w:cstheme="majorBidi"/>
          <w:lang w:val="es-ES_tradnl" w:eastAsia="es-ES"/>
        </w:rPr>
        <w:t xml:space="preserve"> se encuentra constreñido a documentar todo acto de autoridad que éste realice derivado sus funciones, atribuciones y competencias.</w:t>
      </w:r>
    </w:p>
    <w:p w14:paraId="31B47E58" w14:textId="77777777" w:rsidR="002F4E6E" w:rsidRPr="00CC493D" w:rsidRDefault="002F4E6E" w:rsidP="002F4E6E">
      <w:pPr>
        <w:spacing w:line="360" w:lineRule="auto"/>
        <w:rPr>
          <w:rFonts w:ascii="Palatino Linotype" w:hAnsi="Palatino Linotype"/>
          <w:b/>
        </w:rPr>
      </w:pPr>
    </w:p>
    <w:p w14:paraId="745FCB29" w14:textId="77777777" w:rsidR="002F4E6E" w:rsidRPr="00CC493D" w:rsidRDefault="002F4E6E" w:rsidP="002F4E6E">
      <w:pPr>
        <w:numPr>
          <w:ilvl w:val="0"/>
          <w:numId w:val="1"/>
        </w:numPr>
        <w:spacing w:line="360" w:lineRule="auto"/>
        <w:ind w:left="0" w:right="49" w:firstLine="0"/>
        <w:contextualSpacing/>
        <w:jc w:val="both"/>
        <w:rPr>
          <w:rFonts w:ascii="Palatino Linotype" w:eastAsia="MS Mincho" w:hAnsi="Palatino Linotype" w:cstheme="majorBidi"/>
          <w:lang w:val="es-ES_tradnl"/>
        </w:rPr>
      </w:pPr>
      <w:r w:rsidRPr="00CC493D">
        <w:rPr>
          <w:rFonts w:ascii="Palatino Linotype" w:eastAsia="Arial Unicode MS" w:hAnsi="Palatino Linotype" w:cs="Arial"/>
          <w:color w:val="000000"/>
        </w:rPr>
        <w:t xml:space="preserve">En ese contexto, </w:t>
      </w:r>
      <w:r w:rsidRPr="00CC493D">
        <w:rPr>
          <w:rFonts w:ascii="Palatino Linotype" w:hAnsi="Palatino Linotype"/>
        </w:rPr>
        <w:t>es pertinente enfatizar lo que al derecho de acceso a la información pública estipula el artículo 6°, Apartado A de la Constitución Política de los Estados Unidos Mexicanos, que la letra dice:</w:t>
      </w:r>
    </w:p>
    <w:p w14:paraId="1A01D1E4" w14:textId="77777777" w:rsidR="002F4E6E" w:rsidRPr="00CC493D" w:rsidRDefault="002F4E6E" w:rsidP="002F4E6E">
      <w:pPr>
        <w:pStyle w:val="Prrafodelista"/>
        <w:ind w:right="901"/>
        <w:jc w:val="both"/>
        <w:rPr>
          <w:rFonts w:ascii="Palatino Linotype" w:hAnsi="Palatino Linotype" w:cs="Arial"/>
          <w:i/>
          <w:sz w:val="22"/>
          <w:szCs w:val="22"/>
        </w:rPr>
      </w:pPr>
    </w:p>
    <w:p w14:paraId="52DDE42E" w14:textId="77777777" w:rsidR="002F4E6E" w:rsidRPr="00CC493D" w:rsidRDefault="002F4E6E" w:rsidP="002F4E6E">
      <w:pPr>
        <w:pStyle w:val="Prrafodelista"/>
        <w:ind w:right="901"/>
        <w:jc w:val="both"/>
        <w:rPr>
          <w:rFonts w:ascii="Palatino Linotype" w:hAnsi="Palatino Linotype" w:cs="Arial"/>
          <w:i/>
          <w:sz w:val="22"/>
          <w:szCs w:val="22"/>
        </w:rPr>
      </w:pPr>
      <w:r w:rsidRPr="00CC493D">
        <w:rPr>
          <w:rFonts w:ascii="Palatino Linotype" w:hAnsi="Palatino Linotype" w:cs="Arial"/>
          <w:i/>
          <w:sz w:val="22"/>
          <w:szCs w:val="22"/>
        </w:rPr>
        <w:lastRenderedPageBreak/>
        <w:t>“</w:t>
      </w:r>
      <w:r w:rsidRPr="00CC493D">
        <w:rPr>
          <w:rFonts w:ascii="Palatino Linotype" w:hAnsi="Palatino Linotype" w:cs="Arial"/>
          <w:b/>
          <w:i/>
          <w:sz w:val="22"/>
          <w:szCs w:val="22"/>
        </w:rPr>
        <w:t>Artículo 6o.</w:t>
      </w:r>
      <w:r w:rsidRPr="00CC493D">
        <w:rPr>
          <w:rFonts w:ascii="Palatino Linotype" w:hAnsi="Palatino Linotype" w:cs="Arial"/>
          <w:i/>
          <w:sz w:val="22"/>
          <w:szCs w:val="22"/>
        </w:rPr>
        <w:t xml:space="preserve">  . . .</w:t>
      </w:r>
    </w:p>
    <w:p w14:paraId="25879613" w14:textId="77777777" w:rsidR="002F4E6E" w:rsidRPr="00CC493D" w:rsidRDefault="002F4E6E" w:rsidP="002F4E6E">
      <w:pPr>
        <w:pStyle w:val="Prrafodelista"/>
        <w:ind w:right="901"/>
        <w:jc w:val="both"/>
        <w:rPr>
          <w:rFonts w:ascii="Palatino Linotype" w:hAnsi="Palatino Linotype" w:cs="Arial"/>
          <w:i/>
          <w:color w:val="000000"/>
          <w:sz w:val="22"/>
          <w:szCs w:val="22"/>
          <w:lang w:eastAsia="es-MX"/>
        </w:rPr>
      </w:pPr>
      <w:r w:rsidRPr="00CC493D">
        <w:rPr>
          <w:rFonts w:ascii="Palatino Linotype" w:hAnsi="Palatino Linotype" w:cs="Arial"/>
          <w:b/>
          <w:bCs/>
          <w:i/>
          <w:color w:val="000000"/>
          <w:sz w:val="22"/>
          <w:szCs w:val="22"/>
          <w:lang w:eastAsia="es-MX"/>
        </w:rPr>
        <w:t>A.</w:t>
      </w:r>
      <w:r w:rsidRPr="00CC493D">
        <w:rPr>
          <w:rFonts w:ascii="Palatino Linotype" w:hAnsi="Palatino Linotype" w:cs="Arial"/>
          <w:i/>
          <w:color w:val="000000"/>
          <w:sz w:val="22"/>
          <w:szCs w:val="22"/>
          <w:lang w:eastAsia="es-MX"/>
        </w:rPr>
        <w:t xml:space="preserve"> Para el ejercicio del </w:t>
      </w:r>
      <w:r w:rsidRPr="00CC493D">
        <w:rPr>
          <w:rFonts w:ascii="Palatino Linotype" w:hAnsi="Palatino Linotype" w:cs="Arial"/>
          <w:bCs/>
          <w:i/>
          <w:color w:val="000000"/>
          <w:sz w:val="22"/>
          <w:szCs w:val="22"/>
        </w:rPr>
        <w:t>derecho</w:t>
      </w:r>
      <w:r w:rsidRPr="00CC493D">
        <w:rPr>
          <w:rFonts w:ascii="Palatino Linotype" w:hAnsi="Palatino Linotype" w:cs="Arial"/>
          <w:i/>
          <w:color w:val="000000"/>
          <w:sz w:val="22"/>
          <w:szCs w:val="22"/>
          <w:lang w:eastAsia="es-MX"/>
        </w:rPr>
        <w:t xml:space="preserve"> de acceso a la información, la Federación y las entidades federativas, en el ámbito de sus respectivas competencias, se regirán por los siguientes principios y bases:</w:t>
      </w:r>
    </w:p>
    <w:p w14:paraId="5D9516D1" w14:textId="77777777" w:rsidR="002F4E6E" w:rsidRPr="00CC493D" w:rsidRDefault="002F4E6E" w:rsidP="002F4E6E">
      <w:pPr>
        <w:ind w:left="720" w:right="901"/>
        <w:jc w:val="both"/>
        <w:rPr>
          <w:rFonts w:ascii="Palatino Linotype" w:hAnsi="Palatino Linotype" w:cs="Arial"/>
          <w:i/>
          <w:sz w:val="22"/>
          <w:szCs w:val="22"/>
        </w:rPr>
      </w:pPr>
      <w:r w:rsidRPr="00CC493D">
        <w:rPr>
          <w:rFonts w:ascii="Palatino Linotype" w:hAnsi="Palatino Linotype" w:cs="Arial"/>
          <w:b/>
          <w:bCs/>
          <w:i/>
          <w:color w:val="000000"/>
          <w:sz w:val="22"/>
          <w:szCs w:val="22"/>
          <w:lang w:eastAsia="es-MX"/>
        </w:rPr>
        <w:t xml:space="preserve">I. </w:t>
      </w:r>
      <w:r w:rsidRPr="00CC493D">
        <w:rPr>
          <w:rFonts w:ascii="Palatino Linotype" w:hAnsi="Palatino Linotype" w:cs="Arial"/>
          <w:b/>
          <w:i/>
          <w:color w:val="000000"/>
          <w:sz w:val="22"/>
          <w:szCs w:val="22"/>
          <w:u w:val="single"/>
          <w:lang w:eastAsia="es-MX"/>
        </w:rPr>
        <w:t xml:space="preserve">Toda la información en posesión de cualquier autoridad, entidad, órgano y organismo de los Poderes Ejecutivo, </w:t>
      </w:r>
      <w:r w:rsidRPr="00CC493D">
        <w:rPr>
          <w:rFonts w:ascii="Palatino Linotype" w:hAnsi="Palatino Linotype" w:cs="Arial"/>
          <w:b/>
          <w:i/>
          <w:sz w:val="22"/>
          <w:szCs w:val="22"/>
          <w:u w:val="single"/>
        </w:rPr>
        <w:t>Legislativo</w:t>
      </w:r>
      <w:r w:rsidRPr="00CC493D">
        <w:rPr>
          <w:rFonts w:ascii="Palatino Linotype" w:hAnsi="Palatino Linotype" w:cs="Arial"/>
          <w:b/>
          <w:i/>
          <w:color w:val="000000"/>
          <w:sz w:val="22"/>
          <w:szCs w:val="22"/>
          <w:u w:val="single"/>
          <w:lang w:eastAsia="es-MX"/>
        </w:rPr>
        <w:t xml:space="preserve"> y Judicial, órganos autónomos, partidos políticos, fideicomisos y fondos públicos, así como de cualquier persona física, moral o sindicato que reciba y ejerza recursos públicos o realice actos de autoridad en el ámbito federal, estatal y municipal, es pública</w:t>
      </w:r>
      <w:r w:rsidRPr="00CC493D">
        <w:rPr>
          <w:rFonts w:ascii="Palatino Linotype" w:hAnsi="Palatino Linotype" w:cs="Arial"/>
          <w:i/>
          <w:sz w:val="22"/>
          <w:szCs w:val="22"/>
        </w:rPr>
        <w:t xml:space="preserve"> </w:t>
      </w:r>
      <w:r w:rsidRPr="00CC493D">
        <w:rPr>
          <w:rFonts w:ascii="Palatino Linotype" w:hAnsi="Palatino Linotype" w:cs="Arial"/>
          <w:b/>
          <w:i/>
          <w:color w:val="000000"/>
          <w:sz w:val="22"/>
          <w:szCs w:val="22"/>
          <w:u w:val="single"/>
          <w:lang w:eastAsia="es-MX"/>
        </w:rPr>
        <w:t xml:space="preserve">y sólo podrá ser reservada temporalmente por razones de interés público y seguridad nacional, </w:t>
      </w:r>
      <w:r w:rsidRPr="00CC493D">
        <w:rPr>
          <w:rFonts w:ascii="Palatino Linotype" w:hAnsi="Palatino Linotype" w:cs="Arial"/>
          <w:i/>
          <w:color w:val="000000"/>
          <w:sz w:val="22"/>
          <w:szCs w:val="22"/>
          <w:lang w:eastAsia="es-MX"/>
        </w:rPr>
        <w:t xml:space="preserve">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
    <w:p w14:paraId="3B992771" w14:textId="77777777" w:rsidR="002F4E6E" w:rsidRPr="00CC493D" w:rsidRDefault="002F4E6E" w:rsidP="002F4E6E">
      <w:pPr>
        <w:ind w:left="720" w:right="901"/>
        <w:jc w:val="both"/>
        <w:rPr>
          <w:rFonts w:ascii="Palatino Linotype" w:hAnsi="Palatino Linotype" w:cs="Arial"/>
          <w:b/>
          <w:i/>
          <w:color w:val="000000"/>
          <w:sz w:val="22"/>
          <w:szCs w:val="22"/>
          <w:u w:val="single"/>
          <w:lang w:eastAsia="es-MX"/>
        </w:rPr>
      </w:pPr>
      <w:r w:rsidRPr="00CC493D">
        <w:rPr>
          <w:rFonts w:ascii="Palatino Linotype" w:hAnsi="Palatino Linotype" w:cs="Arial"/>
          <w:b/>
          <w:bCs/>
          <w:i/>
          <w:color w:val="000000"/>
          <w:sz w:val="22"/>
          <w:szCs w:val="22"/>
          <w:lang w:eastAsia="es-MX"/>
        </w:rPr>
        <w:t xml:space="preserve">II. </w:t>
      </w:r>
      <w:r w:rsidRPr="00CC493D">
        <w:rPr>
          <w:rFonts w:ascii="Palatino Linotype" w:hAnsi="Palatino Linotype" w:cs="Arial"/>
          <w:b/>
          <w:i/>
          <w:color w:val="000000"/>
          <w:sz w:val="22"/>
          <w:szCs w:val="22"/>
          <w:u w:val="single"/>
          <w:lang w:eastAsia="es-MX"/>
        </w:rPr>
        <w:t xml:space="preserve">La información que se refiere a la vida privada y los datos personales será protegida en los términos y con las excepciones que fijen las leyes. </w:t>
      </w:r>
    </w:p>
    <w:p w14:paraId="7D8AF9E1" w14:textId="77777777" w:rsidR="002F4E6E" w:rsidRPr="00CC493D" w:rsidRDefault="002F4E6E" w:rsidP="002F4E6E">
      <w:pPr>
        <w:pStyle w:val="Prrafodelista"/>
        <w:ind w:right="901"/>
        <w:jc w:val="both"/>
        <w:rPr>
          <w:rFonts w:ascii="Palatino Linotype" w:hAnsi="Palatino Linotype" w:cs="Arial"/>
          <w:i/>
          <w:color w:val="000000"/>
          <w:sz w:val="22"/>
          <w:szCs w:val="22"/>
          <w:lang w:eastAsia="es-MX"/>
        </w:rPr>
      </w:pPr>
      <w:r w:rsidRPr="00CC493D">
        <w:rPr>
          <w:rFonts w:ascii="Palatino Linotype" w:hAnsi="Palatino Linotype" w:cs="Arial"/>
          <w:b/>
          <w:bCs/>
          <w:i/>
          <w:color w:val="000000"/>
          <w:sz w:val="22"/>
          <w:szCs w:val="22"/>
          <w:lang w:eastAsia="es-MX"/>
        </w:rPr>
        <w:t xml:space="preserve">III. </w:t>
      </w:r>
      <w:r w:rsidRPr="00CC493D">
        <w:rPr>
          <w:rFonts w:ascii="Palatino Linotype" w:hAnsi="Palatino Linotype" w:cs="Arial"/>
          <w:i/>
          <w:color w:val="000000"/>
          <w:sz w:val="22"/>
          <w:szCs w:val="22"/>
          <w:lang w:eastAsia="es-MX"/>
        </w:rPr>
        <w:t xml:space="preserve">Toda persona, sin necesidad de </w:t>
      </w:r>
      <w:r w:rsidRPr="00CC493D">
        <w:rPr>
          <w:rFonts w:ascii="Palatino Linotype" w:hAnsi="Palatino Linotype" w:cs="Arial"/>
          <w:i/>
          <w:sz w:val="22"/>
          <w:szCs w:val="22"/>
        </w:rPr>
        <w:t>acreditar</w:t>
      </w:r>
      <w:r w:rsidRPr="00CC493D">
        <w:rPr>
          <w:rFonts w:ascii="Palatino Linotype" w:hAnsi="Palatino Linotype" w:cs="Arial"/>
          <w:i/>
          <w:color w:val="000000"/>
          <w:sz w:val="22"/>
          <w:szCs w:val="22"/>
          <w:lang w:eastAsia="es-MX"/>
        </w:rPr>
        <w:t xml:space="preserve"> interés alguno o justificar su utilización, tendrá acceso gratuito a la información pública, a sus datos personales o a la rectificación de éstos. </w:t>
      </w:r>
    </w:p>
    <w:p w14:paraId="57A13927" w14:textId="77777777" w:rsidR="002F4E6E" w:rsidRPr="00CC493D" w:rsidRDefault="002F4E6E" w:rsidP="002F4E6E">
      <w:pPr>
        <w:pStyle w:val="Prrafodelista"/>
        <w:ind w:right="901"/>
        <w:jc w:val="both"/>
        <w:rPr>
          <w:rFonts w:ascii="Palatino Linotype" w:hAnsi="Palatino Linotype" w:cs="Arial"/>
          <w:i/>
          <w:color w:val="000000"/>
          <w:sz w:val="22"/>
          <w:szCs w:val="22"/>
          <w:lang w:eastAsia="es-MX"/>
        </w:rPr>
      </w:pPr>
      <w:r w:rsidRPr="00CC493D">
        <w:rPr>
          <w:rFonts w:ascii="Palatino Linotype" w:hAnsi="Palatino Linotype" w:cs="Arial"/>
          <w:b/>
          <w:bCs/>
          <w:i/>
          <w:color w:val="000000"/>
          <w:sz w:val="22"/>
          <w:szCs w:val="22"/>
          <w:lang w:eastAsia="es-MX"/>
        </w:rPr>
        <w:t xml:space="preserve">IV. </w:t>
      </w:r>
      <w:r w:rsidRPr="00CC493D">
        <w:rPr>
          <w:rFonts w:ascii="Palatino Linotype" w:hAnsi="Palatino Linotype" w:cs="Arial"/>
          <w:i/>
          <w:color w:val="000000"/>
          <w:sz w:val="22"/>
          <w:szCs w:val="22"/>
          <w:lang w:eastAsia="es-MX"/>
        </w:rPr>
        <w:t xml:space="preserve">Se establecerán mecanismos de acceso a la información y procedimientos de revisión expeditos que se sustanciarán ante los organismos autónomos especializados e imparciales que establece esta Constitución. </w:t>
      </w:r>
    </w:p>
    <w:p w14:paraId="5F1A764A" w14:textId="77777777" w:rsidR="002F4E6E" w:rsidRPr="00CC493D" w:rsidRDefault="002F4E6E" w:rsidP="002F4E6E">
      <w:pPr>
        <w:pStyle w:val="Prrafodelista"/>
        <w:ind w:right="901"/>
        <w:jc w:val="both"/>
        <w:rPr>
          <w:rFonts w:ascii="Palatino Linotype" w:hAnsi="Palatino Linotype" w:cs="Arial"/>
          <w:i/>
          <w:color w:val="000000"/>
          <w:sz w:val="22"/>
          <w:szCs w:val="22"/>
          <w:lang w:eastAsia="es-MX"/>
        </w:rPr>
      </w:pPr>
      <w:r w:rsidRPr="00CC493D">
        <w:rPr>
          <w:rFonts w:ascii="Palatino Linotype" w:hAnsi="Palatino Linotype" w:cs="Arial"/>
          <w:b/>
          <w:bCs/>
          <w:i/>
          <w:color w:val="000000"/>
          <w:sz w:val="22"/>
          <w:szCs w:val="22"/>
          <w:lang w:eastAsia="es-MX"/>
        </w:rPr>
        <w:t xml:space="preserve">V. </w:t>
      </w:r>
      <w:r w:rsidRPr="00CC493D">
        <w:rPr>
          <w:rFonts w:ascii="Palatino Linotype" w:hAnsi="Palatino Linotype" w:cs="Arial"/>
          <w:i/>
          <w:color w:val="000000"/>
          <w:sz w:val="22"/>
          <w:szCs w:val="22"/>
          <w:lang w:eastAsia="es-MX"/>
        </w:rPr>
        <w:t xml:space="preserve">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 </w:t>
      </w:r>
    </w:p>
    <w:p w14:paraId="1538EF05" w14:textId="77777777" w:rsidR="002F4E6E" w:rsidRPr="00CC493D" w:rsidRDefault="002F4E6E" w:rsidP="002F4E6E">
      <w:pPr>
        <w:pStyle w:val="Prrafodelista"/>
        <w:ind w:right="901"/>
        <w:jc w:val="both"/>
        <w:rPr>
          <w:rFonts w:ascii="Palatino Linotype" w:hAnsi="Palatino Linotype" w:cs="Arial"/>
          <w:i/>
          <w:color w:val="000000"/>
          <w:sz w:val="22"/>
          <w:szCs w:val="22"/>
          <w:lang w:eastAsia="es-MX"/>
        </w:rPr>
      </w:pPr>
      <w:r w:rsidRPr="00CC493D">
        <w:rPr>
          <w:rFonts w:ascii="Palatino Linotype" w:hAnsi="Palatino Linotype" w:cs="Arial"/>
          <w:b/>
          <w:bCs/>
          <w:i/>
          <w:color w:val="000000"/>
          <w:sz w:val="22"/>
          <w:szCs w:val="22"/>
          <w:lang w:eastAsia="es-MX"/>
        </w:rPr>
        <w:t xml:space="preserve">VI. </w:t>
      </w:r>
      <w:r w:rsidRPr="00CC493D">
        <w:rPr>
          <w:rFonts w:ascii="Palatino Linotype" w:hAnsi="Palatino Linotype" w:cs="Arial"/>
          <w:i/>
          <w:color w:val="000000"/>
          <w:sz w:val="22"/>
          <w:szCs w:val="22"/>
          <w:lang w:eastAsia="es-MX"/>
        </w:rPr>
        <w:t xml:space="preserve">Las leyes determinarán la manera en que los sujetos obligados deberán hacer pública la información relativa a los recursos públicos que entreguen a personas físicas o morales. </w:t>
      </w:r>
    </w:p>
    <w:p w14:paraId="44364924" w14:textId="77777777" w:rsidR="002F4E6E" w:rsidRPr="00CC493D" w:rsidRDefault="002F4E6E" w:rsidP="002F4E6E">
      <w:pPr>
        <w:pStyle w:val="Prrafodelista"/>
        <w:ind w:right="901"/>
        <w:jc w:val="both"/>
        <w:rPr>
          <w:rFonts w:ascii="Palatino Linotype" w:hAnsi="Palatino Linotype" w:cs="Arial"/>
          <w:i/>
          <w:sz w:val="22"/>
          <w:szCs w:val="22"/>
        </w:rPr>
      </w:pPr>
      <w:r w:rsidRPr="00CC493D">
        <w:rPr>
          <w:rFonts w:ascii="Palatino Linotype" w:hAnsi="Palatino Linotype" w:cs="Arial"/>
          <w:b/>
          <w:bCs/>
          <w:i/>
          <w:color w:val="000000"/>
          <w:sz w:val="22"/>
          <w:szCs w:val="22"/>
          <w:lang w:eastAsia="es-MX"/>
        </w:rPr>
        <w:t xml:space="preserve">VII. </w:t>
      </w:r>
      <w:r w:rsidRPr="00CC493D">
        <w:rPr>
          <w:rFonts w:ascii="Palatino Linotype" w:hAnsi="Palatino Linotype" w:cs="Arial"/>
          <w:i/>
          <w:color w:val="000000"/>
          <w:sz w:val="22"/>
          <w:szCs w:val="22"/>
          <w:lang w:eastAsia="es-MX"/>
        </w:rPr>
        <w:t>La inobservancia a las disposiciones en materia de acceso a la información pública será sancionada en los términos que dispongan las leyes.</w:t>
      </w:r>
      <w:r w:rsidRPr="00CC493D">
        <w:rPr>
          <w:rFonts w:ascii="Palatino Linotype" w:hAnsi="Palatino Linotype" w:cs="Arial"/>
          <w:i/>
          <w:sz w:val="22"/>
          <w:szCs w:val="22"/>
        </w:rPr>
        <w:t xml:space="preserve">” </w:t>
      </w:r>
    </w:p>
    <w:p w14:paraId="71A0B800" w14:textId="77777777" w:rsidR="002F4E6E" w:rsidRPr="00CC493D" w:rsidRDefault="002F4E6E" w:rsidP="002F4E6E">
      <w:pPr>
        <w:ind w:left="720" w:right="901"/>
        <w:jc w:val="both"/>
        <w:rPr>
          <w:rFonts w:ascii="Palatino Linotype" w:hAnsi="Palatino Linotype"/>
          <w:sz w:val="22"/>
          <w:szCs w:val="22"/>
        </w:rPr>
      </w:pPr>
      <w:r w:rsidRPr="00CC493D">
        <w:rPr>
          <w:rFonts w:ascii="Palatino Linotype" w:hAnsi="Palatino Linotype"/>
          <w:sz w:val="22"/>
          <w:szCs w:val="22"/>
        </w:rPr>
        <w:t>(Énfasis añadido)</w:t>
      </w:r>
    </w:p>
    <w:p w14:paraId="3DBFD49B" w14:textId="77777777" w:rsidR="002F4E6E" w:rsidRPr="00CC493D" w:rsidRDefault="002F4E6E" w:rsidP="002F4E6E">
      <w:pPr>
        <w:pStyle w:val="Prrafodelista"/>
        <w:spacing w:line="360" w:lineRule="auto"/>
        <w:ind w:left="0"/>
        <w:jc w:val="both"/>
        <w:rPr>
          <w:rFonts w:ascii="Palatino Linotype" w:hAnsi="Palatino Linotype" w:cs="Arial"/>
          <w:color w:val="000000" w:themeColor="text1"/>
        </w:rPr>
      </w:pPr>
    </w:p>
    <w:p w14:paraId="034C1AD9" w14:textId="77777777" w:rsidR="002F4E6E" w:rsidRPr="00CC493D" w:rsidRDefault="002F4E6E" w:rsidP="002F4E6E">
      <w:pPr>
        <w:pStyle w:val="Prrafodelista"/>
        <w:numPr>
          <w:ilvl w:val="0"/>
          <w:numId w:val="1"/>
        </w:numPr>
        <w:spacing w:line="360" w:lineRule="auto"/>
        <w:ind w:left="0" w:firstLine="0"/>
        <w:jc w:val="both"/>
        <w:rPr>
          <w:rFonts w:ascii="Palatino Linotype" w:hAnsi="Palatino Linotype" w:cs="Arial"/>
          <w:color w:val="000000" w:themeColor="text1"/>
        </w:rPr>
      </w:pPr>
      <w:r w:rsidRPr="00CC493D">
        <w:rPr>
          <w:rFonts w:ascii="Palatino Linotype" w:hAnsi="Palatino Linotype"/>
        </w:rPr>
        <w:lastRenderedPageBreak/>
        <w:t>Por su parte, la Constitución Política del Estado Libre y Soberano de México, en su artículo 5°, párrafos vigésimo, vigésimo primero y vigésimo segundo fracciones I y II, dispone lo siguiente:</w:t>
      </w:r>
    </w:p>
    <w:p w14:paraId="19AEB6D3" w14:textId="77777777" w:rsidR="002F4E6E" w:rsidRPr="00CC493D" w:rsidRDefault="002F4E6E" w:rsidP="002F4E6E">
      <w:pPr>
        <w:pStyle w:val="Prrafodelista"/>
        <w:ind w:right="901"/>
        <w:jc w:val="both"/>
        <w:rPr>
          <w:rFonts w:ascii="Palatino Linotype" w:hAnsi="Palatino Linotype" w:cs="Arial"/>
          <w:b/>
          <w:i/>
          <w:sz w:val="22"/>
          <w:szCs w:val="22"/>
        </w:rPr>
      </w:pPr>
      <w:r w:rsidRPr="00CC493D">
        <w:rPr>
          <w:rFonts w:ascii="Palatino Linotype" w:hAnsi="Palatino Linotype" w:cs="Arial"/>
          <w:i/>
          <w:sz w:val="22"/>
          <w:szCs w:val="22"/>
        </w:rPr>
        <w:t>“</w:t>
      </w:r>
      <w:r w:rsidRPr="00CC493D">
        <w:rPr>
          <w:rFonts w:ascii="Palatino Linotype" w:hAnsi="Palatino Linotype" w:cs="Arial"/>
          <w:b/>
          <w:i/>
          <w:sz w:val="22"/>
          <w:szCs w:val="22"/>
        </w:rPr>
        <w:t xml:space="preserve">Artículo 5.  … </w:t>
      </w:r>
    </w:p>
    <w:p w14:paraId="5EA874C6" w14:textId="77777777" w:rsidR="002F4E6E" w:rsidRPr="00CC493D" w:rsidRDefault="002F4E6E" w:rsidP="002F4E6E">
      <w:pPr>
        <w:pStyle w:val="Prrafodelista"/>
        <w:ind w:right="901"/>
        <w:jc w:val="both"/>
        <w:rPr>
          <w:rFonts w:ascii="Palatino Linotype" w:hAnsi="Palatino Linotype" w:cs="Arial"/>
          <w:i/>
          <w:sz w:val="22"/>
          <w:szCs w:val="22"/>
        </w:rPr>
      </w:pPr>
      <w:r w:rsidRPr="00CC493D">
        <w:rPr>
          <w:rFonts w:ascii="Palatino Linotype" w:hAnsi="Palatino Linotype" w:cs="Arial"/>
          <w:i/>
          <w:sz w:val="22"/>
          <w:szCs w:val="22"/>
        </w:rPr>
        <w:t>. . .</w:t>
      </w:r>
    </w:p>
    <w:p w14:paraId="7F94C2A4" w14:textId="77777777" w:rsidR="002F4E6E" w:rsidRPr="00CC493D" w:rsidRDefault="002F4E6E" w:rsidP="002F4E6E">
      <w:pPr>
        <w:pStyle w:val="Prrafodelista"/>
        <w:ind w:right="901"/>
        <w:jc w:val="both"/>
        <w:rPr>
          <w:rFonts w:ascii="Palatino Linotype" w:hAnsi="Palatino Linotype" w:cs="Arial"/>
          <w:i/>
          <w:sz w:val="22"/>
          <w:szCs w:val="22"/>
        </w:rPr>
      </w:pPr>
      <w:r w:rsidRPr="00CC493D">
        <w:rPr>
          <w:rFonts w:ascii="Palatino Linotype" w:hAnsi="Palatino Linotype" w:cs="Arial"/>
          <w:i/>
          <w:sz w:val="22"/>
          <w:szCs w:val="22"/>
        </w:rPr>
        <w:t xml:space="preserve">El derecho a la información será garantizado por el Estado. La ley establecerá las previsiones que permitan asegurar la protección, el respeto y la difusión de este derecho. </w:t>
      </w:r>
    </w:p>
    <w:p w14:paraId="08FC114E" w14:textId="77777777" w:rsidR="002F4E6E" w:rsidRPr="00CC493D" w:rsidRDefault="002F4E6E" w:rsidP="002F4E6E">
      <w:pPr>
        <w:pStyle w:val="Prrafodelista"/>
        <w:ind w:right="901"/>
        <w:jc w:val="both"/>
        <w:rPr>
          <w:rFonts w:ascii="Palatino Linotype" w:hAnsi="Palatino Linotype" w:cs="Arial"/>
          <w:i/>
          <w:sz w:val="22"/>
          <w:szCs w:val="22"/>
        </w:rPr>
      </w:pPr>
      <w:r w:rsidRPr="00CC493D">
        <w:rPr>
          <w:rFonts w:ascii="Palatino Linotype" w:hAnsi="Palatino Linotype" w:cs="Arial"/>
          <w:i/>
          <w:sz w:val="22"/>
          <w:szCs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14:paraId="49309D66" w14:textId="77777777" w:rsidR="002F4E6E" w:rsidRPr="00CC493D" w:rsidRDefault="002F4E6E" w:rsidP="002F4E6E">
      <w:pPr>
        <w:pStyle w:val="Prrafodelista"/>
        <w:ind w:right="901"/>
        <w:jc w:val="both"/>
        <w:rPr>
          <w:rFonts w:ascii="Palatino Linotype" w:hAnsi="Palatino Linotype" w:cs="Arial"/>
          <w:i/>
          <w:sz w:val="22"/>
          <w:szCs w:val="22"/>
        </w:rPr>
      </w:pPr>
      <w:r w:rsidRPr="00CC493D">
        <w:rPr>
          <w:rFonts w:ascii="Palatino Linotype" w:hAnsi="Palatino Linotype" w:cs="Arial"/>
          <w:i/>
          <w:sz w:val="22"/>
          <w:szCs w:val="22"/>
        </w:rPr>
        <w:t>Este derecho se regirá por los principios y bases siguientes:</w:t>
      </w:r>
    </w:p>
    <w:p w14:paraId="69133781" w14:textId="77777777" w:rsidR="002F4E6E" w:rsidRPr="00CC493D" w:rsidRDefault="002F4E6E" w:rsidP="002F4E6E">
      <w:pPr>
        <w:pStyle w:val="Prrafodelista"/>
        <w:ind w:right="901"/>
        <w:jc w:val="both"/>
        <w:rPr>
          <w:rFonts w:ascii="Palatino Linotype" w:hAnsi="Palatino Linotype" w:cs="Arial"/>
          <w:i/>
          <w:sz w:val="22"/>
          <w:szCs w:val="22"/>
        </w:rPr>
      </w:pPr>
    </w:p>
    <w:p w14:paraId="21454DD2" w14:textId="77777777" w:rsidR="002F4E6E" w:rsidRPr="00CC493D" w:rsidRDefault="002F4E6E" w:rsidP="002F4E6E">
      <w:pPr>
        <w:pStyle w:val="Prrafodelista"/>
        <w:ind w:right="901"/>
        <w:jc w:val="both"/>
        <w:rPr>
          <w:rFonts w:ascii="Palatino Linotype" w:hAnsi="Palatino Linotype" w:cs="Arial"/>
          <w:i/>
          <w:sz w:val="22"/>
          <w:szCs w:val="22"/>
        </w:rPr>
      </w:pPr>
      <w:r w:rsidRPr="00CC493D">
        <w:rPr>
          <w:rFonts w:ascii="Palatino Linotype" w:hAnsi="Palatino Linotype" w:cs="Arial"/>
          <w:i/>
          <w:sz w:val="22"/>
          <w:szCs w:val="22"/>
        </w:rPr>
        <w:t xml:space="preserve">I. </w:t>
      </w:r>
      <w:r w:rsidRPr="00CC493D">
        <w:rPr>
          <w:rFonts w:ascii="Palatino Linotype" w:hAnsi="Palatino Linotype" w:cs="Arial"/>
          <w:b/>
          <w:i/>
          <w:sz w:val="22"/>
          <w:szCs w:val="22"/>
          <w:u w:val="single"/>
        </w:rPr>
        <w:t>Toda la información en posesión de cualquier autoridad, entidad, órgano y organismos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w:t>
      </w:r>
      <w:r w:rsidRPr="00CC493D">
        <w:rPr>
          <w:rFonts w:ascii="Palatino Linotype" w:hAnsi="Palatino Linotype" w:cs="Arial"/>
          <w:i/>
          <w:sz w:val="22"/>
          <w:szCs w:val="22"/>
        </w:rPr>
        <w:t xml:space="preserv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7AC731B9" w14:textId="77777777" w:rsidR="002F4E6E" w:rsidRPr="00CC493D" w:rsidRDefault="002F4E6E" w:rsidP="002F4E6E">
      <w:pPr>
        <w:pStyle w:val="Prrafodelista"/>
        <w:ind w:right="901"/>
        <w:jc w:val="both"/>
        <w:rPr>
          <w:rFonts w:ascii="Palatino Linotype" w:hAnsi="Palatino Linotype" w:cs="Arial"/>
          <w:i/>
          <w:sz w:val="22"/>
          <w:szCs w:val="22"/>
          <w:u w:val="single"/>
        </w:rPr>
      </w:pPr>
    </w:p>
    <w:p w14:paraId="46CB8E80" w14:textId="77777777" w:rsidR="002F4E6E" w:rsidRPr="00CC493D" w:rsidRDefault="002F4E6E" w:rsidP="002F4E6E">
      <w:pPr>
        <w:pStyle w:val="Prrafodelista"/>
        <w:ind w:right="901"/>
        <w:jc w:val="both"/>
        <w:rPr>
          <w:rFonts w:ascii="Palatino Linotype" w:hAnsi="Palatino Linotype" w:cs="Arial"/>
          <w:b/>
          <w:i/>
          <w:sz w:val="22"/>
          <w:szCs w:val="22"/>
          <w:u w:val="single"/>
        </w:rPr>
      </w:pPr>
      <w:r w:rsidRPr="00CC493D">
        <w:rPr>
          <w:rFonts w:ascii="Palatino Linotype" w:hAnsi="Palatino Linotype" w:cs="Arial"/>
          <w:b/>
          <w:i/>
          <w:sz w:val="22"/>
          <w:szCs w:val="22"/>
          <w:u w:val="single"/>
        </w:rPr>
        <w:t>II. La información referente a la intimidad de la vida privada y la imagen de las personas será protegida a través de un marco jurídico rígido de tratamiento y manejo de datos personales, con las excepciones que establezca la ley reglamentaria.”</w:t>
      </w:r>
      <w:r w:rsidRPr="00CC493D">
        <w:rPr>
          <w:rFonts w:ascii="Palatino Linotype" w:hAnsi="Palatino Linotype"/>
          <w:b/>
          <w:sz w:val="22"/>
          <w:szCs w:val="22"/>
          <w:u w:val="single"/>
        </w:rPr>
        <w:t xml:space="preserve"> </w:t>
      </w:r>
    </w:p>
    <w:p w14:paraId="0A26ADED" w14:textId="77777777" w:rsidR="002F4E6E" w:rsidRPr="00CC493D" w:rsidRDefault="002F4E6E" w:rsidP="002F4E6E">
      <w:pPr>
        <w:pStyle w:val="Prrafodelista"/>
        <w:ind w:right="901"/>
        <w:jc w:val="both"/>
        <w:rPr>
          <w:rFonts w:ascii="Palatino Linotype" w:hAnsi="Palatino Linotype"/>
          <w:sz w:val="22"/>
          <w:szCs w:val="22"/>
        </w:rPr>
      </w:pPr>
    </w:p>
    <w:p w14:paraId="08EB2662" w14:textId="77777777" w:rsidR="002F4E6E" w:rsidRPr="00CC493D" w:rsidRDefault="002F4E6E" w:rsidP="002F4E6E">
      <w:pPr>
        <w:pStyle w:val="Prrafodelista"/>
        <w:ind w:right="901"/>
        <w:jc w:val="both"/>
        <w:rPr>
          <w:rFonts w:ascii="Palatino Linotype" w:hAnsi="Palatino Linotype"/>
          <w:sz w:val="22"/>
          <w:szCs w:val="22"/>
        </w:rPr>
      </w:pPr>
      <w:r w:rsidRPr="00CC493D">
        <w:rPr>
          <w:rFonts w:ascii="Palatino Linotype" w:hAnsi="Palatino Linotype"/>
          <w:sz w:val="22"/>
          <w:szCs w:val="22"/>
        </w:rPr>
        <w:lastRenderedPageBreak/>
        <w:t>(Énfasis añadido)</w:t>
      </w:r>
    </w:p>
    <w:p w14:paraId="402C2371" w14:textId="77777777" w:rsidR="002F4E6E" w:rsidRPr="00CC493D" w:rsidRDefault="002F4E6E" w:rsidP="002F4E6E">
      <w:pPr>
        <w:pStyle w:val="Prrafodelista"/>
        <w:spacing w:line="360" w:lineRule="auto"/>
        <w:ind w:left="0"/>
        <w:jc w:val="both"/>
        <w:rPr>
          <w:rFonts w:ascii="Palatino Linotype" w:hAnsi="Palatino Linotype" w:cs="Arial"/>
          <w:color w:val="000000" w:themeColor="text1"/>
        </w:rPr>
      </w:pPr>
    </w:p>
    <w:p w14:paraId="78587579" w14:textId="77777777" w:rsidR="002F4E6E" w:rsidRPr="00CC493D" w:rsidRDefault="002F4E6E" w:rsidP="002F4E6E">
      <w:pPr>
        <w:pStyle w:val="Prrafodelista"/>
        <w:numPr>
          <w:ilvl w:val="0"/>
          <w:numId w:val="1"/>
        </w:numPr>
        <w:spacing w:line="360" w:lineRule="auto"/>
        <w:ind w:left="0" w:firstLine="0"/>
        <w:jc w:val="both"/>
        <w:rPr>
          <w:rFonts w:ascii="Palatino Linotype" w:hAnsi="Palatino Linotype" w:cs="Arial"/>
          <w:color w:val="000000" w:themeColor="text1"/>
        </w:rPr>
      </w:pPr>
      <w:r w:rsidRPr="00CC493D">
        <w:rPr>
          <w:rFonts w:ascii="Palatino Linotype" w:hAnsi="Palatino Linotype"/>
        </w:rPr>
        <w:t>Asimismo, se tiene que la Ley de Transparencia y Acceso a la Información Pública del Estado de México y Municipios, prevé en su artículo 23, lo siguiente:</w:t>
      </w:r>
    </w:p>
    <w:p w14:paraId="749F9179" w14:textId="77777777" w:rsidR="002F4E6E" w:rsidRPr="00CC493D" w:rsidRDefault="002F4E6E" w:rsidP="002F4E6E">
      <w:pPr>
        <w:pStyle w:val="Prrafodelista"/>
        <w:ind w:left="630" w:right="901"/>
        <w:jc w:val="both"/>
        <w:rPr>
          <w:rFonts w:ascii="Palatino Linotype" w:hAnsi="Palatino Linotype" w:cs="Arial"/>
          <w:i/>
          <w:sz w:val="22"/>
          <w:szCs w:val="22"/>
        </w:rPr>
      </w:pPr>
      <w:r w:rsidRPr="00CC493D">
        <w:rPr>
          <w:rFonts w:ascii="Palatino Linotype" w:hAnsi="Palatino Linotype" w:cs="Arial"/>
          <w:i/>
          <w:sz w:val="22"/>
          <w:szCs w:val="22"/>
        </w:rPr>
        <w:t>“</w:t>
      </w:r>
      <w:r w:rsidRPr="00CC493D">
        <w:rPr>
          <w:rFonts w:ascii="Palatino Linotype" w:hAnsi="Palatino Linotype" w:cs="Arial"/>
          <w:b/>
          <w:i/>
          <w:sz w:val="22"/>
          <w:szCs w:val="22"/>
        </w:rPr>
        <w:t>Artículo 23.</w:t>
      </w:r>
      <w:r w:rsidRPr="00CC493D">
        <w:rPr>
          <w:rFonts w:ascii="Palatino Linotype" w:hAnsi="Palatino Linotype" w:cs="Arial"/>
          <w:i/>
          <w:sz w:val="22"/>
          <w:szCs w:val="22"/>
        </w:rPr>
        <w:t xml:space="preserve"> Son sujetos obligados a transparentar y permitir el acceso a su información y proteger los datos personales que obren en su poder:</w:t>
      </w:r>
    </w:p>
    <w:p w14:paraId="289CCC2A" w14:textId="77777777" w:rsidR="002F4E6E" w:rsidRPr="00CC493D" w:rsidRDefault="002F4E6E" w:rsidP="002F4E6E">
      <w:pPr>
        <w:pStyle w:val="Prrafodelista"/>
        <w:ind w:left="630" w:right="901"/>
        <w:jc w:val="both"/>
        <w:rPr>
          <w:rFonts w:ascii="Palatino Linotype" w:hAnsi="Palatino Linotype" w:cs="Arial"/>
          <w:i/>
          <w:sz w:val="22"/>
          <w:szCs w:val="22"/>
        </w:rPr>
      </w:pPr>
      <w:r w:rsidRPr="00CC493D">
        <w:rPr>
          <w:rFonts w:ascii="Palatino Linotype" w:hAnsi="Palatino Linotype" w:cs="Arial"/>
          <w:i/>
          <w:sz w:val="22"/>
          <w:szCs w:val="22"/>
        </w:rPr>
        <w:t>I. El Poder Ejecutivo del Estado de México, las dependencias, organismos auxiliares, órganos, entidades, fideicomisos y fondos públicos, así como la Procuraduría General de Justicia;</w:t>
      </w:r>
    </w:p>
    <w:p w14:paraId="22512ED1" w14:textId="77777777" w:rsidR="002F4E6E" w:rsidRPr="00CC493D" w:rsidRDefault="002F4E6E" w:rsidP="002F4E6E">
      <w:pPr>
        <w:pStyle w:val="Prrafodelista"/>
        <w:ind w:left="630" w:right="901"/>
        <w:jc w:val="both"/>
        <w:rPr>
          <w:rFonts w:ascii="Palatino Linotype" w:hAnsi="Palatino Linotype" w:cs="Arial"/>
          <w:i/>
          <w:sz w:val="22"/>
          <w:szCs w:val="22"/>
        </w:rPr>
      </w:pPr>
      <w:r w:rsidRPr="00CC493D">
        <w:rPr>
          <w:rFonts w:ascii="Palatino Linotype" w:hAnsi="Palatino Linotype" w:cs="Arial"/>
          <w:i/>
          <w:sz w:val="22"/>
          <w:szCs w:val="22"/>
        </w:rPr>
        <w:t>II. El Poder Legislativo del Estado, los organismos, órganos y entidades de la Legislatura y sus dependencias;</w:t>
      </w:r>
    </w:p>
    <w:p w14:paraId="1F7DCD50" w14:textId="77777777" w:rsidR="002F4E6E" w:rsidRPr="00CC493D" w:rsidRDefault="002F4E6E" w:rsidP="002F4E6E">
      <w:pPr>
        <w:ind w:left="630" w:right="901"/>
        <w:jc w:val="both"/>
        <w:rPr>
          <w:rFonts w:ascii="Palatino Linotype" w:hAnsi="Palatino Linotype" w:cs="Arial"/>
          <w:i/>
          <w:sz w:val="22"/>
          <w:szCs w:val="22"/>
        </w:rPr>
      </w:pPr>
      <w:r w:rsidRPr="00CC493D">
        <w:rPr>
          <w:rFonts w:ascii="Palatino Linotype" w:hAnsi="Palatino Linotype" w:cs="Arial"/>
          <w:i/>
          <w:sz w:val="22"/>
          <w:szCs w:val="22"/>
        </w:rPr>
        <w:t>III. El Poder Judicial, sus organismos, órganos y entidades, así como el Consejo de la Judicatura del Estado;</w:t>
      </w:r>
    </w:p>
    <w:p w14:paraId="383A312F" w14:textId="77777777" w:rsidR="002F4E6E" w:rsidRPr="00CC493D" w:rsidRDefault="002F4E6E" w:rsidP="002F4E6E">
      <w:pPr>
        <w:pStyle w:val="Prrafodelista"/>
        <w:ind w:left="630" w:right="901"/>
        <w:jc w:val="both"/>
        <w:rPr>
          <w:rFonts w:ascii="Palatino Linotype" w:hAnsi="Palatino Linotype" w:cs="Arial"/>
          <w:b/>
          <w:i/>
          <w:sz w:val="22"/>
          <w:szCs w:val="22"/>
        </w:rPr>
      </w:pPr>
      <w:r w:rsidRPr="00CC493D">
        <w:rPr>
          <w:rFonts w:ascii="Palatino Linotype" w:hAnsi="Palatino Linotype" w:cs="Arial"/>
          <w:b/>
          <w:i/>
          <w:sz w:val="22"/>
          <w:szCs w:val="22"/>
        </w:rPr>
        <w:t>IV. Los ayuntamientos y las dependencias, organismos, órganos y entidades de la administración municipal;</w:t>
      </w:r>
    </w:p>
    <w:p w14:paraId="2B7D979D" w14:textId="77777777" w:rsidR="002F4E6E" w:rsidRPr="00CC493D" w:rsidRDefault="002F4E6E" w:rsidP="002F4E6E">
      <w:pPr>
        <w:pStyle w:val="Prrafodelista"/>
        <w:ind w:left="630" w:right="901"/>
        <w:jc w:val="both"/>
        <w:rPr>
          <w:rFonts w:ascii="Palatino Linotype" w:hAnsi="Palatino Linotype" w:cs="Arial"/>
          <w:i/>
          <w:sz w:val="22"/>
          <w:szCs w:val="22"/>
        </w:rPr>
      </w:pPr>
      <w:r w:rsidRPr="00CC493D">
        <w:rPr>
          <w:rFonts w:ascii="Palatino Linotype" w:hAnsi="Palatino Linotype" w:cs="Arial"/>
          <w:i/>
          <w:sz w:val="22"/>
          <w:szCs w:val="22"/>
        </w:rPr>
        <w:t>V. Los órganos autónomos;</w:t>
      </w:r>
    </w:p>
    <w:p w14:paraId="0C2E3D14" w14:textId="77777777" w:rsidR="002F4E6E" w:rsidRPr="00CC493D" w:rsidRDefault="002F4E6E" w:rsidP="002F4E6E">
      <w:pPr>
        <w:pStyle w:val="Prrafodelista"/>
        <w:ind w:left="630" w:right="901"/>
        <w:jc w:val="both"/>
        <w:rPr>
          <w:rFonts w:ascii="Palatino Linotype" w:hAnsi="Palatino Linotype" w:cs="Arial"/>
          <w:i/>
          <w:sz w:val="22"/>
          <w:szCs w:val="22"/>
        </w:rPr>
      </w:pPr>
      <w:r w:rsidRPr="00CC493D">
        <w:rPr>
          <w:rFonts w:ascii="Palatino Linotype" w:hAnsi="Palatino Linotype" w:cs="Arial"/>
          <w:i/>
          <w:sz w:val="22"/>
          <w:szCs w:val="22"/>
        </w:rPr>
        <w:t>VI. Los tribunales administrativos y autoridades jurisdiccionales en materia laboral;</w:t>
      </w:r>
    </w:p>
    <w:p w14:paraId="64E9CFFA" w14:textId="77777777" w:rsidR="002F4E6E" w:rsidRPr="00CC493D" w:rsidRDefault="002F4E6E" w:rsidP="002F4E6E">
      <w:pPr>
        <w:pStyle w:val="Prrafodelista"/>
        <w:ind w:left="630" w:right="901"/>
        <w:jc w:val="both"/>
        <w:rPr>
          <w:rFonts w:ascii="Palatino Linotype" w:hAnsi="Palatino Linotype" w:cs="Arial"/>
          <w:i/>
          <w:sz w:val="22"/>
          <w:szCs w:val="22"/>
        </w:rPr>
      </w:pPr>
      <w:r w:rsidRPr="00CC493D">
        <w:rPr>
          <w:rFonts w:ascii="Palatino Linotype" w:hAnsi="Palatino Linotype" w:cs="Arial"/>
          <w:i/>
          <w:sz w:val="22"/>
          <w:szCs w:val="22"/>
        </w:rPr>
        <w:t>VII. Los partidos políticos y agrupaciones políticas, en los términos de las disposiciones aplicables;</w:t>
      </w:r>
    </w:p>
    <w:p w14:paraId="78DC8DFF" w14:textId="77777777" w:rsidR="002F4E6E" w:rsidRPr="00CC493D" w:rsidRDefault="002F4E6E" w:rsidP="002F4E6E">
      <w:pPr>
        <w:pStyle w:val="Prrafodelista"/>
        <w:ind w:left="630" w:right="901"/>
        <w:jc w:val="both"/>
        <w:rPr>
          <w:rFonts w:ascii="Palatino Linotype" w:hAnsi="Palatino Linotype" w:cs="Arial"/>
          <w:i/>
          <w:sz w:val="22"/>
          <w:szCs w:val="22"/>
        </w:rPr>
      </w:pPr>
      <w:r w:rsidRPr="00CC493D">
        <w:rPr>
          <w:rFonts w:ascii="Palatino Linotype" w:hAnsi="Palatino Linotype" w:cs="Arial"/>
          <w:i/>
          <w:sz w:val="22"/>
          <w:szCs w:val="22"/>
        </w:rPr>
        <w:t>VIII. Los fideicomisos y fondos públicos que cuenten con financiamiento público, parcial o total, o con participación de entidades de gobierno;</w:t>
      </w:r>
    </w:p>
    <w:p w14:paraId="40406A38" w14:textId="77777777" w:rsidR="002F4E6E" w:rsidRPr="00CC493D" w:rsidRDefault="002F4E6E" w:rsidP="002F4E6E">
      <w:pPr>
        <w:pStyle w:val="Prrafodelista"/>
        <w:ind w:left="630" w:right="901"/>
        <w:jc w:val="both"/>
        <w:rPr>
          <w:rFonts w:ascii="Palatino Linotype" w:hAnsi="Palatino Linotype" w:cs="Arial"/>
          <w:i/>
          <w:sz w:val="22"/>
          <w:szCs w:val="22"/>
        </w:rPr>
      </w:pPr>
      <w:r w:rsidRPr="00CC493D">
        <w:rPr>
          <w:rFonts w:ascii="Palatino Linotype" w:hAnsi="Palatino Linotype" w:cs="Arial"/>
          <w:i/>
          <w:sz w:val="22"/>
          <w:szCs w:val="22"/>
        </w:rPr>
        <w:t>IX. Los sindicatos que reciban y/o ejerzan recursos públicos en el ámbito estatal y municipal;</w:t>
      </w:r>
    </w:p>
    <w:p w14:paraId="0237C67B" w14:textId="77777777" w:rsidR="002F4E6E" w:rsidRPr="00CC493D" w:rsidRDefault="002F4E6E" w:rsidP="002F4E6E">
      <w:pPr>
        <w:pStyle w:val="Prrafodelista"/>
        <w:ind w:left="630" w:right="901"/>
        <w:jc w:val="both"/>
        <w:rPr>
          <w:rFonts w:ascii="Palatino Linotype" w:hAnsi="Palatino Linotype" w:cs="Arial"/>
          <w:i/>
          <w:sz w:val="22"/>
          <w:szCs w:val="22"/>
        </w:rPr>
      </w:pPr>
      <w:r w:rsidRPr="00CC493D">
        <w:rPr>
          <w:rFonts w:ascii="Palatino Linotype" w:hAnsi="Palatino Linotype" w:cs="Arial"/>
          <w:i/>
          <w:sz w:val="22"/>
          <w:szCs w:val="22"/>
        </w:rPr>
        <w:t>X. Cualquier persona física o jurídico colectiva que reciba y ejerza recursos públicos en el ámbito estatal o municipal; y</w:t>
      </w:r>
    </w:p>
    <w:p w14:paraId="30C611E2" w14:textId="77777777" w:rsidR="002F4E6E" w:rsidRPr="00CC493D" w:rsidRDefault="002F4E6E" w:rsidP="002F4E6E">
      <w:pPr>
        <w:ind w:left="630" w:right="901"/>
        <w:jc w:val="both"/>
        <w:rPr>
          <w:rFonts w:ascii="Palatino Linotype" w:hAnsi="Palatino Linotype" w:cs="Arial"/>
          <w:i/>
          <w:sz w:val="22"/>
          <w:szCs w:val="22"/>
        </w:rPr>
      </w:pPr>
      <w:r w:rsidRPr="00CC493D">
        <w:rPr>
          <w:rFonts w:ascii="Palatino Linotype" w:hAnsi="Palatino Linotype" w:cs="Arial"/>
          <w:i/>
          <w:sz w:val="22"/>
          <w:szCs w:val="22"/>
        </w:rPr>
        <w:t>XI. Cualquier otra autoridad, entidad, órgano u organismo de los poderes estatal o municipal, que reciba recursos públicos.</w:t>
      </w:r>
    </w:p>
    <w:p w14:paraId="39A8E398" w14:textId="77777777" w:rsidR="002F4E6E" w:rsidRPr="00CC493D" w:rsidRDefault="002F4E6E" w:rsidP="002F4E6E">
      <w:pPr>
        <w:pStyle w:val="Prrafodelista"/>
        <w:ind w:left="630" w:right="901"/>
        <w:jc w:val="both"/>
        <w:rPr>
          <w:rFonts w:ascii="Palatino Linotype" w:hAnsi="Palatino Linotype" w:cs="Arial"/>
          <w:b/>
          <w:i/>
          <w:sz w:val="22"/>
          <w:szCs w:val="22"/>
        </w:rPr>
      </w:pPr>
    </w:p>
    <w:p w14:paraId="1F301C8E" w14:textId="77777777" w:rsidR="002F4E6E" w:rsidRPr="00CC493D" w:rsidRDefault="002F4E6E" w:rsidP="002F4E6E">
      <w:pPr>
        <w:pStyle w:val="Prrafodelista"/>
        <w:ind w:left="630" w:right="901"/>
        <w:jc w:val="both"/>
        <w:rPr>
          <w:rFonts w:ascii="Palatino Linotype" w:hAnsi="Palatino Linotype" w:cs="Arial"/>
          <w:b/>
          <w:i/>
          <w:sz w:val="22"/>
          <w:szCs w:val="22"/>
        </w:rPr>
      </w:pPr>
      <w:r w:rsidRPr="00CC493D">
        <w:rPr>
          <w:rFonts w:ascii="Palatino Linotype" w:hAnsi="Palatino Linotype" w:cs="Arial"/>
          <w:b/>
          <w:i/>
          <w:sz w:val="22"/>
          <w:szCs w:val="22"/>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14:paraId="13C4415D" w14:textId="77777777" w:rsidR="002F4E6E" w:rsidRPr="00CC493D" w:rsidRDefault="002F4E6E" w:rsidP="002F4E6E">
      <w:pPr>
        <w:pStyle w:val="Prrafodelista"/>
        <w:ind w:left="630" w:right="901"/>
        <w:jc w:val="both"/>
        <w:rPr>
          <w:rFonts w:ascii="Palatino Linotype" w:hAnsi="Palatino Linotype" w:cs="Arial"/>
          <w:b/>
          <w:i/>
          <w:sz w:val="22"/>
          <w:szCs w:val="22"/>
          <w:u w:val="single"/>
        </w:rPr>
      </w:pPr>
    </w:p>
    <w:p w14:paraId="6B0C5517" w14:textId="77777777" w:rsidR="002F4E6E" w:rsidRPr="00CC493D" w:rsidRDefault="002F4E6E" w:rsidP="002F4E6E">
      <w:pPr>
        <w:pStyle w:val="Prrafodelista"/>
        <w:ind w:left="630" w:right="901"/>
        <w:jc w:val="both"/>
        <w:rPr>
          <w:rFonts w:ascii="Palatino Linotype" w:hAnsi="Palatino Linotype" w:cs="Arial"/>
          <w:b/>
          <w:i/>
          <w:sz w:val="22"/>
          <w:szCs w:val="22"/>
          <w:u w:val="single"/>
        </w:rPr>
      </w:pPr>
      <w:r w:rsidRPr="00CC493D">
        <w:rPr>
          <w:rFonts w:ascii="Palatino Linotype" w:hAnsi="Palatino Linotype" w:cs="Arial"/>
          <w:b/>
          <w:i/>
          <w:sz w:val="22"/>
          <w:szCs w:val="22"/>
          <w:u w:val="single"/>
        </w:rPr>
        <w:lastRenderedPageBreak/>
        <w:t>Los servidores públicos deberán transparentar sus acciones así como garantizar y respetar el derecho de acceso a la información pública.</w:t>
      </w:r>
    </w:p>
    <w:p w14:paraId="5329380F" w14:textId="77777777" w:rsidR="002F4E6E" w:rsidRPr="00CC493D" w:rsidRDefault="002F4E6E" w:rsidP="002F4E6E">
      <w:pPr>
        <w:ind w:left="630" w:right="901"/>
        <w:jc w:val="both"/>
        <w:rPr>
          <w:rFonts w:ascii="Palatino Linotype" w:hAnsi="Palatino Linotype" w:cs="Arial"/>
          <w:i/>
          <w:sz w:val="22"/>
          <w:szCs w:val="22"/>
        </w:rPr>
      </w:pPr>
    </w:p>
    <w:p w14:paraId="6F587615" w14:textId="77777777" w:rsidR="002F4E6E" w:rsidRPr="00CC493D" w:rsidRDefault="002F4E6E" w:rsidP="002F4E6E">
      <w:pPr>
        <w:ind w:left="630" w:right="901"/>
        <w:jc w:val="both"/>
        <w:rPr>
          <w:rFonts w:ascii="Palatino Linotype" w:hAnsi="Palatino Linotype" w:cs="Arial"/>
          <w:i/>
          <w:sz w:val="22"/>
          <w:szCs w:val="22"/>
        </w:rPr>
      </w:pPr>
      <w:r w:rsidRPr="00CC493D">
        <w:rPr>
          <w:rFonts w:ascii="Palatino Linotype" w:hAnsi="Palatino Linotype" w:cs="Arial"/>
          <w:i/>
          <w:sz w:val="22"/>
          <w:szCs w:val="22"/>
        </w:rPr>
        <w:t>(Énfasis añadido)</w:t>
      </w:r>
    </w:p>
    <w:p w14:paraId="2FB6ED47" w14:textId="77777777" w:rsidR="002F4E6E" w:rsidRPr="00CC493D" w:rsidRDefault="002F4E6E" w:rsidP="002F4E6E">
      <w:pPr>
        <w:pStyle w:val="Prrafodelista"/>
        <w:spacing w:line="360" w:lineRule="auto"/>
        <w:ind w:left="0"/>
        <w:jc w:val="both"/>
        <w:rPr>
          <w:rFonts w:ascii="Palatino Linotype" w:hAnsi="Palatino Linotype" w:cs="Arial"/>
          <w:color w:val="000000" w:themeColor="text1"/>
        </w:rPr>
      </w:pPr>
    </w:p>
    <w:p w14:paraId="17B99B21" w14:textId="77777777" w:rsidR="002F4E6E" w:rsidRPr="00CC493D" w:rsidRDefault="002F4E6E" w:rsidP="002F4E6E">
      <w:pPr>
        <w:pStyle w:val="Prrafodelista"/>
        <w:numPr>
          <w:ilvl w:val="0"/>
          <w:numId w:val="1"/>
        </w:numPr>
        <w:spacing w:line="360" w:lineRule="auto"/>
        <w:ind w:left="0" w:firstLine="0"/>
        <w:jc w:val="both"/>
        <w:rPr>
          <w:rFonts w:ascii="Palatino Linotype" w:hAnsi="Palatino Linotype" w:cs="Arial"/>
          <w:color w:val="000000" w:themeColor="text1"/>
        </w:rPr>
      </w:pPr>
      <w:r w:rsidRPr="00CC493D">
        <w:rPr>
          <w:rFonts w:ascii="Palatino Linotype" w:hAnsi="Palatino Linotype" w:cs="Arial"/>
          <w:lang w:val="es-ES"/>
        </w:rPr>
        <w:t>De los preceptos legales citados se establece que los Ayuntamientos se encuentran obligados a documentar y transparentar su actuar, así como a permitir el acceso a la información que generen, posean o administren; de ahí que la Ley de la materia delimita perfectamente los alcances de las obligaciones que corresponden a los Ayuntamientos.</w:t>
      </w:r>
    </w:p>
    <w:p w14:paraId="46810EC4" w14:textId="77777777" w:rsidR="002F4E6E" w:rsidRPr="00CC493D" w:rsidRDefault="002F4E6E" w:rsidP="002F4E6E">
      <w:pPr>
        <w:pStyle w:val="Prrafodelista"/>
        <w:numPr>
          <w:ilvl w:val="0"/>
          <w:numId w:val="1"/>
        </w:numPr>
        <w:spacing w:line="360" w:lineRule="auto"/>
        <w:ind w:left="0" w:firstLine="0"/>
        <w:jc w:val="both"/>
        <w:rPr>
          <w:rFonts w:ascii="Palatino Linotype" w:hAnsi="Palatino Linotype" w:cs="Arial"/>
          <w:color w:val="000000" w:themeColor="text1"/>
        </w:rPr>
      </w:pPr>
      <w:r w:rsidRPr="00CC493D">
        <w:rPr>
          <w:rFonts w:ascii="Palatino Linotype" w:hAnsi="Palatino Linotype" w:cs="Arial"/>
        </w:rPr>
        <w:t xml:space="preserve">Por consiguiente, los preceptos legales transcritos establecen que </w:t>
      </w:r>
      <w:r w:rsidRPr="00CC493D">
        <w:rPr>
          <w:rFonts w:ascii="Palatino Linotype" w:hAnsi="Palatino Linotype" w:cs="Arial"/>
          <w:b/>
        </w:rPr>
        <w:t>los Sujetos Obligados se encuentran constreñidos a entregar la información pública solicitada por los particulares</w:t>
      </w:r>
      <w:r w:rsidRPr="00CC493D">
        <w:rPr>
          <w:rFonts w:ascii="Palatino Linotype" w:hAnsi="Palatino Linotype" w:cs="Arial"/>
        </w:rPr>
        <w:t xml:space="preserve"> y que ésta misma se encuentre en sus archivos o que obre en su posesión, </w:t>
      </w:r>
      <w:r w:rsidRPr="00CC493D">
        <w:rPr>
          <w:rFonts w:ascii="Palatino Linotype" w:hAnsi="Palatino Linotype" w:cs="Arial"/>
          <w:b/>
        </w:rPr>
        <w:t xml:space="preserve">privilegiando en todo momento el principio de máxima publicidad; </w:t>
      </w:r>
      <w:r w:rsidRPr="00CC493D">
        <w:rPr>
          <w:rFonts w:ascii="Palatino Linotype" w:hAnsi="Palatino Linotype" w:cs="Arial"/>
        </w:rPr>
        <w:t>así, cuando la información generada contenga datos personales, los Sujetos Obligados no deberán proporcionarla o hacer pública, con excepción de aquellos casos en que deban hacerlo en observancia de las disposiciones aplicables.</w:t>
      </w:r>
    </w:p>
    <w:p w14:paraId="60203D82" w14:textId="77777777" w:rsidR="002F4E6E" w:rsidRPr="00CC493D" w:rsidRDefault="002F4E6E" w:rsidP="002F4E6E">
      <w:pPr>
        <w:pStyle w:val="Prrafodelista"/>
        <w:rPr>
          <w:rFonts w:ascii="Palatino Linotype" w:hAnsi="Palatino Linotype" w:cs="Arial"/>
        </w:rPr>
      </w:pPr>
    </w:p>
    <w:p w14:paraId="4FE488EE" w14:textId="77777777" w:rsidR="002F4E6E" w:rsidRPr="00CC493D" w:rsidRDefault="002F4E6E" w:rsidP="002F4E6E">
      <w:pPr>
        <w:pStyle w:val="Prrafodelista"/>
        <w:numPr>
          <w:ilvl w:val="0"/>
          <w:numId w:val="1"/>
        </w:numPr>
        <w:spacing w:line="360" w:lineRule="auto"/>
        <w:ind w:left="0" w:firstLine="0"/>
        <w:jc w:val="both"/>
        <w:rPr>
          <w:rFonts w:ascii="Palatino Linotype" w:hAnsi="Palatino Linotype" w:cs="Arial"/>
          <w:color w:val="000000" w:themeColor="text1"/>
        </w:rPr>
      </w:pPr>
      <w:r w:rsidRPr="00CC493D">
        <w:rPr>
          <w:rFonts w:ascii="Palatino Linotype" w:hAnsi="Palatino Linotype" w:cs="Arial"/>
        </w:rPr>
        <w:t xml:space="preserve">Queda de manifiesto entonces que, </w:t>
      </w:r>
      <w:r w:rsidRPr="00CC493D">
        <w:rPr>
          <w:rFonts w:ascii="Palatino Linotype" w:hAnsi="Palatino Linotype" w:cs="Arial"/>
          <w:b/>
        </w:rPr>
        <w:t>se considera información pública al conjunto de datos que posee cualquier autoridad, obtenidos en virtud del ejercicio de sus funciones de derecho público</w:t>
      </w:r>
      <w:r w:rsidRPr="00CC493D">
        <w:rPr>
          <w:rFonts w:ascii="Palatino Linotype" w:hAnsi="Palatino Linotype" w:cs="Arial"/>
        </w:rPr>
        <w:t xml:space="preserve">; criterio que ha sostenido el más alto tribunal jurisdiccional del país, la Suprema Corte de Justicia de la Nación, en la tesis 2a. LXXXVIII/2010, sustentada por la Segunda Sala, publicada en el Semanario Judicial </w:t>
      </w:r>
      <w:r w:rsidRPr="00CC493D">
        <w:rPr>
          <w:rFonts w:ascii="Palatino Linotype" w:hAnsi="Palatino Linotype" w:cs="Arial"/>
        </w:rPr>
        <w:lastRenderedPageBreak/>
        <w:t>de la Federación y su Gaceta, Novena Época, tomo XXXII, agosto de 2010, página 463, con el siguiente contenido:</w:t>
      </w:r>
    </w:p>
    <w:p w14:paraId="0D65F119" w14:textId="77777777" w:rsidR="002F4E6E" w:rsidRPr="00CC493D" w:rsidRDefault="002F4E6E" w:rsidP="002F4E6E">
      <w:pPr>
        <w:pStyle w:val="Prrafodelista"/>
        <w:spacing w:line="360" w:lineRule="auto"/>
        <w:ind w:left="0"/>
        <w:jc w:val="both"/>
        <w:rPr>
          <w:rFonts w:ascii="Palatino Linotype" w:hAnsi="Palatino Linotype" w:cs="Arial"/>
          <w:color w:val="000000" w:themeColor="text1"/>
        </w:rPr>
      </w:pPr>
    </w:p>
    <w:p w14:paraId="1ADF0F5F" w14:textId="77777777" w:rsidR="002F4E6E" w:rsidRPr="00CC493D" w:rsidRDefault="002F4E6E" w:rsidP="002F4E6E">
      <w:pPr>
        <w:pStyle w:val="Prrafodelista"/>
        <w:ind w:right="901"/>
        <w:jc w:val="both"/>
        <w:rPr>
          <w:rFonts w:ascii="Palatino Linotype" w:hAnsi="Palatino Linotype" w:cs="Arial"/>
          <w:i/>
          <w:sz w:val="22"/>
          <w:szCs w:val="22"/>
        </w:rPr>
      </w:pPr>
      <w:r w:rsidRPr="00CC493D">
        <w:rPr>
          <w:rFonts w:ascii="Palatino Linotype" w:hAnsi="Palatino Linotype" w:cs="Arial"/>
          <w:bCs/>
          <w:i/>
          <w:sz w:val="22"/>
          <w:szCs w:val="22"/>
        </w:rPr>
        <w:t>“</w:t>
      </w:r>
      <w:r w:rsidRPr="00CC493D">
        <w:rPr>
          <w:rFonts w:ascii="Palatino Linotype" w:hAnsi="Palatino Linotype" w:cs="Arial"/>
          <w:b/>
          <w:bCs/>
          <w:i/>
          <w:sz w:val="22"/>
          <w:szCs w:val="22"/>
        </w:rPr>
        <w:t>INFORMACIÓN PÚBLICA. ES AQUELLA QUE SE ENCUENTRA EN POSESIÓN DE CUALQUIER AUTORIDAD, ENTIDAD, ÓRGANO Y ORGANISMO FEDERAL, ESTATAL Y MUNICIPAL, SIEMPRE QUE SE HAYA OBTENIDO POR CAUSA DEL EJERCICIO DE FUNCIONES DE DERECHO PÚBLICO.</w:t>
      </w:r>
      <w:r w:rsidRPr="00CC493D">
        <w:rPr>
          <w:rFonts w:ascii="Palatino Linotype" w:hAnsi="Palatino Linotype" w:cs="Arial"/>
          <w:i/>
          <w:sz w:val="22"/>
          <w:szCs w:val="22"/>
        </w:rPr>
        <w:t xml:space="preserve">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w:t>
      </w:r>
      <w:r w:rsidRPr="00CC493D">
        <w:rPr>
          <w:rFonts w:ascii="Palatino Linotype" w:hAnsi="Palatino Linotype" w:cs="Arial"/>
          <w:b/>
          <w:i/>
          <w:sz w:val="22"/>
          <w:szCs w:val="22"/>
          <w:u w:val="single"/>
        </w:rPr>
        <w:t xml:space="preserve">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w:t>
      </w:r>
      <w:r w:rsidRPr="00CC493D">
        <w:rPr>
          <w:rFonts w:ascii="Palatino Linotype" w:hAnsi="Palatino Linotype" w:cs="Arial"/>
          <w:i/>
          <w:sz w:val="22"/>
          <w:szCs w:val="22"/>
        </w:rPr>
        <w:t>en términos del artículo 6o., fracción I, de la Constitución Política de los Estados Unidos Mexicanos, en relación con los numerales 1, 2, 4 y 6 de la Ley Federal de Transparencia y Acceso a la Información Pública Gubernamental” (sic)</w:t>
      </w:r>
    </w:p>
    <w:p w14:paraId="7A5D6754" w14:textId="77777777" w:rsidR="002F4E6E" w:rsidRPr="00CC493D" w:rsidRDefault="002F4E6E" w:rsidP="002F4E6E">
      <w:pPr>
        <w:pStyle w:val="Prrafodelista"/>
        <w:rPr>
          <w:rFonts w:ascii="Palatino Linotype" w:hAnsi="Palatino Linotype" w:cs="Arial"/>
          <w:color w:val="000000" w:themeColor="text1"/>
        </w:rPr>
      </w:pPr>
    </w:p>
    <w:p w14:paraId="6C520E14" w14:textId="77777777" w:rsidR="002F4E6E" w:rsidRPr="00CC493D" w:rsidRDefault="002F4E6E" w:rsidP="002F4E6E">
      <w:pPr>
        <w:pStyle w:val="Prrafodelista"/>
        <w:numPr>
          <w:ilvl w:val="0"/>
          <w:numId w:val="1"/>
        </w:numPr>
        <w:spacing w:line="360" w:lineRule="auto"/>
        <w:ind w:left="0" w:firstLine="0"/>
        <w:jc w:val="both"/>
        <w:rPr>
          <w:rFonts w:ascii="Palatino Linotype" w:hAnsi="Palatino Linotype" w:cs="Arial"/>
          <w:color w:val="000000" w:themeColor="text1"/>
        </w:rPr>
      </w:pPr>
      <w:r w:rsidRPr="00CC493D">
        <w:rPr>
          <w:rFonts w:ascii="Palatino Linotype" w:hAnsi="Palatino Linotype" w:cs="Arial"/>
          <w:color w:val="000000" w:themeColor="text1"/>
        </w:rPr>
        <w:t xml:space="preserve">Asimismo, el artículo 24 de la Ley de la materia, señala que los Sujetos Obligados sólo proporcionarán la información pública que </w:t>
      </w:r>
      <w:r w:rsidRPr="00CC493D">
        <w:rPr>
          <w:rFonts w:ascii="Palatino Linotype" w:hAnsi="Palatino Linotype" w:cs="Arial"/>
        </w:rPr>
        <w:t>generen</w:t>
      </w:r>
      <w:r w:rsidRPr="00CC493D">
        <w:rPr>
          <w:rFonts w:ascii="Palatino Linotype" w:hAnsi="Palatino Linotype" w:cs="Arial"/>
          <w:color w:val="000000" w:themeColor="text1"/>
        </w:rPr>
        <w:t>, administren o posean en el ejercicio de sus atribuciones; por consiguiente, la información pública se encuentra a disposición de cualquier persona, lo que implica que es deber de los Sujetos Obligados, garantizar a toda persona el derecho de acceso a la información pública, con las excepciones de reserva y confidencialidad que marca la propia Ley.</w:t>
      </w:r>
    </w:p>
    <w:p w14:paraId="22F30C2E" w14:textId="77777777" w:rsidR="002F4E6E" w:rsidRPr="00CC493D" w:rsidRDefault="002F4E6E" w:rsidP="002F4E6E">
      <w:pPr>
        <w:pStyle w:val="Prrafodelista"/>
        <w:spacing w:line="360" w:lineRule="auto"/>
        <w:ind w:left="0"/>
        <w:jc w:val="both"/>
        <w:rPr>
          <w:rFonts w:ascii="Palatino Linotype" w:hAnsi="Palatino Linotype" w:cs="Arial"/>
          <w:color w:val="000000" w:themeColor="text1"/>
        </w:rPr>
      </w:pPr>
    </w:p>
    <w:p w14:paraId="6126FE60" w14:textId="77777777" w:rsidR="002F4E6E" w:rsidRPr="00CC493D" w:rsidRDefault="002F4E6E" w:rsidP="002F4E6E">
      <w:pPr>
        <w:pStyle w:val="Prrafodelista"/>
        <w:numPr>
          <w:ilvl w:val="0"/>
          <w:numId w:val="1"/>
        </w:numPr>
        <w:spacing w:line="360" w:lineRule="auto"/>
        <w:ind w:left="0" w:firstLine="0"/>
        <w:jc w:val="both"/>
        <w:rPr>
          <w:rFonts w:ascii="Palatino Linotype" w:hAnsi="Palatino Linotype" w:cs="Arial"/>
          <w:color w:val="000000" w:themeColor="text1"/>
        </w:rPr>
      </w:pPr>
      <w:r w:rsidRPr="00CC493D">
        <w:rPr>
          <w:rFonts w:ascii="Palatino Linotype" w:hAnsi="Palatino Linotype" w:cs="Arial"/>
          <w:color w:val="000000" w:themeColor="text1"/>
        </w:rPr>
        <w:lastRenderedPageBreak/>
        <w:t xml:space="preserve">En esta misma tesitura, es de subrayar que el derecho de acceso a la información pública, consiste en que la información solicitada conste en un soporte documental en cualquiera de sus formas, a saber: </w:t>
      </w:r>
      <w:r w:rsidRPr="00CC493D">
        <w:rPr>
          <w:rFonts w:ascii="Palatino Linotype" w:hAnsi="Palatino Linotype" w:cs="Arial"/>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CC493D">
        <w:rPr>
          <w:rFonts w:ascii="Palatino Linotype" w:hAnsi="Palatino Linotype" w:cs="Arial"/>
          <w:color w:val="000000" w:themeColor="text1"/>
        </w:rPr>
        <w:t xml:space="preserve">; los que </w:t>
      </w:r>
      <w:r w:rsidRPr="00CC493D">
        <w:rPr>
          <w:rFonts w:ascii="Palatino Linotype" w:hAnsi="Palatino Linotype" w:cs="Arial"/>
        </w:rPr>
        <w:t>podrán estar en cualquier medio, sea escrito, impreso, sonoro, visual, electrónico, informático u holográfico</w:t>
      </w:r>
      <w:r w:rsidRPr="00CC493D">
        <w:rPr>
          <w:rFonts w:ascii="Palatino Linotype" w:hAnsi="Palatino Linotype" w:cs="Arial"/>
          <w:color w:val="000000" w:themeColor="text1"/>
        </w:rPr>
        <w:t xml:space="preserve">, de conformidad con el artículo 3, fracción XI de la Ley de la materia, el cual dispone lo siguiente: </w:t>
      </w:r>
    </w:p>
    <w:p w14:paraId="2FF99586" w14:textId="77777777" w:rsidR="002F4E6E" w:rsidRPr="00CC493D" w:rsidRDefault="002F4E6E" w:rsidP="002F4E6E">
      <w:pPr>
        <w:ind w:left="851" w:right="901"/>
        <w:jc w:val="both"/>
        <w:rPr>
          <w:rFonts w:ascii="Palatino Linotype" w:hAnsi="Palatino Linotype" w:cs="Arial"/>
          <w:i/>
          <w:color w:val="000000"/>
          <w:sz w:val="22"/>
          <w:szCs w:val="22"/>
        </w:rPr>
      </w:pPr>
      <w:r w:rsidRPr="00CC493D">
        <w:rPr>
          <w:rFonts w:ascii="Palatino Linotype" w:hAnsi="Palatino Linotype" w:cs="Arial"/>
          <w:i/>
          <w:color w:val="000000"/>
          <w:sz w:val="22"/>
          <w:szCs w:val="22"/>
        </w:rPr>
        <w:t>“</w:t>
      </w:r>
      <w:r w:rsidRPr="00CC493D">
        <w:rPr>
          <w:rFonts w:ascii="Palatino Linotype" w:hAnsi="Palatino Linotype" w:cs="Arial"/>
          <w:b/>
          <w:i/>
          <w:color w:val="000000"/>
          <w:sz w:val="22"/>
          <w:szCs w:val="22"/>
        </w:rPr>
        <w:t xml:space="preserve">Artículo 3. </w:t>
      </w:r>
      <w:r w:rsidRPr="00CC493D">
        <w:rPr>
          <w:rFonts w:ascii="Palatino Linotype" w:hAnsi="Palatino Linotype" w:cs="Arial"/>
          <w:i/>
          <w:color w:val="000000"/>
          <w:sz w:val="22"/>
          <w:szCs w:val="22"/>
        </w:rPr>
        <w:t>Para los efectos de la presente Ley se entenderá por:</w:t>
      </w:r>
    </w:p>
    <w:p w14:paraId="14E9F7B2" w14:textId="77777777" w:rsidR="002F4E6E" w:rsidRPr="00CC493D" w:rsidRDefault="002F4E6E" w:rsidP="002F4E6E">
      <w:pPr>
        <w:ind w:left="851" w:right="901"/>
        <w:jc w:val="both"/>
        <w:rPr>
          <w:rFonts w:ascii="Palatino Linotype" w:hAnsi="Palatino Linotype" w:cs="Arial"/>
          <w:i/>
          <w:color w:val="000000"/>
          <w:sz w:val="22"/>
          <w:szCs w:val="22"/>
        </w:rPr>
      </w:pPr>
      <w:r w:rsidRPr="00CC493D">
        <w:rPr>
          <w:rFonts w:ascii="Palatino Linotype" w:hAnsi="Palatino Linotype" w:cs="Arial"/>
          <w:b/>
          <w:i/>
          <w:color w:val="000000"/>
          <w:sz w:val="22"/>
          <w:szCs w:val="22"/>
        </w:rPr>
        <w:t>XI. Documento:</w:t>
      </w:r>
      <w:r w:rsidRPr="00CC493D">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6ED01C1D" w14:textId="77777777" w:rsidR="002F4E6E" w:rsidRPr="00CC493D" w:rsidRDefault="002F4E6E" w:rsidP="002F4E6E">
      <w:pPr>
        <w:rPr>
          <w:rFonts w:ascii="Palatino Linotype" w:hAnsi="Palatino Linotype" w:cs="Arial"/>
        </w:rPr>
      </w:pPr>
    </w:p>
    <w:p w14:paraId="40D36412" w14:textId="77777777" w:rsidR="002F4E6E" w:rsidRPr="00CC493D" w:rsidRDefault="002F4E6E" w:rsidP="002F4E6E">
      <w:pPr>
        <w:pStyle w:val="Prrafodelista"/>
        <w:numPr>
          <w:ilvl w:val="0"/>
          <w:numId w:val="1"/>
        </w:numPr>
        <w:spacing w:line="360" w:lineRule="auto"/>
        <w:ind w:left="0" w:firstLine="0"/>
        <w:jc w:val="both"/>
        <w:rPr>
          <w:rFonts w:ascii="Palatino Linotype" w:hAnsi="Palatino Linotype" w:cs="Arial"/>
          <w:color w:val="000000" w:themeColor="text1"/>
        </w:rPr>
      </w:pPr>
      <w:r w:rsidRPr="00CC493D">
        <w:rPr>
          <w:rFonts w:ascii="Palatino Linotype" w:hAnsi="Palatino Linotype" w:cs="Arial"/>
        </w:rPr>
        <w:t xml:space="preserve">Siendo aplicable el criterio </w:t>
      </w:r>
      <w:r w:rsidRPr="00CC493D">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CC493D">
        <w:rPr>
          <w:rFonts w:ascii="Palatino Linotype" w:hAnsi="Palatino Linotype" w:cs="Arial"/>
        </w:rPr>
        <w:t>cuyo rubro y texto dispone:</w:t>
      </w:r>
    </w:p>
    <w:p w14:paraId="08B2D0CC" w14:textId="77777777" w:rsidR="002F4E6E" w:rsidRPr="00CC493D" w:rsidRDefault="002F4E6E" w:rsidP="002F4E6E">
      <w:pPr>
        <w:pStyle w:val="Prrafodelista"/>
        <w:spacing w:line="360" w:lineRule="auto"/>
        <w:ind w:left="0"/>
        <w:jc w:val="both"/>
        <w:rPr>
          <w:rFonts w:ascii="Palatino Linotype" w:hAnsi="Palatino Linotype" w:cs="Arial"/>
          <w:color w:val="000000" w:themeColor="text1"/>
        </w:rPr>
      </w:pPr>
    </w:p>
    <w:p w14:paraId="4F00D5CF" w14:textId="77777777" w:rsidR="002F4E6E" w:rsidRPr="00CC493D" w:rsidRDefault="002F4E6E" w:rsidP="002F4E6E">
      <w:pPr>
        <w:pStyle w:val="Prrafodelista"/>
        <w:ind w:left="810" w:right="901"/>
        <w:jc w:val="center"/>
        <w:rPr>
          <w:rFonts w:ascii="Palatino Linotype" w:hAnsi="Palatino Linotype" w:cs="Arial"/>
          <w:b/>
          <w:i/>
          <w:sz w:val="22"/>
          <w:szCs w:val="22"/>
          <w:lang w:eastAsia="es-MX"/>
        </w:rPr>
      </w:pPr>
      <w:r w:rsidRPr="00CC493D">
        <w:rPr>
          <w:rFonts w:ascii="Palatino Linotype" w:hAnsi="Palatino Linotype" w:cs="Arial"/>
          <w:sz w:val="22"/>
          <w:szCs w:val="22"/>
          <w:lang w:eastAsia="es-MX"/>
        </w:rPr>
        <w:t>“</w:t>
      </w:r>
      <w:r w:rsidRPr="00CC493D">
        <w:rPr>
          <w:rFonts w:ascii="Palatino Linotype" w:hAnsi="Palatino Linotype" w:cs="Arial"/>
          <w:b/>
          <w:i/>
          <w:sz w:val="22"/>
          <w:szCs w:val="22"/>
          <w:lang w:eastAsia="es-MX"/>
        </w:rPr>
        <w:t>CRITERIO 0002-11</w:t>
      </w:r>
    </w:p>
    <w:p w14:paraId="6E174CC6" w14:textId="77777777" w:rsidR="002F4E6E" w:rsidRPr="00CC493D" w:rsidRDefault="002F4E6E" w:rsidP="002F4E6E">
      <w:pPr>
        <w:pStyle w:val="Prrafodelista"/>
        <w:ind w:left="810" w:right="901"/>
        <w:jc w:val="center"/>
        <w:rPr>
          <w:rFonts w:ascii="Palatino Linotype" w:hAnsi="Palatino Linotype" w:cs="Arial"/>
          <w:b/>
          <w:i/>
          <w:sz w:val="22"/>
          <w:szCs w:val="22"/>
          <w:lang w:eastAsia="es-MX"/>
        </w:rPr>
      </w:pPr>
    </w:p>
    <w:p w14:paraId="0EE93B53" w14:textId="77777777" w:rsidR="002F4E6E" w:rsidRPr="00CC493D" w:rsidRDefault="002F4E6E" w:rsidP="002F4E6E">
      <w:pPr>
        <w:ind w:left="810" w:right="901"/>
        <w:jc w:val="both"/>
        <w:rPr>
          <w:rFonts w:ascii="Palatino Linotype" w:hAnsi="Palatino Linotype" w:cs="Arial"/>
          <w:i/>
          <w:sz w:val="22"/>
          <w:szCs w:val="22"/>
          <w:lang w:eastAsia="es-MX"/>
        </w:rPr>
      </w:pPr>
      <w:r w:rsidRPr="00CC493D">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CC493D">
        <w:rPr>
          <w:rFonts w:ascii="Palatino Linotype" w:hAnsi="Palatino Linotype" w:cs="Arial"/>
          <w:b/>
          <w:bCs/>
          <w:i/>
          <w:sz w:val="22"/>
          <w:szCs w:val="22"/>
          <w:u w:val="single"/>
          <w:lang w:eastAsia="es-MX"/>
        </w:rPr>
        <w:t xml:space="preserve">V, XV, Y XVI, </w:t>
      </w:r>
      <w:r w:rsidRPr="00CC493D">
        <w:rPr>
          <w:rFonts w:ascii="Palatino Linotype" w:hAnsi="Palatino Linotype" w:cs="Arial"/>
          <w:b/>
          <w:i/>
          <w:sz w:val="22"/>
          <w:szCs w:val="22"/>
          <w:u w:val="single"/>
          <w:lang w:eastAsia="es-MX"/>
        </w:rPr>
        <w:t>3°, 4°, 11 Y 41.</w:t>
      </w:r>
      <w:r w:rsidRPr="00CC493D">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24958824" w14:textId="77777777" w:rsidR="002F4E6E" w:rsidRPr="00CC493D" w:rsidRDefault="002F4E6E" w:rsidP="002F4E6E">
      <w:pPr>
        <w:ind w:left="810" w:right="901"/>
        <w:jc w:val="both"/>
        <w:rPr>
          <w:rFonts w:ascii="Palatino Linotype" w:hAnsi="Palatino Linotype" w:cs="Arial"/>
          <w:i/>
          <w:sz w:val="22"/>
          <w:szCs w:val="22"/>
          <w:lang w:eastAsia="es-MX"/>
        </w:rPr>
      </w:pPr>
      <w:r w:rsidRPr="00CC493D">
        <w:rPr>
          <w:rFonts w:ascii="Palatino Linotype" w:hAnsi="Palatino Linotype" w:cs="Arial"/>
          <w:i/>
          <w:sz w:val="22"/>
          <w:szCs w:val="22"/>
          <w:lang w:eastAsia="es-MX"/>
        </w:rPr>
        <w:t>En consecuencia el acceso a la información se refiere a que se cumplan cualquiera de los siguientes tres supuestos:</w:t>
      </w:r>
    </w:p>
    <w:p w14:paraId="17948E45" w14:textId="77777777" w:rsidR="002F4E6E" w:rsidRPr="00CC493D" w:rsidRDefault="002F4E6E" w:rsidP="002F4E6E">
      <w:pPr>
        <w:pStyle w:val="Prrafodelista"/>
        <w:ind w:left="810" w:right="901"/>
        <w:jc w:val="both"/>
        <w:rPr>
          <w:rFonts w:ascii="Palatino Linotype" w:hAnsi="Palatino Linotype" w:cs="Arial"/>
          <w:b/>
          <w:i/>
          <w:sz w:val="22"/>
          <w:szCs w:val="22"/>
          <w:u w:val="single"/>
          <w:lang w:eastAsia="es-MX"/>
        </w:rPr>
      </w:pPr>
      <w:r w:rsidRPr="00CC493D">
        <w:rPr>
          <w:rFonts w:ascii="Palatino Linotype" w:hAnsi="Palatino Linotype" w:cs="Arial"/>
          <w:b/>
          <w:i/>
          <w:sz w:val="22"/>
          <w:szCs w:val="22"/>
          <w:u w:val="single"/>
          <w:lang w:eastAsia="es-MX"/>
        </w:rPr>
        <w:t>1) Que se trate de información registrada en cualquier soporte documental, que en ejercicio de las atribuciones conferidas, sea generada por los Sujetos Obligados;</w:t>
      </w:r>
    </w:p>
    <w:p w14:paraId="3922A198" w14:textId="77777777" w:rsidR="002F4E6E" w:rsidRPr="00CC493D" w:rsidRDefault="002F4E6E" w:rsidP="002F4E6E">
      <w:pPr>
        <w:pStyle w:val="Prrafodelista"/>
        <w:ind w:left="810" w:right="901"/>
        <w:jc w:val="both"/>
        <w:rPr>
          <w:rFonts w:ascii="Palatino Linotype" w:hAnsi="Palatino Linotype" w:cs="Arial"/>
          <w:i/>
          <w:sz w:val="22"/>
          <w:szCs w:val="22"/>
          <w:lang w:eastAsia="es-MX"/>
        </w:rPr>
      </w:pPr>
      <w:r w:rsidRPr="00CC493D">
        <w:rPr>
          <w:rFonts w:ascii="Palatino Linotype" w:hAnsi="Palatino Linotype" w:cs="Arial"/>
          <w:i/>
          <w:sz w:val="22"/>
          <w:szCs w:val="22"/>
          <w:lang w:eastAsia="es-MX"/>
        </w:rPr>
        <w:t>2) Que se trate de información registrada en cualquier soporte documental, que en ejercicio de las atribuciones conferidas, sea administrada por los Sujetos Obligados, y</w:t>
      </w:r>
    </w:p>
    <w:p w14:paraId="009E045D" w14:textId="77777777" w:rsidR="002F4E6E" w:rsidRPr="00CC493D" w:rsidRDefault="002F4E6E" w:rsidP="002F4E6E">
      <w:pPr>
        <w:pStyle w:val="Prrafodelista"/>
        <w:ind w:left="810" w:right="901"/>
        <w:jc w:val="both"/>
        <w:rPr>
          <w:rFonts w:ascii="Palatino Linotype" w:hAnsi="Palatino Linotype" w:cs="Arial"/>
          <w:i/>
          <w:sz w:val="22"/>
          <w:szCs w:val="22"/>
          <w:lang w:eastAsia="es-MX"/>
        </w:rPr>
      </w:pPr>
      <w:r w:rsidRPr="00CC493D">
        <w:rPr>
          <w:rFonts w:ascii="Palatino Linotype" w:hAnsi="Palatino Linotype" w:cs="Arial"/>
          <w:i/>
          <w:sz w:val="22"/>
          <w:szCs w:val="22"/>
          <w:lang w:eastAsia="es-MX"/>
        </w:rPr>
        <w:t>3) Que se trate de información registrada en cualquier soporte documental, que en ejercicio de las atribuciones conferidas, se encuentre en posesión de los Sujetos Obligados.” (SIC)</w:t>
      </w:r>
    </w:p>
    <w:p w14:paraId="51512097" w14:textId="77777777" w:rsidR="002F4E6E" w:rsidRPr="00CC493D" w:rsidRDefault="002F4E6E" w:rsidP="002F4E6E">
      <w:pPr>
        <w:pStyle w:val="Prrafodelista"/>
        <w:ind w:left="810" w:right="901"/>
        <w:jc w:val="both"/>
        <w:rPr>
          <w:rFonts w:ascii="Palatino Linotype" w:hAnsi="Palatino Linotype" w:cs="Arial"/>
          <w:sz w:val="22"/>
          <w:szCs w:val="22"/>
          <w:lang w:eastAsia="es-MX"/>
        </w:rPr>
      </w:pPr>
    </w:p>
    <w:p w14:paraId="491A037B" w14:textId="38633766" w:rsidR="002F4E6E" w:rsidRPr="00CC493D" w:rsidRDefault="002F4E6E" w:rsidP="002F4E6E">
      <w:pPr>
        <w:pStyle w:val="Prrafodelista"/>
        <w:ind w:left="810" w:right="901"/>
        <w:jc w:val="both"/>
        <w:rPr>
          <w:rFonts w:ascii="Palatino Linotype" w:hAnsi="Palatino Linotype" w:cs="Arial"/>
          <w:sz w:val="22"/>
          <w:szCs w:val="22"/>
          <w:lang w:eastAsia="es-MX"/>
        </w:rPr>
      </w:pPr>
      <w:r w:rsidRPr="00CC493D">
        <w:rPr>
          <w:rFonts w:ascii="Palatino Linotype" w:hAnsi="Palatino Linotype" w:cs="Arial"/>
          <w:sz w:val="22"/>
          <w:szCs w:val="22"/>
          <w:lang w:eastAsia="es-MX"/>
        </w:rPr>
        <w:t>(Énfasis Añadido)</w:t>
      </w:r>
    </w:p>
    <w:p w14:paraId="06045929" w14:textId="4884AC8D" w:rsidR="002F4E6E" w:rsidRPr="00CC493D" w:rsidRDefault="002F4E6E" w:rsidP="002F4E6E">
      <w:pPr>
        <w:pStyle w:val="Prrafodelista"/>
        <w:ind w:left="810" w:right="901"/>
        <w:jc w:val="both"/>
        <w:rPr>
          <w:rFonts w:ascii="Palatino Linotype" w:hAnsi="Palatino Linotype" w:cs="Arial"/>
          <w:sz w:val="22"/>
          <w:szCs w:val="22"/>
          <w:lang w:eastAsia="es-MX"/>
        </w:rPr>
      </w:pPr>
    </w:p>
    <w:p w14:paraId="24DC7437" w14:textId="77777777" w:rsidR="002F4E6E" w:rsidRPr="00CC493D" w:rsidRDefault="002F4E6E" w:rsidP="002F4E6E">
      <w:pPr>
        <w:ind w:right="901"/>
        <w:jc w:val="both"/>
        <w:rPr>
          <w:rFonts w:ascii="Palatino Linotype" w:hAnsi="Palatino Linotype" w:cs="Arial"/>
          <w:sz w:val="22"/>
          <w:szCs w:val="22"/>
          <w:lang w:eastAsia="es-MX"/>
        </w:rPr>
      </w:pPr>
    </w:p>
    <w:p w14:paraId="6FDD1FCE" w14:textId="692B9875" w:rsidR="002F4E6E" w:rsidRPr="00CC493D" w:rsidRDefault="002F4E6E" w:rsidP="002F4E6E">
      <w:pPr>
        <w:pStyle w:val="Prrafodelista"/>
        <w:numPr>
          <w:ilvl w:val="0"/>
          <w:numId w:val="1"/>
        </w:numPr>
        <w:spacing w:line="360" w:lineRule="auto"/>
        <w:ind w:left="0" w:firstLine="0"/>
        <w:jc w:val="both"/>
        <w:rPr>
          <w:rFonts w:ascii="Palatino Linotype" w:hAnsi="Palatino Linotype"/>
        </w:rPr>
      </w:pPr>
      <w:r w:rsidRPr="00CC493D">
        <w:rPr>
          <w:rFonts w:ascii="Palatino Linotype" w:eastAsia="MS Mincho" w:hAnsi="Palatino Linotype" w:cs="Arial"/>
          <w:color w:val="000000"/>
        </w:rPr>
        <w:t xml:space="preserve">Cabe destacar que de las constancias del expediente electrónico del SAIMEX, el Titular de la Unidad de Transparencia sólo turno la solicitud de información </w:t>
      </w:r>
      <w:r w:rsidRPr="00CC493D">
        <w:rPr>
          <w:rFonts w:ascii="Palatino Linotype" w:eastAsia="MS Mincho" w:hAnsi="Palatino Linotype" w:cs="Arial"/>
          <w:color w:val="000000" w:themeColor="text1"/>
        </w:rPr>
        <w:t xml:space="preserve">a la Unidad de Gestión de Control de Presidencia, </w:t>
      </w:r>
      <w:r w:rsidRPr="00CC493D">
        <w:rPr>
          <w:rFonts w:ascii="Palatino Linotype" w:eastAsia="MS Mincho" w:hAnsi="Palatino Linotype" w:cs="Arial"/>
          <w:color w:val="000000"/>
        </w:rPr>
        <w:t>como a continuacón se muestra:</w:t>
      </w:r>
    </w:p>
    <w:p w14:paraId="111A1E98" w14:textId="2FB85F35" w:rsidR="002F4E6E" w:rsidRPr="00CC493D" w:rsidRDefault="002F4E6E" w:rsidP="002F4E6E">
      <w:pPr>
        <w:pStyle w:val="Prrafodelista"/>
        <w:tabs>
          <w:tab w:val="left" w:pos="426"/>
        </w:tabs>
        <w:spacing w:line="360" w:lineRule="auto"/>
        <w:ind w:left="0"/>
        <w:jc w:val="both"/>
        <w:rPr>
          <w:rFonts w:ascii="Palatino Linotype" w:eastAsia="MS Mincho" w:hAnsi="Palatino Linotype" w:cs="Arial"/>
          <w:color w:val="000000"/>
          <w:lang w:val="es-MX"/>
        </w:rPr>
      </w:pPr>
    </w:p>
    <w:p w14:paraId="6235BE42" w14:textId="64DC1E66" w:rsidR="002F4E6E" w:rsidRPr="00CC493D" w:rsidRDefault="002F4E6E" w:rsidP="002F4E6E">
      <w:pPr>
        <w:pStyle w:val="Prrafodelista"/>
        <w:tabs>
          <w:tab w:val="left" w:pos="426"/>
        </w:tabs>
        <w:spacing w:line="360" w:lineRule="auto"/>
        <w:ind w:left="0"/>
        <w:jc w:val="both"/>
        <w:rPr>
          <w:rFonts w:ascii="Palatino Linotype" w:eastAsia="MS Mincho" w:hAnsi="Palatino Linotype" w:cs="Arial"/>
          <w:color w:val="000000"/>
          <w:lang w:val="es-MX"/>
        </w:rPr>
      </w:pPr>
      <w:r w:rsidRPr="00CC493D">
        <w:rPr>
          <w:rFonts w:ascii="Palatino Linotype" w:eastAsia="MS Mincho" w:hAnsi="Palatino Linotype" w:cs="Arial"/>
          <w:noProof/>
          <w:color w:val="000000"/>
          <w:lang w:val="es-MX" w:eastAsia="es-MX"/>
        </w:rPr>
        <w:lastRenderedPageBreak/>
        <w:drawing>
          <wp:inline distT="0" distB="0" distL="0" distR="0" wp14:anchorId="6B871D92" wp14:editId="473BBA6E">
            <wp:extent cx="5612130" cy="1385570"/>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1385570"/>
                    </a:xfrm>
                    <a:prstGeom prst="rect">
                      <a:avLst/>
                    </a:prstGeom>
                  </pic:spPr>
                </pic:pic>
              </a:graphicData>
            </a:graphic>
          </wp:inline>
        </w:drawing>
      </w:r>
    </w:p>
    <w:p w14:paraId="32147154" w14:textId="77777777" w:rsidR="002F4E6E" w:rsidRPr="00CC493D" w:rsidRDefault="002F4E6E" w:rsidP="002F4E6E">
      <w:pPr>
        <w:pStyle w:val="Prrafodelista"/>
        <w:numPr>
          <w:ilvl w:val="0"/>
          <w:numId w:val="1"/>
        </w:numPr>
        <w:tabs>
          <w:tab w:val="left" w:pos="426"/>
        </w:tabs>
        <w:spacing w:line="360" w:lineRule="auto"/>
        <w:ind w:left="0" w:firstLine="0"/>
        <w:jc w:val="both"/>
        <w:rPr>
          <w:rFonts w:ascii="Palatino Linotype" w:eastAsia="MS Mincho" w:hAnsi="Palatino Linotype" w:cs="Arial"/>
          <w:color w:val="000000"/>
          <w:lang w:val="es-MX"/>
        </w:rPr>
      </w:pPr>
      <w:r w:rsidRPr="00CC493D">
        <w:rPr>
          <w:rFonts w:ascii="Palatino Linotype" w:eastAsia="MS Mincho" w:hAnsi="Palatino Linotype" w:cs="Arial"/>
          <w:color w:val="000000"/>
          <w:lang w:val="es-MX"/>
        </w:rPr>
        <w:t xml:space="preserve">Por ello, el hecho de sólo haber turnado la solicitud a un área, se traduce a una discrecionalidad arbitraria del </w:t>
      </w:r>
      <w:r w:rsidRPr="00CC493D">
        <w:rPr>
          <w:rFonts w:ascii="Palatino Linotype" w:eastAsia="MS Mincho" w:hAnsi="Palatino Linotype" w:cs="Arial"/>
          <w:b/>
          <w:color w:val="000000"/>
          <w:lang w:val="es-MX"/>
        </w:rPr>
        <w:t>SUJETO OBLIGADO</w:t>
      </w:r>
      <w:r w:rsidRPr="00CC493D">
        <w:rPr>
          <w:rFonts w:ascii="Palatino Linotype" w:eastAsia="MS Mincho" w:hAnsi="Palatino Linotype" w:cs="Arial"/>
          <w:color w:val="000000"/>
          <w:lang w:val="es-MX"/>
        </w:rPr>
        <w:t xml:space="preserve"> al no remitirla a todas las unidades competentes, careciendo de cumplimiento a lo establecido en el artículo 162 de la Ley de Transparencia y Acceso a la Información Pública del Estado de México y Municipios, el cual a la letra dispone lo siguiente:</w:t>
      </w:r>
    </w:p>
    <w:p w14:paraId="554C81A0" w14:textId="77777777" w:rsidR="002F4E6E" w:rsidRPr="00CC493D" w:rsidRDefault="002F4E6E" w:rsidP="002F4E6E">
      <w:pPr>
        <w:tabs>
          <w:tab w:val="left" w:pos="426"/>
        </w:tabs>
        <w:spacing w:line="360" w:lineRule="auto"/>
        <w:ind w:left="567" w:right="616"/>
        <w:contextualSpacing/>
        <w:jc w:val="both"/>
        <w:rPr>
          <w:rFonts w:ascii="Palatino Linotype" w:eastAsia="MS Mincho" w:hAnsi="Palatino Linotype"/>
          <w:b/>
          <w:i/>
          <w:sz w:val="22"/>
        </w:rPr>
      </w:pPr>
    </w:p>
    <w:p w14:paraId="7315B65B" w14:textId="77777777" w:rsidR="002F4E6E" w:rsidRPr="00CC493D" w:rsidRDefault="002F4E6E" w:rsidP="002F4E6E">
      <w:pPr>
        <w:tabs>
          <w:tab w:val="left" w:pos="426"/>
        </w:tabs>
        <w:spacing w:line="360" w:lineRule="auto"/>
        <w:ind w:left="567" w:right="616"/>
        <w:contextualSpacing/>
        <w:jc w:val="both"/>
        <w:rPr>
          <w:rFonts w:ascii="Palatino Linotype" w:eastAsia="MS Mincho" w:hAnsi="Palatino Linotype"/>
          <w:i/>
          <w:sz w:val="22"/>
        </w:rPr>
      </w:pPr>
      <w:r w:rsidRPr="00CC493D">
        <w:rPr>
          <w:rFonts w:ascii="Palatino Linotype" w:eastAsia="MS Mincho" w:hAnsi="Palatino Linotype"/>
          <w:b/>
          <w:i/>
          <w:sz w:val="22"/>
        </w:rPr>
        <w:t>“Artículo 162.</w:t>
      </w:r>
      <w:r w:rsidRPr="00CC493D">
        <w:rPr>
          <w:rFonts w:ascii="Palatino Linotype" w:eastAsia="MS Mincho" w:hAnsi="Palatino Linotype"/>
          <w:i/>
          <w:sz w:val="22"/>
        </w:rPr>
        <w:t xml:space="preserve">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p w14:paraId="2301BC18" w14:textId="77777777" w:rsidR="002F4E6E" w:rsidRPr="00CC493D" w:rsidRDefault="002F4E6E" w:rsidP="002F4E6E">
      <w:pPr>
        <w:tabs>
          <w:tab w:val="left" w:pos="426"/>
        </w:tabs>
        <w:spacing w:line="360" w:lineRule="auto"/>
        <w:ind w:left="567" w:right="616"/>
        <w:contextualSpacing/>
        <w:jc w:val="both"/>
        <w:rPr>
          <w:rFonts w:ascii="Palatino Linotype" w:eastAsia="MS Mincho" w:hAnsi="Palatino Linotype"/>
          <w:i/>
          <w:sz w:val="22"/>
        </w:rPr>
      </w:pPr>
    </w:p>
    <w:p w14:paraId="1499A217" w14:textId="77777777" w:rsidR="002F4E6E" w:rsidRPr="00CC493D" w:rsidRDefault="002F4E6E" w:rsidP="002F4E6E">
      <w:pPr>
        <w:tabs>
          <w:tab w:val="left" w:pos="426"/>
        </w:tabs>
        <w:spacing w:line="360" w:lineRule="auto"/>
        <w:ind w:left="567" w:right="616"/>
        <w:contextualSpacing/>
        <w:jc w:val="both"/>
        <w:rPr>
          <w:rFonts w:ascii="Palatino Linotype" w:eastAsia="MS Mincho" w:hAnsi="Palatino Linotype" w:cs="Arial"/>
          <w:color w:val="000000"/>
          <w:sz w:val="22"/>
          <w:lang w:val="es-MX"/>
        </w:rPr>
      </w:pPr>
      <w:r w:rsidRPr="00CC493D">
        <w:rPr>
          <w:rFonts w:ascii="Palatino Linotype" w:eastAsia="MS Mincho" w:hAnsi="Palatino Linotype"/>
          <w:sz w:val="22"/>
        </w:rPr>
        <w:t>(Énfasis añadido)</w:t>
      </w:r>
    </w:p>
    <w:p w14:paraId="64EBF6C3" w14:textId="77777777" w:rsidR="002F4E6E" w:rsidRPr="00CC493D" w:rsidRDefault="002F4E6E" w:rsidP="002F4E6E">
      <w:pPr>
        <w:tabs>
          <w:tab w:val="left" w:pos="426"/>
        </w:tabs>
        <w:spacing w:line="360" w:lineRule="auto"/>
        <w:contextualSpacing/>
        <w:jc w:val="both"/>
        <w:rPr>
          <w:rFonts w:ascii="Palatino Linotype" w:eastAsia="MS Mincho" w:hAnsi="Palatino Linotype" w:cs="Arial"/>
          <w:color w:val="000000"/>
          <w:lang w:val="es-MX"/>
        </w:rPr>
      </w:pPr>
    </w:p>
    <w:p w14:paraId="4B668FB3" w14:textId="77777777" w:rsidR="002F4E6E" w:rsidRPr="00CC493D" w:rsidRDefault="002F4E6E" w:rsidP="002F4E6E">
      <w:pPr>
        <w:numPr>
          <w:ilvl w:val="0"/>
          <w:numId w:val="1"/>
        </w:numPr>
        <w:tabs>
          <w:tab w:val="left" w:pos="426"/>
        </w:tabs>
        <w:spacing w:line="360" w:lineRule="auto"/>
        <w:ind w:left="0" w:firstLine="0"/>
        <w:contextualSpacing/>
        <w:jc w:val="both"/>
        <w:rPr>
          <w:rFonts w:ascii="Palatino Linotype" w:eastAsia="MS Mincho" w:hAnsi="Palatino Linotype" w:cs="Arial"/>
          <w:color w:val="000000"/>
          <w:lang w:val="es-MX"/>
        </w:rPr>
      </w:pPr>
      <w:r w:rsidRPr="00CC493D">
        <w:rPr>
          <w:rFonts w:ascii="Palatino Linotype" w:eastAsia="MS Mincho" w:hAnsi="Palatino Linotype" w:cs="Arial"/>
          <w:color w:val="000000"/>
          <w:lang w:val="es-MX"/>
        </w:rPr>
        <w:t xml:space="preserve">Del precepto jurídico se desprende que los Sujetos Obligados tienen el deber de turnar la solicitud de información a todas las áreas o unidades administrativas donde pudiera obrar la información, a fin de realizar la búsqueda exhaustiva y razonable de la misma, lo cual como ya quedó establecido no ocurrió, puesto que en el apartado de requerimientos se aprecia que la solicitud sólo se turnó a un área, </w:t>
      </w:r>
      <w:r w:rsidRPr="00CC493D">
        <w:rPr>
          <w:rFonts w:ascii="Palatino Linotype" w:eastAsia="MS Mincho" w:hAnsi="Palatino Linotype" w:cs="Arial"/>
          <w:color w:val="000000"/>
          <w:lang w:val="es-MX"/>
        </w:rPr>
        <w:lastRenderedPageBreak/>
        <w:t>cuando realmente se aprecia que existen otras más que pudieran contar con la información.</w:t>
      </w:r>
    </w:p>
    <w:p w14:paraId="38A39F58" w14:textId="77777777" w:rsidR="002F4E6E" w:rsidRPr="00CC493D" w:rsidRDefault="002F4E6E" w:rsidP="002F4E6E">
      <w:pPr>
        <w:tabs>
          <w:tab w:val="left" w:pos="426"/>
        </w:tabs>
        <w:spacing w:line="360" w:lineRule="auto"/>
        <w:contextualSpacing/>
        <w:jc w:val="both"/>
        <w:rPr>
          <w:rFonts w:ascii="Palatino Linotype" w:eastAsia="MS Mincho" w:hAnsi="Palatino Linotype" w:cs="Arial"/>
          <w:color w:val="000000"/>
          <w:lang w:val="es-MX"/>
        </w:rPr>
      </w:pPr>
    </w:p>
    <w:p w14:paraId="340912F2" w14:textId="7C12F107" w:rsidR="002F4E6E" w:rsidRPr="00CC493D" w:rsidRDefault="002F4E6E" w:rsidP="002F4E6E">
      <w:pPr>
        <w:widowControl w:val="0"/>
        <w:numPr>
          <w:ilvl w:val="0"/>
          <w:numId w:val="1"/>
        </w:numPr>
        <w:tabs>
          <w:tab w:val="left" w:pos="426"/>
        </w:tabs>
        <w:autoSpaceDE w:val="0"/>
        <w:autoSpaceDN w:val="0"/>
        <w:adjustRightInd w:val="0"/>
        <w:spacing w:line="360" w:lineRule="auto"/>
        <w:ind w:left="0" w:right="49" w:firstLine="0"/>
        <w:jc w:val="both"/>
        <w:rPr>
          <w:rFonts w:ascii="Palatino Linotype" w:eastAsia="MS Mincho" w:hAnsi="Palatino Linotype"/>
        </w:rPr>
      </w:pPr>
      <w:r w:rsidRPr="00CC493D">
        <w:rPr>
          <w:rFonts w:ascii="Palatino Linotype" w:eastAsia="MS Mincho" w:hAnsi="Palatino Linotype"/>
        </w:rPr>
        <w:t>Por tanto, y de acuerdo con lo expuesto, este Órgano Garante cuenta con funciones jurisdiccionales, por lo que al momento de resolver un recurso de revisión vinculado con el derecho fundamental de acceso a la información pública, se encuentra constitucional y convencionalmente facultado para adoptar criterios orientadores emitidos por la Corte Interamericana de Derechos Humanos.</w:t>
      </w:r>
    </w:p>
    <w:p w14:paraId="7DB5953F" w14:textId="77777777" w:rsidR="00D13F1B" w:rsidRPr="00CC493D" w:rsidRDefault="00D13F1B" w:rsidP="00D13F1B">
      <w:pPr>
        <w:widowControl w:val="0"/>
        <w:tabs>
          <w:tab w:val="left" w:pos="426"/>
        </w:tabs>
        <w:autoSpaceDE w:val="0"/>
        <w:autoSpaceDN w:val="0"/>
        <w:adjustRightInd w:val="0"/>
        <w:spacing w:line="360" w:lineRule="auto"/>
        <w:ind w:right="49"/>
        <w:jc w:val="both"/>
        <w:rPr>
          <w:rFonts w:ascii="Palatino Linotype" w:eastAsia="MS Mincho" w:hAnsi="Palatino Linotype"/>
        </w:rPr>
      </w:pPr>
    </w:p>
    <w:p w14:paraId="5B2899AA" w14:textId="77777777" w:rsidR="002F4E6E" w:rsidRPr="00CC493D" w:rsidRDefault="002F4E6E" w:rsidP="002F4E6E">
      <w:pPr>
        <w:widowControl w:val="0"/>
        <w:numPr>
          <w:ilvl w:val="0"/>
          <w:numId w:val="1"/>
        </w:numPr>
        <w:tabs>
          <w:tab w:val="left" w:pos="426"/>
        </w:tabs>
        <w:autoSpaceDE w:val="0"/>
        <w:autoSpaceDN w:val="0"/>
        <w:adjustRightInd w:val="0"/>
        <w:spacing w:line="360" w:lineRule="auto"/>
        <w:ind w:left="0" w:right="49" w:firstLine="0"/>
        <w:jc w:val="both"/>
        <w:rPr>
          <w:rFonts w:ascii="Palatino Linotype" w:eastAsia="MS Mincho" w:hAnsi="Palatino Linotype"/>
        </w:rPr>
      </w:pPr>
      <w:r w:rsidRPr="00CC493D">
        <w:rPr>
          <w:rFonts w:ascii="Palatino Linotype" w:eastAsia="MS Mincho" w:hAnsi="Palatino Linotype" w:cs="Arial"/>
        </w:rPr>
        <w:t xml:space="preserve">Sirviendo de </w:t>
      </w:r>
      <w:r w:rsidRPr="00CC493D">
        <w:rPr>
          <w:rFonts w:ascii="Palatino Linotype" w:eastAsia="MS Mincho" w:hAnsi="Palatino Linotype"/>
        </w:rPr>
        <w:t>sustento a lo anterior, Tesis Aislada P. LXVI/2011(9a.), publicado en el Semanario Judicial de la Federación y su Gaceta, Libro III, diciembre de 2011, Tomo 1, pág. 550, que a la letra refiere lo siguiente:</w:t>
      </w:r>
    </w:p>
    <w:p w14:paraId="3F9C0119" w14:textId="77777777" w:rsidR="002F4E6E" w:rsidRPr="00CC493D" w:rsidRDefault="002F4E6E" w:rsidP="002F4E6E">
      <w:pPr>
        <w:spacing w:line="360" w:lineRule="auto"/>
        <w:ind w:left="567" w:right="616"/>
        <w:jc w:val="both"/>
        <w:rPr>
          <w:rFonts w:ascii="Palatino Linotype" w:eastAsia="MS Mincho" w:hAnsi="Palatino Linotype" w:cs="Calibri"/>
          <w:b/>
          <w:bCs/>
          <w:color w:val="000000"/>
          <w:sz w:val="22"/>
          <w:szCs w:val="22"/>
        </w:rPr>
      </w:pPr>
    </w:p>
    <w:p w14:paraId="5EE2FCF6" w14:textId="77777777" w:rsidR="002F4E6E" w:rsidRPr="00CC493D" w:rsidRDefault="002F4E6E" w:rsidP="002F4E6E">
      <w:pPr>
        <w:spacing w:line="360" w:lineRule="auto"/>
        <w:ind w:left="567" w:right="616"/>
        <w:jc w:val="both"/>
        <w:rPr>
          <w:rFonts w:ascii="Palatino Linotype" w:eastAsia="MS Mincho" w:hAnsi="Palatino Linotype" w:cs="Calibri"/>
          <w:b/>
          <w:bCs/>
          <w:i/>
          <w:color w:val="000000"/>
          <w:sz w:val="22"/>
          <w:szCs w:val="22"/>
        </w:rPr>
      </w:pPr>
      <w:r w:rsidRPr="00CC493D">
        <w:rPr>
          <w:rFonts w:ascii="Palatino Linotype" w:eastAsia="MS Mincho" w:hAnsi="Palatino Linotype" w:cs="Calibri"/>
          <w:b/>
          <w:bCs/>
          <w:i/>
          <w:color w:val="000000"/>
          <w:sz w:val="22"/>
          <w:szCs w:val="22"/>
        </w:rPr>
        <w:t>“CRITERIOS EMITIDOS POR LA CORTE INTERAMERICANA DE DERECHOS HUMANOS CUANDO EL ESTADO MEXICANO NO FUE PARTE. SON ORIENTADORES PARA LOS JUECES MEXICANOS SIEMPRE QUE SEAN MÁS FAVORABLES A LA PERSONA EN TÉRMINOS DEL ARTÍCULO 1o. DE LA CONSTITUCIÓN FEDERAL.</w:t>
      </w:r>
    </w:p>
    <w:p w14:paraId="450F6440" w14:textId="77777777" w:rsidR="002F4E6E" w:rsidRPr="00CC493D" w:rsidRDefault="002F4E6E" w:rsidP="002F4E6E">
      <w:pPr>
        <w:spacing w:line="360" w:lineRule="auto"/>
        <w:ind w:left="567" w:right="616"/>
        <w:rPr>
          <w:rFonts w:ascii="Palatino Linotype" w:eastAsia="MS Mincho" w:hAnsi="Palatino Linotype"/>
          <w:i/>
          <w:color w:val="000000"/>
          <w:sz w:val="22"/>
          <w:szCs w:val="22"/>
        </w:rPr>
      </w:pPr>
    </w:p>
    <w:p w14:paraId="7A85C0E4" w14:textId="77777777" w:rsidR="002F4E6E" w:rsidRPr="00CC493D" w:rsidRDefault="002F4E6E" w:rsidP="002F4E6E">
      <w:pPr>
        <w:spacing w:line="360" w:lineRule="auto"/>
        <w:ind w:left="567" w:right="616"/>
        <w:jc w:val="both"/>
        <w:rPr>
          <w:rFonts w:ascii="Palatino Linotype" w:eastAsia="MS Mincho" w:hAnsi="Palatino Linotype" w:cs="Calibri"/>
          <w:i/>
          <w:color w:val="000000"/>
          <w:sz w:val="22"/>
          <w:szCs w:val="22"/>
        </w:rPr>
      </w:pPr>
      <w:r w:rsidRPr="00CC493D">
        <w:rPr>
          <w:rFonts w:ascii="Palatino Linotype" w:eastAsia="MS Mincho" w:hAnsi="Palatino Linotype" w:cs="Calibri"/>
          <w:i/>
          <w:color w:val="000000"/>
          <w:sz w:val="22"/>
          <w:szCs w:val="22"/>
        </w:rPr>
        <w:t>Los criterios de la Corte Interamericana de Derechos Humanos que derivan de sentencias en donde el Estado Mexicano no intervino como parte en el litigio son orientadores para todas las decisiones de los jueces mexicanos, siempre que sean más favorables a la persona, de conformidad con el artículo </w:t>
      </w:r>
      <w:hyperlink r:id="rId17" w:history="1">
        <w:r w:rsidRPr="00CC493D">
          <w:rPr>
            <w:rFonts w:ascii="Palatino Linotype" w:eastAsia="MS Mincho" w:hAnsi="Palatino Linotype" w:cs="Calibri"/>
            <w:i/>
            <w:color w:val="000000"/>
            <w:sz w:val="22"/>
            <w:szCs w:val="22"/>
            <w:u w:val="single"/>
          </w:rPr>
          <w:t>1o. constitucional</w:t>
        </w:r>
      </w:hyperlink>
      <w:r w:rsidRPr="00CC493D">
        <w:rPr>
          <w:rFonts w:ascii="Palatino Linotype" w:eastAsia="MS Mincho" w:hAnsi="Palatino Linotype" w:cs="Calibri"/>
          <w:i/>
          <w:color w:val="000000"/>
          <w:sz w:val="22"/>
          <w:szCs w:val="22"/>
        </w:rPr>
        <w:t xml:space="preserve">. De este modo, </w:t>
      </w:r>
      <w:r w:rsidRPr="00CC493D">
        <w:rPr>
          <w:rFonts w:ascii="Palatino Linotype" w:eastAsia="MS Mincho" w:hAnsi="Palatino Linotype" w:cs="Calibri"/>
          <w:i/>
          <w:color w:val="000000"/>
          <w:sz w:val="22"/>
          <w:szCs w:val="22"/>
        </w:rPr>
        <w:lastRenderedPageBreak/>
        <w:t>los jueces nacionales deben observar los derechos humanos establecidos en la Constitución Mexicana y en los tratados internacionales de los que el Estado Mexicano sea parte, así como los criterios emitidos por el Poder Judicial de la Federación al interpretarlos y acudir a los criterios interpretativos de la Corte Interamericana para evaluar si existe alguno que resulte más favorable y procure una protección más amplia del derecho que se pretende proteger. Esto no prejuzga la posibilidad de que sean los criterios internos los que se cumplan de mejor manera con lo establecido por la Constitución en términos de su artículo 1o., lo cual tendrá que valorarse caso por caso a fin de garantizar siempre la mayor protección de los derechos humanos.</w:t>
      </w:r>
    </w:p>
    <w:p w14:paraId="7845DC44" w14:textId="77777777" w:rsidR="002F4E6E" w:rsidRPr="00CC493D" w:rsidRDefault="002F4E6E" w:rsidP="002F4E6E">
      <w:pPr>
        <w:spacing w:line="360" w:lineRule="auto"/>
        <w:ind w:left="567" w:right="616"/>
        <w:rPr>
          <w:rFonts w:ascii="Palatino Linotype" w:eastAsia="MS Mincho" w:hAnsi="Palatino Linotype"/>
          <w:i/>
          <w:color w:val="000000"/>
          <w:sz w:val="22"/>
          <w:szCs w:val="22"/>
        </w:rPr>
      </w:pPr>
    </w:p>
    <w:p w14:paraId="2B201D35" w14:textId="77777777" w:rsidR="002F4E6E" w:rsidRPr="00CC493D" w:rsidRDefault="002F4E6E" w:rsidP="002F4E6E">
      <w:pPr>
        <w:spacing w:line="360" w:lineRule="auto"/>
        <w:ind w:left="567" w:right="616"/>
        <w:jc w:val="both"/>
        <w:rPr>
          <w:rFonts w:ascii="Palatino Linotype" w:hAnsi="Palatino Linotype" w:cs="Calibri"/>
          <w:i/>
          <w:color w:val="000000"/>
          <w:sz w:val="22"/>
          <w:szCs w:val="22"/>
          <w:lang w:val="es-MX" w:eastAsia="es-MX"/>
        </w:rPr>
      </w:pPr>
      <w:r w:rsidRPr="00CC493D">
        <w:rPr>
          <w:rFonts w:ascii="Palatino Linotype" w:hAnsi="Palatino Linotype" w:cs="Calibri"/>
          <w:i/>
          <w:color w:val="000000"/>
          <w:sz w:val="22"/>
          <w:szCs w:val="22"/>
          <w:lang w:val="es-MX" w:eastAsia="es-MX"/>
        </w:rPr>
        <w:t>Varios 912/2010. 14 de de julio de 2011. Mayoría de seis votos; votaron en contra: José Ramón Cossío Díaz, Arturo Zaldívar Lelo de Larrea, Sergio A. Valls Hernández, Olga Sánchez Cordero de García Villegas y Juan N. Silva Meza. Ponente: Margarita Beatriz Luna Ramos. Encargado del engrose: José Ramón Cossío Díaz. Secretarios: Raúl Manuel Mejía Garza y Laura Patricia Rojas Zamudio.</w:t>
      </w:r>
    </w:p>
    <w:p w14:paraId="0A0D4184" w14:textId="77777777" w:rsidR="002F4E6E" w:rsidRPr="00CC493D" w:rsidRDefault="002F4E6E" w:rsidP="002F4E6E">
      <w:pPr>
        <w:spacing w:line="360" w:lineRule="auto"/>
        <w:ind w:left="567" w:right="616"/>
        <w:jc w:val="both"/>
        <w:rPr>
          <w:rFonts w:ascii="Palatino Linotype" w:hAnsi="Palatino Linotype" w:cs="Calibri"/>
          <w:i/>
          <w:color w:val="000000"/>
          <w:sz w:val="22"/>
          <w:szCs w:val="22"/>
          <w:lang w:val="es-MX" w:eastAsia="es-MX"/>
        </w:rPr>
      </w:pPr>
    </w:p>
    <w:p w14:paraId="39970E77" w14:textId="77777777" w:rsidR="002F4E6E" w:rsidRPr="00CC493D" w:rsidRDefault="002F4E6E" w:rsidP="002F4E6E">
      <w:pPr>
        <w:spacing w:line="360" w:lineRule="auto"/>
        <w:ind w:left="567" w:right="616"/>
        <w:jc w:val="both"/>
        <w:rPr>
          <w:rFonts w:ascii="Palatino Linotype" w:hAnsi="Palatino Linotype" w:cs="Calibri"/>
          <w:i/>
          <w:color w:val="000000"/>
          <w:sz w:val="22"/>
          <w:szCs w:val="22"/>
          <w:lang w:val="es-MX" w:eastAsia="es-MX"/>
        </w:rPr>
      </w:pPr>
      <w:r w:rsidRPr="00CC493D">
        <w:rPr>
          <w:rFonts w:ascii="Palatino Linotype" w:hAnsi="Palatino Linotype" w:cs="Calibri"/>
          <w:i/>
          <w:color w:val="000000"/>
          <w:sz w:val="22"/>
          <w:szCs w:val="22"/>
          <w:lang w:val="es-MX" w:eastAsia="es-MX"/>
        </w:rPr>
        <w:t>El Tribunal Pleno, el veintiocho de noviembre en curso, aprobó, con el número LXVI/2011 (9a.), la tesis aislada que antecede. México, Distrito Federal, a veintiocho de noviembre de dos mil once.”</w:t>
      </w:r>
    </w:p>
    <w:p w14:paraId="7312B6D5" w14:textId="77777777" w:rsidR="002F4E6E" w:rsidRPr="00CC493D" w:rsidRDefault="002F4E6E" w:rsidP="002F4E6E">
      <w:pPr>
        <w:spacing w:line="360" w:lineRule="auto"/>
        <w:ind w:left="567" w:right="616"/>
        <w:jc w:val="both"/>
        <w:rPr>
          <w:rFonts w:ascii="Palatino Linotype" w:hAnsi="Palatino Linotype" w:cs="Calibri"/>
          <w:i/>
          <w:color w:val="000000"/>
          <w:sz w:val="22"/>
          <w:szCs w:val="22"/>
          <w:lang w:val="es-MX" w:eastAsia="es-MX"/>
        </w:rPr>
      </w:pPr>
    </w:p>
    <w:p w14:paraId="2FFCEDC9" w14:textId="77777777" w:rsidR="002F4E6E" w:rsidRPr="00CC493D" w:rsidRDefault="002F4E6E" w:rsidP="002F4E6E">
      <w:pPr>
        <w:spacing w:line="360" w:lineRule="auto"/>
        <w:ind w:left="567" w:right="616"/>
        <w:jc w:val="both"/>
        <w:rPr>
          <w:rFonts w:ascii="Palatino Linotype" w:hAnsi="Palatino Linotype" w:cs="Calibri"/>
          <w:color w:val="000000"/>
          <w:sz w:val="22"/>
          <w:szCs w:val="22"/>
          <w:lang w:val="es-MX" w:eastAsia="es-MX"/>
        </w:rPr>
      </w:pPr>
      <w:r w:rsidRPr="00CC493D">
        <w:rPr>
          <w:rFonts w:ascii="Palatino Linotype" w:hAnsi="Palatino Linotype" w:cs="Calibri"/>
          <w:color w:val="000000"/>
          <w:sz w:val="22"/>
          <w:szCs w:val="22"/>
          <w:lang w:val="es-MX" w:eastAsia="es-MX"/>
        </w:rPr>
        <w:t>(Énfasis añadido)</w:t>
      </w:r>
    </w:p>
    <w:p w14:paraId="153AFAC9" w14:textId="77777777" w:rsidR="002F4E6E" w:rsidRPr="00CC493D" w:rsidRDefault="002F4E6E" w:rsidP="002F4E6E">
      <w:pPr>
        <w:spacing w:line="360" w:lineRule="auto"/>
        <w:ind w:left="567" w:right="616"/>
        <w:jc w:val="both"/>
        <w:rPr>
          <w:rFonts w:ascii="Palatino Linotype" w:hAnsi="Palatino Linotype" w:cs="Calibri"/>
          <w:color w:val="000000"/>
          <w:sz w:val="22"/>
          <w:szCs w:val="22"/>
          <w:lang w:val="es-MX" w:eastAsia="es-MX"/>
        </w:rPr>
      </w:pPr>
    </w:p>
    <w:p w14:paraId="0369A064" w14:textId="473C19ED" w:rsidR="002D1751" w:rsidRPr="00CC493D" w:rsidRDefault="002F4E6E" w:rsidP="002D1751">
      <w:pPr>
        <w:pStyle w:val="Prrafodelista"/>
        <w:numPr>
          <w:ilvl w:val="0"/>
          <w:numId w:val="1"/>
        </w:numPr>
        <w:spacing w:before="240" w:after="240" w:line="360" w:lineRule="auto"/>
        <w:ind w:left="0" w:firstLine="0"/>
        <w:jc w:val="both"/>
        <w:rPr>
          <w:rFonts w:ascii="Palatino Linotype" w:hAnsi="Palatino Linotype"/>
          <w:i/>
        </w:rPr>
      </w:pPr>
      <w:r w:rsidRPr="00CC493D">
        <w:rPr>
          <w:rFonts w:ascii="Palatino Linotype" w:hAnsi="Palatino Linotype" w:cs="Arial"/>
          <w:color w:val="000000" w:themeColor="text1"/>
        </w:rPr>
        <w:t xml:space="preserve">En consecuencia, el </w:t>
      </w:r>
      <w:r w:rsidRPr="00CC493D">
        <w:rPr>
          <w:rFonts w:ascii="Palatino Linotype" w:hAnsi="Palatino Linotype" w:cs="Arial"/>
          <w:b/>
          <w:color w:val="000000" w:themeColor="text1"/>
        </w:rPr>
        <w:t>SUJETO OBLIGADO</w:t>
      </w:r>
      <w:r w:rsidRPr="00CC493D">
        <w:rPr>
          <w:rFonts w:ascii="Palatino Linotype" w:hAnsi="Palatino Linotype" w:cs="Arial"/>
          <w:color w:val="000000" w:themeColor="text1"/>
        </w:rPr>
        <w:t xml:space="preserve"> deberá hacer una </w:t>
      </w:r>
      <w:r w:rsidRPr="00CC493D">
        <w:rPr>
          <w:rFonts w:ascii="Palatino Linotype" w:hAnsi="Palatino Linotype" w:cs="Arial"/>
        </w:rPr>
        <w:t xml:space="preserve">búsqueda exhaustiva </w:t>
      </w:r>
      <w:r w:rsidRPr="00CC493D">
        <w:rPr>
          <w:rFonts w:ascii="Palatino Linotype" w:eastAsia="MS Mincho" w:hAnsi="Palatino Linotype" w:cs="Arial"/>
          <w:color w:val="000000"/>
          <w:lang w:val="es-MX"/>
        </w:rPr>
        <w:t xml:space="preserve">y razonable del documento donde conste </w:t>
      </w:r>
      <w:r w:rsidR="002D1751" w:rsidRPr="00CC493D">
        <w:rPr>
          <w:rFonts w:ascii="Palatino Linotype" w:eastAsia="MS Mincho" w:hAnsi="Palatino Linotype" w:cs="Arial"/>
          <w:color w:val="000000"/>
          <w:lang w:val="es-MX"/>
        </w:rPr>
        <w:t>el</w:t>
      </w:r>
      <w:r w:rsidR="002D1751" w:rsidRPr="00CC493D">
        <w:rPr>
          <w:rFonts w:ascii="Palatino Linotype" w:hAnsi="Palatino Linotype"/>
          <w:color w:val="000000"/>
        </w:rPr>
        <w:t xml:space="preserve"> informe detallado y por </w:t>
      </w:r>
      <w:r w:rsidR="002D1751" w:rsidRPr="00CC493D">
        <w:rPr>
          <w:rFonts w:ascii="Palatino Linotype" w:hAnsi="Palatino Linotype"/>
          <w:color w:val="000000"/>
        </w:rPr>
        <w:lastRenderedPageBreak/>
        <w:t>escrito por parte del Presidente(A) de la Comision Edilicia transitoria de atencion y seguimiento de las acciones, insumos y casos del covid 19 en el Municipio de Teoloyucan respecto a: a).-Todas y cada una de las acciones que se implementaron. b).-El presupuesto asignado respecto a todas y cada una de las acciones implementadas. c).-La comprobacion de gastos y los comprobantes respectivos de todas y cada una de las acciones implementadas por el periodo comprendido del día de creacion de la comision edilicia en cita  y hasta el dia treinta y uno de julio de dos mil veinte.</w:t>
      </w:r>
    </w:p>
    <w:p w14:paraId="66A6D045" w14:textId="77777777" w:rsidR="00EB2DEA" w:rsidRPr="00CC493D" w:rsidRDefault="00EB2DEA" w:rsidP="00EB2DEA">
      <w:pPr>
        <w:keepNext/>
        <w:keepLines/>
        <w:spacing w:before="240"/>
        <w:outlineLvl w:val="0"/>
        <w:rPr>
          <w:rFonts w:ascii="Palatino Linotype" w:hAnsi="Palatino Linotype" w:cstheme="majorBidi"/>
        </w:rPr>
      </w:pPr>
      <w:bookmarkStart w:id="127" w:name="_Toc524344195"/>
      <w:bookmarkStart w:id="128" w:name="_Toc526271200"/>
      <w:bookmarkStart w:id="129" w:name="_Toc536106974"/>
      <w:bookmarkStart w:id="130" w:name="_Toc3467946"/>
      <w:r w:rsidRPr="00CC493D">
        <w:rPr>
          <w:rFonts w:ascii="Palatino Linotype" w:hAnsi="Palatino Linotype" w:cstheme="majorBidi"/>
          <w:b/>
        </w:rPr>
        <w:t>QUINTO. El cumplimiento a esta resolución es susceptible de ser impugnado</w:t>
      </w:r>
      <w:bookmarkEnd w:id="127"/>
      <w:bookmarkEnd w:id="128"/>
      <w:r w:rsidRPr="00CC493D">
        <w:rPr>
          <w:rFonts w:ascii="Palatino Linotype" w:hAnsi="Palatino Linotype" w:cstheme="majorBidi"/>
          <w:b/>
        </w:rPr>
        <w:t>.</w:t>
      </w:r>
      <w:bookmarkEnd w:id="129"/>
      <w:bookmarkEnd w:id="130"/>
    </w:p>
    <w:p w14:paraId="2890CF98" w14:textId="77777777" w:rsidR="00EB2DEA" w:rsidRPr="00CC493D" w:rsidRDefault="00EB2DEA" w:rsidP="00EB2DEA">
      <w:pPr>
        <w:spacing w:line="360" w:lineRule="auto"/>
        <w:ind w:right="49"/>
        <w:contextualSpacing/>
        <w:jc w:val="both"/>
        <w:rPr>
          <w:rFonts w:ascii="Palatino Linotype" w:hAnsi="Palatino Linotype" w:cs="Arial"/>
          <w:b/>
          <w:color w:val="000000"/>
          <w:lang w:val="es-ES_tradnl" w:eastAsia="es-ES"/>
        </w:rPr>
      </w:pPr>
    </w:p>
    <w:p w14:paraId="5678BC9B" w14:textId="77777777" w:rsidR="00EB2DEA" w:rsidRPr="00CC493D" w:rsidRDefault="00EB2DEA" w:rsidP="00EB2DEA">
      <w:pPr>
        <w:numPr>
          <w:ilvl w:val="0"/>
          <w:numId w:val="1"/>
        </w:numPr>
        <w:spacing w:before="240" w:after="240" w:line="360" w:lineRule="auto"/>
        <w:contextualSpacing/>
        <w:jc w:val="both"/>
        <w:rPr>
          <w:rFonts w:ascii="Palatino Linotype" w:eastAsiaTheme="minorEastAsia" w:hAnsi="Palatino Linotype" w:cs="Arial"/>
          <w:lang w:val="es-ES_tradnl" w:eastAsia="es-ES"/>
        </w:rPr>
      </w:pPr>
      <w:r w:rsidRPr="00CC493D">
        <w:rPr>
          <w:rFonts w:ascii="Palatino Linotype" w:eastAsiaTheme="minorEastAsia" w:hAnsi="Palatino Linotype" w:cs="Arial"/>
          <w:lang w:val="es-ES_tradnl" w:eastAsia="es-ES"/>
        </w:rPr>
        <w:t>Cabe señalar que, atento a lo dispuesto al artículo 179 de la ley de la materia, el cual contempla de manera puntual las causales en las cuales será procedente el recurso de revisión que se interponga por cualquier persona como un medio de protección para que se le garantice el derecho de acceder a la información pública, este mismo artículo señala en el párrafo final lo siguiente:</w:t>
      </w:r>
    </w:p>
    <w:p w14:paraId="70E85D99" w14:textId="77777777" w:rsidR="00EB2DEA" w:rsidRPr="00CC493D" w:rsidRDefault="00EB2DEA" w:rsidP="00EB2DEA">
      <w:pPr>
        <w:spacing w:before="240" w:after="240" w:line="360" w:lineRule="auto"/>
        <w:contextualSpacing/>
        <w:jc w:val="both"/>
        <w:rPr>
          <w:rFonts w:ascii="Palatino Linotype" w:eastAsiaTheme="minorEastAsia" w:hAnsi="Palatino Linotype" w:cs="Arial"/>
          <w:lang w:val="es-ES_tradnl" w:eastAsia="es-ES"/>
        </w:rPr>
      </w:pPr>
    </w:p>
    <w:p w14:paraId="1D5BA7E0" w14:textId="77777777" w:rsidR="00EB2DEA" w:rsidRPr="00CC493D" w:rsidRDefault="00EB2DEA" w:rsidP="00EB2DEA">
      <w:pPr>
        <w:spacing w:before="240" w:after="240" w:line="360" w:lineRule="auto"/>
        <w:ind w:left="567" w:right="567"/>
        <w:contextualSpacing/>
        <w:jc w:val="both"/>
        <w:rPr>
          <w:rFonts w:ascii="Palatino Linotype" w:eastAsiaTheme="minorEastAsia" w:hAnsi="Palatino Linotype" w:cs="Arial"/>
          <w:i/>
          <w:lang w:val="es-ES_tradnl" w:eastAsia="es-ES"/>
        </w:rPr>
      </w:pPr>
      <w:r w:rsidRPr="00CC493D">
        <w:rPr>
          <w:rFonts w:ascii="Palatino Linotype" w:eastAsiaTheme="minorEastAsia" w:hAnsi="Palatino Linotype" w:cs="Arial"/>
          <w:i/>
          <w:lang w:val="es-ES_tradnl" w:eastAsia="es-ES"/>
        </w:rPr>
        <w:t>….</w:t>
      </w:r>
    </w:p>
    <w:p w14:paraId="6044086D" w14:textId="77777777" w:rsidR="00EB2DEA" w:rsidRPr="00CC493D" w:rsidRDefault="00EB2DEA" w:rsidP="00EB2DEA">
      <w:pPr>
        <w:spacing w:before="240" w:after="240" w:line="360" w:lineRule="auto"/>
        <w:ind w:left="567" w:right="567"/>
        <w:contextualSpacing/>
        <w:jc w:val="both"/>
        <w:rPr>
          <w:rFonts w:ascii="Palatino Linotype" w:eastAsiaTheme="minorEastAsia" w:hAnsi="Palatino Linotype" w:cs="Arial"/>
          <w:i/>
          <w:lang w:val="es-ES_tradnl" w:eastAsia="es-ES"/>
        </w:rPr>
      </w:pPr>
      <w:r w:rsidRPr="00CC493D">
        <w:rPr>
          <w:rFonts w:ascii="Palatino Linotype" w:eastAsiaTheme="minorEastAsia" w:hAnsi="Palatino Linotype" w:cs="Arial"/>
          <w:b/>
          <w:i/>
          <w:lang w:val="es-ES_tradnl" w:eastAsia="es-ES"/>
        </w:rPr>
        <w:t xml:space="preserve">La respuesta que den los sujetos obligados derivada </w:t>
      </w:r>
      <w:r w:rsidRPr="00CC493D">
        <w:rPr>
          <w:rFonts w:ascii="Palatino Linotype" w:eastAsiaTheme="minorEastAsia" w:hAnsi="Palatino Linotype" w:cs="Arial"/>
          <w:b/>
          <w:i/>
          <w:u w:val="single"/>
          <w:lang w:val="es-ES_tradnl" w:eastAsia="es-ES"/>
        </w:rPr>
        <w:t>de la resolución</w:t>
      </w:r>
      <w:r w:rsidRPr="00CC493D">
        <w:rPr>
          <w:rFonts w:ascii="Palatino Linotype" w:eastAsiaTheme="minorEastAsia" w:hAnsi="Palatino Linotype" w:cs="Arial"/>
          <w:i/>
          <w:lang w:val="es-ES_tradnl" w:eastAsia="es-ES"/>
        </w:rPr>
        <w:t xml:space="preserve"> a un recurso de revisión que proceda por las causales señaladas en las fracciones </w:t>
      </w:r>
      <w:r w:rsidRPr="00CC493D">
        <w:rPr>
          <w:rFonts w:ascii="Palatino Linotype" w:eastAsiaTheme="minorEastAsia" w:hAnsi="Palatino Linotype" w:cs="Arial"/>
          <w:i/>
          <w:u w:val="single"/>
          <w:lang w:val="es-ES_tradnl" w:eastAsia="es-ES"/>
        </w:rPr>
        <w:t xml:space="preserve">IV, VII, IX, X, XI y XII </w:t>
      </w:r>
      <w:r w:rsidRPr="00CC493D">
        <w:rPr>
          <w:rFonts w:ascii="Palatino Linotype" w:eastAsiaTheme="minorEastAsia" w:hAnsi="Palatino Linotype" w:cs="Arial"/>
          <w:i/>
          <w:lang w:val="es-ES_tradnl" w:eastAsia="es-ES"/>
        </w:rPr>
        <w:t xml:space="preserve">es </w:t>
      </w:r>
      <w:r w:rsidRPr="00CC493D">
        <w:rPr>
          <w:rFonts w:ascii="Palatino Linotype" w:eastAsiaTheme="minorEastAsia" w:hAnsi="Palatino Linotype" w:cs="Arial"/>
          <w:i/>
          <w:u w:val="single"/>
          <w:lang w:val="es-ES_tradnl" w:eastAsia="es-ES"/>
        </w:rPr>
        <w:t>susceptible de ser impugnada</w:t>
      </w:r>
      <w:r w:rsidRPr="00CC493D">
        <w:rPr>
          <w:rFonts w:ascii="Palatino Linotype" w:eastAsiaTheme="minorEastAsia" w:hAnsi="Palatino Linotype" w:cs="Arial"/>
          <w:i/>
          <w:lang w:val="es-ES_tradnl" w:eastAsia="es-ES"/>
        </w:rPr>
        <w:t xml:space="preserve"> de nueva cuenta, mediante recurso de revisión, ante el Instituto. </w:t>
      </w:r>
    </w:p>
    <w:p w14:paraId="2D042573" w14:textId="77777777" w:rsidR="00EB2DEA" w:rsidRPr="00CC493D" w:rsidRDefault="00EB2DEA" w:rsidP="00EB2DEA">
      <w:pPr>
        <w:spacing w:before="240" w:after="240" w:line="360" w:lineRule="auto"/>
        <w:ind w:left="360"/>
        <w:contextualSpacing/>
        <w:jc w:val="both"/>
        <w:rPr>
          <w:rFonts w:ascii="Palatino Linotype" w:eastAsiaTheme="minorEastAsia" w:hAnsi="Palatino Linotype" w:cs="Arial"/>
          <w:lang w:val="es-ES_tradnl" w:eastAsia="es-ES"/>
        </w:rPr>
      </w:pPr>
    </w:p>
    <w:p w14:paraId="131D7D2E" w14:textId="77777777" w:rsidR="00EB2DEA" w:rsidRPr="00CC493D" w:rsidRDefault="00EB2DEA" w:rsidP="00EB2DEA">
      <w:pPr>
        <w:numPr>
          <w:ilvl w:val="0"/>
          <w:numId w:val="1"/>
        </w:numPr>
        <w:spacing w:before="240" w:after="240" w:line="360" w:lineRule="auto"/>
        <w:contextualSpacing/>
        <w:jc w:val="both"/>
        <w:rPr>
          <w:rFonts w:ascii="Palatino Linotype" w:eastAsiaTheme="minorEastAsia" w:hAnsi="Palatino Linotype" w:cs="Arial"/>
          <w:lang w:val="es-ES_tradnl" w:eastAsia="es-ES"/>
        </w:rPr>
      </w:pPr>
      <w:r w:rsidRPr="00CC493D">
        <w:rPr>
          <w:rFonts w:ascii="Palatino Linotype" w:eastAsiaTheme="minorEastAsia" w:hAnsi="Palatino Linotype" w:cs="Arial"/>
          <w:lang w:val="es-ES_tradnl" w:eastAsia="es-ES"/>
        </w:rPr>
        <w:lastRenderedPageBreak/>
        <w:t xml:space="preserve"> Es así que en este asunto en el que se está ante la presencia de una falta de respuesta  y una falta de trámite a  la solicitud de información por parte del </w:t>
      </w:r>
      <w:r w:rsidRPr="00CC493D">
        <w:rPr>
          <w:rFonts w:ascii="Palatino Linotype" w:eastAsiaTheme="minorEastAsia" w:hAnsi="Palatino Linotype" w:cs="Arial"/>
          <w:b/>
          <w:lang w:val="es-ES_tradnl" w:eastAsia="es-ES"/>
        </w:rPr>
        <w:t>SUJETO OBLIGADO</w:t>
      </w:r>
      <w:r w:rsidRPr="00CC493D">
        <w:rPr>
          <w:rFonts w:ascii="Palatino Linotype" w:eastAsiaTheme="minorEastAsia" w:hAnsi="Palatino Linotype" w:cs="Arial"/>
          <w:lang w:val="es-ES_tradnl" w:eastAsia="es-ES"/>
        </w:rPr>
        <w:t>, se encuadra en los supuestos que contempla el artículo 179 en sus fracciones VII y XI, mismas que señalan lo siguiente:</w:t>
      </w:r>
    </w:p>
    <w:p w14:paraId="6D57FD5D" w14:textId="77777777" w:rsidR="00EB2DEA" w:rsidRPr="00CC493D" w:rsidRDefault="00EB2DEA" w:rsidP="00EB2DEA">
      <w:pPr>
        <w:spacing w:before="240" w:after="240" w:line="360" w:lineRule="auto"/>
        <w:ind w:left="360"/>
        <w:contextualSpacing/>
        <w:jc w:val="both"/>
        <w:rPr>
          <w:rFonts w:ascii="Palatino Linotype" w:eastAsiaTheme="minorEastAsia" w:hAnsi="Palatino Linotype" w:cs="Arial"/>
          <w:lang w:val="es-ES_tradnl" w:eastAsia="es-ES"/>
        </w:rPr>
      </w:pPr>
    </w:p>
    <w:p w14:paraId="639FC6B4" w14:textId="77777777" w:rsidR="00EB2DEA" w:rsidRPr="00CC493D" w:rsidRDefault="00EB2DEA" w:rsidP="00EB2DEA">
      <w:pPr>
        <w:spacing w:before="240" w:after="240" w:line="360" w:lineRule="auto"/>
        <w:ind w:left="567" w:right="567"/>
        <w:contextualSpacing/>
        <w:jc w:val="both"/>
        <w:rPr>
          <w:rFonts w:ascii="Palatino Linotype" w:eastAsiaTheme="minorEastAsia" w:hAnsi="Palatino Linotype" w:cs="Arial"/>
          <w:i/>
          <w:lang w:val="es-ES_tradnl" w:eastAsia="es-ES"/>
        </w:rPr>
      </w:pPr>
      <w:r w:rsidRPr="00CC493D">
        <w:rPr>
          <w:rFonts w:ascii="Palatino Linotype" w:eastAsiaTheme="minorEastAsia" w:hAnsi="Palatino Linotype" w:cs="Arial"/>
          <w:i/>
          <w:lang w:val="es-ES_tradnl" w:eastAsia="es-ES"/>
        </w:rPr>
        <w:t>Artículo 179. El recurso de revisión es un medio de protección que la Ley otorga a los particulares, para hacer valer su derecho de acceso a la información pública, y procederá en contra de las siguientes causas:</w:t>
      </w:r>
    </w:p>
    <w:p w14:paraId="0396D337" w14:textId="77777777" w:rsidR="00EB2DEA" w:rsidRPr="00CC493D" w:rsidRDefault="00EB2DEA" w:rsidP="00EB2DEA">
      <w:pPr>
        <w:spacing w:before="240" w:after="240" w:line="360" w:lineRule="auto"/>
        <w:ind w:left="567" w:right="567"/>
        <w:contextualSpacing/>
        <w:jc w:val="both"/>
        <w:rPr>
          <w:rFonts w:ascii="Palatino Linotype" w:eastAsiaTheme="minorEastAsia" w:hAnsi="Palatino Linotype" w:cs="Arial"/>
          <w:i/>
          <w:lang w:val="es-ES_tradnl" w:eastAsia="es-ES"/>
        </w:rPr>
      </w:pPr>
      <w:r w:rsidRPr="00CC493D">
        <w:rPr>
          <w:rFonts w:ascii="Palatino Linotype" w:eastAsiaTheme="minorEastAsia" w:hAnsi="Palatino Linotype" w:cs="Arial"/>
          <w:i/>
          <w:lang w:val="es-ES_tradnl" w:eastAsia="es-ES"/>
        </w:rPr>
        <w:t>….</w:t>
      </w:r>
    </w:p>
    <w:p w14:paraId="4C31A711" w14:textId="77777777" w:rsidR="00EB2DEA" w:rsidRPr="00CC493D" w:rsidRDefault="00EB2DEA" w:rsidP="00EB2DEA">
      <w:pPr>
        <w:spacing w:before="240" w:after="240" w:line="360" w:lineRule="auto"/>
        <w:ind w:left="567" w:right="567"/>
        <w:contextualSpacing/>
        <w:jc w:val="both"/>
        <w:rPr>
          <w:rFonts w:ascii="Palatino Linotype" w:eastAsiaTheme="minorEastAsia" w:hAnsi="Palatino Linotype" w:cs="Arial"/>
          <w:b/>
          <w:i/>
          <w:lang w:val="es-ES_tradnl" w:eastAsia="es-ES"/>
        </w:rPr>
      </w:pPr>
      <w:r w:rsidRPr="00CC493D">
        <w:rPr>
          <w:rFonts w:ascii="Palatino Linotype" w:eastAsiaTheme="minorEastAsia" w:hAnsi="Palatino Linotype" w:cs="Arial"/>
          <w:b/>
          <w:i/>
          <w:lang w:val="es-ES_tradnl" w:eastAsia="es-ES"/>
        </w:rPr>
        <w:t>VII. La falta de respuesta a una solicitud de acceso a la información;</w:t>
      </w:r>
    </w:p>
    <w:p w14:paraId="27E318F6" w14:textId="77777777" w:rsidR="00EB2DEA" w:rsidRPr="00CC493D" w:rsidRDefault="00EB2DEA" w:rsidP="00EB2DEA">
      <w:pPr>
        <w:spacing w:before="240" w:after="240" w:line="360" w:lineRule="auto"/>
        <w:ind w:left="567" w:right="567"/>
        <w:contextualSpacing/>
        <w:jc w:val="both"/>
        <w:rPr>
          <w:rFonts w:ascii="Palatino Linotype" w:eastAsiaTheme="minorEastAsia" w:hAnsi="Palatino Linotype" w:cs="Arial"/>
          <w:i/>
          <w:lang w:val="es-ES_tradnl" w:eastAsia="es-ES"/>
        </w:rPr>
      </w:pPr>
      <w:r w:rsidRPr="00CC493D">
        <w:rPr>
          <w:rFonts w:ascii="Palatino Linotype" w:eastAsiaTheme="minorEastAsia" w:hAnsi="Palatino Linotype" w:cs="Arial"/>
          <w:i/>
          <w:lang w:val="es-ES_tradnl" w:eastAsia="es-ES"/>
        </w:rPr>
        <w:t>…</w:t>
      </w:r>
    </w:p>
    <w:p w14:paraId="4E414A6A" w14:textId="77777777" w:rsidR="00EB2DEA" w:rsidRPr="00CC493D" w:rsidRDefault="00EB2DEA" w:rsidP="00EB2DEA">
      <w:pPr>
        <w:spacing w:before="240" w:after="240" w:line="360" w:lineRule="auto"/>
        <w:ind w:left="567" w:right="567"/>
        <w:contextualSpacing/>
        <w:jc w:val="both"/>
        <w:rPr>
          <w:rFonts w:ascii="Palatino Linotype" w:eastAsiaTheme="minorEastAsia" w:hAnsi="Palatino Linotype" w:cs="Arial"/>
          <w:b/>
          <w:i/>
          <w:lang w:val="es-ES_tradnl" w:eastAsia="es-ES"/>
        </w:rPr>
      </w:pPr>
      <w:r w:rsidRPr="00CC493D">
        <w:rPr>
          <w:rFonts w:ascii="Palatino Linotype" w:eastAsiaTheme="minorEastAsia" w:hAnsi="Palatino Linotype" w:cs="Arial"/>
          <w:b/>
          <w:i/>
          <w:lang w:val="es-ES_tradnl" w:eastAsia="es-ES"/>
        </w:rPr>
        <w:t>XI. La falta de trámite a una solicitud;</w:t>
      </w:r>
    </w:p>
    <w:p w14:paraId="39D0B56D" w14:textId="77777777" w:rsidR="00EB2DEA" w:rsidRPr="00CC493D" w:rsidRDefault="00EB2DEA" w:rsidP="00EB2DEA">
      <w:pPr>
        <w:spacing w:before="240" w:after="240" w:line="360" w:lineRule="auto"/>
        <w:ind w:left="567" w:right="567"/>
        <w:contextualSpacing/>
        <w:jc w:val="both"/>
        <w:rPr>
          <w:rFonts w:ascii="Palatino Linotype" w:eastAsiaTheme="minorEastAsia" w:hAnsi="Palatino Linotype" w:cs="Arial"/>
          <w:i/>
          <w:lang w:val="es-ES_tradnl" w:eastAsia="es-ES"/>
        </w:rPr>
      </w:pPr>
      <w:r w:rsidRPr="00CC493D">
        <w:rPr>
          <w:rFonts w:ascii="Palatino Linotype" w:eastAsiaTheme="minorEastAsia" w:hAnsi="Palatino Linotype" w:cs="Arial"/>
          <w:i/>
          <w:lang w:val="es-ES_tradnl" w:eastAsia="es-ES"/>
        </w:rPr>
        <w:t>…</w:t>
      </w:r>
    </w:p>
    <w:p w14:paraId="16CCE62D" w14:textId="77777777" w:rsidR="00EB2DEA" w:rsidRPr="00CC493D" w:rsidRDefault="00EB2DEA" w:rsidP="00EB2DEA">
      <w:pPr>
        <w:spacing w:before="240" w:after="240" w:line="360" w:lineRule="auto"/>
        <w:ind w:left="360"/>
        <w:contextualSpacing/>
        <w:jc w:val="both"/>
        <w:rPr>
          <w:rFonts w:ascii="Palatino Linotype" w:eastAsiaTheme="minorEastAsia" w:hAnsi="Palatino Linotype" w:cs="Arial"/>
          <w:lang w:val="es-ES_tradnl" w:eastAsia="es-ES"/>
        </w:rPr>
      </w:pPr>
    </w:p>
    <w:p w14:paraId="4DA6FC14" w14:textId="77777777" w:rsidR="00EB2DEA" w:rsidRPr="00CC493D" w:rsidRDefault="00EB2DEA" w:rsidP="00EB2DEA">
      <w:pPr>
        <w:numPr>
          <w:ilvl w:val="0"/>
          <w:numId w:val="1"/>
        </w:numPr>
        <w:spacing w:before="240" w:after="240" w:line="360" w:lineRule="auto"/>
        <w:contextualSpacing/>
        <w:jc w:val="both"/>
        <w:rPr>
          <w:rFonts w:ascii="Palatino Linotype" w:eastAsiaTheme="minorEastAsia" w:hAnsi="Palatino Linotype" w:cs="Arial"/>
          <w:lang w:val="es-ES_tradnl" w:eastAsia="es-ES"/>
        </w:rPr>
      </w:pPr>
      <w:r w:rsidRPr="00CC493D">
        <w:rPr>
          <w:rFonts w:ascii="Palatino Linotype" w:eastAsiaTheme="minorEastAsia" w:hAnsi="Palatino Linotype" w:cs="Arial"/>
          <w:lang w:val="es-ES_tradnl" w:eastAsia="es-ES"/>
        </w:rPr>
        <w:t xml:space="preserve">En ese tenor, en el asunto particular derivado de la negativa por parte del sujeto obligado a dar trámite a la solicitud por parte del Titular de la Unidad de Transparencia y posteriormente requerir la información a las distintas áreas para que estas a su vez, a través del servidor público habilitado realice las gestiones correspondientes para localizar la información y esta puede dar proporcionada en respuesta para dar atención a la solicitud, por  lo que se configura de manera clara las fracciones señaladas con anterioridad y este Órgano Garante procede a ordenar a través de la presente resolución, dar atención a la solicitud de </w:t>
      </w:r>
      <w:r w:rsidRPr="00CC493D">
        <w:rPr>
          <w:rFonts w:ascii="Palatino Linotype" w:eastAsiaTheme="minorEastAsia" w:hAnsi="Palatino Linotype" w:cs="Arial"/>
          <w:lang w:val="es-ES_tradnl" w:eastAsia="es-ES"/>
        </w:rPr>
        <w:lastRenderedPageBreak/>
        <w:t>información y además de ello entregar la información correspondiente, con las formalidades en tiempo y forma que dispone la normatividad aplicable.</w:t>
      </w:r>
    </w:p>
    <w:p w14:paraId="1A2159CB" w14:textId="77777777" w:rsidR="00EB2DEA" w:rsidRPr="00CC493D" w:rsidRDefault="00EB2DEA" w:rsidP="00EB2DEA">
      <w:pPr>
        <w:spacing w:before="240" w:after="240" w:line="360" w:lineRule="auto"/>
        <w:ind w:left="360"/>
        <w:contextualSpacing/>
        <w:jc w:val="both"/>
        <w:rPr>
          <w:rFonts w:ascii="Palatino Linotype" w:eastAsiaTheme="minorEastAsia" w:hAnsi="Palatino Linotype" w:cs="Arial"/>
          <w:lang w:val="es-ES_tradnl" w:eastAsia="es-ES"/>
        </w:rPr>
      </w:pPr>
    </w:p>
    <w:p w14:paraId="0C7E8203" w14:textId="77777777" w:rsidR="00EB2DEA" w:rsidRPr="00CC493D" w:rsidRDefault="00EB2DEA" w:rsidP="00EB2DEA">
      <w:pPr>
        <w:numPr>
          <w:ilvl w:val="0"/>
          <w:numId w:val="1"/>
        </w:numPr>
        <w:spacing w:before="240" w:after="240" w:line="360" w:lineRule="auto"/>
        <w:contextualSpacing/>
        <w:jc w:val="both"/>
        <w:rPr>
          <w:rFonts w:ascii="Palatino Linotype" w:eastAsiaTheme="minorEastAsia" w:hAnsi="Palatino Linotype" w:cs="Arial"/>
          <w:lang w:val="es-ES_tradnl" w:eastAsia="es-ES"/>
        </w:rPr>
      </w:pPr>
      <w:r w:rsidRPr="00CC493D">
        <w:rPr>
          <w:rFonts w:ascii="Palatino Linotype" w:eastAsiaTheme="minorEastAsia" w:hAnsi="Palatino Linotype" w:cs="Arial"/>
          <w:lang w:val="es-ES_tradnl" w:eastAsia="es-ES"/>
        </w:rPr>
        <w:t xml:space="preserve">El último párrafo del artículo 179 de la ley de la materia, se configura entonces en aquellos casos en donde los </w:t>
      </w:r>
      <w:r w:rsidRPr="00CC493D">
        <w:rPr>
          <w:rFonts w:ascii="Palatino Linotype" w:eastAsiaTheme="minorEastAsia" w:hAnsi="Palatino Linotype" w:cs="Arial"/>
          <w:b/>
          <w:u w:val="single"/>
          <w:lang w:val="es-ES_tradnl" w:eastAsia="es-ES"/>
        </w:rPr>
        <w:t>sujetos obligados emiten respuesta derivada de una resolución a un recurso de revisión que proceda por la causal prevista en las fracciones VII y  XI de la Ley en cita como es este el caso</w:t>
      </w:r>
      <w:r w:rsidRPr="00CC493D">
        <w:rPr>
          <w:rFonts w:ascii="Palatino Linotype" w:eastAsiaTheme="minorEastAsia" w:hAnsi="Palatino Linotype" w:cs="Arial"/>
          <w:lang w:val="es-ES_tradnl" w:eastAsia="es-ES"/>
        </w:rPr>
        <w:t xml:space="preserve">, dicha respuesta es susceptible de ser impugnada de nueva cuenta, mediante recurso de revisión ante el Instituto. Esto es, que el acto que genere el </w:t>
      </w:r>
      <w:r w:rsidRPr="00CC493D">
        <w:rPr>
          <w:rFonts w:ascii="Palatino Linotype" w:eastAsiaTheme="minorEastAsia" w:hAnsi="Palatino Linotype" w:cs="Arial"/>
          <w:b/>
          <w:lang w:val="es-ES_tradnl" w:eastAsia="es-ES"/>
        </w:rPr>
        <w:t>SUJETO OBLIGADO</w:t>
      </w:r>
      <w:r w:rsidRPr="00CC493D">
        <w:rPr>
          <w:rFonts w:ascii="Palatino Linotype" w:eastAsiaTheme="minorEastAsia" w:hAnsi="Palatino Linotype" w:cs="Arial"/>
          <w:lang w:val="es-ES_tradnl" w:eastAsia="es-ES"/>
        </w:rPr>
        <w:t xml:space="preserve"> en cumplimiento a esta resolución, dicho en otras palabras, la respuesta que genere al dar atención a la solicitud de información con arreglo a los principios establecidos por la Ley de la materia en los términos planteados en esta resolución, no es definitivo puesto que en caso de que la información que entregue  no sea satisfactoria del derecho de acceso a la información pública, </w:t>
      </w:r>
      <w:r w:rsidRPr="00CC493D">
        <w:rPr>
          <w:rFonts w:ascii="Palatino Linotype" w:eastAsiaTheme="minorEastAsia" w:hAnsi="Palatino Linotype" w:cs="Arial"/>
          <w:b/>
          <w:lang w:val="es-ES_tradnl" w:eastAsia="es-ES"/>
        </w:rPr>
        <w:t>queda al alcance de la persona la interposición de un nuevo recurso de revisión</w:t>
      </w:r>
      <w:r w:rsidRPr="00CC493D">
        <w:rPr>
          <w:rFonts w:ascii="Palatino Linotype" w:eastAsiaTheme="minorEastAsia" w:hAnsi="Palatino Linotype" w:cs="Arial"/>
          <w:lang w:val="es-ES_tradnl" w:eastAsia="es-ES"/>
        </w:rPr>
        <w:t xml:space="preserve"> que independiente del que se resuelve en este instrumento, versará sobre la revisión de la respuesta que le sea entregada. Lo cual proporciona al particular una herramienta para defender su Derecho de Acceso a la Información ante un posible cumplimiento defectuoso de la presente.</w:t>
      </w:r>
    </w:p>
    <w:p w14:paraId="6C4E6895" w14:textId="77777777" w:rsidR="00EB2DEA" w:rsidRPr="00CC493D" w:rsidRDefault="00EB2DEA" w:rsidP="00EB2DEA">
      <w:pPr>
        <w:spacing w:before="240" w:after="240" w:line="360" w:lineRule="auto"/>
        <w:contextualSpacing/>
        <w:jc w:val="both"/>
        <w:rPr>
          <w:rFonts w:ascii="Palatino Linotype" w:eastAsiaTheme="minorEastAsia" w:hAnsi="Palatino Linotype" w:cs="Arial"/>
          <w:lang w:val="es-ES_tradnl" w:eastAsia="es-ES"/>
        </w:rPr>
      </w:pPr>
    </w:p>
    <w:p w14:paraId="170EFE83" w14:textId="77777777" w:rsidR="00EB2DEA" w:rsidRPr="00CC493D" w:rsidRDefault="00EB2DEA" w:rsidP="00EB2DEA">
      <w:pPr>
        <w:keepNext/>
        <w:keepLines/>
        <w:spacing w:before="240"/>
        <w:outlineLvl w:val="0"/>
        <w:rPr>
          <w:rFonts w:ascii="Palatino Linotype" w:eastAsia="MS Gothic" w:hAnsi="Palatino Linotype" w:cstheme="majorBidi"/>
          <w:b/>
        </w:rPr>
      </w:pPr>
      <w:bookmarkStart w:id="131" w:name="_Toc487739452"/>
      <w:bookmarkStart w:id="132" w:name="_Toc524344196"/>
      <w:bookmarkStart w:id="133" w:name="_Toc526271201"/>
      <w:bookmarkStart w:id="134" w:name="_Toc536106975"/>
      <w:bookmarkStart w:id="135" w:name="_Toc3467947"/>
      <w:r w:rsidRPr="00CC493D">
        <w:rPr>
          <w:rFonts w:ascii="Palatino Linotype" w:eastAsia="MS Gothic" w:hAnsi="Palatino Linotype" w:cstheme="majorBidi"/>
          <w:b/>
        </w:rPr>
        <w:t>SEXTO. Vista a los órganos de control interno</w:t>
      </w:r>
      <w:bookmarkEnd w:id="131"/>
      <w:r w:rsidRPr="00CC493D">
        <w:rPr>
          <w:rFonts w:ascii="Palatino Linotype" w:eastAsia="MS Gothic" w:hAnsi="Palatino Linotype" w:cstheme="majorBidi"/>
          <w:b/>
        </w:rPr>
        <w:t>.</w:t>
      </w:r>
      <w:bookmarkEnd w:id="132"/>
      <w:bookmarkEnd w:id="133"/>
      <w:bookmarkEnd w:id="134"/>
      <w:bookmarkEnd w:id="135"/>
    </w:p>
    <w:p w14:paraId="3546AE19" w14:textId="77777777" w:rsidR="00EB2DEA" w:rsidRPr="00CC493D" w:rsidRDefault="00EB2DEA" w:rsidP="00EB2DEA">
      <w:pPr>
        <w:rPr>
          <w:rFonts w:eastAsiaTheme="minorEastAsia"/>
        </w:rPr>
      </w:pPr>
    </w:p>
    <w:p w14:paraId="7391CBFF" w14:textId="77777777" w:rsidR="00EB2DEA" w:rsidRPr="00CC493D" w:rsidRDefault="00EB2DEA" w:rsidP="00EB2DEA">
      <w:pPr>
        <w:numPr>
          <w:ilvl w:val="0"/>
          <w:numId w:val="1"/>
        </w:numPr>
        <w:spacing w:before="240" w:after="240" w:line="360" w:lineRule="auto"/>
        <w:contextualSpacing/>
        <w:jc w:val="both"/>
        <w:rPr>
          <w:rFonts w:ascii="Palatino Linotype" w:hAnsi="Palatino Linotype"/>
          <w:lang w:val="es-ES_tradnl" w:eastAsia="es-ES"/>
        </w:rPr>
      </w:pPr>
      <w:r w:rsidRPr="00CC493D">
        <w:rPr>
          <w:rFonts w:ascii="Palatino Linotype" w:hAnsi="Palatino Linotype"/>
          <w:lang w:val="es-ES_tradnl" w:eastAsia="es-ES"/>
        </w:rPr>
        <w:lastRenderedPageBreak/>
        <w:t xml:space="preserve">Es necesario resaltar que el recursos de revisión previsto en la Ley de la materia no es el medio para investigar y en su caso, sancionar a servidores públicos </w:t>
      </w:r>
      <w:r w:rsidRPr="00CC493D">
        <w:rPr>
          <w:rFonts w:ascii="Palatino Linotype" w:hAnsi="Palatino Linotype"/>
          <w:b/>
          <w:u w:val="single"/>
          <w:lang w:val="es-ES_tradnl" w:eastAsia="es-ES"/>
        </w:rPr>
        <w:t>por la omisión de la entrega de información pública</w:t>
      </w:r>
      <w:r w:rsidRPr="00CC493D">
        <w:rPr>
          <w:rFonts w:ascii="Palatino Linotype" w:hAnsi="Palatino Linotype"/>
          <w:lang w:val="es-ES_tradnl" w:eastAsia="es-ES"/>
        </w:rPr>
        <w:t xml:space="preserve"> o en la atención a solicitudes de información; sin embargo, dados los planteamientos que se formularon al presentarse los recursos de revisión se dará vista al área competente para que en ejercicio de sus atribuciones realice las investigaciones pertinentes por las omisiones detectadas atribuibles al </w:t>
      </w:r>
      <w:r w:rsidRPr="00CC493D">
        <w:rPr>
          <w:rFonts w:ascii="Palatino Linotype" w:hAnsi="Palatino Linotype"/>
          <w:b/>
          <w:lang w:val="es-ES_tradnl" w:eastAsia="es-ES"/>
        </w:rPr>
        <w:t>SUJETO OBLIGADO</w:t>
      </w:r>
      <w:r w:rsidRPr="00CC493D">
        <w:rPr>
          <w:rFonts w:ascii="Palatino Linotype" w:hAnsi="Palatino Linotype"/>
          <w:lang w:val="es-ES_tradnl" w:eastAsia="es-ES"/>
        </w:rPr>
        <w:t>.</w:t>
      </w:r>
    </w:p>
    <w:p w14:paraId="3B4BEA73" w14:textId="77777777" w:rsidR="00EB2DEA" w:rsidRPr="00CC493D" w:rsidRDefault="00EB2DEA" w:rsidP="00EB2DEA">
      <w:pPr>
        <w:spacing w:before="240" w:after="240" w:line="360" w:lineRule="auto"/>
        <w:contextualSpacing/>
        <w:jc w:val="both"/>
        <w:rPr>
          <w:rFonts w:ascii="Palatino Linotype" w:hAnsi="Palatino Linotype"/>
          <w:lang w:val="es-ES_tradnl" w:eastAsia="es-ES"/>
        </w:rPr>
      </w:pPr>
    </w:p>
    <w:p w14:paraId="6A6E1E82" w14:textId="77777777" w:rsidR="00EB2DEA" w:rsidRPr="00CC493D" w:rsidRDefault="00EB2DEA" w:rsidP="00EB2DEA">
      <w:pPr>
        <w:numPr>
          <w:ilvl w:val="0"/>
          <w:numId w:val="1"/>
        </w:numPr>
        <w:spacing w:before="240" w:after="240" w:line="360" w:lineRule="auto"/>
        <w:contextualSpacing/>
        <w:jc w:val="both"/>
        <w:rPr>
          <w:rFonts w:ascii="Palatino Linotype" w:hAnsi="Palatino Linotype"/>
          <w:lang w:val="es-ES_tradnl" w:eastAsia="es-ES"/>
        </w:rPr>
      </w:pPr>
      <w:r w:rsidRPr="00CC493D">
        <w:rPr>
          <w:rFonts w:ascii="Palatino Linotype" w:hAnsi="Palatino Linotype"/>
          <w:lang w:val="es-ES_tradnl" w:eastAsia="es-ES"/>
        </w:rPr>
        <w:t>Por ello, es conveniente señalar la fracción X, del artículo 36, de la Ley de Transparencia y Acceso a la Información Pública del Estado de México y Municipios, que establece:</w:t>
      </w:r>
    </w:p>
    <w:p w14:paraId="1D954E2D" w14:textId="77777777" w:rsidR="00EB2DEA" w:rsidRPr="00CC493D" w:rsidRDefault="00EB2DEA" w:rsidP="00EB2DEA">
      <w:pPr>
        <w:spacing w:before="240" w:after="240" w:line="360" w:lineRule="auto"/>
        <w:contextualSpacing/>
        <w:jc w:val="both"/>
        <w:rPr>
          <w:rFonts w:ascii="Palatino Linotype" w:hAnsi="Palatino Linotype"/>
          <w:lang w:val="es-ES_tradnl" w:eastAsia="es-ES"/>
        </w:rPr>
      </w:pPr>
    </w:p>
    <w:p w14:paraId="03E4CBE0"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i/>
          <w:lang w:val="es-ES_tradnl" w:eastAsia="es-ES"/>
        </w:rPr>
        <w:t>“</w:t>
      </w:r>
      <w:r w:rsidRPr="00CC493D">
        <w:rPr>
          <w:rFonts w:ascii="Palatino Linotype" w:hAnsi="Palatino Linotype"/>
          <w:b/>
          <w:i/>
          <w:lang w:val="es-ES_tradnl" w:eastAsia="es-ES"/>
        </w:rPr>
        <w:t>Artículo 36.</w:t>
      </w:r>
      <w:r w:rsidRPr="00CC493D">
        <w:rPr>
          <w:rFonts w:ascii="Palatino Linotype" w:hAnsi="Palatino Linotype"/>
          <w:i/>
          <w:lang w:val="es-ES_tradnl" w:eastAsia="es-ES"/>
        </w:rPr>
        <w:t xml:space="preserve"> El Instituto tendrá, en el ámbito de su competencia, las siguientes atribuciones:</w:t>
      </w:r>
    </w:p>
    <w:p w14:paraId="7B6DF456"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i/>
          <w:lang w:val="es-ES_tradnl" w:eastAsia="es-ES"/>
        </w:rPr>
        <w:t>(…)</w:t>
      </w:r>
    </w:p>
    <w:p w14:paraId="44438EA3"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i/>
          <w:lang w:val="es-ES_tradnl" w:eastAsia="es-ES"/>
        </w:rPr>
        <w:t>X. Hacer del conocimiento del órgano de control interno o equivalente de cada Sujeto Obligado las infracciones a esta Ley; “</w:t>
      </w:r>
    </w:p>
    <w:p w14:paraId="6EC3E5BE"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i/>
          <w:lang w:val="es-ES_tradnl" w:eastAsia="es-ES"/>
        </w:rPr>
        <w:t>(…)</w:t>
      </w:r>
    </w:p>
    <w:p w14:paraId="6C51A4C1" w14:textId="77777777" w:rsidR="00EB2DEA" w:rsidRPr="00CC493D" w:rsidRDefault="00EB2DEA" w:rsidP="00EB2DEA">
      <w:pPr>
        <w:spacing w:before="240" w:after="240" w:line="360" w:lineRule="auto"/>
        <w:contextualSpacing/>
        <w:jc w:val="both"/>
        <w:rPr>
          <w:rFonts w:ascii="Palatino Linotype" w:eastAsia="MS Mincho" w:hAnsi="Palatino Linotype" w:cs="Arial"/>
          <w:lang w:val="es-ES_tradnl" w:eastAsia="es-ES"/>
        </w:rPr>
      </w:pPr>
    </w:p>
    <w:p w14:paraId="132A6E56" w14:textId="77777777" w:rsidR="00EB2DEA" w:rsidRPr="00CC493D" w:rsidRDefault="00EB2DEA" w:rsidP="00EB2DEA">
      <w:pPr>
        <w:numPr>
          <w:ilvl w:val="0"/>
          <w:numId w:val="1"/>
        </w:numPr>
        <w:spacing w:before="240" w:after="240" w:line="360" w:lineRule="auto"/>
        <w:contextualSpacing/>
        <w:jc w:val="both"/>
        <w:rPr>
          <w:rFonts w:ascii="Palatino Linotype" w:eastAsia="MS Mincho" w:hAnsi="Palatino Linotype" w:cs="Arial"/>
          <w:lang w:val="es-ES_tradnl" w:eastAsia="es-ES"/>
        </w:rPr>
      </w:pPr>
      <w:r w:rsidRPr="00CC493D">
        <w:rPr>
          <w:rFonts w:ascii="Palatino Linotype" w:hAnsi="Palatino Linotype"/>
          <w:lang w:val="es-ES_tradnl" w:eastAsia="es-ES"/>
        </w:rPr>
        <w:t xml:space="preserve">Asimismo, este Pleno hará del conocimiento del órgano de control de este Instituto de las infracciones en que el </w:t>
      </w:r>
      <w:r w:rsidRPr="00CC493D">
        <w:rPr>
          <w:rFonts w:ascii="Palatino Linotype" w:hAnsi="Palatino Linotype"/>
          <w:b/>
          <w:lang w:val="es-ES_tradnl" w:eastAsia="es-ES"/>
        </w:rPr>
        <w:t>SUJETO OBLIGADO</w:t>
      </w:r>
      <w:r w:rsidRPr="00CC493D">
        <w:rPr>
          <w:rFonts w:ascii="Palatino Linotype" w:hAnsi="Palatino Linotype"/>
          <w:lang w:val="es-ES_tradnl" w:eastAsia="es-ES"/>
        </w:rPr>
        <w:t xml:space="preserve"> incurrió, toda vez que la naturaleza de investigar y sancionar corresponde a un ente distinto a éste </w:t>
      </w:r>
      <w:r w:rsidRPr="00CC493D">
        <w:rPr>
          <w:rFonts w:ascii="Palatino Linotype" w:hAnsi="Palatino Linotype"/>
          <w:lang w:val="es-ES_tradnl" w:eastAsia="es-ES"/>
        </w:rPr>
        <w:lastRenderedPageBreak/>
        <w:t xml:space="preserve">a través de un procedimiento diferente al recurso de revisión, lo cual se encuentra previsto </w:t>
      </w:r>
      <w:r w:rsidRPr="00CC493D">
        <w:rPr>
          <w:rFonts w:ascii="Palatino Linotype" w:eastAsia="MS Mincho" w:hAnsi="Palatino Linotype" w:cs="Arial"/>
          <w:lang w:val="es-ES_tradnl" w:eastAsia="es-ES"/>
        </w:rPr>
        <w:t>en la Ley de Transparencia Acceso a la Información Pública del Estado de México y Municipios específicamente en sus artículos 190, 222 y 223 que señalan lo siguiente:</w:t>
      </w:r>
    </w:p>
    <w:p w14:paraId="5DD79436" w14:textId="77777777" w:rsidR="00EB2DEA" w:rsidRPr="00CC493D" w:rsidRDefault="00EB2DEA" w:rsidP="00EB2DEA">
      <w:pPr>
        <w:spacing w:before="240" w:after="240" w:line="360" w:lineRule="auto"/>
        <w:contextualSpacing/>
        <w:jc w:val="both"/>
        <w:rPr>
          <w:rFonts w:ascii="Palatino Linotype" w:eastAsia="MS Mincho" w:hAnsi="Palatino Linotype" w:cs="Arial"/>
          <w:lang w:val="es-ES_tradnl" w:eastAsia="es-ES"/>
        </w:rPr>
      </w:pPr>
    </w:p>
    <w:p w14:paraId="325DB396"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i/>
          <w:lang w:val="es-ES_tradnl" w:eastAsia="es-ES"/>
        </w:rPr>
        <w:t>“</w:t>
      </w:r>
      <w:r w:rsidRPr="00CC493D">
        <w:rPr>
          <w:rFonts w:ascii="Palatino Linotype" w:hAnsi="Palatino Linotype"/>
          <w:b/>
          <w:i/>
          <w:lang w:val="es-ES_tradnl" w:eastAsia="es-ES"/>
        </w:rPr>
        <w:t>Artículo 190.</w:t>
      </w:r>
      <w:r w:rsidRPr="00CC493D">
        <w:rPr>
          <w:rFonts w:ascii="Palatino Linotype" w:hAnsi="Palatino Linotype"/>
          <w:i/>
          <w:lang w:val="es-ES_tradnl" w:eastAsia="es-ES"/>
        </w:rPr>
        <w:t xml:space="preserve"> Cuando el Instituto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14:paraId="4FBF3E69"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p>
    <w:p w14:paraId="76CA0F78"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b/>
          <w:i/>
          <w:lang w:val="es-ES_tradnl" w:eastAsia="es-ES"/>
        </w:rPr>
        <w:t>Artículo 222.</w:t>
      </w:r>
      <w:r w:rsidRPr="00CC493D">
        <w:rPr>
          <w:rFonts w:ascii="Palatino Linotype" w:hAnsi="Palatino Linotype"/>
          <w:i/>
          <w:lang w:val="es-ES_tradnl" w:eastAsia="es-ES"/>
        </w:rPr>
        <w:t xml:space="preserve"> Son causas de responsabilidad administrativa de los servidores públicos de los sujetos obligados, por incumplimiento de las obligaciones establecidas en la materia de la presente Ley, las siguientes:</w:t>
      </w:r>
    </w:p>
    <w:p w14:paraId="40C059D1"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i/>
          <w:lang w:val="es-ES_tradnl" w:eastAsia="es-ES"/>
        </w:rPr>
        <w:t>…</w:t>
      </w:r>
    </w:p>
    <w:p w14:paraId="2E427E12"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b/>
          <w:i/>
          <w:lang w:val="es-ES_tradnl" w:eastAsia="es-ES"/>
        </w:rPr>
        <w:t>I. Cualquier acto u omisión que provoque la suspensión o deficiencia en la atención de las solicitudes de información</w:t>
      </w:r>
      <w:r w:rsidRPr="00CC493D">
        <w:rPr>
          <w:rFonts w:ascii="Palatino Linotype" w:hAnsi="Palatino Linotype"/>
          <w:i/>
          <w:lang w:val="es-ES_tradnl" w:eastAsia="es-ES"/>
        </w:rPr>
        <w:t>;</w:t>
      </w:r>
    </w:p>
    <w:p w14:paraId="47EB3588"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b/>
          <w:i/>
          <w:lang w:val="es-ES_tradnl" w:eastAsia="es-ES"/>
        </w:rPr>
        <w:t>II. La falta de respuesta a las solicitudes de información en los plazos señalados en la normatividad aplicable</w:t>
      </w:r>
      <w:r w:rsidRPr="00CC493D">
        <w:rPr>
          <w:rFonts w:ascii="Palatino Linotype" w:hAnsi="Palatino Linotype"/>
          <w:i/>
          <w:lang w:val="es-ES_tradnl" w:eastAsia="es-ES"/>
        </w:rPr>
        <w:t>;</w:t>
      </w:r>
    </w:p>
    <w:p w14:paraId="257176B4" w14:textId="77777777" w:rsidR="00EB2DEA" w:rsidRPr="00CC493D" w:rsidRDefault="00EB2DEA" w:rsidP="00EB2DEA">
      <w:pPr>
        <w:spacing w:line="360" w:lineRule="auto"/>
        <w:ind w:left="567" w:right="567"/>
        <w:contextualSpacing/>
        <w:jc w:val="both"/>
        <w:rPr>
          <w:rFonts w:ascii="Palatino Linotype" w:hAnsi="Palatino Linotype"/>
          <w:i/>
          <w:lang w:val="es-ES_tradnl" w:eastAsia="es-ES"/>
        </w:rPr>
      </w:pPr>
      <w:r w:rsidRPr="00CC493D">
        <w:rPr>
          <w:rFonts w:ascii="Palatino Linotype" w:hAnsi="Palatino Linotype"/>
          <w:i/>
          <w:lang w:val="es-ES_tradnl" w:eastAsia="es-ES"/>
        </w:rPr>
        <w:t>…</w:t>
      </w:r>
    </w:p>
    <w:p w14:paraId="0CE39822" w14:textId="77777777" w:rsidR="00EB2DEA" w:rsidRPr="00CC493D" w:rsidRDefault="00EB2DEA" w:rsidP="00EB2DEA">
      <w:pPr>
        <w:spacing w:line="360" w:lineRule="auto"/>
        <w:ind w:left="567" w:right="567"/>
        <w:contextualSpacing/>
        <w:jc w:val="both"/>
        <w:rPr>
          <w:rFonts w:ascii="Palatino Linotype" w:eastAsiaTheme="minorEastAsia" w:hAnsi="Palatino Linotype"/>
          <w:i/>
          <w:lang w:val="es-ES_tradnl" w:eastAsia="es-ES"/>
        </w:rPr>
      </w:pPr>
      <w:r w:rsidRPr="00CC493D">
        <w:rPr>
          <w:rFonts w:ascii="Palatino Linotype" w:hAnsi="Palatino Linotype"/>
          <w:i/>
          <w:lang w:val="es-ES_tradnl" w:eastAsia="es-ES"/>
        </w:rPr>
        <w:lastRenderedPageBreak/>
        <w:t>Artículo 223. El Instituto dará vista a la Contraloría Interna y Órgano de Control y Vigilancia en términos de la Ley de Responsabilidades de los Servidores Públicos del Estado y Municipios, para que determine el grado de responsabilidad de quienes incumplan con las obligaciones de la presente Ley.</w:t>
      </w:r>
      <w:r w:rsidRPr="00CC493D">
        <w:rPr>
          <w:rFonts w:ascii="Palatino Linotype" w:eastAsiaTheme="minorEastAsia" w:hAnsi="Palatino Linotype"/>
          <w:i/>
          <w:lang w:val="es-ES_tradnl" w:eastAsia="es-ES"/>
        </w:rPr>
        <w:t xml:space="preserve"> (De Acuerdo al Decreto N°207, Publicado el 30 de mayo de 2017)</w:t>
      </w:r>
    </w:p>
    <w:p w14:paraId="1250016F" w14:textId="77777777" w:rsidR="00EB2DEA" w:rsidRPr="00CC493D" w:rsidRDefault="00EB2DEA" w:rsidP="00EB2DEA">
      <w:pPr>
        <w:spacing w:line="360" w:lineRule="auto"/>
        <w:ind w:left="567" w:right="567"/>
        <w:contextualSpacing/>
        <w:jc w:val="both"/>
        <w:rPr>
          <w:rFonts w:ascii="Palatino Linotype" w:eastAsiaTheme="minorEastAsia" w:hAnsi="Palatino Linotype"/>
          <w:i/>
          <w:lang w:val="es-ES_tradnl" w:eastAsia="es-ES"/>
        </w:rPr>
      </w:pPr>
      <w:r w:rsidRPr="00CC493D">
        <w:rPr>
          <w:rFonts w:ascii="Palatino Linotype" w:eastAsiaTheme="minorEastAsia" w:hAnsi="Palatino Linotype"/>
          <w:i/>
          <w:lang w:val="es-ES_tradnl" w:eastAsia="es-ES"/>
        </w:rPr>
        <w:t>…”</w:t>
      </w:r>
    </w:p>
    <w:p w14:paraId="2253B1D4" w14:textId="77777777" w:rsidR="00EB2DEA" w:rsidRPr="00CC493D" w:rsidRDefault="00EB2DEA" w:rsidP="00EB2DEA">
      <w:pPr>
        <w:spacing w:line="360" w:lineRule="auto"/>
        <w:ind w:right="49"/>
        <w:contextualSpacing/>
        <w:jc w:val="both"/>
        <w:rPr>
          <w:rFonts w:ascii="Palatino Linotype" w:hAnsi="Palatino Linotype" w:cs="Arial"/>
          <w:color w:val="000000"/>
          <w:lang w:val="es-ES_tradnl" w:eastAsia="es-ES"/>
        </w:rPr>
      </w:pPr>
    </w:p>
    <w:p w14:paraId="7FD9D5D2" w14:textId="77777777" w:rsidR="00EB2DEA" w:rsidRPr="00CC493D" w:rsidRDefault="00EB2DEA" w:rsidP="00EB2DEA">
      <w:pPr>
        <w:numPr>
          <w:ilvl w:val="0"/>
          <w:numId w:val="1"/>
        </w:numPr>
        <w:spacing w:after="120" w:line="360" w:lineRule="auto"/>
        <w:ind w:right="49"/>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En consecuencia el recurso de revisión consiste en una garantía secundaria</w:t>
      </w:r>
      <w:r w:rsidRPr="00CC493D">
        <w:rPr>
          <w:rFonts w:ascii="Palatino Linotype" w:eastAsiaTheme="minorEastAsia" w:hAnsi="Palatino Linotype" w:cs="Arial"/>
          <w:i/>
          <w:color w:val="000000" w:themeColor="text1"/>
          <w:lang w:val="es-ES_tradnl" w:eastAsia="es-ES"/>
        </w:rPr>
        <w:t xml:space="preserve"> de la anulabilidad de los actos inválidos y de la responsabilidad de los actos ilícitos, que constituyen las desobediencias de sus garantías primarias</w:t>
      </w:r>
      <w:r w:rsidRPr="00CC493D">
        <w:rPr>
          <w:rStyle w:val="Refdenotaalpie"/>
          <w:rFonts w:ascii="Palatino Linotype" w:eastAsiaTheme="minorEastAsia" w:hAnsi="Palatino Linotype" w:cs="Arial"/>
          <w:color w:val="000000" w:themeColor="text1"/>
          <w:lang w:val="es-ES_tradnl" w:eastAsia="es-ES"/>
        </w:rPr>
        <w:footnoteReference w:id="1"/>
      </w:r>
      <w:r w:rsidRPr="00CC493D">
        <w:rPr>
          <w:rFonts w:ascii="Palatino Linotype" w:eastAsiaTheme="minorEastAsia" w:hAnsi="Palatino Linotype" w:cs="Arial"/>
          <w:color w:val="000000" w:themeColor="text1"/>
          <w:lang w:val="es-ES_tradnl" w:eastAsia="es-ES"/>
        </w:rPr>
        <w:t xml:space="preserve">.  , esto refiere que, ante la falta de respuesta por parte del </w:t>
      </w:r>
      <w:r w:rsidRPr="00CC493D">
        <w:rPr>
          <w:rFonts w:ascii="Palatino Linotype" w:eastAsiaTheme="minorEastAsia" w:hAnsi="Palatino Linotype" w:cs="Arial"/>
          <w:b/>
          <w:color w:val="000000" w:themeColor="text1"/>
          <w:lang w:val="es-ES_tradnl" w:eastAsia="es-ES"/>
        </w:rPr>
        <w:t>SUJETO OBLIGADO</w:t>
      </w:r>
      <w:r w:rsidRPr="00CC493D">
        <w:rPr>
          <w:rFonts w:ascii="Palatino Linotype" w:eastAsiaTheme="minorEastAsia" w:hAnsi="Palatino Linotype" w:cs="Arial"/>
          <w:color w:val="000000" w:themeColor="text1"/>
          <w:lang w:val="es-ES_tradnl" w:eastAsia="es-ES"/>
        </w:rPr>
        <w:t xml:space="preserve">, el RECURRENTE interpuso el recurso de revisión con el objeto de que este órgano garante determine si existió una violación al derecho de acceso a la información pública y que esta violación sea reparada por la autoridad competente. </w:t>
      </w:r>
    </w:p>
    <w:p w14:paraId="62ECE840" w14:textId="77777777" w:rsidR="00EB2DEA" w:rsidRPr="00CC493D" w:rsidRDefault="00EB2DEA" w:rsidP="00EB2DEA">
      <w:pPr>
        <w:spacing w:after="120" w:line="360" w:lineRule="auto"/>
        <w:ind w:left="360" w:right="49"/>
        <w:contextualSpacing/>
        <w:jc w:val="both"/>
        <w:rPr>
          <w:rFonts w:ascii="Palatino Linotype" w:eastAsiaTheme="minorEastAsia" w:hAnsi="Palatino Linotype" w:cs="Arial"/>
          <w:b/>
          <w:color w:val="000000" w:themeColor="text1"/>
          <w:lang w:val="es-ES_tradnl" w:eastAsia="es-ES"/>
        </w:rPr>
      </w:pPr>
    </w:p>
    <w:p w14:paraId="3596CEF8" w14:textId="77777777" w:rsidR="00EB2DEA" w:rsidRPr="00CC493D" w:rsidRDefault="00EB2DEA" w:rsidP="00EB2DEA">
      <w:pPr>
        <w:spacing w:after="120" w:line="360" w:lineRule="auto"/>
        <w:ind w:left="360" w:right="49"/>
        <w:contextualSpacing/>
        <w:jc w:val="both"/>
        <w:rPr>
          <w:rFonts w:ascii="Palatino Linotype" w:eastAsiaTheme="minorEastAsia" w:hAnsi="Palatino Linotype" w:cs="Arial"/>
          <w:b/>
          <w:color w:val="000000" w:themeColor="text1"/>
          <w:lang w:val="es-ES_tradnl" w:eastAsia="es-ES"/>
        </w:rPr>
      </w:pPr>
      <w:r w:rsidRPr="00CC493D">
        <w:rPr>
          <w:rFonts w:ascii="Palatino Linotype" w:eastAsiaTheme="minorEastAsia" w:hAnsi="Palatino Linotype" w:cs="Arial"/>
          <w:b/>
          <w:color w:val="000000" w:themeColor="text1"/>
          <w:lang w:val="es-ES_tradnl" w:eastAsia="es-ES"/>
        </w:rPr>
        <w:t>SÉPTIMO. De la versión pública.</w:t>
      </w:r>
    </w:p>
    <w:p w14:paraId="758ED343" w14:textId="77777777" w:rsidR="00EB2DEA" w:rsidRPr="00CC493D" w:rsidRDefault="00EB2DEA" w:rsidP="00EB2DEA">
      <w:pPr>
        <w:numPr>
          <w:ilvl w:val="0"/>
          <w:numId w:val="1"/>
        </w:numPr>
        <w:spacing w:after="120" w:line="360" w:lineRule="auto"/>
        <w:ind w:right="49"/>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Por otro lado, debe destacarse que debido a la naturaleza de la información solicitada</w:t>
      </w:r>
      <w:r w:rsidRPr="00CC493D">
        <w:rPr>
          <w:rFonts w:ascii="Palatino Linotype" w:eastAsiaTheme="minorEastAsia" w:hAnsi="Palatino Linotype" w:cs="Arial"/>
          <w:b/>
          <w:color w:val="000000" w:themeColor="text1"/>
          <w:lang w:val="es-ES_tradnl" w:eastAsia="es-ES"/>
        </w:rPr>
        <w:t xml:space="preserve">, </w:t>
      </w:r>
      <w:r w:rsidRPr="00CC493D">
        <w:rPr>
          <w:rFonts w:ascii="Palatino Linotype" w:eastAsiaTheme="minorEastAsia" w:hAnsi="Palatino Linotype" w:cs="Arial"/>
          <w:color w:val="000000" w:themeColor="text1"/>
          <w:lang w:val="es-ES_tradnl" w:eastAsia="es-ES"/>
        </w:rPr>
        <w:t xml:space="preserve">eventualmente pudiera obrar datos personales susceptibles de protegerse, y toda vez que este Instituto de Transparencia, Acceso a la Información Pública y Protección de Datos Personales del Estado de México </w:t>
      </w:r>
      <w:r w:rsidRPr="00CC493D">
        <w:rPr>
          <w:rFonts w:ascii="Palatino Linotype" w:eastAsiaTheme="minorEastAsia" w:hAnsi="Palatino Linotype" w:cs="Arial"/>
          <w:color w:val="000000" w:themeColor="text1"/>
          <w:lang w:val="es-ES_tradnl" w:eastAsia="es-ES"/>
        </w:rPr>
        <w:lastRenderedPageBreak/>
        <w:t xml:space="preserve">tiene el deber de velar por la protección de los datos personales aun tratándose de servidores públicos y en su caso generar la </w:t>
      </w:r>
      <w:r w:rsidRPr="00CC493D">
        <w:rPr>
          <w:rFonts w:ascii="Palatino Linotype" w:eastAsiaTheme="minorEastAsia" w:hAnsi="Palatino Linotype" w:cs="Arial"/>
          <w:b/>
          <w:color w:val="000000" w:themeColor="text1"/>
          <w:u w:val="single"/>
          <w:lang w:val="es-ES_tradnl" w:eastAsia="es-ES"/>
        </w:rPr>
        <w:t>versión pública</w:t>
      </w:r>
      <w:r w:rsidRPr="00CC493D">
        <w:rPr>
          <w:rFonts w:ascii="Palatino Linotype" w:eastAsiaTheme="minorEastAsia" w:hAnsi="Palatino Linotype" w:cs="Arial"/>
          <w:color w:val="000000" w:themeColor="text1"/>
          <w:lang w:val="es-ES_tradnl" w:eastAsia="es-ES"/>
        </w:rPr>
        <w:t xml:space="preserve"> del documento por las consideraciones que se estimen pertinentes.</w:t>
      </w:r>
    </w:p>
    <w:p w14:paraId="034BA303" w14:textId="77777777" w:rsidR="00EB2DEA" w:rsidRPr="00CC493D" w:rsidRDefault="00EB2DEA" w:rsidP="00EB2DEA">
      <w:pPr>
        <w:spacing w:after="120" w:line="360" w:lineRule="auto"/>
        <w:ind w:left="360" w:right="49"/>
        <w:contextualSpacing/>
        <w:jc w:val="both"/>
        <w:rPr>
          <w:rFonts w:ascii="Palatino Linotype" w:eastAsiaTheme="minorEastAsia" w:hAnsi="Palatino Linotype" w:cs="Arial"/>
          <w:color w:val="000000" w:themeColor="text1"/>
          <w:lang w:val="es-ES_tradnl" w:eastAsia="es-ES"/>
        </w:rPr>
      </w:pPr>
    </w:p>
    <w:p w14:paraId="07B94C56" w14:textId="77777777" w:rsidR="00EB2DEA" w:rsidRPr="00CC493D" w:rsidRDefault="00EB2DEA" w:rsidP="00EB2DEA">
      <w:pPr>
        <w:numPr>
          <w:ilvl w:val="0"/>
          <w:numId w:val="1"/>
        </w:numPr>
        <w:shd w:val="clear" w:color="auto" w:fill="FFFFFF"/>
        <w:tabs>
          <w:tab w:val="left" w:pos="284"/>
          <w:tab w:val="left" w:pos="426"/>
        </w:tabs>
        <w:spacing w:before="240" w:after="200" w:line="360" w:lineRule="auto"/>
        <w:contextualSpacing/>
        <w:jc w:val="both"/>
        <w:rPr>
          <w:rFonts w:ascii="Palatino Linotype" w:hAnsi="Palatino Linotype" w:cs="Arial"/>
          <w:color w:val="000000" w:themeColor="text1"/>
          <w:lang w:val="es-ES_tradnl" w:eastAsia="es-ES"/>
        </w:rPr>
      </w:pPr>
      <w:r w:rsidRPr="00CC493D">
        <w:rPr>
          <w:rFonts w:ascii="Palatino Linotype" w:eastAsia="Calibri" w:hAnsi="Palatino Linotype" w:cs="Arial"/>
          <w:color w:val="000000" w:themeColor="text1"/>
          <w:lang w:val="es-ES" w:eastAsia="es-MX"/>
        </w:rPr>
        <w:t xml:space="preserve">Es de señalar, que por lo que hace a las versiones públicas, el </w:t>
      </w:r>
      <w:r w:rsidRPr="00CC493D">
        <w:rPr>
          <w:rFonts w:ascii="Palatino Linotype" w:eastAsia="Calibri" w:hAnsi="Palatino Linotype" w:cs="Arial"/>
          <w:b/>
          <w:color w:val="000000" w:themeColor="text1"/>
          <w:lang w:val="es-ES" w:eastAsia="es-MX"/>
        </w:rPr>
        <w:t>SUJETO OBLIGADO</w:t>
      </w:r>
      <w:r w:rsidRPr="00CC493D">
        <w:rPr>
          <w:rFonts w:ascii="Palatino Linotype" w:eastAsia="Calibri" w:hAnsi="Palatino Linotype" w:cs="Arial"/>
          <w:color w:val="000000" w:themeColor="text1"/>
          <w:lang w:val="es-ES" w:eastAsia="es-MX"/>
        </w:rPr>
        <w:t xml:space="preserve"> debe cumplir con las formalidades exigidas en la Ley, por lo que </w:t>
      </w:r>
      <w:r w:rsidRPr="00CC493D">
        <w:rPr>
          <w:rFonts w:ascii="Palatino Linotype" w:hAnsi="Palatino Linotype" w:cs="Arial"/>
          <w:color w:val="000000" w:themeColor="text1"/>
          <w:lang w:val="es-ES_tradnl" w:eastAsia="es-MX"/>
        </w:rPr>
        <w:t xml:space="preserve">para tal efecto emitirá el </w:t>
      </w:r>
      <w:r w:rsidRPr="00CC493D">
        <w:rPr>
          <w:rFonts w:ascii="Palatino Linotype" w:eastAsia="Calibri" w:hAnsi="Palatino Linotype" w:cs="Arial"/>
          <w:color w:val="000000" w:themeColor="text1"/>
          <w:lang w:val="es-ES" w:eastAsia="es-MX"/>
        </w:rPr>
        <w:t>Acuerdo del Comité de Transparencia en términos de los artículos 49 fracción</w:t>
      </w:r>
      <w:r w:rsidRPr="00CC493D">
        <w:rPr>
          <w:rFonts w:ascii="Palatino Linotype" w:eastAsia="Calibri" w:hAnsi="Palatino Linotype" w:cs="Arial"/>
          <w:bCs/>
          <w:color w:val="000000" w:themeColor="text1"/>
          <w:lang w:val="es-ES_tradnl" w:eastAsia="es-ES"/>
        </w:rPr>
        <w:t xml:space="preserve"> VIII,</w:t>
      </w:r>
      <w:r w:rsidRPr="00CC493D">
        <w:rPr>
          <w:rFonts w:ascii="Palatino Linotype" w:eastAsia="Calibri" w:hAnsi="Palatino Linotype" w:cs="Arial"/>
          <w:color w:val="000000" w:themeColor="text1"/>
          <w:lang w:val="es-ES" w:eastAsia="es-MX"/>
        </w:rPr>
        <w:t xml:space="preserve"> 122</w:t>
      </w:r>
      <w:r w:rsidRPr="00CC493D">
        <w:rPr>
          <w:rFonts w:eastAsiaTheme="minorEastAsia"/>
          <w:vertAlign w:val="superscript"/>
          <w:lang w:val="es-ES" w:eastAsia="es-MX"/>
        </w:rPr>
        <w:footnoteReference w:id="2"/>
      </w:r>
      <w:r w:rsidRPr="00CC493D">
        <w:rPr>
          <w:rFonts w:ascii="Palatino Linotype" w:eastAsia="Calibri" w:hAnsi="Palatino Linotype" w:cs="Arial"/>
          <w:color w:val="000000" w:themeColor="text1"/>
          <w:lang w:val="es-ES" w:eastAsia="es-MX"/>
        </w:rPr>
        <w:t>, 135</w:t>
      </w:r>
      <w:r w:rsidRPr="00CC493D">
        <w:rPr>
          <w:rFonts w:eastAsiaTheme="minorEastAsia"/>
          <w:vertAlign w:val="superscript"/>
          <w:lang w:val="es-ES" w:eastAsia="es-MX"/>
        </w:rPr>
        <w:footnoteReference w:id="3"/>
      </w:r>
      <w:r w:rsidRPr="00CC493D">
        <w:rPr>
          <w:rFonts w:ascii="Palatino Linotype" w:eastAsia="Calibri" w:hAnsi="Palatino Linotype" w:cs="Arial"/>
          <w:color w:val="000000" w:themeColor="text1"/>
          <w:lang w:val="es-ES" w:eastAsia="es-MX"/>
        </w:rPr>
        <w:t xml:space="preserve"> y 149 de la </w:t>
      </w:r>
      <w:r w:rsidRPr="00CC493D">
        <w:rPr>
          <w:rFonts w:ascii="Palatino Linotype" w:eastAsia="Calibri" w:hAnsi="Palatino Linotype" w:cs="Arial"/>
          <w:b/>
          <w:color w:val="000000" w:themeColor="text1"/>
          <w:lang w:val="es-ES" w:eastAsia="es-MX"/>
        </w:rPr>
        <w:t>Ley de Transparencia y Acceso a la Información Pública del Estado de México y Municipios</w:t>
      </w:r>
      <w:r w:rsidRPr="00CC493D">
        <w:rPr>
          <w:rFonts w:ascii="Palatino Linotype" w:eastAsia="Calibri" w:hAnsi="Palatino Linotype" w:cs="Arial"/>
          <w:color w:val="000000" w:themeColor="text1"/>
          <w:lang w:val="es-ES" w:eastAsia="es-MX"/>
        </w:rPr>
        <w:t>, con el cual sustentara de forma fundada y motivada la clasificación de datos y con ello la "versión pública" de los documentos materia de la solicitud.</w:t>
      </w:r>
    </w:p>
    <w:p w14:paraId="6AB23318" w14:textId="77777777" w:rsidR="00EB2DEA" w:rsidRPr="00CC493D" w:rsidRDefault="00EB2DEA" w:rsidP="00EB2DEA">
      <w:pPr>
        <w:keepNext/>
        <w:keepLines/>
        <w:spacing w:before="40"/>
        <w:outlineLvl w:val="1"/>
        <w:rPr>
          <w:rFonts w:ascii="Palatino Linotype" w:eastAsiaTheme="majorEastAsia" w:hAnsi="Palatino Linotype" w:cstheme="majorBidi"/>
          <w:b/>
          <w:color w:val="000000" w:themeColor="text1"/>
        </w:rPr>
      </w:pPr>
      <w:bookmarkStart w:id="136" w:name="_Toc500756709"/>
      <w:bookmarkStart w:id="137" w:name="_Toc536691777"/>
      <w:bookmarkStart w:id="138" w:name="_Toc3467949"/>
      <w:r w:rsidRPr="00CC493D">
        <w:rPr>
          <w:rFonts w:ascii="Palatino Linotype" w:eastAsiaTheme="majorEastAsia" w:hAnsi="Palatino Linotype" w:cstheme="majorBidi"/>
          <w:b/>
          <w:color w:val="000000" w:themeColor="text1"/>
        </w:rPr>
        <w:t>I. De la clasificación de la información.</w:t>
      </w:r>
      <w:bookmarkEnd w:id="136"/>
      <w:bookmarkEnd w:id="137"/>
      <w:bookmarkEnd w:id="138"/>
    </w:p>
    <w:p w14:paraId="515F04DD" w14:textId="77777777" w:rsidR="00EB2DEA" w:rsidRPr="00CC493D" w:rsidRDefault="00EB2DEA" w:rsidP="00EB2DEA">
      <w:pPr>
        <w:rPr>
          <w:rFonts w:ascii="Palatino Linotype" w:eastAsiaTheme="minorEastAsia" w:hAnsi="Palatino Linotype"/>
          <w:color w:val="000000" w:themeColor="text1"/>
        </w:rPr>
      </w:pPr>
    </w:p>
    <w:p w14:paraId="454A6515"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 xml:space="preserve">La clasificación total o parcial de la información requerida, mediante solicitud de acceso a la información pública, constituye una restricción al derecho humano de acceso a la información. Como reiteradamente han dicho, diversos órganos </w:t>
      </w:r>
      <w:r w:rsidRPr="00CC493D">
        <w:rPr>
          <w:rFonts w:ascii="Palatino Linotype" w:eastAsiaTheme="minorEastAsia" w:hAnsi="Palatino Linotype"/>
          <w:color w:val="000000" w:themeColor="text1"/>
          <w:lang w:val="es-ES_tradnl" w:eastAsia="es-ES"/>
        </w:rPr>
        <w:lastRenderedPageBreak/>
        <w:t>jurisdiccionales, ningún derecho es absoluto</w:t>
      </w:r>
      <w:r w:rsidRPr="00CC493D">
        <w:rPr>
          <w:rFonts w:eastAsiaTheme="minorEastAsia"/>
          <w:vertAlign w:val="superscript"/>
          <w:lang w:val="es-ES_tradnl" w:eastAsia="es-ES"/>
        </w:rPr>
        <w:footnoteReference w:id="4"/>
      </w:r>
      <w:r w:rsidRPr="00CC493D">
        <w:rPr>
          <w:rFonts w:ascii="Palatino Linotype" w:eastAsiaTheme="minorEastAsia" w:hAnsi="Palatino Linotype"/>
          <w:color w:val="000000" w:themeColor="text1"/>
          <w:lang w:val="es-ES_tradnl" w:eastAsia="es-ES"/>
        </w:rPr>
        <w:t xml:space="preserve"> aunque cualquier límite o restricción, para ser legítimo, debe reunir con tres requisitos: primero, debe de estar establecida en un ordenamiento legal, antes de su aplicación; debe de corresponder a un fin legítimo y ser estrictamente proporcional con el principio o valor que se pretende preservar.</w:t>
      </w:r>
      <w:r w:rsidRPr="00CC493D">
        <w:rPr>
          <w:rFonts w:eastAsiaTheme="minorEastAsia"/>
          <w:vertAlign w:val="superscript"/>
          <w:lang w:val="es-ES_tradnl" w:eastAsia="es-ES"/>
        </w:rPr>
        <w:footnoteReference w:id="5"/>
      </w:r>
      <w:r w:rsidRPr="00CC493D">
        <w:rPr>
          <w:rFonts w:ascii="Palatino Linotype" w:eastAsiaTheme="minorEastAsia" w:hAnsi="Palatino Linotype"/>
          <w:color w:val="000000" w:themeColor="text1"/>
          <w:lang w:val="es-ES_tradnl" w:eastAsia="es-ES"/>
        </w:rPr>
        <w:t xml:space="preserve"> En este caso, la clasificación total o parcial de </w:t>
      </w:r>
      <w:r w:rsidRPr="00CC493D">
        <w:rPr>
          <w:rFonts w:ascii="Palatino Linotype" w:eastAsiaTheme="minorEastAsia" w:hAnsi="Palatino Linotype"/>
          <w:color w:val="000000" w:themeColor="text1"/>
          <w:lang w:val="es-ES_tradnl" w:eastAsia="es-ES"/>
        </w:rPr>
        <w:lastRenderedPageBreak/>
        <w:t>la información 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5214A574"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El grave problema que enfrentamos todos los días, al resolver los recursos de revisión que se presentan, consiste en que a pesar de que han pasado más de dos años, desde la entrada en vigor de la Ley General y poco más de un año de la entrada en vigor de Ley Estatal, y de que dichos ordenamientos señalan los pasos, requisitos y formalidades que deben de cumplirse, en general, los acuerdos de clasificación de la información que emiten los sujetos obligados, siguen sin observar los requisitos, tanto por la complejidad del procedimiento como por la falta de atención de los operadores jurídicos.</w:t>
      </w:r>
    </w:p>
    <w:p w14:paraId="7D1C3046" w14:textId="77777777" w:rsidR="00EB2DEA" w:rsidRPr="00CC493D" w:rsidRDefault="00EB2DEA" w:rsidP="00EB2DEA">
      <w:pPr>
        <w:spacing w:line="360" w:lineRule="auto"/>
        <w:contextualSpacing/>
        <w:jc w:val="both"/>
        <w:rPr>
          <w:rFonts w:ascii="Palatino Linotype" w:eastAsiaTheme="minorEastAsia" w:hAnsi="Palatino Linotype"/>
          <w:color w:val="000000" w:themeColor="text1"/>
          <w:lang w:val="es-ES_tradnl" w:eastAsia="es-ES"/>
        </w:rPr>
      </w:pPr>
    </w:p>
    <w:p w14:paraId="3D74E52A"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Por esa razón, es que en esta ocasión se presenta un apretado resumen de las formalidades, elementos y procedimientos que debe considerar el sujeto obligado para emitir este tipo de acuerdos y que el Órgano Garante debe verificar que se cumplan.</w:t>
      </w:r>
    </w:p>
    <w:p w14:paraId="48886049" w14:textId="77777777" w:rsidR="00EB2DEA" w:rsidRPr="00CC493D" w:rsidRDefault="00EB2DEA" w:rsidP="00EB2DEA">
      <w:pPr>
        <w:spacing w:line="360" w:lineRule="auto"/>
        <w:jc w:val="both"/>
        <w:rPr>
          <w:rFonts w:ascii="Palatino Linotype" w:eastAsiaTheme="minorEastAsia" w:hAnsi="Palatino Linotype"/>
          <w:color w:val="000000" w:themeColor="text1"/>
          <w:lang w:val="es-ES_tradnl" w:eastAsia="es-ES"/>
        </w:rPr>
      </w:pPr>
    </w:p>
    <w:p w14:paraId="32E2BD2B" w14:textId="77777777" w:rsidR="00EB2DEA" w:rsidRPr="00CC493D" w:rsidRDefault="00EB2DEA" w:rsidP="00EB2DEA">
      <w:pPr>
        <w:keepNext/>
        <w:keepLines/>
        <w:numPr>
          <w:ilvl w:val="0"/>
          <w:numId w:val="21"/>
        </w:numPr>
        <w:pBdr>
          <w:top w:val="nil"/>
          <w:left w:val="nil"/>
          <w:bottom w:val="nil"/>
          <w:right w:val="nil"/>
          <w:between w:val="nil"/>
          <w:bar w:val="nil"/>
        </w:pBdr>
        <w:spacing w:before="240"/>
        <w:contextualSpacing/>
        <w:outlineLvl w:val="0"/>
        <w:rPr>
          <w:rFonts w:ascii="Palatino Linotype" w:eastAsiaTheme="majorEastAsia" w:hAnsi="Palatino Linotype" w:cstheme="majorBidi"/>
          <w:b/>
          <w:color w:val="000000" w:themeColor="text1"/>
        </w:rPr>
      </w:pPr>
      <w:bookmarkStart w:id="139" w:name="_Toc485631700"/>
      <w:bookmarkStart w:id="140" w:name="_Toc500756710"/>
      <w:bookmarkStart w:id="141" w:name="_Toc536691778"/>
      <w:bookmarkStart w:id="142" w:name="_Toc3467950"/>
      <w:r w:rsidRPr="00CC493D">
        <w:rPr>
          <w:rFonts w:ascii="Palatino Linotype" w:eastAsiaTheme="majorEastAsia" w:hAnsi="Palatino Linotype" w:cstheme="majorBidi"/>
          <w:b/>
          <w:color w:val="000000" w:themeColor="text1"/>
        </w:rPr>
        <w:t>Requisitos previos.</w:t>
      </w:r>
      <w:bookmarkEnd w:id="139"/>
      <w:bookmarkEnd w:id="140"/>
      <w:bookmarkEnd w:id="141"/>
      <w:bookmarkEnd w:id="142"/>
    </w:p>
    <w:p w14:paraId="3F7FDCA2"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27400DAB"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lastRenderedPageBreak/>
        <w:t xml:space="preserve">Los </w:t>
      </w:r>
      <w:r w:rsidRPr="00CC493D">
        <w:rPr>
          <w:rFonts w:ascii="Palatino Linotype" w:eastAsiaTheme="minorEastAsia" w:hAnsi="Palatino Linotype"/>
          <w:color w:val="000000" w:themeColor="text1"/>
          <w:lang w:val="es-ES_tradnl" w:eastAsia="es-ES"/>
        </w:rPr>
        <w:t>artículos</w:t>
      </w:r>
      <w:r w:rsidRPr="00CC493D">
        <w:rPr>
          <w:rFonts w:ascii="Palatino Linotype" w:eastAsiaTheme="minorEastAsia" w:hAnsi="Palatino Linotype" w:cs="Arial"/>
          <w:color w:val="000000" w:themeColor="text1"/>
          <w:lang w:val="es-ES_tradnl" w:eastAsia="es-ES"/>
        </w:rPr>
        <w:t xml:space="preserve">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(nombre, registro federal de contribuyentes, edad, fotografía, entre otros) que forme parte de algún documento o el documento que se pretende reservar (contrato, licencia, póliza, entre otros), señalando el supuesto de clasificación (confidencialidad o reserva).</w:t>
      </w:r>
    </w:p>
    <w:p w14:paraId="5F59124A"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771F916C"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Además, se debe señalar el procedimiento, de los tres 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14:paraId="111AD5B2"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4D84D213"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 xml:space="preserve">El último de estos requisitos previos consiste en que no se pueden emitir acuerdos de carácter general ni particular, según lo disponen los artículos 134 y 108 de la Ley Estatal y de la Ley General, respectivamente, esto es, no se puede hacer un acuerdo para clasificar de manera general todos los documentos de un expediente o área, sin individualizar su análisis y tampoco se puede hacer un </w:t>
      </w:r>
      <w:r w:rsidRPr="00CC493D">
        <w:rPr>
          <w:rFonts w:ascii="Palatino Linotype" w:eastAsiaTheme="minorEastAsia" w:hAnsi="Palatino Linotype" w:cs="Arial"/>
          <w:color w:val="000000" w:themeColor="text1"/>
          <w:lang w:val="es-ES_tradnl" w:eastAsia="es-ES"/>
        </w:rPr>
        <w:lastRenderedPageBreak/>
        <w:t>acuerdo por cada dato que se vaya a clasificar dentro de un documento con diez datos, por ejemplo, susceptibles de ser clasificados.</w:t>
      </w:r>
    </w:p>
    <w:p w14:paraId="7B7BF685"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5DAD416E" w14:textId="77777777" w:rsidR="00EB2DEA" w:rsidRPr="00CC493D" w:rsidRDefault="00EB2DEA" w:rsidP="00EB2DEA">
      <w:pPr>
        <w:keepNext/>
        <w:keepLines/>
        <w:numPr>
          <w:ilvl w:val="0"/>
          <w:numId w:val="21"/>
        </w:numPr>
        <w:pBdr>
          <w:top w:val="nil"/>
          <w:left w:val="nil"/>
          <w:bottom w:val="nil"/>
          <w:right w:val="nil"/>
          <w:between w:val="nil"/>
          <w:bar w:val="nil"/>
        </w:pBdr>
        <w:spacing w:before="240"/>
        <w:contextualSpacing/>
        <w:outlineLvl w:val="0"/>
        <w:rPr>
          <w:rFonts w:ascii="Palatino Linotype" w:eastAsiaTheme="majorEastAsia" w:hAnsi="Palatino Linotype" w:cstheme="majorBidi"/>
          <w:b/>
          <w:color w:val="000000" w:themeColor="text1"/>
        </w:rPr>
      </w:pPr>
      <w:bookmarkStart w:id="143" w:name="_Toc485631701"/>
      <w:bookmarkStart w:id="144" w:name="_Toc500756711"/>
      <w:bookmarkStart w:id="145" w:name="_Toc536691779"/>
      <w:bookmarkStart w:id="146" w:name="_Toc3467951"/>
      <w:r w:rsidRPr="00CC493D">
        <w:rPr>
          <w:rFonts w:ascii="Palatino Linotype" w:eastAsiaTheme="majorEastAsia" w:hAnsi="Palatino Linotype" w:cstheme="majorBidi"/>
          <w:b/>
          <w:color w:val="000000" w:themeColor="text1"/>
        </w:rPr>
        <w:t>Supuestos de clasificación.</w:t>
      </w:r>
      <w:bookmarkEnd w:id="143"/>
      <w:bookmarkEnd w:id="144"/>
      <w:bookmarkEnd w:id="145"/>
      <w:bookmarkEnd w:id="146"/>
    </w:p>
    <w:p w14:paraId="5AB3EF34" w14:textId="77777777" w:rsidR="00EB2DEA" w:rsidRPr="00CC493D" w:rsidRDefault="00EB2DEA" w:rsidP="00EB2DEA">
      <w:pPr>
        <w:spacing w:line="360" w:lineRule="auto"/>
        <w:jc w:val="both"/>
        <w:rPr>
          <w:rFonts w:ascii="Palatino Linotype" w:eastAsiaTheme="minorEastAsia" w:hAnsi="Palatino Linotype" w:cs="Arial"/>
          <w:color w:val="000000" w:themeColor="text1"/>
          <w:lang w:val="es-ES_tradnl" w:eastAsia="es-ES"/>
        </w:rPr>
      </w:pPr>
    </w:p>
    <w:p w14:paraId="43EC7A5A"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Las disposiciones constitucionales y legales en la materia establecen los dos supuestos generales para clasificar la información: por reserva y por confidencialidad.</w:t>
      </w:r>
    </w:p>
    <w:p w14:paraId="621EAE14"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4E0917DF"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Mientras que los artículos 143 y 116 de la Ley Estatal y de la Ley General, respectivamente, señalan los supuestos para que la información pueda ser clasificada como confidencial:</w:t>
      </w:r>
    </w:p>
    <w:p w14:paraId="4DE5A159" w14:textId="77777777" w:rsidR="00EB2DEA" w:rsidRPr="00CC493D" w:rsidRDefault="00EB2DEA" w:rsidP="00EB2DEA">
      <w:pPr>
        <w:spacing w:line="360" w:lineRule="auto"/>
        <w:jc w:val="both"/>
        <w:rPr>
          <w:rFonts w:ascii="Palatino Linotype" w:eastAsiaTheme="minorEastAsia" w:hAnsi="Palatino Linotype" w:cs="Arial"/>
          <w:color w:val="000000" w:themeColor="text1"/>
          <w:lang w:val="es-ES_tradnl" w:eastAsia="es-ES"/>
        </w:rPr>
      </w:pPr>
    </w:p>
    <w:p w14:paraId="7D6BBD47" w14:textId="77777777" w:rsidR="00EB2DEA" w:rsidRPr="00CC493D" w:rsidRDefault="00EB2DEA" w:rsidP="00EB2DEA">
      <w:pPr>
        <w:widowControl w:val="0"/>
        <w:autoSpaceDE w:val="0"/>
        <w:autoSpaceDN w:val="0"/>
        <w:adjustRightInd w:val="0"/>
        <w:spacing w:after="240" w:line="360" w:lineRule="auto"/>
        <w:ind w:left="567" w:right="616"/>
        <w:jc w:val="both"/>
        <w:rPr>
          <w:rFonts w:ascii="Palatino Linotype" w:eastAsiaTheme="minorEastAsia" w:hAnsi="Palatino Linotype" w:cs="Times"/>
          <w:color w:val="000000" w:themeColor="text1"/>
          <w:lang w:val="es-ES_tradnl" w:eastAsia="es-ES"/>
        </w:rPr>
      </w:pPr>
      <w:r w:rsidRPr="00CC493D">
        <w:rPr>
          <w:rFonts w:ascii="Palatino Linotype" w:eastAsiaTheme="minorEastAsia" w:hAnsi="Palatino Linotype" w:cs="Bookman Old Style"/>
          <w:bCs/>
          <w:color w:val="000000" w:themeColor="text1"/>
          <w:lang w:val="es-ES_tradnl" w:eastAsia="es-ES"/>
        </w:rPr>
        <w:t xml:space="preserve">I. </w:t>
      </w:r>
      <w:r w:rsidRPr="00CC493D">
        <w:rPr>
          <w:rFonts w:ascii="Palatino Linotype" w:eastAsiaTheme="minorEastAsia" w:hAnsi="Palatino Linotype" w:cs="Bookman Old Style"/>
          <w:color w:val="000000" w:themeColor="text1"/>
          <w:lang w:val="es-ES_tradnl" w:eastAsia="es-ES"/>
        </w:rPr>
        <w:t xml:space="preserve">Se refiera a la información privada y los datos personales concernientes a una persona física o jurídico colectiva identificada o identificable; </w:t>
      </w:r>
    </w:p>
    <w:p w14:paraId="294946DA" w14:textId="77777777" w:rsidR="00EB2DEA" w:rsidRPr="00CC493D" w:rsidRDefault="00EB2DEA" w:rsidP="00EB2DEA">
      <w:pPr>
        <w:widowControl w:val="0"/>
        <w:autoSpaceDE w:val="0"/>
        <w:autoSpaceDN w:val="0"/>
        <w:adjustRightInd w:val="0"/>
        <w:spacing w:after="240" w:line="360" w:lineRule="auto"/>
        <w:ind w:left="567" w:right="616"/>
        <w:jc w:val="both"/>
        <w:rPr>
          <w:rFonts w:ascii="Palatino Linotype" w:eastAsiaTheme="minorEastAsia" w:hAnsi="Palatino Linotype" w:cs="Times"/>
          <w:color w:val="000000" w:themeColor="text1"/>
          <w:lang w:val="es-ES_tradnl" w:eastAsia="es-ES"/>
        </w:rPr>
      </w:pPr>
      <w:r w:rsidRPr="00CC493D">
        <w:rPr>
          <w:rFonts w:ascii="Palatino Linotype" w:eastAsiaTheme="minorEastAsia" w:hAnsi="Palatino Linotype" w:cs="Bookman Old Style"/>
          <w:bCs/>
          <w:color w:val="000000" w:themeColor="text1"/>
          <w:lang w:val="es-ES_tradnl" w:eastAsia="es-ES"/>
        </w:rPr>
        <w:t xml:space="preserve">II. </w:t>
      </w:r>
      <w:r w:rsidRPr="00CC493D">
        <w:rPr>
          <w:rFonts w:ascii="Palatino Linotype" w:eastAsiaTheme="minorEastAsia" w:hAnsi="Palatino Linotype" w:cs="Bookman Old Style"/>
          <w:color w:val="000000" w:themeColor="text1"/>
          <w:lang w:val="es-ES_tradnl" w:eastAsia="es-ES"/>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7B2FEEFC" w14:textId="77777777" w:rsidR="00EB2DEA" w:rsidRPr="00CC493D" w:rsidRDefault="00EB2DEA" w:rsidP="00EB2DEA">
      <w:pPr>
        <w:widowControl w:val="0"/>
        <w:autoSpaceDE w:val="0"/>
        <w:autoSpaceDN w:val="0"/>
        <w:adjustRightInd w:val="0"/>
        <w:spacing w:after="240" w:line="360" w:lineRule="auto"/>
        <w:ind w:left="567" w:right="616"/>
        <w:jc w:val="both"/>
        <w:rPr>
          <w:rFonts w:ascii="Palatino Linotype" w:eastAsiaTheme="minorEastAsia" w:hAnsi="Palatino Linotype" w:cs="Times"/>
          <w:color w:val="000000" w:themeColor="text1"/>
          <w:lang w:val="es-ES_tradnl" w:eastAsia="es-ES"/>
        </w:rPr>
      </w:pPr>
      <w:r w:rsidRPr="00CC493D">
        <w:rPr>
          <w:rFonts w:ascii="Palatino Linotype" w:eastAsiaTheme="minorEastAsia" w:hAnsi="Palatino Linotype" w:cs="Bookman Old Style"/>
          <w:bCs/>
          <w:color w:val="000000" w:themeColor="text1"/>
          <w:lang w:val="es-ES_tradnl" w:eastAsia="es-ES"/>
        </w:rPr>
        <w:t xml:space="preserve">III. </w:t>
      </w:r>
      <w:r w:rsidRPr="00CC493D">
        <w:rPr>
          <w:rFonts w:ascii="Palatino Linotype" w:eastAsiaTheme="minorEastAsia" w:hAnsi="Palatino Linotype" w:cs="Bookman Old Style"/>
          <w:color w:val="000000" w:themeColor="text1"/>
          <w:lang w:val="es-ES_tradnl" w:eastAsia="es-ES"/>
        </w:rPr>
        <w:t xml:space="preserve">La que presenten los particulares a los sujetos obligados, de conformidad con lo dispuesto por las leyes o los tratados internacionales. </w:t>
      </w:r>
    </w:p>
    <w:p w14:paraId="78F038EC" w14:textId="77777777" w:rsidR="00EB2DEA" w:rsidRPr="00CC493D" w:rsidRDefault="00EB2DEA" w:rsidP="00EB2DEA">
      <w:pPr>
        <w:widowControl w:val="0"/>
        <w:autoSpaceDE w:val="0"/>
        <w:autoSpaceDN w:val="0"/>
        <w:adjustRightInd w:val="0"/>
        <w:spacing w:after="240" w:line="360" w:lineRule="auto"/>
        <w:ind w:left="567" w:right="616"/>
        <w:jc w:val="both"/>
        <w:rPr>
          <w:rFonts w:ascii="Palatino Linotype" w:eastAsiaTheme="minorEastAsia" w:hAnsi="Palatino Linotype" w:cs="Times"/>
          <w:color w:val="000000" w:themeColor="text1"/>
          <w:lang w:val="es-ES_tradnl" w:eastAsia="es-ES"/>
        </w:rPr>
      </w:pPr>
      <w:r w:rsidRPr="00CC493D">
        <w:rPr>
          <w:rFonts w:ascii="Palatino Linotype" w:eastAsiaTheme="minorEastAsia" w:hAnsi="Palatino Linotype" w:cs="Bookman Old Style"/>
          <w:color w:val="000000" w:themeColor="text1"/>
          <w:lang w:val="es-ES_tradnl" w:eastAsia="es-ES"/>
        </w:rPr>
        <w:lastRenderedPageBreak/>
        <w:t xml:space="preserve">La información confidencial no estará sujeta a temporalidad alguna y sólo podrán tener acceso a ella los titulares de la misma, sus representantes y los servidores públicos facultados para ello. </w:t>
      </w:r>
    </w:p>
    <w:p w14:paraId="32C4ADD8" w14:textId="77777777" w:rsidR="00EB2DEA" w:rsidRPr="00CC493D" w:rsidRDefault="00EB2DEA" w:rsidP="00EB2DEA">
      <w:pPr>
        <w:widowControl w:val="0"/>
        <w:autoSpaceDE w:val="0"/>
        <w:autoSpaceDN w:val="0"/>
        <w:adjustRightInd w:val="0"/>
        <w:spacing w:after="240" w:line="360" w:lineRule="auto"/>
        <w:ind w:left="567" w:right="616"/>
        <w:jc w:val="both"/>
        <w:rPr>
          <w:rFonts w:ascii="Palatino Linotype" w:eastAsiaTheme="minorEastAsia" w:hAnsi="Palatino Linotype" w:cs="Times"/>
          <w:color w:val="000000" w:themeColor="text1"/>
          <w:lang w:val="es-ES_tradnl" w:eastAsia="es-ES"/>
        </w:rPr>
      </w:pPr>
      <w:r w:rsidRPr="00CC493D">
        <w:rPr>
          <w:rFonts w:ascii="Palatino Linotype" w:eastAsiaTheme="minorEastAsia" w:hAnsi="Palatino Linotype" w:cs="Bookman Old Style"/>
          <w:color w:val="000000" w:themeColor="text1"/>
          <w:lang w:val="es-ES_tradnl" w:eastAsia="es-ES"/>
        </w:rPr>
        <w:t xml:space="preserve">No se considerará confidencial la información que se encuentre en los registros públicos o en fuentes de acceso público, ni tampoco la que sea considerada por la presente ley como información pública. </w:t>
      </w:r>
    </w:p>
    <w:p w14:paraId="3E4E17E7" w14:textId="77777777" w:rsidR="00EB2DEA" w:rsidRPr="00CC493D" w:rsidRDefault="00EB2DEA" w:rsidP="00EB2DEA">
      <w:pPr>
        <w:spacing w:line="360" w:lineRule="auto"/>
        <w:jc w:val="both"/>
        <w:rPr>
          <w:rFonts w:ascii="Palatino Linotype" w:eastAsiaTheme="minorEastAsia" w:hAnsi="Palatino Linotype" w:cs="Arial"/>
          <w:color w:val="000000" w:themeColor="text1"/>
          <w:lang w:val="es-ES_tradnl" w:eastAsia="es-ES"/>
        </w:rPr>
      </w:pPr>
    </w:p>
    <w:p w14:paraId="54F7C9FD"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Mientras 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410CDD48"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2591DBFD"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Como consecuencia de lo anterior, el sujeto obligado debe identificar claramente el tipo de información y hacer un juicio de subsunción o encaje</w:t>
      </w:r>
      <w:r w:rsidRPr="00CC493D">
        <w:rPr>
          <w:rFonts w:ascii="Palatino Linotype" w:eastAsiaTheme="minorEastAsia" w:hAnsi="Palatino Linotype" w:cs="Arial"/>
          <w:color w:val="000000" w:themeColor="text1"/>
          <w:vertAlign w:val="superscript"/>
          <w:lang w:val="es-ES_tradnl" w:eastAsia="es-ES"/>
        </w:rPr>
        <w:footnoteReference w:id="6"/>
      </w:r>
      <w:r w:rsidRPr="00CC493D">
        <w:rPr>
          <w:rFonts w:ascii="Palatino Linotype" w:eastAsiaTheme="minorEastAsia" w:hAnsi="Palatino Linotype" w:cs="Arial"/>
          <w:color w:val="000000" w:themeColor="text1"/>
          <w:lang w:val="es-ES_tradnl" w:eastAsia="es-ES"/>
        </w:rPr>
        <w:t xml:space="preserve"> para acreditar </w:t>
      </w:r>
      <w:r w:rsidRPr="00CC493D">
        <w:rPr>
          <w:rFonts w:ascii="Palatino Linotype" w:eastAsiaTheme="minorEastAsia" w:hAnsi="Palatino Linotype" w:cs="Arial"/>
          <w:color w:val="000000" w:themeColor="text1"/>
          <w:lang w:val="es-ES_tradnl" w:eastAsia="es-ES"/>
        </w:rPr>
        <w:lastRenderedPageBreak/>
        <w:t>que el supuesto de hecho corresponde estrictamente con la hipótesis jurídica. Esto también lo debe de realizar el servidor público habilitado y el titular del área que administra la información.</w:t>
      </w:r>
    </w:p>
    <w:p w14:paraId="67B141AA"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1630FEE9"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Una vez hecho lo anterior, se remite la información al Titular de la Unidad de Transparencia, con el acuerdo de clasificación correspondiente, para que sea sometido al conocimiento del Comité de Transparencia.</w:t>
      </w:r>
    </w:p>
    <w:p w14:paraId="70AFF68D" w14:textId="77777777" w:rsidR="00EB2DEA" w:rsidRPr="00CC493D" w:rsidRDefault="00EB2DEA" w:rsidP="00EB2DEA">
      <w:pPr>
        <w:spacing w:line="360" w:lineRule="auto"/>
        <w:contextualSpacing/>
        <w:jc w:val="both"/>
        <w:rPr>
          <w:rFonts w:ascii="Palatino Linotype" w:eastAsiaTheme="minorEastAsia" w:hAnsi="Palatino Linotype"/>
          <w:b/>
          <w:color w:val="000000" w:themeColor="text1"/>
          <w:lang w:val="es-ES_tradnl" w:eastAsia="es-ES"/>
        </w:rPr>
      </w:pPr>
    </w:p>
    <w:p w14:paraId="29926B1F" w14:textId="77777777" w:rsidR="00EB2DEA" w:rsidRPr="00CC493D" w:rsidRDefault="00EB2DEA" w:rsidP="00EB2DEA">
      <w:pPr>
        <w:keepNext/>
        <w:keepLines/>
        <w:numPr>
          <w:ilvl w:val="0"/>
          <w:numId w:val="21"/>
        </w:numPr>
        <w:pBdr>
          <w:top w:val="nil"/>
          <w:left w:val="nil"/>
          <w:bottom w:val="nil"/>
          <w:right w:val="nil"/>
          <w:between w:val="nil"/>
          <w:bar w:val="nil"/>
        </w:pBdr>
        <w:spacing w:before="240"/>
        <w:ind w:left="284" w:hanging="284"/>
        <w:contextualSpacing/>
        <w:jc w:val="both"/>
        <w:outlineLvl w:val="0"/>
        <w:rPr>
          <w:rFonts w:ascii="Palatino Linotype" w:eastAsiaTheme="majorEastAsia" w:hAnsi="Palatino Linotype" w:cstheme="majorBidi"/>
          <w:b/>
          <w:color w:val="000000" w:themeColor="text1"/>
        </w:rPr>
      </w:pPr>
      <w:bookmarkStart w:id="147" w:name="_Toc485631702"/>
      <w:bookmarkStart w:id="148" w:name="_Toc500756712"/>
      <w:bookmarkStart w:id="149" w:name="_Toc536691780"/>
      <w:bookmarkStart w:id="150" w:name="_Toc3467952"/>
      <w:r w:rsidRPr="00CC493D">
        <w:rPr>
          <w:rFonts w:ascii="Palatino Linotype" w:eastAsiaTheme="majorEastAsia" w:hAnsi="Palatino Linotype" w:cstheme="majorBidi"/>
          <w:b/>
          <w:color w:val="000000" w:themeColor="text1"/>
        </w:rPr>
        <w:t>Excepciones a los supuestos de clasificación de la información como reservada.</w:t>
      </w:r>
      <w:bookmarkEnd w:id="147"/>
      <w:bookmarkEnd w:id="148"/>
      <w:bookmarkEnd w:id="149"/>
      <w:bookmarkEnd w:id="150"/>
    </w:p>
    <w:p w14:paraId="71244D50" w14:textId="77777777" w:rsidR="00EB2DEA" w:rsidRPr="00CC493D" w:rsidRDefault="00EB2DEA" w:rsidP="00EB2DEA">
      <w:pPr>
        <w:rPr>
          <w:rFonts w:ascii="Palatino Linotype" w:eastAsiaTheme="minorEastAsia" w:hAnsi="Palatino Linotype"/>
          <w:color w:val="000000" w:themeColor="text1"/>
          <w:lang w:val="es-ES_tradnl" w:eastAsia="es-ES"/>
        </w:rPr>
      </w:pPr>
    </w:p>
    <w:p w14:paraId="18B6FA17" w14:textId="77777777" w:rsidR="00EB2DEA" w:rsidRPr="00CC493D" w:rsidRDefault="00EB2DEA" w:rsidP="00EB2DEA">
      <w:pPr>
        <w:numPr>
          <w:ilvl w:val="0"/>
          <w:numId w:val="1"/>
        </w:numPr>
        <w:spacing w:before="100" w:beforeAutospacing="1" w:after="100" w:afterAutospacing="1" w:line="360" w:lineRule="auto"/>
        <w:jc w:val="both"/>
        <w:rPr>
          <w:rFonts w:ascii="Palatino Linotype" w:hAnsi="Palatino Linotype"/>
          <w:color w:val="000000" w:themeColor="text1"/>
          <w:lang w:val="es-ES" w:eastAsia="es-ES"/>
        </w:rPr>
      </w:pPr>
      <w:r w:rsidRPr="00CC493D">
        <w:rPr>
          <w:rFonts w:ascii="Palatino Linotype" w:hAnsi="Palatino Linotype"/>
          <w:color w:val="000000" w:themeColor="text1"/>
          <w:lang w:val="es-ES" w:eastAsia="es-ES"/>
        </w:rPr>
        <w:t xml:space="preserve">En todos aquellos casos en los que se pretende adoptar una clasificación de la información como reservada, hay que considerar lo señalado por los artículos 5, 140 y 142 de la Ley Estatal y 5, 113 fracción III y 115 de la Ley General, que establecen </w:t>
      </w:r>
      <w:r w:rsidRPr="00CC493D">
        <w:rPr>
          <w:rFonts w:ascii="Palatino Linotype" w:hAnsi="Palatino Linotype"/>
          <w:b/>
          <w:color w:val="000000" w:themeColor="text1"/>
          <w:lang w:val="es-ES" w:eastAsia="es-ES"/>
        </w:rPr>
        <w:t>que no puede clasificarse como información reservada:</w:t>
      </w:r>
    </w:p>
    <w:p w14:paraId="3EA4F9EE" w14:textId="77777777" w:rsidR="00EB2DEA" w:rsidRPr="00CC493D" w:rsidRDefault="00EB2DEA" w:rsidP="00EB2DEA">
      <w:pPr>
        <w:pStyle w:val="Prrafodelista"/>
        <w:spacing w:before="100" w:beforeAutospacing="1" w:after="100" w:afterAutospacing="1" w:line="360" w:lineRule="auto"/>
        <w:jc w:val="both"/>
        <w:rPr>
          <w:rFonts w:ascii="Palatino Linotype" w:hAnsi="Palatino Linotype"/>
          <w:b/>
          <w:color w:val="000000" w:themeColor="text1"/>
          <w:lang w:val="es-ES"/>
        </w:rPr>
      </w:pPr>
      <w:r w:rsidRPr="00CC493D">
        <w:rPr>
          <w:rFonts w:ascii="Palatino Linotype" w:hAnsi="Palatino Linotype"/>
          <w:b/>
          <w:color w:val="000000" w:themeColor="text1"/>
          <w:lang w:val="es-ES"/>
        </w:rPr>
        <w:t>I. Se trate de violaciones graves de derechos humanos, calificada así por autoridad competente;</w:t>
      </w:r>
    </w:p>
    <w:p w14:paraId="5A14F46E" w14:textId="77777777" w:rsidR="00EB2DEA" w:rsidRPr="00CC493D" w:rsidRDefault="00EB2DEA" w:rsidP="00EB2DEA">
      <w:pPr>
        <w:pStyle w:val="Prrafodelista"/>
        <w:spacing w:before="100" w:beforeAutospacing="1" w:after="100" w:afterAutospacing="1" w:line="360" w:lineRule="auto"/>
        <w:jc w:val="both"/>
        <w:rPr>
          <w:rFonts w:ascii="Palatino Linotype" w:hAnsi="Palatino Linotype"/>
          <w:b/>
          <w:color w:val="000000" w:themeColor="text1"/>
          <w:lang w:val="es-ES"/>
        </w:rPr>
      </w:pPr>
      <w:r w:rsidRPr="00CC493D">
        <w:rPr>
          <w:rFonts w:ascii="Palatino Linotype" w:hAnsi="Palatino Linotype"/>
          <w:b/>
          <w:color w:val="000000" w:themeColor="text1"/>
          <w:lang w:val="es-ES"/>
        </w:rPr>
        <w:t xml:space="preserve">II. Se trate de la investigación de posibles violaciones graves de derechos humanos aun cuando no exista pronunciamiento previo de autoridad </w:t>
      </w:r>
      <w:r w:rsidRPr="00CC493D">
        <w:rPr>
          <w:rFonts w:ascii="Palatino Linotype" w:hAnsi="Palatino Linotype"/>
          <w:b/>
          <w:color w:val="000000" w:themeColor="text1"/>
          <w:lang w:val="es-ES"/>
        </w:rPr>
        <w:lastRenderedPageBreak/>
        <w:t>competente, cuando se determine, a partir de criterios cuantitativos y cualitativos la trascendencia social de las violaciones;</w:t>
      </w:r>
    </w:p>
    <w:p w14:paraId="70F1F90C" w14:textId="77777777" w:rsidR="00EB2DEA" w:rsidRPr="00CC493D" w:rsidRDefault="00EB2DEA" w:rsidP="00EB2DEA">
      <w:pPr>
        <w:pStyle w:val="Prrafodelista"/>
        <w:spacing w:before="100" w:beforeAutospacing="1" w:after="100" w:afterAutospacing="1" w:line="360" w:lineRule="auto"/>
        <w:jc w:val="both"/>
        <w:rPr>
          <w:rFonts w:ascii="Palatino Linotype" w:hAnsi="Palatino Linotype"/>
          <w:b/>
          <w:color w:val="000000" w:themeColor="text1"/>
          <w:lang w:val="es-ES"/>
        </w:rPr>
      </w:pPr>
      <w:r w:rsidRPr="00CC493D">
        <w:rPr>
          <w:rFonts w:ascii="Palatino Linotype" w:hAnsi="Palatino Linotype"/>
          <w:b/>
          <w:color w:val="000000" w:themeColor="text1"/>
          <w:lang w:val="es-ES"/>
        </w:rPr>
        <w:t>III. Se trate de delitos de lesa humanidad conforme a los tratados ratificados por el Senado de la República, las resoluciones emitidas por organismos internacionales cuya competencia sea reconocida por el Estado Mexicano, así como en las disposiciones jurídicas aplicables; y</w:t>
      </w:r>
    </w:p>
    <w:p w14:paraId="0DEC4071" w14:textId="77777777" w:rsidR="00EB2DEA" w:rsidRPr="00CC493D" w:rsidRDefault="00EB2DEA" w:rsidP="00EB2DEA">
      <w:pPr>
        <w:pStyle w:val="Prrafodelista"/>
        <w:spacing w:before="100" w:beforeAutospacing="1" w:after="100" w:afterAutospacing="1" w:line="360" w:lineRule="auto"/>
        <w:jc w:val="both"/>
        <w:rPr>
          <w:rFonts w:ascii="Palatino Linotype" w:hAnsi="Palatino Linotype"/>
          <w:b/>
          <w:color w:val="000000" w:themeColor="text1"/>
          <w:lang w:val="es-ES"/>
        </w:rPr>
      </w:pPr>
      <w:r w:rsidRPr="00CC493D">
        <w:rPr>
          <w:rFonts w:ascii="Palatino Linotype" w:hAnsi="Palatino Linotype"/>
          <w:b/>
          <w:color w:val="000000" w:themeColor="text1"/>
          <w:lang w:val="es-ES"/>
        </w:rPr>
        <w:t>IV. Se trate de información relacionada con actos de corrupción de conformidad con las disposiciones jurídicas aplicables.</w:t>
      </w:r>
    </w:p>
    <w:p w14:paraId="3B70E4ED" w14:textId="77777777" w:rsidR="00EB2DEA" w:rsidRPr="00CC493D" w:rsidRDefault="00EB2DEA" w:rsidP="00EB2DEA">
      <w:pPr>
        <w:pStyle w:val="Prrafodelista"/>
        <w:spacing w:before="100" w:beforeAutospacing="1" w:after="100" w:afterAutospacing="1" w:line="360" w:lineRule="auto"/>
        <w:jc w:val="both"/>
        <w:rPr>
          <w:rFonts w:ascii="Palatino Linotype" w:hAnsi="Palatino Linotype"/>
          <w:b/>
          <w:color w:val="000000" w:themeColor="text1"/>
          <w:lang w:val="es-ES"/>
        </w:rPr>
      </w:pPr>
    </w:p>
    <w:p w14:paraId="750B2293" w14:textId="77777777" w:rsidR="00EB2DEA" w:rsidRPr="00CC493D" w:rsidRDefault="00EB2DEA" w:rsidP="00EB2DEA">
      <w:pPr>
        <w:pStyle w:val="Prrafodelista"/>
        <w:numPr>
          <w:ilvl w:val="0"/>
          <w:numId w:val="1"/>
        </w:numPr>
        <w:spacing w:before="100" w:beforeAutospacing="1" w:after="100" w:afterAutospacing="1" w:line="360" w:lineRule="auto"/>
        <w:jc w:val="both"/>
        <w:rPr>
          <w:rFonts w:ascii="Palatino Linotype" w:hAnsi="Palatino Linotype"/>
          <w:color w:val="000000" w:themeColor="text1"/>
          <w:lang w:val="es-ES"/>
        </w:rPr>
      </w:pPr>
      <w:r w:rsidRPr="00CC493D">
        <w:rPr>
          <w:rFonts w:ascii="Palatino Linotype" w:hAnsi="Palatino Linotype"/>
          <w:color w:val="000000" w:themeColor="text1"/>
          <w:lang w:val="es-ES"/>
        </w:rPr>
        <w:t xml:space="preserve">En ese tenor, si la información solicitada, encuadra en cualquiera de los supuestos señalados con anterioridad, no será procedente la clasificación de la información bajo ninguna circunstancia, dicho de otro modo, no aplica a excepción a la regla general, derivado que este tipo de casos, deberá de ser del escrutinio público, lo cual ayudará a tener un país informado, que posibilita la población cuestione, indague y verifique los actos de autoridad. </w:t>
      </w:r>
    </w:p>
    <w:p w14:paraId="473A505F" w14:textId="77777777" w:rsidR="00EB2DEA" w:rsidRPr="00CC493D" w:rsidRDefault="00EB2DEA" w:rsidP="00EB2DEA">
      <w:pPr>
        <w:keepNext/>
        <w:keepLines/>
        <w:pBdr>
          <w:top w:val="nil"/>
          <w:left w:val="nil"/>
          <w:bottom w:val="nil"/>
          <w:right w:val="nil"/>
          <w:between w:val="nil"/>
          <w:bar w:val="nil"/>
        </w:pBdr>
        <w:spacing w:before="240"/>
        <w:outlineLvl w:val="0"/>
        <w:rPr>
          <w:rFonts w:ascii="Palatino Linotype" w:eastAsiaTheme="majorEastAsia" w:hAnsi="Palatino Linotype" w:cstheme="majorBidi"/>
          <w:b/>
          <w:color w:val="000000" w:themeColor="text1"/>
        </w:rPr>
      </w:pPr>
      <w:bookmarkStart w:id="151" w:name="_Toc485631703"/>
      <w:bookmarkStart w:id="152" w:name="_Toc500756713"/>
      <w:bookmarkStart w:id="153" w:name="_Toc536691781"/>
      <w:bookmarkStart w:id="154" w:name="_Toc3467953"/>
      <w:r w:rsidRPr="00CC493D">
        <w:rPr>
          <w:rFonts w:ascii="Palatino Linotype" w:eastAsiaTheme="majorEastAsia" w:hAnsi="Palatino Linotype" w:cstheme="majorBidi"/>
          <w:b/>
          <w:color w:val="000000" w:themeColor="text1"/>
        </w:rPr>
        <w:t>II. La intervención del Comité de Transparencia.</w:t>
      </w:r>
      <w:bookmarkEnd w:id="151"/>
      <w:bookmarkEnd w:id="152"/>
      <w:bookmarkEnd w:id="153"/>
      <w:bookmarkEnd w:id="154"/>
    </w:p>
    <w:p w14:paraId="232A26CD" w14:textId="77777777" w:rsidR="00EB2DEA" w:rsidRPr="00CC493D" w:rsidRDefault="00EB2DEA" w:rsidP="00EB2DEA">
      <w:pPr>
        <w:spacing w:line="360" w:lineRule="auto"/>
        <w:contextualSpacing/>
        <w:jc w:val="both"/>
        <w:rPr>
          <w:rFonts w:ascii="Palatino Linotype" w:eastAsiaTheme="minorEastAsia" w:hAnsi="Palatino Linotype" w:cs="Arial"/>
          <w:b/>
          <w:color w:val="000000" w:themeColor="text1"/>
          <w:lang w:val="es-ES_tradnl" w:eastAsia="es-ES"/>
        </w:rPr>
      </w:pPr>
    </w:p>
    <w:p w14:paraId="231F5B98" w14:textId="77777777" w:rsidR="00EB2DEA" w:rsidRPr="00CC493D" w:rsidRDefault="00EB2DEA" w:rsidP="00EB2DEA">
      <w:pPr>
        <w:keepNext/>
        <w:keepLines/>
        <w:numPr>
          <w:ilvl w:val="0"/>
          <w:numId w:val="22"/>
        </w:numPr>
        <w:pBdr>
          <w:top w:val="nil"/>
          <w:left w:val="nil"/>
          <w:bottom w:val="nil"/>
          <w:right w:val="nil"/>
          <w:between w:val="nil"/>
          <w:bar w:val="nil"/>
        </w:pBdr>
        <w:spacing w:before="40"/>
        <w:contextualSpacing/>
        <w:outlineLvl w:val="1"/>
        <w:rPr>
          <w:rFonts w:ascii="Palatino Linotype" w:eastAsiaTheme="majorEastAsia" w:hAnsi="Palatino Linotype" w:cstheme="majorBidi"/>
          <w:b/>
          <w:color w:val="000000" w:themeColor="text1"/>
        </w:rPr>
      </w:pPr>
      <w:bookmarkStart w:id="155" w:name="_Toc485631704"/>
      <w:bookmarkStart w:id="156" w:name="_Toc500756714"/>
      <w:bookmarkStart w:id="157" w:name="_Toc536691782"/>
      <w:bookmarkStart w:id="158" w:name="_Toc3467954"/>
      <w:r w:rsidRPr="00CC493D">
        <w:rPr>
          <w:rFonts w:ascii="Palatino Linotype" w:eastAsiaTheme="majorEastAsia" w:hAnsi="Palatino Linotype" w:cstheme="majorBidi"/>
          <w:b/>
          <w:color w:val="000000" w:themeColor="text1"/>
        </w:rPr>
        <w:t>Formalidades para emitir el acuerdo de clasificación.</w:t>
      </w:r>
      <w:bookmarkEnd w:id="155"/>
      <w:bookmarkEnd w:id="156"/>
      <w:bookmarkEnd w:id="157"/>
      <w:bookmarkEnd w:id="158"/>
    </w:p>
    <w:p w14:paraId="050996E3" w14:textId="77777777" w:rsidR="00EB2DEA" w:rsidRPr="00CC493D" w:rsidRDefault="00EB2DEA" w:rsidP="00EB2DEA">
      <w:pPr>
        <w:tabs>
          <w:tab w:val="left" w:pos="7770"/>
        </w:tabs>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ab/>
      </w:r>
    </w:p>
    <w:p w14:paraId="5BEE2C93" w14:textId="77777777" w:rsidR="00EB2DEA" w:rsidRPr="00CC493D" w:rsidRDefault="00EB2DEA" w:rsidP="00EB2DEA">
      <w:pPr>
        <w:numPr>
          <w:ilvl w:val="0"/>
          <w:numId w:val="1"/>
        </w:numPr>
        <w:spacing w:line="360" w:lineRule="auto"/>
        <w:contextualSpacing/>
        <w:jc w:val="both"/>
        <w:rPr>
          <w:rFonts w:ascii="Palatino Linotype" w:hAnsi="Palatino Linotype"/>
          <w:color w:val="000000" w:themeColor="text1"/>
          <w:lang w:val="es-ES_tradnl"/>
        </w:rPr>
      </w:pPr>
      <w:r w:rsidRPr="00CC493D">
        <w:rPr>
          <w:rFonts w:ascii="Palatino Linotype" w:eastAsiaTheme="minorEastAsia" w:hAnsi="Palatino Linotype" w:cs="Arial"/>
          <w:color w:val="000000" w:themeColor="text1"/>
          <w:lang w:val="es-ES_tradnl" w:eastAsia="es-ES"/>
        </w:rPr>
        <w:t xml:space="preserve">El Comité de Transparencia, según lo dispuesto en los artículos 128 y 103 de la Ley Estatal y de la Ley General, respectivamente, y </w:t>
      </w:r>
      <w:r w:rsidRPr="00CC493D">
        <w:rPr>
          <w:rFonts w:ascii="Palatino Linotype" w:eastAsiaTheme="minorEastAsia" w:hAnsi="Palatino Linotype"/>
          <w:color w:val="000000" w:themeColor="text1"/>
          <w:lang w:val="es-ES_tradnl" w:eastAsia="es-ES"/>
        </w:rPr>
        <w:t xml:space="preserve">la fracción III del numeral Segundo de los </w:t>
      </w:r>
      <w:r w:rsidRPr="00CC493D">
        <w:rPr>
          <w:rFonts w:ascii="Palatino Linotype" w:eastAsiaTheme="minorEastAsia" w:hAnsi="Palatino Linotype" w:cs="Arial"/>
          <w:color w:val="000000" w:themeColor="text1"/>
          <w:lang w:val="es-ES_tradnl" w:eastAsia="es-ES"/>
        </w:rPr>
        <w:t xml:space="preserve">Lineamientos generales en materia de clasificación y </w:t>
      </w:r>
      <w:r w:rsidRPr="00CC493D">
        <w:rPr>
          <w:rFonts w:ascii="Palatino Linotype" w:eastAsiaTheme="minorEastAsia" w:hAnsi="Palatino Linotype" w:cs="Arial"/>
          <w:color w:val="000000" w:themeColor="text1"/>
          <w:lang w:val="es-ES_tradnl" w:eastAsia="es-ES"/>
        </w:rPr>
        <w:lastRenderedPageBreak/>
        <w:t>desclasificación de la información, así como para la elaboración de versiones públicas, en adelante los Lineamientos Generales,</w:t>
      </w:r>
      <w:r w:rsidRPr="00CC493D">
        <w:rPr>
          <w:rFonts w:ascii="Palatino Linotype" w:eastAsiaTheme="minorEastAsia" w:hAnsi="Palatino Linotype"/>
          <w:color w:val="000000" w:themeColor="text1"/>
          <w:lang w:val="es-ES_tradnl" w:eastAsia="es-ES"/>
        </w:rPr>
        <w:t xml:space="preserve"> </w:t>
      </w:r>
      <w:r w:rsidRPr="00CC493D">
        <w:rPr>
          <w:rFonts w:ascii="Palatino Linotype" w:eastAsiaTheme="minorEastAsia" w:hAnsi="Palatino Linotype" w:cs="Arial"/>
          <w:color w:val="000000" w:themeColor="text1"/>
          <w:lang w:val="es-ES_tradnl" w:eastAsia="es-ES"/>
        </w:rPr>
        <w:t>cuenta con las facultades para confirmar, modificar o revocar la clasificación de la información que ha hecho el titular del área que administra la información. Por lo tanto, el Comité no aprueba la clasificación, sino que revisa lo que ha hecho el titular del área y confirma, modifica o revoca la decisión a través de un acuerdo.</w:t>
      </w:r>
    </w:p>
    <w:p w14:paraId="5B30E063"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7D1D1FC3"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Evidentemente, esta decisión implica una restricción a un derecho humano, por lo tanto, puede generar un agravio al particular y, en consecuencia, es necesario que el acto reúna con los requisitos elementales, entre ellos, que la autoridad que va a emitir el acto de autoridad sea la legalmente facultada para ello, es 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14:paraId="615867F6" w14:textId="77777777" w:rsidR="00EB2DEA" w:rsidRPr="00CC493D" w:rsidRDefault="00EB2DEA" w:rsidP="00EB2DEA">
      <w:pPr>
        <w:spacing w:line="360" w:lineRule="auto"/>
        <w:jc w:val="both"/>
        <w:rPr>
          <w:rFonts w:ascii="Palatino Linotype" w:eastAsiaTheme="minorEastAsia" w:hAnsi="Palatino Linotype"/>
          <w:color w:val="000000" w:themeColor="text1"/>
          <w:lang w:val="es-ES_tradnl" w:eastAsia="es-ES"/>
        </w:rPr>
      </w:pPr>
    </w:p>
    <w:p w14:paraId="17992668"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 xml:space="preserve">La decisión de confirmar, modificar o revocar la clasificación deberá de asentarse en un documento que registre la determinación a la que se llegue después de un </w:t>
      </w:r>
      <w:r w:rsidRPr="00CC493D">
        <w:rPr>
          <w:rFonts w:ascii="Palatino Linotype" w:eastAsiaTheme="minorEastAsia" w:hAnsi="Palatino Linotype"/>
          <w:color w:val="000000" w:themeColor="text1"/>
          <w:lang w:val="es-ES_tradnl" w:eastAsia="es-ES"/>
        </w:rPr>
        <w:lastRenderedPageBreak/>
        <w:t xml:space="preserve">análisis minucioso a partir de lo aprobado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 </w:t>
      </w:r>
    </w:p>
    <w:p w14:paraId="696315AE" w14:textId="77777777" w:rsidR="00EB2DEA" w:rsidRPr="00CC493D" w:rsidRDefault="00EB2DEA" w:rsidP="00EB2DEA">
      <w:pPr>
        <w:spacing w:line="360" w:lineRule="auto"/>
        <w:jc w:val="both"/>
        <w:rPr>
          <w:rFonts w:ascii="Palatino Linotype" w:eastAsiaTheme="minorEastAsia" w:hAnsi="Palatino Linotype"/>
          <w:color w:val="000000" w:themeColor="text1"/>
          <w:lang w:val="es-ES_tradnl" w:eastAsia="es-ES"/>
        </w:rPr>
      </w:pPr>
    </w:p>
    <w:p w14:paraId="1943B35E" w14:textId="77777777" w:rsidR="00EB2DEA" w:rsidRPr="00CC493D" w:rsidRDefault="00EB2DEA" w:rsidP="00EB2DEA">
      <w:pPr>
        <w:keepNext/>
        <w:keepLines/>
        <w:numPr>
          <w:ilvl w:val="0"/>
          <w:numId w:val="22"/>
        </w:numPr>
        <w:pBdr>
          <w:top w:val="nil"/>
          <w:left w:val="nil"/>
          <w:bottom w:val="nil"/>
          <w:right w:val="nil"/>
          <w:between w:val="nil"/>
          <w:bar w:val="nil"/>
        </w:pBdr>
        <w:spacing w:before="40"/>
        <w:contextualSpacing/>
        <w:outlineLvl w:val="1"/>
        <w:rPr>
          <w:rFonts w:ascii="Palatino Linotype" w:eastAsiaTheme="majorEastAsia" w:hAnsi="Palatino Linotype" w:cstheme="majorBidi"/>
          <w:b/>
          <w:color w:val="000000" w:themeColor="text1"/>
        </w:rPr>
      </w:pPr>
      <w:bookmarkStart w:id="159" w:name="_Toc485631705"/>
      <w:bookmarkStart w:id="160" w:name="_Toc500756715"/>
      <w:bookmarkStart w:id="161" w:name="_Toc536691783"/>
      <w:bookmarkStart w:id="162" w:name="_Toc3467955"/>
      <w:r w:rsidRPr="00CC493D">
        <w:rPr>
          <w:rFonts w:ascii="Palatino Linotype" w:eastAsiaTheme="majorEastAsia" w:hAnsi="Palatino Linotype" w:cstheme="majorBidi"/>
          <w:b/>
          <w:color w:val="000000" w:themeColor="text1"/>
        </w:rPr>
        <w:t>Requisitos de fondo del acuerdo de clasificación.</w:t>
      </w:r>
      <w:bookmarkEnd w:id="159"/>
      <w:bookmarkEnd w:id="160"/>
      <w:bookmarkEnd w:id="161"/>
      <w:bookmarkEnd w:id="162"/>
    </w:p>
    <w:p w14:paraId="5544D9FD"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4D6BABA1"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 </w:t>
      </w:r>
    </w:p>
    <w:p w14:paraId="36A42ED5" w14:textId="77777777" w:rsidR="00EB2DEA" w:rsidRPr="00CC493D" w:rsidRDefault="00EB2DEA" w:rsidP="00EB2DEA">
      <w:pPr>
        <w:spacing w:line="360" w:lineRule="auto"/>
        <w:contextualSpacing/>
        <w:jc w:val="both"/>
        <w:rPr>
          <w:rFonts w:ascii="Palatino Linotype" w:eastAsiaTheme="minorEastAsia" w:hAnsi="Palatino Linotype"/>
          <w:color w:val="000000" w:themeColor="text1"/>
          <w:lang w:val="es-ES_tradnl" w:eastAsia="es-ES"/>
        </w:rPr>
      </w:pPr>
    </w:p>
    <w:p w14:paraId="53A57812"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 xml:space="preserve">De 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w:t>
      </w:r>
      <w:r w:rsidRPr="00CC493D">
        <w:rPr>
          <w:rFonts w:ascii="Palatino Linotype" w:eastAsiaTheme="minorEastAsia" w:hAnsi="Palatino Linotype"/>
          <w:color w:val="000000" w:themeColor="text1"/>
          <w:lang w:val="es-ES_tradnl" w:eastAsia="es-ES"/>
        </w:rPr>
        <w:lastRenderedPageBreak/>
        <w:t>expresar los fundamentos legales que le dieron origen y las razones por las que se deben aplicar al caso concreto.</w:t>
      </w:r>
    </w:p>
    <w:p w14:paraId="0DFC2A73" w14:textId="77777777" w:rsidR="00EB2DEA" w:rsidRPr="00CC493D" w:rsidRDefault="00EB2DEA" w:rsidP="00EB2DEA">
      <w:pPr>
        <w:shd w:val="clear" w:color="auto" w:fill="FFFFFF"/>
        <w:spacing w:line="360" w:lineRule="auto"/>
        <w:contextualSpacing/>
        <w:jc w:val="both"/>
        <w:rPr>
          <w:rFonts w:ascii="Palatino Linotype" w:hAnsi="Palatino Linotype" w:cs="Arial"/>
          <w:color w:val="000000" w:themeColor="text1"/>
          <w:lang w:val="es-ES_tradnl" w:eastAsia="es-MX"/>
        </w:rPr>
      </w:pPr>
    </w:p>
    <w:p w14:paraId="1DF54470" w14:textId="77777777" w:rsidR="00EB2DEA" w:rsidRPr="00CC493D" w:rsidRDefault="00EB2DEA" w:rsidP="00EB2DEA">
      <w:pPr>
        <w:numPr>
          <w:ilvl w:val="0"/>
          <w:numId w:val="1"/>
        </w:numPr>
        <w:shd w:val="clear" w:color="auto" w:fill="FFFFFF"/>
        <w:spacing w:line="360" w:lineRule="auto"/>
        <w:contextualSpacing/>
        <w:jc w:val="both"/>
        <w:rPr>
          <w:rFonts w:ascii="Palatino Linotype" w:hAnsi="Palatino Linotype" w:cs="Arial"/>
          <w:color w:val="000000" w:themeColor="text1"/>
          <w:lang w:val="es-ES_tradnl" w:eastAsia="es-MX"/>
        </w:rPr>
      </w:pPr>
      <w:r w:rsidRPr="00CC493D">
        <w:rPr>
          <w:rFonts w:ascii="Palatino Linotype" w:hAnsi="Palatino Linotype" w:cs="Arial"/>
          <w:color w:val="000000" w:themeColor="text1"/>
          <w:lang w:val="es-ES_tradnl" w:eastAsia="es-MX"/>
        </w:rPr>
        <w:t>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w:t>
      </w:r>
      <w:r w:rsidRPr="00CC493D">
        <w:rPr>
          <w:rFonts w:ascii="Palatino Linotype" w:hAnsi="Palatino Linotype" w:cs="Arial"/>
          <w:color w:val="000000" w:themeColor="text1"/>
          <w:vertAlign w:val="superscript"/>
          <w:lang w:val="es-ES_tradnl" w:eastAsia="es-MX"/>
        </w:rPr>
        <w:footnoteReference w:id="7"/>
      </w:r>
    </w:p>
    <w:p w14:paraId="654F3B2D" w14:textId="77777777" w:rsidR="00EB2DEA" w:rsidRPr="00CC493D" w:rsidRDefault="00EB2DEA" w:rsidP="00EB2DEA">
      <w:pPr>
        <w:shd w:val="clear" w:color="auto" w:fill="FFFFFF"/>
        <w:spacing w:line="360" w:lineRule="auto"/>
        <w:contextualSpacing/>
        <w:jc w:val="both"/>
        <w:rPr>
          <w:rFonts w:ascii="Palatino Linotype" w:hAnsi="Palatino Linotype" w:cs="Arial"/>
          <w:color w:val="000000" w:themeColor="text1"/>
          <w:lang w:val="es-ES_tradnl" w:eastAsia="es-MX"/>
        </w:rPr>
      </w:pPr>
    </w:p>
    <w:p w14:paraId="2B9E19EC" w14:textId="77777777" w:rsidR="00EB2DEA" w:rsidRPr="00CC493D" w:rsidRDefault="00EB2DEA" w:rsidP="00EB2DEA">
      <w:pPr>
        <w:numPr>
          <w:ilvl w:val="0"/>
          <w:numId w:val="1"/>
        </w:numPr>
        <w:shd w:val="clear" w:color="auto" w:fill="FFFFFF"/>
        <w:spacing w:line="360" w:lineRule="auto"/>
        <w:contextualSpacing/>
        <w:jc w:val="both"/>
        <w:rPr>
          <w:rFonts w:ascii="Palatino Linotype" w:hAnsi="Palatino Linotype" w:cs="Arial"/>
          <w:color w:val="000000" w:themeColor="text1"/>
          <w:lang w:val="es-ES_tradnl" w:eastAsia="es-MX"/>
        </w:rPr>
      </w:pPr>
      <w:r w:rsidRPr="00CC493D">
        <w:rPr>
          <w:rFonts w:ascii="Palatino Linotype" w:hAnsi="Palatino Linotype" w:cs="Arial"/>
          <w:color w:val="000000" w:themeColor="text1"/>
          <w:lang w:val="es-ES_tradnl" w:eastAsia="es-MX"/>
        </w:rPr>
        <w:t>Por su parte, el intérprete judicial del país ha establecido una jurisprudencia respecto a qué debe entenderse por fundamentación y motivación, en los siguientes términos:</w:t>
      </w:r>
    </w:p>
    <w:p w14:paraId="6B552DC7" w14:textId="77777777" w:rsidR="00EB2DEA" w:rsidRPr="00CC493D" w:rsidRDefault="00EB2DEA" w:rsidP="00EB2DEA">
      <w:pPr>
        <w:spacing w:line="360" w:lineRule="auto"/>
        <w:ind w:right="618"/>
        <w:contextualSpacing/>
        <w:jc w:val="both"/>
        <w:rPr>
          <w:rFonts w:ascii="Palatino Linotype" w:eastAsiaTheme="minorEastAsia" w:hAnsi="Palatino Linotype" w:cs="Arial"/>
          <w:color w:val="000000" w:themeColor="text1"/>
          <w:lang w:val="es-ES_tradnl" w:eastAsia="es-ES"/>
        </w:rPr>
      </w:pPr>
    </w:p>
    <w:p w14:paraId="3DCA0A3A" w14:textId="77777777" w:rsidR="00EB2DEA" w:rsidRPr="00CC493D" w:rsidRDefault="00EB2DEA" w:rsidP="00EB2DEA">
      <w:pPr>
        <w:spacing w:line="360" w:lineRule="auto"/>
        <w:ind w:left="567" w:right="618"/>
        <w:contextualSpacing/>
        <w:jc w:val="both"/>
        <w:rPr>
          <w:rFonts w:ascii="Palatino Linotype" w:eastAsiaTheme="minorEastAsia" w:hAnsi="Palatino Linotype" w:cs="Arial"/>
          <w:i/>
          <w:color w:val="000000" w:themeColor="text1"/>
          <w:lang w:val="es-ES_tradnl" w:eastAsia="es-ES"/>
        </w:rPr>
      </w:pPr>
      <w:r w:rsidRPr="00CC493D">
        <w:rPr>
          <w:rFonts w:ascii="Palatino Linotype" w:eastAsiaTheme="minorEastAsia" w:hAnsi="Palatino Linotype" w:cs="Arial"/>
          <w:b/>
          <w:i/>
          <w:color w:val="000000" w:themeColor="text1"/>
          <w:lang w:val="es-ES_tradnl" w:eastAsia="es-ES"/>
        </w:rPr>
        <w:lastRenderedPageBreak/>
        <w:t>FUNDAMENTACIÓN Y MOTIVACIÓN.</w:t>
      </w:r>
      <w:r w:rsidRPr="00CC493D">
        <w:rPr>
          <w:rFonts w:ascii="Palatino Linotype" w:eastAsiaTheme="minorEastAsia" w:hAnsi="Palatino Linotype" w:cs="Arial"/>
          <w:i/>
          <w:color w:val="000000" w:themeColor="text1"/>
          <w:lang w:val="es-ES_tradnl" w:eastAsia="es-ES"/>
        </w:rPr>
        <w:t xml:space="preserve"> La </w:t>
      </w:r>
      <w:r w:rsidRPr="00CC493D">
        <w:rPr>
          <w:rFonts w:ascii="Palatino Linotype" w:eastAsiaTheme="minorEastAsia" w:hAnsi="Palatino Linotype" w:cs="Arial"/>
          <w:i/>
          <w:color w:val="000000" w:themeColor="text1"/>
          <w:u w:val="single"/>
          <w:lang w:val="es-ES_tradnl" w:eastAsia="es-ES"/>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CC493D">
        <w:rPr>
          <w:rFonts w:ascii="Palatino Linotype" w:eastAsiaTheme="minorEastAsia" w:hAnsi="Palatino Linotype" w:cs="Arial"/>
          <w:i/>
          <w:color w:val="000000" w:themeColor="text1"/>
          <w:lang w:val="es-ES_tradnl" w:eastAsia="es-ES"/>
        </w:rPr>
        <w:t>.</w:t>
      </w:r>
    </w:p>
    <w:p w14:paraId="0AF7324F" w14:textId="77777777" w:rsidR="00EB2DEA" w:rsidRPr="00CC493D" w:rsidRDefault="00EB2DEA" w:rsidP="00EB2DEA">
      <w:pPr>
        <w:spacing w:line="360" w:lineRule="auto"/>
        <w:ind w:left="567" w:right="618"/>
        <w:contextualSpacing/>
        <w:jc w:val="both"/>
        <w:rPr>
          <w:rFonts w:ascii="Palatino Linotype" w:eastAsiaTheme="minorEastAsia" w:hAnsi="Palatino Linotype" w:cs="Arial"/>
          <w:i/>
          <w:color w:val="000000" w:themeColor="text1"/>
          <w:lang w:val="es-ES_tradnl" w:eastAsia="es-ES"/>
        </w:rPr>
      </w:pPr>
      <w:r w:rsidRPr="00CC493D">
        <w:rPr>
          <w:rFonts w:ascii="Palatino Linotype" w:eastAsiaTheme="minorEastAsia" w:hAnsi="Palatino Linotype" w:cs="Arial"/>
          <w:i/>
          <w:color w:val="000000" w:themeColor="text1"/>
          <w:lang w:val="es-ES_tradnl" w:eastAsia="es-ES"/>
        </w:rPr>
        <w:t>SEGUNDO TRIBUNAL COLEGIADO DEL SEXTO CIRCUITO.</w:t>
      </w:r>
    </w:p>
    <w:p w14:paraId="4851AF01" w14:textId="77777777" w:rsidR="00EB2DEA" w:rsidRPr="00CC493D" w:rsidRDefault="00EB2DEA" w:rsidP="00EB2DEA">
      <w:pPr>
        <w:spacing w:line="360" w:lineRule="auto"/>
        <w:ind w:left="567" w:right="618"/>
        <w:contextualSpacing/>
        <w:jc w:val="both"/>
        <w:rPr>
          <w:rFonts w:ascii="Palatino Linotype" w:eastAsiaTheme="minorEastAsia" w:hAnsi="Palatino Linotype" w:cs="Arial"/>
          <w:i/>
          <w:color w:val="000000" w:themeColor="text1"/>
          <w:lang w:val="es-ES_tradnl" w:eastAsia="es-ES"/>
        </w:rPr>
      </w:pPr>
      <w:r w:rsidRPr="00CC493D">
        <w:rPr>
          <w:rFonts w:ascii="Palatino Linotype" w:eastAsiaTheme="minorEastAsia" w:hAnsi="Palatino Linotype" w:cs="Arial"/>
          <w:i/>
          <w:color w:val="000000" w:themeColor="text1"/>
          <w:lang w:val="es-ES_tradnl" w:eastAsia="es-ES"/>
        </w:rPr>
        <w:t>Amparo directo 194/88. Bufete Industrial Construcciones, S.A. de C.V. 28 de junio de 1988. Unanimidad de votos. Ponente: Gustavo Calvillo Rangel. Secretario: Jorge Alberto González Álvarez.</w:t>
      </w:r>
    </w:p>
    <w:p w14:paraId="00B39CF2" w14:textId="77777777" w:rsidR="00EB2DEA" w:rsidRPr="00CC493D" w:rsidRDefault="00EB2DEA" w:rsidP="00EB2DEA">
      <w:pPr>
        <w:spacing w:line="360" w:lineRule="auto"/>
        <w:ind w:left="567" w:right="618"/>
        <w:contextualSpacing/>
        <w:jc w:val="both"/>
        <w:rPr>
          <w:rFonts w:ascii="Palatino Linotype" w:eastAsiaTheme="minorEastAsia" w:hAnsi="Palatino Linotype" w:cs="Arial"/>
          <w:i/>
          <w:color w:val="000000" w:themeColor="text1"/>
          <w:lang w:val="es-ES_tradnl" w:eastAsia="es-ES"/>
        </w:rPr>
      </w:pPr>
      <w:r w:rsidRPr="00CC493D">
        <w:rPr>
          <w:rFonts w:ascii="Palatino Linotype" w:eastAsiaTheme="minorEastAsia" w:hAnsi="Palatino Linotype" w:cs="Arial"/>
          <w:i/>
          <w:color w:val="000000" w:themeColor="text1"/>
          <w:lang w:val="es-ES_tradnl" w:eastAsia="es-ES"/>
        </w:rPr>
        <w:t>Revisión fiscal 103/88. Instituto Mexicano del Seguro Social. 18 de octubre de 1988. Unanimidad de votos. Ponente: Arnoldo Nájera Virgen. Secretario: Alejandro Esponda Rincón.</w:t>
      </w:r>
    </w:p>
    <w:p w14:paraId="0598B2C1" w14:textId="77777777" w:rsidR="00EB2DEA" w:rsidRPr="00CC493D" w:rsidRDefault="00EB2DEA" w:rsidP="00EB2DEA">
      <w:pPr>
        <w:spacing w:line="360" w:lineRule="auto"/>
        <w:ind w:left="567" w:right="618"/>
        <w:contextualSpacing/>
        <w:jc w:val="both"/>
        <w:rPr>
          <w:rFonts w:ascii="Palatino Linotype" w:eastAsiaTheme="minorEastAsia" w:hAnsi="Palatino Linotype" w:cs="Arial"/>
          <w:i/>
          <w:color w:val="000000" w:themeColor="text1"/>
          <w:lang w:val="es-ES_tradnl" w:eastAsia="es-ES"/>
        </w:rPr>
      </w:pPr>
      <w:r w:rsidRPr="00CC493D">
        <w:rPr>
          <w:rFonts w:ascii="Palatino Linotype" w:eastAsiaTheme="minorEastAsia" w:hAnsi="Palatino Linotype" w:cs="Arial"/>
          <w:i/>
          <w:color w:val="000000" w:themeColor="text1"/>
          <w:lang w:val="es-ES_tradnl" w:eastAsia="es-ES"/>
        </w:rPr>
        <w:t>Amparo en revisión 333/88. Adilia Romero. 26 de octubre de 1988. Unanimidad de votos. Ponente: Arnoldo Nájera Virgen. Secretario: Enrique Crispín Campos Ramírez.</w:t>
      </w:r>
    </w:p>
    <w:p w14:paraId="4E0E4A7D" w14:textId="77777777" w:rsidR="00EB2DEA" w:rsidRPr="00CC493D" w:rsidRDefault="00EB2DEA" w:rsidP="00EB2DEA">
      <w:pPr>
        <w:spacing w:line="360" w:lineRule="auto"/>
        <w:ind w:left="567" w:right="618"/>
        <w:contextualSpacing/>
        <w:jc w:val="both"/>
        <w:rPr>
          <w:rFonts w:ascii="Palatino Linotype" w:eastAsiaTheme="minorEastAsia" w:hAnsi="Palatino Linotype" w:cs="Arial"/>
          <w:i/>
          <w:color w:val="000000" w:themeColor="text1"/>
          <w:lang w:val="es-ES_tradnl" w:eastAsia="es-ES"/>
        </w:rPr>
      </w:pPr>
      <w:r w:rsidRPr="00CC493D">
        <w:rPr>
          <w:rFonts w:ascii="Palatino Linotype" w:eastAsiaTheme="minorEastAsia" w:hAnsi="Palatino Linotype" w:cs="Arial"/>
          <w:i/>
          <w:color w:val="000000" w:themeColor="text1"/>
          <w:lang w:val="es-ES_tradnl" w:eastAsia="es-ES"/>
        </w:rPr>
        <w:t>Amparo en revisión 597/95. Emilio Maurer Bretón. 15 de noviembre de 1995. Unanimidad de votos. Ponente: Clementina Ramírez Moguel Goyzueta. Secretario: Gonzalo Carrera Molina.</w:t>
      </w:r>
    </w:p>
    <w:p w14:paraId="154C817A" w14:textId="77777777" w:rsidR="00EB2DEA" w:rsidRPr="00CC493D" w:rsidRDefault="00EB2DEA" w:rsidP="00EB2DEA">
      <w:pPr>
        <w:spacing w:line="360" w:lineRule="auto"/>
        <w:ind w:left="567" w:right="618"/>
        <w:contextualSpacing/>
        <w:jc w:val="both"/>
        <w:rPr>
          <w:rFonts w:ascii="Palatino Linotype" w:eastAsiaTheme="minorEastAsia" w:hAnsi="Palatino Linotype" w:cs="Arial"/>
          <w:i/>
          <w:color w:val="000000" w:themeColor="text1"/>
          <w:lang w:val="es-ES_tradnl" w:eastAsia="es-ES"/>
        </w:rPr>
      </w:pPr>
      <w:r w:rsidRPr="00CC493D">
        <w:rPr>
          <w:rFonts w:ascii="Palatino Linotype" w:eastAsiaTheme="minorEastAsia" w:hAnsi="Palatino Linotype" w:cs="Arial"/>
          <w:i/>
          <w:color w:val="000000" w:themeColor="text1"/>
          <w:lang w:val="es-ES_tradnl" w:eastAsia="es-ES"/>
        </w:rPr>
        <w:lastRenderedPageBreak/>
        <w:t>Amparo directo 7/96. Pedro Vicente López Miro. 21 de febrero de 1996. Unanimidad de votos. Ponente: María Eugenia Estela Martínez Cardiel. Secretario: Enrique Baigts Muñoz.</w:t>
      </w:r>
      <w:r w:rsidRPr="00CC493D">
        <w:rPr>
          <w:rFonts w:ascii="Palatino Linotype" w:eastAsiaTheme="minorEastAsia" w:hAnsi="Palatino Linotype" w:cs="Arial"/>
          <w:i/>
          <w:color w:val="000000" w:themeColor="text1"/>
          <w:vertAlign w:val="superscript"/>
          <w:lang w:val="es-ES_tradnl" w:eastAsia="es-ES"/>
        </w:rPr>
        <w:footnoteReference w:id="8"/>
      </w:r>
    </w:p>
    <w:p w14:paraId="330FD44D" w14:textId="77777777" w:rsidR="00EB2DEA" w:rsidRPr="00CC493D" w:rsidRDefault="00EB2DEA" w:rsidP="00EB2DEA">
      <w:pPr>
        <w:spacing w:line="360" w:lineRule="auto"/>
        <w:ind w:left="567"/>
        <w:contextualSpacing/>
        <w:jc w:val="both"/>
        <w:rPr>
          <w:rFonts w:ascii="Palatino Linotype" w:eastAsiaTheme="minorEastAsia" w:hAnsi="Palatino Linotype" w:cs="Arial"/>
          <w:color w:val="000000" w:themeColor="text1"/>
          <w:lang w:val="es-ES" w:eastAsia="es-ES"/>
        </w:rPr>
      </w:pPr>
    </w:p>
    <w:p w14:paraId="0150638B" w14:textId="77777777" w:rsidR="00EB2DEA" w:rsidRPr="00CC493D" w:rsidRDefault="00EB2DEA" w:rsidP="00EB2DEA">
      <w:pPr>
        <w:numPr>
          <w:ilvl w:val="0"/>
          <w:numId w:val="1"/>
        </w:numPr>
        <w:shd w:val="clear" w:color="auto" w:fill="FFFFFF"/>
        <w:spacing w:line="360" w:lineRule="auto"/>
        <w:contextualSpacing/>
        <w:jc w:val="both"/>
        <w:rPr>
          <w:rFonts w:ascii="Palatino Linotype" w:hAnsi="Palatino Linotype" w:cs="Arial"/>
          <w:color w:val="000000" w:themeColor="text1"/>
          <w:lang w:val="es-ES_tradnl" w:eastAsia="es-MX"/>
        </w:rPr>
      </w:pPr>
      <w:r w:rsidRPr="00CC493D">
        <w:rPr>
          <w:rFonts w:ascii="Palatino Linotype" w:hAnsi="Palatino Linotype" w:cs="Arial"/>
          <w:color w:val="000000" w:themeColor="text1"/>
          <w:lang w:val="es-ES_tradnl" w:eastAsia="es-MX"/>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04078F9C" w14:textId="77777777" w:rsidR="00EB2DEA" w:rsidRPr="00CC493D" w:rsidRDefault="00EB2DEA" w:rsidP="00EB2DEA">
      <w:pPr>
        <w:shd w:val="clear" w:color="auto" w:fill="FFFFFF"/>
        <w:spacing w:line="360" w:lineRule="auto"/>
        <w:contextualSpacing/>
        <w:jc w:val="both"/>
        <w:rPr>
          <w:rFonts w:ascii="Palatino Linotype" w:hAnsi="Palatino Linotype" w:cs="Arial"/>
          <w:color w:val="000000" w:themeColor="text1"/>
          <w:lang w:val="es-ES_tradnl" w:eastAsia="es-MX"/>
        </w:rPr>
      </w:pPr>
    </w:p>
    <w:p w14:paraId="311D0B6C" w14:textId="77777777" w:rsidR="00EB2DEA" w:rsidRPr="00CC493D" w:rsidRDefault="00EB2DEA" w:rsidP="00EB2DEA">
      <w:pPr>
        <w:numPr>
          <w:ilvl w:val="0"/>
          <w:numId w:val="1"/>
        </w:numPr>
        <w:shd w:val="clear" w:color="auto" w:fill="FFFFFF"/>
        <w:spacing w:line="360" w:lineRule="auto"/>
        <w:contextualSpacing/>
        <w:jc w:val="both"/>
        <w:rPr>
          <w:rFonts w:ascii="Palatino Linotype" w:hAnsi="Palatino Linotype" w:cs="Arial"/>
          <w:color w:val="000000" w:themeColor="text1"/>
          <w:lang w:val="es-ES_tradnl" w:eastAsia="es-MX"/>
        </w:rPr>
      </w:pPr>
      <w:r w:rsidRPr="00CC493D">
        <w:rPr>
          <w:rFonts w:ascii="Palatino Linotype" w:hAnsi="Palatino Linotype" w:cs="Arial"/>
          <w:color w:val="000000" w:themeColor="text1"/>
          <w:lang w:val="es-ES_tradnl" w:eastAsia="es-MX"/>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424BF29A" w14:textId="77777777" w:rsidR="00EB2DEA" w:rsidRPr="00CC493D" w:rsidRDefault="00EB2DEA" w:rsidP="00EB2DEA">
      <w:pPr>
        <w:shd w:val="clear" w:color="auto" w:fill="FFFFFF"/>
        <w:spacing w:line="360" w:lineRule="auto"/>
        <w:contextualSpacing/>
        <w:jc w:val="both"/>
        <w:rPr>
          <w:rFonts w:ascii="Palatino Linotype" w:hAnsi="Palatino Linotype" w:cs="Arial"/>
          <w:color w:val="000000" w:themeColor="text1"/>
          <w:lang w:val="es-ES_tradnl" w:eastAsia="es-MX"/>
        </w:rPr>
      </w:pPr>
    </w:p>
    <w:p w14:paraId="76A6D99E" w14:textId="77777777" w:rsidR="00EB2DEA" w:rsidRPr="00CC493D" w:rsidRDefault="00EB2DEA" w:rsidP="00EB2DEA">
      <w:pPr>
        <w:numPr>
          <w:ilvl w:val="0"/>
          <w:numId w:val="1"/>
        </w:numPr>
        <w:shd w:val="clear" w:color="auto" w:fill="FFFFFF"/>
        <w:spacing w:line="360" w:lineRule="auto"/>
        <w:contextualSpacing/>
        <w:jc w:val="both"/>
        <w:rPr>
          <w:rFonts w:ascii="Palatino Linotype" w:hAnsi="Palatino Linotype" w:cs="Arial"/>
          <w:color w:val="000000" w:themeColor="text1"/>
          <w:lang w:val="es-ES_tradnl" w:eastAsia="es-MX"/>
        </w:rPr>
      </w:pPr>
      <w:r w:rsidRPr="00CC493D">
        <w:rPr>
          <w:rFonts w:ascii="Palatino Linotype" w:hAnsi="Palatino Linotype" w:cs="Arial"/>
          <w:color w:val="000000" w:themeColor="text1"/>
          <w:lang w:val="es-ES_tradnl" w:eastAsia="es-MX"/>
        </w:rPr>
        <w:t>En ese mismo sentido, el lineamiento trigésimo tercero fracción V de los Lineamientos Generales, precisa que para motivar la clasificación se deben acreditar las circunstancias de tiempo, modo y lugar.</w:t>
      </w:r>
    </w:p>
    <w:p w14:paraId="79F7787B" w14:textId="77777777" w:rsidR="00EB2DEA" w:rsidRPr="00CC493D" w:rsidRDefault="00EB2DEA" w:rsidP="00EB2DEA">
      <w:pPr>
        <w:shd w:val="clear" w:color="auto" w:fill="FFFFFF"/>
        <w:spacing w:after="200" w:line="360" w:lineRule="auto"/>
        <w:contextualSpacing/>
        <w:jc w:val="both"/>
        <w:rPr>
          <w:rFonts w:ascii="Palatino Linotype" w:hAnsi="Palatino Linotype" w:cs="Arial"/>
          <w:color w:val="000000" w:themeColor="text1"/>
          <w:lang w:val="es-ES_tradnl" w:eastAsia="es-MX"/>
        </w:rPr>
      </w:pPr>
    </w:p>
    <w:p w14:paraId="25D61114" w14:textId="77777777" w:rsidR="00EB2DEA" w:rsidRPr="00CC493D" w:rsidRDefault="00EB2DEA" w:rsidP="00EB2DEA">
      <w:pPr>
        <w:numPr>
          <w:ilvl w:val="0"/>
          <w:numId w:val="1"/>
        </w:numPr>
        <w:shd w:val="clear" w:color="auto" w:fill="FFFFFF"/>
        <w:spacing w:after="200" w:line="360" w:lineRule="auto"/>
        <w:contextualSpacing/>
        <w:jc w:val="both"/>
        <w:rPr>
          <w:rFonts w:ascii="Palatino Linotype" w:hAnsi="Palatino Linotype" w:cs="Arial"/>
          <w:color w:val="000000" w:themeColor="text1"/>
          <w:lang w:val="es-ES_tradnl" w:eastAsia="es-MX"/>
        </w:rPr>
      </w:pPr>
      <w:r w:rsidRPr="00CC493D">
        <w:rPr>
          <w:rFonts w:ascii="Palatino Linotype" w:hAnsi="Palatino Linotype" w:cs="Arial"/>
          <w:color w:val="000000" w:themeColor="text1"/>
          <w:lang w:val="es-ES_tradnl" w:eastAsia="es-MX"/>
        </w:rPr>
        <w:lastRenderedPageBreak/>
        <w:t>Ahora bien, para cada caso además de fundar y motivar, se debe identificar con claridad que datos contenidos en las documentales que son susceptibles de suprimirse, por ejemplo, si una documental de naturaleza pública como lo es la nómina general, si bien el dato de sus remuneraciones es eminentemente público, no así todos los datos contenidos en dicho documento que son</w:t>
      </w:r>
      <w:r w:rsidRPr="00CC493D">
        <w:rPr>
          <w:rFonts w:ascii="Palatino Linotype" w:eastAsiaTheme="minorEastAsia" w:hAnsi="Palatino Linotype"/>
          <w:color w:val="000000" w:themeColor="text1"/>
          <w:lang w:val="es-ES_tradnl" w:eastAsia="es-ES"/>
        </w:rPr>
        <w:t xml:space="preserve"> </w:t>
      </w:r>
      <w:r w:rsidRPr="00CC493D">
        <w:rPr>
          <w:rFonts w:ascii="Palatino Linotype" w:hAnsi="Palatino Linotype" w:cs="Arial"/>
          <w:color w:val="000000" w:themeColor="text1"/>
          <w:lang w:val="es-ES_tradnl" w:eastAsia="es-MX"/>
        </w:rPr>
        <w:t>datos personales</w:t>
      </w:r>
      <w:r w:rsidRPr="00CC493D">
        <w:rPr>
          <w:rFonts w:ascii="Palatino Linotype" w:hAnsi="Palatino Linotype" w:cs="Arial"/>
          <w:color w:val="000000" w:themeColor="text1"/>
          <w:vertAlign w:val="superscript"/>
          <w:lang w:val="es-ES_tradnl" w:eastAsia="es-MX"/>
        </w:rPr>
        <w:footnoteReference w:id="9"/>
      </w:r>
      <w:r w:rsidRPr="00CC493D">
        <w:rPr>
          <w:rFonts w:ascii="Palatino Linotype" w:hAnsi="Palatino Linotype" w:cs="Arial"/>
          <w:color w:val="000000" w:themeColor="text1"/>
          <w:lang w:val="es-ES_tradnl" w:eastAsia="es-MX"/>
        </w:rPr>
        <w:t xml:space="preserve"> del servidor público que no tienen ninguna injerencia en el tema de la transparencia y la rendición de cuentas,  por ejemplo, </w:t>
      </w:r>
      <w:r w:rsidRPr="00CC493D">
        <w:rPr>
          <w:rFonts w:ascii="Palatino Linotype" w:eastAsia="Calibri" w:hAnsi="Palatino Linotype" w:cs="Arial"/>
          <w:color w:val="000000" w:themeColor="text1"/>
          <w:lang w:val="es-ES" w:eastAsia="es-MX"/>
        </w:rPr>
        <w:t xml:space="preserve">Clave Única de Registro de Población (CURP), Registro Federal de Contribuyentes (R.F.C.), clave de ISSEMYM, número de cuenta, deducciones (concepto y monto) de sindicato, mutualidad, ayuda por defunción, fondo de resistencia sindical, caja de ahorro, seguro de vida,  ausentismo, Cadenas Originales del Sellos Digitales y los Códigos Bidimensionales, también denominados Códigos QR, estos son datos  susceptibles de clasificarse como confidenciales mediante una versión pública que deje a la vista los datos que ofrezcan la información requerida.  </w:t>
      </w:r>
    </w:p>
    <w:p w14:paraId="2059F2A0" w14:textId="77777777" w:rsidR="00EB2DEA" w:rsidRPr="00CC493D" w:rsidRDefault="00EB2DEA" w:rsidP="00EB2DEA">
      <w:pPr>
        <w:shd w:val="clear" w:color="auto" w:fill="FFFFFF"/>
        <w:spacing w:after="200" w:line="360" w:lineRule="auto"/>
        <w:contextualSpacing/>
        <w:jc w:val="both"/>
        <w:rPr>
          <w:rFonts w:ascii="Palatino Linotype" w:eastAsia="Calibri" w:hAnsi="Palatino Linotype" w:cs="Arial"/>
          <w:color w:val="000000" w:themeColor="text1"/>
          <w:lang w:val="es-ES" w:eastAsia="es-MX"/>
        </w:rPr>
      </w:pPr>
    </w:p>
    <w:p w14:paraId="35BDAD1B" w14:textId="77777777" w:rsidR="00EB2DEA" w:rsidRPr="00CC493D" w:rsidRDefault="00EB2DEA" w:rsidP="00EB2DEA">
      <w:pPr>
        <w:numPr>
          <w:ilvl w:val="0"/>
          <w:numId w:val="1"/>
        </w:numPr>
        <w:shd w:val="clear" w:color="auto" w:fill="FFFFFF"/>
        <w:spacing w:after="200" w:line="360" w:lineRule="auto"/>
        <w:contextualSpacing/>
        <w:jc w:val="both"/>
        <w:rPr>
          <w:rFonts w:ascii="Palatino Linotype" w:eastAsia="Calibri" w:hAnsi="Palatino Linotype" w:cs="Arial"/>
          <w:color w:val="000000" w:themeColor="text1"/>
          <w:lang w:val="es-ES" w:eastAsia="es-MX"/>
        </w:rPr>
      </w:pPr>
      <w:r w:rsidRPr="00CC493D">
        <w:rPr>
          <w:rFonts w:ascii="Palatino Linotype" w:eastAsia="Calibri" w:hAnsi="Palatino Linotype" w:cs="Arial"/>
          <w:color w:val="000000" w:themeColor="text1"/>
          <w:lang w:val="es-ES" w:eastAsia="es-MX"/>
        </w:rPr>
        <w:t xml:space="preserve">Otro tipo de información confidencial constituyen los secretos bancario, fiduciario, industrial, comercial, fiscal, bursátil y postal, cuya titularidad corresponda a particulares, sujetos de derecho internacional o a sujetos obligados </w:t>
      </w:r>
      <w:r w:rsidRPr="00CC493D">
        <w:rPr>
          <w:rFonts w:ascii="Palatino Linotype" w:eastAsia="Calibri" w:hAnsi="Palatino Linotype" w:cs="Arial"/>
          <w:color w:val="000000" w:themeColor="text1"/>
          <w:lang w:val="es-ES" w:eastAsia="es-MX"/>
        </w:rPr>
        <w:lastRenderedPageBreak/>
        <w:t>cuando no involucren el ejercicio de recursos públicos, así lo define la fracción XXI del artículo 3 de la Ley Estatal.</w:t>
      </w:r>
    </w:p>
    <w:p w14:paraId="48A6BB80"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3F73FD69" w14:textId="77777777" w:rsidR="00EB2DEA" w:rsidRPr="00CC493D" w:rsidRDefault="00EB2DEA" w:rsidP="00EB2DEA">
      <w:pPr>
        <w:keepNext/>
        <w:keepLines/>
        <w:pBdr>
          <w:top w:val="nil"/>
          <w:left w:val="nil"/>
          <w:bottom w:val="nil"/>
          <w:right w:val="nil"/>
          <w:between w:val="nil"/>
          <w:bar w:val="nil"/>
        </w:pBdr>
        <w:spacing w:before="40"/>
        <w:jc w:val="both"/>
        <w:outlineLvl w:val="1"/>
        <w:rPr>
          <w:rFonts w:ascii="Palatino Linotype" w:eastAsiaTheme="majorEastAsia" w:hAnsi="Palatino Linotype" w:cstheme="majorBidi"/>
          <w:b/>
          <w:color w:val="000000" w:themeColor="text1"/>
        </w:rPr>
      </w:pPr>
      <w:bookmarkStart w:id="163" w:name="_Toc485631706"/>
      <w:bookmarkStart w:id="164" w:name="_Toc500756716"/>
      <w:bookmarkStart w:id="165" w:name="_Toc536691784"/>
      <w:bookmarkStart w:id="166" w:name="_Toc3467956"/>
      <w:r w:rsidRPr="00CC493D">
        <w:rPr>
          <w:rFonts w:ascii="Palatino Linotype" w:eastAsiaTheme="majorEastAsia" w:hAnsi="Palatino Linotype" w:cstheme="majorBidi"/>
          <w:b/>
          <w:color w:val="000000" w:themeColor="text1"/>
        </w:rPr>
        <w:t>III. Condiciones especiales de la clasificación de la información como reservada</w:t>
      </w:r>
      <w:bookmarkEnd w:id="163"/>
      <w:bookmarkEnd w:id="164"/>
      <w:bookmarkEnd w:id="165"/>
      <w:bookmarkEnd w:id="166"/>
      <w:r w:rsidRPr="00CC493D">
        <w:rPr>
          <w:rFonts w:ascii="Palatino Linotype" w:eastAsiaTheme="majorEastAsia" w:hAnsi="Palatino Linotype" w:cstheme="majorBidi"/>
          <w:b/>
          <w:color w:val="000000" w:themeColor="text1"/>
        </w:rPr>
        <w:t xml:space="preserve"> </w:t>
      </w:r>
    </w:p>
    <w:p w14:paraId="5FCD6BCD" w14:textId="77777777" w:rsidR="00EB2DEA" w:rsidRPr="00CC493D" w:rsidRDefault="00EB2DEA" w:rsidP="00EB2DEA">
      <w:pPr>
        <w:spacing w:line="360" w:lineRule="auto"/>
        <w:contextualSpacing/>
        <w:jc w:val="both"/>
        <w:rPr>
          <w:rFonts w:ascii="Palatino Linotype" w:eastAsiaTheme="minorEastAsia" w:hAnsi="Palatino Linotype" w:cs="Arial"/>
          <w:b/>
          <w:color w:val="000000" w:themeColor="text1"/>
          <w:lang w:val="es-ES_tradnl" w:eastAsia="es-ES"/>
        </w:rPr>
      </w:pPr>
    </w:p>
    <w:p w14:paraId="66AD7C53" w14:textId="77777777" w:rsidR="00EB2DEA" w:rsidRPr="00CC493D" w:rsidRDefault="00EB2DEA" w:rsidP="00EB2DEA">
      <w:pPr>
        <w:keepNext/>
        <w:keepLines/>
        <w:numPr>
          <w:ilvl w:val="0"/>
          <w:numId w:val="17"/>
        </w:numPr>
        <w:pBdr>
          <w:top w:val="nil"/>
          <w:left w:val="nil"/>
          <w:bottom w:val="nil"/>
          <w:right w:val="nil"/>
          <w:between w:val="nil"/>
          <w:bar w:val="nil"/>
        </w:pBdr>
        <w:spacing w:before="40"/>
        <w:outlineLvl w:val="2"/>
        <w:rPr>
          <w:rFonts w:ascii="Palatino Linotype" w:eastAsiaTheme="majorEastAsia" w:hAnsi="Palatino Linotype" w:cstheme="majorBidi"/>
          <w:b/>
          <w:color w:val="000000" w:themeColor="text1"/>
          <w:lang w:val="es-ES_tradnl" w:eastAsia="es-ES"/>
        </w:rPr>
      </w:pPr>
      <w:bookmarkStart w:id="167" w:name="_Toc485631707"/>
      <w:bookmarkStart w:id="168" w:name="_Toc500756717"/>
      <w:bookmarkStart w:id="169" w:name="_Toc536691785"/>
      <w:bookmarkStart w:id="170" w:name="_Toc3467957"/>
      <w:r w:rsidRPr="00CC493D">
        <w:rPr>
          <w:rFonts w:ascii="Palatino Linotype" w:eastAsiaTheme="majorEastAsia" w:hAnsi="Palatino Linotype" w:cstheme="majorBidi"/>
          <w:b/>
          <w:color w:val="000000" w:themeColor="text1"/>
          <w:lang w:val="es-ES_tradnl" w:eastAsia="es-ES"/>
        </w:rPr>
        <w:t>La fundamentación específica.</w:t>
      </w:r>
      <w:bookmarkEnd w:id="167"/>
      <w:bookmarkEnd w:id="168"/>
      <w:bookmarkEnd w:id="169"/>
      <w:bookmarkEnd w:id="170"/>
    </w:p>
    <w:p w14:paraId="288768BA" w14:textId="77777777" w:rsidR="00EB2DEA" w:rsidRPr="00CC493D" w:rsidRDefault="00EB2DEA" w:rsidP="00EB2DEA">
      <w:pPr>
        <w:spacing w:line="360" w:lineRule="auto"/>
        <w:contextualSpacing/>
        <w:jc w:val="both"/>
        <w:rPr>
          <w:rFonts w:ascii="Palatino Linotype" w:eastAsiaTheme="minorEastAsia" w:hAnsi="Palatino Linotype" w:cs="Arial"/>
          <w:color w:val="000000" w:themeColor="text1"/>
          <w:lang w:val="es-ES_tradnl" w:eastAsia="es-ES"/>
        </w:rPr>
      </w:pPr>
    </w:p>
    <w:p w14:paraId="6DC9629D"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s="Arial"/>
          <w:color w:val="000000" w:themeColor="text1"/>
          <w:lang w:val="es-ES_tradnl" w:eastAsia="es-ES"/>
        </w:rPr>
      </w:pPr>
      <w:r w:rsidRPr="00CC493D">
        <w:rPr>
          <w:rFonts w:ascii="Palatino Linotype" w:eastAsiaTheme="minorEastAsia" w:hAnsi="Palatino Linotype" w:cs="Arial"/>
          <w:color w:val="000000" w:themeColor="text1"/>
          <w:lang w:val="es-ES_tradnl" w:eastAsia="es-ES"/>
        </w:rPr>
        <w:t>Más aún, los artículos 128 segundo párrafo y 103 segundo párrafo de las leyes estatal y general, respectivamente, señalan que, en el caso de la información reservada, se debe de señalar las razones, motivos o circunstancias especiales que llevan al sujeto obligado a concluir que el caso fáctico se corresponde con la norma. Por esta razón, la motivación del acto, el juicio de subsunción, para acreditar la estricta correspondencia entre el supuesto de hecho y la hipótesis normativa, deberá señalar las razones, motivos o circunstancias que lo justifiquen, lo que no es lo mismo que repetir el supuesto de hecho y la hipótesis normativa, sino que se debe generar un juicio demostrativo, no uno autoreferencial en el que primero se dice algo, después se dice lo mismo y al final exactamente lo mismo, cambiando sólo el orden de las palabras.</w:t>
      </w:r>
    </w:p>
    <w:p w14:paraId="61D8FFF8" w14:textId="77777777" w:rsidR="00EB2DEA" w:rsidRPr="00CC493D" w:rsidRDefault="00EB2DEA" w:rsidP="00EB2DEA">
      <w:pPr>
        <w:spacing w:line="360" w:lineRule="auto"/>
        <w:contextualSpacing/>
        <w:jc w:val="both"/>
        <w:rPr>
          <w:rFonts w:ascii="Palatino Linotype" w:eastAsiaTheme="minorEastAsia" w:hAnsi="Palatino Linotype" w:cs="Arial"/>
          <w:b/>
          <w:color w:val="000000" w:themeColor="text1"/>
          <w:lang w:val="es-ES_tradnl" w:eastAsia="es-ES"/>
        </w:rPr>
      </w:pPr>
    </w:p>
    <w:p w14:paraId="5CE0AC53" w14:textId="77777777" w:rsidR="00EB2DEA" w:rsidRPr="00CC493D" w:rsidRDefault="00EB2DEA" w:rsidP="00EB2DEA">
      <w:pPr>
        <w:keepNext/>
        <w:keepLines/>
        <w:numPr>
          <w:ilvl w:val="0"/>
          <w:numId w:val="17"/>
        </w:numPr>
        <w:pBdr>
          <w:top w:val="nil"/>
          <w:left w:val="nil"/>
          <w:bottom w:val="nil"/>
          <w:right w:val="nil"/>
          <w:between w:val="nil"/>
          <w:bar w:val="nil"/>
        </w:pBdr>
        <w:spacing w:before="40"/>
        <w:outlineLvl w:val="2"/>
        <w:rPr>
          <w:rFonts w:ascii="Palatino Linotype" w:eastAsiaTheme="majorEastAsia" w:hAnsi="Palatino Linotype" w:cstheme="majorBidi"/>
          <w:b/>
          <w:color w:val="000000" w:themeColor="text1"/>
          <w:lang w:val="es-ES_tradnl" w:eastAsia="es-ES"/>
        </w:rPr>
      </w:pPr>
      <w:bookmarkStart w:id="171" w:name="_Toc485631708"/>
      <w:bookmarkStart w:id="172" w:name="_Toc500756718"/>
      <w:bookmarkStart w:id="173" w:name="_Toc536691786"/>
      <w:bookmarkStart w:id="174" w:name="_Toc3467958"/>
      <w:r w:rsidRPr="00CC493D">
        <w:rPr>
          <w:rFonts w:ascii="Palatino Linotype" w:eastAsiaTheme="majorEastAsia" w:hAnsi="Palatino Linotype" w:cstheme="majorBidi"/>
          <w:b/>
          <w:color w:val="000000" w:themeColor="text1"/>
          <w:lang w:val="es-ES_tradnl" w:eastAsia="es-ES"/>
        </w:rPr>
        <w:t>La prueba de daño.</w:t>
      </w:r>
      <w:bookmarkEnd w:id="171"/>
      <w:bookmarkEnd w:id="172"/>
      <w:bookmarkEnd w:id="173"/>
      <w:bookmarkEnd w:id="174"/>
    </w:p>
    <w:p w14:paraId="323FE730" w14:textId="77777777" w:rsidR="00EB2DEA" w:rsidRPr="00CC493D" w:rsidRDefault="00EB2DEA" w:rsidP="00EB2DEA">
      <w:pPr>
        <w:spacing w:line="360" w:lineRule="auto"/>
        <w:contextualSpacing/>
        <w:jc w:val="both"/>
        <w:rPr>
          <w:rFonts w:ascii="Palatino Linotype" w:eastAsiaTheme="minorEastAsia" w:hAnsi="Palatino Linotype"/>
          <w:color w:val="000000" w:themeColor="text1"/>
          <w:lang w:val="es-ES_tradnl" w:eastAsia="es-ES"/>
        </w:rPr>
      </w:pPr>
    </w:p>
    <w:p w14:paraId="5894D9A7"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 xml:space="preserve">Las mismas disposiciones referidas en el párrafo anterior precisan que, además de señalar las razones, motivos o circunstancias, se deberá aplicar la prueba de </w:t>
      </w:r>
      <w:r w:rsidRPr="00CC493D">
        <w:rPr>
          <w:rFonts w:ascii="Palatino Linotype" w:eastAsiaTheme="minorEastAsia" w:hAnsi="Palatino Linotype"/>
          <w:color w:val="000000" w:themeColor="text1"/>
          <w:lang w:val="es-ES_tradnl" w:eastAsia="es-ES"/>
        </w:rPr>
        <w:lastRenderedPageBreak/>
        <w:t>daño.  Adicionalmente los artículos 129 y 134 último párrafo de la Ley Estatal y 104 y 108 último párrafo de la Ley General, respectivamente, determinan que se debe realizar un análisis caso por caso, aplicando la prueba de daño. Esto implica que la motivación, que acredite la correspondencia entre el supuesto de hecho y la hipótesis normativa señalando las razones, motivos o circunstancias es una parte del acuerdo y otra parte, distinta, es la que corresponde a la prueba de daño, la que debe aplicarse caso por caso, esto es, no se puede hacer una prueba de daño de un expediente completo, sino de cada uno de los documentos que lo integran.</w:t>
      </w:r>
    </w:p>
    <w:p w14:paraId="616EC4DE" w14:textId="77777777" w:rsidR="00EB2DEA" w:rsidRPr="00CC493D" w:rsidRDefault="00EB2DEA" w:rsidP="00EB2DEA">
      <w:pPr>
        <w:spacing w:line="360" w:lineRule="auto"/>
        <w:contextualSpacing/>
        <w:jc w:val="both"/>
        <w:rPr>
          <w:rFonts w:ascii="Palatino Linotype" w:eastAsiaTheme="minorEastAsia" w:hAnsi="Palatino Linotype"/>
          <w:color w:val="000000" w:themeColor="text1"/>
          <w:lang w:val="es-ES_tradnl" w:eastAsia="es-ES"/>
        </w:rPr>
      </w:pPr>
    </w:p>
    <w:p w14:paraId="71835362"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Para aplicar la prueba de daño, se deberán de precisar la razones objetivas por las que la apertura genera una afectación, acreditando que:</w:t>
      </w:r>
    </w:p>
    <w:p w14:paraId="5622D587" w14:textId="77777777" w:rsidR="00EB2DEA" w:rsidRPr="00CC493D" w:rsidRDefault="00EB2DEA" w:rsidP="00EB2DEA">
      <w:pPr>
        <w:spacing w:line="360" w:lineRule="auto"/>
        <w:contextualSpacing/>
        <w:jc w:val="both"/>
        <w:rPr>
          <w:rFonts w:ascii="Palatino Linotype" w:eastAsiaTheme="minorEastAsia" w:hAnsi="Palatino Linotype"/>
          <w:color w:val="000000" w:themeColor="text1"/>
          <w:lang w:val="es-ES_tradnl" w:eastAsia="es-ES"/>
        </w:rPr>
      </w:pPr>
    </w:p>
    <w:p w14:paraId="116690DC" w14:textId="77777777" w:rsidR="00EB2DEA" w:rsidRPr="00CC493D" w:rsidRDefault="00EB2DEA" w:rsidP="00EB2DEA">
      <w:pPr>
        <w:widowControl w:val="0"/>
        <w:autoSpaceDE w:val="0"/>
        <w:autoSpaceDN w:val="0"/>
        <w:adjustRightInd w:val="0"/>
        <w:spacing w:after="240" w:line="360" w:lineRule="auto"/>
        <w:ind w:left="567" w:right="616"/>
        <w:jc w:val="both"/>
        <w:rPr>
          <w:rFonts w:ascii="Palatino Linotype" w:eastAsiaTheme="minorEastAsia" w:hAnsi="Palatino Linotype" w:cs="Times"/>
          <w:i/>
          <w:color w:val="000000" w:themeColor="text1"/>
          <w:lang w:val="es-ES_tradnl" w:eastAsia="es-ES"/>
        </w:rPr>
      </w:pPr>
      <w:r w:rsidRPr="00CC493D">
        <w:rPr>
          <w:rFonts w:ascii="Palatino Linotype" w:eastAsiaTheme="minorEastAsia" w:hAnsi="Palatino Linotype" w:cs="Bookman Old Style"/>
          <w:bCs/>
          <w:i/>
          <w:color w:val="000000" w:themeColor="text1"/>
          <w:lang w:val="es-ES_tradnl" w:eastAsia="es-ES"/>
        </w:rPr>
        <w:t xml:space="preserve">I. </w:t>
      </w:r>
      <w:r w:rsidRPr="00CC493D">
        <w:rPr>
          <w:rFonts w:ascii="Palatino Linotype" w:eastAsiaTheme="minorEastAsia" w:hAnsi="Palatino Linotype" w:cs="Bookman Old Style"/>
          <w:i/>
          <w:color w:val="000000" w:themeColor="text1"/>
          <w:lang w:val="es-ES_tradnl" w:eastAsia="es-ES"/>
        </w:rPr>
        <w:t xml:space="preserve">La divulgación de la información representa un riesgo real, demostrable e identificable del perjuicio significativo al interés público o a la seguridad pública; </w:t>
      </w:r>
    </w:p>
    <w:p w14:paraId="26D00238" w14:textId="77777777" w:rsidR="00EB2DEA" w:rsidRPr="00CC493D" w:rsidRDefault="00EB2DEA" w:rsidP="00EB2DEA">
      <w:pPr>
        <w:widowControl w:val="0"/>
        <w:autoSpaceDE w:val="0"/>
        <w:autoSpaceDN w:val="0"/>
        <w:adjustRightInd w:val="0"/>
        <w:spacing w:after="240" w:line="360" w:lineRule="auto"/>
        <w:ind w:left="567" w:right="616"/>
        <w:jc w:val="both"/>
        <w:rPr>
          <w:rFonts w:ascii="Palatino Linotype" w:eastAsiaTheme="minorEastAsia" w:hAnsi="Palatino Linotype" w:cs="Times"/>
          <w:i/>
          <w:color w:val="000000" w:themeColor="text1"/>
          <w:lang w:val="es-ES_tradnl" w:eastAsia="es-ES"/>
        </w:rPr>
      </w:pPr>
      <w:r w:rsidRPr="00CC493D">
        <w:rPr>
          <w:rFonts w:ascii="Palatino Linotype" w:eastAsiaTheme="minorEastAsia" w:hAnsi="Palatino Linotype" w:cs="Bookman Old Style"/>
          <w:bCs/>
          <w:i/>
          <w:color w:val="000000" w:themeColor="text1"/>
          <w:lang w:val="es-ES_tradnl" w:eastAsia="es-ES"/>
        </w:rPr>
        <w:t xml:space="preserve">II. </w:t>
      </w:r>
      <w:r w:rsidRPr="00CC493D">
        <w:rPr>
          <w:rFonts w:ascii="Palatino Linotype" w:eastAsiaTheme="minorEastAsia" w:hAnsi="Palatino Linotype" w:cs="Bookman Old Style"/>
          <w:i/>
          <w:color w:val="000000" w:themeColor="text1"/>
          <w:lang w:val="es-ES_tradnl" w:eastAsia="es-ES"/>
        </w:rPr>
        <w:t xml:space="preserve">El riesgo de perjuicio que supondría la divulgación supera el interés público general de que se difunda; y </w:t>
      </w:r>
    </w:p>
    <w:p w14:paraId="14F1DDF6" w14:textId="77777777" w:rsidR="00EB2DEA" w:rsidRPr="00CC493D" w:rsidRDefault="00EB2DEA" w:rsidP="00EB2DEA">
      <w:pPr>
        <w:widowControl w:val="0"/>
        <w:autoSpaceDE w:val="0"/>
        <w:autoSpaceDN w:val="0"/>
        <w:adjustRightInd w:val="0"/>
        <w:spacing w:after="240" w:line="360" w:lineRule="auto"/>
        <w:ind w:left="567" w:right="616"/>
        <w:jc w:val="both"/>
        <w:rPr>
          <w:rFonts w:ascii="Palatino Linotype" w:eastAsiaTheme="minorEastAsia" w:hAnsi="Palatino Linotype" w:cs="Times"/>
          <w:i/>
          <w:color w:val="000000" w:themeColor="text1"/>
          <w:lang w:val="es-ES_tradnl" w:eastAsia="es-ES"/>
        </w:rPr>
      </w:pPr>
      <w:r w:rsidRPr="00CC493D">
        <w:rPr>
          <w:rFonts w:ascii="Palatino Linotype" w:eastAsiaTheme="minorEastAsia" w:hAnsi="Palatino Linotype" w:cs="Bookman Old Style"/>
          <w:bCs/>
          <w:i/>
          <w:color w:val="000000" w:themeColor="text1"/>
          <w:lang w:val="es-ES_tradnl" w:eastAsia="es-ES"/>
        </w:rPr>
        <w:t xml:space="preserve">III. </w:t>
      </w:r>
      <w:r w:rsidRPr="00CC493D">
        <w:rPr>
          <w:rFonts w:ascii="Palatino Linotype" w:eastAsiaTheme="minorEastAsia" w:hAnsi="Palatino Linotype" w:cs="Bookman Old Style"/>
          <w:i/>
          <w:color w:val="000000" w:themeColor="text1"/>
          <w:lang w:val="es-ES_tradnl" w:eastAsia="es-ES"/>
        </w:rPr>
        <w:t xml:space="preserve">La limitación se adecua al principio de proporcionalidad y representa el medio menos restrictivo disponible para evitar el perjuicio. </w:t>
      </w:r>
    </w:p>
    <w:p w14:paraId="1DDCE203" w14:textId="77777777" w:rsidR="00EB2DEA" w:rsidRPr="00CC493D" w:rsidRDefault="00EB2DEA" w:rsidP="00EB2DEA">
      <w:pPr>
        <w:numPr>
          <w:ilvl w:val="0"/>
          <w:numId w:val="1"/>
        </w:numPr>
        <w:shd w:val="clear" w:color="auto" w:fill="FFFFFF"/>
        <w:suppressAutoHyphens/>
        <w:spacing w:before="100" w:beforeAutospacing="1" w:after="100" w:afterAutospacing="1" w:line="360" w:lineRule="auto"/>
        <w:jc w:val="both"/>
        <w:textAlignment w:val="baseline"/>
        <w:rPr>
          <w:rFonts w:ascii="Palatino Linotype" w:hAnsi="Palatino Linotype"/>
          <w:color w:val="000000" w:themeColor="text1"/>
          <w:lang w:val="es-ES_tradnl"/>
        </w:rPr>
      </w:pPr>
      <w:r w:rsidRPr="00CC493D">
        <w:rPr>
          <w:rFonts w:ascii="Palatino Linotype" w:hAnsi="Palatino Linotype"/>
          <w:color w:val="000000" w:themeColor="text1"/>
          <w:lang w:val="es-ES_tradnl"/>
        </w:rPr>
        <w:t xml:space="preserve">Sobre el primer supuesto consideremos que según el diccionario del español jurídico, por riesgo podemos entender “la contingencia o proximidad de un </w:t>
      </w:r>
      <w:r w:rsidRPr="00CC493D">
        <w:rPr>
          <w:rFonts w:ascii="Palatino Linotype" w:hAnsi="Palatino Linotype"/>
          <w:color w:val="000000" w:themeColor="text1"/>
          <w:lang w:val="es-ES_tradnl"/>
        </w:rPr>
        <w:lastRenderedPageBreak/>
        <w:t>daño”,</w:t>
      </w:r>
      <w:r w:rsidRPr="00CC493D">
        <w:rPr>
          <w:rFonts w:ascii="Palatino Linotype" w:hAnsi="Palatino Linotype"/>
          <w:color w:val="000000" w:themeColor="text1"/>
          <w:vertAlign w:val="superscript"/>
          <w:lang w:val="es-ES_tradnl"/>
        </w:rPr>
        <w:footnoteReference w:id="10"/>
      </w:r>
      <w:r w:rsidRPr="00CC493D">
        <w:rPr>
          <w:rFonts w:ascii="Palatino Linotype" w:hAnsi="Palatino Linotype"/>
          <w:color w:val="000000" w:themeColor="text1"/>
          <w:lang w:val="es-ES_tradnl"/>
        </w:rPr>
        <w:t xml:space="preserve"> mientras que el daño es considerado como un “perjuicio o lesión”</w:t>
      </w:r>
      <w:r w:rsidRPr="00CC493D">
        <w:rPr>
          <w:rFonts w:ascii="Palatino Linotype" w:hAnsi="Palatino Linotype"/>
          <w:color w:val="000000" w:themeColor="text1"/>
          <w:vertAlign w:val="superscript"/>
          <w:lang w:val="es-ES_tradnl"/>
        </w:rPr>
        <w:footnoteReference w:id="11"/>
      </w:r>
      <w:r w:rsidRPr="00CC493D">
        <w:rPr>
          <w:rFonts w:ascii="Palatino Linotype" w:hAnsi="Palatino Linotype"/>
          <w:color w:val="000000" w:themeColor="text1"/>
          <w:lang w:val="es-ES_tradnl"/>
        </w:rPr>
        <w:t>, mientras que según el Diccionario de la Lengua Española, lo real es</w:t>
      </w:r>
      <w:r w:rsidRPr="00CC493D">
        <w:rPr>
          <w:rFonts w:ascii="Palatino Linotype" w:eastAsia="Arial Unicode MS" w:hAnsi="Palatino Linotype" w:cs="Arial Unicode MS"/>
          <w:color w:val="000000" w:themeColor="text1"/>
          <w:spacing w:val="4"/>
          <w:shd w:val="clear" w:color="auto" w:fill="FFFFFF"/>
          <w:lang w:val="es-ES_tradnl"/>
        </w:rPr>
        <w:t xml:space="preserve"> lo “</w:t>
      </w:r>
      <w:r w:rsidRPr="00CC493D">
        <w:rPr>
          <w:rFonts w:ascii="Palatino Linotype" w:hAnsi="Palatino Linotype"/>
          <w:color w:val="000000" w:themeColor="text1"/>
          <w:lang w:val="es-ES_tradnl"/>
        </w:rPr>
        <w:t>(que</w:t>
      </w:r>
      <w:r w:rsidRPr="00CC493D">
        <w:rPr>
          <w:rFonts w:ascii="Palatino Linotype" w:eastAsia="Arial Unicode MS" w:hAnsi="Palatino Linotype" w:cs="Arial Unicode MS"/>
          <w:color w:val="000000" w:themeColor="text1"/>
          <w:spacing w:val="4"/>
          <w:shd w:val="clear" w:color="auto" w:fill="FFFFFF"/>
          <w:lang w:val="es-ES_tradnl"/>
        </w:rPr>
        <w:t xml:space="preserve"> </w:t>
      </w:r>
      <w:r w:rsidRPr="00CC493D">
        <w:rPr>
          <w:rFonts w:ascii="Palatino Linotype" w:hAnsi="Palatino Linotype"/>
          <w:color w:val="000000" w:themeColor="text1"/>
          <w:lang w:val="es-ES_tradnl"/>
        </w:rPr>
        <w:t>tiene</w:t>
      </w:r>
      <w:r w:rsidRPr="00CC493D">
        <w:rPr>
          <w:rFonts w:ascii="Palatino Linotype" w:eastAsia="Arial Unicode MS" w:hAnsi="Palatino Linotype" w:cs="Arial Unicode MS"/>
          <w:color w:val="000000" w:themeColor="text1"/>
          <w:spacing w:val="4"/>
          <w:shd w:val="clear" w:color="auto" w:fill="FFFFFF"/>
          <w:lang w:val="es-ES_tradnl"/>
        </w:rPr>
        <w:t xml:space="preserve"> </w:t>
      </w:r>
      <w:r w:rsidRPr="00CC493D">
        <w:rPr>
          <w:rFonts w:ascii="Palatino Linotype" w:hAnsi="Palatino Linotype"/>
          <w:color w:val="000000" w:themeColor="text1"/>
          <w:lang w:val="es-ES_tradnl"/>
        </w:rPr>
        <w:t>existencia</w:t>
      </w:r>
      <w:r w:rsidRPr="00CC493D">
        <w:rPr>
          <w:rFonts w:ascii="Palatino Linotype" w:eastAsia="Arial Unicode MS" w:hAnsi="Palatino Linotype" w:cs="Arial Unicode MS"/>
          <w:color w:val="000000" w:themeColor="text1"/>
          <w:spacing w:val="4"/>
          <w:shd w:val="clear" w:color="auto" w:fill="FFFFFF"/>
          <w:lang w:val="es-ES_tradnl"/>
        </w:rPr>
        <w:t xml:space="preserve"> </w:t>
      </w:r>
      <w:r w:rsidRPr="00CC493D">
        <w:rPr>
          <w:rFonts w:ascii="Palatino Linotype" w:hAnsi="Palatino Linotype"/>
          <w:color w:val="000000" w:themeColor="text1"/>
          <w:lang w:val="es-ES_tradnl"/>
        </w:rPr>
        <w:t>objetiva”,</w:t>
      </w:r>
      <w:r w:rsidRPr="00CC493D">
        <w:rPr>
          <w:rFonts w:ascii="Palatino Linotype" w:hAnsi="Palatino Linotype"/>
          <w:color w:val="000000" w:themeColor="text1"/>
          <w:vertAlign w:val="superscript"/>
          <w:lang w:val="es-ES_tradnl"/>
        </w:rPr>
        <w:footnoteReference w:id="12"/>
      </w:r>
      <w:r w:rsidRPr="00CC493D">
        <w:rPr>
          <w:rFonts w:ascii="Palatino Linotype" w:hAnsi="Palatino Linotype"/>
          <w:color w:val="000000" w:themeColor="text1"/>
          <w:lang w:val="es-ES_tradnl"/>
        </w:rPr>
        <w:t xml:space="preserve"> </w:t>
      </w:r>
      <w:r w:rsidRPr="00CC493D">
        <w:rPr>
          <w:rFonts w:ascii="Palatino Linotype" w:eastAsia="Arial Unicode MS" w:hAnsi="Palatino Linotype" w:cs="Arial Unicode MS"/>
          <w:color w:val="000000" w:themeColor="text1"/>
          <w:spacing w:val="4"/>
          <w:shd w:val="clear" w:color="auto" w:fill="FFFFFF"/>
          <w:lang w:val="es-ES_tradnl"/>
        </w:rPr>
        <w:t>mientras que lo demostrables es, según la misma fuente, aquello que se puede demostrar,</w:t>
      </w:r>
      <w:r w:rsidRPr="00CC493D">
        <w:rPr>
          <w:rFonts w:ascii="Palatino Linotype" w:eastAsia="Arial Unicode MS" w:hAnsi="Palatino Linotype" w:cs="Arial Unicode MS"/>
          <w:color w:val="000000" w:themeColor="text1"/>
          <w:spacing w:val="4"/>
          <w:shd w:val="clear" w:color="auto" w:fill="FFFFFF"/>
          <w:vertAlign w:val="superscript"/>
          <w:lang w:val="es-ES_tradnl"/>
        </w:rPr>
        <w:footnoteReference w:id="13"/>
      </w:r>
      <w:r w:rsidRPr="00CC493D">
        <w:rPr>
          <w:rFonts w:ascii="Palatino Linotype" w:eastAsia="Arial Unicode MS" w:hAnsi="Palatino Linotype" w:cs="Arial Unicode MS"/>
          <w:color w:val="000000" w:themeColor="text1"/>
          <w:spacing w:val="4"/>
          <w:shd w:val="clear" w:color="auto" w:fill="FFFFFF"/>
          <w:lang w:val="es-ES_tradnl"/>
        </w:rPr>
        <w:t xml:space="preserve"> es decir, </w:t>
      </w:r>
      <w:r w:rsidRPr="00CC493D">
        <w:rPr>
          <w:rFonts w:ascii="Palatino Linotype" w:hAnsi="Palatino Linotype"/>
          <w:color w:val="000000" w:themeColor="text1"/>
        </w:rPr>
        <w:t xml:space="preserve">“(manifestar, declarar. Probar, sirviéndose de cualquier género de demostración, </w:t>
      </w:r>
      <w:hyperlink r:id="rId18" w:anchor="6nAyKjE" w:history="1">
        <w:r w:rsidRPr="00CC493D">
          <w:rPr>
            <w:rFonts w:ascii="Palatino Linotype" w:hAnsi="Palatino Linotype"/>
            <w:color w:val="000000" w:themeColor="text1"/>
          </w:rPr>
          <w:t>enseñar</w:t>
        </w:r>
      </w:hyperlink>
      <w:r w:rsidRPr="00CC493D">
        <w:rPr>
          <w:rFonts w:ascii="Palatino Linotype" w:hAnsi="Palatino Linotype"/>
          <w:color w:val="000000" w:themeColor="text1"/>
        </w:rPr>
        <w:t xml:space="preserve"> mostrar o exponer algo)”.</w:t>
      </w:r>
      <w:r w:rsidRPr="00CC493D">
        <w:rPr>
          <w:rFonts w:ascii="Palatino Linotype" w:hAnsi="Palatino Linotype"/>
          <w:color w:val="000000" w:themeColor="text1"/>
          <w:vertAlign w:val="superscript"/>
        </w:rPr>
        <w:footnoteReference w:id="14"/>
      </w:r>
      <w:r w:rsidRPr="00CC493D">
        <w:rPr>
          <w:rFonts w:ascii="Palatino Linotype" w:hAnsi="Palatino Linotype"/>
          <w:color w:val="000000" w:themeColor="text1"/>
        </w:rPr>
        <w:t xml:space="preserve"> Mientras que lo identificable es lo que puede ser identificado,</w:t>
      </w:r>
      <w:r w:rsidRPr="00CC493D">
        <w:rPr>
          <w:rFonts w:ascii="Palatino Linotype" w:hAnsi="Palatino Linotype"/>
          <w:color w:val="000000" w:themeColor="text1"/>
          <w:vertAlign w:val="superscript"/>
        </w:rPr>
        <w:footnoteReference w:id="15"/>
      </w:r>
      <w:r w:rsidRPr="00CC493D">
        <w:rPr>
          <w:rFonts w:ascii="Palatino Linotype" w:hAnsi="Palatino Linotype"/>
          <w:color w:val="000000" w:themeColor="text1"/>
        </w:rPr>
        <w:t xml:space="preserve"> esto es,</w:t>
      </w:r>
      <w:r w:rsidRPr="00CC493D">
        <w:rPr>
          <w:rFonts w:ascii="Palatino Linotype" w:hAnsi="Palatino Linotype"/>
          <w:color w:val="000000" w:themeColor="text1"/>
          <w:lang w:val="es-ES_tradnl"/>
        </w:rPr>
        <w:t xml:space="preserve"> “(dar los datos necesarios para ser reconocido”.</w:t>
      </w:r>
      <w:r w:rsidRPr="00CC493D">
        <w:rPr>
          <w:rFonts w:ascii="Palatino Linotype" w:hAnsi="Palatino Linotype"/>
          <w:color w:val="000000" w:themeColor="text1"/>
          <w:vertAlign w:val="superscript"/>
          <w:lang w:val="es-ES_tradnl"/>
        </w:rPr>
        <w:footnoteReference w:id="16"/>
      </w:r>
    </w:p>
    <w:p w14:paraId="3DD7570B"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Por lo que entonces, el primer supuesto de la prueba de daño consiste en acreditar que la entrega de la información provoca tres aspectos concurrentes: 1) la contingencia o proximidad de un daño, un perjuicio o lesión que tiene existencia objetiva, que se puede manifestar, declarar o probar mediante cualquier género de demostración a partir de proporcionar datos necesarios para reconocer el daño, perjuicio o lesión que provocaría a un interés público o a la seguridad pública.</w:t>
      </w:r>
    </w:p>
    <w:p w14:paraId="0933258E" w14:textId="77777777" w:rsidR="00EB2DEA" w:rsidRPr="00CC493D" w:rsidRDefault="00EB2DEA" w:rsidP="00EB2DEA">
      <w:pPr>
        <w:spacing w:line="360" w:lineRule="auto"/>
        <w:contextualSpacing/>
        <w:jc w:val="both"/>
        <w:rPr>
          <w:rFonts w:ascii="Palatino Linotype" w:eastAsiaTheme="minorEastAsia" w:hAnsi="Palatino Linotype"/>
          <w:color w:val="000000" w:themeColor="text1"/>
          <w:lang w:val="es-ES_tradnl" w:eastAsia="es-ES"/>
        </w:rPr>
      </w:pPr>
    </w:p>
    <w:p w14:paraId="0A3462ED"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 xml:space="preserve">Identificado ese riesgo, se debe demostrar que el mismo supera el interés público general porque se difunda dicha información. </w:t>
      </w:r>
    </w:p>
    <w:p w14:paraId="16C3C344" w14:textId="77777777" w:rsidR="00EB2DEA" w:rsidRPr="00CC493D" w:rsidRDefault="00EB2DEA" w:rsidP="00EB2DEA">
      <w:pPr>
        <w:spacing w:line="360" w:lineRule="auto"/>
        <w:contextualSpacing/>
        <w:jc w:val="both"/>
        <w:rPr>
          <w:rFonts w:ascii="Palatino Linotype" w:eastAsiaTheme="minorEastAsia" w:hAnsi="Palatino Linotype"/>
          <w:color w:val="000000" w:themeColor="text1"/>
          <w:lang w:val="es-ES_tradnl" w:eastAsia="es-ES"/>
        </w:rPr>
      </w:pPr>
    </w:p>
    <w:p w14:paraId="6F26BEC6"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lastRenderedPageBreak/>
        <w:t>Y, por último,  que la limitación es acorde con el principio de proporcionalidad, para ello, se sugiere emplear los tres juicios propuestos por la Corte Constitucional Colombiana</w:t>
      </w:r>
      <w:r w:rsidRPr="00CC493D">
        <w:rPr>
          <w:rFonts w:ascii="Palatino Linotype" w:eastAsiaTheme="minorEastAsia" w:hAnsi="Palatino Linotype"/>
          <w:color w:val="000000" w:themeColor="text1"/>
          <w:vertAlign w:val="superscript"/>
          <w:lang w:val="es-ES_tradnl" w:eastAsia="es-ES"/>
        </w:rPr>
        <w:footnoteReference w:id="17"/>
      </w:r>
      <w:r w:rsidRPr="00CC493D">
        <w:rPr>
          <w:rFonts w:ascii="Palatino Linotype" w:eastAsiaTheme="minorEastAsia" w:hAnsi="Palatino Linotype"/>
          <w:color w:val="000000" w:themeColor="text1"/>
          <w:lang w:val="es-ES_tradnl" w:eastAsia="es-ES"/>
        </w:rPr>
        <w:t>, siguiendo el principio de ponderación propuesto por el Tribunal Constitucional Alemán,</w:t>
      </w:r>
      <w:r w:rsidRPr="00CC493D">
        <w:rPr>
          <w:rFonts w:ascii="Palatino Linotype" w:eastAsiaTheme="minorEastAsia" w:hAnsi="Palatino Linotype"/>
          <w:color w:val="000000" w:themeColor="text1"/>
          <w:vertAlign w:val="superscript"/>
          <w:lang w:val="es-ES_tradnl" w:eastAsia="es-ES"/>
        </w:rPr>
        <w:footnoteReference w:id="18"/>
      </w:r>
      <w:r w:rsidRPr="00CC493D">
        <w:rPr>
          <w:rFonts w:ascii="Palatino Linotype" w:eastAsiaTheme="minorEastAsia" w:hAnsi="Palatino Linotype"/>
          <w:color w:val="000000" w:themeColor="text1"/>
          <w:lang w:val="es-ES_tradnl" w:eastAsia="es-ES"/>
        </w:rPr>
        <w:t xml:space="preserve"> el juicio de idoneidad, que la medida adoptada sea la idónea para el ejercicio del derecho; de necesidad, que sea necearía para que el derecho que prevalece se ejerza y el de estricta proporcionalidad esto es, que el derecho que prevalezca sea en la dimensión estrictamente proporcional al derecho que retrocede.</w:t>
      </w:r>
    </w:p>
    <w:p w14:paraId="3C719F2D" w14:textId="77777777" w:rsidR="00EB2DEA" w:rsidRPr="00CC493D" w:rsidRDefault="00EB2DEA" w:rsidP="00EB2DEA">
      <w:pPr>
        <w:contextualSpacing/>
        <w:rPr>
          <w:rFonts w:ascii="Palatino Linotype" w:eastAsiaTheme="minorEastAsia" w:hAnsi="Palatino Linotype"/>
          <w:color w:val="000000" w:themeColor="text1"/>
          <w:lang w:val="es-ES_tradnl" w:eastAsia="es-ES"/>
        </w:rPr>
      </w:pPr>
    </w:p>
    <w:p w14:paraId="6DF454E4" w14:textId="77777777" w:rsidR="00EB2DEA" w:rsidRPr="00CC493D" w:rsidRDefault="00EB2DEA" w:rsidP="00EB2DEA">
      <w:pPr>
        <w:keepNext/>
        <w:keepLines/>
        <w:numPr>
          <w:ilvl w:val="0"/>
          <w:numId w:val="17"/>
        </w:numPr>
        <w:pBdr>
          <w:top w:val="nil"/>
          <w:left w:val="nil"/>
          <w:bottom w:val="nil"/>
          <w:right w:val="nil"/>
          <w:between w:val="nil"/>
          <w:bar w:val="nil"/>
        </w:pBdr>
        <w:spacing w:before="240"/>
        <w:ind w:hanging="11"/>
        <w:contextualSpacing/>
        <w:outlineLvl w:val="0"/>
        <w:rPr>
          <w:rFonts w:ascii="Palatino Linotype" w:eastAsiaTheme="majorEastAsia" w:hAnsi="Palatino Linotype" w:cstheme="majorBidi"/>
          <w:b/>
          <w:color w:val="000000" w:themeColor="text1"/>
        </w:rPr>
      </w:pPr>
      <w:bookmarkStart w:id="175" w:name="_Toc485631709"/>
      <w:bookmarkStart w:id="176" w:name="_Toc500756719"/>
      <w:bookmarkStart w:id="177" w:name="_Toc536691787"/>
      <w:bookmarkStart w:id="178" w:name="_Toc3467959"/>
      <w:r w:rsidRPr="00CC493D">
        <w:rPr>
          <w:rFonts w:ascii="Palatino Linotype" w:eastAsiaTheme="majorEastAsia" w:hAnsi="Palatino Linotype" w:cstheme="majorBidi"/>
          <w:b/>
          <w:color w:val="000000" w:themeColor="text1"/>
        </w:rPr>
        <w:lastRenderedPageBreak/>
        <w:t>La clasificación de la información reservada debe ser de manera temporal.</w:t>
      </w:r>
      <w:bookmarkEnd w:id="175"/>
      <w:bookmarkEnd w:id="176"/>
      <w:bookmarkEnd w:id="177"/>
      <w:bookmarkEnd w:id="178"/>
    </w:p>
    <w:p w14:paraId="51699CF9" w14:textId="77777777" w:rsidR="00EB2DEA" w:rsidRPr="00CC493D" w:rsidRDefault="00EB2DEA" w:rsidP="00EB2DEA">
      <w:pPr>
        <w:spacing w:line="360" w:lineRule="auto"/>
        <w:jc w:val="both"/>
        <w:rPr>
          <w:rFonts w:ascii="Palatino Linotype" w:eastAsiaTheme="minorEastAsia" w:hAnsi="Palatino Linotype"/>
          <w:b/>
          <w:color w:val="000000" w:themeColor="text1"/>
          <w:lang w:val="es-ES_tradnl" w:eastAsia="es-ES"/>
        </w:rPr>
      </w:pPr>
    </w:p>
    <w:p w14:paraId="5BB7D6E5"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La información que ha sido clasificada como reservada, tiene la cualidad de que esta debe ser de carácter temporal, es decir, no debe perpetuarse o petrificarse su clasificación y que esto traiga como consecuencia el no acceso a la misma y por tanto pierda en definitiva su calidad de pública.</w:t>
      </w:r>
    </w:p>
    <w:p w14:paraId="36BBF23F" w14:textId="77777777" w:rsidR="00EB2DEA" w:rsidRPr="00CC493D" w:rsidRDefault="00EB2DEA" w:rsidP="00EB2DEA">
      <w:pPr>
        <w:spacing w:line="360" w:lineRule="auto"/>
        <w:contextualSpacing/>
        <w:jc w:val="both"/>
        <w:rPr>
          <w:rFonts w:ascii="Palatino Linotype" w:eastAsiaTheme="minorEastAsia" w:hAnsi="Palatino Linotype"/>
          <w:color w:val="000000" w:themeColor="text1"/>
          <w:lang w:val="es-ES_tradnl" w:eastAsia="es-ES"/>
        </w:rPr>
      </w:pPr>
    </w:p>
    <w:p w14:paraId="634939AB"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 xml:space="preserve">La temporalidad de la clasificación de la información se encuentra señalada en el artículo 125 de la Ley Estatal y en el 101 de la Ley General, artículos que contemplan que dicha información podrá permanecer con tal carácter hasta por un periodo de cinco años, contados a partir de su clasificación, salvo que antes del cumplimiento del periodo de restricción, dejaran de existir los motivos de su reserva. </w:t>
      </w:r>
    </w:p>
    <w:p w14:paraId="0B364CB6" w14:textId="77777777" w:rsidR="00EB2DEA" w:rsidRPr="00CC493D" w:rsidRDefault="00EB2DEA" w:rsidP="00EB2DEA">
      <w:pPr>
        <w:contextualSpacing/>
        <w:rPr>
          <w:rFonts w:ascii="Palatino Linotype" w:eastAsiaTheme="minorEastAsia" w:hAnsi="Palatino Linotype"/>
          <w:color w:val="000000" w:themeColor="text1"/>
          <w:lang w:val="es-ES_tradnl" w:eastAsia="es-ES"/>
        </w:rPr>
      </w:pPr>
    </w:p>
    <w:p w14:paraId="3D2991B2"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Ahora bien, los titulares de las áreas tienen la alta responsabilidad de determinar que el plazo de reserva sea el estrictamente necesario para proteger la información mientras subsistan las causas que dieron origen a la clasificación, salvaguardando el interés público protegido y tomarán en cuenta las razones que justifican el periodo de reserva establecido.</w:t>
      </w:r>
    </w:p>
    <w:p w14:paraId="7EC7409D" w14:textId="77777777" w:rsidR="00EB2DEA" w:rsidRPr="00CC493D" w:rsidRDefault="00EB2DEA" w:rsidP="00EB2DEA">
      <w:pPr>
        <w:contextualSpacing/>
        <w:rPr>
          <w:rFonts w:ascii="Palatino Linotype" w:eastAsiaTheme="minorEastAsia" w:hAnsi="Palatino Linotype"/>
          <w:b/>
          <w:color w:val="000000" w:themeColor="text1"/>
          <w:lang w:val="es-ES_tradnl" w:eastAsia="es-ES"/>
        </w:rPr>
      </w:pPr>
    </w:p>
    <w:p w14:paraId="3D06B6E7"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De</w:t>
      </w:r>
      <w:r w:rsidRPr="00CC493D">
        <w:rPr>
          <w:rFonts w:ascii="Palatino Linotype" w:eastAsiaTheme="minorEastAsia" w:hAnsi="Palatino Linotype"/>
          <w:b/>
          <w:color w:val="000000" w:themeColor="text1"/>
          <w:lang w:val="es-ES_tradnl" w:eastAsia="es-ES"/>
        </w:rPr>
        <w:t xml:space="preserve"> </w:t>
      </w:r>
      <w:r w:rsidRPr="00CC493D">
        <w:rPr>
          <w:rFonts w:ascii="Palatino Linotype" w:eastAsiaTheme="minorEastAsia" w:hAnsi="Palatino Linotype"/>
          <w:color w:val="000000" w:themeColor="text1"/>
          <w:lang w:val="es-ES_tradnl" w:eastAsia="es-ES"/>
        </w:rPr>
        <w:t xml:space="preserve">manera excepcional los sujetos obligados con la aprobación de su Comité de Transparencia, podrán ampliar el periodo de reserva hasta por un plazo de cinco años adicionales y por una sola vez, siempre y cuando justifiquen que subsisten </w:t>
      </w:r>
      <w:r w:rsidRPr="00CC493D">
        <w:rPr>
          <w:rFonts w:ascii="Palatino Linotype" w:eastAsiaTheme="minorEastAsia" w:hAnsi="Palatino Linotype"/>
          <w:color w:val="000000" w:themeColor="text1"/>
          <w:lang w:val="es-ES_tradnl" w:eastAsia="es-ES"/>
        </w:rPr>
        <w:lastRenderedPageBreak/>
        <w:t xml:space="preserve">las causas que dieron origen a su clasificación, mediante la aplicación de una prueba de daño. </w:t>
      </w:r>
    </w:p>
    <w:p w14:paraId="45A39D1A" w14:textId="77777777" w:rsidR="00EB2DEA" w:rsidRPr="00CC493D" w:rsidRDefault="00EB2DEA" w:rsidP="00EB2DEA">
      <w:pPr>
        <w:contextualSpacing/>
        <w:rPr>
          <w:rFonts w:ascii="Palatino Linotype" w:eastAsiaTheme="minorEastAsia" w:hAnsi="Palatino Linotype"/>
          <w:color w:val="000000" w:themeColor="text1"/>
          <w:lang w:val="es-ES_tradnl" w:eastAsia="es-ES"/>
        </w:rPr>
      </w:pPr>
    </w:p>
    <w:p w14:paraId="30CEB87A" w14:textId="77777777" w:rsidR="00EB2DEA" w:rsidRPr="00CC493D" w:rsidRDefault="00EB2DEA" w:rsidP="00EB2DEA">
      <w:pPr>
        <w:numPr>
          <w:ilvl w:val="0"/>
          <w:numId w:val="1"/>
        </w:numPr>
        <w:spacing w:line="360" w:lineRule="auto"/>
        <w:contextualSpacing/>
        <w:jc w:val="both"/>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Cuando expiren los plazos de clasificación o se trate de información cuya publicación pueda ocasionar la destrucción o inhabilitación de la infraestructura de carácter estratégico para la provisión de bienes o servicios públicos, que a juicio de un sujeto obligado sea necesario ampliar nuevamente el periodo de reserva de la información, el Comité de Transparencia respectivo deberá hacer la solicitud correspondiente al Instituto, debidamente fundada y motivada, aplicando la prueba de daño y señalando el plazo de reserva, por lo menos con tres meses de anticipación al vencimiento del periodo.</w:t>
      </w:r>
    </w:p>
    <w:p w14:paraId="0587E57C" w14:textId="77777777" w:rsidR="00EB2DEA" w:rsidRPr="00CC493D" w:rsidRDefault="00EB2DEA" w:rsidP="00EB2DEA">
      <w:pPr>
        <w:spacing w:line="360" w:lineRule="auto"/>
        <w:jc w:val="both"/>
        <w:rPr>
          <w:rFonts w:ascii="Palatino Linotype" w:eastAsiaTheme="minorEastAsia" w:hAnsi="Palatino Linotype" w:cs="Arial"/>
          <w:b/>
          <w:color w:val="000000" w:themeColor="text1"/>
          <w:lang w:val="es-ES_tradnl" w:eastAsia="es-ES"/>
        </w:rPr>
      </w:pPr>
    </w:p>
    <w:p w14:paraId="497B6C43" w14:textId="77777777" w:rsidR="00EB2DEA" w:rsidRPr="00CC493D" w:rsidRDefault="00EB2DEA" w:rsidP="00EB2DEA">
      <w:pPr>
        <w:keepNext/>
        <w:keepLines/>
        <w:numPr>
          <w:ilvl w:val="0"/>
          <w:numId w:val="23"/>
        </w:numPr>
        <w:pBdr>
          <w:top w:val="nil"/>
          <w:left w:val="nil"/>
          <w:bottom w:val="nil"/>
          <w:right w:val="nil"/>
          <w:between w:val="nil"/>
          <w:bar w:val="nil"/>
        </w:pBdr>
        <w:spacing w:before="40"/>
        <w:ind w:left="426" w:hanging="426"/>
        <w:contextualSpacing/>
        <w:jc w:val="both"/>
        <w:outlineLvl w:val="1"/>
        <w:rPr>
          <w:rFonts w:ascii="Palatino Linotype" w:eastAsiaTheme="majorEastAsia" w:hAnsi="Palatino Linotype" w:cstheme="majorBidi"/>
          <w:b/>
          <w:color w:val="000000" w:themeColor="text1"/>
        </w:rPr>
      </w:pPr>
      <w:bookmarkStart w:id="179" w:name="_Toc485631710"/>
      <w:bookmarkStart w:id="180" w:name="_Toc500756720"/>
      <w:bookmarkStart w:id="181" w:name="_Toc536691788"/>
      <w:bookmarkStart w:id="182" w:name="_Toc3467960"/>
      <w:r w:rsidRPr="00CC493D">
        <w:rPr>
          <w:rFonts w:ascii="Palatino Linotype" w:eastAsiaTheme="majorEastAsia" w:hAnsi="Palatino Linotype" w:cstheme="majorBidi"/>
          <w:b/>
          <w:color w:val="000000" w:themeColor="text1"/>
        </w:rPr>
        <w:t>Condiciones especiales de la clasificación de la información como confidencial.</w:t>
      </w:r>
      <w:bookmarkEnd w:id="179"/>
      <w:bookmarkEnd w:id="180"/>
      <w:bookmarkEnd w:id="181"/>
      <w:bookmarkEnd w:id="182"/>
    </w:p>
    <w:p w14:paraId="1EF5123F" w14:textId="77777777" w:rsidR="00EB2DEA" w:rsidRPr="00CC493D" w:rsidRDefault="00EB2DEA" w:rsidP="00EB2DEA">
      <w:pPr>
        <w:numPr>
          <w:ilvl w:val="0"/>
          <w:numId w:val="1"/>
        </w:numPr>
        <w:shd w:val="clear" w:color="auto" w:fill="FFFFFF"/>
        <w:spacing w:beforeAutospacing="1" w:afterAutospacing="1" w:line="360" w:lineRule="auto"/>
        <w:jc w:val="both"/>
        <w:textAlignment w:val="baseline"/>
        <w:rPr>
          <w:rFonts w:ascii="Palatino Linotype" w:hAnsi="Palatino Linotype"/>
          <w:color w:val="000000" w:themeColor="text1"/>
        </w:rPr>
      </w:pPr>
      <w:r w:rsidRPr="00CC493D">
        <w:rPr>
          <w:rFonts w:ascii="Palatino Linotype" w:hAnsi="Palatino Linotype"/>
          <w:color w:val="000000" w:themeColor="text1"/>
        </w:rPr>
        <w:t xml:space="preserve">Los artículos 148 y 120 de la Ley Estatal y de la Ley General, respectivamente, establecen que aun tratándose de datos personales, se podrán proporcionar, incluso sin solicitar el consentimiento de su titular, cuando dichos datos correspondan a los siguientes supuestos: </w:t>
      </w:r>
    </w:p>
    <w:p w14:paraId="3AC9AE70" w14:textId="77777777" w:rsidR="00EB2DEA" w:rsidRPr="00CC493D" w:rsidRDefault="00EB2DEA" w:rsidP="00EB2DEA">
      <w:pPr>
        <w:spacing w:before="100" w:beforeAutospacing="1" w:after="100" w:afterAutospacing="1" w:line="360" w:lineRule="auto"/>
        <w:ind w:left="567" w:right="616"/>
        <w:jc w:val="both"/>
        <w:rPr>
          <w:rFonts w:ascii="Palatino Linotype" w:hAnsi="Palatino Linotype"/>
          <w:bCs/>
          <w:color w:val="000000" w:themeColor="text1"/>
          <w:lang w:val="es-ES" w:eastAsia="es-ES"/>
        </w:rPr>
      </w:pPr>
      <w:r w:rsidRPr="00CC493D">
        <w:rPr>
          <w:rFonts w:ascii="Palatino Linotype" w:hAnsi="Palatino Linotype"/>
          <w:bCs/>
          <w:color w:val="000000" w:themeColor="text1"/>
          <w:lang w:val="es-ES" w:eastAsia="es-ES"/>
        </w:rPr>
        <w:t>I.</w:t>
      </w:r>
      <w:r w:rsidRPr="00CC493D">
        <w:rPr>
          <w:rFonts w:ascii="Palatino Linotype" w:hAnsi="Palatino Linotype"/>
          <w:color w:val="000000" w:themeColor="text1"/>
          <w:lang w:val="es-ES" w:eastAsia="es-ES"/>
        </w:rPr>
        <w:t xml:space="preserve"> La información se encuentre en registros públicos o fuentes de acceso público;</w:t>
      </w:r>
    </w:p>
    <w:p w14:paraId="6635D753" w14:textId="77777777" w:rsidR="00EB2DEA" w:rsidRPr="00CC493D" w:rsidRDefault="00EB2DEA" w:rsidP="00EB2DEA">
      <w:pPr>
        <w:spacing w:before="100" w:beforeAutospacing="1" w:after="100" w:afterAutospacing="1" w:line="360" w:lineRule="auto"/>
        <w:ind w:left="567" w:right="616"/>
        <w:jc w:val="both"/>
        <w:rPr>
          <w:rFonts w:ascii="Palatino Linotype" w:hAnsi="Palatino Linotype"/>
          <w:bCs/>
          <w:color w:val="000000" w:themeColor="text1"/>
          <w:lang w:val="es-ES" w:eastAsia="es-ES"/>
        </w:rPr>
      </w:pPr>
      <w:r w:rsidRPr="00CC493D">
        <w:rPr>
          <w:rFonts w:ascii="Palatino Linotype" w:hAnsi="Palatino Linotype"/>
          <w:bCs/>
          <w:color w:val="000000" w:themeColor="text1"/>
          <w:lang w:val="es-ES" w:eastAsia="es-ES"/>
        </w:rPr>
        <w:t xml:space="preserve">II. </w:t>
      </w:r>
      <w:r w:rsidRPr="00CC493D">
        <w:rPr>
          <w:rFonts w:ascii="Palatino Linotype" w:hAnsi="Palatino Linotype"/>
          <w:color w:val="000000" w:themeColor="text1"/>
          <w:lang w:val="es-ES" w:eastAsia="es-ES"/>
        </w:rPr>
        <w:t>Por Ley tenga el carácter de pública;</w:t>
      </w:r>
    </w:p>
    <w:p w14:paraId="3A9286C9" w14:textId="77777777" w:rsidR="00EB2DEA" w:rsidRPr="00CC493D" w:rsidRDefault="00EB2DEA" w:rsidP="00EB2DEA">
      <w:pPr>
        <w:spacing w:before="100" w:beforeAutospacing="1" w:after="100" w:afterAutospacing="1" w:line="360" w:lineRule="auto"/>
        <w:ind w:left="567" w:right="616"/>
        <w:jc w:val="both"/>
        <w:rPr>
          <w:rFonts w:ascii="Palatino Linotype" w:hAnsi="Palatino Linotype"/>
          <w:color w:val="000000" w:themeColor="text1"/>
          <w:lang w:val="es-ES" w:eastAsia="es-ES"/>
        </w:rPr>
      </w:pPr>
      <w:r w:rsidRPr="00CC493D">
        <w:rPr>
          <w:rFonts w:ascii="Palatino Linotype" w:hAnsi="Palatino Linotype"/>
          <w:bCs/>
          <w:color w:val="000000" w:themeColor="text1"/>
          <w:lang w:val="es-ES" w:eastAsia="es-ES"/>
        </w:rPr>
        <w:lastRenderedPageBreak/>
        <w:t xml:space="preserve">III. </w:t>
      </w:r>
      <w:r w:rsidRPr="00CC493D">
        <w:rPr>
          <w:rFonts w:ascii="Palatino Linotype" w:hAnsi="Palatino Linotype"/>
          <w:color w:val="000000" w:themeColor="text1"/>
          <w:lang w:val="es-ES" w:eastAsia="es-ES"/>
        </w:rPr>
        <w:t xml:space="preserve">Exista una orden judicial; </w:t>
      </w:r>
    </w:p>
    <w:p w14:paraId="22499B9F" w14:textId="77777777" w:rsidR="00EB2DEA" w:rsidRPr="00CC493D" w:rsidRDefault="00EB2DEA" w:rsidP="00EB2DEA">
      <w:pPr>
        <w:spacing w:before="100" w:beforeAutospacing="1" w:after="100" w:afterAutospacing="1" w:line="360" w:lineRule="auto"/>
        <w:ind w:left="567" w:right="616"/>
        <w:jc w:val="both"/>
        <w:rPr>
          <w:rFonts w:ascii="Palatino Linotype" w:hAnsi="Palatino Linotype"/>
          <w:color w:val="000000" w:themeColor="text1"/>
          <w:lang w:val="es-ES" w:eastAsia="es-ES"/>
        </w:rPr>
      </w:pPr>
      <w:r w:rsidRPr="00CC493D">
        <w:rPr>
          <w:rFonts w:ascii="Palatino Linotype" w:hAnsi="Palatino Linotype"/>
          <w:bCs/>
          <w:color w:val="000000" w:themeColor="text1"/>
          <w:lang w:val="es-ES" w:eastAsia="es-ES"/>
        </w:rPr>
        <w:t xml:space="preserve">IV. </w:t>
      </w:r>
      <w:r w:rsidRPr="00CC493D">
        <w:rPr>
          <w:rFonts w:ascii="Palatino Linotype" w:hAnsi="Palatino Linotype"/>
          <w:color w:val="000000" w:themeColor="text1"/>
          <w:lang w:val="es-ES" w:eastAsia="es-ES"/>
        </w:rPr>
        <w:t xml:space="preserve">Por razones de seguridad pública, o para proteger los derechos de terceros, se requiera su publicación; o </w:t>
      </w:r>
    </w:p>
    <w:p w14:paraId="7CE3EAFD" w14:textId="77777777" w:rsidR="00EB2DEA" w:rsidRPr="00CC493D" w:rsidRDefault="00EB2DEA" w:rsidP="00EB2DEA">
      <w:pPr>
        <w:spacing w:before="100" w:beforeAutospacing="1" w:after="100" w:afterAutospacing="1" w:line="360" w:lineRule="auto"/>
        <w:ind w:left="567" w:right="616"/>
        <w:jc w:val="both"/>
        <w:rPr>
          <w:rFonts w:ascii="Palatino Linotype" w:hAnsi="Palatino Linotype"/>
          <w:color w:val="000000" w:themeColor="text1"/>
          <w:lang w:val="es-ES" w:eastAsia="es-ES"/>
        </w:rPr>
      </w:pPr>
      <w:r w:rsidRPr="00CC493D">
        <w:rPr>
          <w:rFonts w:ascii="Palatino Linotype" w:hAnsi="Palatino Linotype"/>
          <w:bCs/>
          <w:color w:val="000000" w:themeColor="text1"/>
          <w:lang w:val="es-ES" w:eastAsia="es-ES"/>
        </w:rPr>
        <w:t xml:space="preserve">V. </w:t>
      </w:r>
      <w:r w:rsidRPr="00CC493D">
        <w:rPr>
          <w:rFonts w:ascii="Palatino Linotype" w:hAnsi="Palatino Linotype"/>
          <w:color w:val="000000" w:themeColor="text1"/>
          <w:lang w:val="es-ES" w:eastAsia="es-ES"/>
        </w:rPr>
        <w:t xml:space="preserve">Cuando se transmita entre sujetos obligados y entre éstos y los sujetos de derecho internacional, en términos de los tratados y los acuerdos interinstitucionales, siempre y cuando la información se utilice para el ejercicio de facultades propias de los mismos. </w:t>
      </w:r>
    </w:p>
    <w:p w14:paraId="4EBAF002" w14:textId="77777777" w:rsidR="00EB2DEA" w:rsidRPr="00CC493D" w:rsidRDefault="00EB2DEA" w:rsidP="00EB2DEA">
      <w:pPr>
        <w:numPr>
          <w:ilvl w:val="0"/>
          <w:numId w:val="1"/>
        </w:numPr>
        <w:shd w:val="clear" w:color="auto" w:fill="FFFFFF"/>
        <w:spacing w:beforeAutospacing="1" w:afterAutospacing="1" w:line="360" w:lineRule="auto"/>
        <w:jc w:val="both"/>
        <w:textAlignment w:val="baseline"/>
        <w:rPr>
          <w:rFonts w:ascii="Palatino Linotype" w:hAnsi="Palatino Linotype"/>
          <w:color w:val="000000" w:themeColor="text1"/>
          <w:lang w:val="es-ES_tradnl"/>
        </w:rPr>
      </w:pPr>
      <w:r w:rsidRPr="00CC493D">
        <w:rPr>
          <w:rFonts w:ascii="Palatino Linotype" w:hAnsi="Palatino Linotype"/>
          <w:color w:val="000000" w:themeColor="text1"/>
        </w:rPr>
        <w:t>En</w:t>
      </w:r>
      <w:r w:rsidRPr="00CC493D">
        <w:rPr>
          <w:rFonts w:ascii="Palatino Linotype" w:hAnsi="Palatino Linotype"/>
          <w:color w:val="000000" w:themeColor="text1"/>
          <w:lang w:val="es-ES_tradnl"/>
        </w:rPr>
        <w:t xml:space="preserve"> el caso de lo señalado en la fracción IV, será el Instituto quien deba aplicar la prueba de interés público, considerando también que como recientemente ha discutido la Suprema Corte de Justicia de la Nación, los servidores públicos nos encontramos sujetos a un régimen menor de protección. </w:t>
      </w:r>
    </w:p>
    <w:p w14:paraId="74965F8E" w14:textId="77777777" w:rsidR="00EB2DEA" w:rsidRPr="00CC493D" w:rsidRDefault="00EB2DEA" w:rsidP="00EB2DEA">
      <w:pPr>
        <w:numPr>
          <w:ilvl w:val="0"/>
          <w:numId w:val="1"/>
        </w:numPr>
        <w:shd w:val="clear" w:color="auto" w:fill="FFFFFF"/>
        <w:spacing w:before="240" w:afterAutospacing="1" w:line="360" w:lineRule="auto"/>
        <w:contextualSpacing/>
        <w:jc w:val="both"/>
        <w:textAlignment w:val="baseline"/>
        <w:rPr>
          <w:rFonts w:ascii="Palatino Linotype" w:eastAsiaTheme="minorEastAsia" w:hAnsi="Palatino Linotype"/>
          <w:color w:val="000000" w:themeColor="text1"/>
          <w:lang w:val="es-ES_tradnl" w:eastAsia="es-ES"/>
        </w:rPr>
      </w:pPr>
      <w:r w:rsidRPr="00CC493D">
        <w:rPr>
          <w:rFonts w:ascii="Palatino Linotype" w:hAnsi="Palatino Linotype"/>
          <w:color w:val="000000" w:themeColor="text1"/>
        </w:rPr>
        <w:t>Pero</w:t>
      </w:r>
      <w:r w:rsidRPr="00CC493D">
        <w:rPr>
          <w:rFonts w:ascii="Palatino Linotype" w:hAnsi="Palatino Linotype"/>
          <w:color w:val="000000" w:themeColor="text1"/>
          <w:lang w:val="es-ES_tradnl"/>
        </w:rPr>
        <w:t xml:space="preserve"> si la información que se pretende clasificar como confidencial no se encuentra en los supuestos antes señalados y es posible, se deberá consultar al titular de los datos si permite o no el acceso. De no ser posible, la realización de la consulta, procede, fundando y motivando, la clasificación.</w:t>
      </w:r>
    </w:p>
    <w:p w14:paraId="47DCBAD4" w14:textId="77777777" w:rsidR="00EB2DEA" w:rsidRPr="00CC493D" w:rsidRDefault="00EB2DEA" w:rsidP="00EB2DEA">
      <w:pPr>
        <w:shd w:val="clear" w:color="auto" w:fill="FFFFFF"/>
        <w:spacing w:before="240" w:afterAutospacing="1" w:line="360" w:lineRule="auto"/>
        <w:contextualSpacing/>
        <w:jc w:val="both"/>
        <w:textAlignment w:val="baseline"/>
        <w:rPr>
          <w:rFonts w:ascii="Palatino Linotype" w:eastAsiaTheme="minorEastAsia" w:hAnsi="Palatino Linotype"/>
          <w:color w:val="000000" w:themeColor="text1"/>
          <w:lang w:val="es-ES_tradnl" w:eastAsia="es-ES"/>
        </w:rPr>
      </w:pPr>
    </w:p>
    <w:p w14:paraId="79F834BF" w14:textId="77777777" w:rsidR="00EB2DEA" w:rsidRPr="00CC493D" w:rsidRDefault="00EB2DEA" w:rsidP="00EB2DEA">
      <w:pPr>
        <w:numPr>
          <w:ilvl w:val="0"/>
          <w:numId w:val="1"/>
        </w:numPr>
        <w:shd w:val="clear" w:color="auto" w:fill="FFFFFF"/>
        <w:spacing w:before="240" w:afterAutospacing="1" w:line="360" w:lineRule="auto"/>
        <w:contextualSpacing/>
        <w:jc w:val="both"/>
        <w:textAlignment w:val="baseline"/>
        <w:rPr>
          <w:rFonts w:ascii="Palatino Linotype" w:eastAsiaTheme="minorEastAsia" w:hAnsi="Palatino Linotype"/>
          <w:color w:val="000000" w:themeColor="text1"/>
          <w:lang w:val="es-ES_tradnl" w:eastAsia="es-ES"/>
        </w:rPr>
      </w:pPr>
      <w:r w:rsidRPr="00CC493D">
        <w:rPr>
          <w:rFonts w:ascii="Palatino Linotype" w:eastAsiaTheme="minorEastAsia" w:hAnsi="Palatino Linotype"/>
          <w:color w:val="000000" w:themeColor="text1"/>
          <w:lang w:val="es-ES_tradnl" w:eastAsia="es-ES"/>
        </w:rPr>
        <w:t xml:space="preserve">Los elementos que brevemente se han señalado son todos los que deben de integrar el proceso de clasificación total o parcial de la información para, especialmente, responder a las solicitudes de acceso a la información pública. La falta de cualquiera de ellos puede provocar que el acto que limita o restringe el derecho de acceso a la información sea considerada infundado y se proceda a </w:t>
      </w:r>
      <w:r w:rsidRPr="00CC493D">
        <w:rPr>
          <w:rFonts w:ascii="Palatino Linotype" w:eastAsiaTheme="minorEastAsia" w:hAnsi="Palatino Linotype"/>
          <w:color w:val="000000" w:themeColor="text1"/>
          <w:lang w:val="es-ES_tradnl" w:eastAsia="es-ES"/>
        </w:rPr>
        <w:lastRenderedPageBreak/>
        <w:t>ordenar la desclasificación de la información por el incumplimiento de las formalidades, es decir, por vicios de legalidad o a la reposición del acto.  Para tratar de ser, aún más gráficos y propiciar el mejor entendimiento de esta materia, se anexa a la presente opinión particular, la siguiente tabla.</w:t>
      </w:r>
    </w:p>
    <w:p w14:paraId="420C8C81" w14:textId="77777777" w:rsidR="00EB2DEA" w:rsidRPr="00CC493D" w:rsidRDefault="00EB2DEA" w:rsidP="00EB2DEA">
      <w:pPr>
        <w:rPr>
          <w:rFonts w:ascii="Palatino Linotype" w:eastAsiaTheme="minorEastAsia" w:hAnsi="Palatino Linotype"/>
          <w:color w:val="000000" w:themeColor="text1"/>
          <w:lang w:val="es-ES_tradnl" w:eastAsia="es-ES"/>
        </w:rPr>
      </w:pPr>
    </w:p>
    <w:tbl>
      <w:tblPr>
        <w:tblStyle w:val="Tablaconcuadrcula2"/>
        <w:tblW w:w="8451" w:type="dxa"/>
        <w:tblLook w:val="04A0" w:firstRow="1" w:lastRow="0" w:firstColumn="1" w:lastColumn="0" w:noHBand="0" w:noVBand="1"/>
      </w:tblPr>
      <w:tblGrid>
        <w:gridCol w:w="2100"/>
        <w:gridCol w:w="1731"/>
        <w:gridCol w:w="2418"/>
        <w:gridCol w:w="2202"/>
      </w:tblGrid>
      <w:tr w:rsidR="00EB2DEA" w:rsidRPr="00CC493D" w14:paraId="262895E3" w14:textId="77777777" w:rsidTr="002F4E6E">
        <w:tc>
          <w:tcPr>
            <w:tcW w:w="2155" w:type="dxa"/>
            <w:vMerge w:val="restart"/>
            <w:shd w:val="clear" w:color="auto" w:fill="C6D9F1" w:themeFill="text2" w:themeFillTint="33"/>
          </w:tcPr>
          <w:p w14:paraId="76771A49"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Requisitos previos</w:t>
            </w:r>
          </w:p>
        </w:tc>
        <w:tc>
          <w:tcPr>
            <w:tcW w:w="1759" w:type="dxa"/>
          </w:tcPr>
          <w:p w14:paraId="52385229"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Los sujetos obligados determinan que la información actualiza alguno de los supuestos de clasificación:</w:t>
            </w:r>
          </w:p>
        </w:tc>
        <w:tc>
          <w:tcPr>
            <w:tcW w:w="2269" w:type="dxa"/>
          </w:tcPr>
          <w:p w14:paraId="55B4E19C" w14:textId="77777777" w:rsidR="00EB2DEA" w:rsidRPr="00CC493D" w:rsidRDefault="00EB2DEA" w:rsidP="002F4E6E">
            <w:pPr>
              <w:jc w:val="both"/>
              <w:rPr>
                <w:rFonts w:ascii="Palatino Linotype" w:hAnsi="Palatino Linotype"/>
                <w:color w:val="000000" w:themeColor="text1"/>
              </w:rPr>
            </w:pPr>
          </w:p>
          <w:p w14:paraId="173FFB09" w14:textId="77777777" w:rsidR="00EB2DEA" w:rsidRPr="00CC493D" w:rsidRDefault="00EB2DEA" w:rsidP="002F4E6E">
            <w:pPr>
              <w:jc w:val="both"/>
              <w:rPr>
                <w:rFonts w:ascii="Palatino Linotype" w:hAnsi="Palatino Linotype"/>
                <w:color w:val="000000" w:themeColor="text1"/>
              </w:rPr>
            </w:pPr>
          </w:p>
          <w:p w14:paraId="0C8E4830" w14:textId="77777777" w:rsidR="00EB2DEA" w:rsidRPr="00CC493D" w:rsidRDefault="00EB2DEA" w:rsidP="002F4E6E">
            <w:pPr>
              <w:jc w:val="both"/>
              <w:rPr>
                <w:rFonts w:ascii="Palatino Linotype" w:hAnsi="Palatino Linotype"/>
                <w:color w:val="000000" w:themeColor="text1"/>
              </w:rPr>
            </w:pPr>
          </w:p>
          <w:p w14:paraId="49740A97" w14:textId="77777777" w:rsidR="00EB2DEA" w:rsidRPr="00CC493D" w:rsidRDefault="00EB2DEA" w:rsidP="00EB2DEA">
            <w:pPr>
              <w:numPr>
                <w:ilvl w:val="0"/>
                <w:numId w:val="19"/>
              </w:numPr>
              <w:contextualSpacing/>
              <w:jc w:val="both"/>
              <w:rPr>
                <w:rFonts w:ascii="Palatino Linotype" w:hAnsi="Palatino Linotype"/>
                <w:color w:val="000000" w:themeColor="text1"/>
              </w:rPr>
            </w:pPr>
            <w:r w:rsidRPr="00CC493D">
              <w:rPr>
                <w:rFonts w:ascii="Palatino Linotype" w:hAnsi="Palatino Linotype"/>
                <w:color w:val="000000" w:themeColor="text1"/>
              </w:rPr>
              <w:t xml:space="preserve">Confidencialidad </w:t>
            </w:r>
          </w:p>
          <w:p w14:paraId="03C722B1" w14:textId="77777777" w:rsidR="00EB2DEA" w:rsidRPr="00CC493D" w:rsidRDefault="00EB2DEA" w:rsidP="00EB2DEA">
            <w:pPr>
              <w:numPr>
                <w:ilvl w:val="0"/>
                <w:numId w:val="19"/>
              </w:numPr>
              <w:contextualSpacing/>
              <w:jc w:val="both"/>
              <w:rPr>
                <w:rFonts w:ascii="Palatino Linotype" w:hAnsi="Palatino Linotype"/>
                <w:color w:val="000000" w:themeColor="text1"/>
              </w:rPr>
            </w:pPr>
            <w:r w:rsidRPr="00CC493D">
              <w:rPr>
                <w:rFonts w:ascii="Palatino Linotype" w:hAnsi="Palatino Linotype"/>
                <w:color w:val="000000" w:themeColor="text1"/>
              </w:rPr>
              <w:t>Reserva</w:t>
            </w:r>
          </w:p>
        </w:tc>
        <w:tc>
          <w:tcPr>
            <w:tcW w:w="2268" w:type="dxa"/>
          </w:tcPr>
          <w:p w14:paraId="098A9FFE" w14:textId="77777777" w:rsidR="00EB2DEA" w:rsidRPr="00CC493D" w:rsidRDefault="00EB2DEA" w:rsidP="002F4E6E">
            <w:pPr>
              <w:jc w:val="both"/>
              <w:rPr>
                <w:rFonts w:ascii="Palatino Linotype" w:hAnsi="Palatino Linotype"/>
                <w:color w:val="000000" w:themeColor="text1"/>
              </w:rPr>
            </w:pPr>
          </w:p>
        </w:tc>
      </w:tr>
      <w:tr w:rsidR="00EB2DEA" w:rsidRPr="00CC493D" w14:paraId="594CE9BF" w14:textId="77777777" w:rsidTr="002F4E6E">
        <w:tc>
          <w:tcPr>
            <w:tcW w:w="2155" w:type="dxa"/>
            <w:vMerge/>
            <w:shd w:val="clear" w:color="auto" w:fill="C6D9F1" w:themeFill="text2" w:themeFillTint="33"/>
          </w:tcPr>
          <w:p w14:paraId="7E0AEB4B" w14:textId="77777777" w:rsidR="00EB2DEA" w:rsidRPr="00CC493D" w:rsidRDefault="00EB2DEA" w:rsidP="002F4E6E">
            <w:pPr>
              <w:jc w:val="both"/>
              <w:rPr>
                <w:rFonts w:ascii="Palatino Linotype" w:hAnsi="Palatino Linotype"/>
                <w:color w:val="000000" w:themeColor="text1"/>
              </w:rPr>
            </w:pPr>
          </w:p>
        </w:tc>
        <w:tc>
          <w:tcPr>
            <w:tcW w:w="1759" w:type="dxa"/>
          </w:tcPr>
          <w:p w14:paraId="03F1A78B"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 xml:space="preserve">Los titulares de las áreas que administran la información son los que aprueban la clasificación </w:t>
            </w:r>
          </w:p>
        </w:tc>
        <w:tc>
          <w:tcPr>
            <w:tcW w:w="2269" w:type="dxa"/>
          </w:tcPr>
          <w:p w14:paraId="68B52662" w14:textId="77777777" w:rsidR="00EB2DEA" w:rsidRPr="00CC493D" w:rsidRDefault="00EB2DEA" w:rsidP="002F4E6E">
            <w:pPr>
              <w:jc w:val="both"/>
              <w:rPr>
                <w:rFonts w:ascii="Palatino Linotype" w:hAnsi="Palatino Linotype"/>
                <w:color w:val="000000" w:themeColor="text1"/>
              </w:rPr>
            </w:pPr>
          </w:p>
        </w:tc>
        <w:tc>
          <w:tcPr>
            <w:tcW w:w="2268" w:type="dxa"/>
          </w:tcPr>
          <w:p w14:paraId="088E61DC" w14:textId="77777777" w:rsidR="00EB2DEA" w:rsidRPr="00CC493D" w:rsidRDefault="00EB2DEA" w:rsidP="002F4E6E">
            <w:pPr>
              <w:jc w:val="both"/>
              <w:rPr>
                <w:rFonts w:ascii="Palatino Linotype" w:hAnsi="Palatino Linotype"/>
                <w:color w:val="000000" w:themeColor="text1"/>
              </w:rPr>
            </w:pPr>
          </w:p>
        </w:tc>
      </w:tr>
      <w:tr w:rsidR="00EB2DEA" w:rsidRPr="00CC493D" w14:paraId="3FB1B7C2" w14:textId="77777777" w:rsidTr="002F4E6E">
        <w:tc>
          <w:tcPr>
            <w:tcW w:w="2155" w:type="dxa"/>
            <w:vMerge/>
            <w:shd w:val="clear" w:color="auto" w:fill="C6D9F1" w:themeFill="text2" w:themeFillTint="33"/>
          </w:tcPr>
          <w:p w14:paraId="76B02065" w14:textId="77777777" w:rsidR="00EB2DEA" w:rsidRPr="00CC493D" w:rsidRDefault="00EB2DEA" w:rsidP="002F4E6E">
            <w:pPr>
              <w:jc w:val="both"/>
              <w:rPr>
                <w:rFonts w:ascii="Palatino Linotype" w:hAnsi="Palatino Linotype"/>
                <w:color w:val="000000" w:themeColor="text1"/>
              </w:rPr>
            </w:pPr>
          </w:p>
        </w:tc>
        <w:tc>
          <w:tcPr>
            <w:tcW w:w="1759" w:type="dxa"/>
          </w:tcPr>
          <w:p w14:paraId="5DD7C4FD"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La clasificación de la información se realiza al momento de:</w:t>
            </w:r>
          </w:p>
        </w:tc>
        <w:tc>
          <w:tcPr>
            <w:tcW w:w="2269" w:type="dxa"/>
          </w:tcPr>
          <w:p w14:paraId="39AD1951" w14:textId="77777777" w:rsidR="00EB2DEA" w:rsidRPr="00CC493D" w:rsidRDefault="00EB2DEA" w:rsidP="00EB2DEA">
            <w:pPr>
              <w:numPr>
                <w:ilvl w:val="0"/>
                <w:numId w:val="18"/>
              </w:numPr>
              <w:contextualSpacing/>
              <w:jc w:val="both"/>
              <w:rPr>
                <w:rFonts w:ascii="Palatino Linotype" w:hAnsi="Palatino Linotype"/>
                <w:color w:val="000000" w:themeColor="text1"/>
              </w:rPr>
            </w:pPr>
            <w:r w:rsidRPr="00CC493D">
              <w:rPr>
                <w:rFonts w:ascii="Palatino Linotype" w:hAnsi="Palatino Linotype"/>
                <w:color w:val="000000" w:themeColor="text1"/>
              </w:rPr>
              <w:t>Atender una solicitud</w:t>
            </w:r>
          </w:p>
          <w:p w14:paraId="40B1187C" w14:textId="77777777" w:rsidR="00EB2DEA" w:rsidRPr="00CC493D" w:rsidRDefault="00EB2DEA" w:rsidP="00EB2DEA">
            <w:pPr>
              <w:numPr>
                <w:ilvl w:val="0"/>
                <w:numId w:val="18"/>
              </w:numPr>
              <w:contextualSpacing/>
              <w:jc w:val="both"/>
              <w:rPr>
                <w:rFonts w:ascii="Palatino Linotype" w:hAnsi="Palatino Linotype"/>
                <w:color w:val="000000" w:themeColor="text1"/>
              </w:rPr>
            </w:pPr>
            <w:r w:rsidRPr="00CC493D">
              <w:rPr>
                <w:rFonts w:ascii="Palatino Linotype" w:hAnsi="Palatino Linotype"/>
                <w:color w:val="000000" w:themeColor="text1"/>
              </w:rPr>
              <w:t>Por mandato de una autoridad competente</w:t>
            </w:r>
          </w:p>
          <w:p w14:paraId="650521A4" w14:textId="77777777" w:rsidR="00EB2DEA" w:rsidRPr="00CC493D" w:rsidRDefault="00EB2DEA" w:rsidP="00EB2DEA">
            <w:pPr>
              <w:numPr>
                <w:ilvl w:val="0"/>
                <w:numId w:val="18"/>
              </w:numPr>
              <w:contextualSpacing/>
              <w:jc w:val="both"/>
              <w:rPr>
                <w:rFonts w:ascii="Palatino Linotype" w:hAnsi="Palatino Linotype"/>
                <w:color w:val="000000" w:themeColor="text1"/>
              </w:rPr>
            </w:pPr>
            <w:r w:rsidRPr="00CC493D">
              <w:rPr>
                <w:rFonts w:ascii="Palatino Linotype" w:hAnsi="Palatino Linotype"/>
                <w:color w:val="000000" w:themeColor="text1"/>
              </w:rPr>
              <w:t xml:space="preserve">Para elaborar una versión pública y </w:t>
            </w:r>
            <w:r w:rsidRPr="00CC493D">
              <w:rPr>
                <w:rFonts w:ascii="Palatino Linotype" w:hAnsi="Palatino Linotype"/>
                <w:color w:val="000000" w:themeColor="text1"/>
              </w:rPr>
              <w:lastRenderedPageBreak/>
              <w:t>cumplir una obligación de transparencia</w:t>
            </w:r>
          </w:p>
        </w:tc>
        <w:tc>
          <w:tcPr>
            <w:tcW w:w="2268" w:type="dxa"/>
          </w:tcPr>
          <w:p w14:paraId="10E86D31" w14:textId="77777777" w:rsidR="00EB2DEA" w:rsidRPr="00CC493D" w:rsidRDefault="00EB2DEA" w:rsidP="002F4E6E">
            <w:pPr>
              <w:jc w:val="both"/>
              <w:rPr>
                <w:rFonts w:ascii="Palatino Linotype" w:hAnsi="Palatino Linotype"/>
                <w:color w:val="000000" w:themeColor="text1"/>
              </w:rPr>
            </w:pPr>
          </w:p>
        </w:tc>
      </w:tr>
      <w:tr w:rsidR="00EB2DEA" w:rsidRPr="00CC493D" w14:paraId="0093227D" w14:textId="77777777" w:rsidTr="002F4E6E">
        <w:tc>
          <w:tcPr>
            <w:tcW w:w="2155" w:type="dxa"/>
            <w:vMerge/>
            <w:shd w:val="clear" w:color="auto" w:fill="C6D9F1" w:themeFill="text2" w:themeFillTint="33"/>
          </w:tcPr>
          <w:p w14:paraId="1FE367D8" w14:textId="77777777" w:rsidR="00EB2DEA" w:rsidRPr="00CC493D" w:rsidRDefault="00EB2DEA" w:rsidP="002F4E6E">
            <w:pPr>
              <w:jc w:val="both"/>
              <w:rPr>
                <w:rFonts w:ascii="Palatino Linotype" w:hAnsi="Palatino Linotype"/>
                <w:color w:val="000000" w:themeColor="text1"/>
              </w:rPr>
            </w:pPr>
          </w:p>
        </w:tc>
        <w:tc>
          <w:tcPr>
            <w:tcW w:w="1759" w:type="dxa"/>
          </w:tcPr>
          <w:p w14:paraId="72137F31"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No se pueden emitir acuerdos de carácter general ni particular</w:t>
            </w:r>
          </w:p>
        </w:tc>
        <w:tc>
          <w:tcPr>
            <w:tcW w:w="2269" w:type="dxa"/>
          </w:tcPr>
          <w:p w14:paraId="71035DB4"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 xml:space="preserve">El sujeto obligado debe emitir un acuerdo describiendo y analizando cada documento de un expediente y todos los datos incluidos en un documento </w:t>
            </w:r>
          </w:p>
        </w:tc>
        <w:tc>
          <w:tcPr>
            <w:tcW w:w="2268" w:type="dxa"/>
          </w:tcPr>
          <w:p w14:paraId="292EB99A" w14:textId="77777777" w:rsidR="00EB2DEA" w:rsidRPr="00CC493D" w:rsidRDefault="00EB2DEA" w:rsidP="002F4E6E">
            <w:pPr>
              <w:jc w:val="both"/>
              <w:rPr>
                <w:rFonts w:ascii="Palatino Linotype" w:hAnsi="Palatino Linotype"/>
                <w:color w:val="000000" w:themeColor="text1"/>
              </w:rPr>
            </w:pPr>
          </w:p>
        </w:tc>
      </w:tr>
      <w:tr w:rsidR="00EB2DEA" w:rsidRPr="00CC493D" w14:paraId="52D24451" w14:textId="77777777" w:rsidTr="002F4E6E">
        <w:tc>
          <w:tcPr>
            <w:tcW w:w="2155" w:type="dxa"/>
            <w:vMerge w:val="restart"/>
            <w:shd w:val="clear" w:color="auto" w:fill="C6D9F1" w:themeFill="text2" w:themeFillTint="33"/>
          </w:tcPr>
          <w:p w14:paraId="279ECB36"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Supuestos de clasificación</w:t>
            </w:r>
          </w:p>
        </w:tc>
        <w:tc>
          <w:tcPr>
            <w:tcW w:w="1759" w:type="dxa"/>
          </w:tcPr>
          <w:p w14:paraId="11E69A22"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Para clasificar la información como reservada hay</w:t>
            </w:r>
          </w:p>
        </w:tc>
        <w:tc>
          <w:tcPr>
            <w:tcW w:w="2269" w:type="dxa"/>
          </w:tcPr>
          <w:p w14:paraId="56B3BC37" w14:textId="77777777" w:rsidR="00EB2DEA" w:rsidRPr="00CC493D" w:rsidRDefault="00EB2DEA" w:rsidP="00EB2DEA">
            <w:pPr>
              <w:numPr>
                <w:ilvl w:val="0"/>
                <w:numId w:val="20"/>
              </w:numPr>
              <w:contextualSpacing/>
              <w:jc w:val="both"/>
              <w:rPr>
                <w:rFonts w:ascii="Palatino Linotype" w:hAnsi="Palatino Linotype"/>
                <w:color w:val="000000" w:themeColor="text1"/>
              </w:rPr>
            </w:pPr>
            <w:r w:rsidRPr="00CC493D">
              <w:rPr>
                <w:rFonts w:ascii="Palatino Linotype" w:hAnsi="Palatino Linotype"/>
                <w:color w:val="000000" w:themeColor="text1"/>
              </w:rPr>
              <w:t>11 supuestos en la Ley Estatal</w:t>
            </w:r>
          </w:p>
          <w:p w14:paraId="48487278" w14:textId="77777777" w:rsidR="00EB2DEA" w:rsidRPr="00CC493D" w:rsidRDefault="00EB2DEA" w:rsidP="00EB2DEA">
            <w:pPr>
              <w:numPr>
                <w:ilvl w:val="0"/>
                <w:numId w:val="20"/>
              </w:numPr>
              <w:contextualSpacing/>
              <w:jc w:val="both"/>
              <w:rPr>
                <w:rFonts w:ascii="Palatino Linotype" w:hAnsi="Palatino Linotype"/>
                <w:color w:val="000000" w:themeColor="text1"/>
              </w:rPr>
            </w:pPr>
            <w:r w:rsidRPr="00CC493D">
              <w:rPr>
                <w:rFonts w:ascii="Palatino Linotype" w:hAnsi="Palatino Linotype"/>
                <w:color w:val="000000" w:themeColor="text1"/>
              </w:rPr>
              <w:t>13 supuestos en la Ley General</w:t>
            </w:r>
          </w:p>
        </w:tc>
        <w:tc>
          <w:tcPr>
            <w:tcW w:w="2268" w:type="dxa"/>
          </w:tcPr>
          <w:p w14:paraId="1E5C37B8"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El sujeto obligado debe identificar claramente la información que se pretende clasificar y realizar un juicio de subsunción o encaje</w:t>
            </w:r>
          </w:p>
        </w:tc>
      </w:tr>
      <w:tr w:rsidR="00EB2DEA" w:rsidRPr="00CC493D" w14:paraId="79B11A2C" w14:textId="77777777" w:rsidTr="002F4E6E">
        <w:tc>
          <w:tcPr>
            <w:tcW w:w="2155" w:type="dxa"/>
            <w:vMerge/>
            <w:shd w:val="clear" w:color="auto" w:fill="C6D9F1" w:themeFill="text2" w:themeFillTint="33"/>
          </w:tcPr>
          <w:p w14:paraId="6793B349" w14:textId="77777777" w:rsidR="00EB2DEA" w:rsidRPr="00CC493D" w:rsidRDefault="00EB2DEA" w:rsidP="002F4E6E">
            <w:pPr>
              <w:jc w:val="both"/>
              <w:rPr>
                <w:rFonts w:ascii="Palatino Linotype" w:hAnsi="Palatino Linotype"/>
                <w:color w:val="000000" w:themeColor="text1"/>
              </w:rPr>
            </w:pPr>
          </w:p>
        </w:tc>
        <w:tc>
          <w:tcPr>
            <w:tcW w:w="1759" w:type="dxa"/>
          </w:tcPr>
          <w:p w14:paraId="2851EBE3"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Para clasificar la información como confidencial hay</w:t>
            </w:r>
          </w:p>
        </w:tc>
        <w:tc>
          <w:tcPr>
            <w:tcW w:w="2269" w:type="dxa"/>
          </w:tcPr>
          <w:p w14:paraId="69D31A4F"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que considerar la definición de dato personal</w:t>
            </w:r>
          </w:p>
        </w:tc>
        <w:tc>
          <w:tcPr>
            <w:tcW w:w="2268" w:type="dxa"/>
          </w:tcPr>
          <w:p w14:paraId="62A54767" w14:textId="77777777" w:rsidR="00EB2DEA" w:rsidRPr="00CC493D" w:rsidRDefault="00EB2DEA" w:rsidP="002F4E6E">
            <w:pPr>
              <w:jc w:val="both"/>
              <w:rPr>
                <w:rFonts w:ascii="Palatino Linotype" w:hAnsi="Palatino Linotype"/>
                <w:color w:val="000000" w:themeColor="text1"/>
              </w:rPr>
            </w:pPr>
          </w:p>
        </w:tc>
      </w:tr>
      <w:tr w:rsidR="00EB2DEA" w:rsidRPr="00CC493D" w14:paraId="72E323EA" w14:textId="77777777" w:rsidTr="002F4E6E">
        <w:tc>
          <w:tcPr>
            <w:tcW w:w="2155" w:type="dxa"/>
            <w:vMerge/>
            <w:shd w:val="clear" w:color="auto" w:fill="C6D9F1" w:themeFill="text2" w:themeFillTint="33"/>
          </w:tcPr>
          <w:p w14:paraId="1A460F6F" w14:textId="77777777" w:rsidR="00EB2DEA" w:rsidRPr="00CC493D" w:rsidRDefault="00EB2DEA" w:rsidP="002F4E6E">
            <w:pPr>
              <w:jc w:val="both"/>
              <w:rPr>
                <w:rFonts w:ascii="Palatino Linotype" w:hAnsi="Palatino Linotype"/>
                <w:color w:val="000000" w:themeColor="text1"/>
              </w:rPr>
            </w:pPr>
          </w:p>
        </w:tc>
        <w:tc>
          <w:tcPr>
            <w:tcW w:w="1759" w:type="dxa"/>
          </w:tcPr>
          <w:p w14:paraId="0CCADC23"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 xml:space="preserve">Estos supuestos se aplican de manera restrictiva y estricta, no </w:t>
            </w:r>
            <w:r w:rsidRPr="00CC493D">
              <w:rPr>
                <w:rFonts w:ascii="Palatino Linotype" w:hAnsi="Palatino Linotype"/>
                <w:color w:val="000000" w:themeColor="text1"/>
              </w:rPr>
              <w:lastRenderedPageBreak/>
              <w:t>pueden ampliarse</w:t>
            </w:r>
          </w:p>
        </w:tc>
        <w:tc>
          <w:tcPr>
            <w:tcW w:w="2269" w:type="dxa"/>
          </w:tcPr>
          <w:p w14:paraId="5D6BD0C7" w14:textId="77777777" w:rsidR="00EB2DEA" w:rsidRPr="00CC493D" w:rsidRDefault="00EB2DEA" w:rsidP="002F4E6E">
            <w:pPr>
              <w:jc w:val="both"/>
              <w:rPr>
                <w:rFonts w:ascii="Palatino Linotype" w:hAnsi="Palatino Linotype"/>
                <w:color w:val="000000" w:themeColor="text1"/>
              </w:rPr>
            </w:pPr>
          </w:p>
        </w:tc>
        <w:tc>
          <w:tcPr>
            <w:tcW w:w="2268" w:type="dxa"/>
          </w:tcPr>
          <w:p w14:paraId="0C3546A0" w14:textId="77777777" w:rsidR="00EB2DEA" w:rsidRPr="00CC493D" w:rsidRDefault="00EB2DEA" w:rsidP="002F4E6E">
            <w:pPr>
              <w:jc w:val="both"/>
              <w:rPr>
                <w:rFonts w:ascii="Palatino Linotype" w:hAnsi="Palatino Linotype"/>
                <w:color w:val="000000" w:themeColor="text1"/>
              </w:rPr>
            </w:pPr>
          </w:p>
        </w:tc>
      </w:tr>
      <w:tr w:rsidR="00EB2DEA" w:rsidRPr="00CC493D" w14:paraId="4630ED65" w14:textId="77777777" w:rsidTr="002F4E6E">
        <w:tc>
          <w:tcPr>
            <w:tcW w:w="2155" w:type="dxa"/>
            <w:vMerge w:val="restart"/>
            <w:shd w:val="clear" w:color="auto" w:fill="C6D9F1" w:themeFill="text2" w:themeFillTint="33"/>
          </w:tcPr>
          <w:p w14:paraId="0EE5C644"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Excepciones a la clasificación de reserva</w:t>
            </w:r>
          </w:p>
        </w:tc>
        <w:tc>
          <w:tcPr>
            <w:tcW w:w="1759" w:type="dxa"/>
            <w:vMerge w:val="restart"/>
          </w:tcPr>
          <w:p w14:paraId="1FF3D4BB"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No puede clasificarse como información reservada la concerniente a:</w:t>
            </w:r>
          </w:p>
        </w:tc>
        <w:tc>
          <w:tcPr>
            <w:tcW w:w="2269" w:type="dxa"/>
          </w:tcPr>
          <w:p w14:paraId="6834BBFC"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Actos (probados o en investigación) graves de violaciones a derechos humanos</w:t>
            </w:r>
          </w:p>
        </w:tc>
        <w:tc>
          <w:tcPr>
            <w:tcW w:w="2268" w:type="dxa"/>
          </w:tcPr>
          <w:p w14:paraId="4A1C9946" w14:textId="77777777" w:rsidR="00EB2DEA" w:rsidRPr="00CC493D" w:rsidRDefault="00EB2DEA" w:rsidP="002F4E6E">
            <w:pPr>
              <w:jc w:val="both"/>
              <w:rPr>
                <w:rFonts w:ascii="Palatino Linotype" w:hAnsi="Palatino Linotype"/>
                <w:color w:val="000000" w:themeColor="text1"/>
              </w:rPr>
            </w:pPr>
          </w:p>
        </w:tc>
      </w:tr>
      <w:tr w:rsidR="00EB2DEA" w:rsidRPr="00CC493D" w14:paraId="200D487C" w14:textId="77777777" w:rsidTr="002F4E6E">
        <w:tc>
          <w:tcPr>
            <w:tcW w:w="2155" w:type="dxa"/>
            <w:vMerge/>
            <w:shd w:val="clear" w:color="auto" w:fill="C6D9F1" w:themeFill="text2" w:themeFillTint="33"/>
          </w:tcPr>
          <w:p w14:paraId="5E1002CC" w14:textId="77777777" w:rsidR="00EB2DEA" w:rsidRPr="00CC493D" w:rsidRDefault="00EB2DEA" w:rsidP="002F4E6E">
            <w:pPr>
              <w:jc w:val="both"/>
              <w:rPr>
                <w:rFonts w:ascii="Palatino Linotype" w:hAnsi="Palatino Linotype"/>
                <w:color w:val="000000" w:themeColor="text1"/>
              </w:rPr>
            </w:pPr>
          </w:p>
        </w:tc>
        <w:tc>
          <w:tcPr>
            <w:tcW w:w="1759" w:type="dxa"/>
            <w:vMerge/>
          </w:tcPr>
          <w:p w14:paraId="27483469" w14:textId="77777777" w:rsidR="00EB2DEA" w:rsidRPr="00CC493D" w:rsidRDefault="00EB2DEA" w:rsidP="002F4E6E">
            <w:pPr>
              <w:jc w:val="both"/>
              <w:rPr>
                <w:rFonts w:ascii="Palatino Linotype" w:hAnsi="Palatino Linotype"/>
                <w:color w:val="000000" w:themeColor="text1"/>
              </w:rPr>
            </w:pPr>
          </w:p>
        </w:tc>
        <w:tc>
          <w:tcPr>
            <w:tcW w:w="2269" w:type="dxa"/>
          </w:tcPr>
          <w:p w14:paraId="180F73FE"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Delitos de lessa humanidad</w:t>
            </w:r>
          </w:p>
        </w:tc>
        <w:tc>
          <w:tcPr>
            <w:tcW w:w="2268" w:type="dxa"/>
          </w:tcPr>
          <w:p w14:paraId="23E19491" w14:textId="77777777" w:rsidR="00EB2DEA" w:rsidRPr="00CC493D" w:rsidRDefault="00EB2DEA" w:rsidP="002F4E6E">
            <w:pPr>
              <w:jc w:val="both"/>
              <w:rPr>
                <w:rFonts w:ascii="Palatino Linotype" w:hAnsi="Palatino Linotype"/>
                <w:color w:val="000000" w:themeColor="text1"/>
              </w:rPr>
            </w:pPr>
          </w:p>
        </w:tc>
      </w:tr>
      <w:tr w:rsidR="00EB2DEA" w:rsidRPr="00CC493D" w14:paraId="7EF3E93A" w14:textId="77777777" w:rsidTr="002F4E6E">
        <w:tc>
          <w:tcPr>
            <w:tcW w:w="2155" w:type="dxa"/>
            <w:vMerge/>
            <w:shd w:val="clear" w:color="auto" w:fill="C6D9F1" w:themeFill="text2" w:themeFillTint="33"/>
          </w:tcPr>
          <w:p w14:paraId="38A26D4D" w14:textId="77777777" w:rsidR="00EB2DEA" w:rsidRPr="00CC493D" w:rsidRDefault="00EB2DEA" w:rsidP="002F4E6E">
            <w:pPr>
              <w:jc w:val="both"/>
              <w:rPr>
                <w:rFonts w:ascii="Palatino Linotype" w:hAnsi="Palatino Linotype"/>
                <w:color w:val="000000" w:themeColor="text1"/>
              </w:rPr>
            </w:pPr>
          </w:p>
        </w:tc>
        <w:tc>
          <w:tcPr>
            <w:tcW w:w="1759" w:type="dxa"/>
            <w:vMerge/>
          </w:tcPr>
          <w:p w14:paraId="4A47FBEA" w14:textId="77777777" w:rsidR="00EB2DEA" w:rsidRPr="00CC493D" w:rsidRDefault="00EB2DEA" w:rsidP="002F4E6E">
            <w:pPr>
              <w:jc w:val="both"/>
              <w:rPr>
                <w:rFonts w:ascii="Palatino Linotype" w:hAnsi="Palatino Linotype"/>
                <w:color w:val="000000" w:themeColor="text1"/>
              </w:rPr>
            </w:pPr>
          </w:p>
        </w:tc>
        <w:tc>
          <w:tcPr>
            <w:tcW w:w="2269" w:type="dxa"/>
          </w:tcPr>
          <w:p w14:paraId="46980AC9"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Actos de Corrupción</w:t>
            </w:r>
          </w:p>
        </w:tc>
        <w:tc>
          <w:tcPr>
            <w:tcW w:w="2268" w:type="dxa"/>
          </w:tcPr>
          <w:p w14:paraId="51E2A57F"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Los comprendidos en el Título Sexto del Código Penal del Estado</w:t>
            </w:r>
          </w:p>
        </w:tc>
      </w:tr>
      <w:tr w:rsidR="00EB2DEA" w:rsidRPr="00CC493D" w14:paraId="442837C2" w14:textId="77777777" w:rsidTr="002F4E6E">
        <w:tc>
          <w:tcPr>
            <w:tcW w:w="2155" w:type="dxa"/>
            <w:vMerge w:val="restart"/>
            <w:shd w:val="clear" w:color="auto" w:fill="C6D9F1" w:themeFill="text2" w:themeFillTint="33"/>
          </w:tcPr>
          <w:p w14:paraId="6E474C14" w14:textId="77777777" w:rsidR="00EB2DEA" w:rsidRPr="00CC493D" w:rsidRDefault="00EB2DEA" w:rsidP="002F4E6E">
            <w:pPr>
              <w:shd w:val="clear" w:color="auto" w:fill="AADAF8"/>
              <w:jc w:val="both"/>
              <w:rPr>
                <w:rFonts w:ascii="Palatino Linotype" w:hAnsi="Palatino Linotype"/>
                <w:color w:val="000000" w:themeColor="text1"/>
              </w:rPr>
            </w:pPr>
            <w:r w:rsidRPr="00CC493D">
              <w:rPr>
                <w:rFonts w:ascii="Palatino Linotype" w:hAnsi="Palatino Linotype"/>
                <w:color w:val="000000" w:themeColor="text1"/>
              </w:rPr>
              <w:t>Participación del Comité de Transparencia</w:t>
            </w:r>
          </w:p>
        </w:tc>
        <w:tc>
          <w:tcPr>
            <w:tcW w:w="1759" w:type="dxa"/>
            <w:vMerge w:val="restart"/>
          </w:tcPr>
          <w:p w14:paraId="403E9EC4"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Formalidades</w:t>
            </w:r>
          </w:p>
        </w:tc>
        <w:tc>
          <w:tcPr>
            <w:tcW w:w="2269" w:type="dxa"/>
          </w:tcPr>
          <w:p w14:paraId="3D5D96A7"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El Comité debe de estar debidamente integrado</w:t>
            </w:r>
          </w:p>
        </w:tc>
        <w:tc>
          <w:tcPr>
            <w:tcW w:w="2268" w:type="dxa"/>
          </w:tcPr>
          <w:p w14:paraId="4A694927" w14:textId="77777777" w:rsidR="00EB2DEA" w:rsidRPr="00CC493D" w:rsidRDefault="00EB2DEA" w:rsidP="002F4E6E">
            <w:pPr>
              <w:jc w:val="both"/>
              <w:rPr>
                <w:rFonts w:ascii="Palatino Linotype" w:hAnsi="Palatino Linotype"/>
                <w:color w:val="000000" w:themeColor="text1"/>
              </w:rPr>
            </w:pPr>
          </w:p>
        </w:tc>
      </w:tr>
      <w:tr w:rsidR="00EB2DEA" w:rsidRPr="00CC493D" w14:paraId="385CB6AA" w14:textId="77777777" w:rsidTr="002F4E6E">
        <w:tc>
          <w:tcPr>
            <w:tcW w:w="2155" w:type="dxa"/>
            <w:vMerge/>
            <w:shd w:val="clear" w:color="auto" w:fill="C6D9F1" w:themeFill="text2" w:themeFillTint="33"/>
          </w:tcPr>
          <w:p w14:paraId="55EFD81B" w14:textId="77777777" w:rsidR="00EB2DEA" w:rsidRPr="00CC493D" w:rsidRDefault="00EB2DEA" w:rsidP="002F4E6E">
            <w:pPr>
              <w:jc w:val="both"/>
              <w:rPr>
                <w:rFonts w:ascii="Palatino Linotype" w:hAnsi="Palatino Linotype"/>
                <w:color w:val="000000" w:themeColor="text1"/>
              </w:rPr>
            </w:pPr>
          </w:p>
        </w:tc>
        <w:tc>
          <w:tcPr>
            <w:tcW w:w="1759" w:type="dxa"/>
            <w:vMerge/>
          </w:tcPr>
          <w:p w14:paraId="6D425A59" w14:textId="77777777" w:rsidR="00EB2DEA" w:rsidRPr="00CC493D" w:rsidRDefault="00EB2DEA" w:rsidP="002F4E6E">
            <w:pPr>
              <w:jc w:val="both"/>
              <w:rPr>
                <w:rFonts w:ascii="Palatino Linotype" w:hAnsi="Palatino Linotype"/>
                <w:color w:val="000000" w:themeColor="text1"/>
              </w:rPr>
            </w:pPr>
          </w:p>
        </w:tc>
        <w:tc>
          <w:tcPr>
            <w:tcW w:w="2269" w:type="dxa"/>
          </w:tcPr>
          <w:p w14:paraId="259100AB"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 xml:space="preserve">El Comité no aprueba la clasificación, sólo: confirma, modifica o revoca la decisión de las áreas </w:t>
            </w:r>
          </w:p>
        </w:tc>
        <w:tc>
          <w:tcPr>
            <w:tcW w:w="2268" w:type="dxa"/>
          </w:tcPr>
          <w:p w14:paraId="46D36F2C" w14:textId="77777777" w:rsidR="00EB2DEA" w:rsidRPr="00CC493D" w:rsidRDefault="00EB2DEA" w:rsidP="002F4E6E">
            <w:pPr>
              <w:jc w:val="both"/>
              <w:rPr>
                <w:rFonts w:ascii="Palatino Linotype" w:hAnsi="Palatino Linotype"/>
                <w:color w:val="000000" w:themeColor="text1"/>
              </w:rPr>
            </w:pPr>
          </w:p>
        </w:tc>
      </w:tr>
      <w:tr w:rsidR="00EB2DEA" w:rsidRPr="00CC493D" w14:paraId="12B3BB08" w14:textId="77777777" w:rsidTr="002F4E6E">
        <w:tc>
          <w:tcPr>
            <w:tcW w:w="2155" w:type="dxa"/>
            <w:shd w:val="clear" w:color="auto" w:fill="C6D9F1" w:themeFill="text2" w:themeFillTint="33"/>
          </w:tcPr>
          <w:p w14:paraId="57D85CC4"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Fondo del acuerdo de clasificación</w:t>
            </w:r>
          </w:p>
        </w:tc>
        <w:tc>
          <w:tcPr>
            <w:tcW w:w="1759" w:type="dxa"/>
          </w:tcPr>
          <w:p w14:paraId="226BB035"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La carga de la prueba para justificar la restricción corresponde al sujeto obligado</w:t>
            </w:r>
          </w:p>
        </w:tc>
        <w:tc>
          <w:tcPr>
            <w:tcW w:w="2269" w:type="dxa"/>
          </w:tcPr>
          <w:p w14:paraId="1853B567"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Deber de fundar y motivar</w:t>
            </w:r>
          </w:p>
        </w:tc>
        <w:tc>
          <w:tcPr>
            <w:tcW w:w="2268" w:type="dxa"/>
          </w:tcPr>
          <w:p w14:paraId="5E62E338" w14:textId="77777777" w:rsidR="00EB2DEA" w:rsidRPr="00CC493D" w:rsidRDefault="00EB2DEA" w:rsidP="002F4E6E">
            <w:pPr>
              <w:jc w:val="both"/>
              <w:rPr>
                <w:rFonts w:ascii="Palatino Linotype" w:hAnsi="Palatino Linotype"/>
                <w:color w:val="000000" w:themeColor="text1"/>
              </w:rPr>
            </w:pPr>
          </w:p>
        </w:tc>
      </w:tr>
      <w:tr w:rsidR="00EB2DEA" w:rsidRPr="00CC493D" w14:paraId="13AF01B6" w14:textId="77777777" w:rsidTr="002F4E6E">
        <w:trPr>
          <w:trHeight w:val="486"/>
        </w:trPr>
        <w:tc>
          <w:tcPr>
            <w:tcW w:w="2155" w:type="dxa"/>
            <w:vMerge w:val="restart"/>
            <w:shd w:val="clear" w:color="auto" w:fill="C6D9F1" w:themeFill="text2" w:themeFillTint="33"/>
          </w:tcPr>
          <w:p w14:paraId="141AD3A9"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Condiciones especiales de la reserva</w:t>
            </w:r>
          </w:p>
        </w:tc>
        <w:tc>
          <w:tcPr>
            <w:tcW w:w="1759" w:type="dxa"/>
            <w:vMerge w:val="restart"/>
          </w:tcPr>
          <w:p w14:paraId="6436C53F"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Motivar implica</w:t>
            </w:r>
          </w:p>
          <w:p w14:paraId="2439ED56"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 xml:space="preserve">Además se debe aplicar, </w:t>
            </w:r>
            <w:r w:rsidRPr="00CC493D">
              <w:rPr>
                <w:rFonts w:ascii="Palatino Linotype" w:hAnsi="Palatino Linotype"/>
                <w:color w:val="000000" w:themeColor="text1"/>
              </w:rPr>
              <w:lastRenderedPageBreak/>
              <w:t>caso por caso, una prueba de daño.</w:t>
            </w:r>
          </w:p>
        </w:tc>
        <w:tc>
          <w:tcPr>
            <w:tcW w:w="2269" w:type="dxa"/>
            <w:vMerge w:val="restart"/>
          </w:tcPr>
          <w:p w14:paraId="5D52C1D9"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lastRenderedPageBreak/>
              <w:t>Señalar las razones, motivos o circunstancias.</w:t>
            </w:r>
          </w:p>
          <w:p w14:paraId="4AE39838"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lastRenderedPageBreak/>
              <w:t>Se deben señalar las razones objetivas y acreditar.</w:t>
            </w:r>
          </w:p>
          <w:p w14:paraId="185375E3" w14:textId="77777777" w:rsidR="00EB2DEA" w:rsidRPr="00CC493D" w:rsidRDefault="00EB2DEA" w:rsidP="002F4E6E">
            <w:pPr>
              <w:jc w:val="both"/>
              <w:rPr>
                <w:rFonts w:ascii="Palatino Linotype" w:hAnsi="Palatino Linotype"/>
                <w:color w:val="000000" w:themeColor="text1"/>
              </w:rPr>
            </w:pPr>
          </w:p>
          <w:p w14:paraId="54DE3B43"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*Adquiere la condición especial de ser temporal por un periodo de 5 años con la posibilidad de ampliarse por un periodo igual.</w:t>
            </w:r>
          </w:p>
        </w:tc>
        <w:tc>
          <w:tcPr>
            <w:tcW w:w="2268" w:type="dxa"/>
            <w:vMerge w:val="restart"/>
          </w:tcPr>
          <w:p w14:paraId="6C946336"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lastRenderedPageBreak/>
              <w:t xml:space="preserve">Que entregar la información provoca un riesgo real, demostrable e </w:t>
            </w:r>
            <w:r w:rsidRPr="00CC493D">
              <w:rPr>
                <w:rFonts w:ascii="Palatino Linotype" w:hAnsi="Palatino Linotype"/>
                <w:color w:val="000000" w:themeColor="text1"/>
              </w:rPr>
              <w:lastRenderedPageBreak/>
              <w:t>identificable al interés público o a la seguridad pública</w:t>
            </w:r>
          </w:p>
        </w:tc>
      </w:tr>
      <w:tr w:rsidR="00EB2DEA" w:rsidRPr="00CC493D" w14:paraId="0C2328CC" w14:textId="77777777" w:rsidTr="002F4E6E">
        <w:trPr>
          <w:trHeight w:val="486"/>
        </w:trPr>
        <w:tc>
          <w:tcPr>
            <w:tcW w:w="2155" w:type="dxa"/>
            <w:vMerge/>
            <w:shd w:val="clear" w:color="auto" w:fill="C6D9F1" w:themeFill="text2" w:themeFillTint="33"/>
          </w:tcPr>
          <w:p w14:paraId="3BE15698" w14:textId="77777777" w:rsidR="00EB2DEA" w:rsidRPr="00CC493D" w:rsidRDefault="00EB2DEA" w:rsidP="002F4E6E">
            <w:pPr>
              <w:jc w:val="both"/>
              <w:rPr>
                <w:rFonts w:ascii="Palatino Linotype" w:hAnsi="Palatino Linotype"/>
                <w:color w:val="000000" w:themeColor="text1"/>
              </w:rPr>
            </w:pPr>
          </w:p>
        </w:tc>
        <w:tc>
          <w:tcPr>
            <w:tcW w:w="1759" w:type="dxa"/>
            <w:vMerge/>
          </w:tcPr>
          <w:p w14:paraId="4EC3D6E4" w14:textId="77777777" w:rsidR="00EB2DEA" w:rsidRPr="00CC493D" w:rsidRDefault="00EB2DEA" w:rsidP="002F4E6E">
            <w:pPr>
              <w:jc w:val="both"/>
              <w:rPr>
                <w:rFonts w:ascii="Palatino Linotype" w:hAnsi="Palatino Linotype"/>
                <w:color w:val="000000" w:themeColor="text1"/>
              </w:rPr>
            </w:pPr>
          </w:p>
        </w:tc>
        <w:tc>
          <w:tcPr>
            <w:tcW w:w="2269" w:type="dxa"/>
            <w:vMerge/>
          </w:tcPr>
          <w:p w14:paraId="4A17C238" w14:textId="77777777" w:rsidR="00EB2DEA" w:rsidRPr="00CC493D" w:rsidRDefault="00EB2DEA" w:rsidP="002F4E6E">
            <w:pPr>
              <w:jc w:val="both"/>
              <w:rPr>
                <w:rFonts w:ascii="Palatino Linotype" w:hAnsi="Palatino Linotype"/>
                <w:color w:val="000000" w:themeColor="text1"/>
              </w:rPr>
            </w:pPr>
          </w:p>
        </w:tc>
        <w:tc>
          <w:tcPr>
            <w:tcW w:w="2268" w:type="dxa"/>
            <w:vMerge/>
          </w:tcPr>
          <w:p w14:paraId="0C82AC93" w14:textId="77777777" w:rsidR="00EB2DEA" w:rsidRPr="00CC493D" w:rsidRDefault="00EB2DEA" w:rsidP="002F4E6E">
            <w:pPr>
              <w:jc w:val="both"/>
              <w:rPr>
                <w:rFonts w:ascii="Palatino Linotype" w:hAnsi="Palatino Linotype"/>
                <w:color w:val="000000" w:themeColor="text1"/>
              </w:rPr>
            </w:pPr>
          </w:p>
        </w:tc>
      </w:tr>
      <w:tr w:rsidR="00EB2DEA" w:rsidRPr="00CC493D" w14:paraId="3917DCF8" w14:textId="77777777" w:rsidTr="002F4E6E">
        <w:tc>
          <w:tcPr>
            <w:tcW w:w="2155" w:type="dxa"/>
            <w:vMerge/>
            <w:shd w:val="clear" w:color="auto" w:fill="C6D9F1" w:themeFill="text2" w:themeFillTint="33"/>
          </w:tcPr>
          <w:p w14:paraId="3BE0BFB9" w14:textId="77777777" w:rsidR="00EB2DEA" w:rsidRPr="00CC493D" w:rsidRDefault="00EB2DEA" w:rsidP="002F4E6E">
            <w:pPr>
              <w:jc w:val="both"/>
              <w:rPr>
                <w:rFonts w:ascii="Palatino Linotype" w:hAnsi="Palatino Linotype"/>
                <w:color w:val="000000" w:themeColor="text1"/>
              </w:rPr>
            </w:pPr>
          </w:p>
        </w:tc>
        <w:tc>
          <w:tcPr>
            <w:tcW w:w="1759" w:type="dxa"/>
            <w:vMerge/>
          </w:tcPr>
          <w:p w14:paraId="3827FD17" w14:textId="77777777" w:rsidR="00EB2DEA" w:rsidRPr="00CC493D" w:rsidRDefault="00EB2DEA" w:rsidP="002F4E6E">
            <w:pPr>
              <w:jc w:val="both"/>
              <w:rPr>
                <w:rFonts w:ascii="Palatino Linotype" w:hAnsi="Palatino Linotype"/>
                <w:color w:val="000000" w:themeColor="text1"/>
              </w:rPr>
            </w:pPr>
          </w:p>
        </w:tc>
        <w:tc>
          <w:tcPr>
            <w:tcW w:w="2269" w:type="dxa"/>
            <w:vMerge/>
          </w:tcPr>
          <w:p w14:paraId="71252FDF" w14:textId="77777777" w:rsidR="00EB2DEA" w:rsidRPr="00CC493D" w:rsidRDefault="00EB2DEA" w:rsidP="002F4E6E">
            <w:pPr>
              <w:jc w:val="both"/>
              <w:rPr>
                <w:rFonts w:ascii="Palatino Linotype" w:hAnsi="Palatino Linotype"/>
                <w:color w:val="000000" w:themeColor="text1"/>
              </w:rPr>
            </w:pPr>
          </w:p>
        </w:tc>
        <w:tc>
          <w:tcPr>
            <w:tcW w:w="2268" w:type="dxa"/>
          </w:tcPr>
          <w:p w14:paraId="3AAA7A05"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 xml:space="preserve">El riesgo por divulgar es mayor que el interés público de que se difunda  </w:t>
            </w:r>
          </w:p>
        </w:tc>
      </w:tr>
      <w:tr w:rsidR="00EB2DEA" w:rsidRPr="00CC493D" w14:paraId="2F7545E0" w14:textId="77777777" w:rsidTr="002F4E6E">
        <w:trPr>
          <w:trHeight w:val="1454"/>
        </w:trPr>
        <w:tc>
          <w:tcPr>
            <w:tcW w:w="2155" w:type="dxa"/>
            <w:vMerge/>
            <w:shd w:val="clear" w:color="auto" w:fill="C6D9F1" w:themeFill="text2" w:themeFillTint="33"/>
          </w:tcPr>
          <w:p w14:paraId="6384F70D" w14:textId="77777777" w:rsidR="00EB2DEA" w:rsidRPr="00CC493D" w:rsidRDefault="00EB2DEA" w:rsidP="002F4E6E">
            <w:pPr>
              <w:jc w:val="both"/>
              <w:rPr>
                <w:rFonts w:ascii="Palatino Linotype" w:hAnsi="Palatino Linotype"/>
                <w:color w:val="000000" w:themeColor="text1"/>
              </w:rPr>
            </w:pPr>
          </w:p>
        </w:tc>
        <w:tc>
          <w:tcPr>
            <w:tcW w:w="1759" w:type="dxa"/>
            <w:vMerge/>
          </w:tcPr>
          <w:p w14:paraId="7F068935" w14:textId="77777777" w:rsidR="00EB2DEA" w:rsidRPr="00CC493D" w:rsidRDefault="00EB2DEA" w:rsidP="002F4E6E">
            <w:pPr>
              <w:jc w:val="both"/>
              <w:rPr>
                <w:rFonts w:ascii="Palatino Linotype" w:hAnsi="Palatino Linotype"/>
                <w:color w:val="000000" w:themeColor="text1"/>
              </w:rPr>
            </w:pPr>
          </w:p>
        </w:tc>
        <w:tc>
          <w:tcPr>
            <w:tcW w:w="2269" w:type="dxa"/>
            <w:vMerge/>
          </w:tcPr>
          <w:p w14:paraId="38CAAE24" w14:textId="77777777" w:rsidR="00EB2DEA" w:rsidRPr="00CC493D" w:rsidRDefault="00EB2DEA" w:rsidP="002F4E6E">
            <w:pPr>
              <w:jc w:val="both"/>
              <w:rPr>
                <w:rFonts w:ascii="Palatino Linotype" w:hAnsi="Palatino Linotype"/>
                <w:color w:val="000000" w:themeColor="text1"/>
              </w:rPr>
            </w:pPr>
          </w:p>
        </w:tc>
        <w:tc>
          <w:tcPr>
            <w:tcW w:w="2268" w:type="dxa"/>
          </w:tcPr>
          <w:p w14:paraId="52876688"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El principio de proporcionalidad</w:t>
            </w:r>
          </w:p>
        </w:tc>
      </w:tr>
      <w:tr w:rsidR="00EB2DEA" w:rsidRPr="00CC493D" w14:paraId="7C934589" w14:textId="77777777" w:rsidTr="002F4E6E">
        <w:tc>
          <w:tcPr>
            <w:tcW w:w="2155" w:type="dxa"/>
            <w:vMerge w:val="restart"/>
            <w:shd w:val="clear" w:color="auto" w:fill="C6D9F1" w:themeFill="text2" w:themeFillTint="33"/>
          </w:tcPr>
          <w:p w14:paraId="41066D61"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Condiciones especiales de la confidencialidad</w:t>
            </w:r>
          </w:p>
        </w:tc>
        <w:tc>
          <w:tcPr>
            <w:tcW w:w="1759" w:type="dxa"/>
          </w:tcPr>
          <w:p w14:paraId="2E9EF543"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 xml:space="preserve">Para clasificar se debe verificar que no se encuentre en los supuestos del artículo 148 de la ley Estatal </w:t>
            </w:r>
          </w:p>
        </w:tc>
        <w:tc>
          <w:tcPr>
            <w:tcW w:w="2269" w:type="dxa"/>
          </w:tcPr>
          <w:p w14:paraId="2333C8B5"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 xml:space="preserve">Si se encuentra en los supuestos de dicho artículo se entrega aún sin consentimiento del titular del dato personal </w:t>
            </w:r>
          </w:p>
        </w:tc>
        <w:tc>
          <w:tcPr>
            <w:tcW w:w="2268" w:type="dxa"/>
          </w:tcPr>
          <w:p w14:paraId="14A79888" w14:textId="77777777" w:rsidR="00EB2DEA" w:rsidRPr="00CC493D" w:rsidRDefault="00EB2DEA" w:rsidP="002F4E6E">
            <w:pPr>
              <w:jc w:val="both"/>
              <w:rPr>
                <w:rFonts w:ascii="Palatino Linotype" w:hAnsi="Palatino Linotype"/>
                <w:color w:val="000000" w:themeColor="text1"/>
              </w:rPr>
            </w:pPr>
          </w:p>
        </w:tc>
      </w:tr>
      <w:tr w:rsidR="00EB2DEA" w:rsidRPr="00CC493D" w14:paraId="4AAC3D24" w14:textId="77777777" w:rsidTr="002F4E6E">
        <w:trPr>
          <w:trHeight w:val="3404"/>
        </w:trPr>
        <w:tc>
          <w:tcPr>
            <w:tcW w:w="2155" w:type="dxa"/>
            <w:vMerge/>
            <w:shd w:val="clear" w:color="auto" w:fill="C6D9F1" w:themeFill="text2" w:themeFillTint="33"/>
          </w:tcPr>
          <w:p w14:paraId="38DF9873" w14:textId="77777777" w:rsidR="00EB2DEA" w:rsidRPr="00CC493D" w:rsidRDefault="00EB2DEA" w:rsidP="002F4E6E">
            <w:pPr>
              <w:jc w:val="both"/>
              <w:rPr>
                <w:rFonts w:ascii="Palatino Linotype" w:hAnsi="Palatino Linotype"/>
                <w:color w:val="000000" w:themeColor="text1"/>
              </w:rPr>
            </w:pPr>
          </w:p>
        </w:tc>
        <w:tc>
          <w:tcPr>
            <w:tcW w:w="1759" w:type="dxa"/>
          </w:tcPr>
          <w:p w14:paraId="74E83B08" w14:textId="77777777" w:rsidR="00EB2DEA" w:rsidRPr="00CC493D" w:rsidRDefault="00EB2DEA" w:rsidP="002F4E6E">
            <w:pPr>
              <w:jc w:val="both"/>
              <w:rPr>
                <w:rFonts w:ascii="Palatino Linotype" w:hAnsi="Palatino Linotype"/>
                <w:color w:val="000000" w:themeColor="text1"/>
              </w:rPr>
            </w:pPr>
            <w:r w:rsidRPr="00CC493D">
              <w:rPr>
                <w:rFonts w:ascii="Palatino Linotype" w:hAnsi="Palatino Linotype"/>
                <w:color w:val="000000" w:themeColor="text1"/>
              </w:rPr>
              <w:t>Si es posible, se debe consultar al titular de los datos para requerir su autorización para entregarlo</w:t>
            </w:r>
          </w:p>
        </w:tc>
        <w:tc>
          <w:tcPr>
            <w:tcW w:w="2269" w:type="dxa"/>
          </w:tcPr>
          <w:p w14:paraId="0C2D9826" w14:textId="77777777" w:rsidR="00EB2DEA" w:rsidRPr="00CC493D" w:rsidRDefault="00EB2DEA" w:rsidP="002F4E6E">
            <w:pPr>
              <w:jc w:val="both"/>
              <w:rPr>
                <w:rFonts w:ascii="Palatino Linotype" w:hAnsi="Palatino Linotype"/>
                <w:color w:val="000000" w:themeColor="text1"/>
              </w:rPr>
            </w:pPr>
          </w:p>
        </w:tc>
        <w:tc>
          <w:tcPr>
            <w:tcW w:w="2268" w:type="dxa"/>
          </w:tcPr>
          <w:p w14:paraId="4C328F32" w14:textId="77777777" w:rsidR="00EB2DEA" w:rsidRPr="00CC493D" w:rsidRDefault="00EB2DEA" w:rsidP="002F4E6E">
            <w:pPr>
              <w:jc w:val="both"/>
              <w:rPr>
                <w:rFonts w:ascii="Palatino Linotype" w:hAnsi="Palatino Linotype"/>
                <w:color w:val="000000" w:themeColor="text1"/>
              </w:rPr>
            </w:pPr>
          </w:p>
        </w:tc>
      </w:tr>
    </w:tbl>
    <w:p w14:paraId="4CB26EF6" w14:textId="77777777" w:rsidR="00EB2DEA" w:rsidRPr="00CC493D" w:rsidRDefault="00EB2DEA" w:rsidP="00EB2DEA">
      <w:pPr>
        <w:numPr>
          <w:ilvl w:val="0"/>
          <w:numId w:val="1"/>
        </w:numPr>
        <w:shd w:val="clear" w:color="auto" w:fill="FFFFFF"/>
        <w:spacing w:beforeAutospacing="1" w:after="240" w:line="360" w:lineRule="auto"/>
        <w:jc w:val="both"/>
        <w:textAlignment w:val="baseline"/>
        <w:rPr>
          <w:rFonts w:ascii="Palatino Linotype" w:hAnsi="Palatino Linotype"/>
          <w:color w:val="000000" w:themeColor="text1"/>
          <w:lang w:val="es-ES_tradnl"/>
        </w:rPr>
      </w:pPr>
      <w:r w:rsidRPr="00CC493D">
        <w:rPr>
          <w:rFonts w:ascii="Palatino Linotype" w:hAnsi="Palatino Linotype"/>
          <w:color w:val="000000" w:themeColor="text1"/>
        </w:rPr>
        <w:lastRenderedPageBreak/>
        <w:t>Pero</w:t>
      </w:r>
      <w:r w:rsidRPr="00CC493D">
        <w:rPr>
          <w:rFonts w:ascii="Palatino Linotype" w:hAnsi="Palatino Linotype"/>
          <w:color w:val="000000" w:themeColor="text1"/>
          <w:lang w:val="es-ES_tradnl"/>
        </w:rPr>
        <w:t xml:space="preserve"> si la información que se pretende clasificar como confidencial no se encuentra en los supuestos antes señalados y es posible, se deberá consultar al titular de los datos si permite o no el acceso. De no ser posible, la realización de la consulta, procede, fundando y motivando, la clasificación.</w:t>
      </w:r>
    </w:p>
    <w:p w14:paraId="7457A7E2" w14:textId="77777777" w:rsidR="00EB2DEA" w:rsidRPr="00CC493D" w:rsidRDefault="00EB2DEA" w:rsidP="00EB2DEA">
      <w:pPr>
        <w:numPr>
          <w:ilvl w:val="0"/>
          <w:numId w:val="1"/>
        </w:numPr>
        <w:shd w:val="clear" w:color="auto" w:fill="FFFFFF"/>
        <w:spacing w:before="240" w:line="360" w:lineRule="auto"/>
        <w:contextualSpacing/>
        <w:jc w:val="both"/>
        <w:rPr>
          <w:rFonts w:ascii="Palatino Linotype" w:hAnsi="Palatino Linotype" w:cs="Arial"/>
          <w:color w:val="000000" w:themeColor="text1"/>
          <w:lang w:val="es-ES_tradnl" w:eastAsia="es-MX"/>
        </w:rPr>
      </w:pPr>
      <w:r w:rsidRPr="00CC493D">
        <w:rPr>
          <w:rFonts w:ascii="Palatino Linotype" w:eastAsiaTheme="minorEastAsia" w:hAnsi="Palatino Linotype"/>
          <w:color w:val="000000" w:themeColor="text1"/>
          <w:lang w:val="es-ES_tradnl" w:eastAsia="es-ES"/>
        </w:rPr>
        <w:t>Por lo que si la información, con la que se pueda responder a una solicitud de información, contiene datos personales se deberá de realizar su clasificación como información confidencial, atendiendo las formalidades establecidas por la Ley de la materia y los lineamientos generales en materia de clasificación y desclasificación de la información, así como para la elaboración de versiones públicas, de manera previa a su entrega al solicitante, de lo contrario los servidores públicos involucrados incurrirán en responsabilidad.</w:t>
      </w:r>
    </w:p>
    <w:p w14:paraId="61D0851B" w14:textId="77777777" w:rsidR="00EB2DEA" w:rsidRPr="00CC493D" w:rsidRDefault="00EB2DEA" w:rsidP="00EB2DEA">
      <w:pPr>
        <w:ind w:left="720"/>
        <w:contextualSpacing/>
        <w:rPr>
          <w:rFonts w:ascii="Palatino Linotype" w:hAnsi="Palatino Linotype" w:cs="Arial"/>
          <w:color w:val="000000"/>
          <w:lang w:val="es-ES_tradnl" w:eastAsia="es-ES"/>
        </w:rPr>
      </w:pPr>
    </w:p>
    <w:p w14:paraId="6FBCA71B" w14:textId="164ACABB" w:rsidR="00EB2DEA" w:rsidRPr="00CC493D" w:rsidRDefault="00EB2DEA" w:rsidP="00D13F1B">
      <w:pPr>
        <w:numPr>
          <w:ilvl w:val="0"/>
          <w:numId w:val="1"/>
        </w:numPr>
        <w:spacing w:after="120" w:line="360" w:lineRule="auto"/>
        <w:ind w:right="49"/>
        <w:jc w:val="both"/>
        <w:rPr>
          <w:rFonts w:ascii="Palatino Linotype" w:eastAsia="MS Mincho" w:hAnsi="Palatino Linotype" w:cstheme="majorBidi"/>
          <w:lang w:val="es-ES_tradnl" w:eastAsia="es-ES"/>
        </w:rPr>
      </w:pPr>
      <w:r w:rsidRPr="00CC493D">
        <w:rPr>
          <w:rFonts w:ascii="Palatino Linotype" w:hAnsi="Palatino Linotype" w:cs="Arial"/>
          <w:color w:val="000000"/>
          <w:lang w:val="es-ES_tradnl" w:eastAsia="es-ES"/>
        </w:rPr>
        <w:t xml:space="preserve">Por lo anteriormente expuesto y fundado, este </w:t>
      </w:r>
      <w:r w:rsidRPr="00CC493D">
        <w:rPr>
          <w:rFonts w:ascii="Palatino Linotype" w:hAnsi="Palatino Linotype" w:cs="Arial"/>
          <w:b/>
          <w:color w:val="000000"/>
          <w:lang w:val="es-ES_tradnl" w:eastAsia="es-ES"/>
        </w:rPr>
        <w:t>ÓRGANO GARANTE</w:t>
      </w:r>
      <w:r w:rsidRPr="00CC493D">
        <w:rPr>
          <w:rFonts w:ascii="Palatino Linotype" w:hAnsi="Palatino Linotype" w:cs="Arial"/>
          <w:color w:val="000000"/>
          <w:lang w:val="es-ES_tradnl" w:eastAsia="es-ES"/>
        </w:rPr>
        <w:t xml:space="preserve"> emite los siguientes:</w:t>
      </w:r>
    </w:p>
    <w:p w14:paraId="1D653B66" w14:textId="77777777" w:rsidR="00164CD4" w:rsidRPr="00CC493D" w:rsidRDefault="00164CD4" w:rsidP="00164CD4">
      <w:pPr>
        <w:pStyle w:val="Prrafodelista"/>
        <w:rPr>
          <w:rFonts w:ascii="Palatino Linotype" w:eastAsia="MS Mincho" w:hAnsi="Palatino Linotype" w:cstheme="majorBidi"/>
          <w:lang w:val="es-ES_tradnl" w:eastAsia="es-ES"/>
        </w:rPr>
      </w:pPr>
    </w:p>
    <w:p w14:paraId="42DFC3BE" w14:textId="77777777" w:rsidR="00164CD4" w:rsidRPr="00CC493D" w:rsidRDefault="00164CD4" w:rsidP="00164CD4">
      <w:pPr>
        <w:spacing w:after="120" w:line="360" w:lineRule="auto"/>
        <w:ind w:right="49"/>
        <w:jc w:val="both"/>
        <w:rPr>
          <w:rFonts w:ascii="Palatino Linotype" w:eastAsia="MS Mincho" w:hAnsi="Palatino Linotype" w:cstheme="majorBidi"/>
          <w:lang w:val="es-ES_tradnl" w:eastAsia="es-ES"/>
        </w:rPr>
      </w:pPr>
    </w:p>
    <w:p w14:paraId="4FA476B2" w14:textId="77777777" w:rsidR="00164CD4" w:rsidRPr="00CC493D" w:rsidRDefault="00164CD4" w:rsidP="00164CD4">
      <w:pPr>
        <w:spacing w:after="120" w:line="360" w:lineRule="auto"/>
        <w:ind w:right="49"/>
        <w:jc w:val="both"/>
        <w:rPr>
          <w:rFonts w:ascii="Palatino Linotype" w:eastAsia="MS Mincho" w:hAnsi="Palatino Linotype" w:cstheme="majorBidi"/>
          <w:lang w:val="es-ES_tradnl" w:eastAsia="es-ES"/>
        </w:rPr>
      </w:pPr>
    </w:p>
    <w:p w14:paraId="44E8439E" w14:textId="77777777" w:rsidR="00164CD4" w:rsidRPr="00CC493D" w:rsidRDefault="00164CD4" w:rsidP="00164CD4">
      <w:pPr>
        <w:spacing w:after="120" w:line="360" w:lineRule="auto"/>
        <w:ind w:right="49"/>
        <w:jc w:val="both"/>
        <w:rPr>
          <w:rFonts w:ascii="Palatino Linotype" w:eastAsia="MS Mincho" w:hAnsi="Palatino Linotype" w:cstheme="majorBidi"/>
          <w:lang w:val="es-ES_tradnl" w:eastAsia="es-ES"/>
        </w:rPr>
      </w:pPr>
    </w:p>
    <w:p w14:paraId="1D76EA74" w14:textId="77777777" w:rsidR="00164CD4" w:rsidRPr="00CC493D" w:rsidRDefault="00164CD4" w:rsidP="00164CD4">
      <w:pPr>
        <w:spacing w:after="120" w:line="360" w:lineRule="auto"/>
        <w:ind w:right="49"/>
        <w:jc w:val="both"/>
        <w:rPr>
          <w:rFonts w:ascii="Palatino Linotype" w:eastAsia="MS Mincho" w:hAnsi="Palatino Linotype" w:cstheme="majorBidi"/>
          <w:lang w:val="es-ES_tradnl" w:eastAsia="es-ES"/>
        </w:rPr>
      </w:pPr>
    </w:p>
    <w:p w14:paraId="760D26C0" w14:textId="77777777" w:rsidR="00164CD4" w:rsidRPr="00CC493D" w:rsidRDefault="00164CD4" w:rsidP="00164CD4">
      <w:pPr>
        <w:spacing w:after="120" w:line="360" w:lineRule="auto"/>
        <w:ind w:right="49"/>
        <w:jc w:val="both"/>
        <w:rPr>
          <w:rFonts w:ascii="Palatino Linotype" w:eastAsia="MS Mincho" w:hAnsi="Palatino Linotype" w:cstheme="majorBidi"/>
          <w:lang w:val="es-ES_tradnl" w:eastAsia="es-ES"/>
        </w:rPr>
      </w:pPr>
    </w:p>
    <w:p w14:paraId="71947FF2" w14:textId="77777777" w:rsidR="00164CD4" w:rsidRPr="00CC493D" w:rsidRDefault="00164CD4" w:rsidP="00164CD4">
      <w:pPr>
        <w:spacing w:after="120" w:line="360" w:lineRule="auto"/>
        <w:ind w:right="49"/>
        <w:jc w:val="both"/>
        <w:rPr>
          <w:rFonts w:ascii="Palatino Linotype" w:eastAsia="MS Mincho" w:hAnsi="Palatino Linotype" w:cstheme="majorBidi"/>
          <w:lang w:val="es-ES_tradnl" w:eastAsia="es-ES"/>
        </w:rPr>
      </w:pPr>
    </w:p>
    <w:p w14:paraId="3363B8A9" w14:textId="77777777" w:rsidR="00EB2DEA" w:rsidRPr="00CC493D" w:rsidRDefault="00EB2DEA" w:rsidP="00EB2DEA">
      <w:pPr>
        <w:keepNext/>
        <w:keepLines/>
        <w:spacing w:before="240" w:line="360" w:lineRule="auto"/>
        <w:jc w:val="center"/>
        <w:outlineLvl w:val="0"/>
        <w:rPr>
          <w:rFonts w:ascii="Palatino Linotype" w:eastAsia="Calibri" w:hAnsi="Palatino Linotype" w:cstheme="majorBidi"/>
          <w:lang w:val="es-ES" w:eastAsia="es-ES"/>
        </w:rPr>
      </w:pPr>
      <w:bookmarkStart w:id="183" w:name="_Toc524344198"/>
      <w:bookmarkStart w:id="184" w:name="_Toc526271203"/>
      <w:bookmarkStart w:id="185" w:name="_Toc536106982"/>
      <w:bookmarkStart w:id="186" w:name="_Toc3467961"/>
      <w:r w:rsidRPr="00CC493D">
        <w:rPr>
          <w:rFonts w:ascii="Palatino Linotype" w:eastAsia="Calibri" w:hAnsi="Palatino Linotype" w:cstheme="majorBidi"/>
          <w:b/>
          <w:lang w:val="es-ES" w:eastAsia="es-ES"/>
        </w:rPr>
        <w:lastRenderedPageBreak/>
        <w:t>R E S O L U T I V O S</w:t>
      </w:r>
      <w:bookmarkEnd w:id="183"/>
      <w:bookmarkEnd w:id="184"/>
      <w:bookmarkEnd w:id="185"/>
      <w:bookmarkEnd w:id="186"/>
      <w:r w:rsidRPr="00CC493D">
        <w:rPr>
          <w:rFonts w:ascii="Palatino Linotype" w:eastAsia="Calibri" w:hAnsi="Palatino Linotype" w:cstheme="majorBidi"/>
          <w:b/>
          <w:lang w:val="es-ES" w:eastAsia="es-ES"/>
        </w:rPr>
        <w:t xml:space="preserve"> </w:t>
      </w:r>
    </w:p>
    <w:p w14:paraId="13AFFCFF" w14:textId="77777777" w:rsidR="00EB2DEA" w:rsidRPr="00CC493D" w:rsidRDefault="00EB2DEA" w:rsidP="00EB2DEA">
      <w:pPr>
        <w:rPr>
          <w:rFonts w:eastAsiaTheme="minorEastAsia"/>
          <w:lang w:val="es-ES" w:eastAsia="es-ES"/>
        </w:rPr>
      </w:pPr>
    </w:p>
    <w:p w14:paraId="61896EB1" w14:textId="08225C49" w:rsidR="00EB2DEA" w:rsidRPr="00CC493D" w:rsidRDefault="00EB2DEA" w:rsidP="00EB2DEA">
      <w:pPr>
        <w:spacing w:line="360" w:lineRule="auto"/>
        <w:jc w:val="both"/>
        <w:rPr>
          <w:rFonts w:ascii="Palatino Linotype" w:eastAsiaTheme="minorEastAsia" w:hAnsi="Palatino Linotype" w:cs="Arial"/>
          <w:bCs/>
          <w:lang w:val="es-ES_tradnl" w:eastAsia="es-MX"/>
        </w:rPr>
      </w:pPr>
      <w:r w:rsidRPr="00CC493D">
        <w:rPr>
          <w:rFonts w:ascii="Palatino Linotype" w:hAnsi="Palatino Linotype" w:cs="Arial"/>
          <w:b/>
          <w:lang w:val="es-ES_tradnl" w:eastAsia="es-ES"/>
        </w:rPr>
        <w:t xml:space="preserve">PRIMERO. </w:t>
      </w:r>
      <w:r w:rsidRPr="00CC493D">
        <w:rPr>
          <w:rFonts w:ascii="Palatino Linotype" w:hAnsi="Palatino Linotype" w:cs="Arial"/>
          <w:lang w:val="es-ES_tradnl" w:eastAsia="es-ES"/>
        </w:rPr>
        <w:t>Resultan fundadas las</w:t>
      </w:r>
      <w:r w:rsidRPr="00CC493D">
        <w:rPr>
          <w:rFonts w:ascii="Palatino Linotype" w:hAnsi="Palatino Linotype" w:cs="Arial"/>
          <w:b/>
          <w:lang w:val="es-ES_tradnl" w:eastAsia="es-ES"/>
        </w:rPr>
        <w:t xml:space="preserve"> </w:t>
      </w:r>
      <w:r w:rsidRPr="00CC493D">
        <w:rPr>
          <w:rFonts w:ascii="Palatino Linotype" w:hAnsi="Palatino Linotype" w:cs="Arial"/>
          <w:lang w:val="es-ES" w:eastAsia="es-ES"/>
        </w:rPr>
        <w:t xml:space="preserve">razones o motivos de inconformidad hechos valer en el recurso de revisión </w:t>
      </w:r>
      <w:r w:rsidR="00D13F1B" w:rsidRPr="00CC493D">
        <w:rPr>
          <w:rFonts w:ascii="Palatino Linotype" w:hAnsi="Palatino Linotype" w:cs="Arial"/>
          <w:b/>
          <w:bCs/>
          <w:lang w:val="es-ES_tradnl" w:eastAsia="es-ES"/>
        </w:rPr>
        <w:t>3863</w:t>
      </w:r>
      <w:r w:rsidRPr="00CC493D">
        <w:rPr>
          <w:rFonts w:ascii="Palatino Linotype" w:hAnsi="Palatino Linotype" w:cs="Arial"/>
          <w:b/>
          <w:bCs/>
          <w:lang w:val="es-ES_tradnl" w:eastAsia="es-ES"/>
        </w:rPr>
        <w:t xml:space="preserve">/INFOEM/IP/RR/2020 </w:t>
      </w:r>
      <w:r w:rsidRPr="00CC493D">
        <w:rPr>
          <w:rFonts w:ascii="Palatino Linotype" w:eastAsiaTheme="minorEastAsia" w:hAnsi="Palatino Linotype" w:cs="Arial"/>
          <w:bCs/>
          <w:lang w:val="es-ES_tradnl" w:eastAsia="es-MX"/>
        </w:rPr>
        <w:t xml:space="preserve">en términos del </w:t>
      </w:r>
      <w:r w:rsidRPr="00CC493D">
        <w:rPr>
          <w:rFonts w:ascii="Palatino Linotype" w:eastAsiaTheme="minorEastAsia" w:hAnsi="Palatino Linotype" w:cs="Arial"/>
          <w:b/>
          <w:bCs/>
          <w:lang w:val="es-ES_tradnl" w:eastAsia="es-MX"/>
        </w:rPr>
        <w:t xml:space="preserve">Considerando CUARTO </w:t>
      </w:r>
      <w:r w:rsidRPr="00CC493D">
        <w:rPr>
          <w:rFonts w:ascii="Palatino Linotype" w:eastAsiaTheme="minorEastAsia" w:hAnsi="Palatino Linotype" w:cs="Arial"/>
          <w:bCs/>
          <w:lang w:val="es-ES_tradnl" w:eastAsia="es-MX"/>
        </w:rPr>
        <w:t>de la presente resolución.</w:t>
      </w:r>
    </w:p>
    <w:p w14:paraId="70687502" w14:textId="77777777" w:rsidR="00EB2DEA" w:rsidRPr="00CC493D" w:rsidRDefault="00EB2DEA" w:rsidP="00EB2DEA">
      <w:pPr>
        <w:spacing w:line="360" w:lineRule="auto"/>
        <w:jc w:val="both"/>
        <w:rPr>
          <w:rFonts w:ascii="Palatino Linotype" w:eastAsiaTheme="minorEastAsia" w:hAnsi="Palatino Linotype" w:cs="Arial"/>
          <w:bCs/>
          <w:lang w:val="es-ES_tradnl" w:eastAsia="es-MX"/>
        </w:rPr>
      </w:pPr>
    </w:p>
    <w:p w14:paraId="64C576CB" w14:textId="46FF1545" w:rsidR="00D13F1B" w:rsidRPr="00CC493D" w:rsidRDefault="00EB2DEA" w:rsidP="00164CD4">
      <w:pPr>
        <w:spacing w:line="360" w:lineRule="auto"/>
        <w:jc w:val="both"/>
        <w:rPr>
          <w:rFonts w:ascii="Palatino Linotype" w:eastAsia="Calibri" w:hAnsi="Palatino Linotype" w:cs="Arial"/>
          <w:b/>
          <w:lang w:val="es-ES" w:eastAsia="es-ES"/>
        </w:rPr>
      </w:pPr>
      <w:r w:rsidRPr="00CC493D">
        <w:rPr>
          <w:rFonts w:ascii="Palatino Linotype" w:eastAsia="Calibri" w:hAnsi="Palatino Linotype" w:cs="Arial"/>
          <w:b/>
          <w:bCs/>
          <w:lang w:val="es-ES" w:eastAsia="es-ES"/>
        </w:rPr>
        <w:t xml:space="preserve">SEGUNDO. </w:t>
      </w:r>
      <w:r w:rsidRPr="00CC493D">
        <w:rPr>
          <w:rFonts w:ascii="Palatino Linotype" w:eastAsia="Calibri" w:hAnsi="Palatino Linotype" w:cs="Arial"/>
          <w:lang w:val="es-ES" w:eastAsia="es-ES"/>
        </w:rPr>
        <w:t xml:space="preserve">Se </w:t>
      </w:r>
      <w:r w:rsidRPr="00CC493D">
        <w:rPr>
          <w:rFonts w:ascii="Palatino Linotype" w:eastAsia="Calibri" w:hAnsi="Palatino Linotype" w:cs="Arial"/>
          <w:b/>
          <w:lang w:val="es-ES" w:eastAsia="es-ES"/>
        </w:rPr>
        <w:t xml:space="preserve">ORDENA </w:t>
      </w:r>
      <w:r w:rsidRPr="00CC493D">
        <w:rPr>
          <w:rFonts w:ascii="Palatino Linotype" w:eastAsia="Calibri" w:hAnsi="Palatino Linotype" w:cs="Arial"/>
          <w:lang w:val="es-ES" w:eastAsia="es-ES"/>
        </w:rPr>
        <w:t xml:space="preserve">al </w:t>
      </w:r>
      <w:r w:rsidRPr="00CC493D">
        <w:rPr>
          <w:rFonts w:ascii="Palatino Linotype" w:eastAsia="Calibri" w:hAnsi="Palatino Linotype" w:cs="Arial"/>
          <w:b/>
          <w:bCs/>
          <w:lang w:val="es-ES_tradnl" w:eastAsia="es-ES"/>
        </w:rPr>
        <w:t xml:space="preserve">Ayuntamiento de </w:t>
      </w:r>
      <w:r w:rsidR="00D13F1B" w:rsidRPr="00CC493D">
        <w:rPr>
          <w:rFonts w:ascii="Palatino Linotype" w:eastAsia="Calibri" w:hAnsi="Palatino Linotype" w:cs="Arial"/>
          <w:b/>
          <w:bCs/>
          <w:lang w:val="es-ES_tradnl" w:eastAsia="es-ES"/>
        </w:rPr>
        <w:t xml:space="preserve">Teoloyucan </w:t>
      </w:r>
      <w:r w:rsidRPr="00CC493D">
        <w:rPr>
          <w:rFonts w:ascii="Palatino Linotype" w:eastAsia="Calibri" w:hAnsi="Palatino Linotype" w:cs="Arial"/>
          <w:lang w:val="es-ES" w:eastAsia="es-ES"/>
        </w:rPr>
        <w:t>dar atención a la solicitud de información</w:t>
      </w:r>
      <w:r w:rsidRPr="00CC493D">
        <w:t xml:space="preserve"> </w:t>
      </w:r>
      <w:r w:rsidRPr="00CC493D">
        <w:rPr>
          <w:rFonts w:ascii="Palatino Linotype" w:eastAsia="Calibri" w:hAnsi="Palatino Linotype" w:cs="Arial"/>
          <w:b/>
          <w:lang w:val="es-ES" w:eastAsia="es-ES"/>
        </w:rPr>
        <w:t>00</w:t>
      </w:r>
      <w:r w:rsidR="00D13F1B" w:rsidRPr="00CC493D">
        <w:rPr>
          <w:rFonts w:ascii="Palatino Linotype" w:eastAsia="Calibri" w:hAnsi="Palatino Linotype" w:cs="Arial"/>
          <w:b/>
          <w:lang w:val="es-ES" w:eastAsia="es-ES"/>
        </w:rPr>
        <w:t>163</w:t>
      </w:r>
      <w:r w:rsidRPr="00CC493D">
        <w:rPr>
          <w:rFonts w:ascii="Palatino Linotype" w:eastAsia="Calibri" w:hAnsi="Palatino Linotype" w:cs="Arial"/>
          <w:b/>
          <w:lang w:val="es-ES" w:eastAsia="es-ES"/>
        </w:rPr>
        <w:t>/</w:t>
      </w:r>
      <w:r w:rsidR="00D13F1B" w:rsidRPr="00CC493D">
        <w:rPr>
          <w:rFonts w:ascii="Palatino Linotype" w:eastAsia="Calibri" w:hAnsi="Palatino Linotype" w:cs="Arial"/>
          <w:b/>
          <w:lang w:val="es-ES" w:eastAsia="es-ES"/>
        </w:rPr>
        <w:t>TEOLOYU</w:t>
      </w:r>
      <w:r w:rsidRPr="00CC493D">
        <w:rPr>
          <w:rFonts w:ascii="Palatino Linotype" w:eastAsia="Calibri" w:hAnsi="Palatino Linotype" w:cs="Arial"/>
          <w:b/>
          <w:lang w:val="es-ES" w:eastAsia="es-ES"/>
        </w:rPr>
        <w:t>/IP/2020</w:t>
      </w:r>
      <w:r w:rsidRPr="00CC493D">
        <w:rPr>
          <w:rFonts w:ascii="Verdana" w:eastAsiaTheme="minorEastAsia" w:hAnsi="Verdana"/>
          <w:b/>
          <w:bCs/>
          <w:color w:val="FF0000"/>
          <w:lang w:val="es-ES_tradnl" w:eastAsia="es-ES"/>
        </w:rPr>
        <w:t xml:space="preserve"> </w:t>
      </w:r>
      <w:r w:rsidRPr="00CC493D">
        <w:rPr>
          <w:rFonts w:ascii="Palatino Linotype" w:eastAsia="Calibri" w:hAnsi="Palatino Linotype" w:cs="Arial"/>
          <w:lang w:val="es-ES" w:eastAsia="es-ES"/>
        </w:rPr>
        <w:t xml:space="preserve">y </w:t>
      </w:r>
      <w:r w:rsidR="00D13F1B" w:rsidRPr="00CC493D">
        <w:rPr>
          <w:rFonts w:ascii="Palatino Linotype" w:eastAsia="Calibri" w:hAnsi="Palatino Linotype"/>
          <w:lang w:val="es-ES"/>
        </w:rPr>
        <w:t>e</w:t>
      </w:r>
      <w:r w:rsidR="00D13F1B" w:rsidRPr="00CC493D">
        <w:rPr>
          <w:rFonts w:ascii="Palatino Linotype" w:hAnsi="Palatino Linotype"/>
          <w:lang w:val="es-ES"/>
        </w:rPr>
        <w:t xml:space="preserve">ntregar vía </w:t>
      </w:r>
      <w:r w:rsidR="00D13F1B" w:rsidRPr="00CC493D">
        <w:rPr>
          <w:rFonts w:ascii="Palatino Linotype" w:hAnsi="Palatino Linotype"/>
        </w:rPr>
        <w:t>Sistema de Acceso a Información Mexiquense (SAIMEX)</w:t>
      </w:r>
      <w:r w:rsidR="00D13F1B" w:rsidRPr="00CC493D">
        <w:rPr>
          <w:rFonts w:ascii="Palatino Linotype" w:hAnsi="Palatino Linotype"/>
          <w:lang w:val="es-ES"/>
        </w:rPr>
        <w:t xml:space="preserve">, en versión pública,  la </w:t>
      </w:r>
      <w:r w:rsidR="00D13F1B" w:rsidRPr="00CC493D">
        <w:rPr>
          <w:rFonts w:ascii="Palatino Linotype" w:eastAsia="Calibri" w:hAnsi="Palatino Linotype"/>
          <w:lang w:val="es-ES"/>
        </w:rPr>
        <w:t>siguiente información:</w:t>
      </w:r>
    </w:p>
    <w:p w14:paraId="50834502" w14:textId="77777777" w:rsidR="00164CD4" w:rsidRPr="00CC493D" w:rsidRDefault="00D13F1B" w:rsidP="00164CD4">
      <w:pPr>
        <w:pStyle w:val="Prrafodelista"/>
        <w:numPr>
          <w:ilvl w:val="0"/>
          <w:numId w:val="24"/>
        </w:numPr>
        <w:spacing w:before="240" w:after="240" w:line="360" w:lineRule="auto"/>
        <w:ind w:left="284"/>
        <w:jc w:val="both"/>
        <w:rPr>
          <w:rFonts w:ascii="Palatino Linotype" w:hAnsi="Palatino Linotype"/>
          <w:b/>
          <w:i/>
        </w:rPr>
      </w:pPr>
      <w:r w:rsidRPr="00CC493D">
        <w:rPr>
          <w:rFonts w:ascii="Palatino Linotype" w:eastAsia="MS Mincho" w:hAnsi="Palatino Linotype" w:cs="Arial"/>
          <w:b/>
          <w:color w:val="000000"/>
          <w:lang w:val="es-MX"/>
        </w:rPr>
        <w:t>Documento donde conste el</w:t>
      </w:r>
      <w:r w:rsidRPr="00CC493D">
        <w:rPr>
          <w:rFonts w:ascii="Palatino Linotype" w:hAnsi="Palatino Linotype"/>
          <w:b/>
          <w:color w:val="000000"/>
        </w:rPr>
        <w:t xml:space="preserve"> informe detallado y por escrito por parte del Presidente(A) de la Comision Edilicia</w:t>
      </w:r>
      <w:r w:rsidR="00164CD4" w:rsidRPr="00CC493D">
        <w:rPr>
          <w:rFonts w:ascii="Palatino Linotype" w:hAnsi="Palatino Linotype"/>
          <w:b/>
          <w:color w:val="000000"/>
        </w:rPr>
        <w:t xml:space="preserve"> transitoria de atenció</w:t>
      </w:r>
      <w:r w:rsidRPr="00CC493D">
        <w:rPr>
          <w:rFonts w:ascii="Palatino Linotype" w:hAnsi="Palatino Linotype"/>
          <w:b/>
          <w:color w:val="000000"/>
        </w:rPr>
        <w:t xml:space="preserve">n y seguimiento de las acciones, insumos y casos del covid 19 en el Municipio de Teoloyucan respecto a: </w:t>
      </w:r>
    </w:p>
    <w:p w14:paraId="7F83DC5A" w14:textId="77777777" w:rsidR="00164CD4" w:rsidRPr="00CC493D" w:rsidRDefault="00D13F1B" w:rsidP="00164CD4">
      <w:pPr>
        <w:pStyle w:val="Prrafodelista"/>
        <w:spacing w:before="240" w:after="240" w:line="360" w:lineRule="auto"/>
        <w:jc w:val="both"/>
        <w:rPr>
          <w:rFonts w:ascii="Palatino Linotype" w:hAnsi="Palatino Linotype"/>
          <w:b/>
          <w:color w:val="000000"/>
        </w:rPr>
      </w:pPr>
      <w:r w:rsidRPr="00CC493D">
        <w:rPr>
          <w:rFonts w:ascii="Palatino Linotype" w:hAnsi="Palatino Linotype"/>
          <w:b/>
          <w:color w:val="000000"/>
        </w:rPr>
        <w:t xml:space="preserve">1).-Todas y cada una de las acciones que se implementaron. </w:t>
      </w:r>
    </w:p>
    <w:p w14:paraId="7D583AD0" w14:textId="77777777" w:rsidR="00164CD4" w:rsidRPr="00CC493D" w:rsidRDefault="00D13F1B" w:rsidP="00164CD4">
      <w:pPr>
        <w:pStyle w:val="Prrafodelista"/>
        <w:spacing w:before="240" w:after="240" w:line="360" w:lineRule="auto"/>
        <w:jc w:val="both"/>
        <w:rPr>
          <w:rFonts w:ascii="Palatino Linotype" w:hAnsi="Palatino Linotype"/>
          <w:b/>
          <w:color w:val="000000"/>
        </w:rPr>
      </w:pPr>
      <w:r w:rsidRPr="00CC493D">
        <w:rPr>
          <w:rFonts w:ascii="Palatino Linotype" w:hAnsi="Palatino Linotype"/>
          <w:b/>
          <w:color w:val="000000"/>
        </w:rPr>
        <w:t xml:space="preserve">2).-El presupuesto asignado respecto a todas y cada una de las acciones implementadas; y, </w:t>
      </w:r>
    </w:p>
    <w:p w14:paraId="2B17C4EF" w14:textId="3CD5452F" w:rsidR="00D13F1B" w:rsidRPr="00CC493D" w:rsidRDefault="00D13F1B" w:rsidP="00164CD4">
      <w:pPr>
        <w:pStyle w:val="Prrafodelista"/>
        <w:spacing w:before="240" w:after="240" w:line="360" w:lineRule="auto"/>
        <w:jc w:val="both"/>
        <w:rPr>
          <w:rFonts w:ascii="Palatino Linotype" w:hAnsi="Palatino Linotype"/>
          <w:b/>
          <w:i/>
        </w:rPr>
      </w:pPr>
      <w:r w:rsidRPr="00CC493D">
        <w:rPr>
          <w:rFonts w:ascii="Palatino Linotype" w:hAnsi="Palatino Linotype"/>
          <w:b/>
          <w:color w:val="000000"/>
        </w:rPr>
        <w:t>3).-La comprobacion de gastos y los comprobantes respectivos de todas y cada una de las acciones implementadas por el periodo comprendido del día de creaci</w:t>
      </w:r>
      <w:r w:rsidR="00BF6B9A" w:rsidRPr="00CC493D">
        <w:rPr>
          <w:rFonts w:ascii="Palatino Linotype" w:hAnsi="Palatino Linotype"/>
          <w:b/>
          <w:color w:val="000000"/>
        </w:rPr>
        <w:t>ó</w:t>
      </w:r>
      <w:r w:rsidRPr="00CC493D">
        <w:rPr>
          <w:rFonts w:ascii="Palatino Linotype" w:hAnsi="Palatino Linotype"/>
          <w:b/>
          <w:color w:val="000000"/>
        </w:rPr>
        <w:t>n de la comisi</w:t>
      </w:r>
      <w:r w:rsidR="00BF6B9A" w:rsidRPr="00CC493D">
        <w:rPr>
          <w:rFonts w:ascii="Palatino Linotype" w:hAnsi="Palatino Linotype"/>
          <w:b/>
          <w:color w:val="000000"/>
        </w:rPr>
        <w:t>ó</w:t>
      </w:r>
      <w:r w:rsidRPr="00CC493D">
        <w:rPr>
          <w:rFonts w:ascii="Palatino Linotype" w:hAnsi="Palatino Linotype"/>
          <w:b/>
          <w:color w:val="000000"/>
        </w:rPr>
        <w:t>n edilicia en cita hasta el d</w:t>
      </w:r>
      <w:r w:rsidR="00BF6B9A" w:rsidRPr="00CC493D">
        <w:rPr>
          <w:rFonts w:ascii="Palatino Linotype" w:hAnsi="Palatino Linotype"/>
          <w:b/>
          <w:color w:val="000000"/>
        </w:rPr>
        <w:t>í</w:t>
      </w:r>
      <w:r w:rsidRPr="00CC493D">
        <w:rPr>
          <w:rFonts w:ascii="Palatino Linotype" w:hAnsi="Palatino Linotype"/>
          <w:b/>
          <w:color w:val="000000"/>
        </w:rPr>
        <w:t>a treinta y uno de julio de dos mil veinte.</w:t>
      </w:r>
    </w:p>
    <w:p w14:paraId="49EAD167" w14:textId="77777777" w:rsidR="00D13F1B" w:rsidRPr="00CC493D" w:rsidRDefault="00D13F1B" w:rsidP="00D13F1B">
      <w:pPr>
        <w:pStyle w:val="Textoindependiente"/>
        <w:spacing w:line="360" w:lineRule="auto"/>
        <w:rPr>
          <w:rStyle w:val="Ttulo2Car"/>
          <w:rFonts w:ascii="Palatino Linotype" w:eastAsiaTheme="minorEastAsia" w:hAnsi="Palatino Linotype" w:cs="Arial"/>
          <w:b/>
          <w:szCs w:val="24"/>
        </w:rPr>
      </w:pPr>
      <w:r w:rsidRPr="00CC493D">
        <w:rPr>
          <w:rFonts w:ascii="Palatino Linotype" w:eastAsia="Calibri" w:hAnsi="Palatino Linotype"/>
        </w:rPr>
        <w:t xml:space="preserve">Para efectos de lo anterior, se deberá emitir el Acuerdo del Comité de Transparencia en términos de los artículos 49, fracción VIII y 132, fracción II de la Ley de </w:t>
      </w:r>
      <w:r w:rsidRPr="00CC493D">
        <w:rPr>
          <w:rFonts w:ascii="Palatino Linotype" w:eastAsia="Calibri" w:hAnsi="Palatino Linotype"/>
        </w:rPr>
        <w:lastRenderedPageBreak/>
        <w:t>Transparencia y Acceso a la Información Pública del Estado de México y Municipios, en el que funde y motive las razones sobre los datos que se supriman o eliminen dentro del soporte documental respectivo objeto de las versiones públicas que se formulen</w:t>
      </w:r>
      <w:r w:rsidRPr="00CC493D">
        <w:rPr>
          <w:rFonts w:ascii="Palatino Linotype" w:eastAsia="Calibri" w:hAnsi="Palatino Linotype"/>
          <w:b/>
        </w:rPr>
        <w:t xml:space="preserve"> </w:t>
      </w:r>
      <w:r w:rsidRPr="00CC493D">
        <w:rPr>
          <w:rFonts w:ascii="Palatino Linotype" w:eastAsia="Calibri" w:hAnsi="Palatino Linotype"/>
        </w:rPr>
        <w:t>y se pongan a disposición del</w:t>
      </w:r>
      <w:r w:rsidRPr="00CC493D">
        <w:rPr>
          <w:rFonts w:ascii="Palatino Linotype" w:eastAsia="Calibri" w:hAnsi="Palatino Linotype"/>
          <w:b/>
        </w:rPr>
        <w:t xml:space="preserve"> RECURRENTE.</w:t>
      </w:r>
    </w:p>
    <w:p w14:paraId="11872E3F" w14:textId="77777777" w:rsidR="00EB2DEA" w:rsidRPr="00CC493D" w:rsidRDefault="00EB2DEA" w:rsidP="00EB2DEA">
      <w:pPr>
        <w:spacing w:line="360" w:lineRule="auto"/>
        <w:jc w:val="both"/>
        <w:rPr>
          <w:rFonts w:ascii="Palatino Linotype" w:eastAsia="Calibri" w:hAnsi="Palatino Linotype" w:cs="Arial"/>
          <w:lang w:val="es-MX" w:eastAsia="es-ES"/>
        </w:rPr>
      </w:pPr>
    </w:p>
    <w:p w14:paraId="0A05DDAA" w14:textId="77777777" w:rsidR="00EB2DEA" w:rsidRPr="00CC493D" w:rsidRDefault="00EB2DEA" w:rsidP="00EB2DEA">
      <w:pPr>
        <w:tabs>
          <w:tab w:val="left" w:pos="8080"/>
        </w:tabs>
        <w:spacing w:line="360" w:lineRule="auto"/>
        <w:ind w:right="49"/>
        <w:contextualSpacing/>
        <w:jc w:val="both"/>
        <w:rPr>
          <w:rFonts w:ascii="Palatino Linotype" w:eastAsia="Palatino Linotype" w:hAnsi="Palatino Linotype" w:cs="Palatino Linotype"/>
          <w:b/>
          <w:lang w:val="es-ES_tradnl" w:eastAsia="es-ES"/>
        </w:rPr>
      </w:pPr>
      <w:r w:rsidRPr="00CC493D">
        <w:rPr>
          <w:rFonts w:ascii="Palatino Linotype" w:eastAsia="Palatino Linotype" w:hAnsi="Palatino Linotype" w:cs="Palatino Linotype"/>
          <w:b/>
          <w:lang w:val="es-ES_tradnl" w:eastAsia="es-ES"/>
        </w:rPr>
        <w:t xml:space="preserve">TERCERO. Notifíquese </w:t>
      </w:r>
      <w:r w:rsidRPr="00CC493D">
        <w:rPr>
          <w:rFonts w:ascii="Palatino Linotype" w:eastAsia="Palatino Linotype" w:hAnsi="Palatino Linotype" w:cs="Palatino Linotype"/>
          <w:lang w:val="es-ES_tradnl" w:eastAsia="es-ES"/>
        </w:rPr>
        <w:t xml:space="preserve">al Titular de la Unidad de Transparencia del </w:t>
      </w:r>
      <w:r w:rsidRPr="00CC493D">
        <w:rPr>
          <w:rFonts w:ascii="Palatino Linotype" w:eastAsia="Palatino Linotype" w:hAnsi="Palatino Linotype" w:cs="Palatino Linotype"/>
          <w:b/>
          <w:lang w:val="es-ES_tradnl" w:eastAsia="es-ES"/>
        </w:rPr>
        <w:t>SUJETO OBLIGADO</w:t>
      </w:r>
      <w:r w:rsidRPr="00CC493D">
        <w:rPr>
          <w:rFonts w:ascii="Palatino Linotype" w:eastAsia="Palatino Linotype" w:hAnsi="Palatino Linotype" w:cs="Palatino Linotype"/>
          <w:lang w:val="es-ES_tradnl" w:eastAsia="es-ES"/>
        </w:rPr>
        <w:t xml:space="preserve">, para que conforme a los artículos 186 último párrafo, 189 párrafo segundo y 199 de la Ley de Transparencia y Acceso a la Información Pública del Estado de México y Municipios, </w:t>
      </w:r>
      <w:r w:rsidRPr="00CC493D">
        <w:rPr>
          <w:rFonts w:ascii="Palatino Linotype" w:eastAsiaTheme="minorEastAsia" w:hAnsi="Palatino Linotype"/>
          <w:color w:val="222222"/>
          <w:shd w:val="clear" w:color="auto" w:fill="FFFFFF"/>
          <w:lang w:val="es-ES_tradnl" w:eastAsia="es-ES"/>
        </w:rPr>
        <w:t>vigente, dé cumplimiento a lo ordenado dentro del plazo de diez días hábiles, debiendo rendir a este Instituto el informe de cumplimiento de la resolución en un plazo de tres días hábiles posteriores.</w:t>
      </w:r>
    </w:p>
    <w:p w14:paraId="1E156DC5" w14:textId="77777777" w:rsidR="00EB2DEA" w:rsidRPr="00CC493D" w:rsidRDefault="00EB2DEA" w:rsidP="00EB2DEA">
      <w:pPr>
        <w:shd w:val="clear" w:color="auto" w:fill="FFFFFF"/>
        <w:spacing w:line="360" w:lineRule="auto"/>
        <w:jc w:val="both"/>
        <w:rPr>
          <w:rFonts w:ascii="Palatino Linotype" w:hAnsi="Palatino Linotype" w:cs="Arial"/>
          <w:b/>
          <w:lang w:val="es-ES_tradnl" w:eastAsia="es-ES"/>
        </w:rPr>
      </w:pPr>
    </w:p>
    <w:p w14:paraId="3720DC15" w14:textId="77777777" w:rsidR="00EB2DEA" w:rsidRPr="00CC493D" w:rsidRDefault="00EB2DEA" w:rsidP="00EB2DEA">
      <w:pPr>
        <w:shd w:val="clear" w:color="auto" w:fill="FFFFFF"/>
        <w:spacing w:line="360" w:lineRule="auto"/>
        <w:jc w:val="both"/>
        <w:rPr>
          <w:rFonts w:ascii="Palatino Linotype" w:eastAsia="MS Mincho" w:hAnsi="Palatino Linotype"/>
          <w:lang w:val="es-ES_tradnl" w:eastAsia="es-ES"/>
        </w:rPr>
      </w:pPr>
      <w:r w:rsidRPr="00CC493D">
        <w:rPr>
          <w:rFonts w:ascii="Palatino Linotype" w:hAnsi="Palatino Linotype" w:cs="Arial"/>
          <w:b/>
          <w:lang w:val="es-ES_tradnl" w:eastAsia="es-ES"/>
        </w:rPr>
        <w:t xml:space="preserve">CUARTO. </w:t>
      </w:r>
      <w:r w:rsidRPr="00CC493D">
        <w:rPr>
          <w:rFonts w:ascii="Palatino Linotype" w:hAnsi="Palatino Linotype"/>
          <w:b/>
          <w:bCs/>
          <w:color w:val="222222"/>
          <w:lang w:val="es-ES" w:eastAsia="es-ES"/>
        </w:rPr>
        <w:t xml:space="preserve">Notifíquese </w:t>
      </w:r>
      <w:r w:rsidRPr="00CC493D">
        <w:rPr>
          <w:rFonts w:ascii="Palatino Linotype" w:hAnsi="Palatino Linotype"/>
          <w:bCs/>
          <w:color w:val="222222"/>
          <w:lang w:val="es-ES" w:eastAsia="es-ES"/>
        </w:rPr>
        <w:t>a</w:t>
      </w:r>
      <w:r w:rsidRPr="00CC493D">
        <w:rPr>
          <w:rFonts w:ascii="Palatino Linotype" w:eastAsiaTheme="minorEastAsia" w:hAnsi="Palatino Linotype"/>
          <w:lang w:val="es-ES_tradnl" w:eastAsia="es-ES"/>
        </w:rPr>
        <w:t xml:space="preserve"> </w:t>
      </w:r>
      <w:r w:rsidRPr="00CC493D">
        <w:rPr>
          <w:rFonts w:ascii="Palatino Linotype" w:eastAsiaTheme="minorEastAsia" w:hAnsi="Palatino Linotype"/>
          <w:b/>
          <w:lang w:val="es-ES_tradnl" w:eastAsia="es-ES"/>
        </w:rPr>
        <w:t xml:space="preserve">EL RECURRENTE </w:t>
      </w:r>
      <w:r w:rsidRPr="00CC493D">
        <w:rPr>
          <w:rFonts w:ascii="Palatino Linotype" w:eastAsiaTheme="minorEastAsia" w:hAnsi="Palatino Linotype"/>
          <w:lang w:val="es-ES_tradnl" w:eastAsia="es-ES"/>
        </w:rPr>
        <w:t>la presente resolución</w:t>
      </w:r>
      <w:r w:rsidRPr="00CC493D">
        <w:rPr>
          <w:rFonts w:ascii="Palatino Linotype" w:eastAsia="MS Mincho" w:hAnsi="Palatino Linotype"/>
          <w:lang w:val="es-ES_tradnl" w:eastAsia="es-ES"/>
        </w:rPr>
        <w:t>.</w:t>
      </w:r>
    </w:p>
    <w:p w14:paraId="02A7F058" w14:textId="77777777" w:rsidR="00EB2DEA" w:rsidRPr="00CC493D" w:rsidRDefault="00EB2DEA" w:rsidP="00EB2DEA">
      <w:pPr>
        <w:shd w:val="clear" w:color="auto" w:fill="FFFFFF"/>
        <w:spacing w:line="360" w:lineRule="auto"/>
        <w:jc w:val="both"/>
        <w:rPr>
          <w:rFonts w:ascii="Palatino Linotype" w:eastAsia="MS Mincho" w:hAnsi="Palatino Linotype"/>
          <w:lang w:val="es-ES_tradnl" w:eastAsia="es-ES"/>
        </w:rPr>
      </w:pPr>
    </w:p>
    <w:p w14:paraId="7FBC03DB" w14:textId="77777777" w:rsidR="00EB2DEA" w:rsidRPr="00CC493D" w:rsidRDefault="00EB2DEA" w:rsidP="00EB2DEA">
      <w:pPr>
        <w:shd w:val="clear" w:color="auto" w:fill="FFFFFF"/>
        <w:spacing w:line="360" w:lineRule="auto"/>
        <w:jc w:val="both"/>
        <w:rPr>
          <w:rFonts w:ascii="Palatino Linotype" w:eastAsia="MS Mincho" w:hAnsi="Palatino Linotype"/>
          <w:lang w:val="es-ES" w:eastAsia="es-ES"/>
        </w:rPr>
      </w:pPr>
      <w:r w:rsidRPr="00CC493D">
        <w:rPr>
          <w:rFonts w:ascii="Palatino Linotype" w:eastAsia="MS Mincho" w:hAnsi="Palatino Linotype"/>
          <w:b/>
          <w:lang w:eastAsia="es-ES"/>
        </w:rPr>
        <w:t>QUINTO.</w:t>
      </w:r>
      <w:r w:rsidRPr="00CC493D">
        <w:rPr>
          <w:rFonts w:ascii="Palatino Linotype" w:eastAsia="MS Mincho" w:hAnsi="Palatino Linotype"/>
          <w:lang w:eastAsia="es-ES"/>
        </w:rPr>
        <w:t xml:space="preserve"> </w:t>
      </w:r>
      <w:r w:rsidRPr="00CC493D">
        <w:rPr>
          <w:rFonts w:ascii="Palatino Linotype" w:eastAsia="MS Mincho" w:hAnsi="Palatino Linotype"/>
          <w:lang w:val="es-ES" w:eastAsia="es-ES"/>
        </w:rPr>
        <w:t xml:space="preserve">Se hace del conocimiento de </w:t>
      </w:r>
      <w:r w:rsidRPr="00CC493D">
        <w:rPr>
          <w:rFonts w:ascii="Palatino Linotype" w:eastAsiaTheme="minorEastAsia" w:hAnsi="Palatino Linotype"/>
          <w:b/>
          <w:lang w:val="es-ES_tradnl" w:eastAsia="es-ES"/>
        </w:rPr>
        <w:t xml:space="preserve">EL RECURRENTE  </w:t>
      </w:r>
      <w:r w:rsidRPr="00CC493D">
        <w:rPr>
          <w:rFonts w:ascii="Palatino Linotype" w:eastAsia="MS Mincho" w:hAnsi="Palatino Linotype"/>
          <w:lang w:val="es-ES" w:eastAsia="es-ES"/>
        </w:rPr>
        <w:t>que, de conformidad con lo establecido en el artículo 196 de la Ley de Transparencia y Acceso a la Información Pública del Estado de México y Municipios, en caso de que considere que la resolución le cause algún perjuicio podrá impugnarla </w:t>
      </w:r>
      <w:r w:rsidRPr="00CC493D">
        <w:rPr>
          <w:rFonts w:ascii="Palatino Linotype" w:eastAsia="MS Mincho" w:hAnsi="Palatino Linotype"/>
          <w:bCs/>
          <w:lang w:val="es-ES" w:eastAsia="es-ES"/>
        </w:rPr>
        <w:t>vía juicio de amparo</w:t>
      </w:r>
      <w:r w:rsidRPr="00CC493D">
        <w:rPr>
          <w:rFonts w:ascii="Palatino Linotype" w:eastAsia="MS Mincho" w:hAnsi="Palatino Linotype"/>
          <w:lang w:val="es-ES" w:eastAsia="es-ES"/>
        </w:rPr>
        <w:t> en los términos de las leyes aplicables.</w:t>
      </w:r>
    </w:p>
    <w:p w14:paraId="6AECE8FC" w14:textId="77777777" w:rsidR="00EB2DEA" w:rsidRPr="00CC493D" w:rsidRDefault="00EB2DEA" w:rsidP="00EB2DEA">
      <w:pPr>
        <w:shd w:val="clear" w:color="auto" w:fill="FFFFFF"/>
        <w:spacing w:line="360" w:lineRule="auto"/>
        <w:jc w:val="both"/>
        <w:rPr>
          <w:rFonts w:ascii="Palatino Linotype" w:eastAsia="MS Mincho" w:hAnsi="Palatino Linotype"/>
          <w:lang w:val="es-ES" w:eastAsia="es-ES"/>
        </w:rPr>
      </w:pPr>
    </w:p>
    <w:p w14:paraId="1DB30934" w14:textId="77777777" w:rsidR="00EB2DEA" w:rsidRPr="00CC493D" w:rsidRDefault="00EB2DEA" w:rsidP="00EB2DEA">
      <w:pPr>
        <w:shd w:val="clear" w:color="auto" w:fill="FFFFFF"/>
        <w:spacing w:line="360" w:lineRule="auto"/>
        <w:jc w:val="both"/>
        <w:rPr>
          <w:rFonts w:ascii="Palatino Linotype" w:eastAsia="MS Mincho" w:hAnsi="Palatino Linotype"/>
          <w:lang w:eastAsia="es-ES"/>
        </w:rPr>
      </w:pPr>
      <w:r w:rsidRPr="00CC493D">
        <w:rPr>
          <w:rFonts w:ascii="Palatino Linotype" w:eastAsia="MS Mincho" w:hAnsi="Palatino Linotype"/>
          <w:b/>
          <w:bCs/>
          <w:lang w:eastAsia="es-ES"/>
        </w:rPr>
        <w:t>SEXTO.</w:t>
      </w:r>
      <w:r w:rsidRPr="00CC493D">
        <w:rPr>
          <w:rFonts w:ascii="Palatino Linotype" w:eastAsia="MS Mincho" w:hAnsi="Palatino Linotype"/>
          <w:bCs/>
          <w:lang w:eastAsia="es-ES"/>
        </w:rPr>
        <w:t xml:space="preserve"> Hágase del conocimiento</w:t>
      </w:r>
      <w:r w:rsidRPr="00CC493D">
        <w:rPr>
          <w:rFonts w:ascii="Palatino Linotype" w:eastAsia="MS Mincho" w:hAnsi="Palatino Linotype"/>
          <w:b/>
          <w:bCs/>
          <w:lang w:eastAsia="es-ES"/>
        </w:rPr>
        <w:t> </w:t>
      </w:r>
      <w:r w:rsidRPr="00CC493D">
        <w:rPr>
          <w:rFonts w:ascii="Palatino Linotype" w:eastAsia="MS Mincho" w:hAnsi="Palatino Linotype"/>
          <w:lang w:eastAsia="es-ES"/>
        </w:rPr>
        <w:t>del </w:t>
      </w:r>
      <w:r w:rsidRPr="00CC493D">
        <w:rPr>
          <w:rFonts w:ascii="Palatino Linotype" w:eastAsia="MS Mincho" w:hAnsi="Palatino Linotype"/>
          <w:b/>
          <w:bCs/>
          <w:lang w:eastAsia="es-ES"/>
        </w:rPr>
        <w:t>RECURRENTE </w:t>
      </w:r>
      <w:r w:rsidRPr="00CC493D">
        <w:rPr>
          <w:rFonts w:ascii="Palatino Linotype" w:eastAsia="MS Mincho" w:hAnsi="Palatino Linotype"/>
          <w:lang w:eastAsia="es-ES"/>
        </w:rPr>
        <w:t>que la respuesta que dé </w:t>
      </w:r>
      <w:r w:rsidRPr="00CC493D">
        <w:rPr>
          <w:rFonts w:ascii="Palatino Linotype" w:eastAsia="MS Mincho" w:hAnsi="Palatino Linotype"/>
          <w:b/>
          <w:bCs/>
          <w:lang w:eastAsia="es-ES"/>
        </w:rPr>
        <w:t>EL SUJETO OBLIGADO</w:t>
      </w:r>
      <w:r w:rsidRPr="00CC493D">
        <w:rPr>
          <w:rFonts w:ascii="Palatino Linotype" w:eastAsia="MS Mincho" w:hAnsi="Palatino Linotype"/>
          <w:lang w:eastAsia="es-ES"/>
        </w:rPr>
        <w:t xml:space="preserve"> derivada de la presente resolución es susceptible de ser </w:t>
      </w:r>
      <w:r w:rsidRPr="00CC493D">
        <w:rPr>
          <w:rFonts w:ascii="Palatino Linotype" w:eastAsia="MS Mincho" w:hAnsi="Palatino Linotype"/>
          <w:lang w:eastAsia="es-ES"/>
        </w:rPr>
        <w:lastRenderedPageBreak/>
        <w:t>impugnada nuevamente, mediante recurso de revisión, ante el Instituto, en términos del artículo 179, último párrafo de la Ley de Transparencia y Acceso a la Información Pública del Estado de México y Municipios.</w:t>
      </w:r>
    </w:p>
    <w:p w14:paraId="7874DAE4" w14:textId="77777777" w:rsidR="00EB2DEA" w:rsidRPr="00CC493D" w:rsidRDefault="00EB2DEA" w:rsidP="00EB2DEA">
      <w:pPr>
        <w:shd w:val="clear" w:color="auto" w:fill="FFFFFF"/>
        <w:spacing w:line="360" w:lineRule="auto"/>
        <w:jc w:val="both"/>
        <w:rPr>
          <w:rFonts w:ascii="Palatino Linotype" w:eastAsia="MS Mincho" w:hAnsi="Palatino Linotype"/>
          <w:lang w:eastAsia="es-ES"/>
        </w:rPr>
      </w:pPr>
    </w:p>
    <w:p w14:paraId="35FE5637" w14:textId="77777777" w:rsidR="00EB2DEA" w:rsidRPr="00CC493D" w:rsidRDefault="00EB2DEA" w:rsidP="00EB2DEA">
      <w:pPr>
        <w:spacing w:line="360" w:lineRule="auto"/>
        <w:jc w:val="both"/>
        <w:rPr>
          <w:rFonts w:ascii="Palatino Linotype" w:eastAsia="MS Mincho" w:hAnsi="Palatino Linotype"/>
          <w:b/>
          <w:lang w:val="es-ES_tradnl" w:eastAsia="es-ES"/>
        </w:rPr>
      </w:pPr>
      <w:r w:rsidRPr="00CC493D">
        <w:rPr>
          <w:rFonts w:ascii="Palatino Linotype" w:eastAsia="MS Mincho" w:hAnsi="Palatino Linotype"/>
          <w:b/>
          <w:lang w:val="es-ES_tradnl" w:eastAsia="es-ES"/>
        </w:rPr>
        <w:t xml:space="preserve">SÉPTIMO. </w:t>
      </w:r>
      <w:r w:rsidRPr="00CC493D">
        <w:rPr>
          <w:rFonts w:ascii="Palatino Linotype" w:eastAsia="MS Mincho" w:hAnsi="Palatino Linotype"/>
          <w:lang w:val="es-ES_tradnl" w:eastAsia="es-ES"/>
        </w:rPr>
        <w:t xml:space="preserve">Gírese oficio al Contralor Interno y Órgano de Control y Vigilancia de este Instituto para hacer de su conocimiento la presente resolución a fin de que en ejercicio de sus atribuciones y de conformidad al artículo 190 de la Ley de Transparencia y Acceso a la Información Pública del Estado de México y Municipios, determine lo conducente en términos del </w:t>
      </w:r>
      <w:r w:rsidRPr="00CC493D">
        <w:rPr>
          <w:rFonts w:ascii="Palatino Linotype" w:eastAsia="MS Mincho" w:hAnsi="Palatino Linotype"/>
          <w:b/>
          <w:lang w:val="es-ES_tradnl" w:eastAsia="es-ES"/>
        </w:rPr>
        <w:t>Considerando SEXTO.</w:t>
      </w:r>
    </w:p>
    <w:p w14:paraId="69BBD9FE" w14:textId="77777777" w:rsidR="00EB2DEA" w:rsidRPr="00CC493D" w:rsidRDefault="00EB2DEA" w:rsidP="0038276E">
      <w:pPr>
        <w:spacing w:line="360" w:lineRule="auto"/>
        <w:rPr>
          <w:rFonts w:ascii="Palatino Linotype" w:hAnsi="Palatino Linotype"/>
          <w:b/>
        </w:rPr>
      </w:pPr>
    </w:p>
    <w:p w14:paraId="58D0D471" w14:textId="77777777" w:rsidR="0038276E" w:rsidRPr="0060238D" w:rsidRDefault="0038276E" w:rsidP="0038276E">
      <w:pPr>
        <w:rPr>
          <w:rFonts w:ascii="Palatino Linotype" w:hAnsi="Palatino Linotype"/>
          <w:lang w:eastAsia="en-US"/>
        </w:rPr>
      </w:pPr>
      <w:bookmarkStart w:id="187" w:name="_Toc466371865"/>
      <w:bookmarkStart w:id="188" w:name="_Toc466377653"/>
      <w:bookmarkStart w:id="189" w:name="_Toc495427547"/>
      <w:bookmarkStart w:id="190" w:name="_Toc34157669"/>
    </w:p>
    <w:p w14:paraId="41A6FBD1" w14:textId="2D922621" w:rsidR="00CC493D" w:rsidRDefault="00CC493D" w:rsidP="00CC493D">
      <w:pPr>
        <w:pStyle w:val="Prrafodelista"/>
        <w:spacing w:line="360" w:lineRule="auto"/>
        <w:ind w:left="0"/>
        <w:jc w:val="both"/>
        <w:rPr>
          <w:rFonts w:ascii="Palatino Linotype" w:hAnsi="Palatino Linotype" w:cs="Arial"/>
          <w:color w:val="000000" w:themeColor="text1"/>
          <w:lang w:val="es-ES_tradnl" w:eastAsia="es-ES"/>
        </w:rPr>
      </w:pPr>
      <w:r>
        <w:rPr>
          <w:rFonts w:ascii="Palatino Linotype" w:hAnsi="Palatino Linotype"/>
          <w:color w:val="000000" w:themeColor="text1"/>
        </w:rPr>
        <w:t>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EN LA VIGÉSIMO CUARTA SESIÓN ORDINARIA CELEBRADA EL VEINTIOCHO (28) DE OCTUBRE DE DOS MIL VEINTE, ANTE EL SECRETARIO TÉCNICO DEL PLENO ALEXIS TAPIA RAMÍREZ.</w:t>
      </w:r>
      <w:r>
        <w:rPr>
          <w:rFonts w:ascii="Palatino Linotype" w:hAnsi="Palatino Linotype" w:cs="Arial"/>
          <w:color w:val="000000" w:themeColor="text1"/>
        </w:rPr>
        <w:t xml:space="preserve"> </w:t>
      </w:r>
    </w:p>
    <w:p w14:paraId="3E175838" w14:textId="77777777" w:rsidR="00CC493D" w:rsidRDefault="00CC493D" w:rsidP="00CC493D">
      <w:pPr>
        <w:rPr>
          <w:rFonts w:ascii="Palatino Linotype" w:hAnsi="Palatino Linotype" w:cs="Arial"/>
          <w:color w:val="000000" w:themeColor="text1"/>
        </w:rPr>
      </w:pPr>
    </w:p>
    <w:tbl>
      <w:tblPr>
        <w:tblStyle w:val="Tablaconcuadrcula1"/>
        <w:tblW w:w="907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283"/>
        <w:gridCol w:w="4537"/>
      </w:tblGrid>
      <w:tr w:rsidR="00CC493D" w14:paraId="34ECA023" w14:textId="77777777" w:rsidTr="00CC493D">
        <w:trPr>
          <w:trHeight w:val="1807"/>
        </w:trPr>
        <w:tc>
          <w:tcPr>
            <w:tcW w:w="9073" w:type="dxa"/>
            <w:gridSpan w:val="3"/>
            <w:vAlign w:val="center"/>
          </w:tcPr>
          <w:p w14:paraId="20A02746" w14:textId="77777777" w:rsidR="00CC493D" w:rsidRDefault="00CC493D">
            <w:pPr>
              <w:pStyle w:val="Prrafodelista"/>
              <w:spacing w:line="276" w:lineRule="auto"/>
              <w:ind w:left="0"/>
              <w:rPr>
                <w:rFonts w:ascii="Palatino Linotype" w:hAnsi="Palatino Linotype" w:cs="Arial"/>
                <w:color w:val="000000" w:themeColor="text1"/>
              </w:rPr>
            </w:pPr>
          </w:p>
          <w:p w14:paraId="3B0F747C" w14:textId="77777777" w:rsidR="00CC493D" w:rsidRDefault="00CC493D">
            <w:pPr>
              <w:pStyle w:val="Prrafodelista"/>
              <w:spacing w:line="276" w:lineRule="auto"/>
              <w:ind w:left="0"/>
              <w:jc w:val="center"/>
              <w:rPr>
                <w:rFonts w:ascii="Palatino Linotype" w:hAnsi="Palatino Linotype" w:cs="Arial"/>
                <w:color w:val="000000" w:themeColor="text1"/>
              </w:rPr>
            </w:pPr>
          </w:p>
          <w:p w14:paraId="5AF47A88" w14:textId="77777777" w:rsidR="00CC493D" w:rsidRDefault="00CC493D">
            <w:pPr>
              <w:spacing w:line="276" w:lineRule="auto"/>
              <w:jc w:val="center"/>
              <w:rPr>
                <w:rFonts w:ascii="Palatino Linotype" w:hAnsi="Palatino Linotype"/>
                <w:b/>
                <w:color w:val="000000" w:themeColor="text1"/>
              </w:rPr>
            </w:pPr>
            <w:r>
              <w:rPr>
                <w:rFonts w:ascii="Palatino Linotype" w:hAnsi="Palatino Linotype"/>
                <w:b/>
                <w:color w:val="000000" w:themeColor="text1"/>
              </w:rPr>
              <w:t>Zulema Martínez Sánchez</w:t>
            </w:r>
          </w:p>
          <w:p w14:paraId="700DAA2A" w14:textId="77777777" w:rsidR="00CC493D" w:rsidRDefault="00CC493D">
            <w:pPr>
              <w:spacing w:line="276" w:lineRule="auto"/>
              <w:jc w:val="center"/>
              <w:rPr>
                <w:rFonts w:ascii="Palatino Linotype" w:hAnsi="Palatino Linotype" w:cstheme="minorBidi"/>
                <w:color w:val="000000" w:themeColor="text1"/>
              </w:rPr>
            </w:pPr>
            <w:r>
              <w:rPr>
                <w:rFonts w:ascii="Palatino Linotype" w:hAnsi="Palatino Linotype"/>
                <w:color w:val="000000" w:themeColor="text1"/>
              </w:rPr>
              <w:t>Comisionada Presidenta</w:t>
            </w:r>
          </w:p>
          <w:p w14:paraId="574609A3"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(Rúbrica)</w:t>
            </w:r>
          </w:p>
        </w:tc>
      </w:tr>
      <w:tr w:rsidR="00CC493D" w14:paraId="315F2212" w14:textId="77777777" w:rsidTr="00CC493D">
        <w:trPr>
          <w:trHeight w:val="2156"/>
        </w:trPr>
        <w:tc>
          <w:tcPr>
            <w:tcW w:w="4253" w:type="dxa"/>
            <w:vAlign w:val="center"/>
          </w:tcPr>
          <w:p w14:paraId="74C82418" w14:textId="77777777" w:rsidR="00CC493D" w:rsidRDefault="00CC493D">
            <w:pPr>
              <w:spacing w:line="276" w:lineRule="auto"/>
              <w:jc w:val="center"/>
              <w:rPr>
                <w:rFonts w:ascii="Palatino Linotype" w:hAnsi="Palatino Linotype"/>
                <w:b/>
                <w:color w:val="000000" w:themeColor="text1"/>
              </w:rPr>
            </w:pPr>
          </w:p>
          <w:p w14:paraId="3D1DB490" w14:textId="77777777" w:rsidR="00CC493D" w:rsidRDefault="00CC493D">
            <w:pPr>
              <w:spacing w:line="276" w:lineRule="auto"/>
              <w:jc w:val="center"/>
              <w:rPr>
                <w:rFonts w:ascii="Palatino Linotype" w:hAnsi="Palatino Linotype"/>
                <w:b/>
                <w:color w:val="000000" w:themeColor="text1"/>
              </w:rPr>
            </w:pPr>
          </w:p>
          <w:p w14:paraId="37A4DE4A" w14:textId="77777777" w:rsidR="00CC493D" w:rsidRDefault="00CC493D">
            <w:pPr>
              <w:spacing w:line="276" w:lineRule="auto"/>
              <w:jc w:val="center"/>
              <w:rPr>
                <w:rFonts w:ascii="Palatino Linotype" w:hAnsi="Palatino Linotype"/>
                <w:b/>
                <w:color w:val="000000" w:themeColor="text1"/>
              </w:rPr>
            </w:pPr>
            <w:r>
              <w:rPr>
                <w:rFonts w:ascii="Palatino Linotype" w:hAnsi="Palatino Linotype"/>
                <w:b/>
                <w:color w:val="000000" w:themeColor="text1"/>
              </w:rPr>
              <w:t>Eva Abaid Yapur</w:t>
            </w:r>
          </w:p>
          <w:p w14:paraId="4AF09EE4"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Comisionada</w:t>
            </w:r>
          </w:p>
          <w:p w14:paraId="0C0C5AC9"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(Rúbrica)</w:t>
            </w:r>
          </w:p>
        </w:tc>
        <w:tc>
          <w:tcPr>
            <w:tcW w:w="4820" w:type="dxa"/>
            <w:gridSpan w:val="2"/>
            <w:vAlign w:val="center"/>
          </w:tcPr>
          <w:p w14:paraId="51038F36" w14:textId="77777777" w:rsidR="00CC493D" w:rsidRDefault="00CC493D">
            <w:pPr>
              <w:spacing w:line="276" w:lineRule="auto"/>
              <w:jc w:val="center"/>
              <w:rPr>
                <w:rFonts w:ascii="Palatino Linotype" w:hAnsi="Palatino Linotype"/>
                <w:b/>
                <w:color w:val="000000" w:themeColor="text1"/>
              </w:rPr>
            </w:pPr>
          </w:p>
          <w:p w14:paraId="1099DB51" w14:textId="77777777" w:rsidR="00CC493D" w:rsidRDefault="00CC493D">
            <w:pPr>
              <w:spacing w:line="276" w:lineRule="auto"/>
              <w:jc w:val="center"/>
              <w:rPr>
                <w:rFonts w:ascii="Palatino Linotype" w:hAnsi="Palatino Linotype"/>
                <w:b/>
                <w:color w:val="000000" w:themeColor="text1"/>
              </w:rPr>
            </w:pPr>
          </w:p>
          <w:p w14:paraId="797F7DF3" w14:textId="77777777" w:rsidR="00CC493D" w:rsidRDefault="00CC493D">
            <w:pPr>
              <w:spacing w:line="276" w:lineRule="auto"/>
              <w:jc w:val="center"/>
              <w:rPr>
                <w:rFonts w:ascii="Palatino Linotype" w:hAnsi="Palatino Linotype"/>
                <w:b/>
                <w:color w:val="000000" w:themeColor="text1"/>
              </w:rPr>
            </w:pPr>
            <w:r>
              <w:rPr>
                <w:rFonts w:ascii="Palatino Linotype" w:hAnsi="Palatino Linotype"/>
                <w:b/>
                <w:color w:val="000000" w:themeColor="text1"/>
              </w:rPr>
              <w:t>José Guadalupe Luna Hernández</w:t>
            </w:r>
          </w:p>
          <w:p w14:paraId="2B0FD714"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Comisionado</w:t>
            </w:r>
          </w:p>
          <w:p w14:paraId="19BAE13A"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(Rúbrica)</w:t>
            </w:r>
          </w:p>
        </w:tc>
      </w:tr>
      <w:tr w:rsidR="00CC493D" w14:paraId="23960D06" w14:textId="77777777" w:rsidTr="00CC493D">
        <w:trPr>
          <w:trHeight w:val="2244"/>
        </w:trPr>
        <w:tc>
          <w:tcPr>
            <w:tcW w:w="4536" w:type="dxa"/>
            <w:gridSpan w:val="2"/>
            <w:vAlign w:val="center"/>
          </w:tcPr>
          <w:p w14:paraId="29AAE8A1" w14:textId="77777777" w:rsidR="00CC493D" w:rsidRDefault="00CC493D">
            <w:pPr>
              <w:spacing w:line="276" w:lineRule="auto"/>
              <w:jc w:val="center"/>
              <w:rPr>
                <w:rFonts w:ascii="Palatino Linotype" w:hAnsi="Palatino Linotype"/>
                <w:b/>
                <w:color w:val="000000" w:themeColor="text1"/>
              </w:rPr>
            </w:pPr>
          </w:p>
          <w:p w14:paraId="1CAB2508" w14:textId="77777777" w:rsidR="00CC493D" w:rsidRDefault="00CC493D">
            <w:pPr>
              <w:spacing w:line="276" w:lineRule="auto"/>
              <w:jc w:val="center"/>
              <w:rPr>
                <w:rFonts w:ascii="Palatino Linotype" w:hAnsi="Palatino Linotype"/>
                <w:b/>
                <w:color w:val="000000" w:themeColor="text1"/>
              </w:rPr>
            </w:pPr>
          </w:p>
          <w:p w14:paraId="6CB874C0" w14:textId="77777777" w:rsidR="00CC493D" w:rsidRDefault="00CC493D">
            <w:pPr>
              <w:spacing w:line="276" w:lineRule="auto"/>
              <w:jc w:val="center"/>
              <w:rPr>
                <w:rFonts w:ascii="Palatino Linotype" w:hAnsi="Palatino Linotype"/>
                <w:color w:val="000000" w:themeColor="text1"/>
              </w:rPr>
            </w:pPr>
            <w:r>
              <w:rPr>
                <w:rFonts w:ascii="Palatino Linotype" w:hAnsi="Palatino Linotype"/>
                <w:b/>
                <w:color w:val="000000" w:themeColor="text1"/>
              </w:rPr>
              <w:t>Javier Martínez Cruz</w:t>
            </w:r>
            <w:r>
              <w:rPr>
                <w:rFonts w:ascii="Palatino Linotype" w:hAnsi="Palatino Linotype"/>
                <w:color w:val="000000" w:themeColor="text1"/>
              </w:rPr>
              <w:t xml:space="preserve"> </w:t>
            </w:r>
          </w:p>
          <w:p w14:paraId="7B63E993"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Comisionado</w:t>
            </w:r>
          </w:p>
          <w:p w14:paraId="4304A81C" w14:textId="77777777" w:rsidR="00CC493D" w:rsidRDefault="00CC493D">
            <w:pPr>
              <w:spacing w:line="276" w:lineRule="auto"/>
              <w:jc w:val="center"/>
              <w:rPr>
                <w:rFonts w:ascii="Palatino Linotype" w:hAnsi="Palatino Linotype"/>
                <w:b/>
                <w:color w:val="000000" w:themeColor="text1"/>
              </w:rPr>
            </w:pPr>
            <w:r>
              <w:rPr>
                <w:rFonts w:ascii="Palatino Linotype" w:hAnsi="Palatino Linotype"/>
                <w:color w:val="000000" w:themeColor="text1"/>
              </w:rPr>
              <w:t>(Rúbrica)</w:t>
            </w:r>
          </w:p>
        </w:tc>
        <w:tc>
          <w:tcPr>
            <w:tcW w:w="4537" w:type="dxa"/>
            <w:vAlign w:val="center"/>
          </w:tcPr>
          <w:p w14:paraId="24B20FD1" w14:textId="77777777" w:rsidR="00CC493D" w:rsidRDefault="00CC493D">
            <w:pPr>
              <w:spacing w:line="276" w:lineRule="auto"/>
              <w:jc w:val="center"/>
              <w:rPr>
                <w:rFonts w:ascii="Palatino Linotype" w:hAnsi="Palatino Linotype"/>
                <w:color w:val="000000" w:themeColor="text1"/>
              </w:rPr>
            </w:pPr>
          </w:p>
          <w:p w14:paraId="5E159001" w14:textId="77777777" w:rsidR="00CC493D" w:rsidRDefault="00CC493D">
            <w:pPr>
              <w:spacing w:line="276" w:lineRule="auto"/>
              <w:jc w:val="center"/>
              <w:rPr>
                <w:rFonts w:ascii="Palatino Linotype" w:hAnsi="Palatino Linotype"/>
                <w:color w:val="000000" w:themeColor="text1"/>
              </w:rPr>
            </w:pPr>
          </w:p>
          <w:p w14:paraId="7C425059" w14:textId="77777777" w:rsidR="00CC493D" w:rsidRDefault="00CC493D">
            <w:pPr>
              <w:spacing w:line="276" w:lineRule="auto"/>
              <w:jc w:val="center"/>
              <w:rPr>
                <w:rFonts w:ascii="Palatino Linotype" w:hAnsi="Palatino Linotype"/>
                <w:color w:val="000000" w:themeColor="text1"/>
              </w:rPr>
            </w:pPr>
            <w:r>
              <w:rPr>
                <w:rFonts w:ascii="Palatino Linotype" w:hAnsi="Palatino Linotype"/>
                <w:b/>
                <w:color w:val="000000" w:themeColor="text1"/>
              </w:rPr>
              <w:t>Luis Gustavo Parra Noriega</w:t>
            </w:r>
          </w:p>
          <w:p w14:paraId="17116C4E"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Comisionado</w:t>
            </w:r>
          </w:p>
          <w:p w14:paraId="1274BD7D"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(Rúbrica)</w:t>
            </w:r>
          </w:p>
        </w:tc>
      </w:tr>
      <w:tr w:rsidR="00CC493D" w14:paraId="2F11F705" w14:textId="77777777" w:rsidTr="00CC493D">
        <w:trPr>
          <w:trHeight w:val="1953"/>
        </w:trPr>
        <w:tc>
          <w:tcPr>
            <w:tcW w:w="9073" w:type="dxa"/>
            <w:gridSpan w:val="3"/>
            <w:vAlign w:val="center"/>
          </w:tcPr>
          <w:p w14:paraId="4E7E63E3" w14:textId="77777777" w:rsidR="00CC493D" w:rsidRDefault="00CC493D">
            <w:pPr>
              <w:pStyle w:val="Prrafodelista"/>
              <w:spacing w:line="276" w:lineRule="auto"/>
              <w:ind w:left="0"/>
              <w:jc w:val="center"/>
              <w:rPr>
                <w:rFonts w:ascii="Palatino Linotype" w:hAnsi="Palatino Linotype" w:cstheme="minorBidi"/>
                <w:color w:val="000000" w:themeColor="text1"/>
              </w:rPr>
            </w:pPr>
          </w:p>
          <w:p w14:paraId="61CAEAF5" w14:textId="77777777" w:rsidR="00CC493D" w:rsidRDefault="00CC493D">
            <w:pPr>
              <w:pStyle w:val="Prrafodelista"/>
              <w:spacing w:line="276" w:lineRule="auto"/>
              <w:ind w:left="0"/>
              <w:jc w:val="center"/>
              <w:rPr>
                <w:rFonts w:ascii="Palatino Linotype" w:hAnsi="Palatino Linotype"/>
                <w:color w:val="000000" w:themeColor="text1"/>
              </w:rPr>
            </w:pPr>
          </w:p>
          <w:p w14:paraId="40A49DA2" w14:textId="77777777" w:rsidR="00CC493D" w:rsidRDefault="00CC493D">
            <w:pPr>
              <w:spacing w:line="276" w:lineRule="auto"/>
              <w:jc w:val="center"/>
              <w:rPr>
                <w:rFonts w:ascii="Palatino Linotype" w:hAnsi="Palatino Linotype"/>
                <w:b/>
                <w:color w:val="000000" w:themeColor="text1"/>
              </w:rPr>
            </w:pPr>
            <w:r>
              <w:rPr>
                <w:rFonts w:ascii="Palatino Linotype" w:hAnsi="Palatino Linotype"/>
                <w:b/>
                <w:color w:val="000000" w:themeColor="text1"/>
              </w:rPr>
              <w:t>Alexis Tapia Ramírez</w:t>
            </w:r>
          </w:p>
          <w:p w14:paraId="06402786"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Secretario Técnico del Pleno</w:t>
            </w:r>
          </w:p>
          <w:p w14:paraId="6638E0B9" w14:textId="77777777" w:rsidR="00CC493D" w:rsidRDefault="00CC493D">
            <w:pPr>
              <w:spacing w:line="276" w:lineRule="auto"/>
              <w:jc w:val="center"/>
              <w:rPr>
                <w:rFonts w:ascii="Palatino Linotype" w:hAnsi="Palatino Linotype"/>
                <w:color w:val="000000" w:themeColor="text1"/>
              </w:rPr>
            </w:pPr>
            <w:r>
              <w:rPr>
                <w:rFonts w:ascii="Palatino Linotype" w:hAnsi="Palatino Linotype"/>
                <w:color w:val="000000" w:themeColor="text1"/>
              </w:rPr>
              <w:t>(Rúbrica)</w:t>
            </w:r>
          </w:p>
        </w:tc>
      </w:tr>
    </w:tbl>
    <w:p w14:paraId="5F3E3E2D" w14:textId="77777777" w:rsidR="00CC493D" w:rsidRDefault="00CC493D" w:rsidP="00CC493D">
      <w:pPr>
        <w:spacing w:before="240" w:after="240" w:line="360" w:lineRule="auto"/>
        <w:ind w:right="49"/>
        <w:jc w:val="both"/>
        <w:rPr>
          <w:rFonts w:ascii="Palatino Linotype" w:hAnsi="Palatino Linotype" w:cs="Arial"/>
          <w:color w:val="000000" w:themeColor="text1"/>
          <w:lang w:val="es-ES_tradnl" w:eastAsia="es-ES"/>
        </w:rPr>
      </w:pPr>
    </w:p>
    <w:p w14:paraId="006862A2" w14:textId="3FF4EE85" w:rsidR="0038276E" w:rsidRPr="00CC493D" w:rsidRDefault="00CC493D" w:rsidP="00CC493D">
      <w:pPr>
        <w:spacing w:before="240" w:after="240" w:line="360" w:lineRule="auto"/>
        <w:ind w:right="49"/>
        <w:jc w:val="both"/>
        <w:rPr>
          <w:rFonts w:asciiTheme="minorHAnsi" w:hAnsiTheme="minorHAnsi" w:cstheme="minorBidi"/>
        </w:rPr>
      </w:pPr>
      <w:r>
        <w:rPr>
          <w:rFonts w:ascii="Palatino Linotype" w:hAnsi="Palatino Linotype" w:cs="Arial"/>
          <w:color w:val="000000" w:themeColor="text1"/>
        </w:rPr>
        <w:t xml:space="preserve">Esta hoja corresponde a la resolución de veintiocho (28) de octubre de dos mil veinte, emitida en el recurso de revisión </w:t>
      </w:r>
      <w:r>
        <w:rPr>
          <w:rFonts w:ascii="Palatino Linotype" w:hAnsi="Palatino Linotype" w:cs="Arial"/>
          <w:b/>
          <w:bCs/>
          <w:color w:val="000000" w:themeColor="text1"/>
          <w:lang w:eastAsia="es-MX"/>
        </w:rPr>
        <w:t>03863/INFOEM/IP/RR/2020</w:t>
      </w:r>
      <w:r>
        <w:rPr>
          <w:rFonts w:ascii="Palatino Linotype" w:hAnsi="Palatino Linotype" w:cs="Arial"/>
          <w:color w:val="000000" w:themeColor="text1"/>
        </w:rPr>
        <w:t>.</w:t>
      </w:r>
    </w:p>
    <w:bookmarkEnd w:id="124"/>
    <w:bookmarkEnd w:id="125"/>
    <w:bookmarkEnd w:id="126"/>
    <w:bookmarkEnd w:id="187"/>
    <w:bookmarkEnd w:id="188"/>
    <w:bookmarkEnd w:id="189"/>
    <w:bookmarkEnd w:id="190"/>
    <w:p w14:paraId="093B9580" w14:textId="3054C63F" w:rsidR="00FD1694" w:rsidRPr="0038276E" w:rsidRDefault="00FD1694" w:rsidP="00FD1694">
      <w:pPr>
        <w:spacing w:line="360" w:lineRule="auto"/>
        <w:ind w:right="49"/>
        <w:contextualSpacing/>
        <w:jc w:val="both"/>
        <w:rPr>
          <w:rFonts w:ascii="Palatino Linotype" w:hAnsi="Palatino Linotype" w:cs="Arial"/>
          <w:color w:val="000000"/>
          <w:lang w:eastAsia="es-ES"/>
        </w:rPr>
      </w:pPr>
    </w:p>
    <w:sectPr w:rsidR="00FD1694" w:rsidRPr="0038276E" w:rsidSect="00943B9C">
      <w:headerReference w:type="even" r:id="rId19"/>
      <w:headerReference w:type="default" r:id="rId20"/>
      <w:footerReference w:type="default" r:id="rId21"/>
      <w:headerReference w:type="first" r:id="rId22"/>
      <w:footerReference w:type="first" r:id="rId23"/>
      <w:pgSz w:w="12240" w:h="15840"/>
      <w:pgMar w:top="2694" w:right="1701" w:bottom="226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5DD6EA" w14:textId="77777777" w:rsidR="00FF65E1" w:rsidRDefault="00FF65E1" w:rsidP="00587366">
      <w:r>
        <w:separator/>
      </w:r>
    </w:p>
  </w:endnote>
  <w:endnote w:type="continuationSeparator" w:id="0">
    <w:p w14:paraId="22DF744A" w14:textId="77777777" w:rsidR="00FF65E1" w:rsidRDefault="00FF65E1"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Palatino">
    <w:altName w:val="Book Antiqua"/>
    <w:charset w:val="4D"/>
    <w:family w:val="auto"/>
    <w:pitch w:val="variable"/>
    <w:sig w:usb0="A00002FF" w:usb1="7800205A" w:usb2="14600000" w:usb3="00000000" w:csb0="00000193"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1316221887"/>
      <w:docPartObj>
        <w:docPartGallery w:val="Page Numbers (Bottom of Page)"/>
        <w:docPartUnique/>
      </w:docPartObj>
    </w:sdtPr>
    <w:sdtEndPr/>
    <w:sdtContent>
      <w:sdt>
        <w:sdtPr>
          <w:rPr>
            <w:rFonts w:ascii="Palatino Linotype" w:hAnsi="Palatino Linotype"/>
            <w:sz w:val="28"/>
          </w:rPr>
          <w:id w:val="1295024492"/>
          <w:docPartObj>
            <w:docPartGallery w:val="Page Numbers (Top of Page)"/>
            <w:docPartUnique/>
          </w:docPartObj>
        </w:sdtPr>
        <w:sdtEndPr/>
        <w:sdtContent>
          <w:p w14:paraId="187818B4" w14:textId="246A4717" w:rsidR="00A0019A" w:rsidRPr="00883450" w:rsidRDefault="00A0019A">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817C7E">
              <w:rPr>
                <w:rFonts w:ascii="Palatino Linotype" w:hAnsi="Palatino Linotype"/>
                <w:b/>
                <w:bCs/>
                <w:noProof/>
                <w:sz w:val="22"/>
                <w:szCs w:val="20"/>
              </w:rPr>
              <w:t>6</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817C7E">
              <w:rPr>
                <w:rFonts w:ascii="Palatino Linotype" w:hAnsi="Palatino Linotype"/>
                <w:b/>
                <w:bCs/>
                <w:noProof/>
                <w:sz w:val="22"/>
                <w:szCs w:val="20"/>
              </w:rPr>
              <w:t>71</w:t>
            </w:r>
            <w:r w:rsidRPr="00883450">
              <w:rPr>
                <w:rFonts w:ascii="Palatino Linotype" w:hAnsi="Palatino Linotype"/>
                <w:b/>
                <w:bCs/>
                <w:sz w:val="22"/>
                <w:szCs w:val="20"/>
              </w:rPr>
              <w:fldChar w:fldCharType="end"/>
            </w:r>
          </w:p>
        </w:sdtContent>
      </w:sdt>
    </w:sdtContent>
  </w:sdt>
  <w:p w14:paraId="6243EC1B" w14:textId="77777777" w:rsidR="00A0019A" w:rsidRDefault="00A0019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77777777" w:rsidR="00A0019A" w:rsidRPr="00883450" w:rsidRDefault="00A0019A"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817C7E">
      <w:rPr>
        <w:rFonts w:ascii="Palatino Linotype" w:hAnsi="Palatino Linotype"/>
        <w:noProof/>
        <w:sz w:val="22"/>
        <w:szCs w:val="22"/>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817C7E" w:rsidRPr="00817C7E">
      <w:rPr>
        <w:rFonts w:ascii="Palatino Linotype" w:hAnsi="Palatino Linotype"/>
        <w:noProof/>
        <w:sz w:val="22"/>
        <w:szCs w:val="22"/>
        <w:lang w:val="es-ES"/>
      </w:rPr>
      <w:t>71</w:t>
    </w:r>
    <w:r w:rsidRPr="00883450">
      <w:rPr>
        <w:rFonts w:ascii="Palatino Linotype" w:hAnsi="Palatino Linotype"/>
        <w:sz w:val="22"/>
        <w:szCs w:val="22"/>
      </w:rPr>
      <w:fldChar w:fldCharType="end"/>
    </w:r>
  </w:p>
  <w:p w14:paraId="5F5C4865" w14:textId="77777777" w:rsidR="00A0019A" w:rsidRPr="00883450" w:rsidRDefault="00A0019A">
    <w:pPr>
      <w:pStyle w:val="Piedepgina"/>
      <w:rPr>
        <w:rFonts w:ascii="Palatino Linotype" w:hAnsi="Palatino Linotype"/>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172F64" w14:textId="77777777" w:rsidR="00FF65E1" w:rsidRDefault="00FF65E1" w:rsidP="00587366">
      <w:r>
        <w:separator/>
      </w:r>
    </w:p>
  </w:footnote>
  <w:footnote w:type="continuationSeparator" w:id="0">
    <w:p w14:paraId="602884CD" w14:textId="77777777" w:rsidR="00FF65E1" w:rsidRDefault="00FF65E1" w:rsidP="00587366">
      <w:r>
        <w:continuationSeparator/>
      </w:r>
    </w:p>
  </w:footnote>
  <w:footnote w:id="1">
    <w:p w14:paraId="13C01F25" w14:textId="77777777" w:rsidR="00A0019A" w:rsidRDefault="00A0019A" w:rsidP="00EB2DEA">
      <w:pPr>
        <w:pStyle w:val="Textonotapie"/>
      </w:pPr>
      <w:r>
        <w:rPr>
          <w:rStyle w:val="Refdenotaalpie"/>
        </w:rPr>
        <w:footnoteRef/>
      </w:r>
      <w:r>
        <w:t xml:space="preserve"> Ferrajoli, Luigi.(2013). </w:t>
      </w:r>
      <w:r w:rsidRPr="00A55292">
        <w:rPr>
          <w:i/>
        </w:rPr>
        <w:t>Tomo I ,Principia iuris Teoría del derecho y de la democracia. Teoría del derecho</w:t>
      </w:r>
      <w:r>
        <w:t xml:space="preserve">. Madrid:Trotta,676 páginas. </w:t>
      </w:r>
    </w:p>
  </w:footnote>
  <w:footnote w:id="2">
    <w:p w14:paraId="4C77994B" w14:textId="77777777" w:rsidR="00A0019A" w:rsidRPr="00985DD4" w:rsidRDefault="00A0019A" w:rsidP="00EB2DEA">
      <w:pPr>
        <w:autoSpaceDE w:val="0"/>
        <w:autoSpaceDN w:val="0"/>
        <w:adjustRightInd w:val="0"/>
        <w:spacing w:line="276" w:lineRule="auto"/>
        <w:jc w:val="both"/>
        <w:rPr>
          <w:rFonts w:cs="Arial"/>
          <w:sz w:val="20"/>
          <w:szCs w:val="20"/>
        </w:rPr>
      </w:pPr>
      <w:r>
        <w:rPr>
          <w:rStyle w:val="Refdenotaalpie"/>
        </w:rPr>
        <w:footnoteRef/>
      </w:r>
      <w:r>
        <w:t xml:space="preserve"> </w:t>
      </w:r>
      <w:r w:rsidRPr="00985DD4">
        <w:rPr>
          <w:rFonts w:cs="Arial"/>
          <w:b/>
          <w:bCs/>
          <w:sz w:val="20"/>
          <w:szCs w:val="20"/>
        </w:rPr>
        <w:t xml:space="preserve">Artículo 122. </w:t>
      </w:r>
      <w:r w:rsidRPr="00985DD4">
        <w:rPr>
          <w:rFonts w:cs="Arial"/>
          <w:sz w:val="20"/>
          <w:szCs w:val="20"/>
        </w:rPr>
        <w:t>La clasificación es el proceso mediante el cual el sujeto obligado determina que la información en su poder actualiza alguno de los supuestos de reserva o confidencialidad, de conformidad con lo dispuesto en el presente título.</w:t>
      </w:r>
    </w:p>
    <w:p w14:paraId="2340BDB2" w14:textId="77777777" w:rsidR="00A0019A" w:rsidRPr="00985DD4" w:rsidRDefault="00A0019A" w:rsidP="00EB2DEA">
      <w:pPr>
        <w:autoSpaceDE w:val="0"/>
        <w:autoSpaceDN w:val="0"/>
        <w:adjustRightInd w:val="0"/>
        <w:spacing w:line="276" w:lineRule="auto"/>
        <w:jc w:val="both"/>
        <w:rPr>
          <w:rFonts w:cs="Arial"/>
          <w:sz w:val="20"/>
          <w:szCs w:val="20"/>
        </w:rPr>
      </w:pPr>
      <w:r w:rsidRPr="00985DD4">
        <w:rPr>
          <w:rFonts w:cs="Arial"/>
          <w:sz w:val="20"/>
          <w:szCs w:val="20"/>
        </w:rPr>
        <w:t>Los supuestos de reserva o confidencialidad previstos en las leyes deberán ser acordes con las bases, principios y disposiciones establecidos en la Ley General y, en ningún caso, podrán contravenirla.</w:t>
      </w:r>
    </w:p>
    <w:p w14:paraId="05BA1B47" w14:textId="77777777" w:rsidR="00A0019A" w:rsidRPr="00985DD4" w:rsidRDefault="00A0019A" w:rsidP="00EB2DEA">
      <w:pPr>
        <w:autoSpaceDE w:val="0"/>
        <w:autoSpaceDN w:val="0"/>
        <w:adjustRightInd w:val="0"/>
        <w:spacing w:line="276" w:lineRule="auto"/>
        <w:jc w:val="both"/>
        <w:rPr>
          <w:rFonts w:cs="Arial"/>
          <w:sz w:val="20"/>
          <w:szCs w:val="20"/>
        </w:rPr>
      </w:pPr>
      <w:r w:rsidRPr="00985DD4">
        <w:rPr>
          <w:rFonts w:cs="Arial"/>
          <w:sz w:val="20"/>
          <w:szCs w:val="20"/>
        </w:rPr>
        <w:t>Los titulares de las áreas de los sujetos obligados serán los responsables de clasificar la información, de conformidad con lo dispuesto en la presente Ley y demás disposiciones jurídicas aplicables.</w:t>
      </w:r>
    </w:p>
    <w:p w14:paraId="4FB51C74" w14:textId="77777777" w:rsidR="00A0019A" w:rsidRPr="00985DD4" w:rsidRDefault="00A0019A" w:rsidP="00EB2DEA">
      <w:pPr>
        <w:autoSpaceDE w:val="0"/>
        <w:autoSpaceDN w:val="0"/>
        <w:adjustRightInd w:val="0"/>
        <w:spacing w:line="276" w:lineRule="auto"/>
        <w:jc w:val="both"/>
        <w:rPr>
          <w:sz w:val="20"/>
          <w:szCs w:val="20"/>
        </w:rPr>
      </w:pPr>
    </w:p>
  </w:footnote>
  <w:footnote w:id="3">
    <w:p w14:paraId="721167AD" w14:textId="77777777" w:rsidR="00A0019A" w:rsidRPr="00985DD4" w:rsidRDefault="00A0019A" w:rsidP="00EB2DEA">
      <w:pPr>
        <w:autoSpaceDE w:val="0"/>
        <w:autoSpaceDN w:val="0"/>
        <w:adjustRightInd w:val="0"/>
        <w:spacing w:line="276" w:lineRule="auto"/>
        <w:jc w:val="both"/>
        <w:rPr>
          <w:rFonts w:cs="Arial"/>
          <w:sz w:val="20"/>
          <w:szCs w:val="20"/>
        </w:rPr>
      </w:pPr>
      <w:r w:rsidRPr="00985DD4">
        <w:rPr>
          <w:rStyle w:val="Refdenotaalpie"/>
        </w:rPr>
        <w:footnoteRef/>
      </w:r>
      <w:r w:rsidRPr="00985DD4">
        <w:rPr>
          <w:sz w:val="20"/>
          <w:szCs w:val="20"/>
        </w:rPr>
        <w:t xml:space="preserve"> </w:t>
      </w:r>
      <w:r w:rsidRPr="00985DD4">
        <w:rPr>
          <w:rFonts w:cs="Arial"/>
          <w:b/>
          <w:sz w:val="20"/>
          <w:szCs w:val="20"/>
        </w:rPr>
        <w:t>Artículo 135.</w:t>
      </w:r>
      <w:r w:rsidRPr="00985DD4">
        <w:rPr>
          <w:rFonts w:cs="Arial"/>
          <w:sz w:val="20"/>
          <w:szCs w:val="20"/>
        </w:rPr>
        <w:t xml:space="preserve"> Los lineamientos generales que se emitan al respecto en materia de clasificación de la información reservada y confidencial y, para la elaboración de versiones públicas, serán de observancia obligatoria para los sujetos obligados.</w:t>
      </w:r>
    </w:p>
  </w:footnote>
  <w:footnote w:id="4">
    <w:p w14:paraId="20C35A60" w14:textId="77777777" w:rsidR="00A0019A" w:rsidRDefault="00A0019A" w:rsidP="00EB2DEA">
      <w:pPr>
        <w:pStyle w:val="Textonotapie"/>
        <w:jc w:val="both"/>
      </w:pPr>
      <w:r>
        <w:rPr>
          <w:rStyle w:val="Refdenotaalpie"/>
        </w:rPr>
        <w:footnoteRef/>
      </w:r>
      <w:r w:rsidRPr="00266430">
        <w:rPr>
          <w:lang w:val="es-ES"/>
        </w:rPr>
        <w:t xml:space="preserve"> </w:t>
      </w:r>
      <w:r w:rsidRPr="00266430">
        <w:rPr>
          <w:b/>
        </w:rPr>
        <w:t>RESTRICCIONES A LOS DERECHOS FUNDAMENTALES. ELEMENTOS QUE EL JUEZ CONSTITUCIONAL DEBE TOMAR EN CUENTA PARA CONSIDERARLAS VÁLIDAS.</w:t>
      </w:r>
      <w:r w:rsidRPr="00266430">
        <w:t xml:space="preserve"> Ningún derecho fundamental es absoluto y en esa medida todos admiten restricciones. Sin embargo, la regulación de dichas restricciones no puede ser arbitraria. Para que las medidas emitidas por el legislador ordinario con el propósito de restringir los derechos fundamentales sean válidas, deben satisfacer al menos los siguientes requisitos: a) ser admisibles dentro del ámbito constitucional, esto es, el legislador ordinario sólo puede restringir o suspender el ejercicio de las garantías individuales con objetivos que puedan enmarcarse dentro de las previsiones de la Carta Magna; b) ser necesarias para asegurar la obtención de los fines que fundamentan la restricción constitucional, es decir, no basta que la restricción sea en términos amplios útil para la obtención de esos objetivos, sino que debe ser la idónea para su realización, lo que significa que el fin buscado por el legislador no se pueda alcanzar razonablemente por otros medios menos restrictivos de derechos fundamentales; y, c) ser proporcional, esto es, la medida legislativa debe respetar una correspondencia entre la importancia del fin buscado por la ley, y los efectos perjudiciales que produce en otros derechos e intereses constitucionales, en el entendido de que la persecución de un objetivo constitucional no puede hacerse a costa de una afectación innecesaria o desmedida a otros bienes y derechos constitucionalmente protegidos. Así, el juzgador debe determinar en cada caso si la restricción legislativa a un derecho fundamental es, en primer lugar, admisible dadas las previsiones constitucionales, en segundo lugar, si es el medio necesario para proteger esos fines o intereses constitucionalmente amparados, al no existir opciones menos restrictivas que permitan alcanzarlos; y en tercer lugar, si la distinción legislativa se encuentra dentro de las opciones de tratamiento que pueden considerarse proporcionales. De igual manera, las restricciones deberán estar en consonancia con la ley, incluidas las normas internacionales de derechos humanos, y ser compatibles con la naturaleza de los derechos amparados por la Constitución, en aras de la consecución de los objetivos legítimos perseguidos, y ser estrictamente necesarias para promover el bienestar general en una sociedad democrática. </w:t>
      </w:r>
    </w:p>
    <w:p w14:paraId="016ED88A" w14:textId="77777777" w:rsidR="00A0019A" w:rsidRPr="00266430" w:rsidRDefault="00A0019A" w:rsidP="00EB2DEA">
      <w:pPr>
        <w:pStyle w:val="Textonotapie"/>
        <w:jc w:val="both"/>
      </w:pPr>
      <w:r w:rsidRPr="00266430">
        <w:t xml:space="preserve">1a./J. 2/2012 (9a.). Primera Sala. Décima Época. Semanario Judicial de la Federación y su Gaceta. Libro V, Febrero de 2012, Pág. 533.  </w:t>
      </w:r>
    </w:p>
  </w:footnote>
  <w:footnote w:id="5">
    <w:p w14:paraId="1475DA70" w14:textId="77777777" w:rsidR="00A0019A" w:rsidRPr="00A870EF" w:rsidRDefault="00A0019A" w:rsidP="00EB2DEA">
      <w:pPr>
        <w:pStyle w:val="Textonotapie"/>
        <w:jc w:val="both"/>
        <w:rPr>
          <w:lang w:val="es-ES"/>
        </w:rPr>
      </w:pPr>
      <w:r>
        <w:rPr>
          <w:rStyle w:val="Refdenotaalpie"/>
        </w:rPr>
        <w:footnoteRef/>
      </w:r>
      <w:r>
        <w:t xml:space="preserve"> “67. Según se ha interpretado por la jurisprudencia interamericana, el artículo 13.2 de la Convención Americana exige el cumplimiento de las siguientes tres condiciones básicas para que una limitación al derecho a la libertad de expresión sea admisible: (1) la limitación debe haber sido definida en forma precisa y clara a través de una ley formal y material, (2) la limitación debe estar orientada al logro de objetivos imperiosos autorizados por la Convención Americana, y (3) la limitación debe ser necesaria en una sociedad democrática para el logro de los fines imperiosos que se buscan; estrictamente proporcionada a la finalidad perseguida; e idónea para lograr el objetivo imperioso que pretende lograr”. Relatoría Especial para la Libertad de Expresión, Comisión Interamericana de Derechos Humanos. </w:t>
      </w:r>
      <w:r w:rsidRPr="008E2275">
        <w:rPr>
          <w:i/>
        </w:rPr>
        <w:t>Marco jurídico interamericano sobre el derecho a la libertad de expresión</w:t>
      </w:r>
      <w:r>
        <w:t xml:space="preserve">. Párr. 67. </w:t>
      </w:r>
    </w:p>
  </w:footnote>
  <w:footnote w:id="6">
    <w:p w14:paraId="0849A5ED" w14:textId="77777777" w:rsidR="00A0019A" w:rsidRDefault="00A0019A" w:rsidP="00EB2DEA">
      <w:pPr>
        <w:pStyle w:val="Textonotapie"/>
        <w:jc w:val="both"/>
        <w:rPr>
          <w:lang w:val="es-ES"/>
        </w:rPr>
      </w:pPr>
      <w:r>
        <w:rPr>
          <w:rStyle w:val="Refdenotaalpie"/>
        </w:rPr>
        <w:footnoteRef/>
      </w:r>
      <w:r>
        <w:t xml:space="preserve"> </w:t>
      </w:r>
      <w:r>
        <w:rPr>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0C6F2CA9" w14:textId="77777777" w:rsidR="00A0019A" w:rsidRDefault="00A0019A" w:rsidP="00EB2DEA">
      <w:pPr>
        <w:pStyle w:val="Textonotapie"/>
        <w:jc w:val="both"/>
        <w:rPr>
          <w:lang w:val="es-ES"/>
        </w:rPr>
      </w:pPr>
      <w:r>
        <w:rPr>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20110A07" w14:textId="77777777" w:rsidR="00A0019A" w:rsidRPr="001E1F95" w:rsidRDefault="00A0019A" w:rsidP="00EB2DEA">
      <w:pPr>
        <w:pStyle w:val="Textonotapie"/>
        <w:jc w:val="both"/>
        <w:rPr>
          <w:lang w:val="es-ES"/>
        </w:rPr>
      </w:pPr>
      <w:r>
        <w:rPr>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Pp 1-19. </w:t>
      </w:r>
    </w:p>
  </w:footnote>
  <w:footnote w:id="7">
    <w:p w14:paraId="48BA7A55" w14:textId="77777777" w:rsidR="00A0019A" w:rsidRPr="007F43A5" w:rsidRDefault="00A0019A" w:rsidP="00EB2DEA">
      <w:pPr>
        <w:pStyle w:val="Textonotapie"/>
        <w:rPr>
          <w:color w:val="000000" w:themeColor="text1"/>
        </w:rPr>
      </w:pPr>
      <w:r>
        <w:rPr>
          <w:rStyle w:val="Refdenotaalpie"/>
        </w:rPr>
        <w:footnoteRef/>
      </w:r>
      <w:r>
        <w:t xml:space="preserve"> </w:t>
      </w:r>
      <w:r w:rsidRPr="007F43A5">
        <w:rPr>
          <w:bCs/>
          <w:color w:val="000000" w:themeColor="text1"/>
          <w:bdr w:val="none" w:sz="0" w:space="0" w:color="auto" w:frame="1"/>
          <w:shd w:val="clear" w:color="auto" w:fill="FFFFFF"/>
        </w:rPr>
        <w:t>OVALLE FAVELA, José,</w:t>
      </w:r>
      <w:r w:rsidRPr="007F43A5">
        <w:rPr>
          <w:rStyle w:val="apple-converted-space"/>
          <w:bCs/>
          <w:color w:val="000000" w:themeColor="text1"/>
          <w:bdr w:val="none" w:sz="0" w:space="0" w:color="auto" w:frame="1"/>
          <w:shd w:val="clear" w:color="auto" w:fill="FFFFFF"/>
        </w:rPr>
        <w:t xml:space="preserve"> “</w:t>
      </w:r>
      <w:r w:rsidRPr="007F43A5">
        <w:rPr>
          <w:bCs/>
          <w:i/>
          <w:iCs/>
          <w:color w:val="000000" w:themeColor="text1"/>
          <w:bdr w:val="none" w:sz="0" w:space="0" w:color="auto" w:frame="1"/>
          <w:shd w:val="clear" w:color="auto" w:fill="FFFFFF"/>
        </w:rPr>
        <w:t>Garantías constitucionales del proceso”</w:t>
      </w:r>
      <w:r w:rsidRPr="007F43A5">
        <w:rPr>
          <w:bCs/>
          <w:color w:val="000000" w:themeColor="text1"/>
          <w:bdr w:val="none" w:sz="0" w:space="0" w:color="auto" w:frame="1"/>
          <w:shd w:val="clear" w:color="auto" w:fill="FFFFFF"/>
        </w:rPr>
        <w:t>, 2a. ed., México, Oxford University Press, 2002, 474 pp.</w:t>
      </w:r>
    </w:p>
  </w:footnote>
  <w:footnote w:id="8">
    <w:p w14:paraId="34F3F186" w14:textId="77777777" w:rsidR="00A0019A" w:rsidRPr="0037004E" w:rsidRDefault="00A0019A" w:rsidP="00EB2DEA">
      <w:pPr>
        <w:pStyle w:val="Textonotapie"/>
        <w:jc w:val="both"/>
        <w:rPr>
          <w:lang w:val="es-ES"/>
        </w:rPr>
      </w:pPr>
      <w:r>
        <w:rPr>
          <w:rStyle w:val="Refdenotaalpie"/>
        </w:rPr>
        <w:footnoteRef/>
      </w:r>
      <w:r>
        <w:t xml:space="preserve"> </w:t>
      </w:r>
      <w:r w:rsidRPr="00C4034A">
        <w:rPr>
          <w:lang w:val="es-ES"/>
        </w:rPr>
        <w:t>Tribunales Colegiados de Circuito. Novena Epoca. Semanario Judicial de la Federación y su Gaceta. Tomo III, marzo de 1996. Pág 769. Consultado en http://sjf.scjn.gob.mx/sjfsist/Documentos/Tesis/203/203143.pdf  el viernes 16 de junio de 2017.</w:t>
      </w:r>
    </w:p>
    <w:p w14:paraId="0D856D5C" w14:textId="77777777" w:rsidR="00A0019A" w:rsidRDefault="00A0019A" w:rsidP="00EB2DEA">
      <w:pPr>
        <w:pStyle w:val="Textonotapie"/>
      </w:pPr>
    </w:p>
  </w:footnote>
  <w:footnote w:id="9">
    <w:p w14:paraId="52C1276E" w14:textId="77777777" w:rsidR="00A0019A" w:rsidRDefault="00A0019A" w:rsidP="00EB2DEA">
      <w:pPr>
        <w:pStyle w:val="Textonotapie"/>
        <w:jc w:val="both"/>
      </w:pPr>
      <w:r>
        <w:rPr>
          <w:rStyle w:val="Refdenotaalpie"/>
        </w:rPr>
        <w:footnoteRef/>
      </w:r>
      <w:r>
        <w:t xml:space="preserve"> Artículo 3. Para los efectos de la presente Ley se entenderá por:</w:t>
      </w:r>
    </w:p>
    <w:p w14:paraId="57128BF7" w14:textId="77777777" w:rsidR="00A0019A" w:rsidRDefault="00A0019A" w:rsidP="00EB2DEA">
      <w:pPr>
        <w:pStyle w:val="Textonotapie"/>
        <w:jc w:val="both"/>
      </w:pPr>
      <w:r>
        <w:t xml:space="preserve"> (…)</w:t>
      </w:r>
    </w:p>
    <w:p w14:paraId="7D9056DF" w14:textId="77777777" w:rsidR="00A0019A" w:rsidRDefault="00A0019A" w:rsidP="00EB2DEA">
      <w:pPr>
        <w:pStyle w:val="Textonotapie"/>
        <w:jc w:val="both"/>
      </w:pPr>
      <w:r>
        <w:t>IX. Datos personales: La información concerniente a una persona, identificada o identificable según lo dispuesto por la Ley de Protección de Datos Personales del Estado de México;</w:t>
      </w:r>
    </w:p>
  </w:footnote>
  <w:footnote w:id="10">
    <w:p w14:paraId="2561A88B" w14:textId="77777777" w:rsidR="00A0019A" w:rsidRPr="00ED2A04" w:rsidRDefault="00A0019A" w:rsidP="00EB2DEA">
      <w:pPr>
        <w:pStyle w:val="Textonotapie"/>
        <w:jc w:val="both"/>
        <w:rPr>
          <w:lang w:val="es-ES"/>
        </w:rPr>
      </w:pPr>
      <w:r>
        <w:rPr>
          <w:rStyle w:val="Refdenotaalpie"/>
        </w:rPr>
        <w:footnoteRef/>
      </w:r>
      <w:r>
        <w:t xml:space="preserve"> </w:t>
      </w:r>
      <w:hyperlink r:id="rId1" w:anchor="/entry-id/E216930" w:history="1">
        <w:r w:rsidRPr="00AA2458">
          <w:rPr>
            <w:rStyle w:val="Hipervnculo"/>
          </w:rPr>
          <w:t>http://dej.rae.es/#/entry-id/E216930</w:t>
        </w:r>
      </w:hyperlink>
      <w:r>
        <w:t xml:space="preserve"> </w:t>
      </w:r>
    </w:p>
  </w:footnote>
  <w:footnote w:id="11">
    <w:p w14:paraId="2E8B95F8" w14:textId="77777777" w:rsidR="00A0019A" w:rsidRPr="00ED2A04" w:rsidRDefault="00A0019A" w:rsidP="00EB2DEA">
      <w:pPr>
        <w:pStyle w:val="Textonotapie"/>
        <w:jc w:val="both"/>
        <w:rPr>
          <w:lang w:val="es-ES"/>
        </w:rPr>
      </w:pPr>
      <w:r>
        <w:rPr>
          <w:rStyle w:val="Refdenotaalpie"/>
        </w:rPr>
        <w:footnoteRef/>
      </w:r>
      <w:r>
        <w:t xml:space="preserve"> </w:t>
      </w:r>
      <w:hyperlink r:id="rId2" w:anchor="/entry-id/E87450" w:history="1">
        <w:r w:rsidRPr="00AA2458">
          <w:rPr>
            <w:rStyle w:val="Hipervnculo"/>
          </w:rPr>
          <w:t>http://dej.rae.es/#/entry-id/E87450</w:t>
        </w:r>
      </w:hyperlink>
      <w:r>
        <w:t xml:space="preserve"> </w:t>
      </w:r>
    </w:p>
  </w:footnote>
  <w:footnote w:id="12">
    <w:p w14:paraId="3C050AC9" w14:textId="77777777" w:rsidR="00A0019A" w:rsidRPr="000406A4" w:rsidRDefault="00A0019A" w:rsidP="00EB2DEA">
      <w:pPr>
        <w:pStyle w:val="Textonotapie"/>
        <w:jc w:val="both"/>
        <w:rPr>
          <w:lang w:val="es-ES"/>
        </w:rPr>
      </w:pPr>
      <w:r>
        <w:rPr>
          <w:rStyle w:val="Refdenotaalpie"/>
        </w:rPr>
        <w:footnoteRef/>
      </w:r>
      <w:r>
        <w:t xml:space="preserve"> </w:t>
      </w:r>
      <w:hyperlink r:id="rId3" w:history="1">
        <w:r w:rsidRPr="00AA2458">
          <w:rPr>
            <w:rStyle w:val="Hipervnculo"/>
          </w:rPr>
          <w:t>http://dle.rae.es/?id=VGqyuLj|VGtxgAo|VGuc9Wg</w:t>
        </w:r>
      </w:hyperlink>
      <w:r>
        <w:t xml:space="preserve"> </w:t>
      </w:r>
    </w:p>
  </w:footnote>
  <w:footnote w:id="13">
    <w:p w14:paraId="287B83A2" w14:textId="77777777" w:rsidR="00A0019A" w:rsidRPr="000406A4" w:rsidRDefault="00A0019A" w:rsidP="00EB2DEA">
      <w:pPr>
        <w:pStyle w:val="Textonotapie"/>
        <w:jc w:val="both"/>
        <w:rPr>
          <w:lang w:val="es-ES"/>
        </w:rPr>
      </w:pPr>
      <w:r>
        <w:rPr>
          <w:rStyle w:val="Refdenotaalpie"/>
        </w:rPr>
        <w:footnoteRef/>
      </w:r>
      <w:r>
        <w:t xml:space="preserve"> </w:t>
      </w:r>
      <w:hyperlink r:id="rId4" w:history="1">
        <w:r w:rsidRPr="00AA2458">
          <w:rPr>
            <w:rStyle w:val="Hipervnculo"/>
          </w:rPr>
          <w:t>http://dle.rae.es/?id=CAjNzMR</w:t>
        </w:r>
      </w:hyperlink>
      <w:r>
        <w:t xml:space="preserve"> </w:t>
      </w:r>
    </w:p>
  </w:footnote>
  <w:footnote w:id="14">
    <w:p w14:paraId="2575A3B0" w14:textId="77777777" w:rsidR="00A0019A" w:rsidRPr="000406A4" w:rsidRDefault="00A0019A" w:rsidP="00EB2DEA">
      <w:pPr>
        <w:pStyle w:val="Textonotapie"/>
        <w:jc w:val="both"/>
        <w:rPr>
          <w:lang w:val="es-ES"/>
        </w:rPr>
      </w:pPr>
      <w:r>
        <w:rPr>
          <w:rStyle w:val="Refdenotaalpie"/>
        </w:rPr>
        <w:footnoteRef/>
      </w:r>
      <w:r>
        <w:t xml:space="preserve"> </w:t>
      </w:r>
      <w:hyperlink r:id="rId5" w:history="1">
        <w:r w:rsidRPr="00AA2458">
          <w:rPr>
            <w:rStyle w:val="Hipervnculo"/>
          </w:rPr>
          <w:t>http://dle.rae.es/?id=CAqWkEB</w:t>
        </w:r>
      </w:hyperlink>
      <w:r>
        <w:t xml:space="preserve"> </w:t>
      </w:r>
    </w:p>
  </w:footnote>
  <w:footnote w:id="15">
    <w:p w14:paraId="2D155581" w14:textId="77777777" w:rsidR="00A0019A" w:rsidRPr="000406A4" w:rsidRDefault="00A0019A" w:rsidP="00EB2DEA">
      <w:pPr>
        <w:pStyle w:val="Textonotapie"/>
        <w:jc w:val="both"/>
        <w:rPr>
          <w:lang w:val="es-ES"/>
        </w:rPr>
      </w:pPr>
      <w:r>
        <w:rPr>
          <w:rStyle w:val="Refdenotaalpie"/>
        </w:rPr>
        <w:footnoteRef/>
      </w:r>
      <w:r>
        <w:t xml:space="preserve"> </w:t>
      </w:r>
      <w:hyperlink r:id="rId6" w:history="1">
        <w:r w:rsidRPr="00AA2458">
          <w:rPr>
            <w:rStyle w:val="Hipervnculo"/>
          </w:rPr>
          <w:t>http://dle.rae.es/?id=KtnHLLd</w:t>
        </w:r>
      </w:hyperlink>
      <w:r>
        <w:t xml:space="preserve"> </w:t>
      </w:r>
    </w:p>
  </w:footnote>
  <w:footnote w:id="16">
    <w:p w14:paraId="267E030B" w14:textId="77777777" w:rsidR="00A0019A" w:rsidRPr="000406A4" w:rsidRDefault="00A0019A" w:rsidP="00EB2DEA">
      <w:pPr>
        <w:pStyle w:val="Textonotapie"/>
        <w:jc w:val="both"/>
        <w:rPr>
          <w:lang w:val="es-ES"/>
        </w:rPr>
      </w:pPr>
      <w:r>
        <w:rPr>
          <w:rStyle w:val="Refdenotaalpie"/>
        </w:rPr>
        <w:footnoteRef/>
      </w:r>
      <w:r>
        <w:t xml:space="preserve"> </w:t>
      </w:r>
      <w:hyperlink r:id="rId7" w:history="1">
        <w:r w:rsidRPr="00AA2458">
          <w:rPr>
            <w:rStyle w:val="Hipervnculo"/>
          </w:rPr>
          <w:t>http://dle.rae.es/?id=KtpfgjV</w:t>
        </w:r>
      </w:hyperlink>
      <w:r>
        <w:t xml:space="preserve"> </w:t>
      </w:r>
    </w:p>
  </w:footnote>
  <w:footnote w:id="17">
    <w:p w14:paraId="4B4773EB" w14:textId="77777777" w:rsidR="00A0019A" w:rsidRPr="00042E67" w:rsidRDefault="00A0019A" w:rsidP="00EB2DEA">
      <w:pPr>
        <w:jc w:val="both"/>
        <w:rPr>
          <w:color w:val="000000" w:themeColor="text1"/>
          <w:sz w:val="20"/>
          <w:szCs w:val="20"/>
        </w:rPr>
      </w:pPr>
      <w:r>
        <w:rPr>
          <w:rStyle w:val="Refdenotaalpie"/>
        </w:rPr>
        <w:footnoteRef/>
      </w:r>
      <w:r>
        <w:t xml:space="preserve"> </w:t>
      </w:r>
      <w:r>
        <w:rPr>
          <w:lang w:val="es-ES"/>
        </w:rPr>
        <w:t>“</w:t>
      </w:r>
      <w:r w:rsidRPr="00042E67">
        <w:rPr>
          <w:color w:val="000000" w:themeColor="text1"/>
          <w:sz w:val="20"/>
          <w:szCs w:val="20"/>
        </w:rPr>
        <w:t xml:space="preserve">En las sentencias C-093 de 2001 y C-671 de 2001, se explicó el alcance de este tipo de escrutinio, denominado test integrado de igualdad: "[a] fin de determinar si el trato discriminatorio vulnera el derecho fundamental a la igualdad, la Corte ha elaborado un modelo de análisis que integra el juicio de proporcionalidad y el test de igualdad. Lo que en este modelo se hace, básicamente, es retomar y armonizar los elementos del test o juicio de proporcionalidad europeo con los aportes de la tendencia estadounidense. Así, se emplean las etapas metodológicas del test europeo, que comprende las siguientes fases de análisis: (i) se examina si la medida es o no adecuada, es decir, si constituye o no un medio idóneo para alcanzar un fin constitucionalmente válido; (ii) se analiza si el trato diferente es o no necesario o indispensable; y (iii) se realiza un análisis de proporcionalidad en estricto sentido, para determinar si el trato desigual no sacrifica valores y principios constitucionales que tengan mayor relevancia que los alcanzados con la medida diferencia. De otra parte, se toman los distintos niveles de intensidad en la aplicación de los escrutinios o tests de igualdad. Dichos niveles pueden variar entre (i) estricto, en el cual el trato diferente debe constituir una medida necesaria para alcanzar un objetivo constitucionalmente imperioso; (ii) intermedio, es aquel en el cual el fin debe ser importante constitucionalmente y el medio debe ser altamente conducente para lograr el fin propuesto; y (iii) flexible o de mera razonabilidad, es decir que es suficiente con que la medida sea potencialmente adecuada para alcanzar un propósito que no esté prohibido por el ordenamiento. Lo anterior debe tener aplicación, según el carácter de la disposición legislativa o la medida administrativa atacada". El test integrado fue aplicado en un caso de discriminación por VIH en la sentencia T-376 de 2013.” Citado en Corte Interamericana de Derechos Humanos. Caso Gonzales Lluy y otros contra Ecuador. Excepciones preliminares, fondo, reparaciones y costas. Sentencia del 01 de septiembre de 2015. Párr. 256. </w:t>
      </w:r>
    </w:p>
  </w:footnote>
  <w:footnote w:id="18">
    <w:p w14:paraId="0F36DDAF" w14:textId="77777777" w:rsidR="00A0019A" w:rsidRPr="00A4142C" w:rsidRDefault="00A0019A" w:rsidP="00EB2DEA">
      <w:pPr>
        <w:pStyle w:val="Textonotapie"/>
        <w:rPr>
          <w:lang w:val="es-ES"/>
        </w:rPr>
      </w:pPr>
      <w:r>
        <w:rPr>
          <w:rStyle w:val="Refdenotaalpie"/>
        </w:rPr>
        <w:footnoteRef/>
      </w:r>
      <w:r>
        <w:t xml:space="preserve"> </w:t>
      </w:r>
      <w:r>
        <w:rPr>
          <w:lang w:val="es-ES"/>
        </w:rPr>
        <w:t>Tribunal Constitucional Alemán. Resolución sobre los soldados son asesinos, de 10 de octubre de 1995 (BVerfGE 93, 266). En ALÁEZ CORRAL, Benito y ÁLVAREZ ÁLVAREZ, Leonardo. Las decisiones básicas del Tribunal Constitucional Federal Alemán en las encrucijadas del cambio de milenio. Ed. Centro de Estudios Políticos y Constitucionales y boletín oficial del Estado, Madrid, 2008. Pp. 1045-1096.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CAAD7E" w14:textId="04028A24" w:rsidR="00CC493D" w:rsidRDefault="00817C7E">
    <w:pPr>
      <w:pStyle w:val="Encabezado"/>
    </w:pPr>
    <w:r>
      <w:rPr>
        <w:noProof/>
        <w:lang w:val="es-MX" w:eastAsia="es-MX"/>
      </w:rPr>
      <w:pict w14:anchorId="707A35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1559219"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E5A6E" w14:textId="1B72F347" w:rsidR="00A0019A" w:rsidRDefault="00817C7E" w:rsidP="001C6012">
    <w:pPr>
      <w:pStyle w:val="Encabezado"/>
      <w:tabs>
        <w:tab w:val="clear" w:pos="4252"/>
        <w:tab w:val="clear" w:pos="8504"/>
        <w:tab w:val="left" w:pos="8460"/>
      </w:tabs>
    </w:pPr>
    <w:r>
      <w:rPr>
        <w:noProof/>
        <w:lang w:val="es-MX" w:eastAsia="es-MX"/>
      </w:rPr>
      <w:pict w14:anchorId="23EBB7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1559220" o:spid="_x0000_s2051" type="#_x0000_t75" style="position:absolute;margin-left:0;margin-top:0;width:609.4pt;height:793.75pt;z-index:-251656192;mso-position-horizontal:center;mso-position-horizontal-relative:margin;mso-position-vertical:center;mso-position-vertical-relative:margin" o:allowincell="f">
          <v:imagedata r:id="rId1" o:title="resolución"/>
          <w10:wrap anchorx="margin" anchory="margin"/>
        </v:shape>
      </w:pict>
    </w:r>
    <w:r w:rsidR="00A0019A">
      <w:tab/>
    </w:r>
  </w:p>
  <w:p w14:paraId="64F5F23E" w14:textId="390690E5" w:rsidR="00A0019A" w:rsidRDefault="00A0019A">
    <w:pPr>
      <w:pStyle w:val="Encabezado"/>
    </w:pPr>
  </w:p>
  <w:tbl>
    <w:tblPr>
      <w:tblStyle w:val="Tablaconcuadrcula"/>
      <w:tblW w:w="850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52"/>
    </w:tblGrid>
    <w:tr w:rsidR="00A0019A" w:rsidRPr="00674A46" w14:paraId="07F2896E" w14:textId="77777777" w:rsidTr="0081485A">
      <w:trPr>
        <w:trHeight w:val="138"/>
        <w:jc w:val="right"/>
      </w:trPr>
      <w:tc>
        <w:tcPr>
          <w:tcW w:w="4253" w:type="dxa"/>
          <w:vAlign w:val="center"/>
        </w:tcPr>
        <w:p w14:paraId="4A5B1974" w14:textId="3B2AB4E0" w:rsidR="00A0019A" w:rsidRPr="00674A46" w:rsidRDefault="00A0019A" w:rsidP="006E6B65">
          <w:pPr>
            <w:ind w:right="34"/>
            <w:jc w:val="right"/>
            <w:rPr>
              <w:rFonts w:ascii="Palatino Linotype" w:hAnsi="Palatino Linotype"/>
              <w:b/>
              <w:sz w:val="22"/>
              <w:szCs w:val="22"/>
            </w:rPr>
          </w:pPr>
          <w:r w:rsidRPr="00674A46">
            <w:rPr>
              <w:rFonts w:ascii="Palatino Linotype" w:hAnsi="Palatino Linotype"/>
              <w:b/>
              <w:sz w:val="22"/>
              <w:szCs w:val="22"/>
            </w:rPr>
            <w:t>RECURSO DE REVISIÓN:</w:t>
          </w:r>
        </w:p>
      </w:tc>
      <w:tc>
        <w:tcPr>
          <w:tcW w:w="4252" w:type="dxa"/>
          <w:vAlign w:val="center"/>
        </w:tcPr>
        <w:p w14:paraId="3A05B4B6" w14:textId="462ED073" w:rsidR="00A0019A" w:rsidRPr="00674A46" w:rsidRDefault="00A0019A" w:rsidP="00AA38CA">
          <w:pPr>
            <w:pStyle w:val="Encabezado"/>
            <w:rPr>
              <w:rFonts w:ascii="Palatino Linotype" w:hAnsi="Palatino Linotype"/>
              <w:b/>
              <w:sz w:val="22"/>
              <w:szCs w:val="22"/>
            </w:rPr>
          </w:pPr>
          <w:r>
            <w:rPr>
              <w:rFonts w:ascii="Palatino Linotype" w:hAnsi="Palatino Linotype" w:cs="Arial"/>
              <w:b/>
              <w:bCs/>
              <w:sz w:val="22"/>
              <w:szCs w:val="22"/>
              <w:lang w:eastAsia="es-MX"/>
            </w:rPr>
            <w:t>03863/INFOEM/IP/RR/2020</w:t>
          </w:r>
        </w:p>
      </w:tc>
    </w:tr>
    <w:tr w:rsidR="00A0019A" w:rsidRPr="00674A46" w14:paraId="1B5D8690" w14:textId="77777777" w:rsidTr="0081485A">
      <w:trPr>
        <w:trHeight w:val="233"/>
        <w:jc w:val="right"/>
      </w:trPr>
      <w:tc>
        <w:tcPr>
          <w:tcW w:w="4253" w:type="dxa"/>
          <w:vAlign w:val="center"/>
        </w:tcPr>
        <w:p w14:paraId="3903F2C6" w14:textId="22D569F8" w:rsidR="00A0019A" w:rsidRPr="00674A46" w:rsidRDefault="00A0019A" w:rsidP="006E6B65">
          <w:pPr>
            <w:ind w:right="34"/>
            <w:jc w:val="right"/>
            <w:rPr>
              <w:rFonts w:ascii="Palatino Linotype" w:hAnsi="Palatino Linotype"/>
              <w:b/>
              <w:sz w:val="22"/>
              <w:szCs w:val="22"/>
            </w:rPr>
          </w:pPr>
          <w:r w:rsidRPr="00674A46">
            <w:rPr>
              <w:rFonts w:ascii="Palatino Linotype" w:hAnsi="Palatino Linotype"/>
              <w:b/>
              <w:sz w:val="22"/>
              <w:szCs w:val="22"/>
            </w:rPr>
            <w:t>SUJETO OBLIGADO:</w:t>
          </w:r>
        </w:p>
      </w:tc>
      <w:tc>
        <w:tcPr>
          <w:tcW w:w="4252" w:type="dxa"/>
          <w:vAlign w:val="center"/>
        </w:tcPr>
        <w:p w14:paraId="03C799A2" w14:textId="53A68FF0" w:rsidR="00A0019A" w:rsidRPr="00B75F20" w:rsidRDefault="00A0019A" w:rsidP="00926F75">
          <w:pPr>
            <w:pStyle w:val="Encabezado"/>
            <w:jc w:val="both"/>
            <w:rPr>
              <w:rFonts w:ascii="Palatino Linotype" w:hAnsi="Palatino Linotype"/>
              <w:b/>
              <w:sz w:val="22"/>
              <w:szCs w:val="22"/>
            </w:rPr>
          </w:pPr>
          <w:r>
            <w:rPr>
              <w:rFonts w:ascii="Palatino Linotype" w:hAnsi="Palatino Linotype"/>
              <w:b/>
              <w:sz w:val="22"/>
              <w:szCs w:val="22"/>
            </w:rPr>
            <w:t>Ayuntamiento de Teoloyucan</w:t>
          </w:r>
        </w:p>
      </w:tc>
    </w:tr>
    <w:tr w:rsidR="00A0019A" w:rsidRPr="00674A46" w14:paraId="095EB01B" w14:textId="77777777" w:rsidTr="0081485A">
      <w:trPr>
        <w:trHeight w:val="321"/>
        <w:jc w:val="right"/>
      </w:trPr>
      <w:tc>
        <w:tcPr>
          <w:tcW w:w="4253" w:type="dxa"/>
          <w:vAlign w:val="center"/>
        </w:tcPr>
        <w:p w14:paraId="6E000A51" w14:textId="25DCC1C7" w:rsidR="00A0019A" w:rsidRPr="00674A46" w:rsidRDefault="00A0019A" w:rsidP="006E6B65">
          <w:pPr>
            <w:ind w:right="34"/>
            <w:jc w:val="right"/>
            <w:rPr>
              <w:rFonts w:ascii="Palatino Linotype" w:hAnsi="Palatino Linotype"/>
              <w:b/>
              <w:sz w:val="22"/>
              <w:szCs w:val="22"/>
            </w:rPr>
          </w:pPr>
          <w:r w:rsidRPr="00674A46">
            <w:rPr>
              <w:rFonts w:ascii="Palatino Linotype" w:hAnsi="Palatino Linotype"/>
              <w:b/>
              <w:sz w:val="22"/>
              <w:szCs w:val="22"/>
            </w:rPr>
            <w:t>COMISIONADO PONENTE:</w:t>
          </w:r>
        </w:p>
      </w:tc>
      <w:tc>
        <w:tcPr>
          <w:tcW w:w="4252" w:type="dxa"/>
          <w:vAlign w:val="center"/>
        </w:tcPr>
        <w:p w14:paraId="07560085" w14:textId="05E7D8A2" w:rsidR="00A0019A" w:rsidRPr="00674A46" w:rsidRDefault="00A0019A"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096C1B8" w14:textId="77777777" w:rsidR="00A0019A" w:rsidRDefault="00A0019A" w:rsidP="00472C41">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D4FEF" w14:textId="04A66647" w:rsidR="00A0019A" w:rsidRDefault="00817C7E" w:rsidP="00472C41">
    <w:pPr>
      <w:pStyle w:val="Encabezado"/>
      <w:tabs>
        <w:tab w:val="clear" w:pos="4252"/>
        <w:tab w:val="clear" w:pos="8504"/>
        <w:tab w:val="left" w:pos="3103"/>
      </w:tabs>
    </w:pPr>
    <w:r>
      <w:rPr>
        <w:noProof/>
        <w:lang w:val="es-MX" w:eastAsia="es-MX"/>
      </w:rPr>
      <w:pict w14:anchorId="7EAE69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1559218"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r w:rsidR="00A0019A">
      <w:tab/>
    </w:r>
  </w:p>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111"/>
    </w:tblGrid>
    <w:tr w:rsidR="00A0019A" w:rsidRPr="00674A46" w14:paraId="0A3256F2" w14:textId="77777777" w:rsidTr="006E6B65">
      <w:trPr>
        <w:trHeight w:val="138"/>
        <w:jc w:val="right"/>
      </w:trPr>
      <w:tc>
        <w:tcPr>
          <w:tcW w:w="3261" w:type="dxa"/>
          <w:vAlign w:val="center"/>
        </w:tcPr>
        <w:p w14:paraId="3D80769D" w14:textId="316F11F8" w:rsidR="00A0019A" w:rsidRPr="00674A46" w:rsidRDefault="00A0019A" w:rsidP="00472C41">
          <w:pPr>
            <w:jc w:val="right"/>
            <w:rPr>
              <w:rFonts w:ascii="Palatino Linotype" w:hAnsi="Palatino Linotype"/>
              <w:b/>
              <w:sz w:val="22"/>
              <w:szCs w:val="22"/>
            </w:rPr>
          </w:pPr>
          <w:r w:rsidRPr="00674A46">
            <w:rPr>
              <w:rFonts w:ascii="Palatino Linotype" w:hAnsi="Palatino Linotype"/>
              <w:b/>
              <w:sz w:val="22"/>
              <w:szCs w:val="22"/>
            </w:rPr>
            <w:t>RECURSO DE REVISIÓN:</w:t>
          </w:r>
        </w:p>
      </w:tc>
      <w:tc>
        <w:tcPr>
          <w:tcW w:w="4111" w:type="dxa"/>
          <w:vAlign w:val="center"/>
        </w:tcPr>
        <w:p w14:paraId="0453495E" w14:textId="586F0A97" w:rsidR="00A0019A" w:rsidRPr="00674A46" w:rsidRDefault="00A0019A" w:rsidP="00AA38CA">
          <w:pPr>
            <w:pStyle w:val="Encabezado"/>
            <w:rPr>
              <w:rFonts w:ascii="Palatino Linotype" w:hAnsi="Palatino Linotype"/>
              <w:b/>
              <w:sz w:val="22"/>
              <w:szCs w:val="22"/>
            </w:rPr>
          </w:pPr>
          <w:r>
            <w:rPr>
              <w:rFonts w:ascii="Palatino Linotype" w:hAnsi="Palatino Linotype" w:cs="Arial"/>
              <w:b/>
              <w:bCs/>
              <w:sz w:val="22"/>
              <w:szCs w:val="22"/>
              <w:lang w:eastAsia="es-MX"/>
            </w:rPr>
            <w:t>03863/INFOEM/IP/RR/2020</w:t>
          </w:r>
        </w:p>
      </w:tc>
    </w:tr>
    <w:tr w:rsidR="00414571" w:rsidRPr="00674A46" w14:paraId="13847ADE" w14:textId="77777777" w:rsidTr="006E6B65">
      <w:trPr>
        <w:trHeight w:val="321"/>
        <w:jc w:val="right"/>
      </w:trPr>
      <w:tc>
        <w:tcPr>
          <w:tcW w:w="3261" w:type="dxa"/>
          <w:vAlign w:val="center"/>
        </w:tcPr>
        <w:p w14:paraId="5059CE1D" w14:textId="5C6A60D3" w:rsidR="00414571" w:rsidRPr="00674A46" w:rsidRDefault="00414571" w:rsidP="00472C41">
          <w:pPr>
            <w:jc w:val="right"/>
            <w:rPr>
              <w:rFonts w:ascii="Palatino Linotype" w:hAnsi="Palatino Linotype"/>
              <w:b/>
              <w:sz w:val="22"/>
              <w:szCs w:val="22"/>
            </w:rPr>
          </w:pPr>
          <w:r>
            <w:rPr>
              <w:rFonts w:ascii="Palatino Linotype" w:hAnsi="Palatino Linotype"/>
              <w:b/>
              <w:sz w:val="22"/>
              <w:szCs w:val="22"/>
            </w:rPr>
            <w:t>RECURRENTE:</w:t>
          </w:r>
        </w:p>
      </w:tc>
      <w:tc>
        <w:tcPr>
          <w:tcW w:w="4111" w:type="dxa"/>
          <w:vAlign w:val="center"/>
        </w:tcPr>
        <w:p w14:paraId="2045095A" w14:textId="764582D7" w:rsidR="00414571" w:rsidRDefault="00B45CA2" w:rsidP="005C3414">
          <w:pPr>
            <w:pStyle w:val="Encabezado"/>
            <w:jc w:val="both"/>
            <w:rPr>
              <w:rFonts w:ascii="Palatino Linotype" w:hAnsi="Palatino Linotype"/>
              <w:b/>
              <w:sz w:val="22"/>
              <w:szCs w:val="22"/>
            </w:rPr>
          </w:pPr>
          <w:r w:rsidRPr="00B45CA2">
            <w:rPr>
              <w:rFonts w:ascii="Palatino Linotype" w:hAnsi="Palatino Linotype"/>
              <w:highlight w:val="black"/>
            </w:rPr>
            <w:t>----------------------------------</w:t>
          </w:r>
        </w:p>
      </w:tc>
    </w:tr>
    <w:tr w:rsidR="00A0019A" w:rsidRPr="00674A46" w14:paraId="41BE0704" w14:textId="77777777" w:rsidTr="006E6B65">
      <w:trPr>
        <w:trHeight w:val="321"/>
        <w:jc w:val="right"/>
      </w:trPr>
      <w:tc>
        <w:tcPr>
          <w:tcW w:w="3261" w:type="dxa"/>
          <w:vAlign w:val="center"/>
        </w:tcPr>
        <w:p w14:paraId="34C64148" w14:textId="10C6C8A9" w:rsidR="00A0019A" w:rsidRPr="00674A46" w:rsidRDefault="00A0019A" w:rsidP="00472C41">
          <w:pPr>
            <w:jc w:val="right"/>
            <w:rPr>
              <w:rFonts w:ascii="Palatino Linotype" w:hAnsi="Palatino Linotype"/>
              <w:b/>
              <w:sz w:val="22"/>
              <w:szCs w:val="22"/>
            </w:rPr>
          </w:pPr>
          <w:r w:rsidRPr="00674A46">
            <w:rPr>
              <w:rFonts w:ascii="Palatino Linotype" w:hAnsi="Palatino Linotype"/>
              <w:b/>
              <w:sz w:val="22"/>
              <w:szCs w:val="22"/>
            </w:rPr>
            <w:t>SUJETO OBLIGADO:</w:t>
          </w:r>
        </w:p>
      </w:tc>
      <w:tc>
        <w:tcPr>
          <w:tcW w:w="4111" w:type="dxa"/>
          <w:vAlign w:val="center"/>
        </w:tcPr>
        <w:p w14:paraId="34C341BF" w14:textId="6FD7ABB6" w:rsidR="00A0019A" w:rsidRPr="00674A46" w:rsidRDefault="00A0019A" w:rsidP="005C3414">
          <w:pPr>
            <w:pStyle w:val="Encabezado"/>
            <w:jc w:val="both"/>
            <w:rPr>
              <w:rFonts w:ascii="Palatino Linotype" w:hAnsi="Palatino Linotype"/>
              <w:b/>
              <w:sz w:val="22"/>
              <w:szCs w:val="22"/>
            </w:rPr>
          </w:pPr>
          <w:r>
            <w:rPr>
              <w:rFonts w:ascii="Palatino Linotype" w:hAnsi="Palatino Linotype"/>
              <w:b/>
              <w:sz w:val="22"/>
              <w:szCs w:val="22"/>
            </w:rPr>
            <w:t>Ayuntamiento de Teoloyucan</w:t>
          </w:r>
        </w:p>
      </w:tc>
    </w:tr>
    <w:tr w:rsidR="00A0019A" w:rsidRPr="00674A46" w14:paraId="0C8B6193" w14:textId="77777777" w:rsidTr="006E6B65">
      <w:trPr>
        <w:trHeight w:val="321"/>
        <w:jc w:val="right"/>
      </w:trPr>
      <w:tc>
        <w:tcPr>
          <w:tcW w:w="3261" w:type="dxa"/>
          <w:vAlign w:val="center"/>
        </w:tcPr>
        <w:p w14:paraId="321FFAFF" w14:textId="40E5A678" w:rsidR="00A0019A" w:rsidRPr="00674A46" w:rsidRDefault="00A0019A" w:rsidP="00472C41">
          <w:pPr>
            <w:jc w:val="right"/>
            <w:rPr>
              <w:rFonts w:ascii="Palatino Linotype" w:hAnsi="Palatino Linotype"/>
              <w:b/>
              <w:sz w:val="22"/>
              <w:szCs w:val="22"/>
            </w:rPr>
          </w:pPr>
          <w:r w:rsidRPr="00674A46">
            <w:rPr>
              <w:rFonts w:ascii="Palatino Linotype" w:hAnsi="Palatino Linotype"/>
              <w:b/>
              <w:sz w:val="22"/>
              <w:szCs w:val="22"/>
            </w:rPr>
            <w:t>COMISIONADO PONENTE:</w:t>
          </w:r>
        </w:p>
      </w:tc>
      <w:tc>
        <w:tcPr>
          <w:tcW w:w="4111" w:type="dxa"/>
          <w:vAlign w:val="center"/>
        </w:tcPr>
        <w:p w14:paraId="0FECDA9D" w14:textId="77777777" w:rsidR="00A0019A" w:rsidRPr="00674A46" w:rsidRDefault="00A0019A"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56B5574" w14:textId="3EA5B995" w:rsidR="00A0019A" w:rsidRDefault="00A0019A" w:rsidP="00472C41">
    <w:pPr>
      <w:pStyle w:val="Encabezado"/>
      <w:tabs>
        <w:tab w:val="clear" w:pos="4252"/>
        <w:tab w:val="clear" w:pos="8504"/>
        <w:tab w:val="left" w:pos="310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C06E3"/>
    <w:multiLevelType w:val="hybridMultilevel"/>
    <w:tmpl w:val="E7485D62"/>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 w15:restartNumberingAfterBreak="0">
    <w:nsid w:val="04A14DA5"/>
    <w:multiLevelType w:val="hybridMultilevel"/>
    <w:tmpl w:val="D72A122A"/>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2" w15:restartNumberingAfterBreak="0">
    <w:nsid w:val="0E6C6E37"/>
    <w:multiLevelType w:val="hybridMultilevel"/>
    <w:tmpl w:val="E3B06EA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0EE87E48"/>
    <w:multiLevelType w:val="hybridMultilevel"/>
    <w:tmpl w:val="CC44D5C2"/>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4" w15:restartNumberingAfterBreak="0">
    <w:nsid w:val="0FFC6A29"/>
    <w:multiLevelType w:val="hybridMultilevel"/>
    <w:tmpl w:val="1F3ED4D2"/>
    <w:lvl w:ilvl="0" w:tplc="B828650E">
      <w:start w:val="1"/>
      <w:numFmt w:val="upp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5" w15:restartNumberingAfterBreak="0">
    <w:nsid w:val="122A1263"/>
    <w:multiLevelType w:val="hybridMultilevel"/>
    <w:tmpl w:val="C50041F4"/>
    <w:lvl w:ilvl="0" w:tplc="488219D8">
      <w:start w:val="4"/>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3B713D7"/>
    <w:multiLevelType w:val="hybridMultilevel"/>
    <w:tmpl w:val="9470F55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7" w15:restartNumberingAfterBreak="0">
    <w:nsid w:val="13D514AB"/>
    <w:multiLevelType w:val="hybridMultilevel"/>
    <w:tmpl w:val="723ABAC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B745B76"/>
    <w:multiLevelType w:val="hybridMultilevel"/>
    <w:tmpl w:val="F2CAE110"/>
    <w:lvl w:ilvl="0" w:tplc="040A0001">
      <w:start w:val="1"/>
      <w:numFmt w:val="bullet"/>
      <w:lvlText w:val=""/>
      <w:lvlJc w:val="left"/>
      <w:pPr>
        <w:ind w:left="1800" w:hanging="360"/>
      </w:pPr>
      <w:rPr>
        <w:rFonts w:ascii="Symbol" w:hAnsi="Symbol" w:hint="default"/>
      </w:rPr>
    </w:lvl>
    <w:lvl w:ilvl="1" w:tplc="040A0003" w:tentative="1">
      <w:start w:val="1"/>
      <w:numFmt w:val="bullet"/>
      <w:lvlText w:val="o"/>
      <w:lvlJc w:val="left"/>
      <w:pPr>
        <w:ind w:left="2520" w:hanging="360"/>
      </w:pPr>
      <w:rPr>
        <w:rFonts w:ascii="Courier New" w:hAnsi="Courier New" w:cs="Courier New" w:hint="default"/>
      </w:rPr>
    </w:lvl>
    <w:lvl w:ilvl="2" w:tplc="040A0005" w:tentative="1">
      <w:start w:val="1"/>
      <w:numFmt w:val="bullet"/>
      <w:lvlText w:val=""/>
      <w:lvlJc w:val="left"/>
      <w:pPr>
        <w:ind w:left="3240" w:hanging="360"/>
      </w:pPr>
      <w:rPr>
        <w:rFonts w:ascii="Wingdings" w:hAnsi="Wingdings" w:hint="default"/>
      </w:rPr>
    </w:lvl>
    <w:lvl w:ilvl="3" w:tplc="040A0001" w:tentative="1">
      <w:start w:val="1"/>
      <w:numFmt w:val="bullet"/>
      <w:lvlText w:val=""/>
      <w:lvlJc w:val="left"/>
      <w:pPr>
        <w:ind w:left="3960" w:hanging="360"/>
      </w:pPr>
      <w:rPr>
        <w:rFonts w:ascii="Symbol" w:hAnsi="Symbol" w:hint="default"/>
      </w:rPr>
    </w:lvl>
    <w:lvl w:ilvl="4" w:tplc="040A0003" w:tentative="1">
      <w:start w:val="1"/>
      <w:numFmt w:val="bullet"/>
      <w:lvlText w:val="o"/>
      <w:lvlJc w:val="left"/>
      <w:pPr>
        <w:ind w:left="4680" w:hanging="360"/>
      </w:pPr>
      <w:rPr>
        <w:rFonts w:ascii="Courier New" w:hAnsi="Courier New" w:cs="Courier New" w:hint="default"/>
      </w:rPr>
    </w:lvl>
    <w:lvl w:ilvl="5" w:tplc="040A0005" w:tentative="1">
      <w:start w:val="1"/>
      <w:numFmt w:val="bullet"/>
      <w:lvlText w:val=""/>
      <w:lvlJc w:val="left"/>
      <w:pPr>
        <w:ind w:left="5400" w:hanging="360"/>
      </w:pPr>
      <w:rPr>
        <w:rFonts w:ascii="Wingdings" w:hAnsi="Wingdings" w:hint="default"/>
      </w:rPr>
    </w:lvl>
    <w:lvl w:ilvl="6" w:tplc="040A0001" w:tentative="1">
      <w:start w:val="1"/>
      <w:numFmt w:val="bullet"/>
      <w:lvlText w:val=""/>
      <w:lvlJc w:val="left"/>
      <w:pPr>
        <w:ind w:left="6120" w:hanging="360"/>
      </w:pPr>
      <w:rPr>
        <w:rFonts w:ascii="Symbol" w:hAnsi="Symbol" w:hint="default"/>
      </w:rPr>
    </w:lvl>
    <w:lvl w:ilvl="7" w:tplc="040A0003" w:tentative="1">
      <w:start w:val="1"/>
      <w:numFmt w:val="bullet"/>
      <w:lvlText w:val="o"/>
      <w:lvlJc w:val="left"/>
      <w:pPr>
        <w:ind w:left="6840" w:hanging="360"/>
      </w:pPr>
      <w:rPr>
        <w:rFonts w:ascii="Courier New" w:hAnsi="Courier New" w:cs="Courier New" w:hint="default"/>
      </w:rPr>
    </w:lvl>
    <w:lvl w:ilvl="8" w:tplc="040A0005" w:tentative="1">
      <w:start w:val="1"/>
      <w:numFmt w:val="bullet"/>
      <w:lvlText w:val=""/>
      <w:lvlJc w:val="left"/>
      <w:pPr>
        <w:ind w:left="7560" w:hanging="360"/>
      </w:pPr>
      <w:rPr>
        <w:rFonts w:ascii="Wingdings" w:hAnsi="Wingdings" w:hint="default"/>
      </w:rPr>
    </w:lvl>
  </w:abstractNum>
  <w:abstractNum w:abstractNumId="9" w15:restartNumberingAfterBreak="0">
    <w:nsid w:val="1CB8657E"/>
    <w:multiLevelType w:val="hybridMultilevel"/>
    <w:tmpl w:val="4E00E94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27227FDC"/>
    <w:multiLevelType w:val="hybridMultilevel"/>
    <w:tmpl w:val="00B69BF6"/>
    <w:lvl w:ilvl="0" w:tplc="83A49DEC">
      <w:start w:val="1"/>
      <w:numFmt w:val="lowerLetter"/>
      <w:lvlText w:val="%1)"/>
      <w:lvlJc w:val="left"/>
      <w:pPr>
        <w:ind w:left="720" w:hanging="360"/>
      </w:pPr>
      <w:rPr>
        <w:rFonts w:ascii="Palatino Linotype" w:eastAsiaTheme="majorEastAsia" w:hAnsi="Palatino Linotype" w:cstheme="majorBidi" w:hint="default"/>
        <w:b/>
        <w:i/>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2C1B4700"/>
    <w:multiLevelType w:val="hybridMultilevel"/>
    <w:tmpl w:val="31CA6872"/>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3" w15:restartNumberingAfterBreak="0">
    <w:nsid w:val="34317490"/>
    <w:multiLevelType w:val="hybridMultilevel"/>
    <w:tmpl w:val="828254CC"/>
    <w:lvl w:ilvl="0" w:tplc="1C8A5F06">
      <w:start w:val="1"/>
      <w:numFmt w:val="decimal"/>
      <w:lvlText w:val="%1."/>
      <w:lvlJc w:val="left"/>
      <w:pPr>
        <w:ind w:left="360"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4402D0B"/>
    <w:multiLevelType w:val="multilevel"/>
    <w:tmpl w:val="FA401D0A"/>
    <w:lvl w:ilvl="0">
      <w:start w:val="24"/>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7C829A9"/>
    <w:multiLevelType w:val="hybridMultilevel"/>
    <w:tmpl w:val="9EEC5082"/>
    <w:lvl w:ilvl="0" w:tplc="72C44D94">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59C2E00"/>
    <w:multiLevelType w:val="hybridMultilevel"/>
    <w:tmpl w:val="ADB2038E"/>
    <w:lvl w:ilvl="0" w:tplc="E96A461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10C03CA"/>
    <w:multiLevelType w:val="hybridMultilevel"/>
    <w:tmpl w:val="E29AB93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1F45554"/>
    <w:multiLevelType w:val="hybridMultilevel"/>
    <w:tmpl w:val="A1A84E52"/>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9" w15:restartNumberingAfterBreak="0">
    <w:nsid w:val="579E7E2C"/>
    <w:multiLevelType w:val="hybridMultilevel"/>
    <w:tmpl w:val="285A6A7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3A50FF6"/>
    <w:multiLevelType w:val="hybridMultilevel"/>
    <w:tmpl w:val="E29CFFBE"/>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1" w15:restartNumberingAfterBreak="0">
    <w:nsid w:val="702C1203"/>
    <w:multiLevelType w:val="hybridMultilevel"/>
    <w:tmpl w:val="561C01C2"/>
    <w:lvl w:ilvl="0" w:tplc="040A0001">
      <w:start w:val="1"/>
      <w:numFmt w:val="bullet"/>
      <w:lvlText w:val=""/>
      <w:lvlJc w:val="left"/>
      <w:pPr>
        <w:ind w:left="1146" w:hanging="360"/>
      </w:pPr>
      <w:rPr>
        <w:rFonts w:ascii="Symbol" w:hAnsi="Symbol" w:hint="default"/>
      </w:rPr>
    </w:lvl>
    <w:lvl w:ilvl="1" w:tplc="040A0003" w:tentative="1">
      <w:start w:val="1"/>
      <w:numFmt w:val="bullet"/>
      <w:lvlText w:val="o"/>
      <w:lvlJc w:val="left"/>
      <w:pPr>
        <w:ind w:left="1866" w:hanging="360"/>
      </w:pPr>
      <w:rPr>
        <w:rFonts w:ascii="Courier New" w:hAnsi="Courier New" w:cs="Courier New" w:hint="default"/>
      </w:rPr>
    </w:lvl>
    <w:lvl w:ilvl="2" w:tplc="040A0005" w:tentative="1">
      <w:start w:val="1"/>
      <w:numFmt w:val="bullet"/>
      <w:lvlText w:val=""/>
      <w:lvlJc w:val="left"/>
      <w:pPr>
        <w:ind w:left="2586" w:hanging="360"/>
      </w:pPr>
      <w:rPr>
        <w:rFonts w:ascii="Wingdings" w:hAnsi="Wingdings" w:hint="default"/>
      </w:rPr>
    </w:lvl>
    <w:lvl w:ilvl="3" w:tplc="040A0001" w:tentative="1">
      <w:start w:val="1"/>
      <w:numFmt w:val="bullet"/>
      <w:lvlText w:val=""/>
      <w:lvlJc w:val="left"/>
      <w:pPr>
        <w:ind w:left="3306" w:hanging="360"/>
      </w:pPr>
      <w:rPr>
        <w:rFonts w:ascii="Symbol" w:hAnsi="Symbol" w:hint="default"/>
      </w:rPr>
    </w:lvl>
    <w:lvl w:ilvl="4" w:tplc="040A0003" w:tentative="1">
      <w:start w:val="1"/>
      <w:numFmt w:val="bullet"/>
      <w:lvlText w:val="o"/>
      <w:lvlJc w:val="left"/>
      <w:pPr>
        <w:ind w:left="4026" w:hanging="360"/>
      </w:pPr>
      <w:rPr>
        <w:rFonts w:ascii="Courier New" w:hAnsi="Courier New" w:cs="Courier New" w:hint="default"/>
      </w:rPr>
    </w:lvl>
    <w:lvl w:ilvl="5" w:tplc="040A0005" w:tentative="1">
      <w:start w:val="1"/>
      <w:numFmt w:val="bullet"/>
      <w:lvlText w:val=""/>
      <w:lvlJc w:val="left"/>
      <w:pPr>
        <w:ind w:left="4746" w:hanging="360"/>
      </w:pPr>
      <w:rPr>
        <w:rFonts w:ascii="Wingdings" w:hAnsi="Wingdings" w:hint="default"/>
      </w:rPr>
    </w:lvl>
    <w:lvl w:ilvl="6" w:tplc="040A0001" w:tentative="1">
      <w:start w:val="1"/>
      <w:numFmt w:val="bullet"/>
      <w:lvlText w:val=""/>
      <w:lvlJc w:val="left"/>
      <w:pPr>
        <w:ind w:left="5466" w:hanging="360"/>
      </w:pPr>
      <w:rPr>
        <w:rFonts w:ascii="Symbol" w:hAnsi="Symbol" w:hint="default"/>
      </w:rPr>
    </w:lvl>
    <w:lvl w:ilvl="7" w:tplc="040A0003" w:tentative="1">
      <w:start w:val="1"/>
      <w:numFmt w:val="bullet"/>
      <w:lvlText w:val="o"/>
      <w:lvlJc w:val="left"/>
      <w:pPr>
        <w:ind w:left="6186" w:hanging="360"/>
      </w:pPr>
      <w:rPr>
        <w:rFonts w:ascii="Courier New" w:hAnsi="Courier New" w:cs="Courier New" w:hint="default"/>
      </w:rPr>
    </w:lvl>
    <w:lvl w:ilvl="8" w:tplc="040A0005" w:tentative="1">
      <w:start w:val="1"/>
      <w:numFmt w:val="bullet"/>
      <w:lvlText w:val=""/>
      <w:lvlJc w:val="left"/>
      <w:pPr>
        <w:ind w:left="6906" w:hanging="360"/>
      </w:pPr>
      <w:rPr>
        <w:rFonts w:ascii="Wingdings" w:hAnsi="Wingdings" w:hint="default"/>
      </w:rPr>
    </w:lvl>
  </w:abstractNum>
  <w:abstractNum w:abstractNumId="22" w15:restartNumberingAfterBreak="0">
    <w:nsid w:val="7BAF3DB4"/>
    <w:multiLevelType w:val="hybridMultilevel"/>
    <w:tmpl w:val="26480E6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3" w15:restartNumberingAfterBreak="0">
    <w:nsid w:val="7DFF7B19"/>
    <w:multiLevelType w:val="hybridMultilevel"/>
    <w:tmpl w:val="872C1D2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
  </w:num>
  <w:num w:numId="2">
    <w:abstractNumId w:val="22"/>
  </w:num>
  <w:num w:numId="3">
    <w:abstractNumId w:val="10"/>
  </w:num>
  <w:num w:numId="4">
    <w:abstractNumId w:val="12"/>
  </w:num>
  <w:num w:numId="5">
    <w:abstractNumId w:val="3"/>
  </w:num>
  <w:num w:numId="6">
    <w:abstractNumId w:val="0"/>
  </w:num>
  <w:num w:numId="7">
    <w:abstractNumId w:val="21"/>
  </w:num>
  <w:num w:numId="8">
    <w:abstractNumId w:val="11"/>
  </w:num>
  <w:num w:numId="9">
    <w:abstractNumId w:val="17"/>
  </w:num>
  <w:num w:numId="10">
    <w:abstractNumId w:val="4"/>
  </w:num>
  <w:num w:numId="11">
    <w:abstractNumId w:val="1"/>
  </w:num>
  <w:num w:numId="12">
    <w:abstractNumId w:val="2"/>
  </w:num>
  <w:num w:numId="13">
    <w:abstractNumId w:val="14"/>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9"/>
  </w:num>
  <w:num w:numId="16">
    <w:abstractNumId w:val="15"/>
  </w:num>
  <w:num w:numId="17">
    <w:abstractNumId w:val="16"/>
  </w:num>
  <w:num w:numId="18">
    <w:abstractNumId w:val="20"/>
  </w:num>
  <w:num w:numId="19">
    <w:abstractNumId w:val="18"/>
  </w:num>
  <w:num w:numId="20">
    <w:abstractNumId w:val="6"/>
  </w:num>
  <w:num w:numId="21">
    <w:abstractNumId w:val="19"/>
  </w:num>
  <w:num w:numId="22">
    <w:abstractNumId w:val="7"/>
  </w:num>
  <w:num w:numId="23">
    <w:abstractNumId w:val="5"/>
  </w:num>
  <w:num w:numId="24">
    <w:abstractNumId w:val="2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hideSpellingErrors/>
  <w:hideGrammaticalErrors/>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1DB"/>
    <w:rsid w:val="00000E8F"/>
    <w:rsid w:val="000024F2"/>
    <w:rsid w:val="0000310F"/>
    <w:rsid w:val="00003A05"/>
    <w:rsid w:val="0000407F"/>
    <w:rsid w:val="00004906"/>
    <w:rsid w:val="000058E3"/>
    <w:rsid w:val="000065FD"/>
    <w:rsid w:val="00007E8A"/>
    <w:rsid w:val="0001106B"/>
    <w:rsid w:val="00011199"/>
    <w:rsid w:val="000120C5"/>
    <w:rsid w:val="00012472"/>
    <w:rsid w:val="0001398B"/>
    <w:rsid w:val="000203D3"/>
    <w:rsid w:val="000211F8"/>
    <w:rsid w:val="00023B29"/>
    <w:rsid w:val="000246C2"/>
    <w:rsid w:val="00024F35"/>
    <w:rsid w:val="00025980"/>
    <w:rsid w:val="00025B10"/>
    <w:rsid w:val="0003063D"/>
    <w:rsid w:val="00030F2B"/>
    <w:rsid w:val="000319FD"/>
    <w:rsid w:val="00031F10"/>
    <w:rsid w:val="00032493"/>
    <w:rsid w:val="0003432C"/>
    <w:rsid w:val="00034A1F"/>
    <w:rsid w:val="00034B29"/>
    <w:rsid w:val="0004072A"/>
    <w:rsid w:val="00041800"/>
    <w:rsid w:val="0004193F"/>
    <w:rsid w:val="00041C24"/>
    <w:rsid w:val="00042380"/>
    <w:rsid w:val="000431F7"/>
    <w:rsid w:val="000439C9"/>
    <w:rsid w:val="000440C5"/>
    <w:rsid w:val="0004427A"/>
    <w:rsid w:val="000444FF"/>
    <w:rsid w:val="00045C97"/>
    <w:rsid w:val="00046557"/>
    <w:rsid w:val="0004686A"/>
    <w:rsid w:val="000468E2"/>
    <w:rsid w:val="00046C3F"/>
    <w:rsid w:val="00047AE0"/>
    <w:rsid w:val="0005237C"/>
    <w:rsid w:val="00052A3C"/>
    <w:rsid w:val="00053927"/>
    <w:rsid w:val="00053ABC"/>
    <w:rsid w:val="0005437C"/>
    <w:rsid w:val="00054A03"/>
    <w:rsid w:val="00056A79"/>
    <w:rsid w:val="00061344"/>
    <w:rsid w:val="00061742"/>
    <w:rsid w:val="00062229"/>
    <w:rsid w:val="00062648"/>
    <w:rsid w:val="000631D9"/>
    <w:rsid w:val="0006407E"/>
    <w:rsid w:val="00064A37"/>
    <w:rsid w:val="00064B95"/>
    <w:rsid w:val="00065318"/>
    <w:rsid w:val="0006594F"/>
    <w:rsid w:val="0007192E"/>
    <w:rsid w:val="0007247F"/>
    <w:rsid w:val="00072930"/>
    <w:rsid w:val="000732C3"/>
    <w:rsid w:val="00077903"/>
    <w:rsid w:val="000800AC"/>
    <w:rsid w:val="00080F9E"/>
    <w:rsid w:val="0008230A"/>
    <w:rsid w:val="00082D11"/>
    <w:rsid w:val="00082F81"/>
    <w:rsid w:val="0008542A"/>
    <w:rsid w:val="00086D80"/>
    <w:rsid w:val="000878AA"/>
    <w:rsid w:val="00090D6F"/>
    <w:rsid w:val="00093A9A"/>
    <w:rsid w:val="00093E38"/>
    <w:rsid w:val="000950AA"/>
    <w:rsid w:val="000A1433"/>
    <w:rsid w:val="000A1BDD"/>
    <w:rsid w:val="000A24C0"/>
    <w:rsid w:val="000A3216"/>
    <w:rsid w:val="000A3F90"/>
    <w:rsid w:val="000A4E44"/>
    <w:rsid w:val="000A65A0"/>
    <w:rsid w:val="000A77ED"/>
    <w:rsid w:val="000B01B9"/>
    <w:rsid w:val="000B0370"/>
    <w:rsid w:val="000B0A5E"/>
    <w:rsid w:val="000B4850"/>
    <w:rsid w:val="000B49AB"/>
    <w:rsid w:val="000B5057"/>
    <w:rsid w:val="000B5A12"/>
    <w:rsid w:val="000B5AB1"/>
    <w:rsid w:val="000B5D79"/>
    <w:rsid w:val="000B6D31"/>
    <w:rsid w:val="000C0061"/>
    <w:rsid w:val="000C0663"/>
    <w:rsid w:val="000C10B9"/>
    <w:rsid w:val="000C1509"/>
    <w:rsid w:val="000C1D19"/>
    <w:rsid w:val="000C2DF8"/>
    <w:rsid w:val="000C2DFA"/>
    <w:rsid w:val="000C2E5F"/>
    <w:rsid w:val="000C3423"/>
    <w:rsid w:val="000C3861"/>
    <w:rsid w:val="000C4A8E"/>
    <w:rsid w:val="000C5A04"/>
    <w:rsid w:val="000C5AF7"/>
    <w:rsid w:val="000C637F"/>
    <w:rsid w:val="000C714B"/>
    <w:rsid w:val="000D009C"/>
    <w:rsid w:val="000D0855"/>
    <w:rsid w:val="000D1AD8"/>
    <w:rsid w:val="000D1E0F"/>
    <w:rsid w:val="000D2FD3"/>
    <w:rsid w:val="000D3275"/>
    <w:rsid w:val="000D3339"/>
    <w:rsid w:val="000D5A1D"/>
    <w:rsid w:val="000D7369"/>
    <w:rsid w:val="000E07DC"/>
    <w:rsid w:val="000E2665"/>
    <w:rsid w:val="000E35BE"/>
    <w:rsid w:val="000E46E5"/>
    <w:rsid w:val="000E62A0"/>
    <w:rsid w:val="000E6436"/>
    <w:rsid w:val="000E77B8"/>
    <w:rsid w:val="000F01E4"/>
    <w:rsid w:val="000F191E"/>
    <w:rsid w:val="000F2EDD"/>
    <w:rsid w:val="000F2F58"/>
    <w:rsid w:val="000F34CB"/>
    <w:rsid w:val="000F36DB"/>
    <w:rsid w:val="000F37A8"/>
    <w:rsid w:val="000F3B67"/>
    <w:rsid w:val="000F4AB1"/>
    <w:rsid w:val="000F523F"/>
    <w:rsid w:val="000F5D21"/>
    <w:rsid w:val="000F6D7E"/>
    <w:rsid w:val="000F76AD"/>
    <w:rsid w:val="000F7D75"/>
    <w:rsid w:val="00100187"/>
    <w:rsid w:val="00100B8B"/>
    <w:rsid w:val="00100DDD"/>
    <w:rsid w:val="0010268C"/>
    <w:rsid w:val="00102A39"/>
    <w:rsid w:val="00102D65"/>
    <w:rsid w:val="00103888"/>
    <w:rsid w:val="00104C12"/>
    <w:rsid w:val="00105B1D"/>
    <w:rsid w:val="00107499"/>
    <w:rsid w:val="00107557"/>
    <w:rsid w:val="0011001E"/>
    <w:rsid w:val="0011167C"/>
    <w:rsid w:val="00112B02"/>
    <w:rsid w:val="001139A2"/>
    <w:rsid w:val="00113B08"/>
    <w:rsid w:val="00113BD3"/>
    <w:rsid w:val="001140A4"/>
    <w:rsid w:val="00114A21"/>
    <w:rsid w:val="00115071"/>
    <w:rsid w:val="0012006D"/>
    <w:rsid w:val="00120243"/>
    <w:rsid w:val="00123F05"/>
    <w:rsid w:val="00124A13"/>
    <w:rsid w:val="001250B4"/>
    <w:rsid w:val="001253D1"/>
    <w:rsid w:val="00130E92"/>
    <w:rsid w:val="001318D2"/>
    <w:rsid w:val="00132C06"/>
    <w:rsid w:val="00133B79"/>
    <w:rsid w:val="00133CE5"/>
    <w:rsid w:val="0013431F"/>
    <w:rsid w:val="001352E5"/>
    <w:rsid w:val="00136325"/>
    <w:rsid w:val="00136668"/>
    <w:rsid w:val="0013673A"/>
    <w:rsid w:val="00136C7D"/>
    <w:rsid w:val="00137846"/>
    <w:rsid w:val="00140D44"/>
    <w:rsid w:val="00141114"/>
    <w:rsid w:val="00141BF0"/>
    <w:rsid w:val="001436BB"/>
    <w:rsid w:val="00143BF3"/>
    <w:rsid w:val="0014481A"/>
    <w:rsid w:val="001459C8"/>
    <w:rsid w:val="001468A5"/>
    <w:rsid w:val="001475E7"/>
    <w:rsid w:val="00147864"/>
    <w:rsid w:val="00150BDE"/>
    <w:rsid w:val="00152ADF"/>
    <w:rsid w:val="00153833"/>
    <w:rsid w:val="00154304"/>
    <w:rsid w:val="0015466E"/>
    <w:rsid w:val="00154765"/>
    <w:rsid w:val="00154EF0"/>
    <w:rsid w:val="001553C1"/>
    <w:rsid w:val="00155E0F"/>
    <w:rsid w:val="00156A23"/>
    <w:rsid w:val="0016136A"/>
    <w:rsid w:val="00163780"/>
    <w:rsid w:val="00163B1F"/>
    <w:rsid w:val="001648EE"/>
    <w:rsid w:val="00164B65"/>
    <w:rsid w:val="00164CD4"/>
    <w:rsid w:val="00165433"/>
    <w:rsid w:val="00166794"/>
    <w:rsid w:val="00166BFB"/>
    <w:rsid w:val="00170D28"/>
    <w:rsid w:val="00171E0A"/>
    <w:rsid w:val="001729DF"/>
    <w:rsid w:val="00173541"/>
    <w:rsid w:val="00173DDB"/>
    <w:rsid w:val="00173F22"/>
    <w:rsid w:val="00175DB6"/>
    <w:rsid w:val="0017653A"/>
    <w:rsid w:val="001770B7"/>
    <w:rsid w:val="001775DF"/>
    <w:rsid w:val="001817E3"/>
    <w:rsid w:val="00182FC7"/>
    <w:rsid w:val="0018435D"/>
    <w:rsid w:val="001854E7"/>
    <w:rsid w:val="001863AF"/>
    <w:rsid w:val="00190999"/>
    <w:rsid w:val="0019160F"/>
    <w:rsid w:val="00192B71"/>
    <w:rsid w:val="00192D8E"/>
    <w:rsid w:val="00192E4B"/>
    <w:rsid w:val="00193EC9"/>
    <w:rsid w:val="00195C4D"/>
    <w:rsid w:val="001972CC"/>
    <w:rsid w:val="001A1188"/>
    <w:rsid w:val="001A138D"/>
    <w:rsid w:val="001A18F8"/>
    <w:rsid w:val="001A1A1F"/>
    <w:rsid w:val="001A2857"/>
    <w:rsid w:val="001A2A89"/>
    <w:rsid w:val="001A3634"/>
    <w:rsid w:val="001A4A80"/>
    <w:rsid w:val="001A4D5D"/>
    <w:rsid w:val="001A61E1"/>
    <w:rsid w:val="001A62B7"/>
    <w:rsid w:val="001A683E"/>
    <w:rsid w:val="001A6C1E"/>
    <w:rsid w:val="001A7367"/>
    <w:rsid w:val="001B2129"/>
    <w:rsid w:val="001B2751"/>
    <w:rsid w:val="001B34DA"/>
    <w:rsid w:val="001B3659"/>
    <w:rsid w:val="001B3AC9"/>
    <w:rsid w:val="001B3B55"/>
    <w:rsid w:val="001B40F3"/>
    <w:rsid w:val="001B53A0"/>
    <w:rsid w:val="001B5F70"/>
    <w:rsid w:val="001B6845"/>
    <w:rsid w:val="001B770B"/>
    <w:rsid w:val="001C0AED"/>
    <w:rsid w:val="001C13B1"/>
    <w:rsid w:val="001C1BB6"/>
    <w:rsid w:val="001C1C2A"/>
    <w:rsid w:val="001C1CDE"/>
    <w:rsid w:val="001C2713"/>
    <w:rsid w:val="001C2BAD"/>
    <w:rsid w:val="001C2EF3"/>
    <w:rsid w:val="001C34D6"/>
    <w:rsid w:val="001C3898"/>
    <w:rsid w:val="001C3DB4"/>
    <w:rsid w:val="001C4179"/>
    <w:rsid w:val="001C54A9"/>
    <w:rsid w:val="001C6012"/>
    <w:rsid w:val="001C640B"/>
    <w:rsid w:val="001C67B0"/>
    <w:rsid w:val="001C6DF1"/>
    <w:rsid w:val="001C79FA"/>
    <w:rsid w:val="001D07C9"/>
    <w:rsid w:val="001D162B"/>
    <w:rsid w:val="001D2194"/>
    <w:rsid w:val="001D393C"/>
    <w:rsid w:val="001D3AB5"/>
    <w:rsid w:val="001D53A2"/>
    <w:rsid w:val="001D7E82"/>
    <w:rsid w:val="001E0AD2"/>
    <w:rsid w:val="001E2824"/>
    <w:rsid w:val="001E3F91"/>
    <w:rsid w:val="001E48DA"/>
    <w:rsid w:val="001E6822"/>
    <w:rsid w:val="001E74A5"/>
    <w:rsid w:val="001E7617"/>
    <w:rsid w:val="001E7B9E"/>
    <w:rsid w:val="001F025B"/>
    <w:rsid w:val="001F053F"/>
    <w:rsid w:val="001F0E92"/>
    <w:rsid w:val="001F1169"/>
    <w:rsid w:val="001F2BDF"/>
    <w:rsid w:val="001F4299"/>
    <w:rsid w:val="001F5AF8"/>
    <w:rsid w:val="001F783F"/>
    <w:rsid w:val="001F7DE2"/>
    <w:rsid w:val="001F7FDA"/>
    <w:rsid w:val="002031F3"/>
    <w:rsid w:val="00207415"/>
    <w:rsid w:val="00207915"/>
    <w:rsid w:val="002111FF"/>
    <w:rsid w:val="00211229"/>
    <w:rsid w:val="00212873"/>
    <w:rsid w:val="00212C9C"/>
    <w:rsid w:val="00213108"/>
    <w:rsid w:val="0021331A"/>
    <w:rsid w:val="0021453E"/>
    <w:rsid w:val="0021475E"/>
    <w:rsid w:val="00216653"/>
    <w:rsid w:val="002179AC"/>
    <w:rsid w:val="00220794"/>
    <w:rsid w:val="00220ADB"/>
    <w:rsid w:val="002217BA"/>
    <w:rsid w:val="00221E74"/>
    <w:rsid w:val="00222AAA"/>
    <w:rsid w:val="00223507"/>
    <w:rsid w:val="0022353C"/>
    <w:rsid w:val="00223D1A"/>
    <w:rsid w:val="00225ECB"/>
    <w:rsid w:val="002273CC"/>
    <w:rsid w:val="00227831"/>
    <w:rsid w:val="00230170"/>
    <w:rsid w:val="002305CF"/>
    <w:rsid w:val="00231760"/>
    <w:rsid w:val="00231AD8"/>
    <w:rsid w:val="00233092"/>
    <w:rsid w:val="002345FF"/>
    <w:rsid w:val="00234A2F"/>
    <w:rsid w:val="0023555B"/>
    <w:rsid w:val="00237026"/>
    <w:rsid w:val="00237611"/>
    <w:rsid w:val="00241FD2"/>
    <w:rsid w:val="00244476"/>
    <w:rsid w:val="0024659E"/>
    <w:rsid w:val="002473A2"/>
    <w:rsid w:val="002509BA"/>
    <w:rsid w:val="0025224A"/>
    <w:rsid w:val="00252A20"/>
    <w:rsid w:val="00252B41"/>
    <w:rsid w:val="0025331E"/>
    <w:rsid w:val="002539DD"/>
    <w:rsid w:val="00254FE5"/>
    <w:rsid w:val="0025524F"/>
    <w:rsid w:val="0025717D"/>
    <w:rsid w:val="00260C1D"/>
    <w:rsid w:val="00261001"/>
    <w:rsid w:val="002614BE"/>
    <w:rsid w:val="00261D84"/>
    <w:rsid w:val="00263F5A"/>
    <w:rsid w:val="00264D02"/>
    <w:rsid w:val="0026500D"/>
    <w:rsid w:val="00265CD7"/>
    <w:rsid w:val="002665BD"/>
    <w:rsid w:val="00266985"/>
    <w:rsid w:val="002679C7"/>
    <w:rsid w:val="00270219"/>
    <w:rsid w:val="0027187C"/>
    <w:rsid w:val="00271B06"/>
    <w:rsid w:val="002725E2"/>
    <w:rsid w:val="00273013"/>
    <w:rsid w:val="00273786"/>
    <w:rsid w:val="00273C37"/>
    <w:rsid w:val="0027430D"/>
    <w:rsid w:val="00274D35"/>
    <w:rsid w:val="00274F7F"/>
    <w:rsid w:val="00277A35"/>
    <w:rsid w:val="00280994"/>
    <w:rsid w:val="00280E67"/>
    <w:rsid w:val="00283749"/>
    <w:rsid w:val="00285230"/>
    <w:rsid w:val="002860E1"/>
    <w:rsid w:val="002871EB"/>
    <w:rsid w:val="002879B1"/>
    <w:rsid w:val="00290631"/>
    <w:rsid w:val="00290721"/>
    <w:rsid w:val="00293AAD"/>
    <w:rsid w:val="002940E2"/>
    <w:rsid w:val="002A07F4"/>
    <w:rsid w:val="002A229B"/>
    <w:rsid w:val="002A2974"/>
    <w:rsid w:val="002A35B6"/>
    <w:rsid w:val="002A61A7"/>
    <w:rsid w:val="002A7537"/>
    <w:rsid w:val="002A7FC1"/>
    <w:rsid w:val="002B085C"/>
    <w:rsid w:val="002B0CAD"/>
    <w:rsid w:val="002B284F"/>
    <w:rsid w:val="002B2A2E"/>
    <w:rsid w:val="002B2F4D"/>
    <w:rsid w:val="002B2F59"/>
    <w:rsid w:val="002B4D21"/>
    <w:rsid w:val="002C0074"/>
    <w:rsid w:val="002C0804"/>
    <w:rsid w:val="002C1882"/>
    <w:rsid w:val="002C1ED0"/>
    <w:rsid w:val="002C2D44"/>
    <w:rsid w:val="002C34C3"/>
    <w:rsid w:val="002C4715"/>
    <w:rsid w:val="002C4780"/>
    <w:rsid w:val="002C47ED"/>
    <w:rsid w:val="002C481B"/>
    <w:rsid w:val="002C484A"/>
    <w:rsid w:val="002C570D"/>
    <w:rsid w:val="002C5D25"/>
    <w:rsid w:val="002C6DB3"/>
    <w:rsid w:val="002D050A"/>
    <w:rsid w:val="002D0E3D"/>
    <w:rsid w:val="002D10C8"/>
    <w:rsid w:val="002D1751"/>
    <w:rsid w:val="002D1A38"/>
    <w:rsid w:val="002D2E16"/>
    <w:rsid w:val="002D373C"/>
    <w:rsid w:val="002D3C71"/>
    <w:rsid w:val="002D3F95"/>
    <w:rsid w:val="002D4467"/>
    <w:rsid w:val="002D58BE"/>
    <w:rsid w:val="002D59F1"/>
    <w:rsid w:val="002E0CDD"/>
    <w:rsid w:val="002E1FA2"/>
    <w:rsid w:val="002E1FD4"/>
    <w:rsid w:val="002E3DD5"/>
    <w:rsid w:val="002E482C"/>
    <w:rsid w:val="002E4A6D"/>
    <w:rsid w:val="002E5399"/>
    <w:rsid w:val="002E6531"/>
    <w:rsid w:val="002E689B"/>
    <w:rsid w:val="002E6CFE"/>
    <w:rsid w:val="002E74CE"/>
    <w:rsid w:val="002E7AD0"/>
    <w:rsid w:val="002F1871"/>
    <w:rsid w:val="002F24ED"/>
    <w:rsid w:val="002F287A"/>
    <w:rsid w:val="002F30A6"/>
    <w:rsid w:val="002F3672"/>
    <w:rsid w:val="002F42ED"/>
    <w:rsid w:val="002F4E6E"/>
    <w:rsid w:val="002F4FCE"/>
    <w:rsid w:val="002F72FA"/>
    <w:rsid w:val="002F7480"/>
    <w:rsid w:val="0030028B"/>
    <w:rsid w:val="003007E0"/>
    <w:rsid w:val="0030150B"/>
    <w:rsid w:val="00301B41"/>
    <w:rsid w:val="00301D47"/>
    <w:rsid w:val="003030B1"/>
    <w:rsid w:val="00303717"/>
    <w:rsid w:val="00304013"/>
    <w:rsid w:val="00304137"/>
    <w:rsid w:val="003046AA"/>
    <w:rsid w:val="003049F3"/>
    <w:rsid w:val="00305F6D"/>
    <w:rsid w:val="00306493"/>
    <w:rsid w:val="003064B8"/>
    <w:rsid w:val="00307227"/>
    <w:rsid w:val="003072EE"/>
    <w:rsid w:val="003105D0"/>
    <w:rsid w:val="003105D6"/>
    <w:rsid w:val="00310D66"/>
    <w:rsid w:val="00311517"/>
    <w:rsid w:val="003116A6"/>
    <w:rsid w:val="00311C3D"/>
    <w:rsid w:val="00311E54"/>
    <w:rsid w:val="00312733"/>
    <w:rsid w:val="00313AF4"/>
    <w:rsid w:val="0031434A"/>
    <w:rsid w:val="00314825"/>
    <w:rsid w:val="00314975"/>
    <w:rsid w:val="00316065"/>
    <w:rsid w:val="00317883"/>
    <w:rsid w:val="00317EFF"/>
    <w:rsid w:val="003208D6"/>
    <w:rsid w:val="0032119F"/>
    <w:rsid w:val="00321AA3"/>
    <w:rsid w:val="00322863"/>
    <w:rsid w:val="00323895"/>
    <w:rsid w:val="00323B4A"/>
    <w:rsid w:val="0032464F"/>
    <w:rsid w:val="00325208"/>
    <w:rsid w:val="00326038"/>
    <w:rsid w:val="00326A93"/>
    <w:rsid w:val="00327D79"/>
    <w:rsid w:val="00330C1C"/>
    <w:rsid w:val="0033203C"/>
    <w:rsid w:val="00332E6B"/>
    <w:rsid w:val="003331D8"/>
    <w:rsid w:val="00333297"/>
    <w:rsid w:val="00333331"/>
    <w:rsid w:val="00333BE8"/>
    <w:rsid w:val="00334BED"/>
    <w:rsid w:val="00335BFE"/>
    <w:rsid w:val="0033608B"/>
    <w:rsid w:val="00336419"/>
    <w:rsid w:val="00336428"/>
    <w:rsid w:val="003364ED"/>
    <w:rsid w:val="00336D64"/>
    <w:rsid w:val="003374D7"/>
    <w:rsid w:val="00337941"/>
    <w:rsid w:val="003407D0"/>
    <w:rsid w:val="00343300"/>
    <w:rsid w:val="00343BE0"/>
    <w:rsid w:val="00345B79"/>
    <w:rsid w:val="00345D0F"/>
    <w:rsid w:val="00346885"/>
    <w:rsid w:val="003472B3"/>
    <w:rsid w:val="0035023D"/>
    <w:rsid w:val="00350A12"/>
    <w:rsid w:val="0035104F"/>
    <w:rsid w:val="00353201"/>
    <w:rsid w:val="00355AEE"/>
    <w:rsid w:val="00355D3B"/>
    <w:rsid w:val="003606B9"/>
    <w:rsid w:val="0036073F"/>
    <w:rsid w:val="003612FA"/>
    <w:rsid w:val="00361595"/>
    <w:rsid w:val="003621DC"/>
    <w:rsid w:val="003629EE"/>
    <w:rsid w:val="003635B0"/>
    <w:rsid w:val="003641F0"/>
    <w:rsid w:val="003643B3"/>
    <w:rsid w:val="003656E5"/>
    <w:rsid w:val="00370BB1"/>
    <w:rsid w:val="003721B2"/>
    <w:rsid w:val="00372328"/>
    <w:rsid w:val="00373EFE"/>
    <w:rsid w:val="0037428A"/>
    <w:rsid w:val="003745FC"/>
    <w:rsid w:val="00375BD3"/>
    <w:rsid w:val="003762FD"/>
    <w:rsid w:val="00377CC8"/>
    <w:rsid w:val="0038145C"/>
    <w:rsid w:val="0038276E"/>
    <w:rsid w:val="0038385B"/>
    <w:rsid w:val="00383E66"/>
    <w:rsid w:val="0038490F"/>
    <w:rsid w:val="003849F7"/>
    <w:rsid w:val="00386CD4"/>
    <w:rsid w:val="00387DC9"/>
    <w:rsid w:val="0039193E"/>
    <w:rsid w:val="00391ADA"/>
    <w:rsid w:val="00391F80"/>
    <w:rsid w:val="00392CDB"/>
    <w:rsid w:val="00392FB7"/>
    <w:rsid w:val="0039380F"/>
    <w:rsid w:val="00393B71"/>
    <w:rsid w:val="00394095"/>
    <w:rsid w:val="003940F6"/>
    <w:rsid w:val="003949FA"/>
    <w:rsid w:val="0039555F"/>
    <w:rsid w:val="00396545"/>
    <w:rsid w:val="00396F71"/>
    <w:rsid w:val="003A04FF"/>
    <w:rsid w:val="003A0AA2"/>
    <w:rsid w:val="003A1B01"/>
    <w:rsid w:val="003A1B7A"/>
    <w:rsid w:val="003A2029"/>
    <w:rsid w:val="003A6417"/>
    <w:rsid w:val="003A65FE"/>
    <w:rsid w:val="003A6A5A"/>
    <w:rsid w:val="003A7221"/>
    <w:rsid w:val="003A730E"/>
    <w:rsid w:val="003A7AED"/>
    <w:rsid w:val="003B2856"/>
    <w:rsid w:val="003B2A0D"/>
    <w:rsid w:val="003B39E2"/>
    <w:rsid w:val="003B45B6"/>
    <w:rsid w:val="003B50CD"/>
    <w:rsid w:val="003B55AD"/>
    <w:rsid w:val="003B565C"/>
    <w:rsid w:val="003B6822"/>
    <w:rsid w:val="003B6EB4"/>
    <w:rsid w:val="003B7421"/>
    <w:rsid w:val="003B7DC8"/>
    <w:rsid w:val="003B7EC4"/>
    <w:rsid w:val="003C3086"/>
    <w:rsid w:val="003C462F"/>
    <w:rsid w:val="003C63F1"/>
    <w:rsid w:val="003C7282"/>
    <w:rsid w:val="003D00D5"/>
    <w:rsid w:val="003D01B4"/>
    <w:rsid w:val="003D1421"/>
    <w:rsid w:val="003D16A8"/>
    <w:rsid w:val="003D181D"/>
    <w:rsid w:val="003D20C4"/>
    <w:rsid w:val="003D3043"/>
    <w:rsid w:val="003D3C1A"/>
    <w:rsid w:val="003D4188"/>
    <w:rsid w:val="003D46D0"/>
    <w:rsid w:val="003D5E95"/>
    <w:rsid w:val="003D6CE0"/>
    <w:rsid w:val="003D6D17"/>
    <w:rsid w:val="003E05CB"/>
    <w:rsid w:val="003E0654"/>
    <w:rsid w:val="003E2663"/>
    <w:rsid w:val="003E5E39"/>
    <w:rsid w:val="003E6679"/>
    <w:rsid w:val="003E6D0F"/>
    <w:rsid w:val="003E712E"/>
    <w:rsid w:val="003F140F"/>
    <w:rsid w:val="003F15DB"/>
    <w:rsid w:val="003F227C"/>
    <w:rsid w:val="003F2702"/>
    <w:rsid w:val="003F2778"/>
    <w:rsid w:val="003F36A4"/>
    <w:rsid w:val="003F70CA"/>
    <w:rsid w:val="0040137F"/>
    <w:rsid w:val="00402179"/>
    <w:rsid w:val="004026D6"/>
    <w:rsid w:val="0040278D"/>
    <w:rsid w:val="00403520"/>
    <w:rsid w:val="00406EED"/>
    <w:rsid w:val="00410219"/>
    <w:rsid w:val="00412DB3"/>
    <w:rsid w:val="00412E24"/>
    <w:rsid w:val="00413469"/>
    <w:rsid w:val="00413903"/>
    <w:rsid w:val="00413DAD"/>
    <w:rsid w:val="00414571"/>
    <w:rsid w:val="00414836"/>
    <w:rsid w:val="00416727"/>
    <w:rsid w:val="00417555"/>
    <w:rsid w:val="0042068A"/>
    <w:rsid w:val="00421EDE"/>
    <w:rsid w:val="004229F4"/>
    <w:rsid w:val="004242BB"/>
    <w:rsid w:val="0042437A"/>
    <w:rsid w:val="00424CBA"/>
    <w:rsid w:val="00424E72"/>
    <w:rsid w:val="00426D7C"/>
    <w:rsid w:val="004300ED"/>
    <w:rsid w:val="00431687"/>
    <w:rsid w:val="00432B72"/>
    <w:rsid w:val="00433016"/>
    <w:rsid w:val="00433415"/>
    <w:rsid w:val="004339BD"/>
    <w:rsid w:val="004342F1"/>
    <w:rsid w:val="004349C0"/>
    <w:rsid w:val="00434B23"/>
    <w:rsid w:val="00434FD0"/>
    <w:rsid w:val="00435917"/>
    <w:rsid w:val="0043626D"/>
    <w:rsid w:val="004362AD"/>
    <w:rsid w:val="00437611"/>
    <w:rsid w:val="00437702"/>
    <w:rsid w:val="004401B5"/>
    <w:rsid w:val="00440800"/>
    <w:rsid w:val="00440D81"/>
    <w:rsid w:val="00441847"/>
    <w:rsid w:val="00441D55"/>
    <w:rsid w:val="00442393"/>
    <w:rsid w:val="004436D7"/>
    <w:rsid w:val="00443DCB"/>
    <w:rsid w:val="00443DEB"/>
    <w:rsid w:val="00444891"/>
    <w:rsid w:val="0044535B"/>
    <w:rsid w:val="00445DB4"/>
    <w:rsid w:val="00445FDA"/>
    <w:rsid w:val="00447F0D"/>
    <w:rsid w:val="00450A5F"/>
    <w:rsid w:val="00451514"/>
    <w:rsid w:val="0045209F"/>
    <w:rsid w:val="00453BB4"/>
    <w:rsid w:val="00454ABA"/>
    <w:rsid w:val="00456317"/>
    <w:rsid w:val="00456348"/>
    <w:rsid w:val="004613B1"/>
    <w:rsid w:val="00461513"/>
    <w:rsid w:val="0046231E"/>
    <w:rsid w:val="004635E2"/>
    <w:rsid w:val="00463FA5"/>
    <w:rsid w:val="00464CB6"/>
    <w:rsid w:val="0046566E"/>
    <w:rsid w:val="004662E0"/>
    <w:rsid w:val="0047025A"/>
    <w:rsid w:val="00470558"/>
    <w:rsid w:val="0047081C"/>
    <w:rsid w:val="00472C41"/>
    <w:rsid w:val="00473115"/>
    <w:rsid w:val="00473772"/>
    <w:rsid w:val="00474477"/>
    <w:rsid w:val="00474630"/>
    <w:rsid w:val="00475C0D"/>
    <w:rsid w:val="004764CB"/>
    <w:rsid w:val="004766CF"/>
    <w:rsid w:val="00476730"/>
    <w:rsid w:val="004769A5"/>
    <w:rsid w:val="004803A2"/>
    <w:rsid w:val="00481A7B"/>
    <w:rsid w:val="004827D5"/>
    <w:rsid w:val="0048386B"/>
    <w:rsid w:val="00483A12"/>
    <w:rsid w:val="00483C14"/>
    <w:rsid w:val="00485BA5"/>
    <w:rsid w:val="00485D48"/>
    <w:rsid w:val="00485DB6"/>
    <w:rsid w:val="0048658E"/>
    <w:rsid w:val="00486674"/>
    <w:rsid w:val="0048771D"/>
    <w:rsid w:val="004905ED"/>
    <w:rsid w:val="00491C96"/>
    <w:rsid w:val="004923B6"/>
    <w:rsid w:val="00493175"/>
    <w:rsid w:val="00494294"/>
    <w:rsid w:val="00495611"/>
    <w:rsid w:val="00496359"/>
    <w:rsid w:val="00496B38"/>
    <w:rsid w:val="00496C48"/>
    <w:rsid w:val="00497897"/>
    <w:rsid w:val="004A14BE"/>
    <w:rsid w:val="004A1821"/>
    <w:rsid w:val="004A2BF5"/>
    <w:rsid w:val="004A3085"/>
    <w:rsid w:val="004A4BD5"/>
    <w:rsid w:val="004A4CFD"/>
    <w:rsid w:val="004A677C"/>
    <w:rsid w:val="004A6A7B"/>
    <w:rsid w:val="004A6E25"/>
    <w:rsid w:val="004A7557"/>
    <w:rsid w:val="004B176B"/>
    <w:rsid w:val="004B293C"/>
    <w:rsid w:val="004B3D59"/>
    <w:rsid w:val="004B58EA"/>
    <w:rsid w:val="004B5B76"/>
    <w:rsid w:val="004B73EF"/>
    <w:rsid w:val="004C0A9B"/>
    <w:rsid w:val="004C20F2"/>
    <w:rsid w:val="004C251E"/>
    <w:rsid w:val="004C33A5"/>
    <w:rsid w:val="004C3F25"/>
    <w:rsid w:val="004C525E"/>
    <w:rsid w:val="004C67E2"/>
    <w:rsid w:val="004C7301"/>
    <w:rsid w:val="004C7A27"/>
    <w:rsid w:val="004D0490"/>
    <w:rsid w:val="004D12F1"/>
    <w:rsid w:val="004D14B2"/>
    <w:rsid w:val="004D1805"/>
    <w:rsid w:val="004D1C90"/>
    <w:rsid w:val="004D1CB6"/>
    <w:rsid w:val="004D257A"/>
    <w:rsid w:val="004D2875"/>
    <w:rsid w:val="004D2CFC"/>
    <w:rsid w:val="004D3142"/>
    <w:rsid w:val="004D52DD"/>
    <w:rsid w:val="004D68F8"/>
    <w:rsid w:val="004D6D19"/>
    <w:rsid w:val="004D71C0"/>
    <w:rsid w:val="004D7866"/>
    <w:rsid w:val="004D7E51"/>
    <w:rsid w:val="004D7F8A"/>
    <w:rsid w:val="004E11D8"/>
    <w:rsid w:val="004E1878"/>
    <w:rsid w:val="004E2E6D"/>
    <w:rsid w:val="004E3378"/>
    <w:rsid w:val="004E3C72"/>
    <w:rsid w:val="004E3C8B"/>
    <w:rsid w:val="004E4879"/>
    <w:rsid w:val="004E4AF8"/>
    <w:rsid w:val="004E5988"/>
    <w:rsid w:val="004E62B6"/>
    <w:rsid w:val="004E6E3A"/>
    <w:rsid w:val="004F0C96"/>
    <w:rsid w:val="004F197B"/>
    <w:rsid w:val="004F28A0"/>
    <w:rsid w:val="004F2AC8"/>
    <w:rsid w:val="004F3DEB"/>
    <w:rsid w:val="004F44C7"/>
    <w:rsid w:val="004F489F"/>
    <w:rsid w:val="004F4958"/>
    <w:rsid w:val="004F766F"/>
    <w:rsid w:val="004F78B7"/>
    <w:rsid w:val="004F7944"/>
    <w:rsid w:val="00500224"/>
    <w:rsid w:val="0050086C"/>
    <w:rsid w:val="00502BB2"/>
    <w:rsid w:val="00503166"/>
    <w:rsid w:val="00503F93"/>
    <w:rsid w:val="005041C2"/>
    <w:rsid w:val="00504CDE"/>
    <w:rsid w:val="00504CEC"/>
    <w:rsid w:val="00504E8F"/>
    <w:rsid w:val="00505CA0"/>
    <w:rsid w:val="00506DDD"/>
    <w:rsid w:val="00507C08"/>
    <w:rsid w:val="00507D18"/>
    <w:rsid w:val="0051016E"/>
    <w:rsid w:val="00511536"/>
    <w:rsid w:val="00511612"/>
    <w:rsid w:val="00511A30"/>
    <w:rsid w:val="005126AD"/>
    <w:rsid w:val="00512F22"/>
    <w:rsid w:val="00516603"/>
    <w:rsid w:val="005167B1"/>
    <w:rsid w:val="00517A46"/>
    <w:rsid w:val="00517D20"/>
    <w:rsid w:val="005215EE"/>
    <w:rsid w:val="00521C67"/>
    <w:rsid w:val="00521F15"/>
    <w:rsid w:val="00522599"/>
    <w:rsid w:val="00522F5F"/>
    <w:rsid w:val="00523B46"/>
    <w:rsid w:val="0052451F"/>
    <w:rsid w:val="005248B9"/>
    <w:rsid w:val="005255D3"/>
    <w:rsid w:val="005257BD"/>
    <w:rsid w:val="00526446"/>
    <w:rsid w:val="00527495"/>
    <w:rsid w:val="00527E7A"/>
    <w:rsid w:val="0053021B"/>
    <w:rsid w:val="00530E68"/>
    <w:rsid w:val="00531594"/>
    <w:rsid w:val="005317E3"/>
    <w:rsid w:val="00532AD0"/>
    <w:rsid w:val="00533E69"/>
    <w:rsid w:val="0053683D"/>
    <w:rsid w:val="00537E2C"/>
    <w:rsid w:val="005407F0"/>
    <w:rsid w:val="00542797"/>
    <w:rsid w:val="00542B3A"/>
    <w:rsid w:val="005434E0"/>
    <w:rsid w:val="00543FF4"/>
    <w:rsid w:val="00544AB9"/>
    <w:rsid w:val="00544EC9"/>
    <w:rsid w:val="00546FBD"/>
    <w:rsid w:val="00550EF7"/>
    <w:rsid w:val="00551A9B"/>
    <w:rsid w:val="005520BF"/>
    <w:rsid w:val="00552213"/>
    <w:rsid w:val="0055327F"/>
    <w:rsid w:val="005534B3"/>
    <w:rsid w:val="0055544F"/>
    <w:rsid w:val="00556B04"/>
    <w:rsid w:val="00556FD5"/>
    <w:rsid w:val="00562B0A"/>
    <w:rsid w:val="00562CCE"/>
    <w:rsid w:val="0056305B"/>
    <w:rsid w:val="0056397F"/>
    <w:rsid w:val="005669D6"/>
    <w:rsid w:val="00566C3D"/>
    <w:rsid w:val="00567045"/>
    <w:rsid w:val="005678C8"/>
    <w:rsid w:val="00567998"/>
    <w:rsid w:val="00567AF8"/>
    <w:rsid w:val="005713E3"/>
    <w:rsid w:val="00571419"/>
    <w:rsid w:val="0057374F"/>
    <w:rsid w:val="005759CD"/>
    <w:rsid w:val="00577884"/>
    <w:rsid w:val="00577C09"/>
    <w:rsid w:val="00580873"/>
    <w:rsid w:val="00581C0F"/>
    <w:rsid w:val="00582919"/>
    <w:rsid w:val="005832C3"/>
    <w:rsid w:val="00583F65"/>
    <w:rsid w:val="005844F1"/>
    <w:rsid w:val="005849B2"/>
    <w:rsid w:val="00585F00"/>
    <w:rsid w:val="00587366"/>
    <w:rsid w:val="0058757A"/>
    <w:rsid w:val="00590037"/>
    <w:rsid w:val="00590516"/>
    <w:rsid w:val="005908F1"/>
    <w:rsid w:val="00592318"/>
    <w:rsid w:val="00593476"/>
    <w:rsid w:val="00593DBB"/>
    <w:rsid w:val="00594A43"/>
    <w:rsid w:val="00594E32"/>
    <w:rsid w:val="00595511"/>
    <w:rsid w:val="00595BC4"/>
    <w:rsid w:val="00596B4D"/>
    <w:rsid w:val="00596F7B"/>
    <w:rsid w:val="005978ED"/>
    <w:rsid w:val="005A228F"/>
    <w:rsid w:val="005A2A65"/>
    <w:rsid w:val="005A2F65"/>
    <w:rsid w:val="005A3068"/>
    <w:rsid w:val="005A3415"/>
    <w:rsid w:val="005A3513"/>
    <w:rsid w:val="005A3BD7"/>
    <w:rsid w:val="005A4255"/>
    <w:rsid w:val="005A4418"/>
    <w:rsid w:val="005A4AF2"/>
    <w:rsid w:val="005A5828"/>
    <w:rsid w:val="005A60E1"/>
    <w:rsid w:val="005A76FE"/>
    <w:rsid w:val="005A786F"/>
    <w:rsid w:val="005B01D9"/>
    <w:rsid w:val="005B1351"/>
    <w:rsid w:val="005B169C"/>
    <w:rsid w:val="005B2DD1"/>
    <w:rsid w:val="005B3A49"/>
    <w:rsid w:val="005B40E5"/>
    <w:rsid w:val="005B5C9F"/>
    <w:rsid w:val="005B6ADF"/>
    <w:rsid w:val="005B773D"/>
    <w:rsid w:val="005B79EA"/>
    <w:rsid w:val="005B7C5D"/>
    <w:rsid w:val="005C178C"/>
    <w:rsid w:val="005C1A62"/>
    <w:rsid w:val="005C1A74"/>
    <w:rsid w:val="005C2339"/>
    <w:rsid w:val="005C3294"/>
    <w:rsid w:val="005C3414"/>
    <w:rsid w:val="005C347F"/>
    <w:rsid w:val="005C3C00"/>
    <w:rsid w:val="005C3CF9"/>
    <w:rsid w:val="005C60A3"/>
    <w:rsid w:val="005C60C5"/>
    <w:rsid w:val="005C6F55"/>
    <w:rsid w:val="005C7AB3"/>
    <w:rsid w:val="005D2079"/>
    <w:rsid w:val="005D27DD"/>
    <w:rsid w:val="005D3493"/>
    <w:rsid w:val="005D3DD3"/>
    <w:rsid w:val="005D622E"/>
    <w:rsid w:val="005D7A17"/>
    <w:rsid w:val="005E11D5"/>
    <w:rsid w:val="005E1E12"/>
    <w:rsid w:val="005E1EBD"/>
    <w:rsid w:val="005E2296"/>
    <w:rsid w:val="005E34D4"/>
    <w:rsid w:val="005E3AE2"/>
    <w:rsid w:val="005E3FDE"/>
    <w:rsid w:val="005E4DF1"/>
    <w:rsid w:val="005E55F2"/>
    <w:rsid w:val="005E5F08"/>
    <w:rsid w:val="005E68FC"/>
    <w:rsid w:val="005E77E6"/>
    <w:rsid w:val="005E7A1F"/>
    <w:rsid w:val="005E7AF2"/>
    <w:rsid w:val="005F05F1"/>
    <w:rsid w:val="005F20B2"/>
    <w:rsid w:val="005F372B"/>
    <w:rsid w:val="005F3A30"/>
    <w:rsid w:val="005F487C"/>
    <w:rsid w:val="005F53A4"/>
    <w:rsid w:val="005F5FE1"/>
    <w:rsid w:val="005F62B2"/>
    <w:rsid w:val="005F715E"/>
    <w:rsid w:val="005F777C"/>
    <w:rsid w:val="00600589"/>
    <w:rsid w:val="00600B4B"/>
    <w:rsid w:val="006010DA"/>
    <w:rsid w:val="006017AB"/>
    <w:rsid w:val="00602031"/>
    <w:rsid w:val="00604AC3"/>
    <w:rsid w:val="00605865"/>
    <w:rsid w:val="0060611A"/>
    <w:rsid w:val="006112F2"/>
    <w:rsid w:val="00614798"/>
    <w:rsid w:val="00614DFF"/>
    <w:rsid w:val="00617125"/>
    <w:rsid w:val="00617813"/>
    <w:rsid w:val="00620176"/>
    <w:rsid w:val="006206CC"/>
    <w:rsid w:val="006214EC"/>
    <w:rsid w:val="00621501"/>
    <w:rsid w:val="00622B06"/>
    <w:rsid w:val="0062306D"/>
    <w:rsid w:val="006245C1"/>
    <w:rsid w:val="00625797"/>
    <w:rsid w:val="00627163"/>
    <w:rsid w:val="0062768A"/>
    <w:rsid w:val="0063147E"/>
    <w:rsid w:val="0063265C"/>
    <w:rsid w:val="0063278F"/>
    <w:rsid w:val="00634476"/>
    <w:rsid w:val="0063466A"/>
    <w:rsid w:val="006349FE"/>
    <w:rsid w:val="0063650E"/>
    <w:rsid w:val="00637580"/>
    <w:rsid w:val="00637624"/>
    <w:rsid w:val="00643903"/>
    <w:rsid w:val="0064393B"/>
    <w:rsid w:val="00644375"/>
    <w:rsid w:val="00644A5C"/>
    <w:rsid w:val="0064508B"/>
    <w:rsid w:val="00646A08"/>
    <w:rsid w:val="00646BEE"/>
    <w:rsid w:val="00647721"/>
    <w:rsid w:val="00647A44"/>
    <w:rsid w:val="00650392"/>
    <w:rsid w:val="0065061D"/>
    <w:rsid w:val="00650DF4"/>
    <w:rsid w:val="00652EAE"/>
    <w:rsid w:val="00653004"/>
    <w:rsid w:val="00653E8D"/>
    <w:rsid w:val="00656621"/>
    <w:rsid w:val="0065715E"/>
    <w:rsid w:val="00657670"/>
    <w:rsid w:val="00657DBF"/>
    <w:rsid w:val="00657DE0"/>
    <w:rsid w:val="006613EB"/>
    <w:rsid w:val="0066155F"/>
    <w:rsid w:val="00662C69"/>
    <w:rsid w:val="006631E8"/>
    <w:rsid w:val="00663CC7"/>
    <w:rsid w:val="00664035"/>
    <w:rsid w:val="0066458B"/>
    <w:rsid w:val="006645B4"/>
    <w:rsid w:val="00664805"/>
    <w:rsid w:val="006718FB"/>
    <w:rsid w:val="00671D52"/>
    <w:rsid w:val="006720F3"/>
    <w:rsid w:val="00672953"/>
    <w:rsid w:val="00673695"/>
    <w:rsid w:val="00674701"/>
    <w:rsid w:val="00674A46"/>
    <w:rsid w:val="006752B0"/>
    <w:rsid w:val="00675A28"/>
    <w:rsid w:val="00676959"/>
    <w:rsid w:val="00676C6B"/>
    <w:rsid w:val="00680F25"/>
    <w:rsid w:val="0068100C"/>
    <w:rsid w:val="00682504"/>
    <w:rsid w:val="006831AE"/>
    <w:rsid w:val="00685689"/>
    <w:rsid w:val="0068594B"/>
    <w:rsid w:val="00686206"/>
    <w:rsid w:val="0068628C"/>
    <w:rsid w:val="00686B04"/>
    <w:rsid w:val="00686CF0"/>
    <w:rsid w:val="00687D53"/>
    <w:rsid w:val="00687DDB"/>
    <w:rsid w:val="006901FA"/>
    <w:rsid w:val="0069056A"/>
    <w:rsid w:val="00690ED0"/>
    <w:rsid w:val="00691384"/>
    <w:rsid w:val="00693427"/>
    <w:rsid w:val="00694C00"/>
    <w:rsid w:val="00695083"/>
    <w:rsid w:val="006958A7"/>
    <w:rsid w:val="00695F94"/>
    <w:rsid w:val="006964F5"/>
    <w:rsid w:val="00696EF8"/>
    <w:rsid w:val="006973C4"/>
    <w:rsid w:val="0069770D"/>
    <w:rsid w:val="006A0836"/>
    <w:rsid w:val="006A1047"/>
    <w:rsid w:val="006A2A2F"/>
    <w:rsid w:val="006A2CF3"/>
    <w:rsid w:val="006A2D34"/>
    <w:rsid w:val="006A2EDE"/>
    <w:rsid w:val="006A3D7A"/>
    <w:rsid w:val="006A3E8C"/>
    <w:rsid w:val="006A438E"/>
    <w:rsid w:val="006A53A9"/>
    <w:rsid w:val="006A727B"/>
    <w:rsid w:val="006A7AA4"/>
    <w:rsid w:val="006A7DCA"/>
    <w:rsid w:val="006B004E"/>
    <w:rsid w:val="006B0198"/>
    <w:rsid w:val="006B0412"/>
    <w:rsid w:val="006B12E8"/>
    <w:rsid w:val="006B13FB"/>
    <w:rsid w:val="006B1C19"/>
    <w:rsid w:val="006B1EBF"/>
    <w:rsid w:val="006B4A27"/>
    <w:rsid w:val="006B4F83"/>
    <w:rsid w:val="006B59A4"/>
    <w:rsid w:val="006B5FE4"/>
    <w:rsid w:val="006B7A58"/>
    <w:rsid w:val="006C075F"/>
    <w:rsid w:val="006C08A0"/>
    <w:rsid w:val="006C26B3"/>
    <w:rsid w:val="006C2FEE"/>
    <w:rsid w:val="006C48BC"/>
    <w:rsid w:val="006C50C2"/>
    <w:rsid w:val="006C53EB"/>
    <w:rsid w:val="006C55C6"/>
    <w:rsid w:val="006C563A"/>
    <w:rsid w:val="006C5BD9"/>
    <w:rsid w:val="006C5F6F"/>
    <w:rsid w:val="006C6E1A"/>
    <w:rsid w:val="006D27EF"/>
    <w:rsid w:val="006D2CB1"/>
    <w:rsid w:val="006D4BC7"/>
    <w:rsid w:val="006D52D1"/>
    <w:rsid w:val="006D5E1E"/>
    <w:rsid w:val="006D7293"/>
    <w:rsid w:val="006D7529"/>
    <w:rsid w:val="006E013D"/>
    <w:rsid w:val="006E1056"/>
    <w:rsid w:val="006E1BA1"/>
    <w:rsid w:val="006E3985"/>
    <w:rsid w:val="006E3A2A"/>
    <w:rsid w:val="006E3C4C"/>
    <w:rsid w:val="006E4BD4"/>
    <w:rsid w:val="006E4E2A"/>
    <w:rsid w:val="006E5950"/>
    <w:rsid w:val="006E6B65"/>
    <w:rsid w:val="006E6C14"/>
    <w:rsid w:val="006E7CC5"/>
    <w:rsid w:val="006F02CA"/>
    <w:rsid w:val="006F1784"/>
    <w:rsid w:val="006F1E31"/>
    <w:rsid w:val="006F21C6"/>
    <w:rsid w:val="006F2C12"/>
    <w:rsid w:val="006F2F92"/>
    <w:rsid w:val="006F79C9"/>
    <w:rsid w:val="006F7D53"/>
    <w:rsid w:val="00701B72"/>
    <w:rsid w:val="00702A43"/>
    <w:rsid w:val="007049C8"/>
    <w:rsid w:val="007050B1"/>
    <w:rsid w:val="007069D1"/>
    <w:rsid w:val="00707096"/>
    <w:rsid w:val="00712144"/>
    <w:rsid w:val="007136BC"/>
    <w:rsid w:val="00714576"/>
    <w:rsid w:val="00715488"/>
    <w:rsid w:val="00715A04"/>
    <w:rsid w:val="00721335"/>
    <w:rsid w:val="007213FB"/>
    <w:rsid w:val="00721924"/>
    <w:rsid w:val="00721F66"/>
    <w:rsid w:val="00722B93"/>
    <w:rsid w:val="00731F1F"/>
    <w:rsid w:val="00735234"/>
    <w:rsid w:val="00735339"/>
    <w:rsid w:val="007365AD"/>
    <w:rsid w:val="00736AAC"/>
    <w:rsid w:val="00740705"/>
    <w:rsid w:val="00741DC7"/>
    <w:rsid w:val="00742486"/>
    <w:rsid w:val="0074433B"/>
    <w:rsid w:val="0074628D"/>
    <w:rsid w:val="007473D2"/>
    <w:rsid w:val="007479C2"/>
    <w:rsid w:val="00750A80"/>
    <w:rsid w:val="0075151E"/>
    <w:rsid w:val="007521DE"/>
    <w:rsid w:val="007524A1"/>
    <w:rsid w:val="0075265E"/>
    <w:rsid w:val="007532DC"/>
    <w:rsid w:val="00753655"/>
    <w:rsid w:val="0075440D"/>
    <w:rsid w:val="00754EF8"/>
    <w:rsid w:val="007550CE"/>
    <w:rsid w:val="0075604A"/>
    <w:rsid w:val="0075650E"/>
    <w:rsid w:val="007575D9"/>
    <w:rsid w:val="00757995"/>
    <w:rsid w:val="007612B3"/>
    <w:rsid w:val="00761DD9"/>
    <w:rsid w:val="00763EE9"/>
    <w:rsid w:val="007644E6"/>
    <w:rsid w:val="007652EA"/>
    <w:rsid w:val="00765A4A"/>
    <w:rsid w:val="00765B0B"/>
    <w:rsid w:val="007665D7"/>
    <w:rsid w:val="007671AD"/>
    <w:rsid w:val="007674F3"/>
    <w:rsid w:val="00767CD2"/>
    <w:rsid w:val="00770859"/>
    <w:rsid w:val="007721A1"/>
    <w:rsid w:val="00772B6F"/>
    <w:rsid w:val="00774A5F"/>
    <w:rsid w:val="00774DFD"/>
    <w:rsid w:val="007753FA"/>
    <w:rsid w:val="0077544D"/>
    <w:rsid w:val="007764C8"/>
    <w:rsid w:val="0078079A"/>
    <w:rsid w:val="007809C0"/>
    <w:rsid w:val="00782F63"/>
    <w:rsid w:val="00784662"/>
    <w:rsid w:val="00785F11"/>
    <w:rsid w:val="007860B9"/>
    <w:rsid w:val="00786B00"/>
    <w:rsid w:val="00787BB0"/>
    <w:rsid w:val="0079034C"/>
    <w:rsid w:val="007910C6"/>
    <w:rsid w:val="007914E4"/>
    <w:rsid w:val="00791CE4"/>
    <w:rsid w:val="00791E58"/>
    <w:rsid w:val="00792D17"/>
    <w:rsid w:val="007933AB"/>
    <w:rsid w:val="007933CE"/>
    <w:rsid w:val="00793404"/>
    <w:rsid w:val="00793D40"/>
    <w:rsid w:val="007A0692"/>
    <w:rsid w:val="007A082B"/>
    <w:rsid w:val="007A1303"/>
    <w:rsid w:val="007A1E11"/>
    <w:rsid w:val="007A22E2"/>
    <w:rsid w:val="007A2C90"/>
    <w:rsid w:val="007A5E6C"/>
    <w:rsid w:val="007A65E0"/>
    <w:rsid w:val="007A70B9"/>
    <w:rsid w:val="007A7602"/>
    <w:rsid w:val="007B002D"/>
    <w:rsid w:val="007B02B9"/>
    <w:rsid w:val="007B1AED"/>
    <w:rsid w:val="007B26B2"/>
    <w:rsid w:val="007B2B63"/>
    <w:rsid w:val="007B30F3"/>
    <w:rsid w:val="007B4605"/>
    <w:rsid w:val="007B5C9D"/>
    <w:rsid w:val="007B694D"/>
    <w:rsid w:val="007B78DF"/>
    <w:rsid w:val="007C0013"/>
    <w:rsid w:val="007C0CBC"/>
    <w:rsid w:val="007C255D"/>
    <w:rsid w:val="007C2706"/>
    <w:rsid w:val="007C37D2"/>
    <w:rsid w:val="007C3985"/>
    <w:rsid w:val="007C3C28"/>
    <w:rsid w:val="007C6110"/>
    <w:rsid w:val="007C6C51"/>
    <w:rsid w:val="007D0C01"/>
    <w:rsid w:val="007D3933"/>
    <w:rsid w:val="007D3FBD"/>
    <w:rsid w:val="007D4892"/>
    <w:rsid w:val="007D49A0"/>
    <w:rsid w:val="007D739C"/>
    <w:rsid w:val="007D7B38"/>
    <w:rsid w:val="007D7EF3"/>
    <w:rsid w:val="007E004C"/>
    <w:rsid w:val="007E0CCA"/>
    <w:rsid w:val="007E3772"/>
    <w:rsid w:val="007E4E68"/>
    <w:rsid w:val="007E5125"/>
    <w:rsid w:val="007E5DB4"/>
    <w:rsid w:val="007E5F2C"/>
    <w:rsid w:val="007E7CB0"/>
    <w:rsid w:val="007F0617"/>
    <w:rsid w:val="007F3AC9"/>
    <w:rsid w:val="007F3CB7"/>
    <w:rsid w:val="007F5589"/>
    <w:rsid w:val="007F729E"/>
    <w:rsid w:val="007F75F2"/>
    <w:rsid w:val="00800E69"/>
    <w:rsid w:val="008039C2"/>
    <w:rsid w:val="008046E4"/>
    <w:rsid w:val="00804AD7"/>
    <w:rsid w:val="008055FF"/>
    <w:rsid w:val="0080583B"/>
    <w:rsid w:val="008058EB"/>
    <w:rsid w:val="00810F94"/>
    <w:rsid w:val="00813166"/>
    <w:rsid w:val="0081425E"/>
    <w:rsid w:val="0081485A"/>
    <w:rsid w:val="00815D6F"/>
    <w:rsid w:val="008167F5"/>
    <w:rsid w:val="00817541"/>
    <w:rsid w:val="0081794B"/>
    <w:rsid w:val="00817C7E"/>
    <w:rsid w:val="00817D8E"/>
    <w:rsid w:val="008200A3"/>
    <w:rsid w:val="00820BF2"/>
    <w:rsid w:val="00821AED"/>
    <w:rsid w:val="00824C4E"/>
    <w:rsid w:val="00824E9E"/>
    <w:rsid w:val="00824F1A"/>
    <w:rsid w:val="008264EE"/>
    <w:rsid w:val="00826530"/>
    <w:rsid w:val="00826B2E"/>
    <w:rsid w:val="00827DC8"/>
    <w:rsid w:val="0083252F"/>
    <w:rsid w:val="00833E4C"/>
    <w:rsid w:val="0083447D"/>
    <w:rsid w:val="00836224"/>
    <w:rsid w:val="00837BE4"/>
    <w:rsid w:val="00840559"/>
    <w:rsid w:val="00840788"/>
    <w:rsid w:val="008421F7"/>
    <w:rsid w:val="00842B93"/>
    <w:rsid w:val="00843153"/>
    <w:rsid w:val="00843908"/>
    <w:rsid w:val="00843F40"/>
    <w:rsid w:val="00845BF5"/>
    <w:rsid w:val="00845D12"/>
    <w:rsid w:val="00846713"/>
    <w:rsid w:val="00846A1C"/>
    <w:rsid w:val="008473FA"/>
    <w:rsid w:val="00847470"/>
    <w:rsid w:val="00847830"/>
    <w:rsid w:val="008478E8"/>
    <w:rsid w:val="0085000D"/>
    <w:rsid w:val="00850DCE"/>
    <w:rsid w:val="00851A81"/>
    <w:rsid w:val="00851F4C"/>
    <w:rsid w:val="008523BA"/>
    <w:rsid w:val="00852B26"/>
    <w:rsid w:val="0085480B"/>
    <w:rsid w:val="008560F4"/>
    <w:rsid w:val="00856B0A"/>
    <w:rsid w:val="00860A1E"/>
    <w:rsid w:val="00860FE6"/>
    <w:rsid w:val="008611D5"/>
    <w:rsid w:val="00861622"/>
    <w:rsid w:val="0086256E"/>
    <w:rsid w:val="008628FF"/>
    <w:rsid w:val="008632C8"/>
    <w:rsid w:val="0086513D"/>
    <w:rsid w:val="008662C0"/>
    <w:rsid w:val="00866DAF"/>
    <w:rsid w:val="00870EAB"/>
    <w:rsid w:val="0087153F"/>
    <w:rsid w:val="0087459A"/>
    <w:rsid w:val="00875167"/>
    <w:rsid w:val="00877086"/>
    <w:rsid w:val="00877764"/>
    <w:rsid w:val="008807C9"/>
    <w:rsid w:val="00881572"/>
    <w:rsid w:val="00882DF4"/>
    <w:rsid w:val="00882FEA"/>
    <w:rsid w:val="00883450"/>
    <w:rsid w:val="0088398C"/>
    <w:rsid w:val="00885C6E"/>
    <w:rsid w:val="008861EA"/>
    <w:rsid w:val="0089031E"/>
    <w:rsid w:val="0089067B"/>
    <w:rsid w:val="00890FAD"/>
    <w:rsid w:val="00891381"/>
    <w:rsid w:val="008915C0"/>
    <w:rsid w:val="00891C3B"/>
    <w:rsid w:val="00892680"/>
    <w:rsid w:val="008926BD"/>
    <w:rsid w:val="0089412A"/>
    <w:rsid w:val="0089488C"/>
    <w:rsid w:val="00896AD4"/>
    <w:rsid w:val="008A0071"/>
    <w:rsid w:val="008A02D3"/>
    <w:rsid w:val="008A11D9"/>
    <w:rsid w:val="008A2F60"/>
    <w:rsid w:val="008A2F75"/>
    <w:rsid w:val="008A460C"/>
    <w:rsid w:val="008A4966"/>
    <w:rsid w:val="008A52F3"/>
    <w:rsid w:val="008A5456"/>
    <w:rsid w:val="008A59AC"/>
    <w:rsid w:val="008A6BC1"/>
    <w:rsid w:val="008A7F7D"/>
    <w:rsid w:val="008B0551"/>
    <w:rsid w:val="008B1A5A"/>
    <w:rsid w:val="008B300E"/>
    <w:rsid w:val="008B382F"/>
    <w:rsid w:val="008B4590"/>
    <w:rsid w:val="008B49B9"/>
    <w:rsid w:val="008B5AB4"/>
    <w:rsid w:val="008B7FFE"/>
    <w:rsid w:val="008C0446"/>
    <w:rsid w:val="008C1DF4"/>
    <w:rsid w:val="008C22E9"/>
    <w:rsid w:val="008C2B3C"/>
    <w:rsid w:val="008C41A7"/>
    <w:rsid w:val="008C5BB8"/>
    <w:rsid w:val="008C6BCD"/>
    <w:rsid w:val="008C6F34"/>
    <w:rsid w:val="008C7108"/>
    <w:rsid w:val="008D02A3"/>
    <w:rsid w:val="008D087C"/>
    <w:rsid w:val="008D0AA1"/>
    <w:rsid w:val="008D1D54"/>
    <w:rsid w:val="008D22D8"/>
    <w:rsid w:val="008D2BCD"/>
    <w:rsid w:val="008D2E1C"/>
    <w:rsid w:val="008D406E"/>
    <w:rsid w:val="008D4E99"/>
    <w:rsid w:val="008D5066"/>
    <w:rsid w:val="008D52BD"/>
    <w:rsid w:val="008D5A97"/>
    <w:rsid w:val="008D6697"/>
    <w:rsid w:val="008D728C"/>
    <w:rsid w:val="008D7A72"/>
    <w:rsid w:val="008E0451"/>
    <w:rsid w:val="008E0674"/>
    <w:rsid w:val="008E11CC"/>
    <w:rsid w:val="008E1B8F"/>
    <w:rsid w:val="008E1BD5"/>
    <w:rsid w:val="008E4CDB"/>
    <w:rsid w:val="008E549B"/>
    <w:rsid w:val="008E5797"/>
    <w:rsid w:val="008E5E89"/>
    <w:rsid w:val="008E625D"/>
    <w:rsid w:val="008F12E6"/>
    <w:rsid w:val="008F1558"/>
    <w:rsid w:val="008F4768"/>
    <w:rsid w:val="008F5927"/>
    <w:rsid w:val="009001DD"/>
    <w:rsid w:val="009014E7"/>
    <w:rsid w:val="0090174A"/>
    <w:rsid w:val="009036B3"/>
    <w:rsid w:val="00903870"/>
    <w:rsid w:val="009039BC"/>
    <w:rsid w:val="00903D32"/>
    <w:rsid w:val="0090434E"/>
    <w:rsid w:val="00905B9A"/>
    <w:rsid w:val="009071FE"/>
    <w:rsid w:val="00907761"/>
    <w:rsid w:val="00910E40"/>
    <w:rsid w:val="0091242A"/>
    <w:rsid w:val="00913AA4"/>
    <w:rsid w:val="00915778"/>
    <w:rsid w:val="009164DD"/>
    <w:rsid w:val="00917A9D"/>
    <w:rsid w:val="009210C9"/>
    <w:rsid w:val="00924F14"/>
    <w:rsid w:val="00925C68"/>
    <w:rsid w:val="00926F75"/>
    <w:rsid w:val="00927CAE"/>
    <w:rsid w:val="0093005B"/>
    <w:rsid w:val="009306B8"/>
    <w:rsid w:val="009315B0"/>
    <w:rsid w:val="009316E9"/>
    <w:rsid w:val="00931924"/>
    <w:rsid w:val="00933283"/>
    <w:rsid w:val="0093416D"/>
    <w:rsid w:val="0093533F"/>
    <w:rsid w:val="00935346"/>
    <w:rsid w:val="00936F3C"/>
    <w:rsid w:val="009412A0"/>
    <w:rsid w:val="009417AD"/>
    <w:rsid w:val="00941D44"/>
    <w:rsid w:val="00943531"/>
    <w:rsid w:val="00943B9C"/>
    <w:rsid w:val="00943EB4"/>
    <w:rsid w:val="009459D5"/>
    <w:rsid w:val="00945A61"/>
    <w:rsid w:val="00950154"/>
    <w:rsid w:val="00950C7B"/>
    <w:rsid w:val="00953054"/>
    <w:rsid w:val="00953338"/>
    <w:rsid w:val="009548C1"/>
    <w:rsid w:val="009549D7"/>
    <w:rsid w:val="009563A5"/>
    <w:rsid w:val="00956868"/>
    <w:rsid w:val="00956B3E"/>
    <w:rsid w:val="0095765F"/>
    <w:rsid w:val="009606E6"/>
    <w:rsid w:val="00961B83"/>
    <w:rsid w:val="00962F40"/>
    <w:rsid w:val="00963968"/>
    <w:rsid w:val="00965141"/>
    <w:rsid w:val="00967690"/>
    <w:rsid w:val="00967C66"/>
    <w:rsid w:val="00970155"/>
    <w:rsid w:val="00970DBE"/>
    <w:rsid w:val="00970F70"/>
    <w:rsid w:val="00971056"/>
    <w:rsid w:val="009714B2"/>
    <w:rsid w:val="0097252B"/>
    <w:rsid w:val="00972668"/>
    <w:rsid w:val="009727B4"/>
    <w:rsid w:val="00972C36"/>
    <w:rsid w:val="00975E26"/>
    <w:rsid w:val="00977C8B"/>
    <w:rsid w:val="00980EE4"/>
    <w:rsid w:val="009830D3"/>
    <w:rsid w:val="00983212"/>
    <w:rsid w:val="00983B8F"/>
    <w:rsid w:val="009849F0"/>
    <w:rsid w:val="0098595E"/>
    <w:rsid w:val="00986073"/>
    <w:rsid w:val="00986F84"/>
    <w:rsid w:val="0098770F"/>
    <w:rsid w:val="009909DD"/>
    <w:rsid w:val="00990DC0"/>
    <w:rsid w:val="00990EE2"/>
    <w:rsid w:val="009916D2"/>
    <w:rsid w:val="0099229C"/>
    <w:rsid w:val="009922CB"/>
    <w:rsid w:val="00992655"/>
    <w:rsid w:val="00992BF0"/>
    <w:rsid w:val="00993D9D"/>
    <w:rsid w:val="009943C4"/>
    <w:rsid w:val="009945EB"/>
    <w:rsid w:val="00995C9F"/>
    <w:rsid w:val="00996436"/>
    <w:rsid w:val="009966CF"/>
    <w:rsid w:val="0099752D"/>
    <w:rsid w:val="009A0461"/>
    <w:rsid w:val="009A12A7"/>
    <w:rsid w:val="009A28A2"/>
    <w:rsid w:val="009A5191"/>
    <w:rsid w:val="009A6119"/>
    <w:rsid w:val="009B03ED"/>
    <w:rsid w:val="009B063C"/>
    <w:rsid w:val="009B0F5C"/>
    <w:rsid w:val="009B11D6"/>
    <w:rsid w:val="009B2EE9"/>
    <w:rsid w:val="009B4864"/>
    <w:rsid w:val="009B4D4E"/>
    <w:rsid w:val="009B5504"/>
    <w:rsid w:val="009B6280"/>
    <w:rsid w:val="009B649B"/>
    <w:rsid w:val="009B6F16"/>
    <w:rsid w:val="009B7156"/>
    <w:rsid w:val="009B7934"/>
    <w:rsid w:val="009C0940"/>
    <w:rsid w:val="009C0C3A"/>
    <w:rsid w:val="009C1D99"/>
    <w:rsid w:val="009C1F8B"/>
    <w:rsid w:val="009C2099"/>
    <w:rsid w:val="009C20A8"/>
    <w:rsid w:val="009C2582"/>
    <w:rsid w:val="009C3701"/>
    <w:rsid w:val="009C6373"/>
    <w:rsid w:val="009D2384"/>
    <w:rsid w:val="009D3240"/>
    <w:rsid w:val="009D3A6E"/>
    <w:rsid w:val="009D61D9"/>
    <w:rsid w:val="009D624D"/>
    <w:rsid w:val="009D7380"/>
    <w:rsid w:val="009D79D8"/>
    <w:rsid w:val="009E0AB4"/>
    <w:rsid w:val="009E21FE"/>
    <w:rsid w:val="009E255E"/>
    <w:rsid w:val="009E4814"/>
    <w:rsid w:val="009E4942"/>
    <w:rsid w:val="009E5A10"/>
    <w:rsid w:val="009F0B67"/>
    <w:rsid w:val="009F1E4B"/>
    <w:rsid w:val="009F249C"/>
    <w:rsid w:val="009F307E"/>
    <w:rsid w:val="009F50DE"/>
    <w:rsid w:val="009F54F9"/>
    <w:rsid w:val="009F6D34"/>
    <w:rsid w:val="009F7BB0"/>
    <w:rsid w:val="00A0019A"/>
    <w:rsid w:val="00A00D50"/>
    <w:rsid w:val="00A023AE"/>
    <w:rsid w:val="00A02B5C"/>
    <w:rsid w:val="00A036C5"/>
    <w:rsid w:val="00A03AD2"/>
    <w:rsid w:val="00A05005"/>
    <w:rsid w:val="00A05D06"/>
    <w:rsid w:val="00A07D84"/>
    <w:rsid w:val="00A10336"/>
    <w:rsid w:val="00A10CE2"/>
    <w:rsid w:val="00A1181A"/>
    <w:rsid w:val="00A11F2B"/>
    <w:rsid w:val="00A1244E"/>
    <w:rsid w:val="00A12870"/>
    <w:rsid w:val="00A12CA2"/>
    <w:rsid w:val="00A133FA"/>
    <w:rsid w:val="00A13811"/>
    <w:rsid w:val="00A16B32"/>
    <w:rsid w:val="00A16DD0"/>
    <w:rsid w:val="00A16DF1"/>
    <w:rsid w:val="00A16F1A"/>
    <w:rsid w:val="00A17A17"/>
    <w:rsid w:val="00A206F7"/>
    <w:rsid w:val="00A20B1F"/>
    <w:rsid w:val="00A20CFD"/>
    <w:rsid w:val="00A232CA"/>
    <w:rsid w:val="00A235D0"/>
    <w:rsid w:val="00A25984"/>
    <w:rsid w:val="00A26D02"/>
    <w:rsid w:val="00A27A7F"/>
    <w:rsid w:val="00A3276A"/>
    <w:rsid w:val="00A33D3A"/>
    <w:rsid w:val="00A341C7"/>
    <w:rsid w:val="00A349D2"/>
    <w:rsid w:val="00A34D65"/>
    <w:rsid w:val="00A35492"/>
    <w:rsid w:val="00A37C47"/>
    <w:rsid w:val="00A4044E"/>
    <w:rsid w:val="00A414CC"/>
    <w:rsid w:val="00A415D9"/>
    <w:rsid w:val="00A41A00"/>
    <w:rsid w:val="00A42869"/>
    <w:rsid w:val="00A4379F"/>
    <w:rsid w:val="00A4434D"/>
    <w:rsid w:val="00A4500F"/>
    <w:rsid w:val="00A45039"/>
    <w:rsid w:val="00A454E0"/>
    <w:rsid w:val="00A45546"/>
    <w:rsid w:val="00A4585A"/>
    <w:rsid w:val="00A459D6"/>
    <w:rsid w:val="00A45B12"/>
    <w:rsid w:val="00A462D5"/>
    <w:rsid w:val="00A46F7C"/>
    <w:rsid w:val="00A471A7"/>
    <w:rsid w:val="00A474A1"/>
    <w:rsid w:val="00A50B8A"/>
    <w:rsid w:val="00A51F40"/>
    <w:rsid w:val="00A5231C"/>
    <w:rsid w:val="00A53A29"/>
    <w:rsid w:val="00A5406A"/>
    <w:rsid w:val="00A55726"/>
    <w:rsid w:val="00A572BC"/>
    <w:rsid w:val="00A574DE"/>
    <w:rsid w:val="00A61049"/>
    <w:rsid w:val="00A62540"/>
    <w:rsid w:val="00A6287C"/>
    <w:rsid w:val="00A62C87"/>
    <w:rsid w:val="00A633DD"/>
    <w:rsid w:val="00A64E64"/>
    <w:rsid w:val="00A6517F"/>
    <w:rsid w:val="00A65C4D"/>
    <w:rsid w:val="00A67428"/>
    <w:rsid w:val="00A70260"/>
    <w:rsid w:val="00A70CF3"/>
    <w:rsid w:val="00A7155E"/>
    <w:rsid w:val="00A71E76"/>
    <w:rsid w:val="00A746FD"/>
    <w:rsid w:val="00A74EDE"/>
    <w:rsid w:val="00A75396"/>
    <w:rsid w:val="00A763AE"/>
    <w:rsid w:val="00A76B0D"/>
    <w:rsid w:val="00A80073"/>
    <w:rsid w:val="00A81AB5"/>
    <w:rsid w:val="00A82510"/>
    <w:rsid w:val="00A82724"/>
    <w:rsid w:val="00A82C5A"/>
    <w:rsid w:val="00A83FF6"/>
    <w:rsid w:val="00A8561B"/>
    <w:rsid w:val="00A8620F"/>
    <w:rsid w:val="00A86AAB"/>
    <w:rsid w:val="00A87674"/>
    <w:rsid w:val="00A8769A"/>
    <w:rsid w:val="00A90D00"/>
    <w:rsid w:val="00A92EC0"/>
    <w:rsid w:val="00A92EED"/>
    <w:rsid w:val="00A94E41"/>
    <w:rsid w:val="00A95A15"/>
    <w:rsid w:val="00A9772B"/>
    <w:rsid w:val="00AA0660"/>
    <w:rsid w:val="00AA0B14"/>
    <w:rsid w:val="00AA1F5F"/>
    <w:rsid w:val="00AA3875"/>
    <w:rsid w:val="00AA38CA"/>
    <w:rsid w:val="00AA404A"/>
    <w:rsid w:val="00AA40DC"/>
    <w:rsid w:val="00AA6228"/>
    <w:rsid w:val="00AA69A4"/>
    <w:rsid w:val="00AA7AA1"/>
    <w:rsid w:val="00AB1E40"/>
    <w:rsid w:val="00AB2744"/>
    <w:rsid w:val="00AB274F"/>
    <w:rsid w:val="00AB3B51"/>
    <w:rsid w:val="00AB5C44"/>
    <w:rsid w:val="00AB5F30"/>
    <w:rsid w:val="00AB6BE3"/>
    <w:rsid w:val="00AC22B5"/>
    <w:rsid w:val="00AC2D26"/>
    <w:rsid w:val="00AC37C3"/>
    <w:rsid w:val="00AC535B"/>
    <w:rsid w:val="00AC5D1D"/>
    <w:rsid w:val="00AC5EC6"/>
    <w:rsid w:val="00AC5F6A"/>
    <w:rsid w:val="00AC6A1A"/>
    <w:rsid w:val="00AC7600"/>
    <w:rsid w:val="00AC7784"/>
    <w:rsid w:val="00AD0B3C"/>
    <w:rsid w:val="00AD1AD3"/>
    <w:rsid w:val="00AD1CC0"/>
    <w:rsid w:val="00AD22B5"/>
    <w:rsid w:val="00AD3DB4"/>
    <w:rsid w:val="00AD5125"/>
    <w:rsid w:val="00AD55B2"/>
    <w:rsid w:val="00AD6F04"/>
    <w:rsid w:val="00AD747C"/>
    <w:rsid w:val="00AD785F"/>
    <w:rsid w:val="00AE0445"/>
    <w:rsid w:val="00AE119F"/>
    <w:rsid w:val="00AE1C2D"/>
    <w:rsid w:val="00AE3053"/>
    <w:rsid w:val="00AE3985"/>
    <w:rsid w:val="00AE5E2D"/>
    <w:rsid w:val="00AE64FB"/>
    <w:rsid w:val="00AF1F04"/>
    <w:rsid w:val="00AF3D59"/>
    <w:rsid w:val="00AF64E0"/>
    <w:rsid w:val="00AF6794"/>
    <w:rsid w:val="00AF6B14"/>
    <w:rsid w:val="00B0144D"/>
    <w:rsid w:val="00B016F7"/>
    <w:rsid w:val="00B02288"/>
    <w:rsid w:val="00B026CE"/>
    <w:rsid w:val="00B02BDD"/>
    <w:rsid w:val="00B055B9"/>
    <w:rsid w:val="00B122BA"/>
    <w:rsid w:val="00B12503"/>
    <w:rsid w:val="00B1288E"/>
    <w:rsid w:val="00B13D85"/>
    <w:rsid w:val="00B159C2"/>
    <w:rsid w:val="00B16296"/>
    <w:rsid w:val="00B1786A"/>
    <w:rsid w:val="00B203DA"/>
    <w:rsid w:val="00B206D8"/>
    <w:rsid w:val="00B24E55"/>
    <w:rsid w:val="00B26BC4"/>
    <w:rsid w:val="00B312C7"/>
    <w:rsid w:val="00B315D9"/>
    <w:rsid w:val="00B316B9"/>
    <w:rsid w:val="00B32E58"/>
    <w:rsid w:val="00B335A2"/>
    <w:rsid w:val="00B34371"/>
    <w:rsid w:val="00B35026"/>
    <w:rsid w:val="00B37104"/>
    <w:rsid w:val="00B3748A"/>
    <w:rsid w:val="00B411D7"/>
    <w:rsid w:val="00B41624"/>
    <w:rsid w:val="00B42B0B"/>
    <w:rsid w:val="00B447D7"/>
    <w:rsid w:val="00B44DF1"/>
    <w:rsid w:val="00B45CA2"/>
    <w:rsid w:val="00B4604F"/>
    <w:rsid w:val="00B47D0D"/>
    <w:rsid w:val="00B50698"/>
    <w:rsid w:val="00B52B7D"/>
    <w:rsid w:val="00B52F0F"/>
    <w:rsid w:val="00B531D2"/>
    <w:rsid w:val="00B53616"/>
    <w:rsid w:val="00B53CCA"/>
    <w:rsid w:val="00B54441"/>
    <w:rsid w:val="00B54A5F"/>
    <w:rsid w:val="00B54C56"/>
    <w:rsid w:val="00B5512D"/>
    <w:rsid w:val="00B560C2"/>
    <w:rsid w:val="00B56409"/>
    <w:rsid w:val="00B569E3"/>
    <w:rsid w:val="00B56F9B"/>
    <w:rsid w:val="00B60FB7"/>
    <w:rsid w:val="00B61CC3"/>
    <w:rsid w:val="00B6211E"/>
    <w:rsid w:val="00B62944"/>
    <w:rsid w:val="00B633A4"/>
    <w:rsid w:val="00B6420A"/>
    <w:rsid w:val="00B64919"/>
    <w:rsid w:val="00B6497F"/>
    <w:rsid w:val="00B65C34"/>
    <w:rsid w:val="00B65FA5"/>
    <w:rsid w:val="00B667C6"/>
    <w:rsid w:val="00B67EB8"/>
    <w:rsid w:val="00B711C1"/>
    <w:rsid w:val="00B733F9"/>
    <w:rsid w:val="00B7372C"/>
    <w:rsid w:val="00B73838"/>
    <w:rsid w:val="00B7421A"/>
    <w:rsid w:val="00B75267"/>
    <w:rsid w:val="00B75473"/>
    <w:rsid w:val="00B758A5"/>
    <w:rsid w:val="00B75F20"/>
    <w:rsid w:val="00B762FD"/>
    <w:rsid w:val="00B808A4"/>
    <w:rsid w:val="00B81371"/>
    <w:rsid w:val="00B8296B"/>
    <w:rsid w:val="00B83E2E"/>
    <w:rsid w:val="00B849B5"/>
    <w:rsid w:val="00B84B6C"/>
    <w:rsid w:val="00B866B8"/>
    <w:rsid w:val="00B86EAB"/>
    <w:rsid w:val="00B902E7"/>
    <w:rsid w:val="00B916FE"/>
    <w:rsid w:val="00B922D9"/>
    <w:rsid w:val="00B926D6"/>
    <w:rsid w:val="00B94C17"/>
    <w:rsid w:val="00B966BF"/>
    <w:rsid w:val="00B974B4"/>
    <w:rsid w:val="00B9772A"/>
    <w:rsid w:val="00BA0012"/>
    <w:rsid w:val="00BA0081"/>
    <w:rsid w:val="00BA2666"/>
    <w:rsid w:val="00BA3DCE"/>
    <w:rsid w:val="00BA4EEA"/>
    <w:rsid w:val="00BA4F66"/>
    <w:rsid w:val="00BA7987"/>
    <w:rsid w:val="00BA7CFA"/>
    <w:rsid w:val="00BB03D0"/>
    <w:rsid w:val="00BB1309"/>
    <w:rsid w:val="00BB2592"/>
    <w:rsid w:val="00BB3156"/>
    <w:rsid w:val="00BB32F4"/>
    <w:rsid w:val="00BB3C9C"/>
    <w:rsid w:val="00BB5CA9"/>
    <w:rsid w:val="00BB6662"/>
    <w:rsid w:val="00BB6B13"/>
    <w:rsid w:val="00BB7189"/>
    <w:rsid w:val="00BC0CE4"/>
    <w:rsid w:val="00BC260A"/>
    <w:rsid w:val="00BC2CF8"/>
    <w:rsid w:val="00BC30BF"/>
    <w:rsid w:val="00BC3150"/>
    <w:rsid w:val="00BC573E"/>
    <w:rsid w:val="00BC61B2"/>
    <w:rsid w:val="00BD010F"/>
    <w:rsid w:val="00BD02D5"/>
    <w:rsid w:val="00BD1076"/>
    <w:rsid w:val="00BD1B67"/>
    <w:rsid w:val="00BD335B"/>
    <w:rsid w:val="00BD33B6"/>
    <w:rsid w:val="00BD3D7F"/>
    <w:rsid w:val="00BD4097"/>
    <w:rsid w:val="00BD4E41"/>
    <w:rsid w:val="00BD4F5D"/>
    <w:rsid w:val="00BD58D8"/>
    <w:rsid w:val="00BD6560"/>
    <w:rsid w:val="00BD680C"/>
    <w:rsid w:val="00BE00FA"/>
    <w:rsid w:val="00BE0C95"/>
    <w:rsid w:val="00BE0D6A"/>
    <w:rsid w:val="00BE268F"/>
    <w:rsid w:val="00BE46C5"/>
    <w:rsid w:val="00BE4FCA"/>
    <w:rsid w:val="00BE545A"/>
    <w:rsid w:val="00BE5E11"/>
    <w:rsid w:val="00BE6C95"/>
    <w:rsid w:val="00BE74FA"/>
    <w:rsid w:val="00BE7E44"/>
    <w:rsid w:val="00BF0680"/>
    <w:rsid w:val="00BF0A54"/>
    <w:rsid w:val="00BF0F1C"/>
    <w:rsid w:val="00BF1B7F"/>
    <w:rsid w:val="00BF1C09"/>
    <w:rsid w:val="00BF49F2"/>
    <w:rsid w:val="00BF5657"/>
    <w:rsid w:val="00BF5FEC"/>
    <w:rsid w:val="00BF6747"/>
    <w:rsid w:val="00BF6B5B"/>
    <w:rsid w:val="00BF6B7C"/>
    <w:rsid w:val="00BF6B9A"/>
    <w:rsid w:val="00BF6D83"/>
    <w:rsid w:val="00BF704D"/>
    <w:rsid w:val="00BF7824"/>
    <w:rsid w:val="00C020F8"/>
    <w:rsid w:val="00C02535"/>
    <w:rsid w:val="00C02903"/>
    <w:rsid w:val="00C03581"/>
    <w:rsid w:val="00C04666"/>
    <w:rsid w:val="00C04D22"/>
    <w:rsid w:val="00C05995"/>
    <w:rsid w:val="00C07A48"/>
    <w:rsid w:val="00C11482"/>
    <w:rsid w:val="00C13C55"/>
    <w:rsid w:val="00C149E0"/>
    <w:rsid w:val="00C14AFD"/>
    <w:rsid w:val="00C14CDF"/>
    <w:rsid w:val="00C150E0"/>
    <w:rsid w:val="00C150F6"/>
    <w:rsid w:val="00C15419"/>
    <w:rsid w:val="00C16762"/>
    <w:rsid w:val="00C17637"/>
    <w:rsid w:val="00C179FC"/>
    <w:rsid w:val="00C2038C"/>
    <w:rsid w:val="00C2054F"/>
    <w:rsid w:val="00C20EB1"/>
    <w:rsid w:val="00C2139F"/>
    <w:rsid w:val="00C2169E"/>
    <w:rsid w:val="00C218B6"/>
    <w:rsid w:val="00C21B00"/>
    <w:rsid w:val="00C2210C"/>
    <w:rsid w:val="00C230A3"/>
    <w:rsid w:val="00C24619"/>
    <w:rsid w:val="00C252F4"/>
    <w:rsid w:val="00C27ABF"/>
    <w:rsid w:val="00C3157F"/>
    <w:rsid w:val="00C315FB"/>
    <w:rsid w:val="00C317BD"/>
    <w:rsid w:val="00C31A00"/>
    <w:rsid w:val="00C32AF2"/>
    <w:rsid w:val="00C32E86"/>
    <w:rsid w:val="00C33279"/>
    <w:rsid w:val="00C336B9"/>
    <w:rsid w:val="00C37DED"/>
    <w:rsid w:val="00C41015"/>
    <w:rsid w:val="00C41EE1"/>
    <w:rsid w:val="00C43EDF"/>
    <w:rsid w:val="00C44029"/>
    <w:rsid w:val="00C45BF0"/>
    <w:rsid w:val="00C47468"/>
    <w:rsid w:val="00C54BEF"/>
    <w:rsid w:val="00C55FE8"/>
    <w:rsid w:val="00C609CB"/>
    <w:rsid w:val="00C60F5C"/>
    <w:rsid w:val="00C6138C"/>
    <w:rsid w:val="00C6220B"/>
    <w:rsid w:val="00C63CF2"/>
    <w:rsid w:val="00C648FC"/>
    <w:rsid w:val="00C661D1"/>
    <w:rsid w:val="00C663BE"/>
    <w:rsid w:val="00C71858"/>
    <w:rsid w:val="00C71B19"/>
    <w:rsid w:val="00C722C5"/>
    <w:rsid w:val="00C72EEB"/>
    <w:rsid w:val="00C73C34"/>
    <w:rsid w:val="00C744AE"/>
    <w:rsid w:val="00C74781"/>
    <w:rsid w:val="00C74850"/>
    <w:rsid w:val="00C75A73"/>
    <w:rsid w:val="00C75D27"/>
    <w:rsid w:val="00C7703D"/>
    <w:rsid w:val="00C77598"/>
    <w:rsid w:val="00C77C19"/>
    <w:rsid w:val="00C80034"/>
    <w:rsid w:val="00C80BCE"/>
    <w:rsid w:val="00C82032"/>
    <w:rsid w:val="00C83EA7"/>
    <w:rsid w:val="00C84559"/>
    <w:rsid w:val="00C8486C"/>
    <w:rsid w:val="00C85EC8"/>
    <w:rsid w:val="00C862C4"/>
    <w:rsid w:val="00C869B2"/>
    <w:rsid w:val="00C86B34"/>
    <w:rsid w:val="00C90AAF"/>
    <w:rsid w:val="00C90FB4"/>
    <w:rsid w:val="00C90FC9"/>
    <w:rsid w:val="00C92394"/>
    <w:rsid w:val="00C93405"/>
    <w:rsid w:val="00C94989"/>
    <w:rsid w:val="00C94C06"/>
    <w:rsid w:val="00C952CF"/>
    <w:rsid w:val="00C95593"/>
    <w:rsid w:val="00C965D0"/>
    <w:rsid w:val="00C96A63"/>
    <w:rsid w:val="00C97602"/>
    <w:rsid w:val="00CA1F79"/>
    <w:rsid w:val="00CA2022"/>
    <w:rsid w:val="00CA2481"/>
    <w:rsid w:val="00CA2A4E"/>
    <w:rsid w:val="00CA4422"/>
    <w:rsid w:val="00CA5974"/>
    <w:rsid w:val="00CA6AAE"/>
    <w:rsid w:val="00CA709B"/>
    <w:rsid w:val="00CB0101"/>
    <w:rsid w:val="00CB12C8"/>
    <w:rsid w:val="00CB3393"/>
    <w:rsid w:val="00CB3448"/>
    <w:rsid w:val="00CB3C69"/>
    <w:rsid w:val="00CB3C89"/>
    <w:rsid w:val="00CB3E21"/>
    <w:rsid w:val="00CB57BF"/>
    <w:rsid w:val="00CC0224"/>
    <w:rsid w:val="00CC053E"/>
    <w:rsid w:val="00CC2D8B"/>
    <w:rsid w:val="00CC2DE4"/>
    <w:rsid w:val="00CC360E"/>
    <w:rsid w:val="00CC399C"/>
    <w:rsid w:val="00CC48D6"/>
    <w:rsid w:val="00CC493D"/>
    <w:rsid w:val="00CC66DA"/>
    <w:rsid w:val="00CC73D6"/>
    <w:rsid w:val="00CD0A20"/>
    <w:rsid w:val="00CD1D73"/>
    <w:rsid w:val="00CD2C1A"/>
    <w:rsid w:val="00CD6866"/>
    <w:rsid w:val="00CD6F46"/>
    <w:rsid w:val="00CD76D4"/>
    <w:rsid w:val="00CD7893"/>
    <w:rsid w:val="00CE03CC"/>
    <w:rsid w:val="00CE0DB1"/>
    <w:rsid w:val="00CE1364"/>
    <w:rsid w:val="00CE2991"/>
    <w:rsid w:val="00CE5BD0"/>
    <w:rsid w:val="00CE670C"/>
    <w:rsid w:val="00CE7E6A"/>
    <w:rsid w:val="00CF030B"/>
    <w:rsid w:val="00CF23A2"/>
    <w:rsid w:val="00CF2F97"/>
    <w:rsid w:val="00CF335B"/>
    <w:rsid w:val="00CF3F0A"/>
    <w:rsid w:val="00CF4796"/>
    <w:rsid w:val="00CF523E"/>
    <w:rsid w:val="00CF5F6B"/>
    <w:rsid w:val="00CF6EB2"/>
    <w:rsid w:val="00CF71BA"/>
    <w:rsid w:val="00D01241"/>
    <w:rsid w:val="00D02D0F"/>
    <w:rsid w:val="00D03556"/>
    <w:rsid w:val="00D03A00"/>
    <w:rsid w:val="00D03B80"/>
    <w:rsid w:val="00D06181"/>
    <w:rsid w:val="00D11056"/>
    <w:rsid w:val="00D11F56"/>
    <w:rsid w:val="00D12D70"/>
    <w:rsid w:val="00D12EE7"/>
    <w:rsid w:val="00D1373C"/>
    <w:rsid w:val="00D13F1B"/>
    <w:rsid w:val="00D14B06"/>
    <w:rsid w:val="00D160DB"/>
    <w:rsid w:val="00D166BC"/>
    <w:rsid w:val="00D17702"/>
    <w:rsid w:val="00D17C3D"/>
    <w:rsid w:val="00D225CB"/>
    <w:rsid w:val="00D240B5"/>
    <w:rsid w:val="00D25A9F"/>
    <w:rsid w:val="00D2734A"/>
    <w:rsid w:val="00D27560"/>
    <w:rsid w:val="00D276CF"/>
    <w:rsid w:val="00D30003"/>
    <w:rsid w:val="00D300EA"/>
    <w:rsid w:val="00D30114"/>
    <w:rsid w:val="00D306AB"/>
    <w:rsid w:val="00D31B93"/>
    <w:rsid w:val="00D33323"/>
    <w:rsid w:val="00D3469A"/>
    <w:rsid w:val="00D3478C"/>
    <w:rsid w:val="00D34A5C"/>
    <w:rsid w:val="00D35986"/>
    <w:rsid w:val="00D37494"/>
    <w:rsid w:val="00D3789A"/>
    <w:rsid w:val="00D407B7"/>
    <w:rsid w:val="00D408E9"/>
    <w:rsid w:val="00D409B3"/>
    <w:rsid w:val="00D41E2D"/>
    <w:rsid w:val="00D4287D"/>
    <w:rsid w:val="00D42957"/>
    <w:rsid w:val="00D45E79"/>
    <w:rsid w:val="00D46BB5"/>
    <w:rsid w:val="00D47265"/>
    <w:rsid w:val="00D4793C"/>
    <w:rsid w:val="00D506E8"/>
    <w:rsid w:val="00D509E4"/>
    <w:rsid w:val="00D54BAA"/>
    <w:rsid w:val="00D55F9D"/>
    <w:rsid w:val="00D600DF"/>
    <w:rsid w:val="00D605FB"/>
    <w:rsid w:val="00D613AB"/>
    <w:rsid w:val="00D63990"/>
    <w:rsid w:val="00D63E87"/>
    <w:rsid w:val="00D65068"/>
    <w:rsid w:val="00D6518B"/>
    <w:rsid w:val="00D65243"/>
    <w:rsid w:val="00D658A1"/>
    <w:rsid w:val="00D704E6"/>
    <w:rsid w:val="00D71699"/>
    <w:rsid w:val="00D738F0"/>
    <w:rsid w:val="00D74FD3"/>
    <w:rsid w:val="00D76195"/>
    <w:rsid w:val="00D77436"/>
    <w:rsid w:val="00D81191"/>
    <w:rsid w:val="00D81AB1"/>
    <w:rsid w:val="00D82CB3"/>
    <w:rsid w:val="00D82FC0"/>
    <w:rsid w:val="00D8322A"/>
    <w:rsid w:val="00D83746"/>
    <w:rsid w:val="00D83C17"/>
    <w:rsid w:val="00D845E3"/>
    <w:rsid w:val="00D84FFF"/>
    <w:rsid w:val="00D852AC"/>
    <w:rsid w:val="00D85885"/>
    <w:rsid w:val="00D85A93"/>
    <w:rsid w:val="00D86F1C"/>
    <w:rsid w:val="00D8720F"/>
    <w:rsid w:val="00D87527"/>
    <w:rsid w:val="00D87652"/>
    <w:rsid w:val="00D9060C"/>
    <w:rsid w:val="00D92D08"/>
    <w:rsid w:val="00D9372E"/>
    <w:rsid w:val="00D9392E"/>
    <w:rsid w:val="00D93EE0"/>
    <w:rsid w:val="00D947F0"/>
    <w:rsid w:val="00D95855"/>
    <w:rsid w:val="00D963CC"/>
    <w:rsid w:val="00D9640E"/>
    <w:rsid w:val="00D97F59"/>
    <w:rsid w:val="00DA0EAA"/>
    <w:rsid w:val="00DA2928"/>
    <w:rsid w:val="00DA39FF"/>
    <w:rsid w:val="00DA3A4F"/>
    <w:rsid w:val="00DA42C0"/>
    <w:rsid w:val="00DA52A2"/>
    <w:rsid w:val="00DA77AE"/>
    <w:rsid w:val="00DA7DC1"/>
    <w:rsid w:val="00DA7E2F"/>
    <w:rsid w:val="00DB0C0B"/>
    <w:rsid w:val="00DB1C9B"/>
    <w:rsid w:val="00DB27F7"/>
    <w:rsid w:val="00DB31E7"/>
    <w:rsid w:val="00DB3A66"/>
    <w:rsid w:val="00DB4AC0"/>
    <w:rsid w:val="00DB4BEF"/>
    <w:rsid w:val="00DB78B2"/>
    <w:rsid w:val="00DB7AE9"/>
    <w:rsid w:val="00DC230C"/>
    <w:rsid w:val="00DC2CE7"/>
    <w:rsid w:val="00DC301A"/>
    <w:rsid w:val="00DC30B5"/>
    <w:rsid w:val="00DC679F"/>
    <w:rsid w:val="00DC6AEA"/>
    <w:rsid w:val="00DC6D14"/>
    <w:rsid w:val="00DC7377"/>
    <w:rsid w:val="00DC76B7"/>
    <w:rsid w:val="00DD3C18"/>
    <w:rsid w:val="00DD4849"/>
    <w:rsid w:val="00DD585D"/>
    <w:rsid w:val="00DE0FC0"/>
    <w:rsid w:val="00DE251A"/>
    <w:rsid w:val="00DE347A"/>
    <w:rsid w:val="00DE36D3"/>
    <w:rsid w:val="00DE3A31"/>
    <w:rsid w:val="00DE7DDA"/>
    <w:rsid w:val="00DE7E44"/>
    <w:rsid w:val="00DF0DD2"/>
    <w:rsid w:val="00DF13A5"/>
    <w:rsid w:val="00DF1C93"/>
    <w:rsid w:val="00DF1E5D"/>
    <w:rsid w:val="00DF2ABA"/>
    <w:rsid w:val="00DF419C"/>
    <w:rsid w:val="00DF51C5"/>
    <w:rsid w:val="00DF6844"/>
    <w:rsid w:val="00DF7149"/>
    <w:rsid w:val="00DF72C7"/>
    <w:rsid w:val="00E01188"/>
    <w:rsid w:val="00E01E64"/>
    <w:rsid w:val="00E03246"/>
    <w:rsid w:val="00E03508"/>
    <w:rsid w:val="00E03941"/>
    <w:rsid w:val="00E03C0E"/>
    <w:rsid w:val="00E041D1"/>
    <w:rsid w:val="00E065F2"/>
    <w:rsid w:val="00E06AFA"/>
    <w:rsid w:val="00E073C2"/>
    <w:rsid w:val="00E07E4D"/>
    <w:rsid w:val="00E10C25"/>
    <w:rsid w:val="00E1123F"/>
    <w:rsid w:val="00E12D1C"/>
    <w:rsid w:val="00E1327D"/>
    <w:rsid w:val="00E14317"/>
    <w:rsid w:val="00E14EF0"/>
    <w:rsid w:val="00E14F41"/>
    <w:rsid w:val="00E16412"/>
    <w:rsid w:val="00E165DD"/>
    <w:rsid w:val="00E17463"/>
    <w:rsid w:val="00E17BD3"/>
    <w:rsid w:val="00E17F3A"/>
    <w:rsid w:val="00E21392"/>
    <w:rsid w:val="00E21F52"/>
    <w:rsid w:val="00E227C3"/>
    <w:rsid w:val="00E22843"/>
    <w:rsid w:val="00E22E88"/>
    <w:rsid w:val="00E244F5"/>
    <w:rsid w:val="00E24C79"/>
    <w:rsid w:val="00E2578C"/>
    <w:rsid w:val="00E25C98"/>
    <w:rsid w:val="00E26881"/>
    <w:rsid w:val="00E26C1E"/>
    <w:rsid w:val="00E26DFE"/>
    <w:rsid w:val="00E2713B"/>
    <w:rsid w:val="00E27D5D"/>
    <w:rsid w:val="00E31B31"/>
    <w:rsid w:val="00E32DDF"/>
    <w:rsid w:val="00E32E34"/>
    <w:rsid w:val="00E33108"/>
    <w:rsid w:val="00E33EB2"/>
    <w:rsid w:val="00E34706"/>
    <w:rsid w:val="00E37290"/>
    <w:rsid w:val="00E42F84"/>
    <w:rsid w:val="00E43ABE"/>
    <w:rsid w:val="00E43DA5"/>
    <w:rsid w:val="00E445BD"/>
    <w:rsid w:val="00E45726"/>
    <w:rsid w:val="00E457C2"/>
    <w:rsid w:val="00E47A5F"/>
    <w:rsid w:val="00E507A5"/>
    <w:rsid w:val="00E50F87"/>
    <w:rsid w:val="00E51DFC"/>
    <w:rsid w:val="00E51E1E"/>
    <w:rsid w:val="00E528D2"/>
    <w:rsid w:val="00E54E89"/>
    <w:rsid w:val="00E6002A"/>
    <w:rsid w:val="00E601CE"/>
    <w:rsid w:val="00E602CF"/>
    <w:rsid w:val="00E61EE8"/>
    <w:rsid w:val="00E62441"/>
    <w:rsid w:val="00E63879"/>
    <w:rsid w:val="00E64EAF"/>
    <w:rsid w:val="00E659AE"/>
    <w:rsid w:val="00E66EE6"/>
    <w:rsid w:val="00E67EC8"/>
    <w:rsid w:val="00E701D0"/>
    <w:rsid w:val="00E71633"/>
    <w:rsid w:val="00E71A61"/>
    <w:rsid w:val="00E71C2E"/>
    <w:rsid w:val="00E72689"/>
    <w:rsid w:val="00E730AA"/>
    <w:rsid w:val="00E76F52"/>
    <w:rsid w:val="00E772AB"/>
    <w:rsid w:val="00E80073"/>
    <w:rsid w:val="00E803E8"/>
    <w:rsid w:val="00E813C6"/>
    <w:rsid w:val="00E82084"/>
    <w:rsid w:val="00E82B54"/>
    <w:rsid w:val="00E838B2"/>
    <w:rsid w:val="00E83C86"/>
    <w:rsid w:val="00E83DF6"/>
    <w:rsid w:val="00E84521"/>
    <w:rsid w:val="00E85048"/>
    <w:rsid w:val="00E856B0"/>
    <w:rsid w:val="00E858B4"/>
    <w:rsid w:val="00E8681B"/>
    <w:rsid w:val="00E86AE6"/>
    <w:rsid w:val="00E86C2A"/>
    <w:rsid w:val="00E86CA1"/>
    <w:rsid w:val="00E9033F"/>
    <w:rsid w:val="00E906C3"/>
    <w:rsid w:val="00E90A65"/>
    <w:rsid w:val="00E91E35"/>
    <w:rsid w:val="00E922F1"/>
    <w:rsid w:val="00E92819"/>
    <w:rsid w:val="00E937B5"/>
    <w:rsid w:val="00E93C6B"/>
    <w:rsid w:val="00E9442F"/>
    <w:rsid w:val="00E95AFF"/>
    <w:rsid w:val="00E969D2"/>
    <w:rsid w:val="00EA0CA1"/>
    <w:rsid w:val="00EA3249"/>
    <w:rsid w:val="00EA3C59"/>
    <w:rsid w:val="00EA4BEE"/>
    <w:rsid w:val="00EA5118"/>
    <w:rsid w:val="00EA600C"/>
    <w:rsid w:val="00EA6DD2"/>
    <w:rsid w:val="00EA7A8D"/>
    <w:rsid w:val="00EB0DF0"/>
    <w:rsid w:val="00EB1A2C"/>
    <w:rsid w:val="00EB2DEA"/>
    <w:rsid w:val="00EB385D"/>
    <w:rsid w:val="00EB40DC"/>
    <w:rsid w:val="00EB743F"/>
    <w:rsid w:val="00EB781A"/>
    <w:rsid w:val="00EC064C"/>
    <w:rsid w:val="00EC0BFA"/>
    <w:rsid w:val="00EC115D"/>
    <w:rsid w:val="00EC3328"/>
    <w:rsid w:val="00EC34A9"/>
    <w:rsid w:val="00EC3934"/>
    <w:rsid w:val="00EC3BEB"/>
    <w:rsid w:val="00EC6DB6"/>
    <w:rsid w:val="00EC6FAC"/>
    <w:rsid w:val="00EC7352"/>
    <w:rsid w:val="00ED02CC"/>
    <w:rsid w:val="00ED2270"/>
    <w:rsid w:val="00ED4587"/>
    <w:rsid w:val="00ED512E"/>
    <w:rsid w:val="00ED5477"/>
    <w:rsid w:val="00ED5AF4"/>
    <w:rsid w:val="00ED687C"/>
    <w:rsid w:val="00ED6E66"/>
    <w:rsid w:val="00ED78C1"/>
    <w:rsid w:val="00EE0293"/>
    <w:rsid w:val="00EE048D"/>
    <w:rsid w:val="00EE0A95"/>
    <w:rsid w:val="00EE0ACB"/>
    <w:rsid w:val="00EE0F2F"/>
    <w:rsid w:val="00EE107C"/>
    <w:rsid w:val="00EE1531"/>
    <w:rsid w:val="00EE280E"/>
    <w:rsid w:val="00EE3E9C"/>
    <w:rsid w:val="00EE4D4C"/>
    <w:rsid w:val="00EE4FBE"/>
    <w:rsid w:val="00EE706E"/>
    <w:rsid w:val="00EF1AD7"/>
    <w:rsid w:val="00EF2E2B"/>
    <w:rsid w:val="00EF34D2"/>
    <w:rsid w:val="00EF42F4"/>
    <w:rsid w:val="00EF4C26"/>
    <w:rsid w:val="00EF5CC0"/>
    <w:rsid w:val="00EF5E4C"/>
    <w:rsid w:val="00EF7162"/>
    <w:rsid w:val="00F01360"/>
    <w:rsid w:val="00F02E9D"/>
    <w:rsid w:val="00F04044"/>
    <w:rsid w:val="00F046C8"/>
    <w:rsid w:val="00F047AB"/>
    <w:rsid w:val="00F05DE1"/>
    <w:rsid w:val="00F0600F"/>
    <w:rsid w:val="00F068E2"/>
    <w:rsid w:val="00F06E21"/>
    <w:rsid w:val="00F07200"/>
    <w:rsid w:val="00F07353"/>
    <w:rsid w:val="00F07748"/>
    <w:rsid w:val="00F10D6B"/>
    <w:rsid w:val="00F126D9"/>
    <w:rsid w:val="00F12CDC"/>
    <w:rsid w:val="00F13E45"/>
    <w:rsid w:val="00F147C6"/>
    <w:rsid w:val="00F160E5"/>
    <w:rsid w:val="00F16381"/>
    <w:rsid w:val="00F21705"/>
    <w:rsid w:val="00F22923"/>
    <w:rsid w:val="00F231FC"/>
    <w:rsid w:val="00F23AEF"/>
    <w:rsid w:val="00F25E84"/>
    <w:rsid w:val="00F2706D"/>
    <w:rsid w:val="00F27818"/>
    <w:rsid w:val="00F27ADB"/>
    <w:rsid w:val="00F31039"/>
    <w:rsid w:val="00F31178"/>
    <w:rsid w:val="00F31D0B"/>
    <w:rsid w:val="00F32971"/>
    <w:rsid w:val="00F3349F"/>
    <w:rsid w:val="00F33670"/>
    <w:rsid w:val="00F3400B"/>
    <w:rsid w:val="00F3458B"/>
    <w:rsid w:val="00F34889"/>
    <w:rsid w:val="00F35C44"/>
    <w:rsid w:val="00F35CC5"/>
    <w:rsid w:val="00F36C7A"/>
    <w:rsid w:val="00F378CB"/>
    <w:rsid w:val="00F40C05"/>
    <w:rsid w:val="00F40E86"/>
    <w:rsid w:val="00F40F5B"/>
    <w:rsid w:val="00F42168"/>
    <w:rsid w:val="00F425B3"/>
    <w:rsid w:val="00F43821"/>
    <w:rsid w:val="00F4414A"/>
    <w:rsid w:val="00F448F9"/>
    <w:rsid w:val="00F44C78"/>
    <w:rsid w:val="00F45287"/>
    <w:rsid w:val="00F452C0"/>
    <w:rsid w:val="00F459E6"/>
    <w:rsid w:val="00F46070"/>
    <w:rsid w:val="00F471CC"/>
    <w:rsid w:val="00F50E9E"/>
    <w:rsid w:val="00F51CBB"/>
    <w:rsid w:val="00F51DD3"/>
    <w:rsid w:val="00F53AC2"/>
    <w:rsid w:val="00F53C08"/>
    <w:rsid w:val="00F53C70"/>
    <w:rsid w:val="00F53E50"/>
    <w:rsid w:val="00F547DF"/>
    <w:rsid w:val="00F550C2"/>
    <w:rsid w:val="00F55D7B"/>
    <w:rsid w:val="00F56CB1"/>
    <w:rsid w:val="00F575AC"/>
    <w:rsid w:val="00F602FE"/>
    <w:rsid w:val="00F60C62"/>
    <w:rsid w:val="00F61B52"/>
    <w:rsid w:val="00F61BF3"/>
    <w:rsid w:val="00F6299D"/>
    <w:rsid w:val="00F63F1D"/>
    <w:rsid w:val="00F645AF"/>
    <w:rsid w:val="00F66BC9"/>
    <w:rsid w:val="00F67946"/>
    <w:rsid w:val="00F70BC9"/>
    <w:rsid w:val="00F70DCA"/>
    <w:rsid w:val="00F712BF"/>
    <w:rsid w:val="00F72B99"/>
    <w:rsid w:val="00F72CCD"/>
    <w:rsid w:val="00F72E9F"/>
    <w:rsid w:val="00F73160"/>
    <w:rsid w:val="00F732B1"/>
    <w:rsid w:val="00F739E9"/>
    <w:rsid w:val="00F81620"/>
    <w:rsid w:val="00F82323"/>
    <w:rsid w:val="00F84240"/>
    <w:rsid w:val="00F85237"/>
    <w:rsid w:val="00F8564F"/>
    <w:rsid w:val="00F87844"/>
    <w:rsid w:val="00F87DAE"/>
    <w:rsid w:val="00F9000A"/>
    <w:rsid w:val="00F9002A"/>
    <w:rsid w:val="00F90CC8"/>
    <w:rsid w:val="00F911B2"/>
    <w:rsid w:val="00F91EEE"/>
    <w:rsid w:val="00F9357C"/>
    <w:rsid w:val="00F94E43"/>
    <w:rsid w:val="00F95929"/>
    <w:rsid w:val="00F95F7E"/>
    <w:rsid w:val="00F963E3"/>
    <w:rsid w:val="00F97AFE"/>
    <w:rsid w:val="00F97F3F"/>
    <w:rsid w:val="00FA0128"/>
    <w:rsid w:val="00FA1786"/>
    <w:rsid w:val="00FA215F"/>
    <w:rsid w:val="00FA2160"/>
    <w:rsid w:val="00FA2E55"/>
    <w:rsid w:val="00FA3191"/>
    <w:rsid w:val="00FA3981"/>
    <w:rsid w:val="00FA5AE3"/>
    <w:rsid w:val="00FA73DD"/>
    <w:rsid w:val="00FB13C2"/>
    <w:rsid w:val="00FB1677"/>
    <w:rsid w:val="00FB1953"/>
    <w:rsid w:val="00FB2BAF"/>
    <w:rsid w:val="00FB380D"/>
    <w:rsid w:val="00FB6E7C"/>
    <w:rsid w:val="00FB76C5"/>
    <w:rsid w:val="00FC026A"/>
    <w:rsid w:val="00FC214C"/>
    <w:rsid w:val="00FC2414"/>
    <w:rsid w:val="00FC2479"/>
    <w:rsid w:val="00FC2C4D"/>
    <w:rsid w:val="00FC3245"/>
    <w:rsid w:val="00FC44A1"/>
    <w:rsid w:val="00FC4DEB"/>
    <w:rsid w:val="00FC54AA"/>
    <w:rsid w:val="00FC6D86"/>
    <w:rsid w:val="00FC77FF"/>
    <w:rsid w:val="00FC7E40"/>
    <w:rsid w:val="00FD1351"/>
    <w:rsid w:val="00FD1694"/>
    <w:rsid w:val="00FD22AA"/>
    <w:rsid w:val="00FD38A5"/>
    <w:rsid w:val="00FD4B65"/>
    <w:rsid w:val="00FD670E"/>
    <w:rsid w:val="00FD6729"/>
    <w:rsid w:val="00FD776B"/>
    <w:rsid w:val="00FD7EFE"/>
    <w:rsid w:val="00FE2025"/>
    <w:rsid w:val="00FE2D41"/>
    <w:rsid w:val="00FE2D9D"/>
    <w:rsid w:val="00FE3280"/>
    <w:rsid w:val="00FE3AFE"/>
    <w:rsid w:val="00FE4790"/>
    <w:rsid w:val="00FE49E3"/>
    <w:rsid w:val="00FE4E1B"/>
    <w:rsid w:val="00FE6019"/>
    <w:rsid w:val="00FE7904"/>
    <w:rsid w:val="00FE79C6"/>
    <w:rsid w:val="00FF0139"/>
    <w:rsid w:val="00FF0AD1"/>
    <w:rsid w:val="00FF1A04"/>
    <w:rsid w:val="00FF2F56"/>
    <w:rsid w:val="00FF3373"/>
    <w:rsid w:val="00FF3B7B"/>
    <w:rsid w:val="00FF3D45"/>
    <w:rsid w:val="00FF4551"/>
    <w:rsid w:val="00FF4646"/>
    <w:rsid w:val="00FF55AA"/>
    <w:rsid w:val="00FF6073"/>
    <w:rsid w:val="00FF65E1"/>
    <w:rsid w:val="00FF75DF"/>
    <w:rsid w:val="00FF7A5B"/>
    <w:rsid w:val="00FF7B1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4:defaultImageDpi w14:val="300"/>
  <w15:docId w15:val="{E3A3CE73-2BA4-48E3-9D96-0138FB767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4BED"/>
    <w:rPr>
      <w:rFonts w:ascii="Times New Roman" w:eastAsia="Times New Roman" w:hAnsi="Times New Roman" w:cs="Times New Roman"/>
      <w:lang w:val="es-US" w:eastAsia="es-ES_tradnl"/>
    </w:rPr>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val="es-MX"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styleId="Ttulo3">
    <w:name w:val="heading 3"/>
    <w:basedOn w:val="Normal"/>
    <w:next w:val="Normal"/>
    <w:link w:val="Ttulo3Car"/>
    <w:uiPriority w:val="9"/>
    <w:semiHidden/>
    <w:unhideWhenUsed/>
    <w:qFormat/>
    <w:rsid w:val="00113B08"/>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E772AB"/>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313AF4"/>
    <w:pPr>
      <w:tabs>
        <w:tab w:val="left" w:pos="440"/>
        <w:tab w:val="right" w:leader="dot" w:pos="8828"/>
      </w:tabs>
      <w:spacing w:after="100" w:line="480" w:lineRule="auto"/>
      <w:ind w:left="708"/>
      <w:jc w:val="both"/>
    </w:pPr>
  </w:style>
  <w:style w:type="paragraph" w:styleId="TDC2">
    <w:name w:val="toc 2"/>
    <w:basedOn w:val="Normal"/>
    <w:next w:val="Normal"/>
    <w:autoRedefine/>
    <w:uiPriority w:val="39"/>
    <w:unhideWhenUsed/>
    <w:rsid w:val="00313AF4"/>
    <w:pPr>
      <w:tabs>
        <w:tab w:val="right" w:leader="dot" w:pos="9676"/>
      </w:tabs>
      <w:spacing w:after="100" w:line="480" w:lineRule="auto"/>
      <w:ind w:left="948" w:hanging="240"/>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hAnsi="Arial"/>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lang w:val="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styleId="Tablanormal1">
    <w:name w:val="Plain Table 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eastAsiaTheme="minorHAnsi"/>
    </w:rPr>
  </w:style>
  <w:style w:type="character" w:customStyle="1" w:styleId="apple-style-span">
    <w:name w:val="apple-style-span"/>
    <w:rsid w:val="00847830"/>
  </w:style>
  <w:style w:type="table" w:styleId="Tabladecuadrcula1clara">
    <w:name w:val="Grid Table 1 Light"/>
    <w:basedOn w:val="Tablanormal"/>
    <w:uiPriority w:val="99"/>
    <w:rsid w:val="00856B0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4-nfasis1">
    <w:name w:val="Grid Table 4 Accent 1"/>
    <w:basedOn w:val="Tablanormal"/>
    <w:uiPriority w:val="49"/>
    <w:rsid w:val="0096769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ar">
    <w:name w:val="Título 3 Car"/>
    <w:basedOn w:val="Fuentedeprrafopredeter"/>
    <w:link w:val="Ttulo3"/>
    <w:uiPriority w:val="9"/>
    <w:semiHidden/>
    <w:rsid w:val="00113B08"/>
    <w:rPr>
      <w:rFonts w:asciiTheme="majorHAnsi" w:eastAsiaTheme="majorEastAsia" w:hAnsiTheme="majorHAnsi" w:cstheme="majorBidi"/>
      <w:color w:val="243F60" w:themeColor="accent1" w:themeShade="7F"/>
    </w:rPr>
  </w:style>
  <w:style w:type="paragraph" w:customStyle="1" w:styleId="m-698976158124685028gmail-msolistparagraph">
    <w:name w:val="m_-698976158124685028gmail-msolistparagraph"/>
    <w:basedOn w:val="Normal"/>
    <w:rsid w:val="00113B08"/>
    <w:pPr>
      <w:spacing w:before="100" w:beforeAutospacing="1" w:after="100" w:afterAutospacing="1"/>
    </w:pPr>
    <w:rPr>
      <w:lang w:val="es-MX" w:eastAsia="es-MX"/>
    </w:rPr>
  </w:style>
  <w:style w:type="paragraph" w:styleId="TDC3">
    <w:name w:val="toc 3"/>
    <w:basedOn w:val="Normal"/>
    <w:next w:val="Normal"/>
    <w:autoRedefine/>
    <w:uiPriority w:val="39"/>
    <w:unhideWhenUsed/>
    <w:rsid w:val="00E858B4"/>
    <w:pPr>
      <w:tabs>
        <w:tab w:val="right" w:leader="dot" w:pos="8828"/>
      </w:tabs>
      <w:spacing w:after="100"/>
      <w:ind w:left="709"/>
    </w:pPr>
  </w:style>
  <w:style w:type="character" w:customStyle="1" w:styleId="Ttulo4Car">
    <w:name w:val="Título 4 Car"/>
    <w:basedOn w:val="Fuentedeprrafopredeter"/>
    <w:link w:val="Ttulo4"/>
    <w:uiPriority w:val="9"/>
    <w:rsid w:val="00E772AB"/>
    <w:rPr>
      <w:rFonts w:asciiTheme="majorHAnsi" w:eastAsiaTheme="majorEastAsia" w:hAnsiTheme="majorHAnsi" w:cstheme="majorBidi"/>
      <w:i/>
      <w:iCs/>
      <w:color w:val="365F91" w:themeColor="accent1" w:themeShade="BF"/>
    </w:rPr>
  </w:style>
  <w:style w:type="numbering" w:customStyle="1" w:styleId="Estiloimportado1">
    <w:name w:val="Estilo importado 1"/>
    <w:rsid w:val="006B4A27"/>
    <w:pPr>
      <w:numPr>
        <w:numId w:val="3"/>
      </w:numPr>
    </w:pPr>
  </w:style>
  <w:style w:type="paragraph" w:customStyle="1" w:styleId="FootnoteTextCharCharChar1">
    <w:name w:val="Footnote Text Char Char Char1"/>
    <w:basedOn w:val="Normal"/>
    <w:next w:val="Textonotapie"/>
    <w:unhideWhenUsed/>
    <w:rsid w:val="00D6518B"/>
    <w:rPr>
      <w:rFonts w:eastAsia="Cambria"/>
      <w:sz w:val="20"/>
      <w:szCs w:val="20"/>
      <w:lang w:val="es-MX" w:eastAsia="en-US"/>
    </w:rPr>
  </w:style>
  <w:style w:type="paragraph" w:styleId="Textoindependiente2">
    <w:name w:val="Body Text 2"/>
    <w:basedOn w:val="Normal"/>
    <w:link w:val="Textoindependiente2Car"/>
    <w:uiPriority w:val="99"/>
    <w:semiHidden/>
    <w:unhideWhenUsed/>
    <w:rsid w:val="00D6518B"/>
    <w:pPr>
      <w:spacing w:after="120" w:line="480" w:lineRule="auto"/>
    </w:pPr>
  </w:style>
  <w:style w:type="character" w:customStyle="1" w:styleId="Textoindependiente2Car">
    <w:name w:val="Texto independiente 2 Car"/>
    <w:basedOn w:val="Fuentedeprrafopredeter"/>
    <w:link w:val="Textoindependiente2"/>
    <w:uiPriority w:val="99"/>
    <w:semiHidden/>
    <w:rsid w:val="00D6518B"/>
  </w:style>
  <w:style w:type="paragraph" w:customStyle="1" w:styleId="ADB1">
    <w:name w:val="ADB1"/>
    <w:basedOn w:val="Normal"/>
    <w:next w:val="Textonotapie"/>
    <w:uiPriority w:val="99"/>
    <w:unhideWhenUsed/>
    <w:qFormat/>
    <w:rsid w:val="007E3772"/>
    <w:rPr>
      <w:rFonts w:eastAsia="Cambria"/>
      <w:sz w:val="20"/>
      <w:szCs w:val="20"/>
      <w:lang w:val="es-MX" w:eastAsia="en-US"/>
    </w:rPr>
  </w:style>
  <w:style w:type="character" w:customStyle="1" w:styleId="nacep">
    <w:name w:val="n_acep"/>
    <w:basedOn w:val="Fuentedeprrafopredeter"/>
    <w:rsid w:val="006B4F83"/>
  </w:style>
  <w:style w:type="character" w:styleId="nfasis">
    <w:name w:val="Emphasis"/>
    <w:basedOn w:val="Fuentedeprrafopredeter"/>
    <w:uiPriority w:val="20"/>
    <w:qFormat/>
    <w:rsid w:val="006B4F83"/>
    <w:rPr>
      <w:i/>
      <w:iCs/>
    </w:rPr>
  </w:style>
  <w:style w:type="character" w:styleId="Hipervnculovisitado">
    <w:name w:val="FollowedHyperlink"/>
    <w:basedOn w:val="Fuentedeprrafopredeter"/>
    <w:uiPriority w:val="99"/>
    <w:semiHidden/>
    <w:unhideWhenUsed/>
    <w:rsid w:val="007E7CB0"/>
    <w:rPr>
      <w:color w:val="800080" w:themeColor="followedHyperlink"/>
      <w:u w:val="single"/>
    </w:rPr>
  </w:style>
  <w:style w:type="character" w:customStyle="1" w:styleId="UnresolvedMention">
    <w:name w:val="Unresolved Mention"/>
    <w:basedOn w:val="Fuentedeprrafopredeter"/>
    <w:uiPriority w:val="99"/>
    <w:semiHidden/>
    <w:unhideWhenUsed/>
    <w:rsid w:val="005C2339"/>
    <w:rPr>
      <w:color w:val="605E5C"/>
      <w:shd w:val="clear" w:color="auto" w:fill="E1DFDD"/>
    </w:rPr>
  </w:style>
  <w:style w:type="table" w:customStyle="1" w:styleId="Tablaconcuadrcula11">
    <w:name w:val="Tabla con cuadrícula11"/>
    <w:basedOn w:val="Tablanormal"/>
    <w:next w:val="Tablaconcuadrcula"/>
    <w:uiPriority w:val="59"/>
    <w:rsid w:val="00EB2DE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EB2D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248582847">
      <w:bodyDiv w:val="1"/>
      <w:marLeft w:val="0"/>
      <w:marRight w:val="0"/>
      <w:marTop w:val="0"/>
      <w:marBottom w:val="0"/>
      <w:divBdr>
        <w:top w:val="none" w:sz="0" w:space="0" w:color="auto"/>
        <w:left w:val="none" w:sz="0" w:space="0" w:color="auto"/>
        <w:bottom w:val="none" w:sz="0" w:space="0" w:color="auto"/>
        <w:right w:val="none" w:sz="0" w:space="0" w:color="auto"/>
      </w:divBdr>
    </w:div>
    <w:div w:id="275604093">
      <w:bodyDiv w:val="1"/>
      <w:marLeft w:val="0"/>
      <w:marRight w:val="0"/>
      <w:marTop w:val="0"/>
      <w:marBottom w:val="0"/>
      <w:divBdr>
        <w:top w:val="none" w:sz="0" w:space="0" w:color="auto"/>
        <w:left w:val="none" w:sz="0" w:space="0" w:color="auto"/>
        <w:bottom w:val="none" w:sz="0" w:space="0" w:color="auto"/>
        <w:right w:val="none" w:sz="0" w:space="0" w:color="auto"/>
      </w:divBdr>
    </w:div>
    <w:div w:id="292904313">
      <w:bodyDiv w:val="1"/>
      <w:marLeft w:val="0"/>
      <w:marRight w:val="0"/>
      <w:marTop w:val="0"/>
      <w:marBottom w:val="0"/>
      <w:divBdr>
        <w:top w:val="none" w:sz="0" w:space="0" w:color="auto"/>
        <w:left w:val="none" w:sz="0" w:space="0" w:color="auto"/>
        <w:bottom w:val="none" w:sz="0" w:space="0" w:color="auto"/>
        <w:right w:val="none" w:sz="0" w:space="0" w:color="auto"/>
      </w:divBdr>
    </w:div>
    <w:div w:id="308367560">
      <w:bodyDiv w:val="1"/>
      <w:marLeft w:val="0"/>
      <w:marRight w:val="0"/>
      <w:marTop w:val="0"/>
      <w:marBottom w:val="0"/>
      <w:divBdr>
        <w:top w:val="none" w:sz="0" w:space="0" w:color="auto"/>
        <w:left w:val="none" w:sz="0" w:space="0" w:color="auto"/>
        <w:bottom w:val="none" w:sz="0" w:space="0" w:color="auto"/>
        <w:right w:val="none" w:sz="0" w:space="0" w:color="auto"/>
      </w:divBdr>
    </w:div>
    <w:div w:id="314577630">
      <w:bodyDiv w:val="1"/>
      <w:marLeft w:val="0"/>
      <w:marRight w:val="0"/>
      <w:marTop w:val="0"/>
      <w:marBottom w:val="0"/>
      <w:divBdr>
        <w:top w:val="none" w:sz="0" w:space="0" w:color="auto"/>
        <w:left w:val="none" w:sz="0" w:space="0" w:color="auto"/>
        <w:bottom w:val="none" w:sz="0" w:space="0" w:color="auto"/>
        <w:right w:val="none" w:sz="0" w:space="0" w:color="auto"/>
      </w:divBdr>
    </w:div>
    <w:div w:id="346375403">
      <w:bodyDiv w:val="1"/>
      <w:marLeft w:val="0"/>
      <w:marRight w:val="0"/>
      <w:marTop w:val="0"/>
      <w:marBottom w:val="0"/>
      <w:divBdr>
        <w:top w:val="none" w:sz="0" w:space="0" w:color="auto"/>
        <w:left w:val="none" w:sz="0" w:space="0" w:color="auto"/>
        <w:bottom w:val="none" w:sz="0" w:space="0" w:color="auto"/>
        <w:right w:val="none" w:sz="0" w:space="0" w:color="auto"/>
      </w:divBdr>
    </w:div>
    <w:div w:id="355695664">
      <w:bodyDiv w:val="1"/>
      <w:marLeft w:val="0"/>
      <w:marRight w:val="0"/>
      <w:marTop w:val="0"/>
      <w:marBottom w:val="0"/>
      <w:divBdr>
        <w:top w:val="none" w:sz="0" w:space="0" w:color="auto"/>
        <w:left w:val="none" w:sz="0" w:space="0" w:color="auto"/>
        <w:bottom w:val="none" w:sz="0" w:space="0" w:color="auto"/>
        <w:right w:val="none" w:sz="0" w:space="0" w:color="auto"/>
      </w:divBdr>
    </w:div>
    <w:div w:id="405034172">
      <w:bodyDiv w:val="1"/>
      <w:marLeft w:val="0"/>
      <w:marRight w:val="0"/>
      <w:marTop w:val="0"/>
      <w:marBottom w:val="0"/>
      <w:divBdr>
        <w:top w:val="none" w:sz="0" w:space="0" w:color="auto"/>
        <w:left w:val="none" w:sz="0" w:space="0" w:color="auto"/>
        <w:bottom w:val="none" w:sz="0" w:space="0" w:color="auto"/>
        <w:right w:val="none" w:sz="0" w:space="0" w:color="auto"/>
      </w:divBdr>
    </w:div>
    <w:div w:id="472254632">
      <w:bodyDiv w:val="1"/>
      <w:marLeft w:val="0"/>
      <w:marRight w:val="0"/>
      <w:marTop w:val="0"/>
      <w:marBottom w:val="0"/>
      <w:divBdr>
        <w:top w:val="none" w:sz="0" w:space="0" w:color="auto"/>
        <w:left w:val="none" w:sz="0" w:space="0" w:color="auto"/>
        <w:bottom w:val="none" w:sz="0" w:space="0" w:color="auto"/>
        <w:right w:val="none" w:sz="0" w:space="0" w:color="auto"/>
      </w:divBdr>
    </w:div>
    <w:div w:id="510797476">
      <w:bodyDiv w:val="1"/>
      <w:marLeft w:val="0"/>
      <w:marRight w:val="0"/>
      <w:marTop w:val="0"/>
      <w:marBottom w:val="0"/>
      <w:divBdr>
        <w:top w:val="none" w:sz="0" w:space="0" w:color="auto"/>
        <w:left w:val="none" w:sz="0" w:space="0" w:color="auto"/>
        <w:bottom w:val="none" w:sz="0" w:space="0" w:color="auto"/>
        <w:right w:val="none" w:sz="0" w:space="0" w:color="auto"/>
      </w:divBdr>
    </w:div>
    <w:div w:id="527908241">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44563823">
      <w:bodyDiv w:val="1"/>
      <w:marLeft w:val="0"/>
      <w:marRight w:val="0"/>
      <w:marTop w:val="0"/>
      <w:marBottom w:val="0"/>
      <w:divBdr>
        <w:top w:val="none" w:sz="0" w:space="0" w:color="auto"/>
        <w:left w:val="none" w:sz="0" w:space="0" w:color="auto"/>
        <w:bottom w:val="none" w:sz="0" w:space="0" w:color="auto"/>
        <w:right w:val="none" w:sz="0" w:space="0" w:color="auto"/>
      </w:divBdr>
    </w:div>
    <w:div w:id="564997110">
      <w:bodyDiv w:val="1"/>
      <w:marLeft w:val="0"/>
      <w:marRight w:val="0"/>
      <w:marTop w:val="0"/>
      <w:marBottom w:val="0"/>
      <w:divBdr>
        <w:top w:val="none" w:sz="0" w:space="0" w:color="auto"/>
        <w:left w:val="none" w:sz="0" w:space="0" w:color="auto"/>
        <w:bottom w:val="none" w:sz="0" w:space="0" w:color="auto"/>
        <w:right w:val="none" w:sz="0" w:space="0" w:color="auto"/>
      </w:divBdr>
    </w:div>
    <w:div w:id="586380661">
      <w:bodyDiv w:val="1"/>
      <w:marLeft w:val="0"/>
      <w:marRight w:val="0"/>
      <w:marTop w:val="0"/>
      <w:marBottom w:val="0"/>
      <w:divBdr>
        <w:top w:val="none" w:sz="0" w:space="0" w:color="auto"/>
        <w:left w:val="none" w:sz="0" w:space="0" w:color="auto"/>
        <w:bottom w:val="none" w:sz="0" w:space="0" w:color="auto"/>
        <w:right w:val="none" w:sz="0" w:space="0" w:color="auto"/>
      </w:divBdr>
    </w:div>
    <w:div w:id="693043291">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4030105">
      <w:bodyDiv w:val="1"/>
      <w:marLeft w:val="0"/>
      <w:marRight w:val="0"/>
      <w:marTop w:val="0"/>
      <w:marBottom w:val="0"/>
      <w:divBdr>
        <w:top w:val="none" w:sz="0" w:space="0" w:color="auto"/>
        <w:left w:val="none" w:sz="0" w:space="0" w:color="auto"/>
        <w:bottom w:val="none" w:sz="0" w:space="0" w:color="auto"/>
        <w:right w:val="none" w:sz="0" w:space="0" w:color="auto"/>
      </w:divBdr>
    </w:div>
    <w:div w:id="881206378">
      <w:bodyDiv w:val="1"/>
      <w:marLeft w:val="0"/>
      <w:marRight w:val="0"/>
      <w:marTop w:val="0"/>
      <w:marBottom w:val="0"/>
      <w:divBdr>
        <w:top w:val="none" w:sz="0" w:space="0" w:color="auto"/>
        <w:left w:val="none" w:sz="0" w:space="0" w:color="auto"/>
        <w:bottom w:val="none" w:sz="0" w:space="0" w:color="auto"/>
        <w:right w:val="none" w:sz="0" w:space="0" w:color="auto"/>
      </w:divBdr>
    </w:div>
    <w:div w:id="906914475">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72519981">
      <w:bodyDiv w:val="1"/>
      <w:marLeft w:val="0"/>
      <w:marRight w:val="0"/>
      <w:marTop w:val="0"/>
      <w:marBottom w:val="0"/>
      <w:divBdr>
        <w:top w:val="none" w:sz="0" w:space="0" w:color="auto"/>
        <w:left w:val="none" w:sz="0" w:space="0" w:color="auto"/>
        <w:bottom w:val="none" w:sz="0" w:space="0" w:color="auto"/>
        <w:right w:val="none" w:sz="0" w:space="0" w:color="auto"/>
      </w:divBdr>
    </w:div>
    <w:div w:id="1043870797">
      <w:bodyDiv w:val="1"/>
      <w:marLeft w:val="0"/>
      <w:marRight w:val="0"/>
      <w:marTop w:val="0"/>
      <w:marBottom w:val="0"/>
      <w:divBdr>
        <w:top w:val="none" w:sz="0" w:space="0" w:color="auto"/>
        <w:left w:val="none" w:sz="0" w:space="0" w:color="auto"/>
        <w:bottom w:val="none" w:sz="0" w:space="0" w:color="auto"/>
        <w:right w:val="none" w:sz="0" w:space="0" w:color="auto"/>
      </w:divBdr>
    </w:div>
    <w:div w:id="1066225034">
      <w:bodyDiv w:val="1"/>
      <w:marLeft w:val="0"/>
      <w:marRight w:val="0"/>
      <w:marTop w:val="0"/>
      <w:marBottom w:val="0"/>
      <w:divBdr>
        <w:top w:val="none" w:sz="0" w:space="0" w:color="auto"/>
        <w:left w:val="none" w:sz="0" w:space="0" w:color="auto"/>
        <w:bottom w:val="none" w:sz="0" w:space="0" w:color="auto"/>
        <w:right w:val="none" w:sz="0" w:space="0" w:color="auto"/>
      </w:divBdr>
    </w:div>
    <w:div w:id="1079450559">
      <w:bodyDiv w:val="1"/>
      <w:marLeft w:val="0"/>
      <w:marRight w:val="0"/>
      <w:marTop w:val="0"/>
      <w:marBottom w:val="0"/>
      <w:divBdr>
        <w:top w:val="none" w:sz="0" w:space="0" w:color="auto"/>
        <w:left w:val="none" w:sz="0" w:space="0" w:color="auto"/>
        <w:bottom w:val="none" w:sz="0" w:space="0" w:color="auto"/>
        <w:right w:val="none" w:sz="0" w:space="0" w:color="auto"/>
      </w:divBdr>
    </w:div>
    <w:div w:id="1179655457">
      <w:bodyDiv w:val="1"/>
      <w:marLeft w:val="0"/>
      <w:marRight w:val="0"/>
      <w:marTop w:val="0"/>
      <w:marBottom w:val="0"/>
      <w:divBdr>
        <w:top w:val="none" w:sz="0" w:space="0" w:color="auto"/>
        <w:left w:val="none" w:sz="0" w:space="0" w:color="auto"/>
        <w:bottom w:val="none" w:sz="0" w:space="0" w:color="auto"/>
        <w:right w:val="none" w:sz="0" w:space="0" w:color="auto"/>
      </w:divBdr>
    </w:div>
    <w:div w:id="1313486866">
      <w:bodyDiv w:val="1"/>
      <w:marLeft w:val="0"/>
      <w:marRight w:val="0"/>
      <w:marTop w:val="0"/>
      <w:marBottom w:val="0"/>
      <w:divBdr>
        <w:top w:val="none" w:sz="0" w:space="0" w:color="auto"/>
        <w:left w:val="none" w:sz="0" w:space="0" w:color="auto"/>
        <w:bottom w:val="none" w:sz="0" w:space="0" w:color="auto"/>
        <w:right w:val="none" w:sz="0" w:space="0" w:color="auto"/>
      </w:divBdr>
    </w:div>
    <w:div w:id="1356347597">
      <w:bodyDiv w:val="1"/>
      <w:marLeft w:val="0"/>
      <w:marRight w:val="0"/>
      <w:marTop w:val="0"/>
      <w:marBottom w:val="0"/>
      <w:divBdr>
        <w:top w:val="none" w:sz="0" w:space="0" w:color="auto"/>
        <w:left w:val="none" w:sz="0" w:space="0" w:color="auto"/>
        <w:bottom w:val="none" w:sz="0" w:space="0" w:color="auto"/>
        <w:right w:val="none" w:sz="0" w:space="0" w:color="auto"/>
      </w:divBdr>
    </w:div>
    <w:div w:id="1376583874">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06610821">
      <w:bodyDiv w:val="1"/>
      <w:marLeft w:val="0"/>
      <w:marRight w:val="0"/>
      <w:marTop w:val="0"/>
      <w:marBottom w:val="0"/>
      <w:divBdr>
        <w:top w:val="none" w:sz="0" w:space="0" w:color="auto"/>
        <w:left w:val="none" w:sz="0" w:space="0" w:color="auto"/>
        <w:bottom w:val="none" w:sz="0" w:space="0" w:color="auto"/>
        <w:right w:val="none" w:sz="0" w:space="0" w:color="auto"/>
      </w:divBdr>
    </w:div>
    <w:div w:id="1494176710">
      <w:bodyDiv w:val="1"/>
      <w:marLeft w:val="0"/>
      <w:marRight w:val="0"/>
      <w:marTop w:val="0"/>
      <w:marBottom w:val="0"/>
      <w:divBdr>
        <w:top w:val="none" w:sz="0" w:space="0" w:color="auto"/>
        <w:left w:val="none" w:sz="0" w:space="0" w:color="auto"/>
        <w:bottom w:val="none" w:sz="0" w:space="0" w:color="auto"/>
        <w:right w:val="none" w:sz="0" w:space="0" w:color="auto"/>
      </w:divBdr>
    </w:div>
    <w:div w:id="1498882456">
      <w:bodyDiv w:val="1"/>
      <w:marLeft w:val="0"/>
      <w:marRight w:val="0"/>
      <w:marTop w:val="0"/>
      <w:marBottom w:val="0"/>
      <w:divBdr>
        <w:top w:val="none" w:sz="0" w:space="0" w:color="auto"/>
        <w:left w:val="none" w:sz="0" w:space="0" w:color="auto"/>
        <w:bottom w:val="none" w:sz="0" w:space="0" w:color="auto"/>
        <w:right w:val="none" w:sz="0" w:space="0" w:color="auto"/>
      </w:divBdr>
    </w:div>
    <w:div w:id="1503617698">
      <w:bodyDiv w:val="1"/>
      <w:marLeft w:val="0"/>
      <w:marRight w:val="0"/>
      <w:marTop w:val="0"/>
      <w:marBottom w:val="0"/>
      <w:divBdr>
        <w:top w:val="none" w:sz="0" w:space="0" w:color="auto"/>
        <w:left w:val="none" w:sz="0" w:space="0" w:color="auto"/>
        <w:bottom w:val="none" w:sz="0" w:space="0" w:color="auto"/>
        <w:right w:val="none" w:sz="0" w:space="0" w:color="auto"/>
      </w:divBdr>
    </w:div>
    <w:div w:id="1554267884">
      <w:bodyDiv w:val="1"/>
      <w:marLeft w:val="0"/>
      <w:marRight w:val="0"/>
      <w:marTop w:val="0"/>
      <w:marBottom w:val="0"/>
      <w:divBdr>
        <w:top w:val="none" w:sz="0" w:space="0" w:color="auto"/>
        <w:left w:val="none" w:sz="0" w:space="0" w:color="auto"/>
        <w:bottom w:val="none" w:sz="0" w:space="0" w:color="auto"/>
        <w:right w:val="none" w:sz="0" w:space="0" w:color="auto"/>
      </w:divBdr>
    </w:div>
    <w:div w:id="1558933495">
      <w:bodyDiv w:val="1"/>
      <w:marLeft w:val="0"/>
      <w:marRight w:val="0"/>
      <w:marTop w:val="0"/>
      <w:marBottom w:val="0"/>
      <w:divBdr>
        <w:top w:val="none" w:sz="0" w:space="0" w:color="auto"/>
        <w:left w:val="none" w:sz="0" w:space="0" w:color="auto"/>
        <w:bottom w:val="none" w:sz="0" w:space="0" w:color="auto"/>
        <w:right w:val="none" w:sz="0" w:space="0" w:color="auto"/>
      </w:divBdr>
    </w:div>
    <w:div w:id="1563062422">
      <w:bodyDiv w:val="1"/>
      <w:marLeft w:val="0"/>
      <w:marRight w:val="0"/>
      <w:marTop w:val="0"/>
      <w:marBottom w:val="0"/>
      <w:divBdr>
        <w:top w:val="none" w:sz="0" w:space="0" w:color="auto"/>
        <w:left w:val="none" w:sz="0" w:space="0" w:color="auto"/>
        <w:bottom w:val="none" w:sz="0" w:space="0" w:color="auto"/>
        <w:right w:val="none" w:sz="0" w:space="0" w:color="auto"/>
      </w:divBdr>
    </w:div>
    <w:div w:id="1576429200">
      <w:bodyDiv w:val="1"/>
      <w:marLeft w:val="0"/>
      <w:marRight w:val="0"/>
      <w:marTop w:val="0"/>
      <w:marBottom w:val="0"/>
      <w:divBdr>
        <w:top w:val="none" w:sz="0" w:space="0" w:color="auto"/>
        <w:left w:val="none" w:sz="0" w:space="0" w:color="auto"/>
        <w:bottom w:val="none" w:sz="0" w:space="0" w:color="auto"/>
        <w:right w:val="none" w:sz="0" w:space="0" w:color="auto"/>
      </w:divBdr>
    </w:div>
    <w:div w:id="1593927503">
      <w:bodyDiv w:val="1"/>
      <w:marLeft w:val="0"/>
      <w:marRight w:val="0"/>
      <w:marTop w:val="0"/>
      <w:marBottom w:val="0"/>
      <w:divBdr>
        <w:top w:val="none" w:sz="0" w:space="0" w:color="auto"/>
        <w:left w:val="none" w:sz="0" w:space="0" w:color="auto"/>
        <w:bottom w:val="none" w:sz="0" w:space="0" w:color="auto"/>
        <w:right w:val="none" w:sz="0" w:space="0" w:color="auto"/>
      </w:divBdr>
    </w:div>
    <w:div w:id="1602450137">
      <w:bodyDiv w:val="1"/>
      <w:marLeft w:val="0"/>
      <w:marRight w:val="0"/>
      <w:marTop w:val="0"/>
      <w:marBottom w:val="0"/>
      <w:divBdr>
        <w:top w:val="none" w:sz="0" w:space="0" w:color="auto"/>
        <w:left w:val="none" w:sz="0" w:space="0" w:color="auto"/>
        <w:bottom w:val="none" w:sz="0" w:space="0" w:color="auto"/>
        <w:right w:val="none" w:sz="0" w:space="0" w:color="auto"/>
      </w:divBdr>
    </w:div>
    <w:div w:id="1613319873">
      <w:bodyDiv w:val="1"/>
      <w:marLeft w:val="0"/>
      <w:marRight w:val="0"/>
      <w:marTop w:val="0"/>
      <w:marBottom w:val="0"/>
      <w:divBdr>
        <w:top w:val="none" w:sz="0" w:space="0" w:color="auto"/>
        <w:left w:val="none" w:sz="0" w:space="0" w:color="auto"/>
        <w:bottom w:val="none" w:sz="0" w:space="0" w:color="auto"/>
        <w:right w:val="none" w:sz="0" w:space="0" w:color="auto"/>
      </w:divBdr>
    </w:div>
    <w:div w:id="1629698023">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730766277">
      <w:bodyDiv w:val="1"/>
      <w:marLeft w:val="0"/>
      <w:marRight w:val="0"/>
      <w:marTop w:val="0"/>
      <w:marBottom w:val="0"/>
      <w:divBdr>
        <w:top w:val="none" w:sz="0" w:space="0" w:color="auto"/>
        <w:left w:val="none" w:sz="0" w:space="0" w:color="auto"/>
        <w:bottom w:val="none" w:sz="0" w:space="0" w:color="auto"/>
        <w:right w:val="none" w:sz="0" w:space="0" w:color="auto"/>
      </w:divBdr>
    </w:div>
    <w:div w:id="1766074333">
      <w:bodyDiv w:val="1"/>
      <w:marLeft w:val="0"/>
      <w:marRight w:val="0"/>
      <w:marTop w:val="0"/>
      <w:marBottom w:val="0"/>
      <w:divBdr>
        <w:top w:val="none" w:sz="0" w:space="0" w:color="auto"/>
        <w:left w:val="none" w:sz="0" w:space="0" w:color="auto"/>
        <w:bottom w:val="none" w:sz="0" w:space="0" w:color="auto"/>
        <w:right w:val="none" w:sz="0" w:space="0" w:color="auto"/>
      </w:divBdr>
    </w:div>
    <w:div w:id="1869298077">
      <w:bodyDiv w:val="1"/>
      <w:marLeft w:val="0"/>
      <w:marRight w:val="0"/>
      <w:marTop w:val="0"/>
      <w:marBottom w:val="0"/>
      <w:divBdr>
        <w:top w:val="none" w:sz="0" w:space="0" w:color="auto"/>
        <w:left w:val="none" w:sz="0" w:space="0" w:color="auto"/>
        <w:bottom w:val="none" w:sz="0" w:space="0" w:color="auto"/>
        <w:right w:val="none" w:sz="0" w:space="0" w:color="auto"/>
      </w:divBdr>
    </w:div>
    <w:div w:id="1944919132">
      <w:bodyDiv w:val="1"/>
      <w:marLeft w:val="0"/>
      <w:marRight w:val="0"/>
      <w:marTop w:val="0"/>
      <w:marBottom w:val="0"/>
      <w:divBdr>
        <w:top w:val="none" w:sz="0" w:space="0" w:color="auto"/>
        <w:left w:val="none" w:sz="0" w:space="0" w:color="auto"/>
        <w:bottom w:val="none" w:sz="0" w:space="0" w:color="auto"/>
        <w:right w:val="none" w:sz="0" w:space="0" w:color="auto"/>
      </w:divBdr>
    </w:div>
    <w:div w:id="2015036664">
      <w:bodyDiv w:val="1"/>
      <w:marLeft w:val="0"/>
      <w:marRight w:val="0"/>
      <w:marTop w:val="0"/>
      <w:marBottom w:val="0"/>
      <w:divBdr>
        <w:top w:val="none" w:sz="0" w:space="0" w:color="auto"/>
        <w:left w:val="none" w:sz="0" w:space="0" w:color="auto"/>
        <w:bottom w:val="none" w:sz="0" w:space="0" w:color="auto"/>
        <w:right w:val="none" w:sz="0" w:space="0" w:color="auto"/>
      </w:divBdr>
    </w:div>
    <w:div w:id="2026665184">
      <w:bodyDiv w:val="1"/>
      <w:marLeft w:val="0"/>
      <w:marRight w:val="0"/>
      <w:marTop w:val="0"/>
      <w:marBottom w:val="0"/>
      <w:divBdr>
        <w:top w:val="none" w:sz="0" w:space="0" w:color="auto"/>
        <w:left w:val="none" w:sz="0" w:space="0" w:color="auto"/>
        <w:bottom w:val="none" w:sz="0" w:space="0" w:color="auto"/>
        <w:right w:val="none" w:sz="0" w:space="0" w:color="auto"/>
      </w:divBdr>
    </w:div>
    <w:div w:id="2032342805">
      <w:bodyDiv w:val="1"/>
      <w:marLeft w:val="0"/>
      <w:marRight w:val="0"/>
      <w:marTop w:val="0"/>
      <w:marBottom w:val="0"/>
      <w:divBdr>
        <w:top w:val="none" w:sz="0" w:space="0" w:color="auto"/>
        <w:left w:val="none" w:sz="0" w:space="0" w:color="auto"/>
        <w:bottom w:val="none" w:sz="0" w:space="0" w:color="auto"/>
        <w:right w:val="none" w:sz="0" w:space="0" w:color="auto"/>
      </w:divBdr>
    </w:div>
    <w:div w:id="2059353162">
      <w:bodyDiv w:val="1"/>
      <w:marLeft w:val="0"/>
      <w:marRight w:val="0"/>
      <w:marTop w:val="0"/>
      <w:marBottom w:val="0"/>
      <w:divBdr>
        <w:top w:val="none" w:sz="0" w:space="0" w:color="auto"/>
        <w:left w:val="none" w:sz="0" w:space="0" w:color="auto"/>
        <w:bottom w:val="none" w:sz="0" w:space="0" w:color="auto"/>
        <w:right w:val="none" w:sz="0" w:space="0" w:color="auto"/>
      </w:divBdr>
    </w:div>
    <w:div w:id="2095005905">
      <w:bodyDiv w:val="1"/>
      <w:marLeft w:val="0"/>
      <w:marRight w:val="0"/>
      <w:marTop w:val="0"/>
      <w:marBottom w:val="0"/>
      <w:divBdr>
        <w:top w:val="none" w:sz="0" w:space="0" w:color="auto"/>
        <w:left w:val="none" w:sz="0" w:space="0" w:color="auto"/>
        <w:bottom w:val="none" w:sz="0" w:space="0" w:color="auto"/>
        <w:right w:val="none" w:sz="0" w:space="0" w:color="auto"/>
      </w:divBdr>
    </w:div>
    <w:div w:id="21018340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tiff"/><Relationship Id="rId18" Type="http://schemas.openxmlformats.org/officeDocument/2006/relationships/hyperlink" Target="http://dle.rae.es/?id=FdI00Or"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yperlink" Target="javascript:AbrirModal(1)"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oter" Target="footer2.xml"/><Relationship Id="rId10" Type="http://schemas.openxmlformats.org/officeDocument/2006/relationships/image" Target="media/image3.tif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eader" Target="header3.xml"/></Relationships>
</file>

<file path=word/_rels/footnotes.xml.rels><?xml version="1.0" encoding="UTF-8" standalone="yes"?>
<Relationships xmlns="http://schemas.openxmlformats.org/package/2006/relationships"><Relationship Id="rId3" Type="http://schemas.openxmlformats.org/officeDocument/2006/relationships/hyperlink" Target="http://dle.rae.es/?id=VGqyuLj|VGtxgAo|VGuc9Wg" TargetMode="External"/><Relationship Id="rId7" Type="http://schemas.openxmlformats.org/officeDocument/2006/relationships/hyperlink" Target="http://dle.rae.es/?id=KtpfgjV" TargetMode="External"/><Relationship Id="rId2" Type="http://schemas.openxmlformats.org/officeDocument/2006/relationships/hyperlink" Target="http://dej.rae.es/" TargetMode="External"/><Relationship Id="rId1" Type="http://schemas.openxmlformats.org/officeDocument/2006/relationships/hyperlink" Target="http://dej.rae.es/" TargetMode="External"/><Relationship Id="rId6" Type="http://schemas.openxmlformats.org/officeDocument/2006/relationships/hyperlink" Target="http://dle.rae.es/?id=KtnHLLd" TargetMode="External"/><Relationship Id="rId5" Type="http://schemas.openxmlformats.org/officeDocument/2006/relationships/hyperlink" Target="http://dle.rae.es/?id=CAqWkEB" TargetMode="External"/><Relationship Id="rId4" Type="http://schemas.openxmlformats.org/officeDocument/2006/relationships/hyperlink" Target="http://dle.rae.es/?id=CAjNzM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878334-DBDB-4DD9-84A2-B3CB49D33B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71</Pages>
  <Words>12392</Words>
  <Characters>68162</Characters>
  <Application>Microsoft Office Word</Application>
  <DocSecurity>0</DocSecurity>
  <Lines>568</Lines>
  <Paragraphs>160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80394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Vero</cp:lastModifiedBy>
  <cp:revision>6</cp:revision>
  <cp:lastPrinted>2020-03-13T02:43:00Z</cp:lastPrinted>
  <dcterms:created xsi:type="dcterms:W3CDTF">2020-10-22T19:24:00Z</dcterms:created>
  <dcterms:modified xsi:type="dcterms:W3CDTF">2020-11-24T21:28:00Z</dcterms:modified>
</cp:coreProperties>
</file>