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0015" w:rsidRDefault="00286BA0">
      <w:pPr>
        <w:spacing w:beforeAutospacing="1" w:afterAutospacing="1" w:line="360" w:lineRule="auto"/>
        <w:jc w:val="both"/>
        <w:rPr>
          <w:rFonts w:ascii="Palatino Linotype" w:hAnsi="Palatino Linotype"/>
          <w:highlight w:val="yellow"/>
        </w:rPr>
      </w:pPr>
      <w:r>
        <w:rPr>
          <w:rFonts w:ascii="Palatino Linotype" w:hAnsi="Palatino Linotype"/>
        </w:rPr>
        <w:t>Resolución del Pleno del Instituto de Transparencia, Acceso a la Información Pública y Protección de Datos Personales del Estado de México y Municipios, con domicilio en Metepec, Estado de México, de fecha diecinueve de agosto de dos mil veinte.</w:t>
      </w:r>
    </w:p>
    <w:p w:rsidR="00BB0015" w:rsidRDefault="00286BA0">
      <w:pPr>
        <w:spacing w:beforeAutospacing="1" w:afterAutospacing="1" w:line="360" w:lineRule="auto"/>
        <w:jc w:val="both"/>
        <w:rPr>
          <w:rFonts w:ascii="Palatino Linotype" w:hAnsi="Palatino Linotype"/>
        </w:rPr>
      </w:pPr>
      <w:r>
        <w:rPr>
          <w:rFonts w:ascii="Palatino Linotype" w:hAnsi="Palatino Linotype"/>
          <w:b/>
        </w:rPr>
        <w:t>VISTO</w:t>
      </w:r>
      <w:r>
        <w:rPr>
          <w:rFonts w:ascii="Palatino Linotype" w:hAnsi="Palatino Linotype"/>
        </w:rPr>
        <w:t xml:space="preserve"> el expediente formado con motivo del recurso de revisión</w:t>
      </w:r>
      <w:r>
        <w:rPr>
          <w:rFonts w:ascii="Verdana" w:hAnsi="Verdana"/>
          <w:b/>
          <w:bCs/>
          <w:color w:val="FF0000"/>
        </w:rPr>
        <w:t xml:space="preserve"> </w:t>
      </w:r>
      <w:r>
        <w:rPr>
          <w:rFonts w:ascii="Palatino Linotype" w:hAnsi="Palatino Linotype"/>
          <w:b/>
          <w:bCs/>
        </w:rPr>
        <w:t>01282/INFOEM/IP/RR/2020</w:t>
      </w:r>
      <w:r>
        <w:rPr>
          <w:rFonts w:ascii="Palatino Linotype" w:hAnsi="Palatino Linotype"/>
        </w:rPr>
        <w:t>, promovido por una persona de manera anónima</w:t>
      </w:r>
      <w:r>
        <w:rPr>
          <w:rFonts w:ascii="Palatino Linotype" w:hAnsi="Palatino Linotype" w:cs="Arial"/>
        </w:rPr>
        <w:t>, en lo sucesivo</w:t>
      </w:r>
      <w:r>
        <w:rPr>
          <w:rFonts w:ascii="Palatino Linotype" w:hAnsi="Palatino Linotype" w:cs="Arial"/>
          <w:b/>
        </w:rPr>
        <w:t xml:space="preserve"> EL RECURRENTE</w:t>
      </w:r>
      <w:r>
        <w:rPr>
          <w:rFonts w:ascii="Palatino Linotype" w:hAnsi="Palatino Linotype"/>
        </w:rPr>
        <w:t xml:space="preserve">, en contra de la respuesta emitida por el </w:t>
      </w:r>
      <w:r>
        <w:rPr>
          <w:rFonts w:ascii="Palatino Linotype" w:hAnsi="Palatino Linotype"/>
          <w:b/>
        </w:rPr>
        <w:t>Ayuntamiento de Atlacomulco</w:t>
      </w:r>
      <w:r>
        <w:rPr>
          <w:rFonts w:ascii="Palatino Linotype" w:hAnsi="Palatino Linotype"/>
        </w:rPr>
        <w:t xml:space="preserve">, en lo sucesivo </w:t>
      </w:r>
      <w:r>
        <w:rPr>
          <w:rFonts w:ascii="Palatino Linotype" w:hAnsi="Palatino Linotype"/>
          <w:b/>
        </w:rPr>
        <w:t>EL SUJETO OBLIGADO</w:t>
      </w:r>
      <w:r>
        <w:rPr>
          <w:rFonts w:ascii="Palatino Linotype" w:hAnsi="Palatino Linotype"/>
        </w:rPr>
        <w:t xml:space="preserve">, se procede a dictar la presente resolución con base en lo siguiente: </w:t>
      </w:r>
    </w:p>
    <w:p w:rsidR="00BB0015" w:rsidRDefault="00286BA0">
      <w:pPr>
        <w:spacing w:beforeAutospacing="1" w:afterAutospacing="1" w:line="360" w:lineRule="auto"/>
        <w:jc w:val="center"/>
        <w:rPr>
          <w:rFonts w:ascii="Palatino Linotype" w:hAnsi="Palatino Linotype"/>
          <w:b/>
          <w:bCs/>
          <w:spacing w:val="60"/>
          <w:sz w:val="28"/>
        </w:rPr>
      </w:pPr>
      <w:r>
        <w:rPr>
          <w:rFonts w:ascii="Palatino Linotype" w:hAnsi="Palatino Linotype"/>
          <w:b/>
          <w:bCs/>
          <w:spacing w:val="60"/>
          <w:sz w:val="28"/>
        </w:rPr>
        <w:t>RESULTANDO</w:t>
      </w:r>
    </w:p>
    <w:p w:rsidR="00BB0015" w:rsidRDefault="00286BA0">
      <w:pPr>
        <w:pStyle w:val="Prrafodelista"/>
        <w:numPr>
          <w:ilvl w:val="0"/>
          <w:numId w:val="2"/>
        </w:numPr>
        <w:tabs>
          <w:tab w:val="left" w:pos="709"/>
        </w:tabs>
        <w:spacing w:beforeAutospacing="1" w:afterAutospacing="1" w:line="360" w:lineRule="auto"/>
        <w:ind w:left="0" w:firstLine="0"/>
        <w:jc w:val="both"/>
        <w:rPr>
          <w:rFonts w:ascii="Palatino Linotype" w:hAnsi="Palatino Linotype" w:cs="Arial"/>
        </w:rPr>
      </w:pPr>
      <w:r>
        <w:rPr>
          <w:rFonts w:ascii="Palatino Linotype" w:hAnsi="Palatino Linotype"/>
        </w:rPr>
        <w:t xml:space="preserve">En </w:t>
      </w:r>
      <w:r>
        <w:rPr>
          <w:rFonts w:ascii="Palatino Linotype" w:hAnsi="Palatino Linotype" w:cs="Arial"/>
        </w:rPr>
        <w:t>fecha</w:t>
      </w:r>
      <w:r>
        <w:rPr>
          <w:rFonts w:ascii="Palatino Linotype" w:hAnsi="Palatino Linotype"/>
        </w:rPr>
        <w:t xml:space="preserve"> veinticinco de febrero de dos mil veinte, </w:t>
      </w:r>
      <w:r>
        <w:rPr>
          <w:rFonts w:ascii="Palatino Linotype" w:hAnsi="Palatino Linotype" w:cs="Arial"/>
          <w:b/>
        </w:rPr>
        <w:t>EL RECURRENTE</w:t>
      </w:r>
      <w:r>
        <w:rPr>
          <w:rFonts w:ascii="Palatino Linotype" w:hAnsi="Palatino Linotype"/>
        </w:rPr>
        <w:t xml:space="preserve"> presentó a través del </w:t>
      </w:r>
      <w:r>
        <w:rPr>
          <w:rFonts w:ascii="Palatino Linotype" w:hAnsi="Palatino Linotype" w:cs="Arial"/>
        </w:rPr>
        <w:t>Sistema</w:t>
      </w:r>
      <w:r>
        <w:rPr>
          <w:rFonts w:ascii="Palatino Linotype" w:hAnsi="Palatino Linotype"/>
        </w:rPr>
        <w:t xml:space="preserve"> de Acceso a la Información Mexiquense, en lo subsecuente </w:t>
      </w:r>
      <w:r>
        <w:rPr>
          <w:rFonts w:ascii="Palatino Linotype" w:hAnsi="Palatino Linotype"/>
          <w:b/>
        </w:rPr>
        <w:t>EL SAIMEX</w:t>
      </w:r>
      <w:r>
        <w:rPr>
          <w:rFonts w:ascii="Palatino Linotype" w:hAnsi="Palatino Linotype"/>
        </w:rPr>
        <w:t xml:space="preserve"> ante </w:t>
      </w:r>
      <w:r>
        <w:rPr>
          <w:rFonts w:ascii="Palatino Linotype" w:hAnsi="Palatino Linotype"/>
          <w:b/>
        </w:rPr>
        <w:t>EL SUJETO OBLIGADO</w:t>
      </w:r>
      <w:r>
        <w:rPr>
          <w:rFonts w:ascii="Palatino Linotype" w:hAnsi="Palatino Linotype"/>
        </w:rPr>
        <w:t>, la solicitud de acceso a la información pública, a la que se le asignó el número</w:t>
      </w:r>
      <w:r>
        <w:rPr>
          <w:rFonts w:ascii="Verdana" w:hAnsi="Verdana"/>
          <w:b/>
          <w:bCs/>
          <w:color w:val="FF0000"/>
        </w:rPr>
        <w:t xml:space="preserve"> </w:t>
      </w:r>
      <w:r>
        <w:rPr>
          <w:rFonts w:ascii="Palatino Linotype" w:hAnsi="Palatino Linotype"/>
          <w:b/>
          <w:bCs/>
        </w:rPr>
        <w:t>00071/ATLACOM/IP/2020</w:t>
      </w:r>
      <w:r>
        <w:rPr>
          <w:rFonts w:ascii="Palatino Linotype" w:hAnsi="Palatino Linotype"/>
        </w:rPr>
        <w:t>, mediante la cual requirió lo siguiente:</w:t>
      </w:r>
    </w:p>
    <w:p w:rsidR="00BB0015" w:rsidRDefault="00286BA0">
      <w:pPr>
        <w:spacing w:beforeAutospacing="1" w:afterAutospacing="1"/>
        <w:ind w:left="709" w:right="709"/>
        <w:jc w:val="both"/>
        <w:rPr>
          <w:rFonts w:ascii="Palatino Linotype" w:hAnsi="Palatino Linotype"/>
          <w:sz w:val="22"/>
          <w:szCs w:val="22"/>
        </w:rPr>
      </w:pPr>
      <w:r>
        <w:rPr>
          <w:rFonts w:ascii="Palatino Linotype" w:hAnsi="Palatino Linotype" w:cs="Arial"/>
          <w:i/>
          <w:sz w:val="22"/>
          <w:szCs w:val="22"/>
        </w:rPr>
        <w:t xml:space="preserve">“Deseo conocer todas y cada una de las resoluciones de los recursos de inconformidad notificados a la titular de transparencia en 2019 y 2020 plataforma saimex y sarcoem Deseo conocer todas las solicitudes y respuestas que ingresaron mediante plataforma saimex a partir del 1 de enero 2015 al 25 de Marzo de 2020 así como los recursos y sus resoluciónes.” </w:t>
      </w:r>
      <w:r>
        <w:rPr>
          <w:rFonts w:ascii="Palatino Linotype" w:hAnsi="Palatino Linotype"/>
          <w:sz w:val="22"/>
          <w:szCs w:val="22"/>
        </w:rPr>
        <w:t>(Sic)</w:t>
      </w:r>
      <w:bookmarkStart w:id="0" w:name="_Ref516764469"/>
      <w:bookmarkStart w:id="1" w:name="_Ref531692384"/>
    </w:p>
    <w:p w:rsidR="00BB0015" w:rsidRDefault="00286BA0">
      <w:pPr>
        <w:spacing w:before="160" w:after="160"/>
        <w:ind w:right="709"/>
        <w:jc w:val="both"/>
        <w:rPr>
          <w:rFonts w:ascii="Palatino Linotype" w:hAnsi="Palatino Linotype"/>
        </w:rPr>
      </w:pPr>
      <w:r>
        <w:rPr>
          <w:rFonts w:ascii="Palatino Linotype" w:hAnsi="Palatino Linotype"/>
          <w:b/>
        </w:rPr>
        <w:t>Modalidad de entrega:</w:t>
      </w:r>
      <w:r>
        <w:rPr>
          <w:rFonts w:ascii="Palatino Linotype" w:hAnsi="Palatino Linotype"/>
          <w:sz w:val="22"/>
          <w:szCs w:val="22"/>
        </w:rPr>
        <w:t xml:space="preserve"> </w:t>
      </w:r>
      <w:r>
        <w:rPr>
          <w:rFonts w:ascii="Palatino Linotype" w:hAnsi="Palatino Linotype"/>
        </w:rPr>
        <w:t xml:space="preserve">Vía </w:t>
      </w:r>
      <w:bookmarkEnd w:id="0"/>
      <w:bookmarkEnd w:id="1"/>
      <w:r>
        <w:rPr>
          <w:rFonts w:ascii="Palatino Linotype" w:hAnsi="Palatino Linotype"/>
        </w:rPr>
        <w:t>SAIMEX</w:t>
      </w:r>
    </w:p>
    <w:p w:rsidR="00BB0015" w:rsidRDefault="00BB0015">
      <w:pPr>
        <w:pStyle w:val="Prrafodelista"/>
        <w:tabs>
          <w:tab w:val="left" w:pos="709"/>
        </w:tabs>
        <w:spacing w:line="360" w:lineRule="auto"/>
        <w:ind w:left="0"/>
        <w:jc w:val="both"/>
        <w:rPr>
          <w:rFonts w:ascii="Palatino Linotype" w:hAnsi="Palatino Linotype" w:cs="Arial"/>
        </w:rPr>
      </w:pPr>
    </w:p>
    <w:p w:rsidR="00BB0015" w:rsidRDefault="00BB0015">
      <w:pPr>
        <w:pStyle w:val="Prrafodelista"/>
        <w:tabs>
          <w:tab w:val="left" w:pos="709"/>
        </w:tabs>
        <w:spacing w:line="360" w:lineRule="auto"/>
        <w:ind w:left="0"/>
        <w:jc w:val="both"/>
        <w:rPr>
          <w:rFonts w:ascii="Palatino Linotype" w:hAnsi="Palatino Linotype" w:cs="Arial"/>
        </w:rPr>
      </w:pPr>
    </w:p>
    <w:p w:rsidR="00BB0015" w:rsidRDefault="00286BA0">
      <w:pPr>
        <w:pStyle w:val="Prrafodelista"/>
        <w:numPr>
          <w:ilvl w:val="0"/>
          <w:numId w:val="2"/>
        </w:numPr>
        <w:tabs>
          <w:tab w:val="left" w:pos="709"/>
        </w:tabs>
        <w:spacing w:line="360" w:lineRule="auto"/>
        <w:ind w:left="0" w:firstLine="0"/>
        <w:jc w:val="both"/>
        <w:rPr>
          <w:rFonts w:ascii="Palatino Linotype" w:hAnsi="Palatino Linotype" w:cs="Arial"/>
        </w:rPr>
      </w:pPr>
      <w:r>
        <w:rPr>
          <w:rFonts w:ascii="Palatino Linotype" w:hAnsi="Palatino Linotype"/>
        </w:rPr>
        <w:lastRenderedPageBreak/>
        <w:t xml:space="preserve">De las constancias que obran en </w:t>
      </w:r>
      <w:r>
        <w:rPr>
          <w:rFonts w:ascii="Palatino Linotype" w:hAnsi="Palatino Linotype"/>
          <w:b/>
        </w:rPr>
        <w:t>EL SAIMEX,</w:t>
      </w:r>
      <w:r>
        <w:rPr>
          <w:rFonts w:ascii="Palatino Linotype" w:hAnsi="Palatino Linotype"/>
        </w:rPr>
        <w:t xml:space="preserve"> se advierte que en fecha veintiséis de febrero de dos mil veinte, </w:t>
      </w:r>
      <w:r>
        <w:rPr>
          <w:rFonts w:ascii="Palatino Linotype" w:hAnsi="Palatino Linotype" w:cs="Arial"/>
          <w:lang w:val="es-ES_tradnl"/>
        </w:rPr>
        <w:t>la Titular de la Unidad de Transparencia del</w:t>
      </w:r>
      <w:r>
        <w:rPr>
          <w:rFonts w:ascii="Palatino Linotype" w:hAnsi="Palatino Linotype" w:cs="Arial"/>
          <w:b/>
          <w:lang w:val="es-ES_tradnl"/>
        </w:rPr>
        <w:t xml:space="preserve"> SUJETO OBLIGADO</w:t>
      </w:r>
      <w:r>
        <w:rPr>
          <w:rFonts w:ascii="Palatino Linotype" w:hAnsi="Palatino Linotype" w:cs="Arial"/>
          <w:lang w:val="es-ES_tradnl"/>
        </w:rPr>
        <w:t xml:space="preserve"> dio respuesta a la solicitud de información, en los siguientes términos:</w:t>
      </w:r>
    </w:p>
    <w:p w:rsidR="00BB0015" w:rsidRDefault="00BB0015">
      <w:pPr>
        <w:ind w:left="851" w:right="899"/>
        <w:jc w:val="both"/>
        <w:rPr>
          <w:rFonts w:ascii="Palatino Linotype" w:hAnsi="Palatino Linotype" w:cs="Arial"/>
          <w:i/>
          <w:sz w:val="22"/>
          <w:szCs w:val="22"/>
        </w:rPr>
      </w:pPr>
    </w:p>
    <w:p w:rsidR="00BB0015" w:rsidRDefault="00286BA0">
      <w:pPr>
        <w:ind w:left="851" w:right="899"/>
        <w:jc w:val="both"/>
        <w:rPr>
          <w:rFonts w:ascii="Palatino Linotype" w:hAnsi="Palatino Linotype" w:cs="Arial"/>
          <w:i/>
          <w:sz w:val="22"/>
          <w:szCs w:val="22"/>
        </w:rPr>
      </w:pPr>
      <w:r>
        <w:rPr>
          <w:rFonts w:ascii="Palatino Linotype" w:hAnsi="Palatino Linotype" w:cs="Arial"/>
          <w:i/>
          <w:sz w:val="22"/>
          <w:szCs w:val="22"/>
        </w:rPr>
        <w:t>“…Se adjunta respuesta.” (Sic)</w:t>
      </w:r>
    </w:p>
    <w:p w:rsidR="00BB0015" w:rsidRDefault="00BB0015">
      <w:pPr>
        <w:tabs>
          <w:tab w:val="left" w:pos="709"/>
        </w:tabs>
        <w:spacing w:line="360" w:lineRule="auto"/>
        <w:jc w:val="both"/>
        <w:rPr>
          <w:rFonts w:ascii="Palatino Linotype" w:hAnsi="Palatino Linotype" w:cs="Arial"/>
          <w:b/>
          <w:sz w:val="22"/>
          <w:szCs w:val="22"/>
        </w:rPr>
      </w:pPr>
    </w:p>
    <w:p w:rsidR="00BB0015" w:rsidRDefault="00286BA0">
      <w:pPr>
        <w:tabs>
          <w:tab w:val="left" w:pos="709"/>
        </w:tabs>
        <w:spacing w:line="360" w:lineRule="auto"/>
        <w:jc w:val="both"/>
        <w:rPr>
          <w:rFonts w:ascii="Palatino Linotype" w:hAnsi="Palatino Linotype" w:cs="Arial"/>
        </w:rPr>
      </w:pPr>
      <w:r>
        <w:rPr>
          <w:rFonts w:ascii="Palatino Linotype" w:hAnsi="Palatino Linotype" w:cs="Arial"/>
        </w:rPr>
        <w:t xml:space="preserve">Así mismo, adjuntó a la respuesta, el archivo electrónico denominado </w:t>
      </w:r>
      <w:r>
        <w:rPr>
          <w:rFonts w:ascii="Palatino Linotype" w:hAnsi="Palatino Linotype" w:cs="Arial"/>
          <w:b/>
          <w:i/>
        </w:rPr>
        <w:t>Respuesta 71.pdf</w:t>
      </w:r>
      <w:r>
        <w:rPr>
          <w:rFonts w:ascii="Palatino Linotype" w:hAnsi="Palatino Linotype" w:cs="Arial"/>
          <w:b/>
        </w:rPr>
        <w:t xml:space="preserve">, </w:t>
      </w:r>
      <w:r>
        <w:rPr>
          <w:rFonts w:ascii="Palatino Linotype" w:hAnsi="Palatino Linotype" w:cs="Arial"/>
        </w:rPr>
        <w:t xml:space="preserve">mediante el cual, la Titular de la Unidad de Transparencia del </w:t>
      </w:r>
      <w:r>
        <w:rPr>
          <w:rFonts w:ascii="Palatino Linotype" w:hAnsi="Palatino Linotype" w:cs="Arial"/>
          <w:b/>
        </w:rPr>
        <w:t>SUJETO OBLIGADO</w:t>
      </w:r>
      <w:r>
        <w:rPr>
          <w:rFonts w:ascii="Palatino Linotype" w:hAnsi="Palatino Linotype" w:cs="Arial"/>
        </w:rPr>
        <w:t>, señaló que la información solicitada, podría ser consultada en los siguientes enlaces:</w:t>
      </w:r>
    </w:p>
    <w:p w:rsidR="00BB0015" w:rsidRDefault="00286BA0">
      <w:pPr>
        <w:tabs>
          <w:tab w:val="left" w:pos="709"/>
        </w:tabs>
        <w:spacing w:line="360" w:lineRule="auto"/>
        <w:jc w:val="both"/>
        <w:rPr>
          <w:rFonts w:ascii="Palatino Linotype" w:hAnsi="Palatino Linotype" w:cs="Arial"/>
        </w:rPr>
      </w:pPr>
      <w:r>
        <w:rPr>
          <w:rFonts w:ascii="Palatino Linotype" w:hAnsi="Palatino Linotype" w:cs="Arial"/>
        </w:rPr>
        <w:t>RECURSOS 2019-2020</w:t>
      </w:r>
    </w:p>
    <w:p w:rsidR="00BB0015" w:rsidRDefault="00B03C4E">
      <w:pPr>
        <w:tabs>
          <w:tab w:val="left" w:pos="709"/>
        </w:tabs>
        <w:spacing w:line="360" w:lineRule="auto"/>
        <w:jc w:val="both"/>
        <w:rPr>
          <w:rFonts w:ascii="Palatino Linotype" w:hAnsi="Palatino Linotype" w:cs="Arial"/>
        </w:rPr>
      </w:pPr>
      <w:hyperlink r:id="rId8">
        <w:r w:rsidR="00286BA0">
          <w:rPr>
            <w:rStyle w:val="EnlacedeInternet"/>
            <w:rFonts w:ascii="Palatino Linotype" w:hAnsi="Palatino Linotype" w:cs="Arial"/>
          </w:rPr>
          <w:t>http://www.infoem.org.mx/es/node/806/</w:t>
        </w:r>
      </w:hyperlink>
    </w:p>
    <w:p w:rsidR="00BB0015" w:rsidRDefault="00286BA0">
      <w:pPr>
        <w:tabs>
          <w:tab w:val="left" w:pos="709"/>
        </w:tabs>
        <w:spacing w:line="360" w:lineRule="auto"/>
        <w:jc w:val="both"/>
        <w:rPr>
          <w:rFonts w:ascii="Palatino Linotype" w:hAnsi="Palatino Linotype" w:cs="Arial"/>
        </w:rPr>
      </w:pPr>
      <w:r>
        <w:rPr>
          <w:rFonts w:ascii="Palatino Linotype" w:hAnsi="Palatino Linotype" w:cs="Arial"/>
        </w:rPr>
        <w:t>SOLICITUDES 2011-2015</w:t>
      </w:r>
    </w:p>
    <w:p w:rsidR="00BB0015" w:rsidRDefault="00B03C4E">
      <w:pPr>
        <w:tabs>
          <w:tab w:val="left" w:pos="709"/>
        </w:tabs>
        <w:spacing w:line="360" w:lineRule="auto"/>
        <w:jc w:val="both"/>
        <w:rPr>
          <w:rFonts w:ascii="Palatino Linotype" w:hAnsi="Palatino Linotype" w:cs="Arial"/>
        </w:rPr>
      </w:pPr>
      <w:hyperlink r:id="rId9">
        <w:r w:rsidR="00286BA0">
          <w:rPr>
            <w:rStyle w:val="EnlacedeInternet"/>
            <w:rFonts w:ascii="Palatino Linotype" w:hAnsi="Palatino Linotype" w:cs="Arial"/>
          </w:rPr>
          <w:t>http://www.ipomex.org.mx/ipo/portal/atlacomulco/solicitudes.web</w:t>
        </w:r>
      </w:hyperlink>
    </w:p>
    <w:p w:rsidR="00BB0015" w:rsidRDefault="00286BA0">
      <w:pPr>
        <w:tabs>
          <w:tab w:val="left" w:pos="709"/>
        </w:tabs>
        <w:spacing w:line="360" w:lineRule="auto"/>
        <w:jc w:val="both"/>
        <w:rPr>
          <w:rFonts w:ascii="Palatino Linotype" w:hAnsi="Palatino Linotype" w:cs="Arial"/>
        </w:rPr>
      </w:pPr>
      <w:r>
        <w:rPr>
          <w:rFonts w:ascii="Palatino Linotype" w:hAnsi="Palatino Linotype" w:cs="Arial"/>
        </w:rPr>
        <w:t>SOLICITUDES 2015-2017</w:t>
      </w:r>
    </w:p>
    <w:p w:rsidR="00BB0015" w:rsidRDefault="00B03C4E">
      <w:pPr>
        <w:tabs>
          <w:tab w:val="left" w:pos="709"/>
        </w:tabs>
        <w:spacing w:line="360" w:lineRule="auto"/>
        <w:jc w:val="both"/>
        <w:rPr>
          <w:rFonts w:ascii="Palatino Linotype" w:hAnsi="Palatino Linotype" w:cs="Arial"/>
        </w:rPr>
      </w:pPr>
      <w:hyperlink r:id="rId10">
        <w:r w:rsidR="00286BA0">
          <w:rPr>
            <w:rStyle w:val="EnlacedeInternet"/>
            <w:rFonts w:ascii="Palatino Linotype" w:hAnsi="Palatino Linotype" w:cs="Arial"/>
          </w:rPr>
          <w:t>http://www.ipomex.org.mx</w:t>
        </w:r>
        <w:r w:rsidR="00286BA0">
          <w:rPr>
            <w:rStyle w:val="EnlacedeInternet"/>
          </w:rPr>
          <w:t>/</w:t>
        </w:r>
        <w:r w:rsidR="00286BA0">
          <w:rPr>
            <w:rStyle w:val="EnlacedeInternet"/>
            <w:rFonts w:ascii="Palatino Linotype" w:hAnsi="Palatino Linotype" w:cs="Arial"/>
          </w:rPr>
          <w:t>ipo/portal/atlacomulco/solicitudes2.web</w:t>
        </w:r>
      </w:hyperlink>
    </w:p>
    <w:p w:rsidR="00BB0015" w:rsidRDefault="00286BA0">
      <w:pPr>
        <w:tabs>
          <w:tab w:val="left" w:pos="709"/>
        </w:tabs>
        <w:spacing w:line="360" w:lineRule="auto"/>
        <w:jc w:val="both"/>
        <w:rPr>
          <w:rFonts w:ascii="Palatino Linotype" w:hAnsi="Palatino Linotype" w:cs="Arial"/>
        </w:rPr>
      </w:pPr>
      <w:r>
        <w:rPr>
          <w:rFonts w:ascii="Palatino Linotype" w:hAnsi="Palatino Linotype" w:cs="Arial"/>
        </w:rPr>
        <w:t>SOLICITUDES 2018 y posteriores</w:t>
      </w:r>
    </w:p>
    <w:p w:rsidR="00BB0015" w:rsidRDefault="00B03C4E">
      <w:pPr>
        <w:tabs>
          <w:tab w:val="left" w:pos="709"/>
        </w:tabs>
        <w:spacing w:line="360" w:lineRule="auto"/>
        <w:jc w:val="both"/>
        <w:rPr>
          <w:rFonts w:ascii="Palatino Linotype" w:hAnsi="Palatino Linotype" w:cs="Arial"/>
        </w:rPr>
      </w:pPr>
      <w:hyperlink r:id="rId11">
        <w:r w:rsidR="00286BA0">
          <w:rPr>
            <w:rStyle w:val="EnlacedeInternet"/>
            <w:rFonts w:ascii="Palatino Linotype" w:hAnsi="Palatino Linotype" w:cs="Arial"/>
          </w:rPr>
          <w:t>http://www.ipomex.org.mx/ipo3/lgt/indice/ATLACOMULCO/art_92_xvii.web</w:t>
        </w:r>
      </w:hyperlink>
    </w:p>
    <w:p w:rsidR="00BB0015" w:rsidRDefault="00286BA0">
      <w:pPr>
        <w:tabs>
          <w:tab w:val="left" w:pos="709"/>
        </w:tabs>
        <w:spacing w:line="360" w:lineRule="auto"/>
        <w:jc w:val="both"/>
        <w:rPr>
          <w:rFonts w:ascii="Palatino Linotype" w:hAnsi="Palatino Linotype" w:cs="Arial"/>
        </w:rPr>
      </w:pPr>
      <w:r>
        <w:rPr>
          <w:rFonts w:ascii="Palatino Linotype" w:hAnsi="Palatino Linotype" w:cs="Arial"/>
        </w:rPr>
        <w:t xml:space="preserve">También señaló que en lo que respecta a la información de enero y febrero de 2020, se encontraba en proceso de actualización en la plataforma IPOMEX 2020, de conformidad con el artículo 62 de la Ley General de Transparencia y Acceso a la Información Pública. </w:t>
      </w:r>
    </w:p>
    <w:p w:rsidR="00BB0015" w:rsidRDefault="00BB0015">
      <w:pPr>
        <w:tabs>
          <w:tab w:val="left" w:pos="709"/>
        </w:tabs>
        <w:spacing w:line="360" w:lineRule="auto"/>
        <w:jc w:val="both"/>
        <w:rPr>
          <w:rFonts w:ascii="Palatino Linotype" w:hAnsi="Palatino Linotype" w:cs="Arial"/>
          <w:b/>
          <w:sz w:val="22"/>
          <w:szCs w:val="22"/>
        </w:rPr>
      </w:pPr>
    </w:p>
    <w:p w:rsidR="00BB0015" w:rsidRDefault="00286BA0">
      <w:pPr>
        <w:pStyle w:val="Prrafodelista"/>
        <w:numPr>
          <w:ilvl w:val="0"/>
          <w:numId w:val="2"/>
        </w:numPr>
        <w:tabs>
          <w:tab w:val="left" w:pos="709"/>
        </w:tabs>
        <w:spacing w:line="360" w:lineRule="auto"/>
        <w:ind w:left="0" w:firstLine="0"/>
        <w:jc w:val="both"/>
        <w:rPr>
          <w:rFonts w:ascii="Palatino Linotype" w:hAnsi="Palatino Linotype" w:cs="Arial"/>
        </w:rPr>
      </w:pPr>
      <w:r>
        <w:rPr>
          <w:rFonts w:ascii="Palatino Linotype" w:hAnsi="Palatino Linotype"/>
        </w:rPr>
        <w:t xml:space="preserve">Inconforme </w:t>
      </w:r>
      <w:r>
        <w:rPr>
          <w:rFonts w:ascii="Palatino Linotype" w:hAnsi="Palatino Linotype" w:cs="Arial"/>
        </w:rPr>
        <w:t>con</w:t>
      </w:r>
      <w:r>
        <w:rPr>
          <w:rFonts w:ascii="Palatino Linotype" w:hAnsi="Palatino Linotype"/>
        </w:rPr>
        <w:t xml:space="preserve"> la respuesta proporcionada por el </w:t>
      </w:r>
      <w:r>
        <w:rPr>
          <w:rFonts w:ascii="Palatino Linotype" w:hAnsi="Palatino Linotype"/>
          <w:b/>
        </w:rPr>
        <w:t>SUJETO OBLIGADO</w:t>
      </w:r>
      <w:r>
        <w:rPr>
          <w:rFonts w:ascii="Palatino Linotype" w:hAnsi="Palatino Linotype"/>
        </w:rPr>
        <w:t xml:space="preserve">, en fecha veintiocho de febrero de dos mil veinte, </w:t>
      </w:r>
      <w:r>
        <w:rPr>
          <w:rFonts w:ascii="Palatino Linotype" w:hAnsi="Palatino Linotype"/>
          <w:b/>
        </w:rPr>
        <w:t>EL RECURRENTE</w:t>
      </w:r>
      <w:r>
        <w:rPr>
          <w:rFonts w:ascii="Palatino Linotype" w:hAnsi="Palatino Linotype"/>
        </w:rPr>
        <w:t xml:space="preserve"> a través del</w:t>
      </w:r>
      <w:r>
        <w:rPr>
          <w:rFonts w:ascii="Palatino Linotype" w:hAnsi="Palatino Linotype"/>
          <w:b/>
        </w:rPr>
        <w:t xml:space="preserve"> SAIMEX, </w:t>
      </w:r>
      <w:r>
        <w:rPr>
          <w:rFonts w:ascii="Palatino Linotype" w:hAnsi="Palatino Linotype"/>
        </w:rPr>
        <w:lastRenderedPageBreak/>
        <w:t xml:space="preserve">interpuso el recurso de revisión objeto del </w:t>
      </w:r>
      <w:r>
        <w:rPr>
          <w:rFonts w:ascii="Palatino Linotype" w:hAnsi="Palatino Linotype" w:cs="Arial"/>
        </w:rPr>
        <w:t>presente</w:t>
      </w:r>
      <w:r>
        <w:rPr>
          <w:rFonts w:ascii="Palatino Linotype" w:hAnsi="Palatino Linotype"/>
        </w:rPr>
        <w:t xml:space="preserve"> estudio, al que se le asignó el </w:t>
      </w:r>
      <w:r>
        <w:rPr>
          <w:rFonts w:ascii="Palatino Linotype" w:hAnsi="Palatino Linotype" w:cs="Arial"/>
        </w:rPr>
        <w:t xml:space="preserve">número </w:t>
      </w:r>
      <w:r>
        <w:rPr>
          <w:rFonts w:ascii="Palatino Linotype" w:hAnsi="Palatino Linotype" w:cs="Arial"/>
          <w:b/>
        </w:rPr>
        <w:t>01282/INFOEM/IP/RR/2020</w:t>
      </w:r>
      <w:r>
        <w:rPr>
          <w:rFonts w:ascii="Palatino Linotype" w:hAnsi="Palatino Linotype" w:cs="Arial"/>
        </w:rPr>
        <w:t>, en el que señaló como acto impugnado,  lo siguiente:</w:t>
      </w:r>
    </w:p>
    <w:p w:rsidR="00BB0015" w:rsidRDefault="00286BA0">
      <w:pPr>
        <w:pStyle w:val="Prrafodelista"/>
        <w:spacing w:beforeAutospacing="1" w:afterAutospacing="1"/>
        <w:ind w:left="720" w:right="709"/>
        <w:jc w:val="both"/>
        <w:rPr>
          <w:rFonts w:ascii="Palatino Linotype" w:hAnsi="Palatino Linotype" w:cs="Arial"/>
          <w:sz w:val="22"/>
          <w:szCs w:val="22"/>
          <w:lang w:eastAsia="es-MX"/>
        </w:rPr>
      </w:pPr>
      <w:r>
        <w:rPr>
          <w:rFonts w:ascii="Palatino Linotype" w:hAnsi="Palatino Linotype" w:cs="Arial"/>
          <w:i/>
          <w:sz w:val="22"/>
          <w:szCs w:val="22"/>
          <w:lang w:eastAsia="es-MX"/>
        </w:rPr>
        <w:t>“La respuesta de AIDA SANCHEZ RUIZ titular de transparencia NO SE COLMAN LOS PUNTOS REQUERIDOS YA QUE TRATA DE OCULTAR INFORMACIÓN HACIENDO REFERENCIA EN LO QUE CORRESPONDE AL EJERCICIO 2020, QUE SE ENCUENTRA EN PERIODO DE ACTUALIZACIÓN CITANDO DOLOSAMENTE EL NUMERAL 161, ASI COMO EL 162 DE LA LEY REGLAMENTARIA,LUEGO ENTONCES SE DEDUCE QUE SI BIEN LA INFORMACION NO SE ENCUENTRA PUBLICADA EN PLATAFORMA IPOMEX ES OBLIGACION DE LA TITULAR PROPORCIONAR LA INFORMACION SOLICITADA , Y MAS AUN SI SON FRACCIONES QUE ESTAN A SU CARGO POR LO QUE A TODAS LUCES DEJA VER SU INCOMPETENCIA,DEBERIA RENUNCIAR,.”</w:t>
      </w:r>
      <w:r>
        <w:rPr>
          <w:rFonts w:ascii="Palatino Linotype" w:hAnsi="Palatino Linotype" w:cs="Arial"/>
          <w:sz w:val="22"/>
          <w:szCs w:val="22"/>
          <w:lang w:eastAsia="es-MX"/>
        </w:rPr>
        <w:t xml:space="preserve"> (Sic)</w:t>
      </w:r>
    </w:p>
    <w:p w:rsidR="00BB0015" w:rsidRDefault="00286BA0">
      <w:pPr>
        <w:pStyle w:val="Prrafodelista"/>
        <w:tabs>
          <w:tab w:val="left" w:pos="709"/>
        </w:tabs>
        <w:spacing w:line="360" w:lineRule="auto"/>
        <w:ind w:left="0"/>
        <w:jc w:val="both"/>
        <w:rPr>
          <w:rFonts w:ascii="Palatino Linotype" w:hAnsi="Palatino Linotype" w:cs="Arial"/>
        </w:rPr>
      </w:pPr>
      <w:r>
        <w:rPr>
          <w:rFonts w:ascii="Palatino Linotype" w:hAnsi="Palatino Linotype" w:cs="Arial"/>
        </w:rPr>
        <w:t>Así como</w:t>
      </w:r>
      <w:r>
        <w:rPr>
          <w:rFonts w:ascii="Palatino Linotype" w:hAnsi="Palatino Linotype"/>
        </w:rPr>
        <w:t xml:space="preserve"> razones o motivos de inconformidad</w:t>
      </w:r>
      <w:r>
        <w:rPr>
          <w:rFonts w:ascii="Palatino Linotype" w:hAnsi="Palatino Linotype" w:cs="Arial"/>
        </w:rPr>
        <w:t>:</w:t>
      </w:r>
    </w:p>
    <w:p w:rsidR="00BB0015" w:rsidRDefault="00286BA0">
      <w:pPr>
        <w:spacing w:beforeAutospacing="1" w:afterAutospacing="1"/>
        <w:ind w:left="709" w:right="709"/>
        <w:jc w:val="both"/>
        <w:rPr>
          <w:rFonts w:ascii="Palatino Linotype" w:hAnsi="Palatino Linotype" w:cs="Arial"/>
          <w:sz w:val="22"/>
          <w:szCs w:val="22"/>
          <w:lang w:eastAsia="es-MX"/>
        </w:rPr>
      </w:pPr>
      <w:r>
        <w:rPr>
          <w:rFonts w:ascii="Palatino Linotype" w:hAnsi="Palatino Linotype" w:cs="Arial"/>
          <w:i/>
          <w:sz w:val="22"/>
          <w:szCs w:val="22"/>
          <w:lang w:eastAsia="es-MX"/>
        </w:rPr>
        <w:t>“OCULTAMIENTO DE INFORMACION POR PARTE DE LA TITULAR DE TRANSPARENCIA AL MANIFESTAR QUE LA INFORMACION NO PUEDE SER ENTREGADA AL 25 DE MARZO DE 2020, LA TITULAR DEBE PROPORCIONAR LA INFORMACION SOLICITADA A LA FECHA EN QUE ENTREGA LA SOLICITUD POR LO QUE PRETENDER DESLINDARSE DE PROPORCIONAR LA INFORMACION SOLICITADA Y COLMAR LO REQUERIDO”</w:t>
      </w:r>
      <w:r>
        <w:rPr>
          <w:rFonts w:ascii="Palatino Linotype" w:hAnsi="Palatino Linotype" w:cs="Arial"/>
          <w:sz w:val="22"/>
          <w:szCs w:val="22"/>
          <w:lang w:eastAsia="es-MX"/>
        </w:rPr>
        <w:t xml:space="preserve"> (Sic)</w:t>
      </w:r>
    </w:p>
    <w:p w:rsidR="00BB0015" w:rsidRDefault="00286BA0">
      <w:pPr>
        <w:widowControl w:val="0"/>
        <w:numPr>
          <w:ilvl w:val="0"/>
          <w:numId w:val="7"/>
        </w:numPr>
        <w:tabs>
          <w:tab w:val="left" w:pos="0"/>
        </w:tabs>
        <w:spacing w:before="240" w:after="240" w:line="360" w:lineRule="auto"/>
        <w:ind w:left="0" w:firstLine="0"/>
        <w:jc w:val="both"/>
        <w:rPr>
          <w:rFonts w:ascii="Palatino Linotype" w:hAnsi="Palatino Linotype" w:cs="Arial"/>
          <w:lang w:val="es-ES_tradnl"/>
        </w:rPr>
      </w:pPr>
      <w:r>
        <w:rPr>
          <w:rFonts w:ascii="Palatino Linotype" w:hAnsi="Palatino Linotype" w:cs="Arial"/>
        </w:rPr>
        <w:t>En fecha</w:t>
      </w:r>
      <w:r>
        <w:rPr>
          <w:rFonts w:ascii="Palatino Linotype" w:hAnsi="Palatino Linotype"/>
        </w:rPr>
        <w:t xml:space="preserve"> veintiocho de febrero de dos mil veinte</w:t>
      </w:r>
      <w:r>
        <w:rPr>
          <w:rFonts w:ascii="Palatino Linotype" w:hAnsi="Palatino Linotype" w:cs="Arial"/>
        </w:rPr>
        <w:t>, el recurso de que se trata se envió electrónicamente al Instituto de Transparencia, Acceso a la Información Pública</w:t>
      </w:r>
      <w:r>
        <w:rPr>
          <w:rFonts w:ascii="Palatino Linotype" w:hAnsi="Palatino Linotype" w:cs="Arial"/>
          <w:lang w:val="es-ES_tradnl"/>
        </w:rPr>
        <w:t xml:space="preserve"> y </w:t>
      </w:r>
      <w:r>
        <w:rPr>
          <w:rFonts w:ascii="Palatino Linotype" w:hAnsi="Palatino Linotype" w:cs="Arial"/>
        </w:rPr>
        <w:t>Protección</w:t>
      </w:r>
      <w:r>
        <w:rPr>
          <w:rFonts w:ascii="Palatino Linotype" w:hAnsi="Palatino Linotype" w:cs="Arial"/>
          <w:lang w:val="es-ES_tradnl"/>
        </w:rPr>
        <w:t xml:space="preserve"> </w:t>
      </w:r>
      <w:r>
        <w:rPr>
          <w:rFonts w:ascii="Palatino Linotype" w:hAnsi="Palatino Linotype" w:cs="Arial"/>
        </w:rPr>
        <w:t>de</w:t>
      </w:r>
      <w:r>
        <w:rPr>
          <w:rFonts w:ascii="Palatino Linotype" w:hAnsi="Palatino Linotype" w:cs="Arial"/>
          <w:lang w:val="es-ES_tradnl"/>
        </w:rPr>
        <w:t xml:space="preserve"> </w:t>
      </w:r>
      <w:r>
        <w:rPr>
          <w:rFonts w:ascii="Palatino Linotype" w:hAnsi="Palatino Linotype"/>
        </w:rPr>
        <w:t>Datos</w:t>
      </w:r>
      <w:r>
        <w:rPr>
          <w:rFonts w:ascii="Palatino Linotype" w:hAnsi="Palatino Linotype" w:cs="Arial"/>
          <w:lang w:val="es-ES_tradnl"/>
        </w:rPr>
        <w:t xml:space="preserve"> </w:t>
      </w:r>
      <w:r>
        <w:rPr>
          <w:rFonts w:ascii="Palatino Linotype" w:hAnsi="Palatino Linotype" w:cs="Arial"/>
        </w:rPr>
        <w:t>Personales</w:t>
      </w:r>
      <w:r>
        <w:rPr>
          <w:rFonts w:ascii="Palatino Linotype" w:hAnsi="Palatino Linotype" w:cs="Arial"/>
          <w:lang w:val="es-ES_tradnl"/>
        </w:rPr>
        <w:t xml:space="preserve"> </w:t>
      </w:r>
      <w:r>
        <w:rPr>
          <w:rFonts w:ascii="Palatino Linotype" w:hAnsi="Palatino Linotype" w:cs="Arial"/>
        </w:rPr>
        <w:t>del</w:t>
      </w:r>
      <w:r>
        <w:rPr>
          <w:rFonts w:ascii="Palatino Linotype" w:hAnsi="Palatino Linotype" w:cs="Arial"/>
          <w:lang w:val="es-ES_tradnl"/>
        </w:rPr>
        <w:t xml:space="preserve"> </w:t>
      </w:r>
      <w:r>
        <w:rPr>
          <w:rFonts w:ascii="Palatino Linotype" w:hAnsi="Palatino Linotype"/>
        </w:rPr>
        <w:t>Estado</w:t>
      </w:r>
      <w:r>
        <w:rPr>
          <w:rFonts w:ascii="Palatino Linotype" w:hAnsi="Palatino Linotype" w:cs="Arial"/>
          <w:lang w:val="es-ES_tradnl"/>
        </w:rPr>
        <w:t xml:space="preserve"> de México y Municipios y con fundamento en el </w:t>
      </w:r>
      <w:r>
        <w:rPr>
          <w:rFonts w:ascii="Palatino Linotype" w:hAnsi="Palatino Linotype" w:cs="Arial"/>
        </w:rPr>
        <w:t>artículo</w:t>
      </w:r>
      <w:r>
        <w:rPr>
          <w:rFonts w:ascii="Palatino Linotype" w:hAnsi="Palatino Linotype" w:cs="Arial"/>
          <w:lang w:val="es-ES_tradnl"/>
        </w:rPr>
        <w:t xml:space="preserve"> 185, </w:t>
      </w:r>
      <w:r>
        <w:rPr>
          <w:rFonts w:ascii="Palatino Linotype" w:hAnsi="Palatino Linotype" w:cs="Arial"/>
        </w:rPr>
        <w:t>fracción</w:t>
      </w:r>
      <w:r>
        <w:rPr>
          <w:rFonts w:ascii="Palatino Linotype" w:hAnsi="Palatino Linotype" w:cs="Arial"/>
          <w:lang w:val="es-ES_tradnl"/>
        </w:rPr>
        <w:t xml:space="preserve"> I de la </w:t>
      </w:r>
      <w:r>
        <w:rPr>
          <w:rFonts w:ascii="Palatino Linotype" w:hAnsi="Palatino Linotype"/>
        </w:rPr>
        <w:t>Ley de Transparencia y Acceso a la Información Pública del Estado de México y Municipios</w:t>
      </w:r>
      <w:r>
        <w:rPr>
          <w:rFonts w:ascii="Palatino Linotype" w:hAnsi="Palatino Linotype" w:cs="Arial"/>
          <w:lang w:val="es-ES_tradnl"/>
        </w:rPr>
        <w:t>, se turnó, a través del</w:t>
      </w:r>
      <w:r>
        <w:rPr>
          <w:rFonts w:ascii="Palatino Linotype" w:eastAsia="Arial Unicode MS" w:hAnsi="Palatino Linotype" w:cs="Arial"/>
          <w:lang w:val="es-ES_tradnl"/>
        </w:rPr>
        <w:t xml:space="preserve"> </w:t>
      </w:r>
      <w:r>
        <w:rPr>
          <w:rFonts w:ascii="Palatino Linotype" w:eastAsia="Arial Unicode MS" w:hAnsi="Palatino Linotype" w:cs="Arial"/>
          <w:b/>
          <w:lang w:val="es-ES_tradnl"/>
        </w:rPr>
        <w:t>SAIMEX</w:t>
      </w:r>
      <w:r>
        <w:rPr>
          <w:rFonts w:ascii="Palatino Linotype" w:hAnsi="Palatino Linotype"/>
        </w:rPr>
        <w:t xml:space="preserve">, a la </w:t>
      </w:r>
      <w:r>
        <w:rPr>
          <w:rFonts w:ascii="Palatino Linotype" w:hAnsi="Palatino Linotype" w:cs="Arial"/>
          <w:lang w:val="es-ES_tradnl"/>
        </w:rPr>
        <w:t xml:space="preserve">Comisionada </w:t>
      </w:r>
      <w:r>
        <w:rPr>
          <w:rFonts w:ascii="Palatino Linotype" w:hAnsi="Palatino Linotype" w:cs="Arial"/>
          <w:b/>
          <w:lang w:val="es-ES_tradnl"/>
        </w:rPr>
        <w:t>EVA ABAID YAPUR</w:t>
      </w:r>
      <w:r>
        <w:rPr>
          <w:rFonts w:ascii="Palatino Linotype" w:hAnsi="Palatino Linotype" w:cs="Arial"/>
          <w:lang w:val="es-ES_tradnl"/>
        </w:rPr>
        <w:t xml:space="preserve">, a efecto de que decretara su admisión o </w:t>
      </w:r>
      <w:r>
        <w:rPr>
          <w:rFonts w:ascii="Palatino Linotype" w:hAnsi="Palatino Linotype" w:cs="Arial"/>
          <w:lang w:val="es-ES_tradnl"/>
        </w:rPr>
        <w:lastRenderedPageBreak/>
        <w:t>desechamiento.</w:t>
      </w:r>
    </w:p>
    <w:p w:rsidR="00BB0015" w:rsidRDefault="00286BA0">
      <w:pPr>
        <w:widowControl w:val="0"/>
        <w:numPr>
          <w:ilvl w:val="0"/>
          <w:numId w:val="7"/>
        </w:numPr>
        <w:tabs>
          <w:tab w:val="left" w:pos="0"/>
        </w:tabs>
        <w:spacing w:before="240" w:after="240" w:line="360" w:lineRule="auto"/>
        <w:ind w:left="0" w:firstLine="0"/>
        <w:jc w:val="both"/>
        <w:rPr>
          <w:rFonts w:ascii="Palatino Linotype" w:hAnsi="Palatino Linotype" w:cs="Arial"/>
        </w:rPr>
      </w:pPr>
      <w:r>
        <w:rPr>
          <w:rFonts w:ascii="Palatino Linotype" w:hAnsi="Palatino Linotype" w:cs="Arial"/>
        </w:rPr>
        <w:t>En fecha</w:t>
      </w:r>
      <w:r>
        <w:rPr>
          <w:rFonts w:ascii="Palatino Linotype" w:hAnsi="Palatino Linotype"/>
        </w:rPr>
        <w:t xml:space="preserve"> seis de marzo de dos mil veinte</w:t>
      </w:r>
      <w:r>
        <w:rPr>
          <w:rFonts w:ascii="Palatino Linotype" w:hAnsi="Palatino Linotype" w:cs="Arial"/>
        </w:rPr>
        <w:t xml:space="preserve">, atento a lo dispuesto en el artículo 185, fracciones I, II y IV, de la </w:t>
      </w:r>
      <w:r>
        <w:rPr>
          <w:rFonts w:ascii="Palatino Linotype" w:hAnsi="Palatino Linotype"/>
        </w:rPr>
        <w:t xml:space="preserve">Ley de Transparencia y Acceso a la Información Pública del </w:t>
      </w:r>
      <w:r>
        <w:rPr>
          <w:rFonts w:ascii="Palatino Linotype" w:hAnsi="Palatino Linotype" w:cs="Arial"/>
        </w:rPr>
        <w:t>Estado</w:t>
      </w:r>
      <w:r>
        <w:rPr>
          <w:rFonts w:ascii="Palatino Linotype" w:hAnsi="Palatino Linotype"/>
        </w:rPr>
        <w:t xml:space="preserve"> de México y </w:t>
      </w:r>
      <w:r>
        <w:rPr>
          <w:rFonts w:ascii="Palatino Linotype" w:hAnsi="Palatino Linotype" w:cs="Arial"/>
          <w:lang w:val="es-ES_tradnl"/>
        </w:rPr>
        <w:t>Municipios</w:t>
      </w:r>
      <w:r>
        <w:rPr>
          <w:rFonts w:ascii="Palatino Linotype" w:hAnsi="Palatino Linotype"/>
        </w:rPr>
        <w:t>, se a</w:t>
      </w:r>
      <w:r>
        <w:rPr>
          <w:rFonts w:ascii="Palatino Linotype" w:hAnsi="Palatino Linotype" w:cs="Arial"/>
        </w:rPr>
        <w:t xml:space="preserve">cordó la admisión a trámite del referido recurso de </w:t>
      </w:r>
      <w:r>
        <w:rPr>
          <w:rFonts w:ascii="Palatino Linotype" w:hAnsi="Palatino Linotype" w:cs="Arial"/>
          <w:lang w:val="es-ES_tradnl"/>
        </w:rPr>
        <w:t>revisión</w:t>
      </w:r>
      <w:r>
        <w:rPr>
          <w:rFonts w:ascii="Palatino Linotype" w:hAnsi="Palatino Linotype" w:cs="Arial"/>
        </w:rPr>
        <w:t xml:space="preserve">, así como la </w:t>
      </w:r>
      <w:r>
        <w:rPr>
          <w:rFonts w:ascii="Palatino Linotype" w:hAnsi="Palatino Linotype" w:cs="Arial"/>
          <w:lang w:val="es-ES_tradnl"/>
        </w:rPr>
        <w:t>integración</w:t>
      </w:r>
      <w:r>
        <w:rPr>
          <w:rFonts w:ascii="Palatino Linotype" w:hAnsi="Palatino Linotype" w:cs="Arial"/>
        </w:rPr>
        <w:t xml:space="preserve"> del expediente respectivo, mismo que se puso a disposición de las partes, para que en el plazo máximo de siete días hábiles, </w:t>
      </w:r>
      <w:r>
        <w:rPr>
          <w:rFonts w:ascii="Palatino Linotype" w:hAnsi="Palatino Linotype" w:cs="Arial"/>
          <w:b/>
        </w:rPr>
        <w:t>EL RECURRENTE</w:t>
      </w:r>
      <w:r>
        <w:rPr>
          <w:rFonts w:ascii="Palatino Linotype" w:hAnsi="Palatino Linotype" w:cs="Arial"/>
        </w:rPr>
        <w:t xml:space="preserve"> realizara manifestaciones, alegatos y ofreciera las pruebas que a su derecho </w:t>
      </w:r>
      <w:r>
        <w:rPr>
          <w:rFonts w:ascii="Palatino Linotype" w:hAnsi="Palatino Linotype" w:cs="Arial"/>
          <w:lang w:val="es-ES_tradnl"/>
        </w:rPr>
        <w:t>conviniera</w:t>
      </w:r>
      <w:r>
        <w:rPr>
          <w:rFonts w:ascii="Palatino Linotype" w:hAnsi="Palatino Linotype" w:cs="Arial"/>
        </w:rPr>
        <w:t xml:space="preserve"> y, en el caso del</w:t>
      </w:r>
      <w:r>
        <w:rPr>
          <w:rFonts w:ascii="Palatino Linotype" w:hAnsi="Palatino Linotype" w:cs="Arial"/>
          <w:b/>
        </w:rPr>
        <w:t xml:space="preserve"> SUJETO OBLIGADO</w:t>
      </w:r>
      <w:r>
        <w:rPr>
          <w:rFonts w:ascii="Palatino Linotype" w:hAnsi="Palatino Linotype" w:cs="Arial"/>
        </w:rPr>
        <w:t>, para que exhibiera el Informe Justificado correspondiente.</w:t>
      </w:r>
    </w:p>
    <w:p w:rsidR="00BB0015" w:rsidRDefault="00286BA0">
      <w:pPr>
        <w:widowControl w:val="0"/>
        <w:numPr>
          <w:ilvl w:val="0"/>
          <w:numId w:val="7"/>
        </w:numPr>
        <w:tabs>
          <w:tab w:val="left" w:pos="0"/>
        </w:tabs>
        <w:spacing w:before="240" w:after="240" w:line="360" w:lineRule="auto"/>
        <w:ind w:left="0" w:firstLine="0"/>
        <w:jc w:val="both"/>
        <w:rPr>
          <w:rFonts w:ascii="Palatino Linotype" w:hAnsi="Palatino Linotype" w:cs="Arial"/>
          <w:b/>
          <w:i/>
        </w:rPr>
      </w:pPr>
      <w:r>
        <w:rPr>
          <w:rFonts w:ascii="Palatino Linotype" w:hAnsi="Palatino Linotype" w:cs="Arial"/>
          <w:lang w:val="es-ES"/>
        </w:rPr>
        <w:t>En cumplimiento a lo anterior, de las constancias del expediente electrónico del</w:t>
      </w:r>
      <w:r>
        <w:rPr>
          <w:rFonts w:ascii="Palatino Linotype" w:hAnsi="Palatino Linotype" w:cs="Arial"/>
          <w:b/>
          <w:lang w:val="es-ES"/>
        </w:rPr>
        <w:t xml:space="preserve"> SAIMEX</w:t>
      </w:r>
      <w:r>
        <w:rPr>
          <w:rFonts w:ascii="Palatino Linotype" w:hAnsi="Palatino Linotype" w:cs="Arial"/>
          <w:lang w:val="es-ES"/>
        </w:rPr>
        <w:t xml:space="preserve">, se observó que </w:t>
      </w:r>
      <w:r>
        <w:rPr>
          <w:rFonts w:ascii="Palatino Linotype" w:eastAsia="Arial Unicode MS" w:hAnsi="Palatino Linotype" w:cs="Arial"/>
        </w:rPr>
        <w:t>en fecha diez de marzo de dos mil veinte,</w:t>
      </w:r>
      <w:r>
        <w:rPr>
          <w:rFonts w:ascii="Palatino Linotype" w:eastAsia="Arial Unicode MS" w:hAnsi="Palatino Linotype" w:cs="Arial"/>
          <w:b/>
          <w:color w:val="000000"/>
          <w:lang w:eastAsia="es-MX"/>
        </w:rPr>
        <w:t xml:space="preserve"> EL SUJETO OBLIGADO</w:t>
      </w:r>
      <w:r>
        <w:rPr>
          <w:rFonts w:ascii="Palatino Linotype" w:eastAsia="Arial Unicode MS" w:hAnsi="Palatino Linotype" w:cs="Arial"/>
        </w:rPr>
        <w:t xml:space="preserve"> </w:t>
      </w:r>
      <w:r>
        <w:rPr>
          <w:rFonts w:ascii="Palatino Linotype" w:hAnsi="Palatino Linotype"/>
          <w:lang w:val="es-ES_tradnl"/>
        </w:rPr>
        <w:t xml:space="preserve">rindió su Informe Justificado a través del oficio número PU/UT/340/2020, de fecha seis de marzo de dos mil veinte, signado por la Titular de la Unidad de Transparencia, recibida en Oficialía de Partes de este Instituto y mediante SAIMEX adjuntando el archivo electrónico </w:t>
      </w:r>
      <w:r>
        <w:rPr>
          <w:rFonts w:ascii="Palatino Linotype" w:hAnsi="Palatino Linotype"/>
          <w:b/>
          <w:i/>
          <w:lang w:val="es-ES_tradnl"/>
        </w:rPr>
        <w:t>IJ 1282.pdf</w:t>
      </w:r>
      <w:r>
        <w:rPr>
          <w:rFonts w:ascii="Palatino Linotype" w:hAnsi="Palatino Linotype"/>
          <w:lang w:val="es-ES_tradnl"/>
        </w:rPr>
        <w:t>, donde ratificó su respuesta inicial.</w:t>
      </w:r>
    </w:p>
    <w:p w:rsidR="00BB0015" w:rsidRDefault="006B760E">
      <w:pPr>
        <w:pStyle w:val="Prrafodelista"/>
        <w:widowControl w:val="0"/>
        <w:tabs>
          <w:tab w:val="left" w:pos="360"/>
        </w:tabs>
        <w:spacing w:line="360" w:lineRule="auto"/>
        <w:ind w:left="0"/>
        <w:jc w:val="both"/>
        <w:rPr>
          <w:rFonts w:ascii="Palatino Linotype" w:eastAsia="Arial Unicode MS" w:hAnsi="Palatino Linotype" w:cs="Arial"/>
          <w:lang w:val="es-ES_tradnl"/>
        </w:rPr>
      </w:pPr>
      <w:r>
        <w:rPr>
          <w:noProof/>
          <w:lang w:eastAsia="es-MX"/>
        </w:rPr>
        <mc:AlternateContent>
          <mc:Choice Requires="wps">
            <w:drawing>
              <wp:anchor distT="0" distB="0" distL="0" distR="0" simplePos="0" relativeHeight="95" behindDoc="0" locked="0" layoutInCell="1" allowOverlap="1" wp14:anchorId="6159F41C">
                <wp:simplePos x="0" y="0"/>
                <wp:positionH relativeFrom="column">
                  <wp:posOffset>53340</wp:posOffset>
                </wp:positionH>
                <wp:positionV relativeFrom="paragraph">
                  <wp:posOffset>1181736</wp:posOffset>
                </wp:positionV>
                <wp:extent cx="5867400" cy="952500"/>
                <wp:effectExtent l="38100" t="38100" r="76200" b="95250"/>
                <wp:wrapNone/>
                <wp:docPr id="1" name="Conector recto 2"/>
                <wp:cNvGraphicFramePr/>
                <a:graphic xmlns:a="http://schemas.openxmlformats.org/drawingml/2006/main">
                  <a:graphicData uri="http://schemas.microsoft.com/office/word/2010/wordprocessingShape">
                    <wps:wsp>
                      <wps:cNvCnPr/>
                      <wps:spPr>
                        <a:xfrm>
                          <a:off x="0" y="0"/>
                          <a:ext cx="5867400" cy="952500"/>
                        </a:xfrm>
                        <a:prstGeom prst="line">
                          <a:avLst/>
                        </a:prstGeom>
                        <a:ln>
                          <a:round/>
                        </a:ln>
                      </wps:spPr>
                      <wps:style>
                        <a:lnRef idx="2">
                          <a:schemeClr val="accent1"/>
                        </a:lnRef>
                        <a:fillRef idx="0">
                          <a:schemeClr val="accent1"/>
                        </a:fillRef>
                        <a:effectRef idx="1">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6C702CB6" id="Conector recto 2" o:spid="_x0000_s1026" style="position:absolute;z-index:9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4.2pt,93.05pt" to="466.2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Oj1uwEAALgDAAAOAAAAZHJzL2Uyb0RvYy54bWysU01v2zAMvQ/ofxB0X+wYS9cacXpI0V2G&#10;LdjaH6DKVCxAX6DUOPn3o2TPLbZDgWEXSiL5nvlIent3toadAKP2ruPrVc0ZOOl77Y4df3p8+HjD&#10;WUzC9cJ4Bx2/QOR3u6sP2zG00PjBmx6QEYmL7Rg6PqQU2qqKcgAr4soHcBRUHq1I9MRj1aMYid2a&#10;qqnr62r02Af0EmIk7/0U5LvCrxTI9F2pCImZjlNtqVgs9jnbarcV7RFFGLScyxD/UIUV2tFHF6p7&#10;kQR7Qf0XldUSffQqraS3lVdKSygaSM26/kPNz0EEKFqoOTEsbYr/j1Z+Ox2Q6Z5mx5kTlka0p0HJ&#10;5JFhPliTezSG2FLq3h1wfsVwwCz4rNDmk6Swc+nrZekrnBOT5NzcXH/+VFP7JcVuN82G7kRTvaID&#10;xvQFvGX50nGjXdYtWnH6GtOU+jslu43LFv2L66dgdlS5yKmscksXA1PyD1AkkQppCmlZLtgbZCdB&#10;ayGkBJfWc0XGUXaGKW3MAqzfB875GQpl8Rbw+n3wgihf9i4tYKudx1LbG1H5+uz7S5lG0U3rURo6&#10;r3Lev7fv0p3XH273CwAA//8DAFBLAwQUAAYACAAAACEAhGoqXNwAAAAJAQAADwAAAGRycy9kb3du&#10;cmV2LnhtbEyPS0/DMBCE70j8B2uRuFGnSRWlIU6FkJA40tADRyde8iB+yHab9N93OcFxvxnNzlSH&#10;Vc/sgj6M1gjYbhJgaDqrRtMLOH2+PRXAQpRGydkaFHDFAIf6/q6SpbKLOeKliT2jEBNKKWCI0ZWc&#10;h25ALcPGOjSkfVuvZaTT91x5uVC4nnmaJDnXcjT0YZAOXwfsfpqzFvDl2yl9vy4utVPe7CeH6ccR&#10;hXh8WF+egUVc458ZfutTdaipU2vPRgU2Cyh2ZCRc5FtgpO+zlEgrIMuI8Lri/xfUNwAAAP//AwBQ&#10;SwECLQAUAAYACAAAACEAtoM4kv4AAADhAQAAEwAAAAAAAAAAAAAAAAAAAAAAW0NvbnRlbnRfVHlw&#10;ZXNdLnhtbFBLAQItABQABgAIAAAAIQA4/SH/1gAAAJQBAAALAAAAAAAAAAAAAAAAAC8BAABfcmVs&#10;cy8ucmVsc1BLAQItABQABgAIAAAAIQA6vOj1uwEAALgDAAAOAAAAAAAAAAAAAAAAAC4CAABkcnMv&#10;ZTJvRG9jLnhtbFBLAQItABQABgAIAAAAIQCEaipc3AAAAAkBAAAPAAAAAAAAAAAAAAAAABUEAABk&#10;cnMvZG93bnJldi54bWxQSwUGAAAAAAQABADzAAAAHgUAAAAA&#10;" strokecolor="#4f81bd [3204]" strokeweight="2pt">
                <v:shadow on="t" color="black" opacity="24903f" origin=",.5" offset="0,.55556mm"/>
              </v:line>
            </w:pict>
          </mc:Fallback>
        </mc:AlternateContent>
      </w:r>
      <w:r w:rsidR="00286BA0">
        <w:rPr>
          <w:rFonts w:ascii="Palatino Linotype" w:eastAsia="Arial Unicode MS" w:hAnsi="Palatino Linotype" w:cs="Arial"/>
        </w:rPr>
        <w:t>Atento a lo anterior y en razón a que no</w:t>
      </w:r>
      <w:r w:rsidR="00286BA0">
        <w:rPr>
          <w:rFonts w:ascii="Palatino Linotype" w:eastAsia="Arial Unicode MS" w:hAnsi="Palatino Linotype" w:cs="Arial"/>
          <w:lang w:val="es-ES_tradnl"/>
        </w:rPr>
        <w:t xml:space="preserve"> se actualizó lo dispuesto por la fracción III del artículo 185 de la Ley de Transparencia y Acceso a la Información Pública de Estado de México, el Informe Justificado no fue puesto a la vista del </w:t>
      </w:r>
      <w:r w:rsidR="00286BA0">
        <w:rPr>
          <w:rFonts w:ascii="Palatino Linotype" w:eastAsia="Arial Unicode MS" w:hAnsi="Palatino Linotype" w:cs="Arial"/>
          <w:b/>
          <w:lang w:val="es-ES_tradnl"/>
        </w:rPr>
        <w:t>RECURRENTE</w:t>
      </w:r>
      <w:r w:rsidR="00286BA0">
        <w:rPr>
          <w:rFonts w:ascii="Palatino Linotype" w:eastAsia="Arial Unicode MS" w:hAnsi="Palatino Linotype" w:cs="Arial"/>
          <w:lang w:val="es-ES_tradnl"/>
        </w:rPr>
        <w:t>, sin embargo se plasma a continuación:</w:t>
      </w:r>
    </w:p>
    <w:p w:rsidR="00BB0015" w:rsidRDefault="00BB0015">
      <w:pPr>
        <w:pStyle w:val="Prrafodelista"/>
        <w:widowControl w:val="0"/>
        <w:tabs>
          <w:tab w:val="left" w:pos="360"/>
        </w:tabs>
        <w:spacing w:line="360" w:lineRule="auto"/>
        <w:ind w:left="0"/>
        <w:jc w:val="both"/>
        <w:rPr>
          <w:rFonts w:ascii="Palatino Linotype" w:eastAsia="Arial Unicode MS" w:hAnsi="Palatino Linotype" w:cs="Arial"/>
          <w:lang w:val="es-ES_tradnl"/>
        </w:rPr>
      </w:pPr>
    </w:p>
    <w:p w:rsidR="00BB0015" w:rsidRDefault="00BB0015">
      <w:pPr>
        <w:pStyle w:val="Prrafodelista"/>
        <w:widowControl w:val="0"/>
        <w:tabs>
          <w:tab w:val="left" w:pos="360"/>
        </w:tabs>
        <w:spacing w:line="360" w:lineRule="auto"/>
        <w:ind w:left="0"/>
        <w:jc w:val="both"/>
        <w:rPr>
          <w:rFonts w:ascii="Palatino Linotype" w:eastAsia="Arial Unicode MS" w:hAnsi="Palatino Linotype" w:cs="Arial"/>
          <w:lang w:val="es-ES_tradnl"/>
        </w:rPr>
      </w:pPr>
    </w:p>
    <w:p w:rsidR="00BB0015" w:rsidRDefault="00BB0015">
      <w:pPr>
        <w:pStyle w:val="Prrafodelista"/>
        <w:widowControl w:val="0"/>
        <w:tabs>
          <w:tab w:val="left" w:pos="360"/>
        </w:tabs>
        <w:spacing w:line="360" w:lineRule="auto"/>
        <w:ind w:left="0"/>
        <w:jc w:val="both"/>
        <w:rPr>
          <w:rFonts w:ascii="Palatino Linotype" w:eastAsia="Arial Unicode MS" w:hAnsi="Palatino Linotype" w:cs="Arial"/>
          <w:lang w:val="es-ES_tradnl"/>
        </w:rPr>
      </w:pPr>
    </w:p>
    <w:p w:rsidR="00BB0015" w:rsidRDefault="00286BA0">
      <w:pPr>
        <w:spacing w:before="240" w:after="240" w:line="360" w:lineRule="auto"/>
        <w:jc w:val="both"/>
        <w:rPr>
          <w:rFonts w:ascii="Palatino Linotype" w:hAnsi="Palatino Linotype"/>
        </w:rPr>
      </w:pPr>
      <w:r>
        <w:rPr>
          <w:noProof/>
          <w:lang w:eastAsia="es-MX"/>
        </w:rPr>
        <w:lastRenderedPageBreak/>
        <w:drawing>
          <wp:inline distT="0" distB="0" distL="0" distR="0">
            <wp:extent cx="5829300" cy="7496175"/>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2"/>
                    <a:srcRect l="24187" t="10089" r="30118" b="5059"/>
                    <a:stretch>
                      <a:fillRect/>
                    </a:stretch>
                  </pic:blipFill>
                  <pic:spPr bwMode="auto">
                    <a:xfrm>
                      <a:off x="0" y="0"/>
                      <a:ext cx="5829300" cy="7496175"/>
                    </a:xfrm>
                    <a:prstGeom prst="rect">
                      <a:avLst/>
                    </a:prstGeom>
                  </pic:spPr>
                </pic:pic>
              </a:graphicData>
            </a:graphic>
          </wp:inline>
        </w:drawing>
      </w:r>
    </w:p>
    <w:p w:rsidR="00BB0015" w:rsidRDefault="00286BA0">
      <w:pPr>
        <w:spacing w:before="240" w:after="240" w:line="360" w:lineRule="auto"/>
        <w:jc w:val="both"/>
        <w:rPr>
          <w:rFonts w:ascii="Palatino Linotype" w:hAnsi="Palatino Linotype"/>
        </w:rPr>
      </w:pPr>
      <w:r>
        <w:rPr>
          <w:noProof/>
          <w:lang w:eastAsia="es-MX"/>
        </w:rPr>
        <w:lastRenderedPageBreak/>
        <w:drawing>
          <wp:inline distT="0" distB="0" distL="0" distR="0">
            <wp:extent cx="5695950" cy="7648575"/>
            <wp:effectExtent l="0" t="0" r="0" b="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7"/>
                    <pic:cNvPicPr>
                      <a:picLocks noChangeAspect="1" noChangeArrowheads="1"/>
                    </pic:cNvPicPr>
                  </pic:nvPicPr>
                  <pic:blipFill>
                    <a:blip r:embed="rId13"/>
                    <a:srcRect l="24342" t="9872" r="29941" b="5276"/>
                    <a:stretch>
                      <a:fillRect/>
                    </a:stretch>
                  </pic:blipFill>
                  <pic:spPr bwMode="auto">
                    <a:xfrm>
                      <a:off x="0" y="0"/>
                      <a:ext cx="5695950" cy="7648575"/>
                    </a:xfrm>
                    <a:prstGeom prst="rect">
                      <a:avLst/>
                    </a:prstGeom>
                  </pic:spPr>
                </pic:pic>
              </a:graphicData>
            </a:graphic>
          </wp:inline>
        </w:drawing>
      </w:r>
    </w:p>
    <w:p w:rsidR="00BB0015" w:rsidRDefault="00286BA0">
      <w:pPr>
        <w:spacing w:line="360" w:lineRule="auto"/>
        <w:jc w:val="both"/>
        <w:rPr>
          <w:rFonts w:ascii="Palatino Linotype" w:hAnsi="Palatino Linotype" w:cs="Arial"/>
          <w:lang w:val="es-ES"/>
        </w:rPr>
      </w:pPr>
      <w:r>
        <w:rPr>
          <w:rFonts w:ascii="Palatino Linotype" w:hAnsi="Palatino Linotype" w:cs="Arial"/>
          <w:lang w:val="es-ES"/>
        </w:rPr>
        <w:lastRenderedPageBreak/>
        <w:t xml:space="preserve">Por su parte, </w:t>
      </w:r>
      <w:r>
        <w:rPr>
          <w:rFonts w:ascii="Palatino Linotype" w:hAnsi="Palatino Linotype" w:cs="Arial"/>
          <w:b/>
          <w:lang w:val="es-ES"/>
        </w:rPr>
        <w:t>EL RECURRENTE</w:t>
      </w:r>
      <w:r>
        <w:rPr>
          <w:rFonts w:ascii="Palatino Linotype" w:hAnsi="Palatino Linotype" w:cs="Arial"/>
          <w:lang w:val="es-ES"/>
        </w:rPr>
        <w:t xml:space="preserve"> no presentó manifestaciones, alegatos ni ofreció los medios de prueba que a su derecho convinieran, tal como se advierte a continuación:</w:t>
      </w:r>
    </w:p>
    <w:p w:rsidR="00BB0015" w:rsidRDefault="00286BA0">
      <w:pPr>
        <w:spacing w:before="240" w:after="240" w:line="360" w:lineRule="auto"/>
        <w:jc w:val="both"/>
        <w:rPr>
          <w:rFonts w:ascii="Palatino Linotype" w:hAnsi="Palatino Linotype"/>
        </w:rPr>
      </w:pPr>
      <w:r>
        <w:rPr>
          <w:noProof/>
          <w:lang w:eastAsia="es-MX"/>
        </w:rPr>
        <w:drawing>
          <wp:inline distT="0" distB="0" distL="0" distR="0">
            <wp:extent cx="5772150" cy="1304925"/>
            <wp:effectExtent l="0" t="0" r="0" b="0"/>
            <wp:docPr id="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8"/>
                    <pic:cNvPicPr>
                      <a:picLocks noChangeAspect="1" noChangeArrowheads="1"/>
                    </pic:cNvPicPr>
                  </pic:nvPicPr>
                  <pic:blipFill>
                    <a:blip r:embed="rId14"/>
                    <a:srcRect l="1476" t="26535" r="3462" b="43445"/>
                    <a:stretch>
                      <a:fillRect/>
                    </a:stretch>
                  </pic:blipFill>
                  <pic:spPr bwMode="auto">
                    <a:xfrm>
                      <a:off x="0" y="0"/>
                      <a:ext cx="5772150" cy="1304925"/>
                    </a:xfrm>
                    <a:prstGeom prst="rect">
                      <a:avLst/>
                    </a:prstGeom>
                  </pic:spPr>
                </pic:pic>
              </a:graphicData>
            </a:graphic>
          </wp:inline>
        </w:drawing>
      </w:r>
    </w:p>
    <w:p w:rsidR="00BB0015" w:rsidRDefault="00286BA0">
      <w:pPr>
        <w:numPr>
          <w:ilvl w:val="0"/>
          <w:numId w:val="2"/>
        </w:numPr>
        <w:spacing w:line="360" w:lineRule="auto"/>
        <w:ind w:left="0" w:firstLine="0"/>
        <w:jc w:val="both"/>
        <w:rPr>
          <w:rFonts w:ascii="Palatino Linotype" w:hAnsi="Palatino Linotype"/>
        </w:rPr>
      </w:pPr>
      <w:r>
        <w:rPr>
          <w:rFonts w:ascii="Palatino Linotype" w:hAnsi="Palatino Linotype" w:cs="Arial"/>
        </w:rPr>
        <w:t xml:space="preserve">Una vez </w:t>
      </w:r>
      <w:r>
        <w:rPr>
          <w:rFonts w:ascii="Palatino Linotype" w:hAnsi="Palatino Linotype" w:cs="Arial"/>
          <w:color w:val="000000" w:themeColor="text1"/>
        </w:rPr>
        <w:t>analizado</w:t>
      </w:r>
      <w:r>
        <w:rPr>
          <w:rFonts w:ascii="Palatino Linotype" w:hAnsi="Palatino Linotype" w:cs="Arial"/>
        </w:rPr>
        <w:t xml:space="preserve"> el estado procesal que guardaba el expediente, en fecha tres</w:t>
      </w:r>
      <w:r>
        <w:rPr>
          <w:rFonts w:ascii="Palatino Linotype" w:hAnsi="Palatino Linotype" w:cs="Arial"/>
          <w:highlight w:val="yellow"/>
        </w:rPr>
        <w:t xml:space="preserve"> </w:t>
      </w:r>
      <w:r>
        <w:rPr>
          <w:rFonts w:ascii="Palatino Linotype" w:hAnsi="Palatino Linotype" w:cs="Arial"/>
        </w:rPr>
        <w:t xml:space="preserve">de agosto de dos mil veinte, la Comisionada Ponente acordó el cierre de instrucción; así </w:t>
      </w:r>
      <w:r>
        <w:rPr>
          <w:rFonts w:ascii="Palatino Linotype" w:hAnsi="Palatino Linotype" w:cs="Arial"/>
          <w:lang w:val="es-ES_tradnl"/>
        </w:rPr>
        <w:t>como,</w:t>
      </w:r>
      <w:r>
        <w:rPr>
          <w:rFonts w:ascii="Palatino Linotype" w:hAnsi="Palatino Linotype" w:cs="Arial"/>
        </w:rPr>
        <w:t xml:space="preserve"> la remisión del mismo a efecto </w:t>
      </w:r>
      <w:r>
        <w:rPr>
          <w:rFonts w:ascii="Palatino Linotype" w:hAnsi="Palatino Linotype" w:cs="Arial"/>
          <w:lang w:val="es-ES_tradnl"/>
        </w:rPr>
        <w:t>de</w:t>
      </w:r>
      <w:r>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y</w:t>
      </w:r>
      <w:bookmarkStart w:id="2" w:name="_Ref507070922"/>
      <w:bookmarkEnd w:id="2"/>
    </w:p>
    <w:p w:rsidR="00BB0015" w:rsidRDefault="00286BA0">
      <w:pPr>
        <w:pStyle w:val="Prrafodelista"/>
        <w:tabs>
          <w:tab w:val="left" w:pos="709"/>
        </w:tabs>
        <w:spacing w:beforeAutospacing="1" w:afterAutospacing="1" w:line="360" w:lineRule="auto"/>
        <w:ind w:left="0"/>
        <w:jc w:val="center"/>
        <w:rPr>
          <w:rFonts w:ascii="Palatino Linotype" w:hAnsi="Palatino Linotype"/>
          <w:b/>
          <w:bCs/>
          <w:spacing w:val="60"/>
          <w:sz w:val="28"/>
        </w:rPr>
      </w:pPr>
      <w:r>
        <w:rPr>
          <w:rFonts w:ascii="Palatino Linotype" w:hAnsi="Palatino Linotype"/>
          <w:b/>
          <w:bCs/>
          <w:spacing w:val="60"/>
          <w:sz w:val="28"/>
        </w:rPr>
        <w:t>CONSIDERANDO</w:t>
      </w:r>
    </w:p>
    <w:p w:rsidR="00BB0015" w:rsidRDefault="00286BA0">
      <w:pPr>
        <w:pStyle w:val="Prrafodelista"/>
        <w:widowControl w:val="0"/>
        <w:numPr>
          <w:ilvl w:val="0"/>
          <w:numId w:val="1"/>
        </w:numPr>
        <w:tabs>
          <w:tab w:val="left" w:pos="1701"/>
          <w:tab w:val="left" w:pos="1843"/>
        </w:tabs>
        <w:spacing w:before="240" w:line="360" w:lineRule="auto"/>
        <w:ind w:left="0" w:firstLine="0"/>
        <w:jc w:val="both"/>
        <w:rPr>
          <w:rFonts w:ascii="Palatino Linotype" w:hAnsi="Palatino Linotype" w:cs="Arial"/>
        </w:rPr>
      </w:pPr>
      <w:r>
        <w:rPr>
          <w:rFonts w:ascii="Palatino Linotype" w:hAnsi="Palatino Linotype"/>
          <w:b/>
        </w:rPr>
        <w:t>Competencia</w:t>
      </w:r>
      <w:r>
        <w:rPr>
          <w:rFonts w:ascii="Palatino Linotype" w:hAnsi="Palatino Linotype"/>
        </w:rPr>
        <w:t>.</w:t>
      </w:r>
      <w:r>
        <w:rPr>
          <w:rFonts w:ascii="Palatino Linotype" w:hAnsi="Palatino Linotype"/>
          <w:b/>
        </w:rPr>
        <w:t xml:space="preserve"> </w:t>
      </w:r>
      <w:r>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w:t>
      </w:r>
      <w:r>
        <w:rPr>
          <w:rFonts w:ascii="Palatino Linotype" w:hAnsi="Palatino Linotype"/>
        </w:rPr>
        <w:lastRenderedPageBreak/>
        <w:t>Instituto de Transparencia, Acceso a la Información Pública y Protección de Datos Personales del Estado de México y Municipios</w:t>
      </w:r>
      <w:r>
        <w:rPr>
          <w:rFonts w:ascii="Palatino Linotype" w:hAnsi="Palatino Linotype" w:cs="Arial"/>
        </w:rPr>
        <w:t>.</w:t>
      </w:r>
    </w:p>
    <w:p w:rsidR="00BB0015" w:rsidRDefault="00286BA0">
      <w:pPr>
        <w:pStyle w:val="Prrafodelista"/>
        <w:widowControl w:val="0"/>
        <w:numPr>
          <w:ilvl w:val="0"/>
          <w:numId w:val="1"/>
        </w:numPr>
        <w:tabs>
          <w:tab w:val="left" w:pos="1701"/>
          <w:tab w:val="left" w:pos="1843"/>
        </w:tabs>
        <w:spacing w:before="240" w:line="360" w:lineRule="auto"/>
        <w:ind w:left="0" w:firstLine="0"/>
        <w:jc w:val="both"/>
        <w:rPr>
          <w:rFonts w:ascii="Palatino Linotype" w:hAnsi="Palatino Linotype" w:cs="Arial"/>
          <w:lang w:val="es-ES_tradnl"/>
        </w:rPr>
      </w:pPr>
      <w:r>
        <w:rPr>
          <w:rFonts w:ascii="Palatino Linotype" w:hAnsi="Palatino Linotype" w:cs="Arial"/>
          <w:b/>
        </w:rPr>
        <w:t xml:space="preserve"> Interés.</w:t>
      </w:r>
      <w:r>
        <w:rPr>
          <w:rFonts w:ascii="Palatino Linotype" w:hAnsi="Palatino Linotype" w:cs="Arial"/>
        </w:rPr>
        <w:t xml:space="preserve"> El </w:t>
      </w:r>
      <w:r>
        <w:rPr>
          <w:rFonts w:ascii="Palatino Linotype" w:hAnsi="Palatino Linotype"/>
        </w:rPr>
        <w:t>recurso</w:t>
      </w:r>
      <w:r>
        <w:rPr>
          <w:rFonts w:ascii="Palatino Linotype" w:hAnsi="Palatino Linotype" w:cs="Arial"/>
        </w:rPr>
        <w:t xml:space="preserve"> de revisión fue </w:t>
      </w:r>
      <w:r>
        <w:rPr>
          <w:rFonts w:ascii="Palatino Linotype" w:hAnsi="Palatino Linotype"/>
        </w:rPr>
        <w:t>interpuesto</w:t>
      </w:r>
      <w:r>
        <w:rPr>
          <w:rFonts w:ascii="Palatino Linotype" w:hAnsi="Palatino Linotype" w:cs="Arial"/>
        </w:rPr>
        <w:t xml:space="preserve"> por parte legítima en atención a que fue </w:t>
      </w:r>
      <w:r>
        <w:rPr>
          <w:rFonts w:ascii="Palatino Linotype" w:hAnsi="Palatino Linotype"/>
        </w:rPr>
        <w:t>presentado</w:t>
      </w:r>
      <w:r>
        <w:rPr>
          <w:rFonts w:ascii="Palatino Linotype" w:hAnsi="Palatino Linotype" w:cs="Arial"/>
        </w:rPr>
        <w:t xml:space="preserve"> por </w:t>
      </w:r>
      <w:r>
        <w:rPr>
          <w:rFonts w:ascii="Palatino Linotype" w:hAnsi="Palatino Linotype" w:cs="Arial"/>
          <w:b/>
        </w:rPr>
        <w:t>EL RECURRENTE</w:t>
      </w:r>
      <w:r>
        <w:rPr>
          <w:rFonts w:ascii="Palatino Linotype" w:hAnsi="Palatino Linotype" w:cs="Arial"/>
        </w:rPr>
        <w:t xml:space="preserve">, quien </w:t>
      </w:r>
      <w:r>
        <w:rPr>
          <w:rFonts w:ascii="Palatino Linotype" w:hAnsi="Palatino Linotype"/>
        </w:rPr>
        <w:t>formuló</w:t>
      </w:r>
      <w:r>
        <w:rPr>
          <w:rFonts w:ascii="Palatino Linotype" w:hAnsi="Palatino Linotype" w:cs="Arial"/>
        </w:rPr>
        <w:t xml:space="preserve"> la solicitud de información pública </w:t>
      </w:r>
      <w:r>
        <w:rPr>
          <w:rFonts w:ascii="Palatino Linotype" w:hAnsi="Palatino Linotype"/>
        </w:rPr>
        <w:t xml:space="preserve">número </w:t>
      </w:r>
      <w:hyperlink r:id="rId15">
        <w:r>
          <w:rPr>
            <w:rStyle w:val="EnlacedeInternet"/>
            <w:rFonts w:ascii="Palatino Linotype" w:hAnsi="Palatino Linotype"/>
            <w:b/>
            <w:bCs/>
            <w:color w:val="auto"/>
          </w:rPr>
          <w:t>00071/ATLACOM/IP/2020</w:t>
        </w:r>
      </w:hyperlink>
      <w:r>
        <w:rPr>
          <w:rFonts w:ascii="Palatino Linotype" w:hAnsi="Palatino Linotype"/>
          <w:b/>
          <w:bCs/>
        </w:rPr>
        <w:t>.</w:t>
      </w:r>
    </w:p>
    <w:p w:rsidR="00BB0015" w:rsidRDefault="00286BA0">
      <w:pPr>
        <w:pStyle w:val="Prrafodelista"/>
        <w:widowControl w:val="0"/>
        <w:numPr>
          <w:ilvl w:val="0"/>
          <w:numId w:val="1"/>
        </w:numPr>
        <w:tabs>
          <w:tab w:val="left" w:pos="1701"/>
          <w:tab w:val="left" w:pos="1843"/>
        </w:tabs>
        <w:spacing w:before="240" w:afterAutospacing="1" w:line="360" w:lineRule="auto"/>
        <w:ind w:left="0" w:firstLine="0"/>
        <w:jc w:val="both"/>
        <w:rPr>
          <w:rFonts w:ascii="Palatino Linotype" w:hAnsi="Palatino Linotype" w:cs="Arial"/>
        </w:rPr>
      </w:pPr>
      <w:r>
        <w:rPr>
          <w:rFonts w:ascii="Palatino Linotype" w:hAnsi="Palatino Linotype" w:cs="Arial"/>
          <w:b/>
        </w:rPr>
        <w:t xml:space="preserve">Oportunidad. </w:t>
      </w:r>
      <w:r>
        <w:rPr>
          <w:rFonts w:ascii="Palatino Linotype" w:hAnsi="Palatino Linotype" w:cs="Arial"/>
        </w:rPr>
        <w:t xml:space="preserve">El recurso de revisión fue interpuesto dentro del plazo de quince días hábiles contados a partir del día siguiente al en que </w:t>
      </w:r>
      <w:r>
        <w:rPr>
          <w:rFonts w:ascii="Palatino Linotype" w:hAnsi="Palatino Linotype" w:cs="Arial"/>
          <w:b/>
        </w:rPr>
        <w:t xml:space="preserve">EL RECURRENTE </w:t>
      </w:r>
      <w:r>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BB0015" w:rsidRDefault="00BB0015">
      <w:pPr>
        <w:ind w:left="851" w:right="902"/>
        <w:jc w:val="both"/>
        <w:rPr>
          <w:rFonts w:ascii="Palatino Linotype" w:eastAsiaTheme="minorEastAsia" w:hAnsi="Palatino Linotype" w:cs="Arial"/>
          <w:szCs w:val="20"/>
          <w:lang w:val="es-ES_tradnl"/>
        </w:rPr>
      </w:pPr>
    </w:p>
    <w:p w:rsidR="00BB0015" w:rsidRDefault="00286BA0">
      <w:pPr>
        <w:tabs>
          <w:tab w:val="left" w:pos="851"/>
        </w:tabs>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b/>
          <w:i/>
          <w:sz w:val="22"/>
          <w:szCs w:val="22"/>
          <w:lang w:val="es-ES_tradnl"/>
        </w:rPr>
        <w:t>“Artículo 178.</w:t>
      </w:r>
      <w:r>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B0015" w:rsidRDefault="00286BA0">
      <w:pPr>
        <w:tabs>
          <w:tab w:val="left" w:pos="851"/>
        </w:tabs>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B0015" w:rsidRDefault="00286BA0">
      <w:pPr>
        <w:tabs>
          <w:tab w:val="left" w:pos="851"/>
        </w:tabs>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Pr>
          <w:rFonts w:ascii="Palatino Linotype" w:eastAsiaTheme="minorEastAsia" w:hAnsi="Palatino Linotype" w:cs="Arial"/>
          <w:b/>
          <w:i/>
          <w:sz w:val="22"/>
          <w:szCs w:val="22"/>
          <w:lang w:val="es-ES_tradnl"/>
        </w:rPr>
        <w:t>”</w:t>
      </w:r>
    </w:p>
    <w:p w:rsidR="00BB0015" w:rsidRDefault="00BB0015">
      <w:pPr>
        <w:ind w:left="851" w:right="902"/>
        <w:jc w:val="both"/>
        <w:rPr>
          <w:rFonts w:ascii="Palatino Linotype" w:eastAsiaTheme="minorEastAsia" w:hAnsi="Palatino Linotype" w:cs="Arial"/>
          <w:szCs w:val="20"/>
          <w:lang w:val="es-ES_tradnl"/>
        </w:rPr>
      </w:pPr>
    </w:p>
    <w:p w:rsidR="00BB0015" w:rsidRDefault="00286BA0">
      <w:pPr>
        <w:spacing w:line="360" w:lineRule="auto"/>
        <w:jc w:val="both"/>
        <w:rPr>
          <w:rFonts w:ascii="Palatino Linotype" w:hAnsi="Palatino Linotype" w:cs="Arial"/>
        </w:rPr>
      </w:pPr>
      <w:r>
        <w:rPr>
          <w:rFonts w:ascii="Palatino Linotype" w:eastAsiaTheme="minorEastAsia" w:hAnsi="Palatino Linotype" w:cs="Arial"/>
          <w:lang w:val="es-ES_tradnl"/>
        </w:rPr>
        <w:t xml:space="preserve">En efecto, atendiendo a que </w:t>
      </w:r>
      <w:r>
        <w:rPr>
          <w:rFonts w:ascii="Palatino Linotype" w:eastAsiaTheme="minorEastAsia" w:hAnsi="Palatino Linotype" w:cs="Arial"/>
          <w:b/>
          <w:lang w:val="es-ES_tradnl"/>
        </w:rPr>
        <w:t>EL SUJETO OBLIGADO</w:t>
      </w:r>
      <w:r>
        <w:rPr>
          <w:rFonts w:ascii="Palatino Linotype" w:eastAsiaTheme="minorEastAsia" w:hAnsi="Palatino Linotype" w:cs="Arial"/>
          <w:lang w:val="es-ES_tradnl"/>
        </w:rPr>
        <w:t xml:space="preserve"> notificó la respuesta a la solicitud de información pública el</w:t>
      </w:r>
      <w:r>
        <w:rPr>
          <w:rFonts w:ascii="Palatino Linotype" w:eastAsiaTheme="minorEastAsia" w:hAnsi="Palatino Linotype" w:cs="Arial"/>
          <w:b/>
          <w:lang w:val="es-ES_tradnl"/>
        </w:rPr>
        <w:t xml:space="preserve"> veintiséis de febrero de dos mil veinte; </w:t>
      </w:r>
      <w:r>
        <w:rPr>
          <w:rFonts w:ascii="Palatino Linotype" w:hAnsi="Palatino Linotype" w:cs="Arial"/>
        </w:rPr>
        <w:t xml:space="preserve">en consecuencia, el plazo de quince días hábiles que el artículo 178 de la ley de la materia otorga al </w:t>
      </w:r>
      <w:r>
        <w:rPr>
          <w:rFonts w:ascii="Palatino Linotype" w:hAnsi="Palatino Linotype" w:cs="Arial"/>
          <w:b/>
        </w:rPr>
        <w:t>RECURRENTE</w:t>
      </w:r>
      <w:r>
        <w:rPr>
          <w:rFonts w:ascii="Palatino Linotype" w:hAnsi="Palatino Linotype" w:cs="Arial"/>
        </w:rPr>
        <w:t xml:space="preserve"> para presentar el recurso de revisión, transcurrió del</w:t>
      </w:r>
      <w:r>
        <w:rPr>
          <w:rFonts w:ascii="Palatino Linotype" w:hAnsi="Palatino Linotype" w:cs="Arial"/>
          <w:b/>
        </w:rPr>
        <w:t xml:space="preserve"> veintisiete de </w:t>
      </w:r>
      <w:r>
        <w:rPr>
          <w:rFonts w:ascii="Palatino Linotype" w:hAnsi="Palatino Linotype" w:cs="Arial"/>
          <w:b/>
        </w:rPr>
        <w:lastRenderedPageBreak/>
        <w:t>febrero al veinte de marzo de dos mil veinte</w:t>
      </w:r>
      <w:r>
        <w:rPr>
          <w:rFonts w:ascii="Palatino Linotype" w:hAnsi="Palatino Linotype" w:cs="Arial"/>
        </w:rPr>
        <w:t xml:space="preserve">, sin contemplar en el cómputo el día veintinueve de febrero de dos mil veinte; uno, siete, ocho, catorce y quince de marzo de dos mil veinte, por corresponder a sábados y domingos, considerados como días inhábiles; en términos del artículo 3, fracción X de la </w:t>
      </w:r>
      <w:r>
        <w:rPr>
          <w:rFonts w:ascii="Palatino Linotype" w:hAnsi="Palatino Linotype"/>
        </w:rPr>
        <w:t>Ley de Transparencia y Acceso a la Información Pública del Estado de México y Municipios</w:t>
      </w:r>
      <w:r>
        <w:rPr>
          <w:rFonts w:ascii="Palatino Linotype" w:hAnsi="Palatino Linotype" w:cs="Arial"/>
        </w:rPr>
        <w:t>; así como los días dos y dieciséis de marzo de dos mil vente, por suspensión de labores, de conformidad con el Calendario Oficial en Materia de Transparencia, Acceso a la Información Pública y Protección de Datos Personales del Estado de México y Municipios, para el año dos mil veinte y enero de dos mil veintiuno, publicado en el Periódico Oficial “Gaceta del Gobierno”, el diecinueve de diciembre de dos mil diecinueve.</w:t>
      </w:r>
    </w:p>
    <w:p w:rsidR="00BB0015" w:rsidRDefault="00BB0015">
      <w:pPr>
        <w:spacing w:line="360" w:lineRule="auto"/>
        <w:jc w:val="both"/>
        <w:rPr>
          <w:rFonts w:ascii="Palatino Linotype" w:hAnsi="Palatino Linotype"/>
        </w:rPr>
      </w:pPr>
    </w:p>
    <w:p w:rsidR="00BB0015" w:rsidRDefault="00286BA0">
      <w:pPr>
        <w:spacing w:line="360" w:lineRule="auto"/>
        <w:jc w:val="both"/>
        <w:rPr>
          <w:rFonts w:ascii="Palatino Linotype" w:eastAsiaTheme="minorEastAsia" w:hAnsi="Palatino Linotype" w:cs="Arial"/>
          <w:lang w:val="es-ES_tradnl"/>
        </w:rPr>
      </w:pPr>
      <w:r>
        <w:rPr>
          <w:rFonts w:ascii="Palatino Linotype" w:eastAsiaTheme="minorEastAsia" w:hAnsi="Palatino Linotype" w:cs="Arial"/>
          <w:lang w:val="es-ES_tradnl"/>
        </w:rPr>
        <w:t>En ese tenor, si el recurso de revisión que nos ocupa, se interpuso el</w:t>
      </w:r>
      <w:r>
        <w:rPr>
          <w:rFonts w:ascii="Palatino Linotype" w:eastAsiaTheme="minorEastAsia" w:hAnsi="Palatino Linotype" w:cs="Arial"/>
          <w:b/>
          <w:lang w:val="es-ES_tradnl"/>
        </w:rPr>
        <w:t xml:space="preserve"> veintiocho de febrero de dos mil veinte,</w:t>
      </w:r>
      <w:r>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BB0015" w:rsidRDefault="00BB0015">
      <w:pPr>
        <w:spacing w:line="360" w:lineRule="auto"/>
        <w:jc w:val="both"/>
        <w:rPr>
          <w:rFonts w:ascii="Palatino Linotype" w:eastAsiaTheme="minorEastAsia" w:hAnsi="Palatino Linotype" w:cs="Arial"/>
          <w:lang w:val="es-ES_tradnl"/>
        </w:rPr>
      </w:pPr>
    </w:p>
    <w:p w:rsidR="00BB0015" w:rsidRDefault="00286BA0">
      <w:pPr>
        <w:pStyle w:val="Prrafodelista"/>
        <w:widowControl w:val="0"/>
        <w:numPr>
          <w:ilvl w:val="0"/>
          <w:numId w:val="1"/>
        </w:numPr>
        <w:tabs>
          <w:tab w:val="left" w:pos="1701"/>
          <w:tab w:val="left" w:pos="1843"/>
        </w:tabs>
        <w:spacing w:line="360" w:lineRule="auto"/>
        <w:ind w:left="0" w:firstLine="0"/>
        <w:jc w:val="both"/>
        <w:rPr>
          <w:rFonts w:ascii="Palatino Linotype" w:hAnsi="Palatino Linotype" w:cs="Arial"/>
        </w:rPr>
      </w:pPr>
      <w:r>
        <w:rPr>
          <w:rFonts w:ascii="Palatino Linotype" w:hAnsi="Palatino Linotype" w:cs="Arial"/>
          <w:b/>
          <w:szCs w:val="28"/>
        </w:rPr>
        <w:t xml:space="preserve">Procedibilidad. </w:t>
      </w:r>
      <w:r>
        <w:rPr>
          <w:rFonts w:ascii="Palatino Linotype" w:hAnsi="Palatino Linotype" w:cs="Arial"/>
        </w:rPr>
        <w:t xml:space="preserve">Se </w:t>
      </w:r>
      <w:r>
        <w:rPr>
          <w:rFonts w:ascii="Palatino Linotype" w:hAnsi="Palatino Linotype" w:cs="Arial"/>
          <w:lang w:val="es-ES"/>
        </w:rPr>
        <w:t xml:space="preserve">considera importante abordar el análisis de los requisitos de procedibilidad del Recurso de Revisión; así, tenemos que el artículo 180 de la </w:t>
      </w:r>
      <w:r>
        <w:rPr>
          <w:rFonts w:ascii="Palatino Linotype" w:hAnsi="Palatino Linotype" w:cs="Arial"/>
          <w:lang w:val="es-ES" w:eastAsia="es-MX"/>
        </w:rPr>
        <w:t xml:space="preserve">Ley de Transparencia y Acceso a la Información Pública del Estado de México y Municipios, </w:t>
      </w:r>
      <w:r>
        <w:rPr>
          <w:rFonts w:ascii="Palatino Linotype" w:hAnsi="Palatino Linotype" w:cs="Arial"/>
          <w:lang w:val="es-ES"/>
        </w:rPr>
        <w:t>establece lo siguiente:</w:t>
      </w:r>
    </w:p>
    <w:p w:rsidR="00BB0015" w:rsidRDefault="00BB0015">
      <w:pPr>
        <w:pStyle w:val="Prrafodelista"/>
        <w:widowControl w:val="0"/>
        <w:tabs>
          <w:tab w:val="left" w:pos="1701"/>
          <w:tab w:val="left" w:pos="1843"/>
        </w:tabs>
        <w:spacing w:line="360" w:lineRule="auto"/>
        <w:ind w:left="0"/>
        <w:jc w:val="both"/>
        <w:rPr>
          <w:rFonts w:ascii="Palatino Linotype" w:hAnsi="Palatino Linotype" w:cs="Arial"/>
        </w:rPr>
      </w:pPr>
    </w:p>
    <w:p w:rsidR="00BB0015" w:rsidRDefault="00286BA0">
      <w:pPr>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“Artículo 180. </w:t>
      </w:r>
      <w:r>
        <w:rPr>
          <w:rFonts w:ascii="Palatino Linotype" w:hAnsi="Palatino Linotype"/>
          <w:i/>
          <w:sz w:val="22"/>
          <w:szCs w:val="22"/>
          <w:lang w:val="es-ES"/>
        </w:rPr>
        <w:t xml:space="preserve">El </w:t>
      </w:r>
      <w:r>
        <w:rPr>
          <w:rFonts w:ascii="Palatino Linotype" w:hAnsi="Palatino Linotype" w:cs="Arial"/>
          <w:i/>
          <w:sz w:val="22"/>
          <w:szCs w:val="22"/>
          <w:lang w:val="es-ES"/>
        </w:rPr>
        <w:t>recurso</w:t>
      </w:r>
      <w:r>
        <w:rPr>
          <w:rFonts w:ascii="Palatino Linotype" w:hAnsi="Palatino Linotype"/>
          <w:i/>
          <w:sz w:val="22"/>
          <w:szCs w:val="22"/>
          <w:lang w:val="es-ES"/>
        </w:rPr>
        <w:t xml:space="preserve"> </w:t>
      </w:r>
      <w:r>
        <w:rPr>
          <w:rFonts w:ascii="Palatino Linotype" w:hAnsi="Palatino Linotype" w:cs="Arial"/>
          <w:i/>
          <w:color w:val="222222"/>
          <w:sz w:val="22"/>
          <w:szCs w:val="22"/>
          <w:lang w:val="es-ES" w:eastAsia="es-MX"/>
        </w:rPr>
        <w:t>de</w:t>
      </w:r>
      <w:r>
        <w:rPr>
          <w:rFonts w:ascii="Palatino Linotype" w:hAnsi="Palatino Linotype"/>
          <w:i/>
          <w:sz w:val="22"/>
          <w:szCs w:val="22"/>
          <w:lang w:val="es-ES"/>
        </w:rPr>
        <w:t xml:space="preserve"> revisión contendrá:</w:t>
      </w:r>
      <w:r>
        <w:rPr>
          <w:rFonts w:ascii="Palatino Linotype" w:hAnsi="Palatino Linotype"/>
          <w:b/>
          <w:i/>
          <w:sz w:val="22"/>
          <w:szCs w:val="22"/>
          <w:lang w:val="es-ES"/>
        </w:rPr>
        <w:t xml:space="preserve"> </w:t>
      </w:r>
    </w:p>
    <w:p w:rsidR="00BB0015" w:rsidRDefault="00286BA0">
      <w:pPr>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I. </w:t>
      </w:r>
      <w:r>
        <w:rPr>
          <w:rFonts w:ascii="Palatino Linotype" w:hAnsi="Palatino Linotype"/>
          <w:i/>
          <w:sz w:val="22"/>
          <w:szCs w:val="22"/>
          <w:lang w:val="es-ES"/>
        </w:rPr>
        <w:t xml:space="preserve">El sujeto obligado ante </w:t>
      </w:r>
      <w:r>
        <w:rPr>
          <w:rFonts w:ascii="Palatino Linotype" w:hAnsi="Palatino Linotype" w:cs="Arial"/>
          <w:i/>
          <w:sz w:val="22"/>
          <w:szCs w:val="22"/>
          <w:lang w:val="es-ES"/>
        </w:rPr>
        <w:t>la</w:t>
      </w:r>
      <w:r>
        <w:rPr>
          <w:rFonts w:ascii="Palatino Linotype" w:hAnsi="Palatino Linotype"/>
          <w:i/>
          <w:sz w:val="22"/>
          <w:szCs w:val="22"/>
          <w:lang w:val="es-ES"/>
        </w:rPr>
        <w:t xml:space="preserve"> cual </w:t>
      </w:r>
      <w:r>
        <w:rPr>
          <w:rFonts w:ascii="Palatino Linotype" w:hAnsi="Palatino Linotype" w:cs="Arial"/>
          <w:i/>
          <w:color w:val="222222"/>
          <w:sz w:val="22"/>
          <w:szCs w:val="22"/>
          <w:lang w:val="es-ES" w:eastAsia="es-MX"/>
        </w:rPr>
        <w:t>se</w:t>
      </w:r>
      <w:r>
        <w:rPr>
          <w:rFonts w:ascii="Palatino Linotype" w:hAnsi="Palatino Linotype"/>
          <w:i/>
          <w:sz w:val="22"/>
          <w:szCs w:val="22"/>
          <w:lang w:val="es-ES"/>
        </w:rPr>
        <w:t xml:space="preserve"> presentó la solicitud;</w:t>
      </w:r>
      <w:r>
        <w:rPr>
          <w:rFonts w:ascii="Palatino Linotype" w:hAnsi="Palatino Linotype"/>
          <w:b/>
          <w:i/>
          <w:sz w:val="22"/>
          <w:szCs w:val="22"/>
          <w:lang w:val="es-ES"/>
        </w:rPr>
        <w:t xml:space="preserve"> </w:t>
      </w:r>
    </w:p>
    <w:p w:rsidR="00BB0015" w:rsidRDefault="00286BA0">
      <w:pPr>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II. </w:t>
      </w:r>
      <w:r>
        <w:rPr>
          <w:rFonts w:ascii="Palatino Linotype" w:hAnsi="Palatino Linotype"/>
          <w:b/>
          <w:i/>
          <w:sz w:val="22"/>
          <w:szCs w:val="22"/>
          <w:u w:val="single"/>
          <w:lang w:val="es-ES"/>
        </w:rPr>
        <w:t xml:space="preserve">El nombre del solicitante </w:t>
      </w:r>
      <w:r>
        <w:rPr>
          <w:rFonts w:ascii="Palatino Linotype" w:hAnsi="Palatino Linotype" w:cs="Arial"/>
          <w:b/>
          <w:i/>
          <w:color w:val="222222"/>
          <w:sz w:val="22"/>
          <w:szCs w:val="22"/>
          <w:u w:val="single"/>
          <w:lang w:val="es-ES" w:eastAsia="es-MX"/>
        </w:rPr>
        <w:t>que</w:t>
      </w:r>
      <w:r>
        <w:rPr>
          <w:rFonts w:ascii="Palatino Linotype" w:hAnsi="Palatino Linotype"/>
          <w:b/>
          <w:i/>
          <w:sz w:val="22"/>
          <w:szCs w:val="22"/>
          <w:u w:val="single"/>
          <w:lang w:val="es-ES"/>
        </w:rPr>
        <w:t xml:space="preserve"> recurre </w:t>
      </w:r>
      <w:r>
        <w:rPr>
          <w:rFonts w:ascii="Palatino Linotype" w:hAnsi="Palatino Linotype"/>
          <w:i/>
          <w:sz w:val="22"/>
          <w:szCs w:val="22"/>
          <w:lang w:val="es-ES"/>
        </w:rPr>
        <w:t>o de su representante y, en su caso, del tercero interesado, así como la dirección o medio que señale para recibir notificaciones;</w:t>
      </w:r>
      <w:r>
        <w:rPr>
          <w:rFonts w:ascii="Palatino Linotype" w:hAnsi="Palatino Linotype"/>
          <w:b/>
          <w:i/>
          <w:sz w:val="22"/>
          <w:szCs w:val="22"/>
          <w:lang w:val="es-ES"/>
        </w:rPr>
        <w:t xml:space="preserve"> </w:t>
      </w:r>
    </w:p>
    <w:p w:rsidR="00BB0015" w:rsidRDefault="00286BA0">
      <w:pPr>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III. </w:t>
      </w:r>
      <w:r>
        <w:rPr>
          <w:rFonts w:ascii="Palatino Linotype" w:hAnsi="Palatino Linotype"/>
          <w:i/>
          <w:sz w:val="22"/>
          <w:szCs w:val="22"/>
          <w:lang w:val="es-ES"/>
        </w:rPr>
        <w:t xml:space="preserve">El número de folio de </w:t>
      </w:r>
      <w:r>
        <w:rPr>
          <w:rFonts w:ascii="Palatino Linotype" w:hAnsi="Palatino Linotype" w:cs="Arial"/>
          <w:i/>
          <w:color w:val="222222"/>
          <w:sz w:val="22"/>
          <w:szCs w:val="22"/>
          <w:lang w:val="es-ES" w:eastAsia="es-MX"/>
        </w:rPr>
        <w:t>respuesta</w:t>
      </w:r>
      <w:r>
        <w:rPr>
          <w:rFonts w:ascii="Palatino Linotype" w:hAnsi="Palatino Linotype"/>
          <w:i/>
          <w:sz w:val="22"/>
          <w:szCs w:val="22"/>
          <w:lang w:val="es-ES"/>
        </w:rPr>
        <w:t xml:space="preserve"> de la solicitud de acceso; </w:t>
      </w:r>
    </w:p>
    <w:p w:rsidR="00BB0015" w:rsidRDefault="00286BA0">
      <w:pPr>
        <w:ind w:left="851" w:right="992"/>
        <w:jc w:val="both"/>
        <w:rPr>
          <w:rFonts w:ascii="Palatino Linotype" w:hAnsi="Palatino Linotype"/>
          <w:b/>
          <w:i/>
          <w:sz w:val="22"/>
          <w:szCs w:val="22"/>
          <w:lang w:val="es-ES"/>
        </w:rPr>
      </w:pPr>
      <w:r>
        <w:rPr>
          <w:rFonts w:ascii="Palatino Linotype" w:hAnsi="Palatino Linotype"/>
          <w:b/>
          <w:i/>
          <w:sz w:val="22"/>
          <w:szCs w:val="22"/>
          <w:lang w:val="es-ES"/>
        </w:rPr>
        <w:lastRenderedPageBreak/>
        <w:t xml:space="preserve">IV. </w:t>
      </w:r>
      <w:r>
        <w:rPr>
          <w:rFonts w:ascii="Palatino Linotype" w:hAnsi="Palatino Linotype"/>
          <w:i/>
          <w:sz w:val="22"/>
          <w:szCs w:val="22"/>
          <w:lang w:val="es-ES"/>
        </w:rPr>
        <w:t xml:space="preserve">La fecha en que fue </w:t>
      </w:r>
      <w:r>
        <w:rPr>
          <w:rFonts w:ascii="Palatino Linotype" w:hAnsi="Palatino Linotype" w:cs="Arial"/>
          <w:i/>
          <w:color w:val="222222"/>
          <w:sz w:val="22"/>
          <w:szCs w:val="22"/>
          <w:lang w:val="es-ES" w:eastAsia="es-MX"/>
        </w:rPr>
        <w:t>notificada</w:t>
      </w:r>
      <w:r>
        <w:rPr>
          <w:rFonts w:ascii="Palatino Linotype" w:hAnsi="Palatino Linotype"/>
          <w:i/>
          <w:sz w:val="22"/>
          <w:szCs w:val="22"/>
          <w:lang w:val="es-ES"/>
        </w:rPr>
        <w:t xml:space="preserve"> la respuesta al solicitante o tuvo conocimiento del acto reclamado, o de presentación de la solicitud, en caso de falta de respuesta;</w:t>
      </w:r>
      <w:r>
        <w:rPr>
          <w:rFonts w:ascii="Palatino Linotype" w:hAnsi="Palatino Linotype"/>
          <w:b/>
          <w:i/>
          <w:sz w:val="22"/>
          <w:szCs w:val="22"/>
          <w:lang w:val="es-ES"/>
        </w:rPr>
        <w:t xml:space="preserve"> </w:t>
      </w:r>
    </w:p>
    <w:p w:rsidR="00BB0015" w:rsidRDefault="00286BA0">
      <w:pPr>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V. </w:t>
      </w:r>
      <w:r>
        <w:rPr>
          <w:rFonts w:ascii="Palatino Linotype" w:hAnsi="Palatino Linotype"/>
          <w:i/>
          <w:sz w:val="22"/>
          <w:szCs w:val="22"/>
          <w:lang w:val="es-ES"/>
        </w:rPr>
        <w:t xml:space="preserve">El acto que se </w:t>
      </w:r>
      <w:r>
        <w:rPr>
          <w:rFonts w:ascii="Palatino Linotype" w:hAnsi="Palatino Linotype" w:cs="Arial"/>
          <w:i/>
          <w:color w:val="222222"/>
          <w:sz w:val="22"/>
          <w:szCs w:val="22"/>
          <w:lang w:val="es-ES" w:eastAsia="es-MX"/>
        </w:rPr>
        <w:t>recurre</w:t>
      </w:r>
      <w:r>
        <w:rPr>
          <w:rFonts w:ascii="Palatino Linotype" w:hAnsi="Palatino Linotype"/>
          <w:i/>
          <w:sz w:val="22"/>
          <w:szCs w:val="22"/>
          <w:lang w:val="es-ES"/>
        </w:rPr>
        <w:t>;</w:t>
      </w:r>
      <w:r>
        <w:rPr>
          <w:rFonts w:ascii="Palatino Linotype" w:hAnsi="Palatino Linotype"/>
          <w:b/>
          <w:i/>
          <w:sz w:val="22"/>
          <w:szCs w:val="22"/>
          <w:lang w:val="es-ES"/>
        </w:rPr>
        <w:t xml:space="preserve"> </w:t>
      </w:r>
    </w:p>
    <w:p w:rsidR="00BB0015" w:rsidRDefault="00286BA0">
      <w:pPr>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VI. </w:t>
      </w:r>
      <w:r>
        <w:rPr>
          <w:rFonts w:ascii="Palatino Linotype" w:hAnsi="Palatino Linotype"/>
          <w:i/>
          <w:sz w:val="22"/>
          <w:szCs w:val="22"/>
          <w:lang w:val="es-ES"/>
        </w:rPr>
        <w:t xml:space="preserve">Las razones o </w:t>
      </w:r>
      <w:r>
        <w:rPr>
          <w:rFonts w:ascii="Palatino Linotype" w:hAnsi="Palatino Linotype" w:cs="Arial"/>
          <w:i/>
          <w:color w:val="222222"/>
          <w:sz w:val="22"/>
          <w:szCs w:val="22"/>
          <w:lang w:val="es-ES" w:eastAsia="es-MX"/>
        </w:rPr>
        <w:t>motivos</w:t>
      </w:r>
      <w:r>
        <w:rPr>
          <w:rFonts w:ascii="Palatino Linotype" w:hAnsi="Palatino Linotype"/>
          <w:i/>
          <w:sz w:val="22"/>
          <w:szCs w:val="22"/>
          <w:lang w:val="es-ES"/>
        </w:rPr>
        <w:t xml:space="preserve"> de inconformidad;</w:t>
      </w:r>
      <w:r>
        <w:rPr>
          <w:rFonts w:ascii="Palatino Linotype" w:hAnsi="Palatino Linotype"/>
          <w:b/>
          <w:i/>
          <w:sz w:val="22"/>
          <w:szCs w:val="22"/>
          <w:lang w:val="es-ES"/>
        </w:rPr>
        <w:t xml:space="preserve"> </w:t>
      </w:r>
    </w:p>
    <w:p w:rsidR="00BB0015" w:rsidRDefault="00286BA0">
      <w:pPr>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VII. </w:t>
      </w:r>
      <w:r>
        <w:rPr>
          <w:rFonts w:ascii="Palatino Linotype" w:hAnsi="Palatino Linotype"/>
          <w:i/>
          <w:sz w:val="22"/>
          <w:szCs w:val="22"/>
          <w:lang w:val="es-ES"/>
        </w:rPr>
        <w:t>La copia de la respuesta que se impugna y, en su caso, de la notificación correspondiente, en el caso de respuesta de la solicitud; y</w:t>
      </w:r>
      <w:r>
        <w:rPr>
          <w:rFonts w:ascii="Palatino Linotype" w:hAnsi="Palatino Linotype"/>
          <w:b/>
          <w:i/>
          <w:sz w:val="22"/>
          <w:szCs w:val="22"/>
          <w:lang w:val="es-ES"/>
        </w:rPr>
        <w:t xml:space="preserve"> </w:t>
      </w:r>
    </w:p>
    <w:p w:rsidR="00BB0015" w:rsidRDefault="00286BA0">
      <w:pPr>
        <w:ind w:left="851" w:right="992"/>
        <w:jc w:val="both"/>
        <w:rPr>
          <w:rFonts w:ascii="Palatino Linotype" w:hAnsi="Palatino Linotype"/>
          <w:i/>
          <w:sz w:val="22"/>
          <w:szCs w:val="22"/>
          <w:lang w:val="es-ES"/>
        </w:rPr>
      </w:pPr>
      <w:r>
        <w:rPr>
          <w:rFonts w:ascii="Palatino Linotype" w:hAnsi="Palatino Linotype"/>
          <w:b/>
          <w:i/>
          <w:sz w:val="22"/>
          <w:szCs w:val="22"/>
          <w:lang w:val="es-ES"/>
        </w:rPr>
        <w:t xml:space="preserve">VIII. </w:t>
      </w:r>
      <w:r>
        <w:rPr>
          <w:rFonts w:ascii="Palatino Linotype" w:hAnsi="Palatino Linotype"/>
          <w:i/>
          <w:sz w:val="22"/>
          <w:szCs w:val="22"/>
          <w:lang w:val="es-ES"/>
        </w:rPr>
        <w:t>Firma del recurrente, en su caso, cuando se presente por escrito, requisito sin el cual se dará trámite al recurso.</w:t>
      </w:r>
    </w:p>
    <w:p w:rsidR="00BB0015" w:rsidRDefault="00286BA0">
      <w:pPr>
        <w:ind w:left="851" w:right="992"/>
        <w:jc w:val="both"/>
        <w:rPr>
          <w:rFonts w:ascii="Palatino Linotype" w:hAnsi="Palatino Linotype"/>
          <w:i/>
          <w:sz w:val="22"/>
          <w:szCs w:val="22"/>
          <w:lang w:val="es-ES"/>
        </w:rPr>
      </w:pPr>
      <w:r>
        <w:rPr>
          <w:rFonts w:ascii="Palatino Linotype" w:hAnsi="Palatino Linotype"/>
          <w:i/>
          <w:sz w:val="22"/>
          <w:szCs w:val="22"/>
          <w:lang w:val="es-ES"/>
        </w:rPr>
        <w:t xml:space="preserve">Adicionalmente, se podrán anexar las pruebas y demás elementos que considere procedentes someter a juicio del Instituto. </w:t>
      </w:r>
    </w:p>
    <w:p w:rsidR="00BB0015" w:rsidRDefault="00286BA0">
      <w:pPr>
        <w:ind w:left="851" w:right="992"/>
        <w:jc w:val="both"/>
        <w:rPr>
          <w:rFonts w:ascii="Palatino Linotype" w:hAnsi="Palatino Linotype"/>
          <w:i/>
          <w:sz w:val="22"/>
          <w:szCs w:val="22"/>
          <w:lang w:val="es-ES"/>
        </w:rPr>
      </w:pPr>
      <w:r>
        <w:rPr>
          <w:rFonts w:ascii="Palatino Linotype" w:hAnsi="Palatino Linotype"/>
          <w:i/>
          <w:sz w:val="22"/>
          <w:szCs w:val="22"/>
          <w:lang w:val="es-ES"/>
        </w:rPr>
        <w:t xml:space="preserve">En ningún caso será necesario que el particular ratifique el recurso de revisión interpuesto. </w:t>
      </w:r>
    </w:p>
    <w:p w:rsidR="00BB0015" w:rsidRDefault="00286BA0">
      <w:pPr>
        <w:ind w:left="851" w:right="992"/>
        <w:jc w:val="both"/>
        <w:rPr>
          <w:rFonts w:ascii="Palatino Linotype" w:hAnsi="Palatino Linotype"/>
          <w:b/>
          <w:i/>
          <w:sz w:val="22"/>
          <w:szCs w:val="22"/>
          <w:lang w:val="es-ES"/>
        </w:rPr>
      </w:pPr>
      <w:r>
        <w:rPr>
          <w:rFonts w:ascii="Palatino Linotype" w:hAnsi="Palatino Linotype"/>
          <w:b/>
          <w:i/>
          <w:sz w:val="22"/>
          <w:szCs w:val="22"/>
          <w:u w:val="single"/>
          <w:lang w:val="es-ES"/>
        </w:rPr>
        <w:t xml:space="preserve">En caso de </w:t>
      </w:r>
      <w:r>
        <w:rPr>
          <w:rFonts w:ascii="Palatino Linotype" w:hAnsi="Palatino Linotype" w:cs="Arial"/>
          <w:b/>
          <w:i/>
          <w:color w:val="222222"/>
          <w:sz w:val="22"/>
          <w:szCs w:val="22"/>
          <w:u w:val="single"/>
          <w:lang w:val="es-ES" w:eastAsia="es-MX"/>
        </w:rPr>
        <w:t>que</w:t>
      </w:r>
      <w:r>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Pr>
          <w:rFonts w:ascii="Palatino Linotype" w:hAnsi="Palatino Linotype"/>
          <w:i/>
          <w:sz w:val="22"/>
          <w:szCs w:val="22"/>
          <w:lang w:val="es-ES"/>
        </w:rPr>
        <w:t>, IV, VII y VIII.</w:t>
      </w:r>
      <w:r>
        <w:rPr>
          <w:rFonts w:ascii="Palatino Linotype" w:hAnsi="Palatino Linotype"/>
          <w:b/>
          <w:i/>
          <w:sz w:val="22"/>
          <w:szCs w:val="22"/>
          <w:lang w:val="es-ES"/>
        </w:rPr>
        <w:t>”</w:t>
      </w:r>
    </w:p>
    <w:p w:rsidR="00BB0015" w:rsidRDefault="00286BA0">
      <w:pPr>
        <w:spacing w:before="240" w:after="240" w:line="360" w:lineRule="auto"/>
        <w:jc w:val="both"/>
        <w:rPr>
          <w:rFonts w:ascii="Palatino Linotype" w:hAnsi="Palatino Linotype"/>
          <w:lang w:val="es-ES"/>
        </w:rPr>
      </w:pPr>
      <w:r>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Pr>
          <w:rFonts w:ascii="Palatino Linotype" w:hAnsi="Palatino Linotype"/>
          <w:b/>
          <w:lang w:val="es-ES"/>
        </w:rPr>
        <w:t>SAIMEX</w:t>
      </w:r>
      <w:r>
        <w:rPr>
          <w:rFonts w:ascii="Palatino Linotype" w:hAnsi="Palatino Linotype"/>
          <w:lang w:val="es-ES"/>
        </w:rPr>
        <w:t xml:space="preserve"> se desprende que la parte solicitante y ahora </w:t>
      </w:r>
      <w:r>
        <w:rPr>
          <w:rFonts w:ascii="Palatino Linotype" w:hAnsi="Palatino Linotype"/>
          <w:b/>
          <w:lang w:val="es-ES"/>
        </w:rPr>
        <w:t>RECURRENTE</w:t>
      </w:r>
      <w:r>
        <w:rPr>
          <w:rFonts w:ascii="Palatino Linotype" w:hAnsi="Palatino Linotype"/>
          <w:lang w:val="es-ES"/>
        </w:rPr>
        <w:t>, en ejercicio de su derecho de acceso a la información pública, no proporcionó su nombre para que sea identificada, ni se tiene la certeza sobre su identidad, lo que en estricto sentido provoca que no se colmen los requisitos establecidos en el citado artículo 180 de la Ley de Transparencia.</w:t>
      </w:r>
    </w:p>
    <w:p w:rsidR="00BB0015" w:rsidRDefault="00286BA0">
      <w:pPr>
        <w:spacing w:before="240" w:after="240" w:line="360" w:lineRule="auto"/>
        <w:ind w:right="-91"/>
        <w:jc w:val="both"/>
        <w:rPr>
          <w:rFonts w:ascii="Palatino Linotype" w:hAnsi="Palatino Linotype" w:cs="Arial"/>
          <w:color w:val="000000"/>
          <w:lang w:val="es-ES"/>
        </w:rPr>
      </w:pPr>
      <w:r>
        <w:rPr>
          <w:rFonts w:ascii="Palatino Linotype" w:hAnsi="Palatino Linotype"/>
          <w:lang w:val="es-ES"/>
        </w:rPr>
        <w:t xml:space="preserve">Empero, debe destacarse que el artículo 15 de </w:t>
      </w:r>
      <w:r>
        <w:rPr>
          <w:rFonts w:ascii="Palatino Linotype" w:hAnsi="Palatino Linotype" w:cs="Arial"/>
          <w:lang w:val="es-ES" w:eastAsia="es-MX"/>
        </w:rPr>
        <w:t xml:space="preserve">Ley de Transparencia y Acceso a la Información Pública del Estado de México y Municipios </w:t>
      </w:r>
      <w:r>
        <w:rPr>
          <w:rFonts w:ascii="Palatino Linotype" w:hAnsi="Palatino Linotype" w:cs="Arial"/>
          <w:iCs/>
          <w:lang w:val="es-ES"/>
        </w:rPr>
        <w:t xml:space="preserve">prevé que </w:t>
      </w:r>
      <w:r>
        <w:rPr>
          <w:rFonts w:ascii="Palatino Linotype" w:hAnsi="Palatino Linotype"/>
          <w:lang w:val="es-ES"/>
        </w:rPr>
        <w:t xml:space="preserve">toda persona tendrá acceso a la información </w:t>
      </w:r>
      <w:r>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Pr>
          <w:rFonts w:ascii="Palatino Linotype" w:hAnsi="Palatino Linotype" w:cs="Arial"/>
          <w:i/>
          <w:color w:val="000000"/>
          <w:lang w:val="es-ES"/>
        </w:rPr>
        <w:t>sine qua non</w:t>
      </w:r>
      <w:r>
        <w:rPr>
          <w:rFonts w:ascii="Palatino Linotype" w:hAnsi="Palatino Linotype" w:cs="Arial"/>
          <w:color w:val="000000"/>
          <w:lang w:val="es-ES"/>
        </w:rPr>
        <w:t xml:space="preserve"> que los particulares y, en su caso, los recurrentes deban señalar, por el contrario la Ley de Transparencia prevé </w:t>
      </w:r>
      <w:r>
        <w:rPr>
          <w:rFonts w:ascii="Palatino Linotype" w:hAnsi="Palatino Linotype" w:cs="Arial"/>
          <w:color w:val="000000"/>
          <w:lang w:val="es-ES"/>
        </w:rPr>
        <w:lastRenderedPageBreak/>
        <w:t>en su artículo 155, párrafo segundo la posibilidad de que las solicitudes de información sean anónimas, con nombre incompleto o seudónimo.</w:t>
      </w:r>
    </w:p>
    <w:p w:rsidR="00BB0015" w:rsidRDefault="00286BA0">
      <w:pPr>
        <w:spacing w:before="240" w:after="240" w:line="360" w:lineRule="auto"/>
        <w:jc w:val="both"/>
        <w:rPr>
          <w:rFonts w:ascii="Palatino Linotype" w:hAnsi="Palatino Linotype"/>
          <w:lang w:val="es-ES"/>
        </w:rPr>
      </w:pPr>
      <w:r>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BB0015" w:rsidRDefault="00286BA0">
      <w:pPr>
        <w:ind w:left="851" w:right="992"/>
        <w:jc w:val="center"/>
        <w:rPr>
          <w:rFonts w:ascii="Palatino Linotype" w:hAnsi="Palatino Linotype" w:cs="Arial"/>
          <w:b/>
          <w:i/>
          <w:sz w:val="22"/>
          <w:szCs w:val="22"/>
          <w:lang w:val="es-ES"/>
        </w:rPr>
      </w:pPr>
      <w:r>
        <w:rPr>
          <w:rFonts w:ascii="Palatino Linotype" w:hAnsi="Palatino Linotype" w:cs="Arial"/>
          <w:b/>
          <w:i/>
          <w:sz w:val="22"/>
          <w:szCs w:val="22"/>
          <w:lang w:val="es-ES"/>
        </w:rPr>
        <w:t>Constitución Política de los Estados Unidos Mexicanos</w:t>
      </w:r>
    </w:p>
    <w:p w:rsidR="00BB0015" w:rsidRDefault="00286BA0">
      <w:pPr>
        <w:ind w:left="851" w:right="992"/>
        <w:jc w:val="both"/>
        <w:rPr>
          <w:rFonts w:ascii="Palatino Linotype" w:hAnsi="Palatino Linotype" w:cs="Arial"/>
          <w:i/>
          <w:sz w:val="22"/>
          <w:szCs w:val="22"/>
          <w:lang w:val="es-ES"/>
        </w:rPr>
      </w:pPr>
      <w:r>
        <w:rPr>
          <w:rFonts w:ascii="Palatino Linotype" w:hAnsi="Palatino Linotype" w:cs="Arial"/>
          <w:b/>
          <w:i/>
          <w:sz w:val="22"/>
          <w:szCs w:val="22"/>
          <w:lang w:val="es-ES"/>
        </w:rPr>
        <w:t>“Artículo 6o.</w:t>
      </w:r>
      <w:r>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Pr>
          <w:rFonts w:ascii="Palatino Linotype" w:hAnsi="Palatino Linotype" w:cs="Arial"/>
          <w:b/>
          <w:i/>
          <w:sz w:val="22"/>
          <w:szCs w:val="22"/>
          <w:lang w:val="es-ES"/>
        </w:rPr>
        <w:t>El derecho a la información será garantizado por el Estado.</w:t>
      </w:r>
      <w:r>
        <w:rPr>
          <w:rFonts w:ascii="Palatino Linotype" w:hAnsi="Palatino Linotype" w:cs="Arial"/>
          <w:i/>
          <w:sz w:val="22"/>
          <w:szCs w:val="22"/>
          <w:lang w:val="es-ES"/>
        </w:rPr>
        <w:t xml:space="preserve"> </w:t>
      </w:r>
    </w:p>
    <w:p w:rsidR="00BB0015" w:rsidRDefault="00286BA0">
      <w:pPr>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BB0015" w:rsidRDefault="00286BA0">
      <w:pPr>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Para efectos de lo dispuesto en el presente artículo se observará lo siguiente:</w:t>
      </w:r>
    </w:p>
    <w:p w:rsidR="00BB0015" w:rsidRDefault="00286BA0">
      <w:pPr>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BB0015" w:rsidRDefault="00286BA0">
      <w:pPr>
        <w:ind w:left="851" w:right="992"/>
        <w:jc w:val="both"/>
        <w:rPr>
          <w:rFonts w:ascii="Palatino Linotype" w:hAnsi="Palatino Linotype" w:cs="Arial"/>
          <w:i/>
          <w:sz w:val="22"/>
          <w:szCs w:val="22"/>
          <w:u w:val="single"/>
          <w:lang w:val="es-ES"/>
        </w:rPr>
      </w:pPr>
      <w:r>
        <w:rPr>
          <w:rFonts w:ascii="Palatino Linotype" w:hAnsi="Palatino Linotype" w:cs="Arial"/>
          <w:i/>
          <w:sz w:val="22"/>
          <w:szCs w:val="22"/>
          <w:u w:val="single"/>
          <w:lang w:val="es-ES"/>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w:t>
      </w:r>
      <w:r>
        <w:rPr>
          <w:rFonts w:ascii="Palatino Linotype" w:hAnsi="Palatino Linotype" w:cs="Arial"/>
          <w:i/>
          <w:sz w:val="22"/>
          <w:szCs w:val="22"/>
          <w:u w:val="single"/>
          <w:lang w:val="es-ES"/>
        </w:rPr>
        <w:lastRenderedPageBreak/>
        <w:t>funciones, la ley determinará los supuestos específicos bajo los cuales procederá la declaración de inexistencia de la información.</w:t>
      </w:r>
    </w:p>
    <w:p w:rsidR="00BB0015" w:rsidRDefault="00286BA0">
      <w:pPr>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BB0015" w:rsidRDefault="00286BA0">
      <w:pPr>
        <w:ind w:left="851" w:right="992"/>
        <w:jc w:val="both"/>
        <w:rPr>
          <w:rFonts w:ascii="Palatino Linotype" w:hAnsi="Palatino Linotype" w:cs="Arial"/>
          <w:i/>
          <w:sz w:val="22"/>
          <w:szCs w:val="22"/>
          <w:u w:val="single"/>
          <w:lang w:val="es-ES"/>
        </w:rPr>
      </w:pPr>
      <w:r>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BB0015" w:rsidRDefault="00286BA0">
      <w:pPr>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BB0015" w:rsidRDefault="00286BA0">
      <w:pPr>
        <w:ind w:left="851" w:right="992"/>
        <w:jc w:val="both"/>
        <w:rPr>
          <w:rFonts w:ascii="Palatino Linotype" w:hAnsi="Palatino Linotype" w:cs="Arial"/>
          <w:i/>
          <w:sz w:val="22"/>
          <w:szCs w:val="22"/>
          <w:u w:val="single"/>
          <w:lang w:val="es-ES"/>
        </w:rPr>
      </w:pPr>
      <w:r>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BB0015" w:rsidRDefault="00286BA0">
      <w:pPr>
        <w:ind w:left="851" w:right="992"/>
        <w:jc w:val="both"/>
        <w:rPr>
          <w:rFonts w:ascii="Palatino Linotype" w:hAnsi="Palatino Linotype" w:cs="Arial"/>
          <w:i/>
          <w:sz w:val="22"/>
          <w:szCs w:val="22"/>
          <w:u w:val="single"/>
          <w:lang w:val="es-ES"/>
        </w:rPr>
      </w:pPr>
      <w:r>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BB0015" w:rsidRDefault="00286BA0">
      <w:pPr>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BB0015" w:rsidRDefault="00286BA0">
      <w:pPr>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BB0015" w:rsidRDefault="00286BA0">
      <w:pPr>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w:t>
      </w:r>
    </w:p>
    <w:p w:rsidR="00BB0015" w:rsidRDefault="00286BA0">
      <w:pPr>
        <w:ind w:left="851" w:right="992"/>
        <w:jc w:val="both"/>
        <w:rPr>
          <w:rFonts w:ascii="Palatino Linotype" w:hAnsi="Palatino Linotype" w:cs="Arial"/>
          <w:i/>
          <w:color w:val="000000"/>
          <w:sz w:val="22"/>
          <w:szCs w:val="22"/>
          <w:lang w:val="es-ES" w:eastAsia="es-MX"/>
        </w:rPr>
      </w:pPr>
      <w:r>
        <w:rPr>
          <w:rFonts w:ascii="Palatino Linotype" w:hAnsi="Palatino Linotype" w:cs="Arial"/>
          <w:i/>
          <w:sz w:val="22"/>
          <w:szCs w:val="22"/>
          <w:u w:val="single"/>
          <w:lang w:val="es-ES"/>
        </w:rPr>
        <w:t>La ley establecerá aquella información que se considere reservada o confidencial.</w:t>
      </w:r>
      <w:r>
        <w:rPr>
          <w:rFonts w:ascii="Palatino Linotype" w:hAnsi="Palatino Linotype" w:cs="Arial"/>
          <w:b/>
          <w:i/>
          <w:sz w:val="22"/>
          <w:szCs w:val="22"/>
          <w:lang w:val="es-ES"/>
        </w:rPr>
        <w:t>”</w:t>
      </w:r>
      <w:r>
        <w:rPr>
          <w:rFonts w:ascii="Palatino Linotype" w:hAnsi="Palatino Linotype" w:cs="Arial"/>
          <w:i/>
          <w:color w:val="000000"/>
          <w:sz w:val="22"/>
          <w:szCs w:val="22"/>
          <w:lang w:val="es-ES" w:eastAsia="es-MX"/>
        </w:rPr>
        <w:t xml:space="preserve"> </w:t>
      </w:r>
    </w:p>
    <w:p w:rsidR="00BB0015" w:rsidRDefault="00286BA0">
      <w:pPr>
        <w:ind w:left="851" w:right="992"/>
        <w:jc w:val="center"/>
        <w:rPr>
          <w:rFonts w:ascii="Palatino Linotype" w:hAnsi="Palatino Linotype" w:cs="Arial"/>
          <w:b/>
          <w:i/>
          <w:sz w:val="22"/>
          <w:szCs w:val="22"/>
          <w:lang w:val="es-ES"/>
        </w:rPr>
      </w:pPr>
      <w:r>
        <w:rPr>
          <w:rFonts w:ascii="Palatino Linotype" w:hAnsi="Palatino Linotype" w:cs="Arial"/>
          <w:b/>
          <w:i/>
          <w:sz w:val="22"/>
          <w:szCs w:val="22"/>
          <w:lang w:val="es-ES"/>
        </w:rPr>
        <w:t>Constitución Política del Estado Libre y Soberano de México</w:t>
      </w:r>
    </w:p>
    <w:p w:rsidR="00BB0015" w:rsidRDefault="00286BA0">
      <w:pPr>
        <w:ind w:left="851" w:right="992"/>
        <w:jc w:val="both"/>
        <w:rPr>
          <w:rFonts w:ascii="Palatino Linotype" w:hAnsi="Palatino Linotype" w:cs="Arial"/>
          <w:b/>
          <w:i/>
          <w:sz w:val="22"/>
          <w:szCs w:val="22"/>
          <w:lang w:val="es-ES"/>
        </w:rPr>
      </w:pPr>
      <w:r>
        <w:rPr>
          <w:rFonts w:ascii="Palatino Linotype" w:hAnsi="Palatino Linotype" w:cs="Arial"/>
          <w:b/>
          <w:i/>
          <w:sz w:val="22"/>
          <w:szCs w:val="22"/>
          <w:lang w:val="es-ES"/>
        </w:rPr>
        <w:t xml:space="preserve">“Artículo 5. … </w:t>
      </w:r>
    </w:p>
    <w:p w:rsidR="00BB0015" w:rsidRDefault="00286BA0">
      <w:pPr>
        <w:ind w:left="851" w:right="992"/>
        <w:jc w:val="both"/>
        <w:rPr>
          <w:rFonts w:ascii="Palatino Linotype" w:hAnsi="Palatino Linotype"/>
          <w:i/>
          <w:sz w:val="22"/>
          <w:szCs w:val="22"/>
          <w:lang w:val="es-ES"/>
        </w:rPr>
      </w:pPr>
      <w:r>
        <w:rPr>
          <w:rFonts w:ascii="Palatino Linotype" w:hAnsi="Palatino Linotype"/>
          <w:b/>
          <w:i/>
          <w:sz w:val="22"/>
          <w:szCs w:val="22"/>
          <w:lang w:val="es-ES"/>
        </w:rPr>
        <w:t>El derecho a la información será garantizado por el Estado</w:t>
      </w:r>
      <w:r>
        <w:rPr>
          <w:rFonts w:ascii="Palatino Linotype" w:hAnsi="Palatino Linotype"/>
          <w:i/>
          <w:sz w:val="22"/>
          <w:szCs w:val="22"/>
          <w:lang w:val="es-ES"/>
        </w:rPr>
        <w:t xml:space="preserve">. La ley establecerá las previsiones que permitan asegurar la protección, el respeto y la difusión de este derecho. </w:t>
      </w:r>
    </w:p>
    <w:p w:rsidR="00BB0015" w:rsidRDefault="00286BA0">
      <w:pPr>
        <w:ind w:left="851" w:right="992"/>
        <w:jc w:val="both"/>
        <w:rPr>
          <w:rFonts w:ascii="Palatino Linotype" w:hAnsi="Palatino Linotype"/>
          <w:i/>
          <w:sz w:val="22"/>
          <w:szCs w:val="22"/>
          <w:lang w:val="es-ES"/>
        </w:rPr>
      </w:pPr>
      <w:r>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BB0015" w:rsidRDefault="00286BA0">
      <w:pPr>
        <w:ind w:left="851" w:right="992"/>
        <w:jc w:val="both"/>
        <w:rPr>
          <w:rFonts w:ascii="Palatino Linotype" w:hAnsi="Palatino Linotype"/>
          <w:i/>
          <w:sz w:val="22"/>
          <w:szCs w:val="22"/>
          <w:lang w:val="es-ES"/>
        </w:rPr>
      </w:pPr>
      <w:r>
        <w:rPr>
          <w:rFonts w:ascii="Palatino Linotype" w:hAnsi="Palatino Linotype"/>
          <w:i/>
          <w:sz w:val="22"/>
          <w:szCs w:val="22"/>
          <w:lang w:val="es-ES"/>
        </w:rPr>
        <w:t>Este derecho se regirá por los principios y bases siguientes:</w:t>
      </w:r>
    </w:p>
    <w:p w:rsidR="00BB0015" w:rsidRDefault="00286BA0">
      <w:pPr>
        <w:ind w:left="851" w:right="992"/>
        <w:jc w:val="both"/>
        <w:rPr>
          <w:rFonts w:ascii="Palatino Linotype" w:hAnsi="Palatino Linotype"/>
          <w:i/>
          <w:sz w:val="22"/>
          <w:szCs w:val="22"/>
          <w:lang w:val="es-ES"/>
        </w:rPr>
      </w:pPr>
      <w:r>
        <w:rPr>
          <w:rFonts w:ascii="Palatino Linotype" w:hAnsi="Palatino Linotype"/>
          <w:b/>
          <w:i/>
          <w:sz w:val="22"/>
          <w:szCs w:val="22"/>
          <w:lang w:val="es-ES"/>
        </w:rPr>
        <w:lastRenderedPageBreak/>
        <w:t>I. Toda la información en posesión de cualquier autoridad, entidad, órgano y organismos de los Poderes Ejecutivo, Legislativo y Judicial, órganos autónomos, partidos políticos, fideicomisos y fondos públicos estatales y municipales,</w:t>
      </w:r>
      <w:r>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BB0015" w:rsidRDefault="00286BA0">
      <w:pPr>
        <w:ind w:left="851" w:right="992"/>
        <w:jc w:val="both"/>
        <w:rPr>
          <w:rFonts w:ascii="Palatino Linotype" w:hAnsi="Palatino Linotype"/>
          <w:i/>
          <w:sz w:val="22"/>
          <w:szCs w:val="22"/>
          <w:lang w:val="es-ES"/>
        </w:rPr>
      </w:pPr>
      <w:r>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BB0015" w:rsidRDefault="00286BA0">
      <w:pPr>
        <w:ind w:left="851" w:right="992"/>
        <w:jc w:val="both"/>
        <w:rPr>
          <w:rFonts w:ascii="Palatino Linotype" w:hAnsi="Palatino Linotype"/>
          <w:b/>
          <w:i/>
          <w:sz w:val="22"/>
          <w:szCs w:val="22"/>
          <w:lang w:val="es-ES"/>
        </w:rPr>
      </w:pPr>
      <w:r>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BB0015" w:rsidRDefault="00286BA0">
      <w:pPr>
        <w:ind w:left="851" w:right="992"/>
        <w:jc w:val="both"/>
        <w:rPr>
          <w:rFonts w:ascii="Palatino Linotype" w:hAnsi="Palatino Linotype"/>
          <w:i/>
          <w:sz w:val="22"/>
          <w:szCs w:val="22"/>
          <w:lang w:val="es-ES"/>
        </w:rPr>
      </w:pPr>
      <w:r>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BB0015" w:rsidRDefault="00286BA0">
      <w:pPr>
        <w:ind w:left="851" w:right="992"/>
        <w:jc w:val="both"/>
        <w:rPr>
          <w:rFonts w:ascii="Palatino Linotype" w:hAnsi="Palatino Linotype"/>
          <w:i/>
          <w:sz w:val="22"/>
          <w:szCs w:val="22"/>
          <w:lang w:val="es-ES"/>
        </w:rPr>
      </w:pPr>
      <w:r>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BB0015" w:rsidRDefault="00286BA0">
      <w:pPr>
        <w:ind w:left="851" w:right="992"/>
        <w:jc w:val="both"/>
        <w:rPr>
          <w:rFonts w:ascii="Palatino Linotype" w:hAnsi="Palatino Linotype"/>
          <w:i/>
          <w:sz w:val="22"/>
          <w:szCs w:val="22"/>
          <w:lang w:val="es-ES"/>
        </w:rPr>
      </w:pPr>
      <w:r>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BB0015" w:rsidRDefault="00286BA0">
      <w:pPr>
        <w:ind w:left="851" w:right="992"/>
        <w:jc w:val="both"/>
        <w:rPr>
          <w:rFonts w:ascii="Palatino Linotype" w:hAnsi="Palatino Linotype" w:cs="Arial"/>
          <w:i/>
          <w:sz w:val="22"/>
          <w:szCs w:val="22"/>
          <w:lang w:val="es-ES"/>
        </w:rPr>
      </w:pPr>
      <w:r>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Pr>
          <w:rFonts w:ascii="Palatino Linotype" w:hAnsi="Palatino Linotype"/>
          <w:b/>
          <w:i/>
          <w:sz w:val="22"/>
          <w:szCs w:val="22"/>
          <w:lang w:val="es-ES"/>
        </w:rPr>
        <w:t>”</w:t>
      </w:r>
    </w:p>
    <w:p w:rsidR="00BB0015" w:rsidRDefault="00286BA0">
      <w:pPr>
        <w:ind w:left="851" w:right="992"/>
        <w:jc w:val="both"/>
        <w:rPr>
          <w:rFonts w:ascii="Palatino Linotype" w:hAnsi="Palatino Linotype"/>
          <w:sz w:val="22"/>
          <w:szCs w:val="22"/>
          <w:lang w:val="es-ES"/>
        </w:rPr>
      </w:pPr>
      <w:r>
        <w:rPr>
          <w:rFonts w:ascii="Palatino Linotype" w:hAnsi="Palatino Linotype"/>
          <w:sz w:val="22"/>
          <w:szCs w:val="22"/>
          <w:lang w:val="es-ES"/>
        </w:rPr>
        <w:t>(Énfasis añadido)</w:t>
      </w:r>
    </w:p>
    <w:p w:rsidR="00BB0015" w:rsidRDefault="00286BA0">
      <w:pPr>
        <w:spacing w:before="240" w:after="240" w:line="360" w:lineRule="auto"/>
        <w:jc w:val="both"/>
        <w:rPr>
          <w:rFonts w:ascii="Palatino Linotype" w:hAnsi="Palatino Linotype"/>
          <w:lang w:val="es-ES"/>
        </w:rPr>
      </w:pPr>
      <w:r>
        <w:rPr>
          <w:rFonts w:ascii="Palatino Linotype" w:hAnsi="Palatino Linotype"/>
          <w:lang w:val="es-ES"/>
        </w:rPr>
        <w:lastRenderedPageBreak/>
        <w:t>Por otra parte, del contenido del artículo 1 de la Constitución Política de los Estados Unidos Mexicanos, se destaca lo siguiente:</w:t>
      </w:r>
    </w:p>
    <w:p w:rsidR="00BB0015" w:rsidRDefault="00286BA0">
      <w:pPr>
        <w:ind w:left="851" w:right="992"/>
        <w:jc w:val="both"/>
        <w:rPr>
          <w:rFonts w:ascii="Palatino Linotype" w:hAnsi="Palatino Linotype" w:cs="Arial"/>
          <w:i/>
          <w:sz w:val="22"/>
          <w:szCs w:val="22"/>
          <w:lang w:val="es-ES"/>
        </w:rPr>
      </w:pPr>
      <w:r>
        <w:rPr>
          <w:rFonts w:ascii="Palatino Linotype" w:hAnsi="Palatino Linotype" w:cs="Arial"/>
          <w:b/>
          <w:i/>
          <w:sz w:val="22"/>
          <w:szCs w:val="22"/>
          <w:lang w:val="es-ES"/>
        </w:rPr>
        <w:t>“Artículo 1o</w:t>
      </w:r>
      <w:r>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BB0015" w:rsidRDefault="00286BA0">
      <w:pPr>
        <w:ind w:left="851" w:right="992"/>
        <w:jc w:val="both"/>
        <w:rPr>
          <w:rFonts w:ascii="Palatino Linotype" w:hAnsi="Palatino Linotype" w:cs="Arial"/>
          <w:b/>
          <w:i/>
          <w:sz w:val="22"/>
          <w:szCs w:val="22"/>
          <w:lang w:val="es-ES"/>
        </w:rPr>
      </w:pPr>
      <w:r>
        <w:rPr>
          <w:rFonts w:ascii="Palatino Linotype" w:hAnsi="Palatino Linotype" w:cs="Arial"/>
          <w:b/>
          <w:i/>
          <w:sz w:val="22"/>
          <w:szCs w:val="22"/>
          <w:u w:val="single"/>
          <w:lang w:val="es-ES"/>
        </w:rPr>
        <w:t>Las normas relativas a los derechos humanos se interpretarán</w:t>
      </w:r>
      <w:r>
        <w:rPr>
          <w:rFonts w:ascii="Palatino Linotype" w:hAnsi="Palatino Linotype" w:cs="Arial"/>
          <w:i/>
          <w:sz w:val="22"/>
          <w:szCs w:val="22"/>
          <w:lang w:val="es-ES"/>
        </w:rPr>
        <w:t xml:space="preserve"> de conformidad con esta Constitución y con los tratados internacionales de la </w:t>
      </w:r>
      <w:r>
        <w:rPr>
          <w:rFonts w:ascii="Palatino Linotype" w:hAnsi="Palatino Linotype" w:cs="Arial"/>
          <w:b/>
          <w:i/>
          <w:sz w:val="22"/>
          <w:szCs w:val="22"/>
          <w:lang w:val="es-ES"/>
        </w:rPr>
        <w:t xml:space="preserve">materia </w:t>
      </w:r>
      <w:r>
        <w:rPr>
          <w:rFonts w:ascii="Palatino Linotype" w:hAnsi="Palatino Linotype" w:cs="Arial"/>
          <w:b/>
          <w:i/>
          <w:sz w:val="22"/>
          <w:szCs w:val="22"/>
          <w:u w:val="single"/>
          <w:lang w:val="es-ES"/>
        </w:rPr>
        <w:t>favoreciendo en todo tiempo a las personas la protección más amplia</w:t>
      </w:r>
      <w:r>
        <w:rPr>
          <w:rFonts w:ascii="Palatino Linotype" w:hAnsi="Palatino Linotype" w:cs="Arial"/>
          <w:b/>
          <w:i/>
          <w:sz w:val="22"/>
          <w:szCs w:val="22"/>
          <w:lang w:val="es-ES"/>
        </w:rPr>
        <w:t>.</w:t>
      </w:r>
    </w:p>
    <w:p w:rsidR="00BB0015" w:rsidRDefault="00286BA0">
      <w:pPr>
        <w:ind w:left="851" w:right="992"/>
        <w:jc w:val="both"/>
        <w:rPr>
          <w:rFonts w:ascii="Palatino Linotype" w:hAnsi="Palatino Linotype" w:cs="Arial"/>
          <w:i/>
          <w:sz w:val="22"/>
          <w:szCs w:val="22"/>
          <w:lang w:val="es-ES"/>
        </w:rPr>
      </w:pPr>
      <w:r>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Pr>
          <w:rFonts w:ascii="Palatino Linotype" w:hAnsi="Palatino Linotype" w:cs="Arial"/>
          <w:b/>
          <w:i/>
          <w:sz w:val="22"/>
          <w:szCs w:val="22"/>
          <w:lang w:val="es-ES"/>
        </w:rPr>
        <w:t>”</w:t>
      </w:r>
    </w:p>
    <w:p w:rsidR="00BB0015" w:rsidRDefault="00286BA0">
      <w:pPr>
        <w:ind w:left="851" w:right="992"/>
        <w:jc w:val="both"/>
        <w:rPr>
          <w:rFonts w:ascii="Palatino Linotype" w:hAnsi="Palatino Linotype"/>
          <w:sz w:val="22"/>
          <w:szCs w:val="22"/>
          <w:lang w:val="es-ES"/>
        </w:rPr>
      </w:pPr>
      <w:r>
        <w:rPr>
          <w:rFonts w:ascii="Palatino Linotype" w:hAnsi="Palatino Linotype"/>
          <w:sz w:val="22"/>
          <w:szCs w:val="22"/>
          <w:lang w:val="es-ES"/>
        </w:rPr>
        <w:t>(Énfasis añadido)</w:t>
      </w:r>
    </w:p>
    <w:p w:rsidR="00BB0015" w:rsidRDefault="00286BA0">
      <w:pPr>
        <w:spacing w:before="240" w:after="240" w:line="360" w:lineRule="auto"/>
        <w:jc w:val="both"/>
        <w:rPr>
          <w:rFonts w:ascii="Palatino Linotype" w:hAnsi="Palatino Linotype"/>
          <w:lang w:val="es-ES"/>
        </w:rPr>
      </w:pPr>
      <w:r>
        <w:rPr>
          <w:rFonts w:ascii="Palatino Linotype" w:hAnsi="Palatino Linotype"/>
          <w:lang w:val="es-ES"/>
        </w:rPr>
        <w:t>En esa virtud, de una interpretación sistemática, armónica y progresiva del derecho humano de acceso a la información pública se reitera que toda person</w:t>
      </w:r>
      <w:bookmarkStart w:id="3" w:name="_GoBack"/>
      <w:bookmarkEnd w:id="3"/>
      <w:r>
        <w:rPr>
          <w:rFonts w:ascii="Palatino Linotype" w:hAnsi="Palatino Linotype"/>
          <w:lang w:val="es-ES"/>
        </w:rPr>
        <w:t>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BB0015" w:rsidRDefault="00286BA0">
      <w:pPr>
        <w:spacing w:before="240" w:after="240" w:line="360" w:lineRule="auto"/>
        <w:jc w:val="both"/>
        <w:rPr>
          <w:rFonts w:ascii="Palatino Linotype" w:hAnsi="Palatino Linotype"/>
          <w:lang w:val="es-ES"/>
        </w:rPr>
      </w:pPr>
      <w:r>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BB0015" w:rsidRDefault="00286BA0">
      <w:pPr>
        <w:ind w:left="851" w:right="992"/>
        <w:jc w:val="both"/>
        <w:rPr>
          <w:rFonts w:ascii="Palatino Linotype" w:hAnsi="Palatino Linotype" w:cs="Arial"/>
          <w:i/>
          <w:sz w:val="22"/>
          <w:szCs w:val="22"/>
          <w:lang w:val="es-ES"/>
        </w:rPr>
      </w:pPr>
      <w:r>
        <w:rPr>
          <w:rFonts w:ascii="Palatino Linotype" w:hAnsi="Palatino Linotype" w:cs="Arial"/>
          <w:b/>
          <w:i/>
          <w:sz w:val="22"/>
          <w:szCs w:val="22"/>
          <w:lang w:val="es-ES"/>
        </w:rPr>
        <w:lastRenderedPageBreak/>
        <w:t>“Acceso a información gubernamental. No debe condicionarse a que el solicitante acredite su personalidad, demuestre interés alguno o justifique su utilización.</w:t>
      </w:r>
      <w:r>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BB0015" w:rsidRDefault="00286BA0">
      <w:pPr>
        <w:spacing w:before="240" w:after="240" w:line="360" w:lineRule="auto"/>
        <w:jc w:val="both"/>
        <w:rPr>
          <w:rFonts w:ascii="Palatino Linotype" w:hAnsi="Palatino Linotype"/>
          <w:lang w:val="es-ES"/>
        </w:rPr>
      </w:pPr>
      <w:r>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Pr>
          <w:rFonts w:ascii="Palatino Linotype" w:hAnsi="Palatino Linotype"/>
          <w:b/>
          <w:lang w:val="es-ES"/>
        </w:rPr>
        <w:t>RECURRENTE,</w:t>
      </w:r>
      <w:r>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BB0015" w:rsidRDefault="00286BA0">
      <w:pPr>
        <w:spacing w:before="240" w:after="240" w:line="360" w:lineRule="auto"/>
        <w:jc w:val="both"/>
        <w:rPr>
          <w:rFonts w:ascii="Palatino Linotype" w:hAnsi="Palatino Linotype"/>
          <w:lang w:val="es-ES"/>
        </w:rPr>
      </w:pPr>
      <w:r>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BB0015" w:rsidRDefault="00286BA0">
      <w:pPr>
        <w:spacing w:before="240" w:after="240" w:line="360" w:lineRule="auto"/>
        <w:jc w:val="both"/>
        <w:rPr>
          <w:rFonts w:ascii="Palatino Linotype" w:hAnsi="Palatino Linotype"/>
          <w:lang w:val="es-ES"/>
        </w:rPr>
      </w:pPr>
      <w:r>
        <w:rPr>
          <w:rFonts w:ascii="Palatino Linotype" w:hAnsi="Palatino Linotype"/>
          <w:lang w:val="es-ES"/>
        </w:rPr>
        <w:lastRenderedPageBreak/>
        <w:t>En consecuencia, dado lo expuesto y fundado con anterioridad, se estima que el requisito relativo al nombre del</w:t>
      </w:r>
      <w:r>
        <w:rPr>
          <w:rFonts w:ascii="Palatino Linotype" w:hAnsi="Palatino Linotype"/>
          <w:b/>
          <w:lang w:val="es-ES"/>
        </w:rPr>
        <w:t xml:space="preserve"> RECURRENTE</w:t>
      </w:r>
      <w:r>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Pr>
          <w:rFonts w:ascii="Palatino Linotype" w:hAnsi="Palatino Linotype"/>
          <w:b/>
          <w:lang w:val="es-ES"/>
        </w:rPr>
        <w:t>EL RECURRENTE</w:t>
      </w:r>
      <w:r>
        <w:rPr>
          <w:rFonts w:ascii="Palatino Linotype" w:hAnsi="Palatino Linotype"/>
          <w:lang w:val="es-ES"/>
        </w:rPr>
        <w:t>, es la misma persona que realizó la solicitud de acceso a la información pública que ahora se impugna.</w:t>
      </w:r>
    </w:p>
    <w:p w:rsidR="00BB0015" w:rsidRDefault="00286BA0">
      <w:pPr>
        <w:spacing w:before="240" w:after="240" w:line="360" w:lineRule="auto"/>
        <w:jc w:val="both"/>
        <w:rPr>
          <w:rFonts w:ascii="Palatino Linotype" w:hAnsi="Palatino Linotype"/>
          <w:lang w:val="es-ES"/>
        </w:rPr>
      </w:pPr>
      <w:r>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Pr>
          <w:rFonts w:ascii="Palatino Linotype" w:hAnsi="Palatino Linotype"/>
          <w:b/>
          <w:lang w:val="es-ES"/>
        </w:rPr>
        <w:t>RECURRENTE</w:t>
      </w:r>
      <w:r>
        <w:rPr>
          <w:rFonts w:ascii="Palatino Linotype" w:hAnsi="Palatino Linotype"/>
          <w:lang w:val="es-ES"/>
        </w:rPr>
        <w:t xml:space="preserve">; por lo que, en el presente caso, al haber sido presentado el recurso de revisión vía </w:t>
      </w:r>
      <w:r>
        <w:rPr>
          <w:rFonts w:ascii="Palatino Linotype" w:hAnsi="Palatino Linotype"/>
          <w:b/>
          <w:lang w:val="es-ES"/>
        </w:rPr>
        <w:t>SAIMEX</w:t>
      </w:r>
      <w:r>
        <w:rPr>
          <w:rFonts w:ascii="Palatino Linotype" w:hAnsi="Palatino Linotype"/>
          <w:lang w:val="es-ES"/>
        </w:rPr>
        <w:t>, dicho requisito resulta innecesario.</w:t>
      </w:r>
    </w:p>
    <w:p w:rsidR="00BB0015" w:rsidRDefault="00286BA0">
      <w:pPr>
        <w:pStyle w:val="Prrafodelista"/>
        <w:widowControl w:val="0"/>
        <w:numPr>
          <w:ilvl w:val="0"/>
          <w:numId w:val="1"/>
        </w:numPr>
        <w:tabs>
          <w:tab w:val="left" w:pos="1276"/>
        </w:tabs>
        <w:spacing w:line="360" w:lineRule="auto"/>
        <w:ind w:left="0" w:firstLine="0"/>
        <w:contextualSpacing/>
        <w:jc w:val="both"/>
        <w:rPr>
          <w:rFonts w:ascii="Palatino Linotype" w:hAnsi="Palatino Linotype" w:cs="Arial"/>
          <w:sz w:val="22"/>
          <w:szCs w:val="22"/>
          <w:lang w:eastAsia="es-MX"/>
        </w:rPr>
      </w:pPr>
      <w:bookmarkStart w:id="4" w:name="_Ref3465962"/>
      <w:r>
        <w:rPr>
          <w:rFonts w:ascii="Palatino Linotype" w:hAnsi="Palatino Linotype" w:cs="Arial"/>
          <w:b/>
        </w:rPr>
        <w:t>Estudio y resolución del asunto.</w:t>
      </w:r>
      <w:r>
        <w:rPr>
          <w:rFonts w:ascii="Palatino Linotype" w:hAnsi="Palatino Linotype" w:cs="Arial"/>
        </w:rPr>
        <w:t xml:space="preserve"> </w:t>
      </w:r>
      <w:bookmarkEnd w:id="4"/>
      <w:r>
        <w:rPr>
          <w:rFonts w:ascii="Palatino Linotype" w:hAnsi="Palatino Linotype" w:cs="Arial"/>
        </w:rPr>
        <w:t>Del análisis efectuado se advierte que el recurso de revisión de que se trata es procedente; toda vez, que se actualiza la hipótesis prevista en la fracción V del artículo 179 de la Ley de la materia, que a la letra indica:</w:t>
      </w:r>
    </w:p>
    <w:p w:rsidR="00BB0015" w:rsidRDefault="00BB0015">
      <w:pPr>
        <w:pStyle w:val="Prrafodelista"/>
        <w:widowControl w:val="0"/>
        <w:tabs>
          <w:tab w:val="left" w:pos="1276"/>
        </w:tabs>
        <w:spacing w:line="360" w:lineRule="auto"/>
        <w:ind w:left="0"/>
        <w:contextualSpacing/>
        <w:jc w:val="both"/>
        <w:rPr>
          <w:rFonts w:ascii="Palatino Linotype" w:hAnsi="Palatino Linotype" w:cs="Arial"/>
          <w:sz w:val="22"/>
          <w:szCs w:val="22"/>
          <w:lang w:eastAsia="es-MX"/>
        </w:rPr>
      </w:pPr>
    </w:p>
    <w:p w:rsidR="00BB0015" w:rsidRDefault="00286BA0">
      <w:pPr>
        <w:spacing w:line="276" w:lineRule="auto"/>
        <w:ind w:left="709" w:right="709"/>
        <w:jc w:val="both"/>
        <w:rPr>
          <w:rFonts w:ascii="Palatino Linotype" w:hAnsi="Palatino Linotype" w:cs="Arial"/>
          <w:b/>
          <w:i/>
          <w:sz w:val="22"/>
          <w:szCs w:val="22"/>
        </w:rPr>
      </w:pPr>
      <w:r>
        <w:rPr>
          <w:rFonts w:ascii="Palatino Linotype" w:hAnsi="Palatino Linotype" w:cs="Arial"/>
          <w:bCs/>
          <w:i/>
          <w:sz w:val="22"/>
          <w:szCs w:val="22"/>
        </w:rPr>
        <w:lastRenderedPageBreak/>
        <w:t>“</w:t>
      </w:r>
      <w:r>
        <w:rPr>
          <w:rFonts w:ascii="Palatino Linotype" w:hAnsi="Palatino Linotype" w:cs="Arial"/>
          <w:b/>
          <w:bCs/>
          <w:i/>
          <w:sz w:val="22"/>
          <w:szCs w:val="22"/>
        </w:rPr>
        <w:t>Artículo 179.</w:t>
      </w:r>
      <w:r>
        <w:rPr>
          <w:rFonts w:ascii="Palatino Linotype" w:hAnsi="Palatino Linotype" w:cs="Arial"/>
          <w:bCs/>
          <w:i/>
          <w:sz w:val="22"/>
          <w:szCs w:val="22"/>
        </w:rPr>
        <w:t xml:space="preserve"> </w:t>
      </w:r>
      <w:r>
        <w:rPr>
          <w:rFonts w:ascii="Palatino Linotype" w:hAnsi="Palatino Linotype" w:cs="Arial"/>
          <w:b/>
          <w:i/>
          <w:sz w:val="22"/>
          <w:szCs w:val="22"/>
        </w:rPr>
        <w:t>El recurso de revisión</w:t>
      </w:r>
      <w:r>
        <w:rPr>
          <w:rFonts w:ascii="Palatino Linotype" w:hAnsi="Palatino Linotype" w:cs="Arial"/>
          <w:i/>
          <w:sz w:val="22"/>
          <w:szCs w:val="22"/>
        </w:rPr>
        <w:t xml:space="preserve"> es un medio de protección que la Ley otorga a los particulares, para hacer valer su derecho de acceso a la información pública, y </w:t>
      </w:r>
      <w:r>
        <w:rPr>
          <w:rFonts w:ascii="Palatino Linotype" w:hAnsi="Palatino Linotype" w:cs="Arial"/>
          <w:b/>
          <w:i/>
          <w:sz w:val="22"/>
          <w:szCs w:val="22"/>
        </w:rPr>
        <w:t>procederá en contra de las siguientes causas:</w:t>
      </w:r>
    </w:p>
    <w:p w:rsidR="00BB0015" w:rsidRDefault="00286BA0">
      <w:pPr>
        <w:spacing w:line="276" w:lineRule="auto"/>
        <w:ind w:left="709" w:right="709"/>
        <w:jc w:val="both"/>
        <w:rPr>
          <w:rFonts w:ascii="Palatino Linotype" w:hAnsi="Palatino Linotype" w:cs="Arial"/>
          <w:b/>
          <w:i/>
          <w:sz w:val="22"/>
          <w:szCs w:val="22"/>
        </w:rPr>
      </w:pPr>
      <w:r>
        <w:rPr>
          <w:rFonts w:ascii="Palatino Linotype" w:hAnsi="Palatino Linotype" w:cs="Arial"/>
          <w:bCs/>
          <w:i/>
          <w:sz w:val="22"/>
          <w:szCs w:val="22"/>
        </w:rPr>
        <w:t>. . .</w:t>
      </w:r>
    </w:p>
    <w:p w:rsidR="00BB0015" w:rsidRDefault="00286BA0">
      <w:pPr>
        <w:spacing w:line="276" w:lineRule="auto"/>
        <w:ind w:left="709" w:right="709"/>
        <w:jc w:val="both"/>
        <w:rPr>
          <w:rFonts w:ascii="Palatino Linotype" w:hAnsi="Palatino Linotype" w:cs="Arial"/>
          <w:b/>
          <w:bCs/>
          <w:i/>
          <w:sz w:val="22"/>
          <w:szCs w:val="22"/>
        </w:rPr>
      </w:pPr>
      <w:r>
        <w:rPr>
          <w:rFonts w:ascii="Palatino Linotype" w:hAnsi="Palatino Linotype" w:cs="Arial"/>
          <w:b/>
          <w:bCs/>
          <w:i/>
          <w:sz w:val="22"/>
          <w:szCs w:val="22"/>
        </w:rPr>
        <w:t>V. La entrega de información incompleta;”</w:t>
      </w:r>
    </w:p>
    <w:p w:rsidR="00BB0015" w:rsidRDefault="00BB0015">
      <w:pPr>
        <w:spacing w:line="276" w:lineRule="auto"/>
        <w:ind w:left="709" w:right="709"/>
        <w:jc w:val="both"/>
        <w:rPr>
          <w:rFonts w:ascii="Palatino Linotype" w:hAnsi="Palatino Linotype" w:cs="Arial"/>
          <w:b/>
          <w:bCs/>
          <w:i/>
          <w:sz w:val="22"/>
          <w:szCs w:val="22"/>
        </w:rPr>
      </w:pPr>
    </w:p>
    <w:p w:rsidR="00BB0015" w:rsidRDefault="00286BA0">
      <w:pPr>
        <w:spacing w:line="276" w:lineRule="auto"/>
        <w:ind w:left="709" w:right="709"/>
        <w:jc w:val="both"/>
        <w:rPr>
          <w:rFonts w:ascii="Palatino Linotype" w:hAnsi="Palatino Linotype" w:cs="Arial"/>
          <w:b/>
          <w:bCs/>
          <w:i/>
          <w:sz w:val="22"/>
          <w:szCs w:val="22"/>
        </w:rPr>
      </w:pPr>
      <w:r>
        <w:rPr>
          <w:rFonts w:ascii="Palatino Linotype" w:hAnsi="Palatino Linotype" w:cs="Arial"/>
          <w:b/>
          <w:bCs/>
          <w:i/>
          <w:sz w:val="22"/>
          <w:szCs w:val="22"/>
        </w:rPr>
        <w:t>(Énfasis añadido)</w:t>
      </w:r>
    </w:p>
    <w:p w:rsidR="00BB0015" w:rsidRDefault="00286BA0">
      <w:pPr>
        <w:pStyle w:val="Prrafodelista"/>
        <w:widowControl w:val="0"/>
        <w:spacing w:before="200" w:after="200" w:line="360" w:lineRule="auto"/>
        <w:ind w:left="0"/>
        <w:jc w:val="both"/>
        <w:rPr>
          <w:rFonts w:ascii="Palatino Linotype" w:hAnsi="Palatino Linotype" w:cs="Arial"/>
        </w:rPr>
      </w:pPr>
      <w:r>
        <w:rPr>
          <w:rFonts w:ascii="Palatino Linotype" w:hAnsi="Palatino Linotype" w:cs="Arial"/>
        </w:rPr>
        <w:t>El precepto legal antes citado, establece como supuesto de procedencia del recurso de revisión, la</w:t>
      </w:r>
      <w:r>
        <w:t xml:space="preserve"> </w:t>
      </w:r>
      <w:r>
        <w:rPr>
          <w:rFonts w:ascii="Palatino Linotype" w:hAnsi="Palatino Linotype" w:cs="Arial"/>
        </w:rPr>
        <w:t xml:space="preserve">entrega de información incompleta por parte del </w:t>
      </w:r>
      <w:r>
        <w:rPr>
          <w:rFonts w:ascii="Palatino Linotype" w:hAnsi="Palatino Linotype" w:cs="Arial"/>
          <w:b/>
        </w:rPr>
        <w:t>SUJETO OBLIGADO</w:t>
      </w:r>
      <w:r>
        <w:rPr>
          <w:rFonts w:ascii="Palatino Linotype" w:hAnsi="Palatino Linotype" w:cs="Arial"/>
        </w:rPr>
        <w:t>, situación que se actualiza en el presente caso, en razón a que mediante respuesta sólo proporcionó información parcial, tal y como se analizará más adelante.</w:t>
      </w:r>
    </w:p>
    <w:p w:rsidR="00BB0015" w:rsidRDefault="00286BA0">
      <w:pPr>
        <w:pStyle w:val="Prrafodelista"/>
        <w:widowControl w:val="0"/>
        <w:spacing w:before="200" w:after="200" w:line="360" w:lineRule="auto"/>
        <w:ind w:left="0"/>
        <w:jc w:val="both"/>
        <w:rPr>
          <w:rFonts w:ascii="Palatino Linotype" w:hAnsi="Palatino Linotype" w:cs="Arial"/>
        </w:rPr>
      </w:pPr>
      <w:r>
        <w:rPr>
          <w:rFonts w:ascii="Palatino Linotype" w:hAnsi="Palatino Linotype" w:cs="Arial"/>
        </w:rPr>
        <w:t>Para ilustrar dicha actualización, debemos recordar que el hoy</w:t>
      </w:r>
      <w:r>
        <w:rPr>
          <w:rFonts w:ascii="Palatino Linotype" w:hAnsi="Palatino Linotype" w:cs="Arial"/>
          <w:b/>
        </w:rPr>
        <w:t xml:space="preserve"> RECURRENTE </w:t>
      </w:r>
      <w:r>
        <w:rPr>
          <w:rFonts w:ascii="Palatino Linotype" w:hAnsi="Palatino Linotype"/>
        </w:rPr>
        <w:t>en la solicitud de acceso a la información pública, requirió del</w:t>
      </w:r>
      <w:r>
        <w:rPr>
          <w:rFonts w:ascii="Palatino Linotype" w:hAnsi="Palatino Linotype" w:cs="Arial"/>
        </w:rPr>
        <w:t xml:space="preserve"> </w:t>
      </w:r>
      <w:r>
        <w:rPr>
          <w:rFonts w:ascii="Palatino Linotype" w:hAnsi="Palatino Linotype" w:cs="Arial"/>
          <w:b/>
        </w:rPr>
        <w:t>SUJETO OBLIGADO</w:t>
      </w:r>
      <w:r>
        <w:rPr>
          <w:rFonts w:ascii="Palatino Linotype" w:hAnsi="Palatino Linotype" w:cs="Arial"/>
        </w:rPr>
        <w:t xml:space="preserve">, vía </w:t>
      </w:r>
      <w:r>
        <w:rPr>
          <w:rFonts w:ascii="Palatino Linotype" w:hAnsi="Palatino Linotype" w:cs="Arial"/>
          <w:b/>
        </w:rPr>
        <w:t>EL SAIMEX</w:t>
      </w:r>
      <w:r>
        <w:rPr>
          <w:rFonts w:ascii="Palatino Linotype" w:hAnsi="Palatino Linotype" w:cs="Arial"/>
        </w:rPr>
        <w:t>,</w:t>
      </w:r>
      <w:r>
        <w:rPr>
          <w:rFonts w:ascii="Palatino Linotype" w:hAnsi="Palatino Linotype"/>
        </w:rPr>
        <w:t xml:space="preserve"> lo siguiente:</w:t>
      </w:r>
    </w:p>
    <w:p w:rsidR="00BB0015" w:rsidRDefault="00286BA0">
      <w:pPr>
        <w:pStyle w:val="Prrafodelista"/>
        <w:widowControl w:val="0"/>
        <w:numPr>
          <w:ilvl w:val="0"/>
          <w:numId w:val="3"/>
        </w:numPr>
        <w:tabs>
          <w:tab w:val="left" w:pos="1701"/>
          <w:tab w:val="left" w:pos="1843"/>
        </w:tabs>
        <w:spacing w:beforeAutospacing="1" w:line="360" w:lineRule="auto"/>
        <w:contextualSpacing/>
        <w:jc w:val="both"/>
        <w:rPr>
          <w:rFonts w:ascii="Palatino Linotype" w:hAnsi="Palatino Linotype" w:cs="Arial"/>
        </w:rPr>
      </w:pPr>
      <w:r>
        <w:rPr>
          <w:rFonts w:ascii="Palatino Linotype" w:hAnsi="Palatino Linotype"/>
          <w:b/>
        </w:rPr>
        <w:t>Las resoluciones de los recursos de inconformidad notificados a la Titular de Unidad de Transparencia en 2019 y 2020, plataforma SAIMEX y SARCOEM.</w:t>
      </w:r>
    </w:p>
    <w:p w:rsidR="00BB0015" w:rsidRDefault="00286BA0">
      <w:pPr>
        <w:pStyle w:val="Prrafodelista"/>
        <w:widowControl w:val="0"/>
        <w:numPr>
          <w:ilvl w:val="0"/>
          <w:numId w:val="3"/>
        </w:numPr>
        <w:tabs>
          <w:tab w:val="left" w:pos="1701"/>
          <w:tab w:val="left" w:pos="1843"/>
        </w:tabs>
        <w:spacing w:line="360" w:lineRule="auto"/>
        <w:contextualSpacing/>
        <w:jc w:val="both"/>
        <w:rPr>
          <w:rFonts w:ascii="Palatino Linotype" w:hAnsi="Palatino Linotype" w:cs="Arial"/>
        </w:rPr>
      </w:pPr>
      <w:r>
        <w:rPr>
          <w:rFonts w:ascii="Palatino Linotype" w:hAnsi="Palatino Linotype"/>
          <w:b/>
        </w:rPr>
        <w:t>Las solicitudes y respuestas que ingresaron mediante plataforma SAIMEX a partir del 1 de enero 2015 al 25 de marzo de 2020.</w:t>
      </w:r>
    </w:p>
    <w:p w:rsidR="00BB0015" w:rsidRDefault="00286BA0">
      <w:pPr>
        <w:pStyle w:val="Prrafodelista"/>
        <w:widowControl w:val="0"/>
        <w:numPr>
          <w:ilvl w:val="0"/>
          <w:numId w:val="3"/>
        </w:numPr>
        <w:tabs>
          <w:tab w:val="left" w:pos="1701"/>
          <w:tab w:val="left" w:pos="1843"/>
        </w:tabs>
        <w:spacing w:afterAutospacing="1" w:line="360" w:lineRule="auto"/>
        <w:contextualSpacing/>
        <w:jc w:val="both"/>
        <w:rPr>
          <w:rFonts w:ascii="Palatino Linotype" w:hAnsi="Palatino Linotype" w:cs="Arial"/>
        </w:rPr>
      </w:pPr>
      <w:r>
        <w:rPr>
          <w:rFonts w:ascii="Palatino Linotype" w:hAnsi="Palatino Linotype"/>
          <w:b/>
        </w:rPr>
        <w:t>Los recursos de revisión y sus resoluciones del 1 de enero 2015 al 25 de marzo de 2020.</w:t>
      </w:r>
    </w:p>
    <w:p w:rsidR="00BB0015" w:rsidRDefault="00286BA0">
      <w:pPr>
        <w:widowControl w:val="0"/>
        <w:tabs>
          <w:tab w:val="left" w:pos="1701"/>
          <w:tab w:val="left" w:pos="1843"/>
        </w:tabs>
        <w:spacing w:beforeAutospacing="1" w:afterAutospacing="1" w:line="360" w:lineRule="auto"/>
        <w:contextualSpacing/>
        <w:jc w:val="both"/>
        <w:rPr>
          <w:rFonts w:ascii="Palatino Linotype" w:hAnsi="Palatino Linotype" w:cs="Arial"/>
        </w:rPr>
      </w:pPr>
      <w:r>
        <w:rPr>
          <w:rFonts w:ascii="Palatino Linotype" w:hAnsi="Palatino Linotype" w:cs="Arial"/>
        </w:rPr>
        <w:t xml:space="preserve">Ahora bien, </w:t>
      </w:r>
      <w:r>
        <w:rPr>
          <w:rFonts w:ascii="Palatino Linotype" w:hAnsi="Palatino Linotype" w:cs="Arial"/>
          <w:b/>
        </w:rPr>
        <w:t>EL SUJETO OBLIGADO</w:t>
      </w:r>
      <w:r>
        <w:rPr>
          <w:rFonts w:ascii="Palatino Linotype" w:hAnsi="Palatino Linotype" w:cs="Arial"/>
        </w:rPr>
        <w:t xml:space="preserve"> pretendió dar repuesta</w:t>
      </w:r>
      <w:r>
        <w:rPr>
          <w:rFonts w:ascii="Palatino Linotype" w:hAnsi="Palatino Linotype" w:cs="Arial"/>
          <w:b/>
        </w:rPr>
        <w:t xml:space="preserve"> </w:t>
      </w:r>
      <w:r>
        <w:rPr>
          <w:rFonts w:ascii="Palatino Linotype" w:hAnsi="Palatino Linotype" w:cs="Arial"/>
        </w:rPr>
        <w:t xml:space="preserve">a lo solicitado por el particular, adjuntando el documento descrito en el Resultando </w:t>
      </w:r>
      <w:r>
        <w:rPr>
          <w:rFonts w:ascii="Palatino Linotype" w:hAnsi="Palatino Linotype" w:cs="Arial"/>
          <w:b/>
        </w:rPr>
        <w:t xml:space="preserve">II </w:t>
      </w:r>
      <w:r>
        <w:rPr>
          <w:rFonts w:ascii="Palatino Linotype" w:hAnsi="Palatino Linotype" w:cs="Arial"/>
        </w:rPr>
        <w:t>de la presente resolución.</w:t>
      </w:r>
    </w:p>
    <w:p w:rsidR="00BB0015" w:rsidRDefault="00BB0015">
      <w:pPr>
        <w:widowControl w:val="0"/>
        <w:tabs>
          <w:tab w:val="left" w:pos="1701"/>
          <w:tab w:val="left" w:pos="1843"/>
        </w:tabs>
        <w:spacing w:beforeAutospacing="1" w:afterAutospacing="1" w:line="360" w:lineRule="auto"/>
        <w:contextualSpacing/>
        <w:jc w:val="both"/>
        <w:rPr>
          <w:rFonts w:ascii="Palatino Linotype" w:hAnsi="Palatino Linotype" w:cs="Arial"/>
        </w:rPr>
      </w:pPr>
    </w:p>
    <w:p w:rsidR="00BB0015" w:rsidRDefault="00286BA0">
      <w:pPr>
        <w:widowControl w:val="0"/>
        <w:tabs>
          <w:tab w:val="left" w:pos="1701"/>
          <w:tab w:val="left" w:pos="1843"/>
        </w:tabs>
        <w:spacing w:beforeAutospacing="1" w:afterAutospacing="1" w:line="360" w:lineRule="auto"/>
        <w:contextualSpacing/>
        <w:jc w:val="both"/>
        <w:rPr>
          <w:rFonts w:ascii="Palatino Linotype" w:hAnsi="Palatino Linotype" w:cs="Arial"/>
        </w:rPr>
      </w:pPr>
      <w:r>
        <w:rPr>
          <w:rFonts w:ascii="Palatino Linotype" w:hAnsi="Palatino Linotype" w:cs="Arial"/>
        </w:rPr>
        <w:lastRenderedPageBreak/>
        <w:t xml:space="preserve">Inconforme con la respuesta, el ahora </w:t>
      </w:r>
      <w:r>
        <w:rPr>
          <w:rFonts w:ascii="Palatino Linotype" w:hAnsi="Palatino Linotype" w:cs="Arial"/>
          <w:b/>
        </w:rPr>
        <w:t>RECURRENTE</w:t>
      </w:r>
      <w:r>
        <w:rPr>
          <w:rFonts w:ascii="Palatino Linotype" w:hAnsi="Palatino Linotype" w:cs="Arial"/>
        </w:rPr>
        <w:t xml:space="preserve">, procedió a </w:t>
      </w:r>
      <w:r>
        <w:rPr>
          <w:rFonts w:ascii="Palatino Linotype" w:hAnsi="Palatino Linotype"/>
          <w:szCs w:val="21"/>
        </w:rPr>
        <w:t>interponer</w:t>
      </w:r>
      <w:r>
        <w:rPr>
          <w:rFonts w:ascii="Palatino Linotype" w:hAnsi="Palatino Linotype" w:cs="Arial"/>
        </w:rPr>
        <w:t xml:space="preserve"> el presente recurso de revisión, señalando tanto en acto impugnado, así como en sus razones o motivos de inconformidad, que </w:t>
      </w:r>
      <w:r>
        <w:rPr>
          <w:rFonts w:ascii="Palatino Linotype" w:hAnsi="Palatino Linotype" w:cs="Arial"/>
          <w:b/>
        </w:rPr>
        <w:t>EL SUJETO OBLIGADO</w:t>
      </w:r>
      <w:r>
        <w:rPr>
          <w:rFonts w:ascii="Palatino Linotype" w:hAnsi="Palatino Linotype" w:cs="Arial"/>
        </w:rPr>
        <w:t>, ocultaba la información requerida y que no se le había entregado lo solicitado.</w:t>
      </w:r>
    </w:p>
    <w:p w:rsidR="00BB0015" w:rsidRDefault="00BB0015">
      <w:pPr>
        <w:widowControl w:val="0"/>
        <w:tabs>
          <w:tab w:val="left" w:pos="1701"/>
          <w:tab w:val="left" w:pos="1843"/>
        </w:tabs>
        <w:spacing w:beforeAutospacing="1" w:afterAutospacing="1" w:line="360" w:lineRule="auto"/>
        <w:contextualSpacing/>
        <w:jc w:val="both"/>
        <w:rPr>
          <w:rFonts w:ascii="Palatino Linotype" w:hAnsi="Palatino Linotype" w:cs="Arial"/>
        </w:rPr>
      </w:pPr>
    </w:p>
    <w:p w:rsidR="00BB0015" w:rsidRDefault="00286BA0">
      <w:pPr>
        <w:widowControl w:val="0"/>
        <w:tabs>
          <w:tab w:val="left" w:pos="1701"/>
          <w:tab w:val="left" w:pos="1843"/>
        </w:tabs>
        <w:spacing w:line="360" w:lineRule="auto"/>
        <w:contextualSpacing/>
        <w:jc w:val="both"/>
        <w:rPr>
          <w:rFonts w:ascii="Palatino Linotype" w:hAnsi="Palatino Linotype" w:cs="Arial"/>
        </w:rPr>
      </w:pPr>
      <w:r>
        <w:rPr>
          <w:rFonts w:ascii="Palatino Linotype" w:hAnsi="Palatino Linotype" w:cs="Arial"/>
        </w:rPr>
        <w:t xml:space="preserve">Por otra parte, de las </w:t>
      </w:r>
      <w:r>
        <w:rPr>
          <w:rFonts w:ascii="Palatino Linotype" w:hAnsi="Palatino Linotype"/>
          <w:szCs w:val="21"/>
        </w:rPr>
        <w:t>constancias</w:t>
      </w:r>
      <w:r>
        <w:rPr>
          <w:rFonts w:ascii="Palatino Linotype" w:hAnsi="Palatino Linotype" w:cs="Arial"/>
        </w:rPr>
        <w:t xml:space="preserve"> que obran en el </w:t>
      </w:r>
      <w:r>
        <w:rPr>
          <w:rFonts w:ascii="Palatino Linotype" w:hAnsi="Palatino Linotype" w:cs="Arial"/>
          <w:b/>
        </w:rPr>
        <w:t>SAIMEX,</w:t>
      </w:r>
      <w:r>
        <w:rPr>
          <w:rFonts w:ascii="Palatino Linotype" w:hAnsi="Palatino Linotype" w:cs="Arial"/>
        </w:rPr>
        <w:t xml:space="preserve"> se advierte que </w:t>
      </w:r>
      <w:r>
        <w:rPr>
          <w:rFonts w:ascii="Palatino Linotype" w:hAnsi="Palatino Linotype" w:cs="Arial"/>
          <w:b/>
        </w:rPr>
        <w:t>EL RECURRENTE</w:t>
      </w:r>
      <w:r>
        <w:rPr>
          <w:rFonts w:ascii="Palatino Linotype" w:hAnsi="Palatino Linotype" w:cs="Arial"/>
        </w:rPr>
        <w:t xml:space="preserve"> no realizó manifestaciones o alegatos, ni ofreció los medios de prueba que a su derecho conviniera; mientras que </w:t>
      </w:r>
      <w:r>
        <w:rPr>
          <w:rFonts w:ascii="Palatino Linotype" w:hAnsi="Palatino Linotype" w:cs="Arial"/>
          <w:b/>
        </w:rPr>
        <w:t>EL SUJETO OBLIGADO</w:t>
      </w:r>
      <w:r>
        <w:rPr>
          <w:rFonts w:ascii="Palatino Linotype" w:hAnsi="Palatino Linotype" w:cs="Arial"/>
        </w:rPr>
        <w:t xml:space="preserve">, exhibió el Informe Justificado </w:t>
      </w:r>
      <w:r>
        <w:rPr>
          <w:rFonts w:ascii="Palatino Linotype" w:hAnsi="Palatino Linotype"/>
          <w:szCs w:val="21"/>
        </w:rPr>
        <w:t>correspondiente</w:t>
      </w:r>
      <w:r>
        <w:rPr>
          <w:rFonts w:ascii="Palatino Linotype" w:hAnsi="Palatino Linotype" w:cs="Arial"/>
        </w:rPr>
        <w:t xml:space="preserve">, ratificando su respuesta inicial, razón por la cual, no se puso a la vista del </w:t>
      </w:r>
      <w:r>
        <w:rPr>
          <w:rFonts w:ascii="Palatino Linotype" w:hAnsi="Palatino Linotype" w:cs="Arial"/>
          <w:b/>
        </w:rPr>
        <w:t>RECURRENTE</w:t>
      </w:r>
      <w:r>
        <w:rPr>
          <w:rFonts w:ascii="Palatino Linotype" w:hAnsi="Palatino Linotype" w:cs="Arial"/>
        </w:rPr>
        <w:t>.</w:t>
      </w:r>
    </w:p>
    <w:p w:rsidR="00BB0015" w:rsidRDefault="00286BA0">
      <w:pPr>
        <w:widowControl w:val="0"/>
        <w:tabs>
          <w:tab w:val="left" w:pos="1701"/>
          <w:tab w:val="left" w:pos="1843"/>
        </w:tabs>
        <w:spacing w:line="360" w:lineRule="auto"/>
        <w:jc w:val="both"/>
        <w:rPr>
          <w:rFonts w:ascii="Palatino Linotype" w:hAnsi="Palatino Linotype" w:cs="Arial"/>
        </w:rPr>
      </w:pPr>
      <w:r>
        <w:rPr>
          <w:rFonts w:ascii="Palatino Linotype" w:hAnsi="Palatino Linotype"/>
        </w:rPr>
        <w:t xml:space="preserve">Bajo ese contexto, este Instituto analizó la totalidad de constancias que integran el expediente electrónico del </w:t>
      </w:r>
      <w:r>
        <w:rPr>
          <w:rFonts w:ascii="Palatino Linotype" w:hAnsi="Palatino Linotype"/>
          <w:b/>
        </w:rPr>
        <w:t>SAIMEX</w:t>
      </w:r>
      <w:r>
        <w:rPr>
          <w:rFonts w:ascii="Palatino Linotype" w:hAnsi="Palatino Linotype"/>
        </w:rPr>
        <w:t xml:space="preserve"> y advirtió que las razones o motivos de inconformidad hechos valer por </w:t>
      </w:r>
      <w:r>
        <w:rPr>
          <w:rFonts w:ascii="Palatino Linotype" w:hAnsi="Palatino Linotype"/>
          <w:b/>
        </w:rPr>
        <w:t>EL RECURRENTE</w:t>
      </w:r>
      <w:r>
        <w:rPr>
          <w:rFonts w:ascii="Palatino Linotype" w:hAnsi="Palatino Linotype"/>
        </w:rPr>
        <w:t xml:space="preserve"> devienen</w:t>
      </w:r>
      <w:r>
        <w:rPr>
          <w:rFonts w:ascii="Palatino Linotype" w:hAnsi="Palatino Linotype"/>
          <w:b/>
        </w:rPr>
        <w:t xml:space="preserve"> parcialmente fundados</w:t>
      </w:r>
      <w:r>
        <w:rPr>
          <w:rFonts w:ascii="Palatino Linotype" w:hAnsi="Palatino Linotype"/>
        </w:rPr>
        <w:t xml:space="preserve">, </w:t>
      </w:r>
      <w:r>
        <w:rPr>
          <w:rFonts w:ascii="Palatino Linotype" w:hAnsi="Palatino Linotype" w:cs="Arial"/>
        </w:rPr>
        <w:t>de acuerdo a las consideraciones de hecho y de derecho que a continuación se desagregan.</w:t>
      </w:r>
    </w:p>
    <w:p w:rsidR="00BB0015" w:rsidRDefault="00286BA0">
      <w:pPr>
        <w:spacing w:beforeAutospacing="1" w:afterAutospacing="1" w:line="360" w:lineRule="auto"/>
        <w:jc w:val="both"/>
        <w:rPr>
          <w:rFonts w:ascii="Palatino Linotype" w:eastAsia="Calibri" w:hAnsi="Palatino Linotype" w:cs="Arial"/>
        </w:rPr>
      </w:pPr>
      <w:r>
        <w:rPr>
          <w:rFonts w:ascii="Palatino Linotype" w:hAnsi="Palatino Linotype" w:cs="Arial"/>
          <w:lang w:val="es-ES"/>
        </w:rPr>
        <w:t>Precisado ello,</w:t>
      </w:r>
      <w:r>
        <w:rPr>
          <w:rFonts w:ascii="Palatino Linotype" w:hAnsi="Palatino Linotype"/>
          <w:lang w:val="es-ES"/>
        </w:rPr>
        <w:t xml:space="preserve"> se obvia el análisis de la competencia por parte del </w:t>
      </w:r>
      <w:r>
        <w:rPr>
          <w:rFonts w:ascii="Palatino Linotype" w:hAnsi="Palatino Linotype"/>
          <w:b/>
          <w:lang w:val="es-ES"/>
        </w:rPr>
        <w:t>SUJETO OBLIGADO</w:t>
      </w:r>
      <w:r>
        <w:rPr>
          <w:rFonts w:ascii="Palatino Linotype" w:hAnsi="Palatino Linotype"/>
          <w:lang w:val="es-ES"/>
        </w:rPr>
        <w:t>, para generar, administrar o poseer la información solicitada en el recurso que nos ocupa, dado que éste ha asumido la misma, mediante respuesta</w:t>
      </w:r>
      <w:r>
        <w:rPr>
          <w:rFonts w:ascii="Palatino Linotype" w:hAnsi="Palatino Linotype" w:cs="Arial"/>
          <w:b/>
          <w:color w:val="000000"/>
          <w:lang w:val="es-ES"/>
        </w:rPr>
        <w:t xml:space="preserve">; </w:t>
      </w:r>
      <w:r>
        <w:rPr>
          <w:rFonts w:ascii="Palatino Linotype" w:hAnsi="Palatino Linotype" w:cs="Arial"/>
          <w:color w:val="000000"/>
          <w:lang w:val="es-ES"/>
        </w:rPr>
        <w:t>por lo que</w:t>
      </w:r>
      <w:r>
        <w:rPr>
          <w:rFonts w:ascii="Palatino Linotype" w:hAnsi="Palatino Linotype" w:cs="Arial"/>
          <w:b/>
          <w:color w:val="000000"/>
          <w:lang w:val="es-ES"/>
        </w:rPr>
        <w:t xml:space="preserve">, </w:t>
      </w:r>
      <w:r>
        <w:rPr>
          <w:rFonts w:ascii="Palatino Linotype" w:hAnsi="Palatino Linotype" w:cs="Arial"/>
          <w:color w:val="000000"/>
          <w:lang w:val="es-ES"/>
        </w:rPr>
        <w:t>ante tales pronunciamientos se arriba a que genera, posee y administra la información requerida por el particular.</w:t>
      </w:r>
    </w:p>
    <w:p w:rsidR="00BB0015" w:rsidRDefault="00286BA0">
      <w:pPr>
        <w:spacing w:line="360" w:lineRule="auto"/>
        <w:jc w:val="both"/>
        <w:rPr>
          <w:rFonts w:ascii="Palatino Linotype" w:hAnsi="Palatino Linotype"/>
          <w:lang w:val="es-ES"/>
        </w:rPr>
      </w:pPr>
      <w:r>
        <w:rPr>
          <w:rFonts w:ascii="Palatino Linotype" w:hAnsi="Palatino Linotype"/>
          <w:lang w:val="es-ES"/>
        </w:rPr>
        <w:t xml:space="preserve">En este contexto, el hecho de que </w:t>
      </w:r>
      <w:r>
        <w:rPr>
          <w:rFonts w:ascii="Palatino Linotype" w:hAnsi="Palatino Linotype"/>
          <w:b/>
          <w:lang w:val="es-ES"/>
        </w:rPr>
        <w:t>EL SUJETO OBLIGADO</w:t>
      </w:r>
      <w:r>
        <w:rPr>
          <w:rFonts w:ascii="Palatino Linotype" w:hAnsi="Palatino Linotype"/>
          <w:lang w:val="es-ES"/>
        </w:rPr>
        <w:t xml:space="preserve"> haya asumido contar con la información pública solicitada en el recurso que nos ocupa, acepta que es competente para generarla, poseerla y administrarla, en ejercicio de sus funciones de derecho </w:t>
      </w:r>
      <w:r>
        <w:rPr>
          <w:rFonts w:ascii="Palatino Linotype" w:hAnsi="Palatino Linotype"/>
          <w:lang w:val="es-ES"/>
        </w:rPr>
        <w:lastRenderedPageBreak/>
        <w:t>público, motivo por el cual se actualiza el supuesto jurídico, previsto en el artículo 12 de la Ley de Transparencia y Acceso a la Información Pública del Estado de México y Municipios, que literalmente establece:</w:t>
      </w:r>
    </w:p>
    <w:p w:rsidR="00BB0015" w:rsidRDefault="00BB0015">
      <w:pPr>
        <w:spacing w:line="360" w:lineRule="auto"/>
        <w:jc w:val="both"/>
        <w:rPr>
          <w:rFonts w:ascii="Palatino Linotype" w:hAnsi="Palatino Linotype"/>
          <w:lang w:val="es-ES"/>
        </w:rPr>
      </w:pPr>
    </w:p>
    <w:p w:rsidR="00BB0015" w:rsidRDefault="00286BA0">
      <w:pPr>
        <w:ind w:left="851" w:right="899"/>
        <w:jc w:val="both"/>
        <w:rPr>
          <w:rFonts w:ascii="Palatino Linotype" w:hAnsi="Palatino Linotype"/>
          <w:i/>
          <w:sz w:val="22"/>
          <w:szCs w:val="22"/>
          <w:lang w:val="es-ES"/>
        </w:rPr>
      </w:pPr>
      <w:r>
        <w:rPr>
          <w:rFonts w:ascii="Palatino Linotype" w:hAnsi="Palatino Linotype"/>
          <w:b/>
          <w:i/>
          <w:sz w:val="22"/>
          <w:szCs w:val="22"/>
          <w:lang w:val="es-ES"/>
        </w:rPr>
        <w:t>“Artículo 12</w:t>
      </w:r>
      <w:r>
        <w:rPr>
          <w:rFonts w:ascii="Palatino Linotype" w:hAnsi="Palatino Linotype"/>
          <w:i/>
          <w:sz w:val="22"/>
          <w:szCs w:val="22"/>
          <w:lang w:val="es-ES"/>
        </w:rPr>
        <w:t>. Quienes generen, recopilen, administren, manejen, procesen, archiven o conserven información pública serán responsables de la misma en los términos de las disposiciones jurídicas aplicables.</w:t>
      </w:r>
    </w:p>
    <w:p w:rsidR="00BB0015" w:rsidRDefault="00BB0015">
      <w:pPr>
        <w:ind w:left="851" w:right="899"/>
        <w:jc w:val="both"/>
        <w:rPr>
          <w:rFonts w:ascii="Palatino Linotype" w:hAnsi="Palatino Linotype"/>
          <w:i/>
          <w:sz w:val="22"/>
          <w:szCs w:val="22"/>
          <w:lang w:val="es-ES"/>
        </w:rPr>
      </w:pPr>
    </w:p>
    <w:p w:rsidR="00BB0015" w:rsidRDefault="00286BA0">
      <w:pPr>
        <w:ind w:left="851" w:right="899"/>
        <w:jc w:val="both"/>
        <w:rPr>
          <w:rFonts w:ascii="Palatino Linotype" w:hAnsi="Palatino Linotype"/>
          <w:b/>
          <w:i/>
          <w:sz w:val="22"/>
          <w:szCs w:val="22"/>
          <w:lang w:val="es-ES"/>
        </w:rPr>
      </w:pPr>
      <w:r>
        <w:rPr>
          <w:rFonts w:ascii="Palatino Linotype" w:hAnsi="Palatino Linotype"/>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b/>
          <w:i/>
          <w:sz w:val="22"/>
          <w:szCs w:val="22"/>
          <w:lang w:val="es-ES"/>
        </w:rPr>
        <w:t>”</w:t>
      </w:r>
    </w:p>
    <w:p w:rsidR="00BB0015" w:rsidRDefault="00BB0015">
      <w:pPr>
        <w:spacing w:line="360" w:lineRule="auto"/>
        <w:ind w:left="851" w:right="899"/>
        <w:jc w:val="both"/>
        <w:rPr>
          <w:rFonts w:ascii="Palatino Linotype" w:hAnsi="Palatino Linotype"/>
          <w:i/>
          <w:sz w:val="22"/>
          <w:szCs w:val="22"/>
          <w:lang w:val="es-ES"/>
        </w:rPr>
      </w:pPr>
    </w:p>
    <w:p w:rsidR="00BB0015" w:rsidRDefault="00286BA0">
      <w:pPr>
        <w:spacing w:line="360" w:lineRule="auto"/>
        <w:jc w:val="both"/>
        <w:rPr>
          <w:rFonts w:ascii="Palatino Linotype" w:hAnsi="Palatino Linotype"/>
          <w:lang w:val="es-ES"/>
        </w:rPr>
      </w:pPr>
      <w:r>
        <w:rPr>
          <w:rFonts w:ascii="Palatino Linotype" w:hAnsi="Palatino Linotype"/>
          <w:lang w:val="es-ES"/>
        </w:rPr>
        <w:t xml:space="preserve">De hecho, el estudio de la naturaleza jurídica de la información pública solicitada, tiene por objeto determinar si ésta la genera, posee o administra </w:t>
      </w:r>
      <w:r>
        <w:rPr>
          <w:rFonts w:ascii="Palatino Linotype" w:hAnsi="Palatino Linotype"/>
          <w:b/>
          <w:lang w:val="es-ES"/>
        </w:rPr>
        <w:t>EL SUJETO OBLIGADO</w:t>
      </w:r>
      <w:r>
        <w:rPr>
          <w:rFonts w:ascii="Palatino Linotype" w:hAnsi="Palatino Linotype"/>
          <w:lang w:val="es-ES"/>
        </w:rPr>
        <w:t>; sin embargo, en aquellos casos en que éste la asume,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rsidR="00BB0015" w:rsidRDefault="00BB0015">
      <w:pPr>
        <w:spacing w:line="360" w:lineRule="auto"/>
        <w:jc w:val="both"/>
        <w:rPr>
          <w:rFonts w:ascii="Palatino Linotype" w:hAnsi="Palatino Linotype"/>
          <w:lang w:val="es-ES"/>
        </w:rPr>
      </w:pPr>
    </w:p>
    <w:p w:rsidR="00BB0015" w:rsidRDefault="00286BA0">
      <w:pPr>
        <w:spacing w:line="360" w:lineRule="auto"/>
        <w:jc w:val="both"/>
        <w:rPr>
          <w:rFonts w:ascii="Palatino Linotype" w:hAnsi="Palatino Linotype"/>
        </w:rPr>
      </w:pPr>
      <w:r>
        <w:rPr>
          <w:rFonts w:ascii="Palatino Linotype" w:hAnsi="Palatino Linotype"/>
        </w:rPr>
        <w:t xml:space="preserve">Asimismo, no se omite comentar que, al haber existido un pronunciamiento por parte del </w:t>
      </w:r>
      <w:r>
        <w:rPr>
          <w:rFonts w:ascii="Palatino Linotype" w:hAnsi="Palatino Linotype"/>
          <w:b/>
        </w:rPr>
        <w:t xml:space="preserve">SUJETO OBLIGADO </w:t>
      </w:r>
      <w:r>
        <w:rPr>
          <w:rFonts w:ascii="Palatino Linotype" w:hAnsi="Palatino Linotype"/>
        </w:rPr>
        <w:t>mediante respuesta, a fin de dar atención a la solicitud planteada, este Instituto no está facultado para manifestarse sobre la veracidad de la información proporcionada, conforme al artículo 36 de la Ley de la Materia.</w:t>
      </w:r>
    </w:p>
    <w:p w:rsidR="00BB0015" w:rsidRDefault="00286BA0">
      <w:pPr>
        <w:spacing w:beforeAutospacing="1" w:afterAutospacing="1" w:line="360" w:lineRule="auto"/>
        <w:jc w:val="both"/>
        <w:rPr>
          <w:rFonts w:ascii="Palatino Linotype" w:hAnsi="Palatino Linotype" w:cs="Arial"/>
        </w:rPr>
      </w:pPr>
      <w:r>
        <w:rPr>
          <w:rFonts w:ascii="Palatino Linotype" w:hAnsi="Palatino Linotype" w:cs="Arial"/>
        </w:rPr>
        <w:lastRenderedPageBreak/>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BB0015" w:rsidRDefault="00286BA0">
      <w:pPr>
        <w:ind w:left="709" w:right="760"/>
        <w:jc w:val="both"/>
        <w:rPr>
          <w:rFonts w:ascii="Palatino Linotype" w:hAnsi="Palatino Linotype" w:cs="Arial"/>
          <w:i/>
          <w:sz w:val="22"/>
        </w:rPr>
      </w:pPr>
      <w:r>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BB0015" w:rsidRDefault="00286BA0">
      <w:pPr>
        <w:ind w:left="709" w:right="757"/>
        <w:jc w:val="both"/>
        <w:rPr>
          <w:rFonts w:ascii="Palatino Linotype" w:hAnsi="Palatino Linotype" w:cs="Arial"/>
          <w:i/>
          <w:sz w:val="22"/>
        </w:rPr>
      </w:pPr>
      <w:r>
        <w:rPr>
          <w:rFonts w:ascii="Palatino Linotype" w:hAnsi="Palatino Linotype" w:cs="Arial"/>
          <w:i/>
          <w:sz w:val="22"/>
        </w:rPr>
        <w:t>Criterio 31/10</w:t>
      </w:r>
      <w:r>
        <w:rPr>
          <w:rFonts w:ascii="Palatino Linotype" w:hAnsi="Palatino Linotype" w:cs="Arial"/>
          <w:b/>
          <w:i/>
          <w:sz w:val="22"/>
        </w:rPr>
        <w:t>”</w:t>
      </w:r>
      <w:r>
        <w:rPr>
          <w:rFonts w:ascii="Palatino Linotype" w:hAnsi="Palatino Linotype" w:cs="Arial"/>
          <w:i/>
          <w:sz w:val="22"/>
        </w:rPr>
        <w:t xml:space="preserve"> (sic)</w:t>
      </w:r>
    </w:p>
    <w:p w:rsidR="00BB0015" w:rsidRDefault="00BB0015">
      <w:pPr>
        <w:ind w:left="709" w:right="757"/>
        <w:jc w:val="both"/>
        <w:rPr>
          <w:rFonts w:ascii="Palatino Linotype" w:hAnsi="Palatino Linotype" w:cs="Arial"/>
          <w:b/>
          <w:i/>
          <w:sz w:val="22"/>
        </w:rPr>
      </w:pPr>
    </w:p>
    <w:p w:rsidR="00BB0015" w:rsidRDefault="00286BA0">
      <w:pPr>
        <w:spacing w:line="360" w:lineRule="auto"/>
        <w:contextualSpacing/>
        <w:jc w:val="both"/>
        <w:rPr>
          <w:rFonts w:ascii="Palatino Linotype" w:hAnsi="Palatino Linotype" w:cs="Arial"/>
          <w:color w:val="000000" w:themeColor="text1"/>
          <w:lang w:val="es-ES"/>
        </w:rPr>
      </w:pPr>
      <w:r>
        <w:rPr>
          <w:rFonts w:ascii="Palatino Linotype" w:hAnsi="Palatino Linotype" w:cs="Arial"/>
        </w:rPr>
        <w:t xml:space="preserve">Una vez precisado lo anterior, </w:t>
      </w:r>
      <w:r>
        <w:rPr>
          <w:rFonts w:ascii="Palatino Linotype" w:hAnsi="Palatino Linotype"/>
          <w:lang w:val="es-AR"/>
        </w:rPr>
        <w:t xml:space="preserve">es importante señalar </w:t>
      </w:r>
      <w:r>
        <w:rPr>
          <w:rFonts w:ascii="Palatino Linotype" w:hAnsi="Palatino Linotype" w:cs="Arial"/>
          <w:lang w:val="es-ES"/>
        </w:rPr>
        <w:t xml:space="preserve">que el particular </w:t>
      </w:r>
      <w:r>
        <w:rPr>
          <w:rFonts w:ascii="Palatino Linotype" w:hAnsi="Palatino Linotype"/>
          <w:lang w:val="es-ES"/>
        </w:rPr>
        <w:t xml:space="preserve">al momento de presentar su solicitud de acceso a la información, requirió </w:t>
      </w:r>
      <w:r>
        <w:rPr>
          <w:rFonts w:ascii="Palatino Linotype" w:hAnsi="Palatino Linotype"/>
          <w:i/>
          <w:lang w:val="es-ES"/>
        </w:rPr>
        <w:t xml:space="preserve">las resoluciones de los recursos de inconformidad notificados a la Titular de la Unidad de Transparencia en los años </w:t>
      </w:r>
      <w:r>
        <w:rPr>
          <w:rFonts w:ascii="Palatino Linotype" w:hAnsi="Palatino Linotype"/>
          <w:b/>
          <w:i/>
          <w:lang w:val="es-ES"/>
        </w:rPr>
        <w:t>2019 y 2020</w:t>
      </w:r>
      <w:r>
        <w:rPr>
          <w:rFonts w:ascii="Palatino Linotype" w:hAnsi="Palatino Linotype"/>
          <w:i/>
          <w:lang w:val="es-ES"/>
        </w:rPr>
        <w:t xml:space="preserve"> derivados de la plataforma SAIMEX y SARCOEM, las solicitudes y respuestas que se ingresaron mediante plataforma SAIMEX a partir </w:t>
      </w:r>
      <w:r>
        <w:rPr>
          <w:rFonts w:ascii="Palatino Linotype" w:hAnsi="Palatino Linotype"/>
          <w:b/>
          <w:i/>
          <w:lang w:val="es-ES"/>
        </w:rPr>
        <w:t>del 1 de enero 2015 al 25 de Marzo de 2020</w:t>
      </w:r>
      <w:r>
        <w:rPr>
          <w:rFonts w:ascii="Palatino Linotype" w:hAnsi="Palatino Linotype"/>
          <w:i/>
          <w:lang w:val="es-ES"/>
        </w:rPr>
        <w:t xml:space="preserve"> así como los recursos de revisión y sus resoluciones</w:t>
      </w:r>
      <w:r>
        <w:rPr>
          <w:rFonts w:ascii="Palatino Linotype" w:hAnsi="Palatino Linotype" w:cs="Arial"/>
        </w:rPr>
        <w:t xml:space="preserve">; por lo que si bien, señaló fecha de </w:t>
      </w:r>
      <w:r>
        <w:rPr>
          <w:rFonts w:ascii="Palatino Linotype" w:hAnsi="Palatino Linotype" w:cs="Arial"/>
        </w:rPr>
        <w:lastRenderedPageBreak/>
        <w:t xml:space="preserve">inicio de búsqueda de la información solicitada, en el primer punto, no señaló fecha de terminó de la búsqueda, y en el segundo y tercero, refirió como fecha de finalización al 25 de marzo de 2020, por lo que, este Órgano Garante en el ámbito de sus atribuciones establecidas en los artículos 13 y 181 de la Ley de Transparencia y Acceso a la Información Pública del Estado de México y Municipios; </w:t>
      </w:r>
      <w:r>
        <w:rPr>
          <w:rFonts w:ascii="Palatino Linotype" w:hAnsi="Palatino Linotype"/>
        </w:rPr>
        <w:t xml:space="preserve">bajo el amparo del principio de máxima publicidad y pro persona; </w:t>
      </w:r>
      <w:r>
        <w:rPr>
          <w:rFonts w:ascii="Palatino Linotype" w:hAnsi="Palatino Linotype" w:cs="Arial"/>
          <w:color w:val="000000" w:themeColor="text1"/>
          <w:lang w:val="es-ES"/>
        </w:rPr>
        <w:t>determina que la información solicitada corresponderá a la generada, poseída o administrada respecto de</w:t>
      </w:r>
      <w:r>
        <w:rPr>
          <w:rFonts w:ascii="Palatino Linotype" w:hAnsi="Palatino Linotype"/>
          <w:lang w:val="es-ES"/>
        </w:rPr>
        <w:t xml:space="preserve"> “</w:t>
      </w:r>
      <w:r>
        <w:rPr>
          <w:rFonts w:ascii="Palatino Linotype" w:hAnsi="Palatino Linotype"/>
          <w:i/>
          <w:lang w:val="es-ES"/>
        </w:rPr>
        <w:t xml:space="preserve">las resoluciones de los recursos de inconformidad notificados a la Titular de la Unidad de Transparencia en los años </w:t>
      </w:r>
      <w:r>
        <w:rPr>
          <w:rFonts w:ascii="Palatino Linotype" w:hAnsi="Palatino Linotype"/>
          <w:lang w:val="es-ES"/>
        </w:rPr>
        <w:t>2019 y 2020</w:t>
      </w:r>
      <w:r>
        <w:rPr>
          <w:rFonts w:ascii="Palatino Linotype" w:hAnsi="Palatino Linotype"/>
          <w:i/>
          <w:lang w:val="es-ES"/>
        </w:rPr>
        <w:t xml:space="preserve"> derivados de la plataforma SAIMEX y SARCOEM” </w:t>
      </w:r>
      <w:r>
        <w:rPr>
          <w:rFonts w:ascii="Palatino Linotype" w:hAnsi="Palatino Linotype"/>
          <w:lang w:val="es-ES"/>
        </w:rPr>
        <w:t>del</w:t>
      </w:r>
      <w:r>
        <w:rPr>
          <w:rFonts w:ascii="Palatino Linotype" w:hAnsi="Palatino Linotype" w:cs="Arial"/>
          <w:color w:val="000000" w:themeColor="text1"/>
          <w:lang w:val="es-ES"/>
        </w:rPr>
        <w:t xml:space="preserve"> 1 de enero de 2019 al 25 de febrero de 2020, y por lo que respecta a “</w:t>
      </w:r>
      <w:r>
        <w:rPr>
          <w:rFonts w:ascii="Palatino Linotype" w:hAnsi="Palatino Linotype"/>
          <w:i/>
          <w:lang w:val="es-ES"/>
        </w:rPr>
        <w:t xml:space="preserve">las solicitudes y respuestas que se ingresaron mediante plataforma SAIMEX a partir </w:t>
      </w:r>
      <w:r>
        <w:rPr>
          <w:rFonts w:ascii="Palatino Linotype" w:hAnsi="Palatino Linotype"/>
          <w:lang w:val="es-ES"/>
        </w:rPr>
        <w:t>del 1 de enero 2015 al 25 de Marzo de 2020</w:t>
      </w:r>
      <w:r>
        <w:rPr>
          <w:rFonts w:ascii="Palatino Linotype" w:hAnsi="Palatino Linotype"/>
          <w:i/>
          <w:lang w:val="es-ES"/>
        </w:rPr>
        <w:t xml:space="preserve"> así como los recursos de revisión y sus resoluciones”</w:t>
      </w:r>
      <w:r>
        <w:rPr>
          <w:rFonts w:ascii="Palatino Linotype" w:hAnsi="Palatino Linotype" w:cs="Arial"/>
        </w:rPr>
        <w:t xml:space="preserve"> del primero de enero de 2015 al 25 de febrero de 2020, fecha en que fue presentada la solicitud, sirve de sustento el criterio número 03/2019, emitido por el Instituto Nacional de Transparencia, Acceso a la Información Pública y Protección de Datos Personales (INAI), </w:t>
      </w:r>
      <w:r>
        <w:rPr>
          <w:rFonts w:ascii="Palatino Linotype" w:hAnsi="Palatino Linotype" w:cs="Arial"/>
        </w:rPr>
        <w:tab/>
        <w:t>que a la letra refiere:</w:t>
      </w:r>
    </w:p>
    <w:p w:rsidR="00BB0015" w:rsidRDefault="00BB0015">
      <w:pPr>
        <w:spacing w:line="360" w:lineRule="auto"/>
        <w:contextualSpacing/>
        <w:jc w:val="both"/>
        <w:rPr>
          <w:rFonts w:ascii="Palatino Linotype" w:hAnsi="Palatino Linotype" w:cs="Arial"/>
          <w:color w:val="000000" w:themeColor="text1"/>
          <w:lang w:val="es-ES"/>
        </w:rPr>
      </w:pPr>
    </w:p>
    <w:p w:rsidR="00BB0015" w:rsidRDefault="00286BA0">
      <w:pPr>
        <w:ind w:left="851" w:right="899"/>
        <w:jc w:val="both"/>
        <w:rPr>
          <w:rFonts w:ascii="Palatino Linotype" w:eastAsia="Arial" w:hAnsi="Palatino Linotype" w:cs="Arial"/>
          <w:b/>
          <w:i/>
          <w:sz w:val="22"/>
          <w:szCs w:val="22"/>
          <w:u w:val="single"/>
        </w:rPr>
      </w:pPr>
      <w:r>
        <w:rPr>
          <w:rFonts w:ascii="Palatino Linotype" w:eastAsia="Arial" w:hAnsi="Palatino Linotype" w:cs="Arial"/>
          <w:b/>
          <w:i/>
          <w:sz w:val="22"/>
          <w:szCs w:val="22"/>
        </w:rPr>
        <w:t>“Periodo de búsqueda de la información.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w:t>
      </w:r>
      <w:r>
        <w:rPr>
          <w:rFonts w:ascii="Palatino Linotype" w:eastAsia="Arial" w:hAnsi="Palatino Linotype" w:cs="Arial"/>
          <w:i/>
          <w:sz w:val="22"/>
          <w:szCs w:val="22"/>
        </w:rPr>
        <w:t xml:space="preserve"> </w:t>
      </w:r>
      <w:r>
        <w:rPr>
          <w:rFonts w:ascii="Palatino Linotype" w:eastAsia="Arial" w:hAnsi="Palatino Linotype" w:cs="Arial"/>
          <w:b/>
          <w:i/>
          <w:sz w:val="22"/>
          <w:szCs w:val="22"/>
          <w:u w:val="single"/>
        </w:rPr>
        <w:t>contado a partir de la fecha en que se presentó la solicitud.</w:t>
      </w:r>
    </w:p>
    <w:p w:rsidR="00BB0015" w:rsidRDefault="00286BA0">
      <w:pPr>
        <w:ind w:left="851" w:right="899"/>
        <w:jc w:val="both"/>
        <w:rPr>
          <w:rFonts w:ascii="Palatino Linotype" w:hAnsi="Palatino Linotype" w:cs="Arial"/>
          <w:i/>
          <w:sz w:val="22"/>
          <w:szCs w:val="22"/>
        </w:rPr>
      </w:pPr>
      <w:r>
        <w:rPr>
          <w:rFonts w:ascii="Palatino Linotype" w:eastAsia="Arial" w:hAnsi="Palatino Linotype" w:cs="Arial"/>
          <w:b/>
          <w:i/>
          <w:spacing w:val="-1"/>
          <w:sz w:val="22"/>
          <w:szCs w:val="22"/>
        </w:rPr>
        <w:t>R</w:t>
      </w:r>
      <w:r>
        <w:rPr>
          <w:rFonts w:ascii="Palatino Linotype" w:eastAsia="Arial" w:hAnsi="Palatino Linotype" w:cs="Arial"/>
          <w:b/>
          <w:i/>
          <w:sz w:val="22"/>
          <w:szCs w:val="22"/>
        </w:rPr>
        <w:t>e</w:t>
      </w:r>
      <w:r>
        <w:rPr>
          <w:rFonts w:ascii="Palatino Linotype" w:eastAsia="Arial" w:hAnsi="Palatino Linotype" w:cs="Arial"/>
          <w:b/>
          <w:i/>
          <w:spacing w:val="-1"/>
          <w:sz w:val="22"/>
          <w:szCs w:val="22"/>
        </w:rPr>
        <w:t>s</w:t>
      </w:r>
      <w:r>
        <w:rPr>
          <w:rFonts w:ascii="Palatino Linotype" w:eastAsia="Arial" w:hAnsi="Palatino Linotype" w:cs="Arial"/>
          <w:b/>
          <w:i/>
          <w:sz w:val="22"/>
          <w:szCs w:val="22"/>
        </w:rPr>
        <w:t>olucion</w:t>
      </w:r>
      <w:r>
        <w:rPr>
          <w:rFonts w:ascii="Palatino Linotype" w:eastAsia="Arial" w:hAnsi="Palatino Linotype" w:cs="Arial"/>
          <w:b/>
          <w:i/>
          <w:spacing w:val="-1"/>
          <w:sz w:val="22"/>
          <w:szCs w:val="22"/>
        </w:rPr>
        <w:t>es</w:t>
      </w:r>
    </w:p>
    <w:p w:rsidR="00BB0015" w:rsidRDefault="00286BA0">
      <w:pPr>
        <w:pStyle w:val="Prrafodelista"/>
        <w:ind w:left="851" w:right="899"/>
        <w:contextualSpacing/>
        <w:jc w:val="both"/>
        <w:rPr>
          <w:rFonts w:ascii="Palatino Linotype" w:eastAsia="Symbol" w:hAnsi="Palatino Linotype" w:cs="Arial"/>
          <w:i/>
          <w:sz w:val="22"/>
          <w:szCs w:val="22"/>
        </w:rPr>
      </w:pPr>
      <w:r>
        <w:rPr>
          <w:rFonts w:ascii="Palatino Linotype" w:eastAsia="Arial" w:hAnsi="Palatino Linotype" w:cs="Arial"/>
          <w:b/>
          <w:i/>
          <w:spacing w:val="-1"/>
          <w:sz w:val="22"/>
          <w:szCs w:val="22"/>
        </w:rPr>
        <w:t>R</w:t>
      </w:r>
      <w:r>
        <w:rPr>
          <w:rFonts w:ascii="Palatino Linotype" w:eastAsia="Arial" w:hAnsi="Palatino Linotype" w:cs="Arial"/>
          <w:b/>
          <w:i/>
          <w:spacing w:val="3"/>
          <w:sz w:val="22"/>
          <w:szCs w:val="22"/>
        </w:rPr>
        <w:t>R</w:t>
      </w:r>
      <w:r>
        <w:rPr>
          <w:rFonts w:ascii="Palatino Linotype" w:eastAsia="Arial" w:hAnsi="Palatino Linotype" w:cs="Arial"/>
          <w:b/>
          <w:i/>
          <w:sz w:val="22"/>
          <w:szCs w:val="22"/>
        </w:rPr>
        <w:t>A</w:t>
      </w:r>
      <w:r>
        <w:rPr>
          <w:rFonts w:ascii="Palatino Linotype" w:eastAsia="Arial" w:hAnsi="Palatino Linotype" w:cs="Arial"/>
          <w:b/>
          <w:i/>
          <w:spacing w:val="5"/>
          <w:sz w:val="22"/>
          <w:szCs w:val="22"/>
        </w:rPr>
        <w:t xml:space="preserve"> 0022</w:t>
      </w:r>
      <w:r>
        <w:rPr>
          <w:rFonts w:ascii="Palatino Linotype" w:eastAsia="Arial" w:hAnsi="Palatino Linotype" w:cs="Arial"/>
          <w:b/>
          <w:i/>
          <w:spacing w:val="-1"/>
          <w:sz w:val="22"/>
          <w:szCs w:val="22"/>
        </w:rPr>
        <w:t>/17</w:t>
      </w:r>
      <w:r>
        <w:rPr>
          <w:rFonts w:ascii="Palatino Linotype" w:eastAsia="Arial" w:hAnsi="Palatino Linotype" w:cs="Arial"/>
          <w:b/>
          <w:i/>
          <w:sz w:val="22"/>
          <w:szCs w:val="22"/>
        </w:rPr>
        <w:t>.</w:t>
      </w:r>
      <w:r>
        <w:rPr>
          <w:rFonts w:ascii="Palatino Linotype" w:eastAsia="Arial" w:hAnsi="Palatino Linotype" w:cs="Arial"/>
          <w:b/>
          <w:i/>
          <w:spacing w:val="15"/>
          <w:sz w:val="22"/>
          <w:szCs w:val="22"/>
        </w:rPr>
        <w:t xml:space="preserve"> </w:t>
      </w:r>
      <w:r>
        <w:rPr>
          <w:rFonts w:ascii="Palatino Linotype" w:eastAsia="Arial" w:hAnsi="Palatino Linotype" w:cs="Arial"/>
          <w:i/>
          <w:spacing w:val="-1"/>
          <w:sz w:val="22"/>
          <w:szCs w:val="22"/>
        </w:rPr>
        <w:t>Instituto Mexicano de la Propiedad Industrial</w:t>
      </w:r>
      <w:r>
        <w:rPr>
          <w:rFonts w:ascii="Palatino Linotype" w:eastAsia="Arial" w:hAnsi="Palatino Linotype" w:cs="Arial"/>
          <w:i/>
          <w:sz w:val="22"/>
          <w:szCs w:val="22"/>
        </w:rPr>
        <w:t>.</w:t>
      </w:r>
      <w:r>
        <w:rPr>
          <w:rFonts w:ascii="Palatino Linotype" w:eastAsia="Arial" w:hAnsi="Palatino Linotype" w:cs="Arial"/>
          <w:i/>
          <w:spacing w:val="4"/>
          <w:sz w:val="22"/>
          <w:szCs w:val="22"/>
        </w:rPr>
        <w:t xml:space="preserve"> 16 de febrero de 2017. Por unanimidad. </w:t>
      </w:r>
      <w:r>
        <w:rPr>
          <w:rFonts w:ascii="Palatino Linotype" w:eastAsia="Arial" w:hAnsi="Palatino Linotype" w:cs="Arial"/>
          <w:i/>
          <w:spacing w:val="-1"/>
          <w:sz w:val="22"/>
          <w:szCs w:val="22"/>
        </w:rPr>
        <w:t>C</w:t>
      </w:r>
      <w:r>
        <w:rPr>
          <w:rFonts w:ascii="Palatino Linotype" w:eastAsia="Arial" w:hAnsi="Palatino Linotype" w:cs="Arial"/>
          <w:i/>
          <w:sz w:val="22"/>
          <w:szCs w:val="22"/>
        </w:rPr>
        <w:t>omis</w:t>
      </w:r>
      <w:r>
        <w:rPr>
          <w:rFonts w:ascii="Palatino Linotype" w:eastAsia="Arial" w:hAnsi="Palatino Linotype" w:cs="Arial"/>
          <w:i/>
          <w:spacing w:val="-2"/>
          <w:sz w:val="22"/>
          <w:szCs w:val="22"/>
        </w:rPr>
        <w:t>i</w:t>
      </w:r>
      <w:r>
        <w:rPr>
          <w:rFonts w:ascii="Palatino Linotype" w:eastAsia="Arial" w:hAnsi="Palatino Linotype" w:cs="Arial"/>
          <w:i/>
          <w:sz w:val="22"/>
          <w:szCs w:val="22"/>
        </w:rPr>
        <w:t>o</w:t>
      </w:r>
      <w:r>
        <w:rPr>
          <w:rFonts w:ascii="Palatino Linotype" w:eastAsia="Arial" w:hAnsi="Palatino Linotype" w:cs="Arial"/>
          <w:i/>
          <w:spacing w:val="1"/>
          <w:sz w:val="22"/>
          <w:szCs w:val="22"/>
        </w:rPr>
        <w:t>n</w:t>
      </w:r>
      <w:r>
        <w:rPr>
          <w:rFonts w:ascii="Palatino Linotype" w:eastAsia="Arial" w:hAnsi="Palatino Linotype" w:cs="Arial"/>
          <w:i/>
          <w:sz w:val="22"/>
          <w:szCs w:val="22"/>
        </w:rPr>
        <w:t>a</w:t>
      </w:r>
      <w:r>
        <w:rPr>
          <w:rFonts w:ascii="Palatino Linotype" w:eastAsia="Arial" w:hAnsi="Palatino Linotype" w:cs="Arial"/>
          <w:i/>
          <w:spacing w:val="-1"/>
          <w:sz w:val="22"/>
          <w:szCs w:val="22"/>
        </w:rPr>
        <w:t>d</w:t>
      </w:r>
      <w:r>
        <w:rPr>
          <w:rFonts w:ascii="Palatino Linotype" w:eastAsia="Arial" w:hAnsi="Palatino Linotype" w:cs="Arial"/>
          <w:i/>
          <w:sz w:val="22"/>
          <w:szCs w:val="22"/>
        </w:rPr>
        <w:t>o</w:t>
      </w:r>
      <w:r>
        <w:rPr>
          <w:rFonts w:ascii="Palatino Linotype" w:eastAsia="Arial" w:hAnsi="Palatino Linotype" w:cs="Arial"/>
          <w:i/>
          <w:spacing w:val="3"/>
          <w:sz w:val="22"/>
          <w:szCs w:val="22"/>
        </w:rPr>
        <w:t xml:space="preserve"> </w:t>
      </w:r>
      <w:r>
        <w:rPr>
          <w:rFonts w:ascii="Palatino Linotype" w:eastAsia="Arial" w:hAnsi="Palatino Linotype" w:cs="Arial"/>
          <w:i/>
          <w:spacing w:val="-1"/>
          <w:sz w:val="22"/>
          <w:szCs w:val="22"/>
        </w:rPr>
        <w:t>P</w:t>
      </w:r>
      <w:r>
        <w:rPr>
          <w:rFonts w:ascii="Palatino Linotype" w:eastAsia="Arial" w:hAnsi="Palatino Linotype" w:cs="Arial"/>
          <w:i/>
          <w:sz w:val="22"/>
          <w:szCs w:val="22"/>
        </w:rPr>
        <w:t>o</w:t>
      </w:r>
      <w:r>
        <w:rPr>
          <w:rFonts w:ascii="Palatino Linotype" w:eastAsia="Arial" w:hAnsi="Palatino Linotype" w:cs="Arial"/>
          <w:i/>
          <w:spacing w:val="-1"/>
          <w:sz w:val="22"/>
          <w:szCs w:val="22"/>
        </w:rPr>
        <w:t>n</w:t>
      </w:r>
      <w:r>
        <w:rPr>
          <w:rFonts w:ascii="Palatino Linotype" w:eastAsia="Arial" w:hAnsi="Palatino Linotype" w:cs="Arial"/>
          <w:i/>
          <w:sz w:val="22"/>
          <w:szCs w:val="22"/>
        </w:rPr>
        <w:t>e</w:t>
      </w:r>
      <w:r>
        <w:rPr>
          <w:rFonts w:ascii="Palatino Linotype" w:eastAsia="Arial" w:hAnsi="Palatino Linotype" w:cs="Arial"/>
          <w:i/>
          <w:spacing w:val="-1"/>
          <w:sz w:val="22"/>
          <w:szCs w:val="22"/>
        </w:rPr>
        <w:t>n</w:t>
      </w:r>
      <w:r>
        <w:rPr>
          <w:rFonts w:ascii="Palatino Linotype" w:eastAsia="Arial" w:hAnsi="Palatino Linotype" w:cs="Arial"/>
          <w:i/>
          <w:spacing w:val="1"/>
          <w:sz w:val="22"/>
          <w:szCs w:val="22"/>
        </w:rPr>
        <w:t>t</w:t>
      </w:r>
      <w:r>
        <w:rPr>
          <w:rFonts w:ascii="Palatino Linotype" w:eastAsia="Arial" w:hAnsi="Palatino Linotype" w:cs="Arial"/>
          <w:i/>
          <w:sz w:val="22"/>
          <w:szCs w:val="22"/>
        </w:rPr>
        <w:t>e Francisco Javier Acuña Llamas.</w:t>
      </w:r>
    </w:p>
    <w:p w:rsidR="00BB0015" w:rsidRDefault="00B03C4E">
      <w:pPr>
        <w:pStyle w:val="Prrafodelista"/>
        <w:ind w:left="851" w:right="899"/>
        <w:contextualSpacing/>
        <w:jc w:val="both"/>
        <w:rPr>
          <w:rFonts w:ascii="Palatino Linotype" w:eastAsia="Symbol" w:hAnsi="Palatino Linotype" w:cs="Arial"/>
          <w:i/>
          <w:color w:val="000000" w:themeColor="text1"/>
          <w:sz w:val="22"/>
          <w:szCs w:val="22"/>
        </w:rPr>
      </w:pPr>
      <w:hyperlink r:id="rId16">
        <w:r w:rsidR="00286BA0">
          <w:rPr>
            <w:rStyle w:val="EnlacedeInternet"/>
            <w:rFonts w:ascii="Palatino Linotype" w:eastAsia="Symbol" w:hAnsi="Palatino Linotype" w:cs="Arial"/>
            <w:i/>
            <w:color w:val="000000" w:themeColor="text1"/>
            <w:sz w:val="22"/>
            <w:szCs w:val="22"/>
          </w:rPr>
          <w:t>http://consultas.ifai.org.mx/descargar.php?r=./pdf/resoluciones/2017/&amp;a=RRA%2022.pdf</w:t>
        </w:r>
      </w:hyperlink>
      <w:r w:rsidR="00286BA0">
        <w:rPr>
          <w:rFonts w:ascii="Palatino Linotype" w:eastAsia="Symbol" w:hAnsi="Palatino Linotype" w:cs="Arial"/>
          <w:i/>
          <w:color w:val="000000" w:themeColor="text1"/>
          <w:sz w:val="22"/>
          <w:szCs w:val="22"/>
        </w:rPr>
        <w:t xml:space="preserve"> </w:t>
      </w:r>
    </w:p>
    <w:p w:rsidR="00BB0015" w:rsidRDefault="00286BA0">
      <w:pPr>
        <w:pStyle w:val="Prrafodelista"/>
        <w:ind w:left="851" w:right="899"/>
        <w:contextualSpacing/>
        <w:jc w:val="both"/>
        <w:rPr>
          <w:rFonts w:ascii="Palatino Linotype" w:eastAsia="Arial" w:hAnsi="Palatino Linotype" w:cs="Arial"/>
          <w:b/>
          <w:i/>
          <w:color w:val="000000" w:themeColor="text1"/>
          <w:spacing w:val="-1"/>
          <w:sz w:val="22"/>
          <w:szCs w:val="22"/>
        </w:rPr>
      </w:pPr>
      <w:r>
        <w:rPr>
          <w:rFonts w:ascii="Palatino Linotype" w:eastAsia="Arial" w:hAnsi="Palatino Linotype" w:cs="Arial"/>
          <w:b/>
          <w:i/>
          <w:color w:val="000000" w:themeColor="text1"/>
          <w:spacing w:val="-1"/>
          <w:sz w:val="22"/>
          <w:szCs w:val="22"/>
        </w:rPr>
        <w:t>R</w:t>
      </w:r>
      <w:r>
        <w:rPr>
          <w:rFonts w:ascii="Palatino Linotype" w:eastAsia="Arial" w:hAnsi="Palatino Linotype" w:cs="Arial"/>
          <w:b/>
          <w:i/>
          <w:color w:val="000000" w:themeColor="text1"/>
          <w:spacing w:val="3"/>
          <w:sz w:val="22"/>
          <w:szCs w:val="22"/>
        </w:rPr>
        <w:t>R</w:t>
      </w:r>
      <w:r>
        <w:rPr>
          <w:rFonts w:ascii="Palatino Linotype" w:eastAsia="Arial" w:hAnsi="Palatino Linotype" w:cs="Arial"/>
          <w:b/>
          <w:i/>
          <w:color w:val="000000" w:themeColor="text1"/>
          <w:sz w:val="22"/>
          <w:szCs w:val="22"/>
        </w:rPr>
        <w:t>A</w:t>
      </w:r>
      <w:r>
        <w:rPr>
          <w:rFonts w:ascii="Palatino Linotype" w:eastAsia="Arial" w:hAnsi="Palatino Linotype" w:cs="Arial"/>
          <w:b/>
          <w:i/>
          <w:color w:val="000000" w:themeColor="text1"/>
          <w:spacing w:val="43"/>
          <w:sz w:val="22"/>
          <w:szCs w:val="22"/>
        </w:rPr>
        <w:t xml:space="preserve"> </w:t>
      </w:r>
      <w:r>
        <w:rPr>
          <w:rFonts w:ascii="Palatino Linotype" w:eastAsia="Arial" w:hAnsi="Palatino Linotype" w:cs="Arial"/>
          <w:b/>
          <w:i/>
          <w:color w:val="000000" w:themeColor="text1"/>
          <w:spacing w:val="5"/>
          <w:sz w:val="22"/>
          <w:szCs w:val="22"/>
        </w:rPr>
        <w:t>2536</w:t>
      </w:r>
      <w:r>
        <w:rPr>
          <w:rFonts w:ascii="Palatino Linotype" w:eastAsia="Arial" w:hAnsi="Palatino Linotype" w:cs="Arial"/>
          <w:b/>
          <w:i/>
          <w:color w:val="000000" w:themeColor="text1"/>
          <w:spacing w:val="1"/>
          <w:sz w:val="22"/>
          <w:szCs w:val="22"/>
        </w:rPr>
        <w:t>/</w:t>
      </w:r>
      <w:r>
        <w:rPr>
          <w:rFonts w:ascii="Palatino Linotype" w:eastAsia="Arial" w:hAnsi="Palatino Linotype" w:cs="Arial"/>
          <w:b/>
          <w:i/>
          <w:color w:val="000000" w:themeColor="text1"/>
          <w:sz w:val="22"/>
          <w:szCs w:val="22"/>
        </w:rPr>
        <w:t xml:space="preserve">17. </w:t>
      </w:r>
      <w:r>
        <w:rPr>
          <w:rFonts w:ascii="Palatino Linotype" w:eastAsia="Arial" w:hAnsi="Palatino Linotype" w:cs="Arial"/>
          <w:i/>
          <w:color w:val="000000" w:themeColor="text1"/>
          <w:spacing w:val="-1"/>
          <w:sz w:val="22"/>
          <w:szCs w:val="22"/>
        </w:rPr>
        <w:t>Secretaría de Gobernación</w:t>
      </w:r>
      <w:r>
        <w:rPr>
          <w:rFonts w:ascii="Palatino Linotype" w:eastAsia="Arial" w:hAnsi="Palatino Linotype" w:cs="Arial"/>
          <w:i/>
          <w:color w:val="000000" w:themeColor="text1"/>
          <w:sz w:val="22"/>
          <w:szCs w:val="22"/>
        </w:rPr>
        <w:t>. 07 de junio de 2017. Por unanimidad. Comisionada Ponente Areli Cano Guadiana.</w:t>
      </w:r>
      <w:r>
        <w:rPr>
          <w:rFonts w:ascii="Palatino Linotype" w:eastAsia="Arial" w:hAnsi="Palatino Linotype" w:cs="Arial"/>
          <w:i/>
          <w:color w:val="000000" w:themeColor="text1"/>
          <w:spacing w:val="-1"/>
          <w:position w:val="5"/>
          <w:sz w:val="22"/>
          <w:szCs w:val="22"/>
        </w:rPr>
        <w:t xml:space="preserve"> </w:t>
      </w:r>
    </w:p>
    <w:p w:rsidR="00BB0015" w:rsidRDefault="00B03C4E">
      <w:pPr>
        <w:pStyle w:val="Prrafodelista"/>
        <w:ind w:left="851" w:right="899"/>
        <w:contextualSpacing/>
        <w:jc w:val="both"/>
        <w:rPr>
          <w:rFonts w:ascii="Palatino Linotype" w:eastAsia="Arial" w:hAnsi="Palatino Linotype" w:cs="Arial"/>
          <w:i/>
          <w:color w:val="000000" w:themeColor="text1"/>
          <w:spacing w:val="-1"/>
          <w:sz w:val="22"/>
          <w:szCs w:val="22"/>
        </w:rPr>
      </w:pPr>
      <w:hyperlink r:id="rId17">
        <w:r w:rsidR="00286BA0">
          <w:rPr>
            <w:rStyle w:val="EnlacedeInternet"/>
            <w:rFonts w:ascii="Palatino Linotype" w:eastAsia="Arial" w:hAnsi="Palatino Linotype" w:cs="Arial"/>
            <w:i/>
            <w:color w:val="000000" w:themeColor="text1"/>
            <w:spacing w:val="-1"/>
            <w:sz w:val="22"/>
            <w:szCs w:val="22"/>
          </w:rPr>
          <w:t>http://consultas.ifai.org.mx/descargar.php?r=./pdf/resoluciones/2017/&amp;a=RRA%202536.pdf</w:t>
        </w:r>
      </w:hyperlink>
      <w:r w:rsidR="00286BA0">
        <w:rPr>
          <w:rFonts w:ascii="Palatino Linotype" w:eastAsia="Arial" w:hAnsi="Palatino Linotype" w:cs="Arial"/>
          <w:i/>
          <w:color w:val="000000" w:themeColor="text1"/>
          <w:spacing w:val="-1"/>
          <w:sz w:val="22"/>
          <w:szCs w:val="22"/>
        </w:rPr>
        <w:t xml:space="preserve"> </w:t>
      </w:r>
    </w:p>
    <w:p w:rsidR="00BB0015" w:rsidRDefault="00286BA0">
      <w:pPr>
        <w:pStyle w:val="Prrafodelista"/>
        <w:ind w:left="851" w:right="899"/>
        <w:contextualSpacing/>
        <w:jc w:val="both"/>
        <w:rPr>
          <w:rFonts w:ascii="Palatino Linotype" w:hAnsi="Palatino Linotype" w:cs="Arial"/>
          <w:bCs/>
          <w:i/>
          <w:sz w:val="22"/>
          <w:szCs w:val="22"/>
        </w:rPr>
      </w:pPr>
      <w:r>
        <w:rPr>
          <w:rFonts w:ascii="Palatino Linotype" w:eastAsia="Arial" w:hAnsi="Palatino Linotype" w:cs="Arial"/>
          <w:b/>
          <w:i/>
          <w:spacing w:val="-1"/>
          <w:position w:val="-1"/>
          <w:sz w:val="22"/>
          <w:szCs w:val="22"/>
        </w:rPr>
        <w:t>R</w:t>
      </w:r>
      <w:r>
        <w:rPr>
          <w:rFonts w:ascii="Palatino Linotype" w:eastAsia="Arial" w:hAnsi="Palatino Linotype" w:cs="Arial"/>
          <w:b/>
          <w:i/>
          <w:spacing w:val="3"/>
          <w:position w:val="-1"/>
          <w:sz w:val="22"/>
          <w:szCs w:val="22"/>
        </w:rPr>
        <w:t>R</w:t>
      </w:r>
      <w:r>
        <w:rPr>
          <w:rFonts w:ascii="Palatino Linotype" w:eastAsia="Arial" w:hAnsi="Palatino Linotype" w:cs="Arial"/>
          <w:b/>
          <w:i/>
          <w:position w:val="-1"/>
          <w:sz w:val="22"/>
          <w:szCs w:val="22"/>
        </w:rPr>
        <w:t xml:space="preserve">A </w:t>
      </w:r>
      <w:r>
        <w:rPr>
          <w:rFonts w:ascii="Palatino Linotype" w:eastAsia="Arial" w:hAnsi="Palatino Linotype" w:cs="Arial"/>
          <w:b/>
          <w:i/>
          <w:spacing w:val="-1"/>
          <w:position w:val="-1"/>
          <w:sz w:val="22"/>
          <w:szCs w:val="22"/>
        </w:rPr>
        <w:t>3482/17</w:t>
      </w:r>
      <w:r>
        <w:rPr>
          <w:rFonts w:ascii="Palatino Linotype" w:eastAsia="Arial" w:hAnsi="Palatino Linotype" w:cs="Arial"/>
          <w:b/>
          <w:i/>
          <w:position w:val="-1"/>
          <w:sz w:val="22"/>
          <w:szCs w:val="22"/>
        </w:rPr>
        <w:t xml:space="preserve">. </w:t>
      </w:r>
      <w:r>
        <w:rPr>
          <w:rFonts w:ascii="Palatino Linotype" w:eastAsia="Arial" w:hAnsi="Palatino Linotype" w:cs="Arial"/>
          <w:i/>
          <w:spacing w:val="-1"/>
          <w:position w:val="-1"/>
          <w:sz w:val="22"/>
          <w:szCs w:val="22"/>
        </w:rPr>
        <w:t>Secretaría de Comunicaciones y Transportes</w:t>
      </w:r>
      <w:r>
        <w:rPr>
          <w:rFonts w:ascii="Palatino Linotype" w:eastAsia="Arial" w:hAnsi="Palatino Linotype" w:cs="Arial"/>
          <w:i/>
          <w:position w:val="-1"/>
          <w:sz w:val="22"/>
          <w:szCs w:val="22"/>
        </w:rPr>
        <w:t>. 02 de agosto de 2017. Por unanimidad. Comisionado Ponente Oscar Mauricio Guerra Ford</w:t>
      </w:r>
      <w:r>
        <w:rPr>
          <w:rFonts w:ascii="Palatino Linotype" w:hAnsi="Palatino Linotype" w:cs="Arial"/>
          <w:bCs/>
          <w:i/>
          <w:sz w:val="22"/>
          <w:szCs w:val="22"/>
        </w:rPr>
        <w:t>.</w:t>
      </w:r>
    </w:p>
    <w:p w:rsidR="00BB0015" w:rsidRDefault="00286BA0">
      <w:pPr>
        <w:pStyle w:val="Prrafodelista"/>
        <w:ind w:left="851" w:right="899"/>
        <w:contextualSpacing/>
        <w:jc w:val="both"/>
        <w:rPr>
          <w:rFonts w:ascii="Palatino Linotype" w:hAnsi="Palatino Linotype" w:cs="Arial"/>
          <w:bCs/>
          <w:i/>
          <w:sz w:val="22"/>
          <w:szCs w:val="22"/>
        </w:rPr>
      </w:pPr>
      <w:r>
        <w:rPr>
          <w:rFonts w:ascii="Palatino Linotype" w:hAnsi="Palatino Linotype" w:cs="Arial"/>
          <w:bCs/>
          <w:i/>
          <w:sz w:val="22"/>
          <w:szCs w:val="22"/>
        </w:rPr>
        <w:t>http://consultas.ifai.org.mx/descargar.php?r=./pdf/resoluciones/2017/&amp;a=RRA%203482.pdf”</w:t>
      </w:r>
      <w:r>
        <w:rPr>
          <w:rFonts w:ascii="Palatino Linotype" w:eastAsia="Arial" w:hAnsi="Palatino Linotype" w:cs="Arial"/>
          <w:b/>
          <w:i/>
          <w:spacing w:val="-1"/>
          <w:sz w:val="22"/>
          <w:szCs w:val="22"/>
        </w:rPr>
        <w:t>(Énfasis añadido)</w:t>
      </w:r>
    </w:p>
    <w:p w:rsidR="00BB0015" w:rsidRDefault="00BB0015">
      <w:pPr>
        <w:spacing w:line="360" w:lineRule="auto"/>
        <w:jc w:val="both"/>
        <w:rPr>
          <w:rFonts w:ascii="Palatino Linotype" w:hAnsi="Palatino Linotype"/>
          <w:i/>
          <w:sz w:val="22"/>
          <w:szCs w:val="22"/>
          <w:lang w:val="es-ES"/>
        </w:rPr>
      </w:pPr>
    </w:p>
    <w:p w:rsidR="00BB0015" w:rsidRDefault="00286BA0">
      <w:pPr>
        <w:spacing w:beforeAutospacing="1" w:afterAutospacing="1" w:line="360" w:lineRule="auto"/>
        <w:contextualSpacing/>
        <w:jc w:val="both"/>
        <w:rPr>
          <w:rFonts w:ascii="Palatino Linotype" w:eastAsia="Calibri" w:hAnsi="Palatino Linotype" w:cs="Arial"/>
        </w:rPr>
      </w:pPr>
      <w:r>
        <w:rPr>
          <w:rFonts w:ascii="Palatino Linotype" w:eastAsia="Calibri" w:hAnsi="Palatino Linotype" w:cs="Arial"/>
        </w:rPr>
        <w:t xml:space="preserve">Ahora bien, es importante desglosar la información solicitada, con la remitida en respuesta, a efecto de verificar si </w:t>
      </w:r>
      <w:r>
        <w:rPr>
          <w:rFonts w:ascii="Palatino Linotype" w:eastAsia="Calibri" w:hAnsi="Palatino Linotype" w:cs="Arial"/>
          <w:b/>
        </w:rPr>
        <w:t xml:space="preserve">EL SUJETO OBLIGADO </w:t>
      </w:r>
      <w:r>
        <w:rPr>
          <w:rFonts w:ascii="Palatino Linotype" w:eastAsia="Calibri" w:hAnsi="Palatino Linotype" w:cs="Arial"/>
        </w:rPr>
        <w:t>satisfizo el derecho de acceso a la información del ahora</w:t>
      </w:r>
      <w:r>
        <w:rPr>
          <w:rFonts w:ascii="Palatino Linotype" w:eastAsia="Calibri" w:hAnsi="Palatino Linotype" w:cs="Arial"/>
          <w:b/>
        </w:rPr>
        <w:t xml:space="preserve"> RECURRENTE</w:t>
      </w:r>
      <w:r>
        <w:rPr>
          <w:rFonts w:ascii="Palatino Linotype" w:eastAsia="Calibri" w:hAnsi="Palatino Linotype" w:cs="Arial"/>
        </w:rPr>
        <w:t>.</w:t>
      </w:r>
    </w:p>
    <w:p w:rsidR="00BB0015" w:rsidRDefault="00BB0015">
      <w:pPr>
        <w:spacing w:beforeAutospacing="1" w:afterAutospacing="1" w:line="360" w:lineRule="auto"/>
        <w:contextualSpacing/>
        <w:jc w:val="both"/>
        <w:rPr>
          <w:rFonts w:ascii="Palatino Linotype" w:eastAsia="Calibri" w:hAnsi="Palatino Linotype" w:cs="Arial"/>
        </w:rPr>
      </w:pPr>
    </w:p>
    <w:tbl>
      <w:tblPr>
        <w:tblStyle w:val="Tablaconcuadrcula"/>
        <w:tblW w:w="9111" w:type="dxa"/>
        <w:tblLook w:val="04A0" w:firstRow="1" w:lastRow="0" w:firstColumn="1" w:lastColumn="0" w:noHBand="0" w:noVBand="1"/>
      </w:tblPr>
      <w:tblGrid>
        <w:gridCol w:w="1268"/>
        <w:gridCol w:w="5738"/>
        <w:gridCol w:w="2105"/>
      </w:tblGrid>
      <w:tr w:rsidR="00BB0015">
        <w:tc>
          <w:tcPr>
            <w:tcW w:w="2828" w:type="dxa"/>
            <w:shd w:val="clear" w:color="auto" w:fill="000000" w:themeFill="text1"/>
          </w:tcPr>
          <w:p w:rsidR="00BB0015" w:rsidRDefault="00286BA0">
            <w:pPr>
              <w:spacing w:line="360" w:lineRule="auto"/>
              <w:jc w:val="center"/>
              <w:rPr>
                <w:rFonts w:ascii="Palatino Linotype" w:hAnsi="Palatino Linotype" w:cs="Arial"/>
              </w:rPr>
            </w:pPr>
            <w:r>
              <w:rPr>
                <w:rFonts w:ascii="Palatino Linotype" w:eastAsiaTheme="minorHAnsi" w:hAnsi="Palatino Linotype" w:cs="Arial"/>
                <w:sz w:val="22"/>
              </w:rPr>
              <w:t>Solicitud</w:t>
            </w:r>
          </w:p>
        </w:tc>
        <w:tc>
          <w:tcPr>
            <w:tcW w:w="3403" w:type="dxa"/>
            <w:shd w:val="clear" w:color="auto" w:fill="000000" w:themeFill="text1"/>
          </w:tcPr>
          <w:p w:rsidR="00BB0015" w:rsidRDefault="00286BA0">
            <w:pPr>
              <w:spacing w:line="360" w:lineRule="auto"/>
              <w:jc w:val="both"/>
              <w:rPr>
                <w:rFonts w:ascii="Palatino Linotype" w:hAnsi="Palatino Linotype" w:cs="Arial"/>
              </w:rPr>
            </w:pPr>
            <w:r>
              <w:rPr>
                <w:rFonts w:ascii="Palatino Linotype" w:eastAsiaTheme="minorHAnsi" w:hAnsi="Palatino Linotype" w:cs="Arial"/>
                <w:sz w:val="22"/>
              </w:rPr>
              <w:t>Respuesta</w:t>
            </w:r>
          </w:p>
        </w:tc>
        <w:tc>
          <w:tcPr>
            <w:tcW w:w="2880" w:type="dxa"/>
            <w:shd w:val="clear" w:color="auto" w:fill="000000" w:themeFill="text1"/>
          </w:tcPr>
          <w:p w:rsidR="00BB0015" w:rsidRDefault="00286BA0">
            <w:pPr>
              <w:spacing w:line="360" w:lineRule="auto"/>
              <w:jc w:val="both"/>
              <w:rPr>
                <w:rFonts w:ascii="Palatino Linotype" w:hAnsi="Palatino Linotype" w:cs="Arial"/>
              </w:rPr>
            </w:pPr>
            <w:r>
              <w:rPr>
                <w:rFonts w:ascii="Palatino Linotype" w:eastAsiaTheme="minorHAnsi" w:hAnsi="Palatino Linotype" w:cs="Arial"/>
                <w:sz w:val="22"/>
              </w:rPr>
              <w:t>Colmó</w:t>
            </w:r>
          </w:p>
        </w:tc>
      </w:tr>
      <w:tr w:rsidR="00BB0015">
        <w:tc>
          <w:tcPr>
            <w:tcW w:w="2828" w:type="dxa"/>
          </w:tcPr>
          <w:p w:rsidR="00BB0015" w:rsidRDefault="00286BA0">
            <w:pPr>
              <w:widowControl w:val="0"/>
              <w:tabs>
                <w:tab w:val="left" w:pos="1701"/>
                <w:tab w:val="left" w:pos="1843"/>
              </w:tabs>
              <w:spacing w:beforeAutospacing="1" w:line="360" w:lineRule="auto"/>
              <w:contextualSpacing/>
              <w:jc w:val="both"/>
              <w:rPr>
                <w:rFonts w:ascii="Palatino Linotype" w:hAnsi="Palatino Linotype" w:cs="Arial"/>
                <w:sz w:val="20"/>
                <w:szCs w:val="20"/>
              </w:rPr>
            </w:pPr>
            <w:r>
              <w:rPr>
                <w:rFonts w:ascii="Palatino Linotype" w:eastAsiaTheme="minorHAnsi" w:hAnsi="Palatino Linotype" w:cs="Arial"/>
                <w:sz w:val="20"/>
                <w:szCs w:val="20"/>
              </w:rPr>
              <w:t>Las resoluciones de los recursos de inconformidad notificados a la Titular de la Unidad de Transparencia en 2019 y 2020, plataforma SAIMEX y SARCOEM.</w:t>
            </w:r>
            <w:r>
              <w:rPr>
                <w:rFonts w:ascii="Palatino Linotype" w:eastAsiaTheme="minorHAnsi" w:hAnsi="Palatino Linotype" w:cs="Arial"/>
                <w:sz w:val="20"/>
                <w:szCs w:val="20"/>
              </w:rPr>
              <w:lastRenderedPageBreak/>
              <w:tab/>
            </w:r>
          </w:p>
        </w:tc>
        <w:tc>
          <w:tcPr>
            <w:tcW w:w="3403" w:type="dxa"/>
          </w:tcPr>
          <w:p w:rsidR="00BB0015" w:rsidRDefault="00286BA0">
            <w:pPr>
              <w:spacing w:line="360" w:lineRule="auto"/>
              <w:jc w:val="both"/>
              <w:rPr>
                <w:rFonts w:ascii="Palatino Linotype" w:hAnsi="Palatino Linotype" w:cs="Arial"/>
                <w:sz w:val="20"/>
                <w:szCs w:val="20"/>
              </w:rPr>
            </w:pPr>
            <w:r>
              <w:rPr>
                <w:rFonts w:ascii="Palatino Linotype" w:eastAsiaTheme="minorHAnsi" w:hAnsi="Palatino Linotype" w:cs="Arial"/>
                <w:sz w:val="20"/>
                <w:szCs w:val="20"/>
              </w:rPr>
              <w:lastRenderedPageBreak/>
              <w:t xml:space="preserve">Mediante respuesta, </w:t>
            </w:r>
            <w:r>
              <w:rPr>
                <w:rFonts w:ascii="Palatino Linotype" w:eastAsiaTheme="minorHAnsi" w:hAnsi="Palatino Linotype" w:cs="Arial"/>
                <w:b/>
                <w:sz w:val="20"/>
                <w:szCs w:val="20"/>
              </w:rPr>
              <w:t>EL SUJETO OBLIGADO</w:t>
            </w:r>
            <w:r>
              <w:rPr>
                <w:rFonts w:ascii="Palatino Linotype" w:eastAsiaTheme="minorHAnsi" w:hAnsi="Palatino Linotype" w:cs="Arial"/>
                <w:sz w:val="20"/>
                <w:szCs w:val="20"/>
              </w:rPr>
              <w:t>, no se pronunció al respecto.</w:t>
            </w:r>
          </w:p>
        </w:tc>
        <w:tc>
          <w:tcPr>
            <w:tcW w:w="2880" w:type="dxa"/>
          </w:tcPr>
          <w:p w:rsidR="00BB0015" w:rsidRDefault="00286BA0">
            <w:pPr>
              <w:spacing w:line="360" w:lineRule="auto"/>
              <w:jc w:val="both"/>
              <w:rPr>
                <w:rFonts w:ascii="Palatino Linotype" w:hAnsi="Palatino Linotype" w:cs="Arial"/>
                <w:b/>
                <w:sz w:val="20"/>
                <w:szCs w:val="20"/>
              </w:rPr>
            </w:pPr>
            <w:r>
              <w:rPr>
                <w:rFonts w:ascii="Palatino Linotype" w:eastAsiaTheme="minorHAnsi" w:hAnsi="Palatino Linotype" w:cs="Arial"/>
                <w:b/>
                <w:sz w:val="20"/>
                <w:szCs w:val="20"/>
              </w:rPr>
              <w:t>No Colmó</w:t>
            </w:r>
          </w:p>
          <w:p w:rsidR="00BB0015" w:rsidRDefault="00BB0015">
            <w:pPr>
              <w:spacing w:line="360" w:lineRule="auto"/>
              <w:jc w:val="both"/>
              <w:rPr>
                <w:rFonts w:ascii="Palatino Linotype" w:hAnsi="Palatino Linotype" w:cs="Arial"/>
              </w:rPr>
            </w:pPr>
          </w:p>
        </w:tc>
      </w:tr>
      <w:tr w:rsidR="00BB0015">
        <w:tc>
          <w:tcPr>
            <w:tcW w:w="2828" w:type="dxa"/>
          </w:tcPr>
          <w:p w:rsidR="00BB0015" w:rsidRDefault="00286BA0">
            <w:pPr>
              <w:widowControl w:val="0"/>
              <w:tabs>
                <w:tab w:val="left" w:pos="1701"/>
                <w:tab w:val="left" w:pos="1843"/>
              </w:tabs>
              <w:spacing w:beforeAutospacing="1" w:line="360" w:lineRule="auto"/>
              <w:contextualSpacing/>
              <w:jc w:val="both"/>
              <w:rPr>
                <w:rFonts w:ascii="Palatino Linotype" w:hAnsi="Palatino Linotype" w:cs="Arial"/>
                <w:sz w:val="20"/>
                <w:szCs w:val="20"/>
              </w:rPr>
            </w:pPr>
            <w:r>
              <w:rPr>
                <w:rFonts w:ascii="Palatino Linotype" w:eastAsiaTheme="minorHAnsi" w:hAnsi="Palatino Linotype" w:cs="Arial"/>
                <w:sz w:val="20"/>
                <w:szCs w:val="20"/>
              </w:rPr>
              <w:t>Las solicitudes y respuestas que ingresaron mediante plataforma SAIMEX a partir del 1 de enero 2015 al 25 de febrero de 2020.</w:t>
            </w:r>
          </w:p>
        </w:tc>
        <w:tc>
          <w:tcPr>
            <w:tcW w:w="3403" w:type="dxa"/>
          </w:tcPr>
          <w:p w:rsidR="00BB0015" w:rsidRDefault="00286BA0">
            <w:pPr>
              <w:spacing w:line="360" w:lineRule="auto"/>
              <w:jc w:val="both"/>
              <w:rPr>
                <w:rFonts w:ascii="Palatino Linotype" w:hAnsi="Palatino Linotype" w:cs="Arial"/>
                <w:sz w:val="20"/>
                <w:szCs w:val="20"/>
              </w:rPr>
            </w:pPr>
            <w:r>
              <w:rPr>
                <w:rFonts w:ascii="Palatino Linotype" w:eastAsiaTheme="minorHAnsi" w:hAnsi="Palatino Linotype" w:cs="Arial"/>
                <w:sz w:val="20"/>
                <w:szCs w:val="20"/>
              </w:rPr>
              <w:t xml:space="preserve">Mediante respuesta, </w:t>
            </w:r>
            <w:r>
              <w:rPr>
                <w:rFonts w:ascii="Palatino Linotype" w:eastAsiaTheme="minorHAnsi" w:hAnsi="Palatino Linotype" w:cs="Arial"/>
                <w:b/>
                <w:sz w:val="20"/>
                <w:szCs w:val="20"/>
              </w:rPr>
              <w:t>EL SUJETO OBLIGADO</w:t>
            </w:r>
            <w:r>
              <w:rPr>
                <w:rFonts w:ascii="Palatino Linotype" w:eastAsiaTheme="minorHAnsi" w:hAnsi="Palatino Linotype" w:cs="Arial"/>
                <w:sz w:val="20"/>
                <w:szCs w:val="20"/>
              </w:rPr>
              <w:t>, remitió las siguientes ligas electrónicas, donde podría localizarse  dicha información:</w:t>
            </w:r>
          </w:p>
          <w:p w:rsidR="00BB0015" w:rsidRDefault="00286BA0">
            <w:pPr>
              <w:spacing w:line="360" w:lineRule="auto"/>
              <w:jc w:val="both"/>
              <w:rPr>
                <w:rFonts w:ascii="Palatino Linotype" w:hAnsi="Palatino Linotype" w:cs="Arial"/>
                <w:sz w:val="20"/>
                <w:szCs w:val="20"/>
              </w:rPr>
            </w:pPr>
            <w:r>
              <w:rPr>
                <w:rFonts w:ascii="Palatino Linotype" w:eastAsiaTheme="minorHAnsi" w:hAnsi="Palatino Linotype" w:cs="Arial"/>
                <w:sz w:val="20"/>
                <w:szCs w:val="20"/>
              </w:rPr>
              <w:t>SOLICITUDES 2011-2015</w:t>
            </w:r>
          </w:p>
          <w:p w:rsidR="00BB0015" w:rsidRDefault="00286BA0">
            <w:pPr>
              <w:spacing w:line="360" w:lineRule="auto"/>
              <w:jc w:val="both"/>
              <w:rPr>
                <w:rFonts w:ascii="Palatino Linotype" w:hAnsi="Palatino Linotype" w:cs="Arial"/>
                <w:sz w:val="20"/>
                <w:szCs w:val="20"/>
              </w:rPr>
            </w:pPr>
            <w:r>
              <w:rPr>
                <w:rFonts w:ascii="Palatino Linotype" w:eastAsiaTheme="minorHAnsi" w:hAnsi="Palatino Linotype" w:cs="Arial"/>
                <w:sz w:val="20"/>
                <w:szCs w:val="20"/>
              </w:rPr>
              <w:t>http://www.ipomex.org.mx/ipo/portal/atlacomulco/solicitudes.web</w:t>
            </w:r>
          </w:p>
          <w:p w:rsidR="00BB0015" w:rsidRDefault="00286BA0">
            <w:pPr>
              <w:spacing w:line="360" w:lineRule="auto"/>
              <w:jc w:val="both"/>
              <w:rPr>
                <w:rFonts w:ascii="Palatino Linotype" w:hAnsi="Palatino Linotype" w:cs="Arial"/>
                <w:sz w:val="20"/>
                <w:szCs w:val="20"/>
              </w:rPr>
            </w:pPr>
            <w:r>
              <w:rPr>
                <w:rFonts w:ascii="Palatino Linotype" w:eastAsiaTheme="minorHAnsi" w:hAnsi="Palatino Linotype" w:cs="Arial"/>
                <w:sz w:val="20"/>
                <w:szCs w:val="20"/>
              </w:rPr>
              <w:t>SOLICITUDES 2015-2017</w:t>
            </w:r>
          </w:p>
          <w:p w:rsidR="00BB0015" w:rsidRDefault="00286BA0">
            <w:pPr>
              <w:spacing w:line="360" w:lineRule="auto"/>
              <w:jc w:val="both"/>
              <w:rPr>
                <w:rFonts w:ascii="Palatino Linotype" w:hAnsi="Palatino Linotype" w:cs="Arial"/>
                <w:sz w:val="20"/>
                <w:szCs w:val="20"/>
              </w:rPr>
            </w:pPr>
            <w:r>
              <w:rPr>
                <w:rFonts w:ascii="Palatino Linotype" w:eastAsiaTheme="minorHAnsi" w:hAnsi="Palatino Linotype" w:cs="Arial"/>
                <w:sz w:val="20"/>
                <w:szCs w:val="20"/>
              </w:rPr>
              <w:t>http://www.ipomex.org.mx/ipo/portal/atlacomulco/solicitudes2.web</w:t>
            </w:r>
          </w:p>
          <w:p w:rsidR="00BB0015" w:rsidRDefault="00286BA0">
            <w:pPr>
              <w:spacing w:line="360" w:lineRule="auto"/>
              <w:jc w:val="both"/>
              <w:rPr>
                <w:rFonts w:ascii="Palatino Linotype" w:hAnsi="Palatino Linotype" w:cs="Arial"/>
                <w:sz w:val="20"/>
                <w:szCs w:val="20"/>
              </w:rPr>
            </w:pPr>
            <w:r>
              <w:rPr>
                <w:rFonts w:ascii="Palatino Linotype" w:eastAsiaTheme="minorHAnsi" w:hAnsi="Palatino Linotype" w:cs="Arial"/>
                <w:sz w:val="20"/>
                <w:szCs w:val="20"/>
              </w:rPr>
              <w:t>SOLICITUDES 2018 y posteriores</w:t>
            </w:r>
          </w:p>
          <w:p w:rsidR="00BB0015" w:rsidRDefault="00286BA0">
            <w:pPr>
              <w:spacing w:line="360" w:lineRule="auto"/>
              <w:jc w:val="both"/>
              <w:rPr>
                <w:rFonts w:ascii="Palatino Linotype" w:hAnsi="Palatino Linotype" w:cs="Arial"/>
                <w:sz w:val="20"/>
                <w:szCs w:val="20"/>
              </w:rPr>
            </w:pPr>
            <w:r>
              <w:rPr>
                <w:rFonts w:ascii="Palatino Linotype" w:eastAsiaTheme="minorHAnsi" w:hAnsi="Palatino Linotype" w:cs="Arial"/>
                <w:sz w:val="20"/>
                <w:szCs w:val="20"/>
              </w:rPr>
              <w:t>http://www.ipomex.org.mx/ipo3/lgt/indice/ATLACOMULCO/art_92_xvii.web</w:t>
            </w:r>
          </w:p>
        </w:tc>
        <w:tc>
          <w:tcPr>
            <w:tcW w:w="2880" w:type="dxa"/>
          </w:tcPr>
          <w:p w:rsidR="00BB0015" w:rsidRDefault="00286BA0">
            <w:pPr>
              <w:spacing w:line="360" w:lineRule="auto"/>
              <w:jc w:val="both"/>
              <w:rPr>
                <w:rFonts w:ascii="Palatino Linotype" w:hAnsi="Palatino Linotype" w:cs="Arial"/>
                <w:b/>
                <w:sz w:val="20"/>
                <w:szCs w:val="20"/>
              </w:rPr>
            </w:pPr>
            <w:r>
              <w:rPr>
                <w:rFonts w:ascii="Palatino Linotype" w:eastAsiaTheme="minorHAnsi" w:hAnsi="Palatino Linotype" w:cs="Arial"/>
                <w:b/>
                <w:sz w:val="20"/>
                <w:szCs w:val="20"/>
              </w:rPr>
              <w:t xml:space="preserve">Parcialmente </w:t>
            </w:r>
          </w:p>
          <w:p w:rsidR="00BB0015" w:rsidRDefault="00286BA0">
            <w:pPr>
              <w:spacing w:line="360" w:lineRule="auto"/>
              <w:jc w:val="both"/>
              <w:rPr>
                <w:rFonts w:ascii="Palatino Linotype" w:hAnsi="Palatino Linotype" w:cs="Arial"/>
                <w:b/>
                <w:sz w:val="20"/>
                <w:szCs w:val="20"/>
              </w:rPr>
            </w:pPr>
            <w:r>
              <w:rPr>
                <w:rFonts w:ascii="Palatino Linotype" w:eastAsiaTheme="minorHAnsi" w:hAnsi="Palatino Linotype" w:cs="Arial"/>
                <w:sz w:val="20"/>
                <w:szCs w:val="20"/>
              </w:rPr>
              <w:t>Respecto de las</w:t>
            </w:r>
            <w:r>
              <w:rPr>
                <w:rFonts w:ascii="Palatino Linotype" w:eastAsiaTheme="minorHAnsi" w:hAnsi="Palatino Linotype" w:cs="Arial"/>
                <w:b/>
                <w:sz w:val="20"/>
                <w:szCs w:val="20"/>
              </w:rPr>
              <w:t xml:space="preserve"> </w:t>
            </w:r>
            <w:r>
              <w:rPr>
                <w:rFonts w:ascii="Palatino Linotype" w:eastAsiaTheme="minorHAnsi" w:hAnsi="Palatino Linotype" w:cs="Arial"/>
                <w:sz w:val="20"/>
                <w:szCs w:val="20"/>
              </w:rPr>
              <w:t>solicitudes y respuestas que ingresaron mediante plataforma SAIMEX del 1 de enero al 25 de febrero de 2002, se encuentran incompletas, ya que fueron recibidas en esa temporalidad 71 solicitudes y aunque no a todas se les otorgó una respuesta al 25 de febrero de 2020, mediante el SAIMEX, se aprecia que se dio respuesta a un número de solicitudes, mayor al folio</w:t>
            </w:r>
            <w:r>
              <w:rPr>
                <w:rFonts w:eastAsiaTheme="minorHAnsi"/>
                <w:sz w:val="22"/>
              </w:rPr>
              <w:t xml:space="preserve"> </w:t>
            </w:r>
            <w:r>
              <w:rPr>
                <w:rFonts w:ascii="Palatino Linotype" w:eastAsiaTheme="minorHAnsi" w:hAnsi="Palatino Linotype" w:cs="Arial"/>
                <w:sz w:val="20"/>
                <w:szCs w:val="20"/>
              </w:rPr>
              <w:t xml:space="preserve">00034/ATLACOM/IP/2020, registrado la plataforma IPOMEX del </w:t>
            </w:r>
            <w:r>
              <w:rPr>
                <w:rFonts w:ascii="Palatino Linotype" w:eastAsiaTheme="minorHAnsi" w:hAnsi="Palatino Linotype" w:cs="Arial"/>
                <w:b/>
                <w:sz w:val="20"/>
                <w:szCs w:val="20"/>
              </w:rPr>
              <w:t>SUJETO OBLIGADO</w:t>
            </w:r>
            <w:r>
              <w:rPr>
                <w:rFonts w:ascii="Palatino Linotype" w:eastAsiaTheme="minorHAnsi" w:hAnsi="Palatino Linotype" w:cs="Arial"/>
                <w:sz w:val="20"/>
                <w:szCs w:val="20"/>
              </w:rPr>
              <w:t xml:space="preserve">.  </w:t>
            </w:r>
          </w:p>
        </w:tc>
      </w:tr>
      <w:tr w:rsidR="00BB0015">
        <w:tc>
          <w:tcPr>
            <w:tcW w:w="2828" w:type="dxa"/>
          </w:tcPr>
          <w:p w:rsidR="00BB0015" w:rsidRDefault="00286BA0">
            <w:pPr>
              <w:spacing w:line="360" w:lineRule="auto"/>
              <w:jc w:val="both"/>
              <w:rPr>
                <w:rFonts w:ascii="Palatino Linotype" w:hAnsi="Palatino Linotype"/>
                <w:sz w:val="20"/>
                <w:szCs w:val="20"/>
              </w:rPr>
            </w:pPr>
            <w:r>
              <w:rPr>
                <w:rFonts w:ascii="Palatino Linotype" w:eastAsiaTheme="minorHAnsi" w:hAnsi="Palatino Linotype" w:cs="Arial"/>
                <w:sz w:val="20"/>
                <w:szCs w:val="20"/>
              </w:rPr>
              <w:lastRenderedPageBreak/>
              <w:t>Los recursos de revisión y sus resoluciones del 1 de enero 2015 al 25 de febrero de 2020.</w:t>
            </w:r>
          </w:p>
        </w:tc>
        <w:tc>
          <w:tcPr>
            <w:tcW w:w="3403" w:type="dxa"/>
          </w:tcPr>
          <w:p w:rsidR="00BB0015" w:rsidRDefault="00286BA0">
            <w:pPr>
              <w:spacing w:line="360" w:lineRule="auto"/>
              <w:jc w:val="both"/>
              <w:rPr>
                <w:rFonts w:ascii="Palatino Linotype" w:hAnsi="Palatino Linotype" w:cs="Arial"/>
                <w:sz w:val="20"/>
                <w:szCs w:val="20"/>
              </w:rPr>
            </w:pPr>
            <w:r>
              <w:rPr>
                <w:rFonts w:ascii="Palatino Linotype" w:eastAsiaTheme="minorHAnsi" w:hAnsi="Palatino Linotype" w:cs="Arial"/>
                <w:sz w:val="20"/>
                <w:szCs w:val="20"/>
              </w:rPr>
              <w:t xml:space="preserve">Mediante respuesta, </w:t>
            </w:r>
            <w:r>
              <w:rPr>
                <w:rFonts w:ascii="Palatino Linotype" w:eastAsiaTheme="minorHAnsi" w:hAnsi="Palatino Linotype" w:cs="Arial"/>
                <w:b/>
                <w:sz w:val="20"/>
                <w:szCs w:val="20"/>
              </w:rPr>
              <w:t>EL SUJETO OBLIGADO</w:t>
            </w:r>
            <w:r>
              <w:rPr>
                <w:rFonts w:ascii="Palatino Linotype" w:eastAsiaTheme="minorHAnsi" w:hAnsi="Palatino Linotype" w:cs="Arial"/>
                <w:sz w:val="20"/>
                <w:szCs w:val="20"/>
              </w:rPr>
              <w:t>, señaló que la información solicitada podría consultarse en la página electrónica</w:t>
            </w:r>
          </w:p>
          <w:p w:rsidR="00BB0015" w:rsidRDefault="00286BA0">
            <w:pPr>
              <w:tabs>
                <w:tab w:val="left" w:pos="709"/>
              </w:tabs>
              <w:spacing w:line="360" w:lineRule="auto"/>
              <w:jc w:val="both"/>
              <w:rPr>
                <w:rFonts w:ascii="Palatino Linotype" w:hAnsi="Palatino Linotype" w:cs="Arial"/>
                <w:sz w:val="20"/>
                <w:szCs w:val="20"/>
              </w:rPr>
            </w:pPr>
            <w:r>
              <w:rPr>
                <w:rFonts w:ascii="Palatino Linotype" w:eastAsiaTheme="minorHAnsi" w:hAnsi="Palatino Linotype" w:cs="Arial"/>
                <w:sz w:val="20"/>
                <w:szCs w:val="20"/>
              </w:rPr>
              <w:t>RECURSOS 2019-2020</w:t>
            </w:r>
          </w:p>
          <w:p w:rsidR="00BB0015" w:rsidRDefault="00B03C4E">
            <w:pPr>
              <w:tabs>
                <w:tab w:val="left" w:pos="709"/>
              </w:tabs>
              <w:spacing w:line="360" w:lineRule="auto"/>
              <w:jc w:val="both"/>
              <w:rPr>
                <w:rFonts w:ascii="Palatino Linotype" w:hAnsi="Palatino Linotype" w:cs="Arial"/>
              </w:rPr>
            </w:pPr>
            <w:hyperlink r:id="rId18">
              <w:r w:rsidR="00286BA0">
                <w:rPr>
                  <w:rStyle w:val="EnlacedeInternet"/>
                  <w:rFonts w:ascii="Palatino Linotype" w:eastAsiaTheme="minorHAnsi" w:hAnsi="Palatino Linotype" w:cs="Arial"/>
                  <w:sz w:val="22"/>
                </w:rPr>
                <w:t>http://www.infoem.org.mx/es/node/806/</w:t>
              </w:r>
            </w:hyperlink>
          </w:p>
        </w:tc>
        <w:tc>
          <w:tcPr>
            <w:tcW w:w="2880" w:type="dxa"/>
          </w:tcPr>
          <w:p w:rsidR="00BB0015" w:rsidRDefault="00286BA0">
            <w:pPr>
              <w:spacing w:line="360" w:lineRule="auto"/>
              <w:jc w:val="both"/>
              <w:rPr>
                <w:rFonts w:ascii="Palatino Linotype" w:hAnsi="Palatino Linotype" w:cs="Arial"/>
                <w:b/>
                <w:sz w:val="20"/>
                <w:szCs w:val="20"/>
              </w:rPr>
            </w:pPr>
            <w:r>
              <w:rPr>
                <w:rFonts w:ascii="Palatino Linotype" w:eastAsiaTheme="minorHAnsi" w:hAnsi="Palatino Linotype" w:cs="Arial"/>
                <w:b/>
                <w:sz w:val="20"/>
                <w:szCs w:val="20"/>
              </w:rPr>
              <w:t>No colmó</w:t>
            </w:r>
          </w:p>
          <w:p w:rsidR="00BB0015" w:rsidRDefault="00286BA0">
            <w:pPr>
              <w:spacing w:line="360" w:lineRule="auto"/>
              <w:jc w:val="both"/>
              <w:rPr>
                <w:rFonts w:ascii="Palatino Linotype" w:hAnsi="Palatino Linotype" w:cs="Arial"/>
                <w:sz w:val="20"/>
                <w:szCs w:val="20"/>
              </w:rPr>
            </w:pPr>
            <w:r>
              <w:rPr>
                <w:rFonts w:ascii="Palatino Linotype" w:eastAsiaTheme="minorHAnsi" w:hAnsi="Palatino Linotype" w:cs="Arial"/>
                <w:sz w:val="20"/>
                <w:szCs w:val="20"/>
              </w:rPr>
              <w:t>En el link proporcionado, se advierte que el particular debe hacer una búsqueda en toda la información publicada, por lo que la fuente proporcionada no es clara y precisa.</w:t>
            </w:r>
          </w:p>
        </w:tc>
      </w:tr>
    </w:tbl>
    <w:p w:rsidR="00BB0015" w:rsidRDefault="00286BA0">
      <w:pPr>
        <w:spacing w:before="360" w:after="240" w:line="360" w:lineRule="auto"/>
        <w:jc w:val="both"/>
        <w:rPr>
          <w:rFonts w:ascii="Palatino Linotype" w:hAnsi="Palatino Linotype" w:cs="Arial"/>
          <w:lang w:eastAsia="es-MX"/>
        </w:rPr>
      </w:pPr>
      <w:r>
        <w:rPr>
          <w:rFonts w:ascii="Palatino Linotype" w:hAnsi="Palatino Linotype" w:cs="Arial"/>
          <w:lang w:eastAsia="es-MX"/>
        </w:rPr>
        <w:t xml:space="preserve">Hecho lo anterior, es importante analizar si el </w:t>
      </w:r>
      <w:r>
        <w:rPr>
          <w:rFonts w:ascii="Palatino Linotype" w:hAnsi="Palatino Linotype" w:cs="Arial"/>
          <w:b/>
          <w:lang w:eastAsia="es-MX"/>
        </w:rPr>
        <w:t>SUJETO OBLIGADO</w:t>
      </w:r>
      <w:r>
        <w:rPr>
          <w:rFonts w:ascii="Palatino Linotype" w:hAnsi="Palatino Linotype" w:cs="Arial"/>
          <w:lang w:eastAsia="es-MX"/>
        </w:rPr>
        <w:t xml:space="preserve"> colmó el derecho de acceso a la información del particular, así, es importante recordar que el ahora </w:t>
      </w:r>
      <w:r>
        <w:rPr>
          <w:rFonts w:ascii="Palatino Linotype" w:hAnsi="Palatino Linotype" w:cs="Arial"/>
          <w:b/>
          <w:lang w:eastAsia="es-MX"/>
        </w:rPr>
        <w:t>RECURRENTE</w:t>
      </w:r>
      <w:r>
        <w:rPr>
          <w:rFonts w:ascii="Palatino Linotype" w:hAnsi="Palatino Linotype" w:cs="Arial"/>
          <w:lang w:eastAsia="es-MX"/>
        </w:rPr>
        <w:t xml:space="preserve">, solicitó del </w:t>
      </w:r>
      <w:r>
        <w:rPr>
          <w:rFonts w:ascii="Palatino Linotype" w:hAnsi="Palatino Linotype" w:cs="Arial"/>
          <w:b/>
          <w:lang w:eastAsia="es-MX"/>
        </w:rPr>
        <w:t>SUJETO OBLIGADO</w:t>
      </w:r>
      <w:r>
        <w:rPr>
          <w:rFonts w:ascii="Palatino Linotype" w:hAnsi="Palatino Linotype" w:cs="Arial"/>
          <w:lang w:eastAsia="es-MX"/>
        </w:rPr>
        <w:t>, conocer lo siguiente:</w:t>
      </w:r>
    </w:p>
    <w:p w:rsidR="00BB0015" w:rsidRDefault="00286BA0">
      <w:pPr>
        <w:pStyle w:val="Prrafodelista"/>
        <w:widowControl w:val="0"/>
        <w:numPr>
          <w:ilvl w:val="0"/>
          <w:numId w:val="3"/>
        </w:numPr>
        <w:tabs>
          <w:tab w:val="left" w:pos="1701"/>
          <w:tab w:val="left" w:pos="1843"/>
        </w:tabs>
        <w:spacing w:beforeAutospacing="1" w:line="360" w:lineRule="auto"/>
        <w:contextualSpacing/>
        <w:jc w:val="both"/>
        <w:rPr>
          <w:rFonts w:ascii="Palatino Linotype" w:hAnsi="Palatino Linotype" w:cs="Arial"/>
        </w:rPr>
      </w:pPr>
      <w:r>
        <w:rPr>
          <w:rFonts w:ascii="Palatino Linotype" w:hAnsi="Palatino Linotype"/>
          <w:b/>
        </w:rPr>
        <w:t>Las resoluciones de los recursos de inconformidad notificados a la Titular de la Unidad de Transparencia en 2019 y 2020, plataforma SAIMEX y SARCOEM.</w:t>
      </w:r>
    </w:p>
    <w:p w:rsidR="00BB0015" w:rsidRDefault="00286BA0">
      <w:pPr>
        <w:pStyle w:val="Prrafodelista"/>
        <w:widowControl w:val="0"/>
        <w:numPr>
          <w:ilvl w:val="0"/>
          <w:numId w:val="3"/>
        </w:numPr>
        <w:tabs>
          <w:tab w:val="left" w:pos="1701"/>
          <w:tab w:val="left" w:pos="1843"/>
        </w:tabs>
        <w:spacing w:line="360" w:lineRule="auto"/>
        <w:contextualSpacing/>
        <w:jc w:val="both"/>
        <w:rPr>
          <w:rFonts w:ascii="Palatino Linotype" w:hAnsi="Palatino Linotype" w:cs="Arial"/>
        </w:rPr>
      </w:pPr>
      <w:r>
        <w:rPr>
          <w:rFonts w:ascii="Palatino Linotype" w:hAnsi="Palatino Linotype"/>
          <w:b/>
        </w:rPr>
        <w:t>Las solicitudes y respuestas que ingresaron mediante plataforma SAIMEX a partir del 1 de enero 2015 al 25 de febrero de 2020.</w:t>
      </w:r>
    </w:p>
    <w:p w:rsidR="00BB0015" w:rsidRDefault="00286BA0">
      <w:pPr>
        <w:pStyle w:val="Prrafodelista"/>
        <w:widowControl w:val="0"/>
        <w:numPr>
          <w:ilvl w:val="0"/>
          <w:numId w:val="3"/>
        </w:numPr>
        <w:tabs>
          <w:tab w:val="left" w:pos="1701"/>
          <w:tab w:val="left" w:pos="1843"/>
        </w:tabs>
        <w:spacing w:afterAutospacing="1" w:line="360" w:lineRule="auto"/>
        <w:contextualSpacing/>
        <w:jc w:val="both"/>
        <w:rPr>
          <w:rFonts w:ascii="Palatino Linotype" w:hAnsi="Palatino Linotype" w:cs="Arial"/>
        </w:rPr>
      </w:pPr>
      <w:r>
        <w:rPr>
          <w:rFonts w:ascii="Palatino Linotype" w:hAnsi="Palatino Linotype"/>
          <w:b/>
        </w:rPr>
        <w:t>Los recursos de revisión y sus resoluciones del 1 de enero 2015 al 25 de febrero de 2020.</w:t>
      </w:r>
    </w:p>
    <w:p w:rsidR="00BB0015" w:rsidRDefault="00286BA0">
      <w:pPr>
        <w:tabs>
          <w:tab w:val="left" w:pos="709"/>
        </w:tabs>
        <w:spacing w:line="360" w:lineRule="auto"/>
        <w:jc w:val="both"/>
        <w:rPr>
          <w:rFonts w:ascii="Palatino Linotype" w:hAnsi="Palatino Linotype"/>
        </w:rPr>
      </w:pPr>
      <w:r>
        <w:rPr>
          <w:rFonts w:ascii="Palatino Linotype" w:hAnsi="Palatino Linotype" w:cs="Arial"/>
        </w:rPr>
        <w:t xml:space="preserve">Respecto de las </w:t>
      </w:r>
      <w:r>
        <w:rPr>
          <w:rFonts w:ascii="Palatino Linotype" w:hAnsi="Palatino Linotype"/>
        </w:rPr>
        <w:t xml:space="preserve">resoluciones de los recursos de inconformidad notificados a la Titular de la Unidad de Transparencia en los años 2019 y 2020, plataforma SAIMEX y SARCOEM, </w:t>
      </w:r>
      <w:r>
        <w:rPr>
          <w:rFonts w:ascii="Palatino Linotype" w:hAnsi="Palatino Linotype"/>
          <w:b/>
        </w:rPr>
        <w:t>EL SUJETO OBLIGADO</w:t>
      </w:r>
      <w:r>
        <w:rPr>
          <w:rFonts w:ascii="Palatino Linotype" w:hAnsi="Palatino Linotype"/>
        </w:rPr>
        <w:t xml:space="preserve">, no se pronunció al respecto, por lo que, es necesario remitirnos al artículo 196 de la Ley de Transparencia y Acceso a la </w:t>
      </w:r>
      <w:r>
        <w:rPr>
          <w:rFonts w:ascii="Palatino Linotype" w:hAnsi="Palatino Linotype"/>
        </w:rPr>
        <w:lastRenderedPageBreak/>
        <w:t>Información Pública del Estado de México y Municipios, donde se contempla que los particulares podrán optar por presentar el recurso de inconformidad ante el INAI o el poder Judicial de la Federación, conforme a lo previsto la Ley General de  Transparencia y Acceso a la Información Pública, la cual señala en sus artículos 159 y 160 que procederá el recurso de inconformidad ante el INAI o ante el Poder Judicial de la Federación, respecto de las resoluciones a los recursos de revisión resueltos por los Órganos Garantes Estatales, que confirmen o modifiquen la clasificación de la información, o confirmen la inexistencia o negativa de información; la cual, una vez seguida la secuela procesal, se emitirá una resolución que deberá ser notificada a los Sujetos Obligados, de conformidad con su numeral 70, tal y como se advierte a continuación:</w:t>
      </w:r>
    </w:p>
    <w:p w:rsidR="00BB0015" w:rsidRDefault="00286BA0">
      <w:pPr>
        <w:tabs>
          <w:tab w:val="left" w:pos="709"/>
        </w:tabs>
        <w:ind w:left="709" w:right="899"/>
        <w:jc w:val="center"/>
        <w:rPr>
          <w:rFonts w:ascii="Palatino Linotype" w:hAnsi="Palatino Linotype"/>
          <w:b/>
          <w:i/>
          <w:sz w:val="22"/>
          <w:szCs w:val="22"/>
        </w:rPr>
      </w:pPr>
      <w:r>
        <w:rPr>
          <w:rFonts w:ascii="Palatino Linotype" w:hAnsi="Palatino Linotype"/>
          <w:b/>
          <w:i/>
          <w:sz w:val="22"/>
          <w:szCs w:val="22"/>
        </w:rPr>
        <w:t xml:space="preserve">Ley de Transparencia y Acceso a la Información Pública del </w:t>
      </w:r>
    </w:p>
    <w:p w:rsidR="00BB0015" w:rsidRDefault="00286BA0">
      <w:pPr>
        <w:tabs>
          <w:tab w:val="left" w:pos="709"/>
        </w:tabs>
        <w:ind w:left="709" w:right="899"/>
        <w:jc w:val="center"/>
        <w:rPr>
          <w:rFonts w:ascii="Palatino Linotype" w:hAnsi="Palatino Linotype"/>
          <w:b/>
          <w:i/>
          <w:sz w:val="22"/>
          <w:szCs w:val="22"/>
        </w:rPr>
      </w:pPr>
      <w:r>
        <w:rPr>
          <w:rFonts w:ascii="Palatino Linotype" w:hAnsi="Palatino Linotype"/>
          <w:b/>
          <w:i/>
          <w:sz w:val="22"/>
          <w:szCs w:val="22"/>
        </w:rPr>
        <w:t>Estado de México y Municipios</w:t>
      </w:r>
    </w:p>
    <w:p w:rsidR="00BB0015" w:rsidRDefault="00BB0015">
      <w:pPr>
        <w:tabs>
          <w:tab w:val="left" w:pos="709"/>
        </w:tabs>
        <w:ind w:left="709" w:right="899"/>
        <w:jc w:val="both"/>
        <w:rPr>
          <w:rFonts w:ascii="Palatino Linotype" w:hAnsi="Palatino Linotype"/>
          <w:i/>
          <w:sz w:val="22"/>
          <w:szCs w:val="22"/>
        </w:rPr>
      </w:pPr>
    </w:p>
    <w:p w:rsidR="00BB0015" w:rsidRDefault="00286BA0">
      <w:pPr>
        <w:tabs>
          <w:tab w:val="left" w:pos="709"/>
        </w:tabs>
        <w:ind w:left="709" w:right="899"/>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196.</w:t>
      </w:r>
      <w:r>
        <w:rPr>
          <w:rFonts w:ascii="Palatino Linotype" w:hAnsi="Palatino Linotype"/>
          <w:i/>
          <w:sz w:val="22"/>
          <w:szCs w:val="22"/>
        </w:rPr>
        <w:t xml:space="preserve"> Los particulares podrán impugnar las determinaciones o resoluciones del Instituto ante el Instituto Nacional o el Poder Judicial de la Federación, conforme a lo previsto en la Ley General.” (SIC)</w:t>
      </w:r>
    </w:p>
    <w:p w:rsidR="00BB0015" w:rsidRDefault="00BB0015">
      <w:pPr>
        <w:tabs>
          <w:tab w:val="left" w:pos="709"/>
        </w:tabs>
        <w:ind w:left="709" w:right="899"/>
        <w:jc w:val="both"/>
        <w:rPr>
          <w:rFonts w:ascii="Palatino Linotype" w:hAnsi="Palatino Linotype"/>
          <w:i/>
          <w:sz w:val="22"/>
          <w:szCs w:val="22"/>
        </w:rPr>
      </w:pPr>
    </w:p>
    <w:p w:rsidR="00BB0015" w:rsidRDefault="00286BA0">
      <w:pPr>
        <w:tabs>
          <w:tab w:val="left" w:pos="709"/>
        </w:tabs>
        <w:ind w:left="709" w:right="899"/>
        <w:jc w:val="center"/>
        <w:rPr>
          <w:rFonts w:ascii="Palatino Linotype" w:hAnsi="Palatino Linotype"/>
          <w:b/>
          <w:i/>
          <w:sz w:val="22"/>
          <w:szCs w:val="22"/>
        </w:rPr>
      </w:pPr>
      <w:r>
        <w:rPr>
          <w:rFonts w:ascii="Palatino Linotype" w:hAnsi="Palatino Linotype"/>
          <w:b/>
          <w:i/>
          <w:sz w:val="22"/>
          <w:szCs w:val="22"/>
        </w:rPr>
        <w:t>Ley General de Transparencia y Acceso a la Información Pública</w:t>
      </w:r>
    </w:p>
    <w:p w:rsidR="00BB0015" w:rsidRDefault="00BB0015">
      <w:pPr>
        <w:tabs>
          <w:tab w:val="left" w:pos="709"/>
        </w:tabs>
        <w:ind w:left="709" w:right="899"/>
        <w:jc w:val="both"/>
        <w:rPr>
          <w:rFonts w:ascii="Palatino Linotype" w:hAnsi="Palatino Linotype"/>
          <w:i/>
          <w:sz w:val="22"/>
          <w:szCs w:val="22"/>
        </w:rPr>
      </w:pPr>
    </w:p>
    <w:p w:rsidR="00BB0015" w:rsidRDefault="00286BA0">
      <w:pPr>
        <w:tabs>
          <w:tab w:val="left" w:pos="709"/>
        </w:tabs>
        <w:ind w:left="709" w:right="899"/>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159.</w:t>
      </w:r>
      <w:r>
        <w:rPr>
          <w:rFonts w:ascii="Palatino Linotype" w:hAnsi="Palatino Linotype"/>
          <w:i/>
          <w:sz w:val="22"/>
          <w:szCs w:val="22"/>
        </w:rPr>
        <w:t xml:space="preserve"> Tratándose de las resoluciones a los recursos de revisión de los Organismos garantes de las Entidades Federativas, los particulares podrán optar por acudir ante el Instituto o ante el Poder Judicial de la Federación.</w:t>
      </w:r>
    </w:p>
    <w:p w:rsidR="00BB0015" w:rsidRDefault="00286BA0">
      <w:pPr>
        <w:tabs>
          <w:tab w:val="left" w:pos="709"/>
        </w:tabs>
        <w:ind w:left="709" w:right="899"/>
        <w:jc w:val="both"/>
        <w:rPr>
          <w:rFonts w:ascii="Palatino Linotype" w:hAnsi="Palatino Linotype"/>
          <w:b/>
          <w:i/>
          <w:sz w:val="22"/>
          <w:szCs w:val="22"/>
        </w:rPr>
      </w:pPr>
      <w:r>
        <w:rPr>
          <w:rFonts w:ascii="Palatino Linotype" w:hAnsi="Palatino Linotype"/>
          <w:b/>
          <w:i/>
          <w:sz w:val="22"/>
          <w:szCs w:val="22"/>
        </w:rPr>
        <w:t>Artículo 160.</w:t>
      </w:r>
      <w:r>
        <w:rPr>
          <w:rFonts w:ascii="Palatino Linotype" w:hAnsi="Palatino Linotype"/>
          <w:i/>
          <w:sz w:val="22"/>
          <w:szCs w:val="22"/>
        </w:rPr>
        <w:t xml:space="preserve"> </w:t>
      </w:r>
      <w:r>
        <w:rPr>
          <w:rFonts w:ascii="Palatino Linotype" w:hAnsi="Palatino Linotype"/>
          <w:b/>
          <w:i/>
          <w:sz w:val="22"/>
          <w:szCs w:val="22"/>
          <w:u w:val="single"/>
        </w:rPr>
        <w:t>El recurso de inconformidad procede contra las resoluciones emitidas por los Organismos garantes de las Entidades Federativas que:</w:t>
      </w:r>
    </w:p>
    <w:p w:rsidR="00BB0015" w:rsidRDefault="00286BA0">
      <w:pPr>
        <w:tabs>
          <w:tab w:val="left" w:pos="709"/>
        </w:tabs>
        <w:ind w:left="709" w:right="899"/>
        <w:jc w:val="both"/>
        <w:rPr>
          <w:rFonts w:ascii="Palatino Linotype" w:hAnsi="Palatino Linotype"/>
          <w:b/>
          <w:i/>
          <w:sz w:val="22"/>
          <w:szCs w:val="22"/>
        </w:rPr>
      </w:pPr>
      <w:r>
        <w:rPr>
          <w:rFonts w:ascii="Palatino Linotype" w:hAnsi="Palatino Linotype"/>
          <w:b/>
          <w:i/>
          <w:sz w:val="22"/>
          <w:szCs w:val="22"/>
        </w:rPr>
        <w:t>I. Confirmen o modifiquen la clasificación de la información, o</w:t>
      </w:r>
    </w:p>
    <w:p w:rsidR="00BB0015" w:rsidRDefault="00286BA0">
      <w:pPr>
        <w:tabs>
          <w:tab w:val="left" w:pos="709"/>
        </w:tabs>
        <w:ind w:left="709" w:right="899"/>
        <w:jc w:val="both"/>
        <w:rPr>
          <w:rFonts w:ascii="Palatino Linotype" w:hAnsi="Palatino Linotype"/>
          <w:b/>
          <w:i/>
          <w:sz w:val="22"/>
          <w:szCs w:val="22"/>
        </w:rPr>
      </w:pPr>
      <w:r>
        <w:rPr>
          <w:rFonts w:ascii="Palatino Linotype" w:hAnsi="Palatino Linotype"/>
          <w:b/>
          <w:i/>
          <w:sz w:val="22"/>
          <w:szCs w:val="22"/>
        </w:rPr>
        <w:t>II. Confirmen la inexistencia o negativa de información.</w:t>
      </w:r>
    </w:p>
    <w:p w:rsidR="00BB0015" w:rsidRDefault="00286BA0">
      <w:pPr>
        <w:tabs>
          <w:tab w:val="left" w:pos="709"/>
        </w:tabs>
        <w:ind w:left="709" w:right="899"/>
        <w:jc w:val="both"/>
        <w:rPr>
          <w:rFonts w:ascii="Palatino Linotype" w:hAnsi="Palatino Linotype"/>
          <w:i/>
          <w:sz w:val="22"/>
          <w:szCs w:val="22"/>
        </w:rPr>
      </w:pPr>
      <w:r>
        <w:rPr>
          <w:rFonts w:ascii="Palatino Linotype" w:hAnsi="Palatino Linotype"/>
          <w:i/>
          <w:sz w:val="22"/>
          <w:szCs w:val="22"/>
        </w:rPr>
        <w:t>Se entenderá como negativa de acceso a la información la falta de resolución de los Organismos garantes de las Entidades Federativas dentro del plazo previsto para ello.</w:t>
      </w:r>
    </w:p>
    <w:p w:rsidR="00BB0015" w:rsidRDefault="00286BA0">
      <w:pPr>
        <w:tabs>
          <w:tab w:val="left" w:pos="709"/>
        </w:tabs>
        <w:ind w:left="709" w:right="899"/>
        <w:jc w:val="both"/>
        <w:rPr>
          <w:rFonts w:ascii="Palatino Linotype" w:hAnsi="Palatino Linotype"/>
          <w:i/>
          <w:sz w:val="22"/>
          <w:szCs w:val="22"/>
        </w:rPr>
      </w:pPr>
      <w:r>
        <w:rPr>
          <w:rFonts w:ascii="Palatino Linotype" w:hAnsi="Palatino Linotype"/>
          <w:i/>
          <w:sz w:val="22"/>
          <w:szCs w:val="22"/>
        </w:rPr>
        <w:t xml:space="preserve">Artículo 161. El recurso de inconformidad deberá presentarse dentro de los quince días posteriores a que se tuvo conocimiento de la resolución o que se venza el plazo para </w:t>
      </w:r>
      <w:r>
        <w:rPr>
          <w:rFonts w:ascii="Palatino Linotype" w:hAnsi="Palatino Linotype"/>
          <w:i/>
          <w:sz w:val="22"/>
          <w:szCs w:val="22"/>
        </w:rPr>
        <w:lastRenderedPageBreak/>
        <w:t>que fuera emitido, mediante el sistema electrónico que al efecto establezca el Instituto, o por escrito, ante el Instituto o el organismo garante que hubiere emitido la resolución.</w:t>
      </w:r>
    </w:p>
    <w:p w:rsidR="00BB0015" w:rsidRDefault="00286BA0">
      <w:pPr>
        <w:tabs>
          <w:tab w:val="left" w:pos="709"/>
        </w:tabs>
        <w:ind w:left="709" w:right="899"/>
        <w:jc w:val="both"/>
        <w:rPr>
          <w:rFonts w:ascii="Palatino Linotype" w:hAnsi="Palatino Linotype"/>
          <w:i/>
          <w:sz w:val="22"/>
          <w:szCs w:val="22"/>
        </w:rPr>
      </w:pPr>
      <w:r>
        <w:rPr>
          <w:rFonts w:ascii="Palatino Linotype" w:hAnsi="Palatino Linotype"/>
          <w:i/>
          <w:sz w:val="22"/>
          <w:szCs w:val="22"/>
        </w:rPr>
        <w:t>En caso de presentarse recurso de inconformidad por escrito ante el organismo garante de la Entidad Federativa, éste deberá hacerlo del conocimiento del Instituto al día siguiente de su recepción, acompañándolo con la resolución impugnada, a través de la Plataforma Nacional.</w:t>
      </w:r>
    </w:p>
    <w:p w:rsidR="00BB0015" w:rsidRDefault="00286BA0">
      <w:pPr>
        <w:tabs>
          <w:tab w:val="left" w:pos="709"/>
        </w:tabs>
        <w:ind w:left="709" w:right="899"/>
        <w:jc w:val="both"/>
        <w:rPr>
          <w:rFonts w:ascii="Palatino Linotype" w:hAnsi="Palatino Linotype"/>
          <w:i/>
          <w:sz w:val="22"/>
          <w:szCs w:val="22"/>
        </w:rPr>
      </w:pPr>
      <w:r>
        <w:rPr>
          <w:rFonts w:ascii="Palatino Linotype" w:hAnsi="Palatino Linotype"/>
          <w:i/>
          <w:sz w:val="22"/>
          <w:szCs w:val="22"/>
        </w:rPr>
        <w:t>Independientemente de la vía a través de la cual sea interpuesto el recurso de inconformidad, el Expediente respectivo deberá obrar en la Plataforma Nacional.</w:t>
      </w:r>
    </w:p>
    <w:p w:rsidR="00BB0015" w:rsidRDefault="00286BA0">
      <w:pPr>
        <w:tabs>
          <w:tab w:val="left" w:pos="709"/>
        </w:tabs>
        <w:ind w:left="709" w:right="899"/>
        <w:jc w:val="both"/>
        <w:rPr>
          <w:rFonts w:ascii="Palatino Linotype" w:hAnsi="Palatino Linotype"/>
          <w:i/>
          <w:sz w:val="22"/>
          <w:szCs w:val="22"/>
        </w:rPr>
      </w:pPr>
      <w:r>
        <w:rPr>
          <w:rFonts w:ascii="Palatino Linotype" w:hAnsi="Palatino Linotype"/>
          <w:b/>
          <w:i/>
          <w:sz w:val="22"/>
          <w:szCs w:val="22"/>
        </w:rPr>
        <w:t>Artículo 170</w:t>
      </w:r>
      <w:r>
        <w:rPr>
          <w:rFonts w:ascii="Palatino Linotype" w:hAnsi="Palatino Linotype"/>
          <w:i/>
          <w:sz w:val="22"/>
          <w:szCs w:val="22"/>
        </w:rPr>
        <w:t>. Las resoluciones del Instituto podrán:</w:t>
      </w:r>
    </w:p>
    <w:p w:rsidR="00BB0015" w:rsidRDefault="00286BA0">
      <w:pPr>
        <w:tabs>
          <w:tab w:val="left" w:pos="709"/>
        </w:tabs>
        <w:ind w:left="709" w:right="899"/>
        <w:jc w:val="both"/>
        <w:rPr>
          <w:rFonts w:ascii="Palatino Linotype" w:hAnsi="Palatino Linotype"/>
          <w:i/>
          <w:sz w:val="22"/>
          <w:szCs w:val="22"/>
        </w:rPr>
      </w:pPr>
      <w:r>
        <w:rPr>
          <w:rFonts w:ascii="Palatino Linotype" w:hAnsi="Palatino Linotype"/>
          <w:i/>
          <w:sz w:val="22"/>
          <w:szCs w:val="22"/>
        </w:rPr>
        <w:t>I. Desechar o sobreseer el recurso de inconformidad;</w:t>
      </w:r>
    </w:p>
    <w:p w:rsidR="00BB0015" w:rsidRDefault="00286BA0">
      <w:pPr>
        <w:tabs>
          <w:tab w:val="left" w:pos="709"/>
        </w:tabs>
        <w:ind w:left="709" w:right="899"/>
        <w:jc w:val="both"/>
        <w:rPr>
          <w:rFonts w:ascii="Palatino Linotype" w:hAnsi="Palatino Linotype"/>
          <w:i/>
          <w:sz w:val="22"/>
          <w:szCs w:val="22"/>
        </w:rPr>
      </w:pPr>
      <w:r>
        <w:rPr>
          <w:rFonts w:ascii="Palatino Linotype" w:hAnsi="Palatino Linotype"/>
          <w:i/>
          <w:sz w:val="22"/>
          <w:szCs w:val="22"/>
        </w:rPr>
        <w:t>II. Confirmar la resolución del organismo garante, o</w:t>
      </w:r>
    </w:p>
    <w:p w:rsidR="00BB0015" w:rsidRDefault="00286BA0">
      <w:pPr>
        <w:tabs>
          <w:tab w:val="left" w:pos="709"/>
        </w:tabs>
        <w:ind w:left="709" w:right="899"/>
        <w:jc w:val="both"/>
        <w:rPr>
          <w:rFonts w:ascii="Palatino Linotype" w:hAnsi="Palatino Linotype"/>
          <w:i/>
          <w:sz w:val="22"/>
          <w:szCs w:val="22"/>
        </w:rPr>
      </w:pPr>
      <w:r>
        <w:rPr>
          <w:rFonts w:ascii="Palatino Linotype" w:hAnsi="Palatino Linotype"/>
          <w:i/>
          <w:sz w:val="22"/>
          <w:szCs w:val="22"/>
        </w:rPr>
        <w:t>III. Revocar o modificar la resolución del organismo garante.</w:t>
      </w:r>
    </w:p>
    <w:p w:rsidR="00BB0015" w:rsidRDefault="00BB0015">
      <w:pPr>
        <w:tabs>
          <w:tab w:val="left" w:pos="709"/>
        </w:tabs>
        <w:ind w:left="709" w:right="899"/>
        <w:jc w:val="both"/>
        <w:rPr>
          <w:rFonts w:ascii="Palatino Linotype" w:hAnsi="Palatino Linotype"/>
          <w:b/>
          <w:i/>
          <w:sz w:val="22"/>
          <w:szCs w:val="22"/>
          <w:u w:val="single"/>
        </w:rPr>
      </w:pPr>
    </w:p>
    <w:p w:rsidR="00BB0015" w:rsidRDefault="00286BA0">
      <w:pPr>
        <w:tabs>
          <w:tab w:val="left" w:pos="709"/>
        </w:tabs>
        <w:ind w:left="709" w:right="899"/>
        <w:jc w:val="both"/>
        <w:rPr>
          <w:rFonts w:ascii="Palatino Linotype" w:hAnsi="Palatino Linotype"/>
          <w:b/>
          <w:i/>
          <w:sz w:val="22"/>
          <w:szCs w:val="22"/>
        </w:rPr>
      </w:pPr>
      <w:r>
        <w:rPr>
          <w:rFonts w:ascii="Palatino Linotype" w:hAnsi="Palatino Linotype"/>
          <w:b/>
          <w:i/>
          <w:sz w:val="22"/>
          <w:szCs w:val="22"/>
          <w:u w:val="single"/>
        </w:rPr>
        <w:t xml:space="preserve">La resolución será notificada al inconforme, al sujeto obligado, al organismo garante responsable y, en su caso, al tercero interesado, a través de la Plataforma Nacional.” </w:t>
      </w:r>
      <w:r>
        <w:rPr>
          <w:rFonts w:ascii="Palatino Linotype" w:hAnsi="Palatino Linotype"/>
          <w:b/>
          <w:i/>
          <w:sz w:val="22"/>
          <w:szCs w:val="22"/>
        </w:rPr>
        <w:t>(Sic)</w:t>
      </w:r>
    </w:p>
    <w:p w:rsidR="00BB0015" w:rsidRDefault="00286BA0">
      <w:pPr>
        <w:tabs>
          <w:tab w:val="left" w:pos="709"/>
        </w:tabs>
        <w:ind w:left="709" w:right="899"/>
        <w:jc w:val="both"/>
        <w:rPr>
          <w:rFonts w:ascii="Palatino Linotype" w:hAnsi="Palatino Linotype"/>
          <w:b/>
          <w:i/>
          <w:sz w:val="22"/>
          <w:szCs w:val="22"/>
        </w:rPr>
      </w:pPr>
      <w:r>
        <w:rPr>
          <w:rFonts w:ascii="Palatino Linotype" w:hAnsi="Palatino Linotype"/>
          <w:b/>
          <w:i/>
          <w:sz w:val="22"/>
          <w:szCs w:val="22"/>
        </w:rPr>
        <w:t>(Énfasis añadido)</w:t>
      </w:r>
    </w:p>
    <w:p w:rsidR="00BB0015" w:rsidRDefault="00BB0015">
      <w:pPr>
        <w:tabs>
          <w:tab w:val="left" w:pos="709"/>
        </w:tabs>
        <w:spacing w:line="360" w:lineRule="auto"/>
        <w:jc w:val="both"/>
        <w:rPr>
          <w:rFonts w:ascii="Palatino Linotype" w:hAnsi="Palatino Linotype"/>
          <w:i/>
        </w:rPr>
      </w:pPr>
    </w:p>
    <w:p w:rsidR="00BB0015" w:rsidRDefault="00286BA0">
      <w:pPr>
        <w:tabs>
          <w:tab w:val="left" w:pos="709"/>
        </w:tabs>
        <w:spacing w:line="360" w:lineRule="auto"/>
        <w:jc w:val="both"/>
        <w:rPr>
          <w:rFonts w:ascii="Palatino Linotype" w:hAnsi="Palatino Linotype"/>
        </w:rPr>
      </w:pPr>
      <w:r>
        <w:rPr>
          <w:rFonts w:ascii="Palatino Linotype" w:hAnsi="Palatino Linotype"/>
        </w:rPr>
        <w:t xml:space="preserve">Aunado a lo anterior, </w:t>
      </w:r>
      <w:r>
        <w:rPr>
          <w:rFonts w:ascii="Palatino Linotype" w:hAnsi="Palatino Linotype"/>
          <w:b/>
        </w:rPr>
        <w:t>EL SUJETO OBLIGADO,</w:t>
      </w:r>
      <w:r>
        <w:rPr>
          <w:rFonts w:ascii="Palatino Linotype" w:hAnsi="Palatino Linotype"/>
        </w:rPr>
        <w:t xml:space="preserve"> deberá de hacer entrega de las resoluciones emitidas en los recursos de inconformidad de los que fue parte, notificados a la Titular de la Unidad de Transparencia, durante del 1 de enero de 2019 al 25 de febrero de 2020, en </w:t>
      </w:r>
      <w:r>
        <w:rPr>
          <w:rFonts w:ascii="Palatino Linotype" w:hAnsi="Palatino Linotype"/>
          <w:b/>
        </w:rPr>
        <w:t xml:space="preserve">versión pública </w:t>
      </w:r>
      <w:r>
        <w:rPr>
          <w:rFonts w:ascii="Palatino Linotype" w:hAnsi="Palatino Linotype"/>
        </w:rPr>
        <w:t xml:space="preserve">y para el caso de que no haya sido parte en algún procedimiento derivado del recurso de inconformidad, deberá de hacerlo del conocimiento del </w:t>
      </w:r>
      <w:r>
        <w:rPr>
          <w:rFonts w:ascii="Palatino Linotype" w:hAnsi="Palatino Linotype"/>
          <w:b/>
        </w:rPr>
        <w:t>RECURRENTE</w:t>
      </w:r>
      <w:r>
        <w:rPr>
          <w:rFonts w:ascii="Palatino Linotype" w:hAnsi="Palatino Linotype"/>
        </w:rPr>
        <w:t>, de manera fundamentada y motivada.</w:t>
      </w:r>
    </w:p>
    <w:p w:rsidR="00BB0015" w:rsidRDefault="00BB0015">
      <w:pPr>
        <w:widowControl w:val="0"/>
        <w:tabs>
          <w:tab w:val="left" w:pos="1701"/>
          <w:tab w:val="left" w:pos="1843"/>
        </w:tabs>
        <w:spacing w:line="360" w:lineRule="auto"/>
        <w:contextualSpacing/>
        <w:jc w:val="both"/>
        <w:rPr>
          <w:rFonts w:ascii="Palatino Linotype" w:hAnsi="Palatino Linotype"/>
        </w:rPr>
      </w:pPr>
    </w:p>
    <w:p w:rsidR="00BB0015" w:rsidRDefault="00286BA0">
      <w:pPr>
        <w:widowControl w:val="0"/>
        <w:tabs>
          <w:tab w:val="left" w:pos="1701"/>
          <w:tab w:val="left" w:pos="1843"/>
        </w:tabs>
        <w:spacing w:line="360" w:lineRule="auto"/>
        <w:contextualSpacing/>
        <w:jc w:val="both"/>
        <w:rPr>
          <w:rFonts w:ascii="Palatino Linotype" w:hAnsi="Palatino Linotype"/>
        </w:rPr>
      </w:pPr>
      <w:r>
        <w:rPr>
          <w:rFonts w:ascii="Palatino Linotype" w:hAnsi="Palatino Linotype"/>
        </w:rPr>
        <w:t xml:space="preserve">Siguiendo con el análisis de lo solicitado por el particular; requirió de igual forma, las solicitudes y respuestas que ingresaron mediante plataforma SAIMEX a partir del 1 de enero 2015 al 25 de febrero de 2020, así como los recursos de revisión y sus resoluciones, por lo que, mediante respuesta </w:t>
      </w:r>
      <w:r>
        <w:rPr>
          <w:rFonts w:ascii="Palatino Linotype" w:hAnsi="Palatino Linotype"/>
          <w:b/>
        </w:rPr>
        <w:t>EL SUJETO OBLIGADO</w:t>
      </w:r>
      <w:r>
        <w:rPr>
          <w:rFonts w:ascii="Palatino Linotype" w:hAnsi="Palatino Linotype"/>
        </w:rPr>
        <w:t>, señaló que dicha información podría ser consultada en las siguientes ligas electrónicas:</w:t>
      </w:r>
    </w:p>
    <w:p w:rsidR="00BB0015" w:rsidRDefault="00BB0015">
      <w:pPr>
        <w:tabs>
          <w:tab w:val="left" w:pos="709"/>
        </w:tabs>
        <w:spacing w:line="360" w:lineRule="auto"/>
        <w:jc w:val="both"/>
        <w:rPr>
          <w:rFonts w:ascii="Palatino Linotype" w:hAnsi="Palatino Linotype"/>
        </w:rPr>
      </w:pPr>
    </w:p>
    <w:p w:rsidR="00BB0015" w:rsidRDefault="00286BA0">
      <w:pPr>
        <w:tabs>
          <w:tab w:val="left" w:pos="709"/>
        </w:tabs>
        <w:spacing w:line="360" w:lineRule="auto"/>
        <w:jc w:val="both"/>
        <w:rPr>
          <w:rFonts w:ascii="Palatino Linotype" w:hAnsi="Palatino Linotype" w:cs="Arial"/>
        </w:rPr>
      </w:pPr>
      <w:r>
        <w:rPr>
          <w:rFonts w:ascii="Palatino Linotype" w:hAnsi="Palatino Linotype" w:cs="Arial"/>
        </w:rPr>
        <w:t>RECURSOS 2019-2020</w:t>
      </w:r>
    </w:p>
    <w:p w:rsidR="00BB0015" w:rsidRDefault="00B03C4E">
      <w:pPr>
        <w:tabs>
          <w:tab w:val="left" w:pos="709"/>
        </w:tabs>
        <w:spacing w:line="360" w:lineRule="auto"/>
        <w:jc w:val="both"/>
        <w:rPr>
          <w:rFonts w:ascii="Palatino Linotype" w:hAnsi="Palatino Linotype" w:cs="Arial"/>
        </w:rPr>
      </w:pPr>
      <w:hyperlink r:id="rId19">
        <w:r w:rsidR="00286BA0">
          <w:rPr>
            <w:rStyle w:val="EnlacedeInternet"/>
            <w:rFonts w:ascii="Palatino Linotype" w:hAnsi="Palatino Linotype" w:cs="Arial"/>
          </w:rPr>
          <w:t>http://www.infoem.org.mx/es/node/806/</w:t>
        </w:r>
      </w:hyperlink>
    </w:p>
    <w:p w:rsidR="00BB0015" w:rsidRDefault="00286BA0">
      <w:pPr>
        <w:tabs>
          <w:tab w:val="left" w:pos="709"/>
        </w:tabs>
        <w:spacing w:line="360" w:lineRule="auto"/>
        <w:jc w:val="both"/>
        <w:rPr>
          <w:rFonts w:ascii="Palatino Linotype" w:hAnsi="Palatino Linotype" w:cs="Arial"/>
        </w:rPr>
      </w:pPr>
      <w:r>
        <w:rPr>
          <w:rFonts w:ascii="Palatino Linotype" w:hAnsi="Palatino Linotype" w:cs="Arial"/>
        </w:rPr>
        <w:t>SOLICITUDES 2011-2015</w:t>
      </w:r>
    </w:p>
    <w:p w:rsidR="00BB0015" w:rsidRDefault="00B03C4E">
      <w:pPr>
        <w:tabs>
          <w:tab w:val="left" w:pos="709"/>
        </w:tabs>
        <w:spacing w:line="360" w:lineRule="auto"/>
        <w:jc w:val="both"/>
        <w:rPr>
          <w:rFonts w:ascii="Palatino Linotype" w:hAnsi="Palatino Linotype" w:cs="Arial"/>
        </w:rPr>
      </w:pPr>
      <w:hyperlink r:id="rId20">
        <w:r w:rsidR="00286BA0">
          <w:rPr>
            <w:rStyle w:val="EnlacedeInternet"/>
            <w:rFonts w:ascii="Palatino Linotype" w:hAnsi="Palatino Linotype" w:cs="Arial"/>
          </w:rPr>
          <w:t>http://www.ipomex.org.mx/ipo/portal/atlacomulco/solicitudes.web</w:t>
        </w:r>
      </w:hyperlink>
    </w:p>
    <w:p w:rsidR="00BB0015" w:rsidRDefault="00286BA0">
      <w:pPr>
        <w:tabs>
          <w:tab w:val="left" w:pos="709"/>
        </w:tabs>
        <w:spacing w:line="360" w:lineRule="auto"/>
        <w:jc w:val="both"/>
        <w:rPr>
          <w:rFonts w:ascii="Palatino Linotype" w:hAnsi="Palatino Linotype" w:cs="Arial"/>
        </w:rPr>
      </w:pPr>
      <w:r>
        <w:rPr>
          <w:rFonts w:ascii="Palatino Linotype" w:hAnsi="Palatino Linotype" w:cs="Arial"/>
        </w:rPr>
        <w:t>SOLICITUDES 2015-2017</w:t>
      </w:r>
    </w:p>
    <w:p w:rsidR="00BB0015" w:rsidRDefault="00B03C4E">
      <w:pPr>
        <w:tabs>
          <w:tab w:val="left" w:pos="709"/>
        </w:tabs>
        <w:spacing w:line="360" w:lineRule="auto"/>
        <w:jc w:val="both"/>
        <w:rPr>
          <w:rFonts w:ascii="Palatino Linotype" w:hAnsi="Palatino Linotype" w:cs="Arial"/>
        </w:rPr>
      </w:pPr>
      <w:hyperlink r:id="rId21">
        <w:r w:rsidR="00286BA0">
          <w:rPr>
            <w:rStyle w:val="EnlacedeInternet"/>
            <w:rFonts w:ascii="Palatino Linotype" w:hAnsi="Palatino Linotype" w:cs="Arial"/>
          </w:rPr>
          <w:t>http://www.ipomex.org.mx</w:t>
        </w:r>
        <w:r w:rsidR="00286BA0">
          <w:rPr>
            <w:rStyle w:val="EnlacedeInternet"/>
            <w:rFonts w:ascii="Palatino Linotype" w:hAnsi="Palatino Linotype"/>
          </w:rPr>
          <w:t>/</w:t>
        </w:r>
        <w:r w:rsidR="00286BA0">
          <w:rPr>
            <w:rStyle w:val="EnlacedeInternet"/>
            <w:rFonts w:ascii="Palatino Linotype" w:hAnsi="Palatino Linotype" w:cs="Arial"/>
          </w:rPr>
          <w:t>ipo/portal/atlacomulco/solicitudes2.web</w:t>
        </w:r>
      </w:hyperlink>
    </w:p>
    <w:p w:rsidR="00BB0015" w:rsidRDefault="00286BA0">
      <w:pPr>
        <w:tabs>
          <w:tab w:val="left" w:pos="709"/>
        </w:tabs>
        <w:spacing w:line="360" w:lineRule="auto"/>
        <w:jc w:val="both"/>
        <w:rPr>
          <w:rFonts w:ascii="Palatino Linotype" w:hAnsi="Palatino Linotype" w:cs="Arial"/>
        </w:rPr>
      </w:pPr>
      <w:r>
        <w:rPr>
          <w:rFonts w:ascii="Palatino Linotype" w:hAnsi="Palatino Linotype" w:cs="Arial"/>
        </w:rPr>
        <w:t>SOLICITUDES 2018 y posteriores</w:t>
      </w:r>
    </w:p>
    <w:p w:rsidR="00BB0015" w:rsidRDefault="00B03C4E">
      <w:pPr>
        <w:tabs>
          <w:tab w:val="left" w:pos="709"/>
        </w:tabs>
        <w:spacing w:line="360" w:lineRule="auto"/>
        <w:jc w:val="both"/>
        <w:rPr>
          <w:rFonts w:ascii="Palatino Linotype" w:hAnsi="Palatino Linotype" w:cs="Arial"/>
        </w:rPr>
      </w:pPr>
      <w:hyperlink r:id="rId22">
        <w:r w:rsidR="00286BA0">
          <w:rPr>
            <w:rStyle w:val="EnlacedeInternet"/>
            <w:rFonts w:ascii="Palatino Linotype" w:hAnsi="Palatino Linotype" w:cs="Arial"/>
          </w:rPr>
          <w:t>http://www.ipomex.org.mx/ipo3/lgt/indice/ATLACOMULCO/art_92_xvii.web</w:t>
        </w:r>
      </w:hyperlink>
    </w:p>
    <w:p w:rsidR="00BB0015" w:rsidRDefault="00BB0015">
      <w:pPr>
        <w:tabs>
          <w:tab w:val="left" w:pos="709"/>
        </w:tabs>
        <w:spacing w:line="360" w:lineRule="auto"/>
        <w:jc w:val="both"/>
        <w:rPr>
          <w:rFonts w:ascii="Palatino Linotype" w:hAnsi="Palatino Linotype" w:cs="Arial"/>
        </w:rPr>
      </w:pPr>
    </w:p>
    <w:p w:rsidR="00BB0015" w:rsidRDefault="00286BA0">
      <w:pPr>
        <w:tabs>
          <w:tab w:val="left" w:pos="709"/>
        </w:tabs>
        <w:spacing w:line="360" w:lineRule="auto"/>
        <w:jc w:val="both"/>
        <w:rPr>
          <w:rFonts w:ascii="Palatino Linotype" w:hAnsi="Palatino Linotype" w:cs="Arial"/>
        </w:rPr>
      </w:pPr>
      <w:r>
        <w:rPr>
          <w:rFonts w:ascii="Palatino Linotype" w:hAnsi="Palatino Linotype" w:cs="Arial"/>
          <w:lang w:eastAsia="es-MX"/>
        </w:rPr>
        <w:t>Atento a esto, esta Ponencia Resolutora, se dio a la tarea de analizar si a través de las ligas electrónicas proporcionadas, se encuentra lo solicitado en este punto por el particular, localizándose lo siguiente:</w:t>
      </w:r>
    </w:p>
    <w:p w:rsidR="00BB0015" w:rsidRDefault="00BB0015">
      <w:pPr>
        <w:tabs>
          <w:tab w:val="left" w:pos="709"/>
        </w:tabs>
        <w:spacing w:line="360" w:lineRule="auto"/>
        <w:jc w:val="both"/>
        <w:rPr>
          <w:rFonts w:ascii="Palatino Linotype" w:hAnsi="Palatino Linotype" w:cs="Arial"/>
        </w:rPr>
      </w:pPr>
    </w:p>
    <w:p w:rsidR="00BB0015" w:rsidRDefault="00286BA0">
      <w:pPr>
        <w:tabs>
          <w:tab w:val="left" w:pos="709"/>
        </w:tabs>
        <w:spacing w:line="360" w:lineRule="auto"/>
        <w:jc w:val="both"/>
        <w:rPr>
          <w:rFonts w:ascii="Palatino Linotype" w:hAnsi="Palatino Linotype" w:cs="Arial"/>
        </w:rPr>
      </w:pPr>
      <w:r>
        <w:rPr>
          <w:rFonts w:ascii="Palatino Linotype" w:hAnsi="Palatino Linotype" w:cs="Arial"/>
        </w:rPr>
        <w:t>RECURSOS 2019-2020</w:t>
      </w:r>
    </w:p>
    <w:p w:rsidR="00BB0015" w:rsidRDefault="006B760E">
      <w:pPr>
        <w:tabs>
          <w:tab w:val="left" w:pos="709"/>
        </w:tabs>
        <w:spacing w:line="360" w:lineRule="auto"/>
        <w:jc w:val="both"/>
        <w:rPr>
          <w:rFonts w:ascii="Palatino Linotype" w:hAnsi="Palatino Linotype" w:cs="Arial"/>
        </w:rPr>
      </w:pPr>
      <w:r>
        <w:rPr>
          <w:rFonts w:ascii="Palatino Linotype" w:hAnsi="Palatino Linotype" w:cs="Arial"/>
          <w:noProof/>
          <w:color w:val="035899"/>
          <w:lang w:eastAsia="es-MX"/>
        </w:rPr>
        <mc:AlternateContent>
          <mc:Choice Requires="wps">
            <w:drawing>
              <wp:anchor distT="0" distB="0" distL="114300" distR="114300" simplePos="0" relativeHeight="251659264" behindDoc="0" locked="0" layoutInCell="1" allowOverlap="1">
                <wp:simplePos x="0" y="0"/>
                <wp:positionH relativeFrom="column">
                  <wp:posOffset>-22861</wp:posOffset>
                </wp:positionH>
                <wp:positionV relativeFrom="paragraph">
                  <wp:posOffset>273050</wp:posOffset>
                </wp:positionV>
                <wp:extent cx="5972175" cy="2381250"/>
                <wp:effectExtent l="38100" t="38100" r="66675" b="95250"/>
                <wp:wrapNone/>
                <wp:docPr id="54" name="Conector recto 54"/>
                <wp:cNvGraphicFramePr/>
                <a:graphic xmlns:a="http://schemas.openxmlformats.org/drawingml/2006/main">
                  <a:graphicData uri="http://schemas.microsoft.com/office/word/2010/wordprocessingShape">
                    <wps:wsp>
                      <wps:cNvCnPr/>
                      <wps:spPr>
                        <a:xfrm>
                          <a:off x="0" y="0"/>
                          <a:ext cx="5972175" cy="23812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12DDD46" id="Conector recto 5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pt,21.5pt" to="468.4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w9/vwEAAMcDAAAOAAAAZHJzL2Uyb0RvYy54bWysU9uO0zAQfUfiHyy/01yWskvUdB+6ghcE&#10;FZcP8DrjxpJvGpsm/XvGbptFgLQS2hc7Y885M+d4srmfrWFHwKi963mzqjkDJ/2g3aHnP75/eHPH&#10;WUzCDcJ4Bz0/QeT329evNlPooPWjNwMgIxIXuyn0fEwpdFUV5QhWxJUP4OhSebQiUYiHakAxEbs1&#10;VVvX76rJ4xDQS4iRTh/Ol3xb+JUCmb4oFSEx03PqLZUVy/qY12q7Ed0BRRi1vLQh/qMLK7SjogvV&#10;g0iC/UT9F5XVEn30Kq2kt5VXSksoGkhNU/+h5tsoAhQtZE4Mi03x5Wjl5+MemR56vn7LmROW3mhH&#10;LyWTR4Z5Y3RBLk0hdpS8c3u8RDHsMUueFdq8kxg2F2dPi7MwJybpcP3+tm1u15xJumtv7pp2Xbyv&#10;nuABY/oI3rL80XOjXZYuOnH8FBOVpNRrCgW5nXMD5SudDORk476CIjlUsi3oMkiwM8iOgkZASAku&#10;NVkQ8ZXsDFPamAVYPw+85GcolCFbwM3z4AVRKnuXFrDVzuO/CNJ8bVmd868OnHVnCx79cCpPU6yh&#10;aSkKL5Odx/H3uMCf/r/tLwAAAP//AwBQSwMEFAAGAAgAAAAhAM3+1uzdAAAACQEAAA8AAABkcnMv&#10;ZG93bnJldi54bWxMj0tPwzAQhO9I/AdrK3FrnSYoakKcCiEhcaSBA0cnXvJo/JDtNum/ZznBcWdG&#10;s99Ux1XP7Io+jNYI2O8SYGg6q0bTC/j8eN0egIUojZKzNSjghgGO9f1dJUtlF3PCaxN7RiUmlFLA&#10;EKMrOQ/dgFqGnXVoyPu2XstIp++58nKhcj3zNElyruVo6MMgHb4M2J2bixbw5dspfbstLrVT3hST&#10;w/T9hEI8bNbnJ2AR1/gXhl98QoeamFp7MSqwWcA2yykp4DGjSeQXWV4Aa0nYHxLgdcX/L6h/AAAA&#10;//8DAFBLAQItABQABgAIAAAAIQC2gziS/gAAAOEBAAATAAAAAAAAAAAAAAAAAAAAAABbQ29udGVu&#10;dF9UeXBlc10ueG1sUEsBAi0AFAAGAAgAAAAhADj9If/WAAAAlAEAAAsAAAAAAAAAAAAAAAAALwEA&#10;AF9yZWxzLy5yZWxzUEsBAi0AFAAGAAgAAAAhAG9DD3+/AQAAxwMAAA4AAAAAAAAAAAAAAAAALgIA&#10;AGRycy9lMm9Eb2MueG1sUEsBAi0AFAAGAAgAAAAhAM3+1uzdAAAACQEAAA8AAAAAAAAAAAAAAAAA&#10;GQQAAGRycy9kb3ducmV2LnhtbFBLBQYAAAAABAAEAPMAAAAjBQAAAAA=&#10;" strokecolor="#4f81bd [3204]" strokeweight="2pt">
                <v:shadow on="t" color="black" opacity="24903f" origin=",.5" offset="0,.55556mm"/>
              </v:line>
            </w:pict>
          </mc:Fallback>
        </mc:AlternateContent>
      </w:r>
      <w:hyperlink r:id="rId23">
        <w:r w:rsidR="00286BA0">
          <w:rPr>
            <w:rStyle w:val="EnlacedeInternet"/>
            <w:rFonts w:ascii="Palatino Linotype" w:hAnsi="Palatino Linotype" w:cs="Arial"/>
          </w:rPr>
          <w:t>http://www.infoem.org.mx/es/node/806/</w:t>
        </w:r>
      </w:hyperlink>
    </w:p>
    <w:p w:rsidR="00BB0015" w:rsidRDefault="00286BA0">
      <w:pPr>
        <w:tabs>
          <w:tab w:val="left" w:pos="709"/>
        </w:tabs>
        <w:spacing w:line="360" w:lineRule="auto"/>
        <w:jc w:val="both"/>
        <w:rPr>
          <w:rFonts w:ascii="Palatino Linotype" w:hAnsi="Palatino Linotype" w:cs="Arial"/>
        </w:rPr>
      </w:pPr>
      <w:r>
        <w:rPr>
          <w:noProof/>
          <w:lang w:eastAsia="es-MX"/>
        </w:rPr>
        <w:lastRenderedPageBreak/>
        <w:drawing>
          <wp:inline distT="0" distB="0" distL="0" distR="0">
            <wp:extent cx="5772150" cy="4476750"/>
            <wp:effectExtent l="0" t="0" r="0" b="0"/>
            <wp:docPr id="5"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2"/>
                    <pic:cNvPicPr>
                      <a:picLocks noChangeAspect="1" noChangeArrowheads="1"/>
                    </pic:cNvPicPr>
                  </pic:nvPicPr>
                  <pic:blipFill>
                    <a:blip r:embed="rId24"/>
                    <a:srcRect l="6411" t="4168" r="7245" b="6373"/>
                    <a:stretch>
                      <a:fillRect/>
                    </a:stretch>
                  </pic:blipFill>
                  <pic:spPr bwMode="auto">
                    <a:xfrm>
                      <a:off x="0" y="0"/>
                      <a:ext cx="5772150" cy="4476750"/>
                    </a:xfrm>
                    <a:prstGeom prst="rect">
                      <a:avLst/>
                    </a:prstGeom>
                  </pic:spPr>
                </pic:pic>
              </a:graphicData>
            </a:graphic>
          </wp:inline>
        </w:drawing>
      </w:r>
    </w:p>
    <w:p w:rsidR="00BB0015" w:rsidRDefault="00286BA0">
      <w:pPr>
        <w:spacing w:before="360" w:after="240" w:line="360" w:lineRule="auto"/>
        <w:jc w:val="both"/>
        <w:rPr>
          <w:rFonts w:ascii="Palatino Linotype" w:hAnsi="Palatino Linotype"/>
        </w:rPr>
      </w:pPr>
      <w:r>
        <w:rPr>
          <w:rFonts w:ascii="Palatino Linotype" w:hAnsi="Palatino Linotype" w:cs="Arial"/>
        </w:rPr>
        <w:t xml:space="preserve">Ahora bien, es importante traer a colación lo estipulado en el artículo </w:t>
      </w:r>
      <w:r>
        <w:rPr>
          <w:rFonts w:ascii="Palatino Linotype" w:hAnsi="Palatino Linotype"/>
        </w:rPr>
        <w:t xml:space="preserve">161 </w:t>
      </w:r>
      <w:r>
        <w:rPr>
          <w:rFonts w:ascii="Palatino Linotype" w:hAnsi="Palatino Linotype"/>
          <w:lang w:eastAsia="es-ES_tradnl"/>
        </w:rPr>
        <w:t xml:space="preserve">de la Ley de </w:t>
      </w:r>
      <w:r>
        <w:rPr>
          <w:rFonts w:ascii="Palatino Linotype" w:hAnsi="Palatino Linotype"/>
          <w:shd w:val="clear" w:color="auto" w:fill="FFFFFF"/>
        </w:rPr>
        <w:t>Transparencia</w:t>
      </w:r>
      <w:r>
        <w:rPr>
          <w:rFonts w:ascii="Palatino Linotype" w:hAnsi="Palatino Linotype"/>
          <w:lang w:eastAsia="es-ES_tradnl"/>
        </w:rPr>
        <w:t xml:space="preserve"> y Acceso a la </w:t>
      </w:r>
      <w:r>
        <w:rPr>
          <w:rFonts w:ascii="Palatino Linotype" w:hAnsi="Palatino Linotype" w:cs="Arial"/>
        </w:rPr>
        <w:t>Información</w:t>
      </w:r>
      <w:r>
        <w:rPr>
          <w:rFonts w:ascii="Palatino Linotype" w:hAnsi="Palatino Linotype"/>
          <w:lang w:eastAsia="es-ES_tradnl"/>
        </w:rPr>
        <w:t xml:space="preserve"> Pública del Estado de México y Municipios, que a la letra refiere:</w:t>
      </w:r>
    </w:p>
    <w:p w:rsidR="00BB0015" w:rsidRDefault="00286BA0">
      <w:pPr>
        <w:spacing w:before="240" w:after="240"/>
        <w:ind w:left="851" w:right="760"/>
        <w:jc w:val="both"/>
        <w:rPr>
          <w:rFonts w:ascii="Palatino Linotype" w:hAnsi="Palatino Linotype"/>
          <w:b/>
          <w:i/>
          <w:sz w:val="22"/>
          <w:szCs w:val="22"/>
        </w:rPr>
      </w:pPr>
      <w:r>
        <w:rPr>
          <w:rFonts w:ascii="Palatino Linotype" w:hAnsi="Palatino Linotype"/>
          <w:b/>
          <w:i/>
        </w:rPr>
        <w:t>Artículo 161.</w:t>
      </w:r>
      <w:r>
        <w:rPr>
          <w:rFonts w:ascii="Palatino Linotype" w:hAnsi="Palatino Linotype"/>
          <w:i/>
        </w:rPr>
        <w:t xml:space="preserve"> </w:t>
      </w:r>
      <w:r>
        <w:rPr>
          <w:rFonts w:ascii="Palatino Linotype" w:hAnsi="Palatino Linotype"/>
          <w:b/>
          <w:i/>
          <w:u w:val="single"/>
        </w:rPr>
        <w:t>Cuando la información requerida por el solicitante ya esté disponible al público</w:t>
      </w:r>
      <w:r>
        <w:rPr>
          <w:rFonts w:ascii="Palatino Linotype" w:hAnsi="Palatino Linotype"/>
          <w:i/>
        </w:rPr>
        <w:t xml:space="preserve"> en medios impresos, tales como libros, compendios, trípticos, registros públicos, </w:t>
      </w:r>
      <w:r>
        <w:rPr>
          <w:rFonts w:ascii="Palatino Linotype" w:hAnsi="Palatino Linotype"/>
          <w:b/>
          <w:i/>
          <w:u w:val="single"/>
        </w:rPr>
        <w:t>en formatos electrónicos disponibles en Internet</w:t>
      </w:r>
      <w:r>
        <w:rPr>
          <w:rFonts w:ascii="Palatino Linotype" w:hAnsi="Palatino Linotype"/>
          <w:i/>
        </w:rPr>
        <w:t xml:space="preserve"> o en cualquier otro medio, </w:t>
      </w:r>
      <w:r>
        <w:rPr>
          <w:rFonts w:ascii="Palatino Linotype" w:hAnsi="Palatino Linotype"/>
          <w:b/>
          <w:i/>
          <w:u w:val="single"/>
        </w:rPr>
        <w:t>se le hará saber por el medio requerido por el solicitante la fuente, el lugar y la forma en que puede consultar</w:t>
      </w:r>
      <w:r>
        <w:rPr>
          <w:rFonts w:ascii="Palatino Linotype" w:hAnsi="Palatino Linotype"/>
          <w:i/>
        </w:rPr>
        <w:t xml:space="preserve">, reproducir o adquirir dicha información </w:t>
      </w:r>
      <w:r>
        <w:rPr>
          <w:rFonts w:ascii="Palatino Linotype" w:hAnsi="Palatino Linotype"/>
          <w:b/>
          <w:i/>
          <w:u w:val="single"/>
        </w:rPr>
        <w:t>en un plazo no mayor a cinco días hábiles</w:t>
      </w:r>
      <w:r>
        <w:rPr>
          <w:rFonts w:ascii="Palatino Linotype" w:hAnsi="Palatino Linotype"/>
          <w:i/>
        </w:rPr>
        <w:t xml:space="preserve">. </w:t>
      </w:r>
      <w:r>
        <w:rPr>
          <w:rFonts w:ascii="Palatino Linotype" w:hAnsi="Palatino Linotype"/>
          <w:b/>
          <w:i/>
        </w:rPr>
        <w:t xml:space="preserve">La fuente deberá ser precisa y concreta y no debe implicar que </w:t>
      </w:r>
      <w:r>
        <w:rPr>
          <w:rFonts w:ascii="Palatino Linotype" w:hAnsi="Palatino Linotype"/>
          <w:b/>
          <w:i/>
        </w:rPr>
        <w:lastRenderedPageBreak/>
        <w:t>el solicitante realice una búsqueda</w:t>
      </w:r>
      <w:r>
        <w:rPr>
          <w:rFonts w:ascii="Palatino Linotype" w:hAnsi="Palatino Linotype"/>
          <w:i/>
        </w:rPr>
        <w:t xml:space="preserve"> </w:t>
      </w:r>
      <w:r>
        <w:rPr>
          <w:rFonts w:ascii="Palatino Linotype" w:hAnsi="Palatino Linotype"/>
          <w:b/>
          <w:i/>
        </w:rPr>
        <w:t xml:space="preserve">en toda la información que se encuentre disponible. </w:t>
      </w:r>
    </w:p>
    <w:p w:rsidR="00BB0015" w:rsidRDefault="00286BA0">
      <w:pPr>
        <w:spacing w:before="240" w:after="240"/>
        <w:ind w:left="851" w:right="760"/>
        <w:jc w:val="both"/>
        <w:rPr>
          <w:rFonts w:ascii="Palatino Linotype" w:hAnsi="Palatino Linotype"/>
          <w:i/>
        </w:rPr>
      </w:pPr>
      <w:r>
        <w:rPr>
          <w:rFonts w:ascii="Palatino Linotype" w:hAnsi="Palatino Linotype"/>
          <w:i/>
        </w:rPr>
        <w:t>(Énfasis añadido)</w:t>
      </w:r>
    </w:p>
    <w:p w:rsidR="00BB0015" w:rsidRDefault="00286BA0">
      <w:pPr>
        <w:spacing w:before="240" w:after="240" w:line="360" w:lineRule="auto"/>
        <w:jc w:val="both"/>
        <w:rPr>
          <w:rFonts w:ascii="Palatino Linotype" w:hAnsi="Palatino Linotype"/>
        </w:rPr>
      </w:pPr>
      <w:r>
        <w:rPr>
          <w:rFonts w:ascii="Palatino Linotype" w:hAnsi="Palatino Linotype"/>
        </w:rPr>
        <w:t xml:space="preserve">En ese contexto, se advierte que una forma de colmar el derecho de acceso a la información de los solicitantes es hacer del conocimiento de los particulares, a través del medio requerido, que la información solicitada, ya se encuentra a disposición del público en formatos electrónicos disponibles en Internet, teniendo como requisitos: </w:t>
      </w:r>
    </w:p>
    <w:p w:rsidR="00BB0015" w:rsidRDefault="00286BA0">
      <w:pPr>
        <w:pStyle w:val="Prrafodelista"/>
        <w:numPr>
          <w:ilvl w:val="0"/>
          <w:numId w:val="4"/>
        </w:numPr>
        <w:spacing w:before="240" w:after="240" w:line="360" w:lineRule="auto"/>
        <w:contextualSpacing/>
        <w:jc w:val="both"/>
        <w:rPr>
          <w:rFonts w:ascii="Palatino Linotype" w:hAnsi="Palatino Linotype"/>
        </w:rPr>
      </w:pPr>
      <w:r>
        <w:rPr>
          <w:rFonts w:ascii="Palatino Linotype" w:hAnsi="Palatino Linotype"/>
        </w:rPr>
        <w:t xml:space="preserve">Que se proporcione la </w:t>
      </w:r>
      <w:r>
        <w:rPr>
          <w:rFonts w:ascii="Palatino Linotype" w:hAnsi="Palatino Linotype"/>
          <w:b/>
        </w:rPr>
        <w:t>fuente, lugar y forma de consulta</w:t>
      </w:r>
      <w:r>
        <w:rPr>
          <w:rFonts w:ascii="Palatino Linotype" w:hAnsi="Palatino Linotype"/>
        </w:rPr>
        <w:t xml:space="preserve">; </w:t>
      </w:r>
    </w:p>
    <w:p w:rsidR="00BB0015" w:rsidRDefault="00286BA0">
      <w:pPr>
        <w:pStyle w:val="Prrafodelista"/>
        <w:numPr>
          <w:ilvl w:val="0"/>
          <w:numId w:val="4"/>
        </w:numPr>
        <w:spacing w:before="240" w:after="240" w:line="360" w:lineRule="auto"/>
        <w:contextualSpacing/>
        <w:jc w:val="both"/>
        <w:rPr>
          <w:rFonts w:ascii="Palatino Linotype" w:hAnsi="Palatino Linotype"/>
        </w:rPr>
      </w:pPr>
      <w:r>
        <w:rPr>
          <w:rFonts w:ascii="Palatino Linotype" w:hAnsi="Palatino Linotype"/>
        </w:rPr>
        <w:t xml:space="preserve">Que se haga del conocimiento </w:t>
      </w:r>
      <w:r>
        <w:rPr>
          <w:rFonts w:ascii="Palatino Linotype" w:hAnsi="Palatino Linotype"/>
          <w:b/>
        </w:rPr>
        <w:t>dentro del plazo de 5 días hábiles</w:t>
      </w:r>
      <w:r>
        <w:rPr>
          <w:rFonts w:ascii="Palatino Linotype" w:hAnsi="Palatino Linotype"/>
        </w:rPr>
        <w:t xml:space="preserve"> contados a partir de la solicitud; y </w:t>
      </w:r>
    </w:p>
    <w:p w:rsidR="00BB0015" w:rsidRDefault="00286BA0">
      <w:pPr>
        <w:pStyle w:val="Prrafodelista"/>
        <w:numPr>
          <w:ilvl w:val="0"/>
          <w:numId w:val="4"/>
        </w:numPr>
        <w:spacing w:before="240" w:after="240" w:line="360" w:lineRule="auto"/>
        <w:contextualSpacing/>
        <w:jc w:val="both"/>
        <w:rPr>
          <w:rFonts w:ascii="Palatino Linotype" w:hAnsi="Palatino Linotype"/>
        </w:rPr>
      </w:pPr>
      <w:r>
        <w:rPr>
          <w:rFonts w:ascii="Palatino Linotype" w:hAnsi="Palatino Linotype"/>
        </w:rPr>
        <w:t xml:space="preserve">Que la fuente proporcionada sea </w:t>
      </w:r>
      <w:r>
        <w:rPr>
          <w:rFonts w:ascii="Palatino Linotype" w:hAnsi="Palatino Linotype"/>
          <w:b/>
        </w:rPr>
        <w:t>precisa y concreta</w:t>
      </w:r>
      <w:r>
        <w:rPr>
          <w:rFonts w:ascii="Palatino Linotype" w:hAnsi="Palatino Linotype"/>
        </w:rPr>
        <w:t xml:space="preserve">, de tal manera, que </w:t>
      </w:r>
      <w:r>
        <w:rPr>
          <w:rFonts w:ascii="Palatino Linotype" w:hAnsi="Palatino Linotype"/>
          <w:b/>
        </w:rPr>
        <w:t>no implique que los solicitantes realicen una búsqueda en toda la información</w:t>
      </w:r>
      <w:r>
        <w:rPr>
          <w:rFonts w:ascii="Palatino Linotype" w:hAnsi="Palatino Linotype"/>
        </w:rPr>
        <w:t xml:space="preserve"> que se encuentre disponible.</w:t>
      </w:r>
    </w:p>
    <w:p w:rsidR="00BB0015" w:rsidRDefault="00286BA0">
      <w:pPr>
        <w:widowControl w:val="0"/>
        <w:spacing w:before="200" w:after="200" w:line="360" w:lineRule="auto"/>
        <w:jc w:val="both"/>
        <w:rPr>
          <w:rFonts w:ascii="Palatino Linotype" w:hAnsi="Palatino Linotype"/>
        </w:rPr>
      </w:pPr>
      <w:r>
        <w:rPr>
          <w:rFonts w:ascii="Palatino Linotype" w:hAnsi="Palatino Linotype"/>
        </w:rPr>
        <w:t xml:space="preserve">Al respecto, este Órgano Garante advierte, que </w:t>
      </w:r>
      <w:r>
        <w:rPr>
          <w:rFonts w:ascii="Palatino Linotype" w:hAnsi="Palatino Linotype"/>
          <w:b/>
        </w:rPr>
        <w:t>la información solicitada concerniente a los recursos de revisión y resoluciones solicitadas por el particular, no pueden consultarse de manera precisa, concreta y directa</w:t>
      </w:r>
      <w:r>
        <w:rPr>
          <w:rFonts w:ascii="Palatino Linotype" w:hAnsi="Palatino Linotype"/>
        </w:rPr>
        <w:t xml:space="preserve">, con los datos proporcionados por </w:t>
      </w:r>
      <w:r>
        <w:rPr>
          <w:rFonts w:ascii="Palatino Linotype" w:hAnsi="Palatino Linotype"/>
          <w:b/>
        </w:rPr>
        <w:t>EL SUJETO OBLIGADO</w:t>
      </w:r>
      <w:r>
        <w:rPr>
          <w:rFonts w:ascii="Palatino Linotype" w:hAnsi="Palatino Linotype"/>
        </w:rPr>
        <w:t xml:space="preserve"> en su respuesta</w:t>
      </w:r>
      <w:r>
        <w:rPr>
          <w:rFonts w:ascii="Palatino Linotype" w:hAnsi="Palatino Linotype" w:cs="Arial"/>
          <w:color w:val="000000"/>
        </w:rPr>
        <w:t xml:space="preserve">; no obstante a que </w:t>
      </w:r>
      <w:r>
        <w:rPr>
          <w:rFonts w:ascii="Palatino Linotype" w:hAnsi="Palatino Linotype" w:cs="Arial"/>
          <w:b/>
          <w:color w:val="000000"/>
        </w:rPr>
        <w:t>la respuesta fue otorgada dentro del plazo de cinco días hábiles</w:t>
      </w:r>
      <w:r>
        <w:rPr>
          <w:rFonts w:ascii="Palatino Linotype" w:hAnsi="Palatino Linotype" w:cs="Arial"/>
          <w:color w:val="000000"/>
        </w:rPr>
        <w:t>, que señala el numeral 161 de la Ley Adjetiva; sin embargo, mediante la liga electrónica proporcionada</w:t>
      </w:r>
      <w:r>
        <w:rPr>
          <w:rFonts w:ascii="Palatino Linotype" w:hAnsi="Palatino Linotype"/>
        </w:rPr>
        <w:t xml:space="preserve">, no se otorgó </w:t>
      </w:r>
      <w:r>
        <w:rPr>
          <w:rFonts w:ascii="Palatino Linotype" w:hAnsi="Palatino Linotype"/>
          <w:b/>
        </w:rPr>
        <w:t>una fuente precisa y concreta</w:t>
      </w:r>
      <w:r>
        <w:rPr>
          <w:rFonts w:ascii="Palatino Linotype" w:hAnsi="Palatino Linotype"/>
        </w:rPr>
        <w:t xml:space="preserve">, de tal manera, que no implique que los solicitantes realicen una búsqueda en toda la información que se encuentre disponible, puesto que, al acceder a la misma, requiere de una búsqueda de la información, sin dejar atrás </w:t>
      </w:r>
      <w:r>
        <w:rPr>
          <w:rFonts w:ascii="Palatino Linotype" w:hAnsi="Palatino Linotype" w:cs="Arial"/>
        </w:rPr>
        <w:t xml:space="preserve">que los solicitantes de información no son expertos o especialistas en la materia, por lo que, </w:t>
      </w:r>
      <w:r>
        <w:rPr>
          <w:rFonts w:ascii="Palatino Linotype" w:hAnsi="Palatino Linotype"/>
        </w:rPr>
        <w:t xml:space="preserve">no </w:t>
      </w:r>
      <w:r>
        <w:rPr>
          <w:rFonts w:ascii="Palatino Linotype" w:hAnsi="Palatino Linotype"/>
        </w:rPr>
        <w:lastRenderedPageBreak/>
        <w:t xml:space="preserve">conocen los términos utilizados en el derecho de acceso a la información pública y es posible que no conozcan el concepto de </w:t>
      </w:r>
      <w:r>
        <w:rPr>
          <w:rFonts w:ascii="Palatino Linotype" w:hAnsi="Palatino Linotype"/>
          <w:b/>
        </w:rPr>
        <w:t>SUJETO OBLIGADO</w:t>
      </w:r>
      <w:r>
        <w:rPr>
          <w:rFonts w:ascii="Palatino Linotype" w:hAnsi="Palatino Linotype"/>
        </w:rPr>
        <w:t xml:space="preserve">, o el tipo de recurso de que se trate, en consecuencia, </w:t>
      </w:r>
      <w:r>
        <w:rPr>
          <w:rFonts w:ascii="Palatino Linotype" w:hAnsi="Palatino Linotype"/>
          <w:b/>
        </w:rPr>
        <w:t>EL SUJETO OBLIGADO</w:t>
      </w:r>
      <w:r>
        <w:rPr>
          <w:rFonts w:ascii="Palatino Linotype" w:hAnsi="Palatino Linotype"/>
        </w:rPr>
        <w:t xml:space="preserve">, deberá de hacer entrega de los recursos de revisión y las resoluciones en los que fue parte, del 1 de enero de 2015 al 25 de febrero de 2020, en </w:t>
      </w:r>
      <w:r>
        <w:rPr>
          <w:rFonts w:ascii="Palatino Linotype" w:hAnsi="Palatino Linotype"/>
          <w:b/>
        </w:rPr>
        <w:t>versión pública</w:t>
      </w:r>
      <w:r>
        <w:rPr>
          <w:rFonts w:ascii="Palatino Linotype" w:hAnsi="Palatino Linotype"/>
        </w:rPr>
        <w:t>.</w:t>
      </w:r>
    </w:p>
    <w:p w:rsidR="00BB0015" w:rsidRDefault="00286BA0">
      <w:pPr>
        <w:widowControl w:val="0"/>
        <w:spacing w:line="360" w:lineRule="auto"/>
        <w:jc w:val="both"/>
        <w:rPr>
          <w:rFonts w:ascii="Palatino Linotype" w:hAnsi="Palatino Linotype"/>
        </w:rPr>
      </w:pPr>
      <w:r>
        <w:rPr>
          <w:rFonts w:ascii="Palatino Linotype" w:hAnsi="Palatino Linotype"/>
        </w:rPr>
        <w:t xml:space="preserve">Ahora bien, en relación a las solicitudes recibidas y respuestas emitidas, del 1de enero de 2015 al 25 de febrero de 2020, </w:t>
      </w:r>
      <w:r>
        <w:rPr>
          <w:rFonts w:ascii="Palatino Linotype" w:hAnsi="Palatino Linotype"/>
          <w:b/>
        </w:rPr>
        <w:t>EL SUJETO OBLIGADO</w:t>
      </w:r>
      <w:r>
        <w:rPr>
          <w:rFonts w:ascii="Palatino Linotype" w:hAnsi="Palatino Linotype"/>
        </w:rPr>
        <w:t>, señaló que dicha información podría ser localizada en las siguientes ligas electrónicas:</w:t>
      </w:r>
    </w:p>
    <w:p w:rsidR="00BB0015" w:rsidRDefault="00BB0015">
      <w:pPr>
        <w:tabs>
          <w:tab w:val="left" w:pos="709"/>
        </w:tabs>
        <w:jc w:val="both"/>
        <w:rPr>
          <w:rFonts w:ascii="Palatino Linotype" w:hAnsi="Palatino Linotype" w:cs="Arial"/>
        </w:rPr>
      </w:pPr>
    </w:p>
    <w:p w:rsidR="00BB0015" w:rsidRDefault="00286BA0">
      <w:pPr>
        <w:tabs>
          <w:tab w:val="left" w:pos="709"/>
        </w:tabs>
        <w:jc w:val="both"/>
        <w:rPr>
          <w:rFonts w:ascii="Palatino Linotype" w:hAnsi="Palatino Linotype" w:cs="Arial"/>
        </w:rPr>
      </w:pPr>
      <w:r>
        <w:rPr>
          <w:rFonts w:ascii="Palatino Linotype" w:hAnsi="Palatino Linotype" w:cs="Arial"/>
        </w:rPr>
        <w:t>SOLICITUDES 2011-2015</w:t>
      </w:r>
    </w:p>
    <w:p w:rsidR="00BB0015" w:rsidRDefault="00B03C4E">
      <w:pPr>
        <w:tabs>
          <w:tab w:val="left" w:pos="709"/>
        </w:tabs>
        <w:jc w:val="both"/>
        <w:rPr>
          <w:rFonts w:ascii="Palatino Linotype" w:hAnsi="Palatino Linotype" w:cs="Arial"/>
        </w:rPr>
      </w:pPr>
      <w:hyperlink r:id="rId25"/>
      <w:r w:rsidR="00286BA0">
        <w:rPr>
          <w:rStyle w:val="EnlacedeInternet"/>
          <w:rFonts w:ascii="Palatino Linotype" w:hAnsi="Palatino Linotype" w:cs="Arial"/>
        </w:rPr>
        <w:t>http://www.ipomex.org.mx/ipo/portal/atlacomulco/solicitudes.web</w:t>
      </w:r>
    </w:p>
    <w:p w:rsidR="00BB0015" w:rsidRDefault="00286BA0">
      <w:pPr>
        <w:tabs>
          <w:tab w:val="left" w:pos="709"/>
        </w:tabs>
        <w:spacing w:line="360" w:lineRule="auto"/>
        <w:jc w:val="both"/>
        <w:rPr>
          <w:rFonts w:ascii="Palatino Linotype" w:hAnsi="Palatino Linotype" w:cs="Arial"/>
        </w:rPr>
      </w:pPr>
      <w:r>
        <w:rPr>
          <w:noProof/>
          <w:lang w:eastAsia="es-MX"/>
        </w:rPr>
        <w:drawing>
          <wp:inline distT="0" distB="0" distL="0" distR="0">
            <wp:extent cx="5772150" cy="3409950"/>
            <wp:effectExtent l="0" t="0" r="0" b="0"/>
            <wp:docPr id="7"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44"/>
                    <pic:cNvPicPr>
                      <a:picLocks noChangeAspect="1" noChangeArrowheads="1"/>
                    </pic:cNvPicPr>
                  </pic:nvPicPr>
                  <pic:blipFill>
                    <a:blip r:embed="rId26"/>
                    <a:srcRect l="6906" t="4611" r="10866" b="40581"/>
                    <a:stretch>
                      <a:fillRect/>
                    </a:stretch>
                  </pic:blipFill>
                  <pic:spPr bwMode="auto">
                    <a:xfrm>
                      <a:off x="0" y="0"/>
                      <a:ext cx="5772150" cy="3409950"/>
                    </a:xfrm>
                    <a:prstGeom prst="rect">
                      <a:avLst/>
                    </a:prstGeom>
                  </pic:spPr>
                </pic:pic>
              </a:graphicData>
            </a:graphic>
          </wp:inline>
        </w:drawing>
      </w:r>
    </w:p>
    <w:p w:rsidR="00BB0015" w:rsidRDefault="00286BA0">
      <w:pPr>
        <w:tabs>
          <w:tab w:val="left" w:pos="709"/>
        </w:tabs>
        <w:jc w:val="both"/>
        <w:rPr>
          <w:rFonts w:ascii="Palatino Linotype" w:hAnsi="Palatino Linotype" w:cs="Arial"/>
        </w:rPr>
      </w:pPr>
      <w:r>
        <w:rPr>
          <w:rFonts w:ascii="Palatino Linotype" w:hAnsi="Palatino Linotype" w:cs="Arial"/>
        </w:rPr>
        <w:t>SOLICITUDES 2015-2017</w:t>
      </w:r>
    </w:p>
    <w:p w:rsidR="00BB0015" w:rsidRDefault="00B03C4E">
      <w:pPr>
        <w:tabs>
          <w:tab w:val="left" w:pos="709"/>
        </w:tabs>
        <w:jc w:val="both"/>
        <w:rPr>
          <w:rFonts w:ascii="Palatino Linotype" w:hAnsi="Palatino Linotype" w:cs="Arial"/>
        </w:rPr>
      </w:pPr>
      <w:hyperlink r:id="rId27">
        <w:r w:rsidR="00286BA0">
          <w:rPr>
            <w:rStyle w:val="EnlacedeInternet"/>
            <w:rFonts w:ascii="Palatino Linotype" w:hAnsi="Palatino Linotype" w:cs="Arial"/>
          </w:rPr>
          <w:t>http://www.ipomex.org.mx</w:t>
        </w:r>
        <w:r w:rsidR="00286BA0">
          <w:rPr>
            <w:rStyle w:val="EnlacedeInternet"/>
            <w:rFonts w:ascii="Palatino Linotype" w:hAnsi="Palatino Linotype"/>
          </w:rPr>
          <w:t>/</w:t>
        </w:r>
        <w:r w:rsidR="00286BA0">
          <w:rPr>
            <w:rStyle w:val="EnlacedeInternet"/>
            <w:rFonts w:ascii="Palatino Linotype" w:hAnsi="Palatino Linotype" w:cs="Arial"/>
          </w:rPr>
          <w:t>ipo/portal/atlacomulco/solicitudes2.web</w:t>
        </w:r>
      </w:hyperlink>
    </w:p>
    <w:p w:rsidR="00BB0015" w:rsidRDefault="00BB0015">
      <w:pPr>
        <w:tabs>
          <w:tab w:val="left" w:pos="709"/>
        </w:tabs>
        <w:jc w:val="both"/>
        <w:rPr>
          <w:rFonts w:ascii="Palatino Linotype" w:hAnsi="Palatino Linotype" w:cs="Arial"/>
        </w:rPr>
      </w:pPr>
    </w:p>
    <w:p w:rsidR="00BB0015" w:rsidRDefault="00286BA0">
      <w:pPr>
        <w:tabs>
          <w:tab w:val="left" w:pos="709"/>
        </w:tabs>
        <w:spacing w:line="360" w:lineRule="auto"/>
        <w:jc w:val="both"/>
        <w:rPr>
          <w:rFonts w:ascii="Palatino Linotype" w:hAnsi="Palatino Linotype" w:cs="Arial"/>
        </w:rPr>
      </w:pPr>
      <w:r>
        <w:rPr>
          <w:noProof/>
          <w:lang w:eastAsia="es-MX"/>
        </w:rPr>
        <w:lastRenderedPageBreak/>
        <w:drawing>
          <wp:inline distT="0" distB="0" distL="0" distR="0">
            <wp:extent cx="5781675" cy="3371850"/>
            <wp:effectExtent l="0" t="0" r="0" b="0"/>
            <wp:docPr id="8"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45"/>
                    <pic:cNvPicPr>
                      <a:picLocks noChangeAspect="1" noChangeArrowheads="1"/>
                    </pic:cNvPicPr>
                  </pic:nvPicPr>
                  <pic:blipFill>
                    <a:blip r:embed="rId28"/>
                    <a:srcRect l="9545" t="4611" r="10541" b="27657"/>
                    <a:stretch>
                      <a:fillRect/>
                    </a:stretch>
                  </pic:blipFill>
                  <pic:spPr bwMode="auto">
                    <a:xfrm>
                      <a:off x="0" y="0"/>
                      <a:ext cx="5781675" cy="3371850"/>
                    </a:xfrm>
                    <a:prstGeom prst="rect">
                      <a:avLst/>
                    </a:prstGeom>
                  </pic:spPr>
                </pic:pic>
              </a:graphicData>
            </a:graphic>
          </wp:inline>
        </w:drawing>
      </w:r>
    </w:p>
    <w:p w:rsidR="00BB0015" w:rsidRDefault="00286BA0">
      <w:pPr>
        <w:tabs>
          <w:tab w:val="left" w:pos="709"/>
        </w:tabs>
        <w:jc w:val="both"/>
        <w:rPr>
          <w:rFonts w:ascii="Palatino Linotype" w:hAnsi="Palatino Linotype" w:cs="Arial"/>
        </w:rPr>
      </w:pPr>
      <w:r>
        <w:rPr>
          <w:rFonts w:ascii="Palatino Linotype" w:hAnsi="Palatino Linotype" w:cs="Arial"/>
        </w:rPr>
        <w:t>SOLICITUDES 2018 y posteriores</w:t>
      </w:r>
    </w:p>
    <w:p w:rsidR="00BB0015" w:rsidRDefault="00B03C4E">
      <w:pPr>
        <w:tabs>
          <w:tab w:val="left" w:pos="709"/>
        </w:tabs>
        <w:jc w:val="both"/>
        <w:rPr>
          <w:rFonts w:ascii="Palatino Linotype" w:hAnsi="Palatino Linotype" w:cs="Arial"/>
        </w:rPr>
      </w:pPr>
      <w:hyperlink r:id="rId29">
        <w:r w:rsidR="00286BA0">
          <w:rPr>
            <w:rStyle w:val="EnlacedeInternet"/>
            <w:rFonts w:ascii="Palatino Linotype" w:hAnsi="Palatino Linotype" w:cs="Arial"/>
          </w:rPr>
          <w:t>http://www.ipomex.org.mx/ipo3/lgt/indice/ATLACOMULCO/art_92_xvii.web</w:t>
        </w:r>
      </w:hyperlink>
    </w:p>
    <w:p w:rsidR="00BB0015" w:rsidRDefault="006B760E">
      <w:pPr>
        <w:tabs>
          <w:tab w:val="left" w:pos="8080"/>
        </w:tabs>
        <w:spacing w:line="360" w:lineRule="auto"/>
        <w:ind w:right="49"/>
        <w:jc w:val="both"/>
        <w:rPr>
          <w:lang w:eastAsia="es-MX"/>
        </w:rPr>
      </w:pPr>
      <w:r>
        <w:rPr>
          <w:noProof/>
          <w:lang w:eastAsia="es-MX"/>
        </w:rPr>
        <mc:AlternateContent>
          <mc:Choice Requires="wps">
            <w:drawing>
              <wp:anchor distT="0" distB="0" distL="114300" distR="114300" simplePos="0" relativeHeight="251660288" behindDoc="0" locked="0" layoutInCell="1" allowOverlap="1">
                <wp:simplePos x="0" y="0"/>
                <wp:positionH relativeFrom="column">
                  <wp:posOffset>-3811</wp:posOffset>
                </wp:positionH>
                <wp:positionV relativeFrom="paragraph">
                  <wp:posOffset>76199</wp:posOffset>
                </wp:positionV>
                <wp:extent cx="5915025" cy="3438525"/>
                <wp:effectExtent l="38100" t="19050" r="66675" b="85725"/>
                <wp:wrapNone/>
                <wp:docPr id="55" name="Conector recto 55"/>
                <wp:cNvGraphicFramePr/>
                <a:graphic xmlns:a="http://schemas.openxmlformats.org/drawingml/2006/main">
                  <a:graphicData uri="http://schemas.microsoft.com/office/word/2010/wordprocessingShape">
                    <wps:wsp>
                      <wps:cNvCnPr/>
                      <wps:spPr>
                        <a:xfrm>
                          <a:off x="0" y="0"/>
                          <a:ext cx="5915025" cy="3438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6AB1364" id="Conector recto 5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pt,6pt" to="465.45pt,2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kKrvAEAAMcDAAAOAAAAZHJzL2Uyb0RvYy54bWysU02P0zAQvSPxHyzft0m6BC1R0z10BRcE&#10;FSw/wOuMG0v+0tg06b9n7LZZBEgrob3YGXvem3nPk839bA07AkbtXc+bVc0ZOOkH7Q49//H48eaO&#10;s5iEG4TxDnp+gsjvt2/fbKbQwdqP3gyAjEhc7KbQ8zGl0FVVlCNYEVc+gKNL5dGKRCEeqgHFROzW&#10;VOu6fl9NHoeAXkKMdPpwvuTbwq8UyPRVqQiJmZ5Tb6msWNanvFbbjegOKMKo5aUN8R9dWKEdFV2o&#10;HkQS7Cfqv6isluijV2klva28UlpC0UBqmvoPNd9HEaBoIXNiWGyKr0crvxz3yPTQ87blzAlLb7Sj&#10;l5LJI8O8Mbogl6YQO0reuT1eohj2mCXPCm3eSQybi7OnxVmYE5N02H5o2npNFSTd3b67vWspIJ7q&#10;GR4wpk/gLcsfPTfaZemiE8fPMZ1TrymEy+2cGyhf6WQgJxv3DRTJoZLrgi6DBDuD7ChoBISU4FJz&#10;KV2yM0xpYxZg/TLwkp+hUIZsATcvgxdEqexdWsBWO4//IkjztWV1zr86cNadLXjyw6k8TbGGpqWY&#10;e5nsPI6/xwX+/P9tfwEAAP//AwBQSwMEFAAGAAgAAAAhAJThDKPcAAAACAEAAA8AAABkcnMvZG93&#10;bnJldi54bWxMj0tPwzAQhO9I/Adrkbi1Tl0lIiFOhZCQONLQA0cnXvJo/FDsNum/ZznBcWdGs9+U&#10;h9VM7IpzGJyVsNsmwNC2Tg+2k3D6fNs8AQtRWa0mZ1HCDQMcqvu7UhXaLfaI1zp2jEpsKJSEPkZf&#10;cB7aHo0KW+fRkvftZqMinXPH9awWKjcTF0mScaMGSx965fG1x/ZcX4yEr7kZxftt8cKNWZ2PHsXH&#10;EaV8fFhfnoFFXONfGH7xCR0qYmrcxerAJgmbjIIkC1pEdr5PcmCNhDTdp8Crkv8fUP0AAAD//wMA&#10;UEsBAi0AFAAGAAgAAAAhALaDOJL+AAAA4QEAABMAAAAAAAAAAAAAAAAAAAAAAFtDb250ZW50X1R5&#10;cGVzXS54bWxQSwECLQAUAAYACAAAACEAOP0h/9YAAACUAQAACwAAAAAAAAAAAAAAAAAvAQAAX3Jl&#10;bHMvLnJlbHNQSwECLQAUAAYACAAAACEAL5JCq7wBAADHAwAADgAAAAAAAAAAAAAAAAAuAgAAZHJz&#10;L2Uyb0RvYy54bWxQSwECLQAUAAYACAAAACEAlOEMo9wAAAAIAQAADwAAAAAAAAAAAAAAAAAWBAAA&#10;ZHJzL2Rvd25yZXYueG1sUEsFBgAAAAAEAAQA8wAAAB8FAAAAAA==&#10;" strokecolor="#4f81bd [3204]" strokeweight="2pt">
                <v:shadow on="t" color="black" opacity="24903f" origin=",.5" offset="0,.55556mm"/>
              </v:line>
            </w:pict>
          </mc:Fallback>
        </mc:AlternateContent>
      </w:r>
    </w:p>
    <w:p w:rsidR="00BB0015" w:rsidRDefault="00286BA0">
      <w:pPr>
        <w:tabs>
          <w:tab w:val="left" w:pos="8080"/>
        </w:tabs>
        <w:spacing w:line="360" w:lineRule="auto"/>
        <w:ind w:right="49"/>
        <w:jc w:val="both"/>
        <w:rPr>
          <w:lang w:eastAsia="es-MX"/>
        </w:rPr>
      </w:pPr>
      <w:r>
        <w:rPr>
          <w:noProof/>
          <w:lang w:eastAsia="es-MX"/>
        </w:rPr>
        <w:lastRenderedPageBreak/>
        <w:drawing>
          <wp:inline distT="0" distB="0" distL="0" distR="0">
            <wp:extent cx="5581650" cy="3381375"/>
            <wp:effectExtent l="0" t="0" r="0" b="0"/>
            <wp:docPr id="9"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46"/>
                    <pic:cNvPicPr>
                      <a:picLocks noChangeAspect="1" noChangeArrowheads="1"/>
                    </pic:cNvPicPr>
                  </pic:nvPicPr>
                  <pic:blipFill>
                    <a:blip r:embed="rId30"/>
                    <a:srcRect l="10195" t="4828" r="11036" b="17534"/>
                    <a:stretch>
                      <a:fillRect/>
                    </a:stretch>
                  </pic:blipFill>
                  <pic:spPr bwMode="auto">
                    <a:xfrm>
                      <a:off x="0" y="0"/>
                      <a:ext cx="5581650" cy="3381375"/>
                    </a:xfrm>
                    <a:prstGeom prst="rect">
                      <a:avLst/>
                    </a:prstGeom>
                  </pic:spPr>
                </pic:pic>
              </a:graphicData>
            </a:graphic>
          </wp:inline>
        </w:drawing>
      </w:r>
    </w:p>
    <w:p w:rsidR="00BB0015" w:rsidRDefault="00BB0015">
      <w:pPr>
        <w:tabs>
          <w:tab w:val="left" w:pos="8080"/>
        </w:tabs>
        <w:spacing w:line="360" w:lineRule="auto"/>
        <w:ind w:right="49"/>
        <w:jc w:val="both"/>
        <w:rPr>
          <w:lang w:eastAsia="es-MX"/>
        </w:rPr>
      </w:pPr>
    </w:p>
    <w:p w:rsidR="00BB0015" w:rsidRDefault="00286BA0">
      <w:pPr>
        <w:spacing w:before="240" w:after="240" w:line="360" w:lineRule="auto"/>
        <w:contextualSpacing/>
        <w:jc w:val="both"/>
        <w:rPr>
          <w:rFonts w:ascii="Palatino Linotype" w:hAnsi="Palatino Linotype"/>
        </w:rPr>
      </w:pPr>
      <w:r>
        <w:rPr>
          <w:rFonts w:ascii="Palatino Linotype" w:hAnsi="Palatino Linotype"/>
        </w:rPr>
        <w:t xml:space="preserve">Atento a ello, es necesario analizar si se cumplen con los elementos señalados en el artículo 161 de la Ley adjetiva; es decir que se proporcione la </w:t>
      </w:r>
      <w:r>
        <w:rPr>
          <w:rFonts w:ascii="Palatino Linotype" w:hAnsi="Palatino Linotype"/>
          <w:b/>
        </w:rPr>
        <w:t>fuente, lugar y forma de consulta</w:t>
      </w:r>
      <w:r>
        <w:rPr>
          <w:rFonts w:ascii="Palatino Linotype" w:hAnsi="Palatino Linotype"/>
        </w:rPr>
        <w:t xml:space="preserve">, que se haga del conocimiento </w:t>
      </w:r>
      <w:r>
        <w:rPr>
          <w:rFonts w:ascii="Palatino Linotype" w:hAnsi="Palatino Linotype"/>
          <w:b/>
        </w:rPr>
        <w:t>dentro del plazo de 5 días hábiles</w:t>
      </w:r>
      <w:r>
        <w:rPr>
          <w:rFonts w:ascii="Palatino Linotype" w:hAnsi="Palatino Linotype"/>
        </w:rPr>
        <w:t xml:space="preserve"> contados a partir de la solicitud, situación que ocurrió, ya que la respuesta fue proporcionada al día siguiente de la solicitud; y que la fuente proporcionada sea </w:t>
      </w:r>
      <w:r>
        <w:rPr>
          <w:rFonts w:ascii="Palatino Linotype" w:hAnsi="Palatino Linotype"/>
          <w:b/>
        </w:rPr>
        <w:t>precisa y concreta</w:t>
      </w:r>
      <w:r>
        <w:rPr>
          <w:rFonts w:ascii="Palatino Linotype" w:hAnsi="Palatino Linotype"/>
        </w:rPr>
        <w:t xml:space="preserve">, de tal manera, que </w:t>
      </w:r>
      <w:r>
        <w:rPr>
          <w:rFonts w:ascii="Palatino Linotype" w:hAnsi="Palatino Linotype"/>
          <w:b/>
        </w:rPr>
        <w:t>no implique que los solicitantes realicen una búsqueda en toda la información</w:t>
      </w:r>
      <w:r>
        <w:rPr>
          <w:rFonts w:ascii="Palatino Linotype" w:hAnsi="Palatino Linotype"/>
        </w:rPr>
        <w:t xml:space="preserve"> que se encuentre disponible; así, de las páginas electrónicas proporcionadas se advierte que pueden localizarse las solicitudes y respuestas emitidas, en los años 2015, 2016, 2017, 2018 y 2019; sirven de manera ilustrativa las siguientes imágenes:</w:t>
      </w:r>
    </w:p>
    <w:p w:rsidR="00BB0015" w:rsidRDefault="006B760E">
      <w:pPr>
        <w:spacing w:before="240" w:after="240" w:line="360" w:lineRule="auto"/>
        <w:contextualSpacing/>
        <w:jc w:val="both"/>
        <w:rPr>
          <w:rFonts w:ascii="Palatino Linotype" w:hAnsi="Palatino Linotype"/>
        </w:rPr>
      </w:pPr>
      <w:r>
        <w:rPr>
          <w:noProof/>
          <w:lang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-3810</wp:posOffset>
                </wp:positionH>
                <wp:positionV relativeFrom="paragraph">
                  <wp:posOffset>4089399</wp:posOffset>
                </wp:positionV>
                <wp:extent cx="5924550" cy="3267075"/>
                <wp:effectExtent l="38100" t="19050" r="76200" b="85725"/>
                <wp:wrapNone/>
                <wp:docPr id="56" name="Conector recto 56"/>
                <wp:cNvGraphicFramePr/>
                <a:graphic xmlns:a="http://schemas.openxmlformats.org/drawingml/2006/main">
                  <a:graphicData uri="http://schemas.microsoft.com/office/word/2010/wordprocessingShape">
                    <wps:wsp>
                      <wps:cNvCnPr/>
                      <wps:spPr>
                        <a:xfrm>
                          <a:off x="0" y="0"/>
                          <a:ext cx="5924550" cy="32670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90A79AA" id="Conector recto 5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pt,322pt" to="466.2pt,5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i9kvQEAAMcDAAAOAAAAZHJzL2Uyb0RvYy54bWysU9uO0zAQfUfiHyy/06SBdiFqug9dwQuC&#10;issHeJ1xY8k3jU2T/j1jp80iQFoJ8WLHnjln5hxPdveTNewMGLV3HV+vas7ASd9rd+r492/vX73l&#10;LCbhemG8g45fIPL7/csXuzG00PjBmx6QEYmL7Rg6PqQU2qqKcgAr4soHcBRUHq1IdMRT1aMYid2a&#10;qqnrbTV67AN6CTHS7cMc5PvCrxTI9FmpCImZjlNvqaxY1se8VvudaE8owqDltQ3xD11YoR0VXage&#10;RBLsB+o/qKyW6KNXaSW9rbxSWkLRQGrW9W9qvg4iQNFC5sSw2BT/H638dD4i033HN1vOnLD0Rgd6&#10;KZk8MswbowC5NIbYUvLBHfF6iuGIWfKk0OadxLCpOHtZnIUpMUmXm3fNm82GHkBS7HWzvavvNpm1&#10;eoIHjOkDeMvyR8eNdlm6aMX5Y0xz6i2FcLmduYHylS4GcrJxX0CRHCrZFHQZJDgYZGdBIyCkBJfW&#10;19IlO8OUNmYB1s8Dr/kZCmXIFvD6efCCKJW9SwvYaufxbwRpurWs5vybA7PubMGj7y/laYo1NC3F&#10;3Otk53H89VzgT//f/icAAAD//wMAUEsDBBQABgAIAAAAIQAFPt233gAAAAoBAAAPAAAAZHJzL2Rv&#10;d25yZXYueG1sTI/LTsMwEEX3SPyDNUjsWqcmjdo0ToWQkFjSwIKlEw95NH4odpv07xlWsBzdozvn&#10;FsfFjOyKU+idlbBZJ8DQNk73tpXw+fG62gELUVmtRmdRwg0DHMv7u0Ll2s32hNcqtoxKbMiVhC5G&#10;n3Memg6NCmvn0VL27SajIp1Ty/WkZio3IxdJknGjeksfOuXxpcPmXF2MhK+pHsTbbfbCDVm1HzyK&#10;9xNK+fiwPB+ARVziHwy/+qQOJTnV7mJ1YKOEVUaghCxNaRLl+yeRAqsJ3Gx3W+Blwf9PKH8AAAD/&#10;/wMAUEsBAi0AFAAGAAgAAAAhALaDOJL+AAAA4QEAABMAAAAAAAAAAAAAAAAAAAAAAFtDb250ZW50&#10;X1R5cGVzXS54bWxQSwECLQAUAAYACAAAACEAOP0h/9YAAACUAQAACwAAAAAAAAAAAAAAAAAvAQAA&#10;X3JlbHMvLnJlbHNQSwECLQAUAAYACAAAACEAos4vZL0BAADHAwAADgAAAAAAAAAAAAAAAAAuAgAA&#10;ZHJzL2Uyb0RvYy54bWxQSwECLQAUAAYACAAAACEABT7dt94AAAAKAQAADwAAAAAAAAAAAAAAAAAX&#10;BAAAZHJzL2Rvd25yZXYueG1sUEsFBgAAAAAEAAQA8wAAACIFAAAAAA==&#10;" strokecolor="#4f81bd [3204]" strokeweight="2pt">
                <v:shadow on="t" color="black" opacity="24903f" origin=",.5" offset="0,.55556mm"/>
              </v:line>
            </w:pict>
          </mc:Fallback>
        </mc:AlternateContent>
      </w:r>
      <w:r w:rsidR="00286BA0">
        <w:rPr>
          <w:noProof/>
          <w:lang w:eastAsia="es-MX"/>
        </w:rPr>
        <w:drawing>
          <wp:inline distT="0" distB="0" distL="0" distR="0">
            <wp:extent cx="5791200" cy="3962400"/>
            <wp:effectExtent l="0" t="0" r="0" b="0"/>
            <wp:docPr id="1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6"/>
                    <pic:cNvPicPr>
                      <a:picLocks noChangeAspect="1" noChangeArrowheads="1"/>
                    </pic:cNvPicPr>
                  </pic:nvPicPr>
                  <pic:blipFill>
                    <a:blip r:embed="rId31"/>
                    <a:srcRect l="15462" t="31378" r="34876" b="7908"/>
                    <a:stretch>
                      <a:fillRect/>
                    </a:stretch>
                  </pic:blipFill>
                  <pic:spPr bwMode="auto">
                    <a:xfrm>
                      <a:off x="0" y="0"/>
                      <a:ext cx="5791200" cy="3962400"/>
                    </a:xfrm>
                    <a:prstGeom prst="rect">
                      <a:avLst/>
                    </a:prstGeom>
                  </pic:spPr>
                </pic:pic>
              </a:graphicData>
            </a:graphic>
          </wp:inline>
        </w:drawing>
      </w:r>
      <w:r w:rsidR="00286BA0">
        <w:rPr>
          <w:noProof/>
          <w:lang w:eastAsia="es-MX"/>
        </w:rPr>
        <mc:AlternateContent>
          <mc:Choice Requires="wps">
            <w:drawing>
              <wp:anchor distT="0" distB="0" distL="0" distR="0" simplePos="0" relativeHeight="53" behindDoc="0" locked="0" layoutInCell="1" allowOverlap="1" wp14:anchorId="3DBBB770">
                <wp:simplePos x="0" y="0"/>
                <wp:positionH relativeFrom="margin">
                  <wp:align>left</wp:align>
                </wp:positionH>
                <wp:positionV relativeFrom="paragraph">
                  <wp:posOffset>1549400</wp:posOffset>
                </wp:positionV>
                <wp:extent cx="2544445" cy="106045"/>
                <wp:effectExtent l="57150" t="19050" r="85725" b="104775"/>
                <wp:wrapNone/>
                <wp:docPr id="10" name="Rectángulo 17"/>
                <wp:cNvGraphicFramePr/>
                <a:graphic xmlns:a="http://schemas.openxmlformats.org/drawingml/2006/main">
                  <a:graphicData uri="http://schemas.microsoft.com/office/word/2010/wordprocessingShape">
                    <wps:wsp>
                      <wps:cNvSpPr/>
                      <wps:spPr>
                        <a:xfrm>
                          <a:off x="0" y="0"/>
                          <a:ext cx="2543760" cy="105480"/>
                        </a:xfrm>
                        <a:prstGeom prst="rect">
                          <a:avLst/>
                        </a:prstGeom>
                        <a:noFill/>
                        <a:ln w="19080">
                          <a:solidFill>
                            <a:srgbClr val="FF0000"/>
                          </a:solidFill>
                          <a:round/>
                        </a:ln>
                        <a:effectLst>
                          <a:outerShdw blurRad="40000" dist="23040" dir="5400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rect id="shape_0" ID="Rectángulo 17" stroked="t" style="position:absolute;margin-left:4.5pt;margin-top:122pt;width:200.25pt;height:8.25pt;mso-position-horizontal:left;mso-position-horizontal-relative:margin" wp14:anchorId="3DBBB770">
                <w10:wrap type="none"/>
                <v:fill o:detectmouseclick="t" on="false"/>
                <v:stroke color="red" weight="19080" joinstyle="round" endcap="flat"/>
                <v:shadow on="t" obscured="f" color="black"/>
              </v:rect>
            </w:pict>
          </mc:Fallback>
        </mc:AlternateContent>
      </w:r>
      <w:r w:rsidR="00286BA0">
        <w:rPr>
          <w:noProof/>
          <w:lang w:eastAsia="es-MX"/>
        </w:rPr>
        <mc:AlternateContent>
          <mc:Choice Requires="wps">
            <w:drawing>
              <wp:anchor distT="0" distB="0" distL="0" distR="0" simplePos="0" relativeHeight="54" behindDoc="0" locked="0" layoutInCell="1" allowOverlap="1" wp14:anchorId="33288C57">
                <wp:simplePos x="0" y="0"/>
                <wp:positionH relativeFrom="margin">
                  <wp:align>left</wp:align>
                </wp:positionH>
                <wp:positionV relativeFrom="paragraph">
                  <wp:posOffset>1769745</wp:posOffset>
                </wp:positionV>
                <wp:extent cx="4439920" cy="315595"/>
                <wp:effectExtent l="57150" t="19050" r="76200" b="104775"/>
                <wp:wrapNone/>
                <wp:docPr id="11" name="Rectángulo 18"/>
                <wp:cNvGraphicFramePr/>
                <a:graphic xmlns:a="http://schemas.openxmlformats.org/drawingml/2006/main">
                  <a:graphicData uri="http://schemas.microsoft.com/office/word/2010/wordprocessingShape">
                    <wps:wsp>
                      <wps:cNvSpPr/>
                      <wps:spPr>
                        <a:xfrm>
                          <a:off x="0" y="0"/>
                          <a:ext cx="4439160" cy="315000"/>
                        </a:xfrm>
                        <a:prstGeom prst="rect">
                          <a:avLst/>
                        </a:prstGeom>
                        <a:noFill/>
                        <a:ln w="1908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rect id="shape_0" ID="Rectángulo 18" stroked="t" style="position:absolute;margin-left:4.5pt;margin-top:139.35pt;width:349.5pt;height:24.75pt;mso-position-horizontal:left;mso-position-horizontal-relative:margin" wp14:anchorId="33288C57">
                <w10:wrap type="none"/>
                <v:fill o:detectmouseclick="t" on="false"/>
                <v:stroke color="red" weight="19080" joinstyle="round" endcap="flat"/>
                <v:shadow on="t" obscured="f" color="black"/>
              </v:rect>
            </w:pict>
          </mc:Fallback>
        </mc:AlternateContent>
      </w:r>
      <w:r w:rsidR="00286BA0">
        <w:rPr>
          <w:noProof/>
          <w:lang w:eastAsia="es-MX"/>
        </w:rPr>
        <mc:AlternateContent>
          <mc:Choice Requires="wps">
            <w:drawing>
              <wp:anchor distT="0" distB="0" distL="0" distR="0" simplePos="0" relativeHeight="55" behindDoc="0" locked="0" layoutInCell="1" allowOverlap="1" wp14:anchorId="11229BC8">
                <wp:simplePos x="0" y="0"/>
                <wp:positionH relativeFrom="margin">
                  <wp:align>right</wp:align>
                </wp:positionH>
                <wp:positionV relativeFrom="paragraph">
                  <wp:posOffset>2076450</wp:posOffset>
                </wp:positionV>
                <wp:extent cx="5659120" cy="1363345"/>
                <wp:effectExtent l="57150" t="19050" r="76200" b="104775"/>
                <wp:wrapNone/>
                <wp:docPr id="12" name="Rectángulo 19"/>
                <wp:cNvGraphicFramePr/>
                <a:graphic xmlns:a="http://schemas.openxmlformats.org/drawingml/2006/main">
                  <a:graphicData uri="http://schemas.microsoft.com/office/word/2010/wordprocessingShape">
                    <wps:wsp>
                      <wps:cNvSpPr/>
                      <wps:spPr>
                        <a:xfrm>
                          <a:off x="0" y="0"/>
                          <a:ext cx="5658480" cy="1362600"/>
                        </a:xfrm>
                        <a:prstGeom prst="rect">
                          <a:avLst/>
                        </a:prstGeom>
                        <a:noFill/>
                        <a:ln w="1908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rect id="shape_0" ID="Rectángulo 19" stroked="t" style="position:absolute;margin-left:4.45pt;margin-top:163.5pt;width:445.5pt;height:107.25pt;mso-position-horizontal:right;mso-position-horizontal-relative:margin" wp14:anchorId="11229BC8">
                <w10:wrap type="none"/>
                <v:fill o:detectmouseclick="t" on="false"/>
                <v:stroke color="red" weight="19080" joinstyle="round" endcap="flat"/>
                <v:shadow on="t" obscured="f" color="black"/>
              </v:rect>
            </w:pict>
          </mc:Fallback>
        </mc:AlternateContent>
      </w:r>
    </w:p>
    <w:p w:rsidR="00BB0015" w:rsidRDefault="00286BA0">
      <w:pPr>
        <w:tabs>
          <w:tab w:val="left" w:pos="8080"/>
        </w:tabs>
        <w:spacing w:line="360" w:lineRule="auto"/>
        <w:ind w:right="49"/>
        <w:jc w:val="both"/>
        <w:rPr>
          <w:lang w:eastAsia="es-MX"/>
        </w:rPr>
      </w:pPr>
      <w:r>
        <w:rPr>
          <w:noProof/>
          <w:lang w:eastAsia="es-MX"/>
        </w:rPr>
        <w:lastRenderedPageBreak/>
        <w:drawing>
          <wp:inline distT="0" distB="0" distL="0" distR="0">
            <wp:extent cx="5743575" cy="3524250"/>
            <wp:effectExtent l="0" t="0" r="0" b="0"/>
            <wp:docPr id="1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20"/>
                    <pic:cNvPicPr>
                      <a:picLocks noChangeAspect="1" noChangeArrowheads="1"/>
                    </pic:cNvPicPr>
                  </pic:nvPicPr>
                  <pic:blipFill>
                    <a:blip r:embed="rId32"/>
                    <a:srcRect l="15292" t="26969" r="34396" b="12736"/>
                    <a:stretch>
                      <a:fillRect/>
                    </a:stretch>
                  </pic:blipFill>
                  <pic:spPr bwMode="auto">
                    <a:xfrm>
                      <a:off x="0" y="0"/>
                      <a:ext cx="5743575" cy="3524250"/>
                    </a:xfrm>
                    <a:prstGeom prst="rect">
                      <a:avLst/>
                    </a:prstGeom>
                  </pic:spPr>
                </pic:pic>
              </a:graphicData>
            </a:graphic>
          </wp:inline>
        </w:drawing>
      </w:r>
      <w:r>
        <w:rPr>
          <w:noProof/>
          <w:lang w:eastAsia="es-MX"/>
        </w:rPr>
        <mc:AlternateContent>
          <mc:Choice Requires="wps">
            <w:drawing>
              <wp:anchor distT="0" distB="0" distL="0" distR="0" simplePos="0" relativeHeight="56" behindDoc="0" locked="0" layoutInCell="1" allowOverlap="1" wp14:anchorId="6996A338">
                <wp:simplePos x="0" y="0"/>
                <wp:positionH relativeFrom="column">
                  <wp:posOffset>43815</wp:posOffset>
                </wp:positionH>
                <wp:positionV relativeFrom="paragraph">
                  <wp:posOffset>731520</wp:posOffset>
                </wp:positionV>
                <wp:extent cx="2544445" cy="106045"/>
                <wp:effectExtent l="57150" t="19050" r="85725" b="104775"/>
                <wp:wrapNone/>
                <wp:docPr id="14" name="Rectángulo 21"/>
                <wp:cNvGraphicFramePr/>
                <a:graphic xmlns:a="http://schemas.openxmlformats.org/drawingml/2006/main">
                  <a:graphicData uri="http://schemas.microsoft.com/office/word/2010/wordprocessingShape">
                    <wps:wsp>
                      <wps:cNvSpPr/>
                      <wps:spPr>
                        <a:xfrm>
                          <a:off x="0" y="0"/>
                          <a:ext cx="2543760" cy="105480"/>
                        </a:xfrm>
                        <a:prstGeom prst="rect">
                          <a:avLst/>
                        </a:prstGeom>
                        <a:noFill/>
                        <a:ln w="1908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rect id="shape_0" ID="Rectángulo 21" stroked="t" style="position:absolute;margin-left:3.45pt;margin-top:57.6pt;width:200.25pt;height:8.25pt" wp14:anchorId="6996A338">
                <w10:wrap type="none"/>
                <v:fill o:detectmouseclick="t" on="false"/>
                <v:stroke color="red" weight="19080" joinstyle="round" endcap="flat"/>
                <v:shadow on="t" obscured="f" color="black"/>
              </v:rect>
            </w:pict>
          </mc:Fallback>
        </mc:AlternateContent>
      </w:r>
      <w:r>
        <w:rPr>
          <w:noProof/>
          <w:lang w:eastAsia="es-MX"/>
        </w:rPr>
        <mc:AlternateContent>
          <mc:Choice Requires="wps">
            <w:drawing>
              <wp:anchor distT="0" distB="0" distL="0" distR="0" simplePos="0" relativeHeight="57" behindDoc="0" locked="0" layoutInCell="1" allowOverlap="1" wp14:anchorId="696EEE66">
                <wp:simplePos x="0" y="0"/>
                <wp:positionH relativeFrom="margin">
                  <wp:align>right</wp:align>
                </wp:positionH>
                <wp:positionV relativeFrom="paragraph">
                  <wp:posOffset>941070</wp:posOffset>
                </wp:positionV>
                <wp:extent cx="5659120" cy="582295"/>
                <wp:effectExtent l="57150" t="19050" r="76200" b="104775"/>
                <wp:wrapNone/>
                <wp:docPr id="15" name="Rectángulo 22"/>
                <wp:cNvGraphicFramePr/>
                <a:graphic xmlns:a="http://schemas.openxmlformats.org/drawingml/2006/main">
                  <a:graphicData uri="http://schemas.microsoft.com/office/word/2010/wordprocessingShape">
                    <wps:wsp>
                      <wps:cNvSpPr/>
                      <wps:spPr>
                        <a:xfrm>
                          <a:off x="0" y="0"/>
                          <a:ext cx="5658480" cy="581760"/>
                        </a:xfrm>
                        <a:prstGeom prst="rect">
                          <a:avLst/>
                        </a:prstGeom>
                        <a:noFill/>
                        <a:ln w="1908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rect id="shape_0" ID="Rectángulo 22" stroked="t" style="position:absolute;margin-left:4.45pt;margin-top:74.1pt;width:445.5pt;height:45.75pt;mso-position-horizontal:right;mso-position-horizontal-relative:margin" wp14:anchorId="696EEE66">
                <w10:wrap type="none"/>
                <v:fill o:detectmouseclick="t" on="false"/>
                <v:stroke color="red" weight="19080" joinstyle="round" endcap="flat"/>
                <v:shadow on="t" obscured="f" color="black"/>
              </v:rect>
            </w:pict>
          </mc:Fallback>
        </mc:AlternateContent>
      </w:r>
      <w:r>
        <w:rPr>
          <w:noProof/>
          <w:lang w:eastAsia="es-MX"/>
        </w:rPr>
        <mc:AlternateContent>
          <mc:Choice Requires="wps">
            <w:drawing>
              <wp:anchor distT="0" distB="0" distL="0" distR="0" simplePos="0" relativeHeight="58" behindDoc="0" locked="0" layoutInCell="1" allowOverlap="1" wp14:anchorId="6E07CBE3">
                <wp:simplePos x="0" y="0"/>
                <wp:positionH relativeFrom="margin">
                  <wp:align>center</wp:align>
                </wp:positionH>
                <wp:positionV relativeFrom="paragraph">
                  <wp:posOffset>1550670</wp:posOffset>
                </wp:positionV>
                <wp:extent cx="5621020" cy="1410970"/>
                <wp:effectExtent l="57150" t="19050" r="76200" b="95250"/>
                <wp:wrapNone/>
                <wp:docPr id="16" name="Rectángulo 23"/>
                <wp:cNvGraphicFramePr/>
                <a:graphic xmlns:a="http://schemas.openxmlformats.org/drawingml/2006/main">
                  <a:graphicData uri="http://schemas.microsoft.com/office/word/2010/wordprocessingShape">
                    <wps:wsp>
                      <wps:cNvSpPr/>
                      <wps:spPr>
                        <a:xfrm>
                          <a:off x="0" y="0"/>
                          <a:ext cx="5620320" cy="1410480"/>
                        </a:xfrm>
                        <a:prstGeom prst="rect">
                          <a:avLst/>
                        </a:prstGeom>
                        <a:noFill/>
                        <a:ln w="1908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rect id="shape_0" ID="Rectángulo 23" stroked="t" style="position:absolute;margin-left:6.7pt;margin-top:122.1pt;width:442.5pt;height:111pt;mso-position-horizontal:center;mso-position-horizontal-relative:margin" wp14:anchorId="6E07CBE3">
                <w10:wrap type="none"/>
                <v:fill o:detectmouseclick="t" on="false"/>
                <v:stroke color="red" weight="19080" joinstyle="round" endcap="flat"/>
                <v:shadow on="t" obscured="f" color="black"/>
              </v:rect>
            </w:pict>
          </mc:Fallback>
        </mc:AlternateContent>
      </w:r>
    </w:p>
    <w:p w:rsidR="00BB0015" w:rsidRDefault="00BB0015">
      <w:pPr>
        <w:tabs>
          <w:tab w:val="left" w:pos="8080"/>
        </w:tabs>
        <w:spacing w:line="360" w:lineRule="auto"/>
        <w:ind w:right="49"/>
        <w:jc w:val="both"/>
        <w:rPr>
          <w:lang w:eastAsia="es-MX"/>
        </w:rPr>
      </w:pPr>
    </w:p>
    <w:p w:rsidR="00BB0015" w:rsidRDefault="00286BA0">
      <w:pPr>
        <w:tabs>
          <w:tab w:val="left" w:pos="8080"/>
        </w:tabs>
        <w:spacing w:line="360" w:lineRule="auto"/>
        <w:ind w:right="49"/>
        <w:jc w:val="both"/>
        <w:rPr>
          <w:rFonts w:ascii="Palatino Linotype" w:hAnsi="Palatino Linotype" w:cs="Arial"/>
        </w:rPr>
      </w:pPr>
      <w:r>
        <w:rPr>
          <w:noProof/>
          <w:lang w:eastAsia="es-MX"/>
        </w:rPr>
        <w:drawing>
          <wp:inline distT="0" distB="0" distL="0" distR="0">
            <wp:extent cx="5762625" cy="3409950"/>
            <wp:effectExtent l="0" t="0" r="0" b="0"/>
            <wp:docPr id="2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4"/>
                    <pic:cNvPicPr>
                      <a:picLocks noChangeAspect="1" noChangeArrowheads="1"/>
                    </pic:cNvPicPr>
                  </pic:nvPicPr>
                  <pic:blipFill>
                    <a:blip r:embed="rId33"/>
                    <a:srcRect l="15462" t="31156" r="35053" b="16900"/>
                    <a:stretch>
                      <a:fillRect/>
                    </a:stretch>
                  </pic:blipFill>
                  <pic:spPr bwMode="auto">
                    <a:xfrm>
                      <a:off x="0" y="0"/>
                      <a:ext cx="5762625" cy="3409950"/>
                    </a:xfrm>
                    <a:prstGeom prst="rect">
                      <a:avLst/>
                    </a:prstGeom>
                  </pic:spPr>
                </pic:pic>
              </a:graphicData>
            </a:graphic>
          </wp:inline>
        </w:drawing>
      </w:r>
      <w:r>
        <w:rPr>
          <w:noProof/>
          <w:lang w:eastAsia="es-MX"/>
        </w:rPr>
        <mc:AlternateContent>
          <mc:Choice Requires="wps">
            <w:drawing>
              <wp:anchor distT="0" distB="0" distL="0" distR="0" simplePos="0" relativeHeight="59" behindDoc="0" locked="0" layoutInCell="1" allowOverlap="1" wp14:anchorId="7A13724C">
                <wp:simplePos x="0" y="0"/>
                <wp:positionH relativeFrom="page">
                  <wp:align>center</wp:align>
                </wp:positionH>
                <wp:positionV relativeFrom="paragraph">
                  <wp:posOffset>1133475</wp:posOffset>
                </wp:positionV>
                <wp:extent cx="5621020" cy="591820"/>
                <wp:effectExtent l="57150" t="19050" r="76200" b="95250"/>
                <wp:wrapNone/>
                <wp:docPr id="18" name="Rectángulo 25"/>
                <wp:cNvGraphicFramePr/>
                <a:graphic xmlns:a="http://schemas.openxmlformats.org/drawingml/2006/main">
                  <a:graphicData uri="http://schemas.microsoft.com/office/word/2010/wordprocessingShape">
                    <wps:wsp>
                      <wps:cNvSpPr/>
                      <wps:spPr>
                        <a:xfrm>
                          <a:off x="0" y="0"/>
                          <a:ext cx="5620320" cy="591120"/>
                        </a:xfrm>
                        <a:prstGeom prst="rect">
                          <a:avLst/>
                        </a:prstGeom>
                        <a:noFill/>
                        <a:ln w="1908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rect id="shape_0" ID="Rectángulo 25" stroked="t" style="position:absolute;margin-left:84.7pt;margin-top:89.25pt;width:442.5pt;height:46.5pt;mso-position-horizontal:center;mso-position-horizontal-relative:page" wp14:anchorId="7A13724C">
                <w10:wrap type="none"/>
                <v:fill o:detectmouseclick="t" on="false"/>
                <v:stroke color="red" weight="19080" joinstyle="round" endcap="flat"/>
                <v:shadow on="t" obscured="f" color="black"/>
              </v:rect>
            </w:pict>
          </mc:Fallback>
        </mc:AlternateContent>
      </w:r>
      <w:r>
        <w:rPr>
          <w:noProof/>
          <w:lang w:eastAsia="es-MX"/>
        </w:rPr>
        <mc:AlternateContent>
          <mc:Choice Requires="wps">
            <w:drawing>
              <wp:anchor distT="0" distB="0" distL="0" distR="0" simplePos="0" relativeHeight="60" behindDoc="0" locked="0" layoutInCell="1" allowOverlap="1" wp14:anchorId="1E6A36F0">
                <wp:simplePos x="0" y="0"/>
                <wp:positionH relativeFrom="page">
                  <wp:align>center</wp:align>
                </wp:positionH>
                <wp:positionV relativeFrom="paragraph">
                  <wp:posOffset>1752600</wp:posOffset>
                </wp:positionV>
                <wp:extent cx="5621020" cy="1001395"/>
                <wp:effectExtent l="57150" t="19050" r="76200" b="104775"/>
                <wp:wrapNone/>
                <wp:docPr id="19" name="Rectángulo 26"/>
                <wp:cNvGraphicFramePr/>
                <a:graphic xmlns:a="http://schemas.openxmlformats.org/drawingml/2006/main">
                  <a:graphicData uri="http://schemas.microsoft.com/office/word/2010/wordprocessingShape">
                    <wps:wsp>
                      <wps:cNvSpPr/>
                      <wps:spPr>
                        <a:xfrm>
                          <a:off x="0" y="0"/>
                          <a:ext cx="5620320" cy="1000800"/>
                        </a:xfrm>
                        <a:prstGeom prst="rect">
                          <a:avLst/>
                        </a:prstGeom>
                        <a:noFill/>
                        <a:ln w="1908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rect id="shape_0" ID="Rectángulo 26" stroked="t" style="position:absolute;margin-left:84.7pt;margin-top:138pt;width:442.5pt;height:78.75pt;mso-position-horizontal:center;mso-position-horizontal-relative:page" wp14:anchorId="1E6A36F0">
                <w10:wrap type="none"/>
                <v:fill o:detectmouseclick="t" on="false"/>
                <v:stroke color="red" weight="19080" joinstyle="round" endcap="flat"/>
                <v:shadow on="t" obscured="f" color="black"/>
              </v:rect>
            </w:pict>
          </mc:Fallback>
        </mc:AlternateContent>
      </w:r>
      <w:r>
        <w:rPr>
          <w:noProof/>
          <w:lang w:eastAsia="es-MX"/>
        </w:rPr>
        <mc:AlternateContent>
          <mc:Choice Requires="wps">
            <w:drawing>
              <wp:anchor distT="0" distB="0" distL="0" distR="0" simplePos="0" relativeHeight="61" behindDoc="0" locked="0" layoutInCell="1" allowOverlap="1" wp14:anchorId="6F708335">
                <wp:simplePos x="0" y="0"/>
                <wp:positionH relativeFrom="margin">
                  <wp:align>left</wp:align>
                </wp:positionH>
                <wp:positionV relativeFrom="paragraph">
                  <wp:posOffset>885825</wp:posOffset>
                </wp:positionV>
                <wp:extent cx="2687320" cy="96520"/>
                <wp:effectExtent l="57150" t="19050" r="76200" b="95250"/>
                <wp:wrapNone/>
                <wp:docPr id="20" name="Rectángulo 27"/>
                <wp:cNvGraphicFramePr/>
                <a:graphic xmlns:a="http://schemas.openxmlformats.org/drawingml/2006/main">
                  <a:graphicData uri="http://schemas.microsoft.com/office/word/2010/wordprocessingShape">
                    <wps:wsp>
                      <wps:cNvSpPr/>
                      <wps:spPr>
                        <a:xfrm>
                          <a:off x="0" y="0"/>
                          <a:ext cx="2686680" cy="95760"/>
                        </a:xfrm>
                        <a:prstGeom prst="rect">
                          <a:avLst/>
                        </a:prstGeom>
                        <a:noFill/>
                        <a:ln w="1908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rect id="shape_0" ID="Rectángulo 27" stroked="t" style="position:absolute;margin-left:4.5pt;margin-top:69.75pt;width:211.5pt;height:7.5pt;mso-position-horizontal:left;mso-position-horizontal-relative:margin" wp14:anchorId="6F708335">
                <w10:wrap type="none"/>
                <v:fill o:detectmouseclick="t" on="false"/>
                <v:stroke color="red" weight="19080" joinstyle="round" endcap="flat"/>
                <v:shadow on="t" obscured="f" color="black"/>
              </v:rect>
            </w:pict>
          </mc:Fallback>
        </mc:AlternateContent>
      </w:r>
      <w:r>
        <w:rPr>
          <w:noProof/>
          <w:lang w:eastAsia="es-MX"/>
        </w:rPr>
        <mc:AlternateContent>
          <mc:Choice Requires="wps">
            <w:drawing>
              <wp:anchor distT="0" distB="0" distL="0" distR="0" simplePos="0" relativeHeight="101" behindDoc="0" locked="0" layoutInCell="1" allowOverlap="1" wp14:anchorId="7A3FE57D">
                <wp:simplePos x="0" y="0"/>
                <wp:positionH relativeFrom="column">
                  <wp:posOffset>1217930</wp:posOffset>
                </wp:positionH>
                <wp:positionV relativeFrom="paragraph">
                  <wp:posOffset>6019165</wp:posOffset>
                </wp:positionV>
                <wp:extent cx="5706745" cy="3725545"/>
                <wp:effectExtent l="38100" t="19050" r="66675" b="85725"/>
                <wp:wrapNone/>
                <wp:docPr id="21" name="Conector recto 4"/>
                <wp:cNvGraphicFramePr/>
                <a:graphic xmlns:a="http://schemas.openxmlformats.org/drawingml/2006/main">
                  <a:graphicData uri="http://schemas.microsoft.com/office/word/2010/wordprocessingShape">
                    <wps:wsp>
                      <wps:cNvCnPr/>
                      <wps:spPr>
                        <a:xfrm>
                          <a:off x="0" y="0"/>
                          <a:ext cx="5706000" cy="3724920"/>
                        </a:xfrm>
                        <a:prstGeom prst="line">
                          <a:avLst/>
                        </a:prstGeom>
                        <a:ln>
                          <a:round/>
                        </a:ln>
                      </wps:spPr>
                      <wps:style>
                        <a:lnRef idx="2">
                          <a:schemeClr val="accent1"/>
                        </a:lnRef>
                        <a:fillRef idx="0">
                          <a:schemeClr val="accent1"/>
                        </a:fillRef>
                        <a:effectRef idx="1">
                          <a:schemeClr val="accent1"/>
                        </a:effectRef>
                        <a:fontRef idx="minor"/>
                      </wps:style>
                      <wps:bodyPr/>
                    </wps:wsp>
                  </a:graphicData>
                </a:graphic>
              </wp:anchor>
            </w:drawing>
          </mc:Choice>
          <mc:Fallback>
            <w:pict>
              <v:line id="shape_0" from="52.3pt,375.05pt" to="501.55pt,668.3pt" ID="Conector recto 4" stroked="t" style="position:absolute" wp14:anchorId="7A3FE57D">
                <v:stroke color="#4f81bd" weight="25560" joinstyle="round" endcap="flat"/>
                <v:fill o:detectmouseclick="t" on="false"/>
                <v:shadow on="t" obscured="f" color="black"/>
              </v:line>
            </w:pict>
          </mc:Fallback>
        </mc:AlternateContent>
      </w:r>
    </w:p>
    <w:p w:rsidR="00BB0015" w:rsidRDefault="00286BA0">
      <w:pPr>
        <w:tabs>
          <w:tab w:val="left" w:pos="8080"/>
        </w:tabs>
        <w:spacing w:line="360" w:lineRule="auto"/>
        <w:ind w:right="49"/>
        <w:jc w:val="both"/>
        <w:rPr>
          <w:rFonts w:ascii="Palatino Linotype" w:hAnsi="Palatino Linotype" w:cs="Arial"/>
        </w:rPr>
      </w:pPr>
      <w:r>
        <w:rPr>
          <w:noProof/>
          <w:lang w:eastAsia="es-MX"/>
        </w:rPr>
        <w:lastRenderedPageBreak/>
        <w:drawing>
          <wp:inline distT="0" distB="0" distL="0" distR="0">
            <wp:extent cx="5772150" cy="7315200"/>
            <wp:effectExtent l="0" t="0" r="0" b="0"/>
            <wp:docPr id="29"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3"/>
                    <pic:cNvPicPr>
                      <a:picLocks noChangeAspect="1" noChangeArrowheads="1"/>
                    </pic:cNvPicPr>
                  </pic:nvPicPr>
                  <pic:blipFill>
                    <a:blip r:embed="rId34"/>
                    <a:srcRect l="21880" t="9429" r="37519" b="13829"/>
                    <a:stretch>
                      <a:fillRect/>
                    </a:stretch>
                  </pic:blipFill>
                  <pic:spPr bwMode="auto">
                    <a:xfrm>
                      <a:off x="0" y="0"/>
                      <a:ext cx="5772150" cy="7315200"/>
                    </a:xfrm>
                    <a:prstGeom prst="rect">
                      <a:avLst/>
                    </a:prstGeom>
                  </pic:spPr>
                </pic:pic>
              </a:graphicData>
            </a:graphic>
          </wp:inline>
        </w:drawing>
      </w:r>
      <w:r>
        <w:rPr>
          <w:noProof/>
          <w:lang w:eastAsia="es-MX"/>
        </w:rPr>
        <mc:AlternateContent>
          <mc:Choice Requires="wps">
            <w:drawing>
              <wp:anchor distT="0" distB="0" distL="0" distR="0" simplePos="0" relativeHeight="62" behindDoc="0" locked="0" layoutInCell="1" allowOverlap="1" wp14:anchorId="72A2C2C5">
                <wp:simplePos x="0" y="0"/>
                <wp:positionH relativeFrom="margin">
                  <wp:align>left</wp:align>
                </wp:positionH>
                <wp:positionV relativeFrom="paragraph">
                  <wp:posOffset>1074420</wp:posOffset>
                </wp:positionV>
                <wp:extent cx="5621020" cy="1372870"/>
                <wp:effectExtent l="57150" t="19050" r="76200" b="95250"/>
                <wp:wrapNone/>
                <wp:docPr id="23" name="Rectángulo 28"/>
                <wp:cNvGraphicFramePr/>
                <a:graphic xmlns:a="http://schemas.openxmlformats.org/drawingml/2006/main">
                  <a:graphicData uri="http://schemas.microsoft.com/office/word/2010/wordprocessingShape">
                    <wps:wsp>
                      <wps:cNvSpPr/>
                      <wps:spPr>
                        <a:xfrm>
                          <a:off x="0" y="0"/>
                          <a:ext cx="5620320" cy="1372320"/>
                        </a:xfrm>
                        <a:prstGeom prst="rect">
                          <a:avLst/>
                        </a:prstGeom>
                        <a:noFill/>
                        <a:ln w="1908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rect id="shape_0" ID="Rectángulo 28" stroked="t" style="position:absolute;margin-left:4.5pt;margin-top:84.6pt;width:442.5pt;height:108pt;mso-position-horizontal:left;mso-position-horizontal-relative:margin" wp14:anchorId="72A2C2C5">
                <w10:wrap type="none"/>
                <v:fill o:detectmouseclick="t" on="false"/>
                <v:stroke color="red" weight="19080" joinstyle="round" endcap="flat"/>
                <v:shadow on="t" obscured="f" color="black"/>
              </v:rect>
            </w:pict>
          </mc:Fallback>
        </mc:AlternateContent>
      </w:r>
      <w:r>
        <w:rPr>
          <w:noProof/>
          <w:lang w:eastAsia="es-MX"/>
        </w:rPr>
        <mc:AlternateContent>
          <mc:Choice Requires="wps">
            <w:drawing>
              <wp:anchor distT="0" distB="0" distL="0" distR="0" simplePos="0" relativeHeight="63" behindDoc="0" locked="0" layoutInCell="1" allowOverlap="1" wp14:anchorId="2293065A">
                <wp:simplePos x="0" y="0"/>
                <wp:positionH relativeFrom="margin">
                  <wp:align>left</wp:align>
                </wp:positionH>
                <wp:positionV relativeFrom="paragraph">
                  <wp:posOffset>768985</wp:posOffset>
                </wp:positionV>
                <wp:extent cx="5621020" cy="163195"/>
                <wp:effectExtent l="57150" t="19050" r="76200" b="104775"/>
                <wp:wrapNone/>
                <wp:docPr id="24" name="Rectángulo 29"/>
                <wp:cNvGraphicFramePr/>
                <a:graphic xmlns:a="http://schemas.openxmlformats.org/drawingml/2006/main">
                  <a:graphicData uri="http://schemas.microsoft.com/office/word/2010/wordprocessingShape">
                    <wps:wsp>
                      <wps:cNvSpPr/>
                      <wps:spPr>
                        <a:xfrm>
                          <a:off x="0" y="0"/>
                          <a:ext cx="5620320" cy="162720"/>
                        </a:xfrm>
                        <a:prstGeom prst="rect">
                          <a:avLst/>
                        </a:prstGeom>
                        <a:noFill/>
                        <a:ln w="1908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rect id="shape_0" ID="Rectángulo 29" stroked="t" style="position:absolute;margin-left:4.5pt;margin-top:60.55pt;width:442.5pt;height:12.75pt;mso-position-horizontal:left;mso-position-horizontal-relative:margin" wp14:anchorId="2293065A">
                <w10:wrap type="none"/>
                <v:fill o:detectmouseclick="t" on="false"/>
                <v:stroke color="red" weight="19080" joinstyle="round" endcap="flat"/>
                <v:shadow on="t" obscured="f" color="black"/>
              </v:rect>
            </w:pict>
          </mc:Fallback>
        </mc:AlternateContent>
      </w:r>
      <w:r>
        <w:rPr>
          <w:noProof/>
          <w:lang w:eastAsia="es-MX"/>
        </w:rPr>
        <mc:AlternateContent>
          <mc:Choice Requires="wps">
            <w:drawing>
              <wp:anchor distT="0" distB="0" distL="0" distR="0" simplePos="0" relativeHeight="64" behindDoc="0" locked="0" layoutInCell="1" allowOverlap="1" wp14:anchorId="5917327F">
                <wp:simplePos x="0" y="0"/>
                <wp:positionH relativeFrom="margin">
                  <wp:align>center</wp:align>
                </wp:positionH>
                <wp:positionV relativeFrom="paragraph">
                  <wp:posOffset>2722245</wp:posOffset>
                </wp:positionV>
                <wp:extent cx="5621020" cy="229870"/>
                <wp:effectExtent l="57150" t="19050" r="76200" b="95250"/>
                <wp:wrapNone/>
                <wp:docPr id="25" name="Rectángulo 30"/>
                <wp:cNvGraphicFramePr/>
                <a:graphic xmlns:a="http://schemas.openxmlformats.org/drawingml/2006/main">
                  <a:graphicData uri="http://schemas.microsoft.com/office/word/2010/wordprocessingShape">
                    <wps:wsp>
                      <wps:cNvSpPr/>
                      <wps:spPr>
                        <a:xfrm>
                          <a:off x="0" y="0"/>
                          <a:ext cx="5620320" cy="229320"/>
                        </a:xfrm>
                        <a:prstGeom prst="rect">
                          <a:avLst/>
                        </a:prstGeom>
                        <a:noFill/>
                        <a:ln w="1908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rect id="shape_0" ID="Rectángulo 30" stroked="t" style="position:absolute;margin-left:6.7pt;margin-top:214.35pt;width:442.5pt;height:18pt;mso-position-horizontal:center;mso-position-horizontal-relative:margin" wp14:anchorId="5917327F">
                <w10:wrap type="none"/>
                <v:fill o:detectmouseclick="t" on="false"/>
                <v:stroke color="red" weight="19080" joinstyle="round" endcap="flat"/>
                <v:shadow on="t" obscured="f" color="black"/>
              </v:rect>
            </w:pict>
          </mc:Fallback>
        </mc:AlternateContent>
      </w:r>
      <w:r>
        <w:rPr>
          <w:noProof/>
          <w:lang w:eastAsia="es-MX"/>
        </w:rPr>
        <mc:AlternateContent>
          <mc:Choice Requires="wps">
            <w:drawing>
              <wp:anchor distT="0" distB="0" distL="0" distR="0" simplePos="0" relativeHeight="65" behindDoc="0" locked="0" layoutInCell="1" allowOverlap="1" wp14:anchorId="3EC74CB2">
                <wp:simplePos x="0" y="0"/>
                <wp:positionH relativeFrom="margin">
                  <wp:align>left</wp:align>
                </wp:positionH>
                <wp:positionV relativeFrom="paragraph">
                  <wp:posOffset>4979670</wp:posOffset>
                </wp:positionV>
                <wp:extent cx="5621020" cy="391795"/>
                <wp:effectExtent l="57150" t="19050" r="76200" b="104775"/>
                <wp:wrapNone/>
                <wp:docPr id="26" name="Rectángulo 31"/>
                <wp:cNvGraphicFramePr/>
                <a:graphic xmlns:a="http://schemas.openxmlformats.org/drawingml/2006/main">
                  <a:graphicData uri="http://schemas.microsoft.com/office/word/2010/wordprocessingShape">
                    <wps:wsp>
                      <wps:cNvSpPr/>
                      <wps:spPr>
                        <a:xfrm>
                          <a:off x="0" y="0"/>
                          <a:ext cx="5620320" cy="391320"/>
                        </a:xfrm>
                        <a:prstGeom prst="rect">
                          <a:avLst/>
                        </a:prstGeom>
                        <a:noFill/>
                        <a:ln w="1908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rect id="shape_0" ID="Rectángulo 31" stroked="t" style="position:absolute;margin-left:4.5pt;margin-top:392.1pt;width:442.5pt;height:30.75pt;mso-position-horizontal:left;mso-position-horizontal-relative:margin" wp14:anchorId="3EC74CB2">
                <w10:wrap type="none"/>
                <v:fill o:detectmouseclick="t" on="false"/>
                <v:stroke color="red" weight="19080" joinstyle="round" endcap="flat"/>
                <v:shadow on="t" obscured="f" color="black"/>
              </v:rect>
            </w:pict>
          </mc:Fallback>
        </mc:AlternateContent>
      </w:r>
      <w:r>
        <w:rPr>
          <w:noProof/>
          <w:lang w:eastAsia="es-MX"/>
        </w:rPr>
        <mc:AlternateContent>
          <mc:Choice Requires="wps">
            <w:drawing>
              <wp:anchor distT="0" distB="0" distL="0" distR="0" simplePos="0" relativeHeight="66" behindDoc="0" locked="0" layoutInCell="1" allowOverlap="1" wp14:anchorId="3E3FDF25">
                <wp:simplePos x="0" y="0"/>
                <wp:positionH relativeFrom="margin">
                  <wp:align>right</wp:align>
                </wp:positionH>
                <wp:positionV relativeFrom="paragraph">
                  <wp:posOffset>5626735</wp:posOffset>
                </wp:positionV>
                <wp:extent cx="5621020" cy="334645"/>
                <wp:effectExtent l="57150" t="19050" r="76200" b="104775"/>
                <wp:wrapNone/>
                <wp:docPr id="27" name="Rectángulo 32"/>
                <wp:cNvGraphicFramePr/>
                <a:graphic xmlns:a="http://schemas.openxmlformats.org/drawingml/2006/main">
                  <a:graphicData uri="http://schemas.microsoft.com/office/word/2010/wordprocessingShape">
                    <wps:wsp>
                      <wps:cNvSpPr/>
                      <wps:spPr>
                        <a:xfrm>
                          <a:off x="0" y="0"/>
                          <a:ext cx="5620320" cy="334080"/>
                        </a:xfrm>
                        <a:prstGeom prst="rect">
                          <a:avLst/>
                        </a:prstGeom>
                        <a:noFill/>
                        <a:ln w="1908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rect id="shape_0" ID="Rectángulo 32" stroked="t" style="position:absolute;margin-left:7.45pt;margin-top:443.05pt;width:442.5pt;height:26.25pt;mso-position-horizontal:right;mso-position-horizontal-relative:margin" wp14:anchorId="3E3FDF25">
                <w10:wrap type="none"/>
                <v:fill o:detectmouseclick="t" on="false"/>
                <v:stroke color="red" weight="19080" joinstyle="round" endcap="flat"/>
                <v:shadow on="t" obscured="f" color="black"/>
              </v:rect>
            </w:pict>
          </mc:Fallback>
        </mc:AlternateContent>
      </w:r>
      <w:r>
        <w:rPr>
          <w:noProof/>
          <w:lang w:eastAsia="es-MX"/>
        </w:rPr>
        <mc:AlternateContent>
          <mc:Choice Requires="wps">
            <w:drawing>
              <wp:anchor distT="0" distB="0" distL="0" distR="0" simplePos="0" relativeHeight="67" behindDoc="0" locked="0" layoutInCell="1" allowOverlap="1" wp14:anchorId="6A7DF589">
                <wp:simplePos x="0" y="0"/>
                <wp:positionH relativeFrom="margin">
                  <wp:align>right</wp:align>
                </wp:positionH>
                <wp:positionV relativeFrom="paragraph">
                  <wp:posOffset>4703445</wp:posOffset>
                </wp:positionV>
                <wp:extent cx="5621020" cy="163195"/>
                <wp:effectExtent l="57150" t="19050" r="76200" b="104775"/>
                <wp:wrapNone/>
                <wp:docPr id="28" name="Rectángulo 34"/>
                <wp:cNvGraphicFramePr/>
                <a:graphic xmlns:a="http://schemas.openxmlformats.org/drawingml/2006/main">
                  <a:graphicData uri="http://schemas.microsoft.com/office/word/2010/wordprocessingShape">
                    <wps:wsp>
                      <wps:cNvSpPr/>
                      <wps:spPr>
                        <a:xfrm>
                          <a:off x="0" y="0"/>
                          <a:ext cx="5620320" cy="162720"/>
                        </a:xfrm>
                        <a:prstGeom prst="rect">
                          <a:avLst/>
                        </a:prstGeom>
                        <a:noFill/>
                        <a:ln w="1908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rect id="shape_0" ID="Rectángulo 34" stroked="t" style="position:absolute;margin-left:7.45pt;margin-top:370.35pt;width:442.5pt;height:12.75pt;mso-position-horizontal:right;mso-position-horizontal-relative:margin" wp14:anchorId="6A7DF589">
                <w10:wrap type="none"/>
                <v:fill o:detectmouseclick="t" on="false"/>
                <v:stroke color="red" weight="19080" joinstyle="round" endcap="flat"/>
                <v:shadow on="t" obscured="f" color="black"/>
              </v:rect>
            </w:pict>
          </mc:Fallback>
        </mc:AlternateContent>
      </w:r>
    </w:p>
    <w:p w:rsidR="00BB0015" w:rsidRDefault="00286BA0">
      <w:pPr>
        <w:tabs>
          <w:tab w:val="left" w:pos="8080"/>
        </w:tabs>
        <w:spacing w:line="360" w:lineRule="auto"/>
        <w:ind w:right="49"/>
        <w:jc w:val="both"/>
        <w:rPr>
          <w:rFonts w:ascii="Palatino Linotype" w:hAnsi="Palatino Linotype" w:cs="Arial"/>
        </w:rPr>
      </w:pPr>
      <w:r>
        <w:rPr>
          <w:noProof/>
          <w:lang w:eastAsia="es-MX"/>
        </w:rPr>
        <w:lastRenderedPageBreak/>
        <w:drawing>
          <wp:inline distT="0" distB="0" distL="0" distR="0">
            <wp:extent cx="5743575" cy="7353300"/>
            <wp:effectExtent l="0" t="0" r="0" b="0"/>
            <wp:docPr id="3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12"/>
                    <pic:cNvPicPr>
                      <a:picLocks noChangeAspect="1" noChangeArrowheads="1"/>
                    </pic:cNvPicPr>
                  </pic:nvPicPr>
                  <pic:blipFill>
                    <a:blip r:embed="rId35"/>
                    <a:srcRect l="21718" t="17771" r="37349" b="19321"/>
                    <a:stretch>
                      <a:fillRect/>
                    </a:stretch>
                  </pic:blipFill>
                  <pic:spPr bwMode="auto">
                    <a:xfrm>
                      <a:off x="0" y="0"/>
                      <a:ext cx="5743575" cy="7353300"/>
                    </a:xfrm>
                    <a:prstGeom prst="rect">
                      <a:avLst/>
                    </a:prstGeom>
                  </pic:spPr>
                </pic:pic>
              </a:graphicData>
            </a:graphic>
          </wp:inline>
        </w:drawing>
      </w:r>
      <w:r>
        <w:rPr>
          <w:noProof/>
          <w:lang w:eastAsia="es-MX"/>
        </w:rPr>
        <mc:AlternateContent>
          <mc:Choice Requires="wps">
            <w:drawing>
              <wp:anchor distT="0" distB="0" distL="0" distR="0" simplePos="0" relativeHeight="68" behindDoc="0" locked="0" layoutInCell="1" allowOverlap="1" wp14:anchorId="27559282">
                <wp:simplePos x="0" y="0"/>
                <wp:positionH relativeFrom="margin">
                  <wp:align>left</wp:align>
                </wp:positionH>
                <wp:positionV relativeFrom="paragraph">
                  <wp:posOffset>950595</wp:posOffset>
                </wp:positionV>
                <wp:extent cx="5621020" cy="163195"/>
                <wp:effectExtent l="57150" t="19050" r="76200" b="104775"/>
                <wp:wrapNone/>
                <wp:docPr id="30" name="Rectángulo 35"/>
                <wp:cNvGraphicFramePr/>
                <a:graphic xmlns:a="http://schemas.openxmlformats.org/drawingml/2006/main">
                  <a:graphicData uri="http://schemas.microsoft.com/office/word/2010/wordprocessingShape">
                    <wps:wsp>
                      <wps:cNvSpPr/>
                      <wps:spPr>
                        <a:xfrm>
                          <a:off x="0" y="0"/>
                          <a:ext cx="5620320" cy="162720"/>
                        </a:xfrm>
                        <a:prstGeom prst="rect">
                          <a:avLst/>
                        </a:prstGeom>
                        <a:noFill/>
                        <a:ln w="1908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rect id="shape_0" ID="Rectángulo 35" stroked="t" style="position:absolute;margin-left:4.5pt;margin-top:74.85pt;width:442.5pt;height:12.75pt;mso-position-horizontal:left;mso-position-horizontal-relative:margin" wp14:anchorId="27559282">
                <w10:wrap type="none"/>
                <v:fill o:detectmouseclick="t" on="false"/>
                <v:stroke color="red" weight="19080" joinstyle="round" endcap="flat"/>
                <v:shadow on="t" obscured="f" color="black"/>
              </v:rect>
            </w:pict>
          </mc:Fallback>
        </mc:AlternateContent>
      </w:r>
      <w:r>
        <w:rPr>
          <w:noProof/>
          <w:lang w:eastAsia="es-MX"/>
        </w:rPr>
        <mc:AlternateContent>
          <mc:Choice Requires="wps">
            <w:drawing>
              <wp:anchor distT="0" distB="0" distL="0" distR="0" simplePos="0" relativeHeight="69" behindDoc="0" locked="0" layoutInCell="1" allowOverlap="1" wp14:anchorId="51A1EAA6">
                <wp:simplePos x="0" y="0"/>
                <wp:positionH relativeFrom="margin">
                  <wp:posOffset>34290</wp:posOffset>
                </wp:positionH>
                <wp:positionV relativeFrom="paragraph">
                  <wp:posOffset>1950720</wp:posOffset>
                </wp:positionV>
                <wp:extent cx="5621020" cy="163195"/>
                <wp:effectExtent l="57150" t="19050" r="76200" b="104775"/>
                <wp:wrapNone/>
                <wp:docPr id="31" name="Rectángulo 36"/>
                <wp:cNvGraphicFramePr/>
                <a:graphic xmlns:a="http://schemas.openxmlformats.org/drawingml/2006/main">
                  <a:graphicData uri="http://schemas.microsoft.com/office/word/2010/wordprocessingShape">
                    <wps:wsp>
                      <wps:cNvSpPr/>
                      <wps:spPr>
                        <a:xfrm>
                          <a:off x="0" y="0"/>
                          <a:ext cx="5620320" cy="162720"/>
                        </a:xfrm>
                        <a:prstGeom prst="rect">
                          <a:avLst/>
                        </a:prstGeom>
                        <a:noFill/>
                        <a:ln w="1908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rect id="shape_0" ID="Rectángulo 36" stroked="t" style="position:absolute;margin-left:2.7pt;margin-top:153.6pt;width:442.5pt;height:12.75pt;mso-position-horizontal-relative:margin" wp14:anchorId="51A1EAA6">
                <w10:wrap type="none"/>
                <v:fill o:detectmouseclick="t" on="false"/>
                <v:stroke color="red" weight="19080" joinstyle="round" endcap="flat"/>
                <v:shadow on="t" obscured="f" color="black"/>
              </v:rect>
            </w:pict>
          </mc:Fallback>
        </mc:AlternateContent>
      </w:r>
      <w:r>
        <w:rPr>
          <w:noProof/>
          <w:lang w:eastAsia="es-MX"/>
        </w:rPr>
        <mc:AlternateContent>
          <mc:Choice Requires="wps">
            <w:drawing>
              <wp:anchor distT="0" distB="0" distL="0" distR="0" simplePos="0" relativeHeight="70" behindDoc="0" locked="0" layoutInCell="1" allowOverlap="1" wp14:anchorId="20211BC5">
                <wp:simplePos x="0" y="0"/>
                <wp:positionH relativeFrom="page">
                  <wp:posOffset>1114425</wp:posOffset>
                </wp:positionH>
                <wp:positionV relativeFrom="paragraph">
                  <wp:posOffset>1293495</wp:posOffset>
                </wp:positionV>
                <wp:extent cx="5640070" cy="315595"/>
                <wp:effectExtent l="57150" t="19050" r="76200" b="104775"/>
                <wp:wrapNone/>
                <wp:docPr id="32" name="Rectángulo 37"/>
                <wp:cNvGraphicFramePr/>
                <a:graphic xmlns:a="http://schemas.openxmlformats.org/drawingml/2006/main">
                  <a:graphicData uri="http://schemas.microsoft.com/office/word/2010/wordprocessingShape">
                    <wps:wsp>
                      <wps:cNvSpPr/>
                      <wps:spPr>
                        <a:xfrm>
                          <a:off x="0" y="0"/>
                          <a:ext cx="5639400" cy="315000"/>
                        </a:xfrm>
                        <a:prstGeom prst="rect">
                          <a:avLst/>
                        </a:prstGeom>
                        <a:noFill/>
                        <a:ln w="1908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rect id="shape_0" ID="Rectángulo 37" stroked="t" style="position:absolute;margin-left:87.75pt;margin-top:101.85pt;width:444pt;height:24.75pt;mso-position-horizontal-relative:page" wp14:anchorId="20211BC5">
                <w10:wrap type="none"/>
                <v:fill o:detectmouseclick="t" on="false"/>
                <v:stroke color="red" weight="19080" joinstyle="round" endcap="flat"/>
                <v:shadow on="t" obscured="f" color="black"/>
              </v:rect>
            </w:pict>
          </mc:Fallback>
        </mc:AlternateContent>
      </w:r>
      <w:r>
        <w:rPr>
          <w:noProof/>
          <w:lang w:eastAsia="es-MX"/>
        </w:rPr>
        <mc:AlternateContent>
          <mc:Choice Requires="wps">
            <w:drawing>
              <wp:anchor distT="0" distB="0" distL="0" distR="0" simplePos="0" relativeHeight="71" behindDoc="0" locked="0" layoutInCell="1" allowOverlap="1" wp14:anchorId="576FA76A">
                <wp:simplePos x="0" y="0"/>
                <wp:positionH relativeFrom="margin">
                  <wp:align>left</wp:align>
                </wp:positionH>
                <wp:positionV relativeFrom="paragraph">
                  <wp:posOffset>4379595</wp:posOffset>
                </wp:positionV>
                <wp:extent cx="5554345" cy="182245"/>
                <wp:effectExtent l="57150" t="19050" r="85725" b="104775"/>
                <wp:wrapNone/>
                <wp:docPr id="33" name="Rectángulo 38"/>
                <wp:cNvGraphicFramePr/>
                <a:graphic xmlns:a="http://schemas.openxmlformats.org/drawingml/2006/main">
                  <a:graphicData uri="http://schemas.microsoft.com/office/word/2010/wordprocessingShape">
                    <wps:wsp>
                      <wps:cNvSpPr/>
                      <wps:spPr>
                        <a:xfrm>
                          <a:off x="0" y="0"/>
                          <a:ext cx="5553720" cy="181440"/>
                        </a:xfrm>
                        <a:prstGeom prst="rect">
                          <a:avLst/>
                        </a:prstGeom>
                        <a:noFill/>
                        <a:ln w="1908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rect id="shape_0" ID="Rectángulo 38" stroked="t" style="position:absolute;margin-left:4.5pt;margin-top:344.85pt;width:437.25pt;height:14.25pt;mso-position-horizontal:left;mso-position-horizontal-relative:margin" wp14:anchorId="576FA76A">
                <w10:wrap type="none"/>
                <v:fill o:detectmouseclick="t" on="false"/>
                <v:stroke color="red" weight="19080" joinstyle="round" endcap="flat"/>
                <v:shadow on="t" obscured="f" color="black"/>
              </v:rect>
            </w:pict>
          </mc:Fallback>
        </mc:AlternateContent>
      </w:r>
      <w:r>
        <w:rPr>
          <w:noProof/>
          <w:lang w:eastAsia="es-MX"/>
        </w:rPr>
        <mc:AlternateContent>
          <mc:Choice Requires="wps">
            <w:drawing>
              <wp:anchor distT="0" distB="0" distL="0" distR="0" simplePos="0" relativeHeight="72" behindDoc="0" locked="0" layoutInCell="1" allowOverlap="1" wp14:anchorId="4B535B62">
                <wp:simplePos x="0" y="0"/>
                <wp:positionH relativeFrom="margin">
                  <wp:align>left</wp:align>
                </wp:positionH>
                <wp:positionV relativeFrom="paragraph">
                  <wp:posOffset>4722495</wp:posOffset>
                </wp:positionV>
                <wp:extent cx="5554345" cy="763270"/>
                <wp:effectExtent l="57150" t="19050" r="85725" b="95250"/>
                <wp:wrapNone/>
                <wp:docPr id="34" name="Rectángulo 39"/>
                <wp:cNvGraphicFramePr/>
                <a:graphic xmlns:a="http://schemas.openxmlformats.org/drawingml/2006/main">
                  <a:graphicData uri="http://schemas.microsoft.com/office/word/2010/wordprocessingShape">
                    <wps:wsp>
                      <wps:cNvSpPr/>
                      <wps:spPr>
                        <a:xfrm>
                          <a:off x="0" y="0"/>
                          <a:ext cx="5553720" cy="762480"/>
                        </a:xfrm>
                        <a:prstGeom prst="rect">
                          <a:avLst/>
                        </a:prstGeom>
                        <a:noFill/>
                        <a:ln w="1908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rect id="shape_0" ID="Rectángulo 39" stroked="t" style="position:absolute;margin-left:4.5pt;margin-top:371.85pt;width:437.25pt;height:60pt;mso-position-horizontal:left;mso-position-horizontal-relative:margin" wp14:anchorId="4B535B62">
                <w10:wrap type="none"/>
                <v:fill o:detectmouseclick="t" on="false"/>
                <v:stroke color="red" weight="19080" joinstyle="round" endcap="flat"/>
                <v:shadow on="t" obscured="f" color="black"/>
              </v:rect>
            </w:pict>
          </mc:Fallback>
        </mc:AlternateContent>
      </w:r>
      <w:r>
        <w:rPr>
          <w:noProof/>
          <w:lang w:eastAsia="es-MX"/>
        </w:rPr>
        <mc:AlternateContent>
          <mc:Choice Requires="wps">
            <w:drawing>
              <wp:anchor distT="0" distB="0" distL="0" distR="0" simplePos="0" relativeHeight="73" behindDoc="0" locked="0" layoutInCell="1" allowOverlap="1" wp14:anchorId="11B42379">
                <wp:simplePos x="0" y="0"/>
                <wp:positionH relativeFrom="margin">
                  <wp:posOffset>91440</wp:posOffset>
                </wp:positionH>
                <wp:positionV relativeFrom="paragraph">
                  <wp:posOffset>5808345</wp:posOffset>
                </wp:positionV>
                <wp:extent cx="5506720" cy="258445"/>
                <wp:effectExtent l="57150" t="19050" r="76200" b="104775"/>
                <wp:wrapNone/>
                <wp:docPr id="35" name="Rectángulo 40"/>
                <wp:cNvGraphicFramePr/>
                <a:graphic xmlns:a="http://schemas.openxmlformats.org/drawingml/2006/main">
                  <a:graphicData uri="http://schemas.microsoft.com/office/word/2010/wordprocessingShape">
                    <wps:wsp>
                      <wps:cNvSpPr/>
                      <wps:spPr>
                        <a:xfrm>
                          <a:off x="0" y="0"/>
                          <a:ext cx="5506200" cy="257760"/>
                        </a:xfrm>
                        <a:prstGeom prst="rect">
                          <a:avLst/>
                        </a:prstGeom>
                        <a:noFill/>
                        <a:ln w="1908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rect id="shape_0" ID="Rectángulo 40" stroked="t" style="position:absolute;margin-left:7.2pt;margin-top:457.35pt;width:433.5pt;height:20.25pt;mso-position-horizontal-relative:margin" wp14:anchorId="11B42379">
                <w10:wrap type="none"/>
                <v:fill o:detectmouseclick="t" on="false"/>
                <v:stroke color="red" weight="19080" joinstyle="round" endcap="flat"/>
                <v:shadow on="t" obscured="f" color="black"/>
              </v:rect>
            </w:pict>
          </mc:Fallback>
        </mc:AlternateContent>
      </w:r>
    </w:p>
    <w:p w:rsidR="00BB0015" w:rsidRDefault="00286BA0">
      <w:pPr>
        <w:tabs>
          <w:tab w:val="left" w:pos="8080"/>
        </w:tabs>
        <w:spacing w:line="360" w:lineRule="auto"/>
        <w:ind w:right="49"/>
        <w:jc w:val="both"/>
        <w:rPr>
          <w:rFonts w:ascii="Palatino Linotype" w:hAnsi="Palatino Linotype" w:cs="Arial"/>
        </w:rPr>
      </w:pPr>
      <w:r>
        <w:rPr>
          <w:rFonts w:ascii="Palatino Linotype" w:hAnsi="Palatino Linotype" w:cs="Arial"/>
        </w:rPr>
        <w:lastRenderedPageBreak/>
        <w:t xml:space="preserve">De lo anterior se puede advertir que las solitudes recibidas y respuesta emitidas por </w:t>
      </w:r>
      <w:r>
        <w:rPr>
          <w:rFonts w:ascii="Palatino Linotype" w:hAnsi="Palatino Linotype" w:cs="Arial"/>
          <w:b/>
        </w:rPr>
        <w:t>EL SUJETO OBLIGADO</w:t>
      </w:r>
      <w:r>
        <w:rPr>
          <w:rFonts w:ascii="Palatino Linotype" w:hAnsi="Palatino Linotype" w:cs="Arial"/>
        </w:rPr>
        <w:t xml:space="preserve">, así como sus anexos, durante los años 2015, 2016, 2017, 2018 y 2019, se encuentran disponible para su consulta en las páginas electrónicas señaladas por </w:t>
      </w:r>
      <w:r>
        <w:rPr>
          <w:rFonts w:ascii="Palatino Linotype" w:hAnsi="Palatino Linotype" w:cs="Arial"/>
          <w:b/>
        </w:rPr>
        <w:t>EL SUJETO OBLIGADO</w:t>
      </w:r>
      <w:r>
        <w:rPr>
          <w:rFonts w:ascii="Palatino Linotype" w:hAnsi="Palatino Linotype" w:cs="Arial"/>
        </w:rPr>
        <w:t xml:space="preserve"> en su respuesta.</w:t>
      </w:r>
    </w:p>
    <w:p w:rsidR="00BB0015" w:rsidRDefault="00BB0015">
      <w:pPr>
        <w:tabs>
          <w:tab w:val="left" w:pos="8080"/>
        </w:tabs>
        <w:spacing w:line="360" w:lineRule="auto"/>
        <w:ind w:right="49"/>
        <w:jc w:val="both"/>
        <w:rPr>
          <w:rFonts w:ascii="Palatino Linotype" w:hAnsi="Palatino Linotype" w:cs="Arial"/>
        </w:rPr>
      </w:pPr>
    </w:p>
    <w:p w:rsidR="00BB0015" w:rsidRDefault="00286BA0">
      <w:pPr>
        <w:tabs>
          <w:tab w:val="left" w:pos="8080"/>
        </w:tabs>
        <w:spacing w:line="360" w:lineRule="auto"/>
        <w:ind w:right="49"/>
        <w:jc w:val="both"/>
        <w:rPr>
          <w:rFonts w:ascii="Palatino Linotype" w:hAnsi="Palatino Linotype" w:cs="Arial"/>
        </w:rPr>
      </w:pPr>
      <w:r>
        <w:rPr>
          <w:noProof/>
          <w:lang w:eastAsia="es-MX"/>
        </w:rPr>
        <mc:AlternateContent>
          <mc:Choice Requires="wps">
            <w:drawing>
              <wp:anchor distT="0" distB="0" distL="0" distR="0" simplePos="0" relativeHeight="74" behindDoc="0" locked="0" layoutInCell="1" allowOverlap="1" wp14:anchorId="2440A16F">
                <wp:simplePos x="0" y="0"/>
                <wp:positionH relativeFrom="margin">
                  <wp:posOffset>133350</wp:posOffset>
                </wp:positionH>
                <wp:positionV relativeFrom="paragraph">
                  <wp:posOffset>2776855</wp:posOffset>
                </wp:positionV>
                <wp:extent cx="5716905" cy="3020695"/>
                <wp:effectExtent l="38100" t="19050" r="76200" b="85725"/>
                <wp:wrapNone/>
                <wp:docPr id="37" name="Conector recto 47"/>
                <wp:cNvGraphicFramePr/>
                <a:graphic xmlns:a="http://schemas.openxmlformats.org/drawingml/2006/main">
                  <a:graphicData uri="http://schemas.microsoft.com/office/word/2010/wordprocessingShape">
                    <wps:wsp>
                      <wps:cNvCnPr/>
                      <wps:spPr>
                        <a:xfrm>
                          <a:off x="0" y="0"/>
                          <a:ext cx="5716905" cy="3020695"/>
                        </a:xfrm>
                        <a:prstGeom prst="line">
                          <a:avLst/>
                        </a:prstGeom>
                        <a:ln>
                          <a:round/>
                        </a:ln>
                      </wps:spPr>
                      <wps:style>
                        <a:lnRef idx="2">
                          <a:schemeClr val="accent1"/>
                        </a:lnRef>
                        <a:fillRef idx="0">
                          <a:schemeClr val="accent1"/>
                        </a:fillRef>
                        <a:effectRef idx="1">
                          <a:schemeClr val="accent1"/>
                        </a:effectRef>
                        <a:fontRef idx="minor"/>
                      </wps:style>
                      <wps:bodyPr/>
                    </wps:wsp>
                  </a:graphicData>
                </a:graphic>
              </wp:anchor>
            </w:drawing>
          </mc:Choice>
          <mc:Fallback>
            <w:pict>
              <v:line w14:anchorId="7A574A69" id="Conector recto 47" o:spid="_x0000_s1026" style="position:absolute;z-index:74;visibility:visible;mso-wrap-style:square;mso-wrap-distance-left:0;mso-wrap-distance-top:0;mso-wrap-distance-right:0;mso-wrap-distance-bottom:0;mso-position-horizontal:absolute;mso-position-horizontal-relative:margin;mso-position-vertical:absolute;mso-position-vertical-relative:text" from="10.5pt,218.65pt" to="460.65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AmwAEAALsDAAAOAAAAZHJzL2Uyb0RvYy54bWysU8tu2zAQvBfoPxC8x5Kc2m4Eyzk4aC9F&#10;a/TxAQy1tAjwhSVj2X/fJeUqQXsIUOSyJJc7o5nlant/toadAKP2ruPNouYMnPS9dseO//r56eYj&#10;ZzEJ1wvjHXT8ApHf796/246hhaUfvOkBGZG42I6h40NKoa2qKAewIi58AEeXyqMViY54rHoUI7Fb&#10;Uy3rel2NHvuAXkKMlH2YLvmu8CsFMn1TKkJipuOkLZWIJT7mWO22oj2iCIOWVxniP1RYoR19dKZ6&#10;EEmwJ9T/UFkt0Uev0kJ6W3mltITigdw09V9ufgwiQPFCzYlhblN8O1r59XRApvuO3244c8LSG+3p&#10;pWTyyDAv7MMmd2kMsaXivTvg9RTDAbPls0KbVzLDzqWzl7mzcE5MUnK1adZ39YozSXe39bJe360y&#10;a/UMDxjTZ/CW5U3HjXbZumjF6UtMU+mfkpw2Lkf0T66fLnOiyionXWWXLgam4u+gyCUpWRbSMl+w&#10;N8hOgiZDSAkuNVdFxlF1hiltzAysXwde6zMUyuzN4OZ18IwoX/YuzWCrncei7YWpvH30/aU8R/FN&#10;E1Iaep3mPIIvz6U7z//c7jcAAAD//wMAUEsDBBQABgAIAAAAIQD5sVGf3QAAAAoBAAAPAAAAZHJz&#10;L2Rvd25yZXYueG1sTI9LT8MwEITvSPwHa5G4UScOKjTEqRASEkeacuDoxEsexA/ZbpP+e5YT3Ga0&#10;o9lvqv1qZnbGEEdnJeSbDBjazunR9hI+jq93j8BiUlar2VmUcMEI+/r6qlKldos94LlJPaMSG0sl&#10;YUjJl5zHbkCj4sZ5tHT7csGoRDb0XAe1ULmZuciyLTdqtPRhUB5fBuy+m5OR8BnaSbxdFi/ctG12&#10;k0fxfkApb2/W5ydgCdf0F4ZffEKHmphad7I6slmCyGlKknBfPBTAKLATOYmWRF5kwOuK/59Q/wAA&#10;AP//AwBQSwECLQAUAAYACAAAACEAtoM4kv4AAADhAQAAEwAAAAAAAAAAAAAAAAAAAAAAW0NvbnRl&#10;bnRfVHlwZXNdLnhtbFBLAQItABQABgAIAAAAIQA4/SH/1gAAAJQBAAALAAAAAAAAAAAAAAAAAC8B&#10;AABfcmVscy8ucmVsc1BLAQItABQABgAIAAAAIQBcezAmwAEAALsDAAAOAAAAAAAAAAAAAAAAAC4C&#10;AABkcnMvZTJvRG9jLnhtbFBLAQItABQABgAIAAAAIQD5sVGf3QAAAAoBAAAPAAAAAAAAAAAAAAAA&#10;ABoEAABkcnMvZG93bnJldi54bWxQSwUGAAAAAAQABADzAAAAJAUAAAAA&#10;" strokecolor="#4f81bd [3204]" strokeweight="2pt">
                <v:shadow on="t" color="black" opacity="24903f" origin=",.5" offset="0,.55556mm"/>
                <w10:wrap anchorx="margin"/>
              </v:line>
            </w:pict>
          </mc:Fallback>
        </mc:AlternateContent>
      </w:r>
      <w:r>
        <w:rPr>
          <w:rFonts w:ascii="Palatino Linotype" w:hAnsi="Palatino Linotype" w:cs="Arial"/>
        </w:rPr>
        <w:t xml:space="preserve">Ahora bien, lo que respecta a las solicitudes recibidas y las respuestas emitidas del 1 de enero al 25 de febrero de 2020 fecha en que fue presentada la solicitud, la información publicada en la página electrónica proporcionada, se encuentra incompleta, ya que de conformidad con el SAIMEX, </w:t>
      </w:r>
      <w:r>
        <w:rPr>
          <w:rFonts w:ascii="Palatino Linotype" w:hAnsi="Palatino Linotype" w:cs="Arial"/>
          <w:b/>
        </w:rPr>
        <w:t>EL SUJETO OBLIGADO</w:t>
      </w:r>
      <w:r>
        <w:rPr>
          <w:rFonts w:ascii="Palatino Linotype" w:hAnsi="Palatino Linotype" w:cs="Arial"/>
        </w:rPr>
        <w:t xml:space="preserve">, recibió en la temporalidad señalada, 71 solicitudes de acceso a la información pública y aunque no dio respuesta a todas ellas, lo cierto es que, dio atención a un número mayor de solicitudes a la señalada con el folio 00034/ATLACOM/IP/2020, que se encuentra en el link proporcionado por </w:t>
      </w:r>
      <w:r>
        <w:rPr>
          <w:rFonts w:ascii="Palatino Linotype" w:hAnsi="Palatino Linotype" w:cs="Arial"/>
          <w:b/>
        </w:rPr>
        <w:t>EL SUJETO OBLIGADO</w:t>
      </w:r>
      <w:r>
        <w:rPr>
          <w:rFonts w:ascii="Palatino Linotype" w:hAnsi="Palatino Linotype" w:cs="Arial"/>
        </w:rPr>
        <w:t>, tal y como se advierte a continuación:</w:t>
      </w:r>
    </w:p>
    <w:p w:rsidR="00BB0015" w:rsidRDefault="00286BA0">
      <w:pPr>
        <w:tabs>
          <w:tab w:val="left" w:pos="8080"/>
        </w:tabs>
        <w:spacing w:line="360" w:lineRule="auto"/>
        <w:ind w:right="49"/>
        <w:jc w:val="both"/>
        <w:rPr>
          <w:rFonts w:ascii="Palatino Linotype" w:hAnsi="Palatino Linotype" w:cs="Arial"/>
        </w:rPr>
      </w:pPr>
      <w:r>
        <w:rPr>
          <w:noProof/>
          <w:lang w:eastAsia="es-MX"/>
        </w:rPr>
        <w:lastRenderedPageBreak/>
        <w:drawing>
          <wp:inline distT="0" distB="0" distL="0" distR="0">
            <wp:extent cx="5791200" cy="7372350"/>
            <wp:effectExtent l="0" t="0" r="0" b="0"/>
            <wp:docPr id="40"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1"/>
                    <pic:cNvPicPr>
                      <a:picLocks noChangeAspect="1" noChangeArrowheads="1"/>
                    </pic:cNvPicPr>
                  </pic:nvPicPr>
                  <pic:blipFill>
                    <a:blip r:embed="rId36"/>
                    <a:srcRect l="8393" t="10305" r="15484" b="7908"/>
                    <a:stretch>
                      <a:fillRect/>
                    </a:stretch>
                  </pic:blipFill>
                  <pic:spPr bwMode="auto">
                    <a:xfrm>
                      <a:off x="0" y="0"/>
                      <a:ext cx="5791200" cy="7372350"/>
                    </a:xfrm>
                    <a:prstGeom prst="rect">
                      <a:avLst/>
                    </a:prstGeom>
                  </pic:spPr>
                </pic:pic>
              </a:graphicData>
            </a:graphic>
          </wp:inline>
        </w:drawing>
      </w:r>
      <w:r>
        <w:rPr>
          <w:noProof/>
          <w:lang w:eastAsia="es-MX"/>
        </w:rPr>
        <mc:AlternateContent>
          <mc:Choice Requires="wps">
            <w:drawing>
              <wp:anchor distT="0" distB="0" distL="0" distR="0" simplePos="0" relativeHeight="75" behindDoc="0" locked="0" layoutInCell="1" allowOverlap="1" wp14:anchorId="54570714">
                <wp:simplePos x="0" y="0"/>
                <wp:positionH relativeFrom="column">
                  <wp:posOffset>2872740</wp:posOffset>
                </wp:positionH>
                <wp:positionV relativeFrom="paragraph">
                  <wp:posOffset>788670</wp:posOffset>
                </wp:positionV>
                <wp:extent cx="372745" cy="6602095"/>
                <wp:effectExtent l="57150" t="38100" r="85725" b="104775"/>
                <wp:wrapNone/>
                <wp:docPr id="38" name="Rectángulo 48"/>
                <wp:cNvGraphicFramePr/>
                <a:graphic xmlns:a="http://schemas.openxmlformats.org/drawingml/2006/main">
                  <a:graphicData uri="http://schemas.microsoft.com/office/word/2010/wordprocessingShape">
                    <wps:wsp>
                      <wps:cNvSpPr/>
                      <wps:spPr>
                        <a:xfrm>
                          <a:off x="0" y="0"/>
                          <a:ext cx="372240" cy="6601320"/>
                        </a:xfrm>
                        <a:prstGeom prst="rect">
                          <a:avLst/>
                        </a:prstGeom>
                        <a:noFill/>
                        <a:ln w="28440">
                          <a:solidFill>
                            <a:srgbClr val="FF0000"/>
                          </a:solidFill>
                          <a:round/>
                        </a:ln>
                        <a:effectLst>
                          <a:outerShdw blurRad="40000" dist="23040" dir="5400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rect id="shape_0" ID="Rectángulo 48" stroked="t" style="position:absolute;margin-left:226.2pt;margin-top:62.1pt;width:29.25pt;height:519.75pt" wp14:anchorId="54570714">
                <w10:wrap type="none"/>
                <v:fill o:detectmouseclick="t" on="false"/>
                <v:stroke color="red" weight="28440" joinstyle="round" endcap="flat"/>
                <v:shadow on="t" obscured="f" color="black"/>
              </v:rect>
            </w:pict>
          </mc:Fallback>
        </mc:AlternateContent>
      </w:r>
      <w:r>
        <w:rPr>
          <w:noProof/>
          <w:lang w:eastAsia="es-MX"/>
        </w:rPr>
        <mc:AlternateContent>
          <mc:Choice Requires="wps">
            <w:drawing>
              <wp:anchor distT="0" distB="0" distL="0" distR="0" simplePos="0" relativeHeight="76" behindDoc="0" locked="0" layoutInCell="1" allowOverlap="1" wp14:anchorId="372F6004">
                <wp:simplePos x="0" y="0"/>
                <wp:positionH relativeFrom="column">
                  <wp:posOffset>5358765</wp:posOffset>
                </wp:positionH>
                <wp:positionV relativeFrom="paragraph">
                  <wp:posOffset>807720</wp:posOffset>
                </wp:positionV>
                <wp:extent cx="372745" cy="6525895"/>
                <wp:effectExtent l="57150" t="38100" r="85725" b="104775"/>
                <wp:wrapNone/>
                <wp:docPr id="39" name="Rectángulo 49"/>
                <wp:cNvGraphicFramePr/>
                <a:graphic xmlns:a="http://schemas.openxmlformats.org/drawingml/2006/main">
                  <a:graphicData uri="http://schemas.microsoft.com/office/word/2010/wordprocessingShape">
                    <wps:wsp>
                      <wps:cNvSpPr/>
                      <wps:spPr>
                        <a:xfrm>
                          <a:off x="0" y="0"/>
                          <a:ext cx="372240" cy="6525360"/>
                        </a:xfrm>
                        <a:prstGeom prst="rect">
                          <a:avLst/>
                        </a:prstGeom>
                        <a:noFill/>
                        <a:ln w="2844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rect id="shape_0" ID="Rectángulo 49" stroked="t" style="position:absolute;margin-left:421.95pt;margin-top:63.6pt;width:29.25pt;height:513.75pt" wp14:anchorId="372F6004">
                <w10:wrap type="none"/>
                <v:fill o:detectmouseclick="t" on="false"/>
                <v:stroke color="red" weight="28440" joinstyle="round" endcap="flat"/>
                <v:shadow on="t" obscured="f" color="black"/>
              </v:rect>
            </w:pict>
          </mc:Fallback>
        </mc:AlternateContent>
      </w:r>
    </w:p>
    <w:p w:rsidR="00BB0015" w:rsidRDefault="00286BA0">
      <w:pPr>
        <w:tabs>
          <w:tab w:val="left" w:pos="8080"/>
        </w:tabs>
        <w:spacing w:line="360" w:lineRule="auto"/>
        <w:ind w:right="49"/>
        <w:jc w:val="both"/>
        <w:rPr>
          <w:rFonts w:ascii="Palatino Linotype" w:hAnsi="Palatino Linotype" w:cs="Arial"/>
        </w:rPr>
      </w:pPr>
      <w:r>
        <w:rPr>
          <w:noProof/>
          <w:lang w:eastAsia="es-MX"/>
        </w:rPr>
        <w:lastRenderedPageBreak/>
        <w:drawing>
          <wp:inline distT="0" distB="0" distL="0" distR="0">
            <wp:extent cx="5743575" cy="7505700"/>
            <wp:effectExtent l="0" t="0" r="0" b="0"/>
            <wp:docPr id="43"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2"/>
                    <pic:cNvPicPr>
                      <a:picLocks noChangeAspect="1" noChangeArrowheads="1"/>
                    </pic:cNvPicPr>
                  </pic:nvPicPr>
                  <pic:blipFill>
                    <a:blip r:embed="rId37"/>
                    <a:srcRect l="8061" t="10531" r="15809" b="6599"/>
                    <a:stretch>
                      <a:fillRect/>
                    </a:stretch>
                  </pic:blipFill>
                  <pic:spPr bwMode="auto">
                    <a:xfrm>
                      <a:off x="0" y="0"/>
                      <a:ext cx="5743575" cy="7505700"/>
                    </a:xfrm>
                    <a:prstGeom prst="rect">
                      <a:avLst/>
                    </a:prstGeom>
                  </pic:spPr>
                </pic:pic>
              </a:graphicData>
            </a:graphic>
          </wp:inline>
        </w:drawing>
      </w:r>
      <w:r>
        <w:rPr>
          <w:noProof/>
          <w:lang w:eastAsia="es-MX"/>
        </w:rPr>
        <mc:AlternateContent>
          <mc:Choice Requires="wps">
            <w:drawing>
              <wp:anchor distT="0" distB="0" distL="0" distR="0" simplePos="0" relativeHeight="77" behindDoc="0" locked="0" layoutInCell="1" allowOverlap="1" wp14:anchorId="318F1784">
                <wp:simplePos x="0" y="0"/>
                <wp:positionH relativeFrom="column">
                  <wp:posOffset>2882265</wp:posOffset>
                </wp:positionH>
                <wp:positionV relativeFrom="paragraph">
                  <wp:posOffset>445770</wp:posOffset>
                </wp:positionV>
                <wp:extent cx="372745" cy="6897370"/>
                <wp:effectExtent l="57150" t="38100" r="85725" b="95250"/>
                <wp:wrapNone/>
                <wp:docPr id="41" name="Rectángulo 50"/>
                <wp:cNvGraphicFramePr/>
                <a:graphic xmlns:a="http://schemas.openxmlformats.org/drawingml/2006/main">
                  <a:graphicData uri="http://schemas.microsoft.com/office/word/2010/wordprocessingShape">
                    <wps:wsp>
                      <wps:cNvSpPr/>
                      <wps:spPr>
                        <a:xfrm>
                          <a:off x="0" y="0"/>
                          <a:ext cx="372240" cy="6896880"/>
                        </a:xfrm>
                        <a:prstGeom prst="rect">
                          <a:avLst/>
                        </a:prstGeom>
                        <a:noFill/>
                        <a:ln w="2844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rect id="shape_0" ID="Rectángulo 50" stroked="t" style="position:absolute;margin-left:226.95pt;margin-top:35.1pt;width:29.25pt;height:543pt" wp14:anchorId="318F1784">
                <w10:wrap type="none"/>
                <v:fill o:detectmouseclick="t" on="false"/>
                <v:stroke color="red" weight="28440" joinstyle="round" endcap="flat"/>
                <v:shadow on="t" obscured="f" color="black"/>
              </v:rect>
            </w:pict>
          </mc:Fallback>
        </mc:AlternateContent>
      </w:r>
      <w:r>
        <w:rPr>
          <w:noProof/>
          <w:lang w:eastAsia="es-MX"/>
        </w:rPr>
        <mc:AlternateContent>
          <mc:Choice Requires="wps">
            <w:drawing>
              <wp:anchor distT="0" distB="0" distL="0" distR="0" simplePos="0" relativeHeight="78" behindDoc="0" locked="0" layoutInCell="1" allowOverlap="1" wp14:anchorId="6A84BD4E">
                <wp:simplePos x="0" y="0"/>
                <wp:positionH relativeFrom="margin">
                  <wp:align>right</wp:align>
                </wp:positionH>
                <wp:positionV relativeFrom="paragraph">
                  <wp:posOffset>379095</wp:posOffset>
                </wp:positionV>
                <wp:extent cx="372745" cy="6992620"/>
                <wp:effectExtent l="57150" t="38100" r="85725" b="95250"/>
                <wp:wrapNone/>
                <wp:docPr id="42" name="Rectángulo 51"/>
                <wp:cNvGraphicFramePr/>
                <a:graphic xmlns:a="http://schemas.openxmlformats.org/drawingml/2006/main">
                  <a:graphicData uri="http://schemas.microsoft.com/office/word/2010/wordprocessingShape">
                    <wps:wsp>
                      <wps:cNvSpPr/>
                      <wps:spPr>
                        <a:xfrm>
                          <a:off x="0" y="0"/>
                          <a:ext cx="372240" cy="6991920"/>
                        </a:xfrm>
                        <a:prstGeom prst="rect">
                          <a:avLst/>
                        </a:prstGeom>
                        <a:noFill/>
                        <a:ln w="2844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rect id="shape_0" ID="Rectángulo 51" stroked="t" style="position:absolute;margin-left:419.95pt;margin-top:29.85pt;width:29.25pt;height:550.5pt;mso-position-horizontal:right;mso-position-horizontal-relative:margin" wp14:anchorId="6A84BD4E">
                <w10:wrap type="none"/>
                <v:fill o:detectmouseclick="t" on="false"/>
                <v:stroke color="red" weight="28440" joinstyle="round" endcap="flat"/>
                <v:shadow on="t" obscured="f" color="black"/>
              </v:rect>
            </w:pict>
          </mc:Fallback>
        </mc:AlternateContent>
      </w:r>
    </w:p>
    <w:p w:rsidR="00BB0015" w:rsidRDefault="00286BA0">
      <w:pPr>
        <w:tabs>
          <w:tab w:val="left" w:pos="8080"/>
        </w:tabs>
        <w:spacing w:line="360" w:lineRule="auto"/>
        <w:ind w:right="49"/>
        <w:jc w:val="both"/>
        <w:rPr>
          <w:rFonts w:ascii="Palatino Linotype" w:hAnsi="Palatino Linotype" w:cs="Arial"/>
        </w:rPr>
      </w:pPr>
      <w:r>
        <w:rPr>
          <w:noProof/>
          <w:lang w:eastAsia="es-MX"/>
        </w:rPr>
        <w:lastRenderedPageBreak/>
        <w:drawing>
          <wp:inline distT="0" distB="0" distL="0" distR="0">
            <wp:extent cx="5695950" cy="7267575"/>
            <wp:effectExtent l="0" t="0" r="0" b="0"/>
            <wp:docPr id="4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13"/>
                    <pic:cNvPicPr>
                      <a:picLocks noChangeAspect="1" noChangeArrowheads="1"/>
                    </pic:cNvPicPr>
                  </pic:nvPicPr>
                  <pic:blipFill>
                    <a:blip r:embed="rId38"/>
                    <a:srcRect l="21548" t="24577" r="37519" b="12736"/>
                    <a:stretch>
                      <a:fillRect/>
                    </a:stretch>
                  </pic:blipFill>
                  <pic:spPr bwMode="auto">
                    <a:xfrm>
                      <a:off x="0" y="0"/>
                      <a:ext cx="5695950" cy="7267575"/>
                    </a:xfrm>
                    <a:prstGeom prst="rect">
                      <a:avLst/>
                    </a:prstGeom>
                  </pic:spPr>
                </pic:pic>
              </a:graphicData>
            </a:graphic>
          </wp:inline>
        </w:drawing>
      </w:r>
      <w:r>
        <w:rPr>
          <w:noProof/>
          <w:lang w:eastAsia="es-MX"/>
        </w:rPr>
        <mc:AlternateContent>
          <mc:Choice Requires="wps">
            <w:drawing>
              <wp:anchor distT="0" distB="0" distL="0" distR="0" simplePos="0" relativeHeight="79" behindDoc="0" locked="0" layoutInCell="1" allowOverlap="1" wp14:anchorId="3C922D58">
                <wp:simplePos x="0" y="0"/>
                <wp:positionH relativeFrom="column">
                  <wp:posOffset>148590</wp:posOffset>
                </wp:positionH>
                <wp:positionV relativeFrom="paragraph">
                  <wp:posOffset>941070</wp:posOffset>
                </wp:positionV>
                <wp:extent cx="2963545" cy="134620"/>
                <wp:effectExtent l="57150" t="19050" r="85725" b="95250"/>
                <wp:wrapNone/>
                <wp:docPr id="44" name="Rectángulo 52"/>
                <wp:cNvGraphicFramePr/>
                <a:graphic xmlns:a="http://schemas.openxmlformats.org/drawingml/2006/main">
                  <a:graphicData uri="http://schemas.microsoft.com/office/word/2010/wordprocessingShape">
                    <wps:wsp>
                      <wps:cNvSpPr/>
                      <wps:spPr>
                        <a:xfrm>
                          <a:off x="0" y="0"/>
                          <a:ext cx="2962800" cy="133920"/>
                        </a:xfrm>
                        <a:prstGeom prst="rect">
                          <a:avLst/>
                        </a:prstGeom>
                        <a:noFill/>
                        <a:ln w="19080">
                          <a:solidFill>
                            <a:srgbClr val="FF0000"/>
                          </a:solidFill>
                          <a:round/>
                        </a:ln>
                        <a:effectLst>
                          <a:outerShdw blurRad="40000" dist="23040" dir="5400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rect id="shape_0" ID="Rectángulo 52" stroked="t" style="position:absolute;margin-left:11.7pt;margin-top:74.1pt;width:233.25pt;height:10.5pt" wp14:anchorId="3C922D58">
                <w10:wrap type="none"/>
                <v:fill o:detectmouseclick="t" on="false"/>
                <v:stroke color="red" weight="19080" joinstyle="round" endcap="flat"/>
                <v:shadow on="t" obscured="f" color="black"/>
              </v:rect>
            </w:pict>
          </mc:Fallback>
        </mc:AlternateContent>
      </w:r>
      <w:r>
        <w:rPr>
          <w:noProof/>
          <w:lang w:eastAsia="es-MX"/>
        </w:rPr>
        <mc:AlternateContent>
          <mc:Choice Requires="wps">
            <w:drawing>
              <wp:anchor distT="0" distB="0" distL="0" distR="0" simplePos="0" relativeHeight="80" behindDoc="0" locked="0" layoutInCell="1" allowOverlap="1" wp14:anchorId="3253B85C">
                <wp:simplePos x="0" y="0"/>
                <wp:positionH relativeFrom="column">
                  <wp:posOffset>100965</wp:posOffset>
                </wp:positionH>
                <wp:positionV relativeFrom="paragraph">
                  <wp:posOffset>1083945</wp:posOffset>
                </wp:positionV>
                <wp:extent cx="4068445" cy="163195"/>
                <wp:effectExtent l="57150" t="19050" r="85725" b="104775"/>
                <wp:wrapNone/>
                <wp:docPr id="45" name="Rectángulo 53"/>
                <wp:cNvGraphicFramePr/>
                <a:graphic xmlns:a="http://schemas.openxmlformats.org/drawingml/2006/main">
                  <a:graphicData uri="http://schemas.microsoft.com/office/word/2010/wordprocessingShape">
                    <wps:wsp>
                      <wps:cNvSpPr/>
                      <wps:spPr>
                        <a:xfrm>
                          <a:off x="0" y="0"/>
                          <a:ext cx="4067640" cy="162720"/>
                        </a:xfrm>
                        <a:prstGeom prst="rect">
                          <a:avLst/>
                        </a:prstGeom>
                        <a:noFill/>
                        <a:ln w="1908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rect id="shape_0" ID="Rectángulo 53" stroked="t" style="position:absolute;margin-left:7.95pt;margin-top:85.35pt;width:320.25pt;height:12.75pt" wp14:anchorId="3253B85C">
                <w10:wrap type="none"/>
                <v:fill o:detectmouseclick="t" on="false"/>
                <v:stroke color="red" weight="19080" joinstyle="round" endcap="flat"/>
                <v:shadow on="t" obscured="f" color="black"/>
              </v:rect>
            </w:pict>
          </mc:Fallback>
        </mc:AlternateContent>
      </w:r>
      <w:r>
        <w:rPr>
          <w:noProof/>
          <w:lang w:eastAsia="es-MX"/>
        </w:rPr>
        <mc:AlternateContent>
          <mc:Choice Requires="wps">
            <w:drawing>
              <wp:anchor distT="0" distB="0" distL="0" distR="0" simplePos="0" relativeHeight="81" behindDoc="0" locked="0" layoutInCell="1" allowOverlap="1" wp14:anchorId="608E24C4">
                <wp:simplePos x="0" y="0"/>
                <wp:positionH relativeFrom="margin">
                  <wp:align>left</wp:align>
                </wp:positionH>
                <wp:positionV relativeFrom="paragraph">
                  <wp:posOffset>1274445</wp:posOffset>
                </wp:positionV>
                <wp:extent cx="5582920" cy="896620"/>
                <wp:effectExtent l="57150" t="19050" r="76200" b="95250"/>
                <wp:wrapNone/>
                <wp:docPr id="46" name="Rectángulo 54"/>
                <wp:cNvGraphicFramePr/>
                <a:graphic xmlns:a="http://schemas.openxmlformats.org/drawingml/2006/main">
                  <a:graphicData uri="http://schemas.microsoft.com/office/word/2010/wordprocessingShape">
                    <wps:wsp>
                      <wps:cNvSpPr/>
                      <wps:spPr>
                        <a:xfrm>
                          <a:off x="0" y="0"/>
                          <a:ext cx="5582160" cy="896040"/>
                        </a:xfrm>
                        <a:prstGeom prst="rect">
                          <a:avLst/>
                        </a:prstGeom>
                        <a:noFill/>
                        <a:ln w="1908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rect id="shape_0" ID="Rectángulo 54" stroked="t" style="position:absolute;margin-left:4.5pt;margin-top:100.35pt;width:439.5pt;height:70.5pt;mso-position-horizontal:left;mso-position-horizontal-relative:margin" wp14:anchorId="608E24C4">
                <w10:wrap type="none"/>
                <v:fill o:detectmouseclick="t" on="false"/>
                <v:stroke color="red" weight="19080" joinstyle="round" endcap="flat"/>
                <v:shadow on="t" obscured="f" color="black"/>
              </v:rect>
            </w:pict>
          </mc:Fallback>
        </mc:AlternateContent>
      </w:r>
      <w:r>
        <w:rPr>
          <w:noProof/>
          <w:lang w:eastAsia="es-MX"/>
        </w:rPr>
        <mc:AlternateContent>
          <mc:Choice Requires="wps">
            <w:drawing>
              <wp:anchor distT="0" distB="0" distL="0" distR="0" simplePos="0" relativeHeight="82" behindDoc="0" locked="0" layoutInCell="1" allowOverlap="1" wp14:anchorId="355CD172">
                <wp:simplePos x="0" y="0"/>
                <wp:positionH relativeFrom="column">
                  <wp:posOffset>129540</wp:posOffset>
                </wp:positionH>
                <wp:positionV relativeFrom="paragraph">
                  <wp:posOffset>4922520</wp:posOffset>
                </wp:positionV>
                <wp:extent cx="5525770" cy="915670"/>
                <wp:effectExtent l="57150" t="19050" r="76200" b="95250"/>
                <wp:wrapNone/>
                <wp:docPr id="47" name="Rectángulo 55"/>
                <wp:cNvGraphicFramePr/>
                <a:graphic xmlns:a="http://schemas.openxmlformats.org/drawingml/2006/main">
                  <a:graphicData uri="http://schemas.microsoft.com/office/word/2010/wordprocessingShape">
                    <wps:wsp>
                      <wps:cNvSpPr/>
                      <wps:spPr>
                        <a:xfrm>
                          <a:off x="0" y="0"/>
                          <a:ext cx="5525280" cy="915120"/>
                        </a:xfrm>
                        <a:prstGeom prst="rect">
                          <a:avLst/>
                        </a:prstGeom>
                        <a:noFill/>
                        <a:ln w="1908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rect id="shape_0" ID="Rectángulo 55" stroked="t" style="position:absolute;margin-left:10.2pt;margin-top:387.6pt;width:435pt;height:72pt" wp14:anchorId="355CD172">
                <w10:wrap type="none"/>
                <v:fill o:detectmouseclick="t" on="false"/>
                <v:stroke color="red" weight="19080" joinstyle="round" endcap="flat"/>
                <v:shadow on="t" obscured="f" color="black"/>
              </v:rect>
            </w:pict>
          </mc:Fallback>
        </mc:AlternateContent>
      </w:r>
      <w:r>
        <w:rPr>
          <w:noProof/>
          <w:lang w:eastAsia="es-MX"/>
        </w:rPr>
        <mc:AlternateContent>
          <mc:Choice Requires="wps">
            <w:drawing>
              <wp:anchor distT="0" distB="0" distL="0" distR="0" simplePos="0" relativeHeight="94" behindDoc="0" locked="0" layoutInCell="1" allowOverlap="1" wp14:anchorId="163F6DFD">
                <wp:simplePos x="0" y="0"/>
                <wp:positionH relativeFrom="column">
                  <wp:posOffset>62865</wp:posOffset>
                </wp:positionH>
                <wp:positionV relativeFrom="paragraph">
                  <wp:posOffset>4570095</wp:posOffset>
                </wp:positionV>
                <wp:extent cx="4068445" cy="163195"/>
                <wp:effectExtent l="57150" t="19050" r="85725" b="104775"/>
                <wp:wrapNone/>
                <wp:docPr id="48" name="Rectángulo 56"/>
                <wp:cNvGraphicFramePr/>
                <a:graphic xmlns:a="http://schemas.openxmlformats.org/drawingml/2006/main">
                  <a:graphicData uri="http://schemas.microsoft.com/office/word/2010/wordprocessingShape">
                    <wps:wsp>
                      <wps:cNvSpPr/>
                      <wps:spPr>
                        <a:xfrm>
                          <a:off x="0" y="0"/>
                          <a:ext cx="4067640" cy="162720"/>
                        </a:xfrm>
                        <a:prstGeom prst="rect">
                          <a:avLst/>
                        </a:prstGeom>
                        <a:noFill/>
                        <a:ln w="1908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rect id="shape_0" ID="Rectángulo 56" stroked="t" style="position:absolute;margin-left:4.95pt;margin-top:359.85pt;width:320.25pt;height:12.75pt" wp14:anchorId="163F6DFD">
                <w10:wrap type="none"/>
                <v:fill o:detectmouseclick="t" on="false"/>
                <v:stroke color="red" weight="19080" joinstyle="round" endcap="flat"/>
                <v:shadow on="t" obscured="f" color="black"/>
              </v:rect>
            </w:pict>
          </mc:Fallback>
        </mc:AlternateContent>
      </w:r>
    </w:p>
    <w:p w:rsidR="00BB0015" w:rsidRDefault="00BB0015">
      <w:pPr>
        <w:tabs>
          <w:tab w:val="left" w:pos="8080"/>
        </w:tabs>
        <w:spacing w:line="360" w:lineRule="auto"/>
        <w:ind w:right="49"/>
        <w:jc w:val="both"/>
        <w:rPr>
          <w:rFonts w:ascii="Palatino Linotype" w:hAnsi="Palatino Linotype" w:cs="Arial"/>
        </w:rPr>
      </w:pPr>
    </w:p>
    <w:p w:rsidR="00BB0015" w:rsidRDefault="00286BA0">
      <w:pPr>
        <w:tabs>
          <w:tab w:val="left" w:pos="8080"/>
        </w:tabs>
        <w:spacing w:line="360" w:lineRule="auto"/>
        <w:ind w:right="49"/>
        <w:jc w:val="both"/>
        <w:rPr>
          <w:rFonts w:ascii="Palatino Linotype" w:hAnsi="Palatino Linotype" w:cs="Arial"/>
        </w:rPr>
      </w:pPr>
      <w:r>
        <w:rPr>
          <w:rFonts w:ascii="Palatino Linotype" w:hAnsi="Palatino Linotype" w:cs="Arial"/>
        </w:rPr>
        <w:t xml:space="preserve">En consecuencia, </w:t>
      </w:r>
      <w:r>
        <w:rPr>
          <w:rFonts w:ascii="Palatino Linotype" w:hAnsi="Palatino Linotype" w:cs="Arial"/>
          <w:b/>
        </w:rPr>
        <w:t>EL SUJETO OBLIGADO</w:t>
      </w:r>
      <w:r>
        <w:rPr>
          <w:rFonts w:ascii="Palatino Linotype" w:hAnsi="Palatino Linotype" w:cs="Arial"/>
        </w:rPr>
        <w:t xml:space="preserve">, deberá hacer entrega de las solicitudes recibidas y las respuestas faltantes emitidas del 1 de enero al 25 de febrero de 2020, las cuales no se encuentran publicadas en la plataforma IPOMEX, en </w:t>
      </w:r>
      <w:r>
        <w:rPr>
          <w:rFonts w:ascii="Palatino Linotype" w:hAnsi="Palatino Linotype" w:cs="Arial"/>
          <w:b/>
        </w:rPr>
        <w:t>versión pública</w:t>
      </w:r>
      <w:r>
        <w:rPr>
          <w:rFonts w:ascii="Palatino Linotype" w:hAnsi="Palatino Linotype" w:cs="Arial"/>
        </w:rPr>
        <w:t>.</w:t>
      </w:r>
    </w:p>
    <w:p w:rsidR="00BB0015" w:rsidRDefault="00286BA0">
      <w:pPr>
        <w:spacing w:before="240" w:after="240" w:line="360" w:lineRule="auto"/>
        <w:ind w:right="50"/>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 xml:space="preserve">Expuesto lo anterior, es importante señalar que la </w:t>
      </w:r>
      <w:r>
        <w:rPr>
          <w:rFonts w:ascii="Palatino Linotype" w:eastAsiaTheme="minorEastAsia" w:hAnsi="Palatino Linotype" w:cstheme="minorBidi"/>
          <w:b/>
          <w:color w:val="000000" w:themeColor="text1"/>
          <w:lang w:val="es-ES_tradnl"/>
        </w:rPr>
        <w:t>versión pública</w:t>
      </w:r>
      <w:r>
        <w:rPr>
          <w:rFonts w:ascii="Palatino Linotype" w:eastAsiaTheme="minorEastAsia" w:hAnsi="Palatino Linotype" w:cstheme="minorBidi"/>
          <w:color w:val="000000" w:themeColor="text1"/>
          <w:lang w:val="es-ES_tradnl"/>
        </w:rPr>
        <w:t xml:space="preserve">, no opera con la simple supresión de datos que se haga en los documentos de que se trate o con la simple decisión que tome el Servidor Público Habilitado o el Responsable de la Unidad de Transparencia del </w:t>
      </w:r>
      <w:r>
        <w:rPr>
          <w:rFonts w:ascii="Palatino Linotype" w:eastAsiaTheme="minorEastAsia" w:hAnsi="Palatino Linotype" w:cstheme="minorBidi"/>
          <w:b/>
          <w:color w:val="000000" w:themeColor="text1"/>
          <w:lang w:val="es-ES_tradnl"/>
        </w:rPr>
        <w:t>SUJETO OBLIGADO</w:t>
      </w:r>
      <w:r>
        <w:rPr>
          <w:rFonts w:ascii="Palatino Linotype" w:eastAsiaTheme="minorEastAsia" w:hAnsi="Palatino Linotype" w:cstheme="minorBidi"/>
          <w:color w:val="000000" w:themeColor="text1"/>
          <w:lang w:val="es-ES_tradnl"/>
        </w:rPr>
        <w:t>, sino que ello deberá realizarse en términos de lo que disponen los artículos 3, fracciones IX, XX, XXI, XXXII, XLV; 6, 49, fracción VIII, 53, fracción X, 59, fracción V, 137, 143, fracción I de la Ley de Transparencia y Acceso a la Información Pública del Estado de México y Municipios vigente, que son del tenor literal siguiente:</w:t>
      </w:r>
    </w:p>
    <w:p w:rsidR="00BB0015" w:rsidRDefault="00286BA0">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“Artículo 3.</w:t>
      </w:r>
      <w:r>
        <w:rPr>
          <w:rFonts w:ascii="Palatino Linotype" w:eastAsiaTheme="minorEastAsia" w:hAnsi="Palatino Linotype" w:cstheme="minorBidi"/>
          <w:i/>
          <w:color w:val="000000" w:themeColor="text1"/>
          <w:sz w:val="22"/>
          <w:szCs w:val="22"/>
          <w:lang w:val="es-ES_tradnl"/>
        </w:rPr>
        <w:t xml:space="preserve"> Para los efectos de la presente Ley se entenderá por:</w:t>
      </w:r>
    </w:p>
    <w:p w:rsidR="00BB0015" w:rsidRDefault="00286BA0">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IX. Datos personales:</w:t>
      </w:r>
      <w:r>
        <w:rPr>
          <w:rFonts w:ascii="Palatino Linotype" w:eastAsiaTheme="minorEastAsia" w:hAnsi="Palatino Linotype" w:cstheme="minorBidi"/>
          <w:i/>
          <w:color w:val="000000" w:themeColor="text1"/>
          <w:sz w:val="22"/>
          <w:szCs w:val="22"/>
          <w:lang w:val="es-ES_tradnl"/>
        </w:rPr>
        <w:t xml:space="preserve"> La información concerniente a una persona, identificada o identificable según lo dispuesto por la Ley de Protección de Datos Personales del Estado de México;</w:t>
      </w:r>
    </w:p>
    <w:p w:rsidR="00BB0015" w:rsidRDefault="00286BA0">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XX. Información clasificada:</w:t>
      </w:r>
      <w:r>
        <w:rPr>
          <w:rFonts w:ascii="Palatino Linotype" w:eastAsiaTheme="minorEastAsia" w:hAnsi="Palatino Linotype" w:cstheme="minorBidi"/>
          <w:i/>
          <w:color w:val="000000" w:themeColor="text1"/>
          <w:sz w:val="22"/>
          <w:szCs w:val="22"/>
          <w:lang w:val="es-ES_tradnl"/>
        </w:rPr>
        <w:t xml:space="preserve"> Aquella considerada por la presente Ley como reservada o confidencial;</w:t>
      </w:r>
    </w:p>
    <w:p w:rsidR="00BB0015" w:rsidRDefault="00286BA0">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 xml:space="preserve">XXI. Información confidencial: </w:t>
      </w:r>
      <w:r>
        <w:rPr>
          <w:rFonts w:ascii="Palatino Linotype" w:eastAsiaTheme="minorEastAsia" w:hAnsi="Palatino Linotype" w:cstheme="minorBidi"/>
          <w:i/>
          <w:color w:val="000000" w:themeColor="text1"/>
          <w:sz w:val="22"/>
          <w:szCs w:val="22"/>
          <w:lang w:val="es-ES_tradnl"/>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BB0015" w:rsidRDefault="00286BA0">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XXXII. Protección de Datos Personales:</w:t>
      </w:r>
      <w:r>
        <w:rPr>
          <w:rFonts w:ascii="Palatino Linotype" w:eastAsiaTheme="minorEastAsia" w:hAnsi="Palatino Linotype" w:cstheme="minorBidi"/>
          <w:i/>
          <w:color w:val="000000" w:themeColor="text1"/>
          <w:sz w:val="22"/>
          <w:szCs w:val="22"/>
          <w:lang w:val="es-ES_tradnl"/>
        </w:rPr>
        <w:t xml:space="preserve"> Derecho humano que tutela la privacidad de datos personales en poder de los sujetos obligados y sujetos particulares;</w:t>
      </w:r>
    </w:p>
    <w:p w:rsidR="00BB0015" w:rsidRDefault="00286BA0">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XLV. Versión pública:</w:t>
      </w:r>
      <w:r>
        <w:rPr>
          <w:rFonts w:ascii="Palatino Linotype" w:eastAsiaTheme="minorEastAsia" w:hAnsi="Palatino Linotype" w:cstheme="minorBidi"/>
          <w:i/>
          <w:color w:val="000000" w:themeColor="text1"/>
          <w:sz w:val="22"/>
          <w:szCs w:val="22"/>
          <w:lang w:val="es-ES_tradnl"/>
        </w:rPr>
        <w:t xml:space="preserve"> Documento en el que se elimine, suprime o borra la información clasificada como reservada o confidencial para permitir su acceso.</w:t>
      </w:r>
    </w:p>
    <w:p w:rsidR="00BB0015" w:rsidRDefault="00286BA0">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Artículo 6.</w:t>
      </w:r>
      <w:r>
        <w:rPr>
          <w:rFonts w:ascii="Palatino Linotype" w:eastAsiaTheme="minorEastAsia" w:hAnsi="Palatino Linotype" w:cstheme="minorBidi"/>
          <w:i/>
          <w:color w:val="000000" w:themeColor="text1"/>
          <w:sz w:val="22"/>
          <w:szCs w:val="22"/>
          <w:lang w:val="es-ES_tradnl"/>
        </w:rPr>
        <w:t xml:space="preserve"> Los datos personales son irrenunciables, intransferibles e indelegables, por lo que los sujetos obligados no deberán proporcionar o hacer pública la </w:t>
      </w:r>
      <w:r>
        <w:rPr>
          <w:rFonts w:ascii="Palatino Linotype" w:eastAsiaTheme="minorEastAsia" w:hAnsi="Palatino Linotype" w:cstheme="minorBidi"/>
          <w:i/>
          <w:color w:val="000000" w:themeColor="text1"/>
          <w:sz w:val="22"/>
          <w:szCs w:val="22"/>
          <w:lang w:val="es-ES_tradnl"/>
        </w:rPr>
        <w:lastRenderedPageBreak/>
        <w:t>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BB0015" w:rsidRDefault="00286BA0">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Artículo 49.</w:t>
      </w:r>
      <w:r>
        <w:rPr>
          <w:rFonts w:ascii="Palatino Linotype" w:eastAsiaTheme="minorEastAsia" w:hAnsi="Palatino Linotype" w:cstheme="minorBidi"/>
          <w:i/>
          <w:color w:val="000000" w:themeColor="text1"/>
          <w:sz w:val="22"/>
          <w:szCs w:val="22"/>
          <w:lang w:val="es-ES_tradnl"/>
        </w:rPr>
        <w:t xml:space="preserve"> Los Comités de Transparencia tendrán las siguientes atribuciones:</w:t>
      </w:r>
    </w:p>
    <w:p w:rsidR="00BB0015" w:rsidRDefault="00286BA0">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VIII.</w:t>
      </w:r>
      <w:r>
        <w:rPr>
          <w:rFonts w:ascii="Palatino Linotype" w:eastAsiaTheme="minorEastAsia" w:hAnsi="Palatino Linotype" w:cstheme="minorBidi"/>
          <w:i/>
          <w:color w:val="000000" w:themeColor="text1"/>
          <w:sz w:val="22"/>
          <w:szCs w:val="22"/>
          <w:lang w:val="es-ES_tradnl"/>
        </w:rPr>
        <w:t xml:space="preserve"> Aprobar, modificar o revocar la clasificación de la información…”</w:t>
      </w:r>
    </w:p>
    <w:p w:rsidR="00BB0015" w:rsidRDefault="00286BA0">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Artículo 53.</w:t>
      </w:r>
      <w:r>
        <w:rPr>
          <w:rFonts w:ascii="Palatino Linotype" w:eastAsiaTheme="minorEastAsia" w:hAnsi="Palatino Linotype" w:cstheme="minorBidi"/>
          <w:i/>
          <w:color w:val="000000" w:themeColor="text1"/>
          <w:sz w:val="22"/>
          <w:szCs w:val="22"/>
          <w:lang w:val="es-ES_tradnl"/>
        </w:rPr>
        <w:t xml:space="preserve"> Las Unidades de Transparencia tendrán las siguientes funciones:</w:t>
      </w:r>
    </w:p>
    <w:p w:rsidR="00BB0015" w:rsidRDefault="00286BA0">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X.</w:t>
      </w:r>
      <w:r>
        <w:rPr>
          <w:rFonts w:ascii="Palatino Linotype" w:eastAsiaTheme="minorEastAsia" w:hAnsi="Palatino Linotype" w:cstheme="minorBidi"/>
          <w:i/>
          <w:color w:val="000000" w:themeColor="text1"/>
          <w:sz w:val="22"/>
          <w:szCs w:val="22"/>
          <w:lang w:val="es-ES_tradnl"/>
        </w:rPr>
        <w:t xml:space="preserve"> Presentar ante el Comité, el proyecto de clasificación de información…” </w:t>
      </w:r>
    </w:p>
    <w:p w:rsidR="00BB0015" w:rsidRDefault="00286BA0">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Artículo 59.</w:t>
      </w:r>
      <w:r>
        <w:rPr>
          <w:rFonts w:ascii="Palatino Linotype" w:eastAsiaTheme="minorEastAsia" w:hAnsi="Palatino Linotype" w:cstheme="minorBidi"/>
          <w:i/>
          <w:color w:val="000000" w:themeColor="text1"/>
          <w:sz w:val="22"/>
          <w:szCs w:val="22"/>
          <w:lang w:val="es-ES_tradnl"/>
        </w:rPr>
        <w:t xml:space="preserve"> Los servidores públicos habilitados tendrán las funciones siguientes:</w:t>
      </w:r>
    </w:p>
    <w:p w:rsidR="00BB0015" w:rsidRDefault="00286BA0">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V.</w:t>
      </w:r>
      <w:r>
        <w:rPr>
          <w:rFonts w:ascii="Palatino Linotype" w:eastAsiaTheme="minorEastAsia" w:hAnsi="Palatino Linotype" w:cstheme="minorBidi"/>
          <w:i/>
          <w:color w:val="000000" w:themeColor="text1"/>
          <w:sz w:val="22"/>
          <w:szCs w:val="22"/>
          <w:lang w:val="es-ES_tradnl"/>
        </w:rPr>
        <w:t xml:space="preserve"> Integrar y presentar al responsable de la Unidad de Transparencia la propuesta de clasificación de información, la cual tendrá los fundamentos y argumentos en que se basa dicha propuesta…”</w:t>
      </w:r>
    </w:p>
    <w:p w:rsidR="00BB0015" w:rsidRDefault="00286BA0">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Artículo 137.</w:t>
      </w:r>
      <w:r>
        <w:rPr>
          <w:rFonts w:ascii="Palatino Linotype" w:eastAsiaTheme="minorEastAsia" w:hAnsi="Palatino Linotype" w:cstheme="minorBidi"/>
          <w:i/>
          <w:color w:val="000000" w:themeColor="text1"/>
          <w:sz w:val="22"/>
          <w:szCs w:val="22"/>
          <w:lang w:val="es-ES_tradnl"/>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BB0015" w:rsidRDefault="00286BA0">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Artículo 143.</w:t>
      </w:r>
      <w:r>
        <w:rPr>
          <w:rFonts w:ascii="Palatino Linotype" w:eastAsiaTheme="minorEastAsia" w:hAnsi="Palatino Linotype" w:cstheme="minorBidi"/>
          <w:i/>
          <w:color w:val="000000" w:themeColor="text1"/>
          <w:sz w:val="22"/>
          <w:szCs w:val="22"/>
          <w:lang w:val="es-ES_tradnl"/>
        </w:rPr>
        <w:t xml:space="preserve"> Para los efectos de esta Ley se considera información confidencial, la clasificada como tal, de manera permanente, por su naturaleza, cuando:</w:t>
      </w:r>
    </w:p>
    <w:p w:rsidR="00BB0015" w:rsidRDefault="00286BA0">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I.</w:t>
      </w:r>
      <w:r>
        <w:rPr>
          <w:rFonts w:ascii="Palatino Linotype" w:eastAsiaTheme="minorEastAsia" w:hAnsi="Palatino Linotype" w:cstheme="minorBidi"/>
          <w:i/>
          <w:color w:val="000000" w:themeColor="text1"/>
          <w:sz w:val="22"/>
          <w:szCs w:val="22"/>
          <w:lang w:val="es-ES_tradnl"/>
        </w:rPr>
        <w:t xml:space="preserve"> Se refiera a la información privada y los datos personales concernientes a una persona física o jurídico colectiva identificada o identificable…</w:t>
      </w:r>
      <w:r>
        <w:rPr>
          <w:rFonts w:ascii="Palatino Linotype" w:eastAsiaTheme="minorEastAsia" w:hAnsi="Palatino Linotype" w:cstheme="minorBidi"/>
          <w:b/>
          <w:i/>
          <w:color w:val="000000" w:themeColor="text1"/>
          <w:sz w:val="22"/>
          <w:szCs w:val="22"/>
          <w:lang w:val="es-ES_tradnl"/>
        </w:rPr>
        <w:t>”</w:t>
      </w:r>
    </w:p>
    <w:p w:rsidR="00BB0015" w:rsidRDefault="00286BA0">
      <w:pPr>
        <w:spacing w:before="240" w:after="240" w:line="360" w:lineRule="auto"/>
        <w:ind w:right="50"/>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 xml:space="preserve">De los citados elementos normativos se denota que el determinar la clasificación de la información que sea peticionada vía acceso a la información pública, es un trabajo en conjunto tanto de los Servidores Públicos Habilitados, como de las Unidades de Transparencia y del Comité de Transparencia del </w:t>
      </w:r>
      <w:r>
        <w:rPr>
          <w:rFonts w:ascii="Palatino Linotype" w:eastAsiaTheme="minorEastAsia" w:hAnsi="Palatino Linotype" w:cstheme="minorBidi"/>
          <w:b/>
          <w:color w:val="000000" w:themeColor="text1"/>
          <w:lang w:val="es-ES_tradnl"/>
        </w:rPr>
        <w:t>SUJETO OBLIGADO</w:t>
      </w:r>
      <w:r>
        <w:rPr>
          <w:rFonts w:ascii="Palatino Linotype" w:eastAsiaTheme="minorEastAsia" w:hAnsi="Palatino Linotype" w:cstheme="minorBidi"/>
          <w:color w:val="000000" w:themeColor="text1"/>
          <w:lang w:val="es-ES_tradnl"/>
        </w:rPr>
        <w:t>, teniendo el deber los primeros de ellos de presentar ante la Unidad de Transparencia la propuesta de la clasificación de la información, para que luego, ésta la presente ante al Comité de Transparencia, de así resultar procedente el proyecto de clasificación de la información y finalmente sea éste último quien apruebe, modifique o revoque la clasificación de la información solicitada.</w:t>
      </w:r>
    </w:p>
    <w:p w:rsidR="00BB0015" w:rsidRDefault="00286BA0">
      <w:pPr>
        <w:spacing w:before="240" w:after="240" w:line="360" w:lineRule="auto"/>
        <w:ind w:right="50"/>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lastRenderedPageBreak/>
        <w:t>Para lo cual, a su vez en el caso de información de carácter confidencial se debe atender a lo que señala el artículo 149 de la Ley de Transparencia Local vigente, cuyo contenido es de la literalidad siguiente:</w:t>
      </w:r>
    </w:p>
    <w:p w:rsidR="00BB0015" w:rsidRDefault="00286BA0">
      <w:pPr>
        <w:spacing w:after="120" w:line="264" w:lineRule="auto"/>
        <w:ind w:left="851" w:right="899"/>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“Artículo 149.</w:t>
      </w:r>
      <w:r>
        <w:rPr>
          <w:rFonts w:ascii="Palatino Linotype" w:eastAsiaTheme="minorEastAsia" w:hAnsi="Palatino Linotype" w:cstheme="minorBidi"/>
          <w:i/>
          <w:color w:val="000000" w:themeColor="text1"/>
          <w:sz w:val="22"/>
          <w:szCs w:val="22"/>
          <w:lang w:val="es-ES_tradnl"/>
        </w:rPr>
        <w:t xml:space="preserve"> El acuerdo que clasifique la información como confidencial deberá contener un razonamiento lógico en el que demuestre que la información se encuentra en alguna o algunas de las hipótesis previstas en la presente Ley.</w:t>
      </w:r>
      <w:r>
        <w:rPr>
          <w:rFonts w:ascii="Palatino Linotype" w:eastAsiaTheme="minorEastAsia" w:hAnsi="Palatino Linotype" w:cstheme="minorBidi"/>
          <w:b/>
          <w:i/>
          <w:color w:val="000000" w:themeColor="text1"/>
          <w:sz w:val="22"/>
          <w:szCs w:val="22"/>
          <w:lang w:val="es-ES_tradnl"/>
        </w:rPr>
        <w:t>”</w:t>
      </w:r>
    </w:p>
    <w:p w:rsidR="00BB0015" w:rsidRDefault="00286BA0">
      <w:pPr>
        <w:spacing w:before="240" w:after="240" w:line="360" w:lineRule="auto"/>
        <w:ind w:right="50"/>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 xml:space="preserve">Es decir, </w:t>
      </w:r>
      <w:r>
        <w:rPr>
          <w:rFonts w:ascii="Palatino Linotype" w:eastAsiaTheme="minorEastAsia" w:hAnsi="Palatino Linotype" w:cstheme="minorBidi"/>
          <w:b/>
          <w:color w:val="000000" w:themeColor="text1"/>
          <w:lang w:val="es-ES_tradnl"/>
        </w:rPr>
        <w:t>EL SUJETO OBLIGADO</w:t>
      </w:r>
      <w:r>
        <w:rPr>
          <w:rFonts w:ascii="Palatino Linotype" w:eastAsiaTheme="minorEastAsia" w:hAnsi="Palatino Linotype" w:cstheme="minorBidi"/>
          <w:color w:val="000000" w:themeColor="text1"/>
          <w:lang w:val="es-ES_tradnl"/>
        </w:rPr>
        <w:t xml:space="preserve"> a través de su Comité de Transparencia, para la entrega de la información materia del presente recurso; deberá elaborar un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transgrediendo el derecho de acceso a la información del solicitante.</w:t>
      </w:r>
    </w:p>
    <w:p w:rsidR="00BB0015" w:rsidRDefault="00286BA0">
      <w:pPr>
        <w:spacing w:before="240" w:after="240" w:line="360" w:lineRule="auto"/>
        <w:ind w:right="50"/>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 xml:space="preserve">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como pudieran ser de manera enunciativa más no limitativa, la Clave Única de Registro de Población </w:t>
      </w:r>
      <w:r>
        <w:rPr>
          <w:rFonts w:ascii="Palatino Linotype" w:eastAsiaTheme="minorEastAsia" w:hAnsi="Palatino Linotype" w:cstheme="minorBidi"/>
          <w:color w:val="000000" w:themeColor="text1"/>
          <w:lang w:val="es-ES_tradnl"/>
        </w:rPr>
        <w:lastRenderedPageBreak/>
        <w:t>(CURP), RFC, nombre, correo electrónico, teléfono, domicilio y cualquier otro dato de identificación de los particulares y solicitantes de información.</w:t>
      </w:r>
    </w:p>
    <w:p w:rsidR="00BB0015" w:rsidRDefault="00286BA0">
      <w:pPr>
        <w:spacing w:beforeAutospacing="1" w:afterAutospacing="1" w:line="360" w:lineRule="auto"/>
        <w:jc w:val="both"/>
        <w:rPr>
          <w:rFonts w:ascii="Palatino Linotype" w:hAnsi="Palatino Linotype" w:cs="Arial"/>
        </w:rPr>
      </w:pPr>
      <w:r>
        <w:rPr>
          <w:rFonts w:ascii="Palatino Linotype" w:hAnsi="Palatino Linotype" w:cs="Arial"/>
          <w:lang w:val="es-ES"/>
        </w:rPr>
        <w:t xml:space="preserve">Así las cosas, dentro de los datos personales que pudieran contenerse se destacan los datos personales sensibles, los cuales son aquellos </w:t>
      </w:r>
      <w:r>
        <w:rPr>
          <w:rFonts w:ascii="Palatino Linotype" w:hAnsi="Palatino Linotype" w:cs="Arial"/>
        </w:rPr>
        <w:t>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rsidR="00BB0015" w:rsidRDefault="00286BA0">
      <w:pPr>
        <w:spacing w:beforeAutospacing="1" w:afterAutospacing="1" w:line="360" w:lineRule="auto"/>
        <w:jc w:val="both"/>
        <w:rPr>
          <w:rFonts w:ascii="Palatino Linotype" w:hAnsi="Palatino Linotype" w:cs="Arial"/>
        </w:rPr>
      </w:pPr>
      <w:r>
        <w:rPr>
          <w:rFonts w:ascii="Palatino Linotype" w:hAnsi="Palatino Linotype" w:cs="Arial"/>
        </w:rPr>
        <w:t>Con base en lo anterior, el artículo 7 de la Ley de Protección de Datos Personales en Posesión de Sujetos Obligados del Estado de México y Municipios establece puntualmente que los datos personales sensibles y de naturaleza análoga en términos de las disposiciones legales aplicables estarán especialmente protegidos con medidas de seguridad de alto nivel.</w:t>
      </w:r>
    </w:p>
    <w:p w:rsidR="00BB0015" w:rsidRDefault="00286BA0">
      <w:pPr>
        <w:spacing w:before="240" w:after="240" w:line="360" w:lineRule="auto"/>
        <w:ind w:right="50"/>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En cuanto a la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BB0015" w:rsidRDefault="00286BA0">
      <w:pPr>
        <w:spacing w:before="240" w:after="240" w:line="360" w:lineRule="auto"/>
        <w:ind w:right="50"/>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lastRenderedPageBreak/>
        <w:t xml:space="preserve">Argumento que es compartido por el Instituto Nacional de Transparencia, Acceso a la Información y Protección de Datos Personales (INAI), conforme al criterio número 18/2017, el cual refiere: </w:t>
      </w:r>
    </w:p>
    <w:p w:rsidR="00BB0015" w:rsidRDefault="00286BA0">
      <w:pPr>
        <w:spacing w:after="120"/>
        <w:ind w:left="851" w:right="899"/>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i/>
          <w:color w:val="000000" w:themeColor="text1"/>
          <w:sz w:val="22"/>
          <w:szCs w:val="22"/>
          <w:lang w:val="es-ES_tradnl"/>
        </w:rPr>
        <w:t>“Clave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BB0015" w:rsidRDefault="00BB0015">
      <w:pPr>
        <w:spacing w:after="120"/>
        <w:ind w:left="851" w:right="899"/>
        <w:jc w:val="both"/>
        <w:rPr>
          <w:rFonts w:ascii="Palatino Linotype" w:eastAsiaTheme="minorEastAsia" w:hAnsi="Palatino Linotype" w:cstheme="minorBidi"/>
          <w:i/>
          <w:color w:val="000000" w:themeColor="text1"/>
          <w:sz w:val="22"/>
          <w:szCs w:val="22"/>
          <w:lang w:val="es-ES_tradnl"/>
        </w:rPr>
      </w:pPr>
    </w:p>
    <w:p w:rsidR="00BB0015" w:rsidRDefault="00286BA0">
      <w:pPr>
        <w:spacing w:after="120"/>
        <w:ind w:left="851" w:right="899"/>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i/>
          <w:color w:val="000000" w:themeColor="text1"/>
          <w:sz w:val="22"/>
          <w:szCs w:val="22"/>
          <w:lang w:val="es-ES_tradnl"/>
        </w:rPr>
        <w:t>Resoluciones:</w:t>
      </w:r>
    </w:p>
    <w:p w:rsidR="00BB0015" w:rsidRDefault="00286BA0">
      <w:pPr>
        <w:spacing w:after="120"/>
        <w:ind w:left="851" w:right="899"/>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i/>
          <w:color w:val="000000" w:themeColor="text1"/>
          <w:sz w:val="22"/>
          <w:szCs w:val="22"/>
          <w:lang w:val="es-ES_tradnl"/>
        </w:rPr>
        <w:t>•</w:t>
      </w:r>
      <w:r>
        <w:rPr>
          <w:rFonts w:ascii="Palatino Linotype" w:eastAsiaTheme="minorEastAsia" w:hAnsi="Palatino Linotype" w:cstheme="minorBidi"/>
          <w:i/>
          <w:color w:val="000000" w:themeColor="text1"/>
          <w:sz w:val="22"/>
          <w:szCs w:val="22"/>
          <w:lang w:val="es-ES_tradnl"/>
        </w:rPr>
        <w:tab/>
        <w:t>RRA 3995/16. Secretaría de la Defensa Nacional. 1 de febrero de 2017. Por unanimidad. Comisionado Ponente Rosendoevgueni Monterrey Chepov.</w:t>
      </w:r>
    </w:p>
    <w:p w:rsidR="00BB0015" w:rsidRDefault="00286BA0">
      <w:pPr>
        <w:spacing w:after="120"/>
        <w:ind w:left="851" w:right="899"/>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i/>
          <w:color w:val="000000" w:themeColor="text1"/>
          <w:sz w:val="22"/>
          <w:szCs w:val="22"/>
          <w:lang w:val="es-ES_tradnl"/>
        </w:rPr>
        <w:t>•</w:t>
      </w:r>
      <w:r>
        <w:rPr>
          <w:rFonts w:ascii="Palatino Linotype" w:eastAsiaTheme="minorEastAsia" w:hAnsi="Palatino Linotype" w:cstheme="minorBidi"/>
          <w:i/>
          <w:color w:val="000000" w:themeColor="text1"/>
          <w:sz w:val="22"/>
          <w:szCs w:val="22"/>
          <w:lang w:val="es-ES_tradnl"/>
        </w:rPr>
        <w:tab/>
        <w:t xml:space="preserve">RRA 0937/17. Senado de la República. 15 de marzo de 2017. Por unanimidad. Comisionada Ponente Ximena Puente de la Mora. </w:t>
      </w:r>
    </w:p>
    <w:p w:rsidR="00BB0015" w:rsidRDefault="00286BA0">
      <w:pPr>
        <w:spacing w:after="120"/>
        <w:ind w:left="851" w:right="899"/>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i/>
          <w:color w:val="000000" w:themeColor="text1"/>
          <w:sz w:val="22"/>
          <w:szCs w:val="22"/>
          <w:lang w:val="es-ES_tradnl"/>
        </w:rPr>
        <w:t>•</w:t>
      </w:r>
      <w:r>
        <w:rPr>
          <w:rFonts w:ascii="Palatino Linotype" w:eastAsiaTheme="minorEastAsia" w:hAnsi="Palatino Linotype" w:cstheme="minorBidi"/>
          <w:i/>
          <w:color w:val="000000" w:themeColor="text1"/>
          <w:sz w:val="22"/>
          <w:szCs w:val="22"/>
          <w:lang w:val="es-ES_tradnl"/>
        </w:rPr>
        <w:tab/>
        <w:t>RRA 0478/17. Secretaría de Relaciones Exteriores. 26 de abril de 2017. Por unanimidad. Comisionada Ponente Areli Cano Guadiana.”</w:t>
      </w:r>
    </w:p>
    <w:p w:rsidR="00BB0015" w:rsidRDefault="00BB0015">
      <w:pPr>
        <w:widowControl w:val="0"/>
        <w:spacing w:before="240" w:after="240" w:line="360" w:lineRule="auto"/>
        <w:contextualSpacing/>
        <w:jc w:val="both"/>
        <w:rPr>
          <w:rFonts w:ascii="Palatino Linotype" w:eastAsiaTheme="minorEastAsia" w:hAnsi="Palatino Linotype" w:cs="Arial"/>
          <w:color w:val="000000" w:themeColor="text1"/>
          <w:lang w:val="es-ES_tradnl"/>
        </w:rPr>
      </w:pPr>
    </w:p>
    <w:p w:rsidR="00BB0015" w:rsidRDefault="00286BA0">
      <w:pPr>
        <w:spacing w:line="360" w:lineRule="auto"/>
        <w:jc w:val="both"/>
        <w:rPr>
          <w:rFonts w:ascii="Palatino Linotype" w:eastAsiaTheme="minorEastAsia" w:hAnsi="Palatino Linotype" w:cstheme="minorBidi"/>
          <w:lang w:val="es-ES_tradnl"/>
        </w:rPr>
      </w:pPr>
      <w:r>
        <w:rPr>
          <w:rFonts w:ascii="Palatino Linotype" w:eastAsiaTheme="minorEastAsia" w:hAnsi="Palatino Linotype" w:cs="Arial"/>
          <w:lang w:val="es-ES_tradnl" w:eastAsia="es-MX"/>
        </w:rPr>
        <w:t xml:space="preserve">Por cuanto hace al </w:t>
      </w:r>
      <w:r>
        <w:rPr>
          <w:rFonts w:ascii="Palatino Linotype" w:eastAsiaTheme="minorEastAsia" w:hAnsi="Palatino Linotype" w:cs="Arial"/>
          <w:b/>
          <w:lang w:val="es-ES_tradnl" w:eastAsia="es-MX"/>
        </w:rPr>
        <w:t>Registro Federal de Contribuyentes</w:t>
      </w:r>
      <w:r>
        <w:rPr>
          <w:rFonts w:ascii="Palatino Linotype" w:eastAsiaTheme="minorEastAsia" w:hAnsi="Palatino Linotype" w:cs="Arial"/>
          <w:lang w:val="es-ES_tradnl" w:eastAsia="es-MX"/>
        </w:rPr>
        <w:t xml:space="preserve"> </w:t>
      </w:r>
      <w:r>
        <w:rPr>
          <w:rFonts w:ascii="Palatino Linotype" w:eastAsiaTheme="minorEastAsia" w:hAnsi="Palatino Linotype" w:cs="Arial"/>
          <w:b/>
          <w:lang w:val="es-ES_tradnl" w:eastAsia="es-MX"/>
        </w:rPr>
        <w:t>de las personas físicas</w:t>
      </w:r>
      <w:r>
        <w:rPr>
          <w:rFonts w:ascii="Palatino Linotype" w:eastAsiaTheme="minorEastAsia" w:hAnsi="Palatino Linotype" w:cs="Arial"/>
          <w:lang w:val="es-ES_tradnl" w:eastAsia="es-MX"/>
        </w:rPr>
        <w:t xml:space="preserve">, constituye un dato personal, ya que se genera con caracteres alfanuméricos obtenidos a partir del nombre en mayúsculas sin acentos ni diéresis y la fecha de nacimiento de cada persona; es decir la primera letra </w:t>
      </w:r>
      <w:r>
        <w:rPr>
          <w:rFonts w:ascii="Palatino Linotype" w:eastAsiaTheme="minorEastAsia" w:hAnsi="Palatino Linotype" w:cs="Arial"/>
          <w:lang w:val="es-ES_tradnl"/>
        </w:rPr>
        <w:t>del</w:t>
      </w:r>
      <w:r>
        <w:rPr>
          <w:rFonts w:ascii="Palatino Linotype" w:eastAsiaTheme="minorEastAsia" w:hAnsi="Palatino Linotype" w:cs="Arial"/>
          <w:lang w:val="es-ES_tradnl" w:eastAsia="es-MX"/>
        </w:rPr>
        <w:t xml:space="preserve"> apellido paterno; seguida de la primera letra Vocal del primer apellido; seguida de la primera letra del segundo apellido y por último la primera letra del nombre, posterior la fecha de nacimiento año/mes/día</w:t>
      </w:r>
      <w:r>
        <w:rPr>
          <w:rFonts w:ascii="Palatino Linotype" w:eastAsiaTheme="minorEastAsia" w:hAnsi="Palatino Linotype" w:cstheme="minorBidi"/>
          <w:lang w:val="es-ES_tradnl"/>
        </w:rPr>
        <w:t xml:space="preserve"> y finalmente la homoclave; la cual, para su obtención es necesario acreditar personalidad, fecha de nacimiento entre otros con documentos oficiales.</w:t>
      </w:r>
    </w:p>
    <w:p w:rsidR="00BB0015" w:rsidRDefault="00BB0015">
      <w:pPr>
        <w:spacing w:line="360" w:lineRule="auto"/>
        <w:jc w:val="both"/>
        <w:rPr>
          <w:rFonts w:ascii="Palatino Linotype" w:eastAsiaTheme="minorEastAsia" w:hAnsi="Palatino Linotype"/>
          <w:lang w:val="es-ES_tradnl"/>
        </w:rPr>
      </w:pPr>
    </w:p>
    <w:p w:rsidR="00BB0015" w:rsidRDefault="00286BA0">
      <w:pPr>
        <w:spacing w:line="360" w:lineRule="auto"/>
        <w:jc w:val="both"/>
        <w:rPr>
          <w:rFonts w:ascii="Palatino Linotype" w:eastAsiaTheme="minorEastAsia" w:hAnsi="Palatino Linotype" w:cstheme="minorBidi"/>
          <w:b/>
          <w:bCs/>
          <w:color w:val="000000"/>
          <w:lang w:val="es-ES_tradnl"/>
        </w:rPr>
      </w:pPr>
      <w:r>
        <w:rPr>
          <w:rFonts w:ascii="Palatino Linotype" w:eastAsiaTheme="minorEastAsia" w:hAnsi="Palatino Linotype" w:cs="Arial"/>
          <w:lang w:val="es-ES_tradnl" w:eastAsia="es-MX"/>
        </w:rPr>
        <w:lastRenderedPageBreak/>
        <w:t xml:space="preserve">Al respecto, </w:t>
      </w:r>
      <w:r>
        <w:rPr>
          <w:rFonts w:ascii="Palatino Linotype" w:eastAsiaTheme="minorEastAsia" w:hAnsi="Palatino Linotype" w:cs="Arial"/>
          <w:color w:val="000000"/>
          <w:lang w:val="es-ES_tradnl"/>
        </w:rPr>
        <w:t xml:space="preserve">es aplicable el Criterio 19/17 de la Segunda Época, emitido por </w:t>
      </w:r>
      <w:r>
        <w:rPr>
          <w:rFonts w:ascii="Palatino Linotype" w:eastAsia="Arial Unicode MS" w:hAnsi="Palatino Linotype" w:cs="Arial"/>
          <w:color w:val="000000"/>
          <w:lang w:val="es-ES_tradnl"/>
        </w:rPr>
        <w:t xml:space="preserve">el Instituto Nacional de </w:t>
      </w:r>
      <w:r>
        <w:rPr>
          <w:rFonts w:ascii="Palatino Linotype" w:eastAsiaTheme="minorEastAsia" w:hAnsi="Palatino Linotype" w:cstheme="minorBidi"/>
          <w:bCs/>
          <w:lang w:val="es-ES_tradnl"/>
        </w:rPr>
        <w:t>Transparencia</w:t>
      </w:r>
      <w:r>
        <w:rPr>
          <w:rFonts w:ascii="Palatino Linotype" w:eastAsia="Arial Unicode MS" w:hAnsi="Palatino Linotype" w:cs="Arial"/>
          <w:color w:val="000000"/>
          <w:lang w:val="es-ES_tradnl"/>
        </w:rPr>
        <w:t xml:space="preserve">, Acceso a la </w:t>
      </w:r>
      <w:r>
        <w:rPr>
          <w:rFonts w:ascii="Palatino Linotype" w:eastAsiaTheme="minorEastAsia" w:hAnsi="Palatino Linotype" w:cs="Arial"/>
          <w:lang w:val="es-ES_tradnl"/>
        </w:rPr>
        <w:t>Información</w:t>
      </w:r>
      <w:r>
        <w:rPr>
          <w:rFonts w:ascii="Palatino Linotype" w:eastAsia="Arial Unicode MS" w:hAnsi="Palatino Linotype" w:cs="Arial"/>
          <w:color w:val="000000"/>
          <w:lang w:val="es-ES_tradnl"/>
        </w:rPr>
        <w:t xml:space="preserve"> y Protección de Datos Personales,</w:t>
      </w:r>
      <w:r>
        <w:rPr>
          <w:rFonts w:ascii="Palatino Linotype" w:eastAsiaTheme="minorEastAsia" w:hAnsi="Palatino Linotype" w:cstheme="minorBidi"/>
          <w:bCs/>
          <w:color w:val="000000"/>
          <w:lang w:val="es-ES_tradnl"/>
        </w:rPr>
        <w:t xml:space="preserve"> que dice:</w:t>
      </w:r>
      <w:r>
        <w:rPr>
          <w:rFonts w:ascii="Palatino Linotype" w:eastAsiaTheme="minorEastAsia" w:hAnsi="Palatino Linotype" w:cstheme="minorBidi"/>
          <w:b/>
          <w:bCs/>
          <w:color w:val="000000"/>
          <w:lang w:val="es-ES_tradnl"/>
        </w:rPr>
        <w:t xml:space="preserve"> </w:t>
      </w:r>
    </w:p>
    <w:p w:rsidR="00BB0015" w:rsidRDefault="00BB0015">
      <w:pPr>
        <w:jc w:val="both"/>
        <w:rPr>
          <w:rFonts w:ascii="Palatino Linotype" w:eastAsiaTheme="minorEastAsia" w:hAnsi="Palatino Linotype" w:cstheme="minorBidi"/>
          <w:b/>
          <w:bCs/>
          <w:color w:val="000000"/>
          <w:sz w:val="22"/>
          <w:szCs w:val="22"/>
          <w:lang w:val="es-ES_tradnl"/>
        </w:rPr>
      </w:pPr>
    </w:p>
    <w:p w:rsidR="00BB0015" w:rsidRDefault="00286BA0">
      <w:pPr>
        <w:ind w:left="851" w:right="899"/>
        <w:jc w:val="both"/>
        <w:rPr>
          <w:rFonts w:ascii="Palatino Linotype" w:eastAsiaTheme="minorEastAsia" w:hAnsi="Palatino Linotype" w:cs="Arial"/>
          <w:bCs/>
          <w:i/>
          <w:sz w:val="22"/>
          <w:szCs w:val="22"/>
          <w:lang w:val="es-ES_tradnl" w:eastAsia="en-US"/>
        </w:rPr>
      </w:pPr>
      <w:r>
        <w:rPr>
          <w:rFonts w:ascii="Palatino Linotype" w:eastAsiaTheme="minorEastAsia" w:hAnsi="Palatino Linotype" w:cs="Arial"/>
          <w:bCs/>
          <w:i/>
          <w:sz w:val="22"/>
          <w:szCs w:val="22"/>
          <w:lang w:val="es-ES_tradnl"/>
        </w:rPr>
        <w:t>“</w:t>
      </w:r>
      <w:r>
        <w:rPr>
          <w:rFonts w:ascii="Palatino Linotype" w:eastAsiaTheme="minorEastAsia" w:hAnsi="Palatino Linotype" w:cs="Arial"/>
          <w:b/>
          <w:bCs/>
          <w:i/>
          <w:sz w:val="22"/>
          <w:szCs w:val="22"/>
          <w:lang w:val="es-ES_tradnl"/>
        </w:rPr>
        <w:t>Registro Federal de Contribuyentes (RFC) de personas físicas. El RFC es una clave</w:t>
      </w:r>
      <w:r>
        <w:rPr>
          <w:rFonts w:ascii="Palatino Linotype" w:eastAsiaTheme="minorEastAsia" w:hAnsi="Palatino Linotype" w:cs="Arial"/>
          <w:bCs/>
          <w:i/>
          <w:sz w:val="22"/>
          <w:szCs w:val="22"/>
          <w:lang w:val="es-ES_tradnl"/>
        </w:rPr>
        <w:t xml:space="preserve"> de carácter fiscal, única e irrepetible, </w:t>
      </w:r>
      <w:r>
        <w:rPr>
          <w:rFonts w:ascii="Palatino Linotype" w:eastAsiaTheme="minorEastAsia" w:hAnsi="Palatino Linotype" w:cs="Arial"/>
          <w:b/>
          <w:bCs/>
          <w:i/>
          <w:sz w:val="22"/>
          <w:szCs w:val="22"/>
          <w:lang w:val="es-ES_tradnl"/>
        </w:rPr>
        <w:t>que permite identificar al titular, su edad y fecha de nacimiento</w:t>
      </w:r>
      <w:r>
        <w:rPr>
          <w:rFonts w:ascii="Palatino Linotype" w:eastAsiaTheme="minorEastAsia" w:hAnsi="Palatino Linotype" w:cs="Arial"/>
          <w:bCs/>
          <w:i/>
          <w:sz w:val="22"/>
          <w:szCs w:val="22"/>
          <w:lang w:val="es-ES_tradnl"/>
        </w:rPr>
        <w:t xml:space="preserve">, </w:t>
      </w:r>
      <w:r>
        <w:rPr>
          <w:rFonts w:ascii="Palatino Linotype" w:eastAsiaTheme="minorEastAsia" w:hAnsi="Palatino Linotype" w:cs="Arial"/>
          <w:i/>
          <w:sz w:val="22"/>
          <w:szCs w:val="22"/>
          <w:lang w:val="es-ES_tradnl" w:eastAsia="es-MX"/>
        </w:rPr>
        <w:t>por</w:t>
      </w:r>
      <w:r>
        <w:rPr>
          <w:rFonts w:ascii="Palatino Linotype" w:eastAsiaTheme="minorEastAsia" w:hAnsi="Palatino Linotype" w:cs="Arial"/>
          <w:bCs/>
          <w:i/>
          <w:sz w:val="22"/>
          <w:szCs w:val="22"/>
          <w:lang w:val="es-ES_tradnl"/>
        </w:rPr>
        <w:t xml:space="preserve"> lo que </w:t>
      </w:r>
      <w:r>
        <w:rPr>
          <w:rFonts w:ascii="Palatino Linotype" w:eastAsiaTheme="minorEastAsia" w:hAnsi="Palatino Linotype" w:cs="Arial"/>
          <w:b/>
          <w:bCs/>
          <w:i/>
          <w:sz w:val="22"/>
          <w:szCs w:val="22"/>
          <w:lang w:val="es-ES_tradnl"/>
        </w:rPr>
        <w:t>es un dato personal de carácter confidencial</w:t>
      </w:r>
      <w:r>
        <w:rPr>
          <w:rFonts w:ascii="Palatino Linotype" w:eastAsiaTheme="minorEastAsia" w:hAnsi="Palatino Linotype" w:cs="Arial"/>
          <w:i/>
          <w:sz w:val="22"/>
          <w:szCs w:val="22"/>
          <w:lang w:val="es-ES_tradnl"/>
        </w:rPr>
        <w:t>.</w:t>
      </w:r>
    </w:p>
    <w:p w:rsidR="00BB0015" w:rsidRDefault="00286BA0">
      <w:pPr>
        <w:ind w:left="851" w:right="899"/>
        <w:jc w:val="both"/>
        <w:rPr>
          <w:rFonts w:ascii="Palatino Linotype" w:eastAsiaTheme="minorEastAsia" w:hAnsi="Palatino Linotype" w:cs="Arial"/>
          <w:bCs/>
          <w:i/>
          <w:sz w:val="22"/>
          <w:szCs w:val="22"/>
          <w:lang w:val="es-ES_tradnl"/>
        </w:rPr>
      </w:pPr>
      <w:r>
        <w:rPr>
          <w:rFonts w:ascii="Palatino Linotype" w:eastAsiaTheme="minorEastAsia" w:hAnsi="Palatino Linotype" w:cs="Arial"/>
          <w:bCs/>
          <w:i/>
          <w:sz w:val="22"/>
          <w:szCs w:val="22"/>
          <w:lang w:val="es-ES_tradnl"/>
        </w:rPr>
        <w:t>Resoluciones:</w:t>
      </w:r>
    </w:p>
    <w:p w:rsidR="00BB0015" w:rsidRDefault="00286BA0">
      <w:pPr>
        <w:ind w:left="851" w:right="899"/>
        <w:jc w:val="both"/>
        <w:rPr>
          <w:rFonts w:ascii="Palatino Linotype" w:eastAsiaTheme="minorEastAsia" w:hAnsi="Palatino Linotype" w:cs="Arial"/>
          <w:bCs/>
          <w:i/>
          <w:sz w:val="22"/>
          <w:szCs w:val="22"/>
          <w:lang w:val="es-ES_tradnl"/>
        </w:rPr>
      </w:pPr>
      <w:r>
        <w:rPr>
          <w:rFonts w:ascii="Palatino Linotype" w:eastAsiaTheme="minorEastAsia" w:hAnsi="Palatino Linotype" w:cs="Arial"/>
          <w:bCs/>
          <w:i/>
          <w:sz w:val="22"/>
          <w:szCs w:val="22"/>
          <w:lang w:val="es-ES_tradnl"/>
        </w:rPr>
        <w:t>• RRA 0189/</w:t>
      </w:r>
      <w:r>
        <w:rPr>
          <w:rFonts w:ascii="Palatino Linotype" w:eastAsiaTheme="minorEastAsia" w:hAnsi="Palatino Linotype" w:cs="Arial"/>
          <w:i/>
          <w:sz w:val="22"/>
          <w:szCs w:val="22"/>
          <w:lang w:val="es-ES_tradnl" w:eastAsia="es-MX"/>
        </w:rPr>
        <w:t>17</w:t>
      </w:r>
      <w:r>
        <w:rPr>
          <w:rFonts w:ascii="Palatino Linotype" w:eastAsiaTheme="minorEastAsia" w:hAnsi="Palatino Linotype" w:cs="Arial"/>
          <w:bCs/>
          <w:i/>
          <w:sz w:val="22"/>
          <w:szCs w:val="22"/>
          <w:lang w:val="es-ES_tradnl"/>
        </w:rPr>
        <w:t>. Morena. 08 de febrero de 2017. Por unanimidad. Comisionado Ponente Joel Salas Suárez.</w:t>
      </w:r>
    </w:p>
    <w:p w:rsidR="00BB0015" w:rsidRDefault="00286BA0">
      <w:pPr>
        <w:ind w:left="851" w:right="899"/>
        <w:jc w:val="both"/>
        <w:rPr>
          <w:rFonts w:ascii="Palatino Linotype" w:eastAsiaTheme="minorEastAsia" w:hAnsi="Palatino Linotype" w:cs="Arial"/>
          <w:bCs/>
          <w:i/>
          <w:sz w:val="22"/>
          <w:szCs w:val="22"/>
          <w:lang w:val="es-ES_tradnl"/>
        </w:rPr>
      </w:pPr>
      <w:r>
        <w:rPr>
          <w:rFonts w:ascii="Palatino Linotype" w:eastAsiaTheme="minorEastAsia" w:hAnsi="Palatino Linotype" w:cs="Arial"/>
          <w:bCs/>
          <w:i/>
          <w:sz w:val="22"/>
          <w:szCs w:val="22"/>
          <w:lang w:val="es-ES_tradnl"/>
        </w:rPr>
        <w:t xml:space="preserve">• RRA 0677/17. Universidad Nacional Autónoma de México. 08 de marzo de 2017. Por unanimidad. Comisionado Ponente Rosendoevgueni Monterrey Chepov. </w:t>
      </w:r>
    </w:p>
    <w:p w:rsidR="00BB0015" w:rsidRDefault="00286BA0">
      <w:pPr>
        <w:ind w:left="851" w:right="899"/>
        <w:jc w:val="both"/>
        <w:rPr>
          <w:rFonts w:ascii="Palatino Linotype" w:eastAsiaTheme="minorEastAsia" w:hAnsi="Palatino Linotype" w:cs="Arial"/>
          <w:i/>
          <w:sz w:val="22"/>
          <w:szCs w:val="22"/>
          <w:lang w:val="es-ES_tradnl"/>
        </w:rPr>
      </w:pPr>
      <w:r>
        <w:rPr>
          <w:rFonts w:ascii="Palatino Linotype" w:eastAsiaTheme="minorEastAsia" w:hAnsi="Palatino Linotype" w:cs="Arial"/>
          <w:bCs/>
          <w:i/>
          <w:sz w:val="22"/>
          <w:szCs w:val="22"/>
          <w:lang w:val="es-ES_tradnl"/>
        </w:rPr>
        <w:t xml:space="preserve">• RRA 1564/17. Tribunal Electoral del Poder Judicial de la Federación. 26 de abril de 2017. Por </w:t>
      </w:r>
      <w:r>
        <w:rPr>
          <w:rFonts w:ascii="Palatino Linotype" w:eastAsiaTheme="minorEastAsia" w:hAnsi="Palatino Linotype" w:cs="Arial"/>
          <w:i/>
          <w:sz w:val="22"/>
          <w:szCs w:val="22"/>
          <w:lang w:val="es-ES_tradnl" w:eastAsia="es-MX"/>
        </w:rPr>
        <w:t>unanimidad</w:t>
      </w:r>
      <w:r>
        <w:rPr>
          <w:rFonts w:ascii="Palatino Linotype" w:eastAsiaTheme="minorEastAsia" w:hAnsi="Palatino Linotype" w:cs="Arial"/>
          <w:bCs/>
          <w:i/>
          <w:sz w:val="22"/>
          <w:szCs w:val="22"/>
          <w:lang w:val="es-ES_tradnl"/>
        </w:rPr>
        <w:t>. Comisionado Ponente Oscar Mauricio Guerra Ford.</w:t>
      </w:r>
      <w:r>
        <w:rPr>
          <w:rFonts w:ascii="Palatino Linotype" w:eastAsiaTheme="minorEastAsia" w:hAnsi="Palatino Linotype" w:cs="Arial"/>
          <w:i/>
          <w:sz w:val="22"/>
          <w:szCs w:val="22"/>
          <w:lang w:val="es-ES_tradnl"/>
        </w:rPr>
        <w:t>” (Sic)</w:t>
      </w:r>
    </w:p>
    <w:p w:rsidR="00BB0015" w:rsidRDefault="00286BA0">
      <w:pPr>
        <w:ind w:left="851" w:right="899"/>
        <w:jc w:val="both"/>
        <w:rPr>
          <w:rFonts w:ascii="Palatino Linotype" w:eastAsiaTheme="minorEastAsia" w:hAnsi="Palatino Linotype" w:cs="Arial"/>
          <w:sz w:val="22"/>
          <w:szCs w:val="22"/>
          <w:lang w:val="es-ES_tradnl"/>
        </w:rPr>
      </w:pPr>
      <w:r>
        <w:rPr>
          <w:rFonts w:ascii="Palatino Linotype" w:eastAsiaTheme="minorEastAsia" w:hAnsi="Palatino Linotype" w:cs="Arial"/>
          <w:sz w:val="22"/>
          <w:szCs w:val="22"/>
          <w:lang w:val="es-ES_tradnl"/>
        </w:rPr>
        <w:t>(Énfasis añadido)</w:t>
      </w:r>
    </w:p>
    <w:p w:rsidR="00BB0015" w:rsidRDefault="00BB0015">
      <w:pPr>
        <w:ind w:left="851" w:right="902"/>
        <w:jc w:val="both"/>
        <w:rPr>
          <w:rFonts w:ascii="Palatino Linotype" w:eastAsiaTheme="minorEastAsia" w:hAnsi="Palatino Linotype" w:cs="Arial"/>
          <w:sz w:val="22"/>
          <w:szCs w:val="22"/>
          <w:lang w:val="es-ES_tradnl"/>
        </w:rPr>
      </w:pPr>
    </w:p>
    <w:p w:rsidR="00BB0015" w:rsidRDefault="00286BA0">
      <w:pPr>
        <w:spacing w:line="360" w:lineRule="auto"/>
        <w:jc w:val="both"/>
        <w:rPr>
          <w:rFonts w:ascii="Palatino Linotype" w:eastAsiaTheme="minorEastAsia" w:hAnsi="Palatino Linotype" w:cs="Arial"/>
          <w:lang w:val="es-ES_tradnl"/>
        </w:rPr>
      </w:pPr>
      <w:r>
        <w:rPr>
          <w:rFonts w:ascii="Palatino Linotype" w:eastAsiaTheme="minorEastAsia" w:hAnsi="Palatino Linotype" w:cs="Arial"/>
          <w:lang w:val="es-ES_tradnl" w:eastAsia="es-MX"/>
        </w:rPr>
        <w:t xml:space="preserve">De lo anterior, se desprende que el Registro Federal de Contribuyentes se vincula al nombre de su </w:t>
      </w:r>
      <w:r>
        <w:rPr>
          <w:rFonts w:ascii="Palatino Linotype" w:eastAsiaTheme="minorEastAsia" w:hAnsi="Palatino Linotype" w:cstheme="minorBidi"/>
          <w:bCs/>
          <w:lang w:val="es-ES_tradnl"/>
        </w:rPr>
        <w:t>titular</w:t>
      </w:r>
      <w:r>
        <w:rPr>
          <w:rFonts w:ascii="Palatino Linotype" w:eastAsiaTheme="minorEastAsia" w:hAnsi="Palatino Linotype" w:cs="Arial"/>
          <w:lang w:val="es-ES_tradnl" w:eastAsia="es-MX"/>
        </w:rPr>
        <w:t xml:space="preserve">, permitiendo identificar la edad de la persona y fecha de nacimiento, determinando </w:t>
      </w:r>
      <w:r>
        <w:rPr>
          <w:rFonts w:ascii="Palatino Linotype" w:eastAsiaTheme="minorEastAsia" w:hAnsi="Palatino Linotype" w:cs="Arial"/>
          <w:lang w:val="es-ES_tradnl"/>
        </w:rPr>
        <w:t>la</w:t>
      </w:r>
      <w:r>
        <w:rPr>
          <w:rFonts w:ascii="Palatino Linotype" w:eastAsiaTheme="minorEastAsia" w:hAnsi="Palatino Linotype" w:cs="Arial"/>
          <w:lang w:val="es-ES_tradnl"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Pr>
          <w:rFonts w:ascii="Palatino Linotype" w:eastAsiaTheme="minorEastAsia" w:hAnsi="Palatino Linotype" w:cstheme="minorBidi"/>
          <w:lang w:val="es-ES_tradnl" w:eastAsia="es-MX"/>
        </w:rPr>
        <w:t>Municipios</w:t>
      </w:r>
      <w:r>
        <w:rPr>
          <w:rFonts w:ascii="Palatino Linotype" w:eastAsiaTheme="minorEastAsia" w:hAnsi="Palatino Linotype" w:cs="Arial"/>
          <w:lang w:val="es-ES_tradnl" w:eastAsia="es-MX"/>
        </w:rPr>
        <w:t xml:space="preserve"> y </w:t>
      </w:r>
      <w:r>
        <w:rPr>
          <w:rFonts w:ascii="Palatino Linotype" w:eastAsiaTheme="minorEastAsia" w:hAnsi="Palatino Linotype" w:cs="Arial"/>
          <w:lang w:val="es-ES_tradnl"/>
        </w:rPr>
        <w:t>4 fracción XI</w:t>
      </w:r>
      <w:r>
        <w:rPr>
          <w:rFonts w:ascii="Palatino Linotype" w:eastAsiaTheme="minorEastAsia" w:hAnsi="Palatino Linotype" w:cs="Arial"/>
          <w:lang w:val="es-ES_tradnl" w:eastAsia="es-MX"/>
        </w:rPr>
        <w:t xml:space="preserve"> </w:t>
      </w:r>
      <w:r>
        <w:rPr>
          <w:rFonts w:ascii="Palatino Linotype" w:eastAsiaTheme="minorEastAsia" w:hAnsi="Palatino Linotype" w:cs="Arial"/>
          <w:lang w:val="es-ES_tradnl"/>
        </w:rPr>
        <w:t>de la Ley de Protección de Datos Personales en Posesión de Sujetos Obligados del Estado de México y Municipios.</w:t>
      </w:r>
    </w:p>
    <w:p w:rsidR="00BB0015" w:rsidRDefault="00BB0015">
      <w:pPr>
        <w:spacing w:line="360" w:lineRule="auto"/>
        <w:jc w:val="both"/>
        <w:rPr>
          <w:rFonts w:ascii="Palatino Linotype" w:hAnsi="Palatino Linotype" w:cs="Arial"/>
        </w:rPr>
      </w:pPr>
    </w:p>
    <w:p w:rsidR="00BB0015" w:rsidRDefault="00286BA0">
      <w:pPr>
        <w:spacing w:line="360" w:lineRule="auto"/>
        <w:jc w:val="both"/>
        <w:rPr>
          <w:rFonts w:ascii="Palatino Linotype" w:hAnsi="Palatino Linotype" w:cs="Arial"/>
        </w:rPr>
      </w:pPr>
      <w:r>
        <w:rPr>
          <w:rFonts w:ascii="Palatino Linotype" w:hAnsi="Palatino Linotype" w:cs="Arial"/>
        </w:rPr>
        <w:t xml:space="preserve">Por cuanto hace al </w:t>
      </w:r>
      <w:r>
        <w:rPr>
          <w:rFonts w:ascii="Palatino Linotype" w:hAnsi="Palatino Linotype" w:cs="Arial"/>
          <w:b/>
        </w:rPr>
        <w:t>domicilio</w:t>
      </w:r>
      <w:r>
        <w:rPr>
          <w:rFonts w:ascii="Palatino Linotype" w:hAnsi="Palatino Linotype" w:cs="Arial"/>
        </w:rPr>
        <w:t xml:space="preserve">, sirve de apoyo a lo anterior, la Tesis Aislada con número de registro 2000979, de la Décima Época de la Primera Sala de la Suprema Corte de </w:t>
      </w:r>
      <w:r>
        <w:rPr>
          <w:rFonts w:ascii="Palatino Linotype" w:hAnsi="Palatino Linotype" w:cs="Arial"/>
        </w:rPr>
        <w:lastRenderedPageBreak/>
        <w:t xml:space="preserve">Justicia de la Nación, publicada en la página 258 del Libro IX, Tomo 1 de junio de 2012, en el Semanario Judicial de la Federación, misma que refiere lo siguiente: </w:t>
      </w:r>
    </w:p>
    <w:p w:rsidR="00BB0015" w:rsidRDefault="00BB0015">
      <w:pPr>
        <w:spacing w:line="360" w:lineRule="auto"/>
        <w:jc w:val="both"/>
        <w:rPr>
          <w:rFonts w:ascii="Palatino Linotype" w:hAnsi="Palatino Linotype" w:cs="Arial"/>
        </w:rPr>
      </w:pPr>
    </w:p>
    <w:p w:rsidR="00BB0015" w:rsidRDefault="00286BA0">
      <w:pPr>
        <w:ind w:left="709" w:right="814"/>
        <w:jc w:val="both"/>
        <w:rPr>
          <w:rFonts w:ascii="Palatino Linotype" w:hAnsi="Palatino Linotype" w:cs="Arial"/>
          <w:i/>
          <w:sz w:val="22"/>
        </w:rPr>
      </w:pPr>
      <w:r>
        <w:rPr>
          <w:rFonts w:ascii="Palatino Linotype" w:hAnsi="Palatino Linotype" w:cs="Arial"/>
          <w:i/>
          <w:sz w:val="22"/>
        </w:rPr>
        <w:t>“</w:t>
      </w:r>
      <w:r>
        <w:rPr>
          <w:rFonts w:ascii="Palatino Linotype" w:hAnsi="Palatino Linotype" w:cs="Arial"/>
          <w:b/>
          <w:i/>
          <w:sz w:val="22"/>
        </w:rPr>
        <w:t>DOMICILIO. SU CONCEPTO PARA EFECTOS DE PROTECCIÓN CONSTITUCIONAL</w:t>
      </w:r>
      <w:r>
        <w:rPr>
          <w:rFonts w:ascii="Palatino Linotype" w:hAnsi="Palatino Linotype" w:cs="Arial"/>
          <w:i/>
          <w:sz w:val="22"/>
        </w:rPr>
        <w:t xml:space="preserve">. El concepto de domicilio que contempla el artículo 16 de la Constitución Política de los Estados Unidos Mexicanos, no coincide plenamente con el utilizado en el derecho privado y en especial en los artículos 29, 30 y 31 del Código Civil Federal, como punto de localización de la persona o lugar de ejercicio de derechos y obligaciones. El concepto subyacente a los diversos párrafos del artículo 16 constitucional ha de entenderse de modo amplio y flexible, ya que se trata de defender los ámbitos en los que se desarrolla la vida privada de las personas, debiendo interpretarse -de conformidad con el segundo párrafo del artículo 1o. constitucional- a la luz de los principios que tienden a extender al máximo la protección a la dignidad y a la intimidad de la persona, ya que en el domicilio se concreta la posibilidad de cada individuo de erigir ámbitos privados que excluyen la observación de los demás y de las autoridades del Estado. Así las cosas, el domicilio, en el sentido de la Constitución, es cualquier lugar cerrado en el que pueda transcurrir la vida privada, individual o familiar, aun cuando sea ocupado temporal o accidentalmente. En este sentido, el destino o uso constituye el elemento esencial para la delimitación de los espacios constitucionalmente protegidos, de ahí que resulten irrelevantes la ubicación, la configuración física, su carácter de mueble o inmueble, el tipo de título jurídico que habilita su uso o la intensidad y periodicidad con la que se desarrolle la vida privada en el mismo. Así las cosas, la protección constitucional del domicilio exige que con independencia de la configuración del espacio, sus signos externos revelen la clara voluntad de su titular de excluir dicho espacio y la actividad en él desarrollada del conocimiento e intromisión de terceros. En el mismo sentido, la protección que dispensa el artículo 16 de la Constitución Política de los Estados Unidos Mexicanos ha de extenderse no solamente al domicilio entendido como aquel lugar en el que un individuo fija su residencia indefinidamente, sino a todo espacio cerrado en el que el individuo pernocte y tenga guardadas las cosas pertenecientes a su intimidad, ya sea de manera permanente o esporádica o temporal, como puede ser la habitación de un hotel. Existen personas que por específicas actividades y dedicaciones, pasan la mayor parte de su tiempo en hoteles y no por ello se puede decir que pierden su derecho a la intimidad, pues sería tanto como privarles de un derecho inherente a su personalidad que no puede ser dividido por espacios temporales o locales. Ahora bien, no sobra señalar que las habitaciones de este tipo de establecimientos pueden ser utilizadas para realizar otro tipo de actividades de carácter profesional, mercantil o de otra naturaleza, en cuyo caso </w:t>
      </w:r>
      <w:r>
        <w:rPr>
          <w:rFonts w:ascii="Palatino Linotype" w:hAnsi="Palatino Linotype" w:cs="Arial"/>
          <w:i/>
          <w:sz w:val="22"/>
        </w:rPr>
        <w:lastRenderedPageBreak/>
        <w:t>no se considerarán domicilio de quien las usa para tales fines. En el caso de los domicilios móviles, es importante señalar que -en principio- los automóviles no son domicilios para los efectos aquí expuestos, sin embargo, se puede dar el caso de aquellos habitáculos móviles remolcados, normalmente conocidos como roulottes, campers o autocaravanas, los cuales gozarán de protección constitucional cuando sean aptos para servir de auténtica vivienda.</w:t>
      </w:r>
    </w:p>
    <w:p w:rsidR="00BB0015" w:rsidRDefault="00BB0015">
      <w:pPr>
        <w:ind w:left="709" w:right="814"/>
        <w:jc w:val="both"/>
        <w:rPr>
          <w:rFonts w:ascii="Palatino Linotype" w:hAnsi="Palatino Linotype" w:cs="Arial"/>
          <w:i/>
          <w:sz w:val="22"/>
        </w:rPr>
      </w:pPr>
    </w:p>
    <w:p w:rsidR="00BB0015" w:rsidRDefault="00286BA0">
      <w:pPr>
        <w:spacing w:before="240" w:after="240" w:line="360" w:lineRule="auto"/>
        <w:ind w:right="50"/>
        <w:jc w:val="both"/>
        <w:rPr>
          <w:rFonts w:ascii="Palatino Linotype" w:eastAsiaTheme="minorEastAsia" w:hAnsi="Palatino Linotype" w:cstheme="minorBidi"/>
          <w:color w:val="000000" w:themeColor="text1"/>
          <w:lang w:val="es-ES_tradnl"/>
        </w:rPr>
      </w:pPr>
      <w:r>
        <w:rPr>
          <w:rFonts w:ascii="Palatino Linotype" w:hAnsi="Palatino Linotype" w:cs="Arial"/>
          <w:i/>
          <w:sz w:val="22"/>
        </w:rPr>
        <w:t>Amparo directo en revisión 2420/2011. 11 de abril de 2012. Cinco votos. Ponente: Arturo Zaldívar Lelo de Larrea. Secretario: Javier Mijangos y González.”</w:t>
      </w:r>
    </w:p>
    <w:p w:rsidR="00BB0015" w:rsidRDefault="00286BA0">
      <w:pPr>
        <w:spacing w:before="240" w:after="240" w:line="360" w:lineRule="auto"/>
        <w:ind w:right="50"/>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De esta forma, se observa que el domicilio es información que incide en la vida privada de las personas, así como el correo electrónico y teléfono particular, ya que son únicos y hace identificables a sus titulares, poniéndolos en riesgo e incluso atentan contra su intimidad y seguridad, máxime que en nada abonan a la transparencia y a la rendición de cuentas.</w:t>
      </w:r>
    </w:p>
    <w:p w:rsidR="00BB0015" w:rsidRDefault="00286BA0">
      <w:pPr>
        <w:spacing w:line="360" w:lineRule="auto"/>
        <w:jc w:val="both"/>
        <w:rPr>
          <w:rFonts w:ascii="Palatino Linotype" w:hAnsi="Palatino Linotype" w:cs="Arial"/>
          <w:color w:val="000000" w:themeColor="text1"/>
          <w:lang w:val="es-ES"/>
        </w:rPr>
      </w:pPr>
      <w:r>
        <w:rPr>
          <w:rFonts w:ascii="Palatino Linotype" w:hAnsi="Palatino Linotype" w:cs="Arial"/>
          <w:color w:val="000000" w:themeColor="text1"/>
          <w:lang w:val="es-ES"/>
        </w:rPr>
        <w:t xml:space="preserve">Por lo tanto, la entrega de documentos en su versión pública debe acompañarse necesariamente del Acuerdo del Comité de Transparencia del </w:t>
      </w:r>
      <w:r>
        <w:rPr>
          <w:rFonts w:ascii="Palatino Linotype" w:hAnsi="Palatino Linotype" w:cs="Arial"/>
          <w:b/>
          <w:color w:val="000000" w:themeColor="text1"/>
          <w:lang w:val="es-ES"/>
        </w:rPr>
        <w:t xml:space="preserve">SUJETO OBLIGADO </w:t>
      </w:r>
      <w:r>
        <w:rPr>
          <w:rFonts w:ascii="Palatino Linotype" w:hAnsi="Palatino Linotype" w:cs="Arial"/>
          <w:color w:val="000000" w:themeColor="text1"/>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BB0015" w:rsidRDefault="00286BA0">
      <w:pPr>
        <w:spacing w:beforeAutospacing="1" w:afterAutospacing="1" w:line="360" w:lineRule="auto"/>
        <w:jc w:val="both"/>
        <w:rPr>
          <w:rFonts w:ascii="Palatino Linotype" w:hAnsi="Palatino Linotype" w:cs="Arial"/>
        </w:rPr>
      </w:pPr>
      <w:r>
        <w:rPr>
          <w:rFonts w:ascii="Palatino Linotype" w:hAnsi="Palatino Linotype" w:cs="Arial"/>
        </w:rPr>
        <w:lastRenderedPageBreak/>
        <w:t>Finalmente, es de subrayar que el derecho de acceso a la información pública, consiste en que la información solicitada conste en un soporte documental en cualquiera de sus formas; lo anterior, tiene sustento en los artículos 3, fracciones XI y XXII; 4; 11 y 12 de la Ley de Transparencia y Acceso a la Información Pública del Estado de México y Municipios:</w:t>
      </w:r>
    </w:p>
    <w:p w:rsidR="00BB0015" w:rsidRDefault="00286BA0">
      <w:pPr>
        <w:ind w:left="851" w:right="902"/>
        <w:jc w:val="both"/>
        <w:rPr>
          <w:rFonts w:ascii="Palatino Linotype" w:hAnsi="Palatino Linotype" w:cs="Arial"/>
          <w:bCs/>
          <w:i/>
          <w:sz w:val="22"/>
        </w:rPr>
      </w:pPr>
      <w:r>
        <w:rPr>
          <w:rFonts w:ascii="Palatino Linotype" w:hAnsi="Palatino Linotype" w:cs="Arial"/>
          <w:b/>
          <w:bCs/>
          <w:i/>
          <w:sz w:val="22"/>
        </w:rPr>
        <w:t xml:space="preserve">“Artículo 3. Para los efectos </w:t>
      </w:r>
      <w:r>
        <w:rPr>
          <w:rFonts w:ascii="Palatino Linotype" w:hAnsi="Palatino Linotype" w:cs="Arial"/>
          <w:b/>
          <w:i/>
          <w:sz w:val="22"/>
          <w:szCs w:val="22"/>
        </w:rPr>
        <w:t>de</w:t>
      </w:r>
      <w:r>
        <w:rPr>
          <w:rFonts w:ascii="Palatino Linotype" w:hAnsi="Palatino Linotype" w:cs="Arial"/>
          <w:b/>
          <w:bCs/>
          <w:i/>
          <w:sz w:val="22"/>
        </w:rPr>
        <w:t xml:space="preserve"> la presente Ley se entenderá por: </w:t>
      </w:r>
      <w:r>
        <w:rPr>
          <w:rFonts w:ascii="Palatino Linotype" w:hAnsi="Palatino Linotype" w:cs="Arial"/>
          <w:bCs/>
          <w:i/>
          <w:sz w:val="22"/>
        </w:rPr>
        <w:t>…</w:t>
      </w:r>
    </w:p>
    <w:p w:rsidR="00BB0015" w:rsidRDefault="00286BA0">
      <w:pPr>
        <w:ind w:left="851" w:right="902"/>
        <w:jc w:val="both"/>
        <w:rPr>
          <w:rFonts w:ascii="Palatino Linotype" w:hAnsi="Palatino Linotype" w:cs="Arial"/>
          <w:bCs/>
          <w:i/>
          <w:sz w:val="22"/>
        </w:rPr>
      </w:pPr>
      <w:r>
        <w:rPr>
          <w:rFonts w:ascii="Palatino Linotype" w:hAnsi="Palatino Linotype" w:cs="Arial"/>
          <w:bCs/>
          <w:i/>
          <w:sz w:val="22"/>
        </w:rPr>
        <w:t>…</w:t>
      </w:r>
    </w:p>
    <w:p w:rsidR="00BB0015" w:rsidRDefault="00286BA0">
      <w:pPr>
        <w:ind w:left="851" w:right="902"/>
        <w:jc w:val="both"/>
        <w:rPr>
          <w:rFonts w:ascii="Palatino Linotype" w:hAnsi="Palatino Linotype" w:cs="Arial"/>
          <w:bCs/>
          <w:i/>
          <w:sz w:val="22"/>
        </w:rPr>
      </w:pPr>
      <w:r>
        <w:rPr>
          <w:rFonts w:ascii="Palatino Linotype" w:hAnsi="Palatino Linotype" w:cs="Arial"/>
          <w:b/>
          <w:bCs/>
          <w:i/>
          <w:sz w:val="22"/>
        </w:rPr>
        <w:t>XI. Documento:</w:t>
      </w:r>
      <w:r>
        <w:rPr>
          <w:rFonts w:ascii="Palatino Linotype" w:hAnsi="Palatino Linotype" w:cs="Arial"/>
          <w:bCs/>
          <w:i/>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BB0015" w:rsidRDefault="00286BA0">
      <w:pPr>
        <w:ind w:left="851" w:right="902"/>
        <w:jc w:val="both"/>
        <w:rPr>
          <w:rFonts w:ascii="Palatino Linotype" w:hAnsi="Palatino Linotype" w:cs="Arial"/>
          <w:bCs/>
          <w:i/>
          <w:sz w:val="22"/>
        </w:rPr>
      </w:pPr>
      <w:r>
        <w:rPr>
          <w:rFonts w:ascii="Palatino Linotype" w:hAnsi="Palatino Linotype" w:cs="Arial"/>
          <w:bCs/>
          <w:i/>
          <w:sz w:val="22"/>
        </w:rPr>
        <w:t>…</w:t>
      </w:r>
    </w:p>
    <w:p w:rsidR="00BB0015" w:rsidRDefault="00286BA0">
      <w:pPr>
        <w:ind w:left="851" w:right="902"/>
        <w:jc w:val="both"/>
        <w:rPr>
          <w:rFonts w:ascii="Palatino Linotype" w:hAnsi="Palatino Linotype" w:cs="Arial"/>
          <w:bCs/>
          <w:i/>
          <w:sz w:val="22"/>
        </w:rPr>
      </w:pPr>
      <w:r>
        <w:rPr>
          <w:rFonts w:ascii="Palatino Linotype" w:hAnsi="Palatino Linotype" w:cs="Arial"/>
          <w:b/>
          <w:bCs/>
          <w:i/>
          <w:sz w:val="22"/>
        </w:rPr>
        <w:t>XXII.</w:t>
      </w:r>
      <w:r>
        <w:rPr>
          <w:rFonts w:ascii="Palatino Linotype" w:hAnsi="Palatino Linotype" w:cs="Arial"/>
          <w:bCs/>
          <w:i/>
          <w:sz w:val="22"/>
        </w:rPr>
        <w:t xml:space="preserve"> Información de interés público: Se refiere a la información que resulta relevante o beneficiosa para la sociedad y no simplemente de interés individual, cuya divulgación resulta útil para que el público comprenda las actividades que llevan a cabo los sujetos obligados; </w:t>
      </w:r>
    </w:p>
    <w:p w:rsidR="00BB0015" w:rsidRDefault="00BB0015">
      <w:pPr>
        <w:ind w:left="851" w:right="902"/>
        <w:jc w:val="both"/>
        <w:rPr>
          <w:rFonts w:ascii="Palatino Linotype" w:hAnsi="Palatino Linotype" w:cs="Arial"/>
          <w:b/>
          <w:bCs/>
          <w:i/>
          <w:sz w:val="22"/>
        </w:rPr>
      </w:pPr>
    </w:p>
    <w:p w:rsidR="00BB0015" w:rsidRDefault="00286BA0">
      <w:pPr>
        <w:ind w:left="851" w:right="902"/>
        <w:jc w:val="both"/>
        <w:rPr>
          <w:rFonts w:ascii="Palatino Linotype" w:hAnsi="Palatino Linotype" w:cs="Arial"/>
          <w:bCs/>
          <w:i/>
          <w:sz w:val="22"/>
        </w:rPr>
      </w:pPr>
      <w:r>
        <w:rPr>
          <w:rFonts w:ascii="Palatino Linotype" w:hAnsi="Palatino Linotype" w:cs="Arial"/>
          <w:b/>
          <w:bCs/>
          <w:i/>
          <w:sz w:val="22"/>
        </w:rPr>
        <w:t>Artículo 4.</w:t>
      </w:r>
      <w:r>
        <w:rPr>
          <w:rFonts w:ascii="Palatino Linotype" w:hAnsi="Palatino Linotype" w:cs="Arial"/>
          <w:bCs/>
          <w:i/>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BB0015" w:rsidRDefault="00286BA0">
      <w:pPr>
        <w:ind w:left="851" w:right="902"/>
        <w:jc w:val="both"/>
        <w:rPr>
          <w:rFonts w:ascii="Palatino Linotype" w:hAnsi="Palatino Linotype" w:cs="Arial"/>
          <w:bCs/>
          <w:i/>
          <w:sz w:val="22"/>
        </w:rPr>
      </w:pPr>
      <w:r>
        <w:rPr>
          <w:rFonts w:ascii="Palatino Linotype" w:hAnsi="Palatino Linotype" w:cs="Arial"/>
          <w:bCs/>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BB0015" w:rsidRDefault="00286BA0">
      <w:pPr>
        <w:ind w:left="851" w:right="902"/>
        <w:jc w:val="both"/>
        <w:rPr>
          <w:rFonts w:ascii="Palatino Linotype" w:hAnsi="Palatino Linotype" w:cs="Arial"/>
          <w:bCs/>
          <w:i/>
          <w:sz w:val="22"/>
        </w:rPr>
      </w:pPr>
      <w:r>
        <w:rPr>
          <w:rFonts w:ascii="Palatino Linotype" w:hAnsi="Palatino Linotype" w:cs="Arial"/>
          <w:bCs/>
          <w:i/>
          <w:sz w:val="22"/>
        </w:rPr>
        <w:t xml:space="preserve">Los sujetos obligados deben poner en práctica, políticas y programas de acceso a la información que se apeguen a criterios de publicidad, veracidad, oportunidad, precisión y suficiencia en beneficio de los solicitantes. </w:t>
      </w:r>
    </w:p>
    <w:p w:rsidR="00BB0015" w:rsidRDefault="00BB0015">
      <w:pPr>
        <w:ind w:left="851" w:right="902"/>
        <w:jc w:val="both"/>
        <w:rPr>
          <w:rFonts w:ascii="Palatino Linotype" w:hAnsi="Palatino Linotype" w:cs="Arial"/>
          <w:b/>
          <w:bCs/>
          <w:i/>
          <w:sz w:val="22"/>
        </w:rPr>
      </w:pPr>
    </w:p>
    <w:p w:rsidR="00BB0015" w:rsidRDefault="00286BA0">
      <w:pPr>
        <w:ind w:left="851" w:right="902"/>
        <w:jc w:val="both"/>
        <w:rPr>
          <w:rFonts w:ascii="Palatino Linotype" w:hAnsi="Palatino Linotype" w:cs="Arial"/>
          <w:bCs/>
          <w:i/>
          <w:sz w:val="22"/>
        </w:rPr>
      </w:pPr>
      <w:r>
        <w:rPr>
          <w:rFonts w:ascii="Palatino Linotype" w:hAnsi="Palatino Linotype" w:cs="Arial"/>
          <w:b/>
          <w:bCs/>
          <w:i/>
          <w:sz w:val="22"/>
        </w:rPr>
        <w:lastRenderedPageBreak/>
        <w:t>Artículo 11.-</w:t>
      </w:r>
      <w:r>
        <w:rPr>
          <w:rFonts w:ascii="Palatino Linotype" w:hAnsi="Palatino Linotype" w:cs="Arial"/>
          <w:bCs/>
          <w:i/>
          <w:sz w:val="22"/>
        </w:rPr>
        <w:t xml:space="preserve"> Los Sujetos Obligados sólo proporcionarán la información que generen en el ejercicio de sus atribuciones.</w:t>
      </w:r>
    </w:p>
    <w:p w:rsidR="00BB0015" w:rsidRDefault="00BB0015">
      <w:pPr>
        <w:ind w:left="851" w:right="902"/>
        <w:jc w:val="both"/>
        <w:rPr>
          <w:rFonts w:ascii="Palatino Linotype" w:hAnsi="Palatino Linotype" w:cs="Arial"/>
          <w:b/>
          <w:bCs/>
          <w:i/>
          <w:sz w:val="22"/>
        </w:rPr>
      </w:pPr>
    </w:p>
    <w:p w:rsidR="00BB0015" w:rsidRDefault="00286BA0">
      <w:pPr>
        <w:ind w:left="851" w:right="902"/>
        <w:jc w:val="both"/>
        <w:rPr>
          <w:rFonts w:ascii="Palatino Linotype" w:hAnsi="Palatino Linotype" w:cs="Arial"/>
          <w:bCs/>
          <w:i/>
          <w:sz w:val="22"/>
        </w:rPr>
      </w:pPr>
      <w:r>
        <w:rPr>
          <w:rFonts w:ascii="Palatino Linotype" w:hAnsi="Palatino Linotype" w:cs="Arial"/>
          <w:b/>
          <w:bCs/>
          <w:i/>
          <w:sz w:val="22"/>
        </w:rPr>
        <w:t>Artículo 12.</w:t>
      </w:r>
      <w:r>
        <w:rPr>
          <w:rFonts w:ascii="Palatino Linotype" w:hAnsi="Palatino Linotype" w:cs="Arial"/>
          <w:bCs/>
          <w:i/>
          <w:sz w:val="22"/>
        </w:rPr>
        <w:t xml:space="preserve"> Quienes generen, recopilen, administren, manejen, procesen, archiven o conserven información pública serán responsables de la misma en los términos de las disposiciones jurídicas aplicables. </w:t>
      </w:r>
    </w:p>
    <w:p w:rsidR="00BB0015" w:rsidRDefault="00286BA0">
      <w:pPr>
        <w:ind w:left="851" w:right="902"/>
        <w:jc w:val="both"/>
        <w:rPr>
          <w:rFonts w:ascii="Palatino Linotype" w:hAnsi="Palatino Linotype" w:cs="Arial"/>
          <w:bCs/>
          <w:i/>
          <w:sz w:val="22"/>
        </w:rPr>
      </w:pPr>
      <w:r>
        <w:rPr>
          <w:rFonts w:ascii="Palatino Linotype" w:hAnsi="Palatino Linotype" w:cs="Arial"/>
          <w:bCs/>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BB0015" w:rsidRDefault="00286BA0">
      <w:pPr>
        <w:ind w:left="851" w:right="902"/>
        <w:jc w:val="both"/>
        <w:rPr>
          <w:rFonts w:ascii="Palatino Linotype" w:hAnsi="Palatino Linotype" w:cs="Arial"/>
          <w:bCs/>
          <w:sz w:val="22"/>
        </w:rPr>
      </w:pPr>
      <w:r>
        <w:rPr>
          <w:rFonts w:ascii="Palatino Linotype" w:hAnsi="Palatino Linotype" w:cs="Arial"/>
          <w:bCs/>
          <w:sz w:val="22"/>
        </w:rPr>
        <w:t>(Énfasis añadido)</w:t>
      </w:r>
    </w:p>
    <w:p w:rsidR="00BB0015" w:rsidRDefault="00286BA0">
      <w:pPr>
        <w:widowControl w:val="0"/>
        <w:spacing w:line="360" w:lineRule="auto"/>
        <w:contextualSpacing/>
        <w:jc w:val="both"/>
        <w:rPr>
          <w:rFonts w:ascii="Palatino Linotype" w:hAnsi="Palatino Linotype" w:cs="Arial"/>
        </w:rPr>
      </w:pPr>
      <w:r>
        <w:rPr>
          <w:rFonts w:ascii="Palatino Linotype" w:hAnsi="Palatino Linotype" w:cs="Arial"/>
        </w:rPr>
        <w:t xml:space="preserve">De una interpretación sistemática de los artículos anteriores, se puede advertir que </w:t>
      </w:r>
      <w:r>
        <w:rPr>
          <w:rFonts w:ascii="Palatino Linotype" w:hAnsi="Palatino Linotype" w:cs="Arial"/>
          <w:b/>
        </w:rPr>
        <w:t>el ejercicio del derecho de acceso a la información pública se centra en la potestad de los particulares para conocer el contenido de los documentos que obren en los archivos de los Sujetos Obligados</w:t>
      </w:r>
      <w:r>
        <w:rPr>
          <w:rFonts w:ascii="Palatino Linotype" w:hAnsi="Palatino Linotype" w:cs="Arial"/>
        </w:rPr>
        <w:t xml:space="preserve">, ya sea porque los generen, administren o simplemente los posean en el ejercicio de sus atribuciones. </w:t>
      </w:r>
    </w:p>
    <w:p w:rsidR="00BB0015" w:rsidRDefault="00BB0015">
      <w:pPr>
        <w:widowControl w:val="0"/>
        <w:spacing w:line="360" w:lineRule="auto"/>
        <w:contextualSpacing/>
        <w:jc w:val="both"/>
        <w:rPr>
          <w:rFonts w:ascii="Palatino Linotype" w:hAnsi="Palatino Linotype" w:cs="Arial"/>
        </w:rPr>
      </w:pPr>
    </w:p>
    <w:p w:rsidR="00BB0015" w:rsidRDefault="00286BA0">
      <w:pPr>
        <w:widowControl w:val="0"/>
        <w:spacing w:line="360" w:lineRule="auto"/>
        <w:contextualSpacing/>
        <w:jc w:val="both"/>
        <w:rPr>
          <w:rFonts w:ascii="Palatino Linotype" w:hAnsi="Palatino Linotype" w:cs="Arial"/>
        </w:rPr>
      </w:pPr>
      <w:r>
        <w:rPr>
          <w:rFonts w:ascii="Palatino Linotype" w:hAnsi="Palatino Linotype" w:cs="Arial"/>
        </w:rPr>
        <w:t xml:space="preserve">Para ello, </w:t>
      </w:r>
      <w:r>
        <w:rPr>
          <w:rFonts w:ascii="Palatino Linotype" w:hAnsi="Palatino Linotype" w:cs="Arial"/>
          <w:b/>
        </w:rPr>
        <w:t>la Ley de la materia otorga la calidad de documento a los expedientes, reportes, estudios, actas, resoluciones, oficios, correspondencia, acuerdos, directivas, directrices, circulares, contratos, convenios, instructivos, notas, memorandos</w:t>
      </w:r>
      <w:r>
        <w:rPr>
          <w:rFonts w:ascii="Palatino Linotype" w:hAnsi="Palatino Linotype" w:cs="Arial"/>
        </w:rPr>
        <w:t>,</w:t>
      </w:r>
      <w:r>
        <w:t xml:space="preserve"> </w:t>
      </w:r>
      <w:r>
        <w:rPr>
          <w:rFonts w:ascii="Palatino Linotype" w:hAnsi="Palatino Linotype" w:cs="Arial"/>
        </w:rPr>
        <w:t xml:space="preserve">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BB0015" w:rsidRDefault="00BB0015">
      <w:pPr>
        <w:widowControl w:val="0"/>
        <w:spacing w:line="360" w:lineRule="auto"/>
        <w:contextualSpacing/>
        <w:jc w:val="both"/>
        <w:rPr>
          <w:rFonts w:ascii="Palatino Linotype" w:hAnsi="Palatino Linotype" w:cs="Arial"/>
        </w:rPr>
      </w:pPr>
    </w:p>
    <w:p w:rsidR="00BB0015" w:rsidRDefault="00286BA0">
      <w:pPr>
        <w:widowControl w:val="0"/>
        <w:spacing w:line="360" w:lineRule="auto"/>
        <w:contextualSpacing/>
        <w:jc w:val="both"/>
        <w:rPr>
          <w:rFonts w:ascii="Palatino Linotype" w:hAnsi="Palatino Linotype" w:cs="Arial"/>
        </w:rPr>
      </w:pPr>
      <w:r>
        <w:rPr>
          <w:rFonts w:ascii="Palatino Linotype" w:hAnsi="Palatino Linotype" w:cs="Arial"/>
        </w:rPr>
        <w:t xml:space="preserve">Por otro lado, así como la Constitución y la Ley de la materia otorgan a los particulares </w:t>
      </w:r>
      <w:r>
        <w:rPr>
          <w:rFonts w:ascii="Palatino Linotype" w:hAnsi="Palatino Linotype" w:cs="Arial"/>
        </w:rPr>
        <w:lastRenderedPageBreak/>
        <w:t xml:space="preserve">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 </w:t>
      </w:r>
    </w:p>
    <w:p w:rsidR="00BB0015" w:rsidRDefault="00BB0015">
      <w:pPr>
        <w:widowControl w:val="0"/>
        <w:spacing w:line="360" w:lineRule="auto"/>
        <w:contextualSpacing/>
        <w:jc w:val="both"/>
        <w:rPr>
          <w:rFonts w:ascii="Palatino Linotype" w:hAnsi="Palatino Linotype" w:cs="Arial"/>
        </w:rPr>
      </w:pPr>
    </w:p>
    <w:p w:rsidR="00BB0015" w:rsidRDefault="00286BA0">
      <w:pPr>
        <w:widowControl w:val="0"/>
        <w:spacing w:line="360" w:lineRule="auto"/>
        <w:contextualSpacing/>
        <w:jc w:val="both"/>
        <w:rPr>
          <w:rFonts w:ascii="Palatino Linotype" w:hAnsi="Palatino Linotype" w:cs="Arial"/>
        </w:rPr>
      </w:pPr>
      <w:r>
        <w:rPr>
          <w:rFonts w:ascii="Palatino Linotype" w:hAnsi="Palatino Linotype" w:cs="Arial"/>
        </w:rPr>
        <w:t xml:space="preserve">En síntesis,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Pr>
          <w:rFonts w:ascii="Palatino Linotype" w:hAnsi="Palatino Linotype" w:cs="Arial"/>
          <w:i/>
        </w:rPr>
        <w:t>ad hoc</w:t>
      </w:r>
      <w:r>
        <w:rPr>
          <w:rFonts w:ascii="Palatino Linotype" w:hAnsi="Palatino Linotype" w:cs="Arial"/>
        </w:rPr>
        <w:t>, para satisfacer el derecho de acceso a la información pública.</w:t>
      </w:r>
    </w:p>
    <w:p w:rsidR="00BB0015" w:rsidRDefault="00BB0015">
      <w:pPr>
        <w:widowControl w:val="0"/>
        <w:spacing w:line="360" w:lineRule="auto"/>
        <w:contextualSpacing/>
        <w:jc w:val="both"/>
        <w:rPr>
          <w:rFonts w:ascii="Palatino Linotype" w:hAnsi="Palatino Linotype" w:cs="Arial"/>
        </w:rPr>
      </w:pPr>
    </w:p>
    <w:p w:rsidR="00BB0015" w:rsidRDefault="00286BA0">
      <w:pPr>
        <w:widowControl w:val="0"/>
        <w:tabs>
          <w:tab w:val="left" w:pos="1701"/>
          <w:tab w:val="left" w:pos="1843"/>
        </w:tabs>
        <w:spacing w:line="360" w:lineRule="auto"/>
        <w:jc w:val="both"/>
        <w:rPr>
          <w:rFonts w:ascii="Palatino Linotype" w:eastAsiaTheme="minorEastAsia" w:hAnsi="Palatino Linotype" w:cs="Arial"/>
        </w:rPr>
      </w:pPr>
      <w:r>
        <w:rPr>
          <w:rFonts w:ascii="Palatino Linotype" w:eastAsiaTheme="minorEastAsia" w:hAnsi="Palatino Linotype" w:cs="Arial"/>
        </w:rPr>
        <w:t>Como apoyo a lo anterior, es aplicable el criterio número 03/17 emitido por el Instituto Nacional de Transparencia, Acceso a la Información y Protección de Datos Personales (INAI), cuyo contenido se inserta a continuación:</w:t>
      </w:r>
    </w:p>
    <w:p w:rsidR="00BB0015" w:rsidRDefault="00BB0015">
      <w:pPr>
        <w:widowControl w:val="0"/>
        <w:tabs>
          <w:tab w:val="left" w:pos="1701"/>
          <w:tab w:val="left" w:pos="1843"/>
        </w:tabs>
        <w:spacing w:line="360" w:lineRule="auto"/>
        <w:jc w:val="both"/>
        <w:rPr>
          <w:rFonts w:ascii="Palatino Linotype" w:eastAsiaTheme="minorEastAsia" w:hAnsi="Palatino Linotype" w:cs="Arial"/>
        </w:rPr>
      </w:pPr>
    </w:p>
    <w:p w:rsidR="00BB0015" w:rsidRDefault="00286BA0">
      <w:pPr>
        <w:widowControl w:val="0"/>
        <w:tabs>
          <w:tab w:val="left" w:pos="1701"/>
          <w:tab w:val="left" w:pos="1843"/>
        </w:tabs>
        <w:ind w:left="709" w:right="899"/>
        <w:jc w:val="both"/>
        <w:rPr>
          <w:rFonts w:ascii="Palatino Linotype" w:eastAsiaTheme="minorEastAsia" w:hAnsi="Palatino Linotype" w:cs="Arial"/>
          <w:i/>
          <w:iCs/>
          <w:sz w:val="22"/>
          <w:szCs w:val="22"/>
        </w:rPr>
      </w:pPr>
      <w:r>
        <w:rPr>
          <w:rFonts w:ascii="Palatino Linotype" w:eastAsiaTheme="minorEastAsia" w:hAnsi="Palatino Linotype" w:cs="Arial"/>
          <w:b/>
          <w:bCs/>
          <w:i/>
          <w:iCs/>
          <w:sz w:val="22"/>
          <w:szCs w:val="22"/>
        </w:rPr>
        <w:t>“No existe obligación de elaborar documentos ad hoc para atender las solicitudes de acceso a la información. </w:t>
      </w:r>
      <w:r>
        <w:rPr>
          <w:rFonts w:ascii="Palatino Linotype" w:eastAsiaTheme="minorEastAsia" w:hAnsi="Palatino Linotype" w:cs="Arial"/>
          <w:i/>
          <w:iCs/>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w:t>
      </w:r>
      <w:r>
        <w:rPr>
          <w:rFonts w:ascii="Palatino Linotype" w:eastAsiaTheme="minorEastAsia" w:hAnsi="Palatino Linotype" w:cs="Arial"/>
          <w:i/>
          <w:iCs/>
          <w:sz w:val="22"/>
          <w:szCs w:val="22"/>
        </w:rPr>
        <w:lastRenderedPageBreak/>
        <w:t xml:space="preserve">solicitudes de información. </w:t>
      </w:r>
    </w:p>
    <w:p w:rsidR="00BB0015" w:rsidRDefault="00BB0015">
      <w:pPr>
        <w:widowControl w:val="0"/>
        <w:tabs>
          <w:tab w:val="left" w:pos="1701"/>
          <w:tab w:val="left" w:pos="1843"/>
        </w:tabs>
        <w:ind w:left="709" w:right="899"/>
        <w:jc w:val="both"/>
        <w:rPr>
          <w:rFonts w:ascii="Palatino Linotype" w:eastAsiaTheme="minorEastAsia" w:hAnsi="Palatino Linotype" w:cs="Arial"/>
          <w:b/>
          <w:i/>
          <w:sz w:val="22"/>
          <w:szCs w:val="22"/>
        </w:rPr>
      </w:pPr>
    </w:p>
    <w:p w:rsidR="00BB0015" w:rsidRDefault="00286BA0">
      <w:pPr>
        <w:widowControl w:val="0"/>
        <w:tabs>
          <w:tab w:val="left" w:pos="1701"/>
          <w:tab w:val="left" w:pos="1843"/>
        </w:tabs>
        <w:ind w:left="709" w:right="899"/>
        <w:jc w:val="both"/>
        <w:rPr>
          <w:rFonts w:ascii="Palatino Linotype" w:eastAsiaTheme="minorEastAsia" w:hAnsi="Palatino Linotype" w:cs="Arial"/>
          <w:b/>
          <w:i/>
          <w:sz w:val="22"/>
          <w:szCs w:val="22"/>
        </w:rPr>
      </w:pPr>
      <w:r>
        <w:rPr>
          <w:rFonts w:ascii="Palatino Linotype" w:eastAsiaTheme="minorEastAsia" w:hAnsi="Palatino Linotype" w:cs="Arial"/>
          <w:b/>
          <w:i/>
          <w:sz w:val="22"/>
          <w:szCs w:val="22"/>
        </w:rPr>
        <w:t xml:space="preserve">Resoluciones: </w:t>
      </w:r>
    </w:p>
    <w:p w:rsidR="00BB0015" w:rsidRDefault="00286BA0">
      <w:pPr>
        <w:widowControl w:val="0"/>
        <w:tabs>
          <w:tab w:val="left" w:pos="1701"/>
          <w:tab w:val="left" w:pos="1843"/>
        </w:tabs>
        <w:ind w:left="709" w:right="899"/>
        <w:jc w:val="both"/>
        <w:rPr>
          <w:rFonts w:ascii="Palatino Linotype" w:eastAsiaTheme="minorEastAsia" w:hAnsi="Palatino Linotype" w:cs="Arial"/>
          <w:i/>
          <w:sz w:val="22"/>
          <w:szCs w:val="22"/>
        </w:rPr>
      </w:pPr>
      <w:r>
        <w:rPr>
          <w:rFonts w:ascii="Symbol" w:eastAsia="Symbol" w:hAnsi="Symbol" w:cs="Symbol"/>
          <w:i/>
          <w:sz w:val="22"/>
          <w:szCs w:val="22"/>
        </w:rPr>
        <w:t></w:t>
      </w:r>
      <w:r>
        <w:rPr>
          <w:rFonts w:ascii="Palatino Linotype" w:eastAsiaTheme="minorEastAsia" w:hAnsi="Palatino Linotype" w:cs="Arial"/>
          <w:i/>
          <w:sz w:val="22"/>
          <w:szCs w:val="22"/>
        </w:rPr>
        <w:t xml:space="preserve"> RRA 0050/16. Instituto Nacional para la Evaluación de la Educación. 13 julio de 2016. Por unanimidad. Comisionado Ponente: Francisco Javier Acuña Llamas.</w:t>
      </w:r>
    </w:p>
    <w:p w:rsidR="00BB0015" w:rsidRDefault="00286BA0">
      <w:pPr>
        <w:widowControl w:val="0"/>
        <w:tabs>
          <w:tab w:val="left" w:pos="1701"/>
          <w:tab w:val="left" w:pos="1843"/>
        </w:tabs>
        <w:ind w:left="709" w:right="899"/>
        <w:jc w:val="both"/>
        <w:rPr>
          <w:rFonts w:ascii="Palatino Linotype" w:eastAsiaTheme="minorEastAsia" w:hAnsi="Palatino Linotype" w:cs="Arial"/>
          <w:i/>
          <w:sz w:val="22"/>
          <w:szCs w:val="22"/>
        </w:rPr>
      </w:pPr>
      <w:r>
        <w:rPr>
          <w:rFonts w:ascii="Symbol" w:eastAsia="Symbol" w:hAnsi="Symbol" w:cs="Symbol"/>
          <w:i/>
          <w:sz w:val="22"/>
          <w:szCs w:val="22"/>
        </w:rPr>
        <w:t></w:t>
      </w:r>
      <w:r>
        <w:rPr>
          <w:rFonts w:ascii="Palatino Linotype" w:eastAsiaTheme="minorEastAsia" w:hAnsi="Palatino Linotype" w:cs="Arial"/>
          <w:i/>
          <w:sz w:val="22"/>
          <w:szCs w:val="22"/>
        </w:rPr>
        <w:t xml:space="preserve"> RRA 0310/16. Instituto Nacional de Transparencia, Acceso a la Información y Protección de Datos Personales. 10 de agosto de 2016. Por unanimidad. Comisionada Ponente. Areli Cano Guadiana. </w:t>
      </w:r>
    </w:p>
    <w:p w:rsidR="00BB0015" w:rsidRDefault="00286BA0">
      <w:pPr>
        <w:widowControl w:val="0"/>
        <w:tabs>
          <w:tab w:val="left" w:pos="1701"/>
          <w:tab w:val="left" w:pos="1843"/>
        </w:tabs>
        <w:ind w:left="709" w:right="899"/>
        <w:jc w:val="both"/>
        <w:rPr>
          <w:rFonts w:ascii="Palatino Linotype" w:eastAsiaTheme="minorEastAsia" w:hAnsi="Palatino Linotype" w:cs="Arial"/>
          <w:i/>
          <w:sz w:val="22"/>
          <w:szCs w:val="22"/>
        </w:rPr>
      </w:pPr>
      <w:r>
        <w:rPr>
          <w:rFonts w:ascii="Symbol" w:eastAsia="Symbol" w:hAnsi="Symbol" w:cs="Symbol"/>
          <w:i/>
          <w:sz w:val="22"/>
          <w:szCs w:val="22"/>
        </w:rPr>
        <w:t></w:t>
      </w:r>
      <w:r>
        <w:rPr>
          <w:rFonts w:ascii="Palatino Linotype" w:eastAsiaTheme="minorEastAsia" w:hAnsi="Palatino Linotype" w:cs="Arial"/>
          <w:i/>
          <w:sz w:val="22"/>
          <w:szCs w:val="22"/>
        </w:rPr>
        <w:t xml:space="preserve"> RRA 1889/16. Secretaría de Hacienda y Crédito Público. 05 de octubre de 2016. Por unanimidad. Comisionada Ponente. Ximena Puente de la Mora.” (Sic)</w:t>
      </w:r>
    </w:p>
    <w:p w:rsidR="00BB0015" w:rsidRDefault="00BB0015">
      <w:pPr>
        <w:ind w:right="816"/>
        <w:jc w:val="both"/>
        <w:rPr>
          <w:rFonts w:ascii="Palatino Linotype" w:hAnsi="Palatino Linotype" w:cs="Arial"/>
          <w:bCs/>
          <w:i/>
          <w:sz w:val="22"/>
          <w:lang w:eastAsia="en-US"/>
        </w:rPr>
      </w:pPr>
    </w:p>
    <w:p w:rsidR="00BB0015" w:rsidRDefault="00286BA0">
      <w:pPr>
        <w:spacing w:line="360" w:lineRule="auto"/>
        <w:jc w:val="both"/>
        <w:rPr>
          <w:rFonts w:ascii="Palatino Linotype" w:hAnsi="Palatino Linotype" w:cs="Arial"/>
        </w:rPr>
      </w:pPr>
      <w:r>
        <w:rPr>
          <w:rFonts w:ascii="Palatino Linotype" w:hAnsi="Palatino Linotype" w:cs="Arial"/>
          <w:lang w:eastAsia="es-MX"/>
        </w:rPr>
        <w:t xml:space="preserve">Por consiguiente, las razones y motivos de inconformidad señalados por </w:t>
      </w:r>
      <w:r>
        <w:rPr>
          <w:rFonts w:ascii="Palatino Linotype" w:hAnsi="Palatino Linotype" w:cs="Arial"/>
          <w:b/>
          <w:lang w:eastAsia="es-MX"/>
        </w:rPr>
        <w:t>EL RECURRENTE</w:t>
      </w:r>
      <w:r>
        <w:rPr>
          <w:rFonts w:ascii="Palatino Linotype" w:hAnsi="Palatino Linotype" w:cs="Arial"/>
          <w:lang w:eastAsia="es-MX"/>
        </w:rPr>
        <w:t>, resultan</w:t>
      </w:r>
      <w:r>
        <w:rPr>
          <w:rFonts w:ascii="Palatino Linotype" w:hAnsi="Palatino Linotype" w:cs="Arial"/>
          <w:b/>
          <w:lang w:eastAsia="es-MX"/>
        </w:rPr>
        <w:t xml:space="preserve"> parcialmente fundadas</w:t>
      </w:r>
      <w:r>
        <w:rPr>
          <w:rFonts w:ascii="Palatino Linotype" w:hAnsi="Palatino Linotype" w:cs="Arial"/>
          <w:lang w:eastAsia="es-MX"/>
        </w:rPr>
        <w:t xml:space="preserve">; </w:t>
      </w:r>
      <w:r>
        <w:rPr>
          <w:rFonts w:ascii="Palatino Linotype" w:eastAsia="Calibri" w:hAnsi="Palatino Linotype" w:cs="Arial"/>
        </w:rPr>
        <w:t xml:space="preserve">por lo que, lo procedente es </w:t>
      </w:r>
      <w:r>
        <w:rPr>
          <w:rFonts w:ascii="Palatino Linotype" w:eastAsia="Calibri" w:hAnsi="Palatino Linotype" w:cs="Arial"/>
          <w:b/>
        </w:rPr>
        <w:t xml:space="preserve">modificar </w:t>
      </w:r>
      <w:r>
        <w:rPr>
          <w:rFonts w:ascii="Palatino Linotype" w:eastAsia="Calibri" w:hAnsi="Palatino Linotype" w:cs="Arial"/>
        </w:rPr>
        <w:t xml:space="preserve">la respuesta otorgada por el </w:t>
      </w:r>
      <w:r>
        <w:rPr>
          <w:rFonts w:ascii="Palatino Linotype" w:eastAsia="Calibri" w:hAnsi="Palatino Linotype" w:cs="Arial"/>
          <w:b/>
        </w:rPr>
        <w:t>SUJETO OBLIGADO</w:t>
      </w:r>
      <w:r>
        <w:rPr>
          <w:rFonts w:ascii="Palatino Linotype" w:eastAsia="Calibri" w:hAnsi="Palatino Linotype" w:cs="Arial"/>
        </w:rPr>
        <w:t xml:space="preserve"> y ordenar haga entrega vía SAIMEX y en </w:t>
      </w:r>
      <w:r>
        <w:rPr>
          <w:rFonts w:ascii="Palatino Linotype" w:eastAsia="Calibri" w:hAnsi="Palatino Linotype" w:cs="Arial"/>
          <w:b/>
        </w:rPr>
        <w:t>versión publica</w:t>
      </w:r>
      <w:r>
        <w:rPr>
          <w:rFonts w:ascii="Palatino Linotype" w:eastAsia="Calibri" w:hAnsi="Palatino Linotype" w:cs="Arial"/>
        </w:rPr>
        <w:t xml:space="preserve"> de la información que ha quedado precisada.</w:t>
      </w:r>
    </w:p>
    <w:p w:rsidR="00BB0015" w:rsidRDefault="00286BA0">
      <w:pPr>
        <w:widowControl w:val="0"/>
        <w:spacing w:beforeAutospacing="1" w:afterAutospacing="1" w:line="360" w:lineRule="auto"/>
        <w:jc w:val="both"/>
        <w:rPr>
          <w:rFonts w:ascii="Palatino Linotype" w:eastAsia="Calibri" w:hAnsi="Palatino Linotype" w:cs="Arial"/>
        </w:rPr>
      </w:pPr>
      <w:r>
        <w:rPr>
          <w:rFonts w:ascii="Palatino Linotype" w:eastAsia="Calibri" w:hAnsi="Palatino Linotype" w:cs="Arial"/>
        </w:rPr>
        <w:t xml:space="preserve">Así, con </w:t>
      </w:r>
      <w:r>
        <w:rPr>
          <w:rFonts w:ascii="Palatino Linotype" w:hAnsi="Palatino Linotype" w:cs="Arial"/>
        </w:rPr>
        <w:t>fundamento</w:t>
      </w:r>
      <w:r>
        <w:rPr>
          <w:rFonts w:ascii="Palatino Linotype" w:eastAsia="Calibri" w:hAnsi="Palatino Linotype" w:cs="Arial"/>
        </w:rPr>
        <w:t xml:space="preserve"> en lo prescrito en los artículos 5, párrafos vigésimo segundo, vigésimo tercero y vigésimo cuarto de la Constitución Política del Estado Libre y Soberano de México; </w:t>
      </w:r>
      <w:r>
        <w:rPr>
          <w:rFonts w:ascii="Palatino Linotype" w:hAnsi="Palatino Linotype"/>
        </w:rPr>
        <w:t>2, fracción II, 19, 29, 36, fracciones I y II, 176, 178, 179, 181, 185, fracción I, 186 y 188</w:t>
      </w:r>
      <w:r>
        <w:rPr>
          <w:rFonts w:ascii="Palatino Linotype" w:eastAsia="Calibri" w:hAnsi="Palatino Linotype" w:cs="Arial"/>
        </w:rPr>
        <w:t xml:space="preserve"> de la Ley de Transparencia y Acceso a la Información Pública del Estado de México y Municipios, este Pleno:</w:t>
      </w:r>
    </w:p>
    <w:p w:rsidR="00BB0015" w:rsidRPr="006B760E" w:rsidRDefault="00286BA0">
      <w:pPr>
        <w:spacing w:before="240" w:after="240" w:line="360" w:lineRule="auto"/>
        <w:jc w:val="center"/>
        <w:rPr>
          <w:rFonts w:ascii="Palatino Linotype" w:hAnsi="Palatino Linotype"/>
          <w:b/>
          <w:sz w:val="28"/>
          <w:lang w:val="pt-BR"/>
        </w:rPr>
      </w:pPr>
      <w:r w:rsidRPr="006B760E">
        <w:rPr>
          <w:rFonts w:ascii="Palatino Linotype" w:hAnsi="Palatino Linotype"/>
          <w:b/>
          <w:sz w:val="28"/>
          <w:lang w:val="pt-BR"/>
        </w:rPr>
        <w:t>R E S U E L V E</w:t>
      </w:r>
    </w:p>
    <w:p w:rsidR="00BB0015" w:rsidRDefault="00286BA0">
      <w:pPr>
        <w:spacing w:beforeAutospacing="1" w:afterAutospacing="1" w:line="360" w:lineRule="auto"/>
        <w:jc w:val="both"/>
        <w:rPr>
          <w:rFonts w:ascii="Palatino Linotype" w:eastAsia="Calibri" w:hAnsi="Palatino Linotype" w:cs="Arial"/>
        </w:rPr>
      </w:pPr>
      <w:r w:rsidRPr="006B760E">
        <w:rPr>
          <w:rFonts w:ascii="Palatino Linotype" w:eastAsia="Calibri" w:hAnsi="Palatino Linotype" w:cs="Arial"/>
          <w:b/>
          <w:sz w:val="28"/>
          <w:lang w:val="pt-BR"/>
        </w:rPr>
        <w:t>PRIMERO</w:t>
      </w:r>
      <w:r w:rsidRPr="006B760E">
        <w:rPr>
          <w:rFonts w:ascii="Palatino Linotype" w:eastAsia="Calibri" w:hAnsi="Palatino Linotype" w:cs="Arial"/>
          <w:lang w:val="pt-BR"/>
        </w:rPr>
        <w:t xml:space="preserve">. </w:t>
      </w:r>
      <w:r>
        <w:rPr>
          <w:rFonts w:ascii="Palatino Linotype" w:eastAsia="Calibri" w:hAnsi="Palatino Linotype" w:cs="Arial"/>
        </w:rPr>
        <w:t xml:space="preserve">Resultan </w:t>
      </w:r>
      <w:r>
        <w:rPr>
          <w:rFonts w:ascii="Palatino Linotype" w:eastAsia="Calibri" w:hAnsi="Palatino Linotype" w:cs="Arial"/>
          <w:b/>
        </w:rPr>
        <w:t xml:space="preserve">parcialmente fundadas </w:t>
      </w:r>
      <w:r>
        <w:rPr>
          <w:rFonts w:ascii="Palatino Linotype" w:eastAsia="Calibri" w:hAnsi="Palatino Linotype" w:cs="Arial"/>
        </w:rPr>
        <w:t xml:space="preserve">las razones o motivos de inconformidad planteadas por </w:t>
      </w:r>
      <w:r>
        <w:rPr>
          <w:rFonts w:ascii="Palatino Linotype" w:eastAsia="Calibri" w:hAnsi="Palatino Linotype" w:cs="Arial"/>
          <w:b/>
        </w:rPr>
        <w:t>EL RECURRENTE</w:t>
      </w:r>
      <w:r>
        <w:rPr>
          <w:rFonts w:ascii="Palatino Linotype" w:eastAsia="Calibri" w:hAnsi="Palatino Linotype" w:cs="Arial"/>
        </w:rPr>
        <w:t xml:space="preserve">, en términos del Considerando </w:t>
      </w:r>
      <w:r>
        <w:rPr>
          <w:rFonts w:ascii="Palatino Linotype" w:eastAsia="Calibri" w:hAnsi="Palatino Linotype" w:cs="Arial"/>
          <w:b/>
        </w:rPr>
        <w:t>QUINTO</w:t>
      </w:r>
      <w:r>
        <w:rPr>
          <w:rFonts w:ascii="Palatino Linotype" w:eastAsia="Calibri" w:hAnsi="Palatino Linotype" w:cs="Arial"/>
        </w:rPr>
        <w:t xml:space="preserve"> de la presente resolución.</w:t>
      </w:r>
    </w:p>
    <w:p w:rsidR="00BB0015" w:rsidRDefault="00286BA0">
      <w:pPr>
        <w:spacing w:beforeAutospacing="1" w:afterAutospacing="1" w:line="360" w:lineRule="auto"/>
        <w:jc w:val="both"/>
        <w:rPr>
          <w:rFonts w:ascii="Palatino Linotype" w:eastAsia="Calibri" w:hAnsi="Palatino Linotype" w:cs="Arial"/>
        </w:rPr>
      </w:pPr>
      <w:r>
        <w:rPr>
          <w:rFonts w:ascii="Palatino Linotype" w:eastAsia="Calibri" w:hAnsi="Palatino Linotype" w:cs="Arial"/>
          <w:b/>
          <w:sz w:val="28"/>
        </w:rPr>
        <w:lastRenderedPageBreak/>
        <w:t>SEGUNDO</w:t>
      </w:r>
      <w:r>
        <w:rPr>
          <w:rFonts w:ascii="Palatino Linotype" w:eastAsia="Calibri" w:hAnsi="Palatino Linotype" w:cs="Arial"/>
        </w:rPr>
        <w:t xml:space="preserve">. Se </w:t>
      </w:r>
      <w:r>
        <w:rPr>
          <w:rFonts w:ascii="Palatino Linotype" w:eastAsia="Calibri" w:hAnsi="Palatino Linotype" w:cs="Arial"/>
          <w:b/>
        </w:rPr>
        <w:t xml:space="preserve">MODIFICA </w:t>
      </w:r>
      <w:r>
        <w:rPr>
          <w:rFonts w:ascii="Palatino Linotype" w:eastAsia="Calibri" w:hAnsi="Palatino Linotype" w:cs="Arial"/>
        </w:rPr>
        <w:t xml:space="preserve">a respuesta otorgada por </w:t>
      </w:r>
      <w:r>
        <w:rPr>
          <w:rFonts w:ascii="Palatino Linotype" w:eastAsia="Calibri" w:hAnsi="Palatino Linotype" w:cs="Arial"/>
          <w:b/>
        </w:rPr>
        <w:t>EL SUJETO OBLIGADO</w:t>
      </w:r>
      <w:r>
        <w:rPr>
          <w:rFonts w:ascii="Palatino Linotype" w:eastAsia="Calibri" w:hAnsi="Palatino Linotype" w:cs="Arial"/>
        </w:rPr>
        <w:t xml:space="preserve"> a la solicitud de información motivo del recurso de revisión </w:t>
      </w:r>
      <w:r>
        <w:rPr>
          <w:rFonts w:ascii="Palatino Linotype" w:eastAsia="Calibri" w:hAnsi="Palatino Linotype" w:cs="Arial"/>
          <w:b/>
        </w:rPr>
        <w:t>01282/INFOEM/IP/RR/2020</w:t>
      </w:r>
      <w:r>
        <w:rPr>
          <w:rFonts w:ascii="Palatino Linotype" w:eastAsia="Calibri" w:hAnsi="Palatino Linotype" w:cs="Arial"/>
        </w:rPr>
        <w:t xml:space="preserve"> y se le ordena en términos del Considerando </w:t>
      </w:r>
      <w:r>
        <w:rPr>
          <w:rFonts w:ascii="Palatino Linotype" w:eastAsia="Calibri" w:hAnsi="Palatino Linotype" w:cs="Arial"/>
          <w:b/>
        </w:rPr>
        <w:t>QUINTO</w:t>
      </w:r>
      <w:r>
        <w:rPr>
          <w:rFonts w:ascii="Palatino Linotype" w:eastAsia="Calibri" w:hAnsi="Palatino Linotype" w:cs="Arial"/>
        </w:rPr>
        <w:t xml:space="preserve"> de la presente resolución, entregue al </w:t>
      </w:r>
      <w:r>
        <w:rPr>
          <w:rFonts w:ascii="Palatino Linotype" w:eastAsia="Calibri" w:hAnsi="Palatino Linotype" w:cs="Arial"/>
          <w:b/>
        </w:rPr>
        <w:t>RECURRENTE</w:t>
      </w:r>
      <w:r>
        <w:rPr>
          <w:rFonts w:ascii="Palatino Linotype" w:eastAsia="Calibri" w:hAnsi="Palatino Linotype" w:cs="Arial"/>
        </w:rPr>
        <w:t xml:space="preserve">, vía </w:t>
      </w:r>
      <w:r>
        <w:rPr>
          <w:rFonts w:ascii="Palatino Linotype" w:eastAsia="Calibri" w:hAnsi="Palatino Linotype" w:cs="Arial"/>
          <w:b/>
        </w:rPr>
        <w:t>SAIMEX</w:t>
      </w:r>
      <w:r>
        <w:rPr>
          <w:rFonts w:ascii="Palatino Linotype" w:eastAsia="Calibri" w:hAnsi="Palatino Linotype" w:cs="Arial"/>
        </w:rPr>
        <w:t xml:space="preserve">, en </w:t>
      </w:r>
      <w:r>
        <w:rPr>
          <w:rFonts w:ascii="Palatino Linotype" w:eastAsia="Calibri" w:hAnsi="Palatino Linotype" w:cs="Arial"/>
          <w:b/>
        </w:rPr>
        <w:t>versión pública</w:t>
      </w:r>
      <w:r>
        <w:rPr>
          <w:rFonts w:ascii="Palatino Linotype" w:eastAsia="Calibri" w:hAnsi="Palatino Linotype" w:cs="Arial"/>
        </w:rPr>
        <w:t>, lo siguiente:</w:t>
      </w:r>
    </w:p>
    <w:p w:rsidR="00BB0015" w:rsidRDefault="00286BA0">
      <w:pPr>
        <w:ind w:left="709" w:right="902"/>
        <w:jc w:val="both"/>
        <w:rPr>
          <w:rFonts w:ascii="Palatino Linotype" w:hAnsi="Palatino Linotype"/>
          <w:i/>
          <w:iCs/>
          <w:color w:val="222222"/>
          <w:sz w:val="22"/>
          <w:szCs w:val="22"/>
          <w:lang w:eastAsia="es-MX"/>
        </w:rPr>
      </w:pPr>
      <w:r>
        <w:rPr>
          <w:rFonts w:ascii="Palatino Linotype" w:hAnsi="Palatino Linotype"/>
          <w:i/>
          <w:iCs/>
          <w:color w:val="222222"/>
          <w:sz w:val="22"/>
          <w:szCs w:val="22"/>
          <w:lang w:eastAsia="es-MX"/>
        </w:rPr>
        <w:t>a) Las resoluciones de los recursos de inconformidad notificados a la Titular de la Unidad de Transparencia del 1 de enero de 2019 al 25 de febrero de 2020.</w:t>
      </w:r>
    </w:p>
    <w:p w:rsidR="00BB0015" w:rsidRDefault="00286BA0">
      <w:pPr>
        <w:ind w:left="709" w:right="902"/>
        <w:jc w:val="both"/>
        <w:rPr>
          <w:rFonts w:ascii="Palatino Linotype" w:hAnsi="Palatino Linotype"/>
          <w:i/>
          <w:iCs/>
          <w:color w:val="222222"/>
          <w:sz w:val="22"/>
          <w:szCs w:val="22"/>
          <w:lang w:eastAsia="es-MX"/>
        </w:rPr>
      </w:pPr>
      <w:r>
        <w:rPr>
          <w:rFonts w:ascii="Palatino Linotype" w:hAnsi="Palatino Linotype"/>
          <w:i/>
          <w:iCs/>
          <w:color w:val="222222"/>
          <w:sz w:val="22"/>
          <w:szCs w:val="22"/>
          <w:lang w:eastAsia="es-MX"/>
        </w:rPr>
        <w:t>b) Las solicitudes recibidas a través del SAIMEX y las respuestas emitidas faltantes del 1 de enero al 25 de febrero de 2020.</w:t>
      </w:r>
    </w:p>
    <w:p w:rsidR="00BB0015" w:rsidRDefault="00286BA0">
      <w:pPr>
        <w:ind w:left="709" w:right="902"/>
        <w:jc w:val="both"/>
        <w:rPr>
          <w:rFonts w:ascii="Palatino Linotype" w:hAnsi="Palatino Linotype"/>
          <w:i/>
          <w:iCs/>
          <w:color w:val="222222"/>
          <w:sz w:val="22"/>
          <w:szCs w:val="22"/>
          <w:lang w:eastAsia="es-MX"/>
        </w:rPr>
      </w:pPr>
      <w:r>
        <w:rPr>
          <w:rFonts w:ascii="Palatino Linotype" w:hAnsi="Palatino Linotype"/>
          <w:i/>
          <w:iCs/>
          <w:color w:val="222222"/>
          <w:sz w:val="22"/>
          <w:szCs w:val="22"/>
          <w:lang w:eastAsia="es-MX"/>
        </w:rPr>
        <w:t>c) Los recursos de revisión recibidos y sus resoluciones del 1 de enero 2015 al 25 de febrero de 2020.</w:t>
      </w:r>
    </w:p>
    <w:p w:rsidR="00BB0015" w:rsidRDefault="00BB0015">
      <w:pPr>
        <w:ind w:right="902"/>
        <w:jc w:val="both"/>
        <w:rPr>
          <w:rFonts w:ascii="Palatino Linotype" w:hAnsi="Palatino Linotype"/>
          <w:i/>
          <w:iCs/>
          <w:color w:val="222222"/>
          <w:sz w:val="22"/>
          <w:szCs w:val="22"/>
          <w:lang w:eastAsia="es-MX"/>
        </w:rPr>
      </w:pPr>
    </w:p>
    <w:p w:rsidR="00BB0015" w:rsidRDefault="00286BA0">
      <w:pPr>
        <w:ind w:left="709" w:right="902"/>
        <w:jc w:val="both"/>
        <w:rPr>
          <w:rFonts w:ascii="Palatino Linotype" w:hAnsi="Palatino Linotype"/>
          <w:i/>
          <w:iCs/>
          <w:color w:val="222222"/>
          <w:sz w:val="22"/>
          <w:szCs w:val="22"/>
          <w:lang w:eastAsia="es-MX"/>
        </w:rPr>
      </w:pPr>
      <w:r>
        <w:rPr>
          <w:rFonts w:ascii="Palatino Linotype" w:hAnsi="Palatino Linotype"/>
          <w:i/>
          <w:iCs/>
          <w:color w:val="222222"/>
          <w:sz w:val="22"/>
          <w:szCs w:val="22"/>
          <w:lang w:eastAsia="es-MX"/>
        </w:rPr>
        <w:t xml:space="preserve">Debiendo notificar al </w:t>
      </w:r>
      <w:r>
        <w:rPr>
          <w:rFonts w:ascii="Palatino Linotype" w:hAnsi="Palatino Linotype"/>
          <w:b/>
          <w:i/>
          <w:iCs/>
          <w:color w:val="222222"/>
          <w:sz w:val="22"/>
          <w:szCs w:val="22"/>
          <w:lang w:eastAsia="es-MX"/>
        </w:rPr>
        <w:t>RECURRENTE</w:t>
      </w:r>
      <w:r>
        <w:rPr>
          <w:rFonts w:ascii="Palatino Linotype" w:hAnsi="Palatino Linotype"/>
          <w:i/>
          <w:iCs/>
          <w:color w:val="222222"/>
          <w:sz w:val="22"/>
          <w:szCs w:val="22"/>
          <w:lang w:eastAsia="es-MX"/>
        </w:rPr>
        <w:t xml:space="preserve"> el Acuerdo de Clasificación de la información que emita el Comité de Transparencia con motivo de las versiones públicas.</w:t>
      </w:r>
    </w:p>
    <w:p w:rsidR="00BB0015" w:rsidRDefault="00BB0015">
      <w:pPr>
        <w:ind w:left="709" w:right="902"/>
        <w:jc w:val="both"/>
        <w:rPr>
          <w:rFonts w:ascii="Palatino Linotype" w:hAnsi="Palatino Linotype"/>
          <w:bCs/>
          <w:i/>
          <w:sz w:val="22"/>
          <w:szCs w:val="22"/>
        </w:rPr>
      </w:pPr>
    </w:p>
    <w:p w:rsidR="00BB0015" w:rsidRDefault="00BB0015">
      <w:pPr>
        <w:ind w:left="709" w:right="902"/>
        <w:jc w:val="both"/>
        <w:rPr>
          <w:rFonts w:ascii="Palatino Linotype" w:hAnsi="Palatino Linotype"/>
          <w:bCs/>
          <w:i/>
          <w:sz w:val="22"/>
          <w:szCs w:val="22"/>
        </w:rPr>
      </w:pPr>
    </w:p>
    <w:p w:rsidR="00BB0015" w:rsidRDefault="00286BA0">
      <w:pPr>
        <w:ind w:left="709" w:right="902"/>
        <w:jc w:val="both"/>
        <w:rPr>
          <w:rFonts w:ascii="Palatino Linotype" w:hAnsi="Palatino Linotype"/>
          <w:i/>
          <w:iCs/>
          <w:color w:val="222222"/>
          <w:sz w:val="22"/>
          <w:szCs w:val="22"/>
          <w:lang w:eastAsia="es-MX"/>
        </w:rPr>
      </w:pPr>
      <w:r>
        <w:rPr>
          <w:rFonts w:ascii="Palatino Linotype" w:hAnsi="Palatino Linotype"/>
          <w:bCs/>
          <w:i/>
          <w:sz w:val="22"/>
          <w:szCs w:val="22"/>
        </w:rPr>
        <w:t xml:space="preserve">Para el caso de que </w:t>
      </w:r>
      <w:r>
        <w:rPr>
          <w:rFonts w:ascii="Palatino Linotype" w:hAnsi="Palatino Linotype"/>
          <w:b/>
          <w:bCs/>
          <w:i/>
          <w:sz w:val="22"/>
          <w:szCs w:val="22"/>
        </w:rPr>
        <w:t>EL SUJETO OBLIGADO</w:t>
      </w:r>
      <w:r>
        <w:rPr>
          <w:rFonts w:ascii="Palatino Linotype" w:hAnsi="Palatino Linotype"/>
          <w:bCs/>
          <w:i/>
          <w:sz w:val="22"/>
          <w:szCs w:val="22"/>
        </w:rPr>
        <w:t xml:space="preserve"> no</w:t>
      </w:r>
      <w:r>
        <w:rPr>
          <w:rFonts w:ascii="Palatino Linotype" w:hAnsi="Palatino Linotype"/>
          <w:i/>
          <w:iCs/>
          <w:color w:val="222222"/>
          <w:sz w:val="22"/>
          <w:szCs w:val="22"/>
          <w:lang w:eastAsia="es-MX"/>
        </w:rPr>
        <w:t xml:space="preserve"> haya generado la información que se ordena en el inciso a), por no haber sido parte en algún procedimiento de recurso de inconformidad, deberá de hacerlo del conocimiento al </w:t>
      </w:r>
      <w:r>
        <w:rPr>
          <w:rFonts w:ascii="Palatino Linotype" w:hAnsi="Palatino Linotype"/>
          <w:b/>
          <w:i/>
          <w:iCs/>
          <w:color w:val="222222"/>
          <w:sz w:val="22"/>
          <w:szCs w:val="22"/>
          <w:lang w:eastAsia="es-MX"/>
        </w:rPr>
        <w:t>RECURRENTE</w:t>
      </w:r>
      <w:r>
        <w:rPr>
          <w:rFonts w:ascii="Palatino Linotype" w:hAnsi="Palatino Linotype"/>
          <w:i/>
          <w:iCs/>
          <w:color w:val="222222"/>
          <w:sz w:val="22"/>
          <w:szCs w:val="22"/>
          <w:lang w:eastAsia="es-MX"/>
        </w:rPr>
        <w:t xml:space="preserve"> de manera fundamentada y motivada.”</w:t>
      </w:r>
    </w:p>
    <w:p w:rsidR="00BB0015" w:rsidRDefault="00BB0015">
      <w:pPr>
        <w:ind w:right="899"/>
        <w:jc w:val="both"/>
        <w:rPr>
          <w:rFonts w:ascii="Palatino Linotype" w:eastAsia="Arial Unicode MS" w:hAnsi="Palatino Linotype" w:cs="Arial"/>
          <w:i/>
          <w:sz w:val="22"/>
          <w:szCs w:val="22"/>
        </w:rPr>
      </w:pPr>
    </w:p>
    <w:p w:rsidR="00BB0015" w:rsidRDefault="00286BA0">
      <w:pPr>
        <w:spacing w:beforeAutospacing="1" w:afterAutospacing="1" w:line="360" w:lineRule="auto"/>
        <w:jc w:val="both"/>
        <w:rPr>
          <w:rFonts w:ascii="Palatino Linotype" w:eastAsia="Calibri" w:hAnsi="Palatino Linotype" w:cs="Arial"/>
        </w:rPr>
      </w:pPr>
      <w:r>
        <w:rPr>
          <w:rFonts w:ascii="Palatino Linotype" w:eastAsia="Calibri" w:hAnsi="Palatino Linotype" w:cs="Arial"/>
          <w:b/>
          <w:sz w:val="28"/>
        </w:rPr>
        <w:t>TERCERO</w:t>
      </w:r>
      <w:r>
        <w:rPr>
          <w:rFonts w:ascii="Palatino Linotype" w:eastAsia="Calibri" w:hAnsi="Palatino Linotype" w:cs="Arial"/>
        </w:rPr>
        <w:t xml:space="preserve">. Notifíquese a la Titular de la Unidad de Transparencia del </w:t>
      </w:r>
      <w:r>
        <w:rPr>
          <w:rFonts w:ascii="Palatino Linotype" w:eastAsia="Calibri" w:hAnsi="Palatino Linotype" w:cs="Arial"/>
          <w:b/>
        </w:rPr>
        <w:t>SUJETO OBLIGADO</w:t>
      </w:r>
      <w:r>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BB0015" w:rsidRDefault="00286BA0">
      <w:pPr>
        <w:spacing w:beforeAutospacing="1" w:afterAutospacing="1" w:line="360" w:lineRule="auto"/>
        <w:jc w:val="both"/>
        <w:rPr>
          <w:rFonts w:ascii="Palatino Linotype" w:eastAsia="Calibri" w:hAnsi="Palatino Linotype" w:cs="Arial"/>
        </w:rPr>
      </w:pPr>
      <w:r>
        <w:rPr>
          <w:rFonts w:ascii="Palatino Linotype" w:eastAsia="Calibri" w:hAnsi="Palatino Linotype" w:cs="Arial"/>
          <w:b/>
          <w:sz w:val="28"/>
        </w:rPr>
        <w:t>CUARTO</w:t>
      </w:r>
      <w:r>
        <w:rPr>
          <w:rFonts w:ascii="Palatino Linotype" w:eastAsia="Calibri" w:hAnsi="Palatino Linotype" w:cs="Arial"/>
        </w:rPr>
        <w:t xml:space="preserve">. </w:t>
      </w:r>
      <w:r>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Pr>
          <w:rFonts w:ascii="Palatino Linotype" w:hAnsi="Palatino Linotype"/>
          <w:b/>
          <w:szCs w:val="17"/>
          <w:lang w:eastAsia="es-ES_tradnl"/>
        </w:rPr>
        <w:t xml:space="preserve">SUJETO </w:t>
      </w:r>
      <w:r>
        <w:rPr>
          <w:rFonts w:ascii="Palatino Linotype" w:hAnsi="Palatino Linotype"/>
          <w:b/>
          <w:szCs w:val="17"/>
          <w:lang w:eastAsia="es-ES_tradnl"/>
        </w:rPr>
        <w:lastRenderedPageBreak/>
        <w:t>OBLIGADO</w:t>
      </w:r>
      <w:r>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rsidR="00BB0015" w:rsidRDefault="00286BA0">
      <w:pPr>
        <w:spacing w:beforeAutospacing="1" w:afterAutospacing="1" w:line="360" w:lineRule="auto"/>
        <w:jc w:val="both"/>
        <w:rPr>
          <w:rFonts w:ascii="Palatino Linotype" w:eastAsia="Calibri" w:hAnsi="Palatino Linotype" w:cs="Arial"/>
        </w:rPr>
      </w:pPr>
      <w:r>
        <w:rPr>
          <w:rFonts w:ascii="Palatino Linotype" w:eastAsia="Calibri" w:hAnsi="Palatino Linotype" w:cs="Arial"/>
          <w:b/>
          <w:sz w:val="28"/>
        </w:rPr>
        <w:t>QUINTO</w:t>
      </w:r>
      <w:r>
        <w:rPr>
          <w:rFonts w:ascii="Palatino Linotype" w:eastAsia="Calibri" w:hAnsi="Palatino Linotype" w:cs="Arial"/>
        </w:rPr>
        <w:t xml:space="preserve">. Notifíquese al </w:t>
      </w:r>
      <w:r>
        <w:rPr>
          <w:rFonts w:ascii="Palatino Linotype" w:eastAsia="Calibri" w:hAnsi="Palatino Linotype" w:cs="Arial"/>
          <w:b/>
        </w:rPr>
        <w:t>RECURRENTE</w:t>
      </w:r>
      <w:r>
        <w:rPr>
          <w:rFonts w:ascii="Palatino Linotype" w:eastAsia="Calibri" w:hAnsi="Palatino Linotype" w:cs="Arial"/>
        </w:rPr>
        <w:t xml:space="preserve"> la presente resolución.</w:t>
      </w:r>
    </w:p>
    <w:p w:rsidR="00BB0015" w:rsidRDefault="00286BA0">
      <w:pPr>
        <w:spacing w:beforeAutospacing="1" w:afterAutospacing="1" w:line="360" w:lineRule="auto"/>
        <w:jc w:val="both"/>
        <w:rPr>
          <w:rFonts w:ascii="Palatino Linotype" w:eastAsia="Calibri" w:hAnsi="Palatino Linotype" w:cs="Arial"/>
        </w:rPr>
      </w:pPr>
      <w:r>
        <w:rPr>
          <w:rFonts w:ascii="Palatino Linotype" w:eastAsia="Calibri" w:hAnsi="Palatino Linotype" w:cs="Arial"/>
          <w:b/>
          <w:sz w:val="28"/>
          <w:szCs w:val="28"/>
        </w:rPr>
        <w:t>SEXTO.</w:t>
      </w:r>
      <w:r>
        <w:rPr>
          <w:rFonts w:ascii="Palatino Linotype" w:eastAsia="Calibri" w:hAnsi="Palatino Linotype" w:cs="Arial"/>
        </w:rPr>
        <w:t xml:space="preserve"> Hágase del conocimiento del </w:t>
      </w:r>
      <w:r>
        <w:rPr>
          <w:rFonts w:ascii="Palatino Linotype" w:eastAsia="Calibri" w:hAnsi="Palatino Linotype" w:cs="Arial"/>
          <w:b/>
        </w:rPr>
        <w:t>RECURRENTE</w:t>
      </w:r>
      <w:r>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BB0015" w:rsidRDefault="00286BA0" w:rsidP="006B760E">
      <w:pPr>
        <w:spacing w:line="360" w:lineRule="auto"/>
        <w:jc w:val="both"/>
        <w:rPr>
          <w:rFonts w:ascii="Palatino Linotype"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w:t>
      </w:r>
      <w:r>
        <w:rPr>
          <w:rFonts w:ascii="Palatino Linotype" w:hAnsi="Palatino Linotype"/>
          <w:lang w:eastAsia="en-US"/>
        </w:rPr>
        <w:t>TRANSPARENCIA</w:t>
      </w:r>
      <w:r>
        <w:rPr>
          <w:rFonts w:ascii="Palatino Linotype" w:eastAsia="Arial Unicode MS" w:hAnsi="Palatino Linotype" w:cs="Arial"/>
        </w:rPr>
        <w:t>,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Y LUIS GUSTAVO PARRA NORIEGA, EN LA </w:t>
      </w:r>
      <w:r>
        <w:rPr>
          <w:rFonts w:ascii="Palatino Linotype" w:hAnsi="Palatino Linotype" w:cs="Arial"/>
          <w:color w:val="000000"/>
        </w:rPr>
        <w:t>DÉCIMA CUARTA</w:t>
      </w:r>
      <w:r>
        <w:rPr>
          <w:rFonts w:ascii="Palatino Linotype" w:hAnsi="Palatino Linotype" w:cs="Arial"/>
        </w:rPr>
        <w:t xml:space="preserve"> SESIÓN ORDINARIA CELEBRADA EL DÍA </w:t>
      </w:r>
      <w:r>
        <w:rPr>
          <w:rFonts w:ascii="Palatino Linotype" w:hAnsi="Palatino Linotype" w:cs="Arial"/>
          <w:color w:val="000000"/>
        </w:rPr>
        <w:t>DIECINUEVE</w:t>
      </w:r>
      <w:r>
        <w:rPr>
          <w:rFonts w:ascii="Palatino Linotype" w:hAnsi="Palatino Linotype" w:cs="Arial"/>
        </w:rPr>
        <w:t xml:space="preserve"> DE AGOSTO DE DOS MIL VEINTE, ANTE EL SECRETARIO TÉCNICO DEL PLENO, </w:t>
      </w:r>
      <w:r>
        <w:rPr>
          <w:rFonts w:ascii="Palatino Linotype" w:eastAsia="Arial Unicode MS" w:hAnsi="Palatino Linotype" w:cs="Arial"/>
        </w:rPr>
        <w:t>ALEXIS</w:t>
      </w:r>
      <w:r>
        <w:rPr>
          <w:rFonts w:ascii="Palatino Linotype" w:hAnsi="Palatino Linotype" w:cs="Arial"/>
        </w:rPr>
        <w:t xml:space="preserve"> TAPIA RAMÍREZ.</w:t>
      </w:r>
    </w:p>
    <w:tbl>
      <w:tblPr>
        <w:tblW w:w="9214" w:type="dxa"/>
        <w:jc w:val="center"/>
        <w:tblLook w:val="04A0" w:firstRow="1" w:lastRow="0" w:firstColumn="1" w:lastColumn="0" w:noHBand="0" w:noVBand="1"/>
      </w:tblPr>
      <w:tblGrid>
        <w:gridCol w:w="4757"/>
        <w:gridCol w:w="4457"/>
      </w:tblGrid>
      <w:tr w:rsidR="00BB0015">
        <w:trPr>
          <w:jc w:val="center"/>
        </w:trPr>
        <w:tc>
          <w:tcPr>
            <w:tcW w:w="9213" w:type="dxa"/>
            <w:gridSpan w:val="2"/>
            <w:shd w:val="clear" w:color="auto" w:fill="auto"/>
          </w:tcPr>
          <w:p w:rsidR="00BB0015" w:rsidRDefault="00BB0015">
            <w:pPr>
              <w:jc w:val="center"/>
              <w:rPr>
                <w:rFonts w:ascii="Palatino Linotype" w:hAnsi="Palatino Linotype" w:cs="Arial"/>
                <w:b/>
                <w:color w:val="000000" w:themeColor="text1"/>
                <w:lang w:val="es-ES_tradnl"/>
              </w:rPr>
            </w:pPr>
          </w:p>
          <w:p w:rsidR="006B760E" w:rsidRDefault="006B760E">
            <w:pPr>
              <w:jc w:val="center"/>
              <w:rPr>
                <w:rFonts w:ascii="Palatino Linotype" w:hAnsi="Palatino Linotype" w:cs="Arial"/>
                <w:b/>
                <w:color w:val="000000" w:themeColor="text1"/>
                <w:lang w:val="es-ES_tradnl"/>
              </w:rPr>
            </w:pPr>
          </w:p>
          <w:p w:rsidR="006B760E" w:rsidRDefault="006B760E">
            <w:pPr>
              <w:jc w:val="center"/>
              <w:rPr>
                <w:rFonts w:ascii="Palatino Linotype" w:hAnsi="Palatino Linotype" w:cs="Arial"/>
                <w:b/>
                <w:color w:val="000000" w:themeColor="text1"/>
                <w:lang w:val="es-ES_tradnl"/>
              </w:rPr>
            </w:pPr>
          </w:p>
          <w:p w:rsidR="006B760E" w:rsidRDefault="006B760E">
            <w:pPr>
              <w:jc w:val="center"/>
              <w:rPr>
                <w:rFonts w:ascii="Palatino Linotype" w:hAnsi="Palatino Linotype" w:cs="Arial"/>
                <w:b/>
                <w:color w:val="000000" w:themeColor="text1"/>
                <w:lang w:val="es-ES_tradnl"/>
              </w:rPr>
            </w:pPr>
          </w:p>
          <w:p w:rsidR="00BB0015" w:rsidRDefault="00286BA0">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Zulema Martínez Sánchez</w:t>
            </w:r>
          </w:p>
          <w:p w:rsidR="00BB0015" w:rsidRDefault="00286BA0">
            <w:pPr>
              <w:jc w:val="center"/>
              <w:rPr>
                <w:rFonts w:ascii="Palatino Linotype" w:hAnsi="Palatino Linotype" w:cs="Arial"/>
                <w:b/>
                <w:color w:val="000000" w:themeColor="text1"/>
                <w:lang w:val="es-ES_tradnl"/>
              </w:rPr>
            </w:pPr>
            <w:r>
              <w:rPr>
                <w:rFonts w:ascii="Palatino Linotype" w:hAnsi="Palatino Linotype" w:cs="Arial"/>
                <w:color w:val="000000" w:themeColor="text1"/>
                <w:lang w:val="es-ES_tradnl"/>
              </w:rPr>
              <w:t>Comisionada Presidenta</w:t>
            </w:r>
          </w:p>
          <w:p w:rsidR="00BB0015" w:rsidRDefault="00286BA0" w:rsidP="006B760E">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r>
      <w:tr w:rsidR="00BB0015">
        <w:trPr>
          <w:jc w:val="center"/>
        </w:trPr>
        <w:tc>
          <w:tcPr>
            <w:tcW w:w="4756" w:type="dxa"/>
            <w:shd w:val="clear" w:color="auto" w:fill="auto"/>
          </w:tcPr>
          <w:p w:rsidR="006B760E" w:rsidRDefault="006B760E">
            <w:pPr>
              <w:jc w:val="center"/>
              <w:rPr>
                <w:rFonts w:ascii="Palatino Linotype" w:hAnsi="Palatino Linotype" w:cs="Arial"/>
                <w:b/>
                <w:color w:val="000000" w:themeColor="text1"/>
                <w:lang w:val="es-ES_tradnl"/>
              </w:rPr>
            </w:pPr>
          </w:p>
          <w:p w:rsidR="006B760E" w:rsidRDefault="006B760E">
            <w:pPr>
              <w:jc w:val="center"/>
              <w:rPr>
                <w:rFonts w:ascii="Palatino Linotype" w:hAnsi="Palatino Linotype" w:cs="Arial"/>
                <w:b/>
                <w:color w:val="000000" w:themeColor="text1"/>
                <w:lang w:val="es-ES_tradnl"/>
              </w:rPr>
            </w:pPr>
          </w:p>
          <w:p w:rsidR="006B760E" w:rsidRDefault="006B760E">
            <w:pPr>
              <w:jc w:val="center"/>
              <w:rPr>
                <w:rFonts w:ascii="Palatino Linotype" w:hAnsi="Palatino Linotype" w:cs="Arial"/>
                <w:b/>
                <w:color w:val="000000" w:themeColor="text1"/>
                <w:lang w:val="es-ES_tradnl"/>
              </w:rPr>
            </w:pPr>
          </w:p>
          <w:p w:rsidR="006B760E" w:rsidRDefault="006B760E">
            <w:pPr>
              <w:jc w:val="center"/>
              <w:rPr>
                <w:rFonts w:ascii="Palatino Linotype" w:hAnsi="Palatino Linotype" w:cs="Arial"/>
                <w:b/>
                <w:color w:val="000000" w:themeColor="text1"/>
                <w:lang w:val="es-ES_tradnl"/>
              </w:rPr>
            </w:pPr>
          </w:p>
          <w:p w:rsidR="006B760E" w:rsidRDefault="006B760E">
            <w:pPr>
              <w:jc w:val="center"/>
              <w:rPr>
                <w:rFonts w:ascii="Palatino Linotype" w:hAnsi="Palatino Linotype" w:cs="Arial"/>
                <w:b/>
                <w:color w:val="000000" w:themeColor="text1"/>
                <w:lang w:val="es-ES_tradnl"/>
              </w:rPr>
            </w:pPr>
          </w:p>
          <w:p w:rsidR="00BB0015" w:rsidRDefault="00286BA0">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Eva Abaid Yapur</w:t>
            </w:r>
          </w:p>
          <w:p w:rsidR="00BB0015" w:rsidRDefault="00286BA0">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Comisionada</w:t>
            </w:r>
          </w:p>
          <w:p w:rsidR="00BB0015" w:rsidRDefault="00286BA0">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c>
          <w:tcPr>
            <w:tcW w:w="4457" w:type="dxa"/>
            <w:shd w:val="clear" w:color="auto" w:fill="auto"/>
          </w:tcPr>
          <w:p w:rsidR="006B760E" w:rsidRDefault="006B760E">
            <w:pPr>
              <w:jc w:val="center"/>
              <w:rPr>
                <w:rFonts w:ascii="Palatino Linotype" w:hAnsi="Palatino Linotype" w:cs="Arial"/>
                <w:b/>
                <w:color w:val="000000" w:themeColor="text1"/>
                <w:lang w:val="es-ES_tradnl"/>
              </w:rPr>
            </w:pPr>
          </w:p>
          <w:p w:rsidR="006B760E" w:rsidRDefault="006B760E">
            <w:pPr>
              <w:jc w:val="center"/>
              <w:rPr>
                <w:rFonts w:ascii="Palatino Linotype" w:hAnsi="Palatino Linotype" w:cs="Arial"/>
                <w:b/>
                <w:color w:val="000000" w:themeColor="text1"/>
                <w:lang w:val="es-ES_tradnl"/>
              </w:rPr>
            </w:pPr>
          </w:p>
          <w:p w:rsidR="006B760E" w:rsidRDefault="006B760E">
            <w:pPr>
              <w:jc w:val="center"/>
              <w:rPr>
                <w:rFonts w:ascii="Palatino Linotype" w:hAnsi="Palatino Linotype" w:cs="Arial"/>
                <w:b/>
                <w:color w:val="000000" w:themeColor="text1"/>
                <w:lang w:val="es-ES_tradnl"/>
              </w:rPr>
            </w:pPr>
          </w:p>
          <w:p w:rsidR="006B760E" w:rsidRDefault="006B760E">
            <w:pPr>
              <w:jc w:val="center"/>
              <w:rPr>
                <w:rFonts w:ascii="Palatino Linotype" w:hAnsi="Palatino Linotype" w:cs="Arial"/>
                <w:b/>
                <w:color w:val="000000" w:themeColor="text1"/>
                <w:lang w:val="es-ES_tradnl"/>
              </w:rPr>
            </w:pPr>
          </w:p>
          <w:p w:rsidR="006B760E" w:rsidRDefault="006B760E">
            <w:pPr>
              <w:jc w:val="center"/>
              <w:rPr>
                <w:rFonts w:ascii="Palatino Linotype" w:hAnsi="Palatino Linotype" w:cs="Arial"/>
                <w:b/>
                <w:color w:val="000000" w:themeColor="text1"/>
                <w:lang w:val="es-ES_tradnl"/>
              </w:rPr>
            </w:pPr>
          </w:p>
          <w:p w:rsidR="00BB0015" w:rsidRDefault="00286BA0">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José Guadalupe Luna Hernández</w:t>
            </w:r>
          </w:p>
          <w:p w:rsidR="00BB0015" w:rsidRDefault="00286BA0">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rsidR="00BB0015" w:rsidRDefault="00286BA0">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r>
      <w:tr w:rsidR="00BB0015">
        <w:trPr>
          <w:jc w:val="center"/>
        </w:trPr>
        <w:tc>
          <w:tcPr>
            <w:tcW w:w="4756" w:type="dxa"/>
            <w:shd w:val="clear" w:color="auto" w:fill="auto"/>
          </w:tcPr>
          <w:p w:rsidR="00BB0015" w:rsidRDefault="00BB0015" w:rsidP="006B760E">
            <w:pPr>
              <w:jc w:val="center"/>
              <w:rPr>
                <w:rFonts w:ascii="Palatino Linotype" w:hAnsi="Palatino Linotype" w:cs="Arial"/>
                <w:b/>
                <w:color w:val="000000" w:themeColor="text1"/>
                <w:lang w:val="es-ES_tradnl"/>
              </w:rPr>
            </w:pPr>
          </w:p>
          <w:p w:rsidR="00BB0015" w:rsidRDefault="00BB0015" w:rsidP="006B760E">
            <w:pPr>
              <w:jc w:val="center"/>
              <w:rPr>
                <w:rFonts w:ascii="Palatino Linotype" w:hAnsi="Palatino Linotype" w:cs="Arial"/>
                <w:b/>
                <w:color w:val="000000" w:themeColor="text1"/>
                <w:lang w:val="es-ES_tradnl"/>
              </w:rPr>
            </w:pPr>
          </w:p>
          <w:p w:rsidR="006B760E" w:rsidRDefault="006B760E" w:rsidP="006B760E">
            <w:pPr>
              <w:jc w:val="center"/>
              <w:rPr>
                <w:rFonts w:ascii="Palatino Linotype" w:hAnsi="Palatino Linotype" w:cs="Arial"/>
                <w:b/>
                <w:color w:val="000000" w:themeColor="text1"/>
                <w:lang w:val="es-ES_tradnl"/>
              </w:rPr>
            </w:pPr>
          </w:p>
          <w:p w:rsidR="00BB0015" w:rsidRDefault="00BB0015" w:rsidP="006B760E">
            <w:pPr>
              <w:jc w:val="center"/>
              <w:rPr>
                <w:rFonts w:ascii="Palatino Linotype" w:hAnsi="Palatino Linotype" w:cs="Arial"/>
                <w:b/>
                <w:color w:val="000000" w:themeColor="text1"/>
                <w:lang w:val="es-ES_tradnl"/>
              </w:rPr>
            </w:pPr>
          </w:p>
          <w:p w:rsidR="006B760E" w:rsidRDefault="006B760E" w:rsidP="006B760E">
            <w:pPr>
              <w:jc w:val="center"/>
              <w:rPr>
                <w:rFonts w:ascii="Palatino Linotype" w:hAnsi="Palatino Linotype" w:cs="Arial"/>
                <w:b/>
                <w:color w:val="000000" w:themeColor="text1"/>
                <w:lang w:val="es-ES_tradnl"/>
              </w:rPr>
            </w:pPr>
          </w:p>
          <w:p w:rsidR="00BB0015" w:rsidRDefault="00286BA0">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Javier Martínez Cruz</w:t>
            </w:r>
          </w:p>
          <w:p w:rsidR="00BB0015" w:rsidRDefault="00286BA0">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rsidR="00BB0015" w:rsidRDefault="00286BA0">
            <w:pPr>
              <w:jc w:val="center"/>
              <w:rPr>
                <w:rFonts w:ascii="Palatino Linotype" w:hAnsi="Palatino Linotype" w:cs="Arial"/>
                <w:color w:val="000000" w:themeColor="text1"/>
                <w:lang w:val="es-ES_tradnl"/>
              </w:rPr>
            </w:pPr>
            <w:r>
              <w:rPr>
                <w:rFonts w:ascii="Palatino Linotype" w:hAnsi="Palatino Linotype" w:cs="Arial"/>
                <w:b/>
                <w:color w:val="000000" w:themeColor="text1"/>
                <w:lang w:val="es-ES_tradnl"/>
              </w:rPr>
              <w:t>(RÚBRICA)</w:t>
            </w:r>
          </w:p>
        </w:tc>
        <w:tc>
          <w:tcPr>
            <w:tcW w:w="4457" w:type="dxa"/>
            <w:shd w:val="clear" w:color="auto" w:fill="auto"/>
          </w:tcPr>
          <w:p w:rsidR="00BB0015" w:rsidRDefault="00BB0015">
            <w:pPr>
              <w:jc w:val="center"/>
              <w:rPr>
                <w:rFonts w:ascii="Palatino Linotype" w:hAnsi="Palatino Linotype" w:cs="Arial"/>
                <w:b/>
                <w:color w:val="000000" w:themeColor="text1"/>
                <w:lang w:val="es-ES_tradnl"/>
              </w:rPr>
            </w:pPr>
          </w:p>
          <w:p w:rsidR="00BB0015" w:rsidRDefault="00BB0015">
            <w:pPr>
              <w:jc w:val="center"/>
              <w:rPr>
                <w:rFonts w:ascii="Palatino Linotype" w:hAnsi="Palatino Linotype" w:cs="Arial"/>
                <w:b/>
                <w:color w:val="000000" w:themeColor="text1"/>
                <w:lang w:val="es-ES_tradnl"/>
              </w:rPr>
            </w:pPr>
          </w:p>
          <w:p w:rsidR="00BB0015" w:rsidRDefault="00BB0015">
            <w:pPr>
              <w:jc w:val="center"/>
              <w:rPr>
                <w:rFonts w:ascii="Palatino Linotype" w:hAnsi="Palatino Linotype" w:cs="Arial"/>
                <w:b/>
                <w:color w:val="000000" w:themeColor="text1"/>
                <w:lang w:val="es-ES_tradnl"/>
              </w:rPr>
            </w:pPr>
          </w:p>
          <w:p w:rsidR="006B760E" w:rsidRDefault="006B760E">
            <w:pPr>
              <w:jc w:val="center"/>
              <w:rPr>
                <w:rFonts w:ascii="Palatino Linotype" w:hAnsi="Palatino Linotype" w:cs="Arial"/>
                <w:b/>
                <w:color w:val="000000" w:themeColor="text1"/>
                <w:lang w:val="es-ES_tradnl"/>
              </w:rPr>
            </w:pPr>
          </w:p>
          <w:p w:rsidR="006B760E" w:rsidRDefault="006B760E">
            <w:pPr>
              <w:jc w:val="center"/>
              <w:rPr>
                <w:rFonts w:ascii="Palatino Linotype" w:hAnsi="Palatino Linotype" w:cs="Arial"/>
                <w:b/>
                <w:color w:val="000000" w:themeColor="text1"/>
                <w:lang w:val="es-ES_tradnl"/>
              </w:rPr>
            </w:pPr>
          </w:p>
          <w:p w:rsidR="00BB0015" w:rsidRDefault="00286BA0">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Luis Gustavo Parra Noriega</w:t>
            </w:r>
          </w:p>
          <w:p w:rsidR="00BB0015" w:rsidRDefault="00286BA0">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rsidR="00BB0015" w:rsidRDefault="00286BA0">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r>
      <w:tr w:rsidR="00BB0015">
        <w:trPr>
          <w:jc w:val="center"/>
        </w:trPr>
        <w:tc>
          <w:tcPr>
            <w:tcW w:w="9213" w:type="dxa"/>
            <w:gridSpan w:val="2"/>
            <w:shd w:val="clear" w:color="auto" w:fill="auto"/>
          </w:tcPr>
          <w:p w:rsidR="00BB0015" w:rsidRDefault="00BB0015" w:rsidP="006B760E">
            <w:pPr>
              <w:jc w:val="center"/>
              <w:rPr>
                <w:rFonts w:ascii="Palatino Linotype" w:hAnsi="Palatino Linotype" w:cs="Arial"/>
                <w:b/>
                <w:color w:val="000000" w:themeColor="text1"/>
                <w:lang w:val="es-ES_tradnl"/>
              </w:rPr>
            </w:pPr>
          </w:p>
          <w:p w:rsidR="006B760E" w:rsidRDefault="006B760E" w:rsidP="006B760E">
            <w:pPr>
              <w:jc w:val="center"/>
              <w:rPr>
                <w:rFonts w:ascii="Palatino Linotype" w:hAnsi="Palatino Linotype" w:cs="Arial"/>
                <w:b/>
                <w:color w:val="000000" w:themeColor="text1"/>
                <w:lang w:val="es-ES_tradnl"/>
              </w:rPr>
            </w:pPr>
          </w:p>
          <w:p w:rsidR="006B760E" w:rsidRDefault="006B760E" w:rsidP="006B760E">
            <w:pPr>
              <w:jc w:val="center"/>
              <w:rPr>
                <w:rFonts w:ascii="Palatino Linotype" w:hAnsi="Palatino Linotype" w:cs="Arial"/>
                <w:b/>
                <w:color w:val="000000" w:themeColor="text1"/>
                <w:lang w:val="es-ES_tradnl"/>
              </w:rPr>
            </w:pPr>
          </w:p>
          <w:p w:rsidR="006B760E" w:rsidRDefault="006B760E" w:rsidP="006B760E">
            <w:pPr>
              <w:jc w:val="center"/>
              <w:rPr>
                <w:rFonts w:ascii="Palatino Linotype" w:hAnsi="Palatino Linotype" w:cs="Arial"/>
                <w:b/>
                <w:color w:val="000000" w:themeColor="text1"/>
                <w:lang w:val="es-ES_tradnl"/>
              </w:rPr>
            </w:pPr>
          </w:p>
          <w:p w:rsidR="006B760E" w:rsidRDefault="006B760E" w:rsidP="006B760E">
            <w:pPr>
              <w:jc w:val="center"/>
              <w:rPr>
                <w:rFonts w:ascii="Palatino Linotype" w:hAnsi="Palatino Linotype" w:cs="Arial"/>
                <w:b/>
                <w:color w:val="000000" w:themeColor="text1"/>
                <w:lang w:val="es-ES_tradnl"/>
              </w:rPr>
            </w:pPr>
          </w:p>
          <w:p w:rsidR="00BB0015" w:rsidRDefault="00BB0015" w:rsidP="006B760E">
            <w:pPr>
              <w:jc w:val="center"/>
              <w:rPr>
                <w:rFonts w:ascii="Palatino Linotype" w:hAnsi="Palatino Linotype" w:cs="Arial"/>
                <w:b/>
                <w:color w:val="000000" w:themeColor="text1"/>
                <w:lang w:val="es-ES_tradnl"/>
              </w:rPr>
            </w:pPr>
          </w:p>
          <w:p w:rsidR="00BB0015" w:rsidRDefault="00BB0015" w:rsidP="006B760E">
            <w:pPr>
              <w:jc w:val="center"/>
              <w:rPr>
                <w:rFonts w:ascii="Palatino Linotype" w:hAnsi="Palatino Linotype" w:cs="Arial"/>
                <w:b/>
                <w:color w:val="000000" w:themeColor="text1"/>
                <w:lang w:val="es-ES_tradnl"/>
              </w:rPr>
            </w:pPr>
          </w:p>
          <w:p w:rsidR="00BB0015" w:rsidRDefault="00286BA0">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Alexis Tapia Ramírez</w:t>
            </w:r>
          </w:p>
          <w:p w:rsidR="00BB0015" w:rsidRDefault="00286BA0">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Secretario Técnico del Pleno</w:t>
            </w:r>
          </w:p>
          <w:p w:rsidR="00BB0015" w:rsidRDefault="00286BA0">
            <w:pPr>
              <w:jc w:val="center"/>
              <w:rPr>
                <w:rFonts w:ascii="Palatino Linotype" w:hAnsi="Palatino Linotype" w:cs="Arial"/>
                <w:color w:val="000000" w:themeColor="text1"/>
                <w:lang w:val="es-ES_tradnl"/>
              </w:rPr>
            </w:pPr>
            <w:r>
              <w:rPr>
                <w:rFonts w:ascii="Palatino Linotype" w:hAnsi="Palatino Linotype" w:cs="Arial"/>
                <w:b/>
                <w:color w:val="000000" w:themeColor="text1"/>
                <w:lang w:val="es-ES_tradnl"/>
              </w:rPr>
              <w:t>(RÚBRICA)</w:t>
            </w:r>
            <w:r>
              <w:rPr>
                <w:rFonts w:ascii="Palatino Linotype" w:hAnsi="Palatino Linotype" w:cs="Arial"/>
                <w:color w:val="000000" w:themeColor="text1"/>
                <w:lang w:val="es-ES_tradnl"/>
              </w:rPr>
              <w:t xml:space="preserve"> </w:t>
            </w:r>
          </w:p>
        </w:tc>
      </w:tr>
    </w:tbl>
    <w:p w:rsidR="006B760E" w:rsidRDefault="006B760E">
      <w:pPr>
        <w:jc w:val="both"/>
        <w:rPr>
          <w:rFonts w:ascii="Palatino Linotype" w:hAnsi="Palatino Linotype" w:cs="Arial"/>
          <w:sz w:val="22"/>
          <w:szCs w:val="22"/>
          <w:lang w:val="es-ES"/>
        </w:rPr>
      </w:pPr>
    </w:p>
    <w:p w:rsidR="006B760E" w:rsidRDefault="006B760E">
      <w:pPr>
        <w:jc w:val="both"/>
        <w:rPr>
          <w:rFonts w:ascii="Palatino Linotype" w:hAnsi="Palatino Linotype" w:cs="Arial"/>
          <w:sz w:val="22"/>
          <w:szCs w:val="22"/>
          <w:lang w:val="es-ES"/>
        </w:rPr>
      </w:pPr>
    </w:p>
    <w:p w:rsidR="006B760E" w:rsidRDefault="006B760E">
      <w:pPr>
        <w:jc w:val="both"/>
        <w:rPr>
          <w:rFonts w:ascii="Palatino Linotype" w:hAnsi="Palatino Linotype" w:cs="Arial"/>
          <w:sz w:val="22"/>
          <w:szCs w:val="22"/>
          <w:lang w:val="es-ES"/>
        </w:rPr>
      </w:pPr>
    </w:p>
    <w:p w:rsidR="00BB0015" w:rsidRDefault="00286BA0">
      <w:pPr>
        <w:jc w:val="both"/>
        <w:rPr>
          <w:rFonts w:ascii="Palatino Linotype" w:hAnsi="Palatino Linotype" w:cs="Arial"/>
          <w:sz w:val="22"/>
          <w:szCs w:val="22"/>
          <w:lang w:val="es-ES"/>
        </w:rPr>
      </w:pPr>
      <w:r>
        <w:rPr>
          <w:rFonts w:ascii="Palatino Linotype" w:hAnsi="Palatino Linotype" w:cs="Arial"/>
          <w:sz w:val="22"/>
          <w:szCs w:val="22"/>
          <w:lang w:val="es-ES"/>
        </w:rPr>
        <w:t xml:space="preserve">Esta hoja corresponde a la resolución de fecha diecinueve de agosto de dos mil veinte, emitida en el recurso de revisión número 01282/INFOEM/IP/RR/2020. </w:t>
      </w:r>
    </w:p>
    <w:p w:rsidR="00BB0015" w:rsidRDefault="00286BA0">
      <w:pPr>
        <w:spacing w:beforeAutospacing="1" w:afterAutospacing="1" w:line="360" w:lineRule="auto"/>
        <w:jc w:val="both"/>
        <w:rPr>
          <w:rFonts w:ascii="Palatino Linotype" w:hAnsi="Palatino Linotype" w:cs="Arial"/>
          <w:sz w:val="22"/>
          <w:szCs w:val="22"/>
          <w:lang w:val="es-ES"/>
        </w:rPr>
      </w:pPr>
      <w:r>
        <w:rPr>
          <w:rFonts w:ascii="Palatino Linotype" w:hAnsi="Palatino Linotype" w:cs="Arial"/>
          <w:sz w:val="22"/>
          <w:szCs w:val="22"/>
          <w:lang w:val="es-ES"/>
        </w:rPr>
        <w:t>YSM/AAS</w:t>
      </w:r>
    </w:p>
    <w:sectPr w:rsidR="00BB0015">
      <w:headerReference w:type="default" r:id="rId39"/>
      <w:footerReference w:type="default" r:id="rId40"/>
      <w:headerReference w:type="first" r:id="rId41"/>
      <w:footerReference w:type="first" r:id="rId42"/>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3C4E" w:rsidRDefault="00B03C4E">
      <w:r>
        <w:separator/>
      </w:r>
    </w:p>
  </w:endnote>
  <w:endnote w:type="continuationSeparator" w:id="0">
    <w:p w:rsidR="00B03C4E" w:rsidRDefault="00B03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015" w:rsidRDefault="00286BA0">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8259E6">
      <w:rPr>
        <w:rFonts w:ascii="Palatino Linotype" w:hAnsi="Palatino Linotype" w:cs="Arial"/>
        <w:bCs/>
        <w:noProof/>
        <w:sz w:val="22"/>
        <w:szCs w:val="22"/>
      </w:rPr>
      <w:t>55</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8259E6">
      <w:rPr>
        <w:rFonts w:ascii="Palatino Linotype" w:hAnsi="Palatino Linotype" w:cs="Arial"/>
        <w:bCs/>
        <w:noProof/>
        <w:sz w:val="22"/>
        <w:szCs w:val="22"/>
      </w:rPr>
      <w:t>55</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015" w:rsidRDefault="00286BA0">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8259E6">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8259E6">
      <w:rPr>
        <w:rFonts w:ascii="Palatino Linotype" w:hAnsi="Palatino Linotype" w:cs="Arial"/>
        <w:bCs/>
        <w:noProof/>
        <w:sz w:val="22"/>
        <w:szCs w:val="22"/>
      </w:rPr>
      <w:t>55</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3C4E" w:rsidRDefault="00B03C4E">
      <w:r>
        <w:separator/>
      </w:r>
    </w:p>
  </w:footnote>
  <w:footnote w:type="continuationSeparator" w:id="0">
    <w:p w:rsidR="00B03C4E" w:rsidRDefault="00B03C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015" w:rsidRDefault="00BB0015">
    <w:pPr>
      <w:pStyle w:val="Encabezado"/>
      <w:tabs>
        <w:tab w:val="clear" w:pos="4252"/>
        <w:tab w:val="clear" w:pos="8504"/>
        <w:tab w:val="left" w:pos="2326"/>
      </w:tabs>
      <w:rPr>
        <w:rFonts w:ascii="Palatino Linotype" w:hAnsi="Palatino Linotype"/>
        <w:sz w:val="28"/>
        <w:szCs w:val="28"/>
      </w:rPr>
    </w:pPr>
  </w:p>
  <w:tbl>
    <w:tblPr>
      <w:tblW w:w="9534" w:type="dxa"/>
      <w:tblInd w:w="-142" w:type="dxa"/>
      <w:tblLook w:val="04A0" w:firstRow="1" w:lastRow="0" w:firstColumn="1" w:lastColumn="0" w:noHBand="0" w:noVBand="1"/>
    </w:tblPr>
    <w:tblGrid>
      <w:gridCol w:w="3254"/>
      <w:gridCol w:w="2556"/>
      <w:gridCol w:w="3724"/>
    </w:tblGrid>
    <w:tr w:rsidR="00BB0015">
      <w:tc>
        <w:tcPr>
          <w:tcW w:w="3254" w:type="dxa"/>
          <w:vMerge w:val="restart"/>
        </w:tcPr>
        <w:p w:rsidR="00BB0015" w:rsidRDefault="00286BA0">
          <w:pPr>
            <w:rPr>
              <w:rFonts w:ascii="Palatino Linotype" w:hAnsi="Palatino Linotype"/>
              <w:b/>
              <w:sz w:val="22"/>
              <w:szCs w:val="22"/>
              <w:lang w:val="es-ES_tradnl"/>
            </w:rPr>
          </w:pPr>
          <w:r>
            <w:rPr>
              <w:noProof/>
              <w:lang w:eastAsia="es-MX"/>
            </w:rPr>
            <w:drawing>
              <wp:inline distT="0" distB="0" distL="0" distR="0">
                <wp:extent cx="1663700" cy="838200"/>
                <wp:effectExtent l="0" t="0" r="0" b="0"/>
                <wp:docPr id="5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11"/>
                        <pic:cNvPicPr>
                          <a:picLocks noChangeAspect="1" noChangeArrowheads="1"/>
                        </pic:cNvPicPr>
                      </pic:nvPicPr>
                      <pic:blipFill>
                        <a:blip r:embed="rId1"/>
                        <a:stretch>
                          <a:fillRect/>
                        </a:stretch>
                      </pic:blipFill>
                      <pic:spPr bwMode="auto">
                        <a:xfrm>
                          <a:off x="0" y="0"/>
                          <a:ext cx="1663700" cy="838200"/>
                        </a:xfrm>
                        <a:prstGeom prst="rect">
                          <a:avLst/>
                        </a:prstGeom>
                      </pic:spPr>
                    </pic:pic>
                  </a:graphicData>
                </a:graphic>
              </wp:inline>
            </w:drawing>
          </w:r>
          <w:r>
            <w:rPr>
              <w:noProof/>
              <w:lang w:eastAsia="es-MX"/>
            </w:rPr>
            <w:drawing>
              <wp:anchor distT="0" distB="0" distL="0" distR="0" simplePos="0" relativeHeight="51" behindDoc="1" locked="0" layoutInCell="1" allowOverlap="1">
                <wp:simplePos x="0" y="0"/>
                <wp:positionH relativeFrom="column">
                  <wp:posOffset>-144780</wp:posOffset>
                </wp:positionH>
                <wp:positionV relativeFrom="paragraph">
                  <wp:posOffset>200660</wp:posOffset>
                </wp:positionV>
                <wp:extent cx="6858635" cy="9144635"/>
                <wp:effectExtent l="0" t="0" r="0" b="0"/>
                <wp:wrapNone/>
                <wp:docPr id="51"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ordPictureWatermark2095932798"/>
                        <pic:cNvPicPr>
                          <a:picLocks noChangeAspect="1" noChangeArrowheads="1"/>
                        </pic:cNvPicPr>
                      </pic:nvPicPr>
                      <pic:blipFill>
                        <a:blip r:embed="rId2"/>
                        <a:stretch>
                          <a:fillRect/>
                        </a:stretch>
                      </pic:blipFill>
                      <pic:spPr bwMode="auto">
                        <a:xfrm>
                          <a:off x="0" y="0"/>
                          <a:ext cx="6858635" cy="9144635"/>
                        </a:xfrm>
                        <a:prstGeom prst="rect">
                          <a:avLst/>
                        </a:prstGeom>
                      </pic:spPr>
                    </pic:pic>
                  </a:graphicData>
                </a:graphic>
              </wp:anchor>
            </w:drawing>
          </w:r>
        </w:p>
      </w:tc>
      <w:tc>
        <w:tcPr>
          <w:tcW w:w="2556" w:type="dxa"/>
          <w:shd w:val="clear" w:color="auto" w:fill="auto"/>
        </w:tcPr>
        <w:p w:rsidR="00BB0015" w:rsidRDefault="00286BA0">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rsidR="00BB0015" w:rsidRDefault="00286BA0">
          <w:pPr>
            <w:jc w:val="both"/>
            <w:rPr>
              <w:rFonts w:ascii="Palatino Linotype" w:hAnsi="Palatino Linotype"/>
              <w:b/>
              <w:sz w:val="22"/>
              <w:szCs w:val="22"/>
              <w:lang w:val="es-ES_tradnl"/>
            </w:rPr>
          </w:pPr>
          <w:r>
            <w:rPr>
              <w:rFonts w:ascii="Palatino Linotype" w:hAnsi="Palatino Linotype"/>
              <w:b/>
              <w:sz w:val="22"/>
              <w:szCs w:val="22"/>
              <w:lang w:val="es-ES_tradnl"/>
            </w:rPr>
            <w:t>01282/INFOEM/IP/RR/2020</w:t>
          </w:r>
        </w:p>
      </w:tc>
    </w:tr>
    <w:tr w:rsidR="00BB0015">
      <w:tc>
        <w:tcPr>
          <w:tcW w:w="3254" w:type="dxa"/>
          <w:vMerge/>
        </w:tcPr>
        <w:p w:rsidR="00BB0015" w:rsidRDefault="00BB0015">
          <w:pPr>
            <w:rPr>
              <w:rFonts w:ascii="Palatino Linotype" w:hAnsi="Palatino Linotype"/>
              <w:b/>
              <w:sz w:val="22"/>
              <w:szCs w:val="22"/>
              <w:lang w:val="es-ES_tradnl"/>
            </w:rPr>
          </w:pPr>
        </w:p>
      </w:tc>
      <w:tc>
        <w:tcPr>
          <w:tcW w:w="2556" w:type="dxa"/>
          <w:shd w:val="clear" w:color="auto" w:fill="auto"/>
        </w:tcPr>
        <w:p w:rsidR="00BB0015" w:rsidRDefault="00286BA0">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rsidR="00BB0015" w:rsidRDefault="00286BA0">
          <w:pPr>
            <w:jc w:val="both"/>
            <w:rPr>
              <w:rFonts w:ascii="Palatino Linotype" w:hAnsi="Palatino Linotype"/>
              <w:b/>
              <w:sz w:val="22"/>
              <w:szCs w:val="22"/>
            </w:rPr>
          </w:pPr>
          <w:r>
            <w:rPr>
              <w:rFonts w:ascii="Palatino Linotype" w:hAnsi="Palatino Linotype"/>
              <w:b/>
              <w:sz w:val="22"/>
              <w:szCs w:val="22"/>
            </w:rPr>
            <w:t>Ayuntamiento de Atlacomulco</w:t>
          </w:r>
        </w:p>
      </w:tc>
    </w:tr>
    <w:tr w:rsidR="00BB0015">
      <w:trPr>
        <w:trHeight w:val="228"/>
      </w:trPr>
      <w:tc>
        <w:tcPr>
          <w:tcW w:w="3254" w:type="dxa"/>
          <w:vMerge/>
        </w:tcPr>
        <w:p w:rsidR="00BB0015" w:rsidRDefault="00BB0015">
          <w:pPr>
            <w:rPr>
              <w:rFonts w:ascii="Palatino Linotype" w:hAnsi="Palatino Linotype"/>
              <w:b/>
              <w:sz w:val="22"/>
              <w:szCs w:val="22"/>
              <w:lang w:val="es-ES_tradnl"/>
            </w:rPr>
          </w:pPr>
        </w:p>
      </w:tc>
      <w:tc>
        <w:tcPr>
          <w:tcW w:w="2556" w:type="dxa"/>
          <w:shd w:val="clear" w:color="auto" w:fill="auto"/>
        </w:tcPr>
        <w:p w:rsidR="00BB0015" w:rsidRDefault="00286BA0">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rsidR="00BB0015" w:rsidRDefault="00286BA0">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BB0015" w:rsidRDefault="00BB0015">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015" w:rsidRDefault="00286BA0">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52" behindDoc="1" locked="0" layoutInCell="1" allowOverlap="1">
          <wp:simplePos x="0" y="0"/>
          <wp:positionH relativeFrom="column">
            <wp:align>center</wp:align>
          </wp:positionH>
          <wp:positionV relativeFrom="margin">
            <wp:align>center</wp:align>
          </wp:positionV>
          <wp:extent cx="6858635" cy="9144635"/>
          <wp:effectExtent l="0" t="0" r="0" b="0"/>
          <wp:wrapNone/>
          <wp:docPr id="52"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490" w:type="dxa"/>
      <w:tblInd w:w="-1276" w:type="dxa"/>
      <w:tblLook w:val="04A0" w:firstRow="1" w:lastRow="0" w:firstColumn="1" w:lastColumn="0" w:noHBand="0" w:noVBand="1"/>
    </w:tblPr>
    <w:tblGrid>
      <w:gridCol w:w="4250"/>
      <w:gridCol w:w="2548"/>
      <w:gridCol w:w="3692"/>
    </w:tblGrid>
    <w:tr w:rsidR="00BB0015">
      <w:tc>
        <w:tcPr>
          <w:tcW w:w="4250" w:type="dxa"/>
          <w:vMerge w:val="restart"/>
          <w:shd w:val="clear" w:color="auto" w:fill="auto"/>
        </w:tcPr>
        <w:p w:rsidR="00BB0015" w:rsidRDefault="00286BA0">
          <w:pPr>
            <w:rPr>
              <w:rFonts w:ascii="Palatino Linotype" w:hAnsi="Palatino Linotype"/>
              <w:b/>
              <w:sz w:val="22"/>
              <w:szCs w:val="22"/>
              <w:lang w:val="es-ES_tradnl"/>
            </w:rPr>
          </w:pPr>
          <w:r>
            <w:rPr>
              <w:noProof/>
              <w:lang w:eastAsia="es-MX"/>
            </w:rPr>
            <w:drawing>
              <wp:inline distT="0" distB="0" distL="0" distR="0">
                <wp:extent cx="1663700" cy="838200"/>
                <wp:effectExtent l="0" t="0" r="0" b="0"/>
                <wp:docPr id="5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48" w:type="dxa"/>
          <w:shd w:val="clear" w:color="auto" w:fill="auto"/>
        </w:tcPr>
        <w:p w:rsidR="00BB0015" w:rsidRDefault="00286BA0">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92" w:type="dxa"/>
          <w:shd w:val="clear" w:color="auto" w:fill="auto"/>
          <w:vAlign w:val="center"/>
        </w:tcPr>
        <w:p w:rsidR="00BB0015" w:rsidRDefault="00286BA0">
          <w:pPr>
            <w:jc w:val="both"/>
            <w:rPr>
              <w:rFonts w:ascii="Palatino Linotype" w:hAnsi="Palatino Linotype"/>
              <w:b/>
              <w:sz w:val="22"/>
              <w:szCs w:val="22"/>
              <w:lang w:val="es-ES_tradnl"/>
            </w:rPr>
          </w:pPr>
          <w:r>
            <w:rPr>
              <w:rFonts w:ascii="Palatino Linotype" w:hAnsi="Palatino Linotype"/>
              <w:b/>
              <w:bCs/>
              <w:sz w:val="22"/>
              <w:szCs w:val="22"/>
            </w:rPr>
            <w:t>01282/INFOEM/IP/RR/2020</w:t>
          </w:r>
        </w:p>
      </w:tc>
    </w:tr>
    <w:tr w:rsidR="00BB0015">
      <w:tc>
        <w:tcPr>
          <w:tcW w:w="4250" w:type="dxa"/>
          <w:vMerge/>
          <w:shd w:val="clear" w:color="auto" w:fill="auto"/>
        </w:tcPr>
        <w:p w:rsidR="00BB0015" w:rsidRDefault="00BB0015">
          <w:pPr>
            <w:rPr>
              <w:rFonts w:ascii="Palatino Linotype" w:hAnsi="Palatino Linotype"/>
              <w:b/>
              <w:sz w:val="22"/>
              <w:szCs w:val="22"/>
              <w:lang w:val="es-ES_tradnl"/>
            </w:rPr>
          </w:pPr>
        </w:p>
      </w:tc>
      <w:tc>
        <w:tcPr>
          <w:tcW w:w="2548" w:type="dxa"/>
          <w:shd w:val="clear" w:color="auto" w:fill="auto"/>
        </w:tcPr>
        <w:p w:rsidR="00BB0015" w:rsidRDefault="00286BA0">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92" w:type="dxa"/>
          <w:shd w:val="clear" w:color="auto" w:fill="auto"/>
          <w:vAlign w:val="center"/>
        </w:tcPr>
        <w:p w:rsidR="00BB0015" w:rsidRDefault="00BB0015">
          <w:pPr>
            <w:jc w:val="both"/>
            <w:rPr>
              <w:rFonts w:ascii="Palatino Linotype" w:hAnsi="Palatino Linotype"/>
              <w:b/>
              <w:sz w:val="22"/>
              <w:szCs w:val="22"/>
              <w:lang w:val="es-ES_tradnl"/>
            </w:rPr>
          </w:pPr>
        </w:p>
      </w:tc>
    </w:tr>
    <w:tr w:rsidR="00BB0015">
      <w:trPr>
        <w:trHeight w:val="228"/>
      </w:trPr>
      <w:tc>
        <w:tcPr>
          <w:tcW w:w="4250" w:type="dxa"/>
          <w:vMerge/>
          <w:shd w:val="clear" w:color="auto" w:fill="auto"/>
        </w:tcPr>
        <w:p w:rsidR="00BB0015" w:rsidRDefault="00BB0015">
          <w:pPr>
            <w:rPr>
              <w:rFonts w:ascii="Palatino Linotype" w:hAnsi="Palatino Linotype"/>
              <w:b/>
              <w:sz w:val="22"/>
              <w:szCs w:val="22"/>
              <w:lang w:val="es-ES_tradnl"/>
            </w:rPr>
          </w:pPr>
        </w:p>
      </w:tc>
      <w:tc>
        <w:tcPr>
          <w:tcW w:w="2548" w:type="dxa"/>
          <w:shd w:val="clear" w:color="auto" w:fill="auto"/>
        </w:tcPr>
        <w:p w:rsidR="00BB0015" w:rsidRDefault="00286BA0">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92" w:type="dxa"/>
          <w:shd w:val="clear" w:color="auto" w:fill="auto"/>
          <w:vAlign w:val="center"/>
        </w:tcPr>
        <w:p w:rsidR="00BB0015" w:rsidRDefault="00286BA0">
          <w:pPr>
            <w:jc w:val="both"/>
            <w:rPr>
              <w:rFonts w:ascii="Palatino Linotype" w:hAnsi="Palatino Linotype"/>
              <w:b/>
              <w:sz w:val="22"/>
              <w:szCs w:val="22"/>
            </w:rPr>
          </w:pPr>
          <w:r>
            <w:rPr>
              <w:rFonts w:ascii="Palatino Linotype" w:hAnsi="Palatino Linotype"/>
              <w:b/>
              <w:sz w:val="22"/>
              <w:szCs w:val="22"/>
            </w:rPr>
            <w:t>Ayuntamiento de Atlacomulco</w:t>
          </w:r>
        </w:p>
      </w:tc>
    </w:tr>
    <w:tr w:rsidR="00BB0015">
      <w:tc>
        <w:tcPr>
          <w:tcW w:w="4250" w:type="dxa"/>
          <w:vMerge/>
          <w:shd w:val="clear" w:color="auto" w:fill="auto"/>
        </w:tcPr>
        <w:p w:rsidR="00BB0015" w:rsidRDefault="00BB0015">
          <w:pPr>
            <w:rPr>
              <w:rFonts w:ascii="Palatino Linotype" w:hAnsi="Palatino Linotype"/>
              <w:b/>
              <w:sz w:val="22"/>
              <w:szCs w:val="22"/>
              <w:lang w:val="es-ES_tradnl"/>
            </w:rPr>
          </w:pPr>
        </w:p>
      </w:tc>
      <w:tc>
        <w:tcPr>
          <w:tcW w:w="2548" w:type="dxa"/>
          <w:shd w:val="clear" w:color="auto" w:fill="auto"/>
        </w:tcPr>
        <w:p w:rsidR="00BB0015" w:rsidRDefault="00286BA0">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92" w:type="dxa"/>
          <w:shd w:val="clear" w:color="auto" w:fill="auto"/>
        </w:tcPr>
        <w:p w:rsidR="00BB0015" w:rsidRDefault="00286BA0">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BB0015" w:rsidRDefault="00BB0015">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D642D"/>
    <w:multiLevelType w:val="multilevel"/>
    <w:tmpl w:val="E760F78A"/>
    <w:lvl w:ilvl="0">
      <w:start w:val="1"/>
      <w:numFmt w:val="ordinalText"/>
      <w:lvlText w:val="%1"/>
      <w:lvlJc w:val="left"/>
      <w:pPr>
        <w:ind w:left="720" w:hanging="360"/>
      </w:pPr>
      <w:rPr>
        <w:b/>
        <w:bCs/>
        <w:caps/>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EFA5AB5"/>
    <w:multiLevelType w:val="multilevel"/>
    <w:tmpl w:val="2C4E38F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32A0513B"/>
    <w:multiLevelType w:val="multilevel"/>
    <w:tmpl w:val="21088AF2"/>
    <w:lvl w:ilvl="0">
      <w:start w:val="1"/>
      <w:numFmt w:val="upperRoman"/>
      <w:lvlText w:val="%1."/>
      <w:lvlJc w:val="left"/>
      <w:pPr>
        <w:ind w:left="720" w:hanging="360"/>
      </w:pPr>
      <w:rPr>
        <w:b/>
        <w:i w:val="0"/>
        <w:caps/>
        <w:color w:val="auto"/>
        <w:sz w:val="28"/>
      </w:rPr>
    </w:lvl>
    <w:lvl w:ilvl="1">
      <w:start w:val="1"/>
      <w:numFmt w:val="bullet"/>
      <w:lvlText w:val=""/>
      <w:lvlJc w:val="left"/>
      <w:pPr>
        <w:ind w:left="4500" w:hanging="360"/>
      </w:pPr>
      <w:rPr>
        <w:rFonts w:ascii="Symbol" w:hAnsi="Symbol" w:cs="Symbol" w:hint="default"/>
      </w:rPr>
    </w:lvl>
    <w:lvl w:ilvl="2">
      <w:start w:val="1"/>
      <w:numFmt w:val="lowerRoman"/>
      <w:lvlText w:val="%3."/>
      <w:lvlJc w:val="right"/>
      <w:pPr>
        <w:ind w:left="2160" w:hanging="180"/>
      </w:pPr>
    </w:lvl>
    <w:lvl w:ilvl="3">
      <w:start w:val="1"/>
      <w:numFmt w:val="decimal"/>
      <w:lvlText w:val="%4."/>
      <w:lvlJc w:val="left"/>
      <w:pPr>
        <w:ind w:left="3210" w:hanging="690"/>
      </w:pPr>
    </w:lvl>
    <w:lvl w:ilvl="4">
      <w:start w:val="1"/>
      <w:numFmt w:val="lowerLetter"/>
      <w:lvlText w:val="%5)"/>
      <w:lvlJc w:val="left"/>
      <w:pPr>
        <w:ind w:left="3600" w:hanging="360"/>
      </w:pPr>
    </w:lvl>
    <w:lvl w:ilvl="5">
      <w:start w:val="1"/>
      <w:numFmt w:val="bullet"/>
      <w:lvlText w:val=""/>
      <w:lvlJc w:val="left"/>
      <w:pPr>
        <w:ind w:left="4500" w:hanging="360"/>
      </w:pPr>
      <w:rPr>
        <w:rFonts w:ascii="Symbol" w:hAnsi="Symbol" w:cs="Arial" w:hint="default"/>
      </w:rPr>
    </w:lvl>
    <w:lvl w:ilvl="6">
      <w:start w:val="1"/>
      <w:numFmt w:val="upperLetter"/>
      <w:lvlText w:val="%7)"/>
      <w:lvlJc w:val="left"/>
      <w:pPr>
        <w:ind w:left="5085" w:hanging="405"/>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334691C"/>
    <w:multiLevelType w:val="multilevel"/>
    <w:tmpl w:val="28E681E6"/>
    <w:lvl w:ilvl="0">
      <w:start w:val="1"/>
      <w:numFmt w:val="upperRoman"/>
      <w:lvlText w:val="%1."/>
      <w:lvlJc w:val="left"/>
      <w:pPr>
        <w:ind w:left="720" w:hanging="360"/>
      </w:pPr>
      <w:rPr>
        <w:b/>
        <w:i w:val="0"/>
        <w:caps/>
        <w:color w:val="auto"/>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210" w:hanging="690"/>
      </w:pPr>
    </w:lvl>
    <w:lvl w:ilvl="4">
      <w:start w:val="1"/>
      <w:numFmt w:val="lowerLetter"/>
      <w:lvlText w:val="%5)"/>
      <w:lvlJc w:val="left"/>
      <w:pPr>
        <w:ind w:left="3600" w:hanging="360"/>
      </w:pPr>
    </w:lvl>
    <w:lvl w:ilvl="5">
      <w:start w:val="1"/>
      <w:numFmt w:val="bullet"/>
      <w:lvlText w:val=""/>
      <w:lvlJc w:val="left"/>
      <w:pPr>
        <w:ind w:left="4500" w:hanging="360"/>
      </w:pPr>
      <w:rPr>
        <w:rFonts w:ascii="Symbol" w:hAnsi="Symbol" w:cs="Arial" w:hint="default"/>
      </w:rPr>
    </w:lvl>
    <w:lvl w:ilvl="6">
      <w:start w:val="1"/>
      <w:numFmt w:val="upperLetter"/>
      <w:lvlText w:val="%7)"/>
      <w:lvlJc w:val="left"/>
      <w:pPr>
        <w:ind w:left="5085" w:hanging="405"/>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E2D7715"/>
    <w:multiLevelType w:val="multilevel"/>
    <w:tmpl w:val="7E10C74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6F961777"/>
    <w:multiLevelType w:val="multilevel"/>
    <w:tmpl w:val="D4A6A55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0"/>
  </w:num>
  <w:num w:numId="2">
    <w:abstractNumId w:val="3"/>
  </w:num>
  <w:num w:numId="3">
    <w:abstractNumId w:val="5"/>
  </w:num>
  <w:num w:numId="4">
    <w:abstractNumId w:val="1"/>
  </w:num>
  <w:num w:numId="5">
    <w:abstractNumId w:val="2"/>
  </w:num>
  <w:num w:numId="6">
    <w:abstractNumId w:val="4"/>
  </w:num>
  <w:num w:numId="7">
    <w:abstractNumId w:val="3"/>
    <w:lvlOverride w:ilvl="0">
      <w:lvl w:ilvl="0">
        <w:start w:val="1"/>
        <w:numFmt w:val="upperRoman"/>
        <w:lvlText w:val="%1."/>
        <w:lvlJc w:val="left"/>
        <w:pPr>
          <w:ind w:left="720" w:hanging="360"/>
        </w:pPr>
        <w:rPr>
          <w:b/>
          <w:i w:val="0"/>
          <w:caps/>
          <w:color w:val="auto"/>
          <w:sz w:val="28"/>
        </w:rPr>
      </w:lvl>
    </w:lvlOverride>
    <w:lvlOverride w:ilvl="1">
      <w:lvl w:ilvl="1">
        <w:start w:val="1"/>
        <w:numFmt w:val="bullet"/>
        <w:lvlText w:val=""/>
        <w:lvlJc w:val="left"/>
        <w:pPr>
          <w:ind w:left="4500" w:hanging="360"/>
        </w:pPr>
        <w:rPr>
          <w:rFonts w:ascii="Symbol" w:hAnsi="Symbol" w:cs="Symbol" w:hint="default"/>
        </w:rPr>
      </w:lvl>
    </w:lvlOverride>
    <w:lvlOverride w:ilvl="5">
      <w:lvl w:ilvl="5">
        <w:start w:val="1"/>
        <w:numFmt w:val="bullet"/>
        <w:lvlText w:val=""/>
        <w:lvlJc w:val="left"/>
        <w:pPr>
          <w:ind w:left="4500" w:hanging="360"/>
        </w:pPr>
        <w:rPr>
          <w:rFonts w:ascii="Symbol" w:hAnsi="Symbol" w:cs="Aria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015"/>
    <w:rsid w:val="00286BA0"/>
    <w:rsid w:val="006B760E"/>
    <w:rsid w:val="008259E6"/>
    <w:rsid w:val="00B03C4E"/>
    <w:rsid w:val="00BB0015"/>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D4A613-253E-4B6B-9361-CF4531FE4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34"/>
    <w:qFormat/>
    <w:locked/>
    <w:rsid w:val="00A2780F"/>
    <w:rPr>
      <w:rFonts w:ascii="Times New Roman" w:eastAsia="Times New Roman" w:hAnsi="Times New Roman" w:cs="Times New Roman"/>
      <w:lang w:val="es-ES"/>
    </w:rPr>
  </w:style>
  <w:style w:type="character" w:customStyle="1" w:styleId="EnlacedeInternet">
    <w:name w:val="Enlace de Internet"/>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customStyle="1" w:styleId="EnlacedeInternetvisitado">
    <w:name w:val="Enlace de Internet visitado"/>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qFormat/>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qFormat/>
    <w:locked/>
    <w:rsid w:val="00B93B76"/>
    <w:rPr>
      <w:rFonts w:ascii="Times New Roman" w:eastAsia="Times New Roman" w:hAnsi="Times New Roman" w:cs="Times New Roman"/>
      <w:szCs w:val="20"/>
      <w:lang w:val="en-US" w:eastAsia="en-US"/>
    </w:rPr>
  </w:style>
  <w:style w:type="character" w:customStyle="1" w:styleId="Caracteresdenotaalpie">
    <w:name w:val="Caracteres de nota al pie"/>
    <w:qFormat/>
  </w:style>
  <w:style w:type="character" w:customStyle="1" w:styleId="Ancladenotaalpie">
    <w:name w:val="Ancla de nota al pie"/>
    <w:rPr>
      <w:vertAlign w:val="superscript"/>
    </w:rPr>
  </w:style>
  <w:style w:type="character" w:customStyle="1" w:styleId="Ancladenotafinal">
    <w:name w:val="Ancla de nota final"/>
    <w:rPr>
      <w:vertAlign w:val="superscript"/>
    </w:rPr>
  </w:style>
  <w:style w:type="character" w:customStyle="1" w:styleId="Caracteresdenotafinal">
    <w:name w:val="Caracteres de nota final"/>
    <w:qFormat/>
  </w:style>
  <w:style w:type="character" w:customStyle="1" w:styleId="Smbolosdenumeracin">
    <w:name w:val="Símbolos de numeración"/>
    <w:qFormat/>
    <w:rPr>
      <w:b/>
      <w:bCs/>
      <w:sz w:val="28"/>
      <w:szCs w:val="28"/>
    </w:rPr>
  </w:style>
  <w:style w:type="paragraph" w:customStyle="1" w:styleId="Ttulo">
    <w:name w:val="Título"/>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ndice">
    <w:name w:val="Índice"/>
    <w:basedOn w:val="Normal"/>
    <w:qFormat/>
    <w:pPr>
      <w:suppressLineNumbers/>
    </w:pPr>
    <w:rPr>
      <w:rFonts w:cs="Lohit Devanagari"/>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B93B76"/>
    <w:pPr>
      <w:spacing w:after="240"/>
    </w:pPr>
    <w:rPr>
      <w:szCs w:val="20"/>
      <w:lang w:val="en-US" w:eastAsia="en-US"/>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55C12"/>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177F5F"/>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infoem.org.mx/es/node/806/" TargetMode="External"/><Relationship Id="rId26" Type="http://schemas.openxmlformats.org/officeDocument/2006/relationships/image" Target="media/image5.png"/><Relationship Id="rId39" Type="http://schemas.openxmlformats.org/officeDocument/2006/relationships/header" Target="header1.xml"/><Relationship Id="rId21" Type="http://schemas.openxmlformats.org/officeDocument/2006/relationships/hyperlink" Target="http://www.ipomex.org.mx/ipo/portal/atlacomulco/solicitudes2.web" TargetMode="External"/><Relationship Id="rId34" Type="http://schemas.openxmlformats.org/officeDocument/2006/relationships/image" Target="media/image11.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consultas.ifai.org.mx/descargar.php?r=./pdf/resoluciones/2017/&amp;a=RRA%2022.pdf" TargetMode="External"/><Relationship Id="rId20" Type="http://schemas.openxmlformats.org/officeDocument/2006/relationships/hyperlink" Target="http://www.ipomex.org.mx/ipo/portal/atlacomulco/solicitudes.web" TargetMode="External"/><Relationship Id="rId29" Type="http://schemas.openxmlformats.org/officeDocument/2006/relationships/hyperlink" Target="http://www.ipomex.org.mx/ipo3/lgt/indice/ATLACOMULCO/art_92_xvii.web"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pomex.org.mx/ipo3/lgt/indice/ATLACOMULCO/art_92_xvii.web" TargetMode="External"/><Relationship Id="rId24"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javascript:abrirAcuse('315665');" TargetMode="External"/><Relationship Id="rId23" Type="http://schemas.openxmlformats.org/officeDocument/2006/relationships/hyperlink" Target="http://www.infoem.org.mx/es/node/806/" TargetMode="External"/><Relationship Id="rId28" Type="http://schemas.openxmlformats.org/officeDocument/2006/relationships/image" Target="media/image6.png"/><Relationship Id="rId36" Type="http://schemas.openxmlformats.org/officeDocument/2006/relationships/image" Target="media/image13.png"/><Relationship Id="rId10" Type="http://schemas.openxmlformats.org/officeDocument/2006/relationships/hyperlink" Target="http://www.ipomex.org.mx/ipo/portal/atlacomulco/solicitudes2.web" TargetMode="External"/><Relationship Id="rId19" Type="http://schemas.openxmlformats.org/officeDocument/2006/relationships/hyperlink" Target="http://www.infoem.org.mx/es/node/806/" TargetMode="External"/><Relationship Id="rId31" Type="http://schemas.openxmlformats.org/officeDocument/2006/relationships/image" Target="media/image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pomex.org.mx/ipo/portal/atlacomulco/solicitudes.web" TargetMode="External"/><Relationship Id="rId14" Type="http://schemas.openxmlformats.org/officeDocument/2006/relationships/image" Target="media/image3.png"/><Relationship Id="rId22" Type="http://schemas.openxmlformats.org/officeDocument/2006/relationships/hyperlink" Target="http://www.ipomex.org.mx/ipo3/lgt/indice/ATLACOMULCO/art_92_xvii.web" TargetMode="External"/><Relationship Id="rId27" Type="http://schemas.openxmlformats.org/officeDocument/2006/relationships/hyperlink" Target="http://www.ipomex.org.mx/ipo/portal/atlacomulco/solicitudes2.web"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fontTable" Target="fontTable.xml"/><Relationship Id="rId8" Type="http://schemas.openxmlformats.org/officeDocument/2006/relationships/hyperlink" Target="http://www.infoem.org.mx/es/node/806/"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consultas.ifai.org.mx/descargar.php?r=./pdf/resoluciones/2017/&amp;a=RRA%202536.pdf" TargetMode="External"/><Relationship Id="rId25" Type="http://schemas.openxmlformats.org/officeDocument/2006/relationships/hyperlink" Target="http://www.ipomex.org.mx/ipo/portal/atlacomulco/solicitudes.web" TargetMode="External"/><Relationship Id="rId33" Type="http://schemas.openxmlformats.org/officeDocument/2006/relationships/image" Target="media/image10.png"/><Relationship Id="rId38"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6C02A-6837-49A7-B696-72C864589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11587</Words>
  <Characters>63730</Characters>
  <Application>Microsoft Office Word</Application>
  <DocSecurity>0</DocSecurity>
  <Lines>531</Lines>
  <Paragraphs>150</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75167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LUISITO</cp:lastModifiedBy>
  <cp:revision>2</cp:revision>
  <cp:lastPrinted>2020-01-22T19:55:00Z</cp:lastPrinted>
  <dcterms:created xsi:type="dcterms:W3CDTF">2020-08-26T22:20:00Z</dcterms:created>
  <dcterms:modified xsi:type="dcterms:W3CDTF">2020-08-26T22:20:00Z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