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diecinueve de agosto de dos mil veinte.</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olor w:val="000000" w:themeColor="text1"/>
        </w:rPr>
        <w:t xml:space="preserve">VISTOS los expedientes formados con motivo de los recursos de revisión </w:t>
      </w:r>
      <w:r>
        <w:rPr>
          <w:rFonts w:ascii="Palatino Linotype" w:hAnsi="Palatino Linotype"/>
          <w:b/>
          <w:color w:val="000000" w:themeColor="text1"/>
        </w:rPr>
        <w:t xml:space="preserve">01332/INFOEM/IP/RR/2020 </w:t>
      </w:r>
      <w:r>
        <w:rPr>
          <w:rFonts w:ascii="Palatino Linotype" w:hAnsi="Palatino Linotype"/>
          <w:color w:val="000000" w:themeColor="text1"/>
        </w:rPr>
        <w:t>y</w:t>
      </w:r>
      <w:r>
        <w:rPr>
          <w:rFonts w:ascii="Palatino Linotype" w:hAnsi="Palatino Linotype"/>
          <w:b/>
          <w:color w:val="000000" w:themeColor="text1"/>
        </w:rPr>
        <w:t xml:space="preserve"> 01333/INFOEM/IP/RR/2020 acumulados,</w:t>
      </w:r>
      <w:r>
        <w:rPr>
          <w:rFonts w:ascii="Palatino Linotype" w:hAnsi="Palatino Linotype"/>
          <w:color w:val="000000" w:themeColor="text1"/>
        </w:rPr>
        <w:t xml:space="preserve"> promovidos por una persona de manera anónima, </w:t>
      </w:r>
      <w:r>
        <w:rPr>
          <w:rFonts w:ascii="Palatino Linotype" w:hAnsi="Palatino Linotype" w:cs="Arial"/>
          <w:color w:val="000000" w:themeColor="text1"/>
        </w:rPr>
        <w:t>en lo sucesivo</w:t>
      </w:r>
      <w:r>
        <w:rPr>
          <w:rFonts w:ascii="Palatino Linotype" w:hAnsi="Palatino Linotype" w:cs="Arial"/>
          <w:b/>
          <w:color w:val="000000" w:themeColor="text1"/>
        </w:rPr>
        <w:t xml:space="preserve"> EL RECURRENTE,</w:t>
      </w:r>
      <w:r>
        <w:rPr>
          <w:rFonts w:ascii="Palatino Linotype" w:hAnsi="Palatino Linotype"/>
          <w:color w:val="000000" w:themeColor="text1"/>
        </w:rPr>
        <w:t xml:space="preserve"> </w:t>
      </w:r>
      <w:r>
        <w:rPr>
          <w:rFonts w:ascii="Palatino Linotype" w:hAnsi="Palatino Linotype" w:cs="Arial"/>
          <w:color w:val="000000" w:themeColor="text1"/>
        </w:rPr>
        <w:t xml:space="preserve">en contra de las respuestas del </w:t>
      </w:r>
      <w:r>
        <w:rPr>
          <w:rFonts w:ascii="Palatino Linotype" w:hAnsi="Palatino Linotype" w:cs="Arial"/>
          <w:b/>
          <w:color w:val="000000" w:themeColor="text1"/>
        </w:rPr>
        <w:t>Ayuntamiento de</w:t>
      </w:r>
      <w:r>
        <w:rPr>
          <w:rFonts w:ascii="Palatino Linotype" w:hAnsi="Palatino Linotype" w:cs="Arial"/>
          <w:b/>
          <w:color w:val="000000" w:themeColor="text1"/>
        </w:rPr>
        <w:t xml:space="preserve"> Metepec, </w:t>
      </w:r>
      <w:r>
        <w:rPr>
          <w:rFonts w:ascii="Palatino Linotype" w:hAnsi="Palatino Linotype" w:cs="Arial"/>
          <w:color w:val="000000" w:themeColor="text1"/>
        </w:rPr>
        <w:t xml:space="preserve">en lo sucesivo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se procede a dictar la presente resolución con base en lo siguiente:</w:t>
      </w:r>
    </w:p>
    <w:p w:rsidR="008A2DFA" w:rsidRDefault="008A2DFA">
      <w:pPr>
        <w:jc w:val="center"/>
        <w:rPr>
          <w:rFonts w:ascii="Palatino Linotype" w:hAnsi="Palatino Linotype" w:cs="Arial"/>
          <w:b/>
          <w:bCs/>
          <w:color w:val="000000" w:themeColor="text1"/>
          <w:spacing w:val="60"/>
          <w:lang w:val="es-ES_tradnl"/>
        </w:rPr>
      </w:pPr>
    </w:p>
    <w:p w:rsidR="008A2DFA" w:rsidRDefault="00D60B2C">
      <w:pPr>
        <w:jc w:val="center"/>
        <w:rPr>
          <w:rFonts w:ascii="Palatino Linotype" w:hAnsi="Palatino Linotype" w:cs="Arial"/>
          <w:b/>
          <w:bCs/>
          <w:color w:val="000000" w:themeColor="text1"/>
          <w:spacing w:val="60"/>
          <w:sz w:val="28"/>
          <w:lang w:val="es-ES_tradnl"/>
        </w:rPr>
      </w:pPr>
      <w:r>
        <w:rPr>
          <w:rFonts w:ascii="Palatino Linotype" w:hAnsi="Palatino Linotype" w:cs="Arial"/>
          <w:b/>
          <w:bCs/>
          <w:color w:val="000000" w:themeColor="text1"/>
          <w:spacing w:val="60"/>
          <w:sz w:val="28"/>
          <w:lang w:val="es-ES_tradnl"/>
        </w:rPr>
        <w:t>RESULTANDO</w:t>
      </w:r>
    </w:p>
    <w:p w:rsidR="008A2DFA" w:rsidRDefault="008A2DFA">
      <w:pPr>
        <w:jc w:val="center"/>
        <w:rPr>
          <w:rFonts w:ascii="Palatino Linotype" w:hAnsi="Palatino Linotype" w:cs="Arial"/>
          <w:b/>
          <w:bCs/>
          <w:color w:val="000000" w:themeColor="text1"/>
          <w:spacing w:val="60"/>
          <w:lang w:val="es-ES_tradnl"/>
        </w:rPr>
      </w:pPr>
    </w:p>
    <w:p w:rsidR="008A2DFA" w:rsidRDefault="00D60B2C">
      <w:pPr>
        <w:spacing w:line="360" w:lineRule="auto"/>
        <w:jc w:val="both"/>
        <w:rPr>
          <w:rFonts w:ascii="Palatino Linotype" w:hAnsi="Palatino Linotype" w:cs="Arial"/>
          <w:b/>
          <w:color w:val="000000" w:themeColor="text1"/>
        </w:rPr>
      </w:pPr>
      <w:r>
        <w:rPr>
          <w:rFonts w:ascii="Palatino Linotype" w:hAnsi="Palatino Linotype" w:cs="Arial"/>
          <w:b/>
          <w:color w:val="000000" w:themeColor="text1"/>
          <w:sz w:val="28"/>
          <w:szCs w:val="28"/>
        </w:rPr>
        <w:t>I.</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En fecha veintiocho de enero y cuatro de febrero de dos mil veinte, </w:t>
      </w:r>
      <w:r>
        <w:rPr>
          <w:rFonts w:ascii="Palatino Linotype" w:hAnsi="Palatino Linotype" w:cs="Arial"/>
          <w:b/>
          <w:color w:val="000000" w:themeColor="text1"/>
        </w:rPr>
        <w:t>EL RECURRENTE</w:t>
      </w:r>
      <w:r>
        <w:rPr>
          <w:rFonts w:ascii="Palatino Linotype" w:hAnsi="Palatino Linotype" w:cs="Arial"/>
          <w:color w:val="000000" w:themeColor="text1"/>
        </w:rPr>
        <w:t xml:space="preserve"> presentó a través del Sistema de Acceso a la</w:t>
      </w:r>
      <w:r>
        <w:rPr>
          <w:rFonts w:ascii="Palatino Linotype" w:hAnsi="Palatino Linotype" w:cs="Arial"/>
          <w:color w:val="000000" w:themeColor="text1"/>
        </w:rPr>
        <w:t xml:space="preserve"> Información Mexiquense, en lo subsecuente </w:t>
      </w:r>
      <w:r>
        <w:rPr>
          <w:rFonts w:ascii="Palatino Linotype" w:hAnsi="Palatino Linotype" w:cs="Arial"/>
          <w:b/>
          <w:color w:val="000000" w:themeColor="text1"/>
        </w:rPr>
        <w:t>EL SAIMEX</w:t>
      </w:r>
      <w:r>
        <w:rPr>
          <w:rFonts w:ascii="Palatino Linotype" w:hAnsi="Palatino Linotype" w:cs="Arial"/>
          <w:color w:val="000000" w:themeColor="text1"/>
        </w:rPr>
        <w:t xml:space="preserve"> ante </w:t>
      </w:r>
      <w:r>
        <w:rPr>
          <w:rFonts w:ascii="Palatino Linotype" w:hAnsi="Palatino Linotype" w:cs="Arial"/>
          <w:b/>
          <w:color w:val="000000" w:themeColor="text1"/>
        </w:rPr>
        <w:t>EL SUJETO OBLIGADO</w:t>
      </w:r>
      <w:r>
        <w:rPr>
          <w:rFonts w:ascii="Palatino Linotype" w:hAnsi="Palatino Linotype" w:cs="Arial"/>
          <w:color w:val="000000" w:themeColor="text1"/>
        </w:rPr>
        <w:t xml:space="preserve">, </w:t>
      </w:r>
      <w:r>
        <w:rPr>
          <w:rFonts w:ascii="Palatino Linotype" w:hAnsi="Palatino Linotype"/>
          <w:color w:val="000000" w:themeColor="text1"/>
        </w:rPr>
        <w:t xml:space="preserve">las solicitudes de acceso a información pública, a las que se les asignó los números </w:t>
      </w:r>
      <w:r>
        <w:rPr>
          <w:rFonts w:ascii="Palatino Linotype" w:hAnsi="Palatino Linotype"/>
          <w:b/>
          <w:color w:val="000000" w:themeColor="text1"/>
        </w:rPr>
        <w:t>00039/METEPEC/IP/2020</w:t>
      </w:r>
      <w:r>
        <w:rPr>
          <w:rFonts w:ascii="Palatino Linotype" w:hAnsi="Palatino Linotype"/>
          <w:color w:val="000000" w:themeColor="text1"/>
        </w:rPr>
        <w:t xml:space="preserve"> y </w:t>
      </w:r>
      <w:r>
        <w:rPr>
          <w:rFonts w:ascii="Palatino Linotype" w:hAnsi="Palatino Linotype"/>
          <w:b/>
          <w:color w:val="000000" w:themeColor="text1"/>
        </w:rPr>
        <w:t>00048/METEPEC/IP/2020</w:t>
      </w:r>
      <w:r>
        <w:rPr>
          <w:rFonts w:ascii="Palatino Linotype" w:hAnsi="Palatino Linotype"/>
          <w:color w:val="000000" w:themeColor="text1"/>
        </w:rPr>
        <w:t xml:space="preserve">, mediante las cuales solicitó lo </w:t>
      </w:r>
      <w:r>
        <w:rPr>
          <w:rFonts w:ascii="Palatino Linotype" w:hAnsi="Palatino Linotype" w:cs="Arial"/>
          <w:color w:val="000000" w:themeColor="text1"/>
        </w:rPr>
        <w:t>siguiente</w:t>
      </w:r>
      <w:r>
        <w:rPr>
          <w:rFonts w:ascii="Palatino Linotype" w:hAnsi="Palatino Linotype"/>
          <w:color w:val="000000" w:themeColor="text1"/>
        </w:rPr>
        <w:t>:</w:t>
      </w:r>
    </w:p>
    <w:p w:rsidR="008A2DFA" w:rsidRDefault="008A2DFA">
      <w:pPr>
        <w:jc w:val="both"/>
        <w:rPr>
          <w:rFonts w:ascii="Palatino Linotype" w:hAnsi="Palatino Linotype"/>
          <w:b/>
          <w:color w:val="000000" w:themeColor="text1"/>
        </w:rPr>
      </w:pPr>
    </w:p>
    <w:p w:rsidR="008A2DFA" w:rsidRDefault="00D60B2C">
      <w:pPr>
        <w:jc w:val="both"/>
        <w:rPr>
          <w:rFonts w:ascii="Palatino Linotype" w:hAnsi="Palatino Linotype"/>
          <w:color w:val="000000" w:themeColor="text1"/>
          <w:sz w:val="14"/>
          <w:szCs w:val="14"/>
        </w:rPr>
      </w:pPr>
      <w:r>
        <w:rPr>
          <w:rFonts w:ascii="Palatino Linotype" w:hAnsi="Palatino Linotype"/>
          <w:b/>
          <w:color w:val="000000" w:themeColor="text1"/>
        </w:rPr>
        <w:t>00039/METEPEC/IP/2020</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“Nombre completo de cada uno de los servidores publicos, que participan en la elaboracion, revision y autorizacion de las liquidaciones para el pago del impuesto predial. Indicando el cargo y percepcion salarial, copia de su gafete y</w:t>
      </w:r>
      <w:r>
        <w:rPr>
          <w:rFonts w:ascii="Palatino Linotype" w:hAnsi="Palatino Linotype" w:cs="Arial"/>
          <w:i/>
          <w:color w:val="000000" w:themeColor="text1"/>
          <w:sz w:val="22"/>
          <w:szCs w:val="22"/>
        </w:rPr>
        <w:t xml:space="preserve"> de su nombramiento oficial. Identificando que funciones hace cada uno en materia de elaboracion, revision y autorizacion. Asi mismo se me proporcione copia de los procedimientos que se utilizan para el calculo, cuantificacion y cobro del impuesto predial,</w:t>
      </w:r>
      <w:r>
        <w:rPr>
          <w:rFonts w:ascii="Palatino Linotype" w:hAnsi="Palatino Linotype" w:cs="Arial"/>
          <w:i/>
          <w:color w:val="000000" w:themeColor="text1"/>
          <w:sz w:val="22"/>
          <w:szCs w:val="22"/>
        </w:rPr>
        <w:t xml:space="preserve"> dentro del manual de organizacion, reglamento interno y manual de procedimientos administrativos.” (sic) </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jc w:val="both"/>
        <w:rPr>
          <w:rFonts w:ascii="Palatino Linotype" w:hAnsi="Palatino Linotype" w:cs="Arial"/>
          <w:i/>
          <w:color w:val="000000" w:themeColor="text1"/>
          <w:sz w:val="22"/>
          <w:szCs w:val="22"/>
        </w:rPr>
      </w:pPr>
      <w:r>
        <w:rPr>
          <w:rFonts w:ascii="Palatino Linotype" w:hAnsi="Palatino Linotype"/>
          <w:b/>
          <w:color w:val="000000" w:themeColor="text1"/>
        </w:rPr>
        <w:t>00048/METEPEC/IP/2020</w:t>
      </w: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“Nombre completo de cada uno de los servidores publicos, que participan en la elaboracion, revision y autorizacion de la atipo</w:t>
      </w:r>
      <w:r>
        <w:rPr>
          <w:rFonts w:ascii="Palatino Linotype" w:hAnsi="Palatino Linotype" w:cs="Arial"/>
          <w:i/>
          <w:color w:val="000000" w:themeColor="text1"/>
          <w:sz w:val="22"/>
          <w:szCs w:val="22"/>
        </w:rPr>
        <w:t>logias, asignacion de claves catastrales, para el pago del impuesto predial. Indicando el cargo y percepcion salarial, copia de su gafete y de su nombramiento oficial. Identificando que funciones hace cada uno en materia de elaboracion, revision y autoriza</w:t>
      </w:r>
      <w:r>
        <w:rPr>
          <w:rFonts w:ascii="Palatino Linotype" w:hAnsi="Palatino Linotype" w:cs="Arial"/>
          <w:i/>
          <w:color w:val="000000" w:themeColor="text1"/>
          <w:sz w:val="22"/>
          <w:szCs w:val="22"/>
        </w:rPr>
        <w:t>cion. Asi mismo se me proporcione copia de los procedimientos que se utilizan para el calculo, cuantificacion y cobro del impuesto predial, dentro del manual de organizacion, reglamento interno y manual de procedimientos administrativos.” (sic)</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b/>
          <w:color w:val="000000" w:themeColor="text1"/>
        </w:rPr>
        <w:t xml:space="preserve">MODALIDAD </w:t>
      </w:r>
      <w:r>
        <w:rPr>
          <w:rFonts w:ascii="Palatino Linotype" w:hAnsi="Palatino Linotype" w:cs="Arial"/>
          <w:b/>
          <w:color w:val="000000" w:themeColor="text1"/>
        </w:rPr>
        <w:t>DE ENTREGA:</w:t>
      </w:r>
      <w:r>
        <w:rPr>
          <w:rFonts w:ascii="Palatino Linotype" w:hAnsi="Palatino Linotype" w:cs="Arial"/>
          <w:color w:val="000000" w:themeColor="text1"/>
        </w:rPr>
        <w:t xml:space="preserve"> Vía </w:t>
      </w:r>
      <w:r>
        <w:rPr>
          <w:rFonts w:ascii="Palatino Linotype" w:hAnsi="Palatino Linotype" w:cs="Arial"/>
          <w:b/>
          <w:color w:val="000000" w:themeColor="text1"/>
        </w:rPr>
        <w:t>SAIMEX</w:t>
      </w:r>
      <w:r>
        <w:rPr>
          <w:rFonts w:ascii="Palatino Linotype" w:hAnsi="Palatino Linotype" w:cs="Arial"/>
          <w:color w:val="000000" w:themeColor="text1"/>
        </w:rPr>
        <w:t>.</w:t>
      </w:r>
    </w:p>
    <w:p w:rsidR="008A2DFA" w:rsidRDefault="008A2DFA">
      <w:pPr>
        <w:tabs>
          <w:tab w:val="left" w:pos="8222"/>
        </w:tabs>
        <w:spacing w:line="360" w:lineRule="auto"/>
        <w:ind w:right="1134"/>
        <w:jc w:val="both"/>
        <w:rPr>
          <w:rFonts w:ascii="Palatino Linotype" w:hAnsi="Palatino Linotype"/>
          <w:b/>
          <w:color w:val="000000" w:themeColor="text1"/>
        </w:rPr>
      </w:pPr>
    </w:p>
    <w:p w:rsidR="008A2DFA" w:rsidRDefault="008F4D0B">
      <w:pPr>
        <w:spacing w:line="360" w:lineRule="auto"/>
        <w:jc w:val="both"/>
        <w:rPr>
          <w:rFonts w:ascii="Palatino Linotype" w:hAnsi="Palatino Linotype" w:cs="Arial"/>
          <w:color w:val="000000" w:themeColor="text1"/>
        </w:rPr>
      </w:pPr>
      <w:r>
        <w:rPr>
          <w:rFonts w:ascii="Palatino Linotype" w:hAnsi="Palatino Linotype"/>
          <w:b/>
          <w:noProof/>
          <w:color w:val="000000" w:themeColor="text1"/>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2134869</wp:posOffset>
                </wp:positionV>
                <wp:extent cx="5905500" cy="24098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905500" cy="2409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75A9D4"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68.1pt" to="463.2pt,3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" strokecolor="#4f81bd [3204]" strokeweight="2pt">
                <v:shadow on="t" color="black" opacity="24903f" origin=",.5" offset="0,.55556mm"/>
              </v:line>
            </w:pict>
          </mc:Fallback>
        </mc:AlternateContent>
      </w:r>
      <w:r w:rsidR="00D60B2C">
        <w:rPr>
          <w:rFonts w:ascii="Palatino Linotype" w:hAnsi="Palatino Linotype"/>
          <w:b/>
          <w:color w:val="000000" w:themeColor="text1"/>
          <w:sz w:val="28"/>
          <w:szCs w:val="28"/>
        </w:rPr>
        <w:t xml:space="preserve">II. </w:t>
      </w:r>
      <w:r w:rsidR="00D60B2C">
        <w:rPr>
          <w:rFonts w:ascii="Palatino Linotype" w:hAnsi="Palatino Linotype" w:cs="Arial"/>
          <w:color w:val="000000" w:themeColor="text1"/>
        </w:rPr>
        <w:t>En cumplimiento al artículo 162 de la Ley de Transparencia y Acceso a la Información Pública del Estado de México y Municipios, el diecinueve y veinticinco de febrero de dos mil veinte,  el Titular de la Unidad de Transparencia</w:t>
      </w:r>
      <w:r w:rsidR="00D60B2C">
        <w:rPr>
          <w:rFonts w:ascii="Palatino Linotype" w:hAnsi="Palatino Linotype" w:cs="Arial"/>
          <w:color w:val="000000" w:themeColor="text1"/>
        </w:rPr>
        <w:t xml:space="preserve"> del </w:t>
      </w:r>
      <w:r w:rsidR="00D60B2C">
        <w:rPr>
          <w:rFonts w:ascii="Palatino Linotype" w:hAnsi="Palatino Linotype" w:cs="Arial"/>
          <w:b/>
          <w:color w:val="000000" w:themeColor="text1"/>
        </w:rPr>
        <w:t>SUJETO OBLIGADO</w:t>
      </w:r>
      <w:r w:rsidR="00D60B2C">
        <w:rPr>
          <w:rFonts w:ascii="Palatino Linotype" w:hAnsi="Palatino Linotype" w:cs="Arial"/>
          <w:color w:val="000000" w:themeColor="text1"/>
        </w:rPr>
        <w:t xml:space="preserve">, </w:t>
      </w:r>
      <w:r w:rsidR="00D60B2C">
        <w:rPr>
          <w:rFonts w:ascii="Palatino Linotype" w:hAnsi="Palatino Linotype"/>
          <w:bCs/>
          <w:color w:val="000000" w:themeColor="text1"/>
        </w:rPr>
        <w:t xml:space="preserve">turnó el requerimiento de información a la Servidor Público Habilitada de la Dirección de Administración, y al Servidor público habilitado de la Subdirección de Egresos, </w:t>
      </w:r>
      <w:r w:rsidR="00D60B2C">
        <w:rPr>
          <w:rFonts w:ascii="Palatino Linotype" w:hAnsi="Palatino Linotype" w:cs="Arial"/>
          <w:color w:val="000000" w:themeColor="text1"/>
        </w:rPr>
        <w:t>a efecto de que realizaran la búsqueda y localización de la info</w:t>
      </w:r>
      <w:r w:rsidR="00D60B2C">
        <w:rPr>
          <w:rFonts w:ascii="Palatino Linotype" w:hAnsi="Palatino Linotype" w:cs="Arial"/>
          <w:color w:val="000000" w:themeColor="text1"/>
        </w:rPr>
        <w:t xml:space="preserve">rmación tal como se desprende a continuación: </w:t>
      </w:r>
    </w:p>
    <w:p w:rsidR="008A2DFA" w:rsidRDefault="00D60B2C">
      <w:pPr>
        <w:spacing w:line="360" w:lineRule="auto"/>
        <w:jc w:val="both"/>
        <w:rPr>
          <w:rFonts w:ascii="Palatino Linotype" w:hAnsi="Palatino Linotype" w:cs="Arial"/>
          <w:color w:val="000000" w:themeColor="text1"/>
        </w:rPr>
      </w:pPr>
      <w:r>
        <w:rPr>
          <w:noProof/>
          <w:lang w:eastAsia="es-MX"/>
        </w:rPr>
        <w:lastRenderedPageBreak/>
        <mc:AlternateContent>
          <mc:Choice Requires="wps">
            <w:drawing>
              <wp:anchor distT="0" distB="0" distL="0" distR="0" simplePos="0" relativeHeight="69" behindDoc="0" locked="0" layoutInCell="1" allowOverlap="1" wp14:anchorId="3B651803">
                <wp:simplePos x="0" y="0"/>
                <wp:positionH relativeFrom="margin">
                  <wp:posOffset>36830</wp:posOffset>
                </wp:positionH>
                <wp:positionV relativeFrom="paragraph">
                  <wp:posOffset>273685</wp:posOffset>
                </wp:positionV>
                <wp:extent cx="5723890" cy="591820"/>
                <wp:effectExtent l="76200" t="38100" r="68580" b="95250"/>
                <wp:wrapNone/>
                <wp:docPr id="1" name="Rectángulo redondeado 18"/>
                <wp:cNvGraphicFramePr/>
                <a:graphic xmlns:a="http://schemas.openxmlformats.org/drawingml/2006/main">
                  <a:graphicData uri="http://schemas.microsoft.com/office/word/2010/wordprocessingShape">
                    <wps:wsp>
                      <wps:cNvSpPr/>
                      <wps:spPr>
                        <a:xfrm>
                          <a:off x="0" y="0"/>
                          <a:ext cx="5723280" cy="591120"/>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mc:Fallback>
        </mc:AlternateContent>
      </w:r>
      <w:r>
        <w:rPr>
          <w:noProof/>
          <w:lang w:eastAsia="es-MX"/>
        </w:rPr>
        <mc:AlternateContent>
          <mc:Choice Requires="wps">
            <w:drawing>
              <wp:anchor distT="0" distB="0" distL="0" distR="0" simplePos="0" relativeHeight="70" behindDoc="0" locked="0" layoutInCell="1" allowOverlap="1" wp14:anchorId="1A409A1D">
                <wp:simplePos x="0" y="0"/>
                <wp:positionH relativeFrom="margin">
                  <wp:posOffset>78740</wp:posOffset>
                </wp:positionH>
                <wp:positionV relativeFrom="paragraph">
                  <wp:posOffset>1914525</wp:posOffset>
                </wp:positionV>
                <wp:extent cx="5693410" cy="591820"/>
                <wp:effectExtent l="76200" t="38100" r="80010" b="95250"/>
                <wp:wrapNone/>
                <wp:docPr id="2" name="Rectángulo redondeado 10"/>
                <wp:cNvGraphicFramePr/>
                <a:graphic xmlns:a="http://schemas.openxmlformats.org/drawingml/2006/main">
                  <a:graphicData uri="http://schemas.microsoft.com/office/word/2010/wordprocessingShape">
                    <wps:wsp>
                      <wps:cNvSpPr/>
                      <wps:spPr>
                        <a:xfrm>
                          <a:off x="0" y="0"/>
                          <a:ext cx="5692680" cy="591120"/>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mc:Fallback>
        </mc:AlternateContent>
      </w:r>
      <w:r>
        <w:rPr>
          <w:noProof/>
          <w:lang w:eastAsia="es-MX"/>
        </w:rPr>
        <mc:AlternateContent>
          <mc:Choice Requires="wps">
            <w:drawing>
              <wp:anchor distT="0" distB="0" distL="0" distR="0" simplePos="0" relativeHeight="74" behindDoc="0" locked="0" layoutInCell="1" allowOverlap="1">
                <wp:simplePos x="0" y="0"/>
                <wp:positionH relativeFrom="margin">
                  <wp:posOffset>65405</wp:posOffset>
                </wp:positionH>
                <wp:positionV relativeFrom="paragraph">
                  <wp:posOffset>302260</wp:posOffset>
                </wp:positionV>
                <wp:extent cx="5666105" cy="534035"/>
                <wp:effectExtent l="0" t="0" r="0" b="0"/>
                <wp:wrapNone/>
                <wp:docPr id="3" name="Marco1"/>
                <wp:cNvGraphicFramePr/>
                <a:graphic xmlns:a="http://schemas.openxmlformats.org/drawingml/2006/main">
                  <a:graphicData uri="http://schemas.microsoft.com/office/word/2010/wordprocessingShape">
                    <wps:wsp>
                      <wps:cNvSpPr/>
                      <wps:spPr>
                        <a:xfrm>
                          <a:off x="0" y="0"/>
                          <a:ext cx="5665320" cy="533520"/>
                        </a:xfrm>
                        <a:prstGeom prst="rect">
                          <a:avLst/>
                        </a:prstGeom>
                        <a:noFill/>
                        <a:ln>
                          <a:noFill/>
                        </a:ln>
                      </wps:spPr>
                      <wps:style>
                        <a:lnRef idx="0">
                          <a:scrgbClr r="0" g="0" b="0"/>
                        </a:lnRef>
                        <a:fillRef idx="0">
                          <a:scrgbClr r="0" g="0" b="0"/>
                        </a:fillRef>
                        <a:effectRef idx="0">
                          <a:scrgbClr r="0" g="0" b="0"/>
                        </a:effectRef>
                        <a:fontRef idx="minor"/>
                      </wps:style>
                      <wps:txbx>
                        <w:txbxContent>
                          <w:p w:rsidR="008A2DFA" w:rsidRDefault="008A2DFA">
                            <w:pPr>
                              <w:pStyle w:val="Contenidodelmarco"/>
                              <w:jc w:val="center"/>
                              <w:rPr>
                                <w:color w:val="FFFFFF"/>
                              </w:rPr>
                            </w:pPr>
                          </w:p>
                        </w:txbxContent>
                      </wps:txbx>
                      <wps:bodyPr anchor="ctr">
                        <a:noAutofit/>
                      </wps:bodyPr>
                    </wps:wsp>
                  </a:graphicData>
                </a:graphic>
              </wp:anchor>
            </w:drawing>
          </mc:Choice>
          <mc:Fallback>
            <w:pict>
              <v:rect id="shape_0" ID="Marco1" stroked="f" style="position:absolute;margin-left:5.15pt;margin-top:23.8pt;width:446.05pt;height:41.95pt;mso-position-horizontal-relative:margin">
                <w10:wrap type="none"/>
                <v:fill o:detectmouseclick="t" on="false"/>
                <v:stroke color="#3465a4" joinstyle="round" endcap="flat"/>
                <v:textbox>
                  <w:txbxContent>
                    <w:p>
                      <w:pPr>
                        <w:pStyle w:val="Contenidodelmarco"/>
                        <w:jc w:val="center"/>
                        <w:rPr>
                          <w:color w:val="FFFFFF"/>
                        </w:rPr>
                      </w:pPr>
                      <w:r>
                        <w:rPr/>
                      </w:r>
                    </w:p>
                  </w:txbxContent>
                </v:textbox>
              </v:rect>
            </w:pict>
          </mc:Fallback>
        </mc:AlternateContent>
      </w:r>
      <w:r>
        <w:rPr>
          <w:noProof/>
          <w:lang w:eastAsia="es-MX"/>
        </w:rPr>
        <w:drawing>
          <wp:inline distT="0" distB="0" distL="0" distR="0">
            <wp:extent cx="5850890" cy="1516380"/>
            <wp:effectExtent l="0" t="0" r="0" b="0"/>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pic:cNvPicPr>
                      <a:picLocks noChangeAspect="1" noChangeArrowheads="1"/>
                    </pic:cNvPicPr>
                  </pic:nvPicPr>
                  <pic:blipFill>
                    <a:blip r:embed="rId8"/>
                    <a:stretch>
                      <a:fillRect/>
                    </a:stretch>
                  </pic:blipFill>
                  <pic:spPr bwMode="auto">
                    <a:xfrm>
                      <a:off x="0" y="0"/>
                      <a:ext cx="5850890" cy="1516380"/>
                    </a:xfrm>
                    <a:prstGeom prst="rect">
                      <a:avLst/>
                    </a:prstGeom>
                  </pic:spPr>
                </pic:pic>
              </a:graphicData>
            </a:graphic>
          </wp:inline>
        </w:drawing>
      </w:r>
      <w:r>
        <w:rPr>
          <w:noProof/>
          <w:lang w:eastAsia="es-MX"/>
        </w:rPr>
        <w:drawing>
          <wp:inline distT="0" distB="0" distL="0" distR="0">
            <wp:extent cx="5850890" cy="1394460"/>
            <wp:effectExtent l="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9"/>
                    <a:stretch>
                      <a:fillRect/>
                    </a:stretch>
                  </pic:blipFill>
                  <pic:spPr bwMode="auto">
                    <a:xfrm>
                      <a:off x="0" y="0"/>
                      <a:ext cx="5850890" cy="1394460"/>
                    </a:xfrm>
                    <a:prstGeom prst="rect">
                      <a:avLst/>
                    </a:prstGeom>
                  </pic:spPr>
                </pic:pic>
              </a:graphicData>
            </a:graphic>
          </wp:inline>
        </w:drawing>
      </w:r>
    </w:p>
    <w:p w:rsidR="008A2DFA" w:rsidRDefault="00D60B2C">
      <w:pPr>
        <w:spacing w:line="360" w:lineRule="auto"/>
        <w:jc w:val="center"/>
        <w:rPr>
          <w:rFonts w:ascii="Palatino Linotype" w:hAnsi="Palatino Linotype" w:cs="Arial"/>
          <w:color w:val="000000" w:themeColor="text1"/>
        </w:rPr>
      </w:pPr>
      <w:r>
        <w:rPr>
          <w:noProof/>
          <w:lang w:eastAsia="es-MX"/>
        </w:rPr>
        <w:drawing>
          <wp:inline distT="0" distB="0" distL="0" distR="0">
            <wp:extent cx="5791200" cy="281940"/>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pic:cNvPicPr>
                      <a:picLocks noChangeAspect="1" noChangeArrowheads="1"/>
                    </pic:cNvPicPr>
                  </pic:nvPicPr>
                  <pic:blipFill>
                    <a:blip r:embed="rId10"/>
                    <a:stretch>
                      <a:fillRect/>
                    </a:stretch>
                  </pic:blipFill>
                  <pic:spPr bwMode="auto">
                    <a:xfrm>
                      <a:off x="0" y="0"/>
                      <a:ext cx="5791200" cy="281940"/>
                    </a:xfrm>
                    <a:prstGeom prst="rect">
                      <a:avLst/>
                    </a:prstGeom>
                  </pic:spPr>
                </pic:pic>
              </a:graphicData>
            </a:graphic>
          </wp:inline>
        </w:drawing>
      </w:r>
      <w:r>
        <w:rPr>
          <w:noProof/>
          <w:lang w:eastAsia="es-MX"/>
        </w:rPr>
        <w:drawing>
          <wp:inline distT="0" distB="0" distL="0" distR="0">
            <wp:extent cx="5753100" cy="1958340"/>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pic:cNvPicPr>
                      <a:picLocks noChangeAspect="1" noChangeArrowheads="1"/>
                    </pic:cNvPicPr>
                  </pic:nvPicPr>
                  <pic:blipFill>
                    <a:blip r:embed="rId11"/>
                    <a:stretch>
                      <a:fillRect/>
                    </a:stretch>
                  </pic:blipFill>
                  <pic:spPr bwMode="auto">
                    <a:xfrm>
                      <a:off x="0" y="0"/>
                      <a:ext cx="5753100" cy="1958340"/>
                    </a:xfrm>
                    <a:prstGeom prst="rect">
                      <a:avLst/>
                    </a:prstGeom>
                  </pic:spPr>
                </pic:pic>
              </a:graphicData>
            </a:graphic>
          </wp:inline>
        </w:drawing>
      </w:r>
      <w:r>
        <w:rPr>
          <w:noProof/>
          <w:lang w:eastAsia="es-MX"/>
        </w:rPr>
        <w:lastRenderedPageBreak/>
        <w:drawing>
          <wp:inline distT="0" distB="0" distL="0" distR="0">
            <wp:extent cx="5615940" cy="26670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noChangeArrowheads="1"/>
                    </pic:cNvPicPr>
                  </pic:nvPicPr>
                  <pic:blipFill>
                    <a:blip r:embed="rId12"/>
                    <a:stretch>
                      <a:fillRect/>
                    </a:stretch>
                  </pic:blipFill>
                  <pic:spPr bwMode="auto">
                    <a:xfrm>
                      <a:off x="0" y="0"/>
                      <a:ext cx="5615940" cy="266700"/>
                    </a:xfrm>
                    <a:prstGeom prst="rect">
                      <a:avLst/>
                    </a:prstGeom>
                  </pic:spPr>
                </pic:pic>
              </a:graphicData>
            </a:graphic>
          </wp:inline>
        </w:drawing>
      </w:r>
      <w:r>
        <w:rPr>
          <w:noProof/>
          <w:lang w:eastAsia="es-MX"/>
        </w:rPr>
        <w:drawing>
          <wp:inline distT="0" distB="0" distL="0" distR="0">
            <wp:extent cx="5631180" cy="1866900"/>
            <wp:effectExtent l="0" t="0" r="0" b="0"/>
            <wp:docPr id="10"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
                    <pic:cNvPicPr>
                      <a:picLocks noChangeAspect="1" noChangeArrowheads="1"/>
                    </pic:cNvPicPr>
                  </pic:nvPicPr>
                  <pic:blipFill>
                    <a:blip r:embed="rId13"/>
                    <a:stretch>
                      <a:fillRect/>
                    </a:stretch>
                  </pic:blipFill>
                  <pic:spPr bwMode="auto">
                    <a:xfrm>
                      <a:off x="0" y="0"/>
                      <a:ext cx="5631180" cy="1866900"/>
                    </a:xfrm>
                    <a:prstGeom prst="rect">
                      <a:avLst/>
                    </a:prstGeom>
                  </pic:spPr>
                </pic:pic>
              </a:graphicData>
            </a:graphic>
          </wp:inline>
        </w:drawing>
      </w:r>
    </w:p>
    <w:p w:rsidR="008A2DFA" w:rsidRDefault="008A2DFA">
      <w:pPr>
        <w:tabs>
          <w:tab w:val="left" w:pos="8222"/>
        </w:tabs>
        <w:spacing w:line="360" w:lineRule="auto"/>
        <w:ind w:right="1134"/>
        <w:jc w:val="both"/>
        <w:rPr>
          <w:rFonts w:ascii="Palatino Linotype" w:hAnsi="Palatino Linotype"/>
          <w:b/>
          <w:color w:val="000000" w:themeColor="text1"/>
        </w:rPr>
      </w:pPr>
    </w:p>
    <w:p w:rsidR="008A2DFA" w:rsidRDefault="00D60B2C">
      <w:pPr>
        <w:spacing w:line="360" w:lineRule="auto"/>
        <w:jc w:val="both"/>
        <w:rPr>
          <w:rFonts w:ascii="Palatino Linotype" w:hAnsi="Palatino Linotype" w:cs="Arial"/>
          <w:color w:val="000000" w:themeColor="text1"/>
          <w:lang w:val="es-ES_tradnl"/>
        </w:rPr>
      </w:pPr>
      <w:r>
        <w:rPr>
          <w:rFonts w:ascii="Palatino Linotype" w:hAnsi="Palatino Linotype"/>
          <w:b/>
          <w:color w:val="000000" w:themeColor="text1"/>
          <w:sz w:val="28"/>
          <w:szCs w:val="28"/>
        </w:rPr>
        <w:t>III.</w:t>
      </w:r>
      <w:r>
        <w:rPr>
          <w:rFonts w:ascii="Palatino Linotype" w:hAnsi="Palatino Linotype"/>
          <w:color w:val="000000" w:themeColor="text1"/>
          <w:sz w:val="28"/>
          <w:szCs w:val="28"/>
        </w:rPr>
        <w:t xml:space="preserve"> </w:t>
      </w:r>
      <w:r>
        <w:rPr>
          <w:rFonts w:ascii="Palatino Linotype" w:hAnsi="Palatino Linotype"/>
          <w:color w:val="000000" w:themeColor="text1"/>
        </w:rPr>
        <w:t xml:space="preserve">De las constancias que obran en </w:t>
      </w:r>
      <w:r>
        <w:rPr>
          <w:rFonts w:ascii="Palatino Linotype" w:hAnsi="Palatino Linotype"/>
          <w:b/>
          <w:color w:val="000000" w:themeColor="text1"/>
        </w:rPr>
        <w:t>EL SAIMEX,</w:t>
      </w:r>
      <w:r>
        <w:rPr>
          <w:rFonts w:ascii="Palatino Linotype" w:hAnsi="Palatino Linotype"/>
          <w:color w:val="000000" w:themeColor="text1"/>
        </w:rPr>
        <w:t xml:space="preserve"> se advierte que el diecinueve y veinticinco de febrero de dos mil veinte, </w:t>
      </w:r>
      <w:r>
        <w:rPr>
          <w:rFonts w:ascii="Palatino Linotype" w:hAnsi="Palatino Linotype" w:cs="Arial"/>
          <w:color w:val="000000" w:themeColor="text1"/>
          <w:lang w:val="es-ES_tradnl"/>
        </w:rPr>
        <w:t>el Titular de la Unidad de Transparencia del</w:t>
      </w:r>
      <w:r>
        <w:rPr>
          <w:rFonts w:ascii="Palatino Linotype" w:hAnsi="Palatino Linotype" w:cs="Arial"/>
          <w:b/>
          <w:color w:val="000000" w:themeColor="text1"/>
          <w:lang w:val="es-ES_tradnl"/>
        </w:rPr>
        <w:t xml:space="preserve"> SUJETO OBLIGADO</w:t>
      </w:r>
      <w:r>
        <w:rPr>
          <w:rFonts w:ascii="Palatino Linotype" w:hAnsi="Palatino Linotype" w:cs="Arial"/>
          <w:color w:val="000000" w:themeColor="text1"/>
          <w:lang w:val="es-ES_tradnl"/>
        </w:rPr>
        <w:t xml:space="preserve"> dio respuesta a las solicitudes de mérito, en los siguientes términos: </w:t>
      </w:r>
    </w:p>
    <w:p w:rsidR="008A2DFA" w:rsidRDefault="008A2DFA">
      <w:pPr>
        <w:jc w:val="both"/>
        <w:rPr>
          <w:rFonts w:ascii="Palatino Linotype" w:hAnsi="Palatino Linotype" w:cs="Arial"/>
          <w:color w:val="000000" w:themeColor="text1"/>
          <w:lang w:val="es-ES_tradnl"/>
        </w:rPr>
      </w:pPr>
    </w:p>
    <w:p w:rsidR="008A2DFA" w:rsidRDefault="00D60B2C">
      <w:pPr>
        <w:tabs>
          <w:tab w:val="left" w:pos="8222"/>
        </w:tabs>
        <w:ind w:right="992"/>
        <w:jc w:val="both"/>
        <w:rPr>
          <w:rFonts w:ascii="Palatino Linotype" w:hAnsi="Palatino Linotype"/>
          <w:b/>
          <w:color w:val="000000" w:themeColor="text1"/>
        </w:rPr>
      </w:pPr>
      <w:r>
        <w:rPr>
          <w:rFonts w:ascii="Palatino Linotype" w:hAnsi="Palatino Linotype"/>
          <w:b/>
          <w:color w:val="000000" w:themeColor="text1"/>
        </w:rPr>
        <w:t>00039/METEPEC/IP/2020</w:t>
      </w:r>
    </w:p>
    <w:p w:rsidR="008A2DFA" w:rsidRDefault="008A2DFA">
      <w:pPr>
        <w:tabs>
          <w:tab w:val="left" w:pos="8222"/>
        </w:tabs>
        <w:ind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w:t>
      </w:r>
      <w:r>
        <w:rPr>
          <w:rFonts w:ascii="Palatino Linotype" w:hAnsi="Palatino Linotype" w:cs="Arial"/>
          <w:i/>
          <w:color w:val="000000" w:themeColor="text1"/>
          <w:sz w:val="22"/>
          <w:szCs w:val="22"/>
        </w:rPr>
        <w:t>parencia y Acceso a la Información Pública del Estado de México y Municipios, le contestamos que:</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Se envía respuesta en archivo adjunto. Se hace de su conocimiento el derecho que tiene de acuerdo con lo establecido en los artículos 176, 177 y 178 de la Le</w:t>
      </w:r>
      <w:r>
        <w:rPr>
          <w:rFonts w:ascii="Palatino Linotype" w:hAnsi="Palatino Linotype" w:cs="Arial"/>
          <w:i/>
          <w:color w:val="000000" w:themeColor="text1"/>
          <w:sz w:val="22"/>
          <w:szCs w:val="22"/>
        </w:rPr>
        <w:t>y invocada.</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ATENTAMENTE</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Alberto Daniel García Curiel” (sic) </w:t>
      </w:r>
    </w:p>
    <w:p w:rsidR="008A2DFA" w:rsidRDefault="008A2DFA">
      <w:pPr>
        <w:tabs>
          <w:tab w:val="left" w:pos="8222"/>
        </w:tabs>
        <w:ind w:right="992"/>
        <w:jc w:val="both"/>
        <w:rPr>
          <w:rFonts w:ascii="Palatino Linotype" w:hAnsi="Palatino Linotype" w:cs="Arial"/>
          <w:i/>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olor w:val="000000" w:themeColor="text1"/>
        </w:rPr>
        <w:lastRenderedPageBreak/>
        <w:t xml:space="preserve">Advirtiendo de dicha respuesta, que </w:t>
      </w:r>
      <w:r>
        <w:rPr>
          <w:rFonts w:ascii="Palatino Linotype" w:hAnsi="Palatino Linotype" w:cs="Arial"/>
          <w:b/>
          <w:color w:val="000000" w:themeColor="text1"/>
        </w:rPr>
        <w:t>EL SUJETO OBLIGADO</w:t>
      </w:r>
      <w:r>
        <w:rPr>
          <w:rFonts w:ascii="Palatino Linotype" w:hAnsi="Palatino Linotype"/>
          <w:color w:val="000000" w:themeColor="text1"/>
        </w:rPr>
        <w:t xml:space="preserve"> acompañó la carpeta comprimida </w:t>
      </w:r>
      <w:hyperlink r:id="rId14" w:tgtFrame="_blank">
        <w:r>
          <w:rPr>
            <w:rFonts w:ascii="Palatino Linotype" w:hAnsi="Palatino Linotype" w:cs="Arial"/>
            <w:b/>
            <w:color w:val="000000" w:themeColor="text1"/>
          </w:rPr>
          <w:t>39.zi</w:t>
        </w:r>
        <w:r>
          <w:rPr>
            <w:rFonts w:ascii="Palatino Linotype" w:hAnsi="Palatino Linotype" w:cs="Arial"/>
            <w:b/>
            <w:color w:val="000000" w:themeColor="text1"/>
          </w:rPr>
          <w:t>p</w:t>
        </w:r>
      </w:hyperlink>
      <w:r>
        <w:rPr>
          <w:rFonts w:ascii="Palatino Linotype" w:hAnsi="Palatino Linotype" w:cs="Arial"/>
          <w:color w:val="000000" w:themeColor="text1"/>
        </w:rPr>
        <w:t xml:space="preserve">, la cual contiene el siguiente archivo: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b/>
          <w:color w:val="000000" w:themeColor="text1"/>
        </w:rPr>
        <w:t xml:space="preserve">00039IP2020 TES: </w:t>
      </w:r>
      <w:r>
        <w:rPr>
          <w:rFonts w:ascii="Palatino Linotype" w:hAnsi="Palatino Linotype" w:cs="Arial"/>
          <w:color w:val="000000" w:themeColor="text1"/>
        </w:rPr>
        <w:t>el cual corresponde al oficio número TM/SI/0260/2020, por medio del cual el Subdirector de Ingresos da atención a la solicitud, refiriendo para ello que los servidores públicos no elaboran revisan o autorizan las liquidaciones para el pago de impuesto pred</w:t>
      </w:r>
      <w:r>
        <w:rPr>
          <w:rFonts w:ascii="Palatino Linotype" w:hAnsi="Palatino Linotype" w:cs="Arial"/>
          <w:color w:val="000000" w:themeColor="text1"/>
        </w:rPr>
        <w:t>ial, toda vez que estas solo se imprimen de acuerdo a los parámetros y calculo que realiza el Sistema Tributario Municipal; de este modo, sus facultades son limitativas a la atención, explicación y entrega; una vez aclarado lo anterior, enlista los servido</w:t>
      </w:r>
      <w:r>
        <w:rPr>
          <w:rFonts w:ascii="Palatino Linotype" w:hAnsi="Palatino Linotype" w:cs="Arial"/>
          <w:color w:val="000000" w:themeColor="text1"/>
        </w:rPr>
        <w:t xml:space="preserve">res públicos para que se giren instrucciones a quien corresponda, y solicite el cargo y percepción salarial; asimismo, refiere remitir información vía mail correspondiente a los gafetes.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Por otro lado, refirió que el cálculo del impuesto predial se reali</w:t>
      </w:r>
      <w:r>
        <w:rPr>
          <w:rFonts w:ascii="Palatino Linotype" w:hAnsi="Palatino Linotype" w:cs="Arial"/>
          <w:color w:val="000000" w:themeColor="text1"/>
        </w:rPr>
        <w:t>za conforme a lo establecido en los artículos del 107 al 112 del Código Financiero del Estado de México y Municipios; asimismo, refiere que el Manual de Organización de la Tesorería Municipal se encuentra publicado en la Gaceta Municipal 09 de fecha treint</w:t>
      </w:r>
      <w:r>
        <w:rPr>
          <w:rFonts w:ascii="Palatino Linotype" w:hAnsi="Palatino Linotype" w:cs="Arial"/>
          <w:color w:val="000000" w:themeColor="text1"/>
        </w:rPr>
        <w:t xml:space="preserve">a de enero de dos mil veinte, en la liga electrónica </w:t>
      </w:r>
      <w:hyperlink r:id="rId15">
        <w:r>
          <w:rPr>
            <w:rStyle w:val="EnlacedeInternet"/>
            <w:rFonts w:ascii="Palatino Linotype" w:hAnsi="Palatino Linotype" w:cs="Arial"/>
            <w:color w:val="000000" w:themeColor="text1"/>
            <w:spacing w:val="-20"/>
          </w:rPr>
          <w:t>http://www.metepec.gob.mx/pagina/documentos/gacetas/gacetas_2020/GACETA09.pdf</w:t>
        </w:r>
      </w:hyperlink>
      <w:r>
        <w:rPr>
          <w:rFonts w:ascii="Palatino Linotype" w:hAnsi="Palatino Linotype" w:cs="Arial"/>
          <w:color w:val="000000" w:themeColor="text1"/>
          <w:spacing w:val="-20"/>
        </w:rPr>
        <w:t xml:space="preserve">. </w:t>
      </w:r>
      <w:r>
        <w:rPr>
          <w:rFonts w:ascii="Palatino Linotype" w:hAnsi="Palatino Linotype" w:cs="Arial"/>
          <w:color w:val="000000" w:themeColor="text1"/>
        </w:rPr>
        <w:t>Finalmente, señala el proce</w:t>
      </w:r>
      <w:r>
        <w:rPr>
          <w:rFonts w:ascii="Palatino Linotype" w:hAnsi="Palatino Linotype" w:cs="Arial"/>
          <w:color w:val="000000" w:themeColor="text1"/>
        </w:rPr>
        <w:t xml:space="preserve">dimiento próximo a publicar. </w:t>
      </w:r>
    </w:p>
    <w:p w:rsidR="008A2DFA" w:rsidRDefault="008A2DFA">
      <w:pPr>
        <w:jc w:val="both"/>
        <w:rPr>
          <w:rFonts w:ascii="Palatino Linotype" w:hAnsi="Palatino Linotype" w:cs="Arial"/>
          <w:color w:val="000000" w:themeColor="text1"/>
        </w:rPr>
      </w:pPr>
    </w:p>
    <w:p w:rsidR="008A2DFA" w:rsidRDefault="00D60B2C">
      <w:pPr>
        <w:jc w:val="both"/>
        <w:rPr>
          <w:rFonts w:ascii="Palatino Linotype" w:hAnsi="Palatino Linotype" w:cs="Arial"/>
          <w:i/>
          <w:color w:val="000000" w:themeColor="text1"/>
          <w:sz w:val="22"/>
          <w:szCs w:val="22"/>
        </w:rPr>
      </w:pPr>
      <w:r>
        <w:rPr>
          <w:rFonts w:ascii="Palatino Linotype" w:hAnsi="Palatino Linotype"/>
          <w:b/>
          <w:color w:val="000000" w:themeColor="text1"/>
        </w:rPr>
        <w:t>00048/METEPEC/IP/2020</w:t>
      </w:r>
    </w:p>
    <w:p w:rsidR="008A2DFA" w:rsidRDefault="008A2DFA">
      <w:pPr>
        <w:tabs>
          <w:tab w:val="left" w:pos="8222"/>
        </w:tabs>
        <w:ind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“…En respuesta a la solicitud recibida, nos permitimos hacer de su conocimiento que con fundamento en el artículo 53, Fracciones: II, V y VI de la Ley de </w:t>
      </w:r>
      <w:r>
        <w:rPr>
          <w:rFonts w:ascii="Palatino Linotype" w:hAnsi="Palatino Linotype" w:cs="Arial"/>
          <w:i/>
          <w:color w:val="000000" w:themeColor="text1"/>
          <w:sz w:val="22"/>
          <w:szCs w:val="22"/>
        </w:rPr>
        <w:lastRenderedPageBreak/>
        <w:t xml:space="preserve">Transparencia y Acceso a la Información Pública </w:t>
      </w:r>
      <w:r>
        <w:rPr>
          <w:rFonts w:ascii="Palatino Linotype" w:hAnsi="Palatino Linotype" w:cs="Arial"/>
          <w:i/>
          <w:color w:val="000000" w:themeColor="text1"/>
          <w:sz w:val="22"/>
          <w:szCs w:val="22"/>
        </w:rPr>
        <w:t>del Estado de México y Municipios, le contestamos que:</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Se envía respuesta en archivo adjunto. Se hace de su conocimiento el derecho que tiene de acuerdo con lo establecido en los artículos 176, 177 y 178 de la Ley invocada.</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ATENTAMENTE</w:t>
      </w:r>
    </w:p>
    <w:p w:rsidR="008A2DFA" w:rsidRDefault="008A2DFA">
      <w:pPr>
        <w:tabs>
          <w:tab w:val="left" w:pos="8222"/>
        </w:tabs>
        <w:ind w:left="851" w:right="992"/>
        <w:jc w:val="both"/>
        <w:rPr>
          <w:rFonts w:ascii="Palatino Linotype" w:hAnsi="Palatino Linotype" w:cs="Arial"/>
          <w:i/>
          <w:color w:val="000000" w:themeColor="text1"/>
          <w:sz w:val="22"/>
          <w:szCs w:val="22"/>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Alberto Daniel Ga</w:t>
      </w:r>
      <w:r>
        <w:rPr>
          <w:rFonts w:ascii="Palatino Linotype" w:hAnsi="Palatino Linotype" w:cs="Arial"/>
          <w:i/>
          <w:color w:val="000000" w:themeColor="text1"/>
          <w:sz w:val="22"/>
          <w:szCs w:val="22"/>
        </w:rPr>
        <w:t xml:space="preserve">rcía Curiel” (sic) </w:t>
      </w:r>
    </w:p>
    <w:p w:rsidR="008A2DFA" w:rsidRDefault="008A2DFA">
      <w:pPr>
        <w:tabs>
          <w:tab w:val="left" w:pos="8222"/>
        </w:tabs>
        <w:ind w:right="992"/>
        <w:jc w:val="both"/>
        <w:rPr>
          <w:rFonts w:ascii="Palatino Linotype" w:hAnsi="Palatino Linotype" w:cs="Arial"/>
          <w:i/>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olor w:val="000000" w:themeColor="text1"/>
        </w:rPr>
        <w:t xml:space="preserve">Advirtiendo de dicha respuesta, que </w:t>
      </w:r>
      <w:r>
        <w:rPr>
          <w:rFonts w:ascii="Palatino Linotype" w:hAnsi="Palatino Linotype" w:cs="Arial"/>
          <w:b/>
          <w:color w:val="000000" w:themeColor="text1"/>
        </w:rPr>
        <w:t>EL SUJETO OBLIGADO</w:t>
      </w:r>
      <w:r>
        <w:rPr>
          <w:rFonts w:ascii="Palatino Linotype" w:hAnsi="Palatino Linotype"/>
          <w:color w:val="000000" w:themeColor="text1"/>
        </w:rPr>
        <w:t xml:space="preserve"> acompañó la carpeta comprimida </w:t>
      </w:r>
      <w:hyperlink r:id="rId16" w:tgtFrame="_blank">
        <w:r>
          <w:rPr>
            <w:rFonts w:ascii="Palatino Linotype" w:hAnsi="Palatino Linotype" w:cs="Arial"/>
            <w:b/>
            <w:color w:val="000000" w:themeColor="text1"/>
          </w:rPr>
          <w:t>48.zip</w:t>
        </w:r>
      </w:hyperlink>
      <w:r>
        <w:rPr>
          <w:rFonts w:ascii="Palatino Linotype" w:hAnsi="Palatino Linotype" w:cs="Arial"/>
          <w:color w:val="000000" w:themeColor="text1"/>
        </w:rPr>
        <w:t>, la cual contiene los siguientes archivos</w:t>
      </w:r>
      <w:r>
        <w:rPr>
          <w:rFonts w:ascii="Palatino Linotype" w:hAnsi="Palatino Linotype" w:cs="Arial"/>
          <w:color w:val="000000" w:themeColor="text1"/>
        </w:rPr>
        <w:t xml:space="preserve">: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b/>
          <w:color w:val="000000" w:themeColor="text1"/>
        </w:rPr>
        <w:t xml:space="preserve">00048IP2020TES: </w:t>
      </w:r>
      <w:r>
        <w:rPr>
          <w:rFonts w:ascii="Palatino Linotype" w:hAnsi="Palatino Linotype" w:cs="Arial"/>
          <w:color w:val="000000" w:themeColor="text1"/>
        </w:rPr>
        <w:t>el cual corresponde al oficio número TM/0310/2020, por medio del cual el Tesorero Municipal remite relación de servidores públicos que participan en la elaboración, revisión y autorización de la asignación de clave catastral, refiriendo</w:t>
      </w:r>
      <w:r>
        <w:rPr>
          <w:rFonts w:ascii="Palatino Linotype" w:hAnsi="Palatino Linotype" w:cs="Arial"/>
          <w:color w:val="000000" w:themeColor="text1"/>
        </w:rPr>
        <w:t xml:space="preserve"> que derivado que no se tienen identificadas las atipologías, envía copia de gafetes de los servidores públicos; asimismo, respecto de la percepción salarial refiere que la unidad administrativa responsable de proporcionar dicha información es la Dirección</w:t>
      </w:r>
      <w:r>
        <w:rPr>
          <w:rFonts w:ascii="Palatino Linotype" w:hAnsi="Palatino Linotype" w:cs="Arial"/>
          <w:color w:val="000000" w:themeColor="text1"/>
        </w:rPr>
        <w:t xml:space="preserve"> de Administración.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Con relación al Manual de Organización, Reglamento Interno de la Subdirección de Catastro, Manual de Procedimientos de la Tesorería Municipal vigentes, se encuentran publicadas en el link </w:t>
      </w:r>
      <w:hyperlink r:id="rId17">
        <w:r>
          <w:rPr>
            <w:rStyle w:val="EnlacedeInternet"/>
            <w:rFonts w:ascii="Palatino Linotype" w:hAnsi="Palatino Linotype" w:cs="Arial"/>
            <w:color w:val="000000" w:themeColor="text1"/>
          </w:rPr>
          <w:t>www.metepec.org.mx</w:t>
        </w:r>
      </w:hyperlink>
      <w:r>
        <w:rPr>
          <w:rFonts w:ascii="Palatino Linotype" w:hAnsi="Palatino Linotype" w:cs="Arial"/>
          <w:color w:val="000000" w:themeColor="text1"/>
        </w:rPr>
        <w:t>.</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Por otra parte, refiere que el Código Financiero del Estado de México y Municipios, Reglamento del Título Quinto del Catastro y las modificaciones publicadas el 11 de </w:t>
      </w:r>
      <w:r>
        <w:rPr>
          <w:rFonts w:ascii="Palatino Linotype" w:hAnsi="Palatino Linotype" w:cs="Arial"/>
          <w:color w:val="000000" w:themeColor="text1"/>
        </w:rPr>
        <w:lastRenderedPageBreak/>
        <w:t>febrero de 2020, con el que se rige la Subdirección de Catastro, par</w:t>
      </w:r>
      <w:r>
        <w:rPr>
          <w:rFonts w:ascii="Palatino Linotype" w:hAnsi="Palatino Linotype" w:cs="Arial"/>
          <w:color w:val="000000" w:themeColor="text1"/>
        </w:rPr>
        <w:t xml:space="preserve">a llevar a cabo la asignación de las claves catastrales, los cuales se encuentran publicados en link legislación.edomex.gob.mx. Por lo que respecta al Manual Catastral se encuentra publicado en la página electrónica </w:t>
      </w:r>
      <w:hyperlink r:id="rId18">
        <w:r>
          <w:rPr>
            <w:rStyle w:val="EnlacedeInternet"/>
            <w:rFonts w:ascii="Palatino Linotype" w:hAnsi="Palatino Linotype" w:cs="Arial"/>
            <w:color w:val="000000" w:themeColor="text1"/>
          </w:rPr>
          <w:t>http://igecem.edomex.gob.mx</w:t>
        </w:r>
      </w:hyperlink>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b/>
          <w:color w:val="000000" w:themeColor="text1"/>
        </w:rPr>
        <w:t xml:space="preserve">ANEXOS 48: </w:t>
      </w:r>
      <w:r>
        <w:rPr>
          <w:rFonts w:ascii="Palatino Linotype" w:hAnsi="Palatino Linotype" w:cs="Arial"/>
          <w:color w:val="000000" w:themeColor="text1"/>
        </w:rPr>
        <w:t xml:space="preserve">El cual de su contenido de advierte el nombre, cargo y área a la que corresponde del personal de la Subdirección de Catastro responsables de asignar, revisar y autorizar </w:t>
      </w:r>
      <w:r>
        <w:rPr>
          <w:rFonts w:ascii="Palatino Linotype" w:hAnsi="Palatino Linotype" w:cs="Arial"/>
          <w:color w:val="000000" w:themeColor="text1"/>
        </w:rPr>
        <w:t xml:space="preserve">las claves catastrales de los predios contenidos en el territorio del Municipio de Metepec; así como, copia del gafete de cada uno de ellos.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i/>
          <w:color w:val="000000" w:themeColor="text1"/>
        </w:rPr>
      </w:pPr>
      <w:r>
        <w:rPr>
          <w:rFonts w:ascii="Palatino Linotype" w:hAnsi="Palatino Linotype" w:cs="Arial"/>
          <w:b/>
          <w:color w:val="000000" w:themeColor="text1"/>
        </w:rPr>
        <w:t xml:space="preserve">Tabulador_Sueldos: </w:t>
      </w:r>
      <w:r>
        <w:rPr>
          <w:rFonts w:ascii="Palatino Linotype" w:hAnsi="Palatino Linotype" w:cs="Arial"/>
          <w:color w:val="000000" w:themeColor="text1"/>
        </w:rPr>
        <w:t xml:space="preserve">El cual corresponde al Presupuesto Basado en Resultados Municipal PbRM-05 </w:t>
      </w:r>
      <w:r>
        <w:rPr>
          <w:rFonts w:ascii="Palatino Linotype" w:hAnsi="Palatino Linotype" w:cs="Arial"/>
          <w:i/>
          <w:color w:val="000000" w:themeColor="text1"/>
        </w:rPr>
        <w:t>Tabulador de Sueldos</w:t>
      </w:r>
      <w:r>
        <w:rPr>
          <w:rFonts w:ascii="Palatino Linotype" w:hAnsi="Palatino Linotype" w:cs="Arial"/>
          <w:i/>
          <w:color w:val="000000" w:themeColor="text1"/>
        </w:rPr>
        <w:t xml:space="preserve">. </w:t>
      </w:r>
    </w:p>
    <w:p w:rsidR="008A2DFA" w:rsidRDefault="008A2DFA">
      <w:pPr>
        <w:tabs>
          <w:tab w:val="left" w:pos="8222"/>
        </w:tabs>
        <w:spacing w:line="360" w:lineRule="auto"/>
        <w:ind w:left="851" w:right="992"/>
        <w:jc w:val="both"/>
        <w:rPr>
          <w:rFonts w:ascii="Palatino Linotype" w:hAnsi="Palatino Linotype" w:cs="Arial"/>
          <w:i/>
          <w:color w:val="000000" w:themeColor="text1"/>
          <w:sz w:val="22"/>
          <w:szCs w:val="22"/>
        </w:rPr>
      </w:pPr>
    </w:p>
    <w:p w:rsidR="008A2DFA" w:rsidRDefault="00D60B2C">
      <w:pPr>
        <w:pStyle w:val="Prrafodelista"/>
        <w:spacing w:line="360" w:lineRule="auto"/>
        <w:ind w:left="0"/>
        <w:jc w:val="both"/>
        <w:rPr>
          <w:rFonts w:ascii="Palatino Linotype" w:hAnsi="Palatino Linotype" w:cs="Arial"/>
          <w:color w:val="000000" w:themeColor="text1"/>
        </w:rPr>
      </w:pPr>
      <w:r>
        <w:rPr>
          <w:rFonts w:ascii="Palatino Linotype" w:hAnsi="Palatino Linotype" w:cs="Arial"/>
          <w:b/>
          <w:color w:val="000000" w:themeColor="text1"/>
          <w:sz w:val="28"/>
        </w:rPr>
        <w:t xml:space="preserve">IV. </w:t>
      </w:r>
      <w:r>
        <w:rPr>
          <w:rFonts w:ascii="Palatino Linotype" w:hAnsi="Palatino Linotype"/>
          <w:color w:val="000000" w:themeColor="text1"/>
        </w:rPr>
        <w:t xml:space="preserve">Inconforme con las </w:t>
      </w:r>
      <w:r>
        <w:rPr>
          <w:rFonts w:ascii="Palatino Linotype" w:hAnsi="Palatino Linotype" w:cs="Arial"/>
          <w:color w:val="000000" w:themeColor="text1"/>
        </w:rPr>
        <w:t xml:space="preserve">respuestas el día dos de marzo de dos mil veinte, </w:t>
      </w:r>
      <w:r>
        <w:rPr>
          <w:rFonts w:ascii="Palatino Linotype" w:hAnsi="Palatino Linotype"/>
          <w:b/>
          <w:color w:val="000000" w:themeColor="text1"/>
        </w:rPr>
        <w:t>EL RECURRENTE</w:t>
      </w:r>
      <w:r>
        <w:rPr>
          <w:rFonts w:ascii="Palatino Linotype" w:hAnsi="Palatino Linotype"/>
          <w:color w:val="000000" w:themeColor="text1"/>
        </w:rPr>
        <w:t xml:space="preserve"> interpuso los recursos de revisión objeto del presente estudio, los cuales fueron registrado en </w:t>
      </w:r>
      <w:r>
        <w:rPr>
          <w:rFonts w:ascii="Palatino Linotype" w:hAnsi="Palatino Linotype"/>
          <w:b/>
          <w:color w:val="000000" w:themeColor="text1"/>
        </w:rPr>
        <w:t>EL SAIMEX</w:t>
      </w:r>
      <w:r>
        <w:rPr>
          <w:rFonts w:ascii="Palatino Linotype" w:hAnsi="Palatino Linotype"/>
          <w:color w:val="000000" w:themeColor="text1"/>
        </w:rPr>
        <w:t xml:space="preserve"> al día siguiente hábil, es decir el tres de marzo de dos mil veinte y se les asignó los números de expediente </w:t>
      </w:r>
      <w:r>
        <w:rPr>
          <w:rFonts w:ascii="Palatino Linotype" w:hAnsi="Palatino Linotype"/>
          <w:b/>
          <w:color w:val="000000" w:themeColor="text1"/>
        </w:rPr>
        <w:t xml:space="preserve">01332/INFOEM/IP/RR/2010 </w:t>
      </w:r>
      <w:r>
        <w:rPr>
          <w:rFonts w:ascii="Palatino Linotype" w:hAnsi="Palatino Linotype"/>
          <w:color w:val="000000" w:themeColor="text1"/>
        </w:rPr>
        <w:t>y</w:t>
      </w:r>
      <w:r>
        <w:rPr>
          <w:rFonts w:ascii="Palatino Linotype" w:hAnsi="Palatino Linotype"/>
          <w:b/>
          <w:color w:val="000000" w:themeColor="text1"/>
        </w:rPr>
        <w:t xml:space="preserve"> 01333/INFOEM/IP/RR/2019</w:t>
      </w:r>
      <w:r>
        <w:rPr>
          <w:rFonts w:ascii="Palatino Linotype" w:hAnsi="Palatino Linotype" w:cs="Arial"/>
          <w:color w:val="000000" w:themeColor="text1"/>
        </w:rPr>
        <w:t xml:space="preserve">, en los que señaló como acto impugnado: </w:t>
      </w:r>
    </w:p>
    <w:p w:rsidR="008A2DFA" w:rsidRDefault="008A2DFA">
      <w:pPr>
        <w:tabs>
          <w:tab w:val="left" w:pos="8222"/>
        </w:tabs>
        <w:ind w:right="1134"/>
        <w:jc w:val="both"/>
        <w:rPr>
          <w:rFonts w:ascii="Palatino Linotype" w:hAnsi="Palatino Linotype" w:cs="Arial"/>
          <w:i/>
          <w:color w:val="000000" w:themeColor="text1"/>
          <w:sz w:val="22"/>
          <w:szCs w:val="22"/>
        </w:rPr>
      </w:pPr>
    </w:p>
    <w:p w:rsidR="008A2DFA" w:rsidRDefault="00D60B2C">
      <w:pPr>
        <w:tabs>
          <w:tab w:val="left" w:pos="8222"/>
        </w:tabs>
        <w:ind w:right="1134"/>
        <w:jc w:val="both"/>
        <w:rPr>
          <w:rFonts w:ascii="Palatino Linotype" w:hAnsi="Palatino Linotype"/>
          <w:b/>
          <w:color w:val="000000" w:themeColor="text1"/>
        </w:rPr>
      </w:pPr>
      <w:r>
        <w:rPr>
          <w:rFonts w:ascii="Palatino Linotype" w:hAnsi="Palatino Linotype"/>
          <w:b/>
          <w:color w:val="000000" w:themeColor="text1"/>
        </w:rPr>
        <w:t xml:space="preserve">01332/INFOEM/IP/RR/2010 </w:t>
      </w:r>
    </w:p>
    <w:p w:rsidR="008A2DFA" w:rsidRDefault="008A2DFA">
      <w:pPr>
        <w:tabs>
          <w:tab w:val="left" w:pos="8222"/>
        </w:tabs>
        <w:ind w:right="1134"/>
        <w:jc w:val="both"/>
        <w:rPr>
          <w:rFonts w:ascii="Palatino Linotype" w:hAnsi="Palatino Linotype"/>
          <w:b/>
          <w:color w:val="000000" w:themeColor="text1"/>
        </w:rPr>
      </w:pPr>
    </w:p>
    <w:p w:rsidR="008A2DFA" w:rsidRDefault="00D60B2C">
      <w:pPr>
        <w:tabs>
          <w:tab w:val="left" w:pos="8222"/>
        </w:tabs>
        <w:ind w:left="851" w:right="1134"/>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“Nombre completo de cada un</w:t>
      </w:r>
      <w:r>
        <w:rPr>
          <w:rFonts w:ascii="Palatino Linotype" w:hAnsi="Palatino Linotype" w:cs="Arial"/>
          <w:i/>
          <w:color w:val="000000" w:themeColor="text1"/>
          <w:sz w:val="22"/>
          <w:szCs w:val="22"/>
        </w:rPr>
        <w:t>o de los servidores publicos, que participan en la elaboracion, revision y autorizacion de las liquidaciones para el pago del impuesto predial. Indicando el cargo y percepcion salarial, copia de su gafete y de su nombramiento oficial. Identificando que fun</w:t>
      </w:r>
      <w:r>
        <w:rPr>
          <w:rFonts w:ascii="Palatino Linotype" w:hAnsi="Palatino Linotype" w:cs="Arial"/>
          <w:i/>
          <w:color w:val="000000" w:themeColor="text1"/>
          <w:sz w:val="22"/>
          <w:szCs w:val="22"/>
        </w:rPr>
        <w:t xml:space="preserve">ciones hace cada uno en materia de </w:t>
      </w:r>
      <w:r>
        <w:rPr>
          <w:rFonts w:ascii="Palatino Linotype" w:hAnsi="Palatino Linotype" w:cs="Arial"/>
          <w:i/>
          <w:color w:val="000000" w:themeColor="text1"/>
          <w:sz w:val="22"/>
          <w:szCs w:val="22"/>
        </w:rPr>
        <w:lastRenderedPageBreak/>
        <w:t>elaboracion, revision y autorizacion. Asi mismo se me proporcione copia de los procedimientos que se utilizan para el calculo, cuantificacion y cobro del impuesto predial, dentro del manual de organizacion, reglamento int</w:t>
      </w:r>
      <w:r>
        <w:rPr>
          <w:rFonts w:ascii="Palatino Linotype" w:hAnsi="Palatino Linotype" w:cs="Arial"/>
          <w:i/>
          <w:color w:val="000000" w:themeColor="text1"/>
          <w:sz w:val="22"/>
          <w:szCs w:val="22"/>
        </w:rPr>
        <w:t xml:space="preserve">erno y manual de procedimientos administrativos.” (sic) </w:t>
      </w:r>
    </w:p>
    <w:p w:rsidR="008A2DFA" w:rsidRDefault="008A2DFA">
      <w:pPr>
        <w:tabs>
          <w:tab w:val="left" w:pos="8222"/>
        </w:tabs>
        <w:ind w:right="1134"/>
        <w:jc w:val="both"/>
        <w:rPr>
          <w:rFonts w:ascii="Palatino Linotype" w:hAnsi="Palatino Linotype"/>
          <w:b/>
          <w:color w:val="000000" w:themeColor="text1"/>
        </w:rPr>
      </w:pPr>
    </w:p>
    <w:p w:rsidR="008A2DFA" w:rsidRDefault="00D60B2C">
      <w:pPr>
        <w:tabs>
          <w:tab w:val="left" w:pos="8222"/>
        </w:tabs>
        <w:ind w:right="1134"/>
        <w:jc w:val="both"/>
        <w:rPr>
          <w:rFonts w:ascii="Palatino Linotype" w:hAnsi="Palatino Linotype"/>
          <w:b/>
          <w:color w:val="000000" w:themeColor="text1"/>
        </w:rPr>
      </w:pPr>
      <w:r>
        <w:rPr>
          <w:rFonts w:ascii="Palatino Linotype" w:hAnsi="Palatino Linotype"/>
          <w:b/>
          <w:color w:val="000000" w:themeColor="text1"/>
        </w:rPr>
        <w:t>01333/INFOEM/IP/RR/2019</w:t>
      </w:r>
    </w:p>
    <w:p w:rsidR="008A2DFA" w:rsidRDefault="008A2DFA">
      <w:pPr>
        <w:tabs>
          <w:tab w:val="left" w:pos="8222"/>
        </w:tabs>
        <w:ind w:left="851" w:right="1134"/>
        <w:jc w:val="both"/>
        <w:rPr>
          <w:rFonts w:ascii="Palatino Linotype" w:hAnsi="Palatino Linotype" w:cs="Arial"/>
          <w:i/>
          <w:color w:val="000000" w:themeColor="text1"/>
          <w:sz w:val="22"/>
          <w:szCs w:val="22"/>
        </w:rPr>
      </w:pPr>
    </w:p>
    <w:p w:rsidR="008A2DFA" w:rsidRDefault="00D60B2C">
      <w:pPr>
        <w:tabs>
          <w:tab w:val="left" w:pos="8222"/>
        </w:tabs>
        <w:ind w:left="851" w:right="1134"/>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“Nombre completo de cada uno de los servidores publicos, que participan en la elaboracion, revision y autorizacion de la atipologias, asignacion de claves catastrales, para </w:t>
      </w:r>
      <w:r>
        <w:rPr>
          <w:rFonts w:ascii="Palatino Linotype" w:hAnsi="Palatino Linotype" w:cs="Arial"/>
          <w:i/>
          <w:color w:val="000000" w:themeColor="text1"/>
          <w:sz w:val="22"/>
          <w:szCs w:val="22"/>
        </w:rPr>
        <w:t xml:space="preserve">el pago del impuesto predial. Indicando el cargo y percepcion salarial, copia de su gafete y de su nombramiento oficial. Identificando que funciones hace cada uno en materia de elaboracion, revision y autorizacion. Asi mismo se me proporcione copia de los </w:t>
      </w:r>
      <w:r>
        <w:rPr>
          <w:rFonts w:ascii="Palatino Linotype" w:hAnsi="Palatino Linotype" w:cs="Arial"/>
          <w:i/>
          <w:color w:val="000000" w:themeColor="text1"/>
          <w:sz w:val="22"/>
          <w:szCs w:val="22"/>
        </w:rPr>
        <w:t>procedimientos que se utilizan para el calculo, cuantificacion y cobro del impuesto predial, dentro del manual de organizacion, reglamento interno y manual de procedimientos administrativos.” (sic)</w:t>
      </w:r>
    </w:p>
    <w:p w:rsidR="008A2DFA" w:rsidRDefault="008A2DFA">
      <w:pPr>
        <w:tabs>
          <w:tab w:val="left" w:pos="8222"/>
        </w:tabs>
        <w:ind w:right="1134"/>
        <w:jc w:val="both"/>
        <w:rPr>
          <w:rFonts w:ascii="Palatino Linotype" w:hAnsi="Palatino Linotype"/>
          <w:b/>
          <w:color w:val="000000" w:themeColor="text1"/>
        </w:rPr>
      </w:pPr>
    </w:p>
    <w:p w:rsidR="008A2DFA" w:rsidRDefault="00D60B2C">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Así como, razones o motivos de inconformidad lo siguiente</w:t>
      </w:r>
      <w:r>
        <w:rPr>
          <w:rFonts w:ascii="Palatino Linotype" w:hAnsi="Palatino Linotype" w:cs="Arial"/>
          <w:color w:val="000000" w:themeColor="text1"/>
        </w:rPr>
        <w:t xml:space="preserve">: </w:t>
      </w:r>
    </w:p>
    <w:p w:rsidR="008A2DFA" w:rsidRDefault="008A2DFA">
      <w:pPr>
        <w:tabs>
          <w:tab w:val="left" w:pos="8222"/>
        </w:tabs>
        <w:ind w:right="1134"/>
        <w:jc w:val="both"/>
        <w:rPr>
          <w:rFonts w:ascii="Palatino Linotype" w:hAnsi="Palatino Linotype"/>
          <w:b/>
          <w:color w:val="000000" w:themeColor="text1"/>
        </w:rPr>
      </w:pPr>
    </w:p>
    <w:p w:rsidR="008A2DFA" w:rsidRDefault="00D60B2C">
      <w:pPr>
        <w:tabs>
          <w:tab w:val="left" w:pos="8222"/>
        </w:tabs>
        <w:ind w:right="1134"/>
        <w:jc w:val="both"/>
        <w:rPr>
          <w:rFonts w:ascii="Palatino Linotype" w:hAnsi="Palatino Linotype"/>
          <w:b/>
          <w:color w:val="000000" w:themeColor="text1"/>
        </w:rPr>
      </w:pPr>
      <w:r>
        <w:rPr>
          <w:rFonts w:ascii="Palatino Linotype" w:hAnsi="Palatino Linotype"/>
          <w:b/>
          <w:color w:val="000000" w:themeColor="text1"/>
        </w:rPr>
        <w:t xml:space="preserve">01332/INFOEM/IP/RR/2010 </w:t>
      </w:r>
    </w:p>
    <w:p w:rsidR="008A2DFA" w:rsidRDefault="008A2DFA">
      <w:pPr>
        <w:tabs>
          <w:tab w:val="left" w:pos="8222"/>
        </w:tabs>
        <w:ind w:left="851" w:right="1134"/>
        <w:jc w:val="both"/>
        <w:rPr>
          <w:rFonts w:ascii="Palatino Linotype" w:hAnsi="Palatino Linotype" w:cs="Arial"/>
          <w:i/>
          <w:color w:val="000000" w:themeColor="text1"/>
          <w:sz w:val="22"/>
          <w:szCs w:val="22"/>
        </w:rPr>
      </w:pPr>
    </w:p>
    <w:p w:rsidR="008A2DFA" w:rsidRDefault="00D60B2C">
      <w:pPr>
        <w:tabs>
          <w:tab w:val="left" w:pos="8222"/>
        </w:tabs>
        <w:ind w:left="851" w:right="1134"/>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“1. Solcite Nombre completo de cada uno de los servidores publicos, que participan en la elaboracion, revision y autorizacion de las liquidaciones para el pago del impuesto predial. Y solo Hay una respuesta que pretende confun</w:t>
      </w:r>
      <w:r>
        <w:rPr>
          <w:rFonts w:ascii="Palatino Linotype" w:hAnsi="Palatino Linotype" w:cs="Arial"/>
          <w:i/>
          <w:color w:val="000000" w:themeColor="text1"/>
          <w:sz w:val="22"/>
          <w:szCs w:val="22"/>
        </w:rPr>
        <w:t>dir apreciando el razonamiento de manera incorrecta, al decir que el personal solo emite la liquidacion, la imprime y la entrega. Pero se omite decir que la liquidacion se realizan los calculos a travez de un sistema automatizado, que recibe una retroalime</w:t>
      </w:r>
      <w:r>
        <w:rPr>
          <w:rFonts w:ascii="Palatino Linotype" w:hAnsi="Palatino Linotype" w:cs="Arial"/>
          <w:i/>
          <w:color w:val="000000" w:themeColor="text1"/>
          <w:sz w:val="22"/>
          <w:szCs w:val="22"/>
        </w:rPr>
        <w:t>ntacion de datos y que ahi donde esta el origen del calculo del impuesto predial. Es decir para el calculo la base es un inmueble que en el sistema se carga, debidamente identificado y al cual se le crea un expediente para tener la evidencia fisica y legal</w:t>
      </w:r>
      <w:r>
        <w:rPr>
          <w:rFonts w:ascii="Palatino Linotype" w:hAnsi="Palatino Linotype" w:cs="Arial"/>
          <w:i/>
          <w:color w:val="000000" w:themeColor="text1"/>
          <w:sz w:val="22"/>
          <w:szCs w:val="22"/>
        </w:rPr>
        <w:t xml:space="preserve"> de su existencia y de que hay alguien con personalidad juridica que ostenta su propiedad. Despues se procede a calificar el inmuble y se le asigna una tipologia y un valor catastral, se habilitan todos estos datos atravez de una carga al sistema lo que es</w:t>
      </w:r>
      <w:r>
        <w:rPr>
          <w:rFonts w:ascii="Palatino Linotype" w:hAnsi="Palatino Linotype" w:cs="Arial"/>
          <w:i/>
          <w:color w:val="000000" w:themeColor="text1"/>
          <w:sz w:val="22"/>
          <w:szCs w:val="22"/>
        </w:rPr>
        <w:t>tablece una liquidacion electronica, con calculos y papeles de trabajo digitales, asi mismo alguien le carga los parametros que debe reconocer el sistema para calificar los inmuebles. Con esto se aclara que si existe quien elabora, quien revisa y quien aut</w:t>
      </w:r>
      <w:r>
        <w:rPr>
          <w:rFonts w:ascii="Palatino Linotype" w:hAnsi="Palatino Linotype" w:cs="Arial"/>
          <w:i/>
          <w:color w:val="000000" w:themeColor="text1"/>
          <w:sz w:val="22"/>
          <w:szCs w:val="22"/>
        </w:rPr>
        <w:t xml:space="preserve">oriza que se carga en ese sistema que sirve de base para determinar el impuesto predial. De igual manera todo sistema tienen una clave de </w:t>
      </w:r>
      <w:r>
        <w:rPr>
          <w:rFonts w:ascii="Palatino Linotype" w:hAnsi="Palatino Linotype" w:cs="Arial"/>
          <w:i/>
          <w:color w:val="000000" w:themeColor="text1"/>
          <w:sz w:val="22"/>
          <w:szCs w:val="22"/>
        </w:rPr>
        <w:lastRenderedPageBreak/>
        <w:t>acceso, con ciertos privilegios debidamente delimitados y si alguien tuviera acceso al sistema queda registro sio real</w:t>
      </w:r>
      <w:r>
        <w:rPr>
          <w:rFonts w:ascii="Palatino Linotype" w:hAnsi="Palatino Linotype" w:cs="Arial"/>
          <w:i/>
          <w:color w:val="000000" w:themeColor="text1"/>
          <w:sz w:val="22"/>
          <w:szCs w:val="22"/>
        </w:rPr>
        <w:t>izo cambios, dios altas, dio bajas o modifico algun dato. Por tal razon si existen servidores publicos que elabora, autorizan y revisan, en el area de catastro que seria el origen y el area de informatica que es quien vigila y admistra que el sistema no al</w:t>
      </w:r>
      <w:r>
        <w:rPr>
          <w:rFonts w:ascii="Palatino Linotype" w:hAnsi="Palatino Linotype" w:cs="Arial"/>
          <w:i/>
          <w:color w:val="000000" w:themeColor="text1"/>
          <w:sz w:val="22"/>
          <w:szCs w:val="22"/>
        </w:rPr>
        <w:t>tere datos y asigna las claves y los privilegios de acceso. Al responder el area de ingresos, se convierte en juez y parte, pretendiendo confundir con su respuesta, ocultar la verdadera operacion al no clarificar lo realidad de uso del sistema para los con</w:t>
      </w:r>
      <w:r>
        <w:rPr>
          <w:rFonts w:ascii="Palatino Linotype" w:hAnsi="Palatino Linotype" w:cs="Arial"/>
          <w:i/>
          <w:color w:val="000000" w:themeColor="text1"/>
          <w:sz w:val="22"/>
          <w:szCs w:val="22"/>
        </w:rPr>
        <w:t>tribuyentes. Por lo tanto su respuesta simula una respuesta, cuando en realidad es una negativa a proporcionar la información. 2.Solicite el cargo y percepcion salarial, copia de su gafete y de su nombramiento oficial. Se me da un listado y un oficio donde</w:t>
      </w:r>
      <w:r>
        <w:rPr>
          <w:rFonts w:ascii="Palatino Linotype" w:hAnsi="Palatino Linotype" w:cs="Arial"/>
          <w:i/>
          <w:color w:val="000000" w:themeColor="text1"/>
          <w:sz w:val="22"/>
          <w:szCs w:val="22"/>
        </w:rPr>
        <w:t xml:space="preserve"> el subdirector ingresos pide que sea la direccion de administracion quien de respuesta, con lo cual se aclara que solo simulan una respuesta, cuando realidad hay una negativa para proporcionar la informacion. Se desconoce a cual correo se enviaron los gaf</w:t>
      </w:r>
      <w:r>
        <w:rPr>
          <w:rFonts w:ascii="Palatino Linotype" w:hAnsi="Palatino Linotype" w:cs="Arial"/>
          <w:i/>
          <w:color w:val="000000" w:themeColor="text1"/>
          <w:sz w:val="22"/>
          <w:szCs w:val="22"/>
        </w:rPr>
        <w:t xml:space="preserve">etes que se solicitan, por lo tanto se aclara que simulan una respuesta cuando en realidad hay una negativa a la informacion. 3. Solicite las funciones que hace cada uno en materia de elaboracion, revision y autorizacion. Asi mismo se me proporcione copia </w:t>
      </w:r>
      <w:r>
        <w:rPr>
          <w:rFonts w:ascii="Palatino Linotype" w:hAnsi="Palatino Linotype" w:cs="Arial"/>
          <w:i/>
          <w:color w:val="000000" w:themeColor="text1"/>
          <w:sz w:val="22"/>
          <w:szCs w:val="22"/>
        </w:rPr>
        <w:t>de los procedimientos que se utilizan para el calculo, cuantificacion y cobro del impuesto predial, dentro del manual de organizacion, reglamento interno y manual de procedimientos administrativos. a) Me remiten a la pagina del manual, y me dan un procedim</w:t>
      </w:r>
      <w:r>
        <w:rPr>
          <w:rFonts w:ascii="Palatino Linotype" w:hAnsi="Palatino Linotype" w:cs="Arial"/>
          <w:i/>
          <w:color w:val="000000" w:themeColor="text1"/>
          <w:sz w:val="22"/>
          <w:szCs w:val="22"/>
        </w:rPr>
        <w:t>iento no oficial. Al no agregarse el nombramiento oficial, y no especificar el cargo de nada sirve su respuesta porque no se pueden identificar las funciones, ni atribuciones asi como los funcionarios porque es una lista que no dice nada mas que los nombre</w:t>
      </w:r>
      <w:r>
        <w:rPr>
          <w:rFonts w:ascii="Palatino Linotype" w:hAnsi="Palatino Linotype" w:cs="Arial"/>
          <w:i/>
          <w:color w:val="000000" w:themeColor="text1"/>
          <w:sz w:val="22"/>
          <w:szCs w:val="22"/>
        </w:rPr>
        <w:t>s. Por lo cual se simula una respuesta, cuando en realidad existe una negativa a dar la informacion. b) Solicite los procedimientos y se remite al manual de organizacion, debiendo ser que se me deben proporcionar el manual de procedimientos y en especifico</w:t>
      </w:r>
      <w:r>
        <w:rPr>
          <w:rFonts w:ascii="Palatino Linotype" w:hAnsi="Palatino Linotype" w:cs="Arial"/>
          <w:i/>
          <w:color w:val="000000" w:themeColor="text1"/>
          <w:sz w:val="22"/>
          <w:szCs w:val="22"/>
        </w:rPr>
        <w:t xml:space="preserve"> el de la tesoreria, referente al predial y como solicite el que usa, se debe agregar evidencia de su aplicacion. Igual pregunte los procedimientos en el reglamento interno y no se anexan ni se aclaran. Por lo tanto se simula una respuesta cuando en realid</w:t>
      </w:r>
      <w:r>
        <w:rPr>
          <w:rFonts w:ascii="Palatino Linotype" w:hAnsi="Palatino Linotype" w:cs="Arial"/>
          <w:i/>
          <w:color w:val="000000" w:themeColor="text1"/>
          <w:sz w:val="22"/>
          <w:szCs w:val="22"/>
        </w:rPr>
        <w:t>ad hay una negativa a la información. Menciona que da respuesta por instrucciones del tesorero, sin agregar el oficio de instruccion, asi mismo el tesorero pudiera incurrir en el delito de prevaricato al instruir que el subdirector de ingresos sea juez y p</w:t>
      </w:r>
      <w:r>
        <w:rPr>
          <w:rFonts w:ascii="Palatino Linotype" w:hAnsi="Palatino Linotype" w:cs="Arial"/>
          <w:i/>
          <w:color w:val="000000" w:themeColor="text1"/>
          <w:sz w:val="22"/>
          <w:szCs w:val="22"/>
        </w:rPr>
        <w:t>arte, teniendo la posibilidad de emitir una respuesta acotado o a modo para que los ciudadanos no logremos identificar los casos de corrupcion en la tesoreria municipal, que pudiera implicar posibloe complicidad. Ya que por ley es el facultado para el cobr</w:t>
      </w:r>
      <w:r>
        <w:rPr>
          <w:rFonts w:ascii="Palatino Linotype" w:hAnsi="Palatino Linotype" w:cs="Arial"/>
          <w:i/>
          <w:color w:val="000000" w:themeColor="text1"/>
          <w:sz w:val="22"/>
          <w:szCs w:val="22"/>
        </w:rPr>
        <w:t xml:space="preserve">o de los ingresos Por lo tanto en todas y cada una de las respuestas se me dan datos de forma parcial y no especifica que me aclare como ciudadano. Con estas respuestas se da una negativa y se vislumbra un delito de </w:t>
      </w:r>
      <w:r>
        <w:rPr>
          <w:rFonts w:ascii="Palatino Linotype" w:hAnsi="Palatino Linotype" w:cs="Arial"/>
          <w:i/>
          <w:color w:val="000000" w:themeColor="text1"/>
          <w:sz w:val="22"/>
          <w:szCs w:val="22"/>
        </w:rPr>
        <w:lastRenderedPageBreak/>
        <w:t>omision por parte del Tesorero que no es</w:t>
      </w:r>
      <w:r>
        <w:rPr>
          <w:rFonts w:ascii="Palatino Linotype" w:hAnsi="Palatino Linotype" w:cs="Arial"/>
          <w:i/>
          <w:color w:val="000000" w:themeColor="text1"/>
          <w:sz w:val="22"/>
          <w:szCs w:val="22"/>
        </w:rPr>
        <w:t xml:space="preserve"> quien da la respueta correspondiente y por ley el es el obligado a respondeer por el cobro de los ingresos no su subdirtector, ni se agrega un acuerdo por delegacion de responsabilidades, ni se agregue el supuesto oficio que establece que el instruye dar </w:t>
      </w:r>
      <w:r>
        <w:rPr>
          <w:rFonts w:ascii="Palatino Linotype" w:hAnsi="Palatino Linotype" w:cs="Arial"/>
          <w:i/>
          <w:color w:val="000000" w:themeColor="text1"/>
          <w:sz w:val="22"/>
          <w:szCs w:val="22"/>
        </w:rPr>
        <w:t xml:space="preserve">la respuesta. Sus respuestas son viciadas y evasivas de lo que un ciudadano tiene derecho a conocer de un servidor publico, de sus funciones, y de las herramientas que utiliza para el cumplimiento de las mismas. Inhibiendo al ciudado con estas actitudes a </w:t>
      </w:r>
      <w:r>
        <w:rPr>
          <w:rFonts w:ascii="Palatino Linotype" w:hAnsi="Palatino Linotype" w:cs="Arial"/>
          <w:i/>
          <w:color w:val="000000" w:themeColor="text1"/>
          <w:sz w:val="22"/>
          <w:szCs w:val="22"/>
        </w:rPr>
        <w:t xml:space="preserve">no pretend” (sic) </w:t>
      </w:r>
    </w:p>
    <w:p w:rsidR="008A2DFA" w:rsidRDefault="008A2DFA">
      <w:pPr>
        <w:tabs>
          <w:tab w:val="left" w:pos="8222"/>
        </w:tabs>
        <w:ind w:left="851" w:right="1134"/>
        <w:jc w:val="both"/>
        <w:rPr>
          <w:rFonts w:ascii="Palatino Linotype" w:hAnsi="Palatino Linotype" w:cs="Arial"/>
          <w:i/>
          <w:color w:val="000000" w:themeColor="text1"/>
          <w:sz w:val="22"/>
          <w:szCs w:val="22"/>
        </w:rPr>
      </w:pPr>
    </w:p>
    <w:p w:rsidR="008A2DFA" w:rsidRDefault="00D60B2C">
      <w:pPr>
        <w:tabs>
          <w:tab w:val="left" w:pos="8222"/>
        </w:tabs>
        <w:ind w:right="1134"/>
        <w:jc w:val="both"/>
        <w:rPr>
          <w:rFonts w:ascii="Palatino Linotype" w:hAnsi="Palatino Linotype"/>
          <w:b/>
          <w:color w:val="000000" w:themeColor="text1"/>
        </w:rPr>
      </w:pPr>
      <w:r>
        <w:rPr>
          <w:rFonts w:ascii="Palatino Linotype" w:hAnsi="Palatino Linotype"/>
          <w:b/>
          <w:color w:val="000000" w:themeColor="text1"/>
        </w:rPr>
        <w:t>01333/INFOEM/IP/RR/2019</w:t>
      </w:r>
    </w:p>
    <w:p w:rsidR="008A2DFA" w:rsidRDefault="008A2DFA">
      <w:pPr>
        <w:tabs>
          <w:tab w:val="left" w:pos="8222"/>
        </w:tabs>
        <w:ind w:left="851" w:right="1134"/>
        <w:jc w:val="both"/>
        <w:rPr>
          <w:rFonts w:ascii="Palatino Linotype" w:hAnsi="Palatino Linotype" w:cs="Arial"/>
          <w:i/>
          <w:color w:val="000000" w:themeColor="text1"/>
          <w:sz w:val="22"/>
          <w:szCs w:val="22"/>
        </w:rPr>
      </w:pPr>
    </w:p>
    <w:p w:rsidR="008A2DFA" w:rsidRDefault="00D60B2C">
      <w:pPr>
        <w:tabs>
          <w:tab w:val="left" w:pos="8222"/>
        </w:tabs>
        <w:ind w:left="851" w:right="1134"/>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“1. Nombre completo de cada uno de los servidores publicos, que participan en la elaboracion, revision y autorizacion de la atipologias, asignacion de claves catastrales, para el pago del impuesto predial. Indic</w:t>
      </w:r>
      <w:r>
        <w:rPr>
          <w:rFonts w:ascii="Palatino Linotype" w:hAnsi="Palatino Linotype" w:cs="Arial"/>
          <w:i/>
          <w:color w:val="000000" w:themeColor="text1"/>
          <w:sz w:val="22"/>
          <w:szCs w:val="22"/>
        </w:rPr>
        <w:t>ando el cargo y percepcion salarial, copia de su gafete y de su nombramiento oficial. Se proporcionan copias digitalizadas de gafetes ilegibles, sin foto que permita identificar a los servidores publicos, sin firma que permita identificar los documentos qu</w:t>
      </w:r>
      <w:r>
        <w:rPr>
          <w:rFonts w:ascii="Palatino Linotype" w:hAnsi="Palatino Linotype" w:cs="Arial"/>
          <w:i/>
          <w:color w:val="000000" w:themeColor="text1"/>
          <w:sz w:val="22"/>
          <w:szCs w:val="22"/>
        </w:rPr>
        <w:t>e valida en la informacion que se solicita y en futuras peticiones de informacion. No se proporciona la copia del nombramiento oficial, no se aclara porque no tienen nombramiento los demas sewrvidores publicos 2. No se identifican que funciones hace cada u</w:t>
      </w:r>
      <w:r>
        <w:rPr>
          <w:rFonts w:ascii="Palatino Linotype" w:hAnsi="Palatino Linotype" w:cs="Arial"/>
          <w:i/>
          <w:color w:val="000000" w:themeColor="text1"/>
          <w:sz w:val="22"/>
          <w:szCs w:val="22"/>
        </w:rPr>
        <w:t>no en materia de elaboracion, revision y autorizacion. 3. Se solicita copia de los procedimientos que se utilizan para el calculo, cuantificacion y cobro del impuesto predial, dentro del manual de organizacion, reglamento interno y manual de procedimientos</w:t>
      </w:r>
      <w:r>
        <w:rPr>
          <w:rFonts w:ascii="Palatino Linotype" w:hAnsi="Palatino Linotype" w:cs="Arial"/>
          <w:i/>
          <w:color w:val="000000" w:themeColor="text1"/>
          <w:sz w:val="22"/>
          <w:szCs w:val="22"/>
        </w:rPr>
        <w:t xml:space="preserve"> administrativos. Remiten hacia la pagina oficial para ubicar los manuales, como se pide cuales usan tendrian que agregar evidencia de su uso. Solo simulan dar respuesta sin aclarar, cuando en realidad hay una negativa a proporcionar la informacion” (sic)</w:t>
      </w:r>
    </w:p>
    <w:p w:rsidR="008A2DFA" w:rsidRDefault="008A2DFA">
      <w:pPr>
        <w:ind w:right="49"/>
        <w:jc w:val="both"/>
        <w:rPr>
          <w:rFonts w:ascii="Palatino Linotype" w:hAnsi="Palatino Linotype" w:cs="Arial"/>
          <w:b/>
          <w:color w:val="000000" w:themeColor="text1"/>
          <w:sz w:val="28"/>
          <w:szCs w:val="28"/>
        </w:rPr>
      </w:pPr>
    </w:p>
    <w:p w:rsidR="008A2DFA" w:rsidRDefault="00D60B2C">
      <w:pPr>
        <w:spacing w:line="360" w:lineRule="auto"/>
        <w:ind w:right="49"/>
        <w:jc w:val="both"/>
        <w:rPr>
          <w:rFonts w:ascii="Palatino Linotype" w:hAnsi="Palatino Linotype"/>
          <w:color w:val="000000" w:themeColor="text1"/>
        </w:rPr>
      </w:pPr>
      <w:r>
        <w:rPr>
          <w:rFonts w:ascii="Palatino Linotype" w:hAnsi="Palatino Linotype" w:cs="Arial"/>
          <w:b/>
          <w:color w:val="000000" w:themeColor="text1"/>
          <w:sz w:val="28"/>
          <w:szCs w:val="28"/>
        </w:rPr>
        <w:t>V.</w:t>
      </w:r>
      <w:r>
        <w:rPr>
          <w:rFonts w:ascii="Palatino Linotype" w:hAnsi="Palatino Linotype" w:cs="Arial"/>
          <w:b/>
          <w:color w:val="000000" w:themeColor="text1"/>
          <w:sz w:val="28"/>
        </w:rPr>
        <w:t xml:space="preserve"> </w:t>
      </w:r>
      <w:r>
        <w:rPr>
          <w:rFonts w:ascii="Palatino Linotype" w:hAnsi="Palatino Linotype" w:cs="Arial"/>
          <w:color w:val="000000" w:themeColor="text1"/>
        </w:rPr>
        <w:t xml:space="preserve">El dos de marzo de dos mil veinte, </w:t>
      </w:r>
      <w:r>
        <w:rPr>
          <w:rFonts w:ascii="Palatino Linotype" w:hAnsi="Palatino Linotype"/>
          <w:color w:val="000000" w:themeColor="text1"/>
        </w:rPr>
        <w:t>los</w:t>
      </w:r>
      <w:r>
        <w:rPr>
          <w:rFonts w:ascii="Palatino Linotype" w:hAnsi="Palatino Linotype" w:cs="Arial"/>
          <w:color w:val="000000" w:themeColor="text1"/>
        </w:rPr>
        <w:t xml:space="preserve"> </w:t>
      </w:r>
      <w:r>
        <w:rPr>
          <w:rFonts w:ascii="Palatino Linotype" w:hAnsi="Palatino Linotype" w:cs="Arial"/>
          <w:color w:val="000000" w:themeColor="text1"/>
          <w:lang w:val="es-ES_tradnl"/>
        </w:rPr>
        <w:t>recursos de revisión de que</w:t>
      </w:r>
      <w:r>
        <w:rPr>
          <w:rFonts w:ascii="Palatino Linotype" w:hAnsi="Palatino Linotype" w:cs="Arial"/>
          <w:color w:val="000000" w:themeColor="text1"/>
        </w:rPr>
        <w:t xml:space="preserve"> se tratan</w:t>
      </w:r>
      <w:r>
        <w:rPr>
          <w:rFonts w:ascii="Palatino Linotype" w:hAnsi="Palatino Linotype" w:cs="Arial"/>
          <w:color w:val="000000" w:themeColor="text1"/>
          <w:lang w:val="es-ES_tradnl"/>
        </w:rPr>
        <w:t xml:space="preserve"> se enviaron electrónicamente al Instituto de </w:t>
      </w:r>
      <w:r>
        <w:rPr>
          <w:rFonts w:ascii="Palatino Linotype" w:eastAsia="Arial Unicode MS" w:hAnsi="Palatino Linotype" w:cs="Arial"/>
          <w:color w:val="000000" w:themeColor="text1"/>
        </w:rPr>
        <w:t>Transparencia</w:t>
      </w:r>
      <w:r>
        <w:rPr>
          <w:rFonts w:ascii="Palatino Linotype" w:hAnsi="Palatino Linotype" w:cs="Arial"/>
          <w:color w:val="000000" w:themeColor="text1"/>
          <w:lang w:val="es-ES_tradnl"/>
        </w:rPr>
        <w:t>, Acceso a la Información Pública y Protección de Datos Personales del Estado de México y Municipios y con fundamento</w:t>
      </w:r>
      <w:r>
        <w:rPr>
          <w:rFonts w:ascii="Palatino Linotype" w:hAnsi="Palatino Linotype" w:cs="Arial"/>
          <w:color w:val="000000" w:themeColor="text1"/>
          <w:lang w:val="es-ES_tradnl"/>
        </w:rPr>
        <w:t xml:space="preserve"> en el artículo 185, fracción I de la </w:t>
      </w:r>
      <w:r>
        <w:rPr>
          <w:rFonts w:ascii="Palatino Linotype" w:hAnsi="Palatino Linotype"/>
          <w:color w:val="000000" w:themeColor="text1"/>
        </w:rPr>
        <w:t>Ley de Transparencia y Acceso a la Información Pública del Estado de México y Municipios</w:t>
      </w:r>
      <w:r>
        <w:rPr>
          <w:rFonts w:ascii="Palatino Linotype" w:hAnsi="Palatino Linotype" w:cs="Arial"/>
          <w:color w:val="000000" w:themeColor="text1"/>
          <w:lang w:val="es-ES_tradnl"/>
        </w:rPr>
        <w:t>, se turnaron, a través del</w:t>
      </w:r>
      <w:r>
        <w:rPr>
          <w:rFonts w:ascii="Palatino Linotype" w:eastAsia="Arial Unicode MS" w:hAnsi="Palatino Linotype" w:cs="Arial"/>
          <w:color w:val="000000" w:themeColor="text1"/>
          <w:lang w:val="es-ES_tradnl"/>
        </w:rPr>
        <w:t xml:space="preserve"> </w:t>
      </w:r>
      <w:r>
        <w:rPr>
          <w:rFonts w:ascii="Palatino Linotype" w:eastAsia="Arial Unicode MS" w:hAnsi="Palatino Linotype" w:cs="Arial"/>
          <w:b/>
          <w:color w:val="000000" w:themeColor="text1"/>
          <w:lang w:val="es-ES_tradnl"/>
        </w:rPr>
        <w:t>SAIMEX</w:t>
      </w:r>
      <w:r>
        <w:rPr>
          <w:rFonts w:ascii="Palatino Linotype" w:hAnsi="Palatino Linotype"/>
          <w:color w:val="000000" w:themeColor="text1"/>
        </w:rPr>
        <w:t>, el recurso</w:t>
      </w:r>
      <w:r>
        <w:rPr>
          <w:rFonts w:ascii="Palatino Linotype" w:hAnsi="Palatino Linotype" w:cs="Arial"/>
          <w:color w:val="000000" w:themeColor="text1"/>
          <w:szCs w:val="20"/>
        </w:rPr>
        <w:t xml:space="preserve"> de revisión </w:t>
      </w:r>
      <w:r>
        <w:rPr>
          <w:rFonts w:ascii="Palatino Linotype" w:hAnsi="Palatino Linotype"/>
          <w:b/>
          <w:color w:val="000000" w:themeColor="text1"/>
        </w:rPr>
        <w:t xml:space="preserve">01332/INFOEM/IP/RR/2010 </w:t>
      </w:r>
      <w:r>
        <w:rPr>
          <w:rFonts w:ascii="Palatino Linotype" w:hAnsi="Palatino Linotype"/>
          <w:color w:val="000000" w:themeColor="text1"/>
        </w:rPr>
        <w:t xml:space="preserve">a la </w:t>
      </w:r>
      <w:r>
        <w:rPr>
          <w:rFonts w:ascii="Palatino Linotype" w:hAnsi="Palatino Linotype" w:cs="Arial"/>
          <w:color w:val="000000" w:themeColor="text1"/>
          <w:lang w:val="es-ES_tradnl"/>
        </w:rPr>
        <w:t xml:space="preserve">Comisionada </w:t>
      </w:r>
      <w:r>
        <w:rPr>
          <w:rFonts w:ascii="Palatino Linotype" w:hAnsi="Palatino Linotype" w:cs="Arial"/>
          <w:b/>
          <w:color w:val="000000" w:themeColor="text1"/>
          <w:lang w:val="es-ES_tradnl"/>
        </w:rPr>
        <w:t xml:space="preserve">Eva Abaid Yapur </w:t>
      </w:r>
      <w:r>
        <w:rPr>
          <w:rFonts w:ascii="Palatino Linotype" w:hAnsi="Palatino Linotype" w:cs="Arial"/>
          <w:color w:val="000000" w:themeColor="text1"/>
          <w:lang w:val="es-ES_tradnl"/>
        </w:rPr>
        <w:t xml:space="preserve">y el recurso </w:t>
      </w:r>
      <w:r>
        <w:rPr>
          <w:rFonts w:ascii="Palatino Linotype" w:hAnsi="Palatino Linotype" w:cs="Arial"/>
          <w:color w:val="000000" w:themeColor="text1"/>
          <w:lang w:val="es-ES_tradnl"/>
        </w:rPr>
        <w:t>de revisión</w:t>
      </w:r>
      <w:r>
        <w:rPr>
          <w:rFonts w:ascii="Palatino Linotype" w:hAnsi="Palatino Linotype"/>
          <w:b/>
          <w:color w:val="000000" w:themeColor="text1"/>
        </w:rPr>
        <w:t xml:space="preserve"> 01333/INFOEM/IP/RR/2019 </w:t>
      </w:r>
      <w:r>
        <w:rPr>
          <w:rFonts w:ascii="Palatino Linotype" w:hAnsi="Palatino Linotype"/>
          <w:color w:val="000000" w:themeColor="text1"/>
        </w:rPr>
        <w:t xml:space="preserve">al Comisionado </w:t>
      </w:r>
      <w:r>
        <w:rPr>
          <w:rFonts w:ascii="Palatino Linotype" w:hAnsi="Palatino Linotype"/>
          <w:b/>
          <w:color w:val="000000" w:themeColor="text1"/>
        </w:rPr>
        <w:t xml:space="preserve">José </w:t>
      </w:r>
      <w:r>
        <w:rPr>
          <w:rFonts w:ascii="Palatino Linotype" w:hAnsi="Palatino Linotype"/>
          <w:b/>
          <w:color w:val="000000" w:themeColor="text1"/>
        </w:rPr>
        <w:lastRenderedPageBreak/>
        <w:t xml:space="preserve">Guadalupe Luna Hernández, </w:t>
      </w:r>
      <w:r>
        <w:rPr>
          <w:rFonts w:ascii="Palatino Linotype" w:hAnsi="Palatino Linotype"/>
          <w:color w:val="000000" w:themeColor="text1"/>
        </w:rPr>
        <w:t xml:space="preserve">a </w:t>
      </w:r>
      <w:r>
        <w:rPr>
          <w:rFonts w:ascii="Palatino Linotype" w:hAnsi="Palatino Linotype" w:cs="Arial"/>
          <w:color w:val="000000" w:themeColor="text1"/>
          <w:lang w:val="es-ES_tradnl"/>
        </w:rPr>
        <w:t>efecto de que decretaran su admisión o desechamiento.</w:t>
      </w:r>
    </w:p>
    <w:p w:rsidR="008A2DFA" w:rsidRDefault="008A2DFA">
      <w:pPr>
        <w:spacing w:line="360" w:lineRule="auto"/>
        <w:ind w:right="49"/>
        <w:jc w:val="both"/>
        <w:rPr>
          <w:rFonts w:ascii="Palatino Linotype" w:hAnsi="Palatino Linotype"/>
          <w:color w:val="000000" w:themeColor="text1"/>
        </w:rPr>
      </w:pPr>
    </w:p>
    <w:p w:rsidR="008A2DFA" w:rsidRDefault="00D60B2C">
      <w:pPr>
        <w:pStyle w:val="Piedepgina"/>
        <w:spacing w:line="360" w:lineRule="auto"/>
        <w:jc w:val="both"/>
        <w:rPr>
          <w:rFonts w:ascii="Palatino Linotype" w:hAnsi="Palatino Linotype" w:cs="Arial" w:hint="eastAsia"/>
          <w:color w:val="000000" w:themeColor="text1"/>
        </w:rPr>
      </w:pPr>
      <w:r>
        <w:rPr>
          <w:rFonts w:ascii="Palatino Linotype" w:hAnsi="Palatino Linotype" w:cs="Arial"/>
          <w:b/>
          <w:color w:val="000000" w:themeColor="text1"/>
          <w:sz w:val="28"/>
        </w:rPr>
        <w:t xml:space="preserve">VI. </w:t>
      </w:r>
      <w:r>
        <w:rPr>
          <w:rFonts w:ascii="Palatino Linotype" w:hAnsi="Palatino Linotype" w:cs="Arial"/>
          <w:color w:val="000000" w:themeColor="text1"/>
        </w:rPr>
        <w:t>De las constancias de los expedientes electrónicos del</w:t>
      </w:r>
      <w:r>
        <w:rPr>
          <w:rFonts w:ascii="Palatino Linotype" w:hAnsi="Palatino Linotype" w:cs="Arial"/>
          <w:b/>
          <w:color w:val="000000" w:themeColor="text1"/>
        </w:rPr>
        <w:t xml:space="preserve"> SAIMEX</w:t>
      </w:r>
      <w:r>
        <w:rPr>
          <w:rFonts w:ascii="Palatino Linotype" w:hAnsi="Palatino Linotype" w:cs="Arial"/>
          <w:color w:val="000000" w:themeColor="text1"/>
        </w:rPr>
        <w:t>, se desprende que el diez de marzo de dos mil veinte, se acordó la admisión a trámite de los recursos de revisión que nos ocupan, así como la integración de los expedientes respectivos, mismos que se pusieron a disposición de las partes, para que en un pl</w:t>
      </w:r>
      <w:r>
        <w:rPr>
          <w:rFonts w:ascii="Palatino Linotype" w:hAnsi="Palatino Linotype" w:cs="Arial"/>
          <w:color w:val="000000" w:themeColor="text1"/>
        </w:rPr>
        <w:t>azo máximo de siete días hábiles conforme a lo dispuesto por el artículo 185 de la Ley de Transparencia y Acceso a la Información Pública del Estado de México y Municipios, manifestaran lo que a su derecho conviniera, a efecto de presentar pruebas y alegat</w:t>
      </w:r>
      <w:r>
        <w:rPr>
          <w:rFonts w:ascii="Palatino Linotype" w:hAnsi="Palatino Linotype" w:cs="Arial"/>
          <w:color w:val="000000" w:themeColor="text1"/>
        </w:rPr>
        <w:t xml:space="preserve">os; así como para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rindiera sus</w:t>
      </w:r>
      <w:r>
        <w:rPr>
          <w:rFonts w:ascii="Palatino Linotype" w:hAnsi="Palatino Linotype" w:cs="Arial"/>
          <w:b/>
          <w:color w:val="000000" w:themeColor="text1"/>
        </w:rPr>
        <w:t xml:space="preserve"> </w:t>
      </w:r>
      <w:r>
        <w:rPr>
          <w:rFonts w:ascii="Palatino Linotype" w:hAnsi="Palatino Linotype" w:cs="Arial"/>
          <w:color w:val="000000" w:themeColor="text1"/>
        </w:rPr>
        <w:t>Informes Justificados respectivamente.</w:t>
      </w:r>
    </w:p>
    <w:p w:rsidR="008A2DFA" w:rsidRDefault="008A2DFA">
      <w:pPr>
        <w:pStyle w:val="Piedepgina"/>
        <w:spacing w:line="360" w:lineRule="auto"/>
        <w:jc w:val="both"/>
        <w:rPr>
          <w:rFonts w:ascii="Palatino Linotype" w:hAnsi="Palatino Linotype" w:cs="Arial" w:hint="eastAsia"/>
          <w:b/>
          <w:color w:val="000000" w:themeColor="text1"/>
        </w:rPr>
      </w:pPr>
    </w:p>
    <w:p w:rsidR="008A2DFA" w:rsidRDefault="00D60B2C">
      <w:pPr>
        <w:pStyle w:val="Prrafodelista"/>
        <w:spacing w:line="360" w:lineRule="auto"/>
        <w:ind w:left="0"/>
        <w:jc w:val="both"/>
        <w:rPr>
          <w:rFonts w:ascii="Palatino Linotype" w:hAnsi="Palatino Linotype" w:cs="Arial"/>
          <w:color w:val="000000" w:themeColor="text1"/>
        </w:rPr>
      </w:pPr>
      <w:r>
        <w:rPr>
          <w:rFonts w:ascii="Palatino Linotype" w:hAnsi="Palatino Linotype" w:cs="Arial"/>
          <w:b/>
          <w:color w:val="000000" w:themeColor="text1"/>
          <w:sz w:val="28"/>
        </w:rPr>
        <w:t xml:space="preserve">VII. </w:t>
      </w:r>
      <w:r>
        <w:rPr>
          <w:rFonts w:ascii="Palatino Linotype" w:hAnsi="Palatino Linotype" w:cs="Arial"/>
          <w:color w:val="000000" w:themeColor="text1"/>
          <w:lang w:val="es-ES_tradnl"/>
        </w:rPr>
        <w:t xml:space="preserve">Por economía procesal y </w:t>
      </w:r>
      <w:r>
        <w:rPr>
          <w:rFonts w:ascii="Palatino Linotype" w:hAnsi="Palatino Linotype" w:cs="Arial"/>
          <w:color w:val="000000" w:themeColor="text1"/>
        </w:rPr>
        <w:t xml:space="preserve">con la finalidad de evitar resoluciones contradictorias, en </w:t>
      </w:r>
      <w:r>
        <w:rPr>
          <w:rFonts w:ascii="Palatino Linotype" w:hAnsi="Palatino Linotype"/>
          <w:color w:val="000000" w:themeColor="text1"/>
        </w:rPr>
        <w:t xml:space="preserve">la Novena Sesión Ordinaria celebrada el once de marzo de dos mil veinte, el Pleno de este Instituto </w:t>
      </w:r>
      <w:r>
        <w:rPr>
          <w:rFonts w:ascii="Palatino Linotype" w:hAnsi="Palatino Linotype" w:cs="Arial"/>
          <w:color w:val="000000" w:themeColor="text1"/>
        </w:rPr>
        <w:t xml:space="preserve">determinó </w:t>
      </w:r>
      <w:r>
        <w:rPr>
          <w:rFonts w:ascii="Palatino Linotype" w:hAnsi="Palatino Linotype"/>
          <w:color w:val="000000" w:themeColor="text1"/>
        </w:rPr>
        <w:t xml:space="preserve">acumular los recursos de revisión </w:t>
      </w:r>
      <w:r>
        <w:rPr>
          <w:rFonts w:ascii="Palatino Linotype" w:hAnsi="Palatino Linotype"/>
          <w:b/>
          <w:color w:val="000000" w:themeColor="text1"/>
        </w:rPr>
        <w:t xml:space="preserve">01332/INFOEM/IP/RR/2010 </w:t>
      </w:r>
      <w:r>
        <w:rPr>
          <w:rFonts w:ascii="Palatino Linotype" w:hAnsi="Palatino Linotype"/>
          <w:color w:val="000000" w:themeColor="text1"/>
        </w:rPr>
        <w:t>y</w:t>
      </w:r>
      <w:r>
        <w:rPr>
          <w:rFonts w:ascii="Palatino Linotype" w:hAnsi="Palatino Linotype"/>
          <w:b/>
          <w:color w:val="000000" w:themeColor="text1"/>
        </w:rPr>
        <w:t xml:space="preserve"> 01333/INFOEM/IP/RR/2019</w:t>
      </w:r>
      <w:r>
        <w:rPr>
          <w:rFonts w:ascii="Palatino Linotype" w:hAnsi="Palatino Linotype" w:cs="Arial"/>
          <w:color w:val="000000" w:themeColor="text1"/>
        </w:rPr>
        <w:t>,</w:t>
      </w:r>
      <w:r>
        <w:rPr>
          <w:rFonts w:ascii="Palatino Linotype" w:hAnsi="Palatino Linotype"/>
          <w:color w:val="000000" w:themeColor="text1"/>
        </w:rPr>
        <w:t xml:space="preserve"> acordando la elaboración del proyecto de resolución por parte</w:t>
      </w:r>
      <w:r>
        <w:rPr>
          <w:rFonts w:ascii="Palatino Linotype" w:hAnsi="Palatino Linotype"/>
          <w:color w:val="000000" w:themeColor="text1"/>
        </w:rPr>
        <w:t xml:space="preserve"> de la Comisionada </w:t>
      </w:r>
      <w:r>
        <w:rPr>
          <w:rFonts w:ascii="Palatino Linotype" w:hAnsi="Palatino Linotype"/>
          <w:b/>
          <w:color w:val="000000" w:themeColor="text1"/>
        </w:rPr>
        <w:t>EVA ABAID YAPUR</w:t>
      </w:r>
      <w:r>
        <w:rPr>
          <w:rFonts w:ascii="Palatino Linotype" w:hAnsi="Palatino Linotype" w:cs="Arial"/>
          <w:color w:val="000000" w:themeColor="text1"/>
        </w:rPr>
        <w:t>.</w:t>
      </w:r>
    </w:p>
    <w:p w:rsidR="008A2DFA" w:rsidRDefault="008A2DFA">
      <w:pPr>
        <w:pStyle w:val="Prrafodelista"/>
        <w:spacing w:line="360" w:lineRule="auto"/>
        <w:ind w:left="0"/>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eastAsia="Arial Unicode MS" w:hAnsi="Palatino Linotype" w:cs="Arial"/>
          <w:b/>
          <w:color w:val="000000" w:themeColor="text1"/>
          <w:sz w:val="28"/>
          <w:szCs w:val="28"/>
        </w:rPr>
        <w:t xml:space="preserve">VIII. </w:t>
      </w:r>
      <w:r>
        <w:rPr>
          <w:rFonts w:ascii="Palatino Linotype" w:eastAsia="Arial Unicode MS" w:hAnsi="Palatino Linotype" w:cs="Arial"/>
          <w:color w:val="000000" w:themeColor="text1"/>
        </w:rPr>
        <w:t xml:space="preserve">Conforme a las constancias del </w:t>
      </w:r>
      <w:r>
        <w:rPr>
          <w:rFonts w:ascii="Palatino Linotype" w:eastAsia="Arial Unicode MS" w:hAnsi="Palatino Linotype" w:cs="Arial"/>
          <w:b/>
          <w:color w:val="000000" w:themeColor="text1"/>
        </w:rPr>
        <w:t>SAIMEX</w:t>
      </w:r>
      <w:r>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w:t>
      </w:r>
      <w:r>
        <w:rPr>
          <w:rFonts w:ascii="Palatino Linotype" w:eastAsia="Arial Unicode MS" w:hAnsi="Palatino Linotype" w:cs="Arial"/>
          <w:color w:val="000000" w:themeColor="text1"/>
        </w:rPr>
        <w:t xml:space="preserve">galmente concedido al </w:t>
      </w:r>
      <w:r>
        <w:rPr>
          <w:rFonts w:ascii="Palatino Linotype" w:eastAsia="Arial Unicode MS" w:hAnsi="Palatino Linotype" w:cs="Arial"/>
          <w:b/>
          <w:color w:val="000000" w:themeColor="text1"/>
        </w:rPr>
        <w:t>RECURRENTE</w:t>
      </w:r>
      <w:r>
        <w:rPr>
          <w:rFonts w:ascii="Palatino Linotype" w:eastAsia="Arial Unicode MS" w:hAnsi="Palatino Linotype" w:cs="Arial"/>
          <w:color w:val="000000" w:themeColor="text1"/>
        </w:rPr>
        <w:t xml:space="preserve">, éste no realizó manifestación alguna, ni presentó pruebas o alegatos, </w:t>
      </w:r>
      <w:r>
        <w:rPr>
          <w:rFonts w:ascii="Palatino Linotype" w:eastAsia="Arial Unicode MS" w:hAnsi="Palatino Linotype" w:cs="Arial"/>
          <w:color w:val="000000" w:themeColor="text1"/>
        </w:rPr>
        <w:lastRenderedPageBreak/>
        <w:t xml:space="preserve">así como tampoco </w:t>
      </w:r>
      <w:r>
        <w:rPr>
          <w:rFonts w:ascii="Palatino Linotype" w:eastAsia="Arial Unicode MS" w:hAnsi="Palatino Linotype" w:cs="Arial"/>
          <w:b/>
          <w:color w:val="000000" w:themeColor="text1"/>
        </w:rPr>
        <w:t>EL SUJETO OBLIGADO</w:t>
      </w:r>
      <w:r>
        <w:rPr>
          <w:rFonts w:ascii="Palatino Linotype" w:eastAsia="Arial Unicode MS" w:hAnsi="Palatino Linotype" w:cs="Arial"/>
          <w:color w:val="000000" w:themeColor="text1"/>
        </w:rPr>
        <w:t xml:space="preserve"> rindió sus Informes Justificados, tal y como se aprecia en las siguientes imágenes: </w:t>
      </w:r>
      <w:r>
        <w:rPr>
          <w:rFonts w:ascii="Palatino Linotype" w:hAnsi="Palatino Linotype" w:cs="Arial"/>
          <w:color w:val="000000" w:themeColor="text1"/>
        </w:rPr>
        <w:t xml:space="preserve"> </w:t>
      </w:r>
    </w:p>
    <w:p w:rsidR="008A2DFA" w:rsidRDefault="00D60B2C">
      <w:pPr>
        <w:spacing w:line="360" w:lineRule="auto"/>
        <w:jc w:val="both"/>
        <w:rPr>
          <w:rFonts w:ascii="Palatino Linotype" w:hAnsi="Palatino Linotype" w:cs="Arial"/>
          <w:color w:val="000000" w:themeColor="text1"/>
        </w:rPr>
      </w:pPr>
      <w:r>
        <w:rPr>
          <w:noProof/>
          <w:lang w:eastAsia="es-MX"/>
        </w:rPr>
        <w:drawing>
          <wp:inline distT="0" distB="0" distL="0" distR="0">
            <wp:extent cx="5850890" cy="1431925"/>
            <wp:effectExtent l="0" t="0" r="0" b="0"/>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5"/>
                    <pic:cNvPicPr>
                      <a:picLocks noChangeAspect="1" noChangeArrowheads="1"/>
                    </pic:cNvPicPr>
                  </pic:nvPicPr>
                  <pic:blipFill>
                    <a:blip r:embed="rId19"/>
                    <a:stretch>
                      <a:fillRect/>
                    </a:stretch>
                  </pic:blipFill>
                  <pic:spPr bwMode="auto">
                    <a:xfrm>
                      <a:off x="0" y="0"/>
                      <a:ext cx="5850890" cy="1431925"/>
                    </a:xfrm>
                    <a:prstGeom prst="rect">
                      <a:avLst/>
                    </a:prstGeom>
                  </pic:spPr>
                </pic:pic>
              </a:graphicData>
            </a:graphic>
          </wp:inline>
        </w:drawing>
      </w:r>
      <w:r>
        <w:rPr>
          <w:noProof/>
          <w:lang w:eastAsia="es-MX"/>
        </w:rPr>
        <w:drawing>
          <wp:inline distT="0" distB="0" distL="0" distR="0">
            <wp:extent cx="5850890" cy="1428750"/>
            <wp:effectExtent l="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6"/>
                    <pic:cNvPicPr>
                      <a:picLocks noChangeAspect="1" noChangeArrowheads="1"/>
                    </pic:cNvPicPr>
                  </pic:nvPicPr>
                  <pic:blipFill>
                    <a:blip r:embed="rId20"/>
                    <a:stretch>
                      <a:fillRect/>
                    </a:stretch>
                  </pic:blipFill>
                  <pic:spPr bwMode="auto">
                    <a:xfrm>
                      <a:off x="0" y="0"/>
                      <a:ext cx="5850890" cy="1428750"/>
                    </a:xfrm>
                    <a:prstGeom prst="rect">
                      <a:avLst/>
                    </a:prstGeom>
                  </pic:spPr>
                </pic:pic>
              </a:graphicData>
            </a:graphic>
          </wp:inline>
        </w:drawing>
      </w:r>
    </w:p>
    <w:p w:rsidR="008A2DFA" w:rsidRDefault="008A2DFA">
      <w:pPr>
        <w:pStyle w:val="Piedepgina"/>
        <w:spacing w:line="360" w:lineRule="auto"/>
        <w:jc w:val="both"/>
        <w:rPr>
          <w:rFonts w:ascii="Palatino Linotype" w:hAnsi="Palatino Linotype" w:hint="eastAsia"/>
          <w:b/>
          <w:color w:val="000000" w:themeColor="text1"/>
          <w:sz w:val="28"/>
          <w:szCs w:val="28"/>
        </w:rPr>
      </w:pPr>
    </w:p>
    <w:p w:rsidR="008A2DFA" w:rsidRDefault="00D60B2C">
      <w:pPr>
        <w:pStyle w:val="Piedepgina"/>
        <w:spacing w:line="360" w:lineRule="auto"/>
        <w:jc w:val="both"/>
        <w:rPr>
          <w:rFonts w:ascii="Palatino Linotype" w:hAnsi="Palatino Linotype" w:cs="Arial" w:hint="eastAsia"/>
          <w:color w:val="000000" w:themeColor="text1"/>
        </w:rPr>
      </w:pPr>
      <w:r>
        <w:rPr>
          <w:rFonts w:ascii="Palatino Linotype" w:hAnsi="Palatino Linotype"/>
          <w:b/>
          <w:color w:val="000000" w:themeColor="text1"/>
          <w:sz w:val="28"/>
          <w:szCs w:val="28"/>
        </w:rPr>
        <w:t xml:space="preserve">IX. </w:t>
      </w:r>
      <w:r>
        <w:rPr>
          <w:rFonts w:ascii="Palatino Linotype" w:hAnsi="Palatino Linotype" w:cs="Arial"/>
          <w:color w:val="000000" w:themeColor="text1"/>
        </w:rPr>
        <w:t xml:space="preserve">Una vez analizado el estado procesal que guardan los expedientes, en fecha tres de agosto de dos mil veinte, la Comisionada </w:t>
      </w:r>
      <w:r>
        <w:rPr>
          <w:rFonts w:ascii="Palatino Linotype" w:hAnsi="Palatino Linotype" w:cs="Arial"/>
          <w:b/>
          <w:color w:val="000000" w:themeColor="text1"/>
        </w:rPr>
        <w:t xml:space="preserve">EVA ABAID YAPUR </w:t>
      </w:r>
      <w:r>
        <w:rPr>
          <w:rFonts w:ascii="Palatino Linotype" w:hAnsi="Palatino Linotype" w:cs="Arial"/>
          <w:color w:val="000000" w:themeColor="text1"/>
        </w:rPr>
        <w:t>acordó el cierre de instrucción en los recursos de revisión; así como, la remisión de los expedientes, a efecto de s</w:t>
      </w:r>
      <w:r>
        <w:rPr>
          <w:rFonts w:ascii="Palatino Linotype" w:hAnsi="Palatino Linotype" w:cs="Arial"/>
          <w:color w:val="000000" w:themeColor="text1"/>
        </w:rPr>
        <w:t>er resueltos, de conformidad con lo establecido en el artículo 185 fracciones VI y VIII de la Ley de Transparencia y Acceso a la Información Pública del Estado de México y Municipios; y,</w:t>
      </w:r>
    </w:p>
    <w:p w:rsidR="008A2DFA" w:rsidRDefault="008A2DFA">
      <w:pPr>
        <w:jc w:val="both"/>
        <w:rPr>
          <w:rFonts w:ascii="Palatino Linotype" w:hAnsi="Palatino Linotype"/>
          <w:b/>
          <w:color w:val="000000" w:themeColor="text1"/>
          <w:szCs w:val="28"/>
        </w:rPr>
      </w:pPr>
    </w:p>
    <w:p w:rsidR="008A2DFA" w:rsidRDefault="00D60B2C">
      <w:pPr>
        <w:jc w:val="center"/>
        <w:rPr>
          <w:rFonts w:ascii="Palatino Linotype" w:hAnsi="Palatino Linotype" w:cs="Arial"/>
          <w:b/>
          <w:bCs/>
          <w:color w:val="000000" w:themeColor="text1"/>
          <w:spacing w:val="60"/>
          <w:sz w:val="28"/>
          <w:lang w:val="es-ES_tradnl"/>
        </w:rPr>
      </w:pPr>
      <w:r>
        <w:rPr>
          <w:rFonts w:ascii="Palatino Linotype" w:hAnsi="Palatino Linotype" w:cs="Arial"/>
          <w:b/>
          <w:bCs/>
          <w:color w:val="000000" w:themeColor="text1"/>
          <w:spacing w:val="60"/>
          <w:sz w:val="28"/>
          <w:lang w:val="es-ES_tradnl"/>
        </w:rPr>
        <w:t>CONSIDERANDO</w:t>
      </w:r>
    </w:p>
    <w:p w:rsidR="008A2DFA" w:rsidRDefault="008A2DFA">
      <w:pPr>
        <w:jc w:val="center"/>
        <w:rPr>
          <w:rFonts w:ascii="Palatino Linotype" w:hAnsi="Palatino Linotype" w:cs="Arial"/>
          <w:b/>
          <w:bCs/>
          <w:color w:val="000000" w:themeColor="text1"/>
          <w:spacing w:val="60"/>
          <w:lang w:val="es-ES_tradnl"/>
        </w:rPr>
      </w:pPr>
    </w:p>
    <w:p w:rsidR="008A2DFA" w:rsidRDefault="00D60B2C">
      <w:pPr>
        <w:spacing w:line="360" w:lineRule="auto"/>
        <w:ind w:right="50"/>
        <w:jc w:val="both"/>
        <w:rPr>
          <w:rFonts w:ascii="Palatino Linotype" w:hAnsi="Palatino Linotype" w:cs="Arial"/>
          <w:b/>
          <w:color w:val="000000" w:themeColor="text1"/>
        </w:rPr>
      </w:pPr>
      <w:r>
        <w:rPr>
          <w:rFonts w:ascii="Palatino Linotype" w:hAnsi="Palatino Linotype"/>
          <w:b/>
          <w:color w:val="000000" w:themeColor="text1"/>
          <w:sz w:val="28"/>
          <w:szCs w:val="28"/>
        </w:rPr>
        <w:t>PRIMERO</w:t>
      </w:r>
      <w:r>
        <w:rPr>
          <w:rFonts w:ascii="Palatino Linotype" w:hAnsi="Palatino Linotype"/>
          <w:b/>
          <w:color w:val="000000" w:themeColor="text1"/>
        </w:rPr>
        <w:t>.</w:t>
      </w:r>
      <w:r>
        <w:rPr>
          <w:rFonts w:ascii="Palatino Linotype" w:hAnsi="Palatino Linotype"/>
          <w:color w:val="000000" w:themeColor="text1"/>
        </w:rPr>
        <w:t xml:space="preserve"> </w:t>
      </w:r>
      <w:r>
        <w:rPr>
          <w:rFonts w:ascii="Palatino Linotype" w:hAnsi="Palatino Linotype"/>
          <w:b/>
          <w:color w:val="000000" w:themeColor="text1"/>
        </w:rPr>
        <w:t>Competencia</w:t>
      </w:r>
      <w:r>
        <w:rPr>
          <w:rFonts w:ascii="Palatino Linotype" w:hAnsi="Palatino Linotype"/>
          <w:color w:val="000000" w:themeColor="text1"/>
        </w:rPr>
        <w:t>.</w:t>
      </w:r>
      <w:r>
        <w:rPr>
          <w:rFonts w:ascii="Palatino Linotype" w:hAnsi="Palatino Linotype"/>
          <w:b/>
          <w:color w:val="000000" w:themeColor="text1"/>
        </w:rPr>
        <w:t xml:space="preserve"> </w:t>
      </w:r>
      <w:r>
        <w:rPr>
          <w:rFonts w:ascii="Palatino Linotype" w:hAnsi="Palatino Linotype"/>
          <w:color w:val="000000" w:themeColor="text1"/>
        </w:rPr>
        <w:t xml:space="preserve">Este Instituto de </w:t>
      </w:r>
      <w:r>
        <w:rPr>
          <w:rFonts w:ascii="Palatino Linotype" w:hAnsi="Palatino Linotype" w:cs="Arial"/>
          <w:color w:val="000000" w:themeColor="text1"/>
        </w:rPr>
        <w:t>Transparencia</w:t>
      </w:r>
      <w:r>
        <w:rPr>
          <w:rFonts w:ascii="Palatino Linotype" w:hAnsi="Palatino Linotype"/>
          <w:color w:val="000000" w:themeColor="text1"/>
        </w:rPr>
        <w:t>,</w:t>
      </w:r>
      <w:r>
        <w:rPr>
          <w:rFonts w:ascii="Palatino Linotype" w:hAnsi="Palatino Linotype"/>
          <w:color w:val="000000" w:themeColor="text1"/>
        </w:rPr>
        <w:t xml:space="preserve"> Acceso a la Información Pública y Protección de Datos Personales del Estado de México y Municipios, es </w:t>
      </w:r>
      <w:r>
        <w:rPr>
          <w:rFonts w:ascii="Palatino Linotype" w:hAnsi="Palatino Linotype"/>
          <w:color w:val="000000" w:themeColor="text1"/>
        </w:rPr>
        <w:lastRenderedPageBreak/>
        <w:t>competente para conocer y resolver el presente recurso, conforme a lo dispuesto en los artículos 6, Letra A de la Constitución Política de los Estados U</w:t>
      </w:r>
      <w:r>
        <w:rPr>
          <w:rFonts w:ascii="Palatino Linotype" w:hAnsi="Palatino Linotype"/>
          <w:color w:val="000000" w:themeColor="text1"/>
        </w:rPr>
        <w:t xml:space="preserve">nidos Mexicanos; 5, párrafos vigésimo </w:t>
      </w:r>
      <w:r>
        <w:rPr>
          <w:rFonts w:ascii="Palatino Linotype" w:hAnsi="Palatino Linotype" w:cs="Arial"/>
          <w:color w:val="000000" w:themeColor="text1"/>
        </w:rPr>
        <w:t>segundo,</w:t>
      </w:r>
      <w:r>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w:t>
      </w:r>
      <w:r>
        <w:rPr>
          <w:rFonts w:ascii="Palatino Linotype" w:hAnsi="Palatino Linotype"/>
          <w:color w:val="000000" w:themeColor="text1"/>
        </w:rPr>
        <w:t>185 de la Ley de Transparencia y Acceso a la Información Pública del Estado de México y Municipios</w:t>
      </w:r>
      <w:r>
        <w:rPr>
          <w:rFonts w:ascii="Palatino Linotype" w:hAnsi="Palatino Linotype" w:cs="Arial"/>
          <w:color w:val="000000" w:themeColor="text1"/>
        </w:rPr>
        <w:t>; y 9, fracciones I y XXIV y 11 del Reglamento Interior del Instituto de Transparencia, Acceso a la Información Pública y Protección de Datos Personales del E</w:t>
      </w:r>
      <w:r>
        <w:rPr>
          <w:rFonts w:ascii="Palatino Linotype" w:hAnsi="Palatino Linotype" w:cs="Arial"/>
          <w:color w:val="000000" w:themeColor="text1"/>
        </w:rPr>
        <w:t>stado de México y Municipios; toda vez que se trata de recursos de revisión interpuestos en términos de la Ley de la materia.</w:t>
      </w:r>
    </w:p>
    <w:p w:rsidR="008A2DFA" w:rsidRDefault="008A2DFA">
      <w:pPr>
        <w:spacing w:line="360" w:lineRule="auto"/>
        <w:jc w:val="both"/>
        <w:rPr>
          <w:rFonts w:ascii="Palatino Linotype" w:hAnsi="Palatino Linotype" w:cs="Arial"/>
          <w:b/>
          <w:color w:val="000000" w:themeColor="text1"/>
        </w:rPr>
      </w:pPr>
    </w:p>
    <w:p w:rsidR="008A2DFA" w:rsidRDefault="00D60B2C">
      <w:pPr>
        <w:spacing w:line="360" w:lineRule="auto"/>
        <w:jc w:val="both"/>
        <w:rPr>
          <w:rFonts w:ascii="Palatino Linotype" w:hAnsi="Palatino Linotype" w:cs="Arial"/>
          <w:b/>
          <w:bCs/>
          <w:color w:val="000000" w:themeColor="text1"/>
        </w:rPr>
      </w:pPr>
      <w:r>
        <w:rPr>
          <w:rFonts w:ascii="Palatino Linotype" w:hAnsi="Palatino Linotype" w:cs="Arial"/>
          <w:b/>
          <w:color w:val="000000" w:themeColor="text1"/>
          <w:sz w:val="28"/>
        </w:rPr>
        <w:t>SEGUNDO</w:t>
      </w:r>
      <w:r>
        <w:rPr>
          <w:rFonts w:ascii="Palatino Linotype" w:hAnsi="Palatino Linotype" w:cs="Arial"/>
          <w:b/>
          <w:color w:val="000000" w:themeColor="text1"/>
        </w:rPr>
        <w:t xml:space="preserve">. Interés. </w:t>
      </w:r>
      <w:r>
        <w:rPr>
          <w:rFonts w:ascii="Palatino Linotype" w:hAnsi="Palatino Linotype" w:cs="Arial"/>
          <w:color w:val="000000" w:themeColor="text1"/>
        </w:rPr>
        <w:t xml:space="preserve">Los recursos de revisión fueron interpuestos por parte legítima, en atención a que fueron presentados por </w:t>
      </w:r>
      <w:r>
        <w:rPr>
          <w:rFonts w:ascii="Palatino Linotype" w:hAnsi="Palatino Linotype" w:cs="Arial"/>
          <w:b/>
          <w:color w:val="000000" w:themeColor="text1"/>
        </w:rPr>
        <w:t xml:space="preserve">EL </w:t>
      </w:r>
      <w:r>
        <w:rPr>
          <w:rFonts w:ascii="Palatino Linotype" w:hAnsi="Palatino Linotype" w:cs="Arial"/>
          <w:b/>
          <w:color w:val="000000" w:themeColor="text1"/>
        </w:rPr>
        <w:t>RECURRENTE</w:t>
      </w:r>
      <w:r>
        <w:rPr>
          <w:rFonts w:ascii="Palatino Linotype" w:hAnsi="Palatino Linotype" w:cs="Arial"/>
          <w:color w:val="000000" w:themeColor="text1"/>
        </w:rPr>
        <w:t xml:space="preserve">, quien es la misma persona que formuló las solicitudes de acceso a la información pública </w:t>
      </w:r>
      <w:r>
        <w:rPr>
          <w:rFonts w:ascii="Palatino Linotype" w:hAnsi="Palatino Linotype" w:cs="Arial"/>
          <w:bCs/>
          <w:color w:val="000000" w:themeColor="text1"/>
        </w:rPr>
        <w:t xml:space="preserve">al </w:t>
      </w:r>
      <w:r>
        <w:rPr>
          <w:rFonts w:ascii="Palatino Linotype" w:hAnsi="Palatino Linotype" w:cs="Arial"/>
          <w:b/>
          <w:bCs/>
          <w:color w:val="000000" w:themeColor="text1"/>
        </w:rPr>
        <w:t>SUJETO OBLIGADO.</w:t>
      </w:r>
    </w:p>
    <w:p w:rsidR="008A2DFA" w:rsidRDefault="008A2DFA">
      <w:pPr>
        <w:spacing w:line="360" w:lineRule="auto"/>
        <w:jc w:val="both"/>
        <w:rPr>
          <w:rFonts w:ascii="Palatino Linotype" w:hAnsi="Palatino Linotype" w:cs="Arial"/>
          <w:b/>
          <w:color w:val="000000" w:themeColor="text1"/>
          <w:szCs w:val="28"/>
        </w:rPr>
      </w:pPr>
    </w:p>
    <w:p w:rsidR="008A2DFA" w:rsidRDefault="00D60B2C">
      <w:pPr>
        <w:pStyle w:val="Encabezado"/>
        <w:spacing w:line="360" w:lineRule="auto"/>
        <w:jc w:val="both"/>
        <w:rPr>
          <w:rFonts w:ascii="Palatino Linotype" w:hAnsi="Palatino Linotype" w:hint="eastAsia"/>
          <w:color w:val="000000" w:themeColor="text1"/>
        </w:rPr>
      </w:pPr>
      <w:r>
        <w:rPr>
          <w:rFonts w:ascii="Palatino Linotype" w:eastAsia="Times New Roman" w:hAnsi="Palatino Linotype" w:cs="Arial"/>
          <w:b/>
          <w:color w:val="000000" w:themeColor="text1"/>
          <w:sz w:val="28"/>
          <w:szCs w:val="28"/>
          <w:lang w:val="es-ES"/>
        </w:rPr>
        <w:t>TERCERO.</w:t>
      </w:r>
      <w:r>
        <w:rPr>
          <w:rFonts w:ascii="Palatino Linotype" w:hAnsi="Palatino Linotype" w:cs="Arial"/>
          <w:color w:val="000000" w:themeColor="text1"/>
        </w:rPr>
        <w:t xml:space="preserve"> </w:t>
      </w:r>
      <w:r>
        <w:rPr>
          <w:rFonts w:ascii="Palatino Linotype" w:hAnsi="Palatino Linotype" w:cs="Arial"/>
          <w:b/>
          <w:color w:val="000000" w:themeColor="text1"/>
        </w:rPr>
        <w:t>Justificación de la Acumulación de los recursos.</w:t>
      </w:r>
      <w:r>
        <w:rPr>
          <w:rFonts w:ascii="Palatino Linotype" w:hAnsi="Palatino Linotype" w:cs="Arial"/>
          <w:color w:val="000000" w:themeColor="text1"/>
        </w:rPr>
        <w:t xml:space="preserve"> De las constancias que obran en los expedientes acumulados, se advierte que </w:t>
      </w:r>
      <w:r>
        <w:rPr>
          <w:rFonts w:ascii="Palatino Linotype" w:hAnsi="Palatino Linotype" w:cs="Arial"/>
          <w:color w:val="000000" w:themeColor="text1"/>
        </w:rPr>
        <w:t>en los recursos de revisión</w:t>
      </w:r>
      <w:r>
        <w:rPr>
          <w:rFonts w:ascii="Palatino Linotype" w:hAnsi="Palatino Linotype"/>
          <w:color w:val="000000" w:themeColor="text1"/>
        </w:rPr>
        <w:t xml:space="preserve"> </w:t>
      </w:r>
      <w:r>
        <w:rPr>
          <w:rFonts w:ascii="Palatino Linotype" w:hAnsi="Palatino Linotype"/>
          <w:b/>
          <w:color w:val="000000" w:themeColor="text1"/>
        </w:rPr>
        <w:t xml:space="preserve">01332/INFOEM/IP/RR/2010 </w:t>
      </w:r>
      <w:r>
        <w:rPr>
          <w:rFonts w:ascii="Palatino Linotype" w:hAnsi="Palatino Linotype"/>
          <w:color w:val="000000" w:themeColor="text1"/>
        </w:rPr>
        <w:t>y</w:t>
      </w:r>
      <w:r>
        <w:rPr>
          <w:rFonts w:ascii="Palatino Linotype" w:hAnsi="Palatino Linotype"/>
          <w:b/>
          <w:color w:val="000000" w:themeColor="text1"/>
        </w:rPr>
        <w:t xml:space="preserve"> 01333/INFOEM/IP/RR/2019 acumulados</w:t>
      </w:r>
      <w:r>
        <w:rPr>
          <w:rFonts w:ascii="Palatino Linotype" w:hAnsi="Palatino Linotype" w:cs="Arial"/>
          <w:b/>
          <w:bCs/>
          <w:color w:val="000000" w:themeColor="text1"/>
        </w:rPr>
        <w:t xml:space="preserve">, </w:t>
      </w:r>
      <w:r>
        <w:rPr>
          <w:rFonts w:ascii="Palatino Linotype" w:hAnsi="Palatino Linotype" w:cs="Arial"/>
          <w:color w:val="000000" w:themeColor="text1"/>
        </w:rPr>
        <w:t xml:space="preserve">fueron presentados por el mismo </w:t>
      </w:r>
      <w:r>
        <w:rPr>
          <w:rFonts w:ascii="Palatino Linotype" w:hAnsi="Palatino Linotype" w:cs="Arial"/>
          <w:b/>
          <w:color w:val="000000" w:themeColor="text1"/>
        </w:rPr>
        <w:t>RECURRENTE</w:t>
      </w:r>
      <w:r>
        <w:rPr>
          <w:rFonts w:ascii="Palatino Linotype" w:hAnsi="Palatino Linotype" w:cs="Arial"/>
          <w:color w:val="000000" w:themeColor="text1"/>
        </w:rPr>
        <w:t xml:space="preserve"> respecto de los actos u omisiones del mismo </w:t>
      </w:r>
      <w:r>
        <w:rPr>
          <w:rFonts w:ascii="Palatino Linotype" w:hAnsi="Palatino Linotype" w:cs="Arial"/>
          <w:b/>
          <w:color w:val="000000" w:themeColor="text1"/>
        </w:rPr>
        <w:t>SUJETO OBLIGADO</w:t>
      </w:r>
      <w:r>
        <w:rPr>
          <w:rFonts w:ascii="Palatino Linotype" w:hAnsi="Palatino Linotype" w:cs="Arial"/>
          <w:color w:val="000000" w:themeColor="text1"/>
        </w:rPr>
        <w:t>, razón por la cual, resulta conveniente su trámite de forma uni</w:t>
      </w:r>
      <w:r>
        <w:rPr>
          <w:rFonts w:ascii="Palatino Linotype" w:hAnsi="Palatino Linotype" w:cs="Arial"/>
          <w:color w:val="000000" w:themeColor="text1"/>
        </w:rPr>
        <w:t xml:space="preserve">ficada para mejor resolver y evitar la emisión de resoluciones contradictorias, fue procedente que este Órgano Garante realizara la acumulación respectiva, de </w:t>
      </w:r>
      <w:r>
        <w:rPr>
          <w:rFonts w:ascii="Palatino Linotype" w:hAnsi="Palatino Linotype" w:cs="Arial"/>
          <w:color w:val="000000" w:themeColor="text1"/>
        </w:rPr>
        <w:lastRenderedPageBreak/>
        <w:t xml:space="preserve">conformidad con lo dispuesto en el artículo 18 del </w:t>
      </w:r>
      <w:r>
        <w:rPr>
          <w:rFonts w:ascii="Palatino Linotype" w:hAnsi="Palatino Linotype" w:cs="Arial"/>
          <w:color w:val="000000" w:themeColor="text1"/>
          <w:lang w:val="es-ES"/>
        </w:rPr>
        <w:t>Código de Procedimientos Administrativos del E</w:t>
      </w:r>
      <w:r>
        <w:rPr>
          <w:rFonts w:ascii="Palatino Linotype" w:hAnsi="Palatino Linotype" w:cs="Arial"/>
          <w:color w:val="000000" w:themeColor="text1"/>
          <w:lang w:val="es-ES"/>
        </w:rPr>
        <w:t xml:space="preserve">stado de México, de aplicación supletoria en términos del </w:t>
      </w:r>
      <w:r>
        <w:rPr>
          <w:rFonts w:ascii="Palatino Linotype" w:hAnsi="Palatino Linotype" w:cs="Arial"/>
          <w:color w:val="000000" w:themeColor="text1"/>
        </w:rPr>
        <w:t xml:space="preserve">artículo 195 de </w:t>
      </w:r>
      <w:r>
        <w:rPr>
          <w:rFonts w:ascii="Palatino Linotype" w:hAnsi="Palatino Linotype"/>
          <w:color w:val="000000" w:themeColor="text1"/>
        </w:rPr>
        <w:t>la Ley de Transparencia y Acceso a la Información Pública del Estado de México y Municipios en vigor, que a la letra señalan:</w:t>
      </w:r>
    </w:p>
    <w:p w:rsidR="008A2DFA" w:rsidRDefault="008A2DFA">
      <w:pPr>
        <w:pStyle w:val="Encabezado"/>
        <w:jc w:val="both"/>
        <w:rPr>
          <w:rFonts w:ascii="Palatino Linotype" w:hAnsi="Palatino Linotype" w:hint="eastAsia"/>
          <w:color w:val="000000" w:themeColor="text1"/>
        </w:rPr>
      </w:pPr>
    </w:p>
    <w:p w:rsidR="008A2DFA" w:rsidRDefault="00D60B2C">
      <w:pPr>
        <w:tabs>
          <w:tab w:val="left" w:pos="8222"/>
        </w:tabs>
        <w:ind w:left="851" w:right="1134"/>
        <w:jc w:val="center"/>
        <w:rPr>
          <w:rFonts w:ascii="Palatino Linotype" w:hAnsi="Palatino Linotype" w:cs="Arial"/>
          <w:b/>
          <w:i/>
          <w:color w:val="000000" w:themeColor="text1"/>
          <w:sz w:val="22"/>
          <w:szCs w:val="22"/>
        </w:rPr>
      </w:pPr>
      <w:r>
        <w:rPr>
          <w:rFonts w:ascii="Palatino Linotype" w:hAnsi="Palatino Linotype" w:cs="Arial"/>
          <w:b/>
          <w:i/>
          <w:color w:val="000000" w:themeColor="text1"/>
          <w:sz w:val="22"/>
          <w:szCs w:val="22"/>
        </w:rPr>
        <w:t xml:space="preserve">Código de Procedimientos Administrativos del Estado de </w:t>
      </w:r>
      <w:r>
        <w:rPr>
          <w:rFonts w:ascii="Palatino Linotype" w:hAnsi="Palatino Linotype" w:cs="Arial"/>
          <w:b/>
          <w:i/>
          <w:color w:val="000000" w:themeColor="text1"/>
          <w:sz w:val="22"/>
          <w:szCs w:val="22"/>
        </w:rPr>
        <w:t>México</w:t>
      </w:r>
    </w:p>
    <w:p w:rsidR="008A2DFA" w:rsidRDefault="008A2DFA">
      <w:pPr>
        <w:ind w:left="851" w:right="992"/>
        <w:jc w:val="center"/>
        <w:rPr>
          <w:rFonts w:ascii="Palatino Linotype" w:hAnsi="Palatino Linotype" w:cs="Arial"/>
          <w:b/>
          <w:i/>
          <w:color w:val="000000" w:themeColor="text1"/>
          <w:szCs w:val="22"/>
        </w:rPr>
      </w:pPr>
    </w:p>
    <w:p w:rsidR="008A2DFA" w:rsidRDefault="00D60B2C">
      <w:pPr>
        <w:tabs>
          <w:tab w:val="left" w:pos="8222"/>
        </w:tabs>
        <w:ind w:left="851" w:right="1134"/>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Pr>
          <w:rFonts w:ascii="Palatino Linotype" w:hAnsi="Palatino Linotype" w:cs="Arial"/>
          <w:b/>
          <w:i/>
          <w:color w:val="000000" w:themeColor="text1"/>
          <w:sz w:val="22"/>
          <w:szCs w:val="22"/>
        </w:rPr>
        <w:t>Artículo 18</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 xml:space="preserve">La autoridad administrativa o el Tribunal </w:t>
      </w:r>
      <w:r>
        <w:rPr>
          <w:rFonts w:ascii="Palatino Linotype" w:hAnsi="Palatino Linotype" w:cs="Arial"/>
          <w:b/>
          <w:i/>
          <w:color w:val="000000" w:themeColor="text1"/>
          <w:sz w:val="22"/>
          <w:szCs w:val="22"/>
          <w:u w:val="single"/>
        </w:rPr>
        <w:t>acordarán la acumulación de los expedientes</w:t>
      </w:r>
      <w:r>
        <w:rPr>
          <w:rFonts w:ascii="Palatino Linotype" w:hAnsi="Palatino Linotype" w:cs="Arial"/>
          <w:b/>
          <w:i/>
          <w:color w:val="000000" w:themeColor="text1"/>
          <w:sz w:val="22"/>
          <w:szCs w:val="22"/>
        </w:rPr>
        <w:t xml:space="preserve"> del procedimiento y proceso administrativo que ante ellos se sigan, de oficio</w:t>
      </w:r>
      <w:r>
        <w:rPr>
          <w:rFonts w:ascii="Palatino Linotype" w:hAnsi="Palatino Linotype" w:cs="Arial"/>
          <w:i/>
          <w:color w:val="000000" w:themeColor="text1"/>
          <w:sz w:val="22"/>
          <w:szCs w:val="22"/>
        </w:rPr>
        <w:t xml:space="preserve"> o a petición de parte, </w:t>
      </w:r>
      <w:r>
        <w:rPr>
          <w:rFonts w:ascii="Palatino Linotype" w:hAnsi="Palatino Linotype" w:cs="Arial"/>
          <w:b/>
          <w:i/>
          <w:color w:val="000000" w:themeColor="text1"/>
          <w:sz w:val="22"/>
          <w:szCs w:val="22"/>
          <w:u w:val="single"/>
        </w:rPr>
        <w:t>cuando las partes</w:t>
      </w:r>
      <w:r>
        <w:rPr>
          <w:rFonts w:ascii="Palatino Linotype" w:hAnsi="Palatino Linotype" w:cs="Arial"/>
          <w:i/>
          <w:color w:val="000000" w:themeColor="text1"/>
          <w:sz w:val="22"/>
          <w:szCs w:val="22"/>
        </w:rPr>
        <w:t xml:space="preserve"> o los actos administrativos </w:t>
      </w:r>
      <w:r>
        <w:rPr>
          <w:rFonts w:ascii="Palatino Linotype" w:hAnsi="Palatino Linotype" w:cs="Arial"/>
          <w:b/>
          <w:i/>
          <w:color w:val="000000" w:themeColor="text1"/>
          <w:sz w:val="22"/>
          <w:szCs w:val="22"/>
          <w:u w:val="single"/>
        </w:rPr>
        <w:t>sean iguales</w:t>
      </w:r>
      <w:r>
        <w:rPr>
          <w:rFonts w:ascii="Palatino Linotype" w:hAnsi="Palatino Linotype" w:cs="Arial"/>
          <w:i/>
          <w:color w:val="000000" w:themeColor="text1"/>
          <w:sz w:val="22"/>
          <w:szCs w:val="22"/>
        </w:rPr>
        <w:t xml:space="preserve">, se trate de actos conexos o </w:t>
      </w:r>
      <w:r>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Pr>
          <w:rFonts w:ascii="Palatino Linotype" w:hAnsi="Palatino Linotype" w:cs="Arial"/>
          <w:i/>
          <w:color w:val="000000" w:themeColor="text1"/>
          <w:sz w:val="22"/>
          <w:szCs w:val="22"/>
        </w:rPr>
        <w:t>. La misma regla se aplicará, en lo conducente, para la separación de los expedientes.”</w:t>
      </w:r>
    </w:p>
    <w:p w:rsidR="008A2DFA" w:rsidRDefault="008A2DFA">
      <w:pPr>
        <w:ind w:left="851" w:right="992"/>
        <w:jc w:val="both"/>
        <w:rPr>
          <w:rFonts w:ascii="Palatino Linotype" w:hAnsi="Palatino Linotype" w:cs="Arial"/>
          <w:i/>
          <w:color w:val="000000" w:themeColor="text1"/>
          <w:szCs w:val="22"/>
        </w:rPr>
      </w:pPr>
    </w:p>
    <w:p w:rsidR="008A2DFA" w:rsidRDefault="00D60B2C">
      <w:pPr>
        <w:tabs>
          <w:tab w:val="left" w:pos="8222"/>
        </w:tabs>
        <w:ind w:left="851" w:right="1134"/>
        <w:jc w:val="center"/>
        <w:rPr>
          <w:rFonts w:ascii="Palatino Linotype" w:hAnsi="Palatino Linotype" w:cs="Arial"/>
          <w:b/>
          <w:i/>
          <w:color w:val="000000" w:themeColor="text1"/>
          <w:sz w:val="22"/>
          <w:szCs w:val="22"/>
        </w:rPr>
      </w:pPr>
      <w:r>
        <w:rPr>
          <w:rFonts w:ascii="Palatino Linotype" w:hAnsi="Palatino Linotype" w:cs="Arial"/>
          <w:b/>
          <w:i/>
          <w:color w:val="000000" w:themeColor="text1"/>
          <w:sz w:val="22"/>
          <w:szCs w:val="22"/>
        </w:rPr>
        <w:t>Ley de Transpa</w:t>
      </w:r>
      <w:r>
        <w:rPr>
          <w:rFonts w:ascii="Palatino Linotype" w:hAnsi="Palatino Linotype" w:cs="Arial"/>
          <w:b/>
          <w:i/>
          <w:color w:val="000000" w:themeColor="text1"/>
          <w:sz w:val="22"/>
          <w:szCs w:val="22"/>
        </w:rPr>
        <w:t xml:space="preserve">rencia y Acceso a la Información Pública del Estado de México y Municipios </w:t>
      </w:r>
    </w:p>
    <w:p w:rsidR="008A2DFA" w:rsidRDefault="00D60B2C">
      <w:pPr>
        <w:tabs>
          <w:tab w:val="left" w:pos="8222"/>
        </w:tabs>
        <w:ind w:left="851" w:right="1134"/>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Pr>
          <w:rFonts w:ascii="Palatino Linotype" w:hAnsi="Palatino Linotype" w:cs="Arial"/>
          <w:b/>
          <w:i/>
          <w:color w:val="000000" w:themeColor="text1"/>
          <w:sz w:val="22"/>
          <w:szCs w:val="22"/>
        </w:rPr>
        <w:t xml:space="preserve">Artículo 195. </w:t>
      </w:r>
      <w:r>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w:t>
      </w:r>
      <w:r>
        <w:rPr>
          <w:rFonts w:ascii="Palatino Linotype" w:hAnsi="Palatino Linotype" w:cs="Arial"/>
          <w:i/>
          <w:color w:val="000000" w:themeColor="text1"/>
          <w:sz w:val="22"/>
          <w:szCs w:val="22"/>
        </w:rPr>
        <w:t>co.”</w:t>
      </w:r>
    </w:p>
    <w:p w:rsidR="008A2DFA" w:rsidRDefault="00D60B2C">
      <w:pPr>
        <w:tabs>
          <w:tab w:val="left" w:pos="8222"/>
        </w:tabs>
        <w:ind w:left="851" w:right="1134"/>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(Énfasis añadido)</w:t>
      </w:r>
    </w:p>
    <w:p w:rsidR="008A2DFA" w:rsidRDefault="008A2DFA">
      <w:pPr>
        <w:jc w:val="both"/>
        <w:rPr>
          <w:rFonts w:ascii="Palatino Linotype" w:hAnsi="Palatino Linotype" w:cs="Arial"/>
          <w:b/>
          <w:color w:val="000000" w:themeColor="text1"/>
          <w:szCs w:val="28"/>
        </w:rPr>
      </w:pPr>
    </w:p>
    <w:p w:rsidR="008A2DFA" w:rsidRDefault="00D60B2C">
      <w:pPr>
        <w:pStyle w:val="Encabezado"/>
        <w:spacing w:line="360" w:lineRule="auto"/>
        <w:jc w:val="both"/>
        <w:rPr>
          <w:rFonts w:ascii="Palatino Linotype" w:hAnsi="Palatino Linotype" w:cs="Arial" w:hint="eastAsia"/>
          <w:color w:val="000000" w:themeColor="text1"/>
        </w:rPr>
      </w:pPr>
      <w:r>
        <w:rPr>
          <w:rFonts w:ascii="Palatino Linotype" w:hAnsi="Palatino Linotype" w:cs="Arial"/>
          <w:color w:val="000000" w:themeColor="text1"/>
        </w:rPr>
        <w:t>De lo dispuesto en la normativa anterior, dicha acumulación procede cuando:</w:t>
      </w:r>
    </w:p>
    <w:p w:rsidR="008A2DFA" w:rsidRDefault="00D60B2C">
      <w:pPr>
        <w:pStyle w:val="Encabezado"/>
        <w:numPr>
          <w:ilvl w:val="0"/>
          <w:numId w:val="1"/>
        </w:numPr>
        <w:spacing w:line="360" w:lineRule="auto"/>
        <w:jc w:val="both"/>
        <w:rPr>
          <w:rFonts w:ascii="Palatino Linotype" w:hAnsi="Palatino Linotype" w:cs="Arial" w:hint="eastAsia"/>
          <w:color w:val="000000" w:themeColor="text1"/>
        </w:rPr>
      </w:pPr>
      <w:r>
        <w:rPr>
          <w:rFonts w:ascii="Palatino Linotype" w:hAnsi="Palatino Linotype" w:cs="Arial"/>
          <w:color w:val="000000" w:themeColor="text1"/>
        </w:rPr>
        <w:t>El solicitante y la información referida sean las mismas;</w:t>
      </w:r>
    </w:p>
    <w:p w:rsidR="008A2DFA" w:rsidRDefault="00D60B2C">
      <w:pPr>
        <w:pStyle w:val="Encabezado"/>
        <w:numPr>
          <w:ilvl w:val="0"/>
          <w:numId w:val="1"/>
        </w:numPr>
        <w:spacing w:line="360" w:lineRule="auto"/>
        <w:jc w:val="both"/>
        <w:rPr>
          <w:rFonts w:ascii="Palatino Linotype" w:hAnsi="Palatino Linotype" w:cs="Arial" w:hint="eastAsia"/>
          <w:color w:val="000000" w:themeColor="text1"/>
        </w:rPr>
      </w:pPr>
      <w:r>
        <w:rPr>
          <w:rFonts w:ascii="Palatino Linotype" w:hAnsi="Palatino Linotype" w:cs="Arial"/>
          <w:b/>
          <w:color w:val="000000" w:themeColor="text1"/>
          <w:u w:val="single"/>
        </w:rPr>
        <w:t>Las partes o los actos impugnados sean iguales</w:t>
      </w:r>
      <w:r>
        <w:rPr>
          <w:rFonts w:ascii="Palatino Linotype" w:hAnsi="Palatino Linotype" w:cs="Arial"/>
          <w:color w:val="000000" w:themeColor="text1"/>
        </w:rPr>
        <w:t>;</w:t>
      </w:r>
    </w:p>
    <w:p w:rsidR="008A2DFA" w:rsidRDefault="00D60B2C">
      <w:pPr>
        <w:pStyle w:val="Encabezado"/>
        <w:numPr>
          <w:ilvl w:val="0"/>
          <w:numId w:val="1"/>
        </w:numPr>
        <w:spacing w:line="360" w:lineRule="auto"/>
        <w:jc w:val="both"/>
        <w:rPr>
          <w:rFonts w:ascii="Palatino Linotype" w:hAnsi="Palatino Linotype" w:cs="Arial" w:hint="eastAsia"/>
          <w:color w:val="000000" w:themeColor="text1"/>
        </w:rPr>
      </w:pPr>
      <w:r>
        <w:rPr>
          <w:rFonts w:ascii="Palatino Linotype" w:hAnsi="Palatino Linotype" w:cs="Arial"/>
          <w:b/>
          <w:color w:val="000000" w:themeColor="text1"/>
          <w:u w:val="single"/>
        </w:rPr>
        <w:t xml:space="preserve">Cuando se trate del mismo solicitante, el mismo </w:t>
      </w:r>
      <w:r>
        <w:rPr>
          <w:rFonts w:ascii="Palatino Linotype" w:hAnsi="Palatino Linotype" w:cs="Arial"/>
          <w:b/>
          <w:color w:val="000000" w:themeColor="text1"/>
          <w:u w:val="single"/>
        </w:rPr>
        <w:t>Sujeto Obligado</w:t>
      </w:r>
      <w:r>
        <w:rPr>
          <w:rFonts w:ascii="Palatino Linotype" w:hAnsi="Palatino Linotype" w:cs="Arial"/>
          <w:color w:val="000000" w:themeColor="text1"/>
        </w:rPr>
        <w:t>, y</w:t>
      </w:r>
    </w:p>
    <w:p w:rsidR="008A2DFA" w:rsidRDefault="00D60B2C">
      <w:pPr>
        <w:pStyle w:val="Encabezado"/>
        <w:numPr>
          <w:ilvl w:val="0"/>
          <w:numId w:val="1"/>
        </w:numPr>
        <w:spacing w:line="360" w:lineRule="auto"/>
        <w:ind w:left="357" w:hanging="357"/>
        <w:jc w:val="both"/>
        <w:rPr>
          <w:rFonts w:ascii="Palatino Linotype" w:hAnsi="Palatino Linotype" w:cs="Arial" w:hint="eastAsia"/>
          <w:color w:val="000000" w:themeColor="text1"/>
        </w:rPr>
      </w:pPr>
      <w:r>
        <w:rPr>
          <w:rFonts w:ascii="Palatino Linotype" w:hAnsi="Palatino Linotype" w:cs="Arial"/>
          <w:color w:val="000000" w:themeColor="text1"/>
        </w:rPr>
        <w:t>Aun tratándose de solicitudes diversas, resulte conveniente la resolución unificada de los asuntos</w:t>
      </w:r>
      <w:r>
        <w:rPr>
          <w:rFonts w:ascii="Palatino Linotype" w:hAnsi="Palatino Linotype" w:cs="Arial"/>
          <w:i/>
          <w:color w:val="000000" w:themeColor="text1"/>
        </w:rPr>
        <w:t>.</w:t>
      </w:r>
    </w:p>
    <w:p w:rsidR="008A2DFA" w:rsidRDefault="008A2DFA">
      <w:pPr>
        <w:pStyle w:val="Prrafodelista"/>
        <w:widowControl w:val="0"/>
        <w:spacing w:line="360" w:lineRule="auto"/>
        <w:ind w:left="0"/>
        <w:jc w:val="both"/>
        <w:rPr>
          <w:rFonts w:ascii="Palatino Linotype" w:hAnsi="Palatino Linotype" w:cs="Arial"/>
          <w:color w:val="000000" w:themeColor="text1"/>
        </w:rPr>
      </w:pPr>
    </w:p>
    <w:p w:rsidR="008A2DFA" w:rsidRDefault="00D60B2C">
      <w:pPr>
        <w:pStyle w:val="Prrafodelista"/>
        <w:widowControl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De esta suerte, tal y como se mencionó anteriormente, los recursos de revisión que nos ocupan fueron interpuestos por el mismo </w:t>
      </w:r>
      <w:r>
        <w:rPr>
          <w:rFonts w:ascii="Palatino Linotype" w:hAnsi="Palatino Linotype" w:cs="Arial"/>
          <w:b/>
          <w:color w:val="000000" w:themeColor="text1"/>
        </w:rPr>
        <w:t>RECURRENT</w:t>
      </w:r>
      <w:r>
        <w:rPr>
          <w:rFonts w:ascii="Palatino Linotype" w:hAnsi="Palatino Linotype" w:cs="Arial"/>
          <w:b/>
          <w:color w:val="000000" w:themeColor="text1"/>
        </w:rPr>
        <w:t>E</w:t>
      </w:r>
      <w:r>
        <w:rPr>
          <w:rFonts w:ascii="Palatino Linotype" w:hAnsi="Palatino Linotype" w:cs="Arial"/>
          <w:color w:val="000000" w:themeColor="text1"/>
        </w:rPr>
        <w:t xml:space="preserve"> ante el mismo </w:t>
      </w:r>
      <w:r>
        <w:rPr>
          <w:rFonts w:ascii="Palatino Linotype" w:hAnsi="Palatino Linotype" w:cs="Arial"/>
          <w:b/>
          <w:color w:val="000000" w:themeColor="text1"/>
        </w:rPr>
        <w:t xml:space="preserve">SUJETO </w:t>
      </w:r>
      <w:r>
        <w:rPr>
          <w:rFonts w:ascii="Palatino Linotype" w:hAnsi="Palatino Linotype" w:cs="Arial"/>
          <w:b/>
          <w:color w:val="000000" w:themeColor="text1"/>
        </w:rPr>
        <w:lastRenderedPageBreak/>
        <w:t>OBLIGADO</w:t>
      </w:r>
      <w:r>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rsidR="008A2DFA" w:rsidRDefault="008A2DFA">
      <w:pPr>
        <w:spacing w:line="360" w:lineRule="auto"/>
        <w:jc w:val="both"/>
        <w:rPr>
          <w:rFonts w:ascii="Palatino Linotype" w:hAnsi="Palatino Linotype" w:cs="Arial"/>
          <w:b/>
          <w:color w:val="000000" w:themeColor="text1"/>
          <w:szCs w:val="28"/>
        </w:rPr>
      </w:pPr>
    </w:p>
    <w:p w:rsidR="008A2DFA" w:rsidRDefault="00D60B2C">
      <w:pPr>
        <w:pStyle w:val="Prrafodelista"/>
        <w:spacing w:line="360" w:lineRule="auto"/>
        <w:ind w:left="0" w:right="49"/>
        <w:jc w:val="both"/>
        <w:rPr>
          <w:rFonts w:ascii="Palatino Linotype" w:hAnsi="Palatino Linotype" w:cs="Arial"/>
          <w:color w:val="000000" w:themeColor="text1"/>
        </w:rPr>
      </w:pPr>
      <w:r>
        <w:rPr>
          <w:rFonts w:ascii="Palatino Linotype" w:hAnsi="Palatino Linotype"/>
          <w:b/>
          <w:color w:val="000000" w:themeColor="text1"/>
          <w:sz w:val="28"/>
        </w:rPr>
        <w:t xml:space="preserve">CUARTO. </w:t>
      </w:r>
      <w:r>
        <w:rPr>
          <w:rFonts w:ascii="Palatino Linotype" w:hAnsi="Palatino Linotype" w:cs="Arial"/>
          <w:b/>
          <w:color w:val="000000" w:themeColor="text1"/>
        </w:rPr>
        <w:t xml:space="preserve">Oportunidad. </w:t>
      </w:r>
      <w:r>
        <w:rPr>
          <w:rFonts w:ascii="Palatino Linotype" w:hAnsi="Palatino Linotype" w:cs="Arial"/>
          <w:color w:val="000000" w:themeColor="text1"/>
        </w:rPr>
        <w:t xml:space="preserve">Los recursos de revisión fueron interpuestos dentro del plazo de quince días hábiles contados a partir del día siguiente al en que </w:t>
      </w:r>
      <w:r>
        <w:rPr>
          <w:rFonts w:ascii="Palatino Linotype" w:hAnsi="Palatino Linotype" w:cs="Arial"/>
          <w:b/>
          <w:color w:val="000000" w:themeColor="text1"/>
        </w:rPr>
        <w:t xml:space="preserve">EL RECURRENTE </w:t>
      </w:r>
      <w:r>
        <w:rPr>
          <w:rFonts w:ascii="Palatino Linotype" w:hAnsi="Palatino Linotype" w:cs="Arial"/>
          <w:color w:val="000000" w:themeColor="text1"/>
        </w:rPr>
        <w:t>tuvo conocimiento de las respuestas impugnadas, tal y como lo prevé el artículo 178 de la Ley de T</w:t>
      </w:r>
      <w:r>
        <w:rPr>
          <w:rFonts w:ascii="Palatino Linotype" w:hAnsi="Palatino Linotype" w:cs="Arial"/>
          <w:color w:val="000000" w:themeColor="text1"/>
        </w:rPr>
        <w:t xml:space="preserve">ransparencia y Acceso a la Información Pública del Estado de México y Municipios, que establece: </w:t>
      </w:r>
    </w:p>
    <w:p w:rsidR="008A2DFA" w:rsidRDefault="008A2DFA">
      <w:pPr>
        <w:ind w:left="851" w:right="899"/>
        <w:jc w:val="both"/>
        <w:rPr>
          <w:rFonts w:ascii="Palatino Linotype" w:hAnsi="Palatino Linotype" w:cs="Arial"/>
          <w:color w:val="000000" w:themeColor="text1"/>
        </w:rPr>
      </w:pP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“Artículo 178.</w:t>
      </w:r>
      <w:r>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w:t>
      </w:r>
      <w:r>
        <w:rPr>
          <w:rFonts w:ascii="Palatino Linotype" w:hAnsi="Palatino Linotype" w:cs="Arial"/>
          <w:i/>
          <w:color w:val="000000" w:themeColor="text1"/>
          <w:sz w:val="22"/>
          <w:szCs w:val="22"/>
        </w:rPr>
        <w:t xml:space="preserve"> ante el Instituto o ante la Unidad de Transparencia que haya conocido de la solicitud dentro de los quince días hábiles, siguientes a la fecha de la notificación de la respuesta.</w:t>
      </w: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A falta de respuesta del sujeto obligado, dentro de los plazos establecidos </w:t>
      </w:r>
      <w:r>
        <w:rPr>
          <w:rFonts w:ascii="Palatino Linotype" w:hAnsi="Palatino Linotype" w:cs="Arial"/>
          <w:i/>
          <w:color w:val="000000" w:themeColor="text1"/>
          <w:sz w:val="22"/>
          <w:szCs w:val="22"/>
        </w:rPr>
        <w:t>en esta Ley, a una solicitud de acceso a la información pública, el recurso podrá ser interpuesto en cualquier momento, acompañado con el documento que pruebe la fecha en que presentó la solicitud.</w:t>
      </w:r>
    </w:p>
    <w:p w:rsidR="008A2DFA" w:rsidRDefault="00D60B2C">
      <w:pPr>
        <w:tabs>
          <w:tab w:val="left" w:pos="8222"/>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En el caso de que se interponga ante la Unidad de Transpar</w:t>
      </w:r>
      <w:r>
        <w:rPr>
          <w:rFonts w:ascii="Palatino Linotype" w:hAnsi="Palatino Linotype" w:cs="Arial"/>
          <w:i/>
          <w:color w:val="000000" w:themeColor="text1"/>
          <w:sz w:val="22"/>
          <w:szCs w:val="22"/>
        </w:rPr>
        <w:t>encia, ésta deberá remitir el recurso de revisión al Instituto a más tardar al día siguiente de haberlo recibido.</w:t>
      </w:r>
      <w:r>
        <w:rPr>
          <w:rFonts w:ascii="Palatino Linotype" w:hAnsi="Palatino Linotype" w:cs="Arial"/>
          <w:b/>
          <w:i/>
          <w:color w:val="000000" w:themeColor="text1"/>
          <w:sz w:val="22"/>
          <w:szCs w:val="22"/>
        </w:rPr>
        <w:t>”</w:t>
      </w:r>
    </w:p>
    <w:p w:rsidR="008A2DFA" w:rsidRDefault="008A2DFA">
      <w:pPr>
        <w:ind w:left="851" w:right="899"/>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En efecto, se actualiza la hipótesis prevista en el precepto legal antes transcrito, en atención a que la respuesta impugnada correspondiente al recurso de revisión </w:t>
      </w:r>
      <w:r>
        <w:rPr>
          <w:rFonts w:ascii="Palatino Linotype" w:hAnsi="Palatino Linotype"/>
          <w:b/>
          <w:color w:val="000000" w:themeColor="text1"/>
        </w:rPr>
        <w:t xml:space="preserve">01332/INFOEM/IP/RR/2020 </w:t>
      </w:r>
      <w:r>
        <w:rPr>
          <w:rFonts w:ascii="Palatino Linotype" w:hAnsi="Palatino Linotype" w:cs="Arial"/>
          <w:bCs/>
          <w:color w:val="000000" w:themeColor="text1"/>
        </w:rPr>
        <w:t xml:space="preserve">fue notificada </w:t>
      </w:r>
      <w:r>
        <w:rPr>
          <w:rFonts w:ascii="Palatino Linotype" w:hAnsi="Palatino Linotype" w:cs="Arial"/>
          <w:color w:val="000000" w:themeColor="text1"/>
        </w:rPr>
        <w:t xml:space="preserve">al </w:t>
      </w:r>
      <w:r>
        <w:rPr>
          <w:rFonts w:ascii="Palatino Linotype" w:hAnsi="Palatino Linotype" w:cs="Arial"/>
          <w:b/>
          <w:color w:val="000000" w:themeColor="text1"/>
        </w:rPr>
        <w:t>RECURRENTE</w:t>
      </w:r>
      <w:r>
        <w:rPr>
          <w:rFonts w:ascii="Palatino Linotype" w:hAnsi="Palatino Linotype" w:cs="Arial"/>
          <w:bCs/>
          <w:color w:val="000000" w:themeColor="text1"/>
        </w:rPr>
        <w:t xml:space="preserve"> el </w:t>
      </w:r>
      <w:r>
        <w:rPr>
          <w:rFonts w:ascii="Palatino Linotype" w:hAnsi="Palatino Linotype"/>
          <w:b/>
          <w:color w:val="000000" w:themeColor="text1"/>
        </w:rPr>
        <w:t>diecinueve de febrero de dos mil ve</w:t>
      </w:r>
      <w:r>
        <w:rPr>
          <w:rFonts w:ascii="Palatino Linotype" w:hAnsi="Palatino Linotype"/>
          <w:b/>
          <w:color w:val="000000" w:themeColor="text1"/>
        </w:rPr>
        <w:t xml:space="preserve">inte, </w:t>
      </w:r>
      <w:r>
        <w:rPr>
          <w:rFonts w:ascii="Palatino Linotype" w:hAnsi="Palatino Linotype" w:cs="Arial"/>
          <w:bCs/>
          <w:color w:val="000000" w:themeColor="text1"/>
        </w:rPr>
        <w:t>por lo que, el plazo</w:t>
      </w:r>
      <w:r>
        <w:rPr>
          <w:rFonts w:ascii="Palatino Linotype" w:hAnsi="Palatino Linotype" w:cs="Arial"/>
          <w:b/>
          <w:bCs/>
          <w:color w:val="000000" w:themeColor="text1"/>
        </w:rPr>
        <w:t xml:space="preserve"> </w:t>
      </w:r>
      <w:r>
        <w:rPr>
          <w:rFonts w:ascii="Palatino Linotype" w:hAnsi="Palatino Linotype" w:cs="Arial"/>
          <w:bCs/>
          <w:color w:val="000000" w:themeColor="text1"/>
        </w:rPr>
        <w:t xml:space="preserve">para presentar el recurso de revisión transcurrió del </w:t>
      </w:r>
      <w:r>
        <w:rPr>
          <w:rFonts w:ascii="Palatino Linotype" w:hAnsi="Palatino Linotype" w:cs="Arial"/>
          <w:b/>
          <w:color w:val="000000" w:themeColor="text1"/>
        </w:rPr>
        <w:t>veinte de febrero al trece de marzo de dos mil veinte</w:t>
      </w:r>
      <w:r>
        <w:rPr>
          <w:rFonts w:ascii="Palatino Linotype" w:hAnsi="Palatino Linotype" w:cs="Arial"/>
          <w:color w:val="000000" w:themeColor="text1"/>
        </w:rPr>
        <w:t xml:space="preserve">; </w:t>
      </w:r>
      <w:r>
        <w:rPr>
          <w:rFonts w:ascii="Palatino Linotype" w:hAnsi="Palatino Linotype" w:cs="Arial"/>
          <w:bCs/>
          <w:color w:val="000000" w:themeColor="text1"/>
        </w:rPr>
        <w:t>por cuanto hace a la respuesta impugnada correspondiente al recurso de revisión</w:t>
      </w:r>
      <w:r>
        <w:rPr>
          <w:rFonts w:ascii="Palatino Linotype" w:hAnsi="Palatino Linotype"/>
          <w:b/>
          <w:color w:val="000000" w:themeColor="text1"/>
        </w:rPr>
        <w:t xml:space="preserve"> 01333/INFOEM/IP/RR/2020, </w:t>
      </w:r>
      <w:r>
        <w:rPr>
          <w:rFonts w:ascii="Palatino Linotype" w:hAnsi="Palatino Linotype" w:cs="Arial"/>
          <w:bCs/>
          <w:color w:val="000000" w:themeColor="text1"/>
        </w:rPr>
        <w:t xml:space="preserve">fue notificada </w:t>
      </w:r>
      <w:r>
        <w:rPr>
          <w:rFonts w:ascii="Palatino Linotype" w:hAnsi="Palatino Linotype" w:cs="Arial"/>
          <w:color w:val="000000" w:themeColor="text1"/>
        </w:rPr>
        <w:t xml:space="preserve">al </w:t>
      </w:r>
      <w:r>
        <w:rPr>
          <w:rFonts w:ascii="Palatino Linotype" w:hAnsi="Palatino Linotype" w:cs="Arial"/>
          <w:b/>
          <w:color w:val="000000" w:themeColor="text1"/>
        </w:rPr>
        <w:t>RECURRENTE</w:t>
      </w:r>
      <w:r>
        <w:rPr>
          <w:rFonts w:ascii="Palatino Linotype" w:hAnsi="Palatino Linotype" w:cs="Arial"/>
          <w:bCs/>
          <w:color w:val="000000" w:themeColor="text1"/>
        </w:rPr>
        <w:t xml:space="preserve"> el </w:t>
      </w:r>
      <w:r>
        <w:rPr>
          <w:rFonts w:ascii="Palatino Linotype" w:hAnsi="Palatino Linotype"/>
          <w:b/>
          <w:color w:val="000000" w:themeColor="text1"/>
        </w:rPr>
        <w:t xml:space="preserve">veinticinco de febrero </w:t>
      </w:r>
      <w:r>
        <w:rPr>
          <w:rFonts w:ascii="Palatino Linotype" w:hAnsi="Palatino Linotype"/>
          <w:b/>
          <w:color w:val="000000" w:themeColor="text1"/>
        </w:rPr>
        <w:lastRenderedPageBreak/>
        <w:t xml:space="preserve">de dos mil veinte; </w:t>
      </w:r>
      <w:r>
        <w:rPr>
          <w:rFonts w:ascii="Palatino Linotype" w:hAnsi="Palatino Linotype" w:cs="Arial"/>
          <w:bCs/>
          <w:color w:val="000000" w:themeColor="text1"/>
        </w:rPr>
        <w:t>por lo que, el plazo</w:t>
      </w:r>
      <w:r>
        <w:rPr>
          <w:rFonts w:ascii="Palatino Linotype" w:hAnsi="Palatino Linotype" w:cs="Arial"/>
          <w:b/>
          <w:bCs/>
          <w:color w:val="000000" w:themeColor="text1"/>
        </w:rPr>
        <w:t xml:space="preserve"> </w:t>
      </w:r>
      <w:r>
        <w:rPr>
          <w:rFonts w:ascii="Palatino Linotype" w:hAnsi="Palatino Linotype" w:cs="Arial"/>
          <w:bCs/>
          <w:color w:val="000000" w:themeColor="text1"/>
        </w:rPr>
        <w:t xml:space="preserve">para presentar el recurso de revisión transcurrió del </w:t>
      </w:r>
      <w:r>
        <w:rPr>
          <w:rFonts w:ascii="Palatino Linotype" w:hAnsi="Palatino Linotype" w:cs="Arial"/>
          <w:b/>
          <w:color w:val="000000" w:themeColor="text1"/>
        </w:rPr>
        <w:t xml:space="preserve">veintiséis de febrero al veinte de marzo de dos mil veinte; </w:t>
      </w:r>
      <w:r>
        <w:rPr>
          <w:rFonts w:ascii="Palatino Linotype" w:hAnsi="Palatino Linotype" w:cs="Arial"/>
          <w:color w:val="000000" w:themeColor="text1"/>
        </w:rPr>
        <w:t xml:space="preserve">sin contemplar en el cómputo los días veintidós, veintitrés y </w:t>
      </w:r>
      <w:r>
        <w:rPr>
          <w:rFonts w:ascii="Palatino Linotype" w:hAnsi="Palatino Linotype" w:cs="Arial"/>
          <w:color w:val="000000" w:themeColor="text1"/>
        </w:rPr>
        <w:t xml:space="preserve">veintinueve de febrero, así como, uno, siete, ocho, catorce y quince de marzo de dos mil veinte, por corresponder a sábados y domingos, considerados como días inhábiles; en términos del artículo 3, fracción X de la </w:t>
      </w:r>
      <w:r>
        <w:rPr>
          <w:rFonts w:ascii="Palatino Linotype" w:hAnsi="Palatino Linotype"/>
          <w:color w:val="000000" w:themeColor="text1"/>
        </w:rPr>
        <w:t>Ley de Transparencia y Acceso a la Inform</w:t>
      </w:r>
      <w:r>
        <w:rPr>
          <w:rFonts w:ascii="Palatino Linotype" w:hAnsi="Palatino Linotype"/>
          <w:color w:val="000000" w:themeColor="text1"/>
        </w:rPr>
        <w:t xml:space="preserve">ación Pública del Estado de México y Municipios; así como, los días dos y dieciséis de marzo de dos mil veinte, por ser considerados como día inhábil por suspensión de labores, en términos del </w:t>
      </w:r>
      <w:r>
        <w:rPr>
          <w:rFonts w:ascii="Palatino Linotype" w:hAnsi="Palatino Linotype" w:cs="Arial"/>
          <w:color w:val="000000" w:themeColor="text1"/>
        </w:rPr>
        <w:t>Calendario Oficial en Materia de Transparencia, Acceso a la Inf</w:t>
      </w:r>
      <w:r>
        <w:rPr>
          <w:rFonts w:ascii="Palatino Linotype" w:hAnsi="Palatino Linotype" w:cs="Arial"/>
          <w:color w:val="000000" w:themeColor="text1"/>
        </w:rPr>
        <w:t>ormación Pública y Protección de Datos Personales del Estado de México y Municipios; publicado en el Periódico Oficial “Gaceta del Gobierno”, el diecinueve de diciembre de dos mil diecinueve; asimismo, el día nueve de marzo de dos mil veinte, conforme al a</w:t>
      </w:r>
      <w:r>
        <w:rPr>
          <w:rFonts w:ascii="Palatino Linotype" w:hAnsi="Palatino Linotype" w:cs="Arial"/>
          <w:color w:val="000000" w:themeColor="text1"/>
        </w:rPr>
        <w:t>cuerdo INFOEM/ORD/08/V/2020, aprobado en la Octava Sesión Ordinaria de fecha cinco de marzo de dos mil veinte, por medio del cual el Pleno de este Instituto estableció que no correrían términos para el trámite y desahogo de los procedimientos en materia de</w:t>
      </w:r>
      <w:r>
        <w:rPr>
          <w:rFonts w:ascii="Palatino Linotype" w:hAnsi="Palatino Linotype" w:cs="Arial"/>
          <w:color w:val="000000" w:themeColor="text1"/>
        </w:rPr>
        <w:t xml:space="preserve"> acceso a la información y protección de datos personales. </w:t>
      </w:r>
    </w:p>
    <w:p w:rsidR="008A2DFA" w:rsidRDefault="008A2DFA">
      <w:pPr>
        <w:spacing w:line="360" w:lineRule="auto"/>
        <w:jc w:val="both"/>
        <w:rPr>
          <w:rFonts w:ascii="Palatino Linotype" w:eastAsiaTheme="minorEastAsia" w:hAnsi="Palatino Linotype" w:cs="Arial" w:hint="eastAsia"/>
          <w:color w:val="000000" w:themeColor="text1"/>
        </w:rPr>
      </w:pPr>
    </w:p>
    <w:p w:rsidR="008A2DFA" w:rsidRDefault="00D60B2C">
      <w:pPr>
        <w:spacing w:line="360" w:lineRule="auto"/>
        <w:jc w:val="both"/>
        <w:rPr>
          <w:rFonts w:ascii="Palatino Linotype" w:eastAsiaTheme="minorEastAsia" w:hAnsi="Palatino Linotype" w:cs="Arial" w:hint="eastAsia"/>
          <w:color w:val="000000" w:themeColor="text1"/>
          <w:lang w:val="es-ES_tradnl"/>
        </w:rPr>
      </w:pPr>
      <w:r>
        <w:rPr>
          <w:rFonts w:ascii="Palatino Linotype" w:eastAsiaTheme="minorEastAsia" w:hAnsi="Palatino Linotype" w:cs="Arial"/>
          <w:color w:val="000000" w:themeColor="text1"/>
          <w:lang w:val="es-ES_tradnl"/>
        </w:rPr>
        <w:t>En ese tenor, si los recursos de revisión que nos ocupan, se interpusieron el</w:t>
      </w:r>
      <w:r>
        <w:rPr>
          <w:rFonts w:ascii="Palatino Linotype" w:eastAsiaTheme="minorEastAsia" w:hAnsi="Palatino Linotype" w:cs="Arial"/>
          <w:b/>
          <w:color w:val="000000" w:themeColor="text1"/>
          <w:lang w:val="es-ES_tradnl"/>
        </w:rPr>
        <w:t xml:space="preserve"> tres de marzo de dos mil veinte,</w:t>
      </w:r>
      <w:r>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rsidR="008A2DFA" w:rsidRDefault="008A2DFA">
      <w:pPr>
        <w:spacing w:line="360" w:lineRule="auto"/>
        <w:rPr>
          <w:rFonts w:ascii="Palatino Linotype" w:hAnsi="Palatino Linotype"/>
          <w:color w:val="000000" w:themeColor="text1"/>
        </w:rPr>
      </w:pPr>
    </w:p>
    <w:p w:rsidR="008A2DFA" w:rsidRDefault="00D60B2C">
      <w:pPr>
        <w:spacing w:line="360" w:lineRule="auto"/>
        <w:ind w:right="49"/>
        <w:jc w:val="both"/>
        <w:rPr>
          <w:rFonts w:ascii="Palatino Linotype" w:hAnsi="Palatino Linotype" w:cs="Arial"/>
          <w:color w:val="000000" w:themeColor="text1"/>
          <w:lang w:val="es-ES"/>
        </w:rPr>
      </w:pPr>
      <w:r>
        <w:rPr>
          <w:rFonts w:ascii="Palatino Linotype" w:hAnsi="Palatino Linotype"/>
          <w:b/>
          <w:color w:val="000000" w:themeColor="text1"/>
          <w:sz w:val="28"/>
          <w:szCs w:val="20"/>
          <w:lang w:val="es-ES_tradnl"/>
        </w:rPr>
        <w:t xml:space="preserve">CUARTO. </w:t>
      </w:r>
      <w:r>
        <w:rPr>
          <w:rFonts w:ascii="Palatino Linotype" w:hAnsi="Palatino Linotype"/>
          <w:b/>
          <w:color w:val="000000" w:themeColor="text1"/>
        </w:rPr>
        <w:t xml:space="preserve">Procedibilidad. </w:t>
      </w:r>
      <w:r>
        <w:rPr>
          <w:rFonts w:ascii="Palatino Linotype" w:hAnsi="Palatino Linotype" w:cs="Arial"/>
          <w:color w:val="000000" w:themeColor="text1"/>
          <w:lang w:val="es-ES"/>
        </w:rPr>
        <w:t>Esta Ponencia considera importante abordar el análisis de los requisitos de procedibilidad del recur</w:t>
      </w:r>
      <w:r>
        <w:rPr>
          <w:rFonts w:ascii="Palatino Linotype" w:hAnsi="Palatino Linotype" w:cs="Arial"/>
          <w:color w:val="000000" w:themeColor="text1"/>
          <w:lang w:val="es-ES"/>
        </w:rPr>
        <w:t xml:space="preserve">so de revisión, así el artículo 180 de la </w:t>
      </w:r>
      <w:r>
        <w:rPr>
          <w:rFonts w:ascii="Palatino Linotype" w:hAnsi="Palatino Linotype" w:cs="Arial"/>
          <w:color w:val="000000" w:themeColor="text1"/>
          <w:lang w:val="es-ES"/>
        </w:rPr>
        <w:t xml:space="preserve">Ley </w:t>
      </w:r>
      <w:r>
        <w:rPr>
          <w:rFonts w:ascii="Palatino Linotype" w:hAnsi="Palatino Linotype" w:cs="Arial"/>
          <w:color w:val="000000" w:themeColor="text1"/>
          <w:lang w:val="es-ES"/>
        </w:rPr>
        <w:lastRenderedPageBreak/>
        <w:t xml:space="preserve">de Transparencia y Acceso a la </w:t>
      </w:r>
      <w:r>
        <w:rPr>
          <w:rFonts w:ascii="Palatino Linotype" w:hAnsi="Palatino Linotype" w:cs="Arial"/>
          <w:color w:val="000000" w:themeColor="text1"/>
          <w:lang w:val="es-ES"/>
        </w:rPr>
        <w:t>Información</w:t>
      </w:r>
      <w:r>
        <w:rPr>
          <w:rFonts w:ascii="Palatino Linotype" w:hAnsi="Palatino Linotype" w:cs="Arial"/>
          <w:color w:val="000000" w:themeColor="text1"/>
          <w:lang w:val="es-ES"/>
        </w:rPr>
        <w:t xml:space="preserve"> Pública del Estado de México y Municipios, que </w:t>
      </w:r>
      <w:r>
        <w:rPr>
          <w:rFonts w:ascii="Palatino Linotype" w:hAnsi="Palatino Linotype" w:cs="Arial"/>
          <w:color w:val="000000" w:themeColor="text1"/>
          <w:lang w:val="es-ES"/>
        </w:rPr>
        <w:t>establece lo siguiente:</w:t>
      </w:r>
    </w:p>
    <w:p w:rsidR="008A2DFA" w:rsidRDefault="008A2DFA">
      <w:pPr>
        <w:ind w:right="49"/>
        <w:jc w:val="both"/>
        <w:rPr>
          <w:rFonts w:ascii="Palatino Linotype" w:hAnsi="Palatino Linotype" w:cs="Arial"/>
          <w:color w:val="000000" w:themeColor="text1"/>
          <w:lang w:val="es-ES"/>
        </w:rPr>
      </w:pP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“Artículo 180. </w:t>
      </w:r>
      <w:r>
        <w:rPr>
          <w:rFonts w:ascii="Palatino Linotype" w:hAnsi="Palatino Linotype"/>
          <w:i/>
          <w:color w:val="000000" w:themeColor="text1"/>
          <w:sz w:val="22"/>
          <w:szCs w:val="22"/>
          <w:lang w:val="es-ES"/>
        </w:rPr>
        <w:t xml:space="preserve">El </w:t>
      </w:r>
      <w:r>
        <w:rPr>
          <w:rFonts w:ascii="Palatino Linotype" w:hAnsi="Palatino Linotype" w:cs="Arial"/>
          <w:i/>
          <w:color w:val="000000" w:themeColor="text1"/>
          <w:sz w:val="22"/>
          <w:szCs w:val="22"/>
          <w:lang w:val="es-ES"/>
        </w:rPr>
        <w:t>recurso</w:t>
      </w:r>
      <w:r>
        <w:rPr>
          <w:rFonts w:ascii="Palatino Linotype" w:hAnsi="Palatino Linotype"/>
          <w:i/>
          <w:color w:val="000000" w:themeColor="text1"/>
          <w:sz w:val="22"/>
          <w:szCs w:val="22"/>
          <w:lang w:val="es-ES"/>
        </w:rPr>
        <w:t xml:space="preserve"> </w:t>
      </w:r>
      <w:r>
        <w:rPr>
          <w:rFonts w:ascii="Palatino Linotype" w:hAnsi="Palatino Linotype" w:cs="Arial"/>
          <w:i/>
          <w:color w:val="000000" w:themeColor="text1"/>
          <w:sz w:val="22"/>
          <w:szCs w:val="22"/>
          <w:lang w:val="es-ES"/>
        </w:rPr>
        <w:t>de</w:t>
      </w:r>
      <w:r>
        <w:rPr>
          <w:rFonts w:ascii="Palatino Linotype" w:hAnsi="Palatino Linotype"/>
          <w:i/>
          <w:color w:val="000000" w:themeColor="text1"/>
          <w:sz w:val="22"/>
          <w:szCs w:val="22"/>
          <w:lang w:val="es-ES"/>
        </w:rPr>
        <w:t xml:space="preserve"> revisión contendrá:</w:t>
      </w:r>
      <w:r>
        <w:rPr>
          <w:rFonts w:ascii="Palatino Linotype" w:hAnsi="Palatino Linotype"/>
          <w:b/>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 </w:t>
      </w:r>
      <w:r>
        <w:rPr>
          <w:rFonts w:ascii="Palatino Linotype" w:hAnsi="Palatino Linotype"/>
          <w:i/>
          <w:color w:val="000000" w:themeColor="text1"/>
          <w:sz w:val="22"/>
          <w:szCs w:val="22"/>
          <w:lang w:val="es-ES"/>
        </w:rPr>
        <w:t xml:space="preserve">El sujeto obligado ante </w:t>
      </w:r>
      <w:r>
        <w:rPr>
          <w:rFonts w:ascii="Palatino Linotype" w:hAnsi="Palatino Linotype" w:cs="Arial"/>
          <w:i/>
          <w:color w:val="000000" w:themeColor="text1"/>
          <w:sz w:val="22"/>
          <w:szCs w:val="22"/>
          <w:lang w:val="es-ES"/>
        </w:rPr>
        <w:t>la</w:t>
      </w:r>
      <w:r>
        <w:rPr>
          <w:rFonts w:ascii="Palatino Linotype" w:hAnsi="Palatino Linotype"/>
          <w:i/>
          <w:color w:val="000000" w:themeColor="text1"/>
          <w:sz w:val="22"/>
          <w:szCs w:val="22"/>
          <w:lang w:val="es-ES"/>
        </w:rPr>
        <w:t xml:space="preserve"> cual </w:t>
      </w:r>
      <w:r>
        <w:rPr>
          <w:rFonts w:ascii="Palatino Linotype" w:hAnsi="Palatino Linotype" w:cs="Arial"/>
          <w:i/>
          <w:color w:val="000000" w:themeColor="text1"/>
          <w:sz w:val="22"/>
          <w:szCs w:val="22"/>
          <w:lang w:val="es-ES"/>
        </w:rPr>
        <w:t>se</w:t>
      </w:r>
      <w:r>
        <w:rPr>
          <w:rFonts w:ascii="Palatino Linotype" w:hAnsi="Palatino Linotype"/>
          <w:i/>
          <w:color w:val="000000" w:themeColor="text1"/>
          <w:sz w:val="22"/>
          <w:szCs w:val="22"/>
          <w:lang w:val="es-ES"/>
        </w:rPr>
        <w:t xml:space="preserve"> presentó la solicitud;</w:t>
      </w:r>
      <w:r>
        <w:rPr>
          <w:rFonts w:ascii="Palatino Linotype" w:hAnsi="Palatino Linotype"/>
          <w:b/>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II. </w:t>
      </w:r>
      <w:r>
        <w:rPr>
          <w:rFonts w:ascii="Palatino Linotype" w:hAnsi="Palatino Linotype"/>
          <w:b/>
          <w:i/>
          <w:color w:val="000000" w:themeColor="text1"/>
          <w:sz w:val="22"/>
          <w:szCs w:val="22"/>
          <w:u w:val="single"/>
          <w:lang w:val="es-ES"/>
        </w:rPr>
        <w:t xml:space="preserve">El nombre del solicitante </w:t>
      </w:r>
      <w:r>
        <w:rPr>
          <w:rFonts w:ascii="Palatino Linotype" w:hAnsi="Palatino Linotype" w:cs="Arial"/>
          <w:b/>
          <w:i/>
          <w:color w:val="000000" w:themeColor="text1"/>
          <w:sz w:val="22"/>
          <w:szCs w:val="22"/>
          <w:u w:val="single"/>
          <w:lang w:val="es-ES"/>
        </w:rPr>
        <w:t>que</w:t>
      </w:r>
      <w:r>
        <w:rPr>
          <w:rFonts w:ascii="Palatino Linotype" w:hAnsi="Palatino Linotype"/>
          <w:b/>
          <w:i/>
          <w:color w:val="000000" w:themeColor="text1"/>
          <w:sz w:val="22"/>
          <w:szCs w:val="22"/>
          <w:u w:val="single"/>
          <w:lang w:val="es-ES"/>
        </w:rPr>
        <w:t xml:space="preserve"> recurre </w:t>
      </w:r>
      <w:r>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Pr>
          <w:rFonts w:ascii="Palatino Linotype" w:hAnsi="Palatino Linotype"/>
          <w:b/>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III. </w:t>
      </w:r>
      <w:r>
        <w:rPr>
          <w:rFonts w:ascii="Palatino Linotype" w:hAnsi="Palatino Linotype"/>
          <w:i/>
          <w:color w:val="000000" w:themeColor="text1"/>
          <w:sz w:val="22"/>
          <w:szCs w:val="22"/>
          <w:lang w:val="es-ES"/>
        </w:rPr>
        <w:t xml:space="preserve">El número de folio de </w:t>
      </w:r>
      <w:r>
        <w:rPr>
          <w:rFonts w:ascii="Palatino Linotype" w:hAnsi="Palatino Linotype" w:cs="Arial"/>
          <w:i/>
          <w:color w:val="000000" w:themeColor="text1"/>
          <w:sz w:val="22"/>
          <w:szCs w:val="22"/>
          <w:lang w:val="es-ES"/>
        </w:rPr>
        <w:t>respuesta</w:t>
      </w:r>
      <w:r>
        <w:rPr>
          <w:rFonts w:ascii="Palatino Linotype" w:hAnsi="Palatino Linotype"/>
          <w:i/>
          <w:color w:val="000000" w:themeColor="text1"/>
          <w:sz w:val="22"/>
          <w:szCs w:val="22"/>
          <w:lang w:val="es-ES"/>
        </w:rPr>
        <w:t xml:space="preserve"> de la solicitud de a</w:t>
      </w:r>
      <w:r>
        <w:rPr>
          <w:rFonts w:ascii="Palatino Linotype" w:hAnsi="Palatino Linotype"/>
          <w:i/>
          <w:color w:val="000000" w:themeColor="text1"/>
          <w:sz w:val="22"/>
          <w:szCs w:val="22"/>
          <w:lang w:val="es-ES"/>
        </w:rPr>
        <w:t xml:space="preserve">cceso;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IV. </w:t>
      </w:r>
      <w:r>
        <w:rPr>
          <w:rFonts w:ascii="Palatino Linotype" w:hAnsi="Palatino Linotype"/>
          <w:i/>
          <w:color w:val="000000" w:themeColor="text1"/>
          <w:sz w:val="22"/>
          <w:szCs w:val="22"/>
          <w:lang w:val="es-ES"/>
        </w:rPr>
        <w:t xml:space="preserve">La fecha en que fue </w:t>
      </w:r>
      <w:r>
        <w:rPr>
          <w:rFonts w:ascii="Palatino Linotype" w:hAnsi="Palatino Linotype" w:cs="Arial"/>
          <w:i/>
          <w:color w:val="000000" w:themeColor="text1"/>
          <w:sz w:val="22"/>
          <w:szCs w:val="22"/>
          <w:lang w:val="es-ES"/>
        </w:rPr>
        <w:t>notificada</w:t>
      </w:r>
      <w:r>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Pr>
          <w:rFonts w:ascii="Palatino Linotype" w:hAnsi="Palatino Linotype"/>
          <w:b/>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V. </w:t>
      </w:r>
      <w:r>
        <w:rPr>
          <w:rFonts w:ascii="Palatino Linotype" w:hAnsi="Palatino Linotype"/>
          <w:i/>
          <w:color w:val="000000" w:themeColor="text1"/>
          <w:sz w:val="22"/>
          <w:szCs w:val="22"/>
          <w:lang w:val="es-ES"/>
        </w:rPr>
        <w:t xml:space="preserve">El acto que se </w:t>
      </w:r>
      <w:r>
        <w:rPr>
          <w:rFonts w:ascii="Palatino Linotype" w:hAnsi="Palatino Linotype" w:cs="Arial"/>
          <w:i/>
          <w:color w:val="000000" w:themeColor="text1"/>
          <w:sz w:val="22"/>
          <w:szCs w:val="22"/>
          <w:lang w:val="es-ES"/>
        </w:rPr>
        <w:t>recurre</w:t>
      </w:r>
      <w:r>
        <w:rPr>
          <w:rFonts w:ascii="Palatino Linotype" w:hAnsi="Palatino Linotype"/>
          <w:i/>
          <w:color w:val="000000" w:themeColor="text1"/>
          <w:sz w:val="22"/>
          <w:szCs w:val="22"/>
          <w:lang w:val="es-ES"/>
        </w:rPr>
        <w:t>;</w:t>
      </w:r>
      <w:r>
        <w:rPr>
          <w:rFonts w:ascii="Palatino Linotype" w:hAnsi="Palatino Linotype"/>
          <w:b/>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VI. </w:t>
      </w:r>
      <w:r>
        <w:rPr>
          <w:rFonts w:ascii="Palatino Linotype" w:hAnsi="Palatino Linotype"/>
          <w:i/>
          <w:color w:val="000000" w:themeColor="text1"/>
          <w:sz w:val="22"/>
          <w:szCs w:val="22"/>
          <w:lang w:val="es-ES"/>
        </w:rPr>
        <w:t xml:space="preserve">Las razones o </w:t>
      </w:r>
      <w:r>
        <w:rPr>
          <w:rFonts w:ascii="Palatino Linotype" w:hAnsi="Palatino Linotype" w:cs="Arial"/>
          <w:i/>
          <w:color w:val="000000" w:themeColor="text1"/>
          <w:sz w:val="22"/>
          <w:szCs w:val="22"/>
          <w:lang w:val="es-ES"/>
        </w:rPr>
        <w:t>motivos</w:t>
      </w:r>
      <w:r>
        <w:rPr>
          <w:rFonts w:ascii="Palatino Linotype" w:hAnsi="Palatino Linotype"/>
          <w:i/>
          <w:color w:val="000000" w:themeColor="text1"/>
          <w:sz w:val="22"/>
          <w:szCs w:val="22"/>
          <w:lang w:val="es-ES"/>
        </w:rPr>
        <w:t xml:space="preserve"> de inconformidad;</w:t>
      </w:r>
      <w:r>
        <w:rPr>
          <w:rFonts w:ascii="Palatino Linotype" w:hAnsi="Palatino Linotype"/>
          <w:b/>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VII. </w:t>
      </w:r>
      <w:r>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Pr>
          <w:rFonts w:ascii="Palatino Linotype" w:hAnsi="Palatino Linotype"/>
          <w:b/>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 xml:space="preserve">VIII. </w:t>
      </w:r>
      <w:r>
        <w:rPr>
          <w:rFonts w:ascii="Palatino Linotype" w:hAnsi="Palatino Linotype"/>
          <w:i/>
          <w:color w:val="000000" w:themeColor="text1"/>
          <w:sz w:val="22"/>
          <w:szCs w:val="22"/>
          <w:lang w:val="es-ES"/>
        </w:rPr>
        <w:t>Firma del recurrente, en su caso, cuando se presente por escrito, requisito sin el cual se dará trámite al recurso.</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 xml:space="preserve">En ningún caso será necesario que el particular ratifique el recurso de revisión interpuesto. </w:t>
      </w:r>
    </w:p>
    <w:p w:rsidR="008A2DFA" w:rsidRDefault="00D60B2C">
      <w:pPr>
        <w:tabs>
          <w:tab w:val="left" w:pos="851"/>
        </w:tabs>
        <w:ind w:left="851" w:right="992"/>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u w:val="single"/>
          <w:lang w:val="es-ES"/>
        </w:rPr>
        <w:t xml:space="preserve">En caso de </w:t>
      </w:r>
      <w:r>
        <w:rPr>
          <w:rFonts w:ascii="Palatino Linotype" w:hAnsi="Palatino Linotype" w:cs="Arial"/>
          <w:b/>
          <w:i/>
          <w:color w:val="000000" w:themeColor="text1"/>
          <w:sz w:val="22"/>
          <w:szCs w:val="22"/>
          <w:u w:val="single"/>
          <w:lang w:val="es-ES"/>
        </w:rPr>
        <w:t>que</w:t>
      </w:r>
      <w:r>
        <w:rPr>
          <w:rFonts w:ascii="Palatino Linotype" w:hAnsi="Palatino Linotype"/>
          <w:b/>
          <w:i/>
          <w:color w:val="000000" w:themeColor="text1"/>
          <w:sz w:val="22"/>
          <w:szCs w:val="22"/>
          <w:u w:val="single"/>
          <w:lang w:val="es-ES"/>
        </w:rPr>
        <w:t xml:space="preserve"> el recurso se interpong</w:t>
      </w:r>
      <w:r>
        <w:rPr>
          <w:rFonts w:ascii="Palatino Linotype" w:hAnsi="Palatino Linotype"/>
          <w:b/>
          <w:i/>
          <w:color w:val="000000" w:themeColor="text1"/>
          <w:sz w:val="22"/>
          <w:szCs w:val="22"/>
          <w:u w:val="single"/>
          <w:lang w:val="es-ES"/>
        </w:rPr>
        <w:t>a de manera electrónica no será indispensable que contengan los requisitos establecidos en las fracciones II</w:t>
      </w:r>
      <w:r>
        <w:rPr>
          <w:rFonts w:ascii="Palatino Linotype" w:hAnsi="Palatino Linotype"/>
          <w:i/>
          <w:color w:val="000000" w:themeColor="text1"/>
          <w:sz w:val="22"/>
          <w:szCs w:val="22"/>
          <w:lang w:val="es-ES"/>
        </w:rPr>
        <w:t>, IV, VII y VIII.</w:t>
      </w:r>
      <w:r>
        <w:rPr>
          <w:rFonts w:ascii="Palatino Linotype" w:hAnsi="Palatino Linotype"/>
          <w:b/>
          <w:i/>
          <w:color w:val="000000" w:themeColor="text1"/>
          <w:sz w:val="22"/>
          <w:szCs w:val="22"/>
          <w:lang w:val="es-ES"/>
        </w:rPr>
        <w:t>”</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(Énfasis añadido)</w:t>
      </w:r>
    </w:p>
    <w:p w:rsidR="008A2DFA" w:rsidRDefault="008A2DFA">
      <w:pPr>
        <w:tabs>
          <w:tab w:val="left" w:pos="851"/>
        </w:tabs>
        <w:ind w:left="851" w:right="901"/>
        <w:jc w:val="both"/>
        <w:rPr>
          <w:rFonts w:ascii="Palatino Linotype" w:hAnsi="Palatino Linotype"/>
          <w:i/>
          <w:color w:val="000000" w:themeColor="text1"/>
          <w:sz w:val="22"/>
          <w:szCs w:val="22"/>
          <w:lang w:val="es-ES"/>
        </w:rPr>
      </w:pPr>
    </w:p>
    <w:p w:rsidR="008A2DFA" w:rsidRDefault="00D60B2C">
      <w:pPr>
        <w:spacing w:line="360" w:lineRule="auto"/>
        <w:jc w:val="both"/>
        <w:rPr>
          <w:rFonts w:ascii="Palatino Linotype" w:hAnsi="Palatino Linotype"/>
          <w:b/>
          <w:color w:val="000000" w:themeColor="text1"/>
          <w:lang w:val="es-ES"/>
        </w:rPr>
      </w:pPr>
      <w:r>
        <w:rPr>
          <w:rFonts w:ascii="Palatino Linotype" w:hAnsi="Palatino Linotype"/>
          <w:color w:val="000000" w:themeColor="text1"/>
          <w:lang w:val="es-ES"/>
        </w:rPr>
        <w:t xml:space="preserve">En principio, de una interpretación del artículo transcrito se observan los requisitos que </w:t>
      </w:r>
      <w:r>
        <w:rPr>
          <w:rFonts w:ascii="Palatino Linotype" w:hAnsi="Palatino Linotype" w:cs="Arial"/>
          <w:color w:val="000000" w:themeColor="text1"/>
          <w:lang w:val="es-ES"/>
        </w:rPr>
        <w:t>deberán</w:t>
      </w:r>
      <w:r>
        <w:rPr>
          <w:rFonts w:ascii="Palatino Linotype" w:hAnsi="Palatino Linotype"/>
          <w:color w:val="000000" w:themeColor="text1"/>
          <w:lang w:val="es-ES"/>
        </w:rPr>
        <w:t xml:space="preserve"> </w:t>
      </w:r>
      <w:r>
        <w:rPr>
          <w:rFonts w:ascii="Palatino Linotype" w:hAnsi="Palatino Linotype" w:cs="Arial"/>
          <w:color w:val="000000" w:themeColor="text1"/>
          <w:lang w:val="es-ES"/>
        </w:rPr>
        <w:t>contener</w:t>
      </w:r>
      <w:r>
        <w:rPr>
          <w:rFonts w:ascii="Palatino Linotype" w:hAnsi="Palatino Linotype"/>
          <w:color w:val="000000" w:themeColor="text1"/>
          <w:lang w:val="es-ES"/>
        </w:rPr>
        <w:t xml:space="preserve"> lo</w:t>
      </w:r>
      <w:r>
        <w:rPr>
          <w:rFonts w:ascii="Palatino Linotype" w:hAnsi="Palatino Linotype"/>
          <w:color w:val="000000" w:themeColor="text1"/>
          <w:lang w:val="es-ES"/>
        </w:rPr>
        <w:t xml:space="preserve">s recursos de revisión; sobre el particular, de la revisión del expediente electrónico del </w:t>
      </w:r>
      <w:r>
        <w:rPr>
          <w:rFonts w:ascii="Palatino Linotype" w:hAnsi="Palatino Linotype"/>
          <w:b/>
          <w:color w:val="000000" w:themeColor="text1"/>
          <w:lang w:val="es-ES"/>
        </w:rPr>
        <w:t>SAIMEX</w:t>
      </w:r>
      <w:r>
        <w:rPr>
          <w:rFonts w:ascii="Palatino Linotype" w:hAnsi="Palatino Linotype"/>
          <w:color w:val="000000" w:themeColor="text1"/>
          <w:lang w:val="es-ES"/>
        </w:rPr>
        <w:t xml:space="preserve"> se desprende que la parte solicitante y ahora </w:t>
      </w:r>
      <w:r>
        <w:rPr>
          <w:rFonts w:ascii="Palatino Linotype" w:hAnsi="Palatino Linotype"/>
          <w:b/>
          <w:color w:val="000000" w:themeColor="text1"/>
          <w:lang w:val="es-ES"/>
        </w:rPr>
        <w:t>RECURRENTE</w:t>
      </w:r>
      <w:r>
        <w:rPr>
          <w:rFonts w:ascii="Palatino Linotype" w:hAnsi="Palatino Linotype"/>
          <w:color w:val="000000" w:themeColor="text1"/>
          <w:lang w:val="es-ES"/>
        </w:rPr>
        <w:t xml:space="preserve">, en ejercicio de su derecho de acceso a la información pública, no proporcionó su nombre para que </w:t>
      </w:r>
      <w:r>
        <w:rPr>
          <w:rFonts w:ascii="Palatino Linotype" w:hAnsi="Palatino Linotype" w:cs="Arial"/>
          <w:color w:val="000000" w:themeColor="text1"/>
          <w:lang w:val="es-ES"/>
        </w:rPr>
        <w:t>sea</w:t>
      </w:r>
      <w:r>
        <w:rPr>
          <w:rFonts w:ascii="Palatino Linotype" w:hAnsi="Palatino Linotype"/>
          <w:color w:val="000000" w:themeColor="text1"/>
          <w:lang w:val="es-ES"/>
        </w:rPr>
        <w:t xml:space="preserve"> identificado, por lo que no se tiene certeza sobre su identidad, lo que en estricto sentido, provoca que </w:t>
      </w:r>
      <w:r>
        <w:rPr>
          <w:rFonts w:ascii="Palatino Linotype" w:hAnsi="Palatino Linotype" w:cs="Arial"/>
          <w:color w:val="000000" w:themeColor="text1"/>
          <w:lang w:val="es-ES"/>
        </w:rPr>
        <w:t>no</w:t>
      </w:r>
      <w:r>
        <w:rPr>
          <w:rFonts w:ascii="Palatino Linotype" w:hAnsi="Palatino Linotype"/>
          <w:color w:val="000000" w:themeColor="text1"/>
          <w:lang w:val="es-ES"/>
        </w:rPr>
        <w:t xml:space="preserve"> se colmen los requisitos establecidos en el citado artículo 180 de la Ley de Transparencia.</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cs="Arial"/>
          <w:color w:val="000000" w:themeColor="text1"/>
          <w:lang w:val="es-ES"/>
        </w:rPr>
      </w:pPr>
      <w:r>
        <w:rPr>
          <w:rFonts w:ascii="Palatino Linotype" w:hAnsi="Palatino Linotype"/>
          <w:color w:val="000000" w:themeColor="text1"/>
          <w:lang w:val="es-ES"/>
        </w:rPr>
        <w:t>Empero lo anterior, debe destacarse que el artículo 15</w:t>
      </w:r>
      <w:r>
        <w:rPr>
          <w:rFonts w:ascii="Palatino Linotype" w:hAnsi="Palatino Linotype"/>
          <w:color w:val="000000" w:themeColor="text1"/>
          <w:lang w:val="es-ES"/>
        </w:rPr>
        <w:t xml:space="preserve"> de </w:t>
      </w:r>
      <w:r>
        <w:rPr>
          <w:rFonts w:ascii="Palatino Linotype" w:hAnsi="Palatino Linotype" w:cs="Arial"/>
          <w:color w:val="000000" w:themeColor="text1"/>
          <w:lang w:val="es-ES"/>
        </w:rPr>
        <w:t xml:space="preserve">Ley de Transparencia y Acceso a la </w:t>
      </w:r>
      <w:r>
        <w:rPr>
          <w:rFonts w:ascii="Palatino Linotype" w:hAnsi="Palatino Linotype" w:cs="Arial"/>
          <w:color w:val="000000" w:themeColor="text1"/>
          <w:lang w:val="es-ES"/>
        </w:rPr>
        <w:t>Información</w:t>
      </w:r>
      <w:r>
        <w:rPr>
          <w:rFonts w:ascii="Palatino Linotype" w:hAnsi="Palatino Linotype" w:cs="Arial"/>
          <w:color w:val="000000" w:themeColor="text1"/>
          <w:lang w:val="es-ES"/>
        </w:rPr>
        <w:t xml:space="preserve"> Pública del Estado de México y Municipios </w:t>
      </w:r>
      <w:r>
        <w:rPr>
          <w:rFonts w:ascii="Palatino Linotype" w:hAnsi="Palatino Linotype" w:cs="Arial"/>
          <w:iCs/>
          <w:color w:val="000000" w:themeColor="text1"/>
          <w:lang w:val="es-ES"/>
        </w:rPr>
        <w:t xml:space="preserve">prevé que, </w:t>
      </w:r>
      <w:r>
        <w:rPr>
          <w:rFonts w:ascii="Palatino Linotype" w:hAnsi="Palatino Linotype"/>
          <w:color w:val="000000" w:themeColor="text1"/>
          <w:lang w:val="es-ES"/>
        </w:rPr>
        <w:t xml:space="preserve">toda persona tendrá acceso a la información </w:t>
      </w:r>
      <w:r>
        <w:rPr>
          <w:rFonts w:ascii="Palatino Linotype" w:hAnsi="Palatino Linotype" w:cs="Arial"/>
          <w:color w:val="000000" w:themeColor="text1"/>
          <w:lang w:val="es-ES"/>
        </w:rPr>
        <w:t xml:space="preserve">sin necesidad de acreditar interés alguno o justificar su utilización, de lo que se infiere que para el </w:t>
      </w:r>
      <w:r>
        <w:rPr>
          <w:rFonts w:ascii="Palatino Linotype" w:hAnsi="Palatino Linotype"/>
          <w:color w:val="000000" w:themeColor="text1"/>
          <w:lang w:val="es-ES"/>
        </w:rPr>
        <w:t>ejer</w:t>
      </w:r>
      <w:r>
        <w:rPr>
          <w:rFonts w:ascii="Palatino Linotype" w:hAnsi="Palatino Linotype"/>
          <w:color w:val="000000" w:themeColor="text1"/>
          <w:lang w:val="es-ES"/>
        </w:rPr>
        <w:t>cicio</w:t>
      </w:r>
      <w:r>
        <w:rPr>
          <w:rFonts w:ascii="Palatino Linotype" w:hAnsi="Palatino Linotype" w:cs="Arial"/>
          <w:color w:val="000000" w:themeColor="text1"/>
          <w:lang w:val="es-ES"/>
        </w:rPr>
        <w:t xml:space="preserve"> del derecho de acceso a la información pública, </w:t>
      </w:r>
      <w:r>
        <w:rPr>
          <w:rFonts w:ascii="Palatino Linotype" w:hAnsi="Palatino Linotype" w:cs="Arial"/>
          <w:b/>
          <w:color w:val="000000" w:themeColor="text1"/>
          <w:u w:val="single"/>
          <w:lang w:val="es-ES"/>
        </w:rPr>
        <w:t xml:space="preserve">el nombre no es un requisito </w:t>
      </w:r>
      <w:r>
        <w:rPr>
          <w:rFonts w:ascii="Palatino Linotype" w:hAnsi="Palatino Linotype" w:cs="Arial"/>
          <w:b/>
          <w:i/>
          <w:color w:val="000000" w:themeColor="text1"/>
          <w:u w:val="single"/>
          <w:lang w:val="es-ES"/>
        </w:rPr>
        <w:t>sine qua non</w:t>
      </w:r>
      <w:r>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w:t>
      </w:r>
      <w:r>
        <w:rPr>
          <w:rFonts w:ascii="Palatino Linotype" w:hAnsi="Palatino Linotype" w:cs="Arial"/>
          <w:color w:val="000000" w:themeColor="text1"/>
          <w:lang w:val="es-ES"/>
        </w:rPr>
        <w:t>gundo la posibilidad de que las solicitudes de información sean anónimas, al utilizar un nombre incompleto o, inclusive un seudónimo.</w:t>
      </w:r>
    </w:p>
    <w:p w:rsidR="008A2DFA" w:rsidRDefault="008A2DFA">
      <w:pPr>
        <w:spacing w:line="360" w:lineRule="auto"/>
        <w:jc w:val="both"/>
        <w:rPr>
          <w:rFonts w:ascii="Palatino Linotype" w:hAnsi="Palatino Linotype" w:cs="Arial"/>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Correlativo a ello, cabe mencionar que los artículos 6, Apartado A, fracciones III y IV de la Constitución Política de lo</w:t>
      </w:r>
      <w:r>
        <w:rPr>
          <w:rFonts w:ascii="Palatino Linotype" w:hAnsi="Palatino Linotype"/>
          <w:color w:val="000000" w:themeColor="text1"/>
          <w:lang w:val="es-ES"/>
        </w:rPr>
        <w:t>s Estados Unidos Mexicanos y 5, párrafos vigésimo segundo, vigésimo tercero y vigésimo cuarto, fracciones I, III, IV y V de la Constitución Política del Estado Libre y Soberano de México garantizan el ejercicio del derecho de acceso a la información públic</w:t>
      </w:r>
      <w:r>
        <w:rPr>
          <w:rFonts w:ascii="Palatino Linotype" w:hAnsi="Palatino Linotype"/>
          <w:color w:val="000000" w:themeColor="text1"/>
          <w:lang w:val="es-ES"/>
        </w:rPr>
        <w:t>a, toda vez que disponen que toda persona sin necesidad de acreditar interés alguno o justificar su utilización, tendrá acceso gratuito a la información pública; preceptos cuyo texto y sentido literal es el siguiente:</w:t>
      </w:r>
    </w:p>
    <w:p w:rsidR="008A2DFA" w:rsidRDefault="008A2DFA">
      <w:pPr>
        <w:jc w:val="both"/>
        <w:rPr>
          <w:rFonts w:ascii="Palatino Linotype" w:hAnsi="Palatino Linotype"/>
          <w:color w:val="000000" w:themeColor="text1"/>
          <w:lang w:val="es-ES"/>
        </w:rPr>
      </w:pPr>
    </w:p>
    <w:p w:rsidR="008A2DFA" w:rsidRDefault="00D60B2C">
      <w:pPr>
        <w:tabs>
          <w:tab w:val="left" w:pos="851"/>
        </w:tabs>
        <w:ind w:left="851" w:right="992"/>
        <w:jc w:val="center"/>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 xml:space="preserve">Constitución Política de los Estados </w:t>
      </w:r>
      <w:r>
        <w:rPr>
          <w:rFonts w:ascii="Palatino Linotype" w:hAnsi="Palatino Linotype" w:cs="Arial"/>
          <w:b/>
          <w:i/>
          <w:color w:val="000000" w:themeColor="text1"/>
          <w:sz w:val="22"/>
          <w:szCs w:val="22"/>
          <w:lang w:val="es-ES"/>
        </w:rPr>
        <w:t>Unidos Mexicanos</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lang w:val="es-ES"/>
        </w:rPr>
        <w:t>“Artículo 6o.</w:t>
      </w:r>
      <w:r>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w:t>
      </w:r>
      <w:r>
        <w:rPr>
          <w:rFonts w:ascii="Palatino Linotype" w:hAnsi="Palatino Linotype" w:cs="Arial"/>
          <w:i/>
          <w:color w:val="000000" w:themeColor="text1"/>
          <w:sz w:val="22"/>
          <w:szCs w:val="22"/>
          <w:lang w:val="es-ES"/>
        </w:rPr>
        <w:t xml:space="preserve"> será ejercido en los términos dispuestos por la ley. </w:t>
      </w:r>
      <w:r>
        <w:rPr>
          <w:rFonts w:ascii="Palatino Linotype" w:hAnsi="Palatino Linotype" w:cs="Arial"/>
          <w:b/>
          <w:i/>
          <w:color w:val="000000" w:themeColor="text1"/>
          <w:sz w:val="22"/>
          <w:szCs w:val="22"/>
          <w:lang w:val="es-ES"/>
        </w:rPr>
        <w:t>El derecho a la información será garantizado por el Estado.</w:t>
      </w:r>
      <w:r>
        <w:rPr>
          <w:rFonts w:ascii="Palatino Linotype" w:hAnsi="Palatino Linotype" w:cs="Arial"/>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lastRenderedPageBreak/>
        <w:t>Toda persona tiene derecho al libre acceso a información plural y oportuna, así como a buscar, recibir y difundir información e ideas de toda</w:t>
      </w:r>
      <w:r>
        <w:rPr>
          <w:rFonts w:ascii="Palatino Linotype" w:hAnsi="Palatino Linotype" w:cs="Arial"/>
          <w:i/>
          <w:color w:val="000000" w:themeColor="text1"/>
          <w:sz w:val="22"/>
          <w:szCs w:val="22"/>
          <w:lang w:val="es-ES"/>
        </w:rPr>
        <w:t xml:space="preserve"> índole por cualquier medio de expresión.</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Para efectos de lo dispuesto en el presente artículo se observará lo siguiente:</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w:t>
      </w:r>
      <w:r>
        <w:rPr>
          <w:rFonts w:ascii="Palatino Linotype" w:hAnsi="Palatino Linotype" w:cs="Arial"/>
          <w:i/>
          <w:color w:val="000000" w:themeColor="text1"/>
          <w:sz w:val="22"/>
          <w:szCs w:val="22"/>
          <w:lang w:val="es-ES"/>
        </w:rPr>
        <w:t>pectivas competencias, se regirán por los siguientes principios y bases:</w:t>
      </w:r>
    </w:p>
    <w:p w:rsidR="008A2DFA" w:rsidRDefault="00D60B2C">
      <w:pPr>
        <w:tabs>
          <w:tab w:val="left" w:pos="851"/>
        </w:tabs>
        <w:ind w:left="851" w:right="992"/>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w:t>
      </w:r>
      <w:r>
        <w:rPr>
          <w:rFonts w:ascii="Palatino Linotype" w:hAnsi="Palatino Linotype" w:cs="Arial"/>
          <w:i/>
          <w:color w:val="000000" w:themeColor="text1"/>
          <w:sz w:val="22"/>
          <w:szCs w:val="22"/>
          <w:u w:val="single"/>
          <w:lang w:val="es-ES"/>
        </w:rPr>
        <w:t>eicomisos y fondos públicos, así como de cualquier persona física, moral o sindicato que reciba y ejerza recursos públicos o realice actos de autoridad en el ámbito federal, estatal y municipal, es pública y sólo podrá ser reservada temporalmente por razon</w:t>
      </w:r>
      <w:r>
        <w:rPr>
          <w:rFonts w:ascii="Palatino Linotype" w:hAnsi="Palatino Linotype" w:cs="Arial"/>
          <w:i/>
          <w:color w:val="000000" w:themeColor="text1"/>
          <w:sz w:val="22"/>
          <w:szCs w:val="22"/>
          <w:u w:val="single"/>
          <w:lang w:val="es-ES"/>
        </w:rPr>
        <w:t>es de interés público y seguridad nacional, en los términos que fijen las leyes. En la interpretación de este derecho deberá prevalecer el principio de máxima publicidad. Los sujetos obligados deberán documentar todo acto que derive del ejercicio de sus fa</w:t>
      </w:r>
      <w:r>
        <w:rPr>
          <w:rFonts w:ascii="Palatino Linotype" w:hAnsi="Palatino Linotype" w:cs="Arial"/>
          <w:i/>
          <w:color w:val="000000" w:themeColor="text1"/>
          <w:sz w:val="22"/>
          <w:szCs w:val="22"/>
          <w:u w:val="single"/>
          <w:lang w:val="es-ES"/>
        </w:rPr>
        <w:t>cultades, competencias o funciones, la ley determinará los supuestos específicos bajo los cuales procederá la declaración de inexistencia de la información.</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II.    La información que se refiere a la vida privada y los datos personales será protegida en los</w:t>
      </w:r>
      <w:r>
        <w:rPr>
          <w:rFonts w:ascii="Palatino Linotype" w:hAnsi="Palatino Linotype" w:cs="Arial"/>
          <w:i/>
          <w:color w:val="000000" w:themeColor="text1"/>
          <w:sz w:val="22"/>
          <w:szCs w:val="22"/>
          <w:lang w:val="es-ES"/>
        </w:rPr>
        <w:t xml:space="preserve"> términos y con las excepciones que fijen las leyes.</w:t>
      </w:r>
    </w:p>
    <w:p w:rsidR="008A2DFA" w:rsidRDefault="00D60B2C">
      <w:pPr>
        <w:tabs>
          <w:tab w:val="left" w:pos="851"/>
        </w:tabs>
        <w:ind w:left="851" w:right="992"/>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IV.   Se</w:t>
      </w:r>
      <w:r>
        <w:rPr>
          <w:rFonts w:ascii="Palatino Linotype" w:hAnsi="Palatino Linotype" w:cs="Arial"/>
          <w:i/>
          <w:color w:val="000000" w:themeColor="text1"/>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8A2DFA" w:rsidRDefault="00D60B2C">
      <w:pPr>
        <w:tabs>
          <w:tab w:val="left" w:pos="851"/>
        </w:tabs>
        <w:ind w:left="851" w:right="992"/>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V.    Los sujetos obligados deberán preservar sus doc</w:t>
      </w:r>
      <w:r>
        <w:rPr>
          <w:rFonts w:ascii="Palatino Linotype" w:hAnsi="Palatino Linotype" w:cs="Arial"/>
          <w:i/>
          <w:color w:val="000000" w:themeColor="text1"/>
          <w:sz w:val="22"/>
          <w:szCs w:val="22"/>
          <w:u w:val="single"/>
          <w:lang w:val="es-ES"/>
        </w:rPr>
        <w:t xml:space="preserve">umentos en archivos administrativos actualizados y publicarán, a través de los medios electrónicos disponibles, la información completa y actualizada sobre el ejercicio de los recursos públicos y los indicadores que permitan rendir cuenta del cumplimiento </w:t>
      </w:r>
      <w:r>
        <w:rPr>
          <w:rFonts w:ascii="Palatino Linotype" w:hAnsi="Palatino Linotype" w:cs="Arial"/>
          <w:i/>
          <w:color w:val="000000" w:themeColor="text1"/>
          <w:sz w:val="22"/>
          <w:szCs w:val="22"/>
          <w:u w:val="single"/>
          <w:lang w:val="es-ES"/>
        </w:rPr>
        <w:t>de sus objetivos y de los resultados obtenidos.</w:t>
      </w:r>
    </w:p>
    <w:p w:rsidR="008A2DFA" w:rsidRDefault="00D60B2C">
      <w:pPr>
        <w:tabs>
          <w:tab w:val="left" w:pos="851"/>
        </w:tabs>
        <w:ind w:left="851" w:right="992"/>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VII. La inobservancia a la</w:t>
      </w:r>
      <w:r>
        <w:rPr>
          <w:rFonts w:ascii="Palatino Linotype" w:hAnsi="Palatino Linotype" w:cs="Arial"/>
          <w:i/>
          <w:color w:val="000000" w:themeColor="text1"/>
          <w:sz w:val="22"/>
          <w:szCs w:val="22"/>
          <w:lang w:val="es-ES"/>
        </w:rPr>
        <w:t>s disposiciones en materia de acceso a la información pública será sancionada en los términos que dispongan las leyes.</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VIII.             La Federación contará con un organismo autónomo, especializado, imparcial, colegiado, con personalidad jurídica y patri</w:t>
      </w:r>
      <w:r>
        <w:rPr>
          <w:rFonts w:ascii="Palatino Linotype" w:hAnsi="Palatino Linotype" w:cs="Arial"/>
          <w:i/>
          <w:color w:val="000000" w:themeColor="text1"/>
          <w:sz w:val="22"/>
          <w:szCs w:val="22"/>
          <w:lang w:val="es-ES"/>
        </w:rPr>
        <w:t xml:space="preserve">monio propio, con plena autonomía técnica, de gestión, capacidad para decidir sobre el ejercicio de su </w:t>
      </w:r>
      <w:r>
        <w:rPr>
          <w:rFonts w:ascii="Palatino Linotype" w:hAnsi="Palatino Linotype" w:cs="Arial"/>
          <w:i/>
          <w:color w:val="000000" w:themeColor="text1"/>
          <w:sz w:val="22"/>
          <w:szCs w:val="22"/>
          <w:lang w:val="es-ES"/>
        </w:rPr>
        <w:lastRenderedPageBreak/>
        <w:t>presupuesto y determinar su organización interna, responsable de garantizar el cumplimiento del derecho de acceso a la información pública y a la protecc</w:t>
      </w:r>
      <w:r>
        <w:rPr>
          <w:rFonts w:ascii="Palatino Linotype" w:hAnsi="Palatino Linotype" w:cs="Arial"/>
          <w:i/>
          <w:color w:val="000000" w:themeColor="text1"/>
          <w:sz w:val="22"/>
          <w:szCs w:val="22"/>
          <w:lang w:val="es-ES"/>
        </w:rPr>
        <w:t>ión de datos personales en posesión de los sujetos obligados en los términos que establezca la ley.</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w:t>
      </w:r>
    </w:p>
    <w:p w:rsidR="008A2DFA" w:rsidRDefault="00D60B2C">
      <w:pPr>
        <w:tabs>
          <w:tab w:val="left" w:pos="851"/>
        </w:tabs>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u w:val="single"/>
          <w:lang w:val="es-ES"/>
        </w:rPr>
        <w:t>La ley establecerá aquella información que se considere reservada o confidencial.</w:t>
      </w:r>
      <w:r>
        <w:rPr>
          <w:rFonts w:ascii="Palatino Linotype" w:hAnsi="Palatino Linotype" w:cs="Arial"/>
          <w:b/>
          <w:i/>
          <w:color w:val="000000" w:themeColor="text1"/>
          <w:sz w:val="22"/>
          <w:szCs w:val="22"/>
          <w:lang w:val="es-ES"/>
        </w:rPr>
        <w:t>”</w:t>
      </w:r>
      <w:r>
        <w:rPr>
          <w:rFonts w:ascii="Palatino Linotype" w:hAnsi="Palatino Linotype" w:cs="Arial"/>
          <w:i/>
          <w:color w:val="000000" w:themeColor="text1"/>
          <w:sz w:val="22"/>
          <w:szCs w:val="22"/>
        </w:rPr>
        <w:t xml:space="preserve"> </w:t>
      </w:r>
    </w:p>
    <w:p w:rsidR="008A2DFA" w:rsidRDefault="008A2DFA">
      <w:pPr>
        <w:tabs>
          <w:tab w:val="left" w:pos="851"/>
        </w:tabs>
        <w:ind w:left="851" w:right="992"/>
        <w:jc w:val="both"/>
        <w:rPr>
          <w:rFonts w:ascii="Palatino Linotype" w:hAnsi="Palatino Linotype" w:cs="Arial"/>
          <w:i/>
          <w:color w:val="000000" w:themeColor="text1"/>
          <w:sz w:val="22"/>
          <w:szCs w:val="22"/>
        </w:rPr>
      </w:pPr>
    </w:p>
    <w:p w:rsidR="008A2DFA" w:rsidRDefault="00D60B2C">
      <w:pPr>
        <w:tabs>
          <w:tab w:val="left" w:pos="851"/>
        </w:tabs>
        <w:ind w:left="851" w:right="992"/>
        <w:jc w:val="center"/>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Constitución Política del Estado Libre y Soberano de México</w:t>
      </w:r>
    </w:p>
    <w:p w:rsidR="008A2DFA" w:rsidRDefault="008A2DFA">
      <w:pPr>
        <w:tabs>
          <w:tab w:val="left" w:pos="851"/>
        </w:tabs>
        <w:ind w:left="851" w:right="992"/>
        <w:jc w:val="center"/>
        <w:rPr>
          <w:rFonts w:ascii="Palatino Linotype" w:hAnsi="Palatino Linotype" w:cs="Arial"/>
          <w:b/>
          <w:i/>
          <w:color w:val="000000" w:themeColor="text1"/>
          <w:sz w:val="22"/>
          <w:szCs w:val="22"/>
          <w:lang w:val="es-ES"/>
        </w:rPr>
      </w:pPr>
    </w:p>
    <w:p w:rsidR="008A2DFA" w:rsidRDefault="00D60B2C">
      <w:pPr>
        <w:tabs>
          <w:tab w:val="left" w:pos="851"/>
        </w:tabs>
        <w:ind w:left="851" w:right="992"/>
        <w:jc w:val="both"/>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w:t>
      </w:r>
      <w:r>
        <w:rPr>
          <w:rFonts w:ascii="Palatino Linotype" w:hAnsi="Palatino Linotype" w:cs="Arial"/>
          <w:b/>
          <w:i/>
          <w:color w:val="000000" w:themeColor="text1"/>
          <w:sz w:val="22"/>
          <w:szCs w:val="22"/>
          <w:lang w:val="es-ES"/>
        </w:rPr>
        <w:t xml:space="preserve">Artículo 5.  …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Para garantizar el ejercicio del derecho de transparencia, acceso</w:t>
      </w:r>
      <w:r>
        <w:rPr>
          <w:rFonts w:ascii="Palatino Linotype" w:hAnsi="Palatino Linotype"/>
          <w:i/>
          <w:color w:val="000000" w:themeColor="text1"/>
          <w:sz w:val="22"/>
          <w:szCs w:val="22"/>
          <w:lang w:val="es-ES"/>
        </w:rPr>
        <w:t xml:space="preserve"> a la información pública y protección de datos personales, los poderes públicos y los organismos autónomos, transparentarán sus acciones, en términos de las disposiciones aplicables, la información será oportuna, clara, veraz y de fácil acceso.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Este dere</w:t>
      </w:r>
      <w:r>
        <w:rPr>
          <w:rFonts w:ascii="Palatino Linotype" w:hAnsi="Palatino Linotype"/>
          <w:i/>
          <w:color w:val="000000" w:themeColor="text1"/>
          <w:sz w:val="22"/>
          <w:szCs w:val="22"/>
          <w:lang w:val="es-ES"/>
        </w:rPr>
        <w:t xml:space="preserve">cho se regirá por los principios y bases siguientes: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w:t>
      </w:r>
      <w:r>
        <w:rPr>
          <w:rFonts w:ascii="Palatino Linotype" w:hAnsi="Palatino Linotype"/>
          <w:b/>
          <w:i/>
          <w:color w:val="000000" w:themeColor="text1"/>
          <w:sz w:val="22"/>
          <w:szCs w:val="22"/>
          <w:lang w:val="es-ES"/>
        </w:rPr>
        <w:t>licos estatales y municipales</w:t>
      </w:r>
      <w:r>
        <w:rPr>
          <w:rFonts w:ascii="Palatino Linotype" w:hAnsi="Palatino Linotype"/>
          <w:i/>
          <w:color w:val="000000" w:themeColor="text1"/>
          <w:sz w:val="22"/>
          <w:szCs w:val="22"/>
          <w:lang w:val="es-ES"/>
        </w:rPr>
        <w:t>, así como del gobierno y de la administración pública municipal y sus organismos descentralizados, asimismo de cualquier persona física, jurídica colectiva o sindicato que reciba y ejerza recursos públicos o realice actos de a</w:t>
      </w:r>
      <w:r>
        <w:rPr>
          <w:rFonts w:ascii="Palatino Linotype" w:hAnsi="Palatino Linotype"/>
          <w:i/>
          <w:color w:val="000000" w:themeColor="text1"/>
          <w:sz w:val="22"/>
          <w:szCs w:val="22"/>
          <w:lang w:val="es-ES"/>
        </w:rPr>
        <w:t>utoridad en el ámbito estatal y municipal, es pública y sólo podrá ser reservada temporalmente por razones previstas en la Constitución Política de los Estados Unidos Mexicanos de interés público y seguridad, en los términos que fijen las leyes. En la inte</w:t>
      </w:r>
      <w:r>
        <w:rPr>
          <w:rFonts w:ascii="Palatino Linotype" w:hAnsi="Palatino Linotype"/>
          <w:i/>
          <w:color w:val="000000" w:themeColor="text1"/>
          <w:sz w:val="22"/>
          <w:szCs w:val="22"/>
          <w:lang w:val="es-ES"/>
        </w:rPr>
        <w:t>rpretación de este derecho deberá prevalecer el principio de máxima publicidad. Los sujetos obligados deberán documentar todo acto que derive del ejercicio de sus facultades, competencias o funciones, la ley determinará los supuestos específicos bajo los c</w:t>
      </w:r>
      <w:r>
        <w:rPr>
          <w:rFonts w:ascii="Palatino Linotype" w:hAnsi="Palatino Linotype"/>
          <w:i/>
          <w:color w:val="000000" w:themeColor="text1"/>
          <w:sz w:val="22"/>
          <w:szCs w:val="22"/>
          <w:lang w:val="es-ES"/>
        </w:rPr>
        <w:t xml:space="preserve">uales procederá la declaración de inexistencia de la información.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II.</w:t>
      </w:r>
      <w:r>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w:t>
      </w:r>
      <w:r>
        <w:rPr>
          <w:rFonts w:ascii="Palatino Linotype" w:hAnsi="Palatino Linotype"/>
          <w:i/>
          <w:color w:val="000000" w:themeColor="text1"/>
          <w:sz w:val="22"/>
          <w:szCs w:val="22"/>
          <w:lang w:val="es-ES"/>
        </w:rPr>
        <w:t>on las excepciones que establezca la ley reglamentaria.</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Pr>
          <w:rFonts w:ascii="Palatino Linotype" w:hAnsi="Palatino Linotype"/>
          <w:i/>
          <w:color w:val="000000" w:themeColor="text1"/>
          <w:sz w:val="22"/>
          <w:szCs w:val="22"/>
          <w:lang w:val="es-ES"/>
        </w:rPr>
        <w:t xml:space="preserve">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lastRenderedPageBreak/>
        <w:t>IV.</w:t>
      </w:r>
      <w:r>
        <w:rPr>
          <w:rFonts w:ascii="Palatino Linotype" w:hAnsi="Palatino Linotype"/>
          <w:i/>
          <w:color w:val="000000" w:themeColor="text1"/>
          <w:sz w:val="22"/>
          <w:szCs w:val="22"/>
          <w:lang w:val="es-ES"/>
        </w:rPr>
        <w:t xml:space="preserve"> Se</w:t>
      </w:r>
      <w:r>
        <w:rPr>
          <w:rFonts w:ascii="Palatino Linotype" w:hAnsi="Palatino Linotype"/>
          <w:i/>
          <w:color w:val="000000" w:themeColor="text1"/>
          <w:sz w:val="22"/>
          <w:szCs w:val="22"/>
          <w:lang w:val="es-ES"/>
        </w:rPr>
        <w:t xml:space="preserve"> establecerán mecanismos de acceso a la información y procedimientos de revisión expeditos que se sustanciarán ante el organismo autónomo especializado e imparcial que establece esta Constitución. </w:t>
      </w:r>
    </w:p>
    <w:p w:rsidR="008A2DFA" w:rsidRDefault="00D60B2C">
      <w:pPr>
        <w:tabs>
          <w:tab w:val="left" w:pos="851"/>
        </w:tabs>
        <w:ind w:left="851" w:right="992"/>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V.</w:t>
      </w:r>
      <w:r>
        <w:rPr>
          <w:rFonts w:ascii="Palatino Linotype" w:hAnsi="Palatino Linotype"/>
          <w:i/>
          <w:color w:val="000000" w:themeColor="text1"/>
          <w:sz w:val="22"/>
          <w:szCs w:val="22"/>
          <w:lang w:val="es-ES"/>
        </w:rPr>
        <w:t xml:space="preserve"> Los procedimientos de acceso a la información pública, </w:t>
      </w:r>
      <w:r>
        <w:rPr>
          <w:rFonts w:ascii="Palatino Linotype" w:hAnsi="Palatino Linotype"/>
          <w:i/>
          <w:color w:val="000000" w:themeColor="text1"/>
          <w:sz w:val="22"/>
          <w:szCs w:val="22"/>
          <w:lang w:val="es-ES"/>
        </w:rPr>
        <w:t>de acceso, corrección y supresión de datos personales, así como los recursos de revisión derivados de los mismos, podrán tramitarse por medios electrónicos, a través de un sistema automatizado que para tal efecto establezca la ley reglamentaria y el organi</w:t>
      </w:r>
      <w:r>
        <w:rPr>
          <w:rFonts w:ascii="Palatino Linotype" w:hAnsi="Palatino Linotype"/>
          <w:i/>
          <w:color w:val="000000" w:themeColor="text1"/>
          <w:sz w:val="22"/>
          <w:szCs w:val="22"/>
          <w:lang w:val="es-ES"/>
        </w:rPr>
        <w:t>smo autónomo garante en el ámbito de su competencia. Las resoluciones que correspondan a estos procedimientos se sistematizarán para favorecer su consulta.</w:t>
      </w:r>
      <w:r>
        <w:rPr>
          <w:rFonts w:ascii="Palatino Linotype" w:hAnsi="Palatino Linotype"/>
          <w:b/>
          <w:i/>
          <w:color w:val="000000" w:themeColor="text1"/>
          <w:sz w:val="22"/>
          <w:szCs w:val="22"/>
          <w:lang w:val="es-ES"/>
        </w:rPr>
        <w:t>”</w:t>
      </w:r>
    </w:p>
    <w:p w:rsidR="008A2DFA" w:rsidRDefault="00D60B2C">
      <w:pPr>
        <w:tabs>
          <w:tab w:val="left" w:pos="851"/>
        </w:tabs>
        <w:ind w:left="851" w:right="992"/>
        <w:jc w:val="both"/>
        <w:rPr>
          <w:rFonts w:ascii="Palatino Linotype" w:hAnsi="Palatino Linotype"/>
          <w:color w:val="000000" w:themeColor="text1"/>
          <w:sz w:val="22"/>
          <w:szCs w:val="22"/>
          <w:lang w:val="es-ES"/>
        </w:rPr>
      </w:pPr>
      <w:r>
        <w:rPr>
          <w:rFonts w:ascii="Palatino Linotype" w:hAnsi="Palatino Linotype"/>
          <w:color w:val="000000" w:themeColor="text1"/>
          <w:sz w:val="22"/>
          <w:szCs w:val="22"/>
          <w:lang w:val="es-ES"/>
        </w:rPr>
        <w:t>(Énfasis añadido)</w:t>
      </w:r>
    </w:p>
    <w:p w:rsidR="008A2DFA" w:rsidRDefault="008A2DFA">
      <w:pPr>
        <w:tabs>
          <w:tab w:val="left" w:pos="851"/>
        </w:tabs>
        <w:ind w:left="851" w:right="901"/>
        <w:jc w:val="both"/>
        <w:rPr>
          <w:rFonts w:ascii="Palatino Linotype" w:hAnsi="Palatino Linotype"/>
          <w:color w:val="000000" w:themeColor="text1"/>
          <w:sz w:val="22"/>
          <w:szCs w:val="22"/>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Por otra parte, del contenido del artículo 1 de la Constitución Política de los </w:t>
      </w:r>
      <w:r>
        <w:rPr>
          <w:rFonts w:ascii="Palatino Linotype" w:hAnsi="Palatino Linotype"/>
          <w:color w:val="000000" w:themeColor="text1"/>
          <w:lang w:val="es-ES"/>
        </w:rPr>
        <w:t>Estados Unidos Mexicanos, se destaca lo siguiente:</w:t>
      </w:r>
    </w:p>
    <w:p w:rsidR="008A2DFA" w:rsidRDefault="008A2DFA">
      <w:pPr>
        <w:jc w:val="both"/>
        <w:rPr>
          <w:rFonts w:ascii="Palatino Linotype" w:hAnsi="Palatino Linotype"/>
          <w:color w:val="000000" w:themeColor="text1"/>
          <w:lang w:val="es-ES"/>
        </w:rPr>
      </w:pP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lang w:val="es-ES"/>
        </w:rPr>
        <w:t>“Artículo 1o</w:t>
      </w:r>
      <w:r>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w:t>
      </w:r>
      <w:r>
        <w:rPr>
          <w:rFonts w:ascii="Palatino Linotype" w:hAnsi="Palatino Linotype" w:cs="Arial"/>
          <w:i/>
          <w:color w:val="000000" w:themeColor="text1"/>
          <w:sz w:val="22"/>
          <w:szCs w:val="22"/>
          <w:lang w:val="es-ES"/>
        </w:rPr>
        <w:t xml:space="preserve"> así como de las garantías para su protección, cuyo ejercicio no podrá restringirse ni suspenderse, salvo en los casos y bajo las condiciones que esta Constitución establece.</w:t>
      </w:r>
    </w:p>
    <w:p w:rsidR="008A2DFA" w:rsidRDefault="00D60B2C">
      <w:pPr>
        <w:tabs>
          <w:tab w:val="left" w:pos="851"/>
        </w:tabs>
        <w:ind w:left="851" w:right="992"/>
        <w:jc w:val="both"/>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u w:val="single"/>
          <w:lang w:val="es-ES"/>
        </w:rPr>
        <w:t>Las normas relativas a los derechos humanos se interpretarán</w:t>
      </w:r>
      <w:r>
        <w:rPr>
          <w:rFonts w:ascii="Palatino Linotype" w:hAnsi="Palatino Linotype" w:cs="Arial"/>
          <w:i/>
          <w:color w:val="000000" w:themeColor="text1"/>
          <w:sz w:val="22"/>
          <w:szCs w:val="22"/>
          <w:lang w:val="es-ES"/>
        </w:rPr>
        <w:t xml:space="preserve"> de conformidad con e</w:t>
      </w:r>
      <w:r>
        <w:rPr>
          <w:rFonts w:ascii="Palatino Linotype" w:hAnsi="Palatino Linotype" w:cs="Arial"/>
          <w:i/>
          <w:color w:val="000000" w:themeColor="text1"/>
          <w:sz w:val="22"/>
          <w:szCs w:val="22"/>
          <w:lang w:val="es-ES"/>
        </w:rPr>
        <w:t xml:space="preserve">sta Constitución y con los tratados internacionales de la </w:t>
      </w:r>
      <w:r>
        <w:rPr>
          <w:rFonts w:ascii="Palatino Linotype" w:hAnsi="Palatino Linotype" w:cs="Arial"/>
          <w:b/>
          <w:i/>
          <w:color w:val="000000" w:themeColor="text1"/>
          <w:sz w:val="22"/>
          <w:szCs w:val="22"/>
          <w:lang w:val="es-ES"/>
        </w:rPr>
        <w:t xml:space="preserve">materia </w:t>
      </w:r>
      <w:r>
        <w:rPr>
          <w:rFonts w:ascii="Palatino Linotype" w:hAnsi="Palatino Linotype" w:cs="Arial"/>
          <w:b/>
          <w:i/>
          <w:color w:val="000000" w:themeColor="text1"/>
          <w:sz w:val="22"/>
          <w:szCs w:val="22"/>
          <w:u w:val="single"/>
          <w:lang w:val="es-ES"/>
        </w:rPr>
        <w:t>favoreciendo en todo tiempo a las personas la protección más amplia</w:t>
      </w:r>
      <w:r>
        <w:rPr>
          <w:rFonts w:ascii="Palatino Linotype" w:hAnsi="Palatino Linotype" w:cs="Arial"/>
          <w:b/>
          <w:i/>
          <w:color w:val="000000" w:themeColor="text1"/>
          <w:sz w:val="22"/>
          <w:szCs w:val="22"/>
          <w:lang w:val="es-ES"/>
        </w:rPr>
        <w:t>.</w:t>
      </w: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w:t>
      </w:r>
      <w:r>
        <w:rPr>
          <w:rFonts w:ascii="Palatino Linotype" w:hAnsi="Palatino Linotype" w:cs="Arial"/>
          <w:b/>
          <w:i/>
          <w:color w:val="000000" w:themeColor="text1"/>
          <w:sz w:val="22"/>
          <w:szCs w:val="22"/>
          <w:u w:val="single"/>
          <w:lang w:val="es-ES"/>
        </w:rPr>
        <w:t>r los derechos humanos de conformidad con los principios de universalidad, interdependencia, indivisibilidad y progresividad</w:t>
      </w:r>
      <w:r>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w:t>
      </w:r>
      <w:r>
        <w:rPr>
          <w:rFonts w:ascii="Palatino Linotype" w:hAnsi="Palatino Linotype" w:cs="Arial"/>
          <w:i/>
          <w:color w:val="000000" w:themeColor="text1"/>
          <w:sz w:val="22"/>
          <w:szCs w:val="22"/>
          <w:lang w:val="es-ES"/>
        </w:rPr>
        <w:t>s que establezca la ley.</w:t>
      </w:r>
      <w:r>
        <w:rPr>
          <w:rFonts w:ascii="Palatino Linotype" w:hAnsi="Palatino Linotype" w:cs="Arial"/>
          <w:b/>
          <w:i/>
          <w:color w:val="000000" w:themeColor="text1"/>
          <w:sz w:val="22"/>
          <w:szCs w:val="22"/>
          <w:lang w:val="es-ES"/>
        </w:rPr>
        <w:t>”</w:t>
      </w:r>
    </w:p>
    <w:p w:rsidR="008A2DFA" w:rsidRDefault="00D60B2C">
      <w:pPr>
        <w:tabs>
          <w:tab w:val="left" w:pos="851"/>
        </w:tabs>
        <w:ind w:left="851" w:right="992"/>
        <w:jc w:val="both"/>
        <w:rPr>
          <w:rFonts w:ascii="Palatino Linotype" w:hAnsi="Palatino Linotype"/>
          <w:color w:val="000000" w:themeColor="text1"/>
          <w:sz w:val="22"/>
          <w:szCs w:val="22"/>
          <w:lang w:val="es-ES"/>
        </w:rPr>
      </w:pPr>
      <w:r>
        <w:rPr>
          <w:rFonts w:ascii="Palatino Linotype" w:hAnsi="Palatino Linotype"/>
          <w:color w:val="000000" w:themeColor="text1"/>
          <w:sz w:val="22"/>
          <w:szCs w:val="22"/>
          <w:lang w:val="es-ES"/>
        </w:rPr>
        <w:t>(Énfasis añadido)</w:t>
      </w:r>
    </w:p>
    <w:p w:rsidR="008A2DFA" w:rsidRDefault="008A2DFA">
      <w:pPr>
        <w:tabs>
          <w:tab w:val="left" w:pos="851"/>
        </w:tabs>
        <w:ind w:left="851" w:right="901"/>
        <w:jc w:val="both"/>
        <w:rPr>
          <w:rFonts w:ascii="Palatino Linotype" w:hAnsi="Palatino Linotype"/>
          <w:color w:val="000000" w:themeColor="text1"/>
          <w:sz w:val="22"/>
          <w:szCs w:val="22"/>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Pr>
          <w:rFonts w:ascii="Palatino Linotype" w:hAnsi="Palatino Linotype" w:cs="Arial"/>
          <w:color w:val="000000" w:themeColor="text1"/>
          <w:lang w:val="es-ES"/>
        </w:rPr>
        <w:t>alguno</w:t>
      </w:r>
      <w:r>
        <w:rPr>
          <w:rFonts w:ascii="Palatino Linotype" w:hAnsi="Palatino Linotype"/>
          <w:color w:val="000000" w:themeColor="text1"/>
          <w:lang w:val="es-ES"/>
        </w:rPr>
        <w:t xml:space="preserve"> o justificar s</w:t>
      </w:r>
      <w:r>
        <w:rPr>
          <w:rFonts w:ascii="Palatino Linotype" w:hAnsi="Palatino Linotype"/>
          <w:color w:val="000000" w:themeColor="text1"/>
          <w:lang w:val="es-ES"/>
        </w:rPr>
        <w:t xml:space="preserve">u utilización, deberá tener acceso a la información pública, es decir, dicho </w:t>
      </w:r>
      <w:r>
        <w:rPr>
          <w:rFonts w:ascii="Palatino Linotype" w:hAnsi="Palatino Linotype" w:cs="Arial"/>
          <w:color w:val="000000" w:themeColor="text1"/>
          <w:lang w:val="es-ES"/>
        </w:rPr>
        <w:t>derecho</w:t>
      </w:r>
      <w:r>
        <w:rPr>
          <w:rFonts w:ascii="Palatino Linotype" w:hAnsi="Palatino Linotype"/>
          <w:color w:val="000000" w:themeColor="text1"/>
          <w:lang w:val="es-ES"/>
        </w:rPr>
        <w:t xml:space="preserve"> fundamental exime a quien lo ejerce, de acreditar su legitimación en la causa o su interés en el asunto, lo que permite la </w:t>
      </w:r>
      <w:r>
        <w:rPr>
          <w:rFonts w:ascii="Palatino Linotype" w:hAnsi="Palatino Linotype"/>
          <w:color w:val="000000" w:themeColor="text1"/>
          <w:lang w:val="es-ES"/>
        </w:rPr>
        <w:lastRenderedPageBreak/>
        <w:t>posibilidad de que inclusive, la solicitud de ac</w:t>
      </w:r>
      <w:r>
        <w:rPr>
          <w:rFonts w:ascii="Palatino Linotype" w:hAnsi="Palatino Linotype"/>
          <w:color w:val="000000" w:themeColor="text1"/>
          <w:lang w:val="es-ES"/>
        </w:rPr>
        <w:t>ceso a la información pueda ser anónima o no contener un nombre que identifique al solicitante o que permita tener certeza sobre su identidad.</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Robustece lo anterior, el Criterio 6/2014 del entonces Instituto Federal de Acceso a la Información y Protección</w:t>
      </w:r>
      <w:r>
        <w:rPr>
          <w:rFonts w:ascii="Palatino Linotype" w:hAnsi="Palatino Linotype"/>
          <w:color w:val="000000" w:themeColor="text1"/>
          <w:lang w:val="es-ES"/>
        </w:rPr>
        <w:t xml:space="preserve"> de Datos (IFAI), ahora Instituto Nacional de Transparencia, Acceso a la Información y Protección de Datos Personales (INAI), el cual se reproduce para una mayor referencia:</w:t>
      </w:r>
    </w:p>
    <w:p w:rsidR="008A2DFA" w:rsidRDefault="008A2DFA">
      <w:pPr>
        <w:jc w:val="both"/>
        <w:rPr>
          <w:rFonts w:ascii="Palatino Linotype" w:hAnsi="Palatino Linotype"/>
          <w:color w:val="000000" w:themeColor="text1"/>
          <w:lang w:val="es-ES"/>
        </w:rPr>
      </w:pPr>
    </w:p>
    <w:p w:rsidR="008A2DFA" w:rsidRDefault="00D60B2C">
      <w:pPr>
        <w:tabs>
          <w:tab w:val="left" w:pos="851"/>
        </w:tabs>
        <w:ind w:left="851" w:right="992"/>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lang w:val="es-ES"/>
        </w:rPr>
        <w:t>“Acceso a información gubernamental. No debe condicionarse a que el solicitante a</w:t>
      </w:r>
      <w:r>
        <w:rPr>
          <w:rFonts w:ascii="Palatino Linotype" w:hAnsi="Palatino Linotype" w:cs="Arial"/>
          <w:b/>
          <w:i/>
          <w:color w:val="000000" w:themeColor="text1"/>
          <w:sz w:val="22"/>
          <w:szCs w:val="22"/>
          <w:lang w:val="es-ES"/>
        </w:rPr>
        <w:t>credite su personalidad, demuestre interés alguno o justifique su utilización.</w:t>
      </w:r>
      <w:r>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w:t>
      </w:r>
      <w:r>
        <w:rPr>
          <w:rFonts w:ascii="Palatino Linotype" w:hAnsi="Palatino Linotype" w:cs="Arial"/>
          <w:i/>
          <w:color w:val="000000" w:themeColor="text1"/>
          <w:sz w:val="22"/>
          <w:szCs w:val="22"/>
          <w:lang w:val="es-ES"/>
        </w:rPr>
        <w:t>e Transparencia y Acceso a la Información Pública Gubernamental, la respuesta a una solicitud de acceso a información y entrega de la misma, no debe estar condicionada a que el particular acredite su personalidad, demuestre interés alguno o justifique su u</w:t>
      </w:r>
      <w:r>
        <w:rPr>
          <w:rFonts w:ascii="Palatino Linotype" w:hAnsi="Palatino Linotype" w:cs="Arial"/>
          <w:i/>
          <w:color w:val="000000" w:themeColor="text1"/>
          <w:sz w:val="22"/>
          <w:szCs w:val="22"/>
          <w:lang w:val="es-ES"/>
        </w:rPr>
        <w:t>tilización, en virtud de que los sujetos obligados no deben requerir al solicitante mayores requisitos que los establecidos en la Ley. En este sentido, las dependencias y entidades, sólo deberán asegurarse de que, en su caso, se haya cubierto el pago de re</w:t>
      </w:r>
      <w:r>
        <w:rPr>
          <w:rFonts w:ascii="Palatino Linotype" w:hAnsi="Palatino Linotype" w:cs="Arial"/>
          <w:i/>
          <w:color w:val="000000" w:themeColor="text1"/>
          <w:sz w:val="22"/>
          <w:szCs w:val="22"/>
          <w:lang w:val="es-ES"/>
        </w:rPr>
        <w:t>producción y envío de la información, mediante la exhibición del recibo correspondiente.”</w:t>
      </w:r>
    </w:p>
    <w:p w:rsidR="008A2DFA" w:rsidRDefault="008A2DFA">
      <w:pPr>
        <w:tabs>
          <w:tab w:val="left" w:pos="851"/>
        </w:tabs>
        <w:ind w:left="851" w:right="901"/>
        <w:jc w:val="both"/>
        <w:rPr>
          <w:rFonts w:ascii="Palatino Linotype" w:hAnsi="Palatino Linotype" w:cs="Arial"/>
          <w:i/>
          <w:color w:val="000000" w:themeColor="text1"/>
          <w:sz w:val="22"/>
          <w:szCs w:val="22"/>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En ese orden de ideas, se estima que el requerimiento relativo al nombre como presupuesto de procedibilidad, </w:t>
      </w:r>
      <w:r>
        <w:rPr>
          <w:rFonts w:ascii="Palatino Linotype" w:hAnsi="Palatino Linotype" w:cs="Arial"/>
          <w:color w:val="000000" w:themeColor="text1"/>
          <w:lang w:val="es-ES"/>
        </w:rPr>
        <w:t>podría</w:t>
      </w:r>
      <w:r>
        <w:rPr>
          <w:rFonts w:ascii="Palatino Linotype" w:hAnsi="Palatino Linotype"/>
          <w:color w:val="000000" w:themeColor="text1"/>
          <w:lang w:val="es-ES"/>
        </w:rPr>
        <w:t xml:space="preserve"> limitar el ejercicio del derecho de acceso a la i</w:t>
      </w:r>
      <w:r>
        <w:rPr>
          <w:rFonts w:ascii="Palatino Linotype" w:hAnsi="Palatino Linotype"/>
          <w:color w:val="000000" w:themeColor="text1"/>
          <w:lang w:val="es-ES"/>
        </w:rPr>
        <w:t>nformación pública, debido a que, el hecho de solicitar la identificación del</w:t>
      </w:r>
      <w:r>
        <w:rPr>
          <w:rFonts w:ascii="Palatino Linotype" w:hAnsi="Palatino Linotype" w:cs="Arial"/>
          <w:b/>
          <w:color w:val="000000" w:themeColor="text1"/>
          <w:lang w:val="es-ES"/>
        </w:rPr>
        <w:t xml:space="preserve"> RECURRENTE</w:t>
      </w:r>
      <w:r>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w:t>
      </w:r>
      <w:r>
        <w:rPr>
          <w:rFonts w:ascii="Palatino Linotype" w:hAnsi="Palatino Linotype"/>
          <w:color w:val="000000" w:themeColor="text1"/>
          <w:lang w:val="es-ES"/>
        </w:rPr>
        <w:t>atorio un derecho fundamental.</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lastRenderedPageBreak/>
        <w:t xml:space="preserve">Aunado a ello, para el estudio de la materia sobre la que se resuelve el presente recurso de revisión, resulta intrascendente conocer el nombre de la persona que lo hubiere promovido, en virtud de que tanto la </w:t>
      </w:r>
      <w:r>
        <w:rPr>
          <w:rFonts w:ascii="Palatino Linotype" w:hAnsi="Palatino Linotype" w:cs="Arial"/>
          <w:color w:val="000000" w:themeColor="text1"/>
          <w:lang w:val="es-ES"/>
        </w:rPr>
        <w:t>Constitución</w:t>
      </w:r>
      <w:r>
        <w:rPr>
          <w:rFonts w:ascii="Palatino Linotype" w:hAnsi="Palatino Linotype"/>
          <w:color w:val="000000" w:themeColor="text1"/>
          <w:lang w:val="es-ES"/>
        </w:rPr>
        <w:t xml:space="preserve"> F</w:t>
      </w:r>
      <w:r>
        <w:rPr>
          <w:rFonts w:ascii="Palatino Linotype" w:hAnsi="Palatino Linotype"/>
          <w:color w:val="000000" w:themeColor="text1"/>
          <w:lang w:val="es-ES"/>
        </w:rPr>
        <w:t>ederal, como la Constitución Política del Estado Libre y Soberano de México reconocen la prerrogativa de los individuos para que no resulte necesario la acreditación de un interés o justificar la utilización de la información; por lo que, resulta ocioso re</w:t>
      </w:r>
      <w:r>
        <w:rPr>
          <w:rFonts w:ascii="Palatino Linotype" w:hAnsi="Palatino Linotype"/>
          <w:color w:val="000000" w:themeColor="text1"/>
          <w:lang w:val="es-ES"/>
        </w:rPr>
        <w:t xml:space="preserve">alizar dicho análisis, en la inteligencia de que se limitaría el ejercicio de un Derecho Humano, como el Derecho de Acceso a la Información Pública, por una cuestión procedimental. </w:t>
      </w:r>
    </w:p>
    <w:p w:rsidR="008A2DFA" w:rsidRDefault="008A2DFA">
      <w:pPr>
        <w:tabs>
          <w:tab w:val="left" w:pos="1968"/>
        </w:tabs>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Asimismo, se estima que el requisito relativo al nombre del </w:t>
      </w:r>
      <w:r>
        <w:rPr>
          <w:rFonts w:ascii="Palatino Linotype" w:hAnsi="Palatino Linotype" w:cs="Arial"/>
          <w:b/>
          <w:color w:val="000000" w:themeColor="text1"/>
          <w:lang w:val="es-ES"/>
        </w:rPr>
        <w:t>RECURRENTE</w:t>
      </w:r>
      <w:r>
        <w:rPr>
          <w:rFonts w:ascii="Palatino Linotype" w:hAnsi="Palatino Linotype"/>
          <w:color w:val="000000" w:themeColor="text1"/>
          <w:lang w:val="es-ES"/>
        </w:rPr>
        <w:t xml:space="preserve"> no</w:t>
      </w:r>
      <w:r>
        <w:rPr>
          <w:rFonts w:ascii="Palatino Linotype" w:hAnsi="Palatino Linotype"/>
          <w:color w:val="000000" w:themeColor="text1"/>
          <w:lang w:val="es-ES"/>
        </w:rPr>
        <w:t xml:space="preserve"> constituye un presupuesto indispensable de procedibilidad de los recursos de revisión, en términos de los artículos 25 de la Convención Americana de Derechos Humanos, 1 párrafos segundo y tercero, 6 apartado A, fracciones III y IV de la Constitución Polít</w:t>
      </w:r>
      <w:r>
        <w:rPr>
          <w:rFonts w:ascii="Palatino Linotype" w:hAnsi="Palatino Linotype"/>
          <w:color w:val="000000" w:themeColor="text1"/>
          <w:lang w:val="es-ES"/>
        </w:rPr>
        <w:t>ica de los Estados Unidos Mexicanos y 5, párrafo vigésimo segundo de la Constitución Política del Estado Libre y Soberano de México, debido a que el acceso a la información pública es un Derecho Humano que no requiere legitimación en la causa, sino que úni</w:t>
      </w:r>
      <w:r>
        <w:rPr>
          <w:rFonts w:ascii="Palatino Linotype" w:hAnsi="Palatino Linotype"/>
          <w:color w:val="000000" w:themeColor="text1"/>
          <w:lang w:val="es-ES"/>
        </w:rPr>
        <w:t xml:space="preserve">camente basta con que se encuentre legitimado en el procedimiento de recurso de revisión, circunstancia que se acredita en las constancias electrónicas del expediente, de las que se desprende que </w:t>
      </w:r>
      <w:r>
        <w:rPr>
          <w:rFonts w:ascii="Palatino Linotype" w:hAnsi="Palatino Linotype" w:cs="Arial"/>
          <w:b/>
          <w:color w:val="000000" w:themeColor="text1"/>
          <w:lang w:val="es-ES"/>
        </w:rPr>
        <w:t>EL RECURRENTE</w:t>
      </w:r>
      <w:r>
        <w:rPr>
          <w:rFonts w:ascii="Palatino Linotype" w:hAnsi="Palatino Linotype"/>
          <w:color w:val="000000" w:themeColor="text1"/>
          <w:lang w:val="es-ES"/>
        </w:rPr>
        <w:t xml:space="preserve"> es la misma persona que realizó la solicitud d</w:t>
      </w:r>
      <w:r>
        <w:rPr>
          <w:rFonts w:ascii="Palatino Linotype" w:hAnsi="Palatino Linotype"/>
          <w:color w:val="000000" w:themeColor="text1"/>
          <w:lang w:val="es-ES"/>
        </w:rPr>
        <w:t>e acceso a la información pública que ahora se impugna.</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b/>
          <w:color w:val="000000" w:themeColor="text1"/>
          <w:lang w:val="es-ES"/>
        </w:rPr>
      </w:pPr>
      <w:r>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w:t>
      </w:r>
      <w:r>
        <w:rPr>
          <w:rFonts w:ascii="Palatino Linotype" w:hAnsi="Palatino Linotype"/>
          <w:color w:val="000000" w:themeColor="text1"/>
          <w:lang w:val="es-ES"/>
        </w:rPr>
        <w:t xml:space="preserve"> requisitos, entre ellos, el nombre del</w:t>
      </w:r>
      <w:r>
        <w:rPr>
          <w:rFonts w:ascii="Palatino Linotype" w:hAnsi="Palatino Linotype" w:cs="Arial"/>
          <w:b/>
          <w:color w:val="000000" w:themeColor="text1"/>
          <w:lang w:val="es-ES"/>
        </w:rPr>
        <w:t xml:space="preserve"> </w:t>
      </w:r>
      <w:r>
        <w:rPr>
          <w:rFonts w:ascii="Palatino Linotype" w:hAnsi="Palatino Linotype" w:cs="Arial"/>
          <w:b/>
          <w:color w:val="000000" w:themeColor="text1"/>
          <w:lang w:val="es-ES"/>
        </w:rPr>
        <w:lastRenderedPageBreak/>
        <w:t>RECURRENTE;</w:t>
      </w:r>
      <w:r>
        <w:rPr>
          <w:rFonts w:ascii="Palatino Linotype" w:hAnsi="Palatino Linotype"/>
          <w:color w:val="000000" w:themeColor="text1"/>
          <w:lang w:val="es-ES"/>
        </w:rPr>
        <w:t xml:space="preserve"> por lo que, en el presente caso, al haber sido presentados los recursos de revisión vía </w:t>
      </w:r>
      <w:r>
        <w:rPr>
          <w:rFonts w:ascii="Palatino Linotype" w:hAnsi="Palatino Linotype"/>
          <w:b/>
          <w:color w:val="000000" w:themeColor="text1"/>
          <w:lang w:val="es-ES"/>
        </w:rPr>
        <w:t>SAIMEX</w:t>
      </w:r>
      <w:r>
        <w:rPr>
          <w:rFonts w:ascii="Palatino Linotype" w:hAnsi="Palatino Linotype"/>
          <w:color w:val="000000" w:themeColor="text1"/>
          <w:lang w:val="es-ES"/>
        </w:rPr>
        <w:t>, dicho requisito resulta innecesario.</w:t>
      </w:r>
    </w:p>
    <w:p w:rsidR="008A2DFA" w:rsidRDefault="008A2DFA">
      <w:pPr>
        <w:spacing w:line="360" w:lineRule="auto"/>
        <w:ind w:right="49"/>
        <w:jc w:val="both"/>
        <w:rPr>
          <w:rFonts w:ascii="Palatino Linotype" w:hAnsi="Palatino Linotype"/>
          <w:b/>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b/>
          <w:color w:val="000000" w:themeColor="text1"/>
          <w:sz w:val="28"/>
          <w:szCs w:val="28"/>
        </w:rPr>
        <w:t>SEXTO</w:t>
      </w:r>
      <w:r>
        <w:rPr>
          <w:rFonts w:ascii="Palatino Linotype" w:hAnsi="Palatino Linotype" w:cs="Arial"/>
          <w:b/>
          <w:color w:val="000000" w:themeColor="text1"/>
        </w:rPr>
        <w:t>. Estudio y resolución del asunto.</w:t>
      </w:r>
      <w:r>
        <w:rPr>
          <w:rFonts w:ascii="Palatino Linotype" w:hAnsi="Palatino Linotype" w:cs="Arial"/>
          <w:color w:val="000000" w:themeColor="text1"/>
        </w:rPr>
        <w:t xml:space="preserve"> Una vez determinada la vía sobre la que versarán los presentes recursos, y previa revisión de los expediente electrónicos formados en </w:t>
      </w:r>
      <w:r>
        <w:rPr>
          <w:rFonts w:ascii="Palatino Linotype" w:hAnsi="Palatino Linotype" w:cs="Arial"/>
          <w:b/>
          <w:color w:val="000000" w:themeColor="text1"/>
        </w:rPr>
        <w:t>EL SAIMEX</w:t>
      </w:r>
      <w:r>
        <w:rPr>
          <w:rFonts w:ascii="Palatino Linotype" w:hAnsi="Palatino Linotype" w:cs="Arial"/>
          <w:color w:val="000000" w:themeColor="text1"/>
        </w:rPr>
        <w:t xml:space="preserve"> con motivo de las solicitudes de información y de los recursos a que dan origen, es de señalar que el análisis </w:t>
      </w:r>
      <w:r>
        <w:rPr>
          <w:rFonts w:ascii="Palatino Linotype" w:hAnsi="Palatino Linotype" w:cs="Arial"/>
          <w:color w:val="000000" w:themeColor="text1"/>
        </w:rPr>
        <w:t>de los presentes, se basará en el contenido íntegro de las actuaciones que obran en el expediente electrónico, para así estar en posibilidad este Órgano Colegiado de dictar el fallo correspondiente conforme a derecho, tomando en consideración los elementos</w:t>
      </w:r>
      <w:r>
        <w:rPr>
          <w:rFonts w:ascii="Palatino Linotype" w:hAnsi="Palatino Linotype" w:cs="Arial"/>
          <w:color w:val="000000" w:themeColor="text1"/>
        </w:rPr>
        <w:t xml:space="preserve"> aportados por las partes y respetando en todo momento el principio de máxima publicidad consagrado en nuestra Constitución Federal, Local y demás leyes aplicables en la materia, así como en los tratados internacionales en los que el Estado Mexicano sea pa</w:t>
      </w:r>
      <w:r>
        <w:rPr>
          <w:rFonts w:ascii="Palatino Linotype" w:hAnsi="Palatino Linotype" w:cs="Arial"/>
          <w:color w:val="000000" w:themeColor="text1"/>
        </w:rPr>
        <w:t>rte, en concordancia con el párrafo tercero del artículo 1 de la Constitución Federal y diversos 8 y 9 de la Ley de Transparencia local.</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eastAsiaTheme="minorEastAsia" w:hAnsi="Palatino Linotype" w:cs="Arial"/>
          <w:color w:val="000000" w:themeColor="text1"/>
          <w:lang w:val="es-ES_tradnl"/>
        </w:rPr>
        <w:t xml:space="preserve">Por lo anterior, se procede a analizar las documentales que integran el expediente electrónico relacionado con la solicitud número </w:t>
      </w:r>
      <w:r>
        <w:rPr>
          <w:rFonts w:ascii="Palatino Linotype" w:hAnsi="Palatino Linotype"/>
          <w:b/>
          <w:color w:val="000000" w:themeColor="text1"/>
        </w:rPr>
        <w:t>00039/METEPEC/IP/2020</w:t>
      </w:r>
      <w:r>
        <w:rPr>
          <w:rFonts w:ascii="Palatino Linotype" w:eastAsiaTheme="minorEastAsia" w:hAnsi="Palatino Linotype" w:cs="Arial"/>
          <w:color w:val="000000" w:themeColor="text1"/>
          <w:lang w:val="es-ES_tradnl"/>
        </w:rPr>
        <w:t xml:space="preserve">, a fin de determinar si con la información remitida por parte del </w:t>
      </w:r>
      <w:r>
        <w:rPr>
          <w:rFonts w:ascii="Palatino Linotype" w:eastAsiaTheme="minorEastAsia" w:hAnsi="Palatino Linotype" w:cs="Arial"/>
          <w:b/>
          <w:color w:val="000000" w:themeColor="text1"/>
          <w:lang w:val="es-ES_tradnl"/>
        </w:rPr>
        <w:t xml:space="preserve">SUJETO OBLIGADO </w:t>
      </w:r>
      <w:r>
        <w:rPr>
          <w:rFonts w:ascii="Palatino Linotype" w:eastAsiaTheme="minorEastAsia" w:hAnsi="Palatino Linotype" w:cs="Arial"/>
          <w:color w:val="000000" w:themeColor="text1"/>
          <w:lang w:val="es-ES_tradnl"/>
        </w:rPr>
        <w:t>mediante respuesta, s</w:t>
      </w:r>
      <w:r>
        <w:rPr>
          <w:rFonts w:ascii="Palatino Linotype" w:eastAsiaTheme="minorEastAsia" w:hAnsi="Palatino Linotype" w:cs="Arial"/>
          <w:color w:val="000000" w:themeColor="text1"/>
          <w:lang w:val="es-ES_tradnl"/>
        </w:rPr>
        <w:t xml:space="preserve">e colma el derecho de </w:t>
      </w:r>
      <w:r>
        <w:rPr>
          <w:rFonts w:ascii="Palatino Linotype" w:hAnsi="Palatino Linotype" w:cs="Arial"/>
          <w:color w:val="000000" w:themeColor="text1"/>
        </w:rPr>
        <w:t xml:space="preserve">acceso a la información ejercido por </w:t>
      </w:r>
      <w:r>
        <w:rPr>
          <w:rFonts w:ascii="Palatino Linotype" w:hAnsi="Palatino Linotype" w:cs="Arial"/>
          <w:b/>
          <w:color w:val="000000" w:themeColor="text1"/>
        </w:rPr>
        <w:t>EL RECURRENTE</w:t>
      </w:r>
      <w:r>
        <w:rPr>
          <w:rFonts w:ascii="Palatino Linotype" w:hAnsi="Palatino Linotype" w:cs="Arial"/>
          <w:color w:val="000000" w:themeColor="text1"/>
        </w:rPr>
        <w:t>; atento a ello, se realiza la siguiente tabla, para mayor entendimiento:</w:t>
      </w:r>
    </w:p>
    <w:p w:rsidR="008A2DFA" w:rsidRDefault="008A2DFA">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1621"/>
        <w:gridCol w:w="5511"/>
        <w:gridCol w:w="1314"/>
        <w:gridCol w:w="665"/>
      </w:tblGrid>
      <w:tr w:rsidR="008A2DFA" w:rsidTr="008F4D0B">
        <w:trPr>
          <w:tblHeader/>
        </w:trPr>
        <w:tc>
          <w:tcPr>
            <w:tcW w:w="0" w:type="auto"/>
            <w:shd w:val="pct15" w:color="auto" w:fill="auto"/>
          </w:tcPr>
          <w:p w:rsidR="008A2DFA" w:rsidRDefault="00D60B2C">
            <w:pPr>
              <w:ind w:right="49"/>
              <w:jc w:val="center"/>
              <w:rPr>
                <w:rFonts w:ascii="Palatino Linotype" w:hAnsi="Palatino Linotype" w:cs="Arial"/>
                <w:color w:val="000000" w:themeColor="text1"/>
              </w:rPr>
            </w:pPr>
            <w:r>
              <w:rPr>
                <w:rFonts w:ascii="Palatino Linotype" w:eastAsia="Calibri" w:hAnsi="Palatino Linotype" w:cs="Bookman Old Style"/>
                <w:b/>
                <w:bCs/>
                <w:i/>
                <w:color w:val="000000" w:themeColor="text1"/>
                <w:sz w:val="22"/>
                <w:szCs w:val="22"/>
                <w:lang w:val="es-ES" w:eastAsia="en-US"/>
              </w:rPr>
              <w:lastRenderedPageBreak/>
              <w:t>Solicitud</w:t>
            </w:r>
          </w:p>
        </w:tc>
        <w:tc>
          <w:tcPr>
            <w:tcW w:w="0" w:type="auto"/>
            <w:shd w:val="pct15" w:color="auto" w:fill="auto"/>
          </w:tcPr>
          <w:p w:rsidR="008A2DFA" w:rsidRDefault="00D60B2C">
            <w:pPr>
              <w:ind w:right="49"/>
              <w:jc w:val="center"/>
              <w:rPr>
                <w:rFonts w:ascii="Palatino Linotype" w:hAnsi="Palatino Linotype" w:cs="Arial"/>
                <w:color w:val="000000" w:themeColor="text1"/>
              </w:rPr>
            </w:pPr>
            <w:r>
              <w:rPr>
                <w:rFonts w:ascii="Palatino Linotype" w:eastAsia="Calibri" w:hAnsi="Palatino Linotype" w:cs="Bookman Old Style"/>
                <w:b/>
                <w:bCs/>
                <w:i/>
                <w:color w:val="000000" w:themeColor="text1"/>
                <w:sz w:val="22"/>
                <w:szCs w:val="22"/>
                <w:lang w:val="es-ES" w:eastAsia="en-US"/>
              </w:rPr>
              <w:t xml:space="preserve">Respuesta </w:t>
            </w:r>
          </w:p>
        </w:tc>
        <w:tc>
          <w:tcPr>
            <w:tcW w:w="0" w:type="auto"/>
            <w:shd w:val="pct15" w:color="auto" w:fill="auto"/>
          </w:tcPr>
          <w:p w:rsidR="008A2DFA" w:rsidRDefault="00D60B2C">
            <w:pPr>
              <w:ind w:right="49"/>
              <w:jc w:val="center"/>
              <w:rPr>
                <w:rFonts w:ascii="Palatino Linotype" w:hAnsi="Palatino Linotype" w:cs="Bookman Old Style"/>
                <w:b/>
                <w:bCs/>
                <w:i/>
                <w:color w:val="000000" w:themeColor="text1"/>
              </w:rPr>
            </w:pPr>
            <w:r>
              <w:rPr>
                <w:rFonts w:ascii="Palatino Linotype" w:eastAsia="Calibri" w:hAnsi="Palatino Linotype" w:cs="Bookman Old Style"/>
                <w:b/>
                <w:bCs/>
                <w:i/>
                <w:color w:val="000000" w:themeColor="text1"/>
                <w:sz w:val="22"/>
                <w:szCs w:val="22"/>
                <w:lang w:val="es-ES" w:eastAsia="en-US"/>
              </w:rPr>
              <w:t>Observaciones</w:t>
            </w:r>
          </w:p>
        </w:tc>
        <w:tc>
          <w:tcPr>
            <w:tcW w:w="0" w:type="auto"/>
            <w:shd w:val="pct15" w:color="auto" w:fill="auto"/>
          </w:tcPr>
          <w:p w:rsidR="008A2DFA" w:rsidRDefault="00D60B2C">
            <w:pPr>
              <w:pStyle w:val="Prrafodelista"/>
              <w:ind w:left="0"/>
              <w:jc w:val="center"/>
              <w:rPr>
                <w:rFonts w:ascii="Palatino Linotype" w:eastAsiaTheme="minorEastAsia" w:hAnsi="Palatino Linotype" w:cs="Bookman Old Style" w:hint="eastAsia"/>
                <w:b/>
                <w:bCs/>
                <w:i/>
                <w:color w:val="000000" w:themeColor="text1"/>
                <w:sz w:val="20"/>
                <w:szCs w:val="20"/>
                <w:lang w:eastAsia="es-MX"/>
              </w:rPr>
            </w:pPr>
            <w:r>
              <w:rPr>
                <w:rFonts w:ascii="Palatino Linotype" w:eastAsiaTheme="minorEastAsia" w:hAnsi="Palatino Linotype" w:cs="Bookman Old Style"/>
                <w:b/>
                <w:bCs/>
                <w:i/>
                <w:color w:val="000000" w:themeColor="text1"/>
                <w:sz w:val="20"/>
                <w:szCs w:val="20"/>
                <w:lang w:eastAsia="es-MX"/>
              </w:rPr>
              <w:t>Colma</w:t>
            </w:r>
          </w:p>
          <w:p w:rsidR="008A2DFA" w:rsidRDefault="00D60B2C">
            <w:pPr>
              <w:ind w:right="49"/>
              <w:jc w:val="center"/>
              <w:rPr>
                <w:rFonts w:ascii="Palatino Linotype" w:hAnsi="Palatino Linotype" w:cs="Arial"/>
                <w:color w:val="000000" w:themeColor="text1"/>
              </w:rPr>
            </w:pPr>
            <w:r>
              <w:rPr>
                <w:rFonts w:ascii="Palatino Linotype" w:eastAsia="Calibri" w:hAnsi="Palatino Linotype" w:cs="Bookman Old Style"/>
                <w:b/>
                <w:bCs/>
                <w:i/>
                <w:color w:val="000000" w:themeColor="text1"/>
                <w:sz w:val="22"/>
                <w:szCs w:val="22"/>
                <w:lang w:val="es-ES" w:eastAsia="en-US"/>
              </w:rPr>
              <w:t>Sí/No</w:t>
            </w:r>
          </w:p>
        </w:tc>
      </w:tr>
      <w:tr w:rsidR="008A2DFA" w:rsidTr="008F4D0B">
        <w:trPr>
          <w:tblHeader/>
        </w:trPr>
        <w:tc>
          <w:tcPr>
            <w:tcW w:w="0" w:type="auto"/>
            <w:gridSpan w:val="4"/>
            <w:shd w:val="pct15" w:color="auto" w:fill="auto"/>
          </w:tcPr>
          <w:p w:rsidR="008A2DFA" w:rsidRDefault="00D60B2C">
            <w:pPr>
              <w:pStyle w:val="Prrafodelista"/>
              <w:ind w:left="0"/>
              <w:jc w:val="center"/>
              <w:rPr>
                <w:rFonts w:ascii="Palatino Linotype" w:eastAsiaTheme="minorEastAsia" w:hAnsi="Palatino Linotype" w:cs="Bookman Old Style" w:hint="eastAsia"/>
                <w:bCs/>
                <w:i/>
                <w:color w:val="000000" w:themeColor="text1"/>
                <w:sz w:val="20"/>
                <w:szCs w:val="20"/>
                <w:lang w:eastAsia="es-MX"/>
              </w:rPr>
            </w:pPr>
            <w:r>
              <w:rPr>
                <w:rFonts w:ascii="Palatino Linotype" w:eastAsiaTheme="minorEastAsia" w:hAnsi="Palatino Linotype" w:cs="Bookman Old Style"/>
                <w:bCs/>
                <w:i/>
                <w:color w:val="000000" w:themeColor="text1"/>
                <w:sz w:val="20"/>
                <w:szCs w:val="20"/>
                <w:lang w:eastAsia="es-MX"/>
              </w:rPr>
              <w:t xml:space="preserve">De los servidores públicos que participan en la elaboración, </w:t>
            </w:r>
            <w:r>
              <w:rPr>
                <w:rFonts w:ascii="Palatino Linotype" w:eastAsiaTheme="minorEastAsia" w:hAnsi="Palatino Linotype" w:cs="Bookman Old Style"/>
                <w:bCs/>
                <w:i/>
                <w:color w:val="000000" w:themeColor="text1"/>
                <w:sz w:val="20"/>
                <w:szCs w:val="20"/>
                <w:lang w:eastAsia="es-MX"/>
              </w:rPr>
              <w:t>revisión y autorización de las liquidaciones para el pago del impuesto predial</w:t>
            </w:r>
          </w:p>
        </w:tc>
      </w:tr>
      <w:tr w:rsidR="008A2DFA" w:rsidTr="008F4D0B">
        <w:tc>
          <w:tcPr>
            <w:tcW w:w="0" w:type="auto"/>
          </w:tcPr>
          <w:p w:rsidR="008A2DFA" w:rsidRDefault="00D60B2C">
            <w:pPr>
              <w:pStyle w:val="Prrafodelista"/>
              <w:numPr>
                <w:ilvl w:val="0"/>
                <w:numId w:val="2"/>
              </w:numPr>
              <w:ind w:left="313" w:right="49" w:hanging="284"/>
              <w:jc w:val="both"/>
              <w:rPr>
                <w:rFonts w:ascii="Palatino Linotype" w:hAnsi="Palatino Linotype"/>
                <w:color w:val="000000" w:themeColor="text1"/>
                <w:sz w:val="20"/>
                <w:lang w:eastAsia="es-MX"/>
              </w:rPr>
            </w:pPr>
            <w:r>
              <w:rPr>
                <w:rFonts w:ascii="Palatino Linotype" w:eastAsia="Calibri" w:hAnsi="Palatino Linotype"/>
                <w:color w:val="000000" w:themeColor="text1"/>
                <w:sz w:val="20"/>
                <w:szCs w:val="22"/>
                <w:lang w:val="es-ES" w:eastAsia="en-US"/>
              </w:rPr>
              <w:t xml:space="preserve">Nombre completo </w:t>
            </w:r>
          </w:p>
        </w:tc>
        <w:tc>
          <w:tcPr>
            <w:tcW w:w="0" w:type="auto"/>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Enlistó 21 nombres de servidores públicos. </w:t>
            </w:r>
          </w:p>
        </w:tc>
        <w:tc>
          <w:tcPr>
            <w:tcW w:w="0" w:type="auto"/>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Refirió que los servidores públicos no elaboran revisan o autorizan las liquidaciones para el pago de impuesto </w:t>
            </w:r>
            <w:r>
              <w:rPr>
                <w:rFonts w:ascii="Palatino Linotype" w:eastAsia="Calibri" w:hAnsi="Palatino Linotype"/>
                <w:color w:val="000000" w:themeColor="text1"/>
                <w:sz w:val="20"/>
                <w:szCs w:val="22"/>
                <w:lang w:val="es-ES" w:eastAsia="en-US"/>
              </w:rPr>
              <w:t>predial, toda vez que estas solo se imprimen de acuerdo a los parámetros y cálculo que realiza el Sistema Tributario Municipal</w:t>
            </w:r>
          </w:p>
        </w:tc>
        <w:tc>
          <w:tcPr>
            <w:tcW w:w="0" w:type="auto"/>
          </w:tcPr>
          <w:p w:rsidR="008A2DFA" w:rsidRDefault="008A2DFA">
            <w:pPr>
              <w:pStyle w:val="Prrafodelista"/>
              <w:numPr>
                <w:ilvl w:val="0"/>
                <w:numId w:val="3"/>
              </w:numPr>
              <w:ind w:right="49" w:hanging="686"/>
              <w:jc w:val="center"/>
              <w:rPr>
                <w:rFonts w:ascii="Palatino Linotype" w:hAnsi="Palatino Linotype" w:cs="Bookman Old Style"/>
                <w:b/>
                <w:bCs/>
                <w:i/>
                <w:color w:val="000000" w:themeColor="text1"/>
              </w:rPr>
            </w:pPr>
          </w:p>
        </w:tc>
      </w:tr>
      <w:tr w:rsidR="008A2DFA" w:rsidTr="008F4D0B">
        <w:tc>
          <w:tcPr>
            <w:tcW w:w="0" w:type="auto"/>
          </w:tcPr>
          <w:p w:rsidR="008A2DFA" w:rsidRDefault="00D60B2C">
            <w:pPr>
              <w:pStyle w:val="Prrafodelista"/>
              <w:numPr>
                <w:ilvl w:val="0"/>
                <w:numId w:val="2"/>
              </w:numPr>
              <w:ind w:left="313" w:right="49" w:hanging="284"/>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Cargo y percepción salarial</w:t>
            </w:r>
          </w:p>
        </w:tc>
        <w:tc>
          <w:tcPr>
            <w:tcW w:w="0" w:type="auto"/>
          </w:tcPr>
          <w:p w:rsidR="008A2DFA" w:rsidRDefault="00D60B2C">
            <w:pPr>
              <w:ind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No atendió requerimiento</w:t>
            </w:r>
          </w:p>
        </w:tc>
        <w:tc>
          <w:tcPr>
            <w:tcW w:w="0" w:type="auto"/>
          </w:tcPr>
          <w:p w:rsidR="008A2DFA" w:rsidRDefault="008A2DFA">
            <w:pPr>
              <w:pStyle w:val="Prrafodelista"/>
              <w:ind w:left="0"/>
              <w:jc w:val="center"/>
              <w:rPr>
                <w:rFonts w:ascii="Palatino Linotype" w:eastAsiaTheme="minorEastAsia" w:hAnsi="Palatino Linotype" w:cs="Bookman Old Style" w:hint="eastAsia"/>
                <w:bCs/>
                <w:i/>
                <w:color w:val="000000" w:themeColor="text1"/>
                <w:sz w:val="20"/>
                <w:szCs w:val="20"/>
                <w:lang w:eastAsia="es-MX"/>
              </w:rPr>
            </w:pPr>
          </w:p>
        </w:tc>
        <w:tc>
          <w:tcPr>
            <w:tcW w:w="0" w:type="auto"/>
          </w:tcPr>
          <w:p w:rsidR="008A2DFA" w:rsidRDefault="00D60B2C">
            <w:pPr>
              <w:ind w:right="49"/>
              <w:jc w:val="center"/>
              <w:rPr>
                <w:rFonts w:ascii="Palatino Linotype" w:hAnsi="Palatino Linotype"/>
                <w:b/>
                <w:color w:val="000000" w:themeColor="text1"/>
                <w:sz w:val="40"/>
                <w:lang w:val="es-ES"/>
              </w:rPr>
            </w:pPr>
            <w:r>
              <w:rPr>
                <w:rFonts w:ascii="Palatino Linotype" w:eastAsia="Calibri" w:hAnsi="Palatino Linotype"/>
                <w:b/>
                <w:color w:val="000000" w:themeColor="text1"/>
                <w:sz w:val="40"/>
                <w:szCs w:val="22"/>
                <w:lang w:val="es-ES" w:eastAsia="en-US"/>
              </w:rPr>
              <w:t>X</w:t>
            </w:r>
          </w:p>
        </w:tc>
      </w:tr>
      <w:tr w:rsidR="008A2DFA" w:rsidTr="008F4D0B">
        <w:tc>
          <w:tcPr>
            <w:tcW w:w="0" w:type="auto"/>
          </w:tcPr>
          <w:p w:rsidR="008A2DFA" w:rsidRDefault="00D60B2C">
            <w:pPr>
              <w:pStyle w:val="Prrafodelista"/>
              <w:numPr>
                <w:ilvl w:val="0"/>
                <w:numId w:val="2"/>
              </w:numPr>
              <w:ind w:left="313" w:right="49" w:hanging="284"/>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Gafete</w:t>
            </w:r>
          </w:p>
        </w:tc>
        <w:tc>
          <w:tcPr>
            <w:tcW w:w="0" w:type="auto"/>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Omitió adjuntar la información</w:t>
            </w:r>
          </w:p>
        </w:tc>
        <w:tc>
          <w:tcPr>
            <w:tcW w:w="0" w:type="auto"/>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Si bien refiere el Servidor Público Habilitado de la Subdirección de </w:t>
            </w:r>
            <w:r>
              <w:rPr>
                <w:rFonts w:ascii="Palatino Linotype" w:eastAsia="Calibri" w:hAnsi="Palatino Linotype"/>
                <w:color w:val="000000" w:themeColor="text1"/>
                <w:sz w:val="20"/>
                <w:szCs w:val="22"/>
                <w:lang w:val="es-ES" w:eastAsia="en-US"/>
              </w:rPr>
              <w:lastRenderedPageBreak/>
              <w:t xml:space="preserve">Egresos que la envía al Jefe de la Unidad de Transparencia mediante mail electrónico; la misma no obra en SAIMEX. </w:t>
            </w:r>
          </w:p>
        </w:tc>
        <w:tc>
          <w:tcPr>
            <w:tcW w:w="0" w:type="auto"/>
          </w:tcPr>
          <w:p w:rsidR="008A2DFA" w:rsidRDefault="00D60B2C">
            <w:pPr>
              <w:ind w:right="49"/>
              <w:jc w:val="center"/>
              <w:rPr>
                <w:rFonts w:ascii="Palatino Linotype" w:hAnsi="Palatino Linotype"/>
                <w:color w:val="000000" w:themeColor="text1"/>
                <w:sz w:val="40"/>
                <w:lang w:val="es-ES"/>
              </w:rPr>
            </w:pPr>
            <w:r>
              <w:rPr>
                <w:rFonts w:ascii="Palatino Linotype" w:eastAsia="Calibri" w:hAnsi="Palatino Linotype"/>
                <w:b/>
                <w:color w:val="000000" w:themeColor="text1"/>
                <w:sz w:val="40"/>
                <w:szCs w:val="22"/>
                <w:lang w:val="es-ES" w:eastAsia="en-US"/>
              </w:rPr>
              <w:lastRenderedPageBreak/>
              <w:t>X</w:t>
            </w:r>
          </w:p>
        </w:tc>
      </w:tr>
      <w:tr w:rsidR="008A2DFA" w:rsidTr="008F4D0B">
        <w:tc>
          <w:tcPr>
            <w:tcW w:w="0" w:type="auto"/>
          </w:tcPr>
          <w:p w:rsidR="008A2DFA" w:rsidRDefault="00D60B2C">
            <w:pPr>
              <w:pStyle w:val="Prrafodelista"/>
              <w:numPr>
                <w:ilvl w:val="0"/>
                <w:numId w:val="2"/>
              </w:numPr>
              <w:ind w:left="313" w:right="49" w:hanging="284"/>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 xml:space="preserve">Nombramiento oficial  </w:t>
            </w:r>
          </w:p>
        </w:tc>
        <w:tc>
          <w:tcPr>
            <w:tcW w:w="0" w:type="auto"/>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No atendió requerimiento</w:t>
            </w:r>
          </w:p>
        </w:tc>
        <w:tc>
          <w:tcPr>
            <w:tcW w:w="0" w:type="auto"/>
          </w:tcPr>
          <w:p w:rsidR="008A2DFA" w:rsidRDefault="008A2DFA">
            <w:pPr>
              <w:pStyle w:val="Prrafodelista"/>
              <w:ind w:left="0"/>
              <w:jc w:val="center"/>
              <w:rPr>
                <w:rFonts w:ascii="Palatino Linotype" w:eastAsiaTheme="minorEastAsia" w:hAnsi="Palatino Linotype" w:cs="Bookman Old Style" w:hint="eastAsia"/>
                <w:bCs/>
                <w:i/>
                <w:color w:val="000000" w:themeColor="text1"/>
                <w:sz w:val="20"/>
                <w:szCs w:val="20"/>
                <w:lang w:eastAsia="es-MX"/>
              </w:rPr>
            </w:pPr>
          </w:p>
        </w:tc>
        <w:tc>
          <w:tcPr>
            <w:tcW w:w="0" w:type="auto"/>
          </w:tcPr>
          <w:p w:rsidR="008A2DFA" w:rsidRDefault="00D60B2C">
            <w:pPr>
              <w:ind w:right="49"/>
              <w:jc w:val="center"/>
              <w:rPr>
                <w:rFonts w:ascii="Palatino Linotype" w:hAnsi="Palatino Linotype"/>
                <w:b/>
                <w:color w:val="000000" w:themeColor="text1"/>
                <w:sz w:val="40"/>
                <w:lang w:val="es-ES"/>
              </w:rPr>
            </w:pPr>
            <w:r>
              <w:rPr>
                <w:rFonts w:ascii="Palatino Linotype" w:eastAsia="Calibri" w:hAnsi="Palatino Linotype"/>
                <w:b/>
                <w:color w:val="000000" w:themeColor="text1"/>
                <w:sz w:val="40"/>
                <w:szCs w:val="22"/>
                <w:lang w:val="es-ES" w:eastAsia="en-US"/>
              </w:rPr>
              <w:t>X</w:t>
            </w:r>
          </w:p>
        </w:tc>
      </w:tr>
      <w:tr w:rsidR="008A2DFA" w:rsidTr="008F4D0B">
        <w:tc>
          <w:tcPr>
            <w:tcW w:w="0" w:type="auto"/>
          </w:tcPr>
          <w:p w:rsidR="008A2DFA" w:rsidRDefault="00D60B2C">
            <w:pPr>
              <w:pStyle w:val="Prrafodelista"/>
              <w:numPr>
                <w:ilvl w:val="0"/>
                <w:numId w:val="2"/>
              </w:numPr>
              <w:ind w:left="313" w:right="49" w:hanging="284"/>
              <w:jc w:val="both"/>
              <w:rPr>
                <w:rFonts w:ascii="Palatino Linotype" w:hAnsi="Palatino Linotype"/>
                <w:color w:val="000000" w:themeColor="text1"/>
                <w:sz w:val="20"/>
                <w:lang w:eastAsia="es-MX"/>
              </w:rPr>
            </w:pPr>
            <w:r>
              <w:rPr>
                <w:rFonts w:ascii="Palatino Linotype" w:eastAsia="Calibri" w:hAnsi="Palatino Linotype"/>
                <w:color w:val="000000" w:themeColor="text1"/>
                <w:sz w:val="20"/>
                <w:szCs w:val="22"/>
                <w:lang w:val="es-ES" w:eastAsia="en-US"/>
              </w:rPr>
              <w:t>Funciones hace ca</w:t>
            </w:r>
            <w:r>
              <w:rPr>
                <w:rFonts w:ascii="Palatino Linotype" w:eastAsia="Calibri" w:hAnsi="Palatino Linotype"/>
                <w:color w:val="000000" w:themeColor="text1"/>
                <w:sz w:val="20"/>
                <w:szCs w:val="22"/>
                <w:lang w:val="es-ES" w:eastAsia="en-US"/>
              </w:rPr>
              <w:t>da uno en materia de elaboración, revisión y autorización.</w:t>
            </w:r>
          </w:p>
        </w:tc>
        <w:tc>
          <w:tcPr>
            <w:tcW w:w="0" w:type="auto"/>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Refirió que los servidores públicos no elaboran revisan o autorizan las liquidaciones para el pago de impuesto predial, toda vez que estas solo se imprimen de acuerdo a los parámetros y calculo que</w:t>
            </w:r>
            <w:r>
              <w:rPr>
                <w:rFonts w:ascii="Palatino Linotype" w:eastAsia="Calibri" w:hAnsi="Palatino Linotype"/>
                <w:color w:val="000000" w:themeColor="text1"/>
                <w:sz w:val="20"/>
                <w:szCs w:val="22"/>
                <w:lang w:val="es-ES" w:eastAsia="en-US"/>
              </w:rPr>
              <w:t xml:space="preserve"> realiza el Sistema Tributario Municipal</w:t>
            </w:r>
          </w:p>
        </w:tc>
        <w:tc>
          <w:tcPr>
            <w:tcW w:w="0" w:type="auto"/>
          </w:tcPr>
          <w:p w:rsidR="008A2DFA" w:rsidRDefault="008A2DFA">
            <w:pPr>
              <w:ind w:left="29" w:right="49"/>
              <w:jc w:val="both"/>
              <w:rPr>
                <w:rFonts w:ascii="Palatino Linotype" w:hAnsi="Palatino Linotype"/>
                <w:color w:val="000000" w:themeColor="text1"/>
                <w:sz w:val="20"/>
                <w:lang w:val="es-ES"/>
              </w:rPr>
            </w:pPr>
          </w:p>
        </w:tc>
        <w:tc>
          <w:tcPr>
            <w:tcW w:w="0" w:type="auto"/>
          </w:tcPr>
          <w:p w:rsidR="008A2DFA" w:rsidRDefault="008A2DFA">
            <w:pPr>
              <w:pStyle w:val="Prrafodelista"/>
              <w:numPr>
                <w:ilvl w:val="0"/>
                <w:numId w:val="3"/>
              </w:numPr>
              <w:ind w:right="49" w:hanging="686"/>
              <w:jc w:val="center"/>
              <w:rPr>
                <w:rFonts w:ascii="Palatino Linotype" w:hAnsi="Palatino Linotype" w:cs="Bookman Old Style"/>
                <w:b/>
                <w:bCs/>
                <w:i/>
                <w:color w:val="000000" w:themeColor="text1"/>
              </w:rPr>
            </w:pPr>
          </w:p>
        </w:tc>
      </w:tr>
      <w:tr w:rsidR="008A2DFA" w:rsidTr="008F4D0B">
        <w:tc>
          <w:tcPr>
            <w:tcW w:w="0" w:type="auto"/>
          </w:tcPr>
          <w:p w:rsidR="008A2DFA" w:rsidRDefault="00D60B2C">
            <w:pPr>
              <w:pStyle w:val="Prrafodelista"/>
              <w:numPr>
                <w:ilvl w:val="0"/>
                <w:numId w:val="2"/>
              </w:numPr>
              <w:ind w:left="313" w:right="49" w:hanging="284"/>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Procedimientos que se utilizan para el cálculo, cuantificación y cobro del impuesto predial, dentro del manual de organizacio</w:t>
            </w:r>
            <w:r>
              <w:rPr>
                <w:rFonts w:ascii="Palatino Linotype" w:eastAsia="Calibri" w:hAnsi="Palatino Linotype"/>
                <w:color w:val="000000" w:themeColor="text1"/>
                <w:sz w:val="20"/>
                <w:szCs w:val="22"/>
                <w:lang w:val="es-ES" w:eastAsia="en-US"/>
              </w:rPr>
              <w:lastRenderedPageBreak/>
              <w:t>n, reglamento interno y manual de procedimientos administrativos.” (sic)</w:t>
            </w:r>
          </w:p>
        </w:tc>
        <w:tc>
          <w:tcPr>
            <w:tcW w:w="0" w:type="auto"/>
          </w:tcPr>
          <w:p w:rsidR="008A2DFA" w:rsidRDefault="00D60B2C">
            <w:pPr>
              <w:pStyle w:val="Prrafodelista"/>
              <w:ind w:left="91" w:right="49"/>
              <w:jc w:val="both"/>
              <w:rPr>
                <w:rFonts w:ascii="Palatino Linotype" w:hAnsi="Palatino Linotype" w:cs="Arial"/>
                <w:color w:val="000000" w:themeColor="text1"/>
                <w:spacing w:val="-20"/>
              </w:rPr>
            </w:pPr>
            <w:r>
              <w:rPr>
                <w:rFonts w:ascii="Palatino Linotype" w:hAnsi="Palatino Linotype" w:cs="Arial"/>
                <w:color w:val="000000" w:themeColor="text1"/>
                <w:sz w:val="22"/>
                <w:szCs w:val="22"/>
              </w:rPr>
              <w:lastRenderedPageBreak/>
              <w:t>Refirió que el cálculo del impuesto predial se realiza conforme a lo establecido en los artículos del 107 al 112 del Código Financiero del Estado de México y Municipios; asimismo, refiere que el Manual de Organización de la Tesorería Municipal se encuentra</w:t>
            </w:r>
            <w:r>
              <w:rPr>
                <w:rFonts w:ascii="Palatino Linotype" w:hAnsi="Palatino Linotype" w:cs="Arial"/>
                <w:color w:val="000000" w:themeColor="text1"/>
                <w:sz w:val="22"/>
                <w:szCs w:val="22"/>
              </w:rPr>
              <w:t xml:space="preserve"> publicado en la Gaceta Municipal 09 de fecha treinta de enero de dos mil veinte, en la liga electrónica </w:t>
            </w:r>
            <w:hyperlink r:id="rId21">
              <w:r>
                <w:rPr>
                  <w:rStyle w:val="EnlacedeInternet"/>
                  <w:rFonts w:ascii="Palatino Linotype" w:hAnsi="Palatino Linotype" w:cs="Arial"/>
                  <w:color w:val="000000" w:themeColor="text1"/>
                  <w:spacing w:val="-20"/>
                  <w:sz w:val="22"/>
                  <w:szCs w:val="22"/>
                </w:rPr>
                <w:t>http://www.metepec.gob.mx/pagina/documentos/gacetas/ga</w:t>
              </w:r>
              <w:r>
                <w:rPr>
                  <w:rStyle w:val="EnlacedeInternet"/>
                  <w:rFonts w:ascii="Palatino Linotype" w:hAnsi="Palatino Linotype" w:cs="Arial"/>
                  <w:color w:val="000000" w:themeColor="text1"/>
                  <w:spacing w:val="-20"/>
                  <w:sz w:val="22"/>
                  <w:szCs w:val="22"/>
                </w:rPr>
                <w:t>cetas_2020/GACETA09.pdf</w:t>
              </w:r>
            </w:hyperlink>
            <w:r>
              <w:rPr>
                <w:rStyle w:val="EnlacedeInternet"/>
                <w:rFonts w:ascii="Palatino Linotype" w:hAnsi="Palatino Linotype" w:cs="Arial"/>
                <w:color w:val="000000" w:themeColor="text1"/>
                <w:spacing w:val="-20"/>
                <w:sz w:val="22"/>
                <w:szCs w:val="22"/>
              </w:rPr>
              <w:t xml:space="preserve">. </w:t>
            </w:r>
          </w:p>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s="Arial"/>
                <w:color w:val="000000" w:themeColor="text1"/>
                <w:sz w:val="22"/>
                <w:szCs w:val="22"/>
                <w:lang w:val="es-ES" w:eastAsia="en-US"/>
              </w:rPr>
              <w:t>Asimismo, hizo referencia al procedimiento próximo a publicar</w:t>
            </w:r>
            <w:r>
              <w:rPr>
                <w:rFonts w:ascii="Palatino Linotype" w:eastAsia="Calibri" w:hAnsi="Palatino Linotype" w:cs="Arial"/>
                <w:color w:val="000000" w:themeColor="text1"/>
                <w:lang w:val="es-ES" w:eastAsia="en-US"/>
              </w:rPr>
              <w:t xml:space="preserve">. </w:t>
            </w:r>
          </w:p>
        </w:tc>
        <w:tc>
          <w:tcPr>
            <w:tcW w:w="0" w:type="auto"/>
          </w:tcPr>
          <w:p w:rsidR="008A2DFA" w:rsidRDefault="008A2DFA">
            <w:pPr>
              <w:ind w:left="29" w:right="49"/>
              <w:jc w:val="both"/>
              <w:rPr>
                <w:rFonts w:ascii="Palatino Linotype" w:hAnsi="Palatino Linotype"/>
                <w:color w:val="000000" w:themeColor="text1"/>
                <w:sz w:val="20"/>
                <w:lang w:val="es-ES"/>
              </w:rPr>
            </w:pPr>
          </w:p>
        </w:tc>
        <w:tc>
          <w:tcPr>
            <w:tcW w:w="0" w:type="auto"/>
          </w:tcPr>
          <w:p w:rsidR="008A2DFA" w:rsidRDefault="008A2DFA">
            <w:pPr>
              <w:pStyle w:val="Prrafodelista"/>
              <w:numPr>
                <w:ilvl w:val="0"/>
                <w:numId w:val="3"/>
              </w:numPr>
              <w:ind w:right="49" w:hanging="686"/>
              <w:jc w:val="center"/>
              <w:rPr>
                <w:rFonts w:ascii="Palatino Linotype" w:hAnsi="Palatino Linotype" w:cs="Bookman Old Style"/>
                <w:b/>
                <w:bCs/>
                <w:i/>
                <w:color w:val="000000" w:themeColor="text1"/>
              </w:rPr>
            </w:pPr>
          </w:p>
        </w:tc>
      </w:tr>
    </w:tbl>
    <w:p w:rsidR="008A2DFA" w:rsidRDefault="008A2DFA">
      <w:pPr>
        <w:spacing w:line="360" w:lineRule="auto"/>
        <w:jc w:val="both"/>
        <w:rPr>
          <w:rFonts w:ascii="Palatino Linotype" w:hAnsi="Palatino Linotype" w:cs="Arial"/>
          <w:color w:val="000000" w:themeColor="text1"/>
          <w:highlight w:val="yellow"/>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lo anterior, se puede advertir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no satisfizo el derecho de acceso a la información ejercido por el particular, pues como se puede </w:t>
      </w:r>
      <w:r>
        <w:rPr>
          <w:rFonts w:ascii="Palatino Linotype" w:hAnsi="Palatino Linotype" w:cs="Arial"/>
          <w:color w:val="000000" w:themeColor="text1"/>
        </w:rPr>
        <w:t>observar en la tabla que antecede, atendió de manera parcial la misma.</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Lo anterior es así, pues respecto al requerimiento identificado con los numerales 1 relacionado con el </w:t>
      </w:r>
      <w:r>
        <w:rPr>
          <w:rFonts w:ascii="Palatino Linotype" w:hAnsi="Palatino Linotype"/>
          <w:i/>
          <w:color w:val="000000" w:themeColor="text1"/>
          <w:lang w:val="es-ES"/>
        </w:rPr>
        <w:t>nombre completo de los servidores públicos que participan en la elaboración, revi</w:t>
      </w:r>
      <w:r>
        <w:rPr>
          <w:rFonts w:ascii="Palatino Linotype" w:hAnsi="Palatino Linotype"/>
          <w:i/>
          <w:color w:val="000000" w:themeColor="text1"/>
          <w:lang w:val="es-ES"/>
        </w:rPr>
        <w:t xml:space="preserve">sión y autorización de las liquidaciones para el pago del impuesto predial; </w:t>
      </w:r>
      <w:r>
        <w:rPr>
          <w:rFonts w:ascii="Palatino Linotype" w:hAnsi="Palatino Linotype"/>
          <w:b/>
          <w:color w:val="000000" w:themeColor="text1"/>
          <w:lang w:val="es-ES"/>
        </w:rPr>
        <w:t xml:space="preserve">EL SUJETO OBLIGADO </w:t>
      </w:r>
      <w:r>
        <w:rPr>
          <w:rFonts w:ascii="Palatino Linotype" w:hAnsi="Palatino Linotype"/>
          <w:color w:val="000000" w:themeColor="text1"/>
          <w:lang w:val="es-ES"/>
        </w:rPr>
        <w:t xml:space="preserve">proporcionó los siguientes nombres: </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center"/>
        <w:rPr>
          <w:rFonts w:ascii="Palatino Linotype" w:hAnsi="Palatino Linotype"/>
          <w:color w:val="000000" w:themeColor="text1"/>
          <w:lang w:val="es-ES"/>
        </w:rPr>
      </w:pPr>
      <w:r>
        <w:rPr>
          <w:noProof/>
          <w:lang w:eastAsia="es-MX"/>
        </w:rPr>
        <w:drawing>
          <wp:inline distT="0" distB="0" distL="0" distR="0">
            <wp:extent cx="2865120" cy="854710"/>
            <wp:effectExtent l="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pic:cNvPicPr>
                      <a:picLocks noChangeAspect="1" noChangeArrowheads="1"/>
                    </pic:cNvPicPr>
                  </pic:nvPicPr>
                  <pic:blipFill>
                    <a:blip r:embed="rId22"/>
                    <a:stretch>
                      <a:fillRect/>
                    </a:stretch>
                  </pic:blipFill>
                  <pic:spPr bwMode="auto">
                    <a:xfrm>
                      <a:off x="0" y="0"/>
                      <a:ext cx="2865120" cy="854710"/>
                    </a:xfrm>
                    <a:prstGeom prst="rect">
                      <a:avLst/>
                    </a:prstGeom>
                  </pic:spPr>
                </pic:pic>
              </a:graphicData>
            </a:graphic>
          </wp:inline>
        </w:drawing>
      </w:r>
    </w:p>
    <w:p w:rsidR="008A2DFA" w:rsidRDefault="00D60B2C">
      <w:pPr>
        <w:spacing w:line="360" w:lineRule="auto"/>
        <w:jc w:val="center"/>
        <w:rPr>
          <w:rFonts w:ascii="Palatino Linotype" w:hAnsi="Palatino Linotype"/>
          <w:color w:val="000000" w:themeColor="text1"/>
          <w:lang w:val="es-ES"/>
        </w:rPr>
      </w:pPr>
      <w:r>
        <w:rPr>
          <w:noProof/>
          <w:lang w:eastAsia="es-MX"/>
        </w:rPr>
        <w:lastRenderedPageBreak/>
        <w:drawing>
          <wp:inline distT="0" distB="0" distL="0" distR="0">
            <wp:extent cx="2917825" cy="2192655"/>
            <wp:effectExtent l="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7"/>
                    <pic:cNvPicPr>
                      <a:picLocks noChangeAspect="1" noChangeArrowheads="1"/>
                    </pic:cNvPicPr>
                  </pic:nvPicPr>
                  <pic:blipFill>
                    <a:blip r:embed="rId23"/>
                    <a:stretch>
                      <a:fillRect/>
                    </a:stretch>
                  </pic:blipFill>
                  <pic:spPr bwMode="auto">
                    <a:xfrm>
                      <a:off x="0" y="0"/>
                      <a:ext cx="2917825" cy="2192655"/>
                    </a:xfrm>
                    <a:prstGeom prst="rect">
                      <a:avLst/>
                    </a:prstGeom>
                  </pic:spPr>
                </pic:pic>
              </a:graphicData>
            </a:graphic>
          </wp:inline>
        </w:drawing>
      </w: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Atento a ello, dicho requerimiento se tiene por atendido por </w:t>
      </w:r>
      <w:r>
        <w:rPr>
          <w:rFonts w:ascii="Palatino Linotype" w:hAnsi="Palatino Linotype"/>
          <w:b/>
          <w:color w:val="000000" w:themeColor="text1"/>
          <w:lang w:val="es-ES"/>
        </w:rPr>
        <w:t xml:space="preserve">EL SUJETO OBLIGADO </w:t>
      </w:r>
      <w:r>
        <w:rPr>
          <w:rFonts w:ascii="Palatino Linotype" w:hAnsi="Palatino Linotype"/>
          <w:color w:val="000000" w:themeColor="text1"/>
          <w:lang w:val="es-ES"/>
        </w:rPr>
        <w:t>pues como se puede observar se proporci</w:t>
      </w:r>
      <w:r>
        <w:rPr>
          <w:rFonts w:ascii="Palatino Linotype" w:hAnsi="Palatino Linotype"/>
          <w:color w:val="000000" w:themeColor="text1"/>
          <w:lang w:val="es-ES"/>
        </w:rPr>
        <w:t xml:space="preserve">onó el nombre completo de 21 servidores públicos. </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eastAsiaTheme="minorEastAsia" w:hAnsi="Palatino Linotype" w:cs="Arial" w:hint="eastAsia"/>
          <w:color w:val="000000" w:themeColor="text1"/>
          <w:lang w:val="es-ES_tradnl"/>
        </w:rPr>
      </w:pPr>
      <w:r>
        <w:rPr>
          <w:rFonts w:ascii="Palatino Linotype" w:hAnsi="Palatino Linotype"/>
          <w:color w:val="000000" w:themeColor="text1"/>
          <w:lang w:val="es-ES"/>
        </w:rPr>
        <w:t>Ahora bien, por cuanto hace al requerimiento identificado con el numeral 2, relacionado con el cargo y percepción salarial, de las constancias que integran el expediente electrónico se puede determinar qu</w:t>
      </w:r>
      <w:r>
        <w:rPr>
          <w:rFonts w:ascii="Palatino Linotype" w:hAnsi="Palatino Linotype"/>
          <w:color w:val="000000" w:themeColor="text1"/>
          <w:lang w:val="es-ES"/>
        </w:rPr>
        <w:t xml:space="preserve">e la misma no fue atendida; sin embargo, cabe precisar que dicho requerimiento puede ser atendido de manera enunciativa mas no limitativa con los recibos de nómina, los cuales conforme al artículo 220-K de la </w:t>
      </w:r>
      <w:r>
        <w:rPr>
          <w:rFonts w:ascii="Palatino Linotype" w:eastAsiaTheme="minorEastAsia" w:hAnsi="Palatino Linotype" w:cs="Arial"/>
          <w:color w:val="000000" w:themeColor="text1"/>
          <w:lang w:val="es-ES_tradnl"/>
        </w:rPr>
        <w:t xml:space="preserve">Ley del Trabajo de los Servidores Públicos del </w:t>
      </w:r>
      <w:r>
        <w:rPr>
          <w:rFonts w:ascii="Palatino Linotype" w:eastAsiaTheme="minorEastAsia" w:hAnsi="Palatino Linotype" w:cs="Arial"/>
          <w:color w:val="000000" w:themeColor="text1"/>
          <w:lang w:val="es-ES_tradnl"/>
        </w:rPr>
        <w:t xml:space="preserve">Estado y Municipios, dispone lo siguiente: </w:t>
      </w:r>
    </w:p>
    <w:p w:rsidR="008A2DFA" w:rsidRDefault="008A2DFA">
      <w:pPr>
        <w:ind w:right="51"/>
        <w:jc w:val="both"/>
        <w:rPr>
          <w:rFonts w:ascii="Palatino Linotype" w:eastAsiaTheme="minorEastAsia" w:hAnsi="Palatino Linotype" w:cs="Arial" w:hint="eastAsia"/>
          <w:color w:val="000000" w:themeColor="text1"/>
          <w:sz w:val="22"/>
          <w:szCs w:val="22"/>
          <w:lang w:val="es-ES_tradnl"/>
        </w:rPr>
      </w:pPr>
    </w:p>
    <w:p w:rsidR="008A2DFA" w:rsidRDefault="00D60B2C">
      <w:pPr>
        <w:tabs>
          <w:tab w:val="left" w:pos="9072"/>
        </w:tabs>
        <w:ind w:left="851" w:right="992"/>
        <w:jc w:val="both"/>
        <w:rPr>
          <w:rFonts w:ascii="Palatino Linotype" w:eastAsiaTheme="minorEastAsia" w:hAnsi="Palatino Linotype" w:hint="eastAsia"/>
          <w:bCs/>
          <w:i/>
          <w:color w:val="000000" w:themeColor="text1"/>
          <w:sz w:val="22"/>
          <w:szCs w:val="22"/>
          <w:lang w:val="es-ES_tradnl"/>
        </w:rPr>
      </w:pPr>
      <w:r>
        <w:rPr>
          <w:rFonts w:ascii="Palatino Linotype" w:eastAsiaTheme="minorEastAsia" w:hAnsi="Palatino Linotype" w:cstheme="minorBidi"/>
          <w:b/>
          <w:bCs/>
          <w:i/>
          <w:color w:val="000000" w:themeColor="text1"/>
          <w:sz w:val="22"/>
          <w:szCs w:val="22"/>
          <w:lang w:val="es-ES_tradnl"/>
        </w:rPr>
        <w:t>“ARTÍCULO 220 K.-</w:t>
      </w:r>
      <w:r>
        <w:rPr>
          <w:rFonts w:ascii="Palatino Linotype" w:eastAsiaTheme="minorEastAsia" w:hAnsi="Palatino Linotype" w:cstheme="minorBidi"/>
          <w:bCs/>
          <w:i/>
          <w:color w:val="000000" w:themeColor="text1"/>
          <w:sz w:val="22"/>
          <w:szCs w:val="22"/>
          <w:lang w:val="es-ES_tradnl"/>
        </w:rPr>
        <w:t xml:space="preserve"> La institución o dependencia pública tiene la obligación de conservar y exhibir en el proceso los documentos que a continuación se precisan:</w:t>
      </w:r>
    </w:p>
    <w:p w:rsidR="008A2DFA" w:rsidRDefault="00D60B2C">
      <w:pPr>
        <w:tabs>
          <w:tab w:val="left" w:pos="9072"/>
        </w:tabs>
        <w:ind w:left="851" w:right="992"/>
        <w:jc w:val="both"/>
        <w:rPr>
          <w:rFonts w:ascii="Palatino Linotype" w:eastAsiaTheme="minorEastAsia" w:hAnsi="Palatino Linotype" w:cstheme="minorBidi" w:hint="eastAsia"/>
          <w:bCs/>
          <w:i/>
          <w:color w:val="000000" w:themeColor="text1"/>
          <w:sz w:val="22"/>
          <w:szCs w:val="22"/>
          <w:lang w:val="es-ES_tradnl"/>
        </w:rPr>
      </w:pPr>
      <w:r>
        <w:rPr>
          <w:rFonts w:ascii="Palatino Linotype" w:eastAsiaTheme="minorEastAsia" w:hAnsi="Palatino Linotype" w:cstheme="minorBidi"/>
          <w:bCs/>
          <w:i/>
          <w:color w:val="000000" w:themeColor="text1"/>
          <w:sz w:val="22"/>
          <w:szCs w:val="22"/>
          <w:lang w:val="es-ES_tradnl"/>
        </w:rPr>
        <w:t>…</w:t>
      </w:r>
    </w:p>
    <w:p w:rsidR="008A2DFA" w:rsidRDefault="00D60B2C">
      <w:pPr>
        <w:tabs>
          <w:tab w:val="left" w:pos="9072"/>
        </w:tabs>
        <w:ind w:left="851" w:right="992"/>
        <w:jc w:val="both"/>
        <w:rPr>
          <w:rFonts w:ascii="Palatino Linotype" w:eastAsiaTheme="minorEastAsia" w:hAnsi="Palatino Linotype" w:cstheme="minorBidi" w:hint="eastAsia"/>
          <w:bCs/>
          <w:i/>
          <w:color w:val="000000" w:themeColor="text1"/>
          <w:sz w:val="22"/>
          <w:szCs w:val="22"/>
          <w:lang w:val="es-ES_tradnl"/>
        </w:rPr>
      </w:pPr>
      <w:r>
        <w:rPr>
          <w:rFonts w:ascii="Palatino Linotype" w:eastAsiaTheme="minorEastAsia" w:hAnsi="Palatino Linotype" w:cstheme="minorBidi"/>
          <w:bCs/>
          <w:i/>
          <w:color w:val="000000" w:themeColor="text1"/>
          <w:sz w:val="22"/>
          <w:szCs w:val="22"/>
          <w:lang w:val="es-ES_tradnl"/>
        </w:rPr>
        <w:t xml:space="preserve">II. Recibos de pagos de salarios o </w:t>
      </w:r>
      <w:r>
        <w:rPr>
          <w:rFonts w:ascii="Palatino Linotype" w:eastAsiaTheme="minorEastAsia" w:hAnsi="Palatino Linotype" w:cstheme="minorBidi"/>
          <w:b/>
          <w:bCs/>
          <w:i/>
          <w:color w:val="000000" w:themeColor="text1"/>
          <w:sz w:val="22"/>
          <w:szCs w:val="22"/>
          <w:lang w:val="es-ES_tradnl"/>
        </w:rPr>
        <w:t>las constancias</w:t>
      </w:r>
      <w:r>
        <w:rPr>
          <w:rFonts w:ascii="Palatino Linotype" w:eastAsiaTheme="minorEastAsia" w:hAnsi="Palatino Linotype" w:cstheme="minorBidi"/>
          <w:b/>
          <w:bCs/>
          <w:i/>
          <w:color w:val="000000" w:themeColor="text1"/>
          <w:sz w:val="22"/>
          <w:szCs w:val="22"/>
          <w:lang w:val="es-ES_tradnl"/>
        </w:rPr>
        <w:t xml:space="preserve"> documentales del pago de salario</w:t>
      </w:r>
      <w:r>
        <w:rPr>
          <w:rFonts w:ascii="Palatino Linotype" w:eastAsiaTheme="minorEastAsia" w:hAnsi="Palatino Linotype" w:cstheme="minorBidi"/>
          <w:bCs/>
          <w:i/>
          <w:color w:val="000000" w:themeColor="text1"/>
          <w:sz w:val="22"/>
          <w:szCs w:val="22"/>
          <w:lang w:val="es-ES_tradnl"/>
        </w:rPr>
        <w:t xml:space="preserve"> cuando sea por depósito o mediante información electrónica;</w:t>
      </w:r>
    </w:p>
    <w:p w:rsidR="008A2DFA" w:rsidRDefault="00D60B2C">
      <w:pPr>
        <w:tabs>
          <w:tab w:val="left" w:pos="9072"/>
        </w:tabs>
        <w:ind w:left="851" w:right="992"/>
        <w:jc w:val="both"/>
        <w:rPr>
          <w:rFonts w:ascii="Palatino Linotype" w:eastAsiaTheme="minorEastAsia" w:hAnsi="Palatino Linotype" w:cstheme="minorBidi" w:hint="eastAsia"/>
          <w:bCs/>
          <w:i/>
          <w:color w:val="000000" w:themeColor="text1"/>
          <w:sz w:val="22"/>
          <w:szCs w:val="22"/>
          <w:lang w:val="es-ES_tradnl"/>
        </w:rPr>
      </w:pPr>
      <w:r>
        <w:rPr>
          <w:rFonts w:ascii="Palatino Linotype" w:eastAsiaTheme="minorEastAsia" w:hAnsi="Palatino Linotype" w:cstheme="minorBidi"/>
          <w:bCs/>
          <w:i/>
          <w:color w:val="000000" w:themeColor="text1"/>
          <w:sz w:val="22"/>
          <w:szCs w:val="22"/>
          <w:lang w:val="es-ES_tradnl"/>
        </w:rPr>
        <w:t>…</w:t>
      </w:r>
    </w:p>
    <w:p w:rsidR="008A2DFA" w:rsidRDefault="00D60B2C">
      <w:pPr>
        <w:tabs>
          <w:tab w:val="left" w:pos="9072"/>
        </w:tabs>
        <w:ind w:left="851" w:right="992"/>
        <w:jc w:val="both"/>
        <w:rPr>
          <w:rFonts w:ascii="Palatino Linotype" w:eastAsiaTheme="minorEastAsia" w:hAnsi="Palatino Linotype" w:cstheme="minorBidi" w:hint="eastAsia"/>
          <w:bCs/>
          <w:i/>
          <w:color w:val="000000" w:themeColor="text1"/>
          <w:sz w:val="22"/>
          <w:szCs w:val="22"/>
          <w:lang w:val="es-ES_tradnl"/>
        </w:rPr>
      </w:pPr>
      <w:r>
        <w:rPr>
          <w:rFonts w:ascii="Palatino Linotype" w:eastAsiaTheme="minorEastAsia" w:hAnsi="Palatino Linotype" w:cstheme="minorBidi"/>
          <w:bCs/>
          <w:i/>
          <w:color w:val="000000" w:themeColor="text1"/>
          <w:sz w:val="22"/>
          <w:szCs w:val="22"/>
          <w:lang w:val="es-ES_tradnl"/>
        </w:rPr>
        <w:t xml:space="preserve">Los documentos señalados en la fracción I de este artículo, deberán conservarse mientras dure la relación laboral y hasta un año después; los señalados por las </w:t>
      </w:r>
      <w:r>
        <w:rPr>
          <w:rFonts w:ascii="Palatino Linotype" w:eastAsiaTheme="minorEastAsia" w:hAnsi="Palatino Linotype" w:cstheme="minorBidi"/>
          <w:bCs/>
          <w:i/>
          <w:color w:val="000000" w:themeColor="text1"/>
          <w:sz w:val="22"/>
          <w:szCs w:val="22"/>
          <w:lang w:val="es-ES_tradnl"/>
        </w:rPr>
        <w:lastRenderedPageBreak/>
        <w:t>fracciones II, III, IV durante el último año y un año después de que se extinga la relación laboral, y los mencionados en la fracción V, conforme lo señalen las leyes que los rijan.</w:t>
      </w:r>
    </w:p>
    <w:p w:rsidR="008A2DFA" w:rsidRDefault="00D60B2C">
      <w:pPr>
        <w:tabs>
          <w:tab w:val="left" w:pos="9072"/>
        </w:tabs>
        <w:ind w:left="851" w:right="992"/>
        <w:jc w:val="both"/>
        <w:rPr>
          <w:rFonts w:ascii="Palatino Linotype" w:eastAsiaTheme="minorEastAsia" w:hAnsi="Palatino Linotype" w:cstheme="minorBidi" w:hint="eastAsia"/>
          <w:bCs/>
          <w:i/>
          <w:color w:val="000000" w:themeColor="text1"/>
          <w:sz w:val="22"/>
          <w:szCs w:val="22"/>
          <w:lang w:val="es-ES_tradnl"/>
        </w:rPr>
      </w:pPr>
      <w:r>
        <w:rPr>
          <w:rFonts w:ascii="Palatino Linotype" w:eastAsiaTheme="minorEastAsia" w:hAnsi="Palatino Linotype" w:cstheme="minorBidi"/>
          <w:bCs/>
          <w:i/>
          <w:color w:val="000000" w:themeColor="text1"/>
          <w:sz w:val="22"/>
          <w:szCs w:val="22"/>
          <w:lang w:val="es-ES_tradnl"/>
        </w:rPr>
        <w:t xml:space="preserve">Los documentos y constancias aquí señalados, la institución o dependencia </w:t>
      </w:r>
      <w:r>
        <w:rPr>
          <w:rFonts w:ascii="Palatino Linotype" w:eastAsiaTheme="minorEastAsia" w:hAnsi="Palatino Linotype" w:cstheme="minorBidi"/>
          <w:bCs/>
          <w:i/>
          <w:color w:val="000000" w:themeColor="text1"/>
          <w:sz w:val="22"/>
          <w:szCs w:val="22"/>
          <w:lang w:val="es-ES_tradnl"/>
        </w:rPr>
        <w:t>podrá conservarlos por medio de los sistemas de digitalización o de información magnética o electrónica o cualquier medio descubierto por la ciencia y las constancias expedidas por el encargado del área de personal de éstas, harán prueba plena.</w:t>
      </w:r>
      <w:r>
        <w:rPr>
          <w:rFonts w:ascii="Palatino Linotype" w:eastAsiaTheme="minorEastAsia" w:hAnsi="Palatino Linotype" w:cstheme="minorBidi"/>
          <w:b/>
          <w:bCs/>
          <w:i/>
          <w:color w:val="000000" w:themeColor="text1"/>
          <w:sz w:val="22"/>
          <w:szCs w:val="22"/>
          <w:lang w:val="es-ES_tradnl"/>
        </w:rPr>
        <w:t>”</w:t>
      </w:r>
    </w:p>
    <w:p w:rsidR="008A2DFA" w:rsidRDefault="00D60B2C">
      <w:pPr>
        <w:ind w:right="992" w:firstLine="708"/>
        <w:jc w:val="both"/>
        <w:rPr>
          <w:rFonts w:ascii="Palatino Linotype" w:eastAsiaTheme="minorEastAsia" w:hAnsi="Palatino Linotype" w:cs="Arial" w:hint="eastAsia"/>
          <w:color w:val="000000" w:themeColor="text1"/>
          <w:sz w:val="22"/>
          <w:szCs w:val="22"/>
          <w:lang w:val="es-ES_tradnl"/>
        </w:rPr>
      </w:pPr>
      <w:r>
        <w:rPr>
          <w:rFonts w:ascii="Palatino Linotype" w:eastAsiaTheme="minorEastAsia" w:hAnsi="Palatino Linotype" w:cs="Arial"/>
          <w:color w:val="000000" w:themeColor="text1"/>
          <w:sz w:val="22"/>
          <w:szCs w:val="22"/>
          <w:lang w:val="es-ES_tradnl"/>
        </w:rPr>
        <w:t>(Énfasis a</w:t>
      </w:r>
      <w:r>
        <w:rPr>
          <w:rFonts w:ascii="Palatino Linotype" w:eastAsiaTheme="minorEastAsia" w:hAnsi="Palatino Linotype" w:cs="Arial"/>
          <w:color w:val="000000" w:themeColor="text1"/>
          <w:sz w:val="22"/>
          <w:szCs w:val="22"/>
          <w:lang w:val="es-ES_tradnl"/>
        </w:rPr>
        <w:t>ñadido)</w:t>
      </w:r>
    </w:p>
    <w:p w:rsidR="008A2DFA" w:rsidRDefault="008A2DFA">
      <w:pPr>
        <w:ind w:firstLine="708"/>
        <w:jc w:val="both"/>
        <w:rPr>
          <w:rFonts w:ascii="Palatino Linotype" w:eastAsiaTheme="minorEastAsia" w:hAnsi="Palatino Linotype" w:cs="Arial" w:hint="eastAsia"/>
          <w:color w:val="000000" w:themeColor="text1"/>
          <w:sz w:val="22"/>
          <w:szCs w:val="22"/>
          <w:lang w:val="es-ES_tradnl"/>
        </w:rPr>
      </w:pPr>
    </w:p>
    <w:p w:rsidR="008A2DFA" w:rsidRDefault="00D60B2C">
      <w:pPr>
        <w:spacing w:line="360" w:lineRule="auto"/>
        <w:ind w:right="49"/>
        <w:jc w:val="both"/>
        <w:rPr>
          <w:rFonts w:ascii="Palatino Linotype" w:eastAsiaTheme="minorEastAsia" w:hAnsi="Palatino Linotype" w:cs="Arial" w:hint="eastAsia"/>
          <w:color w:val="000000" w:themeColor="text1"/>
          <w:lang w:val="es-ES_tradnl"/>
        </w:rPr>
      </w:pPr>
      <w:r>
        <w:rPr>
          <w:rFonts w:ascii="Palatino Linotype" w:eastAsiaTheme="minorEastAsia" w:hAnsi="Palatino Linotype" w:cs="Arial"/>
          <w:color w:val="000000" w:themeColor="text1"/>
          <w:lang w:val="es-ES_tradnl"/>
        </w:rPr>
        <w:t>De ello, se advierte que toda institución o dependencia pública del Estado de México debe conservar las constancias documentales del pago de salario cuando sea por depósito o mediante información electrónica, debiendo conservar dicha documentación</w:t>
      </w:r>
      <w:r>
        <w:rPr>
          <w:rFonts w:ascii="Palatino Linotype" w:eastAsiaTheme="minorEastAsia" w:hAnsi="Palatino Linotype" w:cs="Arial"/>
          <w:color w:val="000000" w:themeColor="text1"/>
          <w:lang w:val="es-ES_tradnl"/>
        </w:rPr>
        <w:t xml:space="preserve"> durante el último año y un año después de que se extinga la relación laboral a través de los sistemas de digitalización o de información magnética o electrónica.</w:t>
      </w:r>
    </w:p>
    <w:p w:rsidR="008A2DFA" w:rsidRDefault="008A2DFA">
      <w:pPr>
        <w:spacing w:line="360" w:lineRule="auto"/>
        <w:ind w:right="49"/>
        <w:jc w:val="both"/>
        <w:rPr>
          <w:rFonts w:ascii="Palatino Linotype" w:eastAsiaTheme="minorEastAsia" w:hAnsi="Palatino Linotype" w:cs="Arial" w:hint="eastAsia"/>
          <w:color w:val="000000" w:themeColor="text1"/>
          <w:lang w:val="es-ES_tradnl"/>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Asimismo, e</w:t>
      </w:r>
      <w:r>
        <w:rPr>
          <w:rFonts w:ascii="Palatino Linotype" w:hAnsi="Palatino Linotype" w:cs="Arial"/>
          <w:color w:val="000000" w:themeColor="text1"/>
          <w:lang w:val="es-ES_tradnl"/>
        </w:rPr>
        <w:t xml:space="preserve">s de destacar que </w:t>
      </w:r>
      <w:r>
        <w:rPr>
          <w:rFonts w:ascii="Palatino Linotype" w:hAnsi="Palatino Linotype"/>
          <w:color w:val="000000" w:themeColor="text1"/>
          <w:lang w:val="es-ES"/>
        </w:rPr>
        <w:t xml:space="preserve">el Órgano Superior de Fiscalización del Estado de México </w:t>
      </w:r>
      <w:r>
        <w:rPr>
          <w:rFonts w:ascii="Palatino Linotype" w:hAnsi="Palatino Linotype"/>
          <w:color w:val="000000" w:themeColor="text1"/>
          <w:lang w:val="es-ES"/>
        </w:rPr>
        <w:t>(OSFEM), emite anualmente los Lineamientos para definir los criterios, formatos y documentación necesaria para presentar los informes mensuales, estos lineamientos, son de observancia general para todos los servidores públicos de las entidades fiscalizable</w:t>
      </w:r>
      <w:r>
        <w:rPr>
          <w:rFonts w:ascii="Palatino Linotype" w:hAnsi="Palatino Linotype"/>
          <w:color w:val="000000" w:themeColor="text1"/>
          <w:lang w:val="es-ES"/>
        </w:rPr>
        <w:t>s que, desempeñen un empleo, cargo o comisión, de cualquier naturaleza en la administración pública municipal y que manejen recursos públicos como lo son los municipios; en atención a ello, el informe mensual deberá ser presentado al Órgano Superior de Fis</w:t>
      </w:r>
      <w:r>
        <w:rPr>
          <w:rFonts w:ascii="Palatino Linotype" w:hAnsi="Palatino Linotype"/>
          <w:color w:val="000000" w:themeColor="text1"/>
          <w:lang w:val="es-ES"/>
        </w:rPr>
        <w:t>calización dentro de los 20 días posteriores al término del mes correspondiente de acuerdo a lo establecido en el artículo 32 de la Ley de Fiscalización Superior del Estado de México, que a la letra dice:</w:t>
      </w:r>
    </w:p>
    <w:p w:rsidR="008A2DFA" w:rsidRDefault="008A2DFA">
      <w:pPr>
        <w:ind w:left="851" w:right="899"/>
        <w:jc w:val="both"/>
        <w:rPr>
          <w:rFonts w:ascii="Palatino Linotype" w:hAnsi="Palatino Linotype"/>
          <w:color w:val="000000" w:themeColor="text1"/>
          <w:sz w:val="22"/>
          <w:lang w:val="es-ES"/>
        </w:rPr>
      </w:pPr>
    </w:p>
    <w:p w:rsidR="008A2DFA" w:rsidRDefault="00D60B2C">
      <w:pPr>
        <w:ind w:left="851" w:right="99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lastRenderedPageBreak/>
        <w:t>“</w:t>
      </w:r>
      <w:r>
        <w:rPr>
          <w:rFonts w:ascii="Palatino Linotype" w:hAnsi="Palatino Linotype"/>
          <w:b/>
          <w:i/>
          <w:color w:val="000000" w:themeColor="text1"/>
          <w:sz w:val="22"/>
          <w:szCs w:val="22"/>
          <w:lang w:val="es-ES"/>
        </w:rPr>
        <w:t>Artículo 32.-</w:t>
      </w:r>
      <w:r>
        <w:rPr>
          <w:rFonts w:ascii="Palatino Linotype" w:hAnsi="Palatino Linotype"/>
          <w:i/>
          <w:color w:val="000000" w:themeColor="text1"/>
          <w:sz w:val="22"/>
          <w:szCs w:val="22"/>
          <w:lang w:val="es-ES"/>
        </w:rPr>
        <w:t xml:space="preserve"> El Gobernador del Estado, por condu</w:t>
      </w:r>
      <w:r>
        <w:rPr>
          <w:rFonts w:ascii="Palatino Linotype" w:hAnsi="Palatino Linotype"/>
          <w:i/>
          <w:color w:val="000000" w:themeColor="text1"/>
          <w:sz w:val="22"/>
          <w:szCs w:val="22"/>
          <w:lang w:val="es-ES"/>
        </w:rPr>
        <w:t>cto del titular de la dependencia competente, presentará a la Legislatura la cuenta pública del Gobierno del Estado del ejercicio fiscal inmediato anterior, a más tardar el quince de mayo de cada año.</w:t>
      </w:r>
    </w:p>
    <w:p w:rsidR="008A2DFA" w:rsidRDefault="00D60B2C">
      <w:pPr>
        <w:ind w:left="851" w:right="992"/>
        <w:jc w:val="both"/>
        <w:rPr>
          <w:rFonts w:ascii="Palatino Linotype" w:hAnsi="Palatino Linotype"/>
          <w:i/>
          <w:color w:val="000000" w:themeColor="text1"/>
          <w:sz w:val="22"/>
          <w:szCs w:val="22"/>
          <w:u w:val="single"/>
          <w:lang w:val="es-ES"/>
        </w:rPr>
      </w:pPr>
      <w:r>
        <w:rPr>
          <w:rFonts w:ascii="Palatino Linotype" w:hAnsi="Palatino Linotype"/>
          <w:b/>
          <w:i/>
          <w:color w:val="000000" w:themeColor="text1"/>
          <w:sz w:val="22"/>
          <w:szCs w:val="22"/>
          <w:lang w:val="es-ES"/>
        </w:rPr>
        <w:t>Los Presidentes Municipales presentarán a la Legislatur</w:t>
      </w:r>
      <w:r>
        <w:rPr>
          <w:rFonts w:ascii="Palatino Linotype" w:hAnsi="Palatino Linotype"/>
          <w:b/>
          <w:i/>
          <w:color w:val="000000" w:themeColor="text1"/>
          <w:sz w:val="22"/>
          <w:szCs w:val="22"/>
          <w:lang w:val="es-ES"/>
        </w:rPr>
        <w:t>a las cuentas públicas anuales</w:t>
      </w:r>
      <w:r>
        <w:rPr>
          <w:rFonts w:ascii="Palatino Linotype" w:hAnsi="Palatino Linotype"/>
          <w:i/>
          <w:color w:val="000000" w:themeColor="text1"/>
          <w:sz w:val="22"/>
          <w:szCs w:val="22"/>
          <w:lang w:val="es-ES"/>
        </w:rPr>
        <w:t xml:space="preserve"> de sus respectivos municipios, del ejercicio fiscal inmediato anterior, </w:t>
      </w:r>
      <w:r>
        <w:rPr>
          <w:rFonts w:ascii="Palatino Linotype" w:hAnsi="Palatino Linotype"/>
          <w:b/>
          <w:i/>
          <w:color w:val="000000" w:themeColor="text1"/>
          <w:sz w:val="22"/>
          <w:szCs w:val="22"/>
          <w:lang w:val="es-ES"/>
        </w:rPr>
        <w:t>dentro de los quince primeros días del mes de marzo</w:t>
      </w:r>
      <w:r>
        <w:rPr>
          <w:rFonts w:ascii="Palatino Linotype" w:hAnsi="Palatino Linotype"/>
          <w:i/>
          <w:color w:val="000000" w:themeColor="text1"/>
          <w:sz w:val="22"/>
          <w:szCs w:val="22"/>
          <w:lang w:val="es-ES"/>
        </w:rPr>
        <w:t xml:space="preserve"> de cada año; </w:t>
      </w:r>
      <w:r>
        <w:rPr>
          <w:rFonts w:ascii="Palatino Linotype" w:hAnsi="Palatino Linotype"/>
          <w:b/>
          <w:i/>
          <w:color w:val="000000" w:themeColor="text1"/>
          <w:sz w:val="22"/>
          <w:szCs w:val="22"/>
          <w:lang w:val="es-ES"/>
        </w:rPr>
        <w:t>asimism</w:t>
      </w:r>
      <w:r>
        <w:rPr>
          <w:rFonts w:ascii="Palatino Linotype" w:hAnsi="Palatino Linotype"/>
          <w:i/>
          <w:color w:val="000000" w:themeColor="text1"/>
          <w:sz w:val="22"/>
          <w:szCs w:val="22"/>
          <w:lang w:val="es-ES"/>
        </w:rPr>
        <w:t xml:space="preserve">o, </w:t>
      </w:r>
      <w:r>
        <w:rPr>
          <w:rFonts w:ascii="Palatino Linotype" w:hAnsi="Palatino Linotype"/>
          <w:b/>
          <w:i/>
          <w:color w:val="000000" w:themeColor="text1"/>
          <w:sz w:val="22"/>
          <w:szCs w:val="22"/>
          <w:u w:val="single"/>
          <w:lang w:val="es-ES"/>
        </w:rPr>
        <w:t>los informes mensuales</w:t>
      </w:r>
      <w:r>
        <w:rPr>
          <w:rFonts w:ascii="Palatino Linotype" w:hAnsi="Palatino Linotype"/>
          <w:i/>
          <w:color w:val="000000" w:themeColor="text1"/>
          <w:sz w:val="22"/>
          <w:szCs w:val="22"/>
          <w:lang w:val="es-ES"/>
        </w:rPr>
        <w:t xml:space="preserve"> los deberán presentar </w:t>
      </w:r>
      <w:r>
        <w:rPr>
          <w:rFonts w:ascii="Palatino Linotype" w:hAnsi="Palatino Linotype"/>
          <w:b/>
          <w:i/>
          <w:color w:val="000000" w:themeColor="text1"/>
          <w:sz w:val="22"/>
          <w:szCs w:val="22"/>
          <w:u w:val="single"/>
          <w:lang w:val="es-ES"/>
        </w:rPr>
        <w:t>dentro de los veinte días posteri</w:t>
      </w:r>
      <w:r>
        <w:rPr>
          <w:rFonts w:ascii="Palatino Linotype" w:hAnsi="Palatino Linotype"/>
          <w:b/>
          <w:i/>
          <w:color w:val="000000" w:themeColor="text1"/>
          <w:sz w:val="22"/>
          <w:szCs w:val="22"/>
          <w:u w:val="single"/>
          <w:lang w:val="es-ES"/>
        </w:rPr>
        <w:t>ores al término del mes correspondiente.</w:t>
      </w:r>
      <w:r>
        <w:rPr>
          <w:rFonts w:ascii="Palatino Linotype" w:hAnsi="Palatino Linotype"/>
          <w:i/>
          <w:color w:val="000000" w:themeColor="text1"/>
          <w:sz w:val="22"/>
          <w:szCs w:val="22"/>
          <w:u w:val="single"/>
          <w:lang w:val="es-ES"/>
        </w:rPr>
        <w:t>” (sic)</w:t>
      </w:r>
    </w:p>
    <w:p w:rsidR="008A2DFA" w:rsidRDefault="008A2DFA">
      <w:pPr>
        <w:ind w:left="851" w:right="899"/>
        <w:jc w:val="both"/>
        <w:rPr>
          <w:rFonts w:ascii="Palatino Linotype" w:hAnsi="Palatino Linotype"/>
          <w:b/>
          <w:i/>
          <w:color w:val="000000" w:themeColor="text1"/>
          <w:sz w:val="22"/>
          <w:szCs w:val="22"/>
          <w:u w:val="single"/>
          <w:lang w:val="es-ES"/>
        </w:rPr>
      </w:pPr>
    </w:p>
    <w:p w:rsidR="008A2DFA" w:rsidRDefault="00D60B2C">
      <w:pPr>
        <w:spacing w:line="360" w:lineRule="auto"/>
        <w:ind w:right="-91"/>
        <w:jc w:val="both"/>
        <w:rPr>
          <w:rFonts w:ascii="Palatino Linotype" w:hAnsi="Palatino Linotype"/>
          <w:color w:val="000000" w:themeColor="text1"/>
          <w:lang w:val="es-ES"/>
        </w:rPr>
      </w:pPr>
      <w:r>
        <w:rPr>
          <w:rFonts w:ascii="Palatino Linotype" w:hAnsi="Palatino Linotype"/>
          <w:color w:val="000000" w:themeColor="text1"/>
          <w:lang w:val="es-ES"/>
        </w:rPr>
        <w:t xml:space="preserve">La información </w:t>
      </w:r>
      <w:r>
        <w:rPr>
          <w:rFonts w:ascii="Palatino Linotype" w:hAnsi="Palatino Linotype"/>
          <w:b/>
          <w:color w:val="000000" w:themeColor="text1"/>
          <w:lang w:val="es-ES"/>
        </w:rPr>
        <w:t>documental comprobatoria</w:t>
      </w:r>
      <w:r>
        <w:rPr>
          <w:rFonts w:ascii="Palatino Linotype" w:hAnsi="Palatino Linotype"/>
          <w:color w:val="000000" w:themeColor="text1"/>
          <w:lang w:val="es-ES"/>
        </w:rPr>
        <w:t xml:space="preserve">, </w:t>
      </w:r>
      <w:r>
        <w:rPr>
          <w:rFonts w:ascii="Palatino Linotype" w:hAnsi="Palatino Linotype"/>
          <w:b/>
          <w:color w:val="000000" w:themeColor="text1"/>
          <w:u w:val="single"/>
          <w:lang w:val="es-ES"/>
        </w:rPr>
        <w:t>deberá conservarse en los archivos de la entidad fiscalizada –Municipio</w:t>
      </w:r>
      <w:r>
        <w:rPr>
          <w:rFonts w:ascii="Palatino Linotype" w:hAnsi="Palatino Linotype"/>
          <w:color w:val="000000" w:themeColor="text1"/>
          <w:lang w:val="es-ES"/>
        </w:rPr>
        <w:t xml:space="preserve">-, en original y debidamente integrada en términos de los lineamientos de referencia, pues son </w:t>
      </w:r>
      <w:r>
        <w:rPr>
          <w:rFonts w:ascii="Palatino Linotype" w:hAnsi="Palatino Linotype"/>
          <w:color w:val="000000" w:themeColor="text1"/>
          <w:lang w:val="es-ES"/>
        </w:rPr>
        <w:t>susceptibles de revisión directa por el Órgano Superior de Fiscalización.</w:t>
      </w:r>
    </w:p>
    <w:p w:rsidR="008A2DFA" w:rsidRDefault="008A2DFA">
      <w:pPr>
        <w:spacing w:line="360" w:lineRule="auto"/>
        <w:ind w:right="-91"/>
        <w:jc w:val="both"/>
        <w:rPr>
          <w:rFonts w:ascii="Palatino Linotype" w:hAnsi="Palatino Linotype"/>
          <w:color w:val="000000" w:themeColor="text1"/>
          <w:lang w:val="es-ES"/>
        </w:rPr>
      </w:pPr>
    </w:p>
    <w:p w:rsidR="008A2DFA" w:rsidRDefault="00D60B2C">
      <w:pPr>
        <w:spacing w:line="360" w:lineRule="auto"/>
        <w:ind w:right="49"/>
        <w:jc w:val="both"/>
        <w:rPr>
          <w:rFonts w:ascii="Palatino Linotype" w:hAnsi="Palatino Linotype"/>
          <w:color w:val="000000" w:themeColor="text1"/>
        </w:rPr>
      </w:pPr>
      <w:r>
        <w:rPr>
          <w:rFonts w:ascii="Palatino Linotype" w:hAnsi="Palatino Linotype"/>
          <w:color w:val="000000" w:themeColor="text1"/>
        </w:rPr>
        <w:t>Es así que, dentro de los Lineamientos para la Entrega del Informe Mensual Municipal 2020</w:t>
      </w:r>
      <w:r>
        <w:rPr>
          <w:rStyle w:val="Ancladenotaalpie"/>
          <w:rFonts w:ascii="Palatino Linotype" w:hAnsi="Palatino Linotype"/>
          <w:color w:val="000000" w:themeColor="text1"/>
        </w:rPr>
        <w:footnoteReference w:id="1"/>
      </w:r>
      <w:r>
        <w:rPr>
          <w:rFonts w:ascii="Palatino Linotype" w:hAnsi="Palatino Linotype"/>
          <w:color w:val="000000" w:themeColor="text1"/>
        </w:rPr>
        <w:t>, se destacan –en relación con el análisis que nos ocupa, el Disco 4, relativo a la informa</w:t>
      </w:r>
      <w:r>
        <w:rPr>
          <w:rFonts w:ascii="Palatino Linotype" w:hAnsi="Palatino Linotype"/>
          <w:color w:val="000000" w:themeColor="text1"/>
        </w:rPr>
        <w:t xml:space="preserve">ción de nómina, </w:t>
      </w:r>
      <w:r>
        <w:rPr>
          <w:rFonts w:ascii="Palatino Linotype" w:eastAsia="Calibri" w:hAnsi="Palatino Linotype" w:cs="Arial"/>
          <w:color w:val="000000" w:themeColor="text1"/>
          <w:lang w:val="es-ES"/>
        </w:rPr>
        <w:t>se tiene contemplado precisamente la presentación de los comprobantes fiscales digitales por internet (CFDI) los cuales corresponden a los recibos de nómina solicitados por el particular</w:t>
      </w:r>
      <w:r>
        <w:rPr>
          <w:rFonts w:ascii="Palatino Linotype" w:hAnsi="Palatino Linotype"/>
          <w:color w:val="000000" w:themeColor="text1"/>
        </w:rPr>
        <w:t>, para mayor referencia se insertan las siguientes imá</w:t>
      </w:r>
      <w:r>
        <w:rPr>
          <w:rFonts w:ascii="Palatino Linotype" w:hAnsi="Palatino Linotype"/>
          <w:color w:val="000000" w:themeColor="text1"/>
        </w:rPr>
        <w:t>genes:</w:t>
      </w:r>
    </w:p>
    <w:p w:rsidR="008A2DFA" w:rsidRDefault="008A2DFA">
      <w:pPr>
        <w:spacing w:line="360" w:lineRule="auto"/>
        <w:ind w:right="49"/>
        <w:jc w:val="both"/>
        <w:rPr>
          <w:rFonts w:ascii="Palatino Linotype" w:hAnsi="Palatino Linotype"/>
          <w:color w:val="000000" w:themeColor="text1"/>
        </w:rPr>
      </w:pPr>
    </w:p>
    <w:p w:rsidR="008A2DFA" w:rsidRDefault="008F4D0B">
      <w:pPr>
        <w:spacing w:line="360" w:lineRule="auto"/>
        <w:jc w:val="center"/>
        <w:rPr>
          <w:rFonts w:ascii="Palatino Linotype" w:eastAsiaTheme="minorEastAsia" w:hAnsi="Palatino Linotype" w:cstheme="minorBidi" w:hint="eastAsia"/>
          <w:color w:val="000000" w:themeColor="text1"/>
          <w:lang w:val="es-ES_tradnl"/>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100964</wp:posOffset>
                </wp:positionH>
                <wp:positionV relativeFrom="paragraph">
                  <wp:posOffset>4689474</wp:posOffset>
                </wp:positionV>
                <wp:extent cx="5781675" cy="2638425"/>
                <wp:effectExtent l="38100" t="38100" r="66675" b="85725"/>
                <wp:wrapNone/>
                <wp:docPr id="33" name="Conector recto 33"/>
                <wp:cNvGraphicFramePr/>
                <a:graphic xmlns:a="http://schemas.openxmlformats.org/drawingml/2006/main">
                  <a:graphicData uri="http://schemas.microsoft.com/office/word/2010/wordprocessingShape">
                    <wps:wsp>
                      <wps:cNvCnPr/>
                      <wps:spPr>
                        <a:xfrm>
                          <a:off x="0" y="0"/>
                          <a:ext cx="5781675" cy="2638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7C74D2" id="Conector recto 3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95pt,369.25pt" to="463.2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" strokecolor="#4f81bd [3204]" strokeweight="2pt">
                <v:shadow on="t" color="black" opacity="24903f" origin=",.5" offset="0,.55556mm"/>
              </v:line>
            </w:pict>
          </mc:Fallback>
        </mc:AlternateContent>
      </w:r>
      <w:r w:rsidR="00D60B2C">
        <w:rPr>
          <w:noProof/>
          <w:lang w:eastAsia="es-MX"/>
        </w:rPr>
        <w:drawing>
          <wp:inline distT="0" distB="0" distL="0" distR="0">
            <wp:extent cx="4792980" cy="4848225"/>
            <wp:effectExtent l="0" t="0" r="0" b="0"/>
            <wp:docPr id="1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1"/>
                    <pic:cNvPicPr>
                      <a:picLocks noChangeAspect="1" noChangeArrowheads="1"/>
                    </pic:cNvPicPr>
                  </pic:nvPicPr>
                  <pic:blipFill>
                    <a:blip r:embed="rId24"/>
                    <a:stretch>
                      <a:fillRect/>
                    </a:stretch>
                  </pic:blipFill>
                  <pic:spPr bwMode="auto">
                    <a:xfrm>
                      <a:off x="0" y="0"/>
                      <a:ext cx="4792980" cy="4848225"/>
                    </a:xfrm>
                    <a:prstGeom prst="rect">
                      <a:avLst/>
                    </a:prstGeom>
                  </pic:spPr>
                </pic:pic>
              </a:graphicData>
            </a:graphic>
          </wp:inline>
        </w:drawing>
      </w:r>
      <w:r w:rsidR="00D60B2C">
        <w:rPr>
          <w:noProof/>
          <w:lang w:eastAsia="es-MX"/>
        </w:rPr>
        <mc:AlternateContent>
          <mc:Choice Requires="wps">
            <w:drawing>
              <wp:anchor distT="0" distB="0" distL="0" distR="0" simplePos="0" relativeHeight="71" behindDoc="0" locked="0" layoutInCell="1" allowOverlap="1" wp14:anchorId="67B37F5C">
                <wp:simplePos x="0" y="0"/>
                <wp:positionH relativeFrom="column">
                  <wp:posOffset>1237615</wp:posOffset>
                </wp:positionH>
                <wp:positionV relativeFrom="paragraph">
                  <wp:posOffset>209550</wp:posOffset>
                </wp:positionV>
                <wp:extent cx="3574415" cy="212725"/>
                <wp:effectExtent l="57150" t="19050" r="66040" b="93345"/>
                <wp:wrapNone/>
                <wp:docPr id="15" name="Rectángulo redondeado 8"/>
                <wp:cNvGraphicFramePr/>
                <a:graphic xmlns:a="http://schemas.openxmlformats.org/drawingml/2006/main">
                  <a:graphicData uri="http://schemas.microsoft.com/office/word/2010/wordprocessingShape">
                    <wps:wsp>
                      <wps:cNvSpPr/>
                      <wps:spPr>
                        <a:xfrm>
                          <a:off x="0" y="0"/>
                          <a:ext cx="3573720" cy="212040"/>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00D60B2C">
        <w:rPr>
          <w:noProof/>
          <w:lang w:eastAsia="es-MX"/>
        </w:rPr>
        <mc:AlternateContent>
          <mc:Choice Requires="wps">
            <w:drawing>
              <wp:anchor distT="0" distB="0" distL="0" distR="0" simplePos="0" relativeHeight="72" behindDoc="0" locked="0" layoutInCell="1" allowOverlap="1" wp14:anchorId="67DC019D">
                <wp:simplePos x="0" y="0"/>
                <wp:positionH relativeFrom="margin">
                  <wp:align>center</wp:align>
                </wp:positionH>
                <wp:positionV relativeFrom="paragraph">
                  <wp:posOffset>2945765</wp:posOffset>
                </wp:positionV>
                <wp:extent cx="4608830" cy="868045"/>
                <wp:effectExtent l="76200" t="38100" r="78740" b="104775"/>
                <wp:wrapNone/>
                <wp:docPr id="16" name="Rectángulo redondeado 22"/>
                <wp:cNvGraphicFramePr/>
                <a:graphic xmlns:a="http://schemas.openxmlformats.org/drawingml/2006/main">
                  <a:graphicData uri="http://schemas.microsoft.com/office/word/2010/wordprocessingShape">
                    <wps:wsp>
                      <wps:cNvSpPr/>
                      <wps:spPr>
                        <a:xfrm>
                          <a:off x="0" y="0"/>
                          <a:ext cx="4608360" cy="867240"/>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8A2DFA" w:rsidRDefault="00D60B2C">
      <w:pPr>
        <w:spacing w:line="360" w:lineRule="auto"/>
        <w:jc w:val="center"/>
        <w:rPr>
          <w:rFonts w:ascii="Palatino Linotype" w:eastAsiaTheme="minorEastAsia" w:hAnsi="Palatino Linotype" w:cstheme="minorBidi" w:hint="eastAsia"/>
          <w:color w:val="000000" w:themeColor="text1"/>
          <w:lang w:val="es-ES_tradnl"/>
        </w:rPr>
      </w:pPr>
      <w:r>
        <w:rPr>
          <w:noProof/>
          <w:lang w:eastAsia="es-MX"/>
        </w:rPr>
        <w:lastRenderedPageBreak/>
        <w:drawing>
          <wp:inline distT="0" distB="0" distL="0" distR="0">
            <wp:extent cx="4731385" cy="3733800"/>
            <wp:effectExtent l="0" t="0" r="0" b="0"/>
            <wp:docPr id="1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3"/>
                    <pic:cNvPicPr>
                      <a:picLocks noChangeAspect="1" noChangeArrowheads="1"/>
                    </pic:cNvPicPr>
                  </pic:nvPicPr>
                  <pic:blipFill>
                    <a:blip r:embed="rId25"/>
                    <a:stretch>
                      <a:fillRect/>
                    </a:stretch>
                  </pic:blipFill>
                  <pic:spPr bwMode="auto">
                    <a:xfrm>
                      <a:off x="0" y="0"/>
                      <a:ext cx="4731385" cy="3733800"/>
                    </a:xfrm>
                    <a:prstGeom prst="rect">
                      <a:avLst/>
                    </a:prstGeom>
                  </pic:spPr>
                </pic:pic>
              </a:graphicData>
            </a:graphic>
          </wp:inline>
        </w:drawing>
      </w:r>
    </w:p>
    <w:p w:rsidR="008A2DFA" w:rsidRDefault="008A2DFA">
      <w:pPr>
        <w:spacing w:line="360" w:lineRule="auto"/>
        <w:jc w:val="center"/>
        <w:rPr>
          <w:rFonts w:ascii="Palatino Linotype" w:eastAsia="Calibri" w:hAnsi="Palatino Linotype" w:cs="Arial"/>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eastAsiaTheme="minorEastAsia" w:hAnsi="Palatino Linotype" w:cs="Arial"/>
          <w:color w:val="000000" w:themeColor="text1"/>
          <w:lang w:val="es-ES"/>
        </w:rPr>
        <w:t xml:space="preserve">De lo anterior, se puede apreciar que </w:t>
      </w:r>
      <w:r>
        <w:rPr>
          <w:rFonts w:ascii="Palatino Linotype" w:eastAsiaTheme="minorEastAsia" w:hAnsi="Palatino Linotype" w:cs="Arial"/>
          <w:b/>
          <w:color w:val="000000" w:themeColor="text1"/>
          <w:lang w:val="es-ES"/>
        </w:rPr>
        <w:t>EL SUJETO OBLIGADO</w:t>
      </w:r>
      <w:r>
        <w:rPr>
          <w:rFonts w:ascii="Palatino Linotype" w:eastAsiaTheme="minorEastAsia" w:hAnsi="Palatino Linotype" w:cs="Arial"/>
          <w:color w:val="000000" w:themeColor="text1"/>
          <w:lang w:val="es-ES"/>
        </w:rPr>
        <w:t xml:space="preserve">, debe entregar los informes mensuales al Órgano Superior de Fiscalización del Estado de México de conformidad con el artículo 32 de la Ley de Fiscalización Superior del Estado de México, en los cuales se incluye lo referente a </w:t>
      </w:r>
      <w:r>
        <w:rPr>
          <w:rFonts w:ascii="Palatino Linotype" w:eastAsiaTheme="minorEastAsia" w:hAnsi="Palatino Linotype" w:cs="Arial"/>
          <w:i/>
          <w:color w:val="000000" w:themeColor="text1"/>
          <w:lang w:val="es-ES"/>
        </w:rPr>
        <w:t>los comprobantes fiscales po</w:t>
      </w:r>
      <w:r>
        <w:rPr>
          <w:rFonts w:ascii="Palatino Linotype" w:eastAsiaTheme="minorEastAsia" w:hAnsi="Palatino Linotype" w:cs="Arial"/>
          <w:i/>
          <w:color w:val="000000" w:themeColor="text1"/>
          <w:lang w:val="es-ES"/>
        </w:rPr>
        <w:t xml:space="preserve">r internet por concepto de nómina, </w:t>
      </w:r>
      <w:r>
        <w:rPr>
          <w:rFonts w:ascii="Palatino Linotype" w:eastAsiaTheme="minorEastAsia" w:hAnsi="Palatino Linotype" w:cs="Arial"/>
          <w:color w:val="000000" w:themeColor="text1"/>
          <w:lang w:val="es-ES"/>
        </w:rPr>
        <w:t>que comprenden la información relativa al pago de las remuneraciones de cada uno de los servidores públicos correspondiente a un periodo determinado; en consecuencia, este Órgano Garante determina ordenar la entrega de se</w:t>
      </w:r>
      <w:r>
        <w:rPr>
          <w:rFonts w:ascii="Palatino Linotype" w:eastAsiaTheme="minorEastAsia" w:hAnsi="Palatino Linotype" w:cs="Arial"/>
          <w:color w:val="000000" w:themeColor="text1"/>
          <w:lang w:val="es-ES"/>
        </w:rPr>
        <w:t xml:space="preserve">r procedente en </w:t>
      </w:r>
      <w:r>
        <w:rPr>
          <w:rFonts w:ascii="Palatino Linotype" w:eastAsiaTheme="minorEastAsia" w:hAnsi="Palatino Linotype" w:cs="Arial"/>
          <w:b/>
          <w:color w:val="000000" w:themeColor="text1"/>
          <w:lang w:val="es-ES"/>
        </w:rPr>
        <w:t xml:space="preserve">versión pública </w:t>
      </w:r>
      <w:r>
        <w:rPr>
          <w:rFonts w:ascii="Palatino Linotype" w:eastAsiaTheme="minorEastAsia" w:hAnsi="Palatino Linotype" w:cs="Arial"/>
          <w:color w:val="000000" w:themeColor="text1"/>
          <w:lang w:val="es-ES"/>
        </w:rPr>
        <w:t xml:space="preserve">el o los documentos donde conste el cargo y </w:t>
      </w:r>
      <w:r>
        <w:rPr>
          <w:rFonts w:ascii="Palatino Linotype" w:hAnsi="Palatino Linotype"/>
          <w:color w:val="000000" w:themeColor="text1"/>
          <w:lang w:val="es-ES"/>
        </w:rPr>
        <w:t xml:space="preserve">percepción salarial de los servidores públicdos referidos en respuesta. </w:t>
      </w:r>
    </w:p>
    <w:p w:rsidR="008A2DFA" w:rsidRDefault="008A2DFA">
      <w:pPr>
        <w:spacing w:line="360" w:lineRule="auto"/>
        <w:jc w:val="both"/>
        <w:rPr>
          <w:rFonts w:ascii="Palatino Linotype" w:eastAsiaTheme="minorEastAsia" w:hAnsi="Palatino Linotype" w:cs="Arial" w:hint="eastAsia"/>
          <w:color w:val="000000" w:themeColor="text1"/>
          <w:lang w:val="es-ES"/>
        </w:rPr>
      </w:pPr>
    </w:p>
    <w:p w:rsidR="008A2DFA" w:rsidRDefault="00D60B2C">
      <w:pPr>
        <w:spacing w:line="360" w:lineRule="auto"/>
        <w:jc w:val="both"/>
        <w:rPr>
          <w:rFonts w:ascii="Palatino Linotype" w:eastAsiaTheme="minorEastAsia" w:hAnsi="Palatino Linotype" w:cs="Arial" w:hint="eastAsia"/>
          <w:bCs/>
          <w:color w:val="000000" w:themeColor="text1"/>
          <w:lang w:val="es-ES"/>
        </w:rPr>
      </w:pPr>
      <w:r>
        <w:rPr>
          <w:rFonts w:ascii="Palatino Linotype" w:eastAsiaTheme="minorEastAsia" w:hAnsi="Palatino Linotype" w:cs="Arial"/>
          <w:color w:val="000000" w:themeColor="text1"/>
          <w:lang w:val="es-ES"/>
        </w:rPr>
        <w:lastRenderedPageBreak/>
        <w:t>Lo anterior es así, pues la naturaleza de la información es de</w:t>
      </w:r>
      <w:r>
        <w:rPr>
          <w:rFonts w:ascii="Palatino Linotype" w:eastAsiaTheme="minorEastAsia" w:hAnsi="Palatino Linotype" w:cs="Arial"/>
          <w:bCs/>
          <w:color w:val="000000" w:themeColor="text1"/>
          <w:lang w:val="es-ES"/>
        </w:rPr>
        <w:t xml:space="preserve"> interés general y de alcance público, puest</w:t>
      </w:r>
      <w:r>
        <w:rPr>
          <w:rFonts w:ascii="Palatino Linotype" w:eastAsiaTheme="minorEastAsia" w:hAnsi="Palatino Linotype" w:cs="Arial"/>
          <w:bCs/>
          <w:color w:val="000000" w:themeColor="text1"/>
          <w:lang w:val="es-ES"/>
        </w:rPr>
        <w:t>o que la ciudadanía tiene derecho a saber cuánto es el gasto ejercido para el pago de remuneraciones por servicios personales al realizar las funciones públicas, esto es, su acceso</w:t>
      </w:r>
      <w:r>
        <w:rPr>
          <w:rFonts w:ascii="Palatino Linotype" w:eastAsiaTheme="minorEastAsia" w:hAnsi="Palatino Linotype" w:cs="Arial"/>
          <w:color w:val="000000" w:themeColor="text1"/>
          <w:lang w:val="es-ES"/>
        </w:rPr>
        <w:t xml:space="preserve"> </w:t>
      </w:r>
      <w:r>
        <w:rPr>
          <w:rFonts w:ascii="Palatino Linotype" w:eastAsiaTheme="minorEastAsia" w:hAnsi="Palatino Linotype" w:cs="Arial"/>
          <w:bCs/>
          <w:color w:val="000000" w:themeColor="text1"/>
          <w:lang w:val="es-ES"/>
        </w:rPr>
        <w:t>permite transparentar la aplicación de los recursos públicos que son otorga</w:t>
      </w:r>
      <w:r>
        <w:rPr>
          <w:rFonts w:ascii="Palatino Linotype" w:eastAsiaTheme="minorEastAsia" w:hAnsi="Palatino Linotype" w:cs="Arial"/>
          <w:bCs/>
          <w:color w:val="000000" w:themeColor="text1"/>
          <w:lang w:val="es-ES"/>
        </w:rPr>
        <w:t>dos para el cumplimiento de sus funciones, ello conforme a lo dispuesto por el artículo 23, fracción IV y penúltimo párrafo de la Ley de Transparencia y Acceso a la Información Pública del Estado de México y Municipios, que establece como deber de los Suje</w:t>
      </w:r>
      <w:r>
        <w:rPr>
          <w:rFonts w:ascii="Palatino Linotype" w:eastAsiaTheme="minorEastAsia" w:hAnsi="Palatino Linotype" w:cs="Arial"/>
          <w:bCs/>
          <w:color w:val="000000" w:themeColor="text1"/>
          <w:lang w:val="es-ES"/>
        </w:rPr>
        <w:t>tos Obligados el hacer pública toda la información respecto a los montos y nombres de las personas a quienes se entreguen recursos públicos y con ello transparentar la forma, términos, causas y finalidad en la disposición de esos recursos; ya que, este pre</w:t>
      </w:r>
      <w:r>
        <w:rPr>
          <w:rFonts w:ascii="Palatino Linotype" w:eastAsiaTheme="minorEastAsia" w:hAnsi="Palatino Linotype" w:cs="Arial"/>
          <w:bCs/>
          <w:color w:val="000000" w:themeColor="text1"/>
          <w:lang w:val="es-ES"/>
        </w:rPr>
        <w:t xml:space="preserve">cepto legal, como ya fue citado, establece: </w:t>
      </w:r>
    </w:p>
    <w:p w:rsidR="008A2DFA" w:rsidRDefault="008A2DFA">
      <w:pPr>
        <w:jc w:val="both"/>
        <w:rPr>
          <w:rFonts w:ascii="Palatino Linotype" w:eastAsiaTheme="minorEastAsia" w:hAnsi="Palatino Linotype" w:cs="Arial" w:hint="eastAsia"/>
          <w:bCs/>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bCs/>
          <w:i/>
          <w:color w:val="000000" w:themeColor="text1"/>
          <w:sz w:val="22"/>
          <w:szCs w:val="22"/>
          <w:lang w:val="es-ES"/>
        </w:rPr>
      </w:pPr>
      <w:r>
        <w:rPr>
          <w:rFonts w:ascii="Palatino Linotype" w:eastAsiaTheme="minorEastAsia" w:hAnsi="Palatino Linotype" w:cs="Arial"/>
          <w:bCs/>
          <w:i/>
          <w:color w:val="000000" w:themeColor="text1"/>
          <w:sz w:val="22"/>
          <w:szCs w:val="22"/>
          <w:lang w:val="es-ES"/>
        </w:rPr>
        <w:t>“</w:t>
      </w:r>
      <w:r>
        <w:rPr>
          <w:rFonts w:ascii="Palatino Linotype" w:eastAsiaTheme="minorEastAsia" w:hAnsi="Palatino Linotype" w:cs="Arial"/>
          <w:b/>
          <w:bCs/>
          <w:i/>
          <w:color w:val="000000" w:themeColor="text1"/>
          <w:sz w:val="22"/>
          <w:szCs w:val="22"/>
          <w:lang w:val="es-ES"/>
        </w:rPr>
        <w:t>Artículo 23</w:t>
      </w:r>
      <w:r>
        <w:rPr>
          <w:rFonts w:ascii="Palatino Linotype" w:eastAsiaTheme="minorEastAsia" w:hAnsi="Palatino Linotype" w:cs="Arial"/>
          <w:bCs/>
          <w:i/>
          <w:color w:val="000000" w:themeColor="text1"/>
          <w:sz w:val="22"/>
          <w:szCs w:val="22"/>
          <w:lang w:val="es-ES"/>
        </w:rPr>
        <w:t xml:space="preserve"> Son </w:t>
      </w:r>
      <w:r>
        <w:rPr>
          <w:rFonts w:ascii="Palatino Linotype" w:eastAsia="MS Mincho" w:hAnsi="Palatino Linotype" w:cs="Arial"/>
          <w:i/>
          <w:color w:val="000000" w:themeColor="text1"/>
          <w:sz w:val="22"/>
          <w:szCs w:val="22"/>
          <w:lang w:val="es-ES"/>
        </w:rPr>
        <w:t>sujetos</w:t>
      </w:r>
      <w:r>
        <w:rPr>
          <w:rFonts w:ascii="Palatino Linotype" w:eastAsiaTheme="minorEastAsia" w:hAnsi="Palatino Linotype" w:cs="Arial"/>
          <w:bCs/>
          <w:i/>
          <w:color w:val="000000" w:themeColor="text1"/>
          <w:sz w:val="22"/>
          <w:szCs w:val="22"/>
          <w:lang w:val="es-ES"/>
        </w:rPr>
        <w:t xml:space="preserve"> obligados a transparentar y permitir el acceso a su información y proteger los datos personales que obren en su poder:</w:t>
      </w:r>
    </w:p>
    <w:p w:rsidR="008A2DFA" w:rsidRDefault="008A2DFA">
      <w:pPr>
        <w:ind w:left="709" w:right="992"/>
        <w:jc w:val="both"/>
        <w:rPr>
          <w:rFonts w:ascii="Palatino Linotype" w:eastAsiaTheme="minorEastAsia" w:hAnsi="Palatino Linotype" w:cs="Arial" w:hint="eastAsia"/>
          <w:bCs/>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bCs/>
          <w:i/>
          <w:color w:val="000000" w:themeColor="text1"/>
          <w:sz w:val="22"/>
          <w:szCs w:val="22"/>
          <w:lang w:val="es-ES"/>
        </w:rPr>
      </w:pPr>
      <w:r>
        <w:rPr>
          <w:rFonts w:ascii="Palatino Linotype" w:eastAsiaTheme="minorEastAsia" w:hAnsi="Palatino Linotype" w:cs="Arial"/>
          <w:b/>
          <w:bCs/>
          <w:i/>
          <w:color w:val="000000" w:themeColor="text1"/>
          <w:sz w:val="22"/>
          <w:szCs w:val="22"/>
          <w:lang w:val="es-ES"/>
        </w:rPr>
        <w:t>IV.</w:t>
      </w:r>
      <w:r>
        <w:rPr>
          <w:rFonts w:ascii="Palatino Linotype" w:eastAsiaTheme="minorEastAsia" w:hAnsi="Palatino Linotype" w:cs="Arial"/>
          <w:bCs/>
          <w:i/>
          <w:color w:val="000000" w:themeColor="text1"/>
          <w:sz w:val="22"/>
          <w:szCs w:val="22"/>
          <w:lang w:val="es-ES"/>
        </w:rPr>
        <w:t xml:space="preserve"> Los ayuntamientos </w:t>
      </w:r>
      <w:r>
        <w:rPr>
          <w:rFonts w:ascii="Palatino Linotype" w:eastAsiaTheme="minorEastAsia" w:hAnsi="Palatino Linotype" w:cs="Arial"/>
          <w:b/>
          <w:bCs/>
          <w:i/>
          <w:color w:val="000000" w:themeColor="text1"/>
          <w:sz w:val="22"/>
          <w:szCs w:val="22"/>
          <w:u w:val="single"/>
          <w:lang w:val="es-ES"/>
        </w:rPr>
        <w:t xml:space="preserve">y las dependencias, organismos, órganos y </w:t>
      </w:r>
      <w:r>
        <w:rPr>
          <w:rFonts w:ascii="Palatino Linotype" w:eastAsiaTheme="minorEastAsia" w:hAnsi="Palatino Linotype" w:cs="Arial"/>
          <w:b/>
          <w:bCs/>
          <w:i/>
          <w:color w:val="000000" w:themeColor="text1"/>
          <w:sz w:val="22"/>
          <w:szCs w:val="22"/>
          <w:u w:val="single"/>
          <w:lang w:val="es-ES"/>
        </w:rPr>
        <w:t>entidades de la administración municipal;</w:t>
      </w:r>
    </w:p>
    <w:p w:rsidR="008A2DFA" w:rsidRDefault="008A2DFA">
      <w:pPr>
        <w:ind w:left="709" w:right="992"/>
        <w:jc w:val="both"/>
        <w:rPr>
          <w:rFonts w:ascii="Palatino Linotype" w:eastAsiaTheme="minorEastAsia" w:hAnsi="Palatino Linotype" w:cs="Arial" w:hint="eastAsia"/>
          <w:bCs/>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bCs/>
          <w:i/>
          <w:color w:val="000000" w:themeColor="text1"/>
          <w:sz w:val="22"/>
          <w:szCs w:val="22"/>
          <w:lang w:val="es-ES"/>
        </w:rPr>
      </w:pPr>
      <w:r>
        <w:rPr>
          <w:rFonts w:ascii="Palatino Linotype" w:eastAsiaTheme="minorEastAsia" w:hAnsi="Palatino Linotype" w:cs="Arial"/>
          <w:bCs/>
          <w:i/>
          <w:color w:val="000000" w:themeColor="text1"/>
          <w:sz w:val="22"/>
          <w:szCs w:val="22"/>
          <w:lang w:val="es-ES"/>
        </w:rPr>
        <w:t>Los sujetos obligados deberán hacer pública toda aquella información relativa a los montos y las personas a quienes entreguen, por cualquier motivo, recursos públicos, así como los informes que dichas personas les</w:t>
      </w:r>
      <w:r>
        <w:rPr>
          <w:rFonts w:ascii="Palatino Linotype" w:eastAsiaTheme="minorEastAsia" w:hAnsi="Palatino Linotype" w:cs="Arial"/>
          <w:bCs/>
          <w:i/>
          <w:color w:val="000000" w:themeColor="text1"/>
          <w:sz w:val="22"/>
          <w:szCs w:val="22"/>
          <w:lang w:val="es-ES"/>
        </w:rPr>
        <w:t xml:space="preserve"> entreguen sobre el uso y destino de dichos recursos.” </w:t>
      </w:r>
    </w:p>
    <w:p w:rsidR="008A2DFA" w:rsidRDefault="00D60B2C">
      <w:pPr>
        <w:ind w:left="851" w:right="992"/>
        <w:jc w:val="both"/>
        <w:rPr>
          <w:rFonts w:ascii="Palatino Linotype" w:eastAsiaTheme="minorEastAsia" w:hAnsi="Palatino Linotype" w:cs="Arial" w:hint="eastAsia"/>
          <w:b/>
          <w:bCs/>
          <w:i/>
          <w:color w:val="000000" w:themeColor="text1"/>
          <w:sz w:val="22"/>
          <w:szCs w:val="22"/>
          <w:lang w:val="es-ES"/>
        </w:rPr>
      </w:pPr>
      <w:r>
        <w:rPr>
          <w:rFonts w:ascii="Palatino Linotype" w:eastAsiaTheme="minorEastAsia" w:hAnsi="Palatino Linotype" w:cs="Arial"/>
          <w:bCs/>
          <w:i/>
          <w:color w:val="000000" w:themeColor="text1"/>
          <w:sz w:val="22"/>
          <w:szCs w:val="22"/>
          <w:lang w:val="es-ES"/>
        </w:rPr>
        <w:t>(Énfasis añadido)</w:t>
      </w:r>
    </w:p>
    <w:p w:rsidR="008A2DFA" w:rsidRDefault="008A2DFA">
      <w:pPr>
        <w:jc w:val="both"/>
        <w:rPr>
          <w:rFonts w:ascii="Palatino Linotype" w:eastAsiaTheme="minorEastAsia" w:hAnsi="Palatino Linotype" w:cs="Arial" w:hint="eastAsia"/>
          <w:bCs/>
          <w:i/>
          <w:color w:val="000000" w:themeColor="text1"/>
          <w:sz w:val="22"/>
          <w:szCs w:val="22"/>
          <w:lang w:val="es-ES"/>
        </w:rPr>
      </w:pPr>
    </w:p>
    <w:p w:rsidR="008A2DFA" w:rsidRDefault="00D60B2C">
      <w:pPr>
        <w:spacing w:line="360" w:lineRule="auto"/>
        <w:jc w:val="both"/>
        <w:rPr>
          <w:rFonts w:ascii="Palatino Linotype" w:eastAsiaTheme="minorEastAsia" w:hAnsi="Palatino Linotype" w:cs="Arial" w:hint="eastAsia"/>
          <w:color w:val="000000" w:themeColor="text1"/>
          <w:lang w:val="es-ES"/>
        </w:rPr>
      </w:pPr>
      <w:r>
        <w:rPr>
          <w:rFonts w:ascii="Palatino Linotype" w:eastAsiaTheme="minorEastAsia" w:hAnsi="Palatino Linotype" w:cs="Arial"/>
          <w:color w:val="000000" w:themeColor="text1"/>
          <w:lang w:val="es-ES"/>
        </w:rPr>
        <w:t>Sirve de sustento por analogía, para justificar la publicidad sobre los datos relativos a los montos por concepto de pago de las remuneraciones, los criterios 01/2003 y 02/2003 emit</w:t>
      </w:r>
      <w:r>
        <w:rPr>
          <w:rFonts w:ascii="Palatino Linotype" w:eastAsiaTheme="minorEastAsia" w:hAnsi="Palatino Linotype" w:cs="Arial"/>
          <w:color w:val="000000" w:themeColor="text1"/>
          <w:lang w:val="es-ES"/>
        </w:rPr>
        <w:t xml:space="preserve">idos por el Comité de Acceso a la Información Pública y Protección de Datos Personales de la Suprema Corte de Justicia de la Nación que a continuación se citan: </w:t>
      </w:r>
    </w:p>
    <w:p w:rsidR="008A2DFA" w:rsidRDefault="008A2DFA">
      <w:pPr>
        <w:jc w:val="both"/>
        <w:rPr>
          <w:rFonts w:ascii="Palatino Linotype" w:eastAsiaTheme="minorEastAsia" w:hAnsi="Palatino Linotype" w:cs="Arial" w:hint="eastAsia"/>
          <w:color w:val="000000" w:themeColor="text1"/>
          <w:sz w:val="22"/>
          <w:szCs w:val="22"/>
          <w:lang w:val="es-ES"/>
        </w:rPr>
      </w:pP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lastRenderedPageBreak/>
        <w:t>“Criterio 01/2003.</w:t>
      </w:r>
    </w:p>
    <w:p w:rsidR="008A2DFA" w:rsidRDefault="008A2DFA">
      <w:pPr>
        <w:ind w:left="851" w:right="992"/>
        <w:jc w:val="center"/>
        <w:rPr>
          <w:rFonts w:ascii="Palatino Linotype" w:eastAsiaTheme="minorEastAsia" w:hAnsi="Palatino Linotype" w:cs="Arial" w:hint="eastAsia"/>
          <w:b/>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“INGRESOS DE LOS SERVIDORES PÚBLICOS. CONSTITUYEN INFORMACIÓN PÚBLICA AÚN</w:t>
      </w:r>
      <w:r>
        <w:rPr>
          <w:rFonts w:ascii="Palatino Linotype" w:eastAsiaTheme="minorEastAsia" w:hAnsi="Palatino Linotype" w:cs="Arial"/>
          <w:b/>
          <w:i/>
          <w:color w:val="000000" w:themeColor="text1"/>
          <w:sz w:val="22"/>
          <w:szCs w:val="22"/>
          <w:lang w:val="es-ES"/>
        </w:rPr>
        <w:t xml:space="preserve"> Y CUANDO SU DIFUSIÓN PUEDE AFECTAR LA VIDA O LA SEGURIDAD DE AQUELLOS.</w:t>
      </w:r>
      <w:r>
        <w:rPr>
          <w:rFonts w:ascii="Palatino Linotype" w:eastAsiaTheme="minorEastAsia" w:hAnsi="Palatino Linotype" w:cs="Arial"/>
          <w:i/>
          <w:color w:val="000000" w:themeColor="text1"/>
          <w:sz w:val="22"/>
          <w:szCs w:val="22"/>
          <w:lang w:val="es-ES"/>
        </w:rPr>
        <w:t xml:space="preserve"> Si bien el artículo 13, fracción IV, de la Ley Federal de Transparencia y  Acceso  a la información Pública Gubernamental establece que debe clasificarse como información confidencial </w:t>
      </w:r>
      <w:r>
        <w:rPr>
          <w:rFonts w:ascii="Palatino Linotype" w:eastAsiaTheme="minorEastAsia" w:hAnsi="Palatino Linotype" w:cs="Arial"/>
          <w:i/>
          <w:color w:val="000000" w:themeColor="text1"/>
          <w:sz w:val="22"/>
          <w:szCs w:val="22"/>
          <w:lang w:val="es-ES"/>
        </w:rPr>
        <w:t>la que conste en expedientes administrativos cuya difusión  pueda poner en riesgo la vida, la seguridad o la salud de cualquier persona, debe reconocerse que aun y  cuando en ese supuesto podría encuadrar la relativa a las percepciones ordinarias y extraor</w:t>
      </w:r>
      <w:r>
        <w:rPr>
          <w:rFonts w:ascii="Palatino Linotype" w:eastAsiaTheme="minorEastAsia" w:hAnsi="Palatino Linotype" w:cs="Arial"/>
          <w:i/>
          <w:color w:val="000000" w:themeColor="text1"/>
          <w:sz w:val="22"/>
          <w:szCs w:val="22"/>
          <w:lang w:val="es-ES"/>
        </w:rPr>
        <w:t xml:space="preserve">dinaria de los servidores públicos, ello no obsta para reconocer que el legislador estableció en el artículo 7 de ese mismo ordenamiento que la referida información, como una obligación de trasparencia, </w:t>
      </w:r>
      <w:r>
        <w:rPr>
          <w:rFonts w:ascii="Palatino Linotype" w:eastAsiaTheme="minorEastAsia" w:hAnsi="Palatino Linotype" w:cs="Arial"/>
          <w:b/>
          <w:i/>
          <w:color w:val="000000" w:themeColor="text1"/>
          <w:sz w:val="22"/>
          <w:szCs w:val="22"/>
          <w:lang w:val="es-ES"/>
        </w:rPr>
        <w:t>deben publicarse en medios remotos o locales de comun</w:t>
      </w:r>
      <w:r>
        <w:rPr>
          <w:rFonts w:ascii="Palatino Linotype" w:eastAsiaTheme="minorEastAsia" w:hAnsi="Palatino Linotype" w:cs="Arial"/>
          <w:b/>
          <w:i/>
          <w:color w:val="000000" w:themeColor="text1"/>
          <w:sz w:val="22"/>
          <w:szCs w:val="22"/>
          <w:lang w:val="es-ES"/>
        </w:rPr>
        <w:t>icación electrónica, lo que se sustenta en el hecho de que el monto de todos los ingresos que recibe un servidor público por desarrollar las labores que les son encomendadas con motivo del desempeño del cargo respecto. Constituyen información pública, en t</w:t>
      </w:r>
      <w:r>
        <w:rPr>
          <w:rFonts w:ascii="Palatino Linotype" w:eastAsiaTheme="minorEastAsia" w:hAnsi="Palatino Linotype" w:cs="Arial"/>
          <w:b/>
          <w:i/>
          <w:color w:val="000000" w:themeColor="text1"/>
          <w:sz w:val="22"/>
          <w:szCs w:val="22"/>
          <w:lang w:val="es-ES"/>
        </w:rPr>
        <w:t>anto que se trata de erogaciones que realiza un órgano del Estado en base con los recursos que encuentran su origen en mayor medida en las contribuciones aportados por los gobernados</w:t>
      </w:r>
      <w:r>
        <w:rPr>
          <w:rFonts w:ascii="Palatino Linotype" w:eastAsiaTheme="minorEastAsia" w:hAnsi="Palatino Linotype" w:cs="Arial"/>
          <w:i/>
          <w:color w:val="000000" w:themeColor="text1"/>
          <w:sz w:val="22"/>
          <w:szCs w:val="22"/>
          <w:lang w:val="es-ES"/>
        </w:rPr>
        <w:t>…”</w:t>
      </w:r>
    </w:p>
    <w:p w:rsidR="008A2DFA" w:rsidRDefault="008A2DFA">
      <w:pPr>
        <w:ind w:left="709" w:right="992"/>
        <w:jc w:val="both"/>
        <w:rPr>
          <w:rFonts w:ascii="Palatino Linotype" w:eastAsiaTheme="minorEastAsia" w:hAnsi="Palatino Linotype" w:cs="Arial" w:hint="eastAsia"/>
          <w:i/>
          <w:color w:val="000000" w:themeColor="text1"/>
          <w:sz w:val="22"/>
          <w:szCs w:val="22"/>
          <w:lang w:val="es-ES"/>
        </w:rPr>
      </w:pP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“Criterio 02/2003.</w:t>
      </w:r>
    </w:p>
    <w:p w:rsidR="008A2DFA" w:rsidRDefault="008A2DFA">
      <w:pPr>
        <w:ind w:left="851" w:right="992"/>
        <w:jc w:val="center"/>
        <w:rPr>
          <w:rFonts w:ascii="Palatino Linotype" w:eastAsiaTheme="minorEastAsia" w:hAnsi="Palatino Linotype" w:cs="Arial" w:hint="eastAsia"/>
          <w:b/>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INGRESOS DE LOS SERVIDORES PÚBLICOS, SON INFORMACI</w:t>
      </w:r>
      <w:r>
        <w:rPr>
          <w:rFonts w:ascii="Palatino Linotype" w:eastAsiaTheme="minorEastAsia" w:hAnsi="Palatino Linotype" w:cs="Arial"/>
          <w:b/>
          <w:i/>
          <w:color w:val="000000" w:themeColor="text1"/>
          <w:sz w:val="22"/>
          <w:szCs w:val="22"/>
          <w:lang w:val="es-ES"/>
        </w:rPr>
        <w:t>ÓN PÚBLICA AÚN Y CUANDO CONSTITUYEN DATOS PERSONALES QUE SE REFIEREN AL PATRIMONIO DE AQUÉLLOS.</w:t>
      </w:r>
      <w:r>
        <w:rPr>
          <w:rFonts w:ascii="Palatino Linotype" w:eastAsiaTheme="minorEastAsia" w:hAnsi="Palatino Linotype" w:cs="Arial"/>
          <w:i/>
          <w:color w:val="000000" w:themeColor="text1"/>
          <w:sz w:val="22"/>
          <w:szCs w:val="22"/>
          <w:lang w:val="es-ES"/>
        </w:rPr>
        <w:t xml:space="preserve"> De la interpretación sistemática de lo previsto en los artículos 3º, fracción II; 7º, 9º y 18, fracción II, de la Ley Federal de Transparencia y Acceso a la Inf</w:t>
      </w:r>
      <w:r>
        <w:rPr>
          <w:rFonts w:ascii="Palatino Linotype" w:eastAsiaTheme="minorEastAsia" w:hAnsi="Palatino Linotype" w:cs="Arial"/>
          <w:i/>
          <w:color w:val="000000" w:themeColor="text1"/>
          <w:sz w:val="22"/>
          <w:szCs w:val="22"/>
          <w:lang w:val="es-ES"/>
        </w:rPr>
        <w:t>ormación Pública Gubernamental se advierte que no constituye información confidencial la relativa a los ingresos que reciben los servidores públicos, ya que aun y cuando se trata de datos personales relativos a su patrimonio, para su difusión no se requier</w:t>
      </w:r>
      <w:r>
        <w:rPr>
          <w:rFonts w:ascii="Palatino Linotype" w:eastAsiaTheme="minorEastAsia" w:hAnsi="Palatino Linotype" w:cs="Arial"/>
          <w:i/>
          <w:color w:val="000000" w:themeColor="text1"/>
          <w:sz w:val="22"/>
          <w:szCs w:val="22"/>
          <w:lang w:val="es-ES"/>
        </w:rPr>
        <w:t xml:space="preserve">e consentimiento de aquellos, </w:t>
      </w:r>
      <w:r>
        <w:rPr>
          <w:rFonts w:ascii="Palatino Linotype" w:eastAsiaTheme="minorEastAsia" w:hAnsi="Palatino Linotype" w:cs="Arial"/>
          <w:b/>
          <w:i/>
          <w:color w:val="000000" w:themeColor="text1"/>
          <w:sz w:val="22"/>
          <w:szCs w:val="22"/>
          <w:lang w:val="es-ES"/>
        </w:rPr>
        <w:t>lo que deriva del hecho de que en términos de los previsto en el citado ordenamiento deben ponerse a disposición del público a través de medios remotos o locales de comunicación electrónica, tanto el directorio de servidores p</w:t>
      </w:r>
      <w:r>
        <w:rPr>
          <w:rFonts w:ascii="Palatino Linotype" w:eastAsiaTheme="minorEastAsia" w:hAnsi="Palatino Linotype" w:cs="Arial"/>
          <w:b/>
          <w:i/>
          <w:color w:val="000000" w:themeColor="text1"/>
          <w:sz w:val="22"/>
          <w:szCs w:val="22"/>
          <w:lang w:val="es-ES"/>
        </w:rPr>
        <w:t>úblicos como las remuneraciones mensuales por puesto incluso</w:t>
      </w:r>
      <w:r>
        <w:rPr>
          <w:rFonts w:ascii="Palatino Linotype" w:eastAsiaTheme="minorEastAsia" w:hAnsi="Palatino Linotype" w:cs="Arial"/>
          <w:i/>
          <w:color w:val="000000" w:themeColor="text1"/>
          <w:sz w:val="22"/>
          <w:szCs w:val="22"/>
          <w:lang w:val="es-ES"/>
        </w:rPr>
        <w:t xml:space="preserve"> el sistema de compensación…”</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(Énfasis añadido)</w:t>
      </w:r>
    </w:p>
    <w:p w:rsidR="008A2DFA" w:rsidRDefault="008A2DFA">
      <w:pPr>
        <w:ind w:left="709" w:right="757"/>
        <w:jc w:val="both"/>
        <w:rPr>
          <w:rFonts w:ascii="Palatino Linotype" w:eastAsiaTheme="minorEastAsia" w:hAnsi="Palatino Linotype" w:cs="Arial" w:hint="eastAsia"/>
          <w:i/>
          <w:color w:val="000000" w:themeColor="text1"/>
          <w:sz w:val="22"/>
          <w:szCs w:val="22"/>
          <w:lang w:val="es-ES"/>
        </w:rPr>
      </w:pPr>
    </w:p>
    <w:p w:rsidR="008A2DFA" w:rsidRDefault="00D60B2C">
      <w:pPr>
        <w:spacing w:line="360" w:lineRule="auto"/>
        <w:jc w:val="both"/>
        <w:rPr>
          <w:rFonts w:ascii="Palatino Linotype" w:eastAsiaTheme="minorEastAsia" w:hAnsi="Palatino Linotype" w:cs="Arial" w:hint="eastAsia"/>
          <w:color w:val="000000" w:themeColor="text1"/>
          <w:lang w:val="es-ES"/>
        </w:rPr>
      </w:pPr>
      <w:r>
        <w:rPr>
          <w:rFonts w:ascii="Palatino Linotype" w:eastAsiaTheme="minorEastAsia" w:hAnsi="Palatino Linotype" w:cs="Arial"/>
          <w:color w:val="000000" w:themeColor="text1"/>
          <w:lang w:val="es-ES"/>
        </w:rPr>
        <w:lastRenderedPageBreak/>
        <w:t xml:space="preserve">En este sentido, </w:t>
      </w:r>
      <w:r>
        <w:rPr>
          <w:rFonts w:ascii="Palatino Linotype" w:eastAsiaTheme="minorEastAsia" w:hAnsi="Palatino Linotype" w:cs="Arial"/>
          <w:b/>
          <w:color w:val="000000" w:themeColor="text1"/>
          <w:lang w:val="es-ES"/>
        </w:rPr>
        <w:t>EL SUJETO OBLIGADO</w:t>
      </w:r>
      <w:r>
        <w:rPr>
          <w:rFonts w:ascii="Palatino Linotype" w:eastAsiaTheme="minorEastAsia" w:hAnsi="Palatino Linotype" w:cs="Arial"/>
          <w:color w:val="000000" w:themeColor="text1"/>
          <w:lang w:val="es-ES"/>
        </w:rPr>
        <w:t xml:space="preserve"> se encuentra constreñido a entregar la información solicitada por </w:t>
      </w:r>
      <w:r>
        <w:rPr>
          <w:rFonts w:ascii="Palatino Linotype" w:eastAsiaTheme="minorEastAsia" w:hAnsi="Palatino Linotype" w:cs="Arial"/>
          <w:b/>
          <w:color w:val="000000" w:themeColor="text1"/>
          <w:lang w:val="es-ES_tradnl"/>
        </w:rPr>
        <w:t>EL RECURRENTE</w:t>
      </w:r>
      <w:r>
        <w:rPr>
          <w:rFonts w:ascii="Palatino Linotype" w:eastAsiaTheme="minorEastAsia" w:hAnsi="Palatino Linotype" w:cs="Arial"/>
          <w:color w:val="000000" w:themeColor="text1"/>
          <w:lang w:val="es-ES"/>
        </w:rPr>
        <w:t xml:space="preserve">, de acuerdo a lo dispuesto por los artículos 3, fracción XI y 12 </w:t>
      </w:r>
      <w:r>
        <w:rPr>
          <w:rFonts w:ascii="Palatino Linotype" w:eastAsiaTheme="minorEastAsia" w:hAnsi="Palatino Linotype" w:cs="Arial"/>
          <w:bCs/>
          <w:color w:val="000000" w:themeColor="text1"/>
          <w:lang w:val="es-ES"/>
        </w:rPr>
        <w:t>de la Ley de Transparencia y Acceso a la Información Pública del Estado de México y Municipios</w:t>
      </w:r>
      <w:r>
        <w:rPr>
          <w:rFonts w:ascii="Palatino Linotype" w:eastAsiaTheme="minorEastAsia" w:hAnsi="Palatino Linotype" w:cs="Arial"/>
          <w:color w:val="000000" w:themeColor="text1"/>
          <w:lang w:val="es-ES"/>
        </w:rPr>
        <w:t>, de los cuales se desprende que es información pública la contenida en los documentos que los S</w:t>
      </w:r>
      <w:r>
        <w:rPr>
          <w:rFonts w:ascii="Palatino Linotype" w:eastAsiaTheme="minorEastAsia" w:hAnsi="Palatino Linotype" w:cs="Arial"/>
          <w:color w:val="000000" w:themeColor="text1"/>
          <w:lang w:val="es-ES"/>
        </w:rPr>
        <w:t>ujetos Obligados generen, administren o se encuentre en su posesión en ejercicio de sus atribuciones.</w:t>
      </w:r>
    </w:p>
    <w:p w:rsidR="008A2DFA" w:rsidRDefault="008A2DFA">
      <w:pPr>
        <w:spacing w:line="360" w:lineRule="auto"/>
        <w:jc w:val="both"/>
        <w:rPr>
          <w:rFonts w:ascii="Palatino Linotype" w:eastAsiaTheme="minorEastAsia" w:hAnsi="Palatino Linotype" w:cs="Arial" w:hint="eastAsia"/>
          <w:color w:val="000000" w:themeColor="text1"/>
          <w:lang w:val="es-ES"/>
        </w:rPr>
      </w:pPr>
    </w:p>
    <w:p w:rsidR="008A2DFA" w:rsidRDefault="00D60B2C">
      <w:pPr>
        <w:spacing w:line="360" w:lineRule="auto"/>
        <w:jc w:val="both"/>
        <w:rPr>
          <w:rFonts w:ascii="Palatino Linotype" w:eastAsiaTheme="minorEastAsia" w:hAnsi="Palatino Linotype" w:cs="Arial" w:hint="eastAsia"/>
          <w:color w:val="000000" w:themeColor="text1"/>
          <w:lang w:val="es-ES"/>
        </w:rPr>
      </w:pPr>
      <w:r>
        <w:rPr>
          <w:rFonts w:ascii="Palatino Linotype" w:eastAsiaTheme="minorEastAsia" w:hAnsi="Palatino Linotype" w:cs="Arial"/>
          <w:color w:val="000000" w:themeColor="text1"/>
          <w:lang w:val="es-ES"/>
        </w:rPr>
        <w:t xml:space="preserve">Siendo aplicable, el criterio </w:t>
      </w:r>
      <w:r>
        <w:rPr>
          <w:rFonts w:ascii="Palatino Linotype" w:eastAsiaTheme="minorEastAsia" w:hAnsi="Palatino Linotype" w:cs="Arial"/>
          <w:bCs/>
          <w:color w:val="000000" w:themeColor="text1"/>
          <w:lang w:val="es-ES"/>
        </w:rPr>
        <w:t>de interpretación en el orden administrativo número 0002-11, emitido por Acuerdo del Pleno del Instituto de Transparencia y</w:t>
      </w:r>
      <w:r>
        <w:rPr>
          <w:rFonts w:ascii="Palatino Linotype" w:eastAsiaTheme="minorEastAsia" w:hAnsi="Palatino Linotype" w:cs="Arial"/>
          <w:bCs/>
          <w:color w:val="000000" w:themeColor="text1"/>
          <w:lang w:val="es-ES"/>
        </w:rPr>
        <w:t xml:space="preserve"> Acceso a la Información Pública y Protección de Datos Personales del Estado de México y Municipios, publicado en el Periódico Oficial del Gobierno del Estado Libre y Soberano de México “Gaceta del Gobierno” el diecinueve de octubre de dos mil once, </w:t>
      </w:r>
      <w:r>
        <w:rPr>
          <w:rFonts w:ascii="Palatino Linotype" w:eastAsiaTheme="minorEastAsia" w:hAnsi="Palatino Linotype" w:cs="Arial"/>
          <w:color w:val="000000" w:themeColor="text1"/>
          <w:lang w:val="es-ES"/>
        </w:rPr>
        <w:t>cuyo r</w:t>
      </w:r>
      <w:r>
        <w:rPr>
          <w:rFonts w:ascii="Palatino Linotype" w:eastAsiaTheme="minorEastAsia" w:hAnsi="Palatino Linotype" w:cs="Arial"/>
          <w:color w:val="000000" w:themeColor="text1"/>
          <w:lang w:val="es-ES"/>
        </w:rPr>
        <w:t>ubro y texto dispone:</w:t>
      </w:r>
    </w:p>
    <w:p w:rsidR="008A2DFA" w:rsidRDefault="008A2DFA">
      <w:pPr>
        <w:spacing w:line="360" w:lineRule="auto"/>
        <w:jc w:val="both"/>
        <w:rPr>
          <w:rFonts w:ascii="Palatino Linotype" w:eastAsiaTheme="minorEastAsia" w:hAnsi="Palatino Linotype" w:cs="Arial" w:hint="eastAsia"/>
          <w:color w:val="000000" w:themeColor="text1"/>
          <w:sz w:val="22"/>
          <w:szCs w:val="22"/>
          <w:lang w:val="es-ES"/>
        </w:rPr>
      </w:pP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“CRITERIO 0002-11</w:t>
      </w:r>
    </w:p>
    <w:p w:rsidR="008A2DFA" w:rsidRDefault="008A2DFA">
      <w:pPr>
        <w:ind w:left="851" w:right="992"/>
        <w:jc w:val="both"/>
        <w:rPr>
          <w:rFonts w:ascii="Palatino Linotype" w:eastAsiaTheme="minorEastAsia" w:hAnsi="Palatino Linotype" w:cs="Arial" w:hint="eastAsia"/>
          <w:b/>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 xml:space="preserve">INFORMACIÓN PÚBLICA, CONCEPTO DE, EN MATERIA DE TRANSPARENCIA. INTERPRETACIÓN TEMÁTICA DE LOS ARTÍCULOS 2 2, FRACCIÓN </w:t>
      </w:r>
      <w:r>
        <w:rPr>
          <w:rFonts w:ascii="Palatino Linotype" w:eastAsiaTheme="minorEastAsia" w:hAnsi="Palatino Linotype" w:cs="Arial"/>
          <w:b/>
          <w:bCs/>
          <w:i/>
          <w:color w:val="000000" w:themeColor="text1"/>
          <w:sz w:val="22"/>
          <w:szCs w:val="22"/>
          <w:lang w:val="es-ES"/>
        </w:rPr>
        <w:t xml:space="preserve">V, XV, Y XVI, </w:t>
      </w:r>
      <w:r>
        <w:rPr>
          <w:rFonts w:ascii="Palatino Linotype" w:eastAsiaTheme="minorEastAsia" w:hAnsi="Palatino Linotype" w:cs="Arial"/>
          <w:b/>
          <w:i/>
          <w:color w:val="000000" w:themeColor="text1"/>
          <w:sz w:val="22"/>
          <w:szCs w:val="22"/>
          <w:lang w:val="es-ES"/>
        </w:rPr>
        <w:t>32, 4,11 Y 41.</w:t>
      </w:r>
      <w:r>
        <w:rPr>
          <w:rFonts w:ascii="Palatino Linotype" w:eastAsiaTheme="minorEastAsia" w:hAnsi="Palatino Linotype" w:cs="Arial"/>
          <w:i/>
          <w:color w:val="000000" w:themeColor="text1"/>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w:t>
      </w:r>
      <w:r>
        <w:rPr>
          <w:rFonts w:ascii="Palatino Linotype" w:eastAsiaTheme="minorEastAsia" w:hAnsi="Palatino Linotype" w:cs="Arial"/>
          <w:i/>
          <w:color w:val="000000" w:themeColor="text1"/>
          <w:sz w:val="22"/>
          <w:szCs w:val="22"/>
          <w:lang w:val="es-ES"/>
        </w:rPr>
        <w:t>s órganos u organismos públicos, en virtud del ejercicio de sus funciones de derecho público, sin importar su fuente, soporte o fecha de elaboración.</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 xml:space="preserve">En consecuencia el acceso a la información se refiere a que se cumplan cualquiera de los siguientes tres </w:t>
      </w:r>
      <w:r>
        <w:rPr>
          <w:rFonts w:ascii="Palatino Linotype" w:eastAsiaTheme="minorEastAsia" w:hAnsi="Palatino Linotype" w:cs="Arial"/>
          <w:i/>
          <w:color w:val="000000" w:themeColor="text1"/>
          <w:sz w:val="22"/>
          <w:szCs w:val="22"/>
          <w:lang w:val="es-ES"/>
        </w:rPr>
        <w:t>supuestos:</w:t>
      </w:r>
    </w:p>
    <w:p w:rsidR="008A2DFA" w:rsidRDefault="00D60B2C">
      <w:pPr>
        <w:ind w:left="851" w:right="992"/>
        <w:jc w:val="both"/>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1) Que se trate de información registrada en cualquier soporte documental, que en ejercicio de las atribuciones conferidas, sea generada por los Sujetos Obligados;</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lastRenderedPageBreak/>
        <w:t>2) Que se trate de información registrada en cualquier soporte documental, que en</w:t>
      </w:r>
      <w:r>
        <w:rPr>
          <w:rFonts w:ascii="Palatino Linotype" w:eastAsiaTheme="minorEastAsia" w:hAnsi="Palatino Linotype" w:cs="Arial"/>
          <w:i/>
          <w:color w:val="000000" w:themeColor="text1"/>
          <w:sz w:val="22"/>
          <w:szCs w:val="22"/>
          <w:lang w:val="es-ES"/>
        </w:rPr>
        <w:t xml:space="preserve"> ejercicio de las atribuciones conferidas, sea administrada por los Sujetos Obligados, y</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3) Que se trate de información registrada en cualquier soporte documental, que en ejercicio de las atribuciones conferidas, se encuentre en posesión de los Sujetos Obl</w:t>
      </w:r>
      <w:r>
        <w:rPr>
          <w:rFonts w:ascii="Palatino Linotype" w:eastAsiaTheme="minorEastAsia" w:hAnsi="Palatino Linotype" w:cs="Arial"/>
          <w:i/>
          <w:color w:val="000000" w:themeColor="text1"/>
          <w:sz w:val="22"/>
          <w:szCs w:val="22"/>
          <w:lang w:val="es-ES"/>
        </w:rPr>
        <w:t xml:space="preserve">igados.” </w:t>
      </w:r>
    </w:p>
    <w:p w:rsidR="008A2DFA" w:rsidRDefault="00D60B2C">
      <w:pPr>
        <w:ind w:left="851" w:right="992"/>
        <w:jc w:val="both"/>
        <w:rPr>
          <w:rFonts w:ascii="Palatino Linotype" w:eastAsiaTheme="minorEastAsia" w:hAnsi="Palatino Linotype" w:cstheme="minorBidi" w:hint="eastAsia"/>
          <w:i/>
          <w:color w:val="000000" w:themeColor="text1"/>
          <w:sz w:val="22"/>
          <w:szCs w:val="22"/>
          <w:lang w:val="es-ES"/>
        </w:rPr>
      </w:pPr>
      <w:r>
        <w:rPr>
          <w:rFonts w:ascii="Palatino Linotype" w:eastAsiaTheme="minorEastAsia" w:hAnsi="Palatino Linotype" w:cstheme="minorBidi"/>
          <w:i/>
          <w:color w:val="000000" w:themeColor="text1"/>
          <w:sz w:val="22"/>
          <w:szCs w:val="22"/>
          <w:lang w:val="es-ES"/>
        </w:rPr>
        <w:t>(Énfasis Añadido)</w:t>
      </w:r>
    </w:p>
    <w:p w:rsidR="008A2DFA" w:rsidRDefault="008A2DFA">
      <w:pPr>
        <w:ind w:left="709" w:right="760"/>
        <w:jc w:val="both"/>
        <w:rPr>
          <w:rFonts w:ascii="Palatino Linotype" w:eastAsiaTheme="minorEastAsia" w:hAnsi="Palatino Linotype" w:hint="eastAsia"/>
          <w:i/>
          <w:color w:val="000000" w:themeColor="text1"/>
          <w:sz w:val="22"/>
          <w:szCs w:val="22"/>
          <w:lang w:val="es-ES"/>
        </w:rPr>
      </w:pPr>
    </w:p>
    <w:p w:rsidR="008A2DFA" w:rsidRDefault="00D60B2C">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Por otro lado, respecto al requerimiento identificado con el numeral 3, relacionado con el Gafete de los servidores públicos; al respecto, es de señalar que si bien el Servidor Público Habilitado de la Subdirección de Egresos r</w:t>
      </w:r>
      <w:r>
        <w:rPr>
          <w:rFonts w:ascii="Palatino Linotype" w:hAnsi="Palatino Linotype" w:cs="Arial"/>
          <w:color w:val="000000" w:themeColor="text1"/>
          <w:lang w:val="es-ES"/>
        </w:rPr>
        <w:t xml:space="preserve">efiere enviar al Jefe de la Unidad de Transparencia mediante mail; también lo es que de las documentales que integran el expediente electrónico, no se advierte dicha información; por lo que, este Órgano Garante determina ordenar su entrega. </w:t>
      </w:r>
    </w:p>
    <w:p w:rsidR="008A2DFA" w:rsidRDefault="008A2DFA">
      <w:pPr>
        <w:spacing w:line="360" w:lineRule="auto"/>
        <w:jc w:val="both"/>
        <w:rPr>
          <w:rFonts w:ascii="Palatino Linotype" w:hAnsi="Palatino Linotype" w:cs="Arial"/>
          <w:color w:val="000000" w:themeColor="text1"/>
          <w:lang w:val="es-ES"/>
        </w:rPr>
      </w:pPr>
    </w:p>
    <w:p w:rsidR="008A2DFA" w:rsidRDefault="00D60B2C">
      <w:pPr>
        <w:spacing w:line="360" w:lineRule="auto"/>
        <w:jc w:val="both"/>
        <w:rPr>
          <w:rFonts w:ascii="Palatino Linotype" w:eastAsia="Arial Unicode MS" w:hAnsi="Palatino Linotype" w:cs="Arial"/>
          <w:color w:val="000000" w:themeColor="text1"/>
          <w:lang w:val="es-ES_tradnl"/>
        </w:rPr>
      </w:pPr>
      <w:r>
        <w:rPr>
          <w:rFonts w:ascii="Palatino Linotype" w:hAnsi="Palatino Linotype" w:cs="Arial"/>
          <w:color w:val="000000" w:themeColor="text1"/>
          <w:lang w:val="es-ES"/>
        </w:rPr>
        <w:t xml:space="preserve">Por otra parte, respecto al requerimiento relacionado con el numeral 3, relacionado con los nombramientos de los servidores públicos; al respecto </w:t>
      </w:r>
      <w:r>
        <w:rPr>
          <w:rFonts w:ascii="Palatino Linotype" w:hAnsi="Palatino Linotype" w:cs="Arial"/>
          <w:b/>
          <w:color w:val="000000" w:themeColor="text1"/>
          <w:lang w:val="es-ES"/>
        </w:rPr>
        <w:t xml:space="preserve">EL SUJETO OBLIGADO </w:t>
      </w:r>
      <w:r>
        <w:rPr>
          <w:rFonts w:ascii="Palatino Linotype" w:hAnsi="Palatino Linotype" w:cs="Arial"/>
          <w:color w:val="000000" w:themeColor="text1"/>
          <w:lang w:val="es-ES"/>
        </w:rPr>
        <w:t xml:space="preserve">omitió pronunciarse al respecto. Atento a ello es conveniente traer a contexto </w:t>
      </w:r>
      <w:r>
        <w:rPr>
          <w:rFonts w:ascii="Palatino Linotype" w:eastAsia="Arial Unicode MS" w:hAnsi="Palatino Linotype" w:cs="Arial"/>
          <w:color w:val="000000" w:themeColor="text1"/>
          <w:lang w:val="es-ES_tradnl"/>
        </w:rPr>
        <w:t>los artículo</w:t>
      </w:r>
      <w:r>
        <w:rPr>
          <w:rFonts w:ascii="Palatino Linotype" w:eastAsia="Arial Unicode MS" w:hAnsi="Palatino Linotype" w:cs="Arial"/>
          <w:color w:val="000000" w:themeColor="text1"/>
          <w:lang w:val="es-ES_tradnl"/>
        </w:rPr>
        <w:t xml:space="preserve">s 1, párrafo primero, 5, 45, 48 y 49 de la Ley del Trabajo de los Servidores Públicos del Estado y Municipios, disponen lo siguiente: </w:t>
      </w:r>
    </w:p>
    <w:p w:rsidR="008A2DFA" w:rsidRDefault="008A2DFA">
      <w:pPr>
        <w:jc w:val="both"/>
        <w:rPr>
          <w:rFonts w:ascii="Palatino Linotype" w:eastAsiaTheme="minorEastAsia" w:hAnsi="Palatino Linotype" w:cs="Arial" w:hint="eastAsia"/>
          <w:bCs/>
          <w:color w:val="000000" w:themeColor="text1"/>
          <w:sz w:val="20"/>
          <w:szCs w:val="22"/>
          <w:lang w:val="es-ES_tradnl"/>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w:t>
      </w:r>
      <w:r>
        <w:rPr>
          <w:rFonts w:ascii="Palatino Linotype" w:eastAsiaTheme="minorEastAsia" w:hAnsi="Palatino Linotype" w:cs="Arial"/>
          <w:b/>
          <w:i/>
          <w:color w:val="000000" w:themeColor="text1"/>
          <w:sz w:val="22"/>
          <w:szCs w:val="22"/>
          <w:lang w:val="es-ES_tradnl"/>
        </w:rPr>
        <w:t>ARTÍCULO 1.-</w:t>
      </w:r>
      <w:r>
        <w:rPr>
          <w:rFonts w:ascii="Palatino Linotype" w:eastAsiaTheme="minorEastAsia" w:hAnsi="Palatino Linotype" w:cs="Arial"/>
          <w:i/>
          <w:color w:val="000000" w:themeColor="text1"/>
          <w:sz w:val="22"/>
          <w:szCs w:val="22"/>
          <w:lang w:val="es-ES_tradnl"/>
        </w:rPr>
        <w:t xml:space="preserve"> Ésta ley es de orden público e interés social y tiene por objeto regular las relaciones de trabajo, compre</w:t>
      </w:r>
      <w:r>
        <w:rPr>
          <w:rFonts w:ascii="Palatino Linotype" w:eastAsiaTheme="minorEastAsia" w:hAnsi="Palatino Linotype" w:cs="Arial"/>
          <w:i/>
          <w:color w:val="000000" w:themeColor="text1"/>
          <w:sz w:val="22"/>
          <w:szCs w:val="22"/>
          <w:lang w:val="es-ES_tradnl"/>
        </w:rPr>
        <w:t xml:space="preserve">ndidas entre los poderes públicos del Estado y los Municipios y sus respectivos servidores públicos.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b/>
          <w:i/>
          <w:color w:val="000000" w:themeColor="text1"/>
          <w:sz w:val="22"/>
          <w:szCs w:val="22"/>
          <w:lang w:val="es-ES_tradnl"/>
        </w:rPr>
        <w:t>ARTÍCULO 5.-</w:t>
      </w:r>
      <w:r>
        <w:rPr>
          <w:rFonts w:ascii="Palatino Linotype" w:eastAsiaTheme="minorEastAsia" w:hAnsi="Palatino Linotype" w:cs="Arial"/>
          <w:i/>
          <w:color w:val="000000" w:themeColor="text1"/>
          <w:sz w:val="22"/>
          <w:szCs w:val="22"/>
          <w:lang w:val="es-ES_tradnl"/>
        </w:rPr>
        <w:t xml:space="preserve"> La relación de trabajo entre las instituciones públicas y sus servidores públicos se entiende establecida mediante nombramiento, formato únic</w:t>
      </w:r>
      <w:r>
        <w:rPr>
          <w:rFonts w:ascii="Palatino Linotype" w:eastAsiaTheme="minorEastAsia" w:hAnsi="Palatino Linotype" w:cs="Arial"/>
          <w:i/>
          <w:color w:val="000000" w:themeColor="text1"/>
          <w:sz w:val="22"/>
          <w:szCs w:val="22"/>
          <w:lang w:val="es-ES_tradnl"/>
        </w:rPr>
        <w:t xml:space="preserve">o de movimiento de personal, contrato o por cualquier otro acto que tenga como consecuencia la prestación personal subordinada del servicio y la percepción de un sueldo.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b/>
          <w:i/>
          <w:color w:val="000000" w:themeColor="text1"/>
          <w:sz w:val="22"/>
          <w:szCs w:val="22"/>
          <w:lang w:val="es-ES_tradnl"/>
        </w:rPr>
        <w:lastRenderedPageBreak/>
        <w:t>ARTÍCULO 45.-</w:t>
      </w:r>
      <w:r>
        <w:rPr>
          <w:rFonts w:ascii="Palatino Linotype" w:eastAsiaTheme="minorEastAsia" w:hAnsi="Palatino Linotype" w:cs="Arial"/>
          <w:i/>
          <w:color w:val="000000" w:themeColor="text1"/>
          <w:sz w:val="22"/>
          <w:szCs w:val="22"/>
          <w:lang w:val="es-ES_tradnl"/>
        </w:rPr>
        <w:t xml:space="preserve"> Los servidores públicos prestarán sus servicios mediante nombramiento, </w:t>
      </w:r>
      <w:r>
        <w:rPr>
          <w:rFonts w:ascii="Palatino Linotype" w:eastAsiaTheme="minorEastAsia" w:hAnsi="Palatino Linotype" w:cs="Arial"/>
          <w:i/>
          <w:color w:val="000000" w:themeColor="text1"/>
          <w:sz w:val="22"/>
          <w:szCs w:val="22"/>
          <w:lang w:val="es-ES_tradnl"/>
        </w:rPr>
        <w:t xml:space="preserve">contrato o formato único de Movimientos de Personal expedidos por quien estuviere facultado legalmente para extenderlo.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b/>
          <w:i/>
          <w:color w:val="000000" w:themeColor="text1"/>
          <w:sz w:val="22"/>
          <w:szCs w:val="22"/>
          <w:lang w:val="es-ES_tradnl"/>
        </w:rPr>
        <w:t>ARTÍCULO 48</w:t>
      </w:r>
      <w:r>
        <w:rPr>
          <w:rFonts w:ascii="Palatino Linotype" w:eastAsiaTheme="minorEastAsia" w:hAnsi="Palatino Linotype" w:cs="Arial"/>
          <w:i/>
          <w:color w:val="000000" w:themeColor="text1"/>
          <w:sz w:val="22"/>
          <w:szCs w:val="22"/>
          <w:lang w:val="es-ES_tradnl"/>
        </w:rPr>
        <w:t xml:space="preserve">. Para iniciar la prestación de los servicios se requiere: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I. Tener conferido el nombramiento, contrato respectivo o format</w:t>
      </w:r>
      <w:r>
        <w:rPr>
          <w:rFonts w:ascii="Palatino Linotype" w:eastAsiaTheme="minorEastAsia" w:hAnsi="Palatino Linotype" w:cs="Arial"/>
          <w:i/>
          <w:color w:val="000000" w:themeColor="text1"/>
          <w:sz w:val="22"/>
          <w:szCs w:val="22"/>
          <w:lang w:val="es-ES_tradnl"/>
        </w:rPr>
        <w:t xml:space="preserve">o único de Movimientos de Personal;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II. Rendir la protesta de ley en caso de nombramiento; y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III. Tomar posesión del cargo. </w:t>
      </w:r>
    </w:p>
    <w:p w:rsidR="008A2DFA" w:rsidRDefault="008A2DFA">
      <w:pPr>
        <w:ind w:left="851" w:right="992"/>
        <w:jc w:val="both"/>
        <w:rPr>
          <w:rFonts w:ascii="Palatino Linotype" w:eastAsiaTheme="minorEastAsia" w:hAnsi="Palatino Linotype" w:cs="Arial" w:hint="eastAsia"/>
          <w:i/>
          <w:color w:val="000000" w:themeColor="text1"/>
          <w:sz w:val="22"/>
          <w:szCs w:val="22"/>
          <w:lang w:val="es-ES_tradnl"/>
        </w:rPr>
      </w:pP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_tradnl"/>
        </w:rPr>
      </w:pPr>
      <w:r>
        <w:rPr>
          <w:rFonts w:ascii="Palatino Linotype" w:eastAsiaTheme="minorEastAsia" w:hAnsi="Palatino Linotype" w:cs="Arial"/>
          <w:b/>
          <w:i/>
          <w:color w:val="000000" w:themeColor="text1"/>
          <w:sz w:val="22"/>
          <w:szCs w:val="22"/>
          <w:lang w:val="es-ES_tradnl"/>
        </w:rPr>
        <w:t>CAPITULO II</w:t>
      </w: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_tradnl"/>
        </w:rPr>
      </w:pPr>
      <w:r>
        <w:rPr>
          <w:rFonts w:ascii="Palatino Linotype" w:eastAsiaTheme="minorEastAsia" w:hAnsi="Palatino Linotype" w:cs="Arial"/>
          <w:b/>
          <w:i/>
          <w:color w:val="000000" w:themeColor="text1"/>
          <w:sz w:val="22"/>
          <w:szCs w:val="22"/>
          <w:lang w:val="es-ES_tradnl"/>
        </w:rPr>
        <w:t>De los Nombramientos</w:t>
      </w:r>
    </w:p>
    <w:p w:rsidR="008A2DFA" w:rsidRDefault="008A2DFA">
      <w:pPr>
        <w:ind w:left="851" w:right="992"/>
        <w:jc w:val="center"/>
        <w:rPr>
          <w:rFonts w:ascii="Palatino Linotype" w:eastAsiaTheme="minorEastAsia" w:hAnsi="Palatino Linotype" w:cs="Arial" w:hint="eastAsia"/>
          <w:b/>
          <w:i/>
          <w:color w:val="000000" w:themeColor="text1"/>
          <w:sz w:val="22"/>
          <w:szCs w:val="22"/>
          <w:lang w:val="es-ES_tradnl"/>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b/>
          <w:i/>
          <w:color w:val="000000" w:themeColor="text1"/>
          <w:sz w:val="22"/>
          <w:szCs w:val="22"/>
          <w:lang w:val="es-ES_tradnl"/>
        </w:rPr>
        <w:t>ARTÍCULO 49.-</w:t>
      </w:r>
      <w:r>
        <w:rPr>
          <w:rFonts w:ascii="Palatino Linotype" w:eastAsiaTheme="minorEastAsia" w:hAnsi="Palatino Linotype" w:cs="Arial"/>
          <w:i/>
          <w:color w:val="000000" w:themeColor="text1"/>
          <w:sz w:val="22"/>
          <w:szCs w:val="22"/>
          <w:lang w:val="es-ES_tradnl"/>
        </w:rPr>
        <w:t xml:space="preserve"> Los nombramientos, contratos o formato único de Movimientos de Personal de los servidores públicos deberán contener: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I. Nombre completo del servidor público;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II. Cargo para el que es designado, fecha de inicio de sus servicios y lugar de adscripción;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III. Carácter del nombramiento, ya sea de servidores públicos generales o de confianza, así como la temporalidad del mismo;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IV. Remuneración correspondiente al puesto;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V. Jornada de trabajo;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 xml:space="preserve">VI. Derogada;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VII. Firma del servidor público autorizado para</w:t>
      </w:r>
      <w:r>
        <w:rPr>
          <w:rFonts w:ascii="Palatino Linotype" w:eastAsiaTheme="minorEastAsia" w:hAnsi="Palatino Linotype" w:cs="Arial"/>
          <w:i/>
          <w:color w:val="000000" w:themeColor="text1"/>
          <w:sz w:val="22"/>
          <w:szCs w:val="22"/>
          <w:lang w:val="es-ES_tradnl"/>
        </w:rPr>
        <w:t xml:space="preserve"> emitir el nombramiento, contrato o formato único de Movimientos de Personal, así como el fundamento legal de esa atribución.”</w:t>
      </w:r>
    </w:p>
    <w:p w:rsidR="008A2DFA" w:rsidRDefault="00D60B2C">
      <w:pPr>
        <w:ind w:left="851" w:right="992"/>
        <w:jc w:val="both"/>
        <w:rPr>
          <w:rFonts w:ascii="Palatino Linotype" w:eastAsiaTheme="minorEastAsia" w:hAnsi="Palatino Linotype" w:cs="Arial" w:hint="eastAsia"/>
          <w:i/>
          <w:color w:val="000000" w:themeColor="text1"/>
          <w:sz w:val="22"/>
          <w:szCs w:val="22"/>
          <w:lang w:val="es-ES_tradnl"/>
        </w:rPr>
      </w:pPr>
      <w:r>
        <w:rPr>
          <w:rFonts w:ascii="Palatino Linotype" w:eastAsiaTheme="minorEastAsia" w:hAnsi="Palatino Linotype" w:cs="Arial"/>
          <w:i/>
          <w:color w:val="000000" w:themeColor="text1"/>
          <w:sz w:val="22"/>
          <w:szCs w:val="22"/>
          <w:lang w:val="es-ES_tradnl"/>
        </w:rPr>
        <w:t>(Énfasis añadido)</w:t>
      </w:r>
    </w:p>
    <w:p w:rsidR="008A2DFA" w:rsidRDefault="008A2DFA">
      <w:pPr>
        <w:jc w:val="both"/>
        <w:rPr>
          <w:rFonts w:ascii="Palatino Linotype" w:eastAsia="Arial Unicode MS" w:hAnsi="Palatino Linotype" w:cs="Arial"/>
          <w:color w:val="000000" w:themeColor="text1"/>
          <w:sz w:val="20"/>
          <w:szCs w:val="20"/>
          <w:lang w:val="es-ES_tradnl"/>
        </w:rPr>
      </w:pPr>
    </w:p>
    <w:p w:rsidR="008A2DFA" w:rsidRDefault="00D60B2C">
      <w:pPr>
        <w:spacing w:line="360" w:lineRule="auto"/>
        <w:jc w:val="both"/>
        <w:rPr>
          <w:rFonts w:ascii="Palatino Linotype" w:eastAsiaTheme="minorEastAsia" w:hAnsi="Palatino Linotype" w:cs="Arial" w:hint="eastAsia"/>
          <w:bCs/>
          <w:color w:val="000000" w:themeColor="text1"/>
          <w:lang w:val="es-ES_tradnl"/>
        </w:rPr>
      </w:pPr>
      <w:r>
        <w:rPr>
          <w:rFonts w:ascii="Palatino Linotype" w:eastAsia="Arial Unicode MS" w:hAnsi="Palatino Linotype" w:cs="Arial"/>
          <w:color w:val="000000" w:themeColor="text1"/>
          <w:lang w:val="es-ES_tradnl"/>
        </w:rPr>
        <w:t>Conforme a lo anterior,</w:t>
      </w:r>
      <w:r>
        <w:rPr>
          <w:rFonts w:ascii="Palatino Linotype" w:eastAsiaTheme="minorEastAsia" w:hAnsi="Palatino Linotype" w:cs="Arial"/>
          <w:bCs/>
          <w:color w:val="000000" w:themeColor="text1"/>
          <w:lang w:val="es-ES_tradnl"/>
        </w:rPr>
        <w:t xml:space="preserve"> los servidores públicos deben prestar sus servicios mediante nombramiento expedido por</w:t>
      </w:r>
      <w:r>
        <w:rPr>
          <w:rFonts w:ascii="Palatino Linotype" w:eastAsiaTheme="minorEastAsia" w:hAnsi="Palatino Linotype" w:cs="Arial"/>
          <w:bCs/>
          <w:color w:val="000000" w:themeColor="text1"/>
          <w:lang w:val="es-ES_tradnl"/>
        </w:rPr>
        <w:t xml:space="preserve"> quien estuviere facultado legalmente para extenderlo; asimismo, para iniciar la prestación de los servicios se requiere tener conferido el nombramiento, contrato o formato único de Movimientos de Personal de los servidores públicos, los cuales deberán con</w:t>
      </w:r>
      <w:r>
        <w:rPr>
          <w:rFonts w:ascii="Palatino Linotype" w:eastAsiaTheme="minorEastAsia" w:hAnsi="Palatino Linotype" w:cs="Arial"/>
          <w:bCs/>
          <w:color w:val="000000" w:themeColor="text1"/>
          <w:lang w:val="es-ES_tradnl"/>
        </w:rPr>
        <w:t xml:space="preserve">tener el nombre completo del servidor público, el cargo para el que es designado, fecha de inicio de sus servicios y lugar de adscripción, el carácter del nombramiento, ya sea de servidores públicos generales o de confianza, así </w:t>
      </w:r>
      <w:r>
        <w:rPr>
          <w:rFonts w:ascii="Palatino Linotype" w:eastAsiaTheme="minorEastAsia" w:hAnsi="Palatino Linotype" w:cs="Arial"/>
          <w:bCs/>
          <w:color w:val="000000" w:themeColor="text1"/>
          <w:lang w:val="es-ES_tradnl"/>
        </w:rPr>
        <w:lastRenderedPageBreak/>
        <w:t>como la temporalidad del mi</w:t>
      </w:r>
      <w:r>
        <w:rPr>
          <w:rFonts w:ascii="Palatino Linotype" w:eastAsiaTheme="minorEastAsia" w:hAnsi="Palatino Linotype" w:cs="Arial"/>
          <w:bCs/>
          <w:color w:val="000000" w:themeColor="text1"/>
          <w:lang w:val="es-ES_tradnl"/>
        </w:rPr>
        <w:t xml:space="preserve">smo, la remuneración correspondiente al puesto, la partida presupuestal a la que deberá cargarse la remuneración y la firma del servidor público autorizado para emitir el nombramiento, así como el fundamento legal de esa atribución. </w:t>
      </w:r>
    </w:p>
    <w:p w:rsidR="008A2DFA" w:rsidRDefault="008A2DFA">
      <w:pPr>
        <w:spacing w:line="360" w:lineRule="auto"/>
        <w:jc w:val="both"/>
        <w:rPr>
          <w:rFonts w:ascii="Palatino Linotype" w:eastAsia="Cambria" w:hAnsi="Palatino Linotype"/>
          <w:color w:val="000000" w:themeColor="text1"/>
          <w:lang w:eastAsia="en-US"/>
        </w:rPr>
      </w:pPr>
    </w:p>
    <w:p w:rsidR="008A2DFA" w:rsidRDefault="00D60B2C">
      <w:pPr>
        <w:spacing w:line="360" w:lineRule="auto"/>
        <w:jc w:val="both"/>
        <w:rPr>
          <w:rFonts w:ascii="Palatino Linotype" w:eastAsia="Cambria" w:hAnsi="Palatino Linotype"/>
          <w:color w:val="000000" w:themeColor="text1"/>
          <w:lang w:eastAsia="en-US"/>
        </w:rPr>
      </w:pPr>
      <w:r>
        <w:rPr>
          <w:rFonts w:ascii="Palatino Linotype" w:eastAsia="Cambria" w:hAnsi="Palatino Linotype"/>
          <w:color w:val="000000" w:themeColor="text1"/>
          <w:lang w:eastAsia="en-US"/>
        </w:rPr>
        <w:t xml:space="preserve">Por lo anterior, este Órgano Garante determina ordenar al </w:t>
      </w:r>
      <w:r>
        <w:rPr>
          <w:rFonts w:ascii="Palatino Linotype" w:eastAsia="Cambria" w:hAnsi="Palatino Linotype"/>
          <w:b/>
          <w:color w:val="000000" w:themeColor="text1"/>
          <w:lang w:eastAsia="en-US"/>
        </w:rPr>
        <w:t xml:space="preserve">SUJETO OBLIGADO </w:t>
      </w:r>
      <w:r>
        <w:rPr>
          <w:rFonts w:ascii="Palatino Linotype" w:eastAsia="Cambria" w:hAnsi="Palatino Linotype"/>
          <w:color w:val="000000" w:themeColor="text1"/>
          <w:lang w:eastAsia="en-US"/>
        </w:rPr>
        <w:t xml:space="preserve">haga entrega de ser procedente en </w:t>
      </w:r>
      <w:r>
        <w:rPr>
          <w:rFonts w:ascii="Palatino Linotype" w:eastAsia="Cambria" w:hAnsi="Palatino Linotype"/>
          <w:b/>
          <w:color w:val="000000" w:themeColor="text1"/>
          <w:lang w:eastAsia="en-US"/>
        </w:rPr>
        <w:t xml:space="preserve">versión pública </w:t>
      </w:r>
      <w:r>
        <w:rPr>
          <w:rFonts w:ascii="Palatino Linotype" w:eastAsia="Cambria" w:hAnsi="Palatino Linotype"/>
          <w:color w:val="000000" w:themeColor="text1"/>
          <w:lang w:eastAsia="en-US"/>
        </w:rPr>
        <w:t>los nombramientos de los servidores públicos relacionados en la respuesta o en su caso el documento donde conste la designación de l</w:t>
      </w:r>
      <w:r>
        <w:rPr>
          <w:rFonts w:ascii="Palatino Linotype" w:eastAsia="Cambria" w:hAnsi="Palatino Linotype"/>
          <w:color w:val="000000" w:themeColor="text1"/>
          <w:lang w:eastAsia="en-US"/>
        </w:rPr>
        <w:t xml:space="preserve">os mismos, siendo de manera enunciativa más no limitativa el Formato Único de Movimiento de Personal o Contrato correspondiente. </w:t>
      </w:r>
    </w:p>
    <w:p w:rsidR="008A2DFA" w:rsidRDefault="008A2DFA">
      <w:pPr>
        <w:spacing w:line="360" w:lineRule="auto"/>
        <w:jc w:val="both"/>
        <w:rPr>
          <w:rFonts w:ascii="Palatino Linotype" w:hAnsi="Palatino Linotype" w:cs="Arial"/>
          <w:b/>
          <w:color w:val="000000" w:themeColor="text1"/>
          <w:lang w:val="es-ES"/>
        </w:rPr>
      </w:pPr>
    </w:p>
    <w:p w:rsidR="008A2DFA" w:rsidRDefault="00D60B2C">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Ahora bien, respecto del requerimiento relacionado con el numeral 4, relacionado con las funciones realizadas por los servido</w:t>
      </w:r>
      <w:r>
        <w:rPr>
          <w:rFonts w:ascii="Palatino Linotype" w:hAnsi="Palatino Linotype" w:cs="Arial"/>
          <w:color w:val="000000" w:themeColor="text1"/>
          <w:lang w:val="es-ES"/>
        </w:rPr>
        <w:t xml:space="preserve">res público en materia de elaboración, en materia de elaboración, revisión y autorización; al respecto, es de señalar que dicho requerimiento quedó atendido en respuesta, pues </w:t>
      </w:r>
      <w:r>
        <w:rPr>
          <w:rFonts w:ascii="Palatino Linotype" w:hAnsi="Palatino Linotype" w:cs="Arial"/>
          <w:b/>
          <w:color w:val="000000" w:themeColor="text1"/>
          <w:lang w:val="es-ES"/>
        </w:rPr>
        <w:t xml:space="preserve">EL SUJETO OBLIGADO </w:t>
      </w:r>
      <w:r>
        <w:rPr>
          <w:rFonts w:ascii="Palatino Linotype" w:hAnsi="Palatino Linotype" w:cs="Arial"/>
          <w:color w:val="000000" w:themeColor="text1"/>
          <w:lang w:val="es-ES"/>
        </w:rPr>
        <w:t>refirió que los servidores públicos no elaboran revisan o aut</w:t>
      </w:r>
      <w:r>
        <w:rPr>
          <w:rFonts w:ascii="Palatino Linotype" w:hAnsi="Palatino Linotype" w:cs="Arial"/>
          <w:color w:val="000000" w:themeColor="text1"/>
          <w:lang w:val="es-ES"/>
        </w:rPr>
        <w:t xml:space="preserve">orizan las liquidaciones para el pago de impuesto predial, toda vez que estas solo se imprimen de acuerdo a los parámetros y calculo que realiza el Sistema Tributario Municipal. </w:t>
      </w:r>
    </w:p>
    <w:p w:rsidR="008A2DFA" w:rsidRDefault="008A2DFA">
      <w:pPr>
        <w:spacing w:line="360" w:lineRule="auto"/>
        <w:jc w:val="both"/>
        <w:rPr>
          <w:rFonts w:ascii="Palatino Linotype" w:hAnsi="Palatino Linotype" w:cs="Arial"/>
          <w:color w:val="000000" w:themeColor="text1"/>
          <w:lang w:val="es-ES"/>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lang w:val="es-ES"/>
        </w:rPr>
        <w:t>Por cuanto hace, al requerimiento identificado con el numeral 5, relacionado</w:t>
      </w:r>
      <w:r>
        <w:rPr>
          <w:rFonts w:ascii="Palatino Linotype" w:hAnsi="Palatino Linotype" w:cs="Arial"/>
          <w:color w:val="000000" w:themeColor="text1"/>
          <w:lang w:val="es-ES"/>
        </w:rPr>
        <w:t xml:space="preserve"> con el procedimiento utilizado para el cálculo, cuantificación y cobro de impuesto predial, dentro del manual de organización, reglamento interno y manual de procedimientos administrativos; al respecto, </w:t>
      </w:r>
      <w:r>
        <w:rPr>
          <w:rFonts w:ascii="Palatino Linotype" w:hAnsi="Palatino Linotype" w:cs="Arial"/>
          <w:b/>
          <w:color w:val="000000" w:themeColor="text1"/>
          <w:lang w:val="es-ES"/>
        </w:rPr>
        <w:t xml:space="preserve">EL SUJETO OBLIGADO </w:t>
      </w:r>
      <w:r>
        <w:rPr>
          <w:rFonts w:ascii="Palatino Linotype" w:hAnsi="Palatino Linotype" w:cs="Arial"/>
          <w:color w:val="000000" w:themeColor="text1"/>
          <w:lang w:val="es-ES"/>
        </w:rPr>
        <w:t xml:space="preserve">indicó que </w:t>
      </w:r>
      <w:r>
        <w:rPr>
          <w:rFonts w:ascii="Palatino Linotype" w:hAnsi="Palatino Linotype" w:cs="Arial"/>
          <w:color w:val="000000" w:themeColor="text1"/>
        </w:rPr>
        <w:t>el cálculo del impuest</w:t>
      </w:r>
      <w:r>
        <w:rPr>
          <w:rFonts w:ascii="Palatino Linotype" w:hAnsi="Palatino Linotype" w:cs="Arial"/>
          <w:color w:val="000000" w:themeColor="text1"/>
        </w:rPr>
        <w:t xml:space="preserve">o predial se realiza conforme a lo establecido en los artículos del 107 al 112 del </w:t>
      </w:r>
      <w:r>
        <w:rPr>
          <w:rFonts w:ascii="Palatino Linotype" w:hAnsi="Palatino Linotype" w:cs="Arial"/>
          <w:color w:val="000000" w:themeColor="text1"/>
        </w:rPr>
        <w:lastRenderedPageBreak/>
        <w:t xml:space="preserve">Código Financiero del Estado de México y Municipios; mismos que para mayor referencia se insertan a continuación: </w:t>
      </w:r>
    </w:p>
    <w:p w:rsidR="008A2DFA" w:rsidRDefault="008A2DFA">
      <w:pPr>
        <w:jc w:val="both"/>
        <w:rPr>
          <w:rFonts w:ascii="Palatino Linotype" w:hAnsi="Palatino Linotype" w:cs="Arial"/>
          <w:color w:val="000000" w:themeColor="text1"/>
          <w:highlight w:val="yellow"/>
        </w:rPr>
      </w:pP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“TITULO CUARTO</w:t>
      </w: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DE LOS INGRESOS DE LOS MUNICIPIOS</w:t>
      </w: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 xml:space="preserve">CAPITULO PRIMERO </w:t>
      </w: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 xml:space="preserve">DE LOS IMPUESTOS </w:t>
      </w: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 xml:space="preserve">SECCION PRIMERA </w:t>
      </w:r>
    </w:p>
    <w:p w:rsidR="008A2DFA" w:rsidRDefault="00D60B2C">
      <w:pPr>
        <w:ind w:left="851" w:right="992"/>
        <w:jc w:val="center"/>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DEL IMPUESTO PREDIAL</w:t>
      </w:r>
    </w:p>
    <w:p w:rsidR="008A2DFA" w:rsidRDefault="008A2DFA">
      <w:pPr>
        <w:ind w:left="851" w:right="992"/>
        <w:jc w:val="both"/>
        <w:rPr>
          <w:rFonts w:ascii="Palatino Linotype" w:eastAsiaTheme="minorEastAsia" w:hAnsi="Palatino Linotype" w:cs="Arial" w:hint="eastAsia"/>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Artículo 107.-</w:t>
      </w:r>
      <w:r>
        <w:rPr>
          <w:rFonts w:ascii="Palatino Linotype" w:eastAsiaTheme="minorEastAsia" w:hAnsi="Palatino Linotype" w:cs="Arial"/>
          <w:i/>
          <w:color w:val="000000" w:themeColor="text1"/>
          <w:sz w:val="22"/>
          <w:szCs w:val="22"/>
          <w:lang w:val="es-ES"/>
        </w:rPr>
        <w:t xml:space="preserve"> Están obligadas al pago del Impuesto Predial las personas físicas y jurídicas colectivas que sean propietarias o poseedoras, según se trate, de inmuebles en el Estado</w:t>
      </w:r>
      <w:r>
        <w:rPr>
          <w:rFonts w:ascii="Palatino Linotype" w:eastAsiaTheme="minorEastAsia" w:hAnsi="Palatino Linotype" w:cs="Arial"/>
          <w:i/>
          <w:color w:val="000000" w:themeColor="text1"/>
          <w:sz w:val="22"/>
          <w:szCs w:val="22"/>
          <w:lang w:val="es-ES"/>
        </w:rPr>
        <w:t xml:space="preserve">.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 xml:space="preserve">Los propietarios y poseedores a que se refiere el párrafo anterior, deberán calcular anualmente el impuesto predial a su cargo y manifestarlo, en el mismo formato utilizado para determinar y declarar el valor catastral de sus inmuebles. </w:t>
      </w:r>
    </w:p>
    <w:p w:rsidR="008A2DFA" w:rsidRDefault="008A2DFA">
      <w:pPr>
        <w:ind w:left="851" w:right="992"/>
        <w:jc w:val="both"/>
        <w:rPr>
          <w:rFonts w:ascii="Palatino Linotype" w:eastAsiaTheme="minorEastAsia" w:hAnsi="Palatino Linotype" w:cs="Arial" w:hint="eastAsia"/>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b/>
          <w:i/>
          <w:color w:val="000000" w:themeColor="text1"/>
          <w:sz w:val="22"/>
          <w:szCs w:val="22"/>
          <w:lang w:val="es-ES"/>
        </w:rPr>
      </w:pPr>
      <w:r>
        <w:rPr>
          <w:rFonts w:ascii="Palatino Linotype" w:eastAsiaTheme="minorEastAsia" w:hAnsi="Palatino Linotype" w:cs="Arial"/>
          <w:b/>
          <w:i/>
          <w:color w:val="000000" w:themeColor="text1"/>
          <w:sz w:val="22"/>
          <w:szCs w:val="22"/>
          <w:lang w:val="es-ES"/>
        </w:rPr>
        <w:t xml:space="preserve">Artículo 108.- </w:t>
      </w:r>
      <w:r>
        <w:rPr>
          <w:rFonts w:ascii="Palatino Linotype" w:eastAsiaTheme="minorEastAsia" w:hAnsi="Palatino Linotype" w:cs="Arial"/>
          <w:i/>
          <w:color w:val="000000" w:themeColor="text1"/>
          <w:sz w:val="22"/>
          <w:szCs w:val="22"/>
          <w:lang w:val="es-ES"/>
        </w:rPr>
        <w:t xml:space="preserve">La </w:t>
      </w:r>
      <w:r>
        <w:rPr>
          <w:rFonts w:ascii="Palatino Linotype" w:eastAsiaTheme="minorEastAsia" w:hAnsi="Palatino Linotype" w:cs="Arial"/>
          <w:b/>
          <w:i/>
          <w:color w:val="000000" w:themeColor="text1"/>
          <w:sz w:val="22"/>
          <w:szCs w:val="22"/>
          <w:lang w:val="es-ES"/>
        </w:rPr>
        <w:t>base del impuesto predial será el valor catastral declarado por los propietarios o poseedores de inmuebles, mediante manifestación que presenten ante la Tesorería Municipal de la jurisdicción que le corresponda y que esté determinado conf</w:t>
      </w:r>
      <w:r>
        <w:rPr>
          <w:rFonts w:ascii="Palatino Linotype" w:eastAsiaTheme="minorEastAsia" w:hAnsi="Palatino Linotype" w:cs="Arial"/>
          <w:b/>
          <w:i/>
          <w:color w:val="000000" w:themeColor="text1"/>
          <w:sz w:val="22"/>
          <w:szCs w:val="22"/>
          <w:lang w:val="es-ES"/>
        </w:rPr>
        <w:t xml:space="preserve">orme a las tablas de valores unitarios de suelo y construcciones publicadas en el periódico oficial. </w:t>
      </w:r>
    </w:p>
    <w:p w:rsidR="008A2DFA" w:rsidRDefault="008A2DFA">
      <w:pPr>
        <w:ind w:left="851" w:right="992"/>
        <w:jc w:val="both"/>
        <w:rPr>
          <w:rFonts w:ascii="Palatino Linotype" w:eastAsiaTheme="minorEastAsia" w:hAnsi="Palatino Linotype" w:cs="Arial" w:hint="eastAsia"/>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Artículo 109.-</w:t>
      </w:r>
      <w:r>
        <w:rPr>
          <w:rFonts w:ascii="Palatino Linotype" w:eastAsiaTheme="minorEastAsia" w:hAnsi="Palatino Linotype" w:cs="Arial"/>
          <w:i/>
          <w:color w:val="000000" w:themeColor="text1"/>
          <w:sz w:val="22"/>
          <w:szCs w:val="22"/>
          <w:lang w:val="es-ES"/>
        </w:rPr>
        <w:t xml:space="preserve"> El </w:t>
      </w:r>
      <w:r>
        <w:rPr>
          <w:rFonts w:ascii="Palatino Linotype" w:eastAsiaTheme="minorEastAsia" w:hAnsi="Palatino Linotype" w:cs="Arial"/>
          <w:b/>
          <w:i/>
          <w:color w:val="000000" w:themeColor="text1"/>
          <w:sz w:val="22"/>
          <w:szCs w:val="22"/>
          <w:lang w:val="es-ES"/>
        </w:rPr>
        <w:t xml:space="preserve">impuesto a pagar será la cantidad que resulte de aplicar al valor catastral la siguiente: </w:t>
      </w:r>
    </w:p>
    <w:p w:rsidR="008A2DFA" w:rsidRDefault="008F4D0B">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hint="eastAsia"/>
          <w:i/>
          <w:noProof/>
          <w:color w:val="000000" w:themeColor="text1"/>
          <w:sz w:val="22"/>
          <w:szCs w:val="22"/>
          <w:lang w:eastAsia="es-MX"/>
        </w:rPr>
        <mc:AlternateContent>
          <mc:Choice Requires="wps">
            <w:drawing>
              <wp:anchor distT="0" distB="0" distL="114300" distR="114300" simplePos="0" relativeHeight="251661312" behindDoc="0" locked="0" layoutInCell="1" allowOverlap="1">
                <wp:simplePos x="0" y="0"/>
                <wp:positionH relativeFrom="column">
                  <wp:posOffset>529589</wp:posOffset>
                </wp:positionH>
                <wp:positionV relativeFrom="paragraph">
                  <wp:posOffset>73660</wp:posOffset>
                </wp:positionV>
                <wp:extent cx="5286375" cy="2305050"/>
                <wp:effectExtent l="38100" t="38100" r="66675" b="95250"/>
                <wp:wrapNone/>
                <wp:docPr id="34" name="Conector recto 34"/>
                <wp:cNvGraphicFramePr/>
                <a:graphic xmlns:a="http://schemas.openxmlformats.org/drawingml/2006/main">
                  <a:graphicData uri="http://schemas.microsoft.com/office/word/2010/wordprocessingShape">
                    <wps:wsp>
                      <wps:cNvCnPr/>
                      <wps:spPr>
                        <a:xfrm>
                          <a:off x="0" y="0"/>
                          <a:ext cx="5286375" cy="2305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B0AE46" id="Conector recto 3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7pt,5.8pt" to="457.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" strokecolor="#4f81bd [3204]" strokeweight="2pt">
                <v:shadow on="t" color="black" opacity="24903f" origin=",.5" offset="0,.55556mm"/>
              </v:line>
            </w:pict>
          </mc:Fallback>
        </mc:AlternateContent>
      </w:r>
    </w:p>
    <w:p w:rsidR="008A2DFA" w:rsidRDefault="00D60B2C">
      <w:pPr>
        <w:spacing w:line="360" w:lineRule="auto"/>
        <w:ind w:left="851" w:right="992"/>
        <w:jc w:val="both"/>
        <w:rPr>
          <w:rFonts w:ascii="Palatino Linotype" w:eastAsiaTheme="minorEastAsia" w:hAnsi="Palatino Linotype" w:cs="Arial" w:hint="eastAsia"/>
          <w:i/>
          <w:color w:val="000000" w:themeColor="text1"/>
          <w:sz w:val="22"/>
          <w:szCs w:val="22"/>
          <w:lang w:val="es-ES"/>
        </w:rPr>
      </w:pPr>
      <w:r>
        <w:rPr>
          <w:noProof/>
          <w:lang w:eastAsia="es-MX"/>
        </w:rPr>
        <w:lastRenderedPageBreak/>
        <w:drawing>
          <wp:inline distT="0" distB="0" distL="0" distR="0">
            <wp:extent cx="4648200" cy="2305685"/>
            <wp:effectExtent l="0" t="0" r="0" b="0"/>
            <wp:docPr id="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4"/>
                    <pic:cNvPicPr>
                      <a:picLocks noChangeAspect="1" noChangeArrowheads="1"/>
                    </pic:cNvPicPr>
                  </pic:nvPicPr>
                  <pic:blipFill>
                    <a:blip r:embed="rId26"/>
                    <a:stretch>
                      <a:fillRect/>
                    </a:stretch>
                  </pic:blipFill>
                  <pic:spPr bwMode="auto">
                    <a:xfrm>
                      <a:off x="0" y="0"/>
                      <a:ext cx="4648200" cy="2305685"/>
                    </a:xfrm>
                    <a:prstGeom prst="rect">
                      <a:avLst/>
                    </a:prstGeom>
                  </pic:spPr>
                </pic:pic>
              </a:graphicData>
            </a:graphic>
          </wp:inline>
        </w:drawing>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 xml:space="preserve">El </w:t>
      </w:r>
      <w:r>
        <w:rPr>
          <w:rFonts w:ascii="Palatino Linotype" w:eastAsiaTheme="minorEastAsia" w:hAnsi="Palatino Linotype" w:cs="Arial"/>
          <w:b/>
          <w:i/>
          <w:color w:val="000000" w:themeColor="text1"/>
          <w:sz w:val="22"/>
          <w:szCs w:val="22"/>
          <w:lang w:val="es-ES"/>
        </w:rPr>
        <w:t>monto anual del impuesto a pagar, será</w:t>
      </w:r>
      <w:r>
        <w:rPr>
          <w:rFonts w:ascii="Palatino Linotype" w:eastAsiaTheme="minorEastAsia" w:hAnsi="Palatino Linotype" w:cs="Arial"/>
          <w:b/>
          <w:i/>
          <w:color w:val="000000" w:themeColor="text1"/>
          <w:sz w:val="22"/>
          <w:szCs w:val="22"/>
          <w:lang w:val="es-ES"/>
        </w:rPr>
        <w:t xml:space="preserve"> el resultado de sumar a la cuota fija que corresponda de la tarifa, el resultado de multiplicar el factor aplicable previsto para cada rango, por la diferencia que exista entre el valor catastral del inmueble de que se trate y el valor catastral que se in</w:t>
      </w:r>
      <w:r>
        <w:rPr>
          <w:rFonts w:ascii="Palatino Linotype" w:eastAsiaTheme="minorEastAsia" w:hAnsi="Palatino Linotype" w:cs="Arial"/>
          <w:b/>
          <w:i/>
          <w:color w:val="000000" w:themeColor="text1"/>
          <w:sz w:val="22"/>
          <w:szCs w:val="22"/>
          <w:lang w:val="es-ES"/>
        </w:rPr>
        <w:t>dica en el límite inferior del rango relativo.</w:t>
      </w:r>
      <w:r>
        <w:rPr>
          <w:rFonts w:ascii="Palatino Linotype" w:eastAsiaTheme="minorEastAsia" w:hAnsi="Palatino Linotype" w:cs="Arial"/>
          <w:i/>
          <w:color w:val="000000" w:themeColor="text1"/>
          <w:sz w:val="22"/>
          <w:szCs w:val="22"/>
          <w:lang w:val="es-ES"/>
        </w:rPr>
        <w:t xml:space="preserve">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 xml:space="preserve">Cuando se trate de terrenos baldíos urbanos mayores de 200 metros cuadrados, se aplicará una tasa adicional del 15%, sobre el monto total a pagar. </w:t>
      </w:r>
    </w:p>
    <w:p w:rsidR="008A2DFA" w:rsidRDefault="008A2DFA">
      <w:pPr>
        <w:ind w:left="851" w:right="992"/>
        <w:jc w:val="both"/>
        <w:rPr>
          <w:rFonts w:ascii="Palatino Linotype" w:eastAsiaTheme="minorEastAsia" w:hAnsi="Palatino Linotype" w:cs="Arial" w:hint="eastAsia"/>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 xml:space="preserve">Artículo 110.- </w:t>
      </w:r>
      <w:r>
        <w:rPr>
          <w:rFonts w:ascii="Palatino Linotype" w:eastAsiaTheme="minorEastAsia" w:hAnsi="Palatino Linotype" w:cs="Arial"/>
          <w:i/>
          <w:color w:val="000000" w:themeColor="text1"/>
          <w:sz w:val="22"/>
          <w:szCs w:val="22"/>
          <w:lang w:val="es-ES"/>
        </w:rPr>
        <w:t>Cuando se modifiquen los valores catastrales</w:t>
      </w:r>
      <w:r>
        <w:rPr>
          <w:rFonts w:ascii="Palatino Linotype" w:eastAsiaTheme="minorEastAsia" w:hAnsi="Palatino Linotype" w:cs="Arial"/>
          <w:i/>
          <w:color w:val="000000" w:themeColor="text1"/>
          <w:sz w:val="22"/>
          <w:szCs w:val="22"/>
          <w:lang w:val="es-ES"/>
        </w:rPr>
        <w:t xml:space="preserve"> de los inmuebles, el impuesto que resulte de aplicar el nuevo valor, se pagará a partir del bimestre siguiente a la fecha de su modificación.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 xml:space="preserve">Derogado. </w:t>
      </w:r>
    </w:p>
    <w:p w:rsidR="008A2DFA" w:rsidRDefault="008A2DFA">
      <w:pPr>
        <w:ind w:left="851" w:right="992"/>
        <w:jc w:val="both"/>
        <w:rPr>
          <w:rFonts w:ascii="Palatino Linotype" w:eastAsiaTheme="minorEastAsia" w:hAnsi="Palatino Linotype" w:cs="Arial" w:hint="eastAsia"/>
          <w:b/>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Artículo 111.-</w:t>
      </w:r>
      <w:r>
        <w:rPr>
          <w:rFonts w:ascii="Palatino Linotype" w:eastAsiaTheme="minorEastAsia" w:hAnsi="Palatino Linotype" w:cs="Arial"/>
          <w:i/>
          <w:color w:val="000000" w:themeColor="text1"/>
          <w:sz w:val="22"/>
          <w:szCs w:val="22"/>
          <w:lang w:val="es-ES"/>
        </w:rPr>
        <w:t xml:space="preserve"> Tratándose de predios destinados a panteones particulares, no se considera como subdi</w:t>
      </w:r>
      <w:r>
        <w:rPr>
          <w:rFonts w:ascii="Palatino Linotype" w:eastAsiaTheme="minorEastAsia" w:hAnsi="Palatino Linotype" w:cs="Arial"/>
          <w:i/>
          <w:color w:val="000000" w:themeColor="text1"/>
          <w:sz w:val="22"/>
          <w:szCs w:val="22"/>
          <w:lang w:val="es-ES"/>
        </w:rPr>
        <w:t xml:space="preserve">visión la entrega de lotes a perpetuidad, en estos casos, el impuesto se causará sobre la superficie que no hubiere sido entregada para el fin mencionado.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El propietario del panteón bimestralmente presentará ante las autoridades catastral y fiscal compete</w:t>
      </w:r>
      <w:r>
        <w:rPr>
          <w:rFonts w:ascii="Palatino Linotype" w:eastAsiaTheme="minorEastAsia" w:hAnsi="Palatino Linotype" w:cs="Arial"/>
          <w:i/>
          <w:color w:val="000000" w:themeColor="text1"/>
          <w:sz w:val="22"/>
          <w:szCs w:val="22"/>
          <w:lang w:val="es-ES"/>
        </w:rPr>
        <w:t xml:space="preserve">ntes, una relación de los actos o contratos por los que se haya transmitido la posesión de lotes para destinarse a sepulturas en que se indique la fecha y superficie, así como una lista de lotes cuya posesión haya revertido a su favor. </w:t>
      </w:r>
    </w:p>
    <w:p w:rsidR="008A2DFA" w:rsidRDefault="008A2DFA">
      <w:pPr>
        <w:ind w:left="851" w:right="992"/>
        <w:jc w:val="both"/>
        <w:rPr>
          <w:rFonts w:ascii="Palatino Linotype" w:eastAsiaTheme="minorEastAsia" w:hAnsi="Palatino Linotype" w:cs="Arial" w:hint="eastAsia"/>
          <w:i/>
          <w:color w:val="000000" w:themeColor="text1"/>
          <w:sz w:val="22"/>
          <w:szCs w:val="22"/>
          <w:lang w:val="es-ES"/>
        </w:rPr>
      </w:pP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b/>
          <w:i/>
          <w:color w:val="000000" w:themeColor="text1"/>
          <w:sz w:val="22"/>
          <w:szCs w:val="22"/>
          <w:lang w:val="es-ES"/>
        </w:rPr>
        <w:t>Artículo 112.</w:t>
      </w:r>
      <w:r>
        <w:rPr>
          <w:rFonts w:ascii="Palatino Linotype" w:eastAsiaTheme="minorEastAsia" w:hAnsi="Palatino Linotype" w:cs="Arial"/>
          <w:i/>
          <w:color w:val="000000" w:themeColor="text1"/>
          <w:sz w:val="22"/>
          <w:szCs w:val="22"/>
          <w:lang w:val="es-ES"/>
        </w:rPr>
        <w:t xml:space="preserve"> El p</w:t>
      </w:r>
      <w:r>
        <w:rPr>
          <w:rFonts w:ascii="Palatino Linotype" w:eastAsiaTheme="minorEastAsia" w:hAnsi="Palatino Linotype" w:cs="Arial"/>
          <w:i/>
          <w:color w:val="000000" w:themeColor="text1"/>
          <w:sz w:val="22"/>
          <w:szCs w:val="22"/>
          <w:lang w:val="es-ES"/>
        </w:rPr>
        <w:t xml:space="preserve">ago del impuesto se efectuará en una sola exhibición durante los meses de enero, febrero y marzo, cuando su importe sea hasta de seis veces el valor diario de la Unidad de Medida y Actualización vigente.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lastRenderedPageBreak/>
        <w:t>Cuando el importe sea mayor de seis y hasta nueve v</w:t>
      </w:r>
      <w:r>
        <w:rPr>
          <w:rFonts w:ascii="Palatino Linotype" w:eastAsiaTheme="minorEastAsia" w:hAnsi="Palatino Linotype" w:cs="Arial"/>
          <w:i/>
          <w:color w:val="000000" w:themeColor="text1"/>
          <w:sz w:val="22"/>
          <w:szCs w:val="22"/>
          <w:lang w:val="es-ES"/>
        </w:rPr>
        <w:t xml:space="preserve">eces el valor diario de la Unidad de Medida y Actualización vigente el pago se hará en dos exhibiciones que se enterarán durante los meses de enero y julio.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Cuando exceda de nueve veces el valor diario de la Unidad de Medida y Actualización vigente el pag</w:t>
      </w:r>
      <w:r>
        <w:rPr>
          <w:rFonts w:ascii="Palatino Linotype" w:eastAsiaTheme="minorEastAsia" w:hAnsi="Palatino Linotype" w:cs="Arial"/>
          <w:i/>
          <w:color w:val="000000" w:themeColor="text1"/>
          <w:sz w:val="22"/>
          <w:szCs w:val="22"/>
          <w:lang w:val="es-ES"/>
        </w:rPr>
        <w:t xml:space="preserve">o se dividirá en seis partes iguales que se cubrirán bimestralmente en los meses de enero, marzo, mayo, julio, septiembre y noviembre.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 xml:space="preserve">En el caso de terminación de construcciones, reconstrucciones, ampliaciones, vencimiento de la licencia de construcción </w:t>
      </w:r>
      <w:r>
        <w:rPr>
          <w:rFonts w:ascii="Palatino Linotype" w:eastAsiaTheme="minorEastAsia" w:hAnsi="Palatino Linotype" w:cs="Arial"/>
          <w:i/>
          <w:color w:val="000000" w:themeColor="text1"/>
          <w:sz w:val="22"/>
          <w:szCs w:val="22"/>
          <w:lang w:val="es-ES"/>
        </w:rPr>
        <w:t xml:space="preserve">o su prórroga, o cuando las edificaciones correspondientes sean habitadas u ocupadas aun sin estar terminadas, deberá de manifestarse ante la autoridad, en cuyo caso el impuesto resultante se pagará a partir del bimestre siguiente a la fecha en que ocurra </w:t>
      </w:r>
      <w:r>
        <w:rPr>
          <w:rFonts w:ascii="Palatino Linotype" w:eastAsiaTheme="minorEastAsia" w:hAnsi="Palatino Linotype" w:cs="Arial"/>
          <w:i/>
          <w:color w:val="000000" w:themeColor="text1"/>
          <w:sz w:val="22"/>
          <w:szCs w:val="22"/>
          <w:lang w:val="es-ES"/>
        </w:rPr>
        <w:t xml:space="preserve">el hecho o circunstancia.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Cuando se constituya el régimen de copropiedad o condominio o exista subdivisión, se calculará la nueva base y se pagará el impuesto a partir del bimestre siguiente a la fecha de autorización preventiva de la escritura pública co</w:t>
      </w:r>
      <w:r>
        <w:rPr>
          <w:rFonts w:ascii="Palatino Linotype" w:eastAsiaTheme="minorEastAsia" w:hAnsi="Palatino Linotype" w:cs="Arial"/>
          <w:i/>
          <w:color w:val="000000" w:themeColor="text1"/>
          <w:sz w:val="22"/>
          <w:szCs w:val="22"/>
          <w:lang w:val="es-ES"/>
        </w:rPr>
        <w:t xml:space="preserve">rrespondiente, a la terminación de las construcciones, a la ocupación de las mismas sin estar terminadas o a la autorización de la subdivisión correspondiente.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 xml:space="preserve">Si la copropiedad o el régimen de condominio se constituye sin estar terminadas las construcciones, el impuesto se continuará pagando sobre la base de terreno. </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Respecto de los créditos fiscales derivados del Impuesto Predial que no hayan sido pagados en l</w:t>
      </w:r>
      <w:r>
        <w:rPr>
          <w:rFonts w:ascii="Palatino Linotype" w:eastAsiaTheme="minorEastAsia" w:hAnsi="Palatino Linotype" w:cs="Arial"/>
          <w:i/>
          <w:color w:val="000000" w:themeColor="text1"/>
          <w:sz w:val="22"/>
          <w:szCs w:val="22"/>
          <w:lang w:val="es-ES"/>
        </w:rPr>
        <w:t>os plazos previstos en este artículo, no procederá su actualización en los términos que dispone este Código.”</w:t>
      </w:r>
    </w:p>
    <w:p w:rsidR="008A2DFA" w:rsidRDefault="00D60B2C">
      <w:pPr>
        <w:ind w:left="851" w:right="992"/>
        <w:jc w:val="both"/>
        <w:rPr>
          <w:rFonts w:ascii="Palatino Linotype" w:eastAsiaTheme="minorEastAsia" w:hAnsi="Palatino Linotype" w:cs="Arial" w:hint="eastAsia"/>
          <w:i/>
          <w:color w:val="000000" w:themeColor="text1"/>
          <w:sz w:val="22"/>
          <w:szCs w:val="22"/>
          <w:lang w:val="es-ES"/>
        </w:rPr>
      </w:pPr>
      <w:r>
        <w:rPr>
          <w:rFonts w:ascii="Palatino Linotype" w:eastAsiaTheme="minorEastAsia" w:hAnsi="Palatino Linotype" w:cs="Arial"/>
          <w:i/>
          <w:color w:val="000000" w:themeColor="text1"/>
          <w:sz w:val="22"/>
          <w:szCs w:val="22"/>
          <w:lang w:val="es-ES"/>
        </w:rPr>
        <w:t>(Énfasis añadido)</w:t>
      </w:r>
    </w:p>
    <w:p w:rsidR="008A2DFA" w:rsidRDefault="008A2DFA">
      <w:pPr>
        <w:jc w:val="both"/>
        <w:rPr>
          <w:rFonts w:ascii="Palatino Linotype" w:hAnsi="Palatino Linotype" w:cs="Arial"/>
          <w:color w:val="000000" w:themeColor="text1"/>
          <w:highlight w:val="yellow"/>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Respecto al Manual de Organización de la Tesorería Municipal,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refirió que se encontraba publicado en la Gaceta Municipal 09 de fecha treinta de enero de dos mil veinte, mismo que se encuentra disponible en la liga electrónica </w:t>
      </w:r>
      <w:hyperlink r:id="rId27">
        <w:r>
          <w:rPr>
            <w:rStyle w:val="EnlacedeInternet"/>
            <w:rFonts w:ascii="Palatino Linotype" w:hAnsi="Palatino Linotype" w:cs="Arial"/>
            <w:color w:val="000000" w:themeColor="text1"/>
            <w:spacing w:val="-20"/>
          </w:rPr>
          <w:t>http://www.metepec.gob.mx/pagina/documentos/gacetas/gacetas_2020/GACETA09.pdf</w:t>
        </w:r>
      </w:hyperlink>
      <w:r>
        <w:rPr>
          <w:rStyle w:val="EnlacedeInternet"/>
          <w:rFonts w:ascii="Palatino Linotype" w:hAnsi="Palatino Linotype" w:cs="Arial"/>
          <w:color w:val="000000" w:themeColor="text1"/>
          <w:spacing w:val="-20"/>
        </w:rPr>
        <w:t xml:space="preserve">, </w:t>
      </w:r>
      <w:r>
        <w:rPr>
          <w:rFonts w:ascii="Palatino Linotype" w:hAnsi="Palatino Linotype" w:cs="Arial"/>
          <w:color w:val="000000" w:themeColor="text1"/>
        </w:rPr>
        <w:t xml:space="preserve">el cual al momento de ser consultado se advirtió que el mismo se encuentraba disponible, para mayor referencia se insertan las siguientes imágenes: </w:t>
      </w:r>
    </w:p>
    <w:p w:rsidR="008A2DFA" w:rsidRDefault="00D60B2C">
      <w:pPr>
        <w:spacing w:line="360" w:lineRule="auto"/>
        <w:jc w:val="center"/>
        <w:rPr>
          <w:rFonts w:ascii="Palatino Linotype" w:hAnsi="Palatino Linotype" w:cs="Arial"/>
          <w:color w:val="000000" w:themeColor="text1"/>
          <w:highlight w:val="yellow"/>
        </w:rPr>
      </w:pPr>
      <w:r>
        <w:rPr>
          <w:noProof/>
          <w:lang w:eastAsia="es-MX"/>
        </w:rPr>
        <w:lastRenderedPageBreak/>
        <w:drawing>
          <wp:inline distT="0" distB="0" distL="0" distR="0">
            <wp:extent cx="4538345" cy="5588000"/>
            <wp:effectExtent l="0" t="0" r="0" b="0"/>
            <wp:docPr id="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5"/>
                    <pic:cNvPicPr>
                      <a:picLocks noChangeAspect="1" noChangeArrowheads="1"/>
                    </pic:cNvPicPr>
                  </pic:nvPicPr>
                  <pic:blipFill>
                    <a:blip r:embed="rId28"/>
                    <a:stretch>
                      <a:fillRect/>
                    </a:stretch>
                  </pic:blipFill>
                  <pic:spPr bwMode="auto">
                    <a:xfrm>
                      <a:off x="0" y="0"/>
                      <a:ext cx="4538345" cy="5588000"/>
                    </a:xfrm>
                    <a:prstGeom prst="rect">
                      <a:avLst/>
                    </a:prstGeom>
                  </pic:spPr>
                </pic:pic>
              </a:graphicData>
            </a:graphic>
          </wp:inline>
        </w:drawing>
      </w:r>
      <w:r>
        <w:rPr>
          <w:noProof/>
          <w:lang w:eastAsia="es-MX"/>
        </w:rPr>
        <mc:AlternateContent>
          <mc:Choice Requires="wps">
            <w:drawing>
              <wp:anchor distT="0" distB="0" distL="0" distR="0" simplePos="0" relativeHeight="73" behindDoc="0" locked="0" layoutInCell="1" allowOverlap="1" wp14:anchorId="72F5AE1B">
                <wp:simplePos x="0" y="0"/>
                <wp:positionH relativeFrom="column">
                  <wp:posOffset>901065</wp:posOffset>
                </wp:positionH>
                <wp:positionV relativeFrom="paragraph">
                  <wp:posOffset>5367655</wp:posOffset>
                </wp:positionV>
                <wp:extent cx="3362325" cy="314325"/>
                <wp:effectExtent l="76200" t="38100" r="10795" b="86995"/>
                <wp:wrapNone/>
                <wp:docPr id="20" name="Elipse 26"/>
                <wp:cNvGraphicFramePr/>
                <a:graphic xmlns:a="http://schemas.openxmlformats.org/drawingml/2006/main">
                  <a:graphicData uri="http://schemas.microsoft.com/office/word/2010/wordprocessingShape">
                    <wps:wsp>
                      <wps:cNvSpPr/>
                      <wps:spPr>
                        <a:xfrm>
                          <a:off x="0" y="0"/>
                          <a:ext cx="3361680" cy="313560"/>
                        </a:xfrm>
                        <a:prstGeom prst="ellipse">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oval id="shape_0" ID="Elipse 26" stroked="t" style="position:absolute;margin-left:70.95pt;margin-top:422.65pt;width:264.65pt;height:24.65pt" wp14:anchorId="72F5AE1B">
                <w10:wrap type="none"/>
                <v:fill o:detectmouseclick="t" on="false"/>
                <v:stroke color="red" weight="28440" joinstyle="round" endcap="flat"/>
                <v:shadow on="t" obscured="f" color="black"/>
              </v:oval>
            </w:pict>
          </mc:Fallback>
        </mc:AlternateContent>
      </w:r>
    </w:p>
    <w:p w:rsidR="008A2DFA" w:rsidRDefault="00D60B2C">
      <w:pPr>
        <w:spacing w:line="360" w:lineRule="auto"/>
        <w:jc w:val="center"/>
        <w:rPr>
          <w:rFonts w:ascii="Palatino Linotype" w:hAnsi="Palatino Linotype" w:cs="Arial"/>
          <w:color w:val="000000" w:themeColor="text1"/>
          <w:highlight w:val="yellow"/>
        </w:rPr>
      </w:pPr>
      <w:r>
        <w:rPr>
          <w:noProof/>
          <w:lang w:eastAsia="es-MX"/>
        </w:rPr>
        <w:lastRenderedPageBreak/>
        <w:drawing>
          <wp:inline distT="0" distB="0" distL="0" distR="0">
            <wp:extent cx="4276090" cy="3067050"/>
            <wp:effectExtent l="0" t="0" r="0" b="0"/>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7"/>
                    <pic:cNvPicPr>
                      <a:picLocks noChangeAspect="1" noChangeArrowheads="1"/>
                    </pic:cNvPicPr>
                  </pic:nvPicPr>
                  <pic:blipFill>
                    <a:blip r:embed="rId29"/>
                    <a:stretch>
                      <a:fillRect/>
                    </a:stretch>
                  </pic:blipFill>
                  <pic:spPr bwMode="auto">
                    <a:xfrm>
                      <a:off x="0" y="0"/>
                      <a:ext cx="4276090" cy="3067050"/>
                    </a:xfrm>
                    <a:prstGeom prst="rect">
                      <a:avLst/>
                    </a:prstGeom>
                  </pic:spPr>
                </pic:pic>
              </a:graphicData>
            </a:graphic>
          </wp:inline>
        </w:drawing>
      </w:r>
    </w:p>
    <w:p w:rsidR="008A2DFA" w:rsidRDefault="008A2DFA">
      <w:pPr>
        <w:spacing w:line="360" w:lineRule="auto"/>
        <w:jc w:val="center"/>
        <w:rPr>
          <w:rFonts w:ascii="Palatino Linotype" w:hAnsi="Palatino Linotype" w:cs="Arial"/>
          <w:color w:val="000000" w:themeColor="text1"/>
          <w:highlight w:val="yellow"/>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Finalmente por cu</w:t>
      </w:r>
      <w:r>
        <w:rPr>
          <w:rFonts w:ascii="Palatino Linotype" w:hAnsi="Palatino Linotype" w:cs="Arial"/>
          <w:color w:val="000000" w:themeColor="text1"/>
        </w:rPr>
        <w:t xml:space="preserve">anto hace al Manual de Procedimientos Administrativos,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inserto el contenido del mismo, el cual se inserta a continuación: </w:t>
      </w:r>
    </w:p>
    <w:p w:rsidR="008A2DFA" w:rsidRDefault="00D60B2C">
      <w:pPr>
        <w:spacing w:line="360" w:lineRule="auto"/>
        <w:jc w:val="center"/>
        <w:rPr>
          <w:rFonts w:ascii="Palatino Linotype" w:hAnsi="Palatino Linotype" w:cs="Arial"/>
          <w:color w:val="000000" w:themeColor="text1"/>
        </w:rPr>
      </w:pPr>
      <w:r>
        <w:rPr>
          <w:noProof/>
          <w:lang w:eastAsia="es-MX"/>
        </w:rPr>
        <w:drawing>
          <wp:inline distT="0" distB="0" distL="0" distR="0">
            <wp:extent cx="3848100" cy="3171825"/>
            <wp:effectExtent l="0" t="0" r="0" b="0"/>
            <wp:docPr id="2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8"/>
                    <pic:cNvPicPr>
                      <a:picLocks noChangeAspect="1" noChangeArrowheads="1"/>
                    </pic:cNvPicPr>
                  </pic:nvPicPr>
                  <pic:blipFill>
                    <a:blip r:embed="rId30"/>
                    <a:stretch>
                      <a:fillRect/>
                    </a:stretch>
                  </pic:blipFill>
                  <pic:spPr bwMode="auto">
                    <a:xfrm>
                      <a:off x="0" y="0"/>
                      <a:ext cx="3848100" cy="3171825"/>
                    </a:xfrm>
                    <a:prstGeom prst="rect">
                      <a:avLst/>
                    </a:prstGeom>
                  </pic:spPr>
                </pic:pic>
              </a:graphicData>
            </a:graphic>
          </wp:inline>
        </w:drawing>
      </w:r>
    </w:p>
    <w:p w:rsidR="008A2DFA" w:rsidRDefault="00D60B2C">
      <w:pPr>
        <w:spacing w:line="360" w:lineRule="auto"/>
        <w:jc w:val="center"/>
        <w:rPr>
          <w:rFonts w:ascii="Palatino Linotype" w:hAnsi="Palatino Linotype" w:cs="Arial"/>
          <w:color w:val="000000" w:themeColor="text1"/>
          <w:highlight w:val="yellow"/>
        </w:rPr>
      </w:pPr>
      <w:r>
        <w:rPr>
          <w:noProof/>
          <w:lang w:eastAsia="es-MX"/>
        </w:rPr>
        <w:lastRenderedPageBreak/>
        <w:drawing>
          <wp:inline distT="0" distB="0" distL="0" distR="0">
            <wp:extent cx="3870960" cy="2562225"/>
            <wp:effectExtent l="0" t="0" r="0" b="0"/>
            <wp:docPr id="2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9"/>
                    <pic:cNvPicPr>
                      <a:picLocks noChangeAspect="1" noChangeArrowheads="1"/>
                    </pic:cNvPicPr>
                  </pic:nvPicPr>
                  <pic:blipFill>
                    <a:blip r:embed="rId31"/>
                    <a:stretch>
                      <a:fillRect/>
                    </a:stretch>
                  </pic:blipFill>
                  <pic:spPr bwMode="auto">
                    <a:xfrm>
                      <a:off x="0" y="0"/>
                      <a:ext cx="3870960" cy="2562225"/>
                    </a:xfrm>
                    <a:prstGeom prst="rect">
                      <a:avLst/>
                    </a:prstGeom>
                  </pic:spPr>
                </pic:pic>
              </a:graphicData>
            </a:graphic>
          </wp:inline>
        </w:drawing>
      </w:r>
      <w:r>
        <w:rPr>
          <w:noProof/>
          <w:lang w:eastAsia="es-MX"/>
        </w:rPr>
        <w:drawing>
          <wp:inline distT="0" distB="0" distL="0" distR="0">
            <wp:extent cx="3855720" cy="2293620"/>
            <wp:effectExtent l="0" t="0" r="0" b="0"/>
            <wp:docPr id="2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0"/>
                    <pic:cNvPicPr>
                      <a:picLocks noChangeAspect="1" noChangeArrowheads="1"/>
                    </pic:cNvPicPr>
                  </pic:nvPicPr>
                  <pic:blipFill>
                    <a:blip r:embed="rId32"/>
                    <a:stretch>
                      <a:fillRect/>
                    </a:stretch>
                  </pic:blipFill>
                  <pic:spPr bwMode="auto">
                    <a:xfrm>
                      <a:off x="0" y="0"/>
                      <a:ext cx="3855720" cy="2293620"/>
                    </a:xfrm>
                    <a:prstGeom prst="rect">
                      <a:avLst/>
                    </a:prstGeom>
                  </pic:spPr>
                </pic:pic>
              </a:graphicData>
            </a:graphic>
          </wp:inline>
        </w:drawing>
      </w:r>
      <w:r>
        <w:rPr>
          <w:noProof/>
          <w:lang w:eastAsia="es-MX"/>
        </w:rPr>
        <w:drawing>
          <wp:inline distT="0" distB="0" distL="0" distR="0">
            <wp:extent cx="3855720" cy="2331720"/>
            <wp:effectExtent l="0" t="0" r="0" b="0"/>
            <wp:docPr id="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31"/>
                    <pic:cNvPicPr>
                      <a:picLocks noChangeAspect="1" noChangeArrowheads="1"/>
                    </pic:cNvPicPr>
                  </pic:nvPicPr>
                  <pic:blipFill>
                    <a:blip r:embed="rId33"/>
                    <a:stretch>
                      <a:fillRect/>
                    </a:stretch>
                  </pic:blipFill>
                  <pic:spPr bwMode="auto">
                    <a:xfrm>
                      <a:off x="0" y="0"/>
                      <a:ext cx="3855720" cy="2331720"/>
                    </a:xfrm>
                    <a:prstGeom prst="rect">
                      <a:avLst/>
                    </a:prstGeom>
                  </pic:spPr>
                </pic:pic>
              </a:graphicData>
            </a:graphic>
          </wp:inline>
        </w:drawing>
      </w: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No se omite comentar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precisó que dicho procedimiento, está próximo a publicarse; sin</w:t>
      </w:r>
      <w:r>
        <w:rPr>
          <w:rFonts w:ascii="Palatino Linotype" w:hAnsi="Palatino Linotype" w:cs="Arial"/>
          <w:color w:val="000000" w:themeColor="text1"/>
        </w:rPr>
        <w:t xml:space="preserve"> embargo, ello no es razón suficiente para no tener por satisfecho el derecho ejercido por el particular; pues su si bien no se encuentra publicado en la página oficial del Ayuntamiento, ello no conlleva a que éste no se encuentre vigente; en consecuencia </w:t>
      </w:r>
      <w:r>
        <w:rPr>
          <w:rFonts w:ascii="Palatino Linotype" w:hAnsi="Palatino Linotype" w:cs="Arial"/>
          <w:color w:val="000000" w:themeColor="text1"/>
        </w:rPr>
        <w:t xml:space="preserve">el Pleno de este Instituto determina que dicho requerimiento identificado con el numeral 5, fue satisfizo por </w:t>
      </w:r>
      <w:r>
        <w:rPr>
          <w:rFonts w:ascii="Palatino Linotype" w:hAnsi="Palatino Linotype" w:cs="Arial"/>
          <w:b/>
          <w:color w:val="000000" w:themeColor="text1"/>
        </w:rPr>
        <w:t xml:space="preserve">EL SUJETO OBLIGADO.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lang w:val="es-ES"/>
        </w:rPr>
      </w:pPr>
      <w:r>
        <w:rPr>
          <w:rFonts w:ascii="Palatino Linotype" w:eastAsia="Calibri" w:hAnsi="Palatino Linotype" w:cs="Arial"/>
          <w:color w:val="000000" w:themeColor="text1"/>
          <w:lang w:val="es-ES"/>
        </w:rPr>
        <w:t>Antes de concluir, es importante señalar que, respecto de las manifestaciones</w:t>
      </w:r>
      <w:r>
        <w:rPr>
          <w:rFonts w:ascii="Palatino Linotype" w:eastAsia="Arial Unicode MS" w:hAnsi="Palatino Linotype" w:cs="Arial"/>
          <w:color w:val="000000" w:themeColor="text1"/>
          <w:lang w:val="es-ES"/>
        </w:rPr>
        <w:t xml:space="preserve"> realizadas por </w:t>
      </w:r>
      <w:r>
        <w:rPr>
          <w:rFonts w:ascii="Palatino Linotype" w:eastAsia="Arial Unicode MS" w:hAnsi="Palatino Linotype" w:cs="Arial"/>
          <w:b/>
          <w:color w:val="000000" w:themeColor="text1"/>
          <w:lang w:val="es-ES"/>
        </w:rPr>
        <w:t xml:space="preserve">EL </w:t>
      </w:r>
      <w:r>
        <w:rPr>
          <w:rFonts w:ascii="Palatino Linotype" w:hAnsi="Palatino Linotype"/>
          <w:b/>
          <w:color w:val="000000" w:themeColor="text1"/>
          <w:lang w:val="es-ES"/>
        </w:rPr>
        <w:t>RECURRENTE</w:t>
      </w:r>
      <w:r>
        <w:rPr>
          <w:rFonts w:ascii="Palatino Linotype" w:eastAsia="Arial Unicode MS" w:hAnsi="Palatino Linotype" w:cs="Arial"/>
          <w:b/>
          <w:color w:val="000000" w:themeColor="text1"/>
          <w:lang w:val="es-ES"/>
        </w:rPr>
        <w:t xml:space="preserve"> </w:t>
      </w:r>
      <w:r>
        <w:rPr>
          <w:rFonts w:ascii="Palatino Linotype" w:eastAsia="Arial Unicode MS" w:hAnsi="Palatino Linotype" w:cs="Arial"/>
          <w:color w:val="000000" w:themeColor="text1"/>
          <w:lang w:val="es-ES"/>
        </w:rPr>
        <w:t xml:space="preserve">como razones o motivos de inconformidad, consistentes en </w:t>
      </w:r>
      <w:r>
        <w:rPr>
          <w:rFonts w:ascii="Palatino Linotype" w:hAnsi="Palatino Linotype" w:cs="Arial"/>
          <w:i/>
          <w:color w:val="000000" w:themeColor="text1"/>
          <w:lang w:val="es-ES"/>
        </w:rPr>
        <w:t>“…Al responder el area de ingresos, se convierte en juez y parte, pretendiendo confundir con su respuesta, ocultar la verdadera operacion al no clarificar lo realidad de uso del sistema para los cont</w:t>
      </w:r>
      <w:r>
        <w:rPr>
          <w:rFonts w:ascii="Palatino Linotype" w:hAnsi="Palatino Linotype" w:cs="Arial"/>
          <w:i/>
          <w:color w:val="000000" w:themeColor="text1"/>
          <w:lang w:val="es-ES"/>
        </w:rPr>
        <w:t>ribuyentes. Por lo tanto su respuesta simula una respuesta, cuando en realidad es una negativa a proporcionar la información…Menciona que da respuesta por instrucciones del tesorero, sin agregar el oficio de instruccion, asi mismo el tesorero pudiera incur</w:t>
      </w:r>
      <w:r>
        <w:rPr>
          <w:rFonts w:ascii="Palatino Linotype" w:hAnsi="Palatino Linotype" w:cs="Arial"/>
          <w:i/>
          <w:color w:val="000000" w:themeColor="text1"/>
          <w:lang w:val="es-ES"/>
        </w:rPr>
        <w:t>rir en el delito de prevaricato al instruir que el subdirector de ingresos sea juez y parte, teniendo la posibilidad de emitir una respuesta acotado o a modo para que los ciudadanos no logremos identificar los casos de corrupcion en la tesoreria municipal,</w:t>
      </w:r>
      <w:r>
        <w:rPr>
          <w:rFonts w:ascii="Palatino Linotype" w:hAnsi="Palatino Linotype" w:cs="Arial"/>
          <w:i/>
          <w:color w:val="000000" w:themeColor="text1"/>
          <w:lang w:val="es-ES"/>
        </w:rPr>
        <w:t xml:space="preserve"> que pudiera implicar posibloe complicidad. Ya que por ley es el facultado para el cobro de los ingresos Por lo tanto en todas y cada una de las respuestas se me dan datos de forma parcial y no especifica que me aclare como ciudadano. Con estas respuestas </w:t>
      </w:r>
      <w:r>
        <w:rPr>
          <w:rFonts w:ascii="Palatino Linotype" w:hAnsi="Palatino Linotype" w:cs="Arial"/>
          <w:i/>
          <w:color w:val="000000" w:themeColor="text1"/>
          <w:lang w:val="es-ES"/>
        </w:rPr>
        <w:t>se da una negativa y se vislumbra un delito de omision por parte del Tesorero que no es quien da la respueta correspondiente y por ley el es el obligado a respondeer por el cobro de los ingresos no su subdirtector, ni se agrega un acuerdo por delegacion de</w:t>
      </w:r>
      <w:r>
        <w:rPr>
          <w:rFonts w:ascii="Palatino Linotype" w:hAnsi="Palatino Linotype" w:cs="Arial"/>
          <w:i/>
          <w:color w:val="000000" w:themeColor="text1"/>
          <w:lang w:val="es-ES"/>
        </w:rPr>
        <w:t xml:space="preserve"> responsabilidades, ni se agregue el supuesto oficio que establece que el instruye </w:t>
      </w:r>
      <w:r>
        <w:rPr>
          <w:rFonts w:ascii="Palatino Linotype" w:hAnsi="Palatino Linotype" w:cs="Arial"/>
          <w:i/>
          <w:color w:val="000000" w:themeColor="text1"/>
          <w:lang w:val="es-ES"/>
        </w:rPr>
        <w:lastRenderedPageBreak/>
        <w:t>dar la respuesta. Sus respuestas son viciadas y evasivas de lo que un ciudadano tiene derecho a conocer de un servidor publico, de sus funciones, y de las herramientas que u</w:t>
      </w:r>
      <w:r>
        <w:rPr>
          <w:rFonts w:ascii="Palatino Linotype" w:hAnsi="Palatino Linotype" w:cs="Arial"/>
          <w:i/>
          <w:color w:val="000000" w:themeColor="text1"/>
          <w:lang w:val="es-ES"/>
        </w:rPr>
        <w:t xml:space="preserve">tiliza para el cumplimiento de las mismas. Inhibiendo al ciudado con estas actitudes a no pretender tener acceso a la informacion publica, por dilatar la informacion, entregarla de forma parcial y depues de un largo tiempo.” (sic); </w:t>
      </w:r>
      <w:r>
        <w:rPr>
          <w:rFonts w:ascii="Palatino Linotype" w:hAnsi="Palatino Linotype" w:cs="Arial"/>
          <w:color w:val="000000" w:themeColor="text1"/>
          <w:lang w:val="es-ES"/>
        </w:rPr>
        <w:t>al respecto, este Órgano</w:t>
      </w:r>
      <w:r>
        <w:rPr>
          <w:rFonts w:ascii="Palatino Linotype" w:hAnsi="Palatino Linotype" w:cs="Arial"/>
          <w:color w:val="000000" w:themeColor="text1"/>
          <w:lang w:val="es-ES"/>
        </w:rPr>
        <w:t xml:space="preserve"> Garante advierte que se tratan de </w:t>
      </w:r>
      <w:r>
        <w:rPr>
          <w:rFonts w:ascii="Palatino Linotype" w:hAnsi="Palatino Linotype"/>
          <w:color w:val="000000" w:themeColor="text1"/>
          <w:lang w:val="es-ES"/>
        </w:rPr>
        <w:t xml:space="preserve">manifestaciones </w:t>
      </w:r>
      <w:r>
        <w:rPr>
          <w:rFonts w:ascii="Palatino Linotype" w:hAnsi="Palatino Linotype"/>
          <w:color w:val="000000" w:themeColor="text1"/>
        </w:rPr>
        <w:t>unilaterales subjetivas de la parte recurrente en ejercicio del derecho de libertad de expresión, las cuales resultan inatendibles, ya que este Instituto en términos del artículo 36 de la Ley de Transparen</w:t>
      </w:r>
      <w:r>
        <w:rPr>
          <w:rFonts w:ascii="Palatino Linotype" w:hAnsi="Palatino Linotype"/>
          <w:color w:val="000000" w:themeColor="text1"/>
        </w:rPr>
        <w:t xml:space="preserve">cia y Acceso a la Información Pública del Estado de México y Municipios y de las demás disposiciones jurídicas aplicables, carece de facultades para pronunciarse sobre las mismas; </w:t>
      </w:r>
      <w:r>
        <w:rPr>
          <w:rFonts w:ascii="Palatino Linotype" w:hAnsi="Palatino Linotype" w:cs="Arial"/>
          <w:color w:val="000000" w:themeColor="text1"/>
          <w:lang w:val="es-ES"/>
        </w:rPr>
        <w:t xml:space="preserve">atento a ello, </w:t>
      </w:r>
      <w:r>
        <w:rPr>
          <w:rFonts w:ascii="Palatino Linotype" w:hAnsi="Palatino Linotype" w:cs="Arial"/>
          <w:color w:val="000000" w:themeColor="text1"/>
        </w:rPr>
        <w:t>esta Ponencia Resolutora, determina que las razones o motivos</w:t>
      </w:r>
      <w:r>
        <w:rPr>
          <w:rFonts w:ascii="Palatino Linotype" w:hAnsi="Palatino Linotype" w:cs="Arial"/>
          <w:color w:val="000000" w:themeColor="text1"/>
        </w:rPr>
        <w:t xml:space="preserve"> de inconformidad devienen </w:t>
      </w:r>
      <w:r>
        <w:rPr>
          <w:rFonts w:ascii="Palatino Linotype" w:hAnsi="Palatino Linotype" w:cs="Arial"/>
          <w:b/>
          <w:color w:val="000000" w:themeColor="text1"/>
        </w:rPr>
        <w:t>parcialmente</w:t>
      </w:r>
      <w:r>
        <w:rPr>
          <w:rFonts w:ascii="Palatino Linotype" w:hAnsi="Palatino Linotype" w:cs="Arial"/>
          <w:color w:val="000000" w:themeColor="text1"/>
        </w:rPr>
        <w:t xml:space="preserve"> </w:t>
      </w:r>
      <w:r>
        <w:rPr>
          <w:rFonts w:ascii="Palatino Linotype" w:hAnsi="Palatino Linotype" w:cs="Arial"/>
          <w:b/>
          <w:color w:val="000000" w:themeColor="text1"/>
        </w:rPr>
        <w:t>fundadas.</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Una vez analizadas las documentales que integran el expediente formado con motivo de la solicitud </w:t>
      </w:r>
      <w:r>
        <w:rPr>
          <w:rFonts w:ascii="Palatino Linotype" w:hAnsi="Palatino Linotype"/>
          <w:b/>
          <w:color w:val="000000" w:themeColor="text1"/>
        </w:rPr>
        <w:t xml:space="preserve">00039/METEPEC/IP/2020, </w:t>
      </w:r>
      <w:r>
        <w:rPr>
          <w:rFonts w:ascii="Palatino Linotype" w:hAnsi="Palatino Linotype"/>
          <w:color w:val="000000" w:themeColor="text1"/>
        </w:rPr>
        <w:t>el Pleno de este Instituto procede a analizar las</w:t>
      </w:r>
      <w:r>
        <w:rPr>
          <w:rFonts w:ascii="Palatino Linotype" w:hAnsi="Palatino Linotype" w:cs="Arial"/>
          <w:color w:val="000000" w:themeColor="text1"/>
        </w:rPr>
        <w:t xml:space="preserve"> correspondientes a la solicitud </w:t>
      </w:r>
      <w:hyperlink r:id="rId34">
        <w:r>
          <w:rPr>
            <w:rFonts w:ascii="Palatino Linotype" w:hAnsi="Palatino Linotype"/>
            <w:b/>
            <w:color w:val="000000" w:themeColor="text1"/>
          </w:rPr>
          <w:t>00048/METEPEC/IP/2020</w:t>
        </w:r>
      </w:hyperlink>
      <w:r>
        <w:rPr>
          <w:rFonts w:ascii="Palatino Linotype" w:eastAsiaTheme="minorEastAsia" w:hAnsi="Palatino Linotype" w:cs="Arial"/>
          <w:color w:val="000000" w:themeColor="text1"/>
          <w:lang w:val="es-ES_tradnl"/>
        </w:rPr>
        <w:t xml:space="preserve">, a fin de determinar si con la información remitida por parte del </w:t>
      </w:r>
      <w:r>
        <w:rPr>
          <w:rFonts w:ascii="Palatino Linotype" w:eastAsiaTheme="minorEastAsia" w:hAnsi="Palatino Linotype" w:cs="Arial"/>
          <w:b/>
          <w:color w:val="000000" w:themeColor="text1"/>
          <w:lang w:val="es-ES_tradnl"/>
        </w:rPr>
        <w:t xml:space="preserve">SUJETO OBLIGADO </w:t>
      </w:r>
      <w:r>
        <w:rPr>
          <w:rFonts w:ascii="Palatino Linotype" w:eastAsiaTheme="minorEastAsia" w:hAnsi="Palatino Linotype" w:cs="Arial"/>
          <w:color w:val="000000" w:themeColor="text1"/>
          <w:lang w:val="es-ES_tradnl"/>
        </w:rPr>
        <w:t xml:space="preserve">mediante respuesta, se colma el derecho de </w:t>
      </w:r>
      <w:r>
        <w:rPr>
          <w:rFonts w:ascii="Palatino Linotype" w:hAnsi="Palatino Linotype" w:cs="Arial"/>
          <w:color w:val="000000" w:themeColor="text1"/>
        </w:rPr>
        <w:t xml:space="preserve">acceso a la información ejercido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atento a </w:t>
      </w:r>
      <w:r>
        <w:rPr>
          <w:rFonts w:ascii="Palatino Linotype" w:hAnsi="Palatino Linotype" w:cs="Arial"/>
          <w:color w:val="000000" w:themeColor="text1"/>
        </w:rPr>
        <w:t>ello, se realiza la siguiente tabla, para mayor entendimiento:</w:t>
      </w:r>
    </w:p>
    <w:p w:rsidR="008A2DFA" w:rsidRDefault="008A2DFA">
      <w:pPr>
        <w:spacing w:line="360" w:lineRule="auto"/>
        <w:jc w:val="both"/>
        <w:rPr>
          <w:rFonts w:ascii="Palatino Linotype" w:hAnsi="Palatino Linotype" w:cs="Arial"/>
          <w:color w:val="000000" w:themeColor="text1"/>
        </w:rPr>
      </w:pPr>
    </w:p>
    <w:tbl>
      <w:tblPr>
        <w:tblStyle w:val="Tablaconcuadrcula"/>
        <w:tblW w:w="9204" w:type="dxa"/>
        <w:tblLook w:val="04A0" w:firstRow="1" w:lastRow="0" w:firstColumn="1" w:lastColumn="0" w:noHBand="0" w:noVBand="1"/>
      </w:tblPr>
      <w:tblGrid>
        <w:gridCol w:w="2193"/>
        <w:gridCol w:w="3038"/>
        <w:gridCol w:w="2435"/>
        <w:gridCol w:w="1538"/>
      </w:tblGrid>
      <w:tr w:rsidR="008A2DFA">
        <w:trPr>
          <w:tblHeader/>
        </w:trPr>
        <w:tc>
          <w:tcPr>
            <w:tcW w:w="2263" w:type="dxa"/>
            <w:shd w:val="pct15" w:color="auto" w:fill="auto"/>
          </w:tcPr>
          <w:p w:rsidR="008A2DFA" w:rsidRDefault="00D60B2C">
            <w:pPr>
              <w:ind w:right="49"/>
              <w:jc w:val="center"/>
              <w:rPr>
                <w:rFonts w:ascii="Palatino Linotype" w:hAnsi="Palatino Linotype" w:cs="Arial"/>
                <w:color w:val="000000" w:themeColor="text1"/>
              </w:rPr>
            </w:pPr>
            <w:r>
              <w:rPr>
                <w:rFonts w:ascii="Palatino Linotype" w:eastAsia="Calibri" w:hAnsi="Palatino Linotype" w:cs="Bookman Old Style"/>
                <w:b/>
                <w:bCs/>
                <w:i/>
                <w:color w:val="000000" w:themeColor="text1"/>
                <w:sz w:val="22"/>
                <w:szCs w:val="22"/>
                <w:lang w:val="es-ES" w:eastAsia="en-US"/>
              </w:rPr>
              <w:t>Solicitud</w:t>
            </w:r>
          </w:p>
        </w:tc>
        <w:tc>
          <w:tcPr>
            <w:tcW w:w="2695" w:type="dxa"/>
            <w:shd w:val="pct15" w:color="auto" w:fill="auto"/>
          </w:tcPr>
          <w:p w:rsidR="008A2DFA" w:rsidRDefault="00D60B2C">
            <w:pPr>
              <w:ind w:right="49"/>
              <w:jc w:val="center"/>
              <w:rPr>
                <w:rFonts w:ascii="Palatino Linotype" w:hAnsi="Palatino Linotype" w:cs="Arial"/>
                <w:color w:val="000000" w:themeColor="text1"/>
              </w:rPr>
            </w:pPr>
            <w:r>
              <w:rPr>
                <w:rFonts w:ascii="Palatino Linotype" w:eastAsia="Calibri" w:hAnsi="Palatino Linotype" w:cs="Bookman Old Style"/>
                <w:b/>
                <w:bCs/>
                <w:i/>
                <w:color w:val="000000" w:themeColor="text1"/>
                <w:sz w:val="22"/>
                <w:szCs w:val="22"/>
                <w:lang w:val="es-ES" w:eastAsia="en-US"/>
              </w:rPr>
              <w:t xml:space="preserve">Respuesta </w:t>
            </w:r>
          </w:p>
        </w:tc>
        <w:tc>
          <w:tcPr>
            <w:tcW w:w="2693" w:type="dxa"/>
            <w:shd w:val="pct15" w:color="auto" w:fill="auto"/>
          </w:tcPr>
          <w:p w:rsidR="008A2DFA" w:rsidRDefault="00D60B2C">
            <w:pPr>
              <w:ind w:right="49"/>
              <w:jc w:val="center"/>
              <w:rPr>
                <w:rFonts w:ascii="Palatino Linotype" w:hAnsi="Palatino Linotype" w:cs="Bookman Old Style"/>
                <w:b/>
                <w:bCs/>
                <w:i/>
                <w:color w:val="000000" w:themeColor="text1"/>
              </w:rPr>
            </w:pPr>
            <w:r>
              <w:rPr>
                <w:rFonts w:ascii="Palatino Linotype" w:eastAsia="Calibri" w:hAnsi="Palatino Linotype" w:cs="Bookman Old Style"/>
                <w:b/>
                <w:bCs/>
                <w:i/>
                <w:color w:val="000000" w:themeColor="text1"/>
                <w:sz w:val="22"/>
                <w:szCs w:val="22"/>
                <w:lang w:val="es-ES" w:eastAsia="en-US"/>
              </w:rPr>
              <w:t>Observaciones</w:t>
            </w:r>
          </w:p>
        </w:tc>
        <w:tc>
          <w:tcPr>
            <w:tcW w:w="1552" w:type="dxa"/>
            <w:shd w:val="pct15" w:color="auto" w:fill="auto"/>
          </w:tcPr>
          <w:p w:rsidR="008A2DFA" w:rsidRDefault="00D60B2C">
            <w:pPr>
              <w:pStyle w:val="Prrafodelista"/>
              <w:ind w:left="0"/>
              <w:jc w:val="center"/>
              <w:rPr>
                <w:rFonts w:ascii="Palatino Linotype" w:eastAsiaTheme="minorEastAsia" w:hAnsi="Palatino Linotype" w:cs="Bookman Old Style" w:hint="eastAsia"/>
                <w:b/>
                <w:bCs/>
                <w:i/>
                <w:color w:val="000000" w:themeColor="text1"/>
                <w:sz w:val="20"/>
                <w:szCs w:val="20"/>
                <w:lang w:eastAsia="es-MX"/>
              </w:rPr>
            </w:pPr>
            <w:r>
              <w:rPr>
                <w:rFonts w:ascii="Palatino Linotype" w:eastAsiaTheme="minorEastAsia" w:hAnsi="Palatino Linotype" w:cs="Bookman Old Style"/>
                <w:b/>
                <w:bCs/>
                <w:i/>
                <w:color w:val="000000" w:themeColor="text1"/>
                <w:sz w:val="20"/>
                <w:szCs w:val="20"/>
                <w:lang w:eastAsia="es-MX"/>
              </w:rPr>
              <w:t>Colma</w:t>
            </w:r>
          </w:p>
          <w:p w:rsidR="008A2DFA" w:rsidRDefault="00D60B2C">
            <w:pPr>
              <w:ind w:right="49"/>
              <w:jc w:val="center"/>
              <w:rPr>
                <w:rFonts w:ascii="Palatino Linotype" w:hAnsi="Palatino Linotype" w:cs="Arial"/>
                <w:color w:val="000000" w:themeColor="text1"/>
              </w:rPr>
            </w:pPr>
            <w:r>
              <w:rPr>
                <w:rFonts w:ascii="Palatino Linotype" w:eastAsia="Calibri" w:hAnsi="Palatino Linotype" w:cs="Bookman Old Style"/>
                <w:b/>
                <w:bCs/>
                <w:i/>
                <w:color w:val="000000" w:themeColor="text1"/>
                <w:sz w:val="22"/>
                <w:szCs w:val="22"/>
                <w:lang w:val="es-ES" w:eastAsia="en-US"/>
              </w:rPr>
              <w:t>Sí/No</w:t>
            </w:r>
          </w:p>
        </w:tc>
      </w:tr>
      <w:tr w:rsidR="008A2DFA">
        <w:trPr>
          <w:tblHeader/>
        </w:trPr>
        <w:tc>
          <w:tcPr>
            <w:tcW w:w="9203" w:type="dxa"/>
            <w:gridSpan w:val="4"/>
            <w:shd w:val="pct15" w:color="auto" w:fill="auto"/>
          </w:tcPr>
          <w:p w:rsidR="008A2DFA" w:rsidRDefault="00D60B2C">
            <w:pPr>
              <w:pStyle w:val="Prrafodelista"/>
              <w:ind w:left="0"/>
              <w:jc w:val="center"/>
              <w:rPr>
                <w:rFonts w:ascii="Palatino Linotype" w:eastAsiaTheme="minorEastAsia" w:hAnsi="Palatino Linotype" w:cs="Bookman Old Style" w:hint="eastAsia"/>
                <w:bCs/>
                <w:i/>
                <w:color w:val="000000" w:themeColor="text1"/>
                <w:sz w:val="20"/>
                <w:szCs w:val="20"/>
                <w:lang w:eastAsia="es-MX"/>
              </w:rPr>
            </w:pPr>
            <w:r>
              <w:rPr>
                <w:rFonts w:ascii="Palatino Linotype" w:eastAsiaTheme="minorEastAsia" w:hAnsi="Palatino Linotype" w:cs="Bookman Old Style"/>
                <w:bCs/>
                <w:i/>
                <w:color w:val="000000" w:themeColor="text1"/>
                <w:sz w:val="20"/>
                <w:szCs w:val="20"/>
                <w:lang w:eastAsia="es-MX"/>
              </w:rPr>
              <w:t>De los servidores públicos que participan en la elaboración, revisión y autorización de la tipologías, asignación de claves catastrales, para el</w:t>
            </w:r>
            <w:r>
              <w:rPr>
                <w:rFonts w:ascii="Palatino Linotype" w:eastAsiaTheme="minorEastAsia" w:hAnsi="Palatino Linotype" w:cs="Bookman Old Style"/>
                <w:bCs/>
                <w:i/>
                <w:color w:val="000000" w:themeColor="text1"/>
                <w:sz w:val="20"/>
                <w:szCs w:val="20"/>
                <w:lang w:eastAsia="es-MX"/>
              </w:rPr>
              <w:t xml:space="preserve"> pago del impuesto predial</w:t>
            </w:r>
          </w:p>
        </w:tc>
      </w:tr>
      <w:tr w:rsidR="008A2DFA">
        <w:tc>
          <w:tcPr>
            <w:tcW w:w="2263" w:type="dxa"/>
          </w:tcPr>
          <w:p w:rsidR="008A2DFA" w:rsidRDefault="00D60B2C">
            <w:pPr>
              <w:pStyle w:val="Prrafodelista"/>
              <w:numPr>
                <w:ilvl w:val="0"/>
                <w:numId w:val="4"/>
              </w:numPr>
              <w:ind w:left="313" w:right="49" w:hanging="313"/>
              <w:jc w:val="both"/>
              <w:rPr>
                <w:rFonts w:ascii="Palatino Linotype" w:hAnsi="Palatino Linotype"/>
                <w:color w:val="000000" w:themeColor="text1"/>
                <w:sz w:val="20"/>
                <w:lang w:eastAsia="es-MX"/>
              </w:rPr>
            </w:pPr>
            <w:r>
              <w:rPr>
                <w:rFonts w:ascii="Palatino Linotype" w:eastAsia="Calibri" w:hAnsi="Palatino Linotype"/>
                <w:color w:val="000000" w:themeColor="text1"/>
                <w:sz w:val="20"/>
                <w:szCs w:val="22"/>
                <w:lang w:val="es-ES" w:eastAsia="en-US"/>
              </w:rPr>
              <w:t xml:space="preserve">Nombre completo </w:t>
            </w:r>
          </w:p>
        </w:tc>
        <w:tc>
          <w:tcPr>
            <w:tcW w:w="2695" w:type="dxa"/>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Enlisto el nombre completo de ocho servidores públicos, en el </w:t>
            </w:r>
            <w:r>
              <w:rPr>
                <w:rFonts w:ascii="Palatino Linotype" w:eastAsia="Calibri" w:hAnsi="Palatino Linotype"/>
                <w:color w:val="000000" w:themeColor="text1"/>
                <w:sz w:val="20"/>
                <w:szCs w:val="22"/>
                <w:lang w:val="es-ES" w:eastAsia="en-US"/>
              </w:rPr>
              <w:lastRenderedPageBreak/>
              <w:t xml:space="preserve">que se advierte su cargo, y el área a la que pertenecen.  </w:t>
            </w:r>
          </w:p>
        </w:tc>
        <w:tc>
          <w:tcPr>
            <w:tcW w:w="2693" w:type="dxa"/>
          </w:tcPr>
          <w:p w:rsidR="008A2DFA" w:rsidRDefault="008A2DFA">
            <w:pPr>
              <w:ind w:left="29" w:right="49"/>
              <w:jc w:val="both"/>
              <w:rPr>
                <w:rFonts w:ascii="Palatino Linotype" w:hAnsi="Palatino Linotype"/>
                <w:color w:val="000000" w:themeColor="text1"/>
                <w:sz w:val="20"/>
                <w:lang w:val="es-ES"/>
              </w:rPr>
            </w:pPr>
          </w:p>
        </w:tc>
        <w:tc>
          <w:tcPr>
            <w:tcW w:w="1552" w:type="dxa"/>
          </w:tcPr>
          <w:p w:rsidR="008A2DFA" w:rsidRDefault="008A2DFA">
            <w:pPr>
              <w:pStyle w:val="Prrafodelista"/>
              <w:numPr>
                <w:ilvl w:val="0"/>
                <w:numId w:val="3"/>
              </w:numPr>
              <w:ind w:right="49" w:hanging="686"/>
              <w:jc w:val="center"/>
              <w:rPr>
                <w:rFonts w:ascii="Palatino Linotype" w:hAnsi="Palatino Linotype" w:cs="Bookman Old Style"/>
                <w:b/>
                <w:bCs/>
                <w:i/>
                <w:color w:val="000000" w:themeColor="text1"/>
              </w:rPr>
            </w:pPr>
          </w:p>
        </w:tc>
      </w:tr>
      <w:tr w:rsidR="008A2DFA">
        <w:tc>
          <w:tcPr>
            <w:tcW w:w="2263" w:type="dxa"/>
          </w:tcPr>
          <w:p w:rsidR="008A2DFA" w:rsidRDefault="00D60B2C">
            <w:pPr>
              <w:pStyle w:val="Prrafodelista"/>
              <w:numPr>
                <w:ilvl w:val="0"/>
                <w:numId w:val="4"/>
              </w:numPr>
              <w:ind w:left="313" w:right="49" w:hanging="313"/>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Cargo y percepción salarial</w:t>
            </w:r>
          </w:p>
        </w:tc>
        <w:tc>
          <w:tcPr>
            <w:tcW w:w="2695" w:type="dxa"/>
          </w:tcPr>
          <w:p w:rsidR="008A2DFA" w:rsidRDefault="00D60B2C">
            <w:pPr>
              <w:ind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Enlisto el nombre completo de ocho servidores públicos, en el que se advierte su cargo, y el área a la que pertenecen; asimismo, adjuntó el tabulador de sueldos. </w:t>
            </w:r>
          </w:p>
        </w:tc>
        <w:tc>
          <w:tcPr>
            <w:tcW w:w="2693" w:type="dxa"/>
          </w:tcPr>
          <w:p w:rsidR="008A2DFA" w:rsidRDefault="00D60B2C">
            <w:pPr>
              <w:ind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El cargo de los servidores públicos, no puede ser relacionado con el tabulador de sueldos pue</w:t>
            </w:r>
            <w:r>
              <w:rPr>
                <w:rFonts w:ascii="Palatino Linotype" w:eastAsia="Calibri" w:hAnsi="Palatino Linotype"/>
                <w:color w:val="000000" w:themeColor="text1"/>
                <w:sz w:val="20"/>
                <w:szCs w:val="22"/>
                <w:lang w:val="es-ES" w:eastAsia="en-US"/>
              </w:rPr>
              <w:t xml:space="preserve">s en este no se encuentran considerados todos los cargos referidos en respuesta y en algunos cargos se advierten varios niveles, por lo que no es posible determinar la percepción de los servidores públicos  </w:t>
            </w:r>
          </w:p>
        </w:tc>
        <w:tc>
          <w:tcPr>
            <w:tcW w:w="1552" w:type="dxa"/>
          </w:tcPr>
          <w:p w:rsidR="008A2DFA" w:rsidRDefault="00D60B2C">
            <w:pPr>
              <w:ind w:right="49"/>
              <w:jc w:val="center"/>
              <w:rPr>
                <w:rFonts w:ascii="Palatino Linotype" w:hAnsi="Palatino Linotype"/>
                <w:b/>
                <w:i/>
                <w:color w:val="000000" w:themeColor="text1"/>
                <w:sz w:val="40"/>
                <w:lang w:val="es-ES"/>
              </w:rPr>
            </w:pPr>
            <w:r>
              <w:rPr>
                <w:rFonts w:ascii="Palatino Linotype" w:eastAsia="Calibri" w:hAnsi="Palatino Linotype"/>
                <w:b/>
                <w:i/>
                <w:color w:val="000000" w:themeColor="text1"/>
                <w:sz w:val="20"/>
                <w:szCs w:val="22"/>
                <w:lang w:val="es-ES" w:eastAsia="en-US"/>
              </w:rPr>
              <w:t>Parcialmente.</w:t>
            </w:r>
          </w:p>
        </w:tc>
      </w:tr>
      <w:tr w:rsidR="008A2DFA">
        <w:tc>
          <w:tcPr>
            <w:tcW w:w="2263" w:type="dxa"/>
          </w:tcPr>
          <w:p w:rsidR="008A2DFA" w:rsidRDefault="00D60B2C">
            <w:pPr>
              <w:pStyle w:val="Prrafodelista"/>
              <w:numPr>
                <w:ilvl w:val="0"/>
                <w:numId w:val="4"/>
              </w:numPr>
              <w:ind w:left="313" w:right="49" w:hanging="313"/>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Gafete</w:t>
            </w:r>
          </w:p>
        </w:tc>
        <w:tc>
          <w:tcPr>
            <w:tcW w:w="2695" w:type="dxa"/>
          </w:tcPr>
          <w:p w:rsidR="008A2DFA" w:rsidRDefault="00D60B2C">
            <w:pPr>
              <w:ind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Remitió los ocho gafetes d</w:t>
            </w:r>
            <w:r>
              <w:rPr>
                <w:rFonts w:ascii="Palatino Linotype" w:eastAsia="Calibri" w:hAnsi="Palatino Linotype"/>
                <w:color w:val="000000" w:themeColor="text1"/>
                <w:sz w:val="20"/>
                <w:szCs w:val="22"/>
                <w:lang w:val="es-ES" w:eastAsia="en-US"/>
              </w:rPr>
              <w:t xml:space="preserve">e los servidores públicos. </w:t>
            </w:r>
          </w:p>
        </w:tc>
        <w:tc>
          <w:tcPr>
            <w:tcW w:w="2693" w:type="dxa"/>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Sin embargo, se testó información que es considerada pública, como es el caso de la fotografía y firma del servidor público. Asimismo, se testó información sin haber hecho la entrega del Acuerdo de Clasificación que sustentara l</w:t>
            </w:r>
            <w:r>
              <w:rPr>
                <w:rFonts w:ascii="Palatino Linotype" w:eastAsia="Calibri" w:hAnsi="Palatino Linotype"/>
                <w:color w:val="000000" w:themeColor="text1"/>
                <w:sz w:val="20"/>
                <w:szCs w:val="22"/>
                <w:lang w:val="es-ES" w:eastAsia="en-US"/>
              </w:rPr>
              <w:t xml:space="preserve">a versión pública </w:t>
            </w:r>
          </w:p>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Aunado a lo anterior el particular se inconformó argumentando que los mismos son ilegibles. </w:t>
            </w:r>
          </w:p>
        </w:tc>
        <w:tc>
          <w:tcPr>
            <w:tcW w:w="1552" w:type="dxa"/>
          </w:tcPr>
          <w:p w:rsidR="008A2DFA" w:rsidRDefault="00D60B2C">
            <w:pPr>
              <w:ind w:right="49"/>
              <w:jc w:val="center"/>
              <w:rPr>
                <w:rFonts w:ascii="Palatino Linotype" w:hAnsi="Palatino Linotype"/>
                <w:color w:val="000000" w:themeColor="text1"/>
                <w:sz w:val="40"/>
                <w:lang w:val="es-ES"/>
              </w:rPr>
            </w:pPr>
            <w:r>
              <w:rPr>
                <w:rFonts w:ascii="Palatino Linotype" w:eastAsia="Calibri" w:hAnsi="Palatino Linotype"/>
                <w:b/>
                <w:color w:val="000000" w:themeColor="text1"/>
                <w:sz w:val="40"/>
                <w:szCs w:val="22"/>
                <w:lang w:val="es-ES" w:eastAsia="en-US"/>
              </w:rPr>
              <w:t>X</w:t>
            </w:r>
          </w:p>
        </w:tc>
      </w:tr>
      <w:tr w:rsidR="008A2DFA">
        <w:tc>
          <w:tcPr>
            <w:tcW w:w="2263" w:type="dxa"/>
          </w:tcPr>
          <w:p w:rsidR="008A2DFA" w:rsidRDefault="00D60B2C">
            <w:pPr>
              <w:pStyle w:val="Prrafodelista"/>
              <w:numPr>
                <w:ilvl w:val="0"/>
                <w:numId w:val="4"/>
              </w:numPr>
              <w:ind w:left="313" w:right="49" w:hanging="313"/>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 xml:space="preserve">Nombramiento oficial  </w:t>
            </w:r>
          </w:p>
        </w:tc>
        <w:tc>
          <w:tcPr>
            <w:tcW w:w="2695" w:type="dxa"/>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En el listado remitido se advierte que de los ocho servidores públicos siete no </w:t>
            </w:r>
            <w:r>
              <w:rPr>
                <w:rFonts w:ascii="Palatino Linotype" w:eastAsia="Calibri" w:hAnsi="Palatino Linotype"/>
                <w:color w:val="000000" w:themeColor="text1"/>
                <w:sz w:val="20"/>
                <w:szCs w:val="22"/>
                <w:lang w:val="es-ES" w:eastAsia="en-US"/>
              </w:rPr>
              <w:lastRenderedPageBreak/>
              <w:t xml:space="preserve">cuentan con nombramiento oficial y uno sí; sin hacer entrega de la información </w:t>
            </w:r>
          </w:p>
        </w:tc>
        <w:tc>
          <w:tcPr>
            <w:tcW w:w="2693" w:type="dxa"/>
          </w:tcPr>
          <w:p w:rsidR="008A2DFA" w:rsidRDefault="00D60B2C">
            <w:pPr>
              <w:pStyle w:val="Prrafodelista"/>
              <w:ind w:left="0"/>
              <w:jc w:val="both"/>
              <w:rPr>
                <w:rFonts w:ascii="Palatino Linotype" w:eastAsiaTheme="minorEastAsia" w:hAnsi="Palatino Linotype" w:cs="Bookman Old Style" w:hint="eastAsia"/>
                <w:bCs/>
                <w:color w:val="000000" w:themeColor="text1"/>
                <w:sz w:val="20"/>
                <w:szCs w:val="20"/>
                <w:lang w:eastAsia="es-MX"/>
              </w:rPr>
            </w:pPr>
            <w:r>
              <w:rPr>
                <w:rFonts w:ascii="Palatino Linotype" w:eastAsiaTheme="minorEastAsia" w:hAnsi="Palatino Linotype" w:cs="Bookman Old Style"/>
                <w:bCs/>
                <w:color w:val="000000" w:themeColor="text1"/>
                <w:sz w:val="20"/>
                <w:szCs w:val="20"/>
                <w:lang w:eastAsia="es-MX"/>
              </w:rPr>
              <w:lastRenderedPageBreak/>
              <w:t xml:space="preserve">Omitió hacer entrega del nombramiento oficial del Jefe de Valuación </w:t>
            </w:r>
            <w:r>
              <w:rPr>
                <w:rFonts w:ascii="Palatino Linotype" w:eastAsiaTheme="minorEastAsia" w:hAnsi="Palatino Linotype" w:cs="Bookman Old Style"/>
                <w:bCs/>
                <w:color w:val="000000" w:themeColor="text1"/>
                <w:sz w:val="20"/>
                <w:szCs w:val="20"/>
                <w:lang w:eastAsia="es-MX"/>
              </w:rPr>
              <w:lastRenderedPageBreak/>
              <w:t>Catastral y de los restantes</w:t>
            </w:r>
            <w:r>
              <w:rPr>
                <w:rFonts w:ascii="Palatino Linotype" w:eastAsiaTheme="minorEastAsia" w:hAnsi="Palatino Linotype" w:cs="Bookman Old Style"/>
                <w:bCs/>
                <w:color w:val="000000" w:themeColor="text1"/>
                <w:sz w:val="20"/>
                <w:szCs w:val="20"/>
                <w:lang w:eastAsia="es-MX"/>
              </w:rPr>
              <w:t xml:space="preserve"> el documento análogo (Formato único de movimiento o contrato)</w:t>
            </w:r>
          </w:p>
        </w:tc>
        <w:tc>
          <w:tcPr>
            <w:tcW w:w="1552" w:type="dxa"/>
          </w:tcPr>
          <w:p w:rsidR="008A2DFA" w:rsidRDefault="00D60B2C">
            <w:pPr>
              <w:ind w:right="49"/>
              <w:jc w:val="center"/>
              <w:rPr>
                <w:rFonts w:ascii="Palatino Linotype" w:hAnsi="Palatino Linotype"/>
                <w:b/>
                <w:color w:val="000000" w:themeColor="text1"/>
                <w:sz w:val="40"/>
                <w:lang w:val="es-ES"/>
              </w:rPr>
            </w:pPr>
            <w:r>
              <w:rPr>
                <w:rFonts w:ascii="Palatino Linotype" w:eastAsia="Calibri" w:hAnsi="Palatino Linotype"/>
                <w:b/>
                <w:color w:val="000000" w:themeColor="text1"/>
                <w:sz w:val="40"/>
                <w:szCs w:val="22"/>
                <w:lang w:val="es-ES" w:eastAsia="en-US"/>
              </w:rPr>
              <w:lastRenderedPageBreak/>
              <w:t>X</w:t>
            </w:r>
          </w:p>
        </w:tc>
      </w:tr>
      <w:tr w:rsidR="008A2DFA">
        <w:tc>
          <w:tcPr>
            <w:tcW w:w="2263" w:type="dxa"/>
          </w:tcPr>
          <w:p w:rsidR="008A2DFA" w:rsidRDefault="00D60B2C">
            <w:pPr>
              <w:pStyle w:val="Prrafodelista"/>
              <w:numPr>
                <w:ilvl w:val="0"/>
                <w:numId w:val="4"/>
              </w:numPr>
              <w:ind w:left="313" w:right="49" w:hanging="313"/>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Funciones hace cada uno en materia de elaboración, revisión y autorización.</w:t>
            </w:r>
          </w:p>
        </w:tc>
        <w:tc>
          <w:tcPr>
            <w:tcW w:w="2695" w:type="dxa"/>
          </w:tcPr>
          <w:p w:rsidR="008A2DFA" w:rsidRDefault="00D60B2C">
            <w:pPr>
              <w:ind w:left="29" w:right="49"/>
              <w:jc w:val="both"/>
              <w:rPr>
                <w:rFonts w:ascii="Palatino Linotype" w:hAnsi="Palatino Linotype"/>
                <w:color w:val="000000" w:themeColor="text1"/>
                <w:sz w:val="20"/>
                <w:lang w:val="es-ES"/>
              </w:rPr>
            </w:pPr>
            <w:r>
              <w:rPr>
                <w:rFonts w:ascii="Calibri" w:eastAsiaTheme="minorHAnsi" w:hAnsi="Calibri"/>
                <w:color w:val="000000"/>
                <w:sz w:val="22"/>
                <w:szCs w:val="22"/>
                <w:lang w:eastAsia="en-US"/>
              </w:rPr>
              <w:t>Refirió que el Manual de Organización, Reglamento Interno de la Subdirección de Catastro, Manual de Procedimientos</w:t>
            </w:r>
            <w:r>
              <w:rPr>
                <w:rFonts w:ascii="Calibri" w:eastAsiaTheme="minorHAnsi" w:hAnsi="Calibri"/>
                <w:color w:val="000000"/>
                <w:sz w:val="22"/>
                <w:szCs w:val="22"/>
                <w:lang w:eastAsia="en-US"/>
              </w:rPr>
              <w:t xml:space="preserve"> de la Tesorería Municipal vigentes, se encuentran publicadas en el link </w:t>
            </w:r>
            <w:hyperlink r:id="rId35">
              <w:r>
                <w:rPr>
                  <w:rFonts w:ascii="Calibri" w:eastAsiaTheme="minorHAnsi" w:hAnsi="Calibri"/>
                  <w:color w:val="000000"/>
                  <w:sz w:val="22"/>
                  <w:szCs w:val="22"/>
                  <w:lang w:eastAsia="en-US"/>
                </w:rPr>
                <w:t>www.metepec.org.mx</w:t>
              </w:r>
            </w:hyperlink>
          </w:p>
        </w:tc>
        <w:tc>
          <w:tcPr>
            <w:tcW w:w="2693" w:type="dxa"/>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No proporcionó los pasos a seguir para acceder a la información. </w:t>
            </w:r>
          </w:p>
        </w:tc>
        <w:tc>
          <w:tcPr>
            <w:tcW w:w="1552" w:type="dxa"/>
          </w:tcPr>
          <w:p w:rsidR="008A2DFA" w:rsidRDefault="00D60B2C">
            <w:pPr>
              <w:ind w:right="49"/>
              <w:jc w:val="center"/>
              <w:rPr>
                <w:rFonts w:ascii="Palatino Linotype" w:hAnsi="Palatino Linotype" w:cs="Bookman Old Style"/>
                <w:b/>
                <w:bCs/>
                <w:i/>
                <w:color w:val="000000" w:themeColor="text1"/>
              </w:rPr>
            </w:pPr>
            <w:r>
              <w:rPr>
                <w:rFonts w:ascii="Palatino Linotype" w:eastAsia="Calibri" w:hAnsi="Palatino Linotype"/>
                <w:b/>
                <w:color w:val="000000" w:themeColor="text1"/>
                <w:sz w:val="40"/>
                <w:szCs w:val="22"/>
                <w:lang w:val="es-ES" w:eastAsia="en-US"/>
              </w:rPr>
              <w:t>X</w:t>
            </w:r>
          </w:p>
        </w:tc>
      </w:tr>
      <w:tr w:rsidR="008A2DFA">
        <w:tc>
          <w:tcPr>
            <w:tcW w:w="2263" w:type="dxa"/>
          </w:tcPr>
          <w:p w:rsidR="008A2DFA" w:rsidRDefault="00D60B2C">
            <w:pPr>
              <w:pStyle w:val="Prrafodelista"/>
              <w:numPr>
                <w:ilvl w:val="0"/>
                <w:numId w:val="4"/>
              </w:numPr>
              <w:ind w:left="313" w:right="49" w:hanging="313"/>
              <w:jc w:val="both"/>
              <w:rPr>
                <w:rFonts w:ascii="Palatino Linotype" w:hAnsi="Palatino Linotype"/>
                <w:color w:val="000000" w:themeColor="text1"/>
                <w:sz w:val="20"/>
              </w:rPr>
            </w:pPr>
            <w:r>
              <w:rPr>
                <w:rFonts w:ascii="Palatino Linotype" w:eastAsia="Calibri" w:hAnsi="Palatino Linotype"/>
                <w:color w:val="000000" w:themeColor="text1"/>
                <w:sz w:val="20"/>
                <w:szCs w:val="22"/>
                <w:lang w:val="es-ES" w:eastAsia="en-US"/>
              </w:rPr>
              <w:t xml:space="preserve">Procedimientos que se utilizan para el cálculo, </w:t>
            </w:r>
            <w:r>
              <w:rPr>
                <w:rFonts w:ascii="Palatino Linotype" w:eastAsia="Calibri" w:hAnsi="Palatino Linotype"/>
                <w:color w:val="000000" w:themeColor="text1"/>
                <w:sz w:val="20"/>
                <w:szCs w:val="22"/>
                <w:lang w:val="es-ES" w:eastAsia="en-US"/>
              </w:rPr>
              <w:t>cuantificación y cobro del impuesto predial, dentro del manual de organización, reglamento interno y manual de procedimientos administrativos.</w:t>
            </w:r>
          </w:p>
        </w:tc>
        <w:tc>
          <w:tcPr>
            <w:tcW w:w="2695" w:type="dxa"/>
          </w:tcPr>
          <w:p w:rsidR="008A2DFA" w:rsidRDefault="00D60B2C">
            <w:pPr>
              <w:ind w:left="29" w:right="49"/>
              <w:jc w:val="both"/>
              <w:rPr>
                <w:rFonts w:ascii="Palatino Linotype" w:hAnsi="Palatino Linotype"/>
                <w:color w:val="000000" w:themeColor="text1"/>
                <w:sz w:val="20"/>
                <w:lang w:val="es-ES"/>
              </w:rPr>
            </w:pPr>
            <w:r>
              <w:rPr>
                <w:rFonts w:ascii="Calibri" w:eastAsiaTheme="minorHAnsi" w:hAnsi="Calibri"/>
                <w:color w:val="000000"/>
                <w:sz w:val="22"/>
                <w:szCs w:val="22"/>
                <w:lang w:eastAsia="en-US"/>
              </w:rPr>
              <w:t>Refirió que el Código Financiero del Estado de México y Municipios, Reglamento del Título Quinto del Catastro y l</w:t>
            </w:r>
            <w:r>
              <w:rPr>
                <w:rFonts w:ascii="Calibri" w:eastAsiaTheme="minorHAnsi" w:hAnsi="Calibri"/>
                <w:color w:val="000000"/>
                <w:sz w:val="22"/>
                <w:szCs w:val="22"/>
                <w:lang w:eastAsia="en-US"/>
              </w:rPr>
              <w:t>as modificaciones publicadas el 11 de febrero de 2020, con el que se rige la Subdirección de Catastro, para llevar a cabo la asignación de las claves catastrales, mimos que están publicados en en link legislación.edomex.gob.mx. Por lo que respecta al Manua</w:t>
            </w:r>
            <w:r>
              <w:rPr>
                <w:rFonts w:ascii="Calibri" w:eastAsiaTheme="minorHAnsi" w:hAnsi="Calibri"/>
                <w:color w:val="000000"/>
                <w:sz w:val="22"/>
                <w:szCs w:val="22"/>
                <w:lang w:eastAsia="en-US"/>
              </w:rPr>
              <w:t xml:space="preserve">l Catastral se encuentra publicado en la página electrónica </w:t>
            </w:r>
            <w:hyperlink r:id="rId36">
              <w:r>
                <w:rPr>
                  <w:rFonts w:ascii="Calibri" w:eastAsiaTheme="minorHAnsi" w:hAnsi="Calibri"/>
                  <w:color w:val="000000"/>
                  <w:sz w:val="22"/>
                  <w:szCs w:val="22"/>
                  <w:lang w:eastAsia="en-US"/>
                </w:rPr>
                <w:t>http://igecem.edomex.gob.mx</w:t>
              </w:r>
            </w:hyperlink>
          </w:p>
        </w:tc>
        <w:tc>
          <w:tcPr>
            <w:tcW w:w="2693" w:type="dxa"/>
          </w:tcPr>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 xml:space="preserve">Derivado que los solicitantes de información no son expertos o especialistas en la materia; por lo que, es deber de los </w:t>
            </w:r>
            <w:r>
              <w:rPr>
                <w:rFonts w:ascii="Palatino Linotype" w:eastAsia="Calibri" w:hAnsi="Palatino Linotype"/>
                <w:color w:val="000000" w:themeColor="text1"/>
                <w:sz w:val="20"/>
                <w:szCs w:val="22"/>
                <w:lang w:val="es-ES" w:eastAsia="en-US"/>
              </w:rPr>
              <w:t>Sujetos Obligados orientarlos o requerirlos para que indiquen otros elementos que complementen, corrijan o amplíen los datos proporcionados o bien, precisen la información.</w:t>
            </w:r>
          </w:p>
          <w:p w:rsidR="008A2DFA" w:rsidRDefault="008A2DFA">
            <w:pPr>
              <w:ind w:left="29" w:right="49"/>
              <w:jc w:val="both"/>
              <w:rPr>
                <w:rFonts w:ascii="Palatino Linotype" w:hAnsi="Palatino Linotype"/>
                <w:color w:val="000000" w:themeColor="text1"/>
                <w:sz w:val="20"/>
                <w:lang w:val="es-ES"/>
              </w:rPr>
            </w:pPr>
          </w:p>
          <w:p w:rsidR="008A2DFA" w:rsidRDefault="00D60B2C">
            <w:pPr>
              <w:ind w:left="29" w:right="49"/>
              <w:jc w:val="both"/>
              <w:rPr>
                <w:rFonts w:ascii="Palatino Linotype" w:hAnsi="Palatino Linotype"/>
                <w:color w:val="000000" w:themeColor="text1"/>
                <w:sz w:val="20"/>
                <w:lang w:val="es-ES"/>
              </w:rPr>
            </w:pPr>
            <w:r>
              <w:rPr>
                <w:rFonts w:ascii="Palatino Linotype" w:eastAsia="Calibri" w:hAnsi="Palatino Linotype"/>
                <w:color w:val="000000" w:themeColor="text1"/>
                <w:sz w:val="20"/>
                <w:szCs w:val="22"/>
                <w:lang w:val="es-ES" w:eastAsia="en-US"/>
              </w:rPr>
              <w:t>Bajo ese contexto, es importante señalar que si bien el particular requirió el ppr</w:t>
            </w:r>
            <w:r>
              <w:rPr>
                <w:rFonts w:ascii="Palatino Linotype" w:eastAsia="Calibri" w:hAnsi="Palatino Linotype"/>
                <w:color w:val="000000" w:themeColor="text1"/>
                <w:sz w:val="20"/>
                <w:szCs w:val="22"/>
                <w:lang w:val="es-ES" w:eastAsia="en-US"/>
              </w:rPr>
              <w:t xml:space="preserve">ocedimientos que se utilizan para el cálculo, cuantificación y cobro del impuesto predial; este Órgano Garante en el ámbito de sus </w:t>
            </w:r>
            <w:r>
              <w:rPr>
                <w:rFonts w:ascii="Palatino Linotype" w:eastAsia="Calibri" w:hAnsi="Palatino Linotype"/>
                <w:color w:val="000000" w:themeColor="text1"/>
                <w:sz w:val="20"/>
                <w:szCs w:val="22"/>
                <w:lang w:val="es-ES" w:eastAsia="en-US"/>
              </w:rPr>
              <w:lastRenderedPageBreak/>
              <w:t>atribuciones establecidas en los artículos 13 y 181 de la Ley de Transparencia y Acceso a la Información Pública del Estado d</w:t>
            </w:r>
            <w:r>
              <w:rPr>
                <w:rFonts w:ascii="Palatino Linotype" w:eastAsia="Calibri" w:hAnsi="Palatino Linotype"/>
                <w:color w:val="000000" w:themeColor="text1"/>
                <w:sz w:val="20"/>
                <w:szCs w:val="22"/>
                <w:lang w:val="es-ES" w:eastAsia="en-US"/>
              </w:rPr>
              <w:t>e México y Municipios, suple la deficiencia presentada en la solicitud de información, precisando para ello, que lo que desea tener acceso el particular es al procedimiento para el cálculo o determinación del valor catastral el cual es la base del cobro de</w:t>
            </w:r>
            <w:r>
              <w:rPr>
                <w:rFonts w:ascii="Palatino Linotype" w:eastAsia="Calibri" w:hAnsi="Palatino Linotype"/>
                <w:color w:val="000000" w:themeColor="text1"/>
                <w:sz w:val="20"/>
                <w:szCs w:val="22"/>
                <w:lang w:val="es-ES" w:eastAsia="en-US"/>
              </w:rPr>
              <w:t xml:space="preserve">l impuesto predial. </w:t>
            </w:r>
          </w:p>
        </w:tc>
        <w:tc>
          <w:tcPr>
            <w:tcW w:w="1552" w:type="dxa"/>
          </w:tcPr>
          <w:p w:rsidR="008A2DFA" w:rsidRDefault="008A2DFA">
            <w:pPr>
              <w:pStyle w:val="Prrafodelista"/>
              <w:numPr>
                <w:ilvl w:val="0"/>
                <w:numId w:val="3"/>
              </w:numPr>
              <w:ind w:right="49" w:hanging="686"/>
              <w:jc w:val="center"/>
              <w:rPr>
                <w:rFonts w:ascii="Palatino Linotype" w:hAnsi="Palatino Linotype" w:cs="Bookman Old Style"/>
                <w:b/>
                <w:bCs/>
                <w:i/>
                <w:color w:val="000000" w:themeColor="text1"/>
              </w:rPr>
            </w:pPr>
          </w:p>
        </w:tc>
      </w:tr>
    </w:tbl>
    <w:p w:rsidR="008A2DFA" w:rsidRDefault="008A2DFA">
      <w:pPr>
        <w:spacing w:line="360" w:lineRule="auto"/>
        <w:jc w:val="both"/>
        <w:rPr>
          <w:rFonts w:ascii="Palatino Linotype" w:hAnsi="Palatino Linotype" w:cs="Arial"/>
          <w:color w:val="000000" w:themeColor="text1"/>
          <w:highlight w:val="yellow"/>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lo anterior, se puede advertir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no satisfizo el derecho de acceso a la información ejercido por el particular, pues como se puede observar en la tabla que antecede, atendió de manera parcial la misma.</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Lo an</w:t>
      </w:r>
      <w:r>
        <w:rPr>
          <w:rFonts w:ascii="Palatino Linotype" w:hAnsi="Palatino Linotype"/>
          <w:color w:val="000000" w:themeColor="text1"/>
          <w:lang w:val="es-ES"/>
        </w:rPr>
        <w:t xml:space="preserve">terior es así, pues respecto al requerimiento identificado con el inciso a) relacionado con el </w:t>
      </w:r>
      <w:r>
        <w:rPr>
          <w:rFonts w:ascii="Palatino Linotype" w:hAnsi="Palatino Linotype"/>
          <w:i/>
          <w:color w:val="000000" w:themeColor="text1"/>
          <w:lang w:val="es-ES"/>
        </w:rPr>
        <w:t xml:space="preserve">nombre completo de los servidores públicos que participan </w:t>
      </w:r>
      <w:r>
        <w:rPr>
          <w:rFonts w:ascii="Palatino Linotype" w:eastAsiaTheme="minorEastAsia" w:hAnsi="Palatino Linotype" w:cs="Bookman Old Style"/>
          <w:bCs/>
          <w:i/>
          <w:color w:val="000000" w:themeColor="text1"/>
          <w:sz w:val="20"/>
          <w:szCs w:val="20"/>
        </w:rPr>
        <w:t xml:space="preserve">en la elaboración, revisión y autorización de la tipologías, asignación de claves catastrales, para el </w:t>
      </w:r>
      <w:r>
        <w:rPr>
          <w:rFonts w:ascii="Palatino Linotype" w:eastAsiaTheme="minorEastAsia" w:hAnsi="Palatino Linotype" w:cs="Bookman Old Style"/>
          <w:bCs/>
          <w:i/>
          <w:color w:val="000000" w:themeColor="text1"/>
          <w:sz w:val="20"/>
          <w:szCs w:val="20"/>
        </w:rPr>
        <w:t>pago del impuesto predial</w:t>
      </w:r>
      <w:r>
        <w:rPr>
          <w:rFonts w:ascii="Palatino Linotype" w:hAnsi="Palatino Linotype"/>
          <w:i/>
          <w:color w:val="000000" w:themeColor="text1"/>
          <w:lang w:val="es-ES"/>
        </w:rPr>
        <w:t xml:space="preserve">; </w:t>
      </w:r>
      <w:r>
        <w:rPr>
          <w:rFonts w:ascii="Palatino Linotype" w:hAnsi="Palatino Linotype"/>
          <w:b/>
          <w:color w:val="000000" w:themeColor="text1"/>
          <w:lang w:val="es-ES"/>
        </w:rPr>
        <w:t xml:space="preserve">EL SUJETO OBLIGADO </w:t>
      </w:r>
      <w:r>
        <w:rPr>
          <w:rFonts w:ascii="Palatino Linotype" w:hAnsi="Palatino Linotype"/>
          <w:color w:val="000000" w:themeColor="text1"/>
          <w:lang w:val="es-ES"/>
        </w:rPr>
        <w:t xml:space="preserve">proporcionó los siguientes nombres: </w:t>
      </w:r>
    </w:p>
    <w:p w:rsidR="008A2DFA" w:rsidRDefault="00D60B2C">
      <w:pPr>
        <w:spacing w:line="360" w:lineRule="auto"/>
        <w:jc w:val="both"/>
        <w:rPr>
          <w:rFonts w:ascii="Palatino Linotype" w:hAnsi="Palatino Linotype"/>
          <w:color w:val="000000" w:themeColor="text1"/>
          <w:lang w:val="es-ES"/>
        </w:rPr>
      </w:pPr>
      <w:r>
        <w:rPr>
          <w:noProof/>
          <w:lang w:eastAsia="es-MX"/>
        </w:rPr>
        <w:lastRenderedPageBreak/>
        <w:drawing>
          <wp:inline distT="0" distB="0" distL="0" distR="0">
            <wp:extent cx="5850890" cy="4521200"/>
            <wp:effectExtent l="0" t="0" r="0" b="0"/>
            <wp:docPr id="2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46"/>
                    <pic:cNvPicPr>
                      <a:picLocks noChangeAspect="1" noChangeArrowheads="1"/>
                    </pic:cNvPicPr>
                  </pic:nvPicPr>
                  <pic:blipFill>
                    <a:blip r:embed="rId37"/>
                    <a:stretch>
                      <a:fillRect/>
                    </a:stretch>
                  </pic:blipFill>
                  <pic:spPr bwMode="auto">
                    <a:xfrm>
                      <a:off x="0" y="0"/>
                      <a:ext cx="5850890" cy="4521200"/>
                    </a:xfrm>
                    <a:prstGeom prst="rect">
                      <a:avLst/>
                    </a:prstGeom>
                  </pic:spPr>
                </pic:pic>
              </a:graphicData>
            </a:graphic>
          </wp:inline>
        </w:drawing>
      </w:r>
    </w:p>
    <w:p w:rsidR="008A2DFA" w:rsidRDefault="008A2DFA">
      <w:pPr>
        <w:spacing w:line="360" w:lineRule="auto"/>
        <w:jc w:val="center"/>
        <w:rPr>
          <w:rFonts w:ascii="Palatino Linotype" w:hAnsi="Palatino Linotype"/>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Atento a ello, dicho requerimiento se tiene por atendido por </w:t>
      </w:r>
      <w:r>
        <w:rPr>
          <w:rFonts w:ascii="Palatino Linotype" w:hAnsi="Palatino Linotype"/>
          <w:b/>
          <w:color w:val="000000" w:themeColor="text1"/>
          <w:lang w:val="es-ES"/>
        </w:rPr>
        <w:t xml:space="preserve">EL SUJETO OBLIGADO </w:t>
      </w:r>
      <w:r>
        <w:rPr>
          <w:rFonts w:ascii="Palatino Linotype" w:hAnsi="Palatino Linotype"/>
          <w:color w:val="000000" w:themeColor="text1"/>
          <w:lang w:val="es-ES"/>
        </w:rPr>
        <w:t xml:space="preserve">pues como se puede observar se proporcionó el nombre completo de 8 servidores públicos responsables de asignar, revisar y autorizar de claves catastrales. </w:t>
      </w:r>
    </w:p>
    <w:p w:rsidR="008A2DFA" w:rsidRDefault="008A2DFA">
      <w:pPr>
        <w:spacing w:line="360" w:lineRule="auto"/>
        <w:jc w:val="both"/>
        <w:rPr>
          <w:rFonts w:ascii="Palatino Linotype" w:hAnsi="Palatino Linotype"/>
          <w:color w:val="000000" w:themeColor="text1"/>
          <w:lang w:val="es-ES"/>
        </w:rPr>
      </w:pPr>
    </w:p>
    <w:p w:rsidR="008A2DFA" w:rsidRDefault="00D60B2C">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Ahora bien, por cuanto hace al requerimiento identificado con el inciso b), relacionado con el carg</w:t>
      </w:r>
      <w:r>
        <w:rPr>
          <w:rFonts w:ascii="Palatino Linotype" w:hAnsi="Palatino Linotype"/>
          <w:color w:val="000000" w:themeColor="text1"/>
          <w:lang w:val="es-ES"/>
        </w:rPr>
        <w:t xml:space="preserve">o y percepción salarial; al respecto, es de señalar que si bien se proporcionó el cargo de los servidores públicos y </w:t>
      </w:r>
      <w:r>
        <w:rPr>
          <w:rFonts w:ascii="Palatino Linotype" w:hAnsi="Palatino Linotype"/>
          <w:b/>
          <w:color w:val="000000" w:themeColor="text1"/>
          <w:lang w:val="es-ES"/>
        </w:rPr>
        <w:t xml:space="preserve">EL SUJETO OBLIGADO </w:t>
      </w:r>
      <w:r>
        <w:rPr>
          <w:rFonts w:ascii="Palatino Linotype" w:hAnsi="Palatino Linotype"/>
          <w:color w:val="000000" w:themeColor="text1"/>
          <w:lang w:val="es-ES"/>
        </w:rPr>
        <w:t xml:space="preserve">pretendió dar atención a dicho requerimiento con la entrega del tabulador de sueldos; de las mismas no se </w:t>
      </w:r>
      <w:r>
        <w:rPr>
          <w:rFonts w:ascii="Palatino Linotype" w:hAnsi="Palatino Linotype"/>
          <w:color w:val="000000" w:themeColor="text1"/>
          <w:lang w:val="es-ES"/>
        </w:rPr>
        <w:lastRenderedPageBreak/>
        <w:t>puede advertir</w:t>
      </w:r>
      <w:r>
        <w:rPr>
          <w:rFonts w:ascii="Palatino Linotype" w:hAnsi="Palatino Linotype"/>
          <w:color w:val="000000" w:themeColor="text1"/>
          <w:lang w:val="es-ES"/>
        </w:rPr>
        <w:t xml:space="preserve"> la percepción de cada uno de ellos, pues del mimo no se encuentran considerados todos los cargos referidos en respuesta y en algunos cargos se advierten varios niveles, por lo que no es posible determinar la percepción de los servidores públicos. Atento a</w:t>
      </w:r>
      <w:r>
        <w:rPr>
          <w:rFonts w:ascii="Palatino Linotype" w:hAnsi="Palatino Linotype"/>
          <w:color w:val="000000" w:themeColor="text1"/>
          <w:lang w:val="es-ES"/>
        </w:rPr>
        <w:t xml:space="preserve"> ello, este Órgano Garante determina ordenar de ser procedente en </w:t>
      </w:r>
      <w:r>
        <w:rPr>
          <w:rFonts w:ascii="Palatino Linotype" w:hAnsi="Palatino Linotype"/>
          <w:b/>
          <w:color w:val="000000" w:themeColor="text1"/>
          <w:lang w:val="es-ES"/>
        </w:rPr>
        <w:t xml:space="preserve">versión pública </w:t>
      </w:r>
      <w:r>
        <w:rPr>
          <w:rFonts w:ascii="Palatino Linotype" w:hAnsi="Palatino Linotype"/>
          <w:color w:val="000000" w:themeColor="text1"/>
          <w:lang w:val="es-ES"/>
        </w:rPr>
        <w:t>al entrega del documento o documentos donde conste la percepción salarial de los servidores públicos relacionados en respuesta, el cual puede ser atendida de manera enunciati</w:t>
      </w:r>
      <w:r>
        <w:rPr>
          <w:rFonts w:ascii="Palatino Linotype" w:hAnsi="Palatino Linotype"/>
          <w:color w:val="000000" w:themeColor="text1"/>
          <w:lang w:val="es-ES"/>
        </w:rPr>
        <w:t xml:space="preserve">va más no limitativa con la entrega de los recibos de nómina. </w:t>
      </w:r>
    </w:p>
    <w:p w:rsidR="008A2DFA" w:rsidRDefault="008A2DFA">
      <w:pPr>
        <w:spacing w:line="360" w:lineRule="auto"/>
        <w:ind w:left="709" w:right="760"/>
        <w:jc w:val="both"/>
        <w:rPr>
          <w:rFonts w:ascii="Palatino Linotype" w:eastAsiaTheme="minorEastAsia" w:hAnsi="Palatino Linotype" w:hint="eastAsia"/>
          <w:i/>
          <w:color w:val="000000" w:themeColor="text1"/>
          <w:sz w:val="22"/>
          <w:szCs w:val="22"/>
          <w:lang w:val="es-ES"/>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lang w:val="es-ES"/>
        </w:rPr>
        <w:t xml:space="preserve">Por otro lado, en relación al requerimiento identificado con el inciso c), relacionado con el Gafete de los servidores públicos; al respecto, es de señalar que si bien </w:t>
      </w:r>
      <w:r>
        <w:rPr>
          <w:rFonts w:ascii="Palatino Linotype" w:hAnsi="Palatino Linotype" w:cs="Arial"/>
          <w:b/>
          <w:color w:val="000000" w:themeColor="text1"/>
          <w:lang w:val="es-ES"/>
        </w:rPr>
        <w:t xml:space="preserve">EL SUJETO OBLIGADO </w:t>
      </w:r>
      <w:r>
        <w:rPr>
          <w:rFonts w:ascii="Palatino Linotype" w:hAnsi="Palatino Linotype" w:cs="Arial"/>
          <w:color w:val="000000" w:themeColor="text1"/>
          <w:lang w:val="es-ES"/>
        </w:rPr>
        <w:t>remit</w:t>
      </w:r>
      <w:r>
        <w:rPr>
          <w:rFonts w:ascii="Palatino Linotype" w:hAnsi="Palatino Linotype" w:cs="Arial"/>
          <w:color w:val="000000" w:themeColor="text1"/>
          <w:lang w:val="es-ES"/>
        </w:rPr>
        <w:t>ió los gafetes de los servidores públicos solicitados; dicho requerimiento no atiende el derecho de acceso a la información por el particular, pues la</w:t>
      </w:r>
      <w:r>
        <w:rPr>
          <w:rFonts w:ascii="Palatino Linotype" w:hAnsi="Palatino Linotype" w:cs="Arial"/>
          <w:color w:val="000000" w:themeColor="text1"/>
        </w:rPr>
        <w:t xml:space="preserve"> pretendida versión pública de los gafetes, no se encuentra sustentada mediante </w:t>
      </w:r>
      <w:r>
        <w:rPr>
          <w:rFonts w:ascii="Palatino Linotype" w:eastAsiaTheme="minorEastAsia" w:hAnsi="Palatino Linotype" w:cs="Arial"/>
          <w:color w:val="000000" w:themeColor="text1"/>
          <w:lang w:val="es-ES_tradnl"/>
        </w:rPr>
        <w:t>el Acuerdo de Clasificació</w:t>
      </w:r>
      <w:r>
        <w:rPr>
          <w:rFonts w:ascii="Palatino Linotype" w:eastAsiaTheme="minorEastAsia" w:hAnsi="Palatino Linotype" w:cs="Arial"/>
          <w:color w:val="000000" w:themeColor="text1"/>
          <w:lang w:val="es-ES_tradnl"/>
        </w:rPr>
        <w:t xml:space="preserve">n correspondiente; asimismo, es importante señalar que se </w:t>
      </w:r>
      <w:r>
        <w:rPr>
          <w:rFonts w:ascii="Palatino Linotype" w:hAnsi="Palatino Linotype" w:cs="Arial"/>
          <w:color w:val="000000" w:themeColor="text1"/>
        </w:rPr>
        <w:t xml:space="preserve">testaron datos que no son susceptibles de clasificar como confidencial como es el caso de la fotografía de los servidores públicos y firma.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Lo anterior es así, pues la </w:t>
      </w:r>
      <w:r>
        <w:rPr>
          <w:rFonts w:ascii="Palatino Linotype" w:hAnsi="Palatino Linotype" w:cs="Arial"/>
          <w:b/>
          <w:color w:val="000000" w:themeColor="text1"/>
        </w:rPr>
        <w:t xml:space="preserve">fotografía </w:t>
      </w:r>
      <w:r>
        <w:rPr>
          <w:rFonts w:ascii="Palatino Linotype" w:hAnsi="Palatino Linotype" w:cs="Arial"/>
          <w:color w:val="000000" w:themeColor="text1"/>
        </w:rPr>
        <w:t xml:space="preserve">contenida en </w:t>
      </w:r>
      <w:r>
        <w:rPr>
          <w:rFonts w:ascii="Palatino Linotype" w:hAnsi="Palatino Linotype" w:cs="Arial"/>
          <w:color w:val="000000" w:themeColor="text1"/>
        </w:rPr>
        <w:t>gafetes, al corresponder a servidores públicos no es susceptible de clasificarse con carácter de confidencial aún y cuando es considerada como dato personal; ello en razón de que los servidores públicos que desempeñan cargos cuyas atribuciones -entre otras</w:t>
      </w:r>
      <w:r>
        <w:rPr>
          <w:rFonts w:ascii="Palatino Linotype" w:hAnsi="Palatino Linotype" w:cs="Arial"/>
          <w:color w:val="000000" w:themeColor="text1"/>
        </w:rPr>
        <w:t xml:space="preserve">- son enfocadas a un rol de dirección, así como las de brindar atención al público en general a través de trámites generales básicos, con el fin de lograr la eficiencia y eficacia en el ejercicio del derecho </w:t>
      </w:r>
      <w:r>
        <w:rPr>
          <w:rFonts w:ascii="Palatino Linotype" w:hAnsi="Palatino Linotype" w:cs="Arial"/>
          <w:color w:val="000000" w:themeColor="text1"/>
        </w:rPr>
        <w:lastRenderedPageBreak/>
        <w:t xml:space="preserve">a la protección de datos personales de parte de </w:t>
      </w:r>
      <w:r>
        <w:rPr>
          <w:rFonts w:ascii="Palatino Linotype" w:hAnsi="Palatino Linotype" w:cs="Arial"/>
          <w:color w:val="000000" w:themeColor="text1"/>
        </w:rPr>
        <w:t>los Sujetos Obligados, por lo que ellos son el contacto directo entre éstos y los particulares.</w:t>
      </w:r>
    </w:p>
    <w:p w:rsidR="008A2DFA" w:rsidRDefault="008A2DFA">
      <w:pPr>
        <w:spacing w:line="360" w:lineRule="auto"/>
        <w:ind w:right="-93"/>
        <w:jc w:val="both"/>
        <w:rPr>
          <w:rFonts w:ascii="Palatino Linotype" w:eastAsiaTheme="minorEastAsia" w:hAnsi="Palatino Linotype" w:cstheme="minorBidi" w:hint="eastAsia"/>
          <w:color w:val="000000" w:themeColor="text1"/>
          <w:sz w:val="20"/>
          <w:szCs w:val="20"/>
        </w:rPr>
      </w:pPr>
    </w:p>
    <w:p w:rsidR="008A2DFA" w:rsidRDefault="00D60B2C">
      <w:pPr>
        <w:spacing w:line="360" w:lineRule="auto"/>
        <w:ind w:right="-93"/>
        <w:jc w:val="both"/>
        <w:rPr>
          <w:rFonts w:ascii="Palatino Linotype" w:hAnsi="Palatino Linotype" w:cs="Arial"/>
          <w:color w:val="000000" w:themeColor="text1"/>
        </w:rPr>
      </w:pPr>
      <w:r>
        <w:rPr>
          <w:rFonts w:ascii="Palatino Linotype" w:hAnsi="Palatino Linotype" w:cs="Arial"/>
          <w:color w:val="000000" w:themeColor="text1"/>
        </w:rPr>
        <w:t>Dicho de otra manera, la publicidad de la imagen de su rostro permite que sea asociado, en su caso con su nombre, cargo y función de gobierno; lo que permite a</w:t>
      </w:r>
      <w:r>
        <w:rPr>
          <w:rFonts w:ascii="Palatino Linotype" w:hAnsi="Palatino Linotype" w:cs="Arial"/>
          <w:color w:val="000000" w:themeColor="text1"/>
        </w:rPr>
        <w:t xml:space="preserve"> la ciudadanía identificar al servidor público encargado del trámite que le interesa o el que autorizó el acto de gobierno solicitado o en el que directamente se ve involucrado.</w:t>
      </w:r>
    </w:p>
    <w:p w:rsidR="008A2DFA" w:rsidRDefault="008A2DFA">
      <w:pPr>
        <w:spacing w:line="360" w:lineRule="auto"/>
        <w:ind w:right="-93"/>
        <w:jc w:val="both"/>
        <w:rPr>
          <w:rFonts w:ascii="Palatino Linotype" w:hAnsi="Palatino Linotype" w:cs="Arial"/>
          <w:color w:val="000000" w:themeColor="text1"/>
        </w:rPr>
      </w:pPr>
    </w:p>
    <w:p w:rsidR="008A2DFA" w:rsidRDefault="00D60B2C">
      <w:pPr>
        <w:spacing w:line="360" w:lineRule="auto"/>
        <w:ind w:right="-93"/>
        <w:jc w:val="both"/>
        <w:rPr>
          <w:rFonts w:ascii="Palatino Linotype" w:hAnsi="Palatino Linotype" w:cs="Arial"/>
          <w:color w:val="000000" w:themeColor="text1"/>
        </w:rPr>
      </w:pPr>
      <w:r>
        <w:rPr>
          <w:rFonts w:ascii="Palatino Linotype" w:hAnsi="Palatino Linotype" w:cs="Arial"/>
          <w:color w:val="000000" w:themeColor="text1"/>
        </w:rPr>
        <w:t xml:space="preserve">Asimismo, se estima que ostentar un cargo público conlleva a permitir cierta </w:t>
      </w:r>
      <w:r>
        <w:rPr>
          <w:rFonts w:ascii="Palatino Linotype" w:hAnsi="Palatino Linotype" w:cs="Arial"/>
          <w:color w:val="000000" w:themeColor="text1"/>
        </w:rPr>
        <w:t xml:space="preserve">intromisión en la vida de los servidores públicos cuando la información reviste relevancia por o para el ejercicio de sus funciones; en este caso, tienen que ceder o conceder la publicidad de su imagen cuando derivado de sus atribuciones atiende de manera </w:t>
      </w:r>
      <w:r>
        <w:rPr>
          <w:rFonts w:ascii="Palatino Linotype" w:hAnsi="Palatino Linotype" w:cs="Arial"/>
          <w:color w:val="000000" w:themeColor="text1"/>
        </w:rPr>
        <w:t>directa trámites o servicios o, aun no siendo de manera directa, son los responsables de autorizarlos o bien otorgan atención al público.</w:t>
      </w:r>
    </w:p>
    <w:p w:rsidR="008A2DFA" w:rsidRDefault="008A2DFA">
      <w:pPr>
        <w:spacing w:line="360" w:lineRule="auto"/>
        <w:ind w:right="-93"/>
        <w:jc w:val="both"/>
        <w:rPr>
          <w:rFonts w:ascii="Palatino Linotype" w:hAnsi="Palatino Linotype" w:cs="Arial"/>
          <w:color w:val="000000" w:themeColor="text1"/>
        </w:rPr>
      </w:pPr>
    </w:p>
    <w:p w:rsidR="008A2DFA" w:rsidRDefault="00D60B2C">
      <w:pPr>
        <w:spacing w:line="360" w:lineRule="auto"/>
        <w:ind w:right="-93"/>
        <w:jc w:val="both"/>
        <w:rPr>
          <w:rFonts w:ascii="Palatino Linotype" w:hAnsi="Palatino Linotype" w:cs="Arial"/>
          <w:color w:val="000000" w:themeColor="text1"/>
        </w:rPr>
      </w:pPr>
      <w:r>
        <w:rPr>
          <w:rFonts w:ascii="Palatino Linotype" w:hAnsi="Palatino Linotype" w:cs="Arial"/>
          <w:color w:val="000000" w:themeColor="text1"/>
        </w:rPr>
        <w:t xml:space="preserve">Por lo anterior, la transparencia es imprescindible para la vigilancia pública, por ello, no se considera procedente </w:t>
      </w:r>
      <w:r>
        <w:rPr>
          <w:rFonts w:ascii="Palatino Linotype" w:hAnsi="Palatino Linotype" w:cs="Arial"/>
          <w:color w:val="000000" w:themeColor="text1"/>
        </w:rPr>
        <w:t xml:space="preserve">la clasificación como información confidencial la fotografía de un servidor público responsable de algún trámite o bien de dar atención al público, pues resulta mayor el beneficio de conocer a dichos servidores públicos.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Ahora bien, respecto a la </w:t>
      </w:r>
      <w:r>
        <w:rPr>
          <w:rFonts w:ascii="Palatino Linotype" w:hAnsi="Palatino Linotype" w:cs="Arial"/>
          <w:b/>
          <w:color w:val="000000" w:themeColor="text1"/>
        </w:rPr>
        <w:t xml:space="preserve">firma </w:t>
      </w:r>
      <w:r>
        <w:rPr>
          <w:rFonts w:ascii="Palatino Linotype" w:hAnsi="Palatino Linotype" w:cs="Arial"/>
          <w:color w:val="000000" w:themeColor="text1"/>
        </w:rPr>
        <w:t xml:space="preserve">puede definirse como una marca o signo hecho por un individuo en un instrumento o documento para significar el conocimiento, aprobación, aceptación o adjudicación de una obligación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En esta tesitura, la firma es considerada como un atributo de la personal</w:t>
      </w:r>
      <w:r>
        <w:rPr>
          <w:rFonts w:ascii="Palatino Linotype" w:hAnsi="Palatino Linotype" w:cs="Arial"/>
          <w:color w:val="000000" w:themeColor="text1"/>
        </w:rPr>
        <w:t>idad de los individuos, en virtud de que, a través de ésta, se puede identificar a una persona: derivado de ello, es un dato que debe ser clasificado como confidencial, de conformidad con lo que establece la fracción 1 del artículo 113 de la Ley Federal de</w:t>
      </w:r>
      <w:r>
        <w:rPr>
          <w:rFonts w:ascii="Palatino Linotype" w:hAnsi="Palatino Linotype" w:cs="Arial"/>
          <w:color w:val="000000" w:themeColor="text1"/>
        </w:rPr>
        <w:t xml:space="preserve"> Transparencia y Acceso a la Información Pública.</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olor w:val="000000" w:themeColor="text1"/>
        </w:rPr>
      </w:pPr>
      <w:r>
        <w:rPr>
          <w:rFonts w:ascii="Palatino Linotype" w:hAnsi="Palatino Linotype" w:cs="Arial"/>
          <w:color w:val="000000" w:themeColor="text1"/>
        </w:rPr>
        <w:t>Sin embargo, la firma contenida en gafetes, debe ser considerada pública, pues al haberse firmado en el ejercicio de las funciones que tiene conferidas es servidor público, no es susceptible de clasificars</w:t>
      </w:r>
      <w:r>
        <w:rPr>
          <w:rFonts w:ascii="Palatino Linotype" w:hAnsi="Palatino Linotype" w:cs="Arial"/>
          <w:color w:val="000000" w:themeColor="text1"/>
        </w:rPr>
        <w:t xml:space="preserve">e como confidencial. </w:t>
      </w:r>
      <w:r>
        <w:rPr>
          <w:rFonts w:ascii="Palatino Linotype" w:hAnsi="Palatino Linotype"/>
          <w:color w:val="000000" w:themeColor="text1"/>
        </w:rPr>
        <w:t>Sirviendo de sustento, el criterio 02/19 emitido por el Instituto Nacional de Transparencia y Acceso a la Información Pública (INAI), que a la letra reza:</w:t>
      </w:r>
    </w:p>
    <w:p w:rsidR="008A2DFA" w:rsidRDefault="008A2DFA">
      <w:pPr>
        <w:jc w:val="both"/>
        <w:rPr>
          <w:rFonts w:ascii="Palatino Linotype" w:hAnsi="Palatino Linotype"/>
          <w:color w:val="000000" w:themeColor="text1"/>
        </w:rPr>
      </w:pPr>
    </w:p>
    <w:p w:rsidR="008A2DFA" w:rsidRDefault="00D60B2C">
      <w:pPr>
        <w:ind w:left="851" w:right="992"/>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 xml:space="preserve">“Firma y rúbrica de servidores públicos. </w:t>
      </w:r>
      <w:r>
        <w:rPr>
          <w:rFonts w:ascii="Palatino Linotype" w:hAnsi="Palatino Linotype"/>
          <w:i/>
          <w:color w:val="000000" w:themeColor="text1"/>
          <w:sz w:val="22"/>
          <w:szCs w:val="22"/>
        </w:rPr>
        <w:t>Si bien la firma y la rúbrica son dato</w:t>
      </w:r>
      <w:r>
        <w:rPr>
          <w:rFonts w:ascii="Palatino Linotype" w:hAnsi="Palatino Linotype"/>
          <w:i/>
          <w:color w:val="000000" w:themeColor="text1"/>
          <w:sz w:val="22"/>
          <w:szCs w:val="22"/>
        </w:rPr>
        <w:t>s personales confidenciales, cuando un servidor público emite un acto como autoridad, en ejercicio de las funciones que tiene conferidas, la firma o rúbrica mediante la cual se valida dicho acto es pública.</w:t>
      </w:r>
    </w:p>
    <w:p w:rsidR="008A2DFA" w:rsidRDefault="008A2DFA">
      <w:pPr>
        <w:ind w:left="851" w:right="992"/>
        <w:jc w:val="both"/>
        <w:rPr>
          <w:rFonts w:ascii="Palatino Linotype" w:hAnsi="Palatino Linotype"/>
          <w:b/>
          <w:i/>
          <w:color w:val="000000" w:themeColor="text1"/>
          <w:sz w:val="22"/>
          <w:szCs w:val="22"/>
        </w:rPr>
      </w:pPr>
    </w:p>
    <w:p w:rsidR="008A2DFA" w:rsidRDefault="00D60B2C">
      <w:pPr>
        <w:ind w:left="851" w:right="992"/>
        <w:jc w:val="both"/>
        <w:rPr>
          <w:rFonts w:ascii="Palatino Linotype" w:hAnsi="Palatino Linotype"/>
          <w:b/>
          <w:i/>
          <w:color w:val="000000" w:themeColor="text1"/>
          <w:sz w:val="22"/>
          <w:szCs w:val="22"/>
        </w:rPr>
      </w:pPr>
      <w:r>
        <w:rPr>
          <w:rFonts w:ascii="Palatino Linotype" w:hAnsi="Palatino Linotype"/>
          <w:b/>
          <w:i/>
          <w:color w:val="000000" w:themeColor="text1"/>
          <w:sz w:val="22"/>
          <w:szCs w:val="22"/>
        </w:rPr>
        <w:t>Resoluciones:</w:t>
      </w:r>
    </w:p>
    <w:p w:rsidR="008A2DFA" w:rsidRDefault="00D60B2C">
      <w:pPr>
        <w:pStyle w:val="Prrafodelista"/>
        <w:numPr>
          <w:ilvl w:val="0"/>
          <w:numId w:val="5"/>
        </w:numPr>
        <w:ind w:right="992"/>
        <w:jc w:val="both"/>
        <w:rPr>
          <w:rFonts w:ascii="Palatino Linotype" w:hAnsi="Palatino Linotype"/>
          <w:b/>
          <w:i/>
          <w:color w:val="000000" w:themeColor="text1"/>
          <w:sz w:val="22"/>
          <w:szCs w:val="22"/>
        </w:rPr>
      </w:pPr>
      <w:r>
        <w:rPr>
          <w:rFonts w:ascii="Palatino Linotype" w:hAnsi="Palatino Linotype"/>
          <w:b/>
          <w:i/>
          <w:color w:val="000000" w:themeColor="text1"/>
          <w:sz w:val="22"/>
          <w:szCs w:val="22"/>
        </w:rPr>
        <w:t xml:space="preserve">RRA 0185/17. Secretaría de </w:t>
      </w:r>
      <w:r>
        <w:rPr>
          <w:rFonts w:ascii="Palatino Linotype" w:hAnsi="Palatino Linotype"/>
          <w:b/>
          <w:i/>
          <w:color w:val="000000" w:themeColor="text1"/>
          <w:sz w:val="22"/>
          <w:szCs w:val="22"/>
        </w:rPr>
        <w:t>Cultura. 08 de febrero de 2017. Por unanimidad. Comisionado Ponente Oscar Mauricio Guerra Ford.</w:t>
      </w:r>
    </w:p>
    <w:p w:rsidR="008A2DFA" w:rsidRDefault="00D60B2C">
      <w:pPr>
        <w:pStyle w:val="Prrafodelista"/>
        <w:numPr>
          <w:ilvl w:val="0"/>
          <w:numId w:val="6"/>
        </w:numPr>
        <w:ind w:left="1985" w:right="992"/>
        <w:jc w:val="both"/>
        <w:rPr>
          <w:rFonts w:ascii="Palatino Linotype" w:hAnsi="Palatino Linotype"/>
          <w:b/>
          <w:i/>
          <w:color w:val="000000" w:themeColor="text1"/>
          <w:sz w:val="22"/>
          <w:szCs w:val="22"/>
        </w:rPr>
      </w:pPr>
      <w:hyperlink r:id="rId38">
        <w:r>
          <w:rPr>
            <w:rFonts w:ascii="Palatino Linotype" w:hAnsi="Palatino Linotype"/>
            <w:b/>
            <w:i/>
            <w:color w:val="000000" w:themeColor="text1"/>
            <w:sz w:val="22"/>
            <w:szCs w:val="22"/>
          </w:rPr>
          <w:t>http://consultas.ifai.org.mx/descargar.php?r=./pdf/resolu</w:t>
        </w:r>
        <w:r>
          <w:rPr>
            <w:rFonts w:ascii="Palatino Linotype" w:hAnsi="Palatino Linotype"/>
            <w:b/>
            <w:i/>
            <w:color w:val="000000" w:themeColor="text1"/>
            <w:sz w:val="22"/>
            <w:szCs w:val="22"/>
          </w:rPr>
          <w:t>ciones/2017/&amp;a=RRA%20185.pdf</w:t>
        </w:r>
      </w:hyperlink>
      <w:r>
        <w:rPr>
          <w:rFonts w:ascii="Palatino Linotype" w:hAnsi="Palatino Linotype"/>
          <w:b/>
          <w:i/>
          <w:color w:val="000000" w:themeColor="text1"/>
          <w:sz w:val="22"/>
          <w:szCs w:val="22"/>
        </w:rPr>
        <w:t xml:space="preserve"> </w:t>
      </w:r>
    </w:p>
    <w:p w:rsidR="008A2DFA" w:rsidRDefault="00D60B2C">
      <w:pPr>
        <w:pStyle w:val="Prrafodelista"/>
        <w:numPr>
          <w:ilvl w:val="0"/>
          <w:numId w:val="5"/>
        </w:numPr>
        <w:ind w:right="992"/>
        <w:jc w:val="both"/>
        <w:rPr>
          <w:rFonts w:ascii="Palatino Linotype" w:hAnsi="Palatino Linotype"/>
          <w:b/>
          <w:i/>
          <w:color w:val="000000" w:themeColor="text1"/>
          <w:sz w:val="22"/>
          <w:szCs w:val="22"/>
        </w:rPr>
      </w:pPr>
      <w:r>
        <w:rPr>
          <w:rFonts w:ascii="Palatino Linotype" w:hAnsi="Palatino Linotype"/>
          <w:b/>
          <w:i/>
          <w:color w:val="000000" w:themeColor="text1"/>
          <w:sz w:val="22"/>
          <w:szCs w:val="22"/>
        </w:rPr>
        <w:t>RRA 1588/17. Centro de Investigación en Materiales Avanzados, S.C. 26 de abril de 2017. Por unanimidad. Comisionada Ponente Ximena Puente de la Mora.</w:t>
      </w:r>
    </w:p>
    <w:p w:rsidR="008A2DFA" w:rsidRDefault="00D60B2C">
      <w:pPr>
        <w:pStyle w:val="Prrafodelista"/>
        <w:numPr>
          <w:ilvl w:val="0"/>
          <w:numId w:val="6"/>
        </w:numPr>
        <w:ind w:left="1985" w:right="992"/>
        <w:jc w:val="both"/>
        <w:rPr>
          <w:rFonts w:ascii="Palatino Linotype" w:hAnsi="Palatino Linotype"/>
          <w:b/>
          <w:i/>
          <w:color w:val="000000" w:themeColor="text1"/>
          <w:sz w:val="22"/>
          <w:szCs w:val="22"/>
        </w:rPr>
      </w:pPr>
      <w:hyperlink r:id="rId39">
        <w:r>
          <w:rPr>
            <w:rFonts w:ascii="Palatino Linotype" w:hAnsi="Palatino Linotype"/>
            <w:b/>
            <w:i/>
            <w:color w:val="000000" w:themeColor="text1"/>
            <w:sz w:val="22"/>
            <w:szCs w:val="22"/>
          </w:rPr>
          <w:t>http://consultas.ifai.org.mx/descargar.php?r=./pdf/resoluciones/2017/&amp;a=RRA%201588.pdf</w:t>
        </w:r>
      </w:hyperlink>
      <w:r>
        <w:rPr>
          <w:rFonts w:ascii="Palatino Linotype" w:hAnsi="Palatino Linotype"/>
          <w:b/>
          <w:i/>
          <w:color w:val="000000" w:themeColor="text1"/>
          <w:sz w:val="22"/>
          <w:szCs w:val="22"/>
        </w:rPr>
        <w:t xml:space="preserve"> </w:t>
      </w:r>
    </w:p>
    <w:p w:rsidR="008A2DFA" w:rsidRDefault="00D60B2C">
      <w:pPr>
        <w:pStyle w:val="Prrafodelista"/>
        <w:numPr>
          <w:ilvl w:val="0"/>
          <w:numId w:val="5"/>
        </w:numPr>
        <w:ind w:right="992"/>
        <w:jc w:val="both"/>
        <w:rPr>
          <w:rFonts w:ascii="Palatino Linotype" w:hAnsi="Palatino Linotype"/>
          <w:b/>
          <w:i/>
          <w:color w:val="000000" w:themeColor="text1"/>
          <w:sz w:val="22"/>
          <w:szCs w:val="22"/>
        </w:rPr>
      </w:pPr>
      <w:r>
        <w:rPr>
          <w:rFonts w:ascii="Palatino Linotype" w:hAnsi="Palatino Linotype"/>
          <w:b/>
          <w:i/>
          <w:color w:val="000000" w:themeColor="text1"/>
          <w:sz w:val="22"/>
          <w:szCs w:val="22"/>
        </w:rPr>
        <w:t>RRA 3472/17. Instituto Nacional de Migración. 21 de junio de 2017. Por unanimidad. Comisionado Ponente Joel Salas Suárez.</w:t>
      </w:r>
    </w:p>
    <w:p w:rsidR="008A2DFA" w:rsidRDefault="00D60B2C">
      <w:pPr>
        <w:pStyle w:val="Prrafodelista"/>
        <w:numPr>
          <w:ilvl w:val="0"/>
          <w:numId w:val="6"/>
        </w:numPr>
        <w:ind w:left="1985" w:right="992"/>
        <w:jc w:val="both"/>
        <w:rPr>
          <w:rFonts w:ascii="Palatino Linotype" w:hAnsi="Palatino Linotype"/>
          <w:b/>
          <w:i/>
          <w:color w:val="000000" w:themeColor="text1"/>
          <w:sz w:val="22"/>
          <w:szCs w:val="22"/>
        </w:rPr>
      </w:pPr>
      <w:hyperlink r:id="rId40">
        <w:r>
          <w:rPr>
            <w:rFonts w:ascii="Palatino Linotype" w:hAnsi="Palatino Linotype"/>
            <w:b/>
            <w:i/>
            <w:color w:val="000000" w:themeColor="text1"/>
            <w:sz w:val="22"/>
            <w:szCs w:val="22"/>
          </w:rPr>
          <w:t>http://consultas.ifai.org.mx/descargar.php?r=./pdf/resoluciones/2017/&amp;a=RRA%203472.pdf</w:t>
        </w:r>
      </w:hyperlink>
      <w:r>
        <w:rPr>
          <w:rFonts w:ascii="Palatino Linotype" w:hAnsi="Palatino Linotype"/>
          <w:b/>
          <w:i/>
          <w:color w:val="000000" w:themeColor="text1"/>
          <w:sz w:val="22"/>
          <w:szCs w:val="22"/>
        </w:rPr>
        <w:t xml:space="preserve"> “</w:t>
      </w:r>
    </w:p>
    <w:p w:rsidR="008A2DFA" w:rsidRDefault="00D60B2C">
      <w:pPr>
        <w:ind w:left="851" w:right="992"/>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(Énfasis añadido)</w:t>
      </w:r>
    </w:p>
    <w:p w:rsidR="008A2DFA" w:rsidRDefault="008A2DFA">
      <w:pPr>
        <w:ind w:left="851" w:right="899"/>
        <w:jc w:val="both"/>
        <w:rPr>
          <w:rFonts w:ascii="Palatino Linotype" w:hAnsi="Palatino Linotype"/>
          <w:b/>
          <w:i/>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En consecuencia, este Órgano Garante determina</w:t>
      </w:r>
      <w:r>
        <w:rPr>
          <w:rFonts w:ascii="Palatino Linotype" w:hAnsi="Palatino Linotype" w:cs="Arial"/>
          <w:color w:val="000000" w:themeColor="text1"/>
        </w:rPr>
        <w:t xml:space="preserve"> ordenar la entrega de los gafetes en </w:t>
      </w:r>
      <w:r>
        <w:rPr>
          <w:rFonts w:ascii="Palatino Linotype" w:hAnsi="Palatino Linotype" w:cs="Arial"/>
          <w:b/>
          <w:color w:val="000000" w:themeColor="text1"/>
        </w:rPr>
        <w:t>versión pública</w:t>
      </w:r>
      <w:r>
        <w:rPr>
          <w:rFonts w:ascii="Palatino Linotype" w:hAnsi="Palatino Linotype" w:cs="Arial"/>
          <w:color w:val="000000" w:themeColor="text1"/>
        </w:rPr>
        <w:t xml:space="preserve">, cumpliendo con las formalidades que la Ley impone, estudio que se abordara más adelante.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Ahora bien, respecto al requerimiento identificado con el inciso d), relacionado con el nombramiento; al respe</w:t>
      </w:r>
      <w:r>
        <w:rPr>
          <w:rFonts w:ascii="Palatino Linotype" w:hAnsi="Palatino Linotype" w:cs="Arial"/>
          <w:color w:val="000000" w:themeColor="text1"/>
        </w:rPr>
        <w:t xml:space="preserve">cto es de señalar que de la respuesta proporcionada por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se advierte que de los ocho servidores públicos, siete no cuentan con nombramiento oficial y uno sí, sin anexar documento al respecto. </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b/>
          <w:color w:val="000000" w:themeColor="text1"/>
        </w:rPr>
      </w:pPr>
      <w:r>
        <w:rPr>
          <w:rFonts w:ascii="Palatino Linotype" w:hAnsi="Palatino Linotype" w:cs="Arial"/>
          <w:color w:val="000000" w:themeColor="text1"/>
        </w:rPr>
        <w:t>Por lo anterior, es de señalar como ya se me</w:t>
      </w:r>
      <w:r>
        <w:rPr>
          <w:rFonts w:ascii="Palatino Linotype" w:hAnsi="Palatino Linotype" w:cs="Arial"/>
          <w:color w:val="000000" w:themeColor="text1"/>
        </w:rPr>
        <w:t>ncionó en líneas anteriores dicho requerimiento puede ser colmado con la entrega ya sea del nombramiento (para el caso del servidor público que si cuenta con éste) o con el formato único de movimiento o contrato; en consecuencia este Órgano Garante determi</w:t>
      </w:r>
      <w:r>
        <w:rPr>
          <w:rFonts w:ascii="Palatino Linotype" w:hAnsi="Palatino Linotype" w:cs="Arial"/>
          <w:color w:val="000000" w:themeColor="text1"/>
        </w:rPr>
        <w:t xml:space="preserve">na ordenar su entrega de ser procedente en </w:t>
      </w:r>
      <w:r>
        <w:rPr>
          <w:rFonts w:ascii="Palatino Linotype" w:hAnsi="Palatino Linotype" w:cs="Arial"/>
          <w:b/>
          <w:color w:val="000000" w:themeColor="text1"/>
        </w:rPr>
        <w:t xml:space="preserve">versión pública. </w:t>
      </w:r>
    </w:p>
    <w:p w:rsidR="008A2DFA" w:rsidRDefault="008A2DFA">
      <w:pPr>
        <w:spacing w:line="360" w:lineRule="auto"/>
        <w:jc w:val="both"/>
        <w:rPr>
          <w:rFonts w:ascii="Palatino Linotype" w:eastAsiaTheme="minorEastAsia" w:hAnsi="Palatino Linotype" w:cs="Bookman Old Style" w:hint="eastAsia"/>
          <w:bCs/>
          <w:color w:val="000000" w:themeColor="text1"/>
          <w:sz w:val="20"/>
          <w:szCs w:val="20"/>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Respecto al requerimiento identificado con el inciso e) relacionado con las funciones realizadas por cada uno de los servidores públicos en materia de elaboración, revisión y autorización de la </w:t>
      </w:r>
      <w:r>
        <w:rPr>
          <w:rFonts w:ascii="Palatino Linotype" w:hAnsi="Palatino Linotype" w:cs="Arial"/>
          <w:color w:val="000000" w:themeColor="text1"/>
        </w:rPr>
        <w:t xml:space="preserve">clave catastral; al respecto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mediante respuesta señaló que el Manual de Organización, Reglamento Interno de la Subdirección de Catastro y Manual de Procedimientos de la Tesorería Municipal vigentes, se encuentran publicadas en el link </w:t>
      </w:r>
      <w:hyperlink r:id="rId41">
        <w:r>
          <w:rPr>
            <w:rFonts w:ascii="Palatino Linotype" w:hAnsi="Palatino Linotype" w:cs="Arial"/>
            <w:color w:val="000000" w:themeColor="text1"/>
          </w:rPr>
          <w:t>www.metepec.org.mx</w:t>
        </w:r>
      </w:hyperlink>
      <w:r>
        <w:rPr>
          <w:rFonts w:ascii="Palatino Linotype" w:hAnsi="Palatino Linotype" w:cs="Arial"/>
          <w:color w:val="000000" w:themeColor="text1"/>
        </w:rPr>
        <w:t>.</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olor w:val="000000" w:themeColor="text1"/>
        </w:rPr>
        <w:lastRenderedPageBreak/>
        <w:t>Derivado de la respuesta proporcionada, es conveniente referir que e</w:t>
      </w:r>
      <w:r>
        <w:rPr>
          <w:rFonts w:ascii="Palatino Linotype" w:hAnsi="Palatino Linotype"/>
          <w:color w:val="000000" w:themeColor="text1"/>
          <w:lang w:val="es-ES"/>
        </w:rPr>
        <w:t xml:space="preserve">l artículo 161 de la </w:t>
      </w:r>
      <w:r>
        <w:rPr>
          <w:rFonts w:ascii="Palatino Linotype" w:hAnsi="Palatino Linotype"/>
          <w:color w:val="000000" w:themeColor="text1"/>
        </w:rPr>
        <w:t>de Transparencia y Acceso a la Información Pública del Estado de México y Municipios</w:t>
      </w:r>
      <w:r>
        <w:rPr>
          <w:rFonts w:ascii="Palatino Linotype" w:hAnsi="Palatino Linotype"/>
          <w:color w:val="000000" w:themeColor="text1"/>
          <w:lang w:val="es-ES"/>
        </w:rPr>
        <w:t>, dispone que cuando la información pública requerida por el solicitante ya esté disponible al público en formatos electrónicos disponibles en internet se deberá hacer del conocimiento del particular por el medio requerido la fuente, el lugar y la forma en</w:t>
      </w:r>
      <w:r>
        <w:rPr>
          <w:rFonts w:ascii="Palatino Linotype" w:hAnsi="Palatino Linotype"/>
          <w:color w:val="000000" w:themeColor="text1"/>
          <w:lang w:val="es-ES"/>
        </w:rPr>
        <w:t xml:space="preserve"> que se puede consultar la información , dentro de un plazo no mayor a cinco días, como a continuación se observa: </w:t>
      </w:r>
    </w:p>
    <w:p w:rsidR="008A2DFA" w:rsidRDefault="008A2DFA">
      <w:pPr>
        <w:ind w:left="720"/>
        <w:contextualSpacing/>
        <w:rPr>
          <w:rFonts w:ascii="Palatino Linotype" w:hAnsi="Palatino Linotype"/>
          <w:i/>
          <w:color w:val="000000" w:themeColor="text1"/>
          <w:lang w:val="es-ES"/>
        </w:rPr>
      </w:pPr>
    </w:p>
    <w:p w:rsidR="008A2DFA" w:rsidRDefault="00D60B2C">
      <w:pPr>
        <w:shd w:val="clear" w:color="auto" w:fill="FFFFFF"/>
        <w:ind w:left="851" w:right="992"/>
        <w:jc w:val="both"/>
        <w:rPr>
          <w:rFonts w:ascii="Palatino Linotype" w:hAnsi="Palatino Linotype" w:cs="Arial"/>
          <w:i/>
          <w:color w:val="000000" w:themeColor="text1"/>
          <w:sz w:val="22"/>
          <w:lang w:val="es-ES_tradnl"/>
        </w:rPr>
      </w:pPr>
      <w:r>
        <w:rPr>
          <w:rFonts w:ascii="Palatino Linotype" w:hAnsi="Palatino Linotype" w:cs="Arial"/>
          <w:i/>
          <w:color w:val="000000" w:themeColor="text1"/>
          <w:sz w:val="22"/>
        </w:rPr>
        <w:t>“</w:t>
      </w:r>
      <w:r>
        <w:rPr>
          <w:rFonts w:ascii="Palatino Linotype" w:hAnsi="Palatino Linotype" w:cs="Arial"/>
          <w:b/>
          <w:i/>
          <w:color w:val="000000" w:themeColor="text1"/>
          <w:sz w:val="22"/>
        </w:rPr>
        <w:t>Artículo 161.</w:t>
      </w:r>
      <w:r>
        <w:rPr>
          <w:rFonts w:ascii="Palatino Linotype" w:hAnsi="Palatino Linotype" w:cs="Arial"/>
          <w:i/>
          <w:color w:val="000000" w:themeColor="text1"/>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w:t>
      </w:r>
      <w:r>
        <w:rPr>
          <w:rFonts w:ascii="Palatino Linotype" w:hAnsi="Palatino Linotype" w:cs="Arial"/>
          <w:i/>
          <w:color w:val="000000" w:themeColor="text1"/>
          <w:sz w:val="22"/>
        </w:rPr>
        <w:t xml:space="preserve"> por el medio requerido por el solicitante la fuente, el lugar y </w:t>
      </w:r>
      <w:r>
        <w:rPr>
          <w:rFonts w:ascii="Palatino Linotype" w:hAnsi="Palatino Linotype" w:cs="Arial"/>
          <w:b/>
          <w:i/>
          <w:color w:val="000000" w:themeColor="text1"/>
          <w:sz w:val="22"/>
        </w:rPr>
        <w:t>la forma</w:t>
      </w:r>
      <w:r>
        <w:rPr>
          <w:rFonts w:ascii="Palatino Linotype" w:hAnsi="Palatino Linotype" w:cs="Arial"/>
          <w:i/>
          <w:color w:val="000000" w:themeColor="text1"/>
          <w:sz w:val="22"/>
        </w:rPr>
        <w:t xml:space="preserve"> en que puede consultar, reproducir o adquirir dicha información en un plazo no mayor a cinco días hábiles.</w:t>
      </w:r>
      <w:r>
        <w:rPr>
          <w:rFonts w:ascii="Palatino Linotype" w:hAnsi="Palatino Linotype" w:cs="Arial"/>
          <w:b/>
          <w:i/>
          <w:color w:val="000000" w:themeColor="text1"/>
          <w:sz w:val="22"/>
        </w:rPr>
        <w:t xml:space="preserve"> La fuente deberá ser precisa y </w:t>
      </w:r>
      <w:r>
        <w:rPr>
          <w:rFonts w:ascii="Palatino Linotype" w:hAnsi="Palatino Linotype"/>
          <w:b/>
          <w:i/>
          <w:iCs/>
          <w:color w:val="000000" w:themeColor="text1"/>
          <w:sz w:val="22"/>
          <w:szCs w:val="22"/>
        </w:rPr>
        <w:t>concreta</w:t>
      </w:r>
      <w:r>
        <w:rPr>
          <w:rFonts w:ascii="Palatino Linotype" w:hAnsi="Palatino Linotype" w:cs="Arial"/>
          <w:b/>
          <w:i/>
          <w:color w:val="000000" w:themeColor="text1"/>
          <w:sz w:val="22"/>
        </w:rPr>
        <w:t xml:space="preserve"> y no debe implicar que el solicitan</w:t>
      </w:r>
      <w:r>
        <w:rPr>
          <w:rFonts w:ascii="Palatino Linotype" w:hAnsi="Palatino Linotype" w:cs="Arial"/>
          <w:b/>
          <w:i/>
          <w:color w:val="000000" w:themeColor="text1"/>
          <w:sz w:val="22"/>
        </w:rPr>
        <w:t>te realice una búsqueda en toda la información que se encuentre disponible.</w:t>
      </w:r>
      <w:r>
        <w:rPr>
          <w:rFonts w:ascii="Palatino Linotype" w:hAnsi="Palatino Linotype" w:cs="Arial"/>
          <w:i/>
          <w:color w:val="000000" w:themeColor="text1"/>
          <w:sz w:val="22"/>
        </w:rPr>
        <w:t>”</w:t>
      </w:r>
    </w:p>
    <w:p w:rsidR="008A2DFA" w:rsidRDefault="008A2DFA">
      <w:pPr>
        <w:ind w:left="720"/>
        <w:contextualSpacing/>
        <w:rPr>
          <w:rFonts w:ascii="Palatino Linotype" w:hAnsi="Palatino Linotype"/>
          <w:color w:val="000000" w:themeColor="text1"/>
          <w:lang w:val="es-ES"/>
        </w:rPr>
      </w:pPr>
    </w:p>
    <w:p w:rsidR="008A2DFA" w:rsidRDefault="008F4D0B">
      <w:pPr>
        <w:spacing w:line="360" w:lineRule="auto"/>
        <w:ind w:right="49"/>
        <w:contextualSpacing/>
        <w:jc w:val="both"/>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62336" behindDoc="0" locked="0" layoutInCell="1" allowOverlap="1">
                <wp:simplePos x="0" y="0"/>
                <wp:positionH relativeFrom="column">
                  <wp:posOffset>-22861</wp:posOffset>
                </wp:positionH>
                <wp:positionV relativeFrom="paragraph">
                  <wp:posOffset>1440815</wp:posOffset>
                </wp:positionV>
                <wp:extent cx="5838825" cy="1828800"/>
                <wp:effectExtent l="38100" t="38100" r="66675" b="95250"/>
                <wp:wrapNone/>
                <wp:docPr id="36" name="Conector recto 36"/>
                <wp:cNvGraphicFramePr/>
                <a:graphic xmlns:a="http://schemas.openxmlformats.org/drawingml/2006/main">
                  <a:graphicData uri="http://schemas.microsoft.com/office/word/2010/wordprocessingShape">
                    <wps:wsp>
                      <wps:cNvCnPr/>
                      <wps:spPr>
                        <a:xfrm>
                          <a:off x="0" y="0"/>
                          <a:ext cx="5838825"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96D866" id="Conector recto 3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13.45pt" to="457.9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" strokecolor="#4f81bd [3204]" strokeweight="2pt">
                <v:shadow on="t" color="black" opacity="24903f" origin=",.5" offset="0,.55556mm"/>
              </v:line>
            </w:pict>
          </mc:Fallback>
        </mc:AlternateContent>
      </w:r>
      <w:r w:rsidR="00D60B2C">
        <w:rPr>
          <w:rFonts w:ascii="Palatino Linotype" w:hAnsi="Palatino Linotype" w:cs="Arial"/>
          <w:color w:val="000000" w:themeColor="text1"/>
        </w:rPr>
        <w:t xml:space="preserve">Así las cosas este Órgano Garante advierte que la información que pretendía entregar </w:t>
      </w:r>
      <w:r w:rsidR="00D60B2C">
        <w:rPr>
          <w:rFonts w:ascii="Palatino Linotype" w:hAnsi="Palatino Linotype" w:cs="Arial"/>
          <w:b/>
          <w:color w:val="000000" w:themeColor="text1"/>
        </w:rPr>
        <w:t>EL</w:t>
      </w:r>
      <w:r w:rsidR="00D60B2C">
        <w:rPr>
          <w:rFonts w:ascii="Palatino Linotype" w:hAnsi="Palatino Linotype" w:cs="Arial"/>
          <w:color w:val="000000" w:themeColor="text1"/>
        </w:rPr>
        <w:t xml:space="preserve"> </w:t>
      </w:r>
      <w:r w:rsidR="00D60B2C">
        <w:rPr>
          <w:rFonts w:ascii="Palatino Linotype" w:hAnsi="Palatino Linotype" w:cs="Arial"/>
          <w:b/>
          <w:color w:val="000000" w:themeColor="text1"/>
        </w:rPr>
        <w:t xml:space="preserve">SUJETO OBLIGADO </w:t>
      </w:r>
      <w:r w:rsidR="00D60B2C">
        <w:rPr>
          <w:rFonts w:ascii="Palatino Linotype" w:hAnsi="Palatino Linotype" w:cs="Arial"/>
          <w:color w:val="000000" w:themeColor="text1"/>
        </w:rPr>
        <w:t>mediante respuesta, no se encuentra acorde a lo que establece la Ley de la</w:t>
      </w:r>
      <w:r w:rsidR="00D60B2C">
        <w:rPr>
          <w:rFonts w:ascii="Palatino Linotype" w:hAnsi="Palatino Linotype" w:cs="Arial"/>
          <w:color w:val="000000" w:themeColor="text1"/>
        </w:rPr>
        <w:t xml:space="preserve"> materia, pues en primer término no se realizó dentro de los primero cinco días, además de que dicha página no se pudo; para mayor referencia se insertan las siguientes imágenes: </w:t>
      </w:r>
    </w:p>
    <w:p w:rsidR="008A2DFA" w:rsidRDefault="00D60B2C">
      <w:pPr>
        <w:spacing w:line="360" w:lineRule="auto"/>
        <w:ind w:right="49"/>
        <w:contextualSpacing/>
        <w:jc w:val="both"/>
        <w:rPr>
          <w:rFonts w:ascii="Palatino Linotype" w:hAnsi="Palatino Linotype" w:cs="Arial"/>
          <w:color w:val="000000" w:themeColor="text1"/>
        </w:rPr>
      </w:pPr>
      <w:r>
        <w:rPr>
          <w:noProof/>
          <w:lang w:eastAsia="es-MX"/>
        </w:rPr>
        <w:lastRenderedPageBreak/>
        <w:drawing>
          <wp:inline distT="0" distB="0" distL="0" distR="0">
            <wp:extent cx="5843270" cy="2303145"/>
            <wp:effectExtent l="0" t="0" r="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
                    <pic:cNvPicPr>
                      <a:picLocks noChangeAspect="1" noChangeArrowheads="1"/>
                    </pic:cNvPicPr>
                  </pic:nvPicPr>
                  <pic:blipFill>
                    <a:blip r:embed="rId42"/>
                    <a:stretch>
                      <a:fillRect/>
                    </a:stretch>
                  </pic:blipFill>
                  <pic:spPr bwMode="auto">
                    <a:xfrm>
                      <a:off x="0" y="0"/>
                      <a:ext cx="5843270" cy="2303145"/>
                    </a:xfrm>
                    <a:prstGeom prst="rect">
                      <a:avLst/>
                    </a:prstGeom>
                  </pic:spPr>
                </pic:pic>
              </a:graphicData>
            </a:graphic>
          </wp:inline>
        </w:drawing>
      </w:r>
    </w:p>
    <w:p w:rsidR="008A2DFA" w:rsidRDefault="008A2DFA">
      <w:pPr>
        <w:spacing w:line="360" w:lineRule="auto"/>
        <w:ind w:right="49"/>
        <w:contextualSpacing/>
        <w:jc w:val="both"/>
        <w:rPr>
          <w:rFonts w:ascii="Palatino Linotype" w:hAnsi="Palatino Linotype" w:cs="Arial"/>
          <w:color w:val="000000" w:themeColor="text1"/>
        </w:rPr>
      </w:pPr>
    </w:p>
    <w:p w:rsidR="008A2DFA" w:rsidRDefault="00D60B2C">
      <w:pPr>
        <w:spacing w:line="360" w:lineRule="auto"/>
        <w:ind w:right="49"/>
        <w:contextualSpacing/>
        <w:jc w:val="both"/>
        <w:rPr>
          <w:rFonts w:ascii="Palatino Linotype" w:hAnsi="Palatino Linotype" w:cs="Arial"/>
          <w:color w:val="000000" w:themeColor="text1"/>
        </w:rPr>
      </w:pPr>
      <w:r>
        <w:rPr>
          <w:rFonts w:ascii="Palatino Linotype" w:hAnsi="Palatino Linotype" w:cs="Arial"/>
          <w:color w:val="000000" w:themeColor="text1"/>
        </w:rPr>
        <w:t>Por lo anterior, este Órgano Garante determina ordenar el o los documento</w:t>
      </w:r>
      <w:r>
        <w:rPr>
          <w:rFonts w:ascii="Palatino Linotype" w:hAnsi="Palatino Linotype" w:cs="Arial"/>
          <w:color w:val="000000" w:themeColor="text1"/>
        </w:rPr>
        <w:t xml:space="preserve">s donde consten las funciones de los servidores públicos referidos en respuesta. </w:t>
      </w:r>
    </w:p>
    <w:p w:rsidR="008A2DFA" w:rsidRDefault="008A2DFA">
      <w:pPr>
        <w:spacing w:line="360" w:lineRule="auto"/>
        <w:ind w:right="49"/>
        <w:contextualSpacing/>
        <w:jc w:val="both"/>
        <w:rPr>
          <w:rFonts w:ascii="Palatino Linotype" w:hAnsi="Palatino Linotype" w:cs="Arial"/>
          <w:color w:val="000000" w:themeColor="text1"/>
        </w:rPr>
      </w:pPr>
    </w:p>
    <w:p w:rsidR="008A2DFA" w:rsidRDefault="00D60B2C">
      <w:pPr>
        <w:spacing w:line="360" w:lineRule="auto"/>
        <w:ind w:right="49"/>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Por otra parte, respecto al requerimiento identificado con el inciso f), relacionado con el </w:t>
      </w:r>
      <w:r>
        <w:rPr>
          <w:rFonts w:ascii="Palatino Linotype" w:hAnsi="Palatino Linotype" w:cs="Arial"/>
          <w:i/>
          <w:color w:val="000000" w:themeColor="text1"/>
        </w:rPr>
        <w:t>procedimientos que se utilizan para el cálculo, cuantificación y cobro del impues</w:t>
      </w:r>
      <w:r>
        <w:rPr>
          <w:rFonts w:ascii="Palatino Linotype" w:hAnsi="Palatino Linotype" w:cs="Arial"/>
          <w:i/>
          <w:color w:val="000000" w:themeColor="text1"/>
        </w:rPr>
        <w:t xml:space="preserve">to predial, dentro del manual de organización, reglamento interno y manual de procedimientos administrativos; </w:t>
      </w:r>
      <w:r>
        <w:rPr>
          <w:rFonts w:ascii="Palatino Linotype" w:hAnsi="Palatino Linotype" w:cs="Arial"/>
          <w:color w:val="000000" w:themeColor="text1"/>
        </w:rPr>
        <w:t xml:space="preserve">al respecto es de señalar que los solicitantes de información no son expertos o especialistas en la materia; por lo que, es deber de los Sujetos </w:t>
      </w:r>
      <w:r>
        <w:rPr>
          <w:rFonts w:ascii="Palatino Linotype" w:hAnsi="Palatino Linotype" w:cs="Arial"/>
          <w:color w:val="000000" w:themeColor="text1"/>
        </w:rPr>
        <w:t>Obligados orientarlos o requerirlos para que indiquen otros elementos que complementen, corrijan o amplíen los datos proporcionados o bien, precisen la información.</w:t>
      </w:r>
    </w:p>
    <w:p w:rsidR="008A2DFA" w:rsidRDefault="008A2DFA">
      <w:pPr>
        <w:spacing w:line="360" w:lineRule="auto"/>
        <w:ind w:right="49"/>
        <w:contextualSpacing/>
        <w:jc w:val="both"/>
        <w:rPr>
          <w:rFonts w:ascii="Palatino Linotype" w:hAnsi="Palatino Linotype" w:cs="Arial"/>
          <w:color w:val="000000" w:themeColor="text1"/>
        </w:rPr>
      </w:pPr>
    </w:p>
    <w:p w:rsidR="008A2DFA" w:rsidRDefault="00D60B2C">
      <w:pPr>
        <w:spacing w:line="360" w:lineRule="auto"/>
        <w:ind w:right="49"/>
        <w:contextualSpacing/>
        <w:jc w:val="both"/>
        <w:rPr>
          <w:rFonts w:ascii="Palatino Linotype" w:hAnsi="Palatino Linotype" w:cs="Arial"/>
          <w:color w:val="000000" w:themeColor="text1"/>
        </w:rPr>
      </w:pPr>
      <w:r>
        <w:rPr>
          <w:rFonts w:ascii="Palatino Linotype" w:hAnsi="Palatino Linotype" w:cs="Arial"/>
          <w:color w:val="000000" w:themeColor="text1"/>
        </w:rPr>
        <w:t>Bajo ese contexto, es importante señalar que si bien el particular requirió el procedimien</w:t>
      </w:r>
      <w:r>
        <w:rPr>
          <w:rFonts w:ascii="Palatino Linotype" w:hAnsi="Palatino Linotype" w:cs="Arial"/>
          <w:color w:val="000000" w:themeColor="text1"/>
        </w:rPr>
        <w:t xml:space="preserve">tos que se utilizan para el cálculo, cuantificación y cobro del impuesto predial; este Órgano Garante en el ámbito de sus atribuciones establecidas en los artículos 13 y 181 de la Ley de Transparencia y Acceso a la Información Pública del </w:t>
      </w:r>
      <w:r>
        <w:rPr>
          <w:rFonts w:ascii="Palatino Linotype" w:hAnsi="Palatino Linotype" w:cs="Arial"/>
          <w:color w:val="000000" w:themeColor="text1"/>
        </w:rPr>
        <w:lastRenderedPageBreak/>
        <w:t xml:space="preserve">Estado de México </w:t>
      </w:r>
      <w:r>
        <w:rPr>
          <w:rFonts w:ascii="Palatino Linotype" w:hAnsi="Palatino Linotype" w:cs="Arial"/>
          <w:color w:val="000000" w:themeColor="text1"/>
        </w:rPr>
        <w:t>y Municipios, suple la deficiencia presentada en la solicitud de información, precisando para ello, que lo que desea tener acceso el particular es al procedimiento para el cálculo o determinación del valor catastral el cual es la base del cobro del impuest</w:t>
      </w:r>
      <w:r>
        <w:rPr>
          <w:rFonts w:ascii="Palatino Linotype" w:hAnsi="Palatino Linotype" w:cs="Arial"/>
          <w:color w:val="000000" w:themeColor="text1"/>
        </w:rPr>
        <w:t>o predial.</w:t>
      </w:r>
    </w:p>
    <w:p w:rsidR="008A2DFA" w:rsidRDefault="008A2DFA">
      <w:pPr>
        <w:spacing w:line="360" w:lineRule="auto"/>
        <w:ind w:right="49"/>
        <w:contextualSpacing/>
        <w:jc w:val="both"/>
        <w:rPr>
          <w:rFonts w:ascii="Palatino Linotype" w:hAnsi="Palatino Linotype" w:cs="Arial"/>
          <w:color w:val="000000" w:themeColor="text1"/>
        </w:rPr>
      </w:pPr>
    </w:p>
    <w:p w:rsidR="008A2DFA" w:rsidRDefault="00D60B2C">
      <w:pPr>
        <w:spacing w:line="360" w:lineRule="auto"/>
        <w:ind w:right="49"/>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Una vez precisado lo anterior, es de señalar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mediante respuesta señaló que conforme al Código Financiero del Estado de México y Municipios, Reglamento del Título Quinto del Catastro y las modificaciones publicadas el 11 d</w:t>
      </w:r>
      <w:r>
        <w:rPr>
          <w:rFonts w:ascii="Palatino Linotype" w:hAnsi="Palatino Linotype" w:cs="Arial"/>
          <w:color w:val="000000" w:themeColor="text1"/>
        </w:rPr>
        <w:t>e febrero de 2020, la Subdirección de Catastro, se rige para llevar a cabo la asignación de las claves catastrales, mimos que están publicados en link legislación.edomex.gob.mx. Por lo que respecta al Manual Catastral se encuentra publicado en la página el</w:t>
      </w:r>
      <w:r>
        <w:rPr>
          <w:rFonts w:ascii="Palatino Linotype" w:hAnsi="Palatino Linotype" w:cs="Arial"/>
          <w:color w:val="000000" w:themeColor="text1"/>
        </w:rPr>
        <w:t xml:space="preserve">ectrónica </w:t>
      </w:r>
      <w:hyperlink r:id="rId43">
        <w:r>
          <w:rPr>
            <w:rFonts w:ascii="Palatino Linotype" w:hAnsi="Palatino Linotype" w:cs="Arial"/>
            <w:color w:val="000000" w:themeColor="text1"/>
          </w:rPr>
          <w:t>http://igecem.edomex.gob.mx</w:t>
        </w:r>
      </w:hyperlink>
      <w:r>
        <w:rPr>
          <w:rFonts w:ascii="Palatino Linotype" w:hAnsi="Palatino Linotype" w:cs="Arial"/>
          <w:color w:val="000000" w:themeColor="text1"/>
        </w:rPr>
        <w:t xml:space="preserve">, documentos que efectivamente se encuentran en los enlaces proporcionados; por lo que este Órgano Garante determina que se tiene por atendido dicho requerimiento. </w:t>
      </w:r>
    </w:p>
    <w:p w:rsidR="008A2DFA" w:rsidRDefault="008A2DFA">
      <w:pPr>
        <w:spacing w:line="360" w:lineRule="auto"/>
        <w:ind w:right="49"/>
        <w:contextualSpacing/>
        <w:jc w:val="both"/>
        <w:rPr>
          <w:rFonts w:ascii="Palatino Linotype" w:hAnsi="Palatino Linotype" w:cs="Arial"/>
          <w:b/>
          <w:color w:val="000000" w:themeColor="text1"/>
        </w:rPr>
      </w:pPr>
    </w:p>
    <w:p w:rsidR="008A2DFA" w:rsidRDefault="00D60B2C">
      <w:pPr>
        <w:spacing w:line="360" w:lineRule="auto"/>
        <w:jc w:val="both"/>
        <w:rPr>
          <w:rFonts w:ascii="Palatino Linotype" w:hAnsi="Palatino Linotype" w:cs="Arial"/>
          <w:color w:val="000000" w:themeColor="text1"/>
          <w:lang w:val="es-ES"/>
        </w:rPr>
      </w:pPr>
      <w:r>
        <w:rPr>
          <w:rFonts w:ascii="Palatino Linotype" w:eastAsia="Calibri" w:hAnsi="Palatino Linotype" w:cs="Arial"/>
          <w:color w:val="000000" w:themeColor="text1"/>
          <w:lang w:val="es-ES"/>
        </w:rPr>
        <w:t>Ahora</w:t>
      </w:r>
      <w:r>
        <w:rPr>
          <w:rFonts w:ascii="Palatino Linotype" w:eastAsia="Calibri" w:hAnsi="Palatino Linotype" w:cs="Arial"/>
          <w:color w:val="000000" w:themeColor="text1"/>
          <w:lang w:val="es-ES"/>
        </w:rPr>
        <w:t xml:space="preserve"> bien, respecto de las manifestaciones</w:t>
      </w:r>
      <w:r>
        <w:rPr>
          <w:rFonts w:ascii="Palatino Linotype" w:eastAsia="Arial Unicode MS" w:hAnsi="Palatino Linotype" w:cs="Arial"/>
          <w:color w:val="000000" w:themeColor="text1"/>
          <w:lang w:val="es-ES"/>
        </w:rPr>
        <w:t xml:space="preserve"> realizadas por </w:t>
      </w:r>
      <w:r>
        <w:rPr>
          <w:rFonts w:ascii="Palatino Linotype" w:eastAsia="Arial Unicode MS" w:hAnsi="Palatino Linotype" w:cs="Arial"/>
          <w:b/>
          <w:color w:val="000000" w:themeColor="text1"/>
          <w:lang w:val="es-ES"/>
        </w:rPr>
        <w:t xml:space="preserve">EL </w:t>
      </w:r>
      <w:r>
        <w:rPr>
          <w:rFonts w:ascii="Palatino Linotype" w:hAnsi="Palatino Linotype"/>
          <w:b/>
          <w:color w:val="000000" w:themeColor="text1"/>
          <w:lang w:val="es-ES"/>
        </w:rPr>
        <w:t>RECURRENTE</w:t>
      </w:r>
      <w:r>
        <w:rPr>
          <w:rFonts w:ascii="Palatino Linotype" w:eastAsia="Arial Unicode MS" w:hAnsi="Palatino Linotype" w:cs="Arial"/>
          <w:b/>
          <w:color w:val="000000" w:themeColor="text1"/>
          <w:lang w:val="es-ES"/>
        </w:rPr>
        <w:t xml:space="preserve"> </w:t>
      </w:r>
      <w:r>
        <w:rPr>
          <w:rFonts w:ascii="Palatino Linotype" w:eastAsia="Arial Unicode MS" w:hAnsi="Palatino Linotype" w:cs="Arial"/>
          <w:color w:val="000000" w:themeColor="text1"/>
          <w:lang w:val="es-ES"/>
        </w:rPr>
        <w:t xml:space="preserve">como razones o motivos de inconformidad, consistentes en </w:t>
      </w:r>
      <w:r>
        <w:rPr>
          <w:rFonts w:ascii="Palatino Linotype" w:hAnsi="Palatino Linotype" w:cs="Arial"/>
          <w:i/>
          <w:color w:val="000000" w:themeColor="text1"/>
          <w:lang w:val="es-ES"/>
        </w:rPr>
        <w:t xml:space="preserve">“…Solo simulan dar respuesta sin aclarar, cuando en realidad hay una negativa a proporcionar la informacion” (sic); </w:t>
      </w:r>
      <w:r>
        <w:rPr>
          <w:rFonts w:ascii="Palatino Linotype" w:hAnsi="Palatino Linotype" w:cs="Arial"/>
          <w:color w:val="000000" w:themeColor="text1"/>
          <w:lang w:val="es-ES"/>
        </w:rPr>
        <w:t>al respecto, es</w:t>
      </w:r>
      <w:r>
        <w:rPr>
          <w:rFonts w:ascii="Palatino Linotype" w:hAnsi="Palatino Linotype" w:cs="Arial"/>
          <w:color w:val="000000" w:themeColor="text1"/>
          <w:lang w:val="es-ES"/>
        </w:rPr>
        <w:t xml:space="preserve">te Órgano Garante advierte que se tratan de </w:t>
      </w:r>
      <w:r>
        <w:rPr>
          <w:rFonts w:ascii="Palatino Linotype" w:hAnsi="Palatino Linotype"/>
          <w:color w:val="000000" w:themeColor="text1"/>
          <w:lang w:val="es-ES"/>
        </w:rPr>
        <w:t xml:space="preserve">manifestaciones </w:t>
      </w:r>
      <w:r>
        <w:rPr>
          <w:rFonts w:ascii="Palatino Linotype" w:hAnsi="Palatino Linotype"/>
          <w:color w:val="000000" w:themeColor="text1"/>
        </w:rPr>
        <w:t>unilaterales subjetivas de la parte recurrente en ejercicio del derecho de libertad de expresión, las cuales resultan inatendibles, ya que este Instituto en términos del artículo 36 de la Ley de T</w:t>
      </w:r>
      <w:r>
        <w:rPr>
          <w:rFonts w:ascii="Palatino Linotype" w:hAnsi="Palatino Linotype"/>
          <w:color w:val="000000" w:themeColor="text1"/>
        </w:rPr>
        <w:t xml:space="preserve">ransparencia y Acceso a la Información Pública del Estado de México y Municipios y de las demás disposiciones jurídicas aplicables, carece de facultades para pronunciarse </w:t>
      </w:r>
      <w:r>
        <w:rPr>
          <w:rFonts w:ascii="Palatino Linotype" w:hAnsi="Palatino Linotype"/>
          <w:color w:val="000000" w:themeColor="text1"/>
        </w:rPr>
        <w:lastRenderedPageBreak/>
        <w:t xml:space="preserve">sobre las mismas; </w:t>
      </w:r>
      <w:r>
        <w:rPr>
          <w:rFonts w:ascii="Palatino Linotype" w:hAnsi="Palatino Linotype" w:cs="Arial"/>
          <w:color w:val="000000" w:themeColor="text1"/>
          <w:lang w:val="es-ES"/>
        </w:rPr>
        <w:t xml:space="preserve">atento a ello, </w:t>
      </w:r>
      <w:r>
        <w:rPr>
          <w:rFonts w:ascii="Palatino Linotype" w:hAnsi="Palatino Linotype" w:cs="Arial"/>
          <w:color w:val="000000" w:themeColor="text1"/>
        </w:rPr>
        <w:t xml:space="preserve">esta Ponencia Resolutora, determina que las razones o motivos de inconformidad devienen </w:t>
      </w:r>
      <w:r>
        <w:rPr>
          <w:rFonts w:ascii="Palatino Linotype" w:hAnsi="Palatino Linotype" w:cs="Arial"/>
          <w:b/>
          <w:color w:val="000000" w:themeColor="text1"/>
        </w:rPr>
        <w:t>parcialmente</w:t>
      </w:r>
      <w:r>
        <w:rPr>
          <w:rFonts w:ascii="Palatino Linotype" w:hAnsi="Palatino Linotype" w:cs="Arial"/>
          <w:color w:val="000000" w:themeColor="text1"/>
        </w:rPr>
        <w:t xml:space="preserve"> </w:t>
      </w:r>
      <w:r>
        <w:rPr>
          <w:rFonts w:ascii="Palatino Linotype" w:hAnsi="Palatino Linotype" w:cs="Arial"/>
          <w:b/>
          <w:color w:val="000000" w:themeColor="text1"/>
        </w:rPr>
        <w:t>fundadas.</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ind w:right="49"/>
        <w:jc w:val="both"/>
        <w:rPr>
          <w:rFonts w:ascii="Palatino Linotype" w:eastAsia="MS Mincho" w:hAnsi="Palatino Linotype" w:cs="Arial" w:hint="eastAsia"/>
          <w:bCs/>
          <w:color w:val="000000" w:themeColor="text1"/>
          <w:lang w:val="es-ES_tradnl"/>
        </w:rPr>
      </w:pPr>
      <w:r>
        <w:rPr>
          <w:rFonts w:ascii="Palatino Linotype" w:eastAsia="MS Mincho" w:hAnsi="Palatino Linotype" w:cs="Arial"/>
          <w:color w:val="000000" w:themeColor="text1"/>
          <w:lang w:val="es-ES_tradnl"/>
        </w:rPr>
        <w:t xml:space="preserve">Ahora bien, no se omite comentar que de que los documentos de los cuales se ordena su entrega, deberán ser entregados en </w:t>
      </w:r>
      <w:r>
        <w:rPr>
          <w:rFonts w:ascii="Palatino Linotype" w:eastAsia="MS Mincho" w:hAnsi="Palatino Linotype" w:cs="Arial"/>
          <w:b/>
          <w:color w:val="000000" w:themeColor="text1"/>
          <w:lang w:val="es-ES_tradnl"/>
        </w:rPr>
        <w:t>versión pública</w:t>
      </w:r>
      <w:r>
        <w:rPr>
          <w:rFonts w:ascii="Palatino Linotype" w:eastAsia="MS Mincho" w:hAnsi="Palatino Linotype" w:cs="Arial"/>
          <w:color w:val="000000" w:themeColor="text1"/>
          <w:lang w:val="es-ES_tradnl"/>
        </w:rPr>
        <w:t xml:space="preserve">; pues, </w:t>
      </w:r>
      <w:r>
        <w:rPr>
          <w:rFonts w:ascii="Palatino Linotype" w:eastAsia="MS Mincho" w:hAnsi="Palatino Linotype" w:cs="Arial"/>
          <w:color w:val="000000" w:themeColor="text1"/>
          <w:lang w:val="es-ES_tradnl"/>
        </w:rPr>
        <w:t>el</w:t>
      </w:r>
      <w:r>
        <w:rPr>
          <w:rFonts w:ascii="Palatino Linotype" w:eastAsia="MS Mincho" w:hAnsi="Palatino Linotype" w:cs="Arial"/>
          <w:bCs/>
          <w:color w:val="000000" w:themeColor="text1"/>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w:t>
      </w:r>
      <w:r>
        <w:rPr>
          <w:rFonts w:ascii="Palatino Linotype" w:eastAsia="MS Mincho" w:hAnsi="Palatino Linotype" w:cs="Arial"/>
          <w:bCs/>
          <w:color w:val="000000" w:themeColor="text1"/>
          <w:lang w:val="es-ES_tradnl"/>
        </w:rPr>
        <w:t>s y únicamente se den a conocer aquéllos que abonen a la rendición de cuentas y a la transparencia en el ejercicio de las atribuciones que tienen conferidas. De este modo, en armonía entre los principios constitucionales de máxima publicidad y de protecció</w:t>
      </w:r>
      <w:r>
        <w:rPr>
          <w:rFonts w:ascii="Palatino Linotype" w:eastAsia="MS Mincho" w:hAnsi="Palatino Linotype" w:cs="Arial"/>
          <w:bCs/>
          <w:color w:val="000000" w:themeColor="text1"/>
          <w:lang w:val="es-ES_tradnl"/>
        </w:rPr>
        <w:t>n de datos personales, la ley permite la elaboración de versiones públicas en las que se suprima aquella información relacionada con la vida privada de los particulares</w:t>
      </w:r>
    </w:p>
    <w:p w:rsidR="008A2DFA" w:rsidRDefault="008A2DFA">
      <w:pPr>
        <w:spacing w:line="360" w:lineRule="auto"/>
        <w:ind w:right="49"/>
        <w:jc w:val="both"/>
        <w:rPr>
          <w:rFonts w:ascii="Palatino Linotype" w:eastAsia="MS Mincho" w:hAnsi="Palatino Linotype" w:cs="Arial" w:hint="eastAsia"/>
          <w:color w:val="000000" w:themeColor="text1"/>
          <w:lang w:val="es-ES_tradnl"/>
        </w:rPr>
      </w:pPr>
    </w:p>
    <w:p w:rsidR="008A2DFA" w:rsidRDefault="00D60B2C">
      <w:pPr>
        <w:spacing w:line="360" w:lineRule="auto"/>
        <w:jc w:val="both"/>
        <w:rPr>
          <w:rFonts w:ascii="Palatino Linotype" w:hAnsi="Palatino Linotype" w:cs="Arial"/>
          <w:color w:val="000000" w:themeColor="text1"/>
        </w:rPr>
      </w:pPr>
      <w:r>
        <w:rPr>
          <w:rFonts w:ascii="Palatino Linotype" w:eastAsia="Arial Unicode MS" w:hAnsi="Palatino Linotype" w:cs="Arial"/>
          <w:color w:val="000000" w:themeColor="text1"/>
        </w:rPr>
        <w:t xml:space="preserve">En ese sentido, </w:t>
      </w:r>
      <w:r>
        <w:rPr>
          <w:rFonts w:ascii="Palatino Linotype" w:hAnsi="Palatino Linotype" w:cs="Arial"/>
          <w:color w:val="000000" w:themeColor="text1"/>
          <w:lang w:val="es-ES_tradnl"/>
        </w:rPr>
        <w:t>sólo podrán ser testados los datos que actualicen las hipótesis normat</w:t>
      </w:r>
      <w:r>
        <w:rPr>
          <w:rFonts w:ascii="Palatino Linotype" w:hAnsi="Palatino Linotype" w:cs="Arial"/>
          <w:color w:val="000000" w:themeColor="text1"/>
          <w:lang w:val="es-ES_tradnl"/>
        </w:rPr>
        <w:t>ivas previstas en dicho precepto legal, y deberá procederse a su clasificación mediante las formalidades de Ley, es decir,</w:t>
      </w:r>
      <w:r>
        <w:rPr>
          <w:rFonts w:ascii="Palatino Linotype" w:hAnsi="Palatino Linotype" w:cs="Arial"/>
          <w:color w:val="000000" w:themeColor="text1"/>
        </w:rPr>
        <w:t xml:space="preserve"> que el Comité de Transparencia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emita el Acuerdo de Clasificación correspondiente</w:t>
      </w:r>
      <w:r>
        <w:rPr>
          <w:rFonts w:ascii="Palatino Linotype" w:hAnsi="Palatino Linotype" w:cs="Arial"/>
          <w:color w:val="000000" w:themeColor="text1"/>
          <w:lang w:val="es-ES_tradnl"/>
        </w:rPr>
        <w:t xml:space="preserve"> debidamente fundado y motivado, en el cual se</w:t>
      </w:r>
      <w:r>
        <w:rPr>
          <w:rFonts w:ascii="Palatino Linotype" w:hAnsi="Palatino Linotype" w:cs="Arial"/>
          <w:color w:val="000000" w:themeColor="text1"/>
        </w:rPr>
        <w:t xml:space="preserve"> sustente la versión pública, misma que deberá cumplir cabalmente con las formalidades previstas en el precepto antes referido, así como con los numerales aplicables de los LINEAMIENTOS GENERALES EN MATERIA DE </w:t>
      </w:r>
      <w:r>
        <w:rPr>
          <w:rFonts w:ascii="Palatino Linotype" w:hAnsi="Palatino Linotype" w:cs="Arial"/>
          <w:color w:val="000000" w:themeColor="text1"/>
        </w:rPr>
        <w:t xml:space="preserve">CLASIFICACIÓN Y DESCLASIFICACIÓN DE LA INFORMACIÓN, ASÍ COMO PARA LA ELABORACIÓN DE VERSIONES PÚBLICAS, publicados en el Diario Oficial de la Federación en fecha 15 de abril de 2016, mediante Acuerdo del </w:t>
      </w:r>
      <w:r>
        <w:rPr>
          <w:rFonts w:ascii="Palatino Linotype" w:hAnsi="Palatino Linotype" w:cs="Arial"/>
          <w:color w:val="000000" w:themeColor="text1"/>
        </w:rPr>
        <w:lastRenderedPageBreak/>
        <w:t>Consejo Nacional del Sistema Nacional de Transparenc</w:t>
      </w:r>
      <w:r>
        <w:rPr>
          <w:rFonts w:ascii="Palatino Linotype" w:hAnsi="Palatino Linotype" w:cs="Arial"/>
          <w:color w:val="000000" w:themeColor="text1"/>
        </w:rPr>
        <w:t>ia, Acceso a la Información Pública y Protección de Datos Personales.</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eastAsia="Arial Unicode MS" w:hAnsi="Palatino Linotype" w:cs="Arial"/>
          <w:color w:val="000000" w:themeColor="text1"/>
        </w:rPr>
      </w:pPr>
      <w:r>
        <w:rPr>
          <w:rFonts w:ascii="Palatino Linotype" w:hAnsi="Palatino Linotype" w:cs="Arial"/>
          <w:color w:val="000000" w:themeColor="text1"/>
        </w:rPr>
        <w:t xml:space="preserve">Así, respecto de </w:t>
      </w:r>
      <w:r>
        <w:rPr>
          <w:rFonts w:ascii="Palatino Linotype" w:eastAsia="Arial Unicode MS" w:hAnsi="Palatino Linotype" w:cs="Arial"/>
          <w:color w:val="000000" w:themeColor="text1"/>
        </w:rPr>
        <w:t xml:space="preserve">los </w:t>
      </w:r>
      <w:r>
        <w:rPr>
          <w:rFonts w:ascii="Palatino Linotype" w:hAnsi="Palatino Linotype" w:cs="Arial"/>
          <w:color w:val="000000" w:themeColor="text1"/>
        </w:rPr>
        <w:t>documentos</w:t>
      </w:r>
      <w:r>
        <w:rPr>
          <w:rFonts w:ascii="Palatino Linotype" w:eastAsia="Arial Unicode MS" w:hAnsi="Palatino Linotype" w:cs="Arial"/>
          <w:color w:val="000000" w:themeColor="text1"/>
        </w:rPr>
        <w:t xml:space="preserve"> que </w:t>
      </w:r>
      <w:r>
        <w:rPr>
          <w:rFonts w:ascii="Palatino Linotype" w:eastAsia="Arial Unicode MS" w:hAnsi="Palatino Linotype" w:cs="Arial"/>
          <w:b/>
          <w:color w:val="000000" w:themeColor="text1"/>
        </w:rPr>
        <w:t xml:space="preserve">EL SUJETO OBLIGADO </w:t>
      </w:r>
      <w:r>
        <w:rPr>
          <w:rFonts w:ascii="Palatino Linotype" w:eastAsia="Arial Unicode MS" w:hAnsi="Palatino Linotype" w:cs="Arial"/>
          <w:color w:val="000000" w:themeColor="text1"/>
        </w:rPr>
        <w:t xml:space="preserve">ha de entregar en </w:t>
      </w:r>
      <w:r>
        <w:rPr>
          <w:rFonts w:ascii="Palatino Linotype" w:eastAsia="Arial Unicode MS" w:hAnsi="Palatino Linotype" w:cs="Arial"/>
          <w:b/>
          <w:color w:val="000000" w:themeColor="text1"/>
        </w:rPr>
        <w:t>versión pública</w:t>
      </w:r>
      <w:r>
        <w:rPr>
          <w:rFonts w:ascii="Palatino Linotype" w:eastAsia="Arial Unicode MS" w:hAnsi="Palatino Linotype" w:cs="Arial"/>
          <w:color w:val="000000" w:themeColor="text1"/>
        </w:rPr>
        <w:t xml:space="preserve">, se deberá omitir, eliminar o suprimir la información personal de los servidores públicos, como </w:t>
      </w:r>
      <w:r>
        <w:rPr>
          <w:rFonts w:ascii="Palatino Linotype" w:eastAsia="Arial Unicode MS" w:hAnsi="Palatino Linotype" w:cs="Arial"/>
          <w:color w:val="000000" w:themeColor="text1"/>
        </w:rPr>
        <w:t xml:space="preserve">Registro Federal de Contribuyentes, Clave Única de Registro de Población, Clave del Instituto de Seguridad Social </w:t>
      </w:r>
      <w:r>
        <w:rPr>
          <w:rFonts w:ascii="Palatino Linotype" w:hAnsi="Palatino Linotype" w:cs="Arial"/>
          <w:color w:val="000000" w:themeColor="text1"/>
        </w:rPr>
        <w:t>del</w:t>
      </w:r>
      <w:r>
        <w:rPr>
          <w:rFonts w:ascii="Palatino Linotype" w:eastAsia="Arial Unicode MS" w:hAnsi="Palatino Linotype" w:cs="Arial"/>
          <w:color w:val="000000" w:themeColor="text1"/>
        </w:rPr>
        <w:t xml:space="preserve"> Estado de México y Municipios, </w:t>
      </w:r>
      <w:r>
        <w:rPr>
          <w:rFonts w:ascii="Palatino Linotype" w:eastAsia="Arial Unicode MS" w:hAnsi="Palatino Linotype" w:cs="Arial"/>
          <w:b/>
          <w:color w:val="000000" w:themeColor="text1"/>
        </w:rPr>
        <w:t>los descuentos que se realicen por pensión alimenticia o deducciones estrictamente personales o de cualquie</w:t>
      </w:r>
      <w:r>
        <w:rPr>
          <w:rFonts w:ascii="Palatino Linotype" w:eastAsia="Arial Unicode MS" w:hAnsi="Palatino Linotype" w:cs="Arial"/>
          <w:b/>
          <w:color w:val="000000" w:themeColor="text1"/>
        </w:rPr>
        <w:t xml:space="preserve">r índole siempre que, </w:t>
      </w:r>
      <w:r>
        <w:rPr>
          <w:rFonts w:ascii="Palatino Linotype" w:hAnsi="Palatino Linotype" w:cs="Arial"/>
          <w:b/>
          <w:color w:val="000000" w:themeColor="text1"/>
        </w:rPr>
        <w:t>no se encuentren relacionados con los impuestos o las cuotas por seguridad social</w:t>
      </w:r>
      <w:r>
        <w:rPr>
          <w:rFonts w:ascii="Palatino Linotype" w:eastAsia="Arial Unicode MS" w:hAnsi="Palatino Linotype" w:cs="Arial"/>
          <w:color w:val="000000" w:themeColor="text1"/>
        </w:rPr>
        <w:t xml:space="preserve">, número de cuenta o cualquier otro dato que ponga en riesgo la vida, seguridad y salud de dichas </w:t>
      </w:r>
      <w:r>
        <w:rPr>
          <w:rFonts w:ascii="Palatino Linotype" w:hAnsi="Palatino Linotype" w:cs="Arial"/>
          <w:color w:val="000000" w:themeColor="text1"/>
        </w:rPr>
        <w:t>personas</w:t>
      </w:r>
      <w:r>
        <w:rPr>
          <w:rFonts w:ascii="Palatino Linotype" w:eastAsia="Arial Unicode MS" w:hAnsi="Palatino Linotype" w:cs="Arial"/>
          <w:color w:val="000000" w:themeColor="text1"/>
        </w:rPr>
        <w:t>.</w:t>
      </w:r>
    </w:p>
    <w:p w:rsidR="008A2DFA" w:rsidRDefault="008A2DFA">
      <w:pPr>
        <w:spacing w:line="360" w:lineRule="auto"/>
        <w:jc w:val="both"/>
        <w:rPr>
          <w:rFonts w:ascii="Palatino Linotype" w:eastAsia="Arial Unicode MS"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olor w:val="000000" w:themeColor="text1"/>
        </w:rPr>
        <w:t>En el caso específico de la nómina solicitad</w:t>
      </w:r>
      <w:r>
        <w:rPr>
          <w:rFonts w:ascii="Palatino Linotype" w:hAnsi="Palatino Linotype"/>
          <w:color w:val="000000" w:themeColor="text1"/>
        </w:rPr>
        <w:t xml:space="preserve">a, obran datos que son considerados </w:t>
      </w:r>
      <w:r>
        <w:rPr>
          <w:rFonts w:ascii="Palatino Linotype" w:hAnsi="Palatino Linotype" w:cs="Arial"/>
          <w:color w:val="000000" w:themeColor="text1"/>
        </w:rPr>
        <w:t>confidenciales</w:t>
      </w:r>
      <w:r>
        <w:rPr>
          <w:rFonts w:ascii="Palatino Linotype" w:hAnsi="Palatino Linotype"/>
          <w:color w:val="000000" w:themeColor="text1"/>
        </w:rPr>
        <w:t xml:space="preserve">, cuyo acceso </w:t>
      </w:r>
      <w:r>
        <w:rPr>
          <w:rFonts w:ascii="Palatino Linotype" w:hAnsi="Palatino Linotype" w:cs="Arial"/>
          <w:color w:val="000000" w:themeColor="text1"/>
        </w:rPr>
        <w:t>debe</w:t>
      </w:r>
      <w:r>
        <w:rPr>
          <w:rFonts w:ascii="Palatino Linotype" w:hAnsi="Palatino Linotype"/>
          <w:color w:val="000000" w:themeColor="text1"/>
        </w:rPr>
        <w:t xml:space="preserve"> ser restringido, los cuales </w:t>
      </w:r>
      <w:r>
        <w:rPr>
          <w:rFonts w:ascii="Palatino Linotype" w:hAnsi="Palatino Linotype" w:cs="Arial"/>
          <w:color w:val="000000" w:themeColor="text1"/>
        </w:rPr>
        <w:t xml:space="preserve">deben testarse al momento de la elaboración de versiones públicas, como es el caso del </w:t>
      </w:r>
      <w:r>
        <w:rPr>
          <w:rFonts w:ascii="Palatino Linotype" w:hAnsi="Palatino Linotype" w:cs="Arial"/>
          <w:b/>
          <w:color w:val="000000" w:themeColor="text1"/>
        </w:rPr>
        <w:t>Registro Federal de Contribuyentes</w:t>
      </w:r>
      <w:r>
        <w:rPr>
          <w:rFonts w:ascii="Palatino Linotype" w:hAnsi="Palatino Linotype" w:cs="Arial"/>
          <w:color w:val="000000" w:themeColor="text1"/>
        </w:rPr>
        <w:t xml:space="preserve"> (RFC), la </w:t>
      </w:r>
      <w:r>
        <w:rPr>
          <w:rFonts w:ascii="Palatino Linotype" w:hAnsi="Palatino Linotype" w:cs="Arial"/>
          <w:b/>
          <w:color w:val="000000" w:themeColor="text1"/>
        </w:rPr>
        <w:t xml:space="preserve">Clave Única de Registro de </w:t>
      </w:r>
      <w:r>
        <w:rPr>
          <w:rFonts w:ascii="Palatino Linotype" w:hAnsi="Palatino Linotype" w:cs="Arial"/>
          <w:b/>
          <w:color w:val="000000" w:themeColor="text1"/>
        </w:rPr>
        <w:t>Población</w:t>
      </w:r>
      <w:r>
        <w:rPr>
          <w:rFonts w:ascii="Palatino Linotype" w:hAnsi="Palatino Linotype" w:cs="Arial"/>
          <w:color w:val="000000" w:themeColor="text1"/>
        </w:rPr>
        <w:t xml:space="preserve"> (CURP), la </w:t>
      </w:r>
      <w:r>
        <w:rPr>
          <w:rFonts w:ascii="Palatino Linotype" w:hAnsi="Palatino Linotype" w:cs="Arial"/>
          <w:b/>
          <w:color w:val="000000" w:themeColor="text1"/>
        </w:rPr>
        <w:t>Clave de cualquier tipo de seguridad social</w:t>
      </w:r>
      <w:r>
        <w:rPr>
          <w:rFonts w:ascii="Palatino Linotype" w:hAnsi="Palatino Linotype" w:cs="Arial"/>
          <w:color w:val="000000" w:themeColor="text1"/>
        </w:rPr>
        <w:t xml:space="preserve"> (ISSEMYM, u otros), así como, los </w:t>
      </w:r>
      <w:r>
        <w:rPr>
          <w:rFonts w:ascii="Palatino Linotype" w:hAnsi="Palatino Linotype" w:cs="Arial"/>
          <w:b/>
          <w:color w:val="000000" w:themeColor="text1"/>
        </w:rPr>
        <w:t xml:space="preserve">préstamos o descuentos </w:t>
      </w:r>
      <w:r>
        <w:rPr>
          <w:rFonts w:ascii="Palatino Linotype" w:hAnsi="Palatino Linotype" w:cs="Arial"/>
          <w:color w:val="000000" w:themeColor="text1"/>
        </w:rPr>
        <w:t>que se le hagan al servidor público.</w:t>
      </w:r>
    </w:p>
    <w:p w:rsidR="008A2DFA" w:rsidRDefault="008A2DFA">
      <w:pPr>
        <w:spacing w:line="360" w:lineRule="auto"/>
        <w:jc w:val="both"/>
        <w:rPr>
          <w:rFonts w:ascii="Palatino Linotype" w:hAnsi="Palatino Linotype" w:cs="Arial"/>
          <w:color w:val="000000" w:themeColor="text1"/>
          <w:lang w:eastAsia="en-US"/>
        </w:rPr>
      </w:pPr>
    </w:p>
    <w:p w:rsidR="008A2DFA" w:rsidRDefault="00D60B2C">
      <w:pPr>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Por cuanto hace al </w:t>
      </w:r>
      <w:r>
        <w:rPr>
          <w:rFonts w:ascii="Palatino Linotype" w:hAnsi="Palatino Linotype" w:cs="Arial"/>
          <w:b/>
          <w:color w:val="000000" w:themeColor="text1"/>
        </w:rPr>
        <w:t>Registro Federal de Contribuyentes</w:t>
      </w:r>
      <w:r>
        <w:rPr>
          <w:rFonts w:ascii="Palatino Linotype" w:hAnsi="Palatino Linotype" w:cs="Arial"/>
          <w:color w:val="000000" w:themeColor="text1"/>
        </w:rPr>
        <w:t xml:space="preserve"> </w:t>
      </w:r>
      <w:r>
        <w:rPr>
          <w:rFonts w:ascii="Palatino Linotype" w:hAnsi="Palatino Linotype" w:cs="Arial"/>
          <w:b/>
          <w:color w:val="000000" w:themeColor="text1"/>
        </w:rPr>
        <w:t>de las personas físicas</w:t>
      </w:r>
      <w:r>
        <w:rPr>
          <w:rFonts w:ascii="Palatino Linotype" w:hAnsi="Palatino Linotype" w:cs="Arial"/>
          <w:color w:val="000000" w:themeColor="text1"/>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cs="Arial"/>
          <w:color w:val="000000" w:themeColor="text1"/>
        </w:rPr>
        <w:t>del</w:t>
      </w:r>
      <w:r>
        <w:rPr>
          <w:rFonts w:ascii="Palatino Linotype" w:hAnsi="Palatino Linotype" w:cs="Arial"/>
          <w:color w:val="000000" w:themeColor="text1"/>
        </w:rPr>
        <w:t xml:space="preserve"> apellido paterno; seguida de la primera</w:t>
      </w:r>
      <w:r>
        <w:rPr>
          <w:rFonts w:ascii="Palatino Linotype" w:hAnsi="Palatino Linotype" w:cs="Arial"/>
          <w:color w:val="000000" w:themeColor="text1"/>
        </w:rPr>
        <w:t xml:space="preserve"> letra </w:t>
      </w:r>
      <w:r>
        <w:rPr>
          <w:rFonts w:ascii="Palatino Linotype" w:hAnsi="Palatino Linotype" w:cs="Arial"/>
          <w:color w:val="000000" w:themeColor="text1"/>
        </w:rPr>
        <w:lastRenderedPageBreak/>
        <w:t>Vocal del primer apellido; seguida de la primera letra del segundo apellido y por último la primera letra del nombre, posterior la fecha de nacimiento año/mes/día</w:t>
      </w:r>
      <w:r>
        <w:rPr>
          <w:rFonts w:ascii="Palatino Linotype" w:hAnsi="Palatino Linotype"/>
          <w:color w:val="000000" w:themeColor="text1"/>
        </w:rPr>
        <w:t xml:space="preserve"> y finalmente la homoclave; la cual, para su obtención es necesario acreditar personali</w:t>
      </w:r>
      <w:r>
        <w:rPr>
          <w:rFonts w:ascii="Palatino Linotype" w:hAnsi="Palatino Linotype"/>
          <w:color w:val="000000" w:themeColor="text1"/>
        </w:rPr>
        <w:t>dad, fecha de nacimiento entre otros con documentos oficiales.</w:t>
      </w:r>
    </w:p>
    <w:p w:rsidR="008A2DFA" w:rsidRDefault="008A2DFA">
      <w:pPr>
        <w:spacing w:line="360" w:lineRule="auto"/>
        <w:jc w:val="both"/>
        <w:rPr>
          <w:rFonts w:ascii="Palatino Linotype" w:hAnsi="Palatino Linotype"/>
          <w:color w:val="000000" w:themeColor="text1"/>
        </w:rPr>
      </w:pPr>
    </w:p>
    <w:p w:rsidR="008A2DFA" w:rsidRDefault="00D60B2C">
      <w:pPr>
        <w:spacing w:line="360" w:lineRule="auto"/>
        <w:jc w:val="both"/>
        <w:rPr>
          <w:rFonts w:ascii="Palatino Linotype" w:hAnsi="Palatino Linotype"/>
          <w:b/>
          <w:bCs/>
          <w:color w:val="000000" w:themeColor="text1"/>
        </w:rPr>
      </w:pPr>
      <w:r>
        <w:rPr>
          <w:rFonts w:ascii="Palatino Linotype" w:hAnsi="Palatino Linotype" w:cs="Arial"/>
          <w:color w:val="000000" w:themeColor="text1"/>
        </w:rPr>
        <w:t xml:space="preserve">Al respecto, </w:t>
      </w:r>
      <w:r>
        <w:rPr>
          <w:rFonts w:ascii="Palatino Linotype" w:hAnsi="Palatino Linotype" w:cs="Arial"/>
          <w:color w:val="000000" w:themeColor="text1"/>
        </w:rPr>
        <w:t xml:space="preserve">es aplicable el Criterio 19/17 de la Segunda Época, emitido por </w:t>
      </w:r>
      <w:r>
        <w:rPr>
          <w:rFonts w:ascii="Palatino Linotype" w:eastAsia="Arial Unicode MS" w:hAnsi="Palatino Linotype" w:cs="Arial"/>
          <w:color w:val="000000" w:themeColor="text1"/>
        </w:rPr>
        <w:t xml:space="preserve">el Instituto Nacional de </w:t>
      </w:r>
      <w:r>
        <w:rPr>
          <w:rFonts w:ascii="Palatino Linotype" w:hAnsi="Palatino Linotype"/>
          <w:bCs/>
          <w:color w:val="000000" w:themeColor="text1"/>
        </w:rPr>
        <w:t>Transparencia</w:t>
      </w:r>
      <w:r>
        <w:rPr>
          <w:rFonts w:ascii="Palatino Linotype" w:eastAsia="Arial Unicode MS" w:hAnsi="Palatino Linotype" w:cs="Arial"/>
          <w:color w:val="000000" w:themeColor="text1"/>
        </w:rPr>
        <w:t xml:space="preserve">, Acceso a la </w:t>
      </w:r>
      <w:r>
        <w:rPr>
          <w:rFonts w:ascii="Palatino Linotype" w:hAnsi="Palatino Linotype" w:cs="Arial"/>
          <w:color w:val="000000" w:themeColor="text1"/>
        </w:rPr>
        <w:t>Información</w:t>
      </w:r>
      <w:r>
        <w:rPr>
          <w:rFonts w:ascii="Palatino Linotype" w:eastAsia="Arial Unicode MS" w:hAnsi="Palatino Linotype" w:cs="Arial"/>
          <w:color w:val="000000" w:themeColor="text1"/>
        </w:rPr>
        <w:t xml:space="preserve"> y Protección de Datos Personales,</w:t>
      </w:r>
      <w:r>
        <w:rPr>
          <w:rFonts w:ascii="Palatino Linotype" w:hAnsi="Palatino Linotype"/>
          <w:bCs/>
          <w:color w:val="000000" w:themeColor="text1"/>
        </w:rPr>
        <w:t xml:space="preserve"> que dice:</w:t>
      </w:r>
      <w:r>
        <w:rPr>
          <w:rFonts w:ascii="Palatino Linotype" w:hAnsi="Palatino Linotype"/>
          <w:b/>
          <w:bCs/>
          <w:color w:val="000000" w:themeColor="text1"/>
        </w:rPr>
        <w:t xml:space="preserve"> </w:t>
      </w:r>
    </w:p>
    <w:p w:rsidR="008A2DFA" w:rsidRDefault="008A2DFA">
      <w:pPr>
        <w:jc w:val="both"/>
        <w:rPr>
          <w:rFonts w:ascii="Palatino Linotype" w:hAnsi="Palatino Linotype"/>
          <w:b/>
          <w:bCs/>
          <w:color w:val="000000" w:themeColor="text1"/>
        </w:rPr>
      </w:pPr>
    </w:p>
    <w:p w:rsidR="008A2DFA" w:rsidRDefault="00D60B2C">
      <w:pPr>
        <w:ind w:left="851" w:right="992"/>
        <w:jc w:val="both"/>
        <w:rPr>
          <w:rFonts w:ascii="Palatino Linotype" w:hAnsi="Palatino Linotype" w:cs="Arial"/>
          <w:bCs/>
          <w:i/>
          <w:color w:val="000000" w:themeColor="text1"/>
          <w:sz w:val="22"/>
          <w:szCs w:val="22"/>
          <w:lang w:eastAsia="en-US"/>
        </w:rPr>
      </w:pPr>
      <w:r>
        <w:rPr>
          <w:rFonts w:ascii="Palatino Linotype" w:hAnsi="Palatino Linotype" w:cs="Arial"/>
          <w:bCs/>
          <w:i/>
          <w:color w:val="000000" w:themeColor="text1"/>
          <w:sz w:val="22"/>
          <w:szCs w:val="22"/>
        </w:rPr>
        <w:t>“</w:t>
      </w:r>
      <w:r>
        <w:rPr>
          <w:rFonts w:ascii="Palatino Linotype" w:hAnsi="Palatino Linotype" w:cs="Arial"/>
          <w:b/>
          <w:bCs/>
          <w:i/>
          <w:color w:val="000000" w:themeColor="text1"/>
          <w:sz w:val="22"/>
          <w:szCs w:val="22"/>
        </w:rPr>
        <w:t>Regi</w:t>
      </w:r>
      <w:r>
        <w:rPr>
          <w:rFonts w:ascii="Palatino Linotype" w:hAnsi="Palatino Linotype" w:cs="Arial"/>
          <w:b/>
          <w:bCs/>
          <w:i/>
          <w:color w:val="000000" w:themeColor="text1"/>
          <w:sz w:val="22"/>
          <w:szCs w:val="22"/>
        </w:rPr>
        <w:t>stro Federal de Contribuyentes (RFC) de personas físicas. El RFC es una clave</w:t>
      </w:r>
      <w:r>
        <w:rPr>
          <w:rFonts w:ascii="Palatino Linotype" w:hAnsi="Palatino Linotype" w:cs="Arial"/>
          <w:bCs/>
          <w:i/>
          <w:color w:val="000000" w:themeColor="text1"/>
          <w:sz w:val="22"/>
          <w:szCs w:val="22"/>
        </w:rPr>
        <w:t xml:space="preserve"> de carácter fiscal, única e irrepetible, </w:t>
      </w:r>
      <w:r>
        <w:rPr>
          <w:rFonts w:ascii="Palatino Linotype" w:hAnsi="Palatino Linotype" w:cs="Arial"/>
          <w:b/>
          <w:bCs/>
          <w:i/>
          <w:color w:val="000000" w:themeColor="text1"/>
          <w:sz w:val="22"/>
          <w:szCs w:val="22"/>
        </w:rPr>
        <w:t>que permite identificar al titular, su edad y fecha de nacimiento</w:t>
      </w:r>
      <w:r>
        <w:rPr>
          <w:rFonts w:ascii="Palatino Linotype" w:hAnsi="Palatino Linotype" w:cs="Arial"/>
          <w:bCs/>
          <w:i/>
          <w:color w:val="000000" w:themeColor="text1"/>
          <w:sz w:val="22"/>
          <w:szCs w:val="22"/>
        </w:rPr>
        <w:t xml:space="preserve">, </w:t>
      </w:r>
      <w:r>
        <w:rPr>
          <w:rFonts w:ascii="Palatino Linotype" w:hAnsi="Palatino Linotype" w:cs="Arial"/>
          <w:i/>
          <w:color w:val="000000" w:themeColor="text1"/>
          <w:sz w:val="22"/>
          <w:szCs w:val="22"/>
        </w:rPr>
        <w:t>por</w:t>
      </w:r>
      <w:r>
        <w:rPr>
          <w:rFonts w:ascii="Palatino Linotype" w:hAnsi="Palatino Linotype" w:cs="Arial"/>
          <w:bCs/>
          <w:i/>
          <w:color w:val="000000" w:themeColor="text1"/>
          <w:sz w:val="22"/>
          <w:szCs w:val="22"/>
        </w:rPr>
        <w:t xml:space="preserve"> lo que </w:t>
      </w:r>
      <w:r>
        <w:rPr>
          <w:rFonts w:ascii="Palatino Linotype" w:hAnsi="Palatino Linotype" w:cs="Arial"/>
          <w:b/>
          <w:bCs/>
          <w:i/>
          <w:color w:val="000000" w:themeColor="text1"/>
          <w:sz w:val="22"/>
          <w:szCs w:val="22"/>
        </w:rPr>
        <w:t>es un dato personal de carácter confidencial</w:t>
      </w:r>
      <w:r>
        <w:rPr>
          <w:rFonts w:ascii="Palatino Linotype" w:hAnsi="Palatino Linotype" w:cs="Arial"/>
          <w:i/>
          <w:color w:val="000000" w:themeColor="text1"/>
          <w:sz w:val="22"/>
          <w:szCs w:val="22"/>
        </w:rPr>
        <w:t>.</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Resoluciones:</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RRA 0189/</w:t>
      </w:r>
      <w:r>
        <w:rPr>
          <w:rFonts w:ascii="Palatino Linotype" w:hAnsi="Palatino Linotype" w:cs="Arial"/>
          <w:i/>
          <w:color w:val="000000" w:themeColor="text1"/>
          <w:sz w:val="22"/>
          <w:szCs w:val="22"/>
        </w:rPr>
        <w:t>17</w:t>
      </w:r>
      <w:r>
        <w:rPr>
          <w:rFonts w:ascii="Palatino Linotype" w:hAnsi="Palatino Linotype" w:cs="Arial"/>
          <w:bCs/>
          <w:i/>
          <w:color w:val="000000" w:themeColor="text1"/>
          <w:sz w:val="22"/>
          <w:szCs w:val="22"/>
        </w:rPr>
        <w:t>. Morena. 08 de febrero de 2017. Por unanimidad. Comisionado Ponente Joel Salas Suárez.</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xml:space="preserve">• RRA 0677/17. Universidad Nacional Autónoma de México. 08 de marzo de 2017. Por unanimidad. Comisionado Ponente Rosendoevgueni Monterrey Chepov. </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Cs/>
          <w:i/>
          <w:color w:val="000000" w:themeColor="text1"/>
          <w:sz w:val="22"/>
          <w:szCs w:val="22"/>
        </w:rPr>
        <w:t>• RRA 1</w:t>
      </w:r>
      <w:r>
        <w:rPr>
          <w:rFonts w:ascii="Palatino Linotype" w:hAnsi="Palatino Linotype" w:cs="Arial"/>
          <w:bCs/>
          <w:i/>
          <w:color w:val="000000" w:themeColor="text1"/>
          <w:sz w:val="22"/>
          <w:szCs w:val="22"/>
        </w:rPr>
        <w:t xml:space="preserve">564/17. Tribunal Electoral del Poder Judicial de la Federación. 26 de abril de 2017. Por </w:t>
      </w:r>
      <w:r>
        <w:rPr>
          <w:rFonts w:ascii="Palatino Linotype" w:hAnsi="Palatino Linotype" w:cs="Arial"/>
          <w:i/>
          <w:color w:val="000000" w:themeColor="text1"/>
          <w:sz w:val="22"/>
          <w:szCs w:val="22"/>
        </w:rPr>
        <w:t>unanimidad</w:t>
      </w:r>
      <w:r>
        <w:rPr>
          <w:rFonts w:ascii="Palatino Linotype" w:hAnsi="Palatino Linotype" w:cs="Arial"/>
          <w:bCs/>
          <w:i/>
          <w:color w:val="000000" w:themeColor="text1"/>
          <w:sz w:val="22"/>
          <w:szCs w:val="22"/>
        </w:rPr>
        <w:t>. Comisionado Ponente Oscar Mauricio Guerra Ford.</w:t>
      </w:r>
      <w:r>
        <w:rPr>
          <w:rFonts w:ascii="Palatino Linotype" w:hAnsi="Palatino Linotype" w:cs="Arial"/>
          <w:i/>
          <w:color w:val="000000" w:themeColor="text1"/>
          <w:sz w:val="22"/>
          <w:szCs w:val="22"/>
        </w:rPr>
        <w:t>” (Sic)</w:t>
      </w:r>
    </w:p>
    <w:p w:rsidR="008A2DFA" w:rsidRDefault="00D60B2C">
      <w:pPr>
        <w:ind w:left="851" w:right="992"/>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(Énfasis añadido)</w:t>
      </w:r>
    </w:p>
    <w:p w:rsidR="008A2DFA" w:rsidRDefault="008A2DFA">
      <w:pPr>
        <w:ind w:left="851" w:right="902"/>
        <w:jc w:val="both"/>
        <w:rPr>
          <w:rFonts w:ascii="Palatino Linotype" w:hAnsi="Palatino Linotype" w:cs="Arial"/>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De lo anterior, se desprende que el Registro Federal de Contribuyentes se vincula</w:t>
      </w:r>
      <w:r>
        <w:rPr>
          <w:rFonts w:ascii="Palatino Linotype" w:hAnsi="Palatino Linotype" w:cs="Arial"/>
          <w:color w:val="000000" w:themeColor="text1"/>
        </w:rPr>
        <w:t xml:space="preserve"> al nombre de su </w:t>
      </w:r>
      <w:r>
        <w:rPr>
          <w:rFonts w:ascii="Palatino Linotype" w:hAnsi="Palatino Linotype"/>
          <w:bCs/>
          <w:color w:val="000000" w:themeColor="text1"/>
        </w:rPr>
        <w:t>titular</w:t>
      </w:r>
      <w:r>
        <w:rPr>
          <w:rFonts w:ascii="Palatino Linotype" w:hAnsi="Palatino Linotype" w:cs="Arial"/>
          <w:color w:val="000000" w:themeColor="text1"/>
        </w:rPr>
        <w:t xml:space="preserve">, permitiendo identificar la edad de la persona y fecha de nacimiento, determinando </w:t>
      </w:r>
      <w:r>
        <w:rPr>
          <w:rFonts w:ascii="Palatino Linotype" w:hAnsi="Palatino Linotype" w:cs="Arial"/>
          <w:color w:val="000000" w:themeColor="text1"/>
        </w:rPr>
        <w:t>la</w:t>
      </w:r>
      <w:r>
        <w:rPr>
          <w:rFonts w:ascii="Palatino Linotype" w:hAnsi="Palatino Linotype" w:cs="Arial"/>
          <w:color w:val="000000" w:themeColor="text1"/>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w:t>
      </w:r>
      <w:r>
        <w:rPr>
          <w:rFonts w:ascii="Palatino Linotype" w:hAnsi="Palatino Linotype" w:cs="Arial"/>
          <w:color w:val="000000" w:themeColor="text1"/>
        </w:rPr>
        <w:t xml:space="preserve">ción Pública del Estado de México y </w:t>
      </w:r>
      <w:r>
        <w:rPr>
          <w:rFonts w:ascii="Palatino Linotype" w:hAnsi="Palatino Linotype"/>
          <w:color w:val="000000" w:themeColor="text1"/>
        </w:rPr>
        <w:t>Municipios</w:t>
      </w:r>
      <w:r>
        <w:rPr>
          <w:rFonts w:ascii="Palatino Linotype" w:hAnsi="Palatino Linotype" w:cs="Arial"/>
          <w:color w:val="000000" w:themeColor="text1"/>
        </w:rPr>
        <w:t xml:space="preserve"> y </w:t>
      </w:r>
      <w:r>
        <w:rPr>
          <w:rFonts w:ascii="Palatino Linotype" w:hAnsi="Palatino Linotype" w:cs="Arial"/>
          <w:color w:val="000000" w:themeColor="text1"/>
        </w:rPr>
        <w:t>4, fracción XI</w:t>
      </w:r>
      <w:r>
        <w:rPr>
          <w:rFonts w:ascii="Palatino Linotype" w:hAnsi="Palatino Linotype" w:cs="Arial"/>
          <w:color w:val="000000" w:themeColor="text1"/>
        </w:rPr>
        <w:t xml:space="preserve"> </w:t>
      </w:r>
      <w:r>
        <w:rPr>
          <w:rFonts w:ascii="Palatino Linotype" w:hAnsi="Palatino Linotype" w:cs="Arial"/>
          <w:color w:val="000000" w:themeColor="text1"/>
        </w:rPr>
        <w:t xml:space="preserve">de </w:t>
      </w:r>
      <w:r>
        <w:rPr>
          <w:rFonts w:ascii="Palatino Linotype" w:hAnsi="Palatino Linotype" w:cs="Arial"/>
          <w:color w:val="000000" w:themeColor="text1"/>
        </w:rPr>
        <w:lastRenderedPageBreak/>
        <w:t>la Ley de Protección de Datos Personales en Posesión de Sujetos Obligados del Estado de México y Municipios.</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Por cuanto hace a la </w:t>
      </w:r>
      <w:r>
        <w:rPr>
          <w:rFonts w:ascii="Palatino Linotype" w:hAnsi="Palatino Linotype" w:cs="Arial"/>
          <w:b/>
          <w:color w:val="000000" w:themeColor="text1"/>
        </w:rPr>
        <w:t xml:space="preserve">Clave Única de Registro de Población, </w:t>
      </w:r>
      <w:r>
        <w:rPr>
          <w:rFonts w:ascii="Palatino Linotype" w:hAnsi="Palatino Linotype" w:cs="Arial"/>
          <w:color w:val="000000" w:themeColor="text1"/>
        </w:rPr>
        <w:t>constituye un dato p</w:t>
      </w:r>
      <w:r>
        <w:rPr>
          <w:rFonts w:ascii="Palatino Linotype" w:hAnsi="Palatino Linotype" w:cs="Arial"/>
          <w:color w:val="000000" w:themeColor="text1"/>
        </w:rPr>
        <w:t xml:space="preserve">ersonal, ya que </w:t>
      </w:r>
      <w:r>
        <w:rPr>
          <w:rFonts w:ascii="Palatino Linotype" w:hAnsi="Palatino Linotype"/>
          <w:color w:val="000000" w:themeColor="text1"/>
        </w:rPr>
        <w:t>tiene</w:t>
      </w:r>
      <w:r>
        <w:rPr>
          <w:rFonts w:ascii="Palatino Linotype" w:hAnsi="Palatino Linotype" w:cs="Arial"/>
          <w:color w:val="000000" w:themeColor="text1"/>
        </w:rPr>
        <w:t xml:space="preserve"> como finalidad registrar a cada una de las personas que integran la población del país, con los datos que permitan certificar y acreditar fehacientemente su identidad, la cual servirá para identificarla de manera individual.</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Lo </w:t>
      </w:r>
      <w:r>
        <w:rPr>
          <w:rFonts w:ascii="Palatino Linotype" w:hAnsi="Palatino Linotype"/>
          <w:color w:val="000000" w:themeColor="text1"/>
        </w:rPr>
        <w:t>anter</w:t>
      </w:r>
      <w:r>
        <w:rPr>
          <w:rFonts w:ascii="Palatino Linotype" w:hAnsi="Palatino Linotype"/>
          <w:color w:val="000000" w:themeColor="text1"/>
        </w:rPr>
        <w:t>ior</w:t>
      </w:r>
      <w:r>
        <w:rPr>
          <w:rFonts w:ascii="Palatino Linotype" w:hAnsi="Palatino Linotype" w:cs="Arial"/>
          <w:color w:val="000000" w:themeColor="text1"/>
        </w:rPr>
        <w:t xml:space="preserve">, </w:t>
      </w:r>
      <w:r>
        <w:rPr>
          <w:rFonts w:ascii="Palatino Linotype" w:hAnsi="Palatino Linotype" w:cs="Arial"/>
          <w:color w:val="000000" w:themeColor="text1"/>
        </w:rPr>
        <w:t>tiene</w:t>
      </w:r>
      <w:r>
        <w:rPr>
          <w:rFonts w:ascii="Palatino Linotype" w:hAnsi="Palatino Linotype" w:cs="Arial"/>
          <w:color w:val="000000" w:themeColor="text1"/>
        </w:rPr>
        <w:t xml:space="preserve"> sustento en los artículos 86 y 91 de la Ley General de Población, la cual señala lo siguiente:</w:t>
      </w:r>
    </w:p>
    <w:p w:rsidR="008A2DFA" w:rsidRDefault="008A2DFA">
      <w:pPr>
        <w:jc w:val="both"/>
        <w:rPr>
          <w:rFonts w:ascii="Palatino Linotype" w:hAnsi="Palatino Linotype" w:cs="Arial"/>
          <w:color w:val="000000" w:themeColor="text1"/>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Bold"/>
          <w:bCs/>
          <w:i/>
          <w:color w:val="000000" w:themeColor="text1"/>
          <w:sz w:val="22"/>
          <w:szCs w:val="22"/>
        </w:rPr>
        <w:t>“</w:t>
      </w:r>
      <w:r>
        <w:rPr>
          <w:rFonts w:ascii="Palatino Linotype" w:hAnsi="Palatino Linotype" w:cs="Arial,Bold"/>
          <w:b/>
          <w:bCs/>
          <w:i/>
          <w:color w:val="000000" w:themeColor="text1"/>
          <w:sz w:val="22"/>
          <w:szCs w:val="22"/>
        </w:rPr>
        <w:t xml:space="preserve">Artículo 86. </w:t>
      </w:r>
      <w:r>
        <w:rPr>
          <w:rFonts w:ascii="Palatino Linotype" w:hAnsi="Palatino Linotype" w:cs="Arial"/>
          <w:i/>
          <w:color w:val="000000" w:themeColor="text1"/>
          <w:sz w:val="22"/>
          <w:szCs w:val="22"/>
        </w:rPr>
        <w:t>El Registro Nacional de Población tiene como finalidad registrar a cada una de las personas que integran la población del país, con los</w:t>
      </w:r>
      <w:r>
        <w:rPr>
          <w:rFonts w:ascii="Palatino Linotype" w:hAnsi="Palatino Linotype" w:cs="Arial"/>
          <w:i/>
          <w:color w:val="000000" w:themeColor="text1"/>
          <w:sz w:val="22"/>
          <w:szCs w:val="22"/>
        </w:rPr>
        <w:t xml:space="preserve"> datos que permitan certificar y acreditar fehacientemente su identidad.</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Bold"/>
          <w:b/>
          <w:bCs/>
          <w:i/>
          <w:color w:val="000000" w:themeColor="text1"/>
          <w:sz w:val="22"/>
          <w:szCs w:val="22"/>
        </w:rPr>
        <w:t xml:space="preserve">Artículo 91. </w:t>
      </w:r>
      <w:r>
        <w:rPr>
          <w:rFonts w:ascii="Palatino Linotype" w:hAnsi="Palatino Linotype" w:cs="Arial"/>
          <w:b/>
          <w:i/>
          <w:color w:val="000000" w:themeColor="text1"/>
          <w:sz w:val="22"/>
          <w:szCs w:val="22"/>
        </w:rPr>
        <w:t>Al incorporar a una persona en el Registro Nacional de Población</w:t>
      </w:r>
      <w:r>
        <w:rPr>
          <w:rFonts w:ascii="Palatino Linotype" w:hAnsi="Palatino Linotype" w:cs="Arial"/>
          <w:i/>
          <w:color w:val="000000" w:themeColor="text1"/>
          <w:sz w:val="22"/>
          <w:szCs w:val="22"/>
        </w:rPr>
        <w:t xml:space="preserve">, se le asignará una clave </w:t>
      </w:r>
      <w:r>
        <w:rPr>
          <w:rFonts w:ascii="Palatino Linotype" w:hAnsi="Palatino Linotype" w:cs="Arial"/>
          <w:b/>
          <w:i/>
          <w:color w:val="000000" w:themeColor="text1"/>
          <w:sz w:val="22"/>
          <w:szCs w:val="22"/>
        </w:rPr>
        <w:t>que se denominará Clave Única de Registro de Población</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Esta servirá para</w:t>
      </w:r>
      <w:r>
        <w:rPr>
          <w:rFonts w:ascii="Palatino Linotype" w:hAnsi="Palatino Linotype" w:cs="Arial"/>
          <w:i/>
          <w:color w:val="000000" w:themeColor="text1"/>
          <w:sz w:val="22"/>
          <w:szCs w:val="22"/>
        </w:rPr>
        <w:t xml:space="preserve"> regis</w:t>
      </w:r>
      <w:r>
        <w:rPr>
          <w:rFonts w:ascii="Palatino Linotype" w:hAnsi="Palatino Linotype" w:cs="Arial"/>
          <w:i/>
          <w:color w:val="000000" w:themeColor="text1"/>
          <w:sz w:val="22"/>
          <w:szCs w:val="22"/>
        </w:rPr>
        <w:t xml:space="preserve">trarla e </w:t>
      </w:r>
      <w:r>
        <w:rPr>
          <w:rFonts w:ascii="Palatino Linotype" w:hAnsi="Palatino Linotype" w:cs="Arial"/>
          <w:b/>
          <w:i/>
          <w:color w:val="000000" w:themeColor="text1"/>
          <w:sz w:val="22"/>
          <w:szCs w:val="22"/>
        </w:rPr>
        <w:t>identificarla en forma individual</w:t>
      </w:r>
      <w:r>
        <w:rPr>
          <w:rFonts w:ascii="Palatino Linotype" w:hAnsi="Palatino Linotype" w:cs="Arial"/>
          <w:i/>
          <w:color w:val="000000" w:themeColor="text1"/>
          <w:sz w:val="22"/>
          <w:szCs w:val="22"/>
        </w:rPr>
        <w:t xml:space="preserve">.” </w:t>
      </w:r>
    </w:p>
    <w:p w:rsidR="008A2DFA" w:rsidRDefault="00D60B2C">
      <w:pPr>
        <w:ind w:left="851" w:right="992"/>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(Énfasis añadido)</w:t>
      </w:r>
    </w:p>
    <w:p w:rsidR="008A2DFA" w:rsidRDefault="008A2DFA">
      <w:pPr>
        <w:ind w:left="851" w:right="902"/>
        <w:jc w:val="both"/>
        <w:rPr>
          <w:rFonts w:ascii="Palatino Linotype" w:hAnsi="Palatino Linotype" w:cs="Arial"/>
          <w:color w:val="000000" w:themeColor="text1"/>
          <w:sz w:val="22"/>
          <w:szCs w:val="22"/>
        </w:rPr>
      </w:pPr>
    </w:p>
    <w:p w:rsidR="008A2DFA" w:rsidRDefault="00D60B2C">
      <w:pPr>
        <w:spacing w:line="360" w:lineRule="auto"/>
        <w:jc w:val="both"/>
        <w:rPr>
          <w:rFonts w:ascii="Palatino Linotype" w:hAnsi="Palatino Linotype"/>
          <w:color w:val="000000" w:themeColor="text1"/>
        </w:rPr>
      </w:pPr>
      <w:r>
        <w:rPr>
          <w:rFonts w:ascii="Palatino Linotype" w:hAnsi="Palatino Linotype"/>
          <w:color w:val="000000" w:themeColor="text1"/>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color w:val="000000" w:themeColor="text1"/>
        </w:rPr>
        <w:t>identidad</w:t>
      </w:r>
      <w:r>
        <w:rPr>
          <w:rFonts w:ascii="Palatino Linotype" w:hAnsi="Palatino Linotype"/>
          <w:color w:val="000000" w:themeColor="text1"/>
        </w:rPr>
        <w:t xml:space="preserve"> (acta de nacimiento, carta de naturalización o d</w:t>
      </w:r>
      <w:r>
        <w:rPr>
          <w:rFonts w:ascii="Palatino Linotype" w:hAnsi="Palatino Linotype"/>
          <w:color w:val="000000" w:themeColor="text1"/>
        </w:rPr>
        <w:t xml:space="preserve">ocumento migratorio), la </w:t>
      </w:r>
      <w:r>
        <w:rPr>
          <w:rFonts w:ascii="Palatino Linotype" w:hAnsi="Palatino Linotype" w:cs="Arial"/>
          <w:color w:val="000000" w:themeColor="text1"/>
        </w:rPr>
        <w:t>cual</w:t>
      </w:r>
      <w:r>
        <w:rPr>
          <w:rFonts w:ascii="Palatino Linotype" w:hAnsi="Palatino Linotype"/>
          <w:color w:val="000000" w:themeColor="text1"/>
        </w:rPr>
        <w:t xml:space="preserve"> se integra de</w:t>
      </w:r>
      <w:r>
        <w:rPr>
          <w:rFonts w:ascii="Palatino Linotype" w:hAnsi="Palatino Linotype" w:cs="Arial"/>
          <w:color w:val="000000" w:themeColor="text1"/>
        </w:rPr>
        <w:t xml:space="preserve"> la primera letra del apellido paterno; seguida de la primera letra Vocal del primer apellido; seguida de la primera letra del segundo apellido y por último la primera letra del nombre; fecha de nacimiento año/mes</w:t>
      </w:r>
      <w:r>
        <w:rPr>
          <w:rFonts w:ascii="Palatino Linotype" w:hAnsi="Palatino Linotype" w:cs="Arial"/>
          <w:color w:val="000000" w:themeColor="text1"/>
        </w:rPr>
        <w:t>/día</w:t>
      </w:r>
      <w:r>
        <w:rPr>
          <w:rFonts w:ascii="Palatino Linotype" w:hAnsi="Palatino Linotype"/>
          <w:color w:val="000000" w:themeColor="text1"/>
        </w:rPr>
        <w:t xml:space="preserve">; sexo; Entidad Federativa de nacimiento; consonantes internas del nombre </w:t>
      </w:r>
      <w:r>
        <w:rPr>
          <w:rFonts w:ascii="Palatino Linotype" w:hAnsi="Palatino Linotype"/>
          <w:color w:val="000000" w:themeColor="text1"/>
        </w:rPr>
        <w:lastRenderedPageBreak/>
        <w:t xml:space="preserve">y apellidos; un diferenciador de homonimia y siglo; y un digito verificador, que garantizan la correcta integración. </w:t>
      </w:r>
    </w:p>
    <w:p w:rsidR="008A2DFA" w:rsidRDefault="008A2DFA">
      <w:pPr>
        <w:spacing w:line="360" w:lineRule="auto"/>
        <w:jc w:val="both"/>
        <w:rPr>
          <w:rFonts w:ascii="Palatino Linotype" w:hAnsi="Palatino Linotype"/>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Al respecto, el </w:t>
      </w:r>
      <w:r>
        <w:rPr>
          <w:rFonts w:ascii="Palatino Linotype" w:eastAsia="Arial Unicode MS" w:hAnsi="Palatino Linotype" w:cs="Arial"/>
          <w:color w:val="000000" w:themeColor="text1"/>
        </w:rPr>
        <w:t>Instituto Nacional de Transparencia, Acceso</w:t>
      </w:r>
      <w:r>
        <w:rPr>
          <w:rFonts w:ascii="Palatino Linotype" w:eastAsia="Arial Unicode MS" w:hAnsi="Palatino Linotype" w:cs="Arial"/>
          <w:color w:val="000000" w:themeColor="text1"/>
        </w:rPr>
        <w:t xml:space="preserve"> a la Información y Protección de Datos Personales (INAI),</w:t>
      </w:r>
      <w:r>
        <w:rPr>
          <w:rFonts w:ascii="Palatino Linotype" w:hAnsi="Palatino Linotype" w:cs="Arial"/>
          <w:color w:val="000000" w:themeColor="text1"/>
        </w:rPr>
        <w:t xml:space="preserve"> a través del Criterio 18/17 de la Segunda Época, señala literalmente lo siguiente:</w:t>
      </w:r>
    </w:p>
    <w:p w:rsidR="008A2DFA" w:rsidRDefault="008A2DFA">
      <w:pPr>
        <w:jc w:val="both"/>
        <w:rPr>
          <w:rFonts w:ascii="Palatino Linotype" w:hAnsi="Palatino Linotype" w:cs="Arial"/>
          <w:color w:val="000000" w:themeColor="text1"/>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Pr>
          <w:rFonts w:ascii="Palatino Linotype" w:hAnsi="Palatino Linotype" w:cs="Arial"/>
          <w:b/>
          <w:i/>
          <w:color w:val="000000" w:themeColor="text1"/>
          <w:sz w:val="22"/>
          <w:szCs w:val="22"/>
        </w:rPr>
        <w:t>Clave Única de Registro de Población (CURP).</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 xml:space="preserve">La Clave Única de Registro de Población se integra por datos </w:t>
      </w:r>
      <w:r>
        <w:rPr>
          <w:rFonts w:ascii="Palatino Linotype" w:hAnsi="Palatino Linotype" w:cs="Arial"/>
          <w:b/>
          <w:i/>
          <w:color w:val="000000" w:themeColor="text1"/>
          <w:sz w:val="22"/>
          <w:szCs w:val="22"/>
        </w:rPr>
        <w:t>personales que sólo conciernen al particular titular</w:t>
      </w:r>
      <w:r>
        <w:rPr>
          <w:rFonts w:ascii="Palatino Linotype" w:hAnsi="Palatino Linotype" w:cs="Arial"/>
          <w:i/>
          <w:color w:val="000000" w:themeColor="text1"/>
          <w:sz w:val="22"/>
          <w:szCs w:val="22"/>
        </w:rPr>
        <w:t xml:space="preserve"> de la misma, </w:t>
      </w:r>
      <w:r>
        <w:rPr>
          <w:rFonts w:ascii="Palatino Linotype" w:hAnsi="Palatino Linotype" w:cs="Arial"/>
          <w:b/>
          <w:i/>
          <w:color w:val="000000" w:themeColor="text1"/>
          <w:sz w:val="22"/>
          <w:szCs w:val="22"/>
        </w:rPr>
        <w:t>como lo son su nombre, apellidos, fecha de nacimiento, lugar de nacimiento y sexo</w:t>
      </w:r>
      <w:r>
        <w:rPr>
          <w:rFonts w:ascii="Palatino Linotype" w:hAnsi="Palatino Linotype" w:cs="Arial"/>
          <w:i/>
          <w:color w:val="000000" w:themeColor="text1"/>
          <w:sz w:val="22"/>
          <w:szCs w:val="22"/>
        </w:rPr>
        <w:t>. Dichos datos, constituyen información que distingue plenamente a una persona física del resto de los habita</w:t>
      </w:r>
      <w:r>
        <w:rPr>
          <w:rFonts w:ascii="Palatino Linotype" w:hAnsi="Palatino Linotype" w:cs="Arial"/>
          <w:i/>
          <w:color w:val="000000" w:themeColor="text1"/>
          <w:sz w:val="22"/>
          <w:szCs w:val="22"/>
        </w:rPr>
        <w:t xml:space="preserve">ntes del país, </w:t>
      </w:r>
      <w:r>
        <w:rPr>
          <w:rFonts w:ascii="Palatino Linotype" w:hAnsi="Palatino Linotype" w:cs="Arial"/>
          <w:b/>
          <w:i/>
          <w:color w:val="000000" w:themeColor="text1"/>
          <w:sz w:val="22"/>
          <w:szCs w:val="22"/>
        </w:rPr>
        <w:t>por lo que la CURP está considerada como información confidencial</w:t>
      </w:r>
      <w:r>
        <w:rPr>
          <w:rFonts w:ascii="Palatino Linotype" w:hAnsi="Palatino Linotype" w:cs="Arial"/>
          <w:i/>
          <w:color w:val="000000" w:themeColor="text1"/>
          <w:sz w:val="22"/>
          <w:szCs w:val="22"/>
        </w:rPr>
        <w:t xml:space="preserve">. </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Resoluciones:</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RRA 3995/16. Secretaría de la Defensa Nacional. 1 de febrero de 2017. Por unanimidad. Comisionado Ponente Rosendoevgueni Monterrey Chepov.</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xml:space="preserve">• </w:t>
      </w:r>
      <w:r>
        <w:rPr>
          <w:rFonts w:ascii="Palatino Linotype" w:hAnsi="Palatino Linotype" w:cs="Arial"/>
          <w:bCs/>
          <w:i/>
          <w:color w:val="000000" w:themeColor="text1"/>
          <w:sz w:val="22"/>
          <w:szCs w:val="22"/>
        </w:rPr>
        <w:t xml:space="preserve">RRA 0937/17. Senado de la República. 15 de marzo de 2017. Por unanimidad. Comisionada Ponente </w:t>
      </w:r>
      <w:r>
        <w:rPr>
          <w:rFonts w:ascii="Palatino Linotype" w:hAnsi="Palatino Linotype" w:cs="Arial"/>
          <w:i/>
          <w:color w:val="000000" w:themeColor="text1"/>
          <w:sz w:val="22"/>
          <w:szCs w:val="22"/>
        </w:rPr>
        <w:t>Ximena</w:t>
      </w:r>
      <w:r>
        <w:rPr>
          <w:rFonts w:ascii="Palatino Linotype" w:hAnsi="Palatino Linotype" w:cs="Arial"/>
          <w:bCs/>
          <w:i/>
          <w:color w:val="000000" w:themeColor="text1"/>
          <w:sz w:val="22"/>
          <w:szCs w:val="22"/>
        </w:rPr>
        <w:t xml:space="preserve"> Puente de la Mora. </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Cs/>
          <w:i/>
          <w:color w:val="000000" w:themeColor="text1"/>
          <w:sz w:val="22"/>
          <w:szCs w:val="22"/>
        </w:rPr>
        <w:t xml:space="preserve">• RRA 0478/17. Secretaría de Relaciones Exteriores. 26 de abril de 2017. Por unanimidad. </w:t>
      </w:r>
      <w:r>
        <w:rPr>
          <w:rFonts w:ascii="Palatino Linotype" w:hAnsi="Palatino Linotype" w:cs="Arial"/>
          <w:i/>
          <w:color w:val="000000" w:themeColor="text1"/>
          <w:sz w:val="22"/>
          <w:szCs w:val="22"/>
        </w:rPr>
        <w:t>Comisionada</w:t>
      </w:r>
      <w:r>
        <w:rPr>
          <w:rFonts w:ascii="Palatino Linotype" w:hAnsi="Palatino Linotype" w:cs="Arial"/>
          <w:bCs/>
          <w:i/>
          <w:color w:val="000000" w:themeColor="text1"/>
          <w:sz w:val="22"/>
          <w:szCs w:val="22"/>
        </w:rPr>
        <w:t xml:space="preserve"> Ponente Areli Cano Guadiana.</w:t>
      </w:r>
      <w:r>
        <w:rPr>
          <w:rFonts w:ascii="Palatino Linotype" w:hAnsi="Palatino Linotype" w:cs="Arial"/>
          <w:i/>
          <w:color w:val="000000" w:themeColor="text1"/>
          <w:sz w:val="22"/>
          <w:szCs w:val="22"/>
        </w:rPr>
        <w:t xml:space="preserve">” </w:t>
      </w:r>
      <w:r>
        <w:rPr>
          <w:rFonts w:ascii="Palatino Linotype" w:hAnsi="Palatino Linotype" w:cs="Arial"/>
          <w:i/>
          <w:color w:val="000000" w:themeColor="text1"/>
          <w:sz w:val="22"/>
          <w:szCs w:val="22"/>
        </w:rPr>
        <w:t>(Sic</w:t>
      </w:r>
      <w:r>
        <w:rPr>
          <w:rFonts w:ascii="Palatino Linotype" w:hAnsi="Palatino Linotype" w:cs="Arial"/>
          <w:i/>
          <w:color w:val="000000" w:themeColor="text1"/>
          <w:sz w:val="22"/>
          <w:szCs w:val="22"/>
        </w:rPr>
        <w:t>)</w:t>
      </w:r>
    </w:p>
    <w:p w:rsidR="008A2DFA" w:rsidRDefault="00D60B2C">
      <w:pPr>
        <w:ind w:left="851" w:right="992"/>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(Énfasis añadido)</w:t>
      </w:r>
    </w:p>
    <w:p w:rsidR="008A2DFA" w:rsidRDefault="008A2DFA">
      <w:pPr>
        <w:ind w:left="851" w:right="902"/>
        <w:jc w:val="both"/>
        <w:rPr>
          <w:rFonts w:ascii="Palatino Linotype" w:hAnsi="Palatino Linotype" w:cs="Arial"/>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lo anterior, se desprende que la </w:t>
      </w:r>
      <w:r>
        <w:rPr>
          <w:rFonts w:ascii="Palatino Linotype" w:hAnsi="Palatino Linotype"/>
          <w:color w:val="000000" w:themeColor="text1"/>
        </w:rPr>
        <w:t xml:space="preserve">Clave Única de Registro de Población, </w:t>
      </w:r>
      <w:r>
        <w:rPr>
          <w:rFonts w:ascii="Palatino Linotype" w:hAnsi="Palatino Linotype" w:cs="Arial"/>
          <w:color w:val="000000" w:themeColor="text1"/>
        </w:rPr>
        <w:t>se encuentra vinculada al nombre y apellidos de la persona, permitiendo identificar fecha y lugar de nacimiento, así como el sexo; datos que únicamente le atañen</w:t>
      </w:r>
      <w:r>
        <w:rPr>
          <w:rFonts w:ascii="Palatino Linotype" w:hAnsi="Palatino Linotype" w:cs="Arial"/>
          <w:color w:val="000000" w:themeColor="text1"/>
        </w:rPr>
        <w:t xml:space="preserve"> a su titular, por lo que, ésta constituye un dato </w:t>
      </w:r>
      <w:r>
        <w:rPr>
          <w:rFonts w:ascii="Palatino Linotype" w:hAnsi="Palatino Linotype"/>
          <w:bCs/>
          <w:color w:val="000000" w:themeColor="text1"/>
        </w:rPr>
        <w:t>personal</w:t>
      </w:r>
      <w:r>
        <w:rPr>
          <w:rFonts w:ascii="Palatino Linotype" w:hAnsi="Palatino Linotype" w:cs="Arial"/>
          <w:color w:val="000000" w:themeColor="text1"/>
        </w:rPr>
        <w:t xml:space="preserve"> que concierne a una persona física identificada e identificable en términos de los artículos 2, fracción II de la Ley de Transparencia y Acceso a la Información Pública del Estado de México y Muni</w:t>
      </w:r>
      <w:r>
        <w:rPr>
          <w:rFonts w:ascii="Palatino Linotype" w:hAnsi="Palatino Linotype" w:cs="Arial"/>
          <w:color w:val="000000" w:themeColor="text1"/>
        </w:rPr>
        <w:t xml:space="preserve">cipios y </w:t>
      </w:r>
      <w:r>
        <w:rPr>
          <w:rFonts w:ascii="Palatino Linotype" w:hAnsi="Palatino Linotype" w:cs="Arial"/>
          <w:color w:val="000000" w:themeColor="text1"/>
        </w:rPr>
        <w:t>4, fracción XI</w:t>
      </w:r>
      <w:r>
        <w:rPr>
          <w:rFonts w:ascii="Palatino Linotype" w:hAnsi="Palatino Linotype" w:cs="Arial"/>
          <w:color w:val="000000" w:themeColor="text1"/>
        </w:rPr>
        <w:t xml:space="preserve"> </w:t>
      </w:r>
      <w:r>
        <w:rPr>
          <w:rFonts w:ascii="Palatino Linotype" w:hAnsi="Palatino Linotype" w:cs="Arial"/>
          <w:color w:val="000000" w:themeColor="text1"/>
        </w:rPr>
        <w:t>de la Ley de Protección de Datos Personales en Posesión de Sujetos Obligados del Estado de México y Municipios</w:t>
      </w:r>
      <w:r>
        <w:rPr>
          <w:rFonts w:ascii="Palatino Linotype" w:hAnsi="Palatino Linotype" w:cs="Arial"/>
          <w:color w:val="000000" w:themeColor="text1"/>
        </w:rPr>
        <w:t>.</w:t>
      </w: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Por cuanto hace a la </w:t>
      </w:r>
      <w:r>
        <w:rPr>
          <w:rFonts w:ascii="Palatino Linotype" w:hAnsi="Palatino Linotype" w:cs="Arial"/>
          <w:b/>
          <w:color w:val="000000" w:themeColor="text1"/>
        </w:rPr>
        <w:t>Clave de cualquier tipo de seguridad social</w:t>
      </w:r>
      <w:r>
        <w:rPr>
          <w:rFonts w:ascii="Palatino Linotype" w:hAnsi="Palatino Linotype" w:cs="Arial"/>
          <w:color w:val="000000" w:themeColor="text1"/>
        </w:rPr>
        <w:t xml:space="preserve"> (ISSEMYM, u otros), está integrado por una </w:t>
      </w:r>
      <w:r>
        <w:rPr>
          <w:rFonts w:ascii="Palatino Linotype" w:hAnsi="Palatino Linotype" w:cs="Arial"/>
          <w:bCs/>
          <w:color w:val="000000" w:themeColor="text1"/>
        </w:rPr>
        <w:t xml:space="preserve">secuencia de números con los que se identifica a los trabajadores que </w:t>
      </w:r>
      <w:r>
        <w:rPr>
          <w:rFonts w:ascii="Palatino Linotype" w:hAnsi="Palatino Linotype"/>
          <w:color w:val="000000" w:themeColor="text1"/>
        </w:rPr>
        <w:t>cubren</w:t>
      </w:r>
      <w:r>
        <w:rPr>
          <w:rFonts w:ascii="Palatino Linotype" w:hAnsi="Palatino Linotype" w:cs="Arial"/>
          <w:bCs/>
          <w:color w:val="000000" w:themeColor="text1"/>
        </w:rPr>
        <w:t xml:space="preserve"> las cuotas respectivas, asimismo, lo identifica con la fuente de trabajo; por lo que al ser una clave de </w:t>
      </w:r>
      <w:r>
        <w:rPr>
          <w:rFonts w:ascii="Palatino Linotype" w:hAnsi="Palatino Linotype" w:cs="Arial"/>
          <w:color w:val="000000" w:themeColor="text1"/>
        </w:rPr>
        <w:t>identificación</w:t>
      </w:r>
      <w:r>
        <w:rPr>
          <w:rFonts w:ascii="Palatino Linotype" w:hAnsi="Palatino Linotype" w:cs="Arial"/>
          <w:bCs/>
          <w:color w:val="000000" w:themeColor="text1"/>
        </w:rPr>
        <w:t xml:space="preserve"> de los trabajadores, constituye información confidencial, </w:t>
      </w:r>
      <w:r>
        <w:rPr>
          <w:rFonts w:ascii="Palatino Linotype" w:hAnsi="Palatino Linotype" w:cs="Arial"/>
          <w:color w:val="000000" w:themeColor="text1"/>
        </w:rPr>
        <w:t>d</w:t>
      </w:r>
      <w:r>
        <w:rPr>
          <w:rFonts w:ascii="Palatino Linotype" w:hAnsi="Palatino Linotype" w:cs="Arial"/>
          <w:color w:val="000000" w:themeColor="text1"/>
        </w:rPr>
        <w:t>ato que únicamente le atañe al servidor público, por lo constituye un dato personal que concierne a una persona física identificada e identificable en términos de los artículos 2, fracción II de la Ley de Transparencia y Acceso a la Información Pública del</w:t>
      </w:r>
      <w:r>
        <w:rPr>
          <w:rFonts w:ascii="Palatino Linotype" w:hAnsi="Palatino Linotype" w:cs="Arial"/>
          <w:color w:val="000000" w:themeColor="text1"/>
        </w:rPr>
        <w:t xml:space="preserve"> Estado de México y Municipios y </w:t>
      </w:r>
      <w:r>
        <w:rPr>
          <w:rFonts w:ascii="Palatino Linotype" w:hAnsi="Palatino Linotype" w:cs="Arial"/>
          <w:color w:val="000000" w:themeColor="text1"/>
        </w:rPr>
        <w:t>4, fracción XI</w:t>
      </w:r>
      <w:r>
        <w:rPr>
          <w:rFonts w:ascii="Palatino Linotype" w:hAnsi="Palatino Linotype" w:cs="Arial"/>
          <w:color w:val="000000" w:themeColor="text1"/>
        </w:rPr>
        <w:t xml:space="preserve"> </w:t>
      </w:r>
      <w:r>
        <w:rPr>
          <w:rFonts w:ascii="Palatino Linotype" w:hAnsi="Palatino Linotype" w:cs="Arial"/>
          <w:color w:val="000000" w:themeColor="text1"/>
        </w:rPr>
        <w:t>de la Ley de Protección de Datos Personales en Posesión de Sujetos Obligados del Estado de México y Municipios</w:t>
      </w:r>
      <w:r>
        <w:rPr>
          <w:rFonts w:ascii="Palatino Linotype" w:hAnsi="Palatino Linotype" w:cs="Arial"/>
          <w:color w:val="000000" w:themeColor="text1"/>
        </w:rPr>
        <w:t>.</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Respecto de los </w:t>
      </w:r>
      <w:r>
        <w:rPr>
          <w:rFonts w:ascii="Palatino Linotype" w:hAnsi="Palatino Linotype" w:cs="Arial"/>
          <w:b/>
          <w:color w:val="000000" w:themeColor="text1"/>
        </w:rPr>
        <w:t>préstamos o descuentos</w:t>
      </w:r>
      <w:r>
        <w:rPr>
          <w:rFonts w:ascii="Palatino Linotype" w:hAnsi="Palatino Linotype" w:cs="Arial"/>
          <w:color w:val="000000" w:themeColor="text1"/>
        </w:rPr>
        <w:t xml:space="preserve"> </w:t>
      </w:r>
      <w:r>
        <w:rPr>
          <w:rFonts w:ascii="Palatino Linotype" w:hAnsi="Palatino Linotype" w:cs="Arial"/>
          <w:b/>
          <w:color w:val="000000" w:themeColor="text1"/>
        </w:rPr>
        <w:t>de carácter personal</w:t>
      </w:r>
      <w:r>
        <w:rPr>
          <w:rFonts w:ascii="Palatino Linotype" w:hAnsi="Palatino Linotype" w:cs="Arial"/>
          <w:color w:val="000000" w:themeColor="text1"/>
        </w:rPr>
        <w:t xml:space="preserve">, éstos no deben tener relación con </w:t>
      </w:r>
      <w:r>
        <w:rPr>
          <w:rFonts w:ascii="Palatino Linotype" w:hAnsi="Palatino Linotype" w:cs="Arial"/>
          <w:color w:val="000000" w:themeColor="text1"/>
        </w:rPr>
        <w:t xml:space="preserve">la prestación del servicio; es decir, son confidenciales los préstamos o descuentos que se le hagan a la persona en los que no se involucren instituciones públicas, en virtud de  no </w:t>
      </w:r>
      <w:r>
        <w:rPr>
          <w:rFonts w:ascii="Palatino Linotype" w:hAnsi="Palatino Linotype" w:cs="Arial"/>
          <w:color w:val="000000" w:themeColor="text1"/>
        </w:rPr>
        <w:t>favorecer  en la transparencia y rendición de cuentas, sino, por el contra</w:t>
      </w:r>
      <w:r>
        <w:rPr>
          <w:rFonts w:ascii="Palatino Linotype" w:hAnsi="Palatino Linotype" w:cs="Arial"/>
          <w:color w:val="000000" w:themeColor="text1"/>
        </w:rPr>
        <w:t>rio con ello se violentaría la</w:t>
      </w:r>
      <w:r>
        <w:rPr>
          <w:rFonts w:ascii="Palatino Linotype" w:hAnsi="Palatino Linotype"/>
          <w:color w:val="000000" w:themeColor="text1"/>
        </w:rPr>
        <w:t xml:space="preserve"> </w:t>
      </w:r>
      <w:r>
        <w:rPr>
          <w:rFonts w:ascii="Palatino Linotype" w:hAnsi="Palatino Linotype" w:cs="Arial"/>
          <w:color w:val="000000" w:themeColor="text1"/>
        </w:rPr>
        <w:t>protección de información confidencial, porque incide en la intimidad de un individuo</w:t>
      </w:r>
      <w:r>
        <w:rPr>
          <w:rFonts w:ascii="Palatino Linotype" w:hAnsi="Palatino Linotype"/>
          <w:color w:val="000000" w:themeColor="text1"/>
        </w:rPr>
        <w:t xml:space="preserve"> </w:t>
      </w:r>
      <w:r>
        <w:rPr>
          <w:rFonts w:ascii="Palatino Linotype" w:hAnsi="Palatino Linotype" w:cs="Arial"/>
          <w:color w:val="000000" w:themeColor="text1"/>
        </w:rPr>
        <w:t>identificado.</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Por su </w:t>
      </w:r>
      <w:r>
        <w:rPr>
          <w:rFonts w:ascii="Palatino Linotype" w:hAnsi="Palatino Linotype"/>
          <w:color w:val="000000" w:themeColor="text1"/>
        </w:rPr>
        <w:t>parte</w:t>
      </w:r>
      <w:r>
        <w:rPr>
          <w:rFonts w:ascii="Palatino Linotype" w:hAnsi="Palatino Linotype" w:cs="Arial"/>
          <w:color w:val="000000" w:themeColor="text1"/>
        </w:rPr>
        <w:t xml:space="preserve">, el </w:t>
      </w:r>
      <w:r>
        <w:rPr>
          <w:rFonts w:ascii="Palatino Linotype" w:hAnsi="Palatino Linotype" w:cs="Arial"/>
          <w:color w:val="000000" w:themeColor="text1"/>
        </w:rPr>
        <w:t>artículo 84 de la Ley del Trabajo de los Servidores Públicos del Estado y Municipios, señala:</w:t>
      </w:r>
    </w:p>
    <w:p w:rsidR="008A2DFA" w:rsidRDefault="008A2DFA">
      <w:pPr>
        <w:jc w:val="both"/>
        <w:rPr>
          <w:rFonts w:ascii="Palatino Linotype" w:hAnsi="Palatino Linotype" w:cs="Arial"/>
          <w:color w:val="000000" w:themeColor="text1"/>
        </w:rPr>
      </w:pPr>
    </w:p>
    <w:p w:rsidR="008A2DFA" w:rsidRDefault="00D60B2C">
      <w:pPr>
        <w:ind w:left="851" w:right="992"/>
        <w:jc w:val="both"/>
        <w:rPr>
          <w:rFonts w:ascii="Palatino Linotype" w:hAnsi="Palatino Linotype" w:cs="Arial"/>
          <w:b/>
          <w:bCs/>
          <w:i/>
          <w:color w:val="000000" w:themeColor="text1"/>
          <w:sz w:val="22"/>
          <w:szCs w:val="22"/>
        </w:rPr>
      </w:pPr>
      <w:r>
        <w:rPr>
          <w:rFonts w:ascii="Palatino Linotype" w:hAnsi="Palatino Linotype" w:cs="Arial"/>
          <w:bCs/>
          <w:i/>
          <w:color w:val="000000" w:themeColor="text1"/>
          <w:sz w:val="22"/>
          <w:szCs w:val="22"/>
        </w:rPr>
        <w:t>“</w:t>
      </w:r>
      <w:r>
        <w:rPr>
          <w:rFonts w:ascii="Palatino Linotype" w:hAnsi="Palatino Linotype" w:cs="Arial"/>
          <w:b/>
          <w:bCs/>
          <w:i/>
          <w:color w:val="000000" w:themeColor="text1"/>
          <w:sz w:val="22"/>
          <w:szCs w:val="22"/>
        </w:rPr>
        <w:t>ARTICULO 84</w:t>
      </w:r>
      <w:r>
        <w:rPr>
          <w:rFonts w:ascii="Palatino Linotype" w:hAnsi="Palatino Linotype" w:cs="Arial"/>
          <w:b/>
          <w:bCs/>
          <w:i/>
          <w:color w:val="000000" w:themeColor="text1"/>
          <w:sz w:val="22"/>
          <w:szCs w:val="22"/>
        </w:rPr>
        <w:t>. Sólo podrán hacerse retenciones, descuentos o deducciones al sueldo de los servidores públicos por concepto de:</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Cs/>
          <w:i/>
          <w:color w:val="000000" w:themeColor="text1"/>
          <w:sz w:val="22"/>
          <w:szCs w:val="22"/>
        </w:rPr>
        <w:t xml:space="preserve">I. </w:t>
      </w:r>
      <w:r>
        <w:rPr>
          <w:rFonts w:ascii="Palatino Linotype" w:hAnsi="Palatino Linotype" w:cs="Arial"/>
          <w:i/>
          <w:color w:val="000000" w:themeColor="text1"/>
          <w:sz w:val="22"/>
          <w:szCs w:val="22"/>
        </w:rPr>
        <w:t>Gravámenes fiscales relacionados con el sueldo;</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lastRenderedPageBreak/>
        <w:t>II. Deudas contraídas con las instituciones públicas o dependencias</w:t>
      </w:r>
      <w:r>
        <w:rPr>
          <w:rFonts w:ascii="Palatino Linotype" w:hAnsi="Palatino Linotype" w:cs="Arial"/>
          <w:i/>
          <w:color w:val="000000" w:themeColor="text1"/>
          <w:sz w:val="22"/>
          <w:szCs w:val="22"/>
        </w:rPr>
        <w:t xml:space="preserve"> por concepto de anticipos de sueldo, pagos hechos con exceso, errores o pérdidas debidamente comprobados;</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
          <w:i/>
          <w:color w:val="000000" w:themeColor="text1"/>
          <w:sz w:val="22"/>
          <w:szCs w:val="22"/>
        </w:rPr>
        <w:t>III. Cuotas sindicales</w:t>
      </w:r>
      <w:r>
        <w:rPr>
          <w:rFonts w:ascii="Palatino Linotype" w:hAnsi="Palatino Linotype" w:cs="Arial"/>
          <w:bCs/>
          <w:i/>
          <w:color w:val="000000" w:themeColor="text1"/>
          <w:sz w:val="22"/>
          <w:szCs w:val="22"/>
        </w:rPr>
        <w:t>;</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xml:space="preserve">IV. Cuotas de </w:t>
      </w:r>
      <w:r>
        <w:rPr>
          <w:rFonts w:ascii="Palatino Linotype" w:hAnsi="Palatino Linotype" w:cs="Arial"/>
          <w:i/>
          <w:color w:val="000000" w:themeColor="text1"/>
          <w:sz w:val="22"/>
          <w:szCs w:val="22"/>
        </w:rPr>
        <w:t>aportación</w:t>
      </w:r>
      <w:r>
        <w:rPr>
          <w:rFonts w:ascii="Palatino Linotype" w:hAnsi="Palatino Linotype" w:cs="Arial"/>
          <w:bCs/>
          <w:i/>
          <w:color w:val="000000" w:themeColor="text1"/>
          <w:sz w:val="22"/>
          <w:szCs w:val="22"/>
        </w:rPr>
        <w:t xml:space="preserve"> a fondos para la constitución de cooperativas y de cajas de ahorro, </w:t>
      </w:r>
      <w:r>
        <w:rPr>
          <w:rFonts w:ascii="Palatino Linotype" w:hAnsi="Palatino Linotype" w:cs="Arial"/>
          <w:i/>
          <w:color w:val="000000" w:themeColor="text1"/>
          <w:sz w:val="22"/>
          <w:szCs w:val="22"/>
        </w:rPr>
        <w:t>siempre</w:t>
      </w:r>
      <w:r>
        <w:rPr>
          <w:rFonts w:ascii="Palatino Linotype" w:hAnsi="Palatino Linotype" w:cs="Arial"/>
          <w:bCs/>
          <w:i/>
          <w:color w:val="000000" w:themeColor="text1"/>
          <w:sz w:val="22"/>
          <w:szCs w:val="22"/>
        </w:rPr>
        <w:t xml:space="preserve"> que el servidor público </w:t>
      </w:r>
      <w:r>
        <w:rPr>
          <w:rFonts w:ascii="Palatino Linotype" w:hAnsi="Palatino Linotype" w:cs="Arial"/>
          <w:bCs/>
          <w:i/>
          <w:color w:val="000000" w:themeColor="text1"/>
          <w:sz w:val="22"/>
          <w:szCs w:val="22"/>
        </w:rPr>
        <w:t>hubiese manifestado previamente, de manera expresa, su conformidad;</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xml:space="preserve">V. Descuentos ordenados por el Instituto de Seguridad Social del Estado de México y </w:t>
      </w:r>
      <w:r>
        <w:rPr>
          <w:rFonts w:ascii="Palatino Linotype" w:hAnsi="Palatino Linotype" w:cs="Arial"/>
          <w:i/>
          <w:color w:val="000000" w:themeColor="text1"/>
          <w:sz w:val="22"/>
          <w:szCs w:val="22"/>
        </w:rPr>
        <w:t>Municipios</w:t>
      </w:r>
      <w:r>
        <w:rPr>
          <w:rFonts w:ascii="Palatino Linotype" w:hAnsi="Palatino Linotype" w:cs="Arial"/>
          <w:bCs/>
          <w:i/>
          <w:color w:val="000000" w:themeColor="text1"/>
          <w:sz w:val="22"/>
          <w:szCs w:val="22"/>
        </w:rPr>
        <w:t>, con motivo de cuotas y obligaciones contraídas con éste por los servidores públicos;</w:t>
      </w:r>
    </w:p>
    <w:p w:rsidR="008A2DFA" w:rsidRDefault="00D60B2C">
      <w:pPr>
        <w:ind w:left="851" w:right="992"/>
        <w:jc w:val="both"/>
        <w:rPr>
          <w:rFonts w:ascii="Palatino Linotype" w:hAnsi="Palatino Linotype" w:cs="Arial"/>
          <w:b/>
          <w:bCs/>
          <w:i/>
          <w:color w:val="000000" w:themeColor="text1"/>
          <w:sz w:val="22"/>
          <w:szCs w:val="22"/>
        </w:rPr>
      </w:pPr>
      <w:r>
        <w:rPr>
          <w:rFonts w:ascii="Palatino Linotype" w:hAnsi="Palatino Linotype" w:cs="Arial"/>
          <w:b/>
          <w:bCs/>
          <w:i/>
          <w:color w:val="000000" w:themeColor="text1"/>
          <w:sz w:val="22"/>
          <w:szCs w:val="22"/>
        </w:rPr>
        <w:t>VI. Obl</w:t>
      </w:r>
      <w:r>
        <w:rPr>
          <w:rFonts w:ascii="Palatino Linotype" w:hAnsi="Palatino Linotype" w:cs="Arial"/>
          <w:b/>
          <w:bCs/>
          <w:i/>
          <w:color w:val="000000" w:themeColor="text1"/>
          <w:sz w:val="22"/>
          <w:szCs w:val="22"/>
        </w:rPr>
        <w:t>igaciones a cargo del servidor público con las que haya consentido</w:t>
      </w:r>
      <w:r>
        <w:rPr>
          <w:rFonts w:ascii="Palatino Linotype" w:hAnsi="Palatino Linotype" w:cs="Arial"/>
          <w:bCs/>
          <w:i/>
          <w:color w:val="000000" w:themeColor="text1"/>
          <w:sz w:val="22"/>
          <w:szCs w:val="22"/>
        </w:rPr>
        <w:t>, derivadas de la adquisición o del uso de habitaciones consideradas como de interés social;</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xml:space="preserve">VII. Faltas de </w:t>
      </w:r>
      <w:r>
        <w:rPr>
          <w:rFonts w:ascii="Palatino Linotype" w:hAnsi="Palatino Linotype" w:cs="Arial"/>
          <w:i/>
          <w:color w:val="000000" w:themeColor="text1"/>
          <w:sz w:val="22"/>
          <w:szCs w:val="22"/>
        </w:rPr>
        <w:t>puntualidad</w:t>
      </w:r>
      <w:r>
        <w:rPr>
          <w:rFonts w:ascii="Palatino Linotype" w:hAnsi="Palatino Linotype" w:cs="Arial"/>
          <w:bCs/>
          <w:i/>
          <w:color w:val="000000" w:themeColor="text1"/>
          <w:sz w:val="22"/>
          <w:szCs w:val="22"/>
        </w:rPr>
        <w:t xml:space="preserve"> o </w:t>
      </w:r>
      <w:r>
        <w:rPr>
          <w:rFonts w:ascii="Palatino Linotype" w:hAnsi="Palatino Linotype" w:cs="Arial"/>
          <w:i/>
          <w:color w:val="000000" w:themeColor="text1"/>
          <w:sz w:val="22"/>
          <w:szCs w:val="22"/>
        </w:rPr>
        <w:t>de</w:t>
      </w:r>
      <w:r>
        <w:rPr>
          <w:rFonts w:ascii="Palatino Linotype" w:hAnsi="Palatino Linotype" w:cs="Arial"/>
          <w:bCs/>
          <w:i/>
          <w:color w:val="000000" w:themeColor="text1"/>
          <w:sz w:val="22"/>
          <w:szCs w:val="22"/>
        </w:rPr>
        <w:t xml:space="preserve"> asistencia injustificadas;</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
          <w:bCs/>
          <w:i/>
          <w:color w:val="000000" w:themeColor="text1"/>
          <w:sz w:val="22"/>
          <w:szCs w:val="22"/>
        </w:rPr>
        <w:t>VIII. Pensiones alimenticias ordenadas</w:t>
      </w:r>
      <w:r>
        <w:rPr>
          <w:rFonts w:ascii="Palatino Linotype" w:hAnsi="Palatino Linotype" w:cs="Arial"/>
          <w:b/>
          <w:bCs/>
          <w:i/>
          <w:color w:val="000000" w:themeColor="text1"/>
          <w:sz w:val="22"/>
          <w:szCs w:val="22"/>
        </w:rPr>
        <w:t xml:space="preserve"> por la autoridad judicial;</w:t>
      </w:r>
      <w:r>
        <w:rPr>
          <w:rFonts w:ascii="Palatino Linotype" w:hAnsi="Palatino Linotype" w:cs="Arial"/>
          <w:bCs/>
          <w:i/>
          <w:color w:val="000000" w:themeColor="text1"/>
          <w:sz w:val="22"/>
          <w:szCs w:val="22"/>
        </w:rPr>
        <w:t xml:space="preserve"> o</w:t>
      </w:r>
    </w:p>
    <w:p w:rsidR="008A2DFA" w:rsidRDefault="00D60B2C">
      <w:pPr>
        <w:ind w:left="851" w:right="992"/>
        <w:jc w:val="both"/>
        <w:rPr>
          <w:rFonts w:ascii="Palatino Linotype" w:hAnsi="Palatino Linotype" w:cs="Arial"/>
          <w:b/>
          <w:bCs/>
          <w:i/>
          <w:color w:val="000000" w:themeColor="text1"/>
          <w:sz w:val="22"/>
          <w:szCs w:val="22"/>
        </w:rPr>
      </w:pPr>
      <w:r>
        <w:rPr>
          <w:rFonts w:ascii="Palatino Linotype" w:hAnsi="Palatino Linotype" w:cs="Arial"/>
          <w:b/>
          <w:bCs/>
          <w:i/>
          <w:color w:val="000000" w:themeColor="text1"/>
          <w:sz w:val="22"/>
          <w:szCs w:val="22"/>
        </w:rPr>
        <w:t>IX. Cualquier otro convenido con instituciones de servicios y aceptado por el servidor público.</w:t>
      </w:r>
    </w:p>
    <w:p w:rsidR="008A2DFA" w:rsidRDefault="00D60B2C">
      <w:pPr>
        <w:ind w:left="851" w:right="992"/>
        <w:jc w:val="both"/>
        <w:rPr>
          <w:rFonts w:ascii="Palatino Linotype" w:hAnsi="Palatino Linotype" w:cs="Arial"/>
          <w:color w:val="000000" w:themeColor="text1"/>
          <w:sz w:val="22"/>
          <w:szCs w:val="22"/>
        </w:rPr>
      </w:pPr>
      <w:r>
        <w:rPr>
          <w:rFonts w:ascii="Palatino Linotype" w:hAnsi="Palatino Linotype" w:cs="Arial"/>
          <w:bCs/>
          <w:i/>
          <w:color w:val="000000" w:themeColor="text1"/>
          <w:sz w:val="22"/>
          <w:szCs w:val="22"/>
        </w:rPr>
        <w:t xml:space="preserve">El monto total de las retenciones, descuentos o deducciones no podrá exceder del 30% de la remuneración total, </w:t>
      </w:r>
      <w:r>
        <w:rPr>
          <w:rFonts w:ascii="Palatino Linotype" w:hAnsi="Palatino Linotype" w:cs="Arial"/>
          <w:i/>
          <w:color w:val="000000" w:themeColor="text1"/>
          <w:sz w:val="22"/>
          <w:szCs w:val="22"/>
        </w:rPr>
        <w:t>excepto</w:t>
      </w:r>
      <w:r>
        <w:rPr>
          <w:rFonts w:ascii="Palatino Linotype" w:hAnsi="Palatino Linotype" w:cs="Arial"/>
          <w:bCs/>
          <w:i/>
          <w:color w:val="000000" w:themeColor="text1"/>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w:t>
      </w:r>
      <w:r>
        <w:rPr>
          <w:rFonts w:ascii="Palatino Linotype" w:hAnsi="Palatino Linotype" w:cs="Arial"/>
          <w:bCs/>
          <w:i/>
          <w:color w:val="000000" w:themeColor="text1"/>
          <w:sz w:val="22"/>
          <w:szCs w:val="22"/>
        </w:rPr>
        <w:t xml:space="preserve">l a una vivienda digna, o se refieran a lo establecido en la fracción VIII de este artículo, en que se </w:t>
      </w:r>
      <w:r>
        <w:rPr>
          <w:rFonts w:ascii="Palatino Linotype" w:hAnsi="Palatino Linotype" w:cs="Arial"/>
          <w:i/>
          <w:color w:val="000000" w:themeColor="text1"/>
          <w:sz w:val="22"/>
          <w:szCs w:val="22"/>
        </w:rPr>
        <w:t>ajustará</w:t>
      </w:r>
      <w:r>
        <w:rPr>
          <w:rFonts w:ascii="Palatino Linotype" w:hAnsi="Palatino Linotype" w:cs="Arial"/>
          <w:bCs/>
          <w:i/>
          <w:color w:val="000000" w:themeColor="text1"/>
          <w:sz w:val="22"/>
          <w:szCs w:val="22"/>
        </w:rPr>
        <w:t xml:space="preserve"> a lo determinado por la autoridad judicial.” </w:t>
      </w:r>
    </w:p>
    <w:p w:rsidR="008A2DFA" w:rsidRDefault="00D60B2C">
      <w:pPr>
        <w:ind w:left="851" w:right="992"/>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(Énfasis añadido)</w:t>
      </w:r>
    </w:p>
    <w:p w:rsidR="008A2DFA" w:rsidRDefault="008A2DFA">
      <w:pPr>
        <w:ind w:left="851" w:right="902"/>
        <w:jc w:val="both"/>
        <w:rPr>
          <w:rFonts w:ascii="Palatino Linotype" w:hAnsi="Palatino Linotype" w:cs="Arial"/>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Derivado de lo anterior, la ley establece claramente cuáles son esos descuentos o gravámenes que directamente se relacionan con las obligaciones adquiridas como servidores públicos y aquéllos que </w:t>
      </w:r>
      <w:r>
        <w:rPr>
          <w:rFonts w:ascii="Palatino Linotype" w:hAnsi="Palatino Linotype" w:cs="Arial"/>
          <w:b/>
          <w:color w:val="000000" w:themeColor="text1"/>
        </w:rPr>
        <w:t>únicamente inciden en su vida privada</w:t>
      </w:r>
      <w:r>
        <w:rPr>
          <w:rFonts w:ascii="Palatino Linotype" w:hAnsi="Palatino Linotype" w:cs="Arial"/>
          <w:color w:val="000000" w:themeColor="text1"/>
        </w:rPr>
        <w:t>. De este modo, descuen</w:t>
      </w:r>
      <w:r>
        <w:rPr>
          <w:rFonts w:ascii="Palatino Linotype" w:hAnsi="Palatino Linotype" w:cs="Arial"/>
          <w:color w:val="000000" w:themeColor="text1"/>
        </w:rPr>
        <w:t>tos por pensiones alimenticias o créditos adquiridos con instituciones privadas o públicas pero que fueron contraídas en forma individual, son información que debe clasificarse como confidencial.</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s="Arial"/>
          <w:color w:val="000000" w:themeColor="text1"/>
          <w:lang w:val="es-ES_tradnl"/>
        </w:rPr>
      </w:pPr>
      <w:r>
        <w:rPr>
          <w:rFonts w:ascii="Palatino Linotype" w:hAnsi="Palatino Linotype" w:cs="Arial"/>
          <w:color w:val="000000" w:themeColor="text1"/>
          <w:lang w:val="es-ES_tradnl"/>
        </w:rPr>
        <w:lastRenderedPageBreak/>
        <w:t xml:space="preserve">Por </w:t>
      </w:r>
      <w:r>
        <w:rPr>
          <w:rFonts w:ascii="Palatino Linotype" w:hAnsi="Palatino Linotype" w:cs="Arial"/>
          <w:color w:val="000000" w:themeColor="text1"/>
        </w:rPr>
        <w:t>ende</w:t>
      </w:r>
      <w:r>
        <w:rPr>
          <w:rFonts w:ascii="Palatino Linotype" w:hAnsi="Palatino Linotype" w:cs="Arial"/>
          <w:color w:val="000000" w:themeColor="text1"/>
          <w:lang w:val="es-ES_tradnl"/>
        </w:rPr>
        <w:t xml:space="preserve">, </w:t>
      </w:r>
      <w:r>
        <w:rPr>
          <w:rFonts w:ascii="Palatino Linotype" w:hAnsi="Palatino Linotype" w:cs="Arial"/>
          <w:b/>
          <w:color w:val="000000" w:themeColor="text1"/>
          <w:lang w:val="es-ES_tradnl"/>
        </w:rPr>
        <w:t>EL SUJETO OBLIGADO</w:t>
      </w:r>
      <w:r>
        <w:rPr>
          <w:rFonts w:ascii="Palatino Linotype" w:hAnsi="Palatino Linotype" w:cs="Arial"/>
          <w:color w:val="000000" w:themeColor="text1"/>
          <w:lang w:val="es-ES_tradnl"/>
        </w:rPr>
        <w:t xml:space="preserve"> debe testar los datos confiden</w:t>
      </w:r>
      <w:r>
        <w:rPr>
          <w:rFonts w:ascii="Palatino Linotype" w:hAnsi="Palatino Linotype" w:cs="Arial"/>
          <w:color w:val="000000" w:themeColor="text1"/>
          <w:lang w:val="es-ES_tradnl"/>
        </w:rPr>
        <w:t xml:space="preserve">ciales, sin pasar por alto que la clasificación respectiva tiene </w:t>
      </w:r>
      <w:r>
        <w:rPr>
          <w:rFonts w:ascii="Palatino Linotype" w:hAnsi="Palatino Linotype" w:cs="Arial"/>
          <w:color w:val="000000" w:themeColor="text1"/>
        </w:rPr>
        <w:t>que</w:t>
      </w:r>
      <w:r>
        <w:rPr>
          <w:rFonts w:ascii="Palatino Linotype" w:hAnsi="Palatino Linotype" w:cs="Arial"/>
          <w:color w:val="000000" w:themeColor="text1"/>
          <w:lang w:val="es-ES_tradnl"/>
        </w:rPr>
        <w:t xml:space="preserve"> cumplirse a través de la forma y formalidades que la Ley impone; </w:t>
      </w:r>
      <w:r>
        <w:rPr>
          <w:rFonts w:ascii="Palatino Linotype" w:hAnsi="Palatino Linotype" w:cs="Arial"/>
          <w:color w:val="000000" w:themeColor="text1"/>
        </w:rPr>
        <w:t>es</w:t>
      </w:r>
      <w:r>
        <w:rPr>
          <w:rFonts w:ascii="Palatino Linotype" w:hAnsi="Palatino Linotype" w:cs="Arial"/>
          <w:color w:val="000000" w:themeColor="text1"/>
          <w:lang w:val="es-ES_tradnl"/>
        </w:rPr>
        <w:t xml:space="preserve"> decir, mediante Acuerdo debidamente fundado y motivado, en </w:t>
      </w:r>
      <w:r>
        <w:rPr>
          <w:rFonts w:ascii="Palatino Linotype" w:hAnsi="Palatino Linotype" w:cs="Arial"/>
          <w:color w:val="000000" w:themeColor="text1"/>
        </w:rPr>
        <w:t>términos</w:t>
      </w:r>
      <w:r>
        <w:rPr>
          <w:rFonts w:ascii="Palatino Linotype" w:hAnsi="Palatino Linotype" w:cs="Arial"/>
          <w:color w:val="000000" w:themeColor="text1"/>
          <w:lang w:val="es-ES_tradnl"/>
        </w:rPr>
        <w:t xml:space="preserve"> de los numerales 49, fracción VIII y 132, fraccione</w:t>
      </w:r>
      <w:r>
        <w:rPr>
          <w:rFonts w:ascii="Palatino Linotype" w:hAnsi="Palatino Linotype" w:cs="Arial"/>
          <w:color w:val="000000" w:themeColor="text1"/>
          <w:lang w:val="es-ES_tradnl"/>
        </w:rPr>
        <w:t>s II y III de la Ley de Transparencia y Acceso a la Información Pública del Estado de México y Municipios, así como los numerales Segundo, fracción XVIII, y del Cuarto al Décimo Primero de los Lineamientos Generales en materia de Clasificación y Desclasifi</w:t>
      </w:r>
      <w:r>
        <w:rPr>
          <w:rFonts w:ascii="Palatino Linotype" w:hAnsi="Palatino Linotype" w:cs="Arial"/>
          <w:color w:val="000000" w:themeColor="text1"/>
          <w:lang w:val="es-ES_tradnl"/>
        </w:rPr>
        <w:t>cación de la Información, así como para la elaboración de Versiones Públicas, que literalmente expresan:</w:t>
      </w:r>
    </w:p>
    <w:p w:rsidR="008A2DFA" w:rsidRDefault="008A2DFA">
      <w:pPr>
        <w:jc w:val="both"/>
        <w:rPr>
          <w:rFonts w:ascii="Palatino Linotype" w:hAnsi="Palatino Linotype" w:cs="Arial"/>
          <w:color w:val="000000" w:themeColor="text1"/>
          <w:lang w:val="es-ES_tradnl"/>
        </w:rPr>
      </w:pPr>
    </w:p>
    <w:p w:rsidR="008A2DFA" w:rsidRDefault="00D60B2C">
      <w:pPr>
        <w:ind w:left="851" w:right="992"/>
        <w:jc w:val="center"/>
        <w:rPr>
          <w:rFonts w:ascii="Palatino Linotype" w:hAnsi="Palatino Linotype" w:cs="Arial"/>
          <w:b/>
          <w:i/>
          <w:color w:val="000000" w:themeColor="text1"/>
          <w:sz w:val="22"/>
          <w:szCs w:val="22"/>
        </w:rPr>
      </w:pPr>
      <w:r>
        <w:rPr>
          <w:rFonts w:ascii="Palatino Linotype" w:hAnsi="Palatino Linotype" w:cs="Arial"/>
          <w:b/>
          <w:i/>
          <w:color w:val="000000" w:themeColor="text1"/>
          <w:sz w:val="22"/>
          <w:szCs w:val="22"/>
        </w:rPr>
        <w:t>Ley de Transparencia y Acceso a la Información Pública del Estado de México y Municipios</w:t>
      </w:r>
    </w:p>
    <w:p w:rsidR="008A2DFA" w:rsidRDefault="008A2DFA">
      <w:pPr>
        <w:ind w:left="851" w:right="992"/>
        <w:jc w:val="center"/>
        <w:rPr>
          <w:rFonts w:ascii="Palatino Linotype" w:hAnsi="Palatino Linotype" w:cs="Arial"/>
          <w:b/>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Pr>
          <w:rFonts w:ascii="Palatino Linotype" w:hAnsi="Palatino Linotype" w:cs="Arial"/>
          <w:b/>
          <w:i/>
          <w:color w:val="000000" w:themeColor="text1"/>
          <w:sz w:val="22"/>
          <w:szCs w:val="22"/>
        </w:rPr>
        <w:t xml:space="preserve">Artículo 49. </w:t>
      </w:r>
      <w:r>
        <w:rPr>
          <w:rFonts w:ascii="Palatino Linotype" w:hAnsi="Palatino Linotype" w:cs="Arial"/>
          <w:i/>
          <w:color w:val="000000" w:themeColor="text1"/>
          <w:sz w:val="22"/>
          <w:szCs w:val="22"/>
        </w:rPr>
        <w:t xml:space="preserve">Los </w:t>
      </w:r>
      <w:r>
        <w:rPr>
          <w:rFonts w:ascii="Palatino Linotype" w:hAnsi="Palatino Linotype" w:cs="Arial"/>
          <w:i/>
          <w:color w:val="000000" w:themeColor="text1"/>
          <w:sz w:val="22"/>
          <w:szCs w:val="22"/>
        </w:rPr>
        <w:t>Comités</w:t>
      </w:r>
      <w:r>
        <w:rPr>
          <w:rFonts w:ascii="Palatino Linotype" w:hAnsi="Palatino Linotype" w:cs="Arial"/>
          <w:i/>
          <w:color w:val="000000" w:themeColor="text1"/>
          <w:sz w:val="22"/>
          <w:szCs w:val="22"/>
        </w:rPr>
        <w:t xml:space="preserve"> de Transparencia </w:t>
      </w:r>
      <w:r>
        <w:rPr>
          <w:rFonts w:ascii="Palatino Linotype" w:hAnsi="Palatino Linotype"/>
          <w:i/>
          <w:color w:val="000000" w:themeColor="text1"/>
          <w:sz w:val="22"/>
          <w:szCs w:val="22"/>
        </w:rPr>
        <w:t>tendrán</w:t>
      </w:r>
      <w:r>
        <w:rPr>
          <w:rFonts w:ascii="Palatino Linotype" w:hAnsi="Palatino Linotype" w:cs="Arial"/>
          <w:i/>
          <w:color w:val="000000" w:themeColor="text1"/>
          <w:sz w:val="22"/>
          <w:szCs w:val="22"/>
        </w:rPr>
        <w:t xml:space="preserve"> las siguientes atribuciones:</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VIII.</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Aprobar</w:t>
      </w:r>
      <w:r>
        <w:rPr>
          <w:rFonts w:ascii="Palatino Linotype" w:hAnsi="Palatino Linotype" w:cs="Arial"/>
          <w:i/>
          <w:color w:val="000000" w:themeColor="text1"/>
          <w:sz w:val="22"/>
          <w:szCs w:val="22"/>
        </w:rPr>
        <w:t xml:space="preserve">, </w:t>
      </w:r>
      <w:r>
        <w:rPr>
          <w:rFonts w:ascii="Palatino Linotype" w:hAnsi="Palatino Linotype" w:cs="Arial"/>
          <w:i/>
          <w:color w:val="000000" w:themeColor="text1"/>
          <w:sz w:val="22"/>
          <w:szCs w:val="22"/>
        </w:rPr>
        <w:t>modificar</w:t>
      </w:r>
      <w:r>
        <w:rPr>
          <w:rFonts w:ascii="Palatino Linotype" w:hAnsi="Palatino Linotype" w:cs="Arial"/>
          <w:i/>
          <w:color w:val="000000" w:themeColor="text1"/>
          <w:sz w:val="22"/>
          <w:szCs w:val="22"/>
        </w:rPr>
        <w:t xml:space="preserve"> o revocar la clasificación de la información;</w:t>
      </w:r>
    </w:p>
    <w:p w:rsidR="008A2DFA" w:rsidRDefault="00D60B2C">
      <w:pPr>
        <w:ind w:left="851" w:right="992"/>
        <w:jc w:val="both"/>
        <w:rPr>
          <w:rFonts w:ascii="Palatino Linotype" w:hAnsi="Palatino Linotype" w:cs="Arial"/>
          <w:b/>
          <w:i/>
          <w:color w:val="000000" w:themeColor="text1"/>
          <w:sz w:val="22"/>
          <w:szCs w:val="22"/>
        </w:rPr>
      </w:pPr>
      <w:r>
        <w:rPr>
          <w:rFonts w:ascii="Palatino Linotype" w:hAnsi="Palatino Linotype" w:cs="Arial"/>
          <w:b/>
          <w:i/>
          <w:color w:val="000000" w:themeColor="text1"/>
          <w:sz w:val="22"/>
          <w:szCs w:val="22"/>
        </w:rPr>
        <w:t>Artículo 132.</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La clasificación de la información se llevará a cabo en el momento en que:</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II.</w:t>
      </w:r>
      <w:r>
        <w:rPr>
          <w:rFonts w:ascii="Palatino Linotype" w:hAnsi="Palatino Linotype" w:cs="Arial"/>
          <w:i/>
          <w:color w:val="000000" w:themeColor="text1"/>
          <w:sz w:val="22"/>
          <w:szCs w:val="22"/>
        </w:rPr>
        <w:t xml:space="preserve"> Se determine mediante resolución de autoridad competente; o</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III</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Se generen versiones públicas para dar cumplimiento a las obligaciones de transparencia previstas en esta Ley</w:t>
      </w:r>
      <w:r>
        <w:rPr>
          <w:rFonts w:ascii="Palatino Linotype" w:hAnsi="Palatino Linotype" w:cs="Arial"/>
          <w:i/>
          <w:color w:val="000000" w:themeColor="text1"/>
          <w:sz w:val="22"/>
          <w:szCs w:val="22"/>
        </w:rPr>
        <w:t>.”</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center"/>
        <w:rPr>
          <w:rFonts w:ascii="Palatino Linotype" w:hAnsi="Palatino Linotype" w:cs="Arial"/>
          <w:b/>
          <w:i/>
          <w:color w:val="000000" w:themeColor="text1"/>
          <w:sz w:val="22"/>
          <w:szCs w:val="22"/>
        </w:rPr>
      </w:pPr>
      <w:r>
        <w:rPr>
          <w:rFonts w:ascii="Palatino Linotype" w:hAnsi="Palatino Linotype" w:cs="Arial"/>
          <w:b/>
          <w:i/>
          <w:color w:val="000000" w:themeColor="text1"/>
          <w:sz w:val="22"/>
          <w:szCs w:val="22"/>
        </w:rPr>
        <w:t xml:space="preserve">Lineamientos Generales en materia de Clasificación y Desclasificación de la </w:t>
      </w:r>
      <w:r>
        <w:rPr>
          <w:rFonts w:ascii="Palatino Linotype" w:hAnsi="Palatino Linotype" w:cs="Arial"/>
          <w:b/>
          <w:i/>
          <w:color w:val="000000" w:themeColor="text1"/>
          <w:sz w:val="22"/>
          <w:szCs w:val="22"/>
        </w:rPr>
        <w:t>Información</w:t>
      </w:r>
    </w:p>
    <w:p w:rsidR="008A2DFA" w:rsidRDefault="008A2DFA">
      <w:pPr>
        <w:ind w:left="851" w:right="992"/>
        <w:jc w:val="center"/>
        <w:rPr>
          <w:rFonts w:ascii="Palatino Linotype" w:hAnsi="Palatino Linotype" w:cs="Arial"/>
          <w:b/>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Pr>
          <w:rFonts w:ascii="Palatino Linotype" w:hAnsi="Palatino Linotype" w:cs="Arial"/>
          <w:b/>
          <w:i/>
          <w:color w:val="000000" w:themeColor="text1"/>
          <w:sz w:val="22"/>
          <w:szCs w:val="22"/>
        </w:rPr>
        <w:t>Segundo.-</w:t>
      </w:r>
      <w:r>
        <w:rPr>
          <w:rFonts w:ascii="Palatino Linotype" w:hAnsi="Palatino Linotype" w:cs="Arial"/>
          <w:i/>
          <w:color w:val="000000" w:themeColor="text1"/>
          <w:sz w:val="22"/>
          <w:szCs w:val="22"/>
        </w:rPr>
        <w:t xml:space="preserve"> Para efectos de los </w:t>
      </w:r>
      <w:r>
        <w:rPr>
          <w:rFonts w:ascii="Palatino Linotype" w:hAnsi="Palatino Linotype" w:cs="Arial"/>
          <w:i/>
          <w:color w:val="000000" w:themeColor="text1"/>
          <w:sz w:val="22"/>
          <w:szCs w:val="22"/>
        </w:rPr>
        <w:t>presentes</w:t>
      </w:r>
      <w:r>
        <w:rPr>
          <w:rFonts w:ascii="Palatino Linotype" w:hAnsi="Palatino Linotype" w:cs="Arial"/>
          <w:i/>
          <w:color w:val="000000" w:themeColor="text1"/>
          <w:sz w:val="22"/>
          <w:szCs w:val="22"/>
        </w:rPr>
        <w:t xml:space="preserve"> Lineamie</w:t>
      </w:r>
      <w:r>
        <w:rPr>
          <w:rFonts w:ascii="Palatino Linotype" w:hAnsi="Palatino Linotype" w:cs="Arial"/>
          <w:i/>
          <w:color w:val="000000" w:themeColor="text1"/>
          <w:sz w:val="22"/>
          <w:szCs w:val="22"/>
        </w:rPr>
        <w:t>ntos Generales, se entenderá por:</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XVIII.</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Versión pública:</w:t>
      </w:r>
      <w:r>
        <w:rPr>
          <w:rFonts w:ascii="Palatino Linotype" w:hAnsi="Palatino Linotype" w:cs="Arial"/>
          <w:i/>
          <w:color w:val="000000" w:themeColor="text1"/>
          <w:sz w:val="22"/>
          <w:szCs w:val="22"/>
        </w:rPr>
        <w:t xml:space="preserve"> El </w:t>
      </w:r>
      <w:r>
        <w:rPr>
          <w:rFonts w:ascii="Palatino Linotype" w:hAnsi="Palatino Linotype" w:cs="Arial"/>
          <w:bCs/>
          <w:i/>
          <w:color w:val="000000" w:themeColor="text1"/>
          <w:sz w:val="22"/>
          <w:szCs w:val="22"/>
        </w:rPr>
        <w:t>documento</w:t>
      </w:r>
      <w:r>
        <w:rPr>
          <w:rFonts w:ascii="Palatino Linotype" w:hAnsi="Palatino Linotype" w:cs="Arial"/>
          <w:i/>
          <w:color w:val="000000" w:themeColor="text1"/>
          <w:sz w:val="22"/>
          <w:szCs w:val="22"/>
        </w:rPr>
        <w:t xml:space="preserve"> a partir del que se otorga acceso a la información, en el que se testan partes o secciones clasificadas, indicando el contenido de éstas de manera genérica, </w:t>
      </w:r>
      <w:r>
        <w:rPr>
          <w:rFonts w:ascii="Palatino Linotype" w:hAnsi="Palatino Linotype" w:cs="Arial"/>
          <w:b/>
          <w:i/>
          <w:color w:val="000000" w:themeColor="text1"/>
          <w:sz w:val="22"/>
          <w:szCs w:val="22"/>
        </w:rPr>
        <w:t>fundando y motivando la</w:t>
      </w:r>
      <w:r>
        <w:rPr>
          <w:rFonts w:ascii="Palatino Linotype" w:hAnsi="Palatino Linotype" w:cs="Arial"/>
          <w:i/>
          <w:color w:val="000000" w:themeColor="text1"/>
          <w:sz w:val="22"/>
          <w:szCs w:val="22"/>
        </w:rPr>
        <w:t xml:space="preserve"> reserva o </w:t>
      </w:r>
      <w:r>
        <w:rPr>
          <w:rFonts w:ascii="Palatino Linotype" w:hAnsi="Palatino Linotype" w:cs="Arial"/>
          <w:b/>
          <w:i/>
          <w:color w:val="000000" w:themeColor="text1"/>
          <w:sz w:val="22"/>
          <w:szCs w:val="22"/>
        </w:rPr>
        <w:t>confidencialidad</w:t>
      </w:r>
      <w:r>
        <w:rPr>
          <w:rFonts w:ascii="Palatino Linotype" w:hAnsi="Palatino Linotype" w:cs="Arial"/>
          <w:i/>
          <w:color w:val="000000" w:themeColor="text1"/>
          <w:sz w:val="22"/>
          <w:szCs w:val="22"/>
        </w:rPr>
        <w:t xml:space="preserve">, a través de la resolución que para tal efecto emita el </w:t>
      </w:r>
      <w:r>
        <w:rPr>
          <w:rFonts w:ascii="Palatino Linotype" w:hAnsi="Palatino Linotype" w:cs="Arial"/>
          <w:bCs/>
          <w:i/>
          <w:color w:val="000000" w:themeColor="text1"/>
          <w:sz w:val="22"/>
          <w:szCs w:val="22"/>
        </w:rPr>
        <w:t>Comité</w:t>
      </w:r>
      <w:r>
        <w:rPr>
          <w:rFonts w:ascii="Palatino Linotype" w:hAnsi="Palatino Linotype" w:cs="Arial"/>
          <w:i/>
          <w:color w:val="000000" w:themeColor="text1"/>
          <w:sz w:val="22"/>
          <w:szCs w:val="22"/>
        </w:rPr>
        <w:t xml:space="preserve"> de Transparencia.</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lastRenderedPageBreak/>
        <w:t>Cuarto.</w:t>
      </w:r>
      <w:r>
        <w:rPr>
          <w:rFonts w:ascii="Palatino Linotype" w:hAnsi="Palatino Linotype" w:cs="Arial"/>
          <w:i/>
          <w:color w:val="000000" w:themeColor="text1"/>
          <w:sz w:val="22"/>
          <w:szCs w:val="22"/>
        </w:rPr>
        <w:t xml:space="preserve"> </w:t>
      </w:r>
      <w:r>
        <w:rPr>
          <w:rFonts w:ascii="Palatino Linotype" w:hAnsi="Palatino Linotype" w:cs="Arial"/>
          <w:b/>
          <w:i/>
          <w:color w:val="000000" w:themeColor="text1"/>
          <w:sz w:val="22"/>
          <w:szCs w:val="22"/>
        </w:rPr>
        <w:t>Para clasificar la información como</w:t>
      </w:r>
      <w:r>
        <w:rPr>
          <w:rFonts w:ascii="Palatino Linotype" w:hAnsi="Palatino Linotype" w:cs="Arial"/>
          <w:i/>
          <w:color w:val="000000" w:themeColor="text1"/>
          <w:sz w:val="22"/>
          <w:szCs w:val="22"/>
        </w:rPr>
        <w:t xml:space="preserve"> reservada o </w:t>
      </w:r>
      <w:r>
        <w:rPr>
          <w:rFonts w:ascii="Palatino Linotype" w:hAnsi="Palatino Linotype" w:cs="Arial"/>
          <w:b/>
          <w:i/>
          <w:color w:val="000000" w:themeColor="text1"/>
          <w:sz w:val="22"/>
          <w:szCs w:val="22"/>
        </w:rPr>
        <w:t xml:space="preserve">confidencial, de manera total o parcial, el titular del </w:t>
      </w:r>
      <w:r>
        <w:rPr>
          <w:rFonts w:ascii="Palatino Linotype" w:hAnsi="Palatino Linotype" w:cs="Arial"/>
          <w:b/>
          <w:bCs/>
          <w:i/>
          <w:color w:val="000000" w:themeColor="text1"/>
          <w:sz w:val="22"/>
          <w:szCs w:val="22"/>
        </w:rPr>
        <w:t>área</w:t>
      </w:r>
      <w:r>
        <w:rPr>
          <w:rFonts w:ascii="Palatino Linotype" w:hAnsi="Palatino Linotype" w:cs="Arial"/>
          <w:b/>
          <w:i/>
          <w:color w:val="000000" w:themeColor="text1"/>
          <w:sz w:val="22"/>
          <w:szCs w:val="22"/>
        </w:rPr>
        <w:t xml:space="preserve"> del sujeto </w:t>
      </w:r>
      <w:r>
        <w:rPr>
          <w:rFonts w:ascii="Palatino Linotype" w:hAnsi="Palatino Linotype" w:cs="Arial"/>
          <w:b/>
          <w:i/>
          <w:color w:val="000000" w:themeColor="text1"/>
          <w:sz w:val="22"/>
          <w:szCs w:val="22"/>
        </w:rPr>
        <w:t>obligado</w:t>
      </w:r>
      <w:r>
        <w:rPr>
          <w:rFonts w:ascii="Palatino Linotype" w:hAnsi="Palatino Linotype" w:cs="Arial"/>
          <w:b/>
          <w:i/>
          <w:color w:val="000000" w:themeColor="text1"/>
          <w:sz w:val="22"/>
          <w:szCs w:val="22"/>
        </w:rPr>
        <w:t xml:space="preserve"> deberá at</w:t>
      </w:r>
      <w:r>
        <w:rPr>
          <w:rFonts w:ascii="Palatino Linotype" w:hAnsi="Palatino Linotype" w:cs="Arial"/>
          <w:b/>
          <w:i/>
          <w:color w:val="000000" w:themeColor="text1"/>
          <w:sz w:val="22"/>
          <w:szCs w:val="22"/>
        </w:rPr>
        <w:t>ender lo dispuesto por el Título Sexto de la Ley General</w:t>
      </w:r>
      <w:r>
        <w:rPr>
          <w:rFonts w:ascii="Palatino Linotype" w:hAnsi="Palatino Linotype" w:cs="Arial"/>
          <w:i/>
          <w:color w:val="000000" w:themeColor="text1"/>
          <w:sz w:val="22"/>
          <w:szCs w:val="22"/>
        </w:rPr>
        <w:t xml:space="preserve">, en relación con las disposiciones contenidas en los presentes lineamientos, así como en aquellas disposiciones legales aplicables a la materia en el ámbito de sus respectivas competencias, en tanto </w:t>
      </w:r>
      <w:r>
        <w:rPr>
          <w:rFonts w:ascii="Palatino Linotype" w:hAnsi="Palatino Linotype" w:cs="Arial"/>
          <w:i/>
          <w:color w:val="000000" w:themeColor="text1"/>
          <w:sz w:val="22"/>
          <w:szCs w:val="22"/>
        </w:rPr>
        <w:t>estas últimas no contravengan lo dispuesto en la Ley General.</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Los sujetos obligados deberán aplicar, de manera estricta, las excepciones al derecho de acceso a la </w:t>
      </w:r>
      <w:r>
        <w:rPr>
          <w:rFonts w:ascii="Palatino Linotype" w:hAnsi="Palatino Linotype" w:cs="Arial"/>
          <w:bCs/>
          <w:i/>
          <w:color w:val="000000" w:themeColor="text1"/>
          <w:sz w:val="22"/>
          <w:szCs w:val="22"/>
        </w:rPr>
        <w:t>información</w:t>
      </w:r>
      <w:r>
        <w:rPr>
          <w:rFonts w:ascii="Palatino Linotype" w:hAnsi="Palatino Linotype" w:cs="Arial"/>
          <w:i/>
          <w:color w:val="000000" w:themeColor="text1"/>
          <w:sz w:val="22"/>
          <w:szCs w:val="22"/>
        </w:rPr>
        <w:t xml:space="preserve"> y sólo </w:t>
      </w:r>
      <w:r>
        <w:rPr>
          <w:rFonts w:ascii="Palatino Linotype" w:hAnsi="Palatino Linotype" w:cs="Arial"/>
          <w:i/>
          <w:color w:val="000000" w:themeColor="text1"/>
          <w:sz w:val="22"/>
          <w:szCs w:val="22"/>
        </w:rPr>
        <w:t>podrán</w:t>
      </w:r>
      <w:r>
        <w:rPr>
          <w:rFonts w:ascii="Palatino Linotype" w:hAnsi="Palatino Linotype" w:cs="Arial"/>
          <w:i/>
          <w:color w:val="000000" w:themeColor="text1"/>
          <w:sz w:val="22"/>
          <w:szCs w:val="22"/>
        </w:rPr>
        <w:t xml:space="preserve"> invocarlas cuando acrediten su procedencia.</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Quinto.</w:t>
      </w:r>
      <w:r>
        <w:rPr>
          <w:rFonts w:ascii="Palatino Linotype" w:hAnsi="Palatino Linotype" w:cs="Arial"/>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color w:val="000000" w:themeColor="text1"/>
          <w:sz w:val="22"/>
          <w:szCs w:val="22"/>
        </w:rPr>
        <w:t>corresponderá</w:t>
      </w:r>
      <w:r>
        <w:rPr>
          <w:rFonts w:ascii="Palatino Linotype" w:hAnsi="Palatino Linotype" w:cs="Arial"/>
          <w:i/>
          <w:color w:val="000000" w:themeColor="text1"/>
          <w:sz w:val="22"/>
          <w:szCs w:val="22"/>
        </w:rPr>
        <w:t xml:space="preserve"> a los sujetos obligados, por lo que </w:t>
      </w:r>
      <w:r>
        <w:rPr>
          <w:rFonts w:ascii="Palatino Linotype" w:hAnsi="Palatino Linotype" w:cs="Arial"/>
          <w:i/>
          <w:color w:val="000000" w:themeColor="text1"/>
          <w:sz w:val="22"/>
          <w:szCs w:val="22"/>
        </w:rPr>
        <w:t>deberán fundar y motivar debidamente la clasificación de la información ante una solicitud de acceso o al momento en que generen versiones públicas para dar cumplimiento a las obligaciones de transparencia, observando lo dispuesto en la Ley General y las d</w:t>
      </w:r>
      <w:r>
        <w:rPr>
          <w:rFonts w:ascii="Palatino Linotype" w:hAnsi="Palatino Linotype" w:cs="Arial"/>
          <w:i/>
          <w:color w:val="000000" w:themeColor="text1"/>
          <w:sz w:val="22"/>
          <w:szCs w:val="22"/>
        </w:rPr>
        <w:t>emás disposiciones aplicables en la materia.</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Sexto.</w:t>
      </w:r>
      <w:r>
        <w:rPr>
          <w:rFonts w:ascii="Palatino Linotype" w:hAnsi="Palatino Linotype" w:cs="Arial"/>
          <w:i/>
          <w:color w:val="000000" w:themeColor="text1"/>
          <w:sz w:val="22"/>
          <w:szCs w:val="22"/>
        </w:rPr>
        <w:t xml:space="preserve"> Los sujetos obligados no podrán emitir acuerdos de carácter general ni particular que clasifiquen </w:t>
      </w:r>
      <w:r>
        <w:rPr>
          <w:rFonts w:ascii="Palatino Linotype" w:hAnsi="Palatino Linotype" w:cs="Arial"/>
          <w:bCs/>
          <w:i/>
          <w:color w:val="000000" w:themeColor="text1"/>
          <w:sz w:val="22"/>
          <w:szCs w:val="22"/>
        </w:rPr>
        <w:t>documentos</w:t>
      </w:r>
      <w:r>
        <w:rPr>
          <w:rFonts w:ascii="Palatino Linotype" w:hAnsi="Palatino Linotype" w:cs="Arial"/>
          <w:i/>
          <w:color w:val="000000" w:themeColor="text1"/>
          <w:sz w:val="22"/>
          <w:szCs w:val="22"/>
        </w:rPr>
        <w:t xml:space="preserve"> o expedientes como reservados, ni clasificar documentos antes de que se genere la información </w:t>
      </w:r>
      <w:r>
        <w:rPr>
          <w:rFonts w:ascii="Palatino Linotype" w:hAnsi="Palatino Linotype" w:cs="Arial"/>
          <w:i/>
          <w:color w:val="000000" w:themeColor="text1"/>
          <w:sz w:val="22"/>
          <w:szCs w:val="22"/>
        </w:rPr>
        <w:t>o cuando éstos no obren en sus archivos.</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La clasificación de </w:t>
      </w:r>
      <w:r>
        <w:rPr>
          <w:rFonts w:ascii="Palatino Linotype" w:hAnsi="Palatino Linotype" w:cs="Arial"/>
          <w:i/>
          <w:color w:val="000000" w:themeColor="text1"/>
          <w:sz w:val="22"/>
          <w:szCs w:val="22"/>
        </w:rPr>
        <w:t>información</w:t>
      </w:r>
      <w:r>
        <w:rPr>
          <w:rFonts w:ascii="Palatino Linotype" w:hAnsi="Palatino Linotype" w:cs="Arial"/>
          <w:i/>
          <w:color w:val="000000" w:themeColor="text1"/>
          <w:sz w:val="22"/>
          <w:szCs w:val="22"/>
        </w:rPr>
        <w:t xml:space="preserve"> se realizará conforme a un análisis caso por caso, mediante la aplicación </w:t>
      </w:r>
      <w:r>
        <w:rPr>
          <w:rFonts w:ascii="Palatino Linotype" w:hAnsi="Palatino Linotype" w:cs="Arial"/>
          <w:bCs/>
          <w:i/>
          <w:color w:val="000000" w:themeColor="text1"/>
          <w:sz w:val="22"/>
          <w:szCs w:val="22"/>
        </w:rPr>
        <w:t>de</w:t>
      </w:r>
      <w:r>
        <w:rPr>
          <w:rFonts w:ascii="Palatino Linotype" w:hAnsi="Palatino Linotype" w:cs="Arial"/>
          <w:i/>
          <w:color w:val="000000" w:themeColor="text1"/>
          <w:sz w:val="22"/>
          <w:szCs w:val="22"/>
        </w:rPr>
        <w:t xml:space="preserve"> la prueba de daño y de interés público.</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Séptimo.</w:t>
      </w:r>
      <w:r>
        <w:rPr>
          <w:rFonts w:ascii="Palatino Linotype" w:hAnsi="Palatino Linotype" w:cs="Arial"/>
          <w:i/>
          <w:color w:val="000000" w:themeColor="text1"/>
          <w:sz w:val="22"/>
          <w:szCs w:val="22"/>
        </w:rPr>
        <w:t xml:space="preserve"> La clasificación </w:t>
      </w:r>
      <w:r>
        <w:rPr>
          <w:rFonts w:ascii="Palatino Linotype" w:hAnsi="Palatino Linotype" w:cs="Arial"/>
          <w:bCs/>
          <w:i/>
          <w:color w:val="000000" w:themeColor="text1"/>
          <w:sz w:val="22"/>
          <w:szCs w:val="22"/>
        </w:rPr>
        <w:t>de</w:t>
      </w:r>
      <w:r>
        <w:rPr>
          <w:rFonts w:ascii="Palatino Linotype" w:hAnsi="Palatino Linotype" w:cs="Arial"/>
          <w:i/>
          <w:color w:val="000000" w:themeColor="text1"/>
          <w:sz w:val="22"/>
          <w:szCs w:val="22"/>
        </w:rPr>
        <w:t xml:space="preserve"> la </w:t>
      </w:r>
      <w:r>
        <w:rPr>
          <w:rFonts w:ascii="Palatino Linotype" w:hAnsi="Palatino Linotype" w:cs="Arial"/>
          <w:i/>
          <w:color w:val="000000" w:themeColor="text1"/>
          <w:sz w:val="22"/>
          <w:szCs w:val="22"/>
        </w:rPr>
        <w:t>información</w:t>
      </w:r>
      <w:r>
        <w:rPr>
          <w:rFonts w:ascii="Palatino Linotype" w:hAnsi="Palatino Linotype" w:cs="Arial"/>
          <w:i/>
          <w:color w:val="000000" w:themeColor="text1"/>
          <w:sz w:val="22"/>
          <w:szCs w:val="22"/>
        </w:rPr>
        <w:t xml:space="preserve"> se llevará a cabo en el momento en que:</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I.</w:t>
      </w:r>
      <w:r>
        <w:rPr>
          <w:rFonts w:ascii="Palatino Linotype" w:hAnsi="Palatino Linotype" w:cs="Arial"/>
          <w:i/>
          <w:color w:val="000000" w:themeColor="text1"/>
          <w:sz w:val="22"/>
          <w:szCs w:val="22"/>
        </w:rPr>
        <w:t xml:space="preserve"> Se reciba una solicitud de acceso a la información;</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II.</w:t>
      </w:r>
      <w:r>
        <w:rPr>
          <w:rFonts w:ascii="Palatino Linotype" w:hAnsi="Palatino Linotype" w:cs="Arial"/>
          <w:i/>
          <w:color w:val="000000" w:themeColor="text1"/>
          <w:sz w:val="22"/>
          <w:szCs w:val="22"/>
        </w:rPr>
        <w:t xml:space="preserve"> Se determine </w:t>
      </w:r>
      <w:r>
        <w:rPr>
          <w:rFonts w:ascii="Palatino Linotype" w:hAnsi="Palatino Linotype" w:cs="Arial"/>
          <w:bCs/>
          <w:i/>
          <w:color w:val="000000" w:themeColor="text1"/>
          <w:sz w:val="22"/>
          <w:szCs w:val="22"/>
        </w:rPr>
        <w:t>mediante</w:t>
      </w:r>
      <w:r>
        <w:rPr>
          <w:rFonts w:ascii="Palatino Linotype" w:hAnsi="Palatino Linotype" w:cs="Arial"/>
          <w:i/>
          <w:color w:val="000000" w:themeColor="text1"/>
          <w:sz w:val="22"/>
          <w:szCs w:val="22"/>
        </w:rPr>
        <w:t xml:space="preserve"> resolución de autoridad competente, o</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III.</w:t>
      </w:r>
      <w:r>
        <w:rPr>
          <w:rFonts w:ascii="Palatino Linotype" w:hAnsi="Palatino Linotype" w:cs="Arial"/>
          <w:i/>
          <w:color w:val="000000" w:themeColor="text1"/>
          <w:sz w:val="22"/>
          <w:szCs w:val="22"/>
        </w:rPr>
        <w:t xml:space="preserve"> Se generen </w:t>
      </w:r>
      <w:r>
        <w:rPr>
          <w:rFonts w:ascii="Palatino Linotype" w:hAnsi="Palatino Linotype" w:cs="Arial"/>
          <w:bCs/>
          <w:i/>
          <w:color w:val="000000" w:themeColor="text1"/>
          <w:sz w:val="22"/>
          <w:szCs w:val="22"/>
        </w:rPr>
        <w:t>versiones</w:t>
      </w:r>
      <w:r>
        <w:rPr>
          <w:rFonts w:ascii="Palatino Linotype" w:hAnsi="Palatino Linotype" w:cs="Arial"/>
          <w:i/>
          <w:color w:val="000000" w:themeColor="text1"/>
          <w:sz w:val="22"/>
          <w:szCs w:val="22"/>
        </w:rPr>
        <w:t xml:space="preserve"> públicas para dar cumplimiento a las obligaciones de transparencia pre</w:t>
      </w:r>
      <w:r>
        <w:rPr>
          <w:rFonts w:ascii="Palatino Linotype" w:hAnsi="Palatino Linotype" w:cs="Arial"/>
          <w:i/>
          <w:color w:val="000000" w:themeColor="text1"/>
          <w:sz w:val="22"/>
          <w:szCs w:val="22"/>
        </w:rPr>
        <w:t>vistas en la Ley General, la Ley Federal y las correspondientes de las entidades federativas.</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Los titulares de las áreas deberán revisar la clasificación al momento de la recepción de una solicitud de </w:t>
      </w:r>
      <w:r>
        <w:rPr>
          <w:rFonts w:ascii="Palatino Linotype" w:hAnsi="Palatino Linotype" w:cs="Arial"/>
          <w:bCs/>
          <w:i/>
          <w:color w:val="000000" w:themeColor="text1"/>
          <w:sz w:val="22"/>
          <w:szCs w:val="22"/>
        </w:rPr>
        <w:t>acceso</w:t>
      </w:r>
      <w:r>
        <w:rPr>
          <w:rFonts w:ascii="Palatino Linotype" w:hAnsi="Palatino Linotype" w:cs="Arial"/>
          <w:i/>
          <w:color w:val="000000" w:themeColor="text1"/>
          <w:sz w:val="22"/>
          <w:szCs w:val="22"/>
        </w:rPr>
        <w:t xml:space="preserve"> a la información, para verificar si encuadra en </w:t>
      </w:r>
      <w:r>
        <w:rPr>
          <w:rFonts w:ascii="Palatino Linotype" w:hAnsi="Palatino Linotype" w:cs="Arial"/>
          <w:i/>
          <w:color w:val="000000" w:themeColor="text1"/>
          <w:sz w:val="22"/>
          <w:szCs w:val="22"/>
        </w:rPr>
        <w:t>una causal de reserva o de confidencialidad.</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Octavo.</w:t>
      </w:r>
      <w:r>
        <w:rPr>
          <w:rFonts w:ascii="Palatino Linotype" w:hAnsi="Palatino Linotype" w:cs="Arial"/>
          <w:i/>
          <w:color w:val="000000" w:themeColor="text1"/>
          <w:sz w:val="22"/>
          <w:szCs w:val="22"/>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color w:val="000000" w:themeColor="text1"/>
          <w:sz w:val="22"/>
          <w:szCs w:val="22"/>
        </w:rPr>
        <w:t>expresamente</w:t>
      </w:r>
      <w:r>
        <w:rPr>
          <w:rFonts w:ascii="Palatino Linotype" w:hAnsi="Palatino Linotype" w:cs="Arial"/>
          <w:i/>
          <w:color w:val="000000" w:themeColor="text1"/>
          <w:sz w:val="22"/>
          <w:szCs w:val="22"/>
        </w:rPr>
        <w:t xml:space="preserve"> le otor</w:t>
      </w:r>
      <w:r>
        <w:rPr>
          <w:rFonts w:ascii="Palatino Linotype" w:hAnsi="Palatino Linotype" w:cs="Arial"/>
          <w:i/>
          <w:color w:val="000000" w:themeColor="text1"/>
          <w:sz w:val="22"/>
          <w:szCs w:val="22"/>
        </w:rPr>
        <w:t>ga el carácter de reservada o confidencial.</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i/>
          <w:color w:val="000000" w:themeColor="text1"/>
          <w:sz w:val="22"/>
          <w:szCs w:val="22"/>
        </w:rPr>
        <w:lastRenderedPageBreak/>
        <w:t xml:space="preserve">Para </w:t>
      </w:r>
      <w:r>
        <w:rPr>
          <w:rFonts w:ascii="Palatino Linotype" w:hAnsi="Palatino Linotype" w:cs="Arial"/>
          <w:bCs/>
          <w:i/>
          <w:color w:val="000000" w:themeColor="text1"/>
          <w:sz w:val="22"/>
          <w:szCs w:val="22"/>
        </w:rPr>
        <w:t xml:space="preserve">motivar la clasificación se deberán señalar las razones o circunstancias especiales que lo </w:t>
      </w:r>
      <w:r>
        <w:rPr>
          <w:rFonts w:ascii="Palatino Linotype" w:hAnsi="Palatino Linotype" w:cs="Arial"/>
          <w:i/>
          <w:color w:val="000000" w:themeColor="text1"/>
          <w:sz w:val="22"/>
          <w:szCs w:val="22"/>
        </w:rPr>
        <w:t>llevaron</w:t>
      </w:r>
      <w:r>
        <w:rPr>
          <w:rFonts w:ascii="Palatino Linotype" w:hAnsi="Palatino Linotype" w:cs="Arial"/>
          <w:bCs/>
          <w:i/>
          <w:color w:val="000000" w:themeColor="text1"/>
          <w:sz w:val="22"/>
          <w:szCs w:val="22"/>
        </w:rPr>
        <w:t xml:space="preserve"> a concluir que el caso particular se ajusta al supuesto previsto por la norma legal invocada como fundament</w:t>
      </w:r>
      <w:r>
        <w:rPr>
          <w:rFonts w:ascii="Palatino Linotype" w:hAnsi="Palatino Linotype" w:cs="Arial"/>
          <w:bCs/>
          <w:i/>
          <w:color w:val="000000" w:themeColor="text1"/>
          <w:sz w:val="22"/>
          <w:szCs w:val="22"/>
        </w:rPr>
        <w:t>o.</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bCs/>
          <w:i/>
          <w:color w:val="000000" w:themeColor="text1"/>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color w:val="000000" w:themeColor="text1"/>
          <w:sz w:val="22"/>
          <w:szCs w:val="22"/>
        </w:rPr>
        <w:t>de</w:t>
      </w:r>
      <w:r>
        <w:rPr>
          <w:rFonts w:ascii="Palatino Linotype" w:hAnsi="Palatino Linotype" w:cs="Arial"/>
          <w:bCs/>
          <w:i/>
          <w:color w:val="000000" w:themeColor="text1"/>
          <w:sz w:val="22"/>
          <w:szCs w:val="22"/>
        </w:rPr>
        <w:t xml:space="preserve"> </w:t>
      </w:r>
      <w:r>
        <w:rPr>
          <w:rFonts w:ascii="Palatino Linotype" w:hAnsi="Palatino Linotype" w:cs="Arial"/>
          <w:i/>
          <w:color w:val="000000" w:themeColor="text1"/>
          <w:sz w:val="22"/>
          <w:szCs w:val="22"/>
        </w:rPr>
        <w:t>reserva</w:t>
      </w:r>
      <w:r>
        <w:rPr>
          <w:rFonts w:ascii="Palatino Linotype" w:hAnsi="Palatino Linotype" w:cs="Arial"/>
          <w:bCs/>
          <w:i/>
          <w:color w:val="000000" w:themeColor="text1"/>
          <w:sz w:val="22"/>
          <w:szCs w:val="22"/>
        </w:rPr>
        <w:t>.</w:t>
      </w:r>
    </w:p>
    <w:p w:rsidR="008A2DFA" w:rsidRDefault="00D60B2C">
      <w:pPr>
        <w:ind w:left="851" w:right="992"/>
        <w:jc w:val="both"/>
        <w:rPr>
          <w:rFonts w:ascii="Palatino Linotype" w:hAnsi="Palatino Linotype" w:cs="Arial"/>
          <w:bCs/>
          <w:i/>
          <w:color w:val="000000" w:themeColor="text1"/>
          <w:sz w:val="22"/>
          <w:szCs w:val="22"/>
        </w:rPr>
      </w:pPr>
      <w:r>
        <w:rPr>
          <w:rFonts w:ascii="Palatino Linotype" w:hAnsi="Palatino Linotype" w:cs="Arial"/>
          <w:i/>
          <w:color w:val="000000" w:themeColor="text1"/>
          <w:sz w:val="22"/>
          <w:szCs w:val="22"/>
        </w:rPr>
        <w:t>Tratándose</w:t>
      </w:r>
      <w:r>
        <w:rPr>
          <w:rFonts w:ascii="Palatino Linotype" w:hAnsi="Palatino Linotype" w:cs="Arial"/>
          <w:bCs/>
          <w:i/>
          <w:color w:val="000000" w:themeColor="text1"/>
          <w:sz w:val="22"/>
          <w:szCs w:val="22"/>
        </w:rPr>
        <w:t xml:space="preserve"> de información clasificada como confidencial respe</w:t>
      </w:r>
      <w:r>
        <w:rPr>
          <w:rFonts w:ascii="Palatino Linotype" w:hAnsi="Palatino Linotype" w:cs="Arial"/>
          <w:bCs/>
          <w:i/>
          <w:color w:val="000000" w:themeColor="text1"/>
          <w:sz w:val="22"/>
          <w:szCs w:val="22"/>
        </w:rPr>
        <w:t xml:space="preserve">cto de la cual se haya </w:t>
      </w:r>
      <w:r>
        <w:rPr>
          <w:rFonts w:ascii="Palatino Linotype" w:hAnsi="Palatino Linotype" w:cs="Arial"/>
          <w:i/>
          <w:color w:val="000000" w:themeColor="text1"/>
          <w:sz w:val="22"/>
          <w:szCs w:val="22"/>
        </w:rPr>
        <w:t>determinado</w:t>
      </w:r>
      <w:r>
        <w:rPr>
          <w:rFonts w:ascii="Palatino Linotype" w:hAnsi="Palatino Linotype" w:cs="Arial"/>
          <w:bCs/>
          <w:i/>
          <w:color w:val="000000" w:themeColor="text1"/>
          <w:sz w:val="22"/>
          <w:szCs w:val="22"/>
        </w:rPr>
        <w:t xml:space="preserve"> </w:t>
      </w:r>
      <w:r>
        <w:rPr>
          <w:rFonts w:ascii="Palatino Linotype" w:hAnsi="Palatino Linotype" w:cs="Arial"/>
          <w:i/>
          <w:color w:val="000000" w:themeColor="text1"/>
          <w:sz w:val="22"/>
          <w:szCs w:val="22"/>
        </w:rPr>
        <w:t>su</w:t>
      </w:r>
      <w:r>
        <w:rPr>
          <w:rFonts w:ascii="Palatino Linotype" w:hAnsi="Palatino Linotype" w:cs="Arial"/>
          <w:bCs/>
          <w:i/>
          <w:color w:val="000000" w:themeColor="text1"/>
          <w:sz w:val="22"/>
          <w:szCs w:val="22"/>
        </w:rPr>
        <w:t xml:space="preserve"> conservación permanente por tener valor histórico, ésta conservará tal carácter de conformidad con la normativa aplicable en materia de archivos.</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Cs/>
          <w:i/>
          <w:color w:val="000000" w:themeColor="text1"/>
          <w:sz w:val="22"/>
          <w:szCs w:val="22"/>
        </w:rPr>
        <w:t>Los documentos contenidos</w:t>
      </w:r>
      <w:r>
        <w:rPr>
          <w:rFonts w:ascii="Palatino Linotype" w:hAnsi="Palatino Linotype" w:cs="Arial"/>
          <w:i/>
          <w:color w:val="000000" w:themeColor="text1"/>
          <w:sz w:val="22"/>
          <w:szCs w:val="22"/>
        </w:rPr>
        <w:t xml:space="preserve"> en los archivos históricos y los identificados</w:t>
      </w:r>
      <w:r>
        <w:rPr>
          <w:rFonts w:ascii="Palatino Linotype" w:hAnsi="Palatino Linotype" w:cs="Arial"/>
          <w:i/>
          <w:color w:val="000000" w:themeColor="text1"/>
          <w:sz w:val="22"/>
          <w:szCs w:val="22"/>
        </w:rPr>
        <w:t xml:space="preserve"> como históricos confidenciales no serán susceptibles de clasificación como reservados.</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Noveno.</w:t>
      </w:r>
      <w:r>
        <w:rPr>
          <w:rFonts w:ascii="Palatino Linotype" w:hAnsi="Palatino Linotype" w:cs="Arial"/>
          <w:i/>
          <w:color w:val="000000" w:themeColor="text1"/>
          <w:sz w:val="22"/>
          <w:szCs w:val="22"/>
        </w:rPr>
        <w:t xml:space="preserve"> En los casos en que se solicite un documento o expediente que contenga partes o secciones clasificadas, los titulares de las áreas deberán elaborar una versión</w:t>
      </w:r>
      <w:r>
        <w:rPr>
          <w:rFonts w:ascii="Palatino Linotype" w:hAnsi="Palatino Linotype" w:cs="Arial"/>
          <w:i/>
          <w:color w:val="000000" w:themeColor="text1"/>
          <w:sz w:val="22"/>
          <w:szCs w:val="22"/>
        </w:rPr>
        <w:t xml:space="preserve"> pública fundando y motivando la clasificación de las partes o secciones que se testen, siguiendo los procedimientos establecidos en el Capítulo IX de los presentes lineamientos.</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Décimo.</w:t>
      </w:r>
      <w:r>
        <w:rPr>
          <w:rFonts w:ascii="Palatino Linotype" w:hAnsi="Palatino Linotype" w:cs="Arial"/>
          <w:i/>
          <w:color w:val="000000" w:themeColor="text1"/>
          <w:sz w:val="22"/>
          <w:szCs w:val="22"/>
        </w:rPr>
        <w:t xml:space="preserve"> Los titulares de las áreas, deberán tener conocimiento y llevar un r</w:t>
      </w:r>
      <w:r>
        <w:rPr>
          <w:rFonts w:ascii="Palatino Linotype" w:hAnsi="Palatino Linotype" w:cs="Arial"/>
          <w:i/>
          <w:color w:val="000000" w:themeColor="text1"/>
          <w:sz w:val="22"/>
          <w:szCs w:val="22"/>
        </w:rPr>
        <w:t xml:space="preserve">egistro del personal que, por la naturaleza de sus atribuciones, tenga acceso a los </w:t>
      </w:r>
      <w:r>
        <w:rPr>
          <w:rFonts w:ascii="Palatino Linotype" w:hAnsi="Palatino Linotype" w:cs="Arial"/>
          <w:i/>
          <w:color w:val="000000" w:themeColor="text1"/>
          <w:sz w:val="22"/>
          <w:szCs w:val="22"/>
        </w:rPr>
        <w:t>documentos</w:t>
      </w:r>
      <w:r>
        <w:rPr>
          <w:rFonts w:ascii="Palatino Linotype" w:hAnsi="Palatino Linotype" w:cs="Arial"/>
          <w:i/>
          <w:color w:val="000000" w:themeColor="text1"/>
          <w:sz w:val="22"/>
          <w:szCs w:val="22"/>
        </w:rPr>
        <w:t xml:space="preserve"> clasificados. Asimismo, deberán asegurarse de que dicho personal cuente con los conocimientos técnicos y legales que le permitan manejar adecuadamente la informa</w:t>
      </w:r>
      <w:r>
        <w:rPr>
          <w:rFonts w:ascii="Palatino Linotype" w:hAnsi="Palatino Linotype" w:cs="Arial"/>
          <w:i/>
          <w:color w:val="000000" w:themeColor="text1"/>
          <w:sz w:val="22"/>
          <w:szCs w:val="22"/>
        </w:rPr>
        <w:t>ción clasificada, en los términos de los Lineamientos para la Organización y Conservación de Archivos.</w:t>
      </w: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En ausencia de los titulares de las áreas, la información será clasificada o desclasificada por la persona que lo supla, en términos de la normativa </w:t>
      </w:r>
      <w:r>
        <w:rPr>
          <w:rFonts w:ascii="Palatino Linotype" w:hAnsi="Palatino Linotype" w:cs="Arial"/>
          <w:i/>
          <w:color w:val="000000" w:themeColor="text1"/>
          <w:sz w:val="22"/>
          <w:szCs w:val="22"/>
        </w:rPr>
        <w:t>que</w:t>
      </w:r>
      <w:r>
        <w:rPr>
          <w:rFonts w:ascii="Palatino Linotype" w:hAnsi="Palatino Linotype" w:cs="Arial"/>
          <w:i/>
          <w:color w:val="000000" w:themeColor="text1"/>
          <w:sz w:val="22"/>
          <w:szCs w:val="22"/>
        </w:rPr>
        <w:t xml:space="preserve"> rija la actuación del sujeto obligado.</w:t>
      </w:r>
    </w:p>
    <w:p w:rsidR="008A2DFA" w:rsidRDefault="008A2DFA">
      <w:pPr>
        <w:ind w:left="851" w:right="992"/>
        <w:jc w:val="both"/>
        <w:rPr>
          <w:rFonts w:ascii="Palatino Linotype" w:hAnsi="Palatino Linotype" w:cs="Arial"/>
          <w:i/>
          <w:color w:val="000000" w:themeColor="text1"/>
          <w:sz w:val="22"/>
          <w:szCs w:val="22"/>
        </w:rPr>
      </w:pPr>
    </w:p>
    <w:p w:rsidR="008A2DFA" w:rsidRDefault="00D60B2C">
      <w:pPr>
        <w:ind w:left="851" w:right="992"/>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Décimo primero.</w:t>
      </w:r>
      <w:r>
        <w:rPr>
          <w:rFonts w:ascii="Palatino Linotype" w:hAnsi="Palatino Linotype" w:cs="Arial"/>
          <w:i/>
          <w:color w:val="000000" w:themeColor="text1"/>
          <w:sz w:val="22"/>
          <w:szCs w:val="22"/>
        </w:rPr>
        <w:t xml:space="preserve"> En el intercambio de información entre sujetos obligados para el ejercicio de sus atribuciones, los documentos que se encuentren clasificados deberán llevar la leyenda correspondiente de conformidad </w:t>
      </w:r>
      <w:r>
        <w:rPr>
          <w:rFonts w:ascii="Palatino Linotype" w:hAnsi="Palatino Linotype" w:cs="Arial"/>
          <w:i/>
          <w:color w:val="000000" w:themeColor="text1"/>
          <w:sz w:val="22"/>
          <w:szCs w:val="22"/>
        </w:rPr>
        <w:t>con lo dispuesto en el Capítulo VIII de los presentes lineamientos.”</w:t>
      </w:r>
    </w:p>
    <w:p w:rsidR="008A2DFA" w:rsidRDefault="00D60B2C">
      <w:pPr>
        <w:ind w:left="851" w:right="992"/>
        <w:jc w:val="both"/>
        <w:rPr>
          <w:rFonts w:ascii="Palatino Linotype" w:hAnsi="Palatino Linotype" w:cs="Arial"/>
          <w:color w:val="000000" w:themeColor="text1"/>
          <w:sz w:val="22"/>
          <w:szCs w:val="22"/>
        </w:rPr>
      </w:pPr>
      <w:r>
        <w:rPr>
          <w:rFonts w:ascii="Palatino Linotype" w:hAnsi="Palatino Linotype" w:cs="Arial"/>
          <w:color w:val="000000" w:themeColor="text1"/>
          <w:sz w:val="22"/>
          <w:szCs w:val="22"/>
        </w:rPr>
        <w:t>(Énfasis Añadido)</w:t>
      </w:r>
    </w:p>
    <w:p w:rsidR="008A2DFA" w:rsidRDefault="008A2DFA">
      <w:pPr>
        <w:ind w:left="851" w:right="902"/>
        <w:jc w:val="both"/>
        <w:rPr>
          <w:rFonts w:ascii="Palatino Linotype" w:hAnsi="Palatino Linotype" w:cs="Arial"/>
          <w:color w:val="000000" w:themeColor="text1"/>
          <w:sz w:val="22"/>
          <w:szCs w:val="22"/>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olor w:val="000000" w:themeColor="text1"/>
        </w:rPr>
        <w:t xml:space="preserve">Es importante referir que, </w:t>
      </w:r>
      <w:r>
        <w:rPr>
          <w:rFonts w:ascii="Palatino Linotype" w:hAnsi="Palatino Linotype"/>
          <w:b/>
          <w:color w:val="000000" w:themeColor="text1"/>
        </w:rPr>
        <w:t>EL SUJETO OBLIGADO</w:t>
      </w:r>
      <w:r>
        <w:rPr>
          <w:rFonts w:ascii="Palatino Linotype" w:hAnsi="Palatino Linotype"/>
          <w:color w:val="000000" w:themeColor="text1"/>
        </w:rPr>
        <w:t xml:space="preserve"> deberá seguir el procedimiento legal establecido para su </w:t>
      </w:r>
      <w:r>
        <w:rPr>
          <w:rFonts w:ascii="Palatino Linotype" w:hAnsi="Palatino Linotype"/>
          <w:color w:val="000000" w:themeColor="text1"/>
        </w:rPr>
        <w:t>clasificación</w:t>
      </w:r>
      <w:r>
        <w:rPr>
          <w:rFonts w:ascii="Palatino Linotype" w:hAnsi="Palatino Linotype"/>
          <w:color w:val="000000" w:themeColor="text1"/>
        </w:rPr>
        <w:t>, esto es, que su Comité de</w:t>
      </w:r>
      <w:r>
        <w:rPr>
          <w:rFonts w:ascii="Palatino Linotype" w:hAnsi="Palatino Linotype" w:cs="Arial"/>
          <w:color w:val="000000" w:themeColor="text1"/>
        </w:rPr>
        <w:t xml:space="preserve"> Transparencia emita un Acuerdo de Clasificación que cumpla con las formalidades previstas, antes citadas</w:t>
      </w:r>
      <w:r>
        <w:rPr>
          <w:rFonts w:ascii="Palatino Linotype" w:hAnsi="Palatino Linotype" w:cs="Arial"/>
          <w:b/>
          <w:color w:val="000000" w:themeColor="text1"/>
        </w:rPr>
        <w:t xml:space="preserve"> </w:t>
      </w:r>
      <w:r>
        <w:rPr>
          <w:rFonts w:ascii="Palatino Linotype" w:hAnsi="Palatino Linotype" w:cs="Arial"/>
          <w:color w:val="000000" w:themeColor="text1"/>
        </w:rPr>
        <w:lastRenderedPageBreak/>
        <w:t xml:space="preserve">que lo sustente, en el </w:t>
      </w:r>
      <w:r>
        <w:rPr>
          <w:rFonts w:ascii="Palatino Linotype" w:hAnsi="Palatino Linotype" w:cs="Arial"/>
          <w:color w:val="000000" w:themeColor="text1"/>
        </w:rPr>
        <w:t>que</w:t>
      </w:r>
      <w:r>
        <w:rPr>
          <w:rFonts w:ascii="Palatino Linotype" w:hAnsi="Palatino Linotype" w:cs="Arial"/>
          <w:color w:val="000000" w:themeColor="text1"/>
        </w:rPr>
        <w:t xml:space="preserve"> se expongan los fundamentos y razones que llevaron a la autoridad a testar, suprimir o eliminar datos de dicho soporte docu</w:t>
      </w:r>
      <w:r>
        <w:rPr>
          <w:rFonts w:ascii="Palatino Linotype" w:hAnsi="Palatino Linotype" w:cs="Arial"/>
          <w:color w:val="000000" w:themeColor="text1"/>
        </w:rPr>
        <w:t xml:space="preserve">mental, ya que el no hacerlo, implica que lo entregado no es legal ni formalmente una versión pública, sino más bien una documentación ilegible, incompleta o tachada; pues no señalar las razones por las que no se aprecian determinados datos, ya sea porque </w:t>
      </w:r>
      <w:r>
        <w:rPr>
          <w:rFonts w:ascii="Palatino Linotype" w:hAnsi="Palatino Linotype" w:cs="Arial"/>
          <w:color w:val="000000" w:themeColor="text1"/>
        </w:rPr>
        <w:t>se testan o suprimen, deja al solicitante en estado de incertidumbre, al no conocer o comprender porque no aparecen en la documentación respectiva, es decir, si no se exponen de manera puntual las razones de ello se estaría violentando desde un inicio el d</w:t>
      </w:r>
      <w:r>
        <w:rPr>
          <w:rFonts w:ascii="Palatino Linotype" w:hAnsi="Palatino Linotype" w:cs="Arial"/>
          <w:color w:val="000000" w:themeColor="text1"/>
        </w:rPr>
        <w:t>erecho de acceso a la información del solicitante.</w:t>
      </w:r>
    </w:p>
    <w:p w:rsidR="008A2DFA" w:rsidRDefault="008A2DFA">
      <w:pPr>
        <w:spacing w:line="360" w:lineRule="auto"/>
        <w:jc w:val="both"/>
        <w:rPr>
          <w:rFonts w:ascii="Palatino Linotype" w:hAnsi="Palatino Linotype" w:cs="Arial"/>
          <w:color w:val="000000" w:themeColor="text1"/>
          <w:lang w:val="es-ES"/>
        </w:rPr>
      </w:pPr>
    </w:p>
    <w:p w:rsidR="008A2DFA" w:rsidRDefault="00D60B2C">
      <w:pPr>
        <w:widowControl w:val="0"/>
        <w:tabs>
          <w:tab w:val="left" w:pos="1701"/>
          <w:tab w:val="left" w:pos="1843"/>
        </w:tabs>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En razón de lo anteriormente expuesto, este Instituto estima que las razones o motivos de inconformidad hechos valer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en los recursos de revisión </w:t>
      </w:r>
      <w:r>
        <w:rPr>
          <w:rFonts w:ascii="Palatino Linotype" w:hAnsi="Palatino Linotype"/>
          <w:b/>
          <w:color w:val="000000" w:themeColor="text1"/>
        </w:rPr>
        <w:t xml:space="preserve">01332/INFOEM/IP/RR/2010 </w:t>
      </w:r>
      <w:r>
        <w:rPr>
          <w:rFonts w:ascii="Palatino Linotype" w:hAnsi="Palatino Linotype"/>
          <w:color w:val="000000" w:themeColor="text1"/>
        </w:rPr>
        <w:t>y</w:t>
      </w:r>
      <w:r>
        <w:rPr>
          <w:rFonts w:ascii="Palatino Linotype" w:hAnsi="Palatino Linotype"/>
          <w:b/>
          <w:color w:val="000000" w:themeColor="text1"/>
        </w:rPr>
        <w:t xml:space="preserve"> 01333/INFOEM/IP/RR/2019 </w:t>
      </w:r>
      <w:r>
        <w:rPr>
          <w:rFonts w:ascii="Palatino Linotype" w:hAnsi="Palatino Linotype" w:cs="Arial"/>
          <w:color w:val="000000" w:themeColor="text1"/>
        </w:rPr>
        <w:t xml:space="preserve">devienen </w:t>
      </w:r>
      <w:r>
        <w:rPr>
          <w:rFonts w:ascii="Palatino Linotype" w:hAnsi="Palatino Linotype" w:cs="Arial"/>
          <w:b/>
          <w:color w:val="000000" w:themeColor="text1"/>
        </w:rPr>
        <w:t>parcialmente fundadas</w:t>
      </w:r>
      <w:r>
        <w:rPr>
          <w:rFonts w:ascii="Palatino Linotype" w:hAnsi="Palatino Linotype" w:cs="Arial"/>
          <w:color w:val="000000" w:themeColor="text1"/>
        </w:rPr>
        <w:t xml:space="preserve"> y suficientes para </w:t>
      </w:r>
      <w:r>
        <w:rPr>
          <w:rFonts w:ascii="Palatino Linotype" w:hAnsi="Palatino Linotype" w:cs="Arial"/>
          <w:b/>
          <w:color w:val="000000" w:themeColor="text1"/>
        </w:rPr>
        <w:t>MODIFICAR</w:t>
      </w:r>
      <w:r>
        <w:rPr>
          <w:rFonts w:ascii="Palatino Linotype" w:hAnsi="Palatino Linotype" w:cs="Arial"/>
          <w:color w:val="000000" w:themeColor="text1"/>
        </w:rPr>
        <w:t xml:space="preserve"> las respuestas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y ordenarle haga entrega de la información descrita en el presente Considerando.</w:t>
      </w:r>
    </w:p>
    <w:p w:rsidR="008A2DFA" w:rsidRDefault="008A2DFA">
      <w:pPr>
        <w:spacing w:line="360" w:lineRule="auto"/>
        <w:jc w:val="both"/>
        <w:rPr>
          <w:rFonts w:ascii="Palatino Linotype" w:hAnsi="Palatino Linotype" w:cs="Arial"/>
          <w:color w:val="000000" w:themeColor="text1"/>
          <w:lang w:val="es-ES"/>
        </w:rPr>
      </w:pPr>
    </w:p>
    <w:p w:rsidR="008A2DFA" w:rsidRDefault="00D60B2C">
      <w:pPr>
        <w:tabs>
          <w:tab w:val="left" w:pos="709"/>
        </w:tabs>
        <w:spacing w:line="360" w:lineRule="auto"/>
        <w:ind w:right="51"/>
        <w:jc w:val="both"/>
        <w:rPr>
          <w:rFonts w:ascii="Palatino Linotype" w:eastAsia="Calibri" w:hAnsi="Palatino Linotype" w:cs="Arial"/>
          <w:color w:val="000000" w:themeColor="text1"/>
        </w:rPr>
      </w:pPr>
      <w:r>
        <w:rPr>
          <w:rFonts w:ascii="Palatino Linotype" w:eastAsia="Calibri" w:hAnsi="Palatino Linotype" w:cs="Arial"/>
          <w:color w:val="000000" w:themeColor="text1"/>
        </w:rPr>
        <w:t>Así, con fundamento en lo prescrito en los artículos 5</w:t>
      </w:r>
      <w:r>
        <w:rPr>
          <w:rFonts w:ascii="Palatino Linotype" w:eastAsia="Calibri" w:hAnsi="Palatino Linotype" w:cs="Arial"/>
          <w:color w:val="000000" w:themeColor="text1"/>
        </w:rPr>
        <w:t xml:space="preserve">, párrafos </w:t>
      </w:r>
      <w:r>
        <w:rPr>
          <w:rFonts w:ascii="Palatino Linotype" w:hAnsi="Palatino Linotype"/>
          <w:color w:val="000000" w:themeColor="text1"/>
        </w:rPr>
        <w:t xml:space="preserve">vigésimo </w:t>
      </w:r>
      <w:r>
        <w:rPr>
          <w:rFonts w:ascii="Palatino Linotype" w:hAnsi="Palatino Linotype" w:cs="Arial"/>
          <w:color w:val="000000" w:themeColor="text1"/>
        </w:rPr>
        <w:t>segundo,</w:t>
      </w:r>
      <w:r>
        <w:rPr>
          <w:rFonts w:ascii="Palatino Linotype" w:hAnsi="Palatino Linotype"/>
          <w:color w:val="000000" w:themeColor="text1"/>
        </w:rPr>
        <w:t xml:space="preserve"> vigésimo </w:t>
      </w:r>
      <w:r>
        <w:rPr>
          <w:rFonts w:ascii="Palatino Linotype" w:hAnsi="Palatino Linotype" w:cs="Arial"/>
          <w:color w:val="000000" w:themeColor="text1"/>
        </w:rPr>
        <w:t>tercero</w:t>
      </w:r>
      <w:r>
        <w:rPr>
          <w:rFonts w:ascii="Palatino Linotype" w:hAnsi="Palatino Linotype"/>
          <w:color w:val="000000" w:themeColor="text1"/>
        </w:rPr>
        <w:t xml:space="preserve"> y vigésimo cuarto, fracciones IV y V </w:t>
      </w:r>
      <w:r>
        <w:rPr>
          <w:rFonts w:ascii="Palatino Linotype" w:eastAsia="Calibri" w:hAnsi="Palatino Linotype" w:cs="Arial"/>
          <w:color w:val="000000" w:themeColor="text1"/>
        </w:rPr>
        <w:t xml:space="preserve">de la Constitución Política del Estado Libre y Soberano de México; </w:t>
      </w:r>
      <w:r>
        <w:rPr>
          <w:rFonts w:ascii="Palatino Linotype" w:hAnsi="Palatino Linotype" w:cs="Arial"/>
          <w:color w:val="000000" w:themeColor="text1"/>
        </w:rPr>
        <w:t>2, fracción II, 9, 29, 36, fracciones I y II, 176, 178, 179, 181, 185, fracción I, 186 y 188</w:t>
      </w:r>
      <w:r>
        <w:rPr>
          <w:rFonts w:ascii="Palatino Linotype" w:eastAsia="Calibri" w:hAnsi="Palatino Linotype" w:cs="Arial"/>
          <w:color w:val="000000" w:themeColor="text1"/>
        </w:rPr>
        <w:t xml:space="preserve"> de la Ley de </w:t>
      </w:r>
      <w:r>
        <w:rPr>
          <w:rFonts w:ascii="Palatino Linotype" w:eastAsia="Calibri" w:hAnsi="Palatino Linotype" w:cs="Arial"/>
          <w:color w:val="000000" w:themeColor="text1"/>
        </w:rPr>
        <w:t>Transparencia y Acceso a la Información Pública del Estado de México y Municipios, este Pleno:</w:t>
      </w:r>
    </w:p>
    <w:p w:rsidR="008F4D0B" w:rsidRDefault="008F4D0B">
      <w:pPr>
        <w:jc w:val="center"/>
        <w:rPr>
          <w:rFonts w:ascii="Palatino Linotype" w:eastAsia="Calibri" w:hAnsi="Palatino Linotype" w:cs="Arial"/>
          <w:b/>
          <w:color w:val="000000" w:themeColor="text1"/>
          <w:spacing w:val="30"/>
          <w:sz w:val="28"/>
        </w:rPr>
      </w:pPr>
    </w:p>
    <w:p w:rsidR="008F4D0B" w:rsidRDefault="008F4D0B">
      <w:pPr>
        <w:jc w:val="center"/>
        <w:rPr>
          <w:rFonts w:ascii="Palatino Linotype" w:eastAsia="Calibri" w:hAnsi="Palatino Linotype" w:cs="Arial"/>
          <w:b/>
          <w:color w:val="000000" w:themeColor="text1"/>
          <w:spacing w:val="30"/>
          <w:sz w:val="28"/>
        </w:rPr>
      </w:pPr>
    </w:p>
    <w:p w:rsidR="008F4D0B" w:rsidRDefault="008F4D0B">
      <w:pPr>
        <w:jc w:val="center"/>
        <w:rPr>
          <w:rFonts w:ascii="Palatino Linotype" w:eastAsia="Calibri" w:hAnsi="Palatino Linotype" w:cs="Arial"/>
          <w:b/>
          <w:color w:val="000000" w:themeColor="text1"/>
          <w:spacing w:val="30"/>
          <w:sz w:val="28"/>
        </w:rPr>
      </w:pPr>
    </w:p>
    <w:p w:rsidR="008A2DFA" w:rsidRDefault="00D60B2C">
      <w:pPr>
        <w:jc w:val="center"/>
        <w:rPr>
          <w:rFonts w:ascii="Palatino Linotype" w:eastAsia="Calibri" w:hAnsi="Palatino Linotype" w:cs="Arial"/>
          <w:b/>
          <w:color w:val="000000" w:themeColor="text1"/>
          <w:spacing w:val="30"/>
          <w:sz w:val="28"/>
        </w:rPr>
      </w:pPr>
      <w:r>
        <w:rPr>
          <w:rFonts w:ascii="Palatino Linotype" w:eastAsia="Calibri" w:hAnsi="Palatino Linotype" w:cs="Arial"/>
          <w:b/>
          <w:color w:val="000000" w:themeColor="text1"/>
          <w:spacing w:val="30"/>
          <w:sz w:val="28"/>
        </w:rPr>
        <w:lastRenderedPageBreak/>
        <w:t>RESUELVE</w:t>
      </w:r>
    </w:p>
    <w:p w:rsidR="008F4D0B" w:rsidRDefault="008F4D0B">
      <w:pPr>
        <w:jc w:val="center"/>
        <w:rPr>
          <w:rFonts w:ascii="Palatino Linotype" w:eastAsia="Calibri" w:hAnsi="Palatino Linotype" w:cs="Arial"/>
          <w:b/>
          <w:color w:val="000000" w:themeColor="text1"/>
          <w:spacing w:val="30"/>
          <w:sz w:val="28"/>
        </w:rPr>
      </w:pPr>
    </w:p>
    <w:p w:rsidR="008A2DFA" w:rsidRDefault="00D60B2C">
      <w:pPr>
        <w:spacing w:line="360" w:lineRule="auto"/>
        <w:jc w:val="both"/>
        <w:rPr>
          <w:rFonts w:ascii="Palatino Linotype" w:hAnsi="Palatino Linotype" w:cs="Arial"/>
          <w:color w:val="000000" w:themeColor="text1"/>
        </w:rPr>
      </w:pPr>
      <w:r>
        <w:rPr>
          <w:rFonts w:ascii="Palatino Linotype" w:hAnsi="Palatino Linotype" w:cs="Arial"/>
          <w:b/>
          <w:color w:val="000000" w:themeColor="text1"/>
          <w:sz w:val="28"/>
        </w:rPr>
        <w:t>PRIMERO</w:t>
      </w:r>
      <w:r>
        <w:rPr>
          <w:rFonts w:ascii="Palatino Linotype" w:hAnsi="Palatino Linotype" w:cs="Arial"/>
          <w:color w:val="000000" w:themeColor="text1"/>
        </w:rPr>
        <w:t xml:space="preserve">. Resultan </w:t>
      </w:r>
      <w:r>
        <w:rPr>
          <w:rFonts w:ascii="Palatino Linotype" w:hAnsi="Palatino Linotype" w:cs="Arial"/>
          <w:b/>
          <w:color w:val="000000" w:themeColor="text1"/>
        </w:rPr>
        <w:t>parcialmente fundadas</w:t>
      </w:r>
      <w:r>
        <w:rPr>
          <w:rFonts w:ascii="Palatino Linotype" w:hAnsi="Palatino Linotype" w:cs="Arial"/>
          <w:color w:val="000000" w:themeColor="text1"/>
        </w:rPr>
        <w:t xml:space="preserve"> las razones o motivos de inconformidad planteadas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en los recursos de revisión </w:t>
      </w:r>
      <w:r>
        <w:rPr>
          <w:rFonts w:ascii="Palatino Linotype" w:hAnsi="Palatino Linotype"/>
          <w:b/>
          <w:color w:val="000000" w:themeColor="text1"/>
        </w:rPr>
        <w:t xml:space="preserve">01332/INFOEM/IP/RR/2020 </w:t>
      </w:r>
      <w:r>
        <w:rPr>
          <w:rFonts w:ascii="Palatino Linotype" w:hAnsi="Palatino Linotype"/>
          <w:color w:val="000000" w:themeColor="text1"/>
        </w:rPr>
        <w:t>y</w:t>
      </w:r>
      <w:r>
        <w:rPr>
          <w:rFonts w:ascii="Palatino Linotype" w:hAnsi="Palatino Linotype"/>
          <w:b/>
          <w:color w:val="000000" w:themeColor="text1"/>
        </w:rPr>
        <w:t xml:space="preserve"> 01333/INFOEM/IP/RR/2020 </w:t>
      </w:r>
      <w:r>
        <w:rPr>
          <w:rFonts w:ascii="Palatino Linotype" w:hAnsi="Palatino Linotype" w:cs="Arial"/>
          <w:b/>
          <w:color w:val="000000" w:themeColor="text1"/>
        </w:rPr>
        <w:t>acumulados,</w:t>
      </w:r>
      <w:r>
        <w:rPr>
          <w:rFonts w:ascii="Palatino Linotype" w:hAnsi="Palatino Linotype"/>
          <w:b/>
          <w:color w:val="000000" w:themeColor="text1"/>
        </w:rPr>
        <w:t xml:space="preserve"> </w:t>
      </w:r>
      <w:r>
        <w:rPr>
          <w:rFonts w:ascii="Palatino Linotype" w:eastAsia="Calibri" w:hAnsi="Palatino Linotype" w:cs="Arial"/>
          <w:color w:val="000000" w:themeColor="text1"/>
        </w:rPr>
        <w:t xml:space="preserve">en términos del Considerando </w:t>
      </w:r>
      <w:r>
        <w:rPr>
          <w:rFonts w:ascii="Palatino Linotype" w:eastAsia="Calibri" w:hAnsi="Palatino Linotype" w:cs="Arial"/>
          <w:b/>
          <w:color w:val="000000" w:themeColor="text1"/>
        </w:rPr>
        <w:t>SEXTO</w:t>
      </w:r>
      <w:r>
        <w:rPr>
          <w:rFonts w:ascii="Palatino Linotype" w:eastAsia="Calibri" w:hAnsi="Palatino Linotype" w:cs="Arial"/>
          <w:color w:val="000000" w:themeColor="text1"/>
        </w:rPr>
        <w:t xml:space="preserve"> de la presente resolución.</w:t>
      </w:r>
    </w:p>
    <w:p w:rsidR="008A2DFA" w:rsidRDefault="008A2DFA">
      <w:pPr>
        <w:spacing w:line="360" w:lineRule="auto"/>
        <w:jc w:val="both"/>
        <w:rPr>
          <w:rFonts w:ascii="Palatino Linotype" w:hAnsi="Palatino Linotype" w:cs="Arial"/>
          <w:color w:val="000000" w:themeColor="text1"/>
        </w:rPr>
      </w:pPr>
    </w:p>
    <w:p w:rsidR="008A2DFA" w:rsidRDefault="00D60B2C">
      <w:pPr>
        <w:spacing w:line="360" w:lineRule="auto"/>
        <w:jc w:val="both"/>
        <w:rPr>
          <w:rFonts w:ascii="Palatino Linotype" w:hAnsi="Palatino Linotype"/>
          <w:color w:val="000000" w:themeColor="text1"/>
          <w:highlight w:val="white"/>
        </w:rPr>
      </w:pPr>
      <w:r>
        <w:rPr>
          <w:rFonts w:ascii="Palatino Linotype" w:hAnsi="Palatino Linotype" w:cs="Arial"/>
          <w:b/>
          <w:color w:val="000000" w:themeColor="text1"/>
          <w:sz w:val="28"/>
        </w:rPr>
        <w:t>SEGUNDO</w:t>
      </w:r>
      <w:r>
        <w:rPr>
          <w:rFonts w:ascii="Palatino Linotype" w:hAnsi="Palatino Linotype" w:cs="Arial"/>
          <w:color w:val="000000" w:themeColor="text1"/>
        </w:rPr>
        <w:t xml:space="preserve">. </w:t>
      </w:r>
      <w:r>
        <w:rPr>
          <w:rFonts w:ascii="Palatino Linotype" w:hAnsi="Palatino Linotype"/>
          <w:color w:val="000000" w:themeColor="text1"/>
        </w:rPr>
        <w:t xml:space="preserve">Se </w:t>
      </w:r>
      <w:r>
        <w:rPr>
          <w:rFonts w:ascii="Palatino Linotype" w:hAnsi="Palatino Linotype"/>
          <w:b/>
          <w:color w:val="000000" w:themeColor="text1"/>
        </w:rPr>
        <w:t xml:space="preserve">MODIFICAN </w:t>
      </w:r>
      <w:r>
        <w:rPr>
          <w:rFonts w:ascii="Palatino Linotype" w:hAnsi="Palatino Linotype"/>
          <w:color w:val="000000" w:themeColor="text1"/>
        </w:rPr>
        <w:t xml:space="preserve">las respuestas del </w:t>
      </w:r>
      <w:r>
        <w:rPr>
          <w:rFonts w:ascii="Palatino Linotype" w:hAnsi="Palatino Linotype"/>
          <w:b/>
          <w:color w:val="000000" w:themeColor="text1"/>
        </w:rPr>
        <w:t>SUJETO OBLIGADO</w:t>
      </w:r>
      <w:r>
        <w:rPr>
          <w:rFonts w:ascii="Palatino Linotype" w:hAnsi="Palatino Linotype"/>
          <w:color w:val="000000" w:themeColor="text1"/>
        </w:rPr>
        <w:t xml:space="preserve"> otorgadas en las solicitudes de información </w:t>
      </w:r>
      <w:r>
        <w:rPr>
          <w:rFonts w:ascii="Palatino Linotype" w:hAnsi="Palatino Linotype"/>
          <w:b/>
          <w:color w:val="000000" w:themeColor="text1"/>
        </w:rPr>
        <w:t>00039/METEPEC/IP/2020</w:t>
      </w:r>
      <w:r>
        <w:rPr>
          <w:rFonts w:ascii="Palatino Linotype" w:hAnsi="Palatino Linotype"/>
          <w:color w:val="000000" w:themeColor="text1"/>
        </w:rPr>
        <w:t xml:space="preserve"> y </w:t>
      </w:r>
      <w:r>
        <w:rPr>
          <w:rFonts w:ascii="Palatino Linotype" w:hAnsi="Palatino Linotype"/>
          <w:b/>
          <w:color w:val="000000" w:themeColor="text1"/>
        </w:rPr>
        <w:t>00048/</w:t>
      </w:r>
      <w:r>
        <w:rPr>
          <w:rFonts w:ascii="Palatino Linotype" w:hAnsi="Palatino Linotype"/>
          <w:b/>
          <w:color w:val="000000" w:themeColor="text1"/>
        </w:rPr>
        <w:t xml:space="preserve">METEPEC/IP/2020, </w:t>
      </w:r>
      <w:r>
        <w:rPr>
          <w:rFonts w:ascii="Palatino Linotype" w:hAnsi="Palatino Linotype" w:cs="Arial"/>
          <w:color w:val="000000" w:themeColor="text1"/>
        </w:rPr>
        <w:t xml:space="preserve">en términos del Considerando </w:t>
      </w:r>
      <w:r>
        <w:rPr>
          <w:rFonts w:ascii="Palatino Linotype" w:hAnsi="Palatino Linotype" w:cs="Arial"/>
          <w:b/>
          <w:color w:val="000000" w:themeColor="text1"/>
        </w:rPr>
        <w:t>SEXTO</w:t>
      </w:r>
      <w:r>
        <w:rPr>
          <w:rFonts w:ascii="Palatino Linotype" w:hAnsi="Palatino Linotype" w:cs="Arial"/>
          <w:color w:val="000000" w:themeColor="text1"/>
        </w:rPr>
        <w:t xml:space="preserve"> y, se ordena haga entrega al </w:t>
      </w:r>
      <w:r>
        <w:rPr>
          <w:rFonts w:ascii="Palatino Linotype" w:hAnsi="Palatino Linotype" w:cs="Arial"/>
          <w:b/>
          <w:color w:val="000000" w:themeColor="text1"/>
        </w:rPr>
        <w:t>RECURRENTE</w:t>
      </w:r>
      <w:r>
        <w:rPr>
          <w:rFonts w:ascii="Palatino Linotype" w:hAnsi="Palatino Linotype" w:cs="Arial"/>
          <w:color w:val="000000" w:themeColor="text1"/>
        </w:rPr>
        <w:t xml:space="preserve">, vía </w:t>
      </w:r>
      <w:r>
        <w:rPr>
          <w:rFonts w:ascii="Palatino Linotype" w:hAnsi="Palatino Linotype" w:cs="Arial"/>
          <w:b/>
          <w:color w:val="000000" w:themeColor="text1"/>
        </w:rPr>
        <w:t xml:space="preserve">SAIMEX, </w:t>
      </w:r>
      <w:r>
        <w:rPr>
          <w:rFonts w:ascii="Palatino Linotype" w:hAnsi="Palatino Linotype" w:cs="Arial"/>
          <w:color w:val="000000" w:themeColor="text1"/>
        </w:rPr>
        <w:t>de ser procedente</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en </w:t>
      </w:r>
      <w:r>
        <w:rPr>
          <w:rFonts w:ascii="Palatino Linotype" w:hAnsi="Palatino Linotype" w:cs="Arial"/>
          <w:b/>
          <w:color w:val="000000" w:themeColor="text1"/>
        </w:rPr>
        <w:t>versión pública</w:t>
      </w:r>
      <w:r>
        <w:rPr>
          <w:rFonts w:ascii="Palatino Linotype" w:hAnsi="Palatino Linotype" w:cs="Arial"/>
          <w:color w:val="000000" w:themeColor="text1"/>
        </w:rPr>
        <w:t>, de</w:t>
      </w:r>
      <w:r>
        <w:rPr>
          <w:rFonts w:ascii="Palatino Linotype" w:hAnsi="Palatino Linotype" w:cs="Arial"/>
          <w:b/>
          <w:color w:val="000000" w:themeColor="text1"/>
        </w:rPr>
        <w:t xml:space="preserve"> </w:t>
      </w:r>
      <w:r>
        <w:rPr>
          <w:rFonts w:ascii="Palatino Linotype" w:hAnsi="Palatino Linotype" w:cs="Arial"/>
          <w:color w:val="000000" w:themeColor="text1"/>
        </w:rPr>
        <w:t>lo siguiente</w:t>
      </w:r>
      <w:r>
        <w:rPr>
          <w:rFonts w:ascii="Palatino Linotype" w:hAnsi="Palatino Linotype"/>
          <w:color w:val="000000" w:themeColor="text1"/>
          <w:shd w:val="clear" w:color="auto" w:fill="FFFFFF"/>
        </w:rPr>
        <w:t>:</w:t>
      </w:r>
    </w:p>
    <w:p w:rsidR="008A2DFA" w:rsidRDefault="008A2DFA">
      <w:pPr>
        <w:spacing w:line="276" w:lineRule="auto"/>
        <w:jc w:val="both"/>
        <w:rPr>
          <w:rFonts w:ascii="Palatino Linotype" w:hAnsi="Palatino Linotype" w:cs="Arial"/>
          <w:color w:val="000000" w:themeColor="text1"/>
          <w:sz w:val="22"/>
        </w:rPr>
      </w:pPr>
    </w:p>
    <w:p w:rsidR="008A2DFA" w:rsidRDefault="00D60B2C">
      <w:pPr>
        <w:spacing w:line="276" w:lineRule="auto"/>
        <w:ind w:left="851" w:right="992" w:hanging="142"/>
        <w:jc w:val="both"/>
        <w:rPr>
          <w:rFonts w:ascii="Palatino Linotype" w:hAnsi="Palatino Linotype" w:cs="Arial"/>
          <w:i/>
          <w:color w:val="000000" w:themeColor="text1"/>
          <w:sz w:val="22"/>
        </w:rPr>
      </w:pPr>
      <w:r>
        <w:rPr>
          <w:rFonts w:ascii="Palatino Linotype" w:hAnsi="Palatino Linotype" w:cs="Arial"/>
          <w:i/>
          <w:color w:val="000000" w:themeColor="text1"/>
          <w:sz w:val="22"/>
        </w:rPr>
        <w:t xml:space="preserve">“a) De los servidores públicos relacionados en respuesta de la solicitud </w:t>
      </w:r>
      <w:r>
        <w:rPr>
          <w:rFonts w:ascii="Palatino Linotype" w:hAnsi="Palatino Linotype" w:cs="Arial"/>
          <w:b/>
          <w:i/>
          <w:color w:val="000000" w:themeColor="text1"/>
          <w:sz w:val="22"/>
        </w:rPr>
        <w:t>00039/METEPEC/IP/2020</w:t>
      </w:r>
      <w:r>
        <w:rPr>
          <w:rFonts w:ascii="Palatino Linotype" w:hAnsi="Palatino Linotype" w:cs="Arial"/>
          <w:i/>
          <w:color w:val="000000" w:themeColor="text1"/>
          <w:sz w:val="22"/>
        </w:rPr>
        <w:t xml:space="preserve">, los documentos donde conste el cargo, el gafete y nombramiento, formato único de movimiento de personal o contrato de cada uno de ellos al 28 de enero de 2020; así como el sueldo bruto y neto correspondiente a la primera quincena de enero de 2020. </w:t>
      </w:r>
    </w:p>
    <w:p w:rsidR="008A2DFA" w:rsidRDefault="008A2DFA">
      <w:pPr>
        <w:spacing w:line="276" w:lineRule="auto"/>
        <w:ind w:left="851" w:right="992" w:hanging="142"/>
        <w:jc w:val="both"/>
        <w:rPr>
          <w:rFonts w:ascii="Palatino Linotype" w:hAnsi="Palatino Linotype" w:cs="Arial"/>
          <w:i/>
          <w:color w:val="000000" w:themeColor="text1"/>
          <w:sz w:val="22"/>
        </w:rPr>
      </w:pPr>
    </w:p>
    <w:p w:rsidR="008A2DFA" w:rsidRDefault="00D60B2C">
      <w:pPr>
        <w:spacing w:line="276" w:lineRule="auto"/>
        <w:ind w:left="851" w:right="992"/>
        <w:jc w:val="both"/>
        <w:rPr>
          <w:rFonts w:ascii="Palatino Linotype" w:hAnsi="Palatino Linotype" w:cs="Arial"/>
          <w:i/>
          <w:color w:val="000000" w:themeColor="text1"/>
          <w:sz w:val="22"/>
        </w:rPr>
      </w:pPr>
      <w:r>
        <w:rPr>
          <w:rFonts w:ascii="Palatino Linotype" w:hAnsi="Palatino Linotype" w:cs="Arial"/>
          <w:i/>
          <w:color w:val="000000" w:themeColor="text1"/>
          <w:sz w:val="22"/>
        </w:rPr>
        <w:t>b) D</w:t>
      </w:r>
      <w:r>
        <w:rPr>
          <w:rFonts w:ascii="Palatino Linotype" w:hAnsi="Palatino Linotype" w:cs="Arial"/>
          <w:i/>
          <w:color w:val="000000" w:themeColor="text1"/>
          <w:sz w:val="22"/>
        </w:rPr>
        <w:t xml:space="preserve">e los </w:t>
      </w:r>
      <w:r>
        <w:rPr>
          <w:rFonts w:ascii="Palatino Linotype" w:hAnsi="Palatino Linotype"/>
          <w:i/>
          <w:color w:val="000000" w:themeColor="text1"/>
          <w:sz w:val="22"/>
          <w:szCs w:val="22"/>
        </w:rPr>
        <w:t>servidores</w:t>
      </w:r>
      <w:r>
        <w:rPr>
          <w:rFonts w:ascii="Palatino Linotype" w:hAnsi="Palatino Linotype" w:cs="Arial"/>
          <w:i/>
          <w:color w:val="000000" w:themeColor="text1"/>
          <w:sz w:val="22"/>
        </w:rPr>
        <w:t xml:space="preserve"> públicos relacionados en respuesta de la solicitud </w:t>
      </w:r>
      <w:r>
        <w:rPr>
          <w:rFonts w:ascii="Palatino Linotype" w:hAnsi="Palatino Linotype" w:cs="Arial"/>
          <w:b/>
          <w:i/>
          <w:color w:val="000000" w:themeColor="text1"/>
          <w:sz w:val="22"/>
        </w:rPr>
        <w:t>00048/METEPEC/IP/2020</w:t>
      </w:r>
      <w:r>
        <w:rPr>
          <w:rFonts w:ascii="Palatino Linotype" w:hAnsi="Palatino Linotype" w:cs="Arial"/>
          <w:i/>
          <w:color w:val="000000" w:themeColor="text1"/>
          <w:sz w:val="22"/>
        </w:rPr>
        <w:t>, los documentos donde consten las funciones, el gafete, el nombramiento, formato único de movimiento de personal o contrato de cada uno de ellos al 04 de febrero de 2</w:t>
      </w:r>
      <w:r>
        <w:rPr>
          <w:rFonts w:ascii="Palatino Linotype" w:hAnsi="Palatino Linotype" w:cs="Arial"/>
          <w:i/>
          <w:color w:val="000000" w:themeColor="text1"/>
          <w:sz w:val="22"/>
        </w:rPr>
        <w:t>020; así como y su sueldo bruto y neto correspondiente a la segunda quincena de enero de 2020.</w:t>
      </w:r>
    </w:p>
    <w:p w:rsidR="008A2DFA" w:rsidRDefault="00D60B2C">
      <w:pPr>
        <w:spacing w:line="276" w:lineRule="auto"/>
        <w:ind w:left="851" w:right="992"/>
        <w:jc w:val="both"/>
        <w:rPr>
          <w:rFonts w:ascii="Palatino Linotype" w:hAnsi="Palatino Linotype" w:cs="Arial"/>
          <w:i/>
          <w:color w:val="000000" w:themeColor="text1"/>
          <w:sz w:val="22"/>
        </w:rPr>
      </w:pPr>
      <w:r>
        <w:rPr>
          <w:rFonts w:ascii="Palatino Linotype" w:hAnsi="Palatino Linotype" w:cs="Arial"/>
          <w:i/>
          <w:color w:val="000000" w:themeColor="text1"/>
          <w:sz w:val="22"/>
        </w:rPr>
        <w:t xml:space="preserve"> </w:t>
      </w:r>
    </w:p>
    <w:p w:rsidR="008A2DFA" w:rsidRDefault="00D60B2C">
      <w:pPr>
        <w:spacing w:line="276" w:lineRule="auto"/>
        <w:ind w:left="851" w:right="992"/>
        <w:jc w:val="both"/>
        <w:rPr>
          <w:rFonts w:ascii="Palatino Linotype" w:hAnsi="Palatino Linotype" w:cs="Arial"/>
          <w:color w:val="000000" w:themeColor="text1"/>
          <w:sz w:val="22"/>
        </w:rPr>
      </w:pPr>
      <w:r>
        <w:rPr>
          <w:rFonts w:ascii="Palatino Linotype" w:hAnsi="Palatino Linotype"/>
          <w:i/>
          <w:color w:val="000000" w:themeColor="text1"/>
        </w:rPr>
        <w:t>Debiendo</w:t>
      </w:r>
      <w:r>
        <w:rPr>
          <w:rFonts w:ascii="Palatino Linotype" w:hAnsi="Palatino Linotype"/>
          <w:i/>
          <w:color w:val="000000" w:themeColor="text1"/>
          <w:sz w:val="22"/>
          <w:szCs w:val="22"/>
        </w:rPr>
        <w:t xml:space="preserve"> notificar al </w:t>
      </w:r>
      <w:r>
        <w:rPr>
          <w:rFonts w:ascii="Palatino Linotype" w:hAnsi="Palatino Linotype"/>
          <w:b/>
          <w:i/>
          <w:color w:val="000000" w:themeColor="text1"/>
          <w:sz w:val="22"/>
          <w:szCs w:val="22"/>
        </w:rPr>
        <w:t>RECURRENTE</w:t>
      </w:r>
      <w:r>
        <w:rPr>
          <w:rFonts w:ascii="Palatino Linotype" w:hAnsi="Palatino Linotype"/>
          <w:i/>
          <w:color w:val="000000" w:themeColor="text1"/>
          <w:sz w:val="22"/>
          <w:szCs w:val="22"/>
        </w:rPr>
        <w:t xml:space="preserve"> el Acuerdo de Clasificación de la información que emita en su caso el Comité de Transparencia con motivo de la versión pública.</w:t>
      </w:r>
      <w:r>
        <w:rPr>
          <w:rFonts w:ascii="Palatino Linotype" w:hAnsi="Palatino Linotype" w:cs="Arial"/>
          <w:i/>
          <w:color w:val="000000" w:themeColor="text1"/>
          <w:sz w:val="22"/>
        </w:rPr>
        <w:t>”</w:t>
      </w:r>
    </w:p>
    <w:p w:rsidR="008A2DFA" w:rsidRDefault="008A2DFA">
      <w:pPr>
        <w:spacing w:line="276" w:lineRule="auto"/>
        <w:ind w:left="851" w:right="992"/>
        <w:jc w:val="both"/>
        <w:rPr>
          <w:rFonts w:ascii="Palatino Linotype" w:hAnsi="Palatino Linotype" w:cs="Arial"/>
          <w:i/>
          <w:color w:val="000000" w:themeColor="text1"/>
          <w:sz w:val="22"/>
        </w:rPr>
      </w:pPr>
    </w:p>
    <w:p w:rsidR="008A2DFA" w:rsidRDefault="00D60B2C">
      <w:pPr>
        <w:spacing w:line="360" w:lineRule="auto"/>
        <w:jc w:val="both"/>
        <w:rPr>
          <w:rFonts w:ascii="Palatino Linotype" w:hAnsi="Palatino Linotype"/>
          <w:color w:val="000000" w:themeColor="text1"/>
          <w:highlight w:val="white"/>
        </w:rPr>
      </w:pPr>
      <w:r>
        <w:rPr>
          <w:rFonts w:ascii="Palatino Linotype" w:hAnsi="Palatino Linotype" w:cs="Arial"/>
          <w:b/>
          <w:color w:val="000000" w:themeColor="text1"/>
          <w:sz w:val="28"/>
          <w:szCs w:val="28"/>
        </w:rPr>
        <w:lastRenderedPageBreak/>
        <w:t>TERCERO</w:t>
      </w:r>
      <w:r>
        <w:rPr>
          <w:rFonts w:ascii="Palatino Linotype" w:hAnsi="Palatino Linotype" w:cs="Arial"/>
          <w:b/>
          <w:color w:val="000000" w:themeColor="text1"/>
        </w:rPr>
        <w:t xml:space="preserve">. </w:t>
      </w:r>
      <w:r>
        <w:rPr>
          <w:rFonts w:ascii="Palatino Linotype" w:hAnsi="Palatino Linotype"/>
          <w:b/>
          <w:bCs/>
          <w:color w:val="000000" w:themeColor="text1"/>
        </w:rPr>
        <w:t>Notifíquese</w:t>
      </w:r>
      <w:r>
        <w:rPr>
          <w:rFonts w:ascii="Palatino Linotype" w:hAnsi="Palatino Linotype"/>
          <w:color w:val="000000" w:themeColor="text1"/>
        </w:rPr>
        <w:t> </w:t>
      </w:r>
      <w:r>
        <w:rPr>
          <w:rFonts w:ascii="Palatino Linotype" w:hAnsi="Palatino Linotype"/>
          <w:color w:val="000000" w:themeColor="text1"/>
          <w:shd w:val="clear" w:color="auto" w:fill="FFFFFF"/>
        </w:rPr>
        <w:t>al Titular de la Unidad de Transparencia del</w:t>
      </w:r>
      <w:r>
        <w:rPr>
          <w:rFonts w:ascii="Palatino Linotype" w:hAnsi="Palatino Linotype"/>
          <w:b/>
          <w:bCs/>
          <w:color w:val="000000" w:themeColor="text1"/>
          <w:shd w:val="clear" w:color="auto" w:fill="FFFFFF"/>
        </w:rPr>
        <w:t> SUJETO OBLIGADO</w:t>
      </w:r>
      <w:r>
        <w:rPr>
          <w:rFonts w:ascii="Palatino Linotype" w:hAnsi="Palatino Linotype"/>
          <w:color w:val="000000" w:themeColor="text1"/>
          <w:shd w:val="clear" w:color="auto" w:fill="FFFFFF"/>
        </w:rPr>
        <w:t xml:space="preserve">, para que conforme a los artículos 186, </w:t>
      </w:r>
      <w:r>
        <w:rPr>
          <w:rFonts w:ascii="Palatino Linotype" w:hAnsi="Palatino Linotype"/>
          <w:color w:val="000000" w:themeColor="text1"/>
          <w:shd w:val="clear" w:color="auto" w:fill="FFFFFF"/>
        </w:rPr>
        <w:t>último párrafo y 189, párrafo segundo de la Ley de Transparencia y Acceso a la Información Pública del Estado de México y Municipios, de cumplimiento a lo ordenado en los recursos de revisión</w:t>
      </w:r>
      <w:r>
        <w:rPr>
          <w:rFonts w:ascii="Palatino Linotype" w:hAnsi="Palatino Linotype" w:cs="Arial"/>
          <w:b/>
          <w:color w:val="000000" w:themeColor="text1"/>
        </w:rPr>
        <w:t>,</w:t>
      </w:r>
      <w:r>
        <w:rPr>
          <w:rFonts w:ascii="Palatino Linotype" w:hAnsi="Palatino Linotype"/>
          <w:color w:val="000000" w:themeColor="text1"/>
          <w:shd w:val="clear" w:color="auto" w:fill="FFFFFF"/>
        </w:rPr>
        <w:t xml:space="preserve"> dentro del plazo de diez días hábiles, debiendo informar a este</w:t>
      </w:r>
      <w:r>
        <w:rPr>
          <w:rFonts w:ascii="Palatino Linotype" w:hAnsi="Palatino Linotype"/>
          <w:color w:val="000000" w:themeColor="text1"/>
          <w:shd w:val="clear" w:color="auto" w:fill="FFFFFF"/>
        </w:rPr>
        <w:t xml:space="preserve"> Instituto en un plazo </w:t>
      </w:r>
      <w:r>
        <w:rPr>
          <w:rFonts w:ascii="Palatino Linotype" w:hAnsi="Palatino Linotype"/>
          <w:color w:val="000000" w:themeColor="text1"/>
        </w:rPr>
        <w:t xml:space="preserve">de </w:t>
      </w:r>
      <w:r>
        <w:rPr>
          <w:rFonts w:ascii="Palatino Linotype" w:hAnsi="Palatino Linotype"/>
          <w:color w:val="000000" w:themeColor="text1"/>
          <w:shd w:val="clear" w:color="auto" w:fill="FFFFFF"/>
        </w:rPr>
        <w:t>tres días hábiles siguientes sobre el cumplimiento dado a la presente resolución.</w:t>
      </w:r>
    </w:p>
    <w:p w:rsidR="008A2DFA" w:rsidRDefault="008A2DFA">
      <w:pPr>
        <w:spacing w:line="360" w:lineRule="auto"/>
        <w:ind w:right="49"/>
        <w:jc w:val="both"/>
        <w:rPr>
          <w:rFonts w:ascii="Palatino Linotype" w:hAnsi="Palatino Linotype"/>
          <w:color w:val="000000" w:themeColor="text1"/>
          <w:highlight w:val="white"/>
        </w:rPr>
      </w:pPr>
    </w:p>
    <w:p w:rsidR="008A2DFA" w:rsidRDefault="00D60B2C">
      <w:pPr>
        <w:spacing w:line="360" w:lineRule="auto"/>
        <w:ind w:right="49"/>
        <w:jc w:val="both"/>
        <w:rPr>
          <w:rFonts w:ascii="Palatino Linotype" w:hAnsi="Palatino Linotype"/>
          <w:color w:val="000000" w:themeColor="text1"/>
          <w:highlight w:val="white"/>
        </w:rPr>
      </w:pPr>
      <w:r>
        <w:rPr>
          <w:rFonts w:ascii="Palatino Linotype" w:hAnsi="Palatino Linotype" w:cs="Arial"/>
          <w:b/>
          <w:bCs/>
          <w:color w:val="000000" w:themeColor="text1"/>
          <w:sz w:val="28"/>
        </w:rPr>
        <w:t xml:space="preserve">CUARTO. </w:t>
      </w:r>
      <w:r>
        <w:rPr>
          <w:rFonts w:ascii="Palatino Linotype" w:hAnsi="Palatino Linotype"/>
          <w:color w:val="000000" w:themeColor="text1"/>
          <w:shd w:val="clear" w:color="auto" w:fill="FFFFFF"/>
        </w:rPr>
        <w:t>Con fundamento en el artículo 198 de la Ley de Transparencia y Acceso a la Información Pública del Estado de México y Municipios, se aperci</w:t>
      </w:r>
      <w:r>
        <w:rPr>
          <w:rFonts w:ascii="Palatino Linotype" w:hAnsi="Palatino Linotype"/>
          <w:color w:val="000000" w:themeColor="text1"/>
          <w:shd w:val="clear" w:color="auto" w:fill="FFFFFF"/>
        </w:rPr>
        <w:t xml:space="preserve">be al </w:t>
      </w:r>
      <w:r>
        <w:rPr>
          <w:rFonts w:ascii="Palatino Linotype" w:hAnsi="Palatino Linotype"/>
          <w:b/>
          <w:color w:val="000000" w:themeColor="text1"/>
          <w:shd w:val="clear" w:color="auto" w:fill="FFFFFF"/>
        </w:rPr>
        <w:t>SUJETO</w:t>
      </w:r>
      <w:r>
        <w:rPr>
          <w:rFonts w:ascii="Palatino Linotype" w:hAnsi="Palatino Linotype"/>
          <w:color w:val="000000" w:themeColor="text1"/>
          <w:shd w:val="clear" w:color="auto" w:fill="FFFFFF"/>
        </w:rPr>
        <w:t xml:space="preserve"> </w:t>
      </w:r>
      <w:r>
        <w:rPr>
          <w:rFonts w:ascii="Palatino Linotype" w:hAnsi="Palatino Linotype"/>
          <w:b/>
          <w:color w:val="000000" w:themeColor="text1"/>
          <w:shd w:val="clear" w:color="auto" w:fill="FFFFFF"/>
        </w:rPr>
        <w:t>OBLIGADO</w:t>
      </w:r>
      <w:r>
        <w:rPr>
          <w:rFonts w:ascii="Palatino Linotype" w:hAnsi="Palatino Linotype"/>
          <w:color w:val="000000" w:themeColor="text1"/>
          <w:shd w:val="clear" w:color="auto" w:fill="FFFFFF"/>
        </w:rPr>
        <w:t xml:space="preserve"> que, en caso de negarse a cumplir la presente resolución o hacerlo de manera parcial se actuará de conformidad con lo previsto en los artículos 213, 214, 216 y 217 de dicha Ley.</w:t>
      </w:r>
    </w:p>
    <w:p w:rsidR="008A2DFA" w:rsidRDefault="008A2DFA">
      <w:pPr>
        <w:spacing w:line="360" w:lineRule="auto"/>
        <w:ind w:right="49"/>
        <w:jc w:val="both"/>
        <w:rPr>
          <w:rFonts w:ascii="Palatino Linotype" w:hAnsi="Palatino Linotype"/>
          <w:color w:val="000000" w:themeColor="text1"/>
          <w:highlight w:val="white"/>
        </w:rPr>
      </w:pPr>
    </w:p>
    <w:p w:rsidR="008A2DFA" w:rsidRDefault="00D60B2C">
      <w:pPr>
        <w:spacing w:line="360" w:lineRule="auto"/>
        <w:ind w:right="49"/>
        <w:jc w:val="both"/>
        <w:rPr>
          <w:rFonts w:ascii="Palatino Linotype" w:hAnsi="Palatino Linotype"/>
          <w:b/>
          <w:color w:val="000000" w:themeColor="text1"/>
          <w:szCs w:val="17"/>
          <w:lang w:eastAsia="es-ES_tradnl"/>
        </w:rPr>
      </w:pPr>
      <w:r>
        <w:rPr>
          <w:rFonts w:ascii="Palatino Linotype" w:hAnsi="Palatino Linotype" w:cs="Arial"/>
          <w:b/>
          <w:bCs/>
          <w:color w:val="000000" w:themeColor="text1"/>
          <w:sz w:val="28"/>
        </w:rPr>
        <w:t>QUINTO.</w:t>
      </w:r>
      <w:r>
        <w:rPr>
          <w:rFonts w:ascii="Palatino Linotype" w:hAnsi="Palatino Linotype"/>
          <w:color w:val="000000" w:themeColor="text1"/>
          <w:szCs w:val="17"/>
          <w:lang w:eastAsia="es-ES_tradnl"/>
        </w:rPr>
        <w:t xml:space="preserve"> </w:t>
      </w:r>
      <w:r>
        <w:rPr>
          <w:rFonts w:ascii="Palatino Linotype" w:hAnsi="Palatino Linotype"/>
          <w:b/>
          <w:color w:val="000000" w:themeColor="text1"/>
          <w:szCs w:val="17"/>
          <w:lang w:eastAsia="es-ES_tradnl"/>
        </w:rPr>
        <w:t>Notifíquese</w:t>
      </w:r>
      <w:r>
        <w:rPr>
          <w:rFonts w:ascii="Palatino Linotype" w:hAnsi="Palatino Linotype"/>
          <w:color w:val="000000" w:themeColor="text1"/>
          <w:szCs w:val="17"/>
          <w:lang w:eastAsia="es-ES_tradnl"/>
        </w:rPr>
        <w:t xml:space="preserve"> al </w:t>
      </w:r>
      <w:r>
        <w:rPr>
          <w:rFonts w:ascii="Palatino Linotype" w:hAnsi="Palatino Linotype"/>
          <w:b/>
          <w:color w:val="000000" w:themeColor="text1"/>
          <w:szCs w:val="17"/>
          <w:lang w:eastAsia="es-ES_tradnl"/>
        </w:rPr>
        <w:t>RECURRENTE</w:t>
      </w:r>
      <w:r>
        <w:rPr>
          <w:rFonts w:ascii="Palatino Linotype" w:hAnsi="Palatino Linotype"/>
          <w:color w:val="000000" w:themeColor="text1"/>
          <w:szCs w:val="17"/>
          <w:lang w:eastAsia="es-ES_tradnl"/>
        </w:rPr>
        <w:t xml:space="preserve"> la presente resolució</w:t>
      </w:r>
      <w:r>
        <w:rPr>
          <w:rFonts w:ascii="Palatino Linotype" w:hAnsi="Palatino Linotype"/>
          <w:color w:val="000000" w:themeColor="text1"/>
          <w:szCs w:val="17"/>
          <w:lang w:eastAsia="es-ES_tradnl"/>
        </w:rPr>
        <w:t>n</w:t>
      </w:r>
      <w:r>
        <w:rPr>
          <w:rFonts w:ascii="Palatino Linotype" w:hAnsi="Palatino Linotype" w:cs="Arial"/>
          <w:color w:val="000000" w:themeColor="text1"/>
        </w:rPr>
        <w:t>.</w:t>
      </w:r>
    </w:p>
    <w:p w:rsidR="008A2DFA" w:rsidRDefault="008A2DFA">
      <w:pPr>
        <w:widowControl w:val="0"/>
        <w:spacing w:line="360" w:lineRule="auto"/>
        <w:jc w:val="both"/>
        <w:rPr>
          <w:rFonts w:ascii="Palatino Linotype" w:eastAsiaTheme="minorEastAsia" w:hAnsi="Palatino Linotype" w:hint="eastAsia"/>
          <w:color w:val="000000" w:themeColor="text1"/>
          <w:szCs w:val="17"/>
          <w:lang w:eastAsia="es-ES_tradnl"/>
        </w:rPr>
      </w:pPr>
    </w:p>
    <w:p w:rsidR="008A2DFA" w:rsidRDefault="00D60B2C">
      <w:pPr>
        <w:spacing w:line="360" w:lineRule="auto"/>
        <w:ind w:right="49"/>
        <w:jc w:val="both"/>
        <w:rPr>
          <w:rFonts w:ascii="Palatino Linotype" w:hAnsi="Palatino Linotype"/>
          <w:color w:val="000000" w:themeColor="text1"/>
          <w:szCs w:val="17"/>
          <w:lang w:eastAsia="es-ES_tradnl"/>
        </w:rPr>
      </w:pPr>
      <w:r>
        <w:rPr>
          <w:rFonts w:ascii="Palatino Linotype" w:hAnsi="Palatino Linotype" w:cs="Arial"/>
          <w:b/>
          <w:bCs/>
          <w:color w:val="000000" w:themeColor="text1"/>
          <w:sz w:val="28"/>
        </w:rPr>
        <w:t>SEXTO.</w:t>
      </w:r>
      <w:r>
        <w:rPr>
          <w:rFonts w:ascii="Palatino Linotype" w:hAnsi="Palatino Linotype"/>
          <w:color w:val="000000" w:themeColor="text1"/>
          <w:szCs w:val="17"/>
          <w:lang w:eastAsia="es-ES_tradnl"/>
        </w:rPr>
        <w:t xml:space="preserve"> </w:t>
      </w:r>
      <w:r>
        <w:rPr>
          <w:rFonts w:ascii="Palatino Linotype" w:hAnsi="Palatino Linotype"/>
          <w:b/>
          <w:color w:val="000000" w:themeColor="text1"/>
          <w:szCs w:val="17"/>
          <w:lang w:eastAsia="es-ES_tradnl"/>
        </w:rPr>
        <w:t>Hágase del conocimiento</w:t>
      </w:r>
      <w:r>
        <w:rPr>
          <w:rFonts w:ascii="Palatino Linotype" w:hAnsi="Palatino Linotype"/>
          <w:color w:val="000000" w:themeColor="text1"/>
          <w:szCs w:val="17"/>
          <w:lang w:eastAsia="es-ES_tradnl"/>
        </w:rPr>
        <w:t xml:space="preserve"> al </w:t>
      </w:r>
      <w:r>
        <w:rPr>
          <w:rFonts w:ascii="Palatino Linotype" w:hAnsi="Palatino Linotype"/>
          <w:b/>
          <w:color w:val="000000" w:themeColor="text1"/>
          <w:szCs w:val="17"/>
          <w:lang w:eastAsia="es-ES_tradnl"/>
        </w:rPr>
        <w:t>RECURRENTE</w:t>
      </w:r>
      <w:r>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A2DFA" w:rsidRDefault="008A2DFA">
      <w:pPr>
        <w:tabs>
          <w:tab w:val="left" w:pos="709"/>
        </w:tabs>
        <w:spacing w:line="360" w:lineRule="auto"/>
        <w:ind w:right="51"/>
        <w:jc w:val="both"/>
        <w:rPr>
          <w:rFonts w:ascii="Palatino Linotype" w:hAnsi="Palatino Linotype" w:cs="Arial"/>
          <w:b/>
          <w:color w:val="000000" w:themeColor="text1"/>
          <w:sz w:val="28"/>
        </w:rPr>
      </w:pPr>
    </w:p>
    <w:p w:rsidR="008A2DFA" w:rsidRDefault="00D60B2C">
      <w:pPr>
        <w:tabs>
          <w:tab w:val="left" w:pos="709"/>
        </w:tabs>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ASÍ LO RESUELVE, POR U</w:t>
      </w:r>
      <w:r>
        <w:rPr>
          <w:rFonts w:ascii="Palatino Linotype" w:hAnsi="Palatino Linotype" w:cs="Arial"/>
          <w:color w:val="000000" w:themeColor="text1"/>
        </w:rPr>
        <w:t>NANIMIDAD DE VOTOS EL PLENO DEL</w:t>
      </w:r>
      <w:r>
        <w:rPr>
          <w:rFonts w:ascii="Palatino Linotype" w:eastAsia="Arial Unicode MS" w:hAnsi="Palatino Linotype" w:cs="Arial"/>
          <w:color w:val="000000" w:themeColor="text1"/>
        </w:rPr>
        <w:t xml:space="preserve"> INSTITUTO DE </w:t>
      </w:r>
      <w:r>
        <w:rPr>
          <w:rFonts w:ascii="Palatino Linotype" w:hAnsi="Palatino Linotype"/>
          <w:color w:val="000000" w:themeColor="text1"/>
          <w:lang w:eastAsia="en-US"/>
        </w:rPr>
        <w:t>TRANSPARENCIA</w:t>
      </w:r>
      <w:r>
        <w:rPr>
          <w:rFonts w:ascii="Palatino Linotype" w:eastAsia="Arial Unicode MS" w:hAnsi="Palatino Linotype" w:cs="Arial"/>
          <w:color w:val="000000" w:themeColor="text1"/>
        </w:rPr>
        <w:t>, ACCESO A LA INFORMACIÓN PÚBLICA Y PROTECCIÓN DE DATOS PERSONALES DEL ESTADO DE MÉXICO Y MUNICIPIOS</w:t>
      </w:r>
      <w:r>
        <w:rPr>
          <w:rFonts w:ascii="Palatino Linotype" w:hAnsi="Palatino Linotype" w:cs="Arial"/>
          <w:color w:val="000000" w:themeColor="text1"/>
        </w:rPr>
        <w:t xml:space="preserve">, </w:t>
      </w:r>
      <w:r>
        <w:rPr>
          <w:rFonts w:ascii="Palatino Linotype" w:hAnsi="Palatino Linotype" w:cs="Arial"/>
          <w:color w:val="000000" w:themeColor="text1"/>
        </w:rPr>
        <w:lastRenderedPageBreak/>
        <w:t>CONFORMADO POR LOS COMISIONADOS ZULEMA MARTÍNEZ SÁNCHEZ; EVA ABAID YAPUR; JOSÉ GUADALUPE LUNA HE</w:t>
      </w:r>
      <w:r>
        <w:rPr>
          <w:rFonts w:ascii="Palatino Linotype" w:hAnsi="Palatino Linotype" w:cs="Arial"/>
          <w:color w:val="000000" w:themeColor="text1"/>
        </w:rPr>
        <w:t xml:space="preserve">RNÁNDEZ, JAVIER MARTÍNEZ CRUZ Y LUIS GUSTAVO PARRA NORIEGA; </w:t>
      </w:r>
      <w:r>
        <w:rPr>
          <w:rFonts w:ascii="Palatino Linotype" w:hAnsi="Palatino Linotype" w:cs="Arial"/>
          <w:color w:val="000000" w:themeColor="text1"/>
        </w:rPr>
        <w:t>EN LA DÉCIMA CUARTA</w:t>
      </w:r>
      <w:r>
        <w:rPr>
          <w:rFonts w:ascii="Palatino Linotype" w:hAnsi="Palatino Linotype" w:cs="Arial"/>
          <w:color w:val="000000" w:themeColor="text1"/>
        </w:rPr>
        <w:t xml:space="preserve"> SESIÓN ORDINARIA CELEBRADA EL DIECINUEVE DE AGOSTO DE DOS MIL VEINTE, ANTE EL SECRETARIO TÉCNICO DEL PLENO, </w:t>
      </w:r>
      <w:r>
        <w:rPr>
          <w:rFonts w:ascii="Palatino Linotype" w:eastAsia="Arial Unicode MS" w:hAnsi="Palatino Linotype" w:cs="Arial"/>
          <w:color w:val="000000" w:themeColor="text1"/>
        </w:rPr>
        <w:t>ALEXIS</w:t>
      </w:r>
      <w:r>
        <w:rPr>
          <w:rFonts w:ascii="Palatino Linotype" w:hAnsi="Palatino Linotype" w:cs="Arial"/>
          <w:color w:val="000000" w:themeColor="text1"/>
        </w:rPr>
        <w:t xml:space="preserve"> TAPIA RAMÍREZ.</w:t>
      </w:r>
    </w:p>
    <w:tbl>
      <w:tblPr>
        <w:tblW w:w="10368" w:type="dxa"/>
        <w:jc w:val="center"/>
        <w:tblLook w:val="04A0" w:firstRow="1" w:lastRow="0" w:firstColumn="1" w:lastColumn="0" w:noHBand="0" w:noVBand="1"/>
      </w:tblPr>
      <w:tblGrid>
        <w:gridCol w:w="10581"/>
      </w:tblGrid>
      <w:tr w:rsidR="008A2DFA">
        <w:trPr>
          <w:jc w:val="center"/>
        </w:trPr>
        <w:tc>
          <w:tcPr>
            <w:tcW w:w="10368" w:type="dxa"/>
          </w:tcPr>
          <w:tbl>
            <w:tblPr>
              <w:tblW w:w="10365" w:type="dxa"/>
              <w:jc w:val="center"/>
              <w:tblLook w:val="04A0" w:firstRow="1" w:lastRow="0" w:firstColumn="1" w:lastColumn="0" w:noHBand="0" w:noVBand="1"/>
            </w:tblPr>
            <w:tblGrid>
              <w:gridCol w:w="5182"/>
              <w:gridCol w:w="5183"/>
            </w:tblGrid>
            <w:tr w:rsidR="008A2DFA" w:rsidTr="008F4D0B">
              <w:trPr>
                <w:jc w:val="center"/>
              </w:trPr>
              <w:tc>
                <w:tcPr>
                  <w:tcW w:w="10365" w:type="dxa"/>
                  <w:gridSpan w:val="2"/>
                  <w:shd w:val="clear" w:color="auto" w:fill="auto"/>
                </w:tcPr>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Zulema Martínez Sánchez</w:t>
                  </w:r>
                </w:p>
                <w:p w:rsidR="008A2DFA" w:rsidRDefault="00D60B2C">
                  <w:pPr>
                    <w:jc w:val="center"/>
                    <w:rPr>
                      <w:rFonts w:ascii="Palatino Linotype" w:hAnsi="Palatino Linotype" w:cs="Arial"/>
                      <w:b/>
                      <w:color w:val="000000" w:themeColor="text1"/>
                    </w:rPr>
                  </w:pPr>
                  <w:r>
                    <w:rPr>
                      <w:rFonts w:ascii="Palatino Linotype" w:hAnsi="Palatino Linotype" w:cs="Arial"/>
                      <w:color w:val="000000" w:themeColor="text1"/>
                    </w:rPr>
                    <w:t>Comisionada Presi</w:t>
                  </w:r>
                  <w:r>
                    <w:rPr>
                      <w:rFonts w:ascii="Palatino Linotype" w:hAnsi="Palatino Linotype" w:cs="Arial"/>
                      <w:color w:val="000000" w:themeColor="text1"/>
                    </w:rPr>
                    <w:t>denta</w:t>
                  </w: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 xml:space="preserve">(RÚBRICA) </w:t>
                  </w:r>
                </w:p>
              </w:tc>
            </w:tr>
            <w:tr w:rsidR="008A2DFA" w:rsidTr="008F4D0B">
              <w:trPr>
                <w:jc w:val="center"/>
              </w:trPr>
              <w:tc>
                <w:tcPr>
                  <w:tcW w:w="5182" w:type="dxa"/>
                  <w:shd w:val="clear" w:color="auto" w:fill="auto"/>
                </w:tcPr>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Eva Abaid Yapur</w:t>
                  </w:r>
                </w:p>
                <w:p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Comisionada</w:t>
                  </w: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c>
                <w:tcPr>
                  <w:tcW w:w="5183" w:type="dxa"/>
                  <w:shd w:val="clear" w:color="auto" w:fill="auto"/>
                </w:tcPr>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José Guadalupe Luna Hernández</w:t>
                  </w:r>
                </w:p>
                <w:p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r>
            <w:tr w:rsidR="008A2DFA" w:rsidTr="008F4D0B">
              <w:trPr>
                <w:jc w:val="center"/>
              </w:trPr>
              <w:tc>
                <w:tcPr>
                  <w:tcW w:w="5182" w:type="dxa"/>
                  <w:shd w:val="clear" w:color="auto" w:fill="auto"/>
                </w:tcPr>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D60B2C">
                  <w:pPr>
                    <w:ind w:left="708" w:hanging="708"/>
                    <w:jc w:val="center"/>
                    <w:rPr>
                      <w:rFonts w:ascii="Palatino Linotype" w:hAnsi="Palatino Linotype" w:cs="Arial"/>
                      <w:b/>
                      <w:color w:val="000000" w:themeColor="text1"/>
                    </w:rPr>
                  </w:pPr>
                  <w:r>
                    <w:rPr>
                      <w:rFonts w:ascii="Palatino Linotype" w:hAnsi="Palatino Linotype" w:cs="Arial"/>
                      <w:b/>
                      <w:color w:val="000000" w:themeColor="text1"/>
                    </w:rPr>
                    <w:t>Javier Martínez Cruz</w:t>
                  </w:r>
                </w:p>
                <w:p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rsidR="008A2DFA" w:rsidRDefault="00D60B2C">
                  <w:pPr>
                    <w:jc w:val="center"/>
                    <w:rPr>
                      <w:rFonts w:ascii="Palatino Linotype" w:hAnsi="Palatino Linotype" w:cs="Arial"/>
                      <w:color w:val="000000" w:themeColor="text1"/>
                    </w:rPr>
                  </w:pPr>
                  <w:r>
                    <w:rPr>
                      <w:rFonts w:ascii="Palatino Linotype" w:hAnsi="Palatino Linotype" w:cs="Arial"/>
                      <w:b/>
                      <w:color w:val="000000" w:themeColor="text1"/>
                    </w:rPr>
                    <w:t>(RÚBRICA)</w:t>
                  </w:r>
                </w:p>
              </w:tc>
              <w:tc>
                <w:tcPr>
                  <w:tcW w:w="5183" w:type="dxa"/>
                  <w:shd w:val="clear" w:color="auto" w:fill="auto"/>
                </w:tcPr>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Luis Gustavo Parra Noriega</w:t>
                  </w:r>
                </w:p>
                <w:p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r>
            <w:tr w:rsidR="008A2DFA" w:rsidTr="008F4D0B">
              <w:trPr>
                <w:jc w:val="center"/>
              </w:trPr>
              <w:tc>
                <w:tcPr>
                  <w:tcW w:w="10365" w:type="dxa"/>
                  <w:gridSpan w:val="2"/>
                  <w:shd w:val="clear" w:color="auto" w:fill="auto"/>
                </w:tcPr>
                <w:p w:rsidR="008A2DFA" w:rsidRDefault="008A2DFA" w:rsidP="008F4D0B">
                  <w:pPr>
                    <w:tabs>
                      <w:tab w:val="left" w:pos="3720"/>
                    </w:tabs>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8A2DFA">
                  <w:pPr>
                    <w:jc w:val="center"/>
                    <w:rPr>
                      <w:rFonts w:ascii="Palatino Linotype" w:hAnsi="Palatino Linotype" w:cs="Arial"/>
                      <w:b/>
                      <w:color w:val="000000" w:themeColor="text1"/>
                    </w:rPr>
                  </w:pPr>
                </w:p>
                <w:p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 xml:space="preserve"> Alexis Tapia Ramírez</w:t>
                  </w:r>
                </w:p>
                <w:p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Secretario Técnico del Pleno</w:t>
                  </w:r>
                </w:p>
                <w:p w:rsidR="008A2DFA" w:rsidRDefault="00D60B2C" w:rsidP="008F4D0B">
                  <w:pPr>
                    <w:jc w:val="center"/>
                    <w:rPr>
                      <w:rFonts w:ascii="Palatino Linotype" w:hAnsi="Palatino Linotype" w:cs="Arial"/>
                      <w:color w:val="000000" w:themeColor="text1"/>
                    </w:rPr>
                  </w:pPr>
                  <w:r>
                    <w:rPr>
                      <w:rFonts w:ascii="Palatino Linotype" w:hAnsi="Palatino Linotype" w:cs="Arial"/>
                      <w:b/>
                      <w:color w:val="000000" w:themeColor="text1"/>
                    </w:rPr>
                    <w:t>(RÚBRICA)</w:t>
                  </w:r>
                </w:p>
              </w:tc>
            </w:tr>
          </w:tbl>
          <w:p w:rsidR="008A2DFA" w:rsidRDefault="008A2DFA">
            <w:pPr>
              <w:jc w:val="both"/>
              <w:rPr>
                <w:rFonts w:ascii="Palatino Linotype" w:hAnsi="Palatino Linotype" w:cs="Arial"/>
                <w:color w:val="000000" w:themeColor="text1"/>
              </w:rPr>
            </w:pPr>
          </w:p>
        </w:tc>
      </w:tr>
    </w:tbl>
    <w:p w:rsidR="008A2DFA" w:rsidRDefault="00D60B2C">
      <w:pPr>
        <w:jc w:val="both"/>
        <w:rPr>
          <w:rFonts w:ascii="Palatino Linotype" w:hAnsi="Palatino Linotype" w:cs="Arial"/>
          <w:color w:val="000000" w:themeColor="text1"/>
          <w:sz w:val="20"/>
        </w:rPr>
      </w:pPr>
      <w:r>
        <w:rPr>
          <w:rFonts w:ascii="Palatino Linotype" w:hAnsi="Palatino Linotype" w:cs="Arial"/>
          <w:color w:val="000000" w:themeColor="text1"/>
          <w:sz w:val="20"/>
        </w:rPr>
        <w:t>Esta hoja corresponde a la resolución de diecinueve de agosto de dos mil veinte, emitida en el recurso de revisión número 01332/INFOEM/IP/RR/2020 y acumulado.</w:t>
      </w:r>
    </w:p>
    <w:p w:rsidR="008A2DFA" w:rsidRDefault="00D60B2C" w:rsidP="008F4D0B">
      <w:pPr>
        <w:jc w:val="both"/>
        <w:rPr>
          <w:rFonts w:ascii="Palatino Linotype" w:hAnsi="Palatino Linotype" w:cs="Arial"/>
          <w:color w:val="000000" w:themeColor="text1"/>
          <w:sz w:val="20"/>
        </w:rPr>
      </w:pPr>
      <w:r>
        <w:rPr>
          <w:rFonts w:ascii="Palatino Linotype" w:hAnsi="Palatino Linotype" w:cs="Arial"/>
          <w:color w:val="000000" w:themeColor="text1"/>
          <w:sz w:val="20"/>
        </w:rPr>
        <w:t>YSM/RPG</w:t>
      </w:r>
      <w:bookmarkStart w:id="0" w:name="_GoBack"/>
      <w:bookmarkEnd w:id="0"/>
    </w:p>
    <w:sectPr w:rsidR="008A2DFA">
      <w:headerReference w:type="default" r:id="rId44"/>
      <w:footerReference w:type="default" r:id="rId45"/>
      <w:headerReference w:type="first" r:id="rId46"/>
      <w:footerReference w:type="first" r:id="rId4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2C" w:rsidRDefault="00D60B2C">
      <w:r>
        <w:separator/>
      </w:r>
    </w:p>
  </w:endnote>
  <w:endnote w:type="continuationSeparator" w:id="0">
    <w:p w:rsidR="00D60B2C" w:rsidRDefault="00D60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notTrueType/>
    <w:pitch w:val="default"/>
  </w:font>
  <w:font w:name="Arial,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DFA" w:rsidRDefault="00D60B2C">
    <w:pPr>
      <w:pStyle w:val="Piedepgina"/>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F4D0B">
      <w:rPr>
        <w:rFonts w:ascii="Palatino Linotype" w:hAnsi="Palatino Linotype" w:cs="Arial"/>
        <w:bCs/>
        <w:noProof/>
        <w:sz w:val="22"/>
        <w:szCs w:val="22"/>
      </w:rPr>
      <w:t>70</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F4D0B">
      <w:rPr>
        <w:rFonts w:ascii="Palatino Linotype" w:hAnsi="Palatino Linotype" w:cs="Arial"/>
        <w:bCs/>
        <w:noProof/>
        <w:sz w:val="22"/>
        <w:szCs w:val="22"/>
      </w:rPr>
      <w:t>71</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DFA" w:rsidRDefault="00D60B2C">
    <w:pPr>
      <w:pStyle w:val="Piedepgina"/>
      <w:spacing w:before="120"/>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F4D0B">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F4D0B">
      <w:rPr>
        <w:rFonts w:ascii="Palatino Linotype" w:hAnsi="Palatino Linotype" w:cs="Arial"/>
        <w:bCs/>
        <w:noProof/>
        <w:sz w:val="22"/>
        <w:szCs w:val="22"/>
      </w:rPr>
      <w:t>72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2C" w:rsidRDefault="00D60B2C">
      <w:pPr>
        <w:rPr>
          <w:sz w:val="12"/>
        </w:rPr>
      </w:pPr>
      <w:r>
        <w:separator/>
      </w:r>
    </w:p>
  </w:footnote>
  <w:footnote w:type="continuationSeparator" w:id="0">
    <w:p w:rsidR="00D60B2C" w:rsidRDefault="00D60B2C">
      <w:pPr>
        <w:rPr>
          <w:sz w:val="12"/>
        </w:rPr>
      </w:pPr>
      <w:r>
        <w:continuationSeparator/>
      </w:r>
    </w:p>
  </w:footnote>
  <w:footnote w:id="1">
    <w:p w:rsidR="008A2DFA" w:rsidRDefault="00D60B2C">
      <w:pPr>
        <w:pStyle w:val="Textonotapie"/>
      </w:pPr>
      <w:r>
        <w:rPr>
          <w:rStyle w:val="Caracteresdenotaalpie"/>
        </w:rPr>
        <w:footnoteRef/>
      </w:r>
      <w:r>
        <w:t xml:space="preserve"> </w:t>
      </w:r>
      <w:hyperlink r:id="rId1">
        <w:r>
          <w:rPr>
            <w:rFonts w:ascii="Palatino Linotype" w:eastAsia="Times New Roman" w:hAnsi="Palatino Linotype" w:cs="Times New Roman"/>
            <w:color w:val="035899"/>
            <w:spacing w:val="-20"/>
          </w:rPr>
          <w:t>https://www.osfem.gob.mx/04_Normatividad/doc/Normatividad/2020/02_LinEntInfMenMpal20.pdf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DFA" w:rsidRDefault="00D60B2C">
    <w:pPr>
      <w:pStyle w:val="Encabezado"/>
      <w:tabs>
        <w:tab w:val="clear" w:pos="4252"/>
        <w:tab w:val="clear" w:pos="8504"/>
        <w:tab w:val="left" w:pos="2326"/>
      </w:tabs>
      <w:rPr>
        <w:rFonts w:ascii="Palatino Linotype" w:hAnsi="Palatino Linotype" w:hint="eastAsia"/>
        <w:sz w:val="28"/>
        <w:szCs w:val="28"/>
      </w:rPr>
    </w:pPr>
    <w:r>
      <w:rPr>
        <w:rFonts w:ascii="Palatino Linotype" w:hAnsi="Palatino Linotype"/>
        <w:noProof/>
        <w:sz w:val="28"/>
        <w:szCs w:val="28"/>
        <w:lang w:val="es-MX" w:eastAsia="es-MX"/>
      </w:rPr>
      <w:drawing>
        <wp:anchor distT="0" distB="0" distL="0" distR="0" simplePos="0" relativeHeight="67" behindDoc="1" locked="0" layoutInCell="1" allowOverlap="1">
          <wp:simplePos x="0" y="0"/>
          <wp:positionH relativeFrom="column">
            <wp:align>center</wp:align>
          </wp:positionH>
          <wp:positionV relativeFrom="margin">
            <wp:align>center</wp:align>
          </wp:positionV>
          <wp:extent cx="6858635" cy="9144635"/>
          <wp:effectExtent l="0" t="0" r="0" b="0"/>
          <wp:wrapNone/>
          <wp:docPr id="2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4"/>
      <w:gridCol w:w="2556"/>
      <w:gridCol w:w="3724"/>
    </w:tblGrid>
    <w:tr w:rsidR="008A2DFA">
      <w:tc>
        <w:tcPr>
          <w:tcW w:w="3254" w:type="dxa"/>
          <w:vMerge w:val="restart"/>
        </w:tcPr>
        <w:p w:rsidR="008A2DFA" w:rsidRDefault="00D60B2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6" w:type="dxa"/>
          <w:shd w:val="clear" w:color="auto" w:fill="auto"/>
        </w:tcPr>
        <w:p w:rsidR="008A2DFA" w:rsidRDefault="00D60B2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8A2DFA" w:rsidRDefault="00D60B2C">
          <w:pPr>
            <w:jc w:val="both"/>
            <w:rPr>
              <w:rFonts w:ascii="Palatino Linotype" w:hAnsi="Palatino Linotype"/>
              <w:b/>
              <w:sz w:val="22"/>
              <w:szCs w:val="22"/>
              <w:lang w:val="es-ES_tradnl"/>
            </w:rPr>
          </w:pPr>
          <w:r>
            <w:rPr>
              <w:rFonts w:ascii="Palatino Linotype" w:hAnsi="Palatino Linotype"/>
              <w:b/>
              <w:sz w:val="22"/>
              <w:szCs w:val="22"/>
              <w:lang w:val="es-ES_tradnl"/>
            </w:rPr>
            <w:t>01332/INFOEM/IP/RR/2020 y acumulado</w:t>
          </w:r>
        </w:p>
      </w:tc>
    </w:tr>
    <w:tr w:rsidR="008A2DFA">
      <w:tc>
        <w:tcPr>
          <w:tcW w:w="3254" w:type="dxa"/>
          <w:vMerge/>
        </w:tcPr>
        <w:p w:rsidR="008A2DFA" w:rsidRDefault="008A2DFA">
          <w:pPr>
            <w:rPr>
              <w:rFonts w:ascii="Palatino Linotype" w:hAnsi="Palatino Linotype"/>
              <w:b/>
              <w:sz w:val="22"/>
              <w:szCs w:val="22"/>
              <w:lang w:val="es-ES_tradnl"/>
            </w:rPr>
          </w:pPr>
        </w:p>
      </w:tc>
      <w:tc>
        <w:tcPr>
          <w:tcW w:w="2556" w:type="dxa"/>
          <w:shd w:val="clear" w:color="auto" w:fill="auto"/>
        </w:tcPr>
        <w:p w:rsidR="008A2DFA" w:rsidRDefault="00D60B2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8A2DFA" w:rsidRDefault="00D60B2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Metepec </w:t>
          </w:r>
        </w:p>
      </w:tc>
    </w:tr>
    <w:tr w:rsidR="008A2DFA">
      <w:trPr>
        <w:trHeight w:val="228"/>
      </w:trPr>
      <w:tc>
        <w:tcPr>
          <w:tcW w:w="3254" w:type="dxa"/>
          <w:vMerge/>
        </w:tcPr>
        <w:p w:rsidR="008A2DFA" w:rsidRDefault="008A2DFA">
          <w:pPr>
            <w:rPr>
              <w:rFonts w:ascii="Palatino Linotype" w:hAnsi="Palatino Linotype"/>
              <w:b/>
              <w:sz w:val="22"/>
              <w:szCs w:val="22"/>
              <w:lang w:val="es-ES_tradnl"/>
            </w:rPr>
          </w:pPr>
        </w:p>
      </w:tc>
      <w:tc>
        <w:tcPr>
          <w:tcW w:w="2556" w:type="dxa"/>
          <w:shd w:val="clear" w:color="auto" w:fill="auto"/>
        </w:tcPr>
        <w:p w:rsidR="008A2DFA" w:rsidRDefault="00D60B2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8A2DFA" w:rsidRDefault="00D60B2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A2DFA" w:rsidRDefault="008A2DFA">
    <w:pPr>
      <w:pStyle w:val="Encabezado"/>
      <w:tabs>
        <w:tab w:val="clear" w:pos="4252"/>
        <w:tab w:val="clear" w:pos="8504"/>
        <w:tab w:val="left" w:pos="2326"/>
      </w:tabs>
      <w:rPr>
        <w:rFonts w:ascii="Palatino Linotype" w:hAnsi="Palatino Linotype" w:hint="eastAsia"/>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DFA" w:rsidRDefault="00D60B2C">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68" behindDoc="1" locked="0" layoutInCell="1" allowOverlap="1">
          <wp:simplePos x="0" y="0"/>
          <wp:positionH relativeFrom="column">
            <wp:align>center</wp:align>
          </wp:positionH>
          <wp:positionV relativeFrom="margin">
            <wp:align>center</wp:align>
          </wp:positionV>
          <wp:extent cx="6858635" cy="9144635"/>
          <wp:effectExtent l="0" t="0" r="0" b="0"/>
          <wp:wrapNone/>
          <wp:docPr id="3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8A2DFA">
      <w:tc>
        <w:tcPr>
          <w:tcW w:w="4250" w:type="dxa"/>
          <w:vMerge w:val="restart"/>
          <w:shd w:val="clear" w:color="auto" w:fill="auto"/>
        </w:tcPr>
        <w:p w:rsidR="008A2DFA" w:rsidRDefault="00D60B2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8A2DFA" w:rsidRDefault="00D60B2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8A2DFA" w:rsidRDefault="00D60B2C">
          <w:pPr>
            <w:jc w:val="both"/>
            <w:rPr>
              <w:rFonts w:ascii="Palatino Linotype" w:hAnsi="Palatino Linotype"/>
              <w:b/>
              <w:sz w:val="22"/>
              <w:szCs w:val="22"/>
              <w:lang w:val="es-ES_tradnl"/>
            </w:rPr>
          </w:pPr>
          <w:r>
            <w:rPr>
              <w:rFonts w:ascii="Palatino Linotype" w:hAnsi="Palatino Linotype"/>
              <w:b/>
              <w:sz w:val="22"/>
              <w:szCs w:val="22"/>
              <w:lang w:val="es-ES_tradnl"/>
            </w:rPr>
            <w:t>01332/INFOEM/IP/RR/2020 y acumulado</w:t>
          </w:r>
        </w:p>
      </w:tc>
    </w:tr>
    <w:tr w:rsidR="008A2DFA">
      <w:tc>
        <w:tcPr>
          <w:tcW w:w="4250" w:type="dxa"/>
          <w:vMerge/>
          <w:shd w:val="clear" w:color="auto" w:fill="auto"/>
        </w:tcPr>
        <w:p w:rsidR="008A2DFA" w:rsidRDefault="008A2DFA">
          <w:pPr>
            <w:rPr>
              <w:rFonts w:ascii="Palatino Linotype" w:hAnsi="Palatino Linotype"/>
              <w:b/>
              <w:sz w:val="22"/>
              <w:szCs w:val="22"/>
              <w:lang w:val="es-ES_tradnl"/>
            </w:rPr>
          </w:pPr>
        </w:p>
      </w:tc>
      <w:tc>
        <w:tcPr>
          <w:tcW w:w="2548" w:type="dxa"/>
          <w:shd w:val="clear" w:color="auto" w:fill="auto"/>
        </w:tcPr>
        <w:p w:rsidR="008A2DFA" w:rsidRDefault="00D60B2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8A2DFA" w:rsidRDefault="008A2DFA">
          <w:pPr>
            <w:rPr>
              <w:rFonts w:ascii="Palatino Linotype" w:hAnsi="Palatino Linotype"/>
              <w:b/>
              <w:sz w:val="22"/>
              <w:szCs w:val="22"/>
              <w:lang w:val="es-ES_tradnl"/>
            </w:rPr>
          </w:pPr>
        </w:p>
      </w:tc>
    </w:tr>
    <w:tr w:rsidR="008A2DFA">
      <w:trPr>
        <w:trHeight w:val="228"/>
      </w:trPr>
      <w:tc>
        <w:tcPr>
          <w:tcW w:w="4250" w:type="dxa"/>
          <w:vMerge/>
          <w:shd w:val="clear" w:color="auto" w:fill="auto"/>
        </w:tcPr>
        <w:p w:rsidR="008A2DFA" w:rsidRDefault="008A2DFA">
          <w:pPr>
            <w:rPr>
              <w:rFonts w:ascii="Palatino Linotype" w:hAnsi="Palatino Linotype"/>
              <w:b/>
              <w:sz w:val="22"/>
              <w:szCs w:val="22"/>
              <w:lang w:val="es-ES_tradnl"/>
            </w:rPr>
          </w:pPr>
        </w:p>
      </w:tc>
      <w:tc>
        <w:tcPr>
          <w:tcW w:w="2548" w:type="dxa"/>
          <w:shd w:val="clear" w:color="auto" w:fill="auto"/>
        </w:tcPr>
        <w:p w:rsidR="008A2DFA" w:rsidRDefault="00D60B2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8A2DFA" w:rsidRDefault="00D60B2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Metepec </w:t>
          </w:r>
        </w:p>
      </w:tc>
    </w:tr>
    <w:tr w:rsidR="008A2DFA">
      <w:tc>
        <w:tcPr>
          <w:tcW w:w="4250" w:type="dxa"/>
          <w:vMerge/>
          <w:shd w:val="clear" w:color="auto" w:fill="auto"/>
        </w:tcPr>
        <w:p w:rsidR="008A2DFA" w:rsidRDefault="008A2DFA">
          <w:pPr>
            <w:rPr>
              <w:rFonts w:ascii="Palatino Linotype" w:hAnsi="Palatino Linotype"/>
              <w:b/>
              <w:sz w:val="22"/>
              <w:szCs w:val="22"/>
              <w:lang w:val="es-ES_tradnl"/>
            </w:rPr>
          </w:pPr>
        </w:p>
      </w:tc>
      <w:tc>
        <w:tcPr>
          <w:tcW w:w="2548" w:type="dxa"/>
          <w:shd w:val="clear" w:color="auto" w:fill="auto"/>
        </w:tcPr>
        <w:p w:rsidR="008A2DFA" w:rsidRDefault="00D60B2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8A2DFA" w:rsidRDefault="00D60B2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A2DFA" w:rsidRDefault="008A2DF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82118"/>
    <w:multiLevelType w:val="multilevel"/>
    <w:tmpl w:val="AAE6DC52"/>
    <w:lvl w:ilvl="0">
      <w:start w:val="1"/>
      <w:numFmt w:val="bullet"/>
      <w:lvlText w:val=""/>
      <w:lvlJc w:val="left"/>
      <w:pPr>
        <w:ind w:left="751" w:hanging="360"/>
      </w:pPr>
      <w:rPr>
        <w:rFonts w:ascii="Wingdings" w:hAnsi="Wingdings" w:cs="Wingdings" w:hint="default"/>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07F7113"/>
    <w:multiLevelType w:val="multilevel"/>
    <w:tmpl w:val="6D861396"/>
    <w:lvl w:ilvl="0">
      <w:start w:val="1"/>
      <w:numFmt w:val="bullet"/>
      <w:lvlText w:val="o"/>
      <w:lvlJc w:val="left"/>
      <w:pPr>
        <w:ind w:left="1571" w:hanging="360"/>
      </w:pPr>
      <w:rPr>
        <w:rFonts w:ascii="Courier New" w:hAnsi="Courier New" w:cs="Courier New"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 w15:restartNumberingAfterBreak="0">
    <w:nsid w:val="5CC829BE"/>
    <w:multiLevelType w:val="multilevel"/>
    <w:tmpl w:val="514C5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240168"/>
    <w:multiLevelType w:val="multilevel"/>
    <w:tmpl w:val="31A852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EAE01D5"/>
    <w:multiLevelType w:val="multilevel"/>
    <w:tmpl w:val="050AAD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363E5"/>
    <w:multiLevelType w:val="multilevel"/>
    <w:tmpl w:val="102CA4A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6" w15:restartNumberingAfterBreak="0">
    <w:nsid w:val="7BD84DE2"/>
    <w:multiLevelType w:val="multilevel"/>
    <w:tmpl w:val="5538C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0"/>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FA"/>
    <w:rsid w:val="008A2DFA"/>
    <w:rsid w:val="008F4D0B"/>
    <w:rsid w:val="00D60B2C"/>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539993-9129-4B90-95F9-D5D7BB6D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Contenidodelmarco">
    <w:name w:val="Contenido del marco"/>
    <w:basedOn w:val="Normal"/>
    <w:qFormat/>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igecem.edomex.gob.mx/" TargetMode="External"/><Relationship Id="rId26" Type="http://schemas.openxmlformats.org/officeDocument/2006/relationships/image" Target="media/image13.jpeg"/><Relationship Id="rId39" Type="http://schemas.openxmlformats.org/officeDocument/2006/relationships/hyperlink" Target="http://consultas.ifai.org.mx/descargar.php?r=./pdf/resoluciones/2017/&amp;a=RRA%201588.pdf" TargetMode="External"/><Relationship Id="rId21" Type="http://schemas.openxmlformats.org/officeDocument/2006/relationships/hyperlink" Target="http://www.metepec.gob.mx/pagina/documentos/gacetas/gacetas_2020/GACETA09.pdf" TargetMode="External"/><Relationship Id="rId34" Type="http://schemas.openxmlformats.org/officeDocument/2006/relationships/hyperlink" Target="javascript:abrirAcuse(310633);" TargetMode="External"/><Relationship Id="rId42" Type="http://schemas.openxmlformats.org/officeDocument/2006/relationships/image" Target="media/image21.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91779.page"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hyperlink" Target="http://consultas.ifai.org.mx/descargar.php?r=./pdf/resoluciones/2017/&amp;a=RRA%203472.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etepec.gob.mx/pagina/documentos/gacetas/gacetas_2020/GACETA09.pdf"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igecem.edomex.gob.mx/"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aimex.org.mx/saimex/solicitud/downloadAttach/885371.page" TargetMode="External"/><Relationship Id="rId22" Type="http://schemas.openxmlformats.org/officeDocument/2006/relationships/image" Target="media/image9.jpeg"/><Relationship Id="rId27" Type="http://schemas.openxmlformats.org/officeDocument/2006/relationships/hyperlink" Target="http://www.metepec.gob.mx/pagina/documentos/gacetas/gacetas_2020/GACETA09.pdf" TargetMode="External"/><Relationship Id="rId30" Type="http://schemas.openxmlformats.org/officeDocument/2006/relationships/image" Target="media/image16.jpeg"/><Relationship Id="rId35" Type="http://schemas.openxmlformats.org/officeDocument/2006/relationships/hyperlink" Target="http://www.metepec.org.mx/" TargetMode="External"/><Relationship Id="rId43" Type="http://schemas.openxmlformats.org/officeDocument/2006/relationships/hyperlink" Target="http://igecem.edomex.gob.mx/"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metepec.org.mx/"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consultas.ifai.org.mx/descargar.php?r=./pdf/resoluciones/2017/&amp;a=RRA%20185.pdf" TargetMode="External"/><Relationship Id="rId46"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hyperlink" Target="http://www.metepec.org.m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DBB24-4ED4-4A71-8B26-295B6430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71</Pages>
  <Words>16628</Words>
  <Characters>91457</Characters>
  <Application>Microsoft Office Word</Application>
  <DocSecurity>0</DocSecurity>
  <Lines>762</Lines>
  <Paragraphs>215</Paragraphs>
  <ScaleCrop>false</ScaleCrop>
  <Company>INFOEM</Company>
  <LinksUpToDate>false</LinksUpToDate>
  <CharactersWithSpaces>107870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PONENCIA EAY</cp:lastModifiedBy>
  <cp:revision>25</cp:revision>
  <cp:lastPrinted>2020-01-22T19:55:00Z</cp:lastPrinted>
  <dcterms:created xsi:type="dcterms:W3CDTF">2020-03-20T16:10:00Z</dcterms:created>
  <dcterms:modified xsi:type="dcterms:W3CDTF">2020-08-20T22:16:00Z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