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CA6" w:rsidRDefault="001414A8">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DF3CA6" w:rsidRDefault="001414A8">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00892/INFOEM/IP/RR/2020</w:t>
      </w:r>
      <w:r>
        <w:rPr>
          <w:rFonts w:ascii="Palatino Linotype" w:hAnsi="Palatino Linotype"/>
        </w:rPr>
        <w:t xml:space="preserve">, promovido por una persona de manera anónima en lo sucesivo </w:t>
      </w:r>
      <w:r>
        <w:rPr>
          <w:rFonts w:ascii="Palatino Linotype" w:hAnsi="Palatino Linotype"/>
          <w:b/>
        </w:rPr>
        <w:t>EL RECURRENTE,</w:t>
      </w:r>
      <w:r>
        <w:rPr>
          <w:rFonts w:ascii="Palatino Linotype" w:hAnsi="Palatino Linotype"/>
        </w:rPr>
        <w:t xml:space="preserve"> en contra de la respuesta emitida por la </w:t>
      </w:r>
      <w:r>
        <w:rPr>
          <w:rFonts w:ascii="Palatino Linotype" w:hAnsi="Palatino Linotype"/>
          <w:b/>
        </w:rPr>
        <w:t>Secretaría de Finanzas</w:t>
      </w:r>
      <w:r>
        <w:rPr>
          <w:rFonts w:ascii="Palatino Linotype" w:hAnsi="Palatino Linotype"/>
        </w:rPr>
        <w:t xml:space="preserve">, en lo subsecuente </w:t>
      </w:r>
      <w:r>
        <w:rPr>
          <w:rFonts w:ascii="Palatino Linotype" w:hAnsi="Palatino Linotype"/>
          <w:b/>
        </w:rPr>
        <w:t>EL SUJETO OBLIGA</w:t>
      </w:r>
      <w:r>
        <w:rPr>
          <w:rFonts w:ascii="Palatino Linotype" w:hAnsi="Palatino Linotype"/>
          <w:b/>
        </w:rPr>
        <w:t>DO</w:t>
      </w:r>
      <w:r>
        <w:rPr>
          <w:rFonts w:ascii="Palatino Linotype" w:hAnsi="Palatino Linotype"/>
        </w:rPr>
        <w:t xml:space="preserve">, se procede a dictar la presente resolución con base en lo siguiente: </w:t>
      </w:r>
    </w:p>
    <w:p w:rsidR="00DF3CA6" w:rsidRDefault="001414A8">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I.</w:t>
      </w:r>
      <w:r>
        <w:rPr>
          <w:rFonts w:ascii="Palatino Linotype" w:hAnsi="Palatino Linotype"/>
        </w:rPr>
        <w:t xml:space="preserve"> En fecha dieciséis de diciembre de dos mil diecinueve,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a</w:t>
      </w:r>
      <w:r>
        <w:rPr>
          <w:rFonts w:ascii="Palatino Linotype" w:hAnsi="Palatino Linotype"/>
        </w:rPr>
        <w:t xml:space="preserve">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01070/SF/IP/2019,</w:t>
      </w:r>
      <w:r>
        <w:rPr>
          <w:rFonts w:ascii="Palatino Linotype" w:hAnsi="Palatino Linotype"/>
        </w:rPr>
        <w:t xml:space="preserve"> mediante la cual requirió: </w:t>
      </w:r>
    </w:p>
    <w:p w:rsidR="00DF3CA6" w:rsidRDefault="001414A8">
      <w:pPr>
        <w:pStyle w:val="Prrafodelista"/>
        <w:ind w:left="851" w:right="899"/>
        <w:jc w:val="both"/>
        <w:rPr>
          <w:rFonts w:ascii="Palatino Linotype" w:hAnsi="Palatino Linotype"/>
          <w:i/>
          <w:sz w:val="22"/>
        </w:rPr>
      </w:pPr>
      <w:r>
        <w:rPr>
          <w:rFonts w:ascii="Palatino Linotype" w:hAnsi="Palatino Linotype"/>
          <w:i/>
          <w:sz w:val="22"/>
        </w:rPr>
        <w:t>“Solicito copia certificada de cada una de las estimaciones autorizadas y tramitadas para su pago, de los Co</w:t>
      </w:r>
      <w:r>
        <w:rPr>
          <w:rFonts w:ascii="Palatino Linotype" w:hAnsi="Palatino Linotype"/>
          <w:i/>
          <w:sz w:val="22"/>
        </w:rPr>
        <w:t>ntratos de Obra Pública a Precios Unitarios y Tiempo Determinado Números OP-13-0222 y OP-13-0223, así como de sus respectivas facturas, autorizaciones de pagos y estados de cuenta en donde se reflejan los pagos del total de las facturas y en su caso, las t</w:t>
      </w:r>
      <w:r>
        <w:rPr>
          <w:rFonts w:ascii="Palatino Linotype" w:hAnsi="Palatino Linotype"/>
          <w:i/>
          <w:sz w:val="22"/>
        </w:rPr>
        <w:t>ransferencias electrónicas.” (Sic)</w:t>
      </w:r>
    </w:p>
    <w:p w:rsidR="00DF3CA6" w:rsidRDefault="001414A8">
      <w:pPr>
        <w:pStyle w:val="Prrafodelista"/>
        <w:spacing w:beforeAutospacing="1" w:afterAutospacing="1" w:line="360" w:lineRule="auto"/>
        <w:ind w:left="0"/>
        <w:jc w:val="both"/>
        <w:rPr>
          <w:rFonts w:ascii="Palatino Linotype" w:hAnsi="Palatino Linotype" w:cs="Arial"/>
          <w:b/>
        </w:rPr>
      </w:pPr>
      <w:r>
        <w:rPr>
          <w:rFonts w:ascii="Palatino Linotype" w:hAnsi="Palatino Linotype" w:cs="Arial"/>
          <w:b/>
        </w:rPr>
        <w:t>Modalidad de entrega:</w:t>
      </w:r>
      <w:r>
        <w:rPr>
          <w:rFonts w:ascii="Palatino Linotype" w:hAnsi="Palatino Linotype" w:cs="Arial"/>
        </w:rPr>
        <w:t xml:space="preserve"> Copias Certificadas (Con Costo).</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II.</w:t>
      </w:r>
      <w:r>
        <w:rPr>
          <w:rFonts w:ascii="Palatino Linotype" w:hAnsi="Palatino Linotype" w:cs="Arial"/>
        </w:rPr>
        <w:t xml:space="preserve"> De las constancias que obran en el expediente electrónico del </w:t>
      </w:r>
      <w:r>
        <w:rPr>
          <w:rFonts w:ascii="Palatino Linotype" w:hAnsi="Palatino Linotype" w:cs="Arial"/>
          <w:b/>
        </w:rPr>
        <w:t>SAIMEX,</w:t>
      </w:r>
      <w:r>
        <w:rPr>
          <w:rFonts w:ascii="Palatino Linotype" w:hAnsi="Palatino Linotype" w:cs="Arial"/>
        </w:rPr>
        <w:t xml:space="preserve"> en fecha veintiuno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turnó la solicitud de información a la Servidora Pública </w:t>
      </w:r>
      <w:r>
        <w:rPr>
          <w:rFonts w:ascii="Palatino Linotype" w:hAnsi="Palatino Linotype" w:cs="Arial"/>
        </w:rPr>
        <w:lastRenderedPageBreak/>
        <w:t>Habilitada que estimó pertinente, a fin de colmar el derecho de acceso a la información de la particular; tal y como, se aprecia en la imagen siguiente:</w:t>
      </w:r>
    </w:p>
    <w:p w:rsidR="00DF3CA6" w:rsidRDefault="001414A8">
      <w:pPr>
        <w:pStyle w:val="Prrafodelista"/>
        <w:spacing w:beforeAutospacing="1" w:afterAutospacing="1" w:line="360" w:lineRule="auto"/>
        <w:ind w:left="0"/>
        <w:jc w:val="center"/>
        <w:rPr>
          <w:rFonts w:ascii="Palatino Linotype" w:hAnsi="Palatino Linotype" w:cs="Arial"/>
        </w:rPr>
      </w:pPr>
      <w:r>
        <w:rPr>
          <w:noProof/>
          <w:lang w:eastAsia="es-MX"/>
        </w:rPr>
        <w:drawing>
          <wp:inline distT="0" distB="0" distL="0" distR="0">
            <wp:extent cx="5657850" cy="628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3783" t="31590" r="1661" b="58145"/>
                    <a:stretch>
                      <a:fillRect/>
                    </a:stretch>
                  </pic:blipFill>
                  <pic:spPr bwMode="auto">
                    <a:xfrm>
                      <a:off x="0" y="0"/>
                      <a:ext cx="5657850" cy="628650"/>
                    </a:xfrm>
                    <a:prstGeom prst="rect">
                      <a:avLst/>
                    </a:prstGeom>
                  </pic:spPr>
                </pic:pic>
              </a:graphicData>
            </a:graphic>
          </wp:inline>
        </w:drawing>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III</w:t>
      </w:r>
      <w:r>
        <w:rPr>
          <w:rFonts w:ascii="Palatino Linotype" w:hAnsi="Palatino Linotype" w:cs="Arial"/>
        </w:rPr>
        <w:t xml:space="preserve">. En fecha veintidós de </w:t>
      </w:r>
      <w:r>
        <w:rPr>
          <w:rFonts w:ascii="Palatino Linotype" w:hAnsi="Palatino Linotype" w:cs="Arial"/>
        </w:rPr>
        <w:t xml:space="preserve">enero de dos mil veinte, </w:t>
      </w:r>
      <w:r>
        <w:rPr>
          <w:rFonts w:ascii="Palatino Linotype" w:hAnsi="Palatino Linotype" w:cs="Arial"/>
          <w:b/>
        </w:rPr>
        <w:t>EL SUJETO OBLIGADO</w:t>
      </w:r>
      <w:r>
        <w:rPr>
          <w:rFonts w:ascii="Palatino Linotype" w:hAnsi="Palatino Linotype" w:cs="Arial"/>
        </w:rPr>
        <w:t xml:space="preserve"> dio respuesta a la solicitud de acceso a la información pública requerida por </w:t>
      </w:r>
      <w:r>
        <w:rPr>
          <w:rFonts w:ascii="Palatino Linotype" w:hAnsi="Palatino Linotype" w:cs="Arial"/>
          <w:b/>
        </w:rPr>
        <w:t>EL RECURRENTE</w:t>
      </w:r>
      <w:r>
        <w:rPr>
          <w:rFonts w:ascii="Palatino Linotype" w:hAnsi="Palatino Linotype" w:cs="Arial"/>
        </w:rPr>
        <w:t>, en los términos siguientes:</w:t>
      </w:r>
    </w:p>
    <w:p w:rsidR="00DF3CA6" w:rsidRDefault="001414A8">
      <w:pPr>
        <w:pStyle w:val="Prrafodelista"/>
        <w:ind w:left="851" w:right="899"/>
        <w:jc w:val="both"/>
        <w:rPr>
          <w:rFonts w:ascii="Palatino Linotype" w:hAnsi="Palatino Linotype"/>
          <w:i/>
          <w:sz w:val="22"/>
        </w:rPr>
      </w:pPr>
      <w:r>
        <w:rPr>
          <w:rFonts w:ascii="Palatino Linotype" w:hAnsi="Palatino Linotype"/>
          <w:i/>
          <w:sz w:val="22"/>
        </w:rPr>
        <w:t>“Sobre el particular, sírvase encontrar en archivo adjunto copia del oficio de notificación</w:t>
      </w:r>
      <w:r>
        <w:rPr>
          <w:rFonts w:ascii="Palatino Linotype" w:hAnsi="Palatino Linotype"/>
          <w:i/>
          <w:sz w:val="22"/>
        </w:rPr>
        <w:t xml:space="preserve"> número 20700004S/UT-280/2020 mediante el cual se detalla lo referente a su solicitud.” (Sic)</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t xml:space="preserve">Adjuntando a su respuesta dos archivos electrónicos denominados </w:t>
      </w:r>
      <w:hyperlink r:id="rId9" w:tgtFrame="_blank">
        <w:r>
          <w:rPr>
            <w:rFonts w:ascii="Palatino Linotype" w:hAnsi="Palatino Linotype"/>
          </w:rPr>
          <w:t>01070 Dirección General de Inversión.pdf</w:t>
        </w:r>
      </w:hyperlink>
      <w:r>
        <w:rPr>
          <w:rFonts w:ascii="Palatino Linotype" w:hAnsi="Palatino Linotype" w:cs="Arial"/>
        </w:rPr>
        <w:t xml:space="preserve"> y </w:t>
      </w:r>
      <w:hyperlink r:id="rId10" w:tgtFrame="_blank">
        <w:r>
          <w:rPr>
            <w:rFonts w:ascii="Palatino Linotype" w:hAnsi="Palatino Linotype"/>
          </w:rPr>
          <w:t>UIPPE 01070.pdf</w:t>
        </w:r>
      </w:hyperlink>
      <w:r>
        <w:rPr>
          <w:rFonts w:ascii="Palatino Linotype" w:hAnsi="Palatino Linotype" w:cs="Arial"/>
        </w:rPr>
        <w:t>, mediante los cuales hizo llegar su respuesta, refiriendo que tras una búsqueda exhaustiva en</w:t>
      </w:r>
      <w:r>
        <w:rPr>
          <w:rFonts w:ascii="Palatino Linotype" w:hAnsi="Palatino Linotype" w:cs="Arial"/>
        </w:rPr>
        <w:t xml:space="preserve"> los archivos de la Dirección General de Inversión, no se había logrado localizar ningún dato sobre la información solicitada.</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IV</w:t>
      </w:r>
      <w:r>
        <w:rPr>
          <w:rFonts w:ascii="Palatino Linotype" w:hAnsi="Palatino Linotype" w:cs="Arial"/>
        </w:rPr>
        <w:t xml:space="preserve">. </w:t>
      </w: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seis de febrero de dos mil veinte, </w:t>
      </w:r>
      <w:r>
        <w:rPr>
          <w:rFonts w:ascii="Palatino Linotype" w:hAnsi="Palatino Linotype"/>
          <w:b/>
        </w:rPr>
        <w:t>EL RECURRENTE</w:t>
      </w:r>
      <w:r>
        <w:rPr>
          <w:rFonts w:ascii="Palatino Linotype" w:hAnsi="Palatino Linotype"/>
        </w:rPr>
        <w:t xml:space="preserve"> interpuso el recurso de </w:t>
      </w:r>
      <w:r>
        <w:rPr>
          <w:rFonts w:ascii="Palatino Linotype" w:hAnsi="Palatino Linotype"/>
        </w:rPr>
        <w:t xml:space="preserve">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00892/INFOEM/IP/RR/2020</w:t>
      </w:r>
      <w:r>
        <w:rPr>
          <w:rFonts w:ascii="Palatino Linotype" w:hAnsi="Palatino Linotype" w:cs="Arial"/>
        </w:rPr>
        <w:t>, en el que señaló como acto impugnado lo siguiente:</w:t>
      </w:r>
    </w:p>
    <w:p w:rsidR="00DF3CA6" w:rsidRDefault="001414A8">
      <w:pPr>
        <w:pStyle w:val="Prrafodelista"/>
        <w:ind w:left="851" w:right="899"/>
        <w:jc w:val="both"/>
        <w:rPr>
          <w:rFonts w:ascii="Palatino Linotype" w:hAnsi="Palatino Linotype"/>
          <w:i/>
          <w:color w:val="000000"/>
          <w:sz w:val="22"/>
        </w:rPr>
      </w:pPr>
      <w:r>
        <w:rPr>
          <w:rFonts w:ascii="Palatino Linotype" w:hAnsi="Palatino Linotype"/>
          <w:i/>
          <w:color w:val="000000"/>
          <w:sz w:val="22"/>
        </w:rPr>
        <w:t>“Respuesta otorgada a la Solicitud No. 1070/SF/IP/2019.” (Sic)</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t>Asim</w:t>
      </w:r>
      <w:r>
        <w:rPr>
          <w:rFonts w:ascii="Palatino Linotype" w:hAnsi="Palatino Linotype" w:cs="Arial"/>
        </w:rPr>
        <w:t xml:space="preserve">ismo, como razones o motivos de inconformidad: </w:t>
      </w:r>
    </w:p>
    <w:p w:rsidR="00DF3CA6" w:rsidRDefault="001414A8">
      <w:pPr>
        <w:pStyle w:val="Prrafodelista"/>
        <w:ind w:left="851" w:right="899"/>
        <w:jc w:val="both"/>
        <w:rPr>
          <w:rFonts w:ascii="Palatino Linotype" w:hAnsi="Palatino Linotype"/>
          <w:i/>
          <w:color w:val="000000"/>
          <w:sz w:val="22"/>
        </w:rPr>
      </w:pPr>
      <w:r>
        <w:rPr>
          <w:rFonts w:ascii="Palatino Linotype" w:hAnsi="Palatino Linotype"/>
          <w:i/>
          <w:color w:val="000000"/>
          <w:sz w:val="22"/>
        </w:rPr>
        <w:lastRenderedPageBreak/>
        <w:t>“Se anexan en archivo adjunto.” (Sic)</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t>Adjuntando a dicho formato los archivos electrónicos que a continuación se describen:</w:t>
      </w:r>
    </w:p>
    <w:p w:rsidR="00DF3CA6" w:rsidRDefault="001414A8">
      <w:pPr>
        <w:pStyle w:val="Prrafodelista"/>
        <w:numPr>
          <w:ilvl w:val="0"/>
          <w:numId w:val="1"/>
        </w:numPr>
        <w:spacing w:beforeAutospacing="1" w:line="360" w:lineRule="auto"/>
        <w:ind w:left="851" w:firstLine="0"/>
        <w:jc w:val="both"/>
        <w:rPr>
          <w:rFonts w:ascii="Palatino Linotype" w:hAnsi="Palatino Linotype" w:cs="Arial"/>
        </w:rPr>
      </w:pPr>
      <w:hyperlink r:id="rId11" w:tgtFrame="_blank">
        <w:r>
          <w:rPr>
            <w:rFonts w:ascii="Palatino Linotype" w:hAnsi="Palatino Linotype" w:cs="Arial"/>
          </w:rPr>
          <w:t>2328d98fc444fb753d06e9a64f704f29 (3).</w:t>
        </w:r>
        <w:proofErr w:type="spellStart"/>
        <w:r>
          <w:rPr>
            <w:rFonts w:ascii="Palatino Linotype" w:hAnsi="Palatino Linotype" w:cs="Arial"/>
          </w:rPr>
          <w:t>pdf</w:t>
        </w:r>
        <w:proofErr w:type="spellEnd"/>
      </w:hyperlink>
      <w:r>
        <w:rPr>
          <w:rFonts w:ascii="Palatino Linotype" w:hAnsi="Palatino Linotype" w:cs="Arial"/>
        </w:rPr>
        <w:t>: listado en hoja membretada del Gobierno del Estado correspondiente a obras realizadas en el mes de abril de 2016.</w:t>
      </w:r>
    </w:p>
    <w:p w:rsidR="00DF3CA6" w:rsidRDefault="001414A8">
      <w:pPr>
        <w:pStyle w:val="Prrafodelista"/>
        <w:numPr>
          <w:ilvl w:val="0"/>
          <w:numId w:val="1"/>
        </w:numPr>
        <w:spacing w:line="360" w:lineRule="auto"/>
        <w:ind w:left="851" w:firstLine="0"/>
        <w:jc w:val="both"/>
        <w:rPr>
          <w:rFonts w:ascii="Palatino Linotype" w:hAnsi="Palatino Linotype" w:cs="Arial"/>
        </w:rPr>
      </w:pPr>
      <w:hyperlink r:id="rId12" w:tgtFrame="_blank">
        <w:r>
          <w:rPr>
            <w:rFonts w:ascii="Palatino Linotype" w:hAnsi="Palatino Linotype" w:cs="Arial"/>
          </w:rPr>
          <w:t>Oficio 20704000020000S-026-2020.pdf</w:t>
        </w:r>
      </w:hyperlink>
      <w:r>
        <w:rPr>
          <w:rFonts w:ascii="Palatino Linotype" w:hAnsi="Palatino Linotype" w:cs="Arial"/>
        </w:rPr>
        <w:t>: oficio signado por el Director General de Inversión remitido en respuesta.</w:t>
      </w:r>
    </w:p>
    <w:p w:rsidR="00DF3CA6" w:rsidRDefault="001414A8">
      <w:pPr>
        <w:pStyle w:val="Prrafodelista"/>
        <w:numPr>
          <w:ilvl w:val="0"/>
          <w:numId w:val="1"/>
        </w:numPr>
        <w:spacing w:line="360" w:lineRule="auto"/>
        <w:ind w:left="851" w:firstLine="0"/>
        <w:jc w:val="both"/>
        <w:rPr>
          <w:rFonts w:ascii="Palatino Linotype" w:hAnsi="Palatino Linotype" w:cs="Arial"/>
        </w:rPr>
      </w:pPr>
      <w:hyperlink r:id="rId13" w:tgtFrame="_blank">
        <w:r>
          <w:rPr>
            <w:rFonts w:ascii="Palatino Linotype" w:hAnsi="Palatino Linotype" w:cs="Arial"/>
          </w:rPr>
          <w:t>Oficio 20704003L-1581-2019.pdf</w:t>
        </w:r>
      </w:hyperlink>
      <w:r>
        <w:rPr>
          <w:rFonts w:ascii="Palatino Linotype" w:hAnsi="Palatino Linotype" w:cs="Arial"/>
        </w:rPr>
        <w:t xml:space="preserve">: Oficio signado por la Directora General mediante el cual se da respuesta a una solicitud de información similar pero diversa a la que dio origen al presente recurso de </w:t>
      </w:r>
      <w:r>
        <w:rPr>
          <w:rFonts w:ascii="Palatino Linotype" w:hAnsi="Palatino Linotype" w:cs="Arial"/>
        </w:rPr>
        <w:t>revisión.</w:t>
      </w:r>
    </w:p>
    <w:p w:rsidR="00DF3CA6" w:rsidRDefault="001414A8">
      <w:pPr>
        <w:pStyle w:val="Prrafodelista"/>
        <w:numPr>
          <w:ilvl w:val="0"/>
          <w:numId w:val="1"/>
        </w:numPr>
        <w:spacing w:line="360" w:lineRule="auto"/>
        <w:ind w:left="851" w:firstLine="0"/>
        <w:jc w:val="both"/>
        <w:rPr>
          <w:rFonts w:ascii="Palatino Linotype" w:hAnsi="Palatino Linotype" w:cs="Arial"/>
        </w:rPr>
      </w:pPr>
      <w:hyperlink r:id="rId14" w:tgtFrame="_blank">
        <w:r>
          <w:rPr>
            <w:rFonts w:ascii="Palatino Linotype" w:hAnsi="Palatino Linotype" w:cs="Arial"/>
          </w:rPr>
          <w:t>a0dc95aa6ece2866b77200562028aa5f (3).</w:t>
        </w:r>
        <w:proofErr w:type="spellStart"/>
        <w:r>
          <w:rPr>
            <w:rFonts w:ascii="Palatino Linotype" w:hAnsi="Palatino Linotype" w:cs="Arial"/>
          </w:rPr>
          <w:t>pdf</w:t>
        </w:r>
        <w:proofErr w:type="spellEnd"/>
      </w:hyperlink>
      <w:r>
        <w:rPr>
          <w:rFonts w:ascii="Palatino Linotype" w:hAnsi="Palatino Linotype" w:cs="Arial"/>
        </w:rPr>
        <w:t xml:space="preserve">: listado en hoja membretada del Gobierno del Estado correspondiente a obras realizadas en el mes de </w:t>
      </w:r>
      <w:r>
        <w:rPr>
          <w:rFonts w:ascii="Palatino Linotype" w:hAnsi="Palatino Linotype" w:cs="Arial"/>
        </w:rPr>
        <w:t>junio de 2015.</w:t>
      </w:r>
    </w:p>
    <w:p w:rsidR="00DF3CA6" w:rsidRDefault="001414A8">
      <w:pPr>
        <w:pStyle w:val="Prrafodelista"/>
        <w:numPr>
          <w:ilvl w:val="0"/>
          <w:numId w:val="1"/>
        </w:numPr>
        <w:spacing w:line="360" w:lineRule="auto"/>
        <w:ind w:left="851" w:firstLine="0"/>
        <w:jc w:val="both"/>
        <w:rPr>
          <w:rFonts w:ascii="Palatino Linotype" w:hAnsi="Palatino Linotype" w:cs="Arial"/>
        </w:rPr>
      </w:pPr>
      <w:hyperlink r:id="rId15" w:tgtFrame="_blank">
        <w:r>
          <w:rPr>
            <w:rFonts w:ascii="Palatino Linotype" w:hAnsi="Palatino Linotype" w:cs="Arial"/>
          </w:rPr>
          <w:t>1beab07b3298bc2f02e3f47b30b26e28 (7).</w:t>
        </w:r>
        <w:proofErr w:type="spellStart"/>
        <w:r>
          <w:rPr>
            <w:rFonts w:ascii="Palatino Linotype" w:hAnsi="Palatino Linotype" w:cs="Arial"/>
          </w:rPr>
          <w:t>pdf</w:t>
        </w:r>
        <w:proofErr w:type="spellEnd"/>
      </w:hyperlink>
      <w:r>
        <w:rPr>
          <w:rFonts w:ascii="Palatino Linotype" w:hAnsi="Palatino Linotype" w:cs="Arial"/>
        </w:rPr>
        <w:t>: listado en hoja membretada del Gobierno del Estado correspondiente a obras realizadas en el mes de</w:t>
      </w:r>
      <w:r>
        <w:rPr>
          <w:rFonts w:ascii="Palatino Linotype" w:hAnsi="Palatino Linotype" w:cs="Arial"/>
        </w:rPr>
        <w:t xml:space="preserve"> diciembre de 2014.</w:t>
      </w:r>
    </w:p>
    <w:p w:rsidR="00DF3CA6" w:rsidRDefault="001414A8">
      <w:pPr>
        <w:pStyle w:val="Prrafodelista"/>
        <w:numPr>
          <w:ilvl w:val="0"/>
          <w:numId w:val="1"/>
        </w:numPr>
        <w:spacing w:afterAutospacing="1" w:line="360" w:lineRule="auto"/>
        <w:ind w:left="851" w:firstLine="0"/>
        <w:jc w:val="both"/>
        <w:rPr>
          <w:rFonts w:ascii="Palatino Linotype" w:hAnsi="Palatino Linotype" w:cs="Arial"/>
        </w:rPr>
      </w:pPr>
      <w:hyperlink r:id="rId16" w:tgtFrame="_blank">
        <w:r>
          <w:rPr>
            <w:rFonts w:ascii="Palatino Linotype" w:hAnsi="Palatino Linotype" w:cs="Arial"/>
          </w:rPr>
          <w:t>RR 06022020.docx</w:t>
        </w:r>
      </w:hyperlink>
      <w:r>
        <w:rPr>
          <w:rFonts w:ascii="Palatino Linotype" w:hAnsi="Palatino Linotype" w:cs="Arial"/>
        </w:rPr>
        <w:t xml:space="preserve">: Escrito con las manifestaciones esgrimidas por </w:t>
      </w:r>
      <w:r>
        <w:rPr>
          <w:rFonts w:ascii="Palatino Linotype" w:hAnsi="Palatino Linotype" w:cs="Arial"/>
          <w:b/>
        </w:rPr>
        <w:t xml:space="preserve">EL RECURRENTE </w:t>
      </w:r>
      <w:r>
        <w:rPr>
          <w:rFonts w:ascii="Palatino Linotype" w:hAnsi="Palatino Linotype" w:cs="Arial"/>
        </w:rPr>
        <w:t xml:space="preserve">en relación a la respuesta otorgada por </w:t>
      </w:r>
      <w:r>
        <w:rPr>
          <w:rFonts w:ascii="Palatino Linotype" w:hAnsi="Palatino Linotype" w:cs="Arial"/>
          <w:b/>
        </w:rPr>
        <w:t>EL SUJETO OBLIGA</w:t>
      </w:r>
      <w:r>
        <w:rPr>
          <w:rFonts w:ascii="Palatino Linotype" w:hAnsi="Palatino Linotype" w:cs="Arial"/>
          <w:b/>
        </w:rPr>
        <w:t>DO.</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V.</w:t>
      </w:r>
      <w:r>
        <w:rPr>
          <w:rFonts w:ascii="Palatino Linotype" w:hAnsi="Palatino Linotype" w:cs="Arial"/>
        </w:rPr>
        <w:t xml:space="preserv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seis de febrero de dos mil veinte y con fundamento en el </w:t>
      </w:r>
      <w:r>
        <w:rPr>
          <w:rFonts w:ascii="Palatino Linotype" w:hAnsi="Palatino Linotype" w:cs="Arial"/>
        </w:rPr>
        <w:t xml:space="preserve">artículo </w:t>
      </w:r>
      <w:r>
        <w:rPr>
          <w:rFonts w:ascii="Palatino Linotype" w:hAnsi="Palatino Linotype" w:cs="Arial"/>
        </w:rPr>
        <w:lastRenderedPageBreak/>
        <w:t xml:space="preserve">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VI.</w:t>
      </w:r>
      <w:r>
        <w:rPr>
          <w:rFonts w:ascii="Palatino Linotype" w:hAnsi="Palatino Linotype"/>
        </w:rPr>
        <w:t xml:space="preserve"> </w:t>
      </w:r>
      <w:r>
        <w:rPr>
          <w:rFonts w:ascii="Palatino Linotype" w:hAnsi="Palatino Linotype" w:cs="Arial"/>
        </w:rPr>
        <w:t>En fecha do</w:t>
      </w:r>
      <w:r>
        <w:rPr>
          <w:rFonts w:ascii="Palatino Linotype" w:hAnsi="Palatino Linotype" w:cs="Arial"/>
        </w:rPr>
        <w:t xml:space="preserve">ce de febrero de dos mil veinte,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cordó la admisión a trámite del referido recurso de revisió</w:t>
      </w:r>
      <w:r>
        <w:rPr>
          <w:rFonts w:ascii="Palatino Linotype" w:hAnsi="Palatino Linotype" w:cs="Arial"/>
        </w:rPr>
        <w:t xml:space="preserve">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w:t>
      </w:r>
      <w:r>
        <w:rPr>
          <w:rFonts w:ascii="Palatino Linotype" w:hAnsi="Palatino Linotype" w:cs="Arial"/>
        </w:rPr>
        <w:t xml:space="preserve">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VII.</w:t>
      </w:r>
      <w:r>
        <w:rPr>
          <w:rFonts w:ascii="Palatino Linotype" w:hAnsi="Palatino Linotype" w:cs="Arial"/>
        </w:rPr>
        <w:t xml:space="preserve"> De las constancias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en fecha veinte de febrero de dos mil veinte, rindió el Informe Jus</w:t>
      </w:r>
      <w:r>
        <w:rPr>
          <w:rFonts w:ascii="Palatino Linotype" w:hAnsi="Palatino Linotype" w:cs="Arial"/>
        </w:rPr>
        <w:t xml:space="preserve">tificado correspondiente, mismo que al actualizar el supuesto previsto en la fracción III del artículo 185 de la Ley de la materia, fue puesto a disposición del solicitante; motivo por el cual se omite su inserción en el presente apartado. </w:t>
      </w:r>
    </w:p>
    <w:p w:rsidR="00DF3CA6" w:rsidRDefault="001414A8">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t xml:space="preserve">Por su parte, </w:t>
      </w:r>
      <w:r>
        <w:rPr>
          <w:rFonts w:ascii="Palatino Linotype" w:hAnsi="Palatino Linotype" w:cs="Arial"/>
          <w:b/>
        </w:rPr>
        <w:t>E</w:t>
      </w:r>
      <w:r>
        <w:rPr>
          <w:rFonts w:ascii="Palatino Linotype" w:hAnsi="Palatino Linotype" w:cs="Arial"/>
          <w:b/>
        </w:rPr>
        <w:t xml:space="preserve">L RECURRENTE </w:t>
      </w:r>
      <w:r>
        <w:rPr>
          <w:rFonts w:ascii="Palatino Linotype" w:hAnsi="Palatino Linotype" w:cs="Arial"/>
        </w:rPr>
        <w:t xml:space="preserve">fue omiso en rendir las manifestaciones que a su derecho convinieran. </w:t>
      </w:r>
    </w:p>
    <w:p w:rsidR="00DF3CA6" w:rsidRDefault="001414A8">
      <w:pPr>
        <w:pStyle w:val="Prrafodelista"/>
        <w:spacing w:beforeAutospacing="1" w:afterAutospacing="1" w:line="360" w:lineRule="auto"/>
        <w:ind w:left="0"/>
        <w:jc w:val="both"/>
        <w:rPr>
          <w:rFonts w:ascii="Palatino Linotype" w:hAnsi="Palatino Linotype"/>
        </w:rPr>
      </w:pPr>
      <w:r>
        <w:rPr>
          <w:rFonts w:ascii="Palatino Linotype" w:hAnsi="Palatino Linotype" w:cs="Arial"/>
          <w:b/>
          <w:sz w:val="28"/>
          <w:szCs w:val="28"/>
        </w:rPr>
        <w:t>VIII.</w:t>
      </w:r>
      <w:r>
        <w:rPr>
          <w:rFonts w:ascii="Palatino Linotype" w:hAnsi="Palatino Linotype" w:cs="Arial"/>
        </w:rPr>
        <w:t xml:space="preserve"> Transcurrido el plazo señalado en el párrafo anterior y, una vez analizado el estado procesal que guardaba el expediente, en fecha tres de marzo de dos mil veinte, la</w:t>
      </w:r>
      <w:r>
        <w:rPr>
          <w:rFonts w:ascii="Palatino Linotype" w:hAnsi="Palatino Linotype" w:cs="Arial"/>
        </w:rPr>
        <w:t xml:space="preserve"> Comisionada Ponente acordó el cierre de instrucción, así como la remisión del mismo </w:t>
      </w:r>
      <w:r>
        <w:rPr>
          <w:rFonts w:ascii="Palatino Linotype" w:hAnsi="Palatino Linotype" w:cs="Arial"/>
        </w:rPr>
        <w:lastRenderedPageBreak/>
        <w:t>a efecto de ser resuelto, de conformidad con lo establecido en el artículo 185, fracciones VI y VIII de la Ley de Transparencia y Acceso a la Información Pública del Estad</w:t>
      </w:r>
      <w:r>
        <w:rPr>
          <w:rFonts w:ascii="Palatino Linotype" w:hAnsi="Palatino Linotype" w:cs="Arial"/>
        </w:rPr>
        <w:t>o de México y Municipios</w:t>
      </w:r>
      <w:r>
        <w:rPr>
          <w:rFonts w:ascii="Palatino Linotype" w:hAnsi="Palatino Linotype"/>
        </w:rPr>
        <w:t>.</w:t>
      </w:r>
    </w:p>
    <w:p w:rsidR="00DF3CA6" w:rsidRDefault="001414A8">
      <w:pPr>
        <w:pStyle w:val="Prrafodelista"/>
        <w:spacing w:beforeAutospacing="1" w:afterAutospacing="1" w:line="360" w:lineRule="auto"/>
        <w:ind w:left="0"/>
        <w:jc w:val="both"/>
        <w:rPr>
          <w:rFonts w:ascii="Palatino Linotype" w:hAnsi="Palatino Linotype"/>
        </w:rPr>
      </w:pPr>
      <w:r>
        <w:rPr>
          <w:rFonts w:ascii="Palatino Linotype" w:hAnsi="Palatino Linotype"/>
          <w:b/>
          <w:sz w:val="28"/>
          <w:szCs w:val="28"/>
        </w:rPr>
        <w:t>IX</w:t>
      </w:r>
      <w:r>
        <w:rPr>
          <w:rFonts w:ascii="Palatino Linotype" w:hAnsi="Palatino Linotype"/>
        </w:rPr>
        <w:t xml:space="preserve">. En fecha uno de abril de dos mil veinte, </w:t>
      </w:r>
      <w:r>
        <w:rPr>
          <w:rFonts w:ascii="Palatino Linotype" w:hAnsi="Palatino Linotype"/>
          <w:b/>
        </w:rPr>
        <w:t xml:space="preserve">EL SUJETO OBLIGADO </w:t>
      </w:r>
      <w:r>
        <w:rPr>
          <w:rFonts w:ascii="Palatino Linotype" w:hAnsi="Palatino Linotype"/>
        </w:rPr>
        <w:t>mediante correo electrónico institucional hizo llegar a esta Ponencia Resolutora un alcance al Informe Justificado; mismo que se inserta a continuación:</w:t>
      </w:r>
    </w:p>
    <w:p w:rsidR="00DF3CA6" w:rsidRDefault="001414A8">
      <w:pPr>
        <w:pStyle w:val="Prrafodelista"/>
        <w:spacing w:beforeAutospacing="1" w:afterAutospacing="1" w:line="360" w:lineRule="auto"/>
        <w:ind w:left="0"/>
        <w:jc w:val="center"/>
        <w:rPr>
          <w:rFonts w:ascii="Palatino Linotype" w:hAnsi="Palatino Linotype"/>
        </w:rPr>
      </w:pPr>
      <w:r>
        <w:rPr>
          <w:noProof/>
          <w:lang w:eastAsia="es-MX"/>
        </w:rPr>
        <w:drawing>
          <wp:inline distT="0" distB="0" distL="0" distR="0">
            <wp:extent cx="4494530" cy="4200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7"/>
                    <a:srcRect l="19732" t="12717" r="17447" b="9001"/>
                    <a:stretch>
                      <a:fillRect/>
                    </a:stretch>
                  </pic:blipFill>
                  <pic:spPr bwMode="auto">
                    <a:xfrm>
                      <a:off x="0" y="0"/>
                      <a:ext cx="4494530" cy="4200525"/>
                    </a:xfrm>
                    <a:prstGeom prst="rect">
                      <a:avLst/>
                    </a:prstGeom>
                  </pic:spPr>
                </pic:pic>
              </a:graphicData>
            </a:graphic>
          </wp:inline>
        </w:drawing>
      </w:r>
    </w:p>
    <w:p w:rsidR="00DF3CA6" w:rsidRDefault="001414A8">
      <w:pPr>
        <w:pStyle w:val="Prrafodelista"/>
        <w:spacing w:beforeAutospacing="1" w:afterAutospacing="1" w:line="360" w:lineRule="auto"/>
        <w:ind w:left="0"/>
        <w:jc w:val="center"/>
        <w:rPr>
          <w:rFonts w:ascii="Palatino Linotype" w:hAnsi="Palatino Linotype"/>
        </w:rPr>
      </w:pPr>
      <w:r>
        <w:rPr>
          <w:noProof/>
          <w:lang w:eastAsia="es-MX"/>
        </w:rPr>
        <w:lastRenderedPageBreak/>
        <w:drawing>
          <wp:inline distT="0" distB="0" distL="0" distR="0">
            <wp:extent cx="4710430" cy="2028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8"/>
                    <a:srcRect l="24837" t="39695" r="19426" b="28297"/>
                    <a:stretch>
                      <a:fillRect/>
                    </a:stretch>
                  </pic:blipFill>
                  <pic:spPr bwMode="auto">
                    <a:xfrm>
                      <a:off x="0" y="0"/>
                      <a:ext cx="4710430" cy="2028825"/>
                    </a:xfrm>
                    <a:prstGeom prst="rect">
                      <a:avLst/>
                    </a:prstGeom>
                  </pic:spPr>
                </pic:pic>
              </a:graphicData>
            </a:graphic>
          </wp:inline>
        </w:drawing>
      </w:r>
    </w:p>
    <w:p w:rsidR="00DF3CA6" w:rsidRDefault="001414A8">
      <w:pPr>
        <w:pStyle w:val="Prrafodelista"/>
        <w:spacing w:beforeAutospacing="1" w:afterAutospacing="1" w:line="360" w:lineRule="auto"/>
        <w:ind w:left="0"/>
        <w:jc w:val="center"/>
        <w:rPr>
          <w:rFonts w:ascii="Palatino Linotype" w:hAnsi="Palatino Linotype"/>
        </w:rPr>
      </w:pPr>
      <w:r>
        <w:rPr>
          <w:noProof/>
          <w:lang w:eastAsia="es-MX"/>
        </w:rPr>
        <w:drawing>
          <wp:inline distT="0" distB="0" distL="0" distR="0">
            <wp:extent cx="4925695" cy="508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9"/>
                    <a:srcRect l="24010" t="11624" r="20419" b="11855"/>
                    <a:stretch>
                      <a:fillRect/>
                    </a:stretch>
                  </pic:blipFill>
                  <pic:spPr bwMode="auto">
                    <a:xfrm>
                      <a:off x="0" y="0"/>
                      <a:ext cx="4925695" cy="5086350"/>
                    </a:xfrm>
                    <a:prstGeom prst="rect">
                      <a:avLst/>
                    </a:prstGeom>
                  </pic:spPr>
                </pic:pic>
              </a:graphicData>
            </a:graphic>
          </wp:inline>
        </w:drawing>
      </w:r>
    </w:p>
    <w:p w:rsidR="00DF3CA6" w:rsidRDefault="00156CA7">
      <w:pPr>
        <w:pStyle w:val="Prrafodelista"/>
        <w:spacing w:beforeAutospacing="1" w:afterAutospacing="1" w:line="360" w:lineRule="auto"/>
        <w:ind w:left="0"/>
        <w:jc w:val="center"/>
        <w:rPr>
          <w:rFonts w:ascii="Palatino Linotype" w:hAnsi="Palatino Linotype"/>
        </w:rPr>
      </w:pPr>
      <w:r>
        <w:rPr>
          <w:noProof/>
          <w:lang w:eastAsia="es-MX"/>
        </w:rPr>
        <w:lastRenderedPageBreak/>
        <mc:AlternateContent>
          <mc:Choice Requires="wps">
            <w:drawing>
              <wp:anchor distT="0" distB="0" distL="0" distR="0" simplePos="0" relativeHeight="40" behindDoc="0" locked="0" layoutInCell="1" allowOverlap="1" wp14:anchorId="1235BE0E">
                <wp:simplePos x="0" y="0"/>
                <wp:positionH relativeFrom="column">
                  <wp:posOffset>-26035</wp:posOffset>
                </wp:positionH>
                <wp:positionV relativeFrom="paragraph">
                  <wp:posOffset>1878965</wp:posOffset>
                </wp:positionV>
                <wp:extent cx="5945505" cy="5450205"/>
                <wp:effectExtent l="0" t="0" r="36195" b="36195"/>
                <wp:wrapNone/>
                <wp:docPr id="5" name="Conector recto 9"/>
                <wp:cNvGraphicFramePr/>
                <a:graphic xmlns:a="http://schemas.openxmlformats.org/drawingml/2006/main">
                  <a:graphicData uri="http://schemas.microsoft.com/office/word/2010/wordprocessingShape">
                    <wps:wsp>
                      <wps:cNvCnPr/>
                      <wps:spPr>
                        <a:xfrm>
                          <a:off x="0" y="0"/>
                          <a:ext cx="5945505" cy="5450205"/>
                        </a:xfrm>
                        <a:prstGeom prst="line">
                          <a:avLst/>
                        </a:prstGeom>
                        <a:ln w="28440">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BC2BDA2" id="Conector recto 9" o:spid="_x0000_s1026" style="position:absolute;z-index:40;visibility:visible;mso-wrap-style:square;mso-wrap-distance-left:0;mso-wrap-distance-top:0;mso-wrap-distance-right:0;mso-wrap-distance-bottom:0;mso-position-horizontal:absolute;mso-position-horizontal-relative:text;mso-position-vertical:absolute;mso-position-vertical-relative:text" from="-2.05pt,147.95pt" to="466.1pt,5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" strokecolor="#4a7ebb" strokeweight=".79mm"/>
            </w:pict>
          </mc:Fallback>
        </mc:AlternateContent>
      </w:r>
      <w:r w:rsidR="001414A8">
        <w:rPr>
          <w:noProof/>
          <w:lang w:eastAsia="es-MX"/>
        </w:rPr>
        <w:drawing>
          <wp:inline distT="0" distB="0" distL="0" distR="0">
            <wp:extent cx="5175885" cy="165735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20"/>
                    <a:srcRect l="24504" t="59001" r="16953" b="16024"/>
                    <a:stretch>
                      <a:fillRect/>
                    </a:stretch>
                  </pic:blipFill>
                  <pic:spPr bwMode="auto">
                    <a:xfrm>
                      <a:off x="0" y="0"/>
                      <a:ext cx="5175885" cy="1657350"/>
                    </a:xfrm>
                    <a:prstGeom prst="rect">
                      <a:avLst/>
                    </a:prstGeom>
                  </pic:spPr>
                </pic:pic>
              </a:graphicData>
            </a:graphic>
          </wp:inline>
        </w:drawing>
      </w:r>
    </w:p>
    <w:p w:rsidR="00DF3CA6" w:rsidRDefault="001414A8">
      <w:pPr>
        <w:pStyle w:val="Prrafodelista"/>
        <w:spacing w:beforeAutospacing="1" w:afterAutospacing="1" w:line="360" w:lineRule="auto"/>
        <w:ind w:left="0"/>
        <w:jc w:val="center"/>
        <w:rPr>
          <w:rFonts w:ascii="Palatino Linotype" w:hAnsi="Palatino Linotype"/>
        </w:rPr>
      </w:pPr>
      <w:r>
        <w:rPr>
          <w:noProof/>
          <w:lang w:eastAsia="es-MX"/>
        </w:rPr>
        <w:lastRenderedPageBreak/>
        <w:drawing>
          <wp:inline distT="0" distB="0" distL="0" distR="0">
            <wp:extent cx="5282565" cy="603885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21"/>
                    <a:srcRect l="22212" t="14469" r="20086" b="10320"/>
                    <a:stretch>
                      <a:fillRect/>
                    </a:stretch>
                  </pic:blipFill>
                  <pic:spPr bwMode="auto">
                    <a:xfrm>
                      <a:off x="0" y="0"/>
                      <a:ext cx="5282565" cy="6038850"/>
                    </a:xfrm>
                    <a:prstGeom prst="rect">
                      <a:avLst/>
                    </a:prstGeom>
                  </pic:spPr>
                </pic:pic>
              </a:graphicData>
            </a:graphic>
          </wp:inline>
        </w:drawing>
      </w:r>
    </w:p>
    <w:p w:rsidR="00DF3CA6" w:rsidRDefault="00156CA7">
      <w:pPr>
        <w:pStyle w:val="Prrafodelista"/>
        <w:spacing w:beforeAutospacing="1" w:afterAutospacing="1" w:line="360" w:lineRule="auto"/>
        <w:ind w:left="0"/>
        <w:jc w:val="center"/>
        <w:rPr>
          <w:rFonts w:ascii="Palatino Linotype" w:hAnsi="Palatino Linotype"/>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339090</wp:posOffset>
                </wp:positionH>
                <wp:positionV relativeFrom="paragraph">
                  <wp:posOffset>1317625</wp:posOffset>
                </wp:positionV>
                <wp:extent cx="5648325" cy="5876925"/>
                <wp:effectExtent l="38100" t="19050" r="66675" b="85725"/>
                <wp:wrapNone/>
                <wp:docPr id="14" name="Conector recto 14"/>
                <wp:cNvGraphicFramePr/>
                <a:graphic xmlns:a="http://schemas.openxmlformats.org/drawingml/2006/main">
                  <a:graphicData uri="http://schemas.microsoft.com/office/word/2010/wordprocessingShape">
                    <wps:wsp>
                      <wps:cNvCnPr/>
                      <wps:spPr>
                        <a:xfrm>
                          <a:off x="0" y="0"/>
                          <a:ext cx="5648325" cy="5876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F2C4C"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03.75pt" to="471.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" strokecolor="#4f81bd [3204]" strokeweight="2pt">
                <v:shadow on="t" color="black" opacity="24903f" origin=",.5" offset="0,.55556mm"/>
              </v:line>
            </w:pict>
          </mc:Fallback>
        </mc:AlternateContent>
      </w:r>
      <w:r w:rsidR="001414A8">
        <w:rPr>
          <w:noProof/>
          <w:lang w:eastAsia="es-MX"/>
        </w:rPr>
        <w:drawing>
          <wp:inline distT="0" distB="0" distL="0" distR="0">
            <wp:extent cx="5320030" cy="1200150"/>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22"/>
                    <a:srcRect l="24187" t="39035" r="19093" b="47160"/>
                    <a:stretch>
                      <a:fillRect/>
                    </a:stretch>
                  </pic:blipFill>
                  <pic:spPr bwMode="auto">
                    <a:xfrm>
                      <a:off x="0" y="0"/>
                      <a:ext cx="5320030" cy="1200150"/>
                    </a:xfrm>
                    <a:prstGeom prst="rect">
                      <a:avLst/>
                    </a:prstGeom>
                  </pic:spPr>
                </pic:pic>
              </a:graphicData>
            </a:graphic>
          </wp:inline>
        </w:drawing>
      </w:r>
    </w:p>
    <w:p w:rsidR="00DF3CA6" w:rsidRDefault="001414A8">
      <w:pPr>
        <w:pStyle w:val="Prrafodelista"/>
        <w:spacing w:beforeAutospacing="1" w:afterAutospacing="1" w:line="360" w:lineRule="auto"/>
        <w:ind w:left="0"/>
        <w:jc w:val="center"/>
        <w:rPr>
          <w:rFonts w:ascii="Palatino Linotype" w:hAnsi="Palatino Linotype"/>
        </w:rPr>
      </w:pPr>
      <w:r>
        <w:rPr>
          <w:noProof/>
          <w:lang w:eastAsia="es-MX"/>
        </w:rPr>
        <w:lastRenderedPageBreak/>
        <w:drawing>
          <wp:inline distT="0" distB="0" distL="0" distR="0">
            <wp:extent cx="5308600" cy="5981700"/>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23"/>
                    <a:srcRect l="23692" t="15128" r="20086" b="7908"/>
                    <a:stretch>
                      <a:fillRect/>
                    </a:stretch>
                  </pic:blipFill>
                  <pic:spPr bwMode="auto">
                    <a:xfrm>
                      <a:off x="0" y="0"/>
                      <a:ext cx="5308600" cy="5981700"/>
                    </a:xfrm>
                    <a:prstGeom prst="rect">
                      <a:avLst/>
                    </a:prstGeom>
                  </pic:spPr>
                </pic:pic>
              </a:graphicData>
            </a:graphic>
          </wp:inline>
        </w:drawing>
      </w:r>
    </w:p>
    <w:p w:rsidR="00DF3CA6" w:rsidRDefault="001414A8">
      <w:pPr>
        <w:pStyle w:val="Prrafodelista"/>
        <w:spacing w:beforeAutospacing="1" w:afterAutospacing="1" w:line="360" w:lineRule="auto"/>
        <w:ind w:left="0"/>
        <w:jc w:val="both"/>
        <w:rPr>
          <w:rFonts w:ascii="Palatino Linotype" w:hAnsi="Palatino Linotype"/>
        </w:rPr>
      </w:pPr>
      <w:r>
        <w:rPr>
          <w:rFonts w:ascii="Palatino Linotype" w:hAnsi="Palatino Linotype" w:cs="Arial"/>
          <w:b/>
          <w:sz w:val="28"/>
          <w:szCs w:val="28"/>
        </w:rPr>
        <w:t>IX.</w:t>
      </w:r>
      <w:r>
        <w:rPr>
          <w:rFonts w:ascii="Palatino Linotype" w:hAnsi="Palatino Linotype" w:cs="Arial"/>
        </w:rPr>
        <w:t xml:space="preserve"> </w:t>
      </w:r>
      <w:r>
        <w:rPr>
          <w:rFonts w:ascii="Palatino Linotype" w:hAnsi="Palatino Linotype"/>
        </w:rPr>
        <w:t>En fecha veinticuatro de abril de dos mil veinte, la Comisionada Ponente acordó ampliar el plazo para resolver el recurso de revisión de mérito, por un periodo de hasta quince días hábiles, de conformidad con el artículo 181, tercer párrafo de la Ley</w:t>
      </w:r>
      <w:r>
        <w:rPr>
          <w:rFonts w:ascii="Palatino Linotype" w:hAnsi="Palatino Linotype"/>
        </w:rPr>
        <w:t xml:space="preserve"> de </w:t>
      </w:r>
      <w:r>
        <w:rPr>
          <w:rFonts w:ascii="Palatino Linotype" w:hAnsi="Palatino Linotype"/>
        </w:rPr>
        <w:lastRenderedPageBreak/>
        <w:t>Transparencia y Acceso a la Información Pública del Estado de México y Municipios; y,</w:t>
      </w:r>
    </w:p>
    <w:p w:rsidR="00DF3CA6" w:rsidRDefault="001414A8">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DF3CA6" w:rsidRDefault="001414A8">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b/>
        </w:rPr>
        <w:t>. Competencia.</w:t>
      </w:r>
      <w:r>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w:t>
      </w:r>
      <w:r>
        <w:rPr>
          <w:rFonts w:ascii="Palatino Linotype" w:hAnsi="Palatino Linotype" w:cs="Arial"/>
        </w:rPr>
        <w:t>stitución Política de los Estados Unidos Mexicanos; el artículo 5, párrafos vigésimo segundo, vigésimo tercero y vigésimo cuarto, fracciones IV y V, de la Constitución Política del Estado Libre y Soberano de México; los artículos 2, fracción II, 13, 29, 36</w:t>
      </w:r>
      <w:r>
        <w:rPr>
          <w:rFonts w:ascii="Palatino Linotype" w:hAnsi="Palatino Linotype" w:cs="Arial"/>
        </w:rPr>
        <w:t>, fracciones I y II, 176, 178, 179, 181, párrafo tercero y 185, de la Ley de Transparencia y Acceso a la Información Pública del Estado de México y Municipios, y los artículos 9, fracciones I y XXIV y 11, del Reglamento Interior del Instituto de Transparen</w:t>
      </w:r>
      <w:r>
        <w:rPr>
          <w:rFonts w:ascii="Palatino Linotype" w:hAnsi="Palatino Linotype" w:cs="Arial"/>
        </w:rPr>
        <w:t>cia, Acceso a la Información Pública y Protección de Datos Personales del Estado de México y Municipios.</w:t>
      </w:r>
    </w:p>
    <w:p w:rsidR="00DF3CA6" w:rsidRDefault="001414A8">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SEGUNDO</w:t>
      </w:r>
      <w:r>
        <w:rPr>
          <w:rFonts w:ascii="Palatino Linotype" w:hAnsi="Palatino Linotype" w:cs="Arial"/>
          <w:b/>
        </w:rPr>
        <w:t>. 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rPr>
        <w:t>, quien es la misma perso</w:t>
      </w:r>
      <w:r>
        <w:rPr>
          <w:rFonts w:ascii="Palatino Linotype" w:hAnsi="Palatino Linotype" w:cs="Arial"/>
        </w:rPr>
        <w:t>na que formuló la solicitud de información pública al</w:t>
      </w:r>
      <w:r>
        <w:rPr>
          <w:rFonts w:ascii="Palatino Linotype" w:hAnsi="Palatino Linotype" w:cs="Arial"/>
          <w:b/>
        </w:rPr>
        <w:t xml:space="preserve"> SUJETO OBLIGADO</w:t>
      </w:r>
      <w:r>
        <w:rPr>
          <w:rFonts w:ascii="Palatino Linotype" w:hAnsi="Palatino Linotype" w:cs="Arial"/>
        </w:rPr>
        <w:t>.</w:t>
      </w:r>
    </w:p>
    <w:p w:rsidR="00DF3CA6" w:rsidRDefault="001414A8">
      <w:pPr>
        <w:widowControl w:val="0"/>
        <w:spacing w:beforeAutospacing="1" w:afterAutospacing="1" w:line="360" w:lineRule="auto"/>
        <w:jc w:val="both"/>
        <w:rPr>
          <w:rFonts w:ascii="Palatino Linotype" w:hAnsi="Palatino Linotype" w:cs="Arial"/>
        </w:rPr>
      </w:pPr>
      <w:r>
        <w:rPr>
          <w:rFonts w:ascii="Palatino Linotype" w:hAnsi="Palatino Linotype" w:cs="Arial"/>
          <w:b/>
          <w:sz w:val="28"/>
          <w:szCs w:val="28"/>
        </w:rPr>
        <w:t>TERCERO</w:t>
      </w:r>
      <w:r>
        <w:rPr>
          <w:rFonts w:ascii="Palatino Linotype" w:hAnsi="Palatino Linotype" w:cs="Arial"/>
          <w:b/>
        </w:rPr>
        <w:t xml:space="preserve">. Oportunidad. </w:t>
      </w:r>
      <w:r>
        <w:rPr>
          <w:rFonts w:ascii="Palatino Linotype" w:hAnsi="Palatino Linotype" w:cs="Arial"/>
        </w:rPr>
        <w:t xml:space="preserve">El recurso de revisión fue interpuesto dentro del plazo de quince días hábiles contados a partir del día siguiente a aquel en que </w:t>
      </w:r>
      <w:r>
        <w:rPr>
          <w:rFonts w:ascii="Palatino Linotype" w:hAnsi="Palatino Linotype" w:cs="Arial"/>
          <w:b/>
        </w:rPr>
        <w:t xml:space="preserve">EL RECURRENTE </w:t>
      </w:r>
      <w:r>
        <w:rPr>
          <w:rFonts w:ascii="Palatino Linotype" w:hAnsi="Palatino Linotype" w:cs="Arial"/>
        </w:rPr>
        <w:t>tuvo conocimiento d</w:t>
      </w:r>
      <w:r>
        <w:rPr>
          <w:rFonts w:ascii="Palatino Linotype" w:hAnsi="Palatino Linotype" w:cs="Arial"/>
        </w:rPr>
        <w:t xml:space="preserve">e la respuesta impugnada, tal y como lo prevé el artículo 178 de la Ley de Transparencia y Acceso a la Información Pública del Estado </w:t>
      </w:r>
      <w:r>
        <w:rPr>
          <w:rFonts w:ascii="Palatino Linotype" w:hAnsi="Palatino Linotype" w:cs="Arial"/>
        </w:rPr>
        <w:lastRenderedPageBreak/>
        <w:t>de México y Municipios, que establece:</w:t>
      </w:r>
    </w:p>
    <w:p w:rsidR="00DF3CA6" w:rsidRDefault="001414A8">
      <w:pPr>
        <w:ind w:left="851" w:right="902"/>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w:t>
      </w:r>
      <w:r>
        <w:rPr>
          <w:rFonts w:ascii="Palatino Linotype" w:hAnsi="Palatino Linotype" w:cs="Arial"/>
          <w:i/>
          <w:sz w:val="22"/>
        </w:rPr>
        <w:t>sentante, de manera directa o por medios electrónicos, recurso de revisión ante el Instituto o ante la Unidad de Transparencia que haya conocido de la solicitud dentro de los quince días hábiles, siguientes a la fecha de la notificación de la respuesta.</w:t>
      </w:r>
    </w:p>
    <w:p w:rsidR="00DF3CA6" w:rsidRDefault="001414A8">
      <w:pPr>
        <w:ind w:left="851" w:right="902"/>
        <w:jc w:val="both"/>
        <w:rPr>
          <w:rFonts w:ascii="Palatino Linotype" w:hAnsi="Palatino Linotype" w:cs="Arial"/>
          <w:i/>
          <w:sz w:val="22"/>
        </w:rPr>
      </w:pPr>
      <w:r>
        <w:rPr>
          <w:rFonts w:ascii="Palatino Linotype" w:hAnsi="Palatino Linotype" w:cs="Arial"/>
          <w:i/>
          <w:sz w:val="22"/>
        </w:rPr>
        <w:t xml:space="preserve">A </w:t>
      </w:r>
      <w:r>
        <w:rPr>
          <w:rFonts w:ascii="Palatino Linotype" w:hAnsi="Palatino Linotype" w:cs="Arial"/>
          <w:i/>
          <w:sz w:val="22"/>
        </w:rPr>
        <w:t>falta de respuesta del sujeto obligado, dentro de los plazos establecidos en esta Ley, a una solicitud de acceso a la información pública, el recurso podrá ser interpuesto en cualquier momento, acompañado con el documento que pruebe la fecha en que present</w:t>
      </w:r>
      <w:r>
        <w:rPr>
          <w:rFonts w:ascii="Palatino Linotype" w:hAnsi="Palatino Linotype" w:cs="Arial"/>
          <w:i/>
          <w:sz w:val="22"/>
        </w:rPr>
        <w:t>ó la solicitud.</w:t>
      </w:r>
    </w:p>
    <w:p w:rsidR="00DF3CA6" w:rsidRDefault="001414A8">
      <w:pPr>
        <w:ind w:left="851" w:right="902"/>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 (Sic)</w:t>
      </w:r>
    </w:p>
    <w:p w:rsidR="00DF3CA6" w:rsidRDefault="001414A8">
      <w:pPr>
        <w:pStyle w:val="Prrafodelista"/>
        <w:widowControl w:val="0"/>
        <w:tabs>
          <w:tab w:val="left" w:pos="1701"/>
          <w:tab w:val="left" w:pos="1843"/>
        </w:tabs>
        <w:spacing w:before="300" w:after="240" w:line="360" w:lineRule="auto"/>
        <w:ind w:left="0"/>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w:t>
      </w:r>
      <w:r>
        <w:rPr>
          <w:rFonts w:ascii="Palatino Linotype" w:hAnsi="Palatino Linotype" w:cs="Arial"/>
          <w:b/>
        </w:rPr>
        <w:t xml:space="preserve"> veintidós de enero de dos mil veinte;</w:t>
      </w:r>
      <w:r>
        <w:rPr>
          <w:rFonts w:ascii="Palatino Linotype" w:hAnsi="Palatino Linotype" w:cs="Arial"/>
        </w:rPr>
        <w:t xml:space="preserve"> 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w:t>
      </w:r>
      <w:r>
        <w:rPr>
          <w:rFonts w:ascii="Palatino Linotype" w:hAnsi="Palatino Linotype" w:cs="Arial"/>
        </w:rPr>
        <w:t xml:space="preserve">ó del </w:t>
      </w:r>
      <w:r>
        <w:rPr>
          <w:rFonts w:ascii="Palatino Linotype" w:hAnsi="Palatino Linotype" w:cs="Arial"/>
          <w:b/>
        </w:rPr>
        <w:t xml:space="preserve">veintitrés de enero al trece de febrero de dos mil veinte, </w:t>
      </w:r>
      <w:r>
        <w:rPr>
          <w:rFonts w:ascii="Palatino Linotype" w:hAnsi="Palatino Linotype" w:cs="Arial"/>
        </w:rPr>
        <w:t>sin contemplar en el cómputo los días veinticinco, veintiséis de enero, uno, dos, ocho y nueve de febrero de dos mil veinte; por corresponder a sábados y domingos, considerados como días inhá</w:t>
      </w:r>
      <w:r>
        <w:rPr>
          <w:rFonts w:ascii="Palatino Linotype" w:hAnsi="Palatino Linotype" w:cs="Arial"/>
        </w:rPr>
        <w:t xml:space="preserve">biles, en términos del artículo 3, fracción X de la </w:t>
      </w:r>
      <w:r>
        <w:rPr>
          <w:rFonts w:ascii="Palatino Linotype" w:hAnsi="Palatino Linotype"/>
        </w:rPr>
        <w:t xml:space="preserve">Ley de Transparencia y Acceso a la Información Pública del Estado de México y Municipios; </w:t>
      </w:r>
      <w:r>
        <w:rPr>
          <w:rFonts w:ascii="Palatino Linotype" w:hAnsi="Palatino Linotype" w:cs="Arial"/>
        </w:rPr>
        <w:t xml:space="preserve">así como, de conformidad con el Calendario Oficial en Materia de Transparencia, Acceso a la Información Pública y </w:t>
      </w:r>
      <w:r>
        <w:rPr>
          <w:rFonts w:ascii="Palatino Linotype" w:hAnsi="Palatino Linotype" w:cs="Arial"/>
        </w:rPr>
        <w:t>Protección de Datos Personales del Estado de México y Municipios, para el año dos mil veinte y enero dos mil veintiuno, publicado en el Periódico Oficial “Gaceta del Gobierno”, el diecinueve de diciembre de dos mil diecinueve.</w:t>
      </w:r>
    </w:p>
    <w:p w:rsidR="00DF3CA6" w:rsidRDefault="001414A8">
      <w:pPr>
        <w:pStyle w:val="Prrafodelista"/>
        <w:widowControl w:val="0"/>
        <w:tabs>
          <w:tab w:val="left" w:pos="1701"/>
          <w:tab w:val="left" w:pos="1843"/>
        </w:tabs>
        <w:spacing w:before="300" w:after="240" w:line="360" w:lineRule="auto"/>
        <w:ind w:left="0"/>
        <w:jc w:val="both"/>
        <w:rPr>
          <w:rFonts w:ascii="Palatino Linotype" w:hAnsi="Palatino Linotype" w:cs="Arial"/>
          <w:b/>
        </w:rPr>
      </w:pPr>
      <w:r>
        <w:rPr>
          <w:rFonts w:ascii="Palatino Linotype" w:hAnsi="Palatino Linotype" w:cs="Arial"/>
        </w:rPr>
        <w:t>En ese tenor, si el recurso d</w:t>
      </w:r>
      <w:r>
        <w:rPr>
          <w:rFonts w:ascii="Palatino Linotype" w:hAnsi="Palatino Linotype" w:cs="Arial"/>
        </w:rPr>
        <w:t>e revisión que nos ocupa, se interpuso el</w:t>
      </w:r>
      <w:r>
        <w:rPr>
          <w:rFonts w:ascii="Palatino Linotype" w:hAnsi="Palatino Linotype" w:cs="Arial"/>
          <w:b/>
        </w:rPr>
        <w:t xml:space="preserve"> seis de febrero </w:t>
      </w:r>
      <w:proofErr w:type="gramStart"/>
      <w:r>
        <w:rPr>
          <w:rFonts w:ascii="Palatino Linotype" w:hAnsi="Palatino Linotype" w:cs="Arial"/>
          <w:b/>
        </w:rPr>
        <w:t xml:space="preserve">de  </w:t>
      </w:r>
      <w:r>
        <w:rPr>
          <w:rFonts w:ascii="Palatino Linotype" w:hAnsi="Palatino Linotype" w:cs="Arial"/>
          <w:b/>
        </w:rPr>
        <w:lastRenderedPageBreak/>
        <w:t>dos</w:t>
      </w:r>
      <w:proofErr w:type="gramEnd"/>
      <w:r>
        <w:rPr>
          <w:rFonts w:ascii="Palatino Linotype" w:hAnsi="Palatino Linotype" w:cs="Arial"/>
          <w:b/>
        </w:rPr>
        <w:t xml:space="preserve"> mil veinte</w:t>
      </w:r>
      <w:r>
        <w:rPr>
          <w:rFonts w:ascii="Palatino Linotype" w:hAnsi="Palatino Linotype" w:cs="Arial"/>
        </w:rPr>
        <w:t>, éste se encuentra dentro de los márgenes temporales previstos en el precepto legal citado en el párrafo anterior y, por tanto, su interposición se considera oportuna.</w:t>
      </w:r>
    </w:p>
    <w:p w:rsidR="00DF3CA6" w:rsidRDefault="001414A8">
      <w:pPr>
        <w:widowControl w:val="0"/>
        <w:spacing w:beforeAutospacing="1" w:afterAutospacing="1" w:line="360" w:lineRule="auto"/>
        <w:jc w:val="both"/>
        <w:rPr>
          <w:rFonts w:ascii="Palatino Linotype" w:hAnsi="Palatino Linotype"/>
          <w:b/>
        </w:rPr>
      </w:pPr>
      <w:r>
        <w:rPr>
          <w:rFonts w:ascii="Palatino Linotype" w:hAnsi="Palatino Linotype" w:cs="Arial"/>
          <w:b/>
          <w:sz w:val="28"/>
          <w:szCs w:val="28"/>
        </w:rPr>
        <w:t>CUARTO</w:t>
      </w:r>
      <w:r>
        <w:rPr>
          <w:rFonts w:ascii="Palatino Linotype" w:hAnsi="Palatino Linotype" w:cs="Arial"/>
          <w:b/>
        </w:rPr>
        <w:t>. Pro</w:t>
      </w:r>
      <w:r>
        <w:rPr>
          <w:rFonts w:ascii="Palatino Linotype" w:hAnsi="Palatino Linotype" w:cs="Arial"/>
          <w:b/>
        </w:rPr>
        <w:t>cedibilidad.</w:t>
      </w:r>
      <w:r>
        <w:rPr>
          <w:rFonts w:ascii="Palatino Linotype" w:hAnsi="Palatino Linotype" w:cs="Arial"/>
        </w:rPr>
        <w:t xml:space="preserve"> Esta Ponencia considera importante abordar el análisis de los requisitos de </w:t>
      </w:r>
      <w:proofErr w:type="spellStart"/>
      <w:r>
        <w:rPr>
          <w:rFonts w:ascii="Palatino Linotype" w:hAnsi="Palatino Linotype" w:cs="Arial"/>
        </w:rPr>
        <w:t>procedibilidad</w:t>
      </w:r>
      <w:proofErr w:type="spellEnd"/>
      <w:r>
        <w:rPr>
          <w:rFonts w:ascii="Palatino Linotype" w:hAnsi="Palatino Linotype" w:cs="Arial"/>
        </w:rPr>
        <w:t xml:space="preserve"> del recurso de revisión, así que, el artículo 180 de la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rPr>
        <w:t>establ</w:t>
      </w:r>
      <w:r>
        <w:rPr>
          <w:rFonts w:ascii="Palatino Linotype" w:hAnsi="Palatino Linotype" w:cs="Arial"/>
        </w:rPr>
        <w:t>ece lo siguiente:</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Artículo 180. </w:t>
      </w:r>
      <w:r>
        <w:rPr>
          <w:rFonts w:ascii="Palatino Linotype" w:hAnsi="Palatino Linotype"/>
          <w:i/>
          <w:sz w:val="22"/>
          <w:szCs w:val="22"/>
        </w:rPr>
        <w:t xml:space="preserve">El </w:t>
      </w:r>
      <w:r>
        <w:rPr>
          <w:rFonts w:ascii="Palatino Linotype" w:hAnsi="Palatino Linotype" w:cs="Arial"/>
          <w:i/>
          <w:sz w:val="22"/>
          <w:szCs w:val="22"/>
        </w:rPr>
        <w:t>recurso</w:t>
      </w:r>
      <w:r>
        <w:rPr>
          <w:rFonts w:ascii="Palatino Linotype" w:hAnsi="Palatino Linotype"/>
          <w:i/>
          <w:sz w:val="22"/>
          <w:szCs w:val="22"/>
        </w:rPr>
        <w:t xml:space="preserve"> </w:t>
      </w:r>
      <w:r>
        <w:rPr>
          <w:rFonts w:ascii="Palatino Linotype" w:hAnsi="Palatino Linotype" w:cs="Arial"/>
          <w:i/>
          <w:color w:val="222222"/>
          <w:sz w:val="22"/>
          <w:szCs w:val="22"/>
          <w:lang w:eastAsia="es-MX"/>
        </w:rPr>
        <w:t>de</w:t>
      </w:r>
      <w:r>
        <w:rPr>
          <w:rFonts w:ascii="Palatino Linotype" w:hAnsi="Palatino Linotype"/>
          <w:i/>
          <w:sz w:val="22"/>
          <w:szCs w:val="22"/>
        </w:rPr>
        <w:t xml:space="preserve"> revisión contendrá:</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I. </w:t>
      </w:r>
      <w:r>
        <w:rPr>
          <w:rFonts w:ascii="Palatino Linotype" w:hAnsi="Palatino Linotype"/>
          <w:i/>
          <w:sz w:val="22"/>
          <w:szCs w:val="22"/>
        </w:rPr>
        <w:t xml:space="preserve">El sujeto obligado ante </w:t>
      </w:r>
      <w:r>
        <w:rPr>
          <w:rFonts w:ascii="Palatino Linotype" w:hAnsi="Palatino Linotype" w:cs="Arial"/>
          <w:i/>
          <w:sz w:val="22"/>
          <w:szCs w:val="22"/>
        </w:rPr>
        <w:t>la</w:t>
      </w:r>
      <w:r>
        <w:rPr>
          <w:rFonts w:ascii="Palatino Linotype" w:hAnsi="Palatino Linotype"/>
          <w:i/>
          <w:sz w:val="22"/>
          <w:szCs w:val="22"/>
        </w:rPr>
        <w:t xml:space="preserve"> cual </w:t>
      </w:r>
      <w:r>
        <w:rPr>
          <w:rFonts w:ascii="Palatino Linotype" w:hAnsi="Palatino Linotype" w:cs="Arial"/>
          <w:i/>
          <w:color w:val="222222"/>
          <w:sz w:val="22"/>
          <w:szCs w:val="22"/>
          <w:lang w:eastAsia="es-MX"/>
        </w:rPr>
        <w:t>se</w:t>
      </w:r>
      <w:r>
        <w:rPr>
          <w:rFonts w:ascii="Palatino Linotype" w:hAnsi="Palatino Linotype"/>
          <w:i/>
          <w:sz w:val="22"/>
          <w:szCs w:val="22"/>
        </w:rPr>
        <w:t xml:space="preserve"> presentó la solicitud;</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II. El nombre del solicitante </w:t>
      </w:r>
      <w:r>
        <w:rPr>
          <w:rFonts w:ascii="Palatino Linotype" w:hAnsi="Palatino Linotype" w:cs="Arial"/>
          <w:b/>
          <w:i/>
          <w:color w:val="222222"/>
          <w:sz w:val="22"/>
          <w:szCs w:val="22"/>
          <w:lang w:eastAsia="es-MX"/>
        </w:rPr>
        <w:t>que</w:t>
      </w:r>
      <w:r>
        <w:rPr>
          <w:rFonts w:ascii="Palatino Linotype" w:hAnsi="Palatino Linotype"/>
          <w:b/>
          <w:i/>
          <w:sz w:val="22"/>
          <w:szCs w:val="22"/>
        </w:rPr>
        <w:t xml:space="preserve"> recurre </w:t>
      </w:r>
      <w:r>
        <w:rPr>
          <w:rFonts w:ascii="Palatino Linotype" w:hAnsi="Palatino Linotype"/>
          <w:i/>
          <w:sz w:val="22"/>
          <w:szCs w:val="22"/>
        </w:rPr>
        <w:t xml:space="preserve">o de su representante y, en su caso, del tercero interesado, así como la dirección o </w:t>
      </w:r>
      <w:r>
        <w:rPr>
          <w:rFonts w:ascii="Palatino Linotype" w:hAnsi="Palatino Linotype"/>
          <w:i/>
          <w:sz w:val="22"/>
          <w:szCs w:val="22"/>
        </w:rPr>
        <w:t>medio que señale para recibir notificaciones;</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III. </w:t>
      </w:r>
      <w:r>
        <w:rPr>
          <w:rFonts w:ascii="Palatino Linotype" w:hAnsi="Palatino Linotype"/>
          <w:i/>
          <w:sz w:val="22"/>
          <w:szCs w:val="22"/>
        </w:rPr>
        <w:t xml:space="preserve">El número de folio de </w:t>
      </w:r>
      <w:r>
        <w:rPr>
          <w:rFonts w:ascii="Palatino Linotype" w:hAnsi="Palatino Linotype" w:cs="Arial"/>
          <w:i/>
          <w:color w:val="222222"/>
          <w:sz w:val="22"/>
          <w:szCs w:val="22"/>
          <w:lang w:eastAsia="es-MX"/>
        </w:rPr>
        <w:t>respuesta</w:t>
      </w:r>
      <w:r>
        <w:rPr>
          <w:rFonts w:ascii="Palatino Linotype" w:hAnsi="Palatino Linotype"/>
          <w:i/>
          <w:sz w:val="22"/>
          <w:szCs w:val="22"/>
        </w:rPr>
        <w:t xml:space="preserve"> de la solicitud de acceso;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IV. </w:t>
      </w:r>
      <w:r>
        <w:rPr>
          <w:rFonts w:ascii="Palatino Linotype" w:hAnsi="Palatino Linotype"/>
          <w:i/>
          <w:sz w:val="22"/>
          <w:szCs w:val="22"/>
        </w:rPr>
        <w:t xml:space="preserve">La fecha en que fue </w:t>
      </w:r>
      <w:r>
        <w:rPr>
          <w:rFonts w:ascii="Palatino Linotype" w:hAnsi="Palatino Linotype" w:cs="Arial"/>
          <w:i/>
          <w:color w:val="222222"/>
          <w:sz w:val="22"/>
          <w:szCs w:val="22"/>
          <w:lang w:eastAsia="es-MX"/>
        </w:rPr>
        <w:t>notificada</w:t>
      </w:r>
      <w:r>
        <w:rPr>
          <w:rFonts w:ascii="Palatino Linotype" w:hAnsi="Palatino Linotype"/>
          <w:i/>
          <w:sz w:val="22"/>
          <w:szCs w:val="22"/>
        </w:rPr>
        <w:t xml:space="preserve"> la respuesta al solicitante o tuvo conocimiento del acto reclamado, o de presentación de la solicitud, en cas</w:t>
      </w:r>
      <w:r>
        <w:rPr>
          <w:rFonts w:ascii="Palatino Linotype" w:hAnsi="Palatino Linotype"/>
          <w:i/>
          <w:sz w:val="22"/>
          <w:szCs w:val="22"/>
        </w:rPr>
        <w:t>o de falta de respuesta;</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V. </w:t>
      </w:r>
      <w:r>
        <w:rPr>
          <w:rFonts w:ascii="Palatino Linotype" w:hAnsi="Palatino Linotype"/>
          <w:i/>
          <w:sz w:val="22"/>
          <w:szCs w:val="22"/>
        </w:rPr>
        <w:t xml:space="preserve">El acto que se </w:t>
      </w:r>
      <w:r>
        <w:rPr>
          <w:rFonts w:ascii="Palatino Linotype" w:hAnsi="Palatino Linotype" w:cs="Arial"/>
          <w:i/>
          <w:color w:val="222222"/>
          <w:sz w:val="22"/>
          <w:szCs w:val="22"/>
          <w:lang w:eastAsia="es-MX"/>
        </w:rPr>
        <w:t>recurre</w:t>
      </w:r>
      <w:r>
        <w:rPr>
          <w:rFonts w:ascii="Palatino Linotype" w:hAnsi="Palatino Linotype"/>
          <w:i/>
          <w:sz w:val="22"/>
          <w:szCs w:val="22"/>
        </w:rPr>
        <w:t>;</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VI. </w:t>
      </w:r>
      <w:r>
        <w:rPr>
          <w:rFonts w:ascii="Palatino Linotype" w:hAnsi="Palatino Linotype"/>
          <w:i/>
          <w:sz w:val="22"/>
          <w:szCs w:val="22"/>
        </w:rPr>
        <w:t xml:space="preserve">Las razones o </w:t>
      </w:r>
      <w:r>
        <w:rPr>
          <w:rFonts w:ascii="Palatino Linotype" w:hAnsi="Palatino Linotype" w:cs="Arial"/>
          <w:i/>
          <w:color w:val="222222"/>
          <w:sz w:val="22"/>
          <w:szCs w:val="22"/>
          <w:lang w:eastAsia="es-MX"/>
        </w:rPr>
        <w:t>motivos</w:t>
      </w:r>
      <w:r>
        <w:rPr>
          <w:rFonts w:ascii="Palatino Linotype" w:hAnsi="Palatino Linotype"/>
          <w:i/>
          <w:sz w:val="22"/>
          <w:szCs w:val="22"/>
        </w:rPr>
        <w:t xml:space="preserve"> de inconformidad;</w:t>
      </w:r>
      <w:r>
        <w:rPr>
          <w:rFonts w:ascii="Palatino Linotype" w:hAnsi="Palatino Linotype"/>
          <w:b/>
          <w:i/>
          <w:sz w:val="22"/>
          <w:szCs w:val="22"/>
        </w:rPr>
        <w:t xml:space="preserve"> </w:t>
      </w:r>
    </w:p>
    <w:p w:rsidR="00DF3CA6" w:rsidRDefault="001414A8">
      <w:pPr>
        <w:ind w:left="851" w:right="902"/>
        <w:jc w:val="both"/>
        <w:rPr>
          <w:rFonts w:ascii="Palatino Linotype" w:hAnsi="Palatino Linotype"/>
          <w:b/>
          <w:i/>
          <w:sz w:val="22"/>
          <w:szCs w:val="22"/>
        </w:rPr>
      </w:pPr>
      <w:r>
        <w:rPr>
          <w:rFonts w:ascii="Palatino Linotype" w:hAnsi="Palatino Linotype"/>
          <w:b/>
          <w:i/>
          <w:sz w:val="22"/>
          <w:szCs w:val="22"/>
        </w:rPr>
        <w:t xml:space="preserve">VII. </w:t>
      </w:r>
      <w:r>
        <w:rPr>
          <w:rFonts w:ascii="Palatino Linotype" w:hAnsi="Palatino Linotype"/>
          <w:i/>
          <w:sz w:val="22"/>
          <w:szCs w:val="22"/>
        </w:rPr>
        <w:t>La copia de la respuesta que se impugna y, en su caso, de la notificación correspondiente, en el caso de respuesta de la solicitud; y</w:t>
      </w:r>
      <w:r>
        <w:rPr>
          <w:rFonts w:ascii="Palatino Linotype" w:hAnsi="Palatino Linotype"/>
          <w:b/>
          <w:i/>
          <w:sz w:val="22"/>
          <w:szCs w:val="22"/>
        </w:rPr>
        <w:t xml:space="preserve"> </w:t>
      </w:r>
    </w:p>
    <w:p w:rsidR="00DF3CA6" w:rsidRDefault="001414A8">
      <w:pPr>
        <w:ind w:left="851" w:right="902"/>
        <w:jc w:val="both"/>
        <w:rPr>
          <w:rFonts w:ascii="Palatino Linotype" w:hAnsi="Palatino Linotype"/>
          <w:i/>
          <w:sz w:val="22"/>
          <w:szCs w:val="22"/>
        </w:rPr>
      </w:pPr>
      <w:r>
        <w:rPr>
          <w:rFonts w:ascii="Palatino Linotype" w:hAnsi="Palatino Linotype"/>
          <w:b/>
          <w:i/>
          <w:sz w:val="22"/>
          <w:szCs w:val="22"/>
        </w:rPr>
        <w:t xml:space="preserve">VIII. </w:t>
      </w:r>
      <w:r>
        <w:rPr>
          <w:rFonts w:ascii="Palatino Linotype" w:hAnsi="Palatino Linotype"/>
          <w:i/>
          <w:sz w:val="22"/>
          <w:szCs w:val="22"/>
        </w:rPr>
        <w:t>Firma del r</w:t>
      </w:r>
      <w:r>
        <w:rPr>
          <w:rFonts w:ascii="Palatino Linotype" w:hAnsi="Palatino Linotype"/>
          <w:i/>
          <w:sz w:val="22"/>
          <w:szCs w:val="22"/>
        </w:rPr>
        <w:t xml:space="preserve">ecurrente, en su caso, cuando se presente por escrito, requisito sin el cual se dará trámite al recurso. </w:t>
      </w:r>
    </w:p>
    <w:p w:rsidR="00DF3CA6" w:rsidRDefault="00DF3CA6">
      <w:pPr>
        <w:ind w:left="851" w:right="902"/>
        <w:jc w:val="both"/>
        <w:rPr>
          <w:rFonts w:ascii="Palatino Linotype" w:hAnsi="Palatino Linotype"/>
          <w:i/>
          <w:sz w:val="22"/>
          <w:szCs w:val="22"/>
        </w:rPr>
      </w:pP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 xml:space="preserve">Adicionalmente, se podrán anexar las pruebas y demás elementos que considere procedentes someter a juicio del Instituto. </w:t>
      </w:r>
    </w:p>
    <w:p w:rsidR="00DF3CA6" w:rsidRDefault="00DF3CA6">
      <w:pPr>
        <w:ind w:left="851" w:right="902"/>
        <w:jc w:val="both"/>
        <w:rPr>
          <w:rFonts w:ascii="Palatino Linotype" w:hAnsi="Palatino Linotype"/>
          <w:i/>
          <w:sz w:val="22"/>
          <w:szCs w:val="22"/>
        </w:rPr>
      </w:pP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En ningún caso será necesa</w:t>
      </w:r>
      <w:r>
        <w:rPr>
          <w:rFonts w:ascii="Palatino Linotype" w:hAnsi="Palatino Linotype"/>
          <w:i/>
          <w:sz w:val="22"/>
          <w:szCs w:val="22"/>
        </w:rPr>
        <w:t xml:space="preserve">rio que el particular ratifique el recurso de revisión interpuesto. </w:t>
      </w:r>
    </w:p>
    <w:p w:rsidR="00DF3CA6" w:rsidRDefault="001414A8">
      <w:pPr>
        <w:ind w:left="851" w:right="902"/>
        <w:jc w:val="both"/>
        <w:rPr>
          <w:rFonts w:ascii="Palatino Linotype" w:hAnsi="Palatino Linotype"/>
          <w:i/>
          <w:sz w:val="22"/>
          <w:szCs w:val="22"/>
        </w:rPr>
      </w:pPr>
      <w:r>
        <w:rPr>
          <w:rFonts w:ascii="Palatino Linotype" w:hAnsi="Palatino Linotype"/>
          <w:b/>
          <w:i/>
          <w:sz w:val="22"/>
          <w:szCs w:val="22"/>
        </w:rPr>
        <w:t xml:space="preserve">En caso de </w:t>
      </w:r>
      <w:r>
        <w:rPr>
          <w:rFonts w:ascii="Palatino Linotype" w:hAnsi="Palatino Linotype" w:cs="Arial"/>
          <w:b/>
          <w:i/>
          <w:color w:val="222222"/>
          <w:sz w:val="22"/>
          <w:szCs w:val="22"/>
          <w:lang w:eastAsia="es-MX"/>
        </w:rPr>
        <w:t>que</w:t>
      </w:r>
      <w:r>
        <w:rPr>
          <w:rFonts w:ascii="Palatino Linotype" w:hAnsi="Palatino Linotype"/>
          <w:b/>
          <w:i/>
          <w:sz w:val="22"/>
          <w:szCs w:val="22"/>
        </w:rPr>
        <w:t xml:space="preserve"> el recurso se interponga de manera electrónica no será indispensable que contengan los requisitos establecidos en las fracciones II</w:t>
      </w:r>
      <w:r>
        <w:rPr>
          <w:rFonts w:ascii="Palatino Linotype" w:hAnsi="Palatino Linotype"/>
          <w:i/>
          <w:sz w:val="22"/>
          <w:szCs w:val="22"/>
        </w:rPr>
        <w:t xml:space="preserve">, IV, VII y VIII. </w:t>
      </w:r>
    </w:p>
    <w:p w:rsidR="00DF3CA6" w:rsidRDefault="00DF3CA6">
      <w:pPr>
        <w:ind w:left="851" w:right="902"/>
        <w:jc w:val="both"/>
        <w:rPr>
          <w:rFonts w:ascii="Palatino Linotype" w:hAnsi="Palatino Linotype"/>
          <w:i/>
          <w:sz w:val="22"/>
          <w:szCs w:val="22"/>
        </w:rPr>
      </w:pP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(Énfasis añadido)</w:t>
      </w:r>
    </w:p>
    <w:p w:rsidR="00DF3CA6" w:rsidRDefault="001414A8">
      <w:pPr>
        <w:spacing w:beforeAutospacing="1" w:afterAutospacing="1" w:line="360" w:lineRule="auto"/>
        <w:jc w:val="both"/>
        <w:rPr>
          <w:rFonts w:ascii="Palatino Linotype" w:hAnsi="Palatino Linotype"/>
        </w:rPr>
      </w:pPr>
      <w:r>
        <w:rPr>
          <w:rFonts w:ascii="Palatino Linotype" w:hAnsi="Palatino Linotype"/>
        </w:rPr>
        <w:lastRenderedPageBreak/>
        <w:t xml:space="preserve">En principio, de una interpretación del artículo transcrito se observa que los requisitos que </w:t>
      </w:r>
      <w:r>
        <w:rPr>
          <w:rFonts w:ascii="Palatino Linotype" w:hAnsi="Palatino Linotype" w:cs="Arial"/>
        </w:rPr>
        <w:t>deberán</w:t>
      </w:r>
      <w:r>
        <w:rPr>
          <w:rFonts w:ascii="Palatino Linotype" w:hAnsi="Palatino Linotype"/>
        </w:rPr>
        <w:t xml:space="preserve"> </w:t>
      </w:r>
      <w:r>
        <w:rPr>
          <w:rFonts w:ascii="Palatino Linotype" w:hAnsi="Palatino Linotype" w:cs="Arial"/>
        </w:rPr>
        <w:t>contener</w:t>
      </w:r>
      <w:r>
        <w:rPr>
          <w:rFonts w:ascii="Palatino Linotype" w:hAnsi="Palatino Linotype"/>
        </w:rPr>
        <w:t xml:space="preserve">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la parte solicitante y ahora</w:t>
      </w:r>
      <w:r>
        <w:rPr>
          <w:rFonts w:ascii="Palatino Linotype" w:hAnsi="Palatino Linotype"/>
        </w:rPr>
        <w:t xml:space="preserve"> </w:t>
      </w:r>
      <w:r>
        <w:rPr>
          <w:rFonts w:ascii="Palatino Linotype" w:hAnsi="Palatino Linotype"/>
          <w:b/>
        </w:rPr>
        <w:t>RECURRENTE</w:t>
      </w:r>
      <w:r>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Pr>
          <w:rFonts w:ascii="Palatino Linotype" w:hAnsi="Palatino Linotype" w:cs="Arial"/>
        </w:rPr>
        <w:t>no</w:t>
      </w:r>
      <w:r>
        <w:rPr>
          <w:rFonts w:ascii="Palatino Linotype" w:hAnsi="Palatino Linotype"/>
        </w:rPr>
        <w:t xml:space="preserve"> se colmen los requisitos establecidos en el citado artículo 180 de la Ley de Transparencia.</w:t>
      </w:r>
    </w:p>
    <w:p w:rsidR="00DF3CA6" w:rsidRDefault="001414A8">
      <w:pPr>
        <w:spacing w:before="200" w:after="200" w:line="360" w:lineRule="auto"/>
        <w:jc w:val="both"/>
        <w:rPr>
          <w:rFonts w:ascii="Palatino Linotype" w:hAnsi="Palatino Linotype" w:cs="Arial"/>
          <w:color w:val="000000"/>
        </w:rPr>
      </w:pPr>
      <w:r>
        <w:rPr>
          <w:rFonts w:ascii="Palatino Linotype" w:hAnsi="Palatino Linotype"/>
        </w:rPr>
        <w:t xml:space="preserve">Empero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w:t>
      </w:r>
      <w:r>
        <w:rPr>
          <w:rFonts w:ascii="Palatino Linotype" w:hAnsi="Palatino Linotype"/>
        </w:rPr>
        <w:t xml:space="preserve">persona tendrá acceso a la información </w:t>
      </w:r>
      <w:r>
        <w:rPr>
          <w:rFonts w:ascii="Palatino Linotype" w:hAnsi="Palatino Linotype" w:cs="Arial"/>
          <w:color w:val="000000"/>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color w:val="000000"/>
        </w:rPr>
        <w:t xml:space="preserve"> del derecho de acceso a la información pública, </w:t>
      </w:r>
      <w:r>
        <w:rPr>
          <w:rFonts w:ascii="Palatino Linotype" w:hAnsi="Palatino Linotype" w:cs="Arial"/>
          <w:b/>
          <w:color w:val="000000"/>
        </w:rPr>
        <w:t xml:space="preserve">el nombre no es un requisito </w:t>
      </w:r>
      <w:r>
        <w:rPr>
          <w:rFonts w:ascii="Palatino Linotype" w:hAnsi="Palatino Linotype" w:cs="Arial"/>
          <w:b/>
          <w:i/>
          <w:color w:val="000000"/>
        </w:rPr>
        <w:t>sine qua non</w:t>
      </w:r>
      <w:r>
        <w:rPr>
          <w:rFonts w:ascii="Palatino Linotype" w:hAnsi="Palatino Linotype" w:cs="Arial"/>
          <w:color w:val="000000"/>
        </w:rPr>
        <w:t xml:space="preserve"> para que los </w:t>
      </w:r>
      <w:r>
        <w:rPr>
          <w:rFonts w:ascii="Palatino Linotype" w:hAnsi="Palatino Linotype" w:cs="Arial"/>
          <w:color w:val="000000"/>
        </w:rPr>
        <w:t>particulares ejerzan el derecho de acceso a la información pública, pues por el contrario la Ley de la materia prevé en su artículo 155, párrafo segundo la posibilidad de que las solicitudes de información sean anónimas, al utilizar un nombre incompleto o,</w:t>
      </w:r>
      <w:r>
        <w:rPr>
          <w:rFonts w:ascii="Palatino Linotype" w:hAnsi="Palatino Linotype" w:cs="Arial"/>
          <w:color w:val="000000"/>
        </w:rPr>
        <w:t xml:space="preserve"> inclusive un seudónimo.</w:t>
      </w:r>
    </w:p>
    <w:p w:rsidR="00DF3CA6" w:rsidRDefault="001414A8">
      <w:pPr>
        <w:spacing w:before="200" w:after="200" w:line="360" w:lineRule="auto"/>
        <w:jc w:val="both"/>
        <w:rPr>
          <w:rFonts w:ascii="Palatino Linotype" w:hAnsi="Palatino Linotype"/>
        </w:rPr>
      </w:pPr>
      <w:r>
        <w:rPr>
          <w:rFonts w:ascii="Palatino Linotype" w:hAnsi="Palatino Linotype"/>
        </w:rPr>
        <w:t xml:space="preserve">Correlativo a ello, cabe mencionar que los artículos 6, Apartado A, fracciones I, III, V y VI de la </w:t>
      </w:r>
      <w:r>
        <w:rPr>
          <w:rFonts w:ascii="Palatino Linotype" w:hAnsi="Palatino Linotype" w:cs="Arial"/>
        </w:rPr>
        <w:t>Constitución</w:t>
      </w:r>
      <w:r>
        <w:rPr>
          <w:rFonts w:ascii="Palatino Linotype" w:hAnsi="Palatino Linotype"/>
        </w:rPr>
        <w:t xml:space="preserve"> Política de los Estados Unidos Mexicanos y 5 párrafos </w:t>
      </w:r>
      <w:r>
        <w:rPr>
          <w:rFonts w:ascii="Palatino Linotype" w:hAnsi="Palatino Linotype" w:cs="Arial"/>
        </w:rPr>
        <w:t>vigésimo segundo, vigésimo tercero y vigésimo cuarto</w:t>
      </w:r>
      <w:r>
        <w:rPr>
          <w:rFonts w:ascii="Palatino Linotype" w:hAnsi="Palatino Linotype"/>
        </w:rPr>
        <w:t xml:space="preserve"> fracciones </w:t>
      </w:r>
      <w:r>
        <w:rPr>
          <w:rFonts w:ascii="Palatino Linotype" w:hAnsi="Palatino Linotype"/>
        </w:rPr>
        <w:t>I y III de la Constitución Política del Estado Libre y Soberano de México, garantizan el ejercicio del derecho de acceso a la información pública, toda vez que disponen que toda persona sin necesidad de acreditar interés alguno o justificar su utilización,</w:t>
      </w:r>
      <w:r>
        <w:rPr>
          <w:rFonts w:ascii="Palatino Linotype" w:hAnsi="Palatino Linotype"/>
        </w:rPr>
        <w:t xml:space="preserve"> tendrá acceso gratuito a la información pública; preceptos cuyo texto y sentido literal es el siguiente:</w:t>
      </w:r>
    </w:p>
    <w:p w:rsidR="00DF3CA6" w:rsidRDefault="001414A8">
      <w:pPr>
        <w:ind w:left="851" w:right="902"/>
        <w:jc w:val="center"/>
        <w:rPr>
          <w:rFonts w:ascii="Palatino Linotype" w:hAnsi="Palatino Linotype" w:cs="Arial"/>
          <w:b/>
          <w:i/>
          <w:sz w:val="22"/>
          <w:szCs w:val="22"/>
        </w:rPr>
      </w:pPr>
      <w:r>
        <w:rPr>
          <w:rFonts w:ascii="Palatino Linotype" w:hAnsi="Palatino Linotype" w:cs="Arial"/>
          <w:b/>
          <w:i/>
          <w:sz w:val="22"/>
          <w:szCs w:val="22"/>
        </w:rPr>
        <w:lastRenderedPageBreak/>
        <w:t>Constitución Política de los Estados Unidos Mexicanos</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6o.</w:t>
      </w:r>
      <w:r>
        <w:rPr>
          <w:rFonts w:ascii="Palatino Linotype" w:hAnsi="Palatino Linotype" w:cs="Arial"/>
          <w:i/>
          <w:sz w:val="22"/>
          <w:szCs w:val="22"/>
        </w:rPr>
        <w:t xml:space="preserve"> La manifestación de las ideas no será objeto de ninguna inquisición judicial o adm</w:t>
      </w:r>
      <w:r>
        <w:rPr>
          <w:rFonts w:ascii="Palatino Linotype" w:hAnsi="Palatino Linotype" w:cs="Arial"/>
          <w:i/>
          <w:sz w:val="22"/>
          <w:szCs w:val="22"/>
        </w:rPr>
        <w:t xml:space="preserve">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rPr>
        <w:t>El derecho a la información se</w:t>
      </w:r>
      <w:r>
        <w:rPr>
          <w:rFonts w:ascii="Palatino Linotype" w:hAnsi="Palatino Linotype" w:cs="Arial"/>
          <w:b/>
          <w:i/>
          <w:sz w:val="22"/>
          <w:szCs w:val="22"/>
        </w:rPr>
        <w:t>rá garantizado por el Estado.</w:t>
      </w:r>
      <w:r>
        <w:rPr>
          <w:rFonts w:ascii="Palatino Linotype" w:hAnsi="Palatino Linotype" w:cs="Arial"/>
          <w:i/>
          <w:sz w:val="22"/>
          <w:szCs w:val="22"/>
        </w:rPr>
        <w:t xml:space="preserve"> </w:t>
      </w:r>
    </w:p>
    <w:p w:rsidR="00DF3CA6" w:rsidRDefault="00DF3CA6">
      <w:pPr>
        <w:ind w:left="851" w:right="902"/>
        <w:jc w:val="both"/>
        <w:rPr>
          <w:rFonts w:ascii="Palatino Linotype" w:hAnsi="Palatino Linotype" w:cs="Arial"/>
          <w:b/>
          <w:i/>
          <w:sz w:val="22"/>
          <w:szCs w:val="22"/>
        </w:rPr>
      </w:pPr>
    </w:p>
    <w:p w:rsidR="00DF3CA6" w:rsidRDefault="001414A8">
      <w:pPr>
        <w:ind w:left="851" w:right="902"/>
        <w:jc w:val="both"/>
        <w:rPr>
          <w:rFonts w:ascii="Palatino Linotype" w:hAnsi="Palatino Linotype" w:cs="Arial"/>
          <w:i/>
          <w:sz w:val="22"/>
          <w:szCs w:val="22"/>
        </w:rPr>
      </w:pPr>
      <w:r>
        <w:rPr>
          <w:rFonts w:ascii="Palatino Linotype" w:hAnsi="Palatino Linotype" w:cs="Arial"/>
          <w:b/>
          <w:i/>
          <w:sz w:val="22"/>
          <w:szCs w:val="22"/>
        </w:rPr>
        <w:t xml:space="preserve">Toda persona tiene </w:t>
      </w:r>
      <w:r>
        <w:rPr>
          <w:rFonts w:ascii="Palatino Linotype" w:hAnsi="Palatino Linotype"/>
          <w:b/>
          <w:i/>
          <w:sz w:val="22"/>
          <w:szCs w:val="22"/>
        </w:rPr>
        <w:t>derecho</w:t>
      </w:r>
      <w:r>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Pr>
          <w:rFonts w:ascii="Palatino Linotype" w:hAnsi="Palatino Linotype" w:cs="Arial"/>
          <w:i/>
          <w:sz w:val="22"/>
          <w:szCs w:val="22"/>
        </w:rPr>
        <w:t>.</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 xml:space="preserve">Para efectos de lo </w:t>
      </w:r>
      <w:r>
        <w:rPr>
          <w:rFonts w:ascii="Palatino Linotype" w:hAnsi="Palatino Linotype"/>
          <w:i/>
          <w:sz w:val="22"/>
          <w:szCs w:val="22"/>
        </w:rPr>
        <w:t>dispuesto</w:t>
      </w:r>
      <w:r>
        <w:rPr>
          <w:rFonts w:ascii="Palatino Linotype" w:hAnsi="Palatino Linotype" w:cs="Arial"/>
          <w:i/>
          <w:sz w:val="22"/>
          <w:szCs w:val="22"/>
        </w:rPr>
        <w:t xml:space="preserve"> en el presente artículo se observará lo siguiente:</w:t>
      </w:r>
    </w:p>
    <w:p w:rsidR="00DF3CA6" w:rsidRDefault="00DF3CA6">
      <w:pPr>
        <w:ind w:left="851" w:right="902"/>
        <w:jc w:val="both"/>
        <w:rPr>
          <w:rFonts w:ascii="Palatino Linotype" w:hAnsi="Palatino Linotype" w:cs="Arial"/>
          <w:b/>
          <w:i/>
          <w:sz w:val="22"/>
          <w:szCs w:val="22"/>
        </w:rPr>
      </w:pPr>
    </w:p>
    <w:p w:rsidR="00DF3CA6" w:rsidRDefault="001414A8">
      <w:pPr>
        <w:ind w:left="851" w:right="902"/>
        <w:jc w:val="both"/>
        <w:rPr>
          <w:rFonts w:ascii="Palatino Linotype" w:hAnsi="Palatino Linotype" w:cs="Arial"/>
          <w:i/>
          <w:sz w:val="22"/>
          <w:szCs w:val="22"/>
        </w:rPr>
      </w:pPr>
      <w:r>
        <w:rPr>
          <w:rFonts w:ascii="Palatino Linotype" w:hAnsi="Palatino Linotype" w:cs="Arial"/>
          <w:b/>
          <w:i/>
          <w:sz w:val="22"/>
          <w:szCs w:val="22"/>
        </w:rPr>
        <w:t>A.</w:t>
      </w:r>
      <w:r>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w:t>
      </w:r>
      <w:r>
        <w:rPr>
          <w:rFonts w:ascii="Palatino Linotype" w:hAnsi="Palatino Linotype" w:cs="Arial"/>
          <w:i/>
          <w:sz w:val="22"/>
          <w:szCs w:val="22"/>
        </w:rPr>
        <w:t>es:</w:t>
      </w:r>
    </w:p>
    <w:p w:rsidR="00DF3CA6" w:rsidRDefault="00DF3CA6">
      <w:pPr>
        <w:ind w:left="851" w:right="902"/>
        <w:jc w:val="both"/>
        <w:rPr>
          <w:rFonts w:ascii="Palatino Linotype" w:hAnsi="Palatino Linotype" w:cs="Arial"/>
          <w:b/>
          <w:i/>
          <w:sz w:val="22"/>
          <w:szCs w:val="22"/>
        </w:rPr>
      </w:pP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w:t>
      </w:r>
      <w:r>
        <w:rPr>
          <w:rFonts w:ascii="Palatino Linotype" w:hAnsi="Palatino Linotype" w:cs="Arial"/>
          <w:b/>
          <w:i/>
          <w:sz w:val="22"/>
          <w:szCs w:val="22"/>
        </w:rPr>
        <w:t xml:space="preserve"> o sindicato que reciba y ejerza recursos públicos o realice actos de autoridad en el ámbito federal, estatal y municipal, es pública y sólo podrá ser reservada temporalmente por razones de interés público y seguridad nacional, en los términos que fijen la</w:t>
      </w:r>
      <w:r>
        <w:rPr>
          <w:rFonts w:ascii="Palatino Linotype" w:hAnsi="Palatino Linotype" w:cs="Arial"/>
          <w:b/>
          <w:i/>
          <w:sz w:val="22"/>
          <w:szCs w:val="22"/>
        </w:rPr>
        <w:t>s leyes. En la interpretación de este derecho deberá prevalecer el principio de máxima publicidad. Los sujetos obligados deberán documentar todo acto que derive del ejercicio de sus facultades, competencias o funciones, la ley determinará los supuestos esp</w:t>
      </w:r>
      <w:r>
        <w:rPr>
          <w:rFonts w:ascii="Palatino Linotype" w:hAnsi="Palatino Linotype" w:cs="Arial"/>
          <w:b/>
          <w:i/>
          <w:sz w:val="22"/>
          <w:szCs w:val="22"/>
        </w:rPr>
        <w:t>ecíficos bajo los cuales procederá la declaración de inexistencia de la información.</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t xml:space="preserve">III. Toda persona, sin necesidad de acreditar interés alguno o justificar su utilización, tendrá acceso gratuito a la información pública, a sus datos personales o a la </w:t>
      </w:r>
      <w:r>
        <w:rPr>
          <w:rFonts w:ascii="Palatino Linotype" w:hAnsi="Palatino Linotype" w:cs="Arial"/>
          <w:b/>
          <w:i/>
          <w:sz w:val="22"/>
          <w:szCs w:val="22"/>
        </w:rPr>
        <w:t>rectificación de éstos.</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w:t>
      </w:r>
      <w:r>
        <w:rPr>
          <w:rFonts w:ascii="Palatino Linotype" w:hAnsi="Palatino Linotype" w:cs="Arial"/>
          <w:b/>
          <w:i/>
          <w:sz w:val="22"/>
          <w:szCs w:val="22"/>
        </w:rPr>
        <w:t>rsos públicos y los indicadores que permitan rendir cuenta del cumplimiento de sus objetivos y de los resultados obtenidos.</w:t>
      </w: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lastRenderedPageBreak/>
        <w:t>VI. Las leyes determinarán la manera en que los sujetos obligados deberán hacer pública la información relativa a los recursos públi</w:t>
      </w:r>
      <w:r>
        <w:rPr>
          <w:rFonts w:ascii="Palatino Linotype" w:hAnsi="Palatino Linotype" w:cs="Arial"/>
          <w:b/>
          <w:i/>
          <w:sz w:val="22"/>
          <w:szCs w:val="22"/>
        </w:rPr>
        <w:t>cos que entreguen a personas físicas o morales</w:t>
      </w:r>
      <w:r>
        <w:rPr>
          <w:rFonts w:ascii="Palatino Linotype" w:hAnsi="Palatino Linotype" w:cs="Arial"/>
          <w:i/>
          <w:sz w:val="22"/>
          <w:szCs w:val="22"/>
        </w:rPr>
        <w:t>.”</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t>La ley establecerá aquella información que se considere reservada o confidencial.</w:t>
      </w:r>
    </w:p>
    <w:p w:rsidR="00DF3CA6" w:rsidRDefault="00DF3CA6">
      <w:pPr>
        <w:ind w:left="851" w:right="902"/>
        <w:jc w:val="center"/>
        <w:rPr>
          <w:rFonts w:ascii="Palatino Linotype" w:hAnsi="Palatino Linotype" w:cs="Arial"/>
          <w:b/>
          <w:i/>
          <w:sz w:val="22"/>
          <w:szCs w:val="22"/>
        </w:rPr>
      </w:pPr>
    </w:p>
    <w:p w:rsidR="00DF3CA6" w:rsidRDefault="001414A8">
      <w:pPr>
        <w:ind w:left="851" w:right="902"/>
        <w:jc w:val="center"/>
        <w:rPr>
          <w:rFonts w:ascii="Palatino Linotype" w:hAnsi="Palatino Linotype" w:cs="Arial"/>
          <w:b/>
          <w:i/>
          <w:sz w:val="22"/>
          <w:szCs w:val="22"/>
        </w:rPr>
      </w:pPr>
      <w:r>
        <w:rPr>
          <w:rFonts w:ascii="Palatino Linotype" w:hAnsi="Palatino Linotype" w:cs="Arial"/>
          <w:b/>
          <w:i/>
          <w:sz w:val="22"/>
          <w:szCs w:val="22"/>
        </w:rPr>
        <w:t>Constitución Política del Estado Libre y Soberano de México</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5. </w:t>
      </w:r>
      <w:r>
        <w:rPr>
          <w:rFonts w:ascii="Palatino Linotype" w:hAnsi="Palatino Linotype" w:cs="Arial"/>
          <w:i/>
          <w:sz w:val="22"/>
          <w:szCs w:val="22"/>
        </w:rPr>
        <w:t xml:space="preserve">… </w:t>
      </w: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w:t>
      </w:r>
    </w:p>
    <w:p w:rsidR="00DF3CA6" w:rsidRDefault="001414A8">
      <w:pPr>
        <w:ind w:left="851" w:right="902"/>
        <w:jc w:val="both"/>
        <w:rPr>
          <w:rFonts w:ascii="Palatino Linotype" w:hAnsi="Palatino Linotype"/>
          <w:i/>
          <w:sz w:val="22"/>
          <w:szCs w:val="22"/>
        </w:rPr>
      </w:pPr>
      <w:r>
        <w:rPr>
          <w:rFonts w:ascii="Palatino Linotype" w:hAnsi="Palatino Linotype"/>
          <w:b/>
          <w:i/>
          <w:sz w:val="22"/>
          <w:szCs w:val="22"/>
        </w:rPr>
        <w:t>El derecho a la información será garantizado</w:t>
      </w:r>
      <w:r>
        <w:rPr>
          <w:rFonts w:ascii="Palatino Linotype" w:hAnsi="Palatino Linotype"/>
          <w:b/>
          <w:i/>
          <w:sz w:val="22"/>
          <w:szCs w:val="22"/>
        </w:rPr>
        <w:t xml:space="preserve"> por el Estado</w:t>
      </w:r>
      <w:r>
        <w:rPr>
          <w:rFonts w:ascii="Palatino Linotype" w:hAnsi="Palatino Linotype"/>
          <w:i/>
          <w:sz w:val="22"/>
          <w:szCs w:val="22"/>
        </w:rPr>
        <w:t>. La ley establecerá las previsiones que permitan asegurar la protección, el respeto y la difusión de este derecho.</w:t>
      </w: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Para garantizar el ejercicio del derecho de transparencia, acceso a la información pública y protección de datos personales, l</w:t>
      </w:r>
      <w:r>
        <w:rPr>
          <w:rFonts w:ascii="Palatino Linotype" w:hAnsi="Palatino Linotype"/>
          <w:i/>
          <w:sz w:val="22"/>
          <w:szCs w:val="22"/>
        </w:rPr>
        <w:t>os poderes públicos y los organismos autónomos, transparentarán sus acciones, en términos de las disposiciones aplicables, la información será oportuna, clara, veraz y de fácil acceso.</w:t>
      </w: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Este derecho se regirá por los principios y bases siguientes:</w:t>
      </w:r>
    </w:p>
    <w:p w:rsidR="00DF3CA6" w:rsidRDefault="00DF3CA6">
      <w:pPr>
        <w:ind w:left="851" w:right="902"/>
        <w:jc w:val="both"/>
        <w:rPr>
          <w:rFonts w:ascii="Palatino Linotype" w:hAnsi="Palatino Linotype"/>
          <w:b/>
          <w:i/>
          <w:sz w:val="22"/>
          <w:szCs w:val="22"/>
        </w:rPr>
      </w:pPr>
    </w:p>
    <w:p w:rsidR="00DF3CA6" w:rsidRDefault="001414A8">
      <w:pPr>
        <w:ind w:left="851" w:right="902"/>
        <w:jc w:val="both"/>
        <w:rPr>
          <w:rFonts w:ascii="Palatino Linotype" w:hAnsi="Palatino Linotype"/>
          <w:i/>
          <w:sz w:val="22"/>
          <w:szCs w:val="22"/>
        </w:rPr>
      </w:pPr>
      <w:r>
        <w:rPr>
          <w:rFonts w:ascii="Palatino Linotype" w:hAnsi="Palatino Linotype"/>
          <w:b/>
          <w:i/>
          <w:sz w:val="22"/>
          <w:szCs w:val="22"/>
        </w:rPr>
        <w:t xml:space="preserve">I. Toda </w:t>
      </w:r>
      <w:r>
        <w:rPr>
          <w:rFonts w:ascii="Palatino Linotype" w:hAnsi="Palatino Linotype"/>
          <w:b/>
          <w:i/>
          <w:sz w:val="22"/>
          <w:szCs w:val="22"/>
        </w:rPr>
        <w:t>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rPr>
        <w:t xml:space="preserve"> así como del gobierno y de la a</w:t>
      </w:r>
      <w:r>
        <w:rPr>
          <w:rFonts w:ascii="Palatino Linotype" w:hAnsi="Palatino Linotype"/>
          <w:i/>
          <w:sz w:val="22"/>
          <w:szCs w:val="22"/>
        </w:rPr>
        <w:t>dministración pública municipal y sus organismos descentralizados, asimismo de cualquier persona física, jurídica colectiva o sindicato que reciba y ejerza recursos públicos o realice actos de autoridad en el ámbito estatal y municipal, es pública y sólo p</w:t>
      </w:r>
      <w:r>
        <w:rPr>
          <w:rFonts w:ascii="Palatino Linotype" w:hAnsi="Palatino Linotype"/>
          <w:i/>
          <w:sz w:val="22"/>
          <w:szCs w:val="22"/>
        </w:rPr>
        <w:t>odrá ser reservada temporalmente por razones previstas en la Constitución Política de los Estados Unidos Mexicanos de interés público y seguridad, en los términos que fijen las leyes. En la interpretación de este derecho deberá prevalecer el principio de m</w:t>
      </w:r>
      <w:r>
        <w:rPr>
          <w:rFonts w:ascii="Palatino Linotype" w:hAnsi="Palatino Linotype"/>
          <w:i/>
          <w:sz w:val="22"/>
          <w:szCs w:val="22"/>
        </w:rPr>
        <w:t xml:space="preserve">áxima publicidad. Los sujetos obligados deberán documentar todo acto que derive del ejercicio de sus facultades, competencias o funciones, la ley </w:t>
      </w:r>
      <w:r>
        <w:rPr>
          <w:rFonts w:ascii="Palatino Linotype" w:hAnsi="Palatino Linotype" w:cs="Arial"/>
          <w:i/>
          <w:sz w:val="22"/>
          <w:szCs w:val="22"/>
        </w:rPr>
        <w:t>determinará</w:t>
      </w:r>
      <w:r>
        <w:rPr>
          <w:rFonts w:ascii="Palatino Linotype" w:hAnsi="Palatino Linotype"/>
          <w:i/>
          <w:sz w:val="22"/>
          <w:szCs w:val="22"/>
        </w:rPr>
        <w:t xml:space="preserve"> los supuestos específicos bajo los cuales procederá la declaración de inexistencia de la informaci</w:t>
      </w:r>
      <w:r>
        <w:rPr>
          <w:rFonts w:ascii="Palatino Linotype" w:hAnsi="Palatino Linotype"/>
          <w:i/>
          <w:sz w:val="22"/>
          <w:szCs w:val="22"/>
        </w:rPr>
        <w:t>ón.</w:t>
      </w:r>
    </w:p>
    <w:p w:rsidR="00DF3CA6" w:rsidRDefault="001414A8">
      <w:pPr>
        <w:ind w:left="851" w:right="902"/>
        <w:jc w:val="both"/>
        <w:rPr>
          <w:rFonts w:ascii="Palatino Linotype" w:hAnsi="Palatino Linotype"/>
          <w:i/>
          <w:sz w:val="22"/>
          <w:szCs w:val="22"/>
        </w:rPr>
      </w:pPr>
      <w:r>
        <w:rPr>
          <w:rFonts w:ascii="Palatino Linotype" w:hAnsi="Palatino Linotype"/>
          <w:i/>
          <w:sz w:val="22"/>
          <w:szCs w:val="22"/>
        </w:rPr>
        <w:t>…</w:t>
      </w:r>
    </w:p>
    <w:p w:rsidR="00DF3CA6" w:rsidRDefault="001414A8">
      <w:pPr>
        <w:ind w:left="851" w:right="902"/>
        <w:jc w:val="both"/>
        <w:rPr>
          <w:rFonts w:ascii="Palatino Linotype" w:hAnsi="Palatino Linotype"/>
          <w:i/>
          <w:sz w:val="22"/>
          <w:szCs w:val="22"/>
        </w:rPr>
      </w:pPr>
      <w:r>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Pr>
          <w:rFonts w:ascii="Palatino Linotype" w:hAnsi="Palatino Linotype"/>
          <w:i/>
          <w:sz w:val="22"/>
          <w:szCs w:val="22"/>
        </w:rPr>
        <w:t>”</w:t>
      </w:r>
    </w:p>
    <w:p w:rsidR="00DF3CA6" w:rsidRDefault="00DF3CA6">
      <w:pPr>
        <w:ind w:left="851" w:right="902"/>
        <w:jc w:val="both"/>
        <w:rPr>
          <w:rFonts w:ascii="Palatino Linotype" w:hAnsi="Palatino Linotype"/>
          <w:sz w:val="22"/>
          <w:szCs w:val="22"/>
        </w:rPr>
      </w:pPr>
    </w:p>
    <w:p w:rsidR="00DF3CA6" w:rsidRDefault="001414A8">
      <w:pPr>
        <w:ind w:left="851" w:right="902"/>
        <w:jc w:val="both"/>
        <w:rPr>
          <w:rFonts w:ascii="Palatino Linotype" w:hAnsi="Palatino Linotype"/>
          <w:sz w:val="22"/>
          <w:szCs w:val="22"/>
        </w:rPr>
      </w:pPr>
      <w:r>
        <w:rPr>
          <w:rFonts w:ascii="Palatino Linotype" w:hAnsi="Palatino Linotype"/>
          <w:sz w:val="22"/>
          <w:szCs w:val="22"/>
        </w:rPr>
        <w:t>(Énfasis añadido)</w:t>
      </w:r>
    </w:p>
    <w:p w:rsidR="00DF3CA6" w:rsidRDefault="001414A8">
      <w:pPr>
        <w:spacing w:before="200" w:after="200" w:line="360" w:lineRule="auto"/>
        <w:jc w:val="both"/>
        <w:rPr>
          <w:rFonts w:ascii="Palatino Linotype" w:hAnsi="Palatino Linotype"/>
        </w:rPr>
      </w:pPr>
      <w:r>
        <w:rPr>
          <w:rFonts w:ascii="Palatino Linotype" w:hAnsi="Palatino Linotype"/>
        </w:rPr>
        <w:lastRenderedPageBreak/>
        <w:t xml:space="preserve">Por otra parte, del </w:t>
      </w:r>
      <w:r>
        <w:rPr>
          <w:rFonts w:ascii="Palatino Linotype" w:hAnsi="Palatino Linotype" w:cs="Arial"/>
        </w:rPr>
        <w:t>contenido</w:t>
      </w:r>
      <w:r>
        <w:rPr>
          <w:rFonts w:ascii="Palatino Linotype" w:hAnsi="Palatino Linotype"/>
        </w:rPr>
        <w:t xml:space="preserve"> del artículo 1 de la Constitución Política de los Estados Unidos Mexicanos, se destaca lo siguiente:</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1o</w:t>
      </w:r>
      <w:r>
        <w:rPr>
          <w:rFonts w:ascii="Palatino Linotype" w:hAnsi="Palatino Linotype" w:cs="Arial"/>
          <w:i/>
          <w:sz w:val="22"/>
          <w:szCs w:val="22"/>
        </w:rPr>
        <w:t>. En los Estados Unidos Mexicanos todas las personas gozarán de los derechos humanos reconocidos en esta Constitución y en los tratados intern</w:t>
      </w:r>
      <w:r>
        <w:rPr>
          <w:rFonts w:ascii="Palatino Linotype" w:hAnsi="Palatino Linotype" w:cs="Arial"/>
          <w:i/>
          <w:sz w:val="22"/>
          <w:szCs w:val="22"/>
        </w:rPr>
        <w:t>acionales de los que el Estado Mexicano sea parte, así como de las garantías para su protección, cuyo ejercicio no podrá restringirse ni suspenderse, salvo en los casos y bajo las condiciones que esta Constitución establece.</w:t>
      </w:r>
    </w:p>
    <w:p w:rsidR="00DF3CA6" w:rsidRDefault="00DF3CA6">
      <w:pPr>
        <w:ind w:left="851" w:right="902"/>
        <w:jc w:val="both"/>
        <w:rPr>
          <w:rFonts w:ascii="Palatino Linotype" w:hAnsi="Palatino Linotype" w:cs="Arial"/>
          <w:b/>
          <w:i/>
          <w:sz w:val="22"/>
          <w:szCs w:val="22"/>
        </w:rPr>
      </w:pPr>
    </w:p>
    <w:p w:rsidR="00DF3CA6" w:rsidRDefault="001414A8">
      <w:pPr>
        <w:ind w:left="851" w:right="902"/>
        <w:jc w:val="both"/>
        <w:rPr>
          <w:rFonts w:ascii="Palatino Linotype" w:hAnsi="Palatino Linotype" w:cs="Arial"/>
          <w:b/>
          <w:i/>
          <w:sz w:val="22"/>
          <w:szCs w:val="22"/>
        </w:rPr>
      </w:pPr>
      <w:r>
        <w:rPr>
          <w:rFonts w:ascii="Palatino Linotype" w:hAnsi="Palatino Linotype" w:cs="Arial"/>
          <w:b/>
          <w:i/>
          <w:sz w:val="22"/>
          <w:szCs w:val="22"/>
        </w:rPr>
        <w:t>Las normas relativas a los der</w:t>
      </w:r>
      <w:r>
        <w:rPr>
          <w:rFonts w:ascii="Palatino Linotype" w:hAnsi="Palatino Linotype" w:cs="Arial"/>
          <w:b/>
          <w:i/>
          <w:sz w:val="22"/>
          <w:szCs w:val="22"/>
        </w:rPr>
        <w:t>echos humanos se interpretarán</w:t>
      </w:r>
      <w:r>
        <w:rPr>
          <w:rFonts w:ascii="Palatino Linotype" w:hAnsi="Palatino Linotype" w:cs="Arial"/>
          <w:i/>
          <w:sz w:val="22"/>
          <w:szCs w:val="22"/>
        </w:rPr>
        <w:t xml:space="preserve"> de conformidad con esta Constitución y con los tratados internacionales de la </w:t>
      </w:r>
      <w:r>
        <w:rPr>
          <w:rFonts w:ascii="Palatino Linotype" w:hAnsi="Palatino Linotype" w:cs="Arial"/>
          <w:b/>
          <w:i/>
          <w:sz w:val="22"/>
          <w:szCs w:val="22"/>
        </w:rPr>
        <w:t>materia favoreciendo en todo tiempo a las personas la protección más amplia.</w:t>
      </w:r>
    </w:p>
    <w:p w:rsidR="00DF3CA6" w:rsidRDefault="00DF3CA6">
      <w:pPr>
        <w:ind w:left="851" w:right="902"/>
        <w:jc w:val="both"/>
        <w:rPr>
          <w:rFonts w:ascii="Palatino Linotype" w:hAnsi="Palatino Linotype" w:cs="Arial"/>
          <w:b/>
          <w:i/>
          <w:sz w:val="22"/>
          <w:szCs w:val="22"/>
        </w:rPr>
      </w:pPr>
    </w:p>
    <w:p w:rsidR="00DF3CA6" w:rsidRDefault="001414A8">
      <w:pPr>
        <w:ind w:left="851" w:right="902"/>
        <w:jc w:val="both"/>
        <w:rPr>
          <w:rFonts w:ascii="Palatino Linotype" w:hAnsi="Palatino Linotype" w:cs="Arial"/>
          <w:i/>
          <w:sz w:val="22"/>
          <w:szCs w:val="22"/>
        </w:rPr>
      </w:pPr>
      <w:r>
        <w:rPr>
          <w:rFonts w:ascii="Palatino Linotype" w:hAnsi="Palatino Linotype" w:cs="Arial"/>
          <w:b/>
          <w:i/>
          <w:sz w:val="22"/>
          <w:szCs w:val="22"/>
        </w:rPr>
        <w:t>Todas las autoridades, en el ámbito de sus competencias, tienen la ob</w:t>
      </w:r>
      <w:r>
        <w:rPr>
          <w:rFonts w:ascii="Palatino Linotype" w:hAnsi="Palatino Linotype" w:cs="Arial"/>
          <w:b/>
          <w:i/>
          <w:sz w:val="22"/>
          <w:szCs w:val="22"/>
        </w:rPr>
        <w:t>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rPr>
        <w:t>. En consecuencia, el Estado deberá prevenir, investigar, sancionar y reparar la</w:t>
      </w:r>
      <w:r>
        <w:rPr>
          <w:rFonts w:ascii="Palatino Linotype" w:hAnsi="Palatino Linotype" w:cs="Arial"/>
          <w:i/>
          <w:sz w:val="22"/>
          <w:szCs w:val="22"/>
        </w:rPr>
        <w:t>s violaciones a los derechos humanos, en los términos que establezca la ley.”</w:t>
      </w:r>
    </w:p>
    <w:p w:rsidR="00DF3CA6" w:rsidRDefault="00DF3CA6">
      <w:pPr>
        <w:ind w:left="851" w:right="902"/>
        <w:jc w:val="both"/>
        <w:rPr>
          <w:rFonts w:ascii="Palatino Linotype" w:hAnsi="Palatino Linotype"/>
          <w:sz w:val="22"/>
          <w:szCs w:val="22"/>
        </w:rPr>
      </w:pPr>
    </w:p>
    <w:p w:rsidR="00DF3CA6" w:rsidRDefault="001414A8">
      <w:pPr>
        <w:ind w:left="851" w:right="902"/>
        <w:jc w:val="both"/>
        <w:rPr>
          <w:rFonts w:ascii="Palatino Linotype" w:hAnsi="Palatino Linotype"/>
          <w:sz w:val="22"/>
          <w:szCs w:val="22"/>
        </w:rPr>
      </w:pPr>
      <w:r>
        <w:rPr>
          <w:rFonts w:ascii="Palatino Linotype" w:hAnsi="Palatino Linotype"/>
          <w:sz w:val="22"/>
          <w:szCs w:val="22"/>
        </w:rPr>
        <w:t>(Énfasis añadido)</w:t>
      </w:r>
    </w:p>
    <w:p w:rsidR="00DF3CA6" w:rsidRDefault="001414A8">
      <w:pPr>
        <w:spacing w:before="200" w:after="200" w:line="360" w:lineRule="auto"/>
        <w:jc w:val="both"/>
        <w:rPr>
          <w:rFonts w:ascii="Palatino Linotype" w:hAnsi="Palatino Linotype"/>
        </w:rPr>
      </w:pPr>
      <w:r>
        <w:rPr>
          <w:rFonts w:ascii="Palatino Linotype" w:hAnsi="Palatino Linotype"/>
        </w:rPr>
        <w:t xml:space="preserve">En esa virtud, de una interpretación sistemática, armónica y progresiva del derecho humano de acceso a la información pública se reitera que toda persona, sin </w:t>
      </w:r>
      <w:r>
        <w:rPr>
          <w:rFonts w:ascii="Palatino Linotype" w:hAnsi="Palatino Linotype"/>
        </w:rPr>
        <w:t xml:space="preserve">necesidad de acreditar interés </w:t>
      </w:r>
      <w:r>
        <w:rPr>
          <w:rFonts w:ascii="Palatino Linotype" w:hAnsi="Palatino Linotype" w:cs="Arial"/>
        </w:rPr>
        <w:t>alguno</w:t>
      </w:r>
      <w:r>
        <w:rPr>
          <w:rFonts w:ascii="Palatino Linotype" w:hAnsi="Palatino Linotype"/>
        </w:rPr>
        <w:t xml:space="preserve">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w:t>
      </w:r>
      <w:r>
        <w:rPr>
          <w:rFonts w:ascii="Palatino Linotype" w:hAnsi="Palatino Linotype"/>
        </w:rPr>
        <w:t xml:space="preserve"> la posibilidad de que inclusive, la solicitud de acceso a la información pueda ser anónima o no contener un nombre que identifique al solicitante o que permita tener certeza sobre su identidad.</w:t>
      </w:r>
    </w:p>
    <w:p w:rsidR="00DF3CA6" w:rsidRDefault="001414A8">
      <w:pPr>
        <w:spacing w:before="200" w:after="200" w:line="360" w:lineRule="auto"/>
        <w:jc w:val="both"/>
        <w:rPr>
          <w:rFonts w:ascii="Palatino Linotype" w:hAnsi="Palatino Linotype"/>
        </w:rPr>
      </w:pPr>
      <w:r>
        <w:rPr>
          <w:rFonts w:ascii="Palatino Linotype" w:hAnsi="Palatino Linotype"/>
        </w:rPr>
        <w:t xml:space="preserve">Robustece lo anterior, el Criterio 6/2014 del entonces </w:t>
      </w:r>
      <w:r>
        <w:rPr>
          <w:rFonts w:ascii="Palatino Linotype" w:hAnsi="Palatino Linotype"/>
          <w:szCs w:val="20"/>
        </w:rPr>
        <w:t>Instit</w:t>
      </w:r>
      <w:r>
        <w:rPr>
          <w:rFonts w:ascii="Palatino Linotype" w:hAnsi="Palatino Linotype"/>
          <w:szCs w:val="20"/>
        </w:rPr>
        <w:t xml:space="preserve">uto Federal de Acceso a la Información y </w:t>
      </w:r>
      <w:r>
        <w:rPr>
          <w:rFonts w:ascii="Palatino Linotype" w:hAnsi="Palatino Linotype" w:cs="Arial"/>
        </w:rPr>
        <w:t>Protección</w:t>
      </w:r>
      <w:r>
        <w:rPr>
          <w:rFonts w:ascii="Palatino Linotype" w:hAnsi="Palatino Linotype"/>
          <w:szCs w:val="20"/>
        </w:rPr>
        <w:t xml:space="preserve"> de Datos (IFAI) hoy Instituto Nacional de Transparencia, </w:t>
      </w:r>
      <w:r>
        <w:rPr>
          <w:rFonts w:ascii="Palatino Linotype" w:hAnsi="Palatino Linotype"/>
          <w:szCs w:val="20"/>
        </w:rPr>
        <w:lastRenderedPageBreak/>
        <w:t>Acceso a la Información y Protección de Datos Personales (INAI)</w:t>
      </w:r>
      <w:r>
        <w:rPr>
          <w:rFonts w:ascii="Palatino Linotype" w:hAnsi="Palatino Linotype"/>
        </w:rPr>
        <w:t>, el cual se reproduce para una mayor referencia:</w:t>
      </w:r>
    </w:p>
    <w:p w:rsidR="00DF3CA6" w:rsidRDefault="001414A8">
      <w:pPr>
        <w:ind w:left="851" w:right="902"/>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Acceso a información gubernamenta</w:t>
      </w:r>
      <w:r>
        <w:rPr>
          <w:rFonts w:ascii="Palatino Linotype" w:hAnsi="Palatino Linotype" w:cs="Arial"/>
          <w:b/>
          <w:i/>
          <w:sz w:val="22"/>
          <w:szCs w:val="22"/>
        </w:rPr>
        <w:t>l. No debe condicionarse a que el solicitante acredite su personalidad, demuestre interés alguno o justifique su utilización.</w:t>
      </w:r>
      <w:r>
        <w:rPr>
          <w:rFonts w:ascii="Palatino Linotype" w:hAnsi="Palatino Linotype" w:cs="Arial"/>
          <w:i/>
          <w:sz w:val="22"/>
          <w:szCs w:val="22"/>
        </w:rPr>
        <w:t xml:space="preserve"> De conformidad con lo dispuesto en los artículos 6o., apartado A, fracción III de la Constitución Política de los Estados Unidos M</w:t>
      </w:r>
      <w:r>
        <w:rPr>
          <w:rFonts w:ascii="Palatino Linotype" w:hAnsi="Palatino Linotype" w:cs="Arial"/>
          <w:i/>
          <w:sz w:val="22"/>
          <w:szCs w:val="22"/>
        </w:rPr>
        <w:t>exicanos, y 1º, 2º, 4º y 40 de la Ley Federal de Transparencia y Acceso a la Información Pública Gubernamental, la respuesta a una solicitud de acceso a información y entrega de la misma, no debe estar condicionada a que el particular acredite su personali</w:t>
      </w:r>
      <w:r>
        <w:rPr>
          <w:rFonts w:ascii="Palatino Linotype" w:hAnsi="Palatino Linotype" w:cs="Arial"/>
          <w:i/>
          <w:sz w:val="22"/>
          <w:szCs w:val="22"/>
        </w:rPr>
        <w:t xml:space="preserve">dad, demuestre interés alguno o justifique su utilización, en virtud de que los sujetos obligados no deben requerir al solicitante mayores requisitos que los establecidos en la Ley. En este sentido, las dependencias y entidades, sólo deberán asegurarse de </w:t>
      </w:r>
      <w:r>
        <w:rPr>
          <w:rFonts w:ascii="Palatino Linotype" w:hAnsi="Palatino Linotype" w:cs="Arial"/>
          <w:i/>
          <w:sz w:val="22"/>
          <w:szCs w:val="22"/>
        </w:rPr>
        <w:t>que, en su caso, se haya cubierto el pago de reproducción y envío de la información, mediante la exhibición del recibo correspondiente.</w:t>
      </w:r>
    </w:p>
    <w:p w:rsidR="00DF3CA6" w:rsidRDefault="00DF3CA6">
      <w:pPr>
        <w:ind w:left="851" w:right="902"/>
        <w:jc w:val="both"/>
        <w:rPr>
          <w:rFonts w:ascii="Palatino Linotype" w:hAnsi="Palatino Linotype" w:cs="Arial"/>
          <w:i/>
          <w:sz w:val="22"/>
          <w:szCs w:val="22"/>
        </w:rPr>
      </w:pP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Resoluciones</w:t>
      </w:r>
    </w:p>
    <w:p w:rsidR="00DF3CA6" w:rsidRDefault="001414A8">
      <w:pPr>
        <w:ind w:left="851" w:right="902"/>
        <w:jc w:val="both"/>
        <w:rPr>
          <w:rFonts w:ascii="Palatino Linotype" w:hAnsi="Palatino Linotype" w:cs="Arial"/>
          <w:i/>
          <w:sz w:val="22"/>
          <w:szCs w:val="22"/>
        </w:rPr>
      </w:pPr>
      <w:r>
        <w:rPr>
          <w:rFonts w:ascii="Palatino Linotype" w:hAnsi="Palatino Linotype" w:cs="Arial"/>
          <w:b/>
          <w:i/>
          <w:sz w:val="22"/>
          <w:szCs w:val="22"/>
        </w:rPr>
        <w:t>• RDA 5275/13</w:t>
      </w:r>
      <w:r>
        <w:rPr>
          <w:rFonts w:ascii="Palatino Linotype" w:hAnsi="Palatino Linotype" w:cs="Arial"/>
          <w:i/>
          <w:sz w:val="22"/>
          <w:szCs w:val="22"/>
        </w:rPr>
        <w:t>. Interpuesto en contra de la Secretaría de la Defensa Nacional. Comisionado Ponente Ángel Tr</w:t>
      </w:r>
      <w:r>
        <w:rPr>
          <w:rFonts w:ascii="Palatino Linotype" w:hAnsi="Palatino Linotype" w:cs="Arial"/>
          <w:i/>
          <w:sz w:val="22"/>
          <w:szCs w:val="22"/>
        </w:rPr>
        <w:t>inidad Zaldívar.</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2937/13</w:t>
      </w:r>
      <w:r>
        <w:rPr>
          <w:rFonts w:ascii="Palatino Linotype" w:hAnsi="Palatino Linotype" w:cs="Arial"/>
          <w:i/>
          <w:sz w:val="22"/>
          <w:szCs w:val="22"/>
        </w:rPr>
        <w:t xml:space="preserve">. Interpuesto en contra de LICONSA, S.A. de C.V. Comisionado. Ponente Gerardo </w:t>
      </w:r>
      <w:proofErr w:type="spellStart"/>
      <w:r>
        <w:rPr>
          <w:rFonts w:ascii="Palatino Linotype" w:hAnsi="Palatino Linotype" w:cs="Arial"/>
          <w:i/>
          <w:sz w:val="22"/>
          <w:szCs w:val="22"/>
        </w:rPr>
        <w:t>Laveaga</w:t>
      </w:r>
      <w:proofErr w:type="spellEnd"/>
      <w:r>
        <w:rPr>
          <w:rFonts w:ascii="Palatino Linotype" w:hAnsi="Palatino Linotype" w:cs="Arial"/>
          <w:i/>
          <w:sz w:val="22"/>
          <w:szCs w:val="22"/>
        </w:rPr>
        <w:t xml:space="preserve"> Rendón.</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3609/12</w:t>
      </w:r>
      <w:r>
        <w:rPr>
          <w:rFonts w:ascii="Palatino Linotype" w:hAnsi="Palatino Linotype" w:cs="Arial"/>
          <w:i/>
          <w:sz w:val="22"/>
          <w:szCs w:val="22"/>
        </w:rPr>
        <w:t xml:space="preserve">. Interpuesto en contra de la Secretaría de Educación Pública. Comisionada Ponente Sigrid </w:t>
      </w:r>
      <w:proofErr w:type="spellStart"/>
      <w:r>
        <w:rPr>
          <w:rFonts w:ascii="Palatino Linotype" w:hAnsi="Palatino Linotype" w:cs="Arial"/>
          <w:i/>
          <w:sz w:val="22"/>
          <w:szCs w:val="22"/>
        </w:rPr>
        <w:t>Arzt</w:t>
      </w:r>
      <w:proofErr w:type="spellEnd"/>
      <w:r>
        <w:rPr>
          <w:rFonts w:ascii="Palatino Linotype" w:hAnsi="Palatino Linotype" w:cs="Arial"/>
          <w:i/>
          <w:sz w:val="22"/>
          <w:szCs w:val="22"/>
        </w:rPr>
        <w:t xml:space="preserve"> Colunga.</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3361/12</w:t>
      </w:r>
      <w:r>
        <w:rPr>
          <w:rFonts w:ascii="Palatino Linotype" w:hAnsi="Palatino Linotype" w:cs="Arial"/>
          <w:i/>
          <w:sz w:val="22"/>
          <w:szCs w:val="22"/>
        </w:rPr>
        <w:t xml:space="preserve">. </w:t>
      </w:r>
      <w:r>
        <w:rPr>
          <w:rFonts w:ascii="Palatino Linotype" w:hAnsi="Palatino Linotype" w:cs="Arial"/>
          <w:i/>
          <w:sz w:val="22"/>
          <w:szCs w:val="22"/>
        </w:rPr>
        <w:t>Interpuesto en contra del Servicio de Administración Tributaria. Comisionada Ponente María Elena Pérez-Jaén Zermeño.</w:t>
      </w:r>
    </w:p>
    <w:p w:rsidR="00DF3CA6" w:rsidRDefault="001414A8">
      <w:pPr>
        <w:ind w:left="851" w:right="902"/>
        <w:jc w:val="both"/>
        <w:rPr>
          <w:rFonts w:ascii="Palatino Linotype" w:hAnsi="Palatino Linotype" w:cs="Arial"/>
          <w:i/>
          <w:sz w:val="22"/>
          <w:szCs w:val="22"/>
        </w:rPr>
      </w:pPr>
      <w:r>
        <w:rPr>
          <w:rFonts w:ascii="Palatino Linotype" w:hAnsi="Palatino Linotype" w:cs="Arial"/>
          <w:i/>
          <w:sz w:val="22"/>
          <w:szCs w:val="22"/>
        </w:rPr>
        <w:t xml:space="preserve">• </w:t>
      </w:r>
      <w:r>
        <w:rPr>
          <w:rFonts w:ascii="Palatino Linotype" w:hAnsi="Palatino Linotype" w:cs="Arial"/>
          <w:b/>
          <w:i/>
          <w:sz w:val="22"/>
          <w:szCs w:val="22"/>
        </w:rPr>
        <w:t>RDA 0563/12</w:t>
      </w:r>
      <w:r>
        <w:rPr>
          <w:rFonts w:ascii="Palatino Linotype" w:hAnsi="Palatino Linotype" w:cs="Arial"/>
          <w:i/>
          <w:sz w:val="22"/>
          <w:szCs w:val="22"/>
        </w:rPr>
        <w:t xml:space="preserve">. Interpuesto en contra de la Secretaría de la Función Pública. Comisionada Ponente Jacqueline </w:t>
      </w:r>
      <w:proofErr w:type="spellStart"/>
      <w:r>
        <w:rPr>
          <w:rFonts w:ascii="Palatino Linotype" w:hAnsi="Palatino Linotype" w:cs="Arial"/>
          <w:i/>
          <w:sz w:val="22"/>
          <w:szCs w:val="22"/>
        </w:rPr>
        <w:t>Peschard</w:t>
      </w:r>
      <w:proofErr w:type="spellEnd"/>
      <w:r>
        <w:rPr>
          <w:rFonts w:ascii="Palatino Linotype" w:hAnsi="Palatino Linotype" w:cs="Arial"/>
          <w:i/>
          <w:sz w:val="22"/>
          <w:szCs w:val="22"/>
        </w:rPr>
        <w:t xml:space="preserve"> Mariscal.” (SIC)</w:t>
      </w:r>
    </w:p>
    <w:p w:rsidR="00DF3CA6" w:rsidRDefault="001414A8">
      <w:pPr>
        <w:spacing w:beforeAutospacing="1" w:afterAutospacing="1" w:line="360" w:lineRule="auto"/>
        <w:jc w:val="both"/>
        <w:rPr>
          <w:rFonts w:ascii="Palatino Linotype" w:hAnsi="Palatino Linotype"/>
        </w:rPr>
      </w:pPr>
      <w:r>
        <w:rPr>
          <w:rFonts w:ascii="Palatino Linotype" w:hAnsi="Palatino Linotype"/>
        </w:rPr>
        <w:t xml:space="preserve">En ese orden de ideas, se estima que el requerimiento relativo al nombre como presupuesto de </w:t>
      </w:r>
      <w:proofErr w:type="spellStart"/>
      <w:r>
        <w:rPr>
          <w:rFonts w:ascii="Palatino Linotype" w:hAnsi="Palatino Linotype"/>
        </w:rPr>
        <w:t>procedibilidad</w:t>
      </w:r>
      <w:proofErr w:type="spellEnd"/>
      <w:r>
        <w:rPr>
          <w:rFonts w:ascii="Palatino Linotype" w:hAnsi="Palatino Linotype"/>
        </w:rPr>
        <w:t xml:space="preserve">, </w:t>
      </w:r>
      <w:r>
        <w:rPr>
          <w:rFonts w:ascii="Palatino Linotype" w:hAnsi="Palatino Linotype" w:cs="Arial"/>
        </w:rPr>
        <w:t>podría</w:t>
      </w:r>
      <w:r>
        <w:rPr>
          <w:rFonts w:ascii="Palatino Linotype" w:hAnsi="Palatino Linotype"/>
        </w:rPr>
        <w:t xml:space="preserve"> limitar el ejercicio del derecho de acceso a la información pública, debido a que, el hecho de solicitar la identificación del hoy </w:t>
      </w:r>
      <w:r>
        <w:rPr>
          <w:rFonts w:ascii="Palatino Linotype" w:hAnsi="Palatino Linotype" w:cs="Arial"/>
          <w:b/>
        </w:rPr>
        <w:t>RECURRENT</w:t>
      </w:r>
      <w:r>
        <w:rPr>
          <w:rFonts w:ascii="Palatino Linotype" w:hAnsi="Palatino Linotype" w:cs="Arial"/>
          <w:b/>
        </w:rPr>
        <w:t>E</w:t>
      </w:r>
      <w:r>
        <w:rPr>
          <w:rFonts w:ascii="Palatino Linotype" w:hAnsi="Palatino Linotype"/>
        </w:rPr>
        <w:t xml:space="preserve"> a través de dicho dato personal, en ciertos extremos se equipara a una exigencia acerca de su interés o justificación de su utilización, lo que materialmente haría nugatorio un </w:t>
      </w:r>
      <w:r>
        <w:rPr>
          <w:rFonts w:ascii="Palatino Linotype" w:hAnsi="Palatino Linotype"/>
          <w:szCs w:val="20"/>
        </w:rPr>
        <w:t>derecho</w:t>
      </w:r>
      <w:r>
        <w:rPr>
          <w:rFonts w:ascii="Palatino Linotype" w:hAnsi="Palatino Linotype"/>
        </w:rPr>
        <w:t xml:space="preserve"> fundamental.</w:t>
      </w:r>
    </w:p>
    <w:p w:rsidR="00DF3CA6" w:rsidRDefault="001414A8">
      <w:pPr>
        <w:spacing w:before="200" w:after="200" w:line="360" w:lineRule="auto"/>
        <w:jc w:val="both"/>
        <w:rPr>
          <w:rFonts w:ascii="Palatino Linotype" w:hAnsi="Palatino Linotype"/>
        </w:rPr>
      </w:pPr>
      <w:r>
        <w:rPr>
          <w:rFonts w:ascii="Palatino Linotype" w:hAnsi="Palatino Linotype"/>
        </w:rPr>
        <w:lastRenderedPageBreak/>
        <w:t>Aunado a ello, para el estudio de la materia sobre la qu</w:t>
      </w:r>
      <w:r>
        <w:rPr>
          <w:rFonts w:ascii="Palatino Linotype" w:hAnsi="Palatino Linotype"/>
        </w:rPr>
        <w:t xml:space="preserve">e se resuelve el presente recurso de revisión, resulta intrascendente conocer el nombre de la persona que lo hubiere promovido, en virtud de que tanto la </w:t>
      </w:r>
      <w:r>
        <w:rPr>
          <w:rFonts w:ascii="Palatino Linotype" w:hAnsi="Palatino Linotype" w:cs="Arial"/>
        </w:rPr>
        <w:t>Constitución</w:t>
      </w:r>
      <w:r>
        <w:rPr>
          <w:rFonts w:ascii="Palatino Linotype" w:hAnsi="Palatino Linotype"/>
        </w:rPr>
        <w:t xml:space="preserve"> Federal, como la Constitución Política del Estado </w:t>
      </w:r>
      <w:r>
        <w:rPr>
          <w:rFonts w:ascii="Palatino Linotype" w:hAnsi="Palatino Linotype"/>
          <w:szCs w:val="20"/>
        </w:rPr>
        <w:t>Libre</w:t>
      </w:r>
      <w:r>
        <w:rPr>
          <w:rFonts w:ascii="Palatino Linotype" w:hAnsi="Palatino Linotype"/>
        </w:rPr>
        <w:t xml:space="preserve"> y Soberano de México, reconocen l</w:t>
      </w:r>
      <w:r>
        <w:rPr>
          <w:rFonts w:ascii="Palatino Linotype" w:hAnsi="Palatino Linotype"/>
        </w:rPr>
        <w:t>a prerrogativa de los individuos para que no resulte necesario la acreditación de un interés o justificar la utilización de la información; por lo que, resulta ocioso realizar dicho análisis, en la inteligencia de que se limitaría el ejercicio de un derech</w:t>
      </w:r>
      <w:r>
        <w:rPr>
          <w:rFonts w:ascii="Palatino Linotype" w:hAnsi="Palatino Linotype"/>
        </w:rPr>
        <w:t xml:space="preserve">o humano, como el derecho de acceso a la información pública, por una cuestión procedimental. </w:t>
      </w:r>
    </w:p>
    <w:p w:rsidR="00DF3CA6" w:rsidRDefault="001414A8">
      <w:pPr>
        <w:spacing w:before="200" w:after="200" w:line="360" w:lineRule="auto"/>
        <w:jc w:val="both"/>
        <w:rPr>
          <w:rFonts w:ascii="Palatino Linotype" w:hAnsi="Palatino Linotype"/>
        </w:rPr>
      </w:pPr>
      <w:r>
        <w:rPr>
          <w:rFonts w:ascii="Palatino Linotype" w:hAnsi="Palatino Linotype"/>
        </w:rPr>
        <w:t xml:space="preserve">Asimismo, se estima que el requisito relativo al nombre del solicitante no constituye un presupuesto indispensable de </w:t>
      </w:r>
      <w:proofErr w:type="spellStart"/>
      <w:r>
        <w:rPr>
          <w:rFonts w:ascii="Palatino Linotype" w:hAnsi="Palatino Linotype"/>
        </w:rPr>
        <w:t>procedibilidad</w:t>
      </w:r>
      <w:proofErr w:type="spellEnd"/>
      <w:r>
        <w:rPr>
          <w:rFonts w:ascii="Palatino Linotype" w:hAnsi="Palatino Linotype"/>
        </w:rPr>
        <w:t xml:space="preserve"> de los recursos de revisión,</w:t>
      </w:r>
      <w:r>
        <w:rPr>
          <w:rFonts w:ascii="Palatino Linotype" w:hAnsi="Palatino Linotype"/>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w:t>
      </w:r>
      <w:r>
        <w:rPr>
          <w:rFonts w:ascii="Palatino Linotype" w:hAnsi="Palatino Linotype"/>
        </w:rPr>
        <w:t xml:space="preserve">olítica del Estado Libre y Soberano de México, </w:t>
      </w:r>
      <w:r>
        <w:rPr>
          <w:rFonts w:ascii="Palatino Linotype" w:hAnsi="Palatino Linotype"/>
          <w:szCs w:val="20"/>
        </w:rPr>
        <w:t>debido</w:t>
      </w:r>
      <w:r>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w:t>
      </w:r>
      <w:r>
        <w:rPr>
          <w:rFonts w:ascii="Palatino Linotype" w:hAnsi="Palatino Linotype"/>
        </w:rPr>
        <w:t xml:space="preserve">ón, circunstancia que se acredita en las constancias electrónicas del expediente, de las que se desprende que </w:t>
      </w:r>
      <w:r>
        <w:rPr>
          <w:rFonts w:ascii="Palatino Linotype" w:hAnsi="Palatino Linotype" w:cs="Arial"/>
          <w:b/>
        </w:rPr>
        <w:t>EL RECURRENTE</w:t>
      </w:r>
      <w:r>
        <w:rPr>
          <w:rFonts w:ascii="Palatino Linotype" w:hAnsi="Palatino Linotype"/>
        </w:rPr>
        <w:t>, es la misma persona que realizó la solicitud de acceso a la información pública que ahora se impugna.</w:t>
      </w:r>
    </w:p>
    <w:p w:rsidR="00DF3CA6" w:rsidRDefault="001414A8">
      <w:pPr>
        <w:pStyle w:val="Prrafodelista"/>
        <w:widowControl w:val="0"/>
        <w:tabs>
          <w:tab w:val="left" w:pos="1418"/>
        </w:tabs>
        <w:spacing w:before="200" w:after="200" w:line="360" w:lineRule="auto"/>
        <w:ind w:left="0"/>
        <w:jc w:val="both"/>
        <w:rPr>
          <w:rFonts w:ascii="Palatino Linotype" w:hAnsi="Palatino Linotype"/>
        </w:rPr>
      </w:pPr>
      <w:r>
        <w:rPr>
          <w:rFonts w:ascii="Palatino Linotype" w:hAnsi="Palatino Linotype"/>
        </w:rPr>
        <w:t xml:space="preserve">En adición a lo anterior, el </w:t>
      </w:r>
      <w:r>
        <w:rPr>
          <w:rFonts w:ascii="Palatino Linotype" w:hAnsi="Palatino Linotype"/>
        </w:rPr>
        <w:t xml:space="preserve">propio artículo 180 en su último párrafo establece que cuando el recurso se interponga de </w:t>
      </w:r>
      <w:r>
        <w:rPr>
          <w:rFonts w:ascii="Palatino Linotype" w:hAnsi="Palatino Linotype"/>
          <w:szCs w:val="20"/>
        </w:rPr>
        <w:t>manera</w:t>
      </w:r>
      <w:r>
        <w:rPr>
          <w:rFonts w:ascii="Palatino Linotype" w:hAnsi="Palatino Linotype"/>
        </w:rPr>
        <w:t xml:space="preserve"> electrónica no será indispensable que contenga determinados requisitos, entre ellos, el nombre del hoy</w:t>
      </w:r>
      <w:r>
        <w:rPr>
          <w:rFonts w:ascii="Palatino Linotype" w:hAnsi="Palatino Linotype" w:cs="Arial"/>
          <w:b/>
        </w:rPr>
        <w:t xml:space="preserve"> RECURRENTE</w:t>
      </w:r>
      <w:r>
        <w:rPr>
          <w:rFonts w:ascii="Palatino Linotype" w:hAnsi="Palatino Linotype"/>
        </w:rPr>
        <w:t>, por lo que en el presente caso, al haber sid</w:t>
      </w:r>
      <w:r>
        <w:rPr>
          <w:rFonts w:ascii="Palatino Linotype" w:hAnsi="Palatino Linotype"/>
        </w:rPr>
        <w:t xml:space="preserve">o presentado el recurso de revisión vía </w:t>
      </w:r>
      <w:r>
        <w:rPr>
          <w:rFonts w:ascii="Palatino Linotype" w:hAnsi="Palatino Linotype"/>
          <w:b/>
        </w:rPr>
        <w:t>SAIMEX</w:t>
      </w:r>
      <w:r>
        <w:rPr>
          <w:rFonts w:ascii="Palatino Linotype" w:hAnsi="Palatino Linotype"/>
        </w:rPr>
        <w:t xml:space="preserve">, </w:t>
      </w:r>
      <w:r>
        <w:rPr>
          <w:rFonts w:ascii="Palatino Linotype" w:hAnsi="Palatino Linotype"/>
        </w:rPr>
        <w:lastRenderedPageBreak/>
        <w:t>dicho requisito resulta innecesario.</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cs="Arial"/>
          <w:b/>
          <w:sz w:val="28"/>
          <w:szCs w:val="28"/>
          <w:lang w:val="es-ES"/>
        </w:rPr>
        <w:t>QUINTO</w:t>
      </w:r>
      <w:r>
        <w:rPr>
          <w:rFonts w:ascii="Palatino Linotype" w:hAnsi="Palatino Linotype" w:cs="Arial"/>
          <w:b/>
          <w:lang w:val="es-ES"/>
        </w:rPr>
        <w:t xml:space="preserve">. </w:t>
      </w:r>
      <w:r>
        <w:rPr>
          <w:rFonts w:ascii="Palatino Linotype" w:hAnsi="Palatino Linotype" w:cs="Arial"/>
          <w:b/>
          <w:color w:val="000000" w:themeColor="text1"/>
          <w:lang w:val="es-ES"/>
        </w:rPr>
        <w:t xml:space="preserve">Estudio y resolución del asunto. </w:t>
      </w:r>
      <w:r>
        <w:rPr>
          <w:rFonts w:ascii="Palatino Linotype" w:hAnsi="Palatino Linotype"/>
        </w:rPr>
        <w:t xml:space="preserve">Una vez determinada la vía sobre la que versará el presente recurso y previa revisión del expediente electrónico formado en </w:t>
      </w:r>
      <w:r>
        <w:rPr>
          <w:rFonts w:ascii="Palatino Linotype" w:hAnsi="Palatino Linotype"/>
          <w:b/>
        </w:rPr>
        <w:t>EL SAI</w:t>
      </w:r>
      <w:r>
        <w:rPr>
          <w:rFonts w:ascii="Palatino Linotype" w:hAnsi="Palatino Linotype"/>
          <w:b/>
        </w:rPr>
        <w:t>MEX</w:t>
      </w:r>
      <w:r>
        <w:rPr>
          <w:rFonts w:ascii="Palatino Linotype" w:hAnsi="Palatino Linotype"/>
        </w:rPr>
        <w:t xml:space="preserve"> motivo de la solicitud de información, se precisa que </w:t>
      </w:r>
      <w:r>
        <w:rPr>
          <w:rFonts w:ascii="Palatino Linotype" w:hAnsi="Palatino Linotype"/>
          <w:b/>
        </w:rPr>
        <w:t>EL RECURRENTE</w:t>
      </w:r>
      <w:r>
        <w:rPr>
          <w:rFonts w:ascii="Palatino Linotype" w:hAnsi="Palatino Linotype"/>
        </w:rPr>
        <w:t xml:space="preserve"> solicitó al </w:t>
      </w:r>
      <w:r>
        <w:rPr>
          <w:rFonts w:ascii="Palatino Linotype" w:hAnsi="Palatino Linotype" w:cs="Arial"/>
          <w:b/>
        </w:rPr>
        <w:t>SUJETO OBLIGADO</w:t>
      </w:r>
      <w:r>
        <w:rPr>
          <w:rFonts w:ascii="Palatino Linotype" w:hAnsi="Palatino Linotype"/>
        </w:rPr>
        <w:t xml:space="preserve"> en copia certificada con costo cada una de las estimaciones autorizadas y tramitadas para el pago de los contratos de obra pública a precio unitario y tiemp</w:t>
      </w:r>
      <w:r>
        <w:rPr>
          <w:rFonts w:ascii="Palatino Linotype" w:hAnsi="Palatino Linotype"/>
        </w:rPr>
        <w:t>o de terminado números OP-13-0222 y OP-13-0223, así como las respectivas facturas, autorizaciones de pago y estados de cuenta en donde se reflejan los pagos del total de las facturas y en su caso las transferencias electrónicas.</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rPr>
        <w:t xml:space="preserve">Así, en respuesta </w:t>
      </w:r>
      <w:r>
        <w:rPr>
          <w:rFonts w:ascii="Palatino Linotype" w:hAnsi="Palatino Linotype"/>
          <w:b/>
        </w:rPr>
        <w:t>EL SUJETO</w:t>
      </w:r>
      <w:r>
        <w:rPr>
          <w:rFonts w:ascii="Palatino Linotype" w:hAnsi="Palatino Linotype"/>
          <w:b/>
        </w:rPr>
        <w:t xml:space="preserve"> OBLIGADO </w:t>
      </w:r>
      <w:r>
        <w:rPr>
          <w:rFonts w:ascii="Palatino Linotype" w:hAnsi="Palatino Linotype"/>
        </w:rPr>
        <w:t>indicó que de acuerdo con lo establecido en el artículo 22 del Reglamento Interior de la Secretaría de Finanzas y después de haber realizado una búsqueda exhaustiva en los archivos de la Dirección General de Inversión no se encontró información r</w:t>
      </w:r>
      <w:r>
        <w:rPr>
          <w:rFonts w:ascii="Palatino Linotype" w:hAnsi="Palatino Linotype"/>
        </w:rPr>
        <w:t>elacionada con los contratos solicitados.</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rPr>
        <w:t xml:space="preserve">Inconforme con dicha respuesta </w:t>
      </w:r>
      <w:r>
        <w:rPr>
          <w:rFonts w:ascii="Palatino Linotype" w:hAnsi="Palatino Linotype"/>
          <w:b/>
        </w:rPr>
        <w:t xml:space="preserve">EL RECURRENTE </w:t>
      </w:r>
      <w:r>
        <w:rPr>
          <w:rFonts w:ascii="Palatino Linotype" w:hAnsi="Palatino Linotype"/>
        </w:rPr>
        <w:t>interpuso el presente medio de impugnación doliéndose de lo siguiente:</w:t>
      </w:r>
    </w:p>
    <w:p w:rsidR="00DF3CA6" w:rsidRDefault="001414A8">
      <w:pPr>
        <w:ind w:left="851" w:right="899"/>
        <w:jc w:val="both"/>
        <w:rPr>
          <w:rFonts w:ascii="Palatino Linotype" w:hAnsi="Palatino Linotype" w:cs="Arial"/>
          <w:b/>
          <w:i/>
          <w:sz w:val="22"/>
          <w:szCs w:val="22"/>
        </w:rPr>
      </w:pPr>
      <w:r>
        <w:rPr>
          <w:rFonts w:ascii="Palatino Linotype" w:hAnsi="Palatino Linotype" w:cs="Arial"/>
          <w:b/>
          <w:i/>
          <w:sz w:val="22"/>
          <w:szCs w:val="22"/>
        </w:rPr>
        <w:t>“…PRIMERO.</w:t>
      </w:r>
      <w:r>
        <w:rPr>
          <w:rFonts w:ascii="Palatino Linotype" w:hAnsi="Palatino Linotype" w:cs="Arial"/>
          <w:i/>
          <w:sz w:val="22"/>
          <w:szCs w:val="22"/>
        </w:rPr>
        <w:t xml:space="preserve"> Derivado de la respuesta otorgada a la solicitud de acceso a la información pública de </w:t>
      </w:r>
      <w:r>
        <w:rPr>
          <w:rFonts w:ascii="Palatino Linotype" w:hAnsi="Palatino Linotype" w:cs="Arial"/>
          <w:i/>
          <w:sz w:val="22"/>
          <w:szCs w:val="22"/>
        </w:rPr>
        <w:t xml:space="preserve">mérito, </w:t>
      </w:r>
      <w:r>
        <w:rPr>
          <w:rFonts w:ascii="Palatino Linotype" w:hAnsi="Palatino Linotype" w:cs="Arial"/>
          <w:b/>
          <w:i/>
          <w:sz w:val="22"/>
          <w:szCs w:val="22"/>
        </w:rPr>
        <w:t xml:space="preserve">se advierte que la misma no se sustentó en la búsqueda exhaustiva y razonable de la información, ya que únicamente se limitó a enunciar que no se encontró información relacionada con los contratos en comento; siendo que, no tengo la certeza que se </w:t>
      </w:r>
      <w:r>
        <w:rPr>
          <w:rFonts w:ascii="Palatino Linotype" w:hAnsi="Palatino Linotype" w:cs="Arial"/>
          <w:b/>
          <w:i/>
          <w:sz w:val="22"/>
          <w:szCs w:val="22"/>
        </w:rPr>
        <w:t>hubiera turnado el requerimiento de información a las diferentes áreas competentes para tener la información dentro de sus archivos.</w:t>
      </w:r>
    </w:p>
    <w:p w:rsidR="00DF3CA6" w:rsidRDefault="00DF3CA6">
      <w:pPr>
        <w:ind w:left="851" w:right="899"/>
        <w:jc w:val="both"/>
        <w:rPr>
          <w:rFonts w:ascii="Palatino Linotype" w:hAnsi="Palatino Linotype" w:cs="Arial"/>
          <w:i/>
          <w:sz w:val="22"/>
          <w:szCs w:val="22"/>
        </w:rPr>
      </w:pPr>
    </w:p>
    <w:p w:rsidR="00DF3CA6" w:rsidRDefault="001414A8">
      <w:pPr>
        <w:ind w:left="851" w:right="899"/>
        <w:jc w:val="both"/>
        <w:rPr>
          <w:rFonts w:ascii="Palatino Linotype" w:hAnsi="Palatino Linotype" w:cs="Arial"/>
          <w:i/>
          <w:sz w:val="22"/>
          <w:szCs w:val="22"/>
        </w:rPr>
      </w:pPr>
      <w:r>
        <w:rPr>
          <w:rFonts w:ascii="Palatino Linotype" w:hAnsi="Palatino Linotype" w:cs="Arial"/>
          <w:i/>
          <w:sz w:val="22"/>
          <w:szCs w:val="22"/>
        </w:rPr>
        <w:t xml:space="preserve">Lo anterior, </w:t>
      </w:r>
      <w:r>
        <w:rPr>
          <w:rFonts w:ascii="Palatino Linotype" w:hAnsi="Palatino Linotype" w:cs="Arial"/>
          <w:b/>
          <w:i/>
          <w:sz w:val="22"/>
          <w:szCs w:val="22"/>
        </w:rPr>
        <w:t>trasciende en una afectación a mi derecho de acceso a la información pública, ya que, la búsqueda de informac</w:t>
      </w:r>
      <w:r>
        <w:rPr>
          <w:rFonts w:ascii="Palatino Linotype" w:hAnsi="Palatino Linotype" w:cs="Arial"/>
          <w:b/>
          <w:i/>
          <w:sz w:val="22"/>
          <w:szCs w:val="22"/>
        </w:rPr>
        <w:t xml:space="preserve">ión en comento de </w:t>
      </w:r>
      <w:r>
        <w:rPr>
          <w:rFonts w:ascii="Palatino Linotype" w:hAnsi="Palatino Linotype" w:cs="Arial"/>
          <w:b/>
          <w:i/>
          <w:sz w:val="22"/>
          <w:szCs w:val="22"/>
        </w:rPr>
        <w:lastRenderedPageBreak/>
        <w:t>ninguna forma se advierte que hubiese sido exhaustiva ni razonable</w:t>
      </w:r>
      <w:r>
        <w:rPr>
          <w:rFonts w:ascii="Palatino Linotype" w:hAnsi="Palatino Linotype" w:cs="Arial"/>
          <w:i/>
          <w:sz w:val="22"/>
          <w:szCs w:val="22"/>
        </w:rPr>
        <w:t>, es decir, no garantiza que se llevaron a cabo todas las gestiones necesarias para atender la solicitud de acceso presentada. Lo anterior, en observancia de lo establecido</w:t>
      </w:r>
      <w:r>
        <w:rPr>
          <w:rFonts w:ascii="Palatino Linotype" w:hAnsi="Palatino Linotype" w:cs="Arial"/>
          <w:i/>
          <w:sz w:val="22"/>
          <w:szCs w:val="22"/>
        </w:rPr>
        <w:t xml:space="preserve"> en los artículos 53, fracción IV, 59, fracciones I y II y 162 de la Ley de Transparencia y Acceso a la Información Pública del Estado de México y Municipios…</w:t>
      </w:r>
    </w:p>
    <w:p w:rsidR="00DF3CA6" w:rsidRDefault="00DF3CA6">
      <w:pPr>
        <w:ind w:left="851" w:right="899"/>
        <w:jc w:val="both"/>
        <w:rPr>
          <w:rFonts w:ascii="Palatino Linotype" w:hAnsi="Palatino Linotype" w:cs="Arial"/>
          <w:i/>
          <w:sz w:val="22"/>
          <w:szCs w:val="22"/>
        </w:rPr>
      </w:pPr>
    </w:p>
    <w:p w:rsidR="00DF3CA6" w:rsidRDefault="001414A8">
      <w:pPr>
        <w:ind w:left="851" w:right="899"/>
        <w:jc w:val="both"/>
        <w:rPr>
          <w:rFonts w:ascii="Palatino Linotype" w:hAnsi="Palatino Linotype" w:cs="Arial"/>
          <w:b/>
          <w:i/>
          <w:sz w:val="22"/>
          <w:szCs w:val="22"/>
        </w:rPr>
      </w:pPr>
      <w:r>
        <w:rPr>
          <w:rFonts w:ascii="Palatino Linotype" w:hAnsi="Palatino Linotype" w:cs="Arial"/>
          <w:b/>
          <w:i/>
          <w:sz w:val="22"/>
          <w:szCs w:val="22"/>
        </w:rPr>
        <w:t>CUARTO</w:t>
      </w:r>
      <w:r>
        <w:rPr>
          <w:rFonts w:ascii="Palatino Linotype" w:hAnsi="Palatino Linotype" w:cs="Arial"/>
          <w:i/>
          <w:sz w:val="22"/>
          <w:szCs w:val="22"/>
        </w:rPr>
        <w:t>. Finalmente, del análisis de la respuesta que me fue notificada en la vía primigenia</w:t>
      </w:r>
      <w:r>
        <w:rPr>
          <w:rFonts w:ascii="Palatino Linotype" w:hAnsi="Palatino Linotype" w:cs="Arial"/>
          <w:b/>
          <w:i/>
          <w:sz w:val="22"/>
          <w:szCs w:val="22"/>
        </w:rPr>
        <w:t xml:space="preserve">, no </w:t>
      </w:r>
      <w:r>
        <w:rPr>
          <w:rFonts w:ascii="Palatino Linotype" w:hAnsi="Palatino Linotype" w:cs="Arial"/>
          <w:b/>
          <w:i/>
          <w:sz w:val="22"/>
          <w:szCs w:val="22"/>
        </w:rPr>
        <w:t>pasa desapercibido que con dolo y/o mala fe el servidor público habilitado (suplente) de la Dirección General de Inversión de la Secretaria de Finanzas, proporciona la respuesta derivado de un contrato incorrecto;</w:t>
      </w:r>
      <w:r>
        <w:rPr>
          <w:rFonts w:ascii="Palatino Linotype" w:hAnsi="Palatino Linotype" w:cs="Arial"/>
          <w:i/>
          <w:sz w:val="22"/>
          <w:szCs w:val="22"/>
        </w:rPr>
        <w:t xml:space="preserve"> se dice lo anterior, toda vez que, de la l</w:t>
      </w:r>
      <w:r>
        <w:rPr>
          <w:rFonts w:ascii="Palatino Linotype" w:hAnsi="Palatino Linotype" w:cs="Arial"/>
          <w:i/>
          <w:sz w:val="22"/>
          <w:szCs w:val="22"/>
        </w:rPr>
        <w:t xml:space="preserve">ectura del oficio número 20704000020000S/026/2020, fechado el veinte de enero de dos mil veinte, </w:t>
      </w:r>
      <w:r>
        <w:rPr>
          <w:rFonts w:ascii="Palatino Linotype" w:hAnsi="Palatino Linotype" w:cs="Arial"/>
          <w:b/>
          <w:i/>
          <w:sz w:val="22"/>
          <w:szCs w:val="22"/>
        </w:rPr>
        <w:t>al transcribir el contenido de mi solicitud de acceso a la información pública que nos ocupa, lo hace de manera incorrecta sustituyendo el contrato de obra púb</w:t>
      </w:r>
      <w:r>
        <w:rPr>
          <w:rFonts w:ascii="Palatino Linotype" w:hAnsi="Palatino Linotype" w:cs="Arial"/>
          <w:b/>
          <w:i/>
          <w:sz w:val="22"/>
          <w:szCs w:val="22"/>
        </w:rPr>
        <w:t>lica OP-13-0222 por OP-13-2022.</w:t>
      </w:r>
    </w:p>
    <w:p w:rsidR="00DF3CA6" w:rsidRDefault="00DF3CA6">
      <w:pPr>
        <w:ind w:left="851" w:right="899"/>
        <w:jc w:val="both"/>
        <w:rPr>
          <w:rFonts w:ascii="Palatino Linotype" w:hAnsi="Palatino Linotype" w:cs="Arial"/>
          <w:i/>
          <w:sz w:val="22"/>
          <w:szCs w:val="22"/>
        </w:rPr>
      </w:pPr>
    </w:p>
    <w:p w:rsidR="00DF3CA6" w:rsidRDefault="001414A8">
      <w:pPr>
        <w:ind w:left="851" w:right="899"/>
        <w:jc w:val="both"/>
        <w:rPr>
          <w:rFonts w:ascii="Palatino Linotype" w:hAnsi="Palatino Linotype" w:cs="Arial"/>
          <w:i/>
          <w:sz w:val="22"/>
          <w:szCs w:val="22"/>
        </w:rPr>
      </w:pPr>
      <w:r>
        <w:rPr>
          <w:rFonts w:ascii="Palatino Linotype" w:hAnsi="Palatino Linotype" w:cs="Arial"/>
          <w:b/>
          <w:i/>
          <w:sz w:val="22"/>
          <w:szCs w:val="22"/>
        </w:rPr>
        <w:t xml:space="preserve">Lo anterior, se puede entender que trasciende al sentido de la respuesta otorgada, ya que la misma se encuentra basada en una búsqueda de información que no fue requerida, </w:t>
      </w:r>
      <w:r>
        <w:rPr>
          <w:rFonts w:ascii="Palatino Linotype" w:hAnsi="Palatino Linotype" w:cs="Arial"/>
          <w:i/>
          <w:sz w:val="22"/>
          <w:szCs w:val="22"/>
        </w:rPr>
        <w:t>siendo absoluta responsabilidad del servidor públic</w:t>
      </w:r>
      <w:r>
        <w:rPr>
          <w:rFonts w:ascii="Palatino Linotype" w:hAnsi="Palatino Linotype" w:cs="Arial"/>
          <w:i/>
          <w:sz w:val="22"/>
          <w:szCs w:val="22"/>
        </w:rPr>
        <w:t>o habilitado y de la Unidad de Transparencia.</w:t>
      </w:r>
    </w:p>
    <w:p w:rsidR="00DF3CA6" w:rsidRDefault="00DF3CA6">
      <w:pPr>
        <w:ind w:left="851" w:right="899"/>
        <w:jc w:val="both"/>
        <w:rPr>
          <w:rFonts w:ascii="Palatino Linotype" w:hAnsi="Palatino Linotype" w:cs="Arial"/>
          <w:i/>
          <w:sz w:val="22"/>
          <w:szCs w:val="22"/>
        </w:rPr>
      </w:pPr>
    </w:p>
    <w:p w:rsidR="00DF3CA6" w:rsidRDefault="001414A8">
      <w:pPr>
        <w:ind w:left="851" w:right="899"/>
        <w:jc w:val="both"/>
        <w:rPr>
          <w:rFonts w:ascii="Palatino Linotype" w:hAnsi="Palatino Linotype" w:cs="Arial"/>
          <w:i/>
          <w:sz w:val="22"/>
          <w:szCs w:val="22"/>
        </w:rPr>
      </w:pPr>
      <w:r>
        <w:rPr>
          <w:rFonts w:ascii="Palatino Linotype" w:hAnsi="Palatino Linotype" w:cs="Arial"/>
          <w:i/>
          <w:sz w:val="22"/>
          <w:szCs w:val="22"/>
        </w:rPr>
        <w:t xml:space="preserve">Se dice todo lo anterior, en virtud de que en cualquier periferia del procedimiento de acceso a la información en que se dio trámite a mi solicitud de acceso a la información, </w:t>
      </w:r>
      <w:r>
        <w:rPr>
          <w:rFonts w:ascii="Palatino Linotype" w:hAnsi="Palatino Linotype" w:cs="Arial"/>
          <w:b/>
          <w:i/>
          <w:sz w:val="22"/>
          <w:szCs w:val="22"/>
        </w:rPr>
        <w:t xml:space="preserve">existen diversas irregularidades </w:t>
      </w:r>
      <w:r>
        <w:rPr>
          <w:rFonts w:ascii="Palatino Linotype" w:hAnsi="Palatino Linotype" w:cs="Arial"/>
          <w:b/>
          <w:i/>
          <w:sz w:val="22"/>
          <w:szCs w:val="22"/>
        </w:rPr>
        <w:t>y desatenciones que se traducen en transgresiones a mi derecho humano de acceso a la información pública haciendo opaca la posibilidad de conocer toda la documentación que da sustento del ejercicio de los recursos públicos relacionados con las obras públic</w:t>
      </w:r>
      <w:r>
        <w:rPr>
          <w:rFonts w:ascii="Palatino Linotype" w:hAnsi="Palatino Linotype" w:cs="Arial"/>
          <w:b/>
          <w:i/>
          <w:sz w:val="22"/>
          <w:szCs w:val="22"/>
        </w:rPr>
        <w:t>as de mérito…</w:t>
      </w:r>
      <w:r>
        <w:rPr>
          <w:rFonts w:ascii="Palatino Linotype" w:hAnsi="Palatino Linotype" w:cs="Arial"/>
          <w:i/>
          <w:sz w:val="22"/>
          <w:szCs w:val="22"/>
        </w:rPr>
        <w:t>” (Énfasis añadido)</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rPr>
        <w:t xml:space="preserve">Aunado a que, adjuntó los documentos descritos en el Resultando IV de la presente resolución; mismos que al ser de conocimiento de las partes se omite su inserción en el presente apartado a fin de evitar repeticiones innecesarias. </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rPr>
        <w:t>Debiendo destacar en est</w:t>
      </w:r>
      <w:r>
        <w:rPr>
          <w:rFonts w:ascii="Palatino Linotype" w:hAnsi="Palatino Linotype"/>
        </w:rPr>
        <w:t xml:space="preserve">e punto que </w:t>
      </w:r>
      <w:r>
        <w:rPr>
          <w:rFonts w:ascii="Palatino Linotype" w:hAnsi="Palatino Linotype"/>
          <w:b/>
        </w:rPr>
        <w:t xml:space="preserve">EL SUJETO OBLIGADO </w:t>
      </w:r>
      <w:r>
        <w:rPr>
          <w:rFonts w:ascii="Palatino Linotype" w:hAnsi="Palatino Linotype"/>
        </w:rPr>
        <w:t xml:space="preserve">mediante Informe Justificado modificó su respuesta indicando que derivado de una nueva búsqueda exhaustiva de la información en los archivos de la Dirección General de Inversión y </w:t>
      </w:r>
      <w:r>
        <w:rPr>
          <w:rFonts w:ascii="Palatino Linotype" w:hAnsi="Palatino Linotype"/>
        </w:rPr>
        <w:lastRenderedPageBreak/>
        <w:t>con la documentación anexada por el solicitan</w:t>
      </w:r>
      <w:r>
        <w:rPr>
          <w:rFonts w:ascii="Palatino Linotype" w:hAnsi="Palatino Linotype"/>
        </w:rPr>
        <w:t xml:space="preserve">te al momento de interponer el recurso de revisión objeto de estudio, se localizó un oficio signado por un servidor público del que se desconoce su cargo y del que se desprende que la información requerida forma parte de la auditoria número 493 denominada </w:t>
      </w:r>
      <w:r>
        <w:rPr>
          <w:rFonts w:ascii="Palatino Linotype" w:hAnsi="Palatino Linotype"/>
        </w:rPr>
        <w:t>“Recursos del Fondo de Aportaciones para la Seguridad Pública de los Estados y del Distrito Federal”, auditoría financiera y de cumplimiento practicada por la Auditoría Superior de la Federación al Gobierno del Estado de México.</w:t>
      </w:r>
    </w:p>
    <w:p w:rsidR="00DF3CA6" w:rsidRDefault="001414A8">
      <w:pPr>
        <w:spacing w:beforeAutospacing="1" w:afterAutospacing="1" w:line="360" w:lineRule="auto"/>
        <w:ind w:right="49"/>
        <w:jc w:val="both"/>
        <w:rPr>
          <w:rFonts w:ascii="Palatino Linotype" w:hAnsi="Palatino Linotype"/>
        </w:rPr>
      </w:pPr>
      <w:r>
        <w:rPr>
          <w:rFonts w:ascii="Palatino Linotype" w:hAnsi="Palatino Linotype"/>
        </w:rPr>
        <w:t>Motivo por el cual, con fun</w:t>
      </w:r>
      <w:r>
        <w:rPr>
          <w:rFonts w:ascii="Palatino Linotype" w:hAnsi="Palatino Linotype"/>
        </w:rPr>
        <w:t>damento en el artículo 3, fracción XI y XXXIII, 129 140, fracción V inciso 1 de la Ley de la materia clasificó la información como reservada la referente a las facturas y autorizaciones de pago de los contratos OP-13-0222 y OP-13-0223. Por su parte es de s</w:t>
      </w:r>
      <w:r>
        <w:rPr>
          <w:rFonts w:ascii="Palatino Linotype" w:hAnsi="Palatino Linotype"/>
        </w:rPr>
        <w:t xml:space="preserve">eñalar que </w:t>
      </w:r>
      <w:r>
        <w:rPr>
          <w:rFonts w:ascii="Palatino Linotype" w:hAnsi="Palatino Linotype"/>
          <w:b/>
        </w:rPr>
        <w:t xml:space="preserve">EL RECURRENTE </w:t>
      </w:r>
      <w:r>
        <w:rPr>
          <w:rFonts w:ascii="Palatino Linotype" w:hAnsi="Palatino Linotype"/>
        </w:rPr>
        <w:t>fue omiso en realizar las manifestaciones que a su derecho conviniera.</w:t>
      </w:r>
    </w:p>
    <w:p w:rsidR="00DF3CA6" w:rsidRDefault="001414A8">
      <w:pPr>
        <w:spacing w:before="360" w:after="240" w:line="360" w:lineRule="auto"/>
        <w:jc w:val="both"/>
        <w:rPr>
          <w:rFonts w:ascii="Palatino Linotype" w:eastAsia="Calibri" w:hAnsi="Palatino Linotype" w:cs="Arial"/>
        </w:rPr>
      </w:pPr>
      <w:r>
        <w:rPr>
          <w:rFonts w:ascii="Palatino Linotype" w:eastAsia="Calibri" w:hAnsi="Palatino Linotype" w:cs="Arial"/>
        </w:rPr>
        <w:t xml:space="preserve">Posteriormente, mediante alcance al Informe Justificado </w:t>
      </w:r>
      <w:r>
        <w:rPr>
          <w:rFonts w:ascii="Palatino Linotype" w:eastAsia="Calibri" w:hAnsi="Palatino Linotype" w:cs="Arial"/>
          <w:b/>
        </w:rPr>
        <w:t xml:space="preserve">EL SUJETO OBLIGADO </w:t>
      </w:r>
      <w:r>
        <w:rPr>
          <w:rFonts w:ascii="Palatino Linotype" w:eastAsia="Calibri" w:hAnsi="Palatino Linotype" w:cs="Arial"/>
        </w:rPr>
        <w:t>el Titular de la Unidad de Transparencia indicó que el Servidor Público Habilitado de</w:t>
      </w:r>
      <w:r>
        <w:rPr>
          <w:rFonts w:ascii="Palatino Linotype" w:eastAsia="Calibri" w:hAnsi="Palatino Linotype" w:cs="Arial"/>
        </w:rPr>
        <w:t xml:space="preserve"> la Dirección General de Inversión, mediante el oficio 20704000020000S/186/2020, adjuntó 995 copias certificadas de las estimaciones autorizadas y tramitadas para el pago de los contratos de obra pública a precios unitarios y tiempo de terminado números OP</w:t>
      </w:r>
      <w:r>
        <w:rPr>
          <w:rFonts w:ascii="Palatino Linotype" w:eastAsia="Calibri" w:hAnsi="Palatino Linotype" w:cs="Arial"/>
        </w:rPr>
        <w:t xml:space="preserve">-13-0222 y OP-13-0223, así como su documentación soporte misma que puso a disposición del hoy </w:t>
      </w:r>
      <w:r>
        <w:rPr>
          <w:rFonts w:ascii="Palatino Linotype" w:eastAsia="Calibri" w:hAnsi="Palatino Linotype" w:cs="Arial"/>
          <w:b/>
        </w:rPr>
        <w:t>RECURRENTE</w:t>
      </w:r>
      <w:r>
        <w:rPr>
          <w:rFonts w:ascii="Palatino Linotype" w:eastAsia="Calibri" w:hAnsi="Palatino Linotype" w:cs="Arial"/>
        </w:rPr>
        <w:t xml:space="preserve"> en el módulo de Transparencia y Acceso a la Información Pública de la Secretaría de Finanzas, previa cita concertada en el teléfono (722) 1678180, en l</w:t>
      </w:r>
      <w:r>
        <w:rPr>
          <w:rFonts w:ascii="Palatino Linotype" w:eastAsia="Calibri" w:hAnsi="Palatino Linotype" w:cs="Arial"/>
        </w:rPr>
        <w:t xml:space="preserve">as oficinas ubicadas en la calle de Lerdo Poniente, número 300, Palacio de Gobierno, segundo piso, puerta 360, Colonia Centro, Toluca, México, previo pago de los derechos </w:t>
      </w:r>
      <w:r>
        <w:rPr>
          <w:rFonts w:ascii="Palatino Linotype" w:eastAsia="Calibri" w:hAnsi="Palatino Linotype" w:cs="Arial"/>
        </w:rPr>
        <w:lastRenderedPageBreak/>
        <w:t>conforme a lo dispuesto en los numerales 174, fracción III de la Ley de Transparencia</w:t>
      </w:r>
      <w:r>
        <w:rPr>
          <w:rFonts w:ascii="Palatino Linotype" w:eastAsia="Calibri" w:hAnsi="Palatino Linotype" w:cs="Arial"/>
        </w:rPr>
        <w:t xml:space="preserve"> y Acceso a la Información Pública del Estado de México y  municipios y 73, fracción I del Código Financiero del Estado de México y Municipios, mediante la obtención del formato universal de pago correspondiente.</w:t>
      </w:r>
    </w:p>
    <w:p w:rsidR="00DF3CA6" w:rsidRDefault="001414A8">
      <w:pPr>
        <w:spacing w:before="360" w:after="240" w:line="360" w:lineRule="auto"/>
        <w:jc w:val="both"/>
        <w:rPr>
          <w:rFonts w:ascii="Palatino Linotype" w:hAnsi="Palatino Linotype" w:cs="Arial"/>
          <w:lang w:eastAsia="es-MX"/>
        </w:rPr>
      </w:pPr>
      <w:r>
        <w:rPr>
          <w:rFonts w:ascii="Palatino Linotype" w:eastAsia="Calibri" w:hAnsi="Palatino Linotype" w:cs="Arial"/>
        </w:rPr>
        <w:t xml:space="preserve">Hechas las precisiones anteriores, </w:t>
      </w:r>
      <w:r>
        <w:rPr>
          <w:rFonts w:ascii="Palatino Linotype" w:hAnsi="Palatino Linotype" w:cs="Arial"/>
        </w:rPr>
        <w:t>esta Pon</w:t>
      </w:r>
      <w:r>
        <w:rPr>
          <w:rFonts w:ascii="Palatino Linotype" w:hAnsi="Palatino Linotype" w:cs="Arial"/>
        </w:rPr>
        <w:t xml:space="preserve">encia Resolutora considera pertinente </w:t>
      </w:r>
      <w:r>
        <w:rPr>
          <w:rFonts w:ascii="Palatino Linotype" w:hAnsi="Palatino Linotype" w:cs="Arial"/>
          <w:lang w:eastAsia="es-MX"/>
        </w:rPr>
        <w:t xml:space="preserve">señalar que </w:t>
      </w:r>
      <w:r>
        <w:rPr>
          <w:rFonts w:ascii="Palatino Linotype" w:hAnsi="Palatino Linotype"/>
          <w:lang w:val="es-ES"/>
        </w:rPr>
        <w:t xml:space="preserve">se obvia el análisis de la competencia por parte del </w:t>
      </w:r>
      <w:r>
        <w:rPr>
          <w:rFonts w:ascii="Palatino Linotype" w:hAnsi="Palatino Linotype"/>
          <w:b/>
          <w:lang w:val="es-ES"/>
        </w:rPr>
        <w:t>SUJETO OBLIGADO</w:t>
      </w:r>
      <w:r>
        <w:rPr>
          <w:rFonts w:ascii="Palatino Linotype" w:hAnsi="Palatino Linotype"/>
          <w:lang w:val="es-ES"/>
        </w:rPr>
        <w:t xml:space="preserve">, para generar, administrar o poseer la información solicitada en el recurso que nos ocupa, dado que éste ha asumido la misma, mediante </w:t>
      </w:r>
      <w:r>
        <w:rPr>
          <w:rFonts w:ascii="Palatino Linotype" w:hAnsi="Palatino Linotype"/>
          <w:lang w:val="es-ES"/>
        </w:rPr>
        <w:t>Informe Justificado y el alcance al mismo</w:t>
      </w:r>
      <w:r>
        <w:rPr>
          <w:rFonts w:ascii="Palatino Linotype" w:hAnsi="Palatino Linotype" w:cs="Arial"/>
          <w:color w:val="000000"/>
          <w:lang w:val="es-ES"/>
        </w:rPr>
        <w:t>; por lo que, ante tales pronunciamientos se arriba a la conclusión de que genera, posee y administra la información requerida por el particular.</w:t>
      </w:r>
    </w:p>
    <w:p w:rsidR="00DF3CA6" w:rsidRDefault="001414A8">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w:t>
      </w:r>
      <w:r>
        <w:rPr>
          <w:rFonts w:ascii="Palatino Linotype" w:hAnsi="Palatino Linotype"/>
          <w:lang w:val="es-ES"/>
        </w:rPr>
        <w:t>tar con la información pública solicitada en el recurso que nos ocupa, acepta que es competente para generarla, poseerla y administrarla, en ejercicio de sus funciones de derecho público, motivo por el cual se actualiza el supuesto jurídico, previsto en el</w:t>
      </w:r>
      <w:r>
        <w:rPr>
          <w:rFonts w:ascii="Palatino Linotype" w:hAnsi="Palatino Linotype"/>
          <w:lang w:val="es-ES"/>
        </w:rPr>
        <w:t xml:space="preserve"> artículo 12 de la Ley de Transparencia y Acceso a la Información Pública del Estado de México y Municipios, que literalmente establece:</w:t>
      </w:r>
    </w:p>
    <w:p w:rsidR="00DF3CA6" w:rsidRDefault="001414A8">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w:t>
      </w:r>
      <w:r>
        <w:rPr>
          <w:rFonts w:ascii="Palatino Linotype" w:hAnsi="Palatino Linotype"/>
          <w:i/>
          <w:sz w:val="22"/>
          <w:szCs w:val="22"/>
          <w:lang w:val="es-ES"/>
        </w:rPr>
        <w:t>n responsables de la misma en los términos de las disposiciones jurídicas aplicables.</w:t>
      </w:r>
    </w:p>
    <w:p w:rsidR="00DF3CA6" w:rsidRDefault="00DF3CA6">
      <w:pPr>
        <w:ind w:left="851" w:right="899"/>
        <w:jc w:val="both"/>
        <w:rPr>
          <w:rFonts w:ascii="Palatino Linotype" w:hAnsi="Palatino Linotype"/>
          <w:i/>
          <w:sz w:val="22"/>
          <w:szCs w:val="22"/>
          <w:lang w:val="es-ES"/>
        </w:rPr>
      </w:pPr>
    </w:p>
    <w:p w:rsidR="00DF3CA6" w:rsidRDefault="001414A8">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w:t>
      </w:r>
      <w:r>
        <w:rPr>
          <w:rFonts w:ascii="Palatino Linotype" w:hAnsi="Palatino Linotype"/>
          <w:i/>
          <w:sz w:val="22"/>
          <w:szCs w:val="22"/>
          <w:lang w:val="es-ES"/>
        </w:rPr>
        <w:t xml:space="preserv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DF3CA6" w:rsidRDefault="00DF3CA6">
      <w:pPr>
        <w:spacing w:line="360" w:lineRule="auto"/>
        <w:ind w:left="851" w:right="899"/>
        <w:jc w:val="both"/>
        <w:rPr>
          <w:rFonts w:ascii="Palatino Linotype" w:hAnsi="Palatino Linotype"/>
          <w:i/>
          <w:sz w:val="22"/>
          <w:szCs w:val="22"/>
          <w:lang w:val="es-ES"/>
        </w:rPr>
      </w:pPr>
    </w:p>
    <w:p w:rsidR="00DF3CA6" w:rsidRDefault="001414A8">
      <w:pPr>
        <w:spacing w:line="360" w:lineRule="auto"/>
        <w:jc w:val="both"/>
        <w:rPr>
          <w:rFonts w:ascii="Palatino Linotype" w:hAnsi="Palatino Linotype"/>
          <w:lang w:val="es-ES"/>
        </w:rPr>
      </w:pPr>
      <w:r>
        <w:rPr>
          <w:rFonts w:ascii="Palatino Linotype" w:hAnsi="Palatino Linotype"/>
          <w:lang w:val="es-ES"/>
        </w:rPr>
        <w:lastRenderedPageBreak/>
        <w:t xml:space="preserve">De hecho, el estudio de la naturaleza </w:t>
      </w:r>
      <w:r>
        <w:rPr>
          <w:rFonts w:ascii="Palatino Linotype" w:hAnsi="Palatino Linotype"/>
          <w:lang w:val="es-ES"/>
        </w:rPr>
        <w:t xml:space="preserve">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w:t>
      </w:r>
      <w:r>
        <w:rPr>
          <w:rFonts w:ascii="Palatino Linotype" w:hAnsi="Palatino Linotype"/>
          <w:lang w:val="es-ES"/>
        </w:rPr>
        <w:t>ctico nos conduciría su estudio, ya que se insiste, ésta fue asumida por el mismo, lo que implica que genera, posee y administra, en ejercicio de sus funciones de derecho público, motivo por el cual se actualiza el supuesto jurídico, previsto en el artícul</w:t>
      </w:r>
      <w:r>
        <w:rPr>
          <w:rFonts w:ascii="Palatino Linotype" w:hAnsi="Palatino Linotype"/>
          <w:lang w:val="es-ES"/>
        </w:rPr>
        <w:t>o 12 de la Ley de la materia, anteriormente referido.</w:t>
      </w:r>
    </w:p>
    <w:p w:rsidR="00DF3CA6" w:rsidRDefault="001414A8">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SUJETO OBLIGADO</w:t>
      </w:r>
      <w:r>
        <w:rPr>
          <w:rFonts w:ascii="Palatino Linotype" w:hAnsi="Palatino Linotype"/>
        </w:rPr>
        <w:t>, a fin de dar respuesta a la solicitud planteada, este Instituto no está facultado para manifestars</w:t>
      </w:r>
      <w:r>
        <w:rPr>
          <w:rFonts w:ascii="Palatino Linotype" w:hAnsi="Palatino Linotype"/>
        </w:rPr>
        <w:t>e sobre la veracidad de la información proporcionada, pues este Órgano Garante, conforme al artículo 36 de la Ley de la Materia, no se encuentra facultado para pronunciarse acerca de la autenticidad de dicho pronunciamiento.</w:t>
      </w:r>
    </w:p>
    <w:p w:rsidR="00DF3CA6" w:rsidRDefault="001414A8">
      <w:pPr>
        <w:spacing w:beforeAutospacing="1" w:afterAutospacing="1" w:line="360" w:lineRule="auto"/>
        <w:jc w:val="both"/>
        <w:rPr>
          <w:rFonts w:ascii="Palatino Linotype" w:hAnsi="Palatino Linotype" w:cs="Arial"/>
        </w:rPr>
      </w:pPr>
      <w:r>
        <w:rPr>
          <w:rFonts w:ascii="Palatino Linotype" w:hAnsi="Palatino Linotype" w:cs="Arial"/>
        </w:rPr>
        <w:t>Sirve de sustento a lo anterior</w:t>
      </w:r>
      <w:r>
        <w:rPr>
          <w:rFonts w:ascii="Palatino Linotype" w:hAnsi="Palatino Linotype" w:cs="Arial"/>
        </w:rPr>
        <w:t xml:space="preserve">, el criterio 31/10 emitido por el entonces Instituto Federal de Acceso a la Información y Protección de Datos, ahora Instituto Nacional de Transparencia, Acceso a la Información y Protección de Datos Personales (INAI), el cual refiere: </w:t>
      </w:r>
    </w:p>
    <w:p w:rsidR="00DF3CA6" w:rsidRDefault="001414A8">
      <w:pPr>
        <w:ind w:left="709" w:right="760"/>
        <w:jc w:val="both"/>
        <w:rPr>
          <w:rFonts w:ascii="Palatino Linotype" w:hAnsi="Palatino Linotype" w:cs="Arial"/>
          <w:i/>
          <w:sz w:val="22"/>
        </w:rPr>
      </w:pPr>
      <w:r>
        <w:rPr>
          <w:rFonts w:ascii="Palatino Linotype" w:hAnsi="Palatino Linotype" w:cs="Arial"/>
          <w:b/>
          <w:i/>
          <w:sz w:val="22"/>
        </w:rPr>
        <w:t>“El Instituto Fede</w:t>
      </w:r>
      <w:r>
        <w:rPr>
          <w:rFonts w:ascii="Palatino Linotype" w:hAnsi="Palatino Linotype" w:cs="Arial"/>
          <w:b/>
          <w:i/>
          <w:sz w:val="22"/>
        </w:rPr>
        <w:t>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El Instituto Federal de Acceso a la Información y Protección de Datos es un</w:t>
      </w:r>
      <w:r>
        <w:rPr>
          <w:rFonts w:ascii="Palatino Linotype" w:hAnsi="Palatino Linotype" w:cs="Arial"/>
          <w:i/>
          <w:sz w:val="22"/>
        </w:rPr>
        <w:t xml:space="preserve"> órgano de la Administración Pública Federal con autonomía operativa, presupuestaria y de decisión, encargado de promover y difundir el ejercicio del derecho de acceso a la información; resolver sobre la </w:t>
      </w:r>
      <w:r>
        <w:rPr>
          <w:rFonts w:ascii="Palatino Linotype" w:hAnsi="Palatino Linotype" w:cs="Arial"/>
          <w:i/>
          <w:sz w:val="22"/>
        </w:rPr>
        <w:lastRenderedPageBreak/>
        <w:t>negativa de las solicitudes de acceso a la informaci</w:t>
      </w:r>
      <w:r>
        <w:rPr>
          <w:rFonts w:ascii="Palatino Linotype" w:hAnsi="Palatino Linotype" w:cs="Arial"/>
          <w:i/>
          <w:sz w:val="22"/>
        </w:rPr>
        <w:t>ón; y proteger los datos personales en poder de las dependencias y entidades. Sin embargo, no está facultado para pronunciarse sobre la veracidad de la información proporcionada por las autoridades en respuesta a las solicitudes de información que les pres</w:t>
      </w:r>
      <w:r>
        <w:rPr>
          <w:rFonts w:ascii="Palatino Linotype" w:hAnsi="Palatino Linotype" w:cs="Arial"/>
          <w:i/>
          <w:sz w:val="22"/>
        </w:rPr>
        <w:t>entan los particulares, en virtud de que en los artículos 49 y 50 de la Ley Federal de Transparencia y Acceso a la Información Pública Gubernamental no se prevé una causal que permita al Instituto Federal de Acceso a la Información y Protección de Datos co</w:t>
      </w:r>
      <w:r>
        <w:rPr>
          <w:rFonts w:ascii="Palatino Linotype" w:hAnsi="Palatino Linotype" w:cs="Arial"/>
          <w:i/>
          <w:sz w:val="22"/>
        </w:rPr>
        <w:t>nocer, vía recurso revisión, al respecto. Expedientes: 2440/07 Comisión Federal de Electricidad - Alonso Lujambio Irazábal 0113/09 Instituto de Seguridad y Servicios Sociales de los Trabajadores del Estado – Alonso Lujambio Irazábal 1624/09 Instituto Nacio</w:t>
      </w:r>
      <w:r>
        <w:rPr>
          <w:rFonts w:ascii="Palatino Linotype" w:hAnsi="Palatino Linotype" w:cs="Arial"/>
          <w:i/>
          <w:sz w:val="22"/>
        </w:rPr>
        <w:t xml:space="preserve">nal para la Educación de los Adultos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2395/09 Secretaría de Economía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0837/10 Administración Portuaria Integral de Veracruz, S.A. de C.V.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w:t>
      </w:r>
    </w:p>
    <w:p w:rsidR="00DF3CA6" w:rsidRDefault="001414A8">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DF3CA6" w:rsidRDefault="001414A8">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los argumentos vertidos por </w:t>
      </w:r>
      <w:r>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en el alcance al Informe Justificado y advirtió que la consideración de constreñir al particular a pagar los derechos correspondientes para allegarse de la </w:t>
      </w:r>
      <w:r>
        <w:rPr>
          <w:rFonts w:ascii="Palatino Linotype" w:eastAsia="Calibri" w:hAnsi="Palatino Linotype"/>
          <w:szCs w:val="22"/>
          <w:lang w:eastAsia="en-US"/>
        </w:rPr>
        <w:t>información carece de una debida fundamentación y motivación.</w:t>
      </w:r>
    </w:p>
    <w:p w:rsidR="00DF3CA6" w:rsidRDefault="001414A8">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 xml:space="preserve">Respecto a la fundamentación y motivación es de señalar que el máximo tribunal del país ha establecido jurisprudencia respecto a qué debe entenderse por fundamentación y motivación, en los </w:t>
      </w:r>
      <w:r>
        <w:rPr>
          <w:rFonts w:ascii="Palatino Linotype" w:hAnsi="Palatino Linotype" w:cs="Arial"/>
        </w:rPr>
        <w:t>siguientes términos:</w:t>
      </w:r>
    </w:p>
    <w:p w:rsidR="00DF3CA6" w:rsidRDefault="001414A8">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b/>
          <w:i/>
          <w:sz w:val="22"/>
        </w:rPr>
        <w:t>“FUNDAMENTACIÓN Y MOTIVACIÓN.</w:t>
      </w:r>
      <w:r>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w:t>
      </w:r>
      <w:r>
        <w:rPr>
          <w:rFonts w:ascii="Palatino Linotype" w:hAnsi="Palatino Linotype" w:cs="Arial"/>
          <w:i/>
          <w:sz w:val="22"/>
        </w:rPr>
        <w:t>a la autoridad a concluir que el caso particular encuadra en el supuesto previsto por la norma legal invocada como fundamento…” (Sic)</w:t>
      </w:r>
    </w:p>
    <w:p w:rsidR="00DF3CA6" w:rsidRDefault="001414A8">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De tal manera que, en un acto de autoridad se surte la debida fundamentación cuando se cita el precepto legal aplicable al</w:t>
      </w:r>
      <w:r>
        <w:rPr>
          <w:rFonts w:ascii="Palatino Linotype" w:hAnsi="Palatino Linotype" w:cs="Arial"/>
        </w:rPr>
        <w:t xml:space="preserve"> caso concreto y la debida motivación cuando se expresan las razones, motivos o circunstancias que tomó en cuenta la autoridad para </w:t>
      </w:r>
      <w:r>
        <w:rPr>
          <w:rFonts w:ascii="Palatino Linotype" w:hAnsi="Palatino Linotype" w:cs="Arial"/>
        </w:rPr>
        <w:lastRenderedPageBreak/>
        <w:t>adecuar el hecho a los fundamentos de derecho, sirviendo de sustento la diversa jurisprudencia dictada por el Poder Judicial</w:t>
      </w:r>
      <w:r>
        <w:rPr>
          <w:rFonts w:ascii="Palatino Linotype" w:hAnsi="Palatino Linotype" w:cs="Arial"/>
        </w:rPr>
        <w:t xml:space="preserve"> de la Federación que sostiene que la finalidad de la fundamentación o motivación es la de explicar, justificar, posibilitar la defensa y comunicar la decisión de la autoridad:</w:t>
      </w:r>
    </w:p>
    <w:p w:rsidR="00DF3CA6" w:rsidRDefault="001414A8">
      <w:pPr>
        <w:widowControl w:val="0"/>
        <w:tabs>
          <w:tab w:val="left" w:pos="1276"/>
        </w:tabs>
        <w:spacing w:before="240" w:afterAutospacing="1"/>
        <w:ind w:left="851" w:right="899"/>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FUNDAMENTACIÓN Y MOTIVACIÓN. EL ASPECTO FORMAL DE LA GARANTÍA Y SU FINALIDAD S</w:t>
      </w:r>
      <w:r>
        <w:rPr>
          <w:rFonts w:ascii="Palatino Linotype" w:hAnsi="Palatino Linotype" w:cs="Arial"/>
          <w:b/>
          <w:i/>
          <w:sz w:val="22"/>
        </w:rPr>
        <w:t>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w:t>
      </w:r>
      <w:r>
        <w:rPr>
          <w:rFonts w:ascii="Palatino Linotype" w:hAnsi="Palatino Linotype" w:cs="Arial"/>
          <w:i/>
          <w:sz w:val="22"/>
        </w:rPr>
        <w:t>que el justiciable conozca el "para qué" de la conducta de la autoridad, lo que se traduce en darle a conocer en detalle y de manera completa la esencia de todas las circunstancias y condiciones que determinaron el acto de voluntad, de manera que sea evide</w:t>
      </w:r>
      <w:r>
        <w:rPr>
          <w:rFonts w:ascii="Palatino Linotype" w:hAnsi="Palatino Linotype" w:cs="Arial"/>
          <w:i/>
          <w:sz w:val="22"/>
        </w:rPr>
        <w:t>nte y muy claro para el afectado poder cuestionar y controvertir el mérito de la decisión, permitiéndole una real y auténtica defensa. Por tanto, no basta que el acto de autoridad apenas observe una motivación pro forma pero de una manera incongruente, ins</w:t>
      </w:r>
      <w:r>
        <w:rPr>
          <w:rFonts w:ascii="Palatino Linotype" w:hAnsi="Palatino Linotype" w:cs="Arial"/>
          <w:i/>
          <w:sz w:val="22"/>
        </w:rPr>
        <w:t>uficiente o imprecisa, que impida la finalidad del conocimiento, comprobación y defensa pertinente, ni es válido exigirle una amplitud o abundancia superflua, pues es suficiente la expresión de lo estrictamente necesario para explicar, justificar y posibil</w:t>
      </w:r>
      <w:r>
        <w:rPr>
          <w:rFonts w:ascii="Palatino Linotype" w:hAnsi="Palatino Linotype" w:cs="Arial"/>
          <w:i/>
          <w:sz w:val="22"/>
        </w:rPr>
        <w:t>itar la defensa, así como para comunicar la decisión a efecto de que se considere debidamente fundado y motivado, exponiendo los hechos relevantes para decidir, citando la norma habilitante y un argumento mínimo pero suficiente para acreditar el razonamien</w:t>
      </w:r>
      <w:r>
        <w:rPr>
          <w:rFonts w:ascii="Palatino Linotype" w:hAnsi="Palatino Linotype" w:cs="Arial"/>
          <w:i/>
          <w:sz w:val="22"/>
        </w:rPr>
        <w:t>to del que se deduzca la relación de pertenencia lógica de los hechos al derecho invocado, que es la subsunción.”(Sic)</w:t>
      </w:r>
    </w:p>
    <w:p w:rsidR="00DF3CA6" w:rsidRDefault="001414A8">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Por lo cual, la fundamentación y motivación implica que, en el acto de autoridad, además de contenerse los supuestos jurídicos aplicables</w:t>
      </w:r>
      <w:r>
        <w:rPr>
          <w:rFonts w:ascii="Palatino Linotype" w:hAnsi="Palatino Linotype" w:cs="Arial"/>
        </w:rPr>
        <w:t>, debe de explicarse claramente por qué a través de la utilización de la norma se emitió el acto. De este modo, la persona que se siente afectada pueda impugnar la decisión, permitiéndole una real y auténtica defensa.</w:t>
      </w:r>
    </w:p>
    <w:p w:rsidR="00DF3CA6" w:rsidRDefault="001414A8">
      <w:pPr>
        <w:spacing w:beforeAutospacing="1" w:afterAutospacing="1" w:line="360" w:lineRule="auto"/>
        <w:jc w:val="both"/>
        <w:rPr>
          <w:rFonts w:ascii="Palatino Linotype" w:hAnsi="Palatino Linotype"/>
        </w:rPr>
      </w:pPr>
      <w:r>
        <w:rPr>
          <w:rFonts w:ascii="Palatino Linotype" w:eastAsia="Calibri" w:hAnsi="Palatino Linotype"/>
          <w:szCs w:val="22"/>
          <w:lang w:eastAsia="en-US"/>
        </w:rPr>
        <w:lastRenderedPageBreak/>
        <w:t>Lo anterior es así, puesto que el artí</w:t>
      </w:r>
      <w:r>
        <w:rPr>
          <w:rFonts w:ascii="Palatino Linotype" w:eastAsia="Calibri" w:hAnsi="Palatino Linotype"/>
          <w:szCs w:val="22"/>
          <w:lang w:eastAsia="en-US"/>
        </w:rPr>
        <w:t>culo 164 de la Ley de Transparencia y Acceso a la Información Pública del Estado de México y Municipios establece que el acceso a la información debe otorgarse en</w:t>
      </w:r>
      <w:r>
        <w:rPr>
          <w:rFonts w:ascii="Palatino Linotype" w:hAnsi="Palatino Linotype"/>
        </w:rPr>
        <w:t xml:space="preserve"> la modalidad de entrega y, en su caso, de envío elegidos por el solicitante y que cuando la i</w:t>
      </w:r>
      <w:r>
        <w:rPr>
          <w:rFonts w:ascii="Palatino Linotype" w:hAnsi="Palatino Linotype"/>
        </w:rPr>
        <w:t>nformación no pueda entregarse o enviarse en la modalidad solicitada, el sujeto obligado deberá ofrecer otra u otras modalidades de entrega. En cualquier caso, se deberá fundar y motivar la necesidad de ofrecer otras modalidades.</w:t>
      </w:r>
    </w:p>
    <w:p w:rsidR="00DF3CA6" w:rsidRDefault="001414A8">
      <w:pPr>
        <w:spacing w:beforeAutospacing="1" w:afterAutospacing="1" w:line="360" w:lineRule="auto"/>
        <w:jc w:val="both"/>
        <w:rPr>
          <w:rFonts w:ascii="Palatino Linotype" w:hAnsi="Palatino Linotype"/>
        </w:rPr>
      </w:pPr>
      <w:r>
        <w:rPr>
          <w:rFonts w:ascii="Palatino Linotype" w:hAnsi="Palatino Linotype"/>
        </w:rPr>
        <w:t>Por su parte, el diverso a</w:t>
      </w:r>
      <w:r>
        <w:rPr>
          <w:rFonts w:ascii="Palatino Linotype" w:hAnsi="Palatino Linotype"/>
        </w:rPr>
        <w:t xml:space="preserve">rtículo 165 de la Ley Sustantiva prevé que la información que se entregue en versión pública, cuya modalidad de reproducción o envío tenga un costo, procederá una vez que se acredite el pago respectivo, sin que se entienda como reproducción la elaboración </w:t>
      </w:r>
      <w:r>
        <w:rPr>
          <w:rFonts w:ascii="Palatino Linotype" w:hAnsi="Palatino Linotype"/>
        </w:rPr>
        <w:t>de la misma.</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rPr>
        <w:t>A su vez, el artículo 166 de la legislación en cita dicta que la obligación de acceso a la información pública se tendrá por cumplida cuando el solicitante tenga a su disposición la información requerida, o cuando realice la consulta de la mis</w:t>
      </w:r>
      <w:r>
        <w:rPr>
          <w:rFonts w:ascii="Palatino Linotype" w:hAnsi="Palatino Linotype"/>
        </w:rPr>
        <w:t xml:space="preserve">ma en el lugar en el que ésta se localice. </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rPr>
        <w:t xml:space="preserve">En esa virtud, no se omite señalar que la Unidad de Transparencia debe tener disponible la información solicitada, durante un </w:t>
      </w:r>
      <w:r>
        <w:rPr>
          <w:rFonts w:ascii="Palatino Linotype" w:hAnsi="Palatino Linotype"/>
          <w:b/>
        </w:rPr>
        <w:t>plazo mínimo de sesenta días hábiles</w:t>
      </w:r>
      <w:r>
        <w:rPr>
          <w:rFonts w:ascii="Palatino Linotype" w:hAnsi="Palatino Linotype"/>
        </w:rPr>
        <w:t xml:space="preserve">, </w:t>
      </w:r>
      <w:r>
        <w:rPr>
          <w:rFonts w:ascii="Palatino Linotype" w:hAnsi="Palatino Linotype"/>
          <w:b/>
        </w:rPr>
        <w:t>contado a partir de que el solicitante hubiere r</w:t>
      </w:r>
      <w:r>
        <w:rPr>
          <w:rFonts w:ascii="Palatino Linotype" w:hAnsi="Palatino Linotype"/>
          <w:b/>
        </w:rPr>
        <w:t>ealizado, en su caso, el pago respectivo</w:t>
      </w:r>
      <w:r>
        <w:rPr>
          <w:rFonts w:ascii="Palatino Linotype" w:hAnsi="Palatino Linotype"/>
        </w:rPr>
        <w:t>, el cual deberá efectuarse en un plazo no mayor a treinta días hábiles.</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rPr>
        <w:t>Así las cosas, si los solicitantes no acuden a recibir la información, dentro de los plazos establecidos, los sujetos obligados darán por concl</w:t>
      </w:r>
      <w:r>
        <w:rPr>
          <w:rFonts w:ascii="Palatino Linotype" w:hAnsi="Palatino Linotype"/>
        </w:rPr>
        <w:t xml:space="preserve">uida la solicitud y procederán, de ser </w:t>
      </w:r>
      <w:r>
        <w:rPr>
          <w:rFonts w:ascii="Palatino Linotype" w:hAnsi="Palatino Linotype"/>
        </w:rPr>
        <w:lastRenderedPageBreak/>
        <w:t xml:space="preserve">el caso, a la destrucción del material en el que se reprodujo la misma. </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rPr>
        <w:t>Ahora bien, de ser el caso que el sujeto obligado no entregue la respuesta a la solicitud dentro del plazo previsto en la Ley, la solicitud se e</w:t>
      </w:r>
      <w:r>
        <w:rPr>
          <w:rFonts w:ascii="Palatino Linotype" w:hAnsi="Palatino Linotype"/>
        </w:rPr>
        <w:t>ntenderá negada y el solicitante podrá interponer el recurso de revisión.</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Así, en este caso en particular, es claro que la Unidad de Transparencia no cumplió con lo descrito en el artículo 166 de la Ley de Transparencia y Acceso a la Información Pública de</w:t>
      </w:r>
      <w:r>
        <w:rPr>
          <w:rFonts w:ascii="Palatino Linotype" w:hAnsi="Palatino Linotype" w:cs="Arial"/>
        </w:rPr>
        <w:t xml:space="preserve">l Estado de México y Municipios, puesto que, si bien es cierto, mediante alcance al Informe Justificado refirió que la información solicitada constaba de 995 fojas en copias certificadas y las puso a disposición del solicitante para que previo pago de los </w:t>
      </w:r>
      <w:r>
        <w:rPr>
          <w:rFonts w:ascii="Palatino Linotype" w:hAnsi="Palatino Linotype" w:cs="Arial"/>
        </w:rPr>
        <w:t xml:space="preserve">derechos de reproducción por la información </w:t>
      </w:r>
      <w:r>
        <w:rPr>
          <w:rFonts w:ascii="Palatino Linotype" w:hAnsi="Palatino Linotype" w:cs="Arial"/>
          <w:b/>
        </w:rPr>
        <w:t xml:space="preserve">EL RECURRENTE </w:t>
      </w:r>
      <w:r>
        <w:rPr>
          <w:rFonts w:ascii="Palatino Linotype" w:hAnsi="Palatino Linotype" w:cs="Arial"/>
        </w:rPr>
        <w:t xml:space="preserve">pudiera tener por colmado su derecho de acceso a la información; sin embargo, también resulta cierto que </w:t>
      </w:r>
      <w:r>
        <w:rPr>
          <w:rFonts w:ascii="Palatino Linotype" w:hAnsi="Palatino Linotype" w:cs="Arial"/>
          <w:b/>
        </w:rPr>
        <w:t xml:space="preserve">EL SUJETO OBLIGADO </w:t>
      </w:r>
      <w:r>
        <w:rPr>
          <w:rFonts w:ascii="Palatino Linotype" w:hAnsi="Palatino Linotype" w:cs="Arial"/>
        </w:rPr>
        <w:t>fue omiso en indicar al solicitante la fecha y hora cierta para la entrega</w:t>
      </w:r>
      <w:r>
        <w:rPr>
          <w:rFonts w:ascii="Palatino Linotype" w:hAnsi="Palatino Linotype" w:cs="Arial"/>
        </w:rPr>
        <w:t xml:space="preserve"> de la información transgredió el derecho de acceso a la información ejercitado, de ahí que el alcance al Informe Justificado carezca de una debida fundamentación y motivación.</w:t>
      </w:r>
    </w:p>
    <w:p w:rsidR="00DF3CA6" w:rsidRDefault="001414A8">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 xml:space="preserve">Consecuentemente, este Instituto estima que lo procedente es ordenar al </w:t>
      </w:r>
      <w:r>
        <w:rPr>
          <w:rFonts w:ascii="Palatino Linotype" w:hAnsi="Palatino Linotype" w:cs="Arial"/>
          <w:b/>
        </w:rPr>
        <w:t xml:space="preserve">SUJETO </w:t>
      </w:r>
      <w:r>
        <w:rPr>
          <w:rFonts w:ascii="Palatino Linotype" w:hAnsi="Palatino Linotype" w:cs="Arial"/>
          <w:b/>
        </w:rPr>
        <w:t>OBLIGADO</w:t>
      </w:r>
      <w:r>
        <w:rPr>
          <w:rFonts w:ascii="Palatino Linotype" w:hAnsi="Palatino Linotype" w:cs="Arial"/>
        </w:rPr>
        <w:t xml:space="preserve"> haga entrega de la información solicitada, en versión pública, en la modalidad elegida por el particular, sin costo (toda vez que ya acreditó el pago respectivo); </w:t>
      </w:r>
      <w:r>
        <w:rPr>
          <w:rFonts w:ascii="Palatino Linotype" w:hAnsi="Palatino Linotype" w:cs="Arial"/>
          <w:b/>
        </w:rPr>
        <w:t>por lo que, es necesario que indique el lugar, fecha, hora y servidor público que en</w:t>
      </w:r>
      <w:r>
        <w:rPr>
          <w:rFonts w:ascii="Palatino Linotype" w:hAnsi="Palatino Linotype" w:cs="Arial"/>
          <w:b/>
        </w:rPr>
        <w:t>tregará las copias certificadas</w:t>
      </w:r>
      <w:r>
        <w:rPr>
          <w:rFonts w:ascii="Palatino Linotype" w:hAnsi="Palatino Linotype" w:cs="Arial"/>
        </w:rPr>
        <w:t xml:space="preserve"> al </w:t>
      </w:r>
      <w:r>
        <w:rPr>
          <w:rFonts w:ascii="Palatino Linotype" w:hAnsi="Palatino Linotype" w:cs="Arial"/>
          <w:b/>
        </w:rPr>
        <w:t xml:space="preserve">RECURRENTE, </w:t>
      </w:r>
      <w:r>
        <w:rPr>
          <w:rFonts w:ascii="Palatino Linotype" w:hAnsi="Palatino Linotype" w:cs="Arial"/>
        </w:rPr>
        <w:t>debiendo tener disponible la información por al menos 60 días hábiles.</w:t>
      </w:r>
    </w:p>
    <w:p w:rsidR="00DF3CA6" w:rsidRDefault="001414A8">
      <w:pPr>
        <w:spacing w:beforeAutospacing="1" w:afterAutospacing="1" w:line="360" w:lineRule="auto"/>
        <w:jc w:val="both"/>
        <w:rPr>
          <w:rFonts w:ascii="Palatino Linotype" w:eastAsia="Arial Unicode MS" w:hAnsi="Palatino Linotype" w:cs="Arial"/>
        </w:rPr>
      </w:pPr>
      <w:r>
        <w:rPr>
          <w:rFonts w:ascii="Palatino Linotype" w:hAnsi="Palatino Linotype"/>
          <w:color w:val="000000"/>
        </w:rPr>
        <w:lastRenderedPageBreak/>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DF3CA6" w:rsidRDefault="001414A8">
      <w:pPr>
        <w:spacing w:beforeAutospacing="1" w:afterAutospacing="1" w:line="360" w:lineRule="auto"/>
        <w:jc w:val="both"/>
        <w:rPr>
          <w:rFonts w:ascii="Palatino Linotype" w:hAnsi="Palatino Linotype" w:cs="Arial"/>
        </w:rPr>
      </w:pPr>
      <w:r>
        <w:rPr>
          <w:rFonts w:ascii="Palatino Linotype" w:eastAsia="Arial Unicode MS" w:hAnsi="Palatino Linotype" w:cs="Arial"/>
        </w:rPr>
        <w:t>En ese sen</w:t>
      </w:r>
      <w:r>
        <w:rPr>
          <w:rFonts w:ascii="Palatino Linotype" w:eastAsia="Arial Unicode MS" w:hAnsi="Palatino Linotype" w:cs="Arial"/>
        </w:rPr>
        <w:t xml:space="preserve">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w:t>
      </w:r>
      <w:r>
        <w:rPr>
          <w:rFonts w:ascii="Palatino Linotype" w:hAnsi="Palatino Linotype" w:cs="Arial"/>
        </w:rPr>
        <w:t>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w:t>
      </w:r>
      <w:r>
        <w:rPr>
          <w:rFonts w:ascii="Palatino Linotype" w:hAnsi="Palatino Linotype" w:cs="Arial"/>
        </w:rPr>
        <w:t>e los LINEAMIENTOS GENERALES EN MATERIA DE CLASIFICACIÓN Y DESCLASIFICACIÓN DE LA INFORMACIÓN, ASÍ COMO PARA LA ELABORACIÓN DE VERSIONES PÚBLICAS, publicados en el Diario Oficial de la Federación en fecha 15 de abril de 2016, mediante Acuerdo del Consejo N</w:t>
      </w:r>
      <w:r>
        <w:rPr>
          <w:rFonts w:ascii="Palatino Linotype" w:hAnsi="Palatino Linotype" w:cs="Arial"/>
        </w:rPr>
        <w:t>acional del Sistema Nacional de Transparencia, Acceso a la Información Pública y Protección de Datos Personales.</w:t>
      </w:r>
    </w:p>
    <w:p w:rsidR="00DF3CA6" w:rsidRDefault="001414A8">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w:t>
      </w:r>
      <w:r>
        <w:rPr>
          <w:rFonts w:ascii="Palatino Linotype" w:hAnsi="Palatino Linotype" w:cs="Arial"/>
          <w:lang w:val="es-ES_tradnl"/>
        </w:rPr>
        <w:t xml:space="preserve">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w:t>
      </w:r>
      <w:r>
        <w:rPr>
          <w:rFonts w:ascii="Palatino Linotype" w:hAnsi="Palatino Linotype" w:cs="Arial"/>
          <w:lang w:val="es-ES_tradnl"/>
        </w:rPr>
        <w:t xml:space="preserve">e México y Municipios, así como los numerales Segundo, fracción XVIII, y del Cuarto al Décimo Primero de los Lineamientos Generales en materia de Clasificación y Desclasificación </w:t>
      </w:r>
      <w:r>
        <w:rPr>
          <w:rFonts w:ascii="Palatino Linotype" w:hAnsi="Palatino Linotype" w:cs="Arial"/>
          <w:lang w:val="es-ES_tradnl"/>
        </w:rPr>
        <w:lastRenderedPageBreak/>
        <w:t>de la Información, así como para la elaboración de Versiones Públicas, que li</w:t>
      </w:r>
      <w:r>
        <w:rPr>
          <w:rFonts w:ascii="Palatino Linotype" w:hAnsi="Palatino Linotype" w:cs="Arial"/>
          <w:lang w:val="es-ES_tradnl"/>
        </w:rPr>
        <w:t>teralmente expresan:</w:t>
      </w:r>
    </w:p>
    <w:p w:rsidR="00DF3CA6" w:rsidRDefault="001414A8">
      <w:pPr>
        <w:ind w:left="851" w:right="902"/>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DF3CA6" w:rsidRDefault="00DF3CA6">
      <w:pPr>
        <w:ind w:left="851" w:right="902"/>
        <w:jc w:val="center"/>
        <w:rPr>
          <w:rFonts w:ascii="Palatino Linotype" w:hAnsi="Palatino Linotype" w:cs="Arial"/>
          <w:b/>
          <w:i/>
          <w:sz w:val="22"/>
          <w:szCs w:val="22"/>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la clasificación de la información;</w:t>
      </w:r>
    </w:p>
    <w:p w:rsidR="00DF3CA6" w:rsidRDefault="001414A8">
      <w:pPr>
        <w:ind w:left="851" w:right="902"/>
        <w:jc w:val="both"/>
        <w:rPr>
          <w:rFonts w:ascii="Palatino Linotype" w:hAnsi="Palatino Linotype" w:cs="Arial"/>
          <w:b/>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La clasificación de la información se llevará a cabo en el momento en que:</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Se generen versiones públicas para dar cumplimien</w:t>
      </w:r>
      <w:r>
        <w:rPr>
          <w:rFonts w:ascii="Palatino Linotype" w:hAnsi="Palatino Linotype" w:cs="Arial"/>
          <w:b/>
          <w:i/>
          <w:sz w:val="22"/>
          <w:szCs w:val="22"/>
          <w:lang w:eastAsia="es-MX"/>
        </w:rPr>
        <w:t>to a las obligaciones de transparencia previstas en esta Ley</w:t>
      </w:r>
      <w:r>
        <w:rPr>
          <w:rFonts w:ascii="Palatino Linotype" w:hAnsi="Palatino Linotype" w:cs="Arial"/>
          <w:i/>
          <w:sz w:val="22"/>
          <w:szCs w:val="22"/>
          <w:lang w:eastAsia="es-MX"/>
        </w:rPr>
        <w:t>.”</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center"/>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w:t>
      </w:r>
    </w:p>
    <w:p w:rsidR="00DF3CA6" w:rsidRDefault="00DF3CA6">
      <w:pPr>
        <w:ind w:left="851" w:right="902"/>
        <w:jc w:val="center"/>
        <w:rPr>
          <w:rFonts w:ascii="Palatino Linotype" w:hAnsi="Palatino Linotype" w:cs="Arial"/>
          <w:b/>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w:t>
      </w:r>
      <w:r>
        <w:rPr>
          <w:rFonts w:ascii="Palatino Linotype" w:hAnsi="Palatino Linotype" w:cs="Arial"/>
          <w:b/>
          <w:i/>
          <w:sz w:val="22"/>
          <w:szCs w:val="22"/>
          <w:lang w:eastAsia="es-MX"/>
        </w:rPr>
        <w:t>ca:</w:t>
      </w:r>
      <w:r>
        <w:rPr>
          <w:rFonts w:ascii="Palatino Linotype" w:hAnsi="Palatino Linotype" w:cs="Arial"/>
          <w:i/>
          <w:sz w:val="22"/>
          <w:szCs w:val="22"/>
          <w:lang w:eastAsia="es-MX"/>
        </w:rPr>
        <w:t xml:space="preserve"> El </w:t>
      </w:r>
      <w:r>
        <w:rPr>
          <w:rFonts w:ascii="Palatino Linotype" w:hAnsi="Palatino Linotype" w:cs="Arial"/>
          <w:bCs/>
          <w:i/>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szCs w:val="22"/>
        </w:rPr>
        <w:t>Comité</w:t>
      </w:r>
      <w:r>
        <w:rPr>
          <w:rFonts w:ascii="Palatino Linotype" w:hAnsi="Palatino Linotype" w:cs="Arial"/>
          <w:i/>
          <w:sz w:val="22"/>
          <w:szCs w:val="22"/>
          <w:lang w:eastAsia="es-MX"/>
        </w:rPr>
        <w:t xml:space="preserve"> de Transparencia.</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lang w:eastAsia="es-MX"/>
        </w:rPr>
        <w:t xml:space="preserve">confidencial, de manera total o parcial, el titular del </w:t>
      </w:r>
      <w:r>
        <w:rPr>
          <w:rFonts w:ascii="Palatino Linotype" w:hAnsi="Palatino Linotype" w:cs="Arial"/>
          <w:b/>
          <w:bCs/>
          <w:i/>
          <w:sz w:val="22"/>
          <w:szCs w:val="22"/>
        </w:rPr>
        <w:t>área</w:t>
      </w:r>
      <w:r>
        <w:rPr>
          <w:rFonts w:ascii="Palatino Linotype" w:hAnsi="Palatino Linotype" w:cs="Arial"/>
          <w:b/>
          <w:i/>
          <w:sz w:val="22"/>
          <w:szCs w:val="22"/>
          <w:lang w:eastAsia="es-MX"/>
        </w:rPr>
        <w:t xml:space="preserve"> del sujeto </w:t>
      </w:r>
      <w:r>
        <w:rPr>
          <w:rFonts w:ascii="Palatino Linotype" w:hAnsi="Palatino Linotype" w:cs="Arial"/>
          <w:b/>
          <w:i/>
          <w:sz w:val="22"/>
          <w:szCs w:val="22"/>
        </w:rPr>
        <w:t>obligado</w:t>
      </w:r>
      <w:r>
        <w:rPr>
          <w:rFonts w:ascii="Palatino Linotype" w:hAnsi="Palatino Linotype" w:cs="Arial"/>
          <w:b/>
          <w:i/>
          <w:sz w:val="22"/>
          <w:szCs w:val="22"/>
          <w:lang w:eastAsia="es-MX"/>
        </w:rPr>
        <w:t xml:space="preserve"> deberá atender lo dispuesto por el T</w:t>
      </w:r>
      <w:r>
        <w:rPr>
          <w:rFonts w:ascii="Palatino Linotype" w:hAnsi="Palatino Linotype" w:cs="Arial"/>
          <w:b/>
          <w:i/>
          <w:sz w:val="22"/>
          <w:szCs w:val="22"/>
          <w:lang w:eastAsia="es-MX"/>
        </w:rPr>
        <w:t>ítulo Sexto de la Ley General</w:t>
      </w:r>
      <w:r>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w:t>
      </w:r>
      <w:r>
        <w:rPr>
          <w:rFonts w:ascii="Palatino Linotype" w:hAnsi="Palatino Linotype" w:cs="Arial"/>
          <w:i/>
          <w:sz w:val="22"/>
          <w:szCs w:val="22"/>
          <w:lang w:eastAsia="es-MX"/>
        </w:rPr>
        <w:t>an lo dispuesto en la Ley General.</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w:t>
      </w:r>
      <w:r>
        <w:rPr>
          <w:rFonts w:ascii="Palatino Linotype" w:hAnsi="Palatino Linotype" w:cs="Arial"/>
          <w:i/>
          <w:sz w:val="22"/>
          <w:szCs w:val="22"/>
          <w:lang w:eastAsia="es-MX"/>
        </w:rPr>
        <w:t xml:space="preserve">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w:t>
      </w:r>
      <w:r>
        <w:rPr>
          <w:rFonts w:ascii="Palatino Linotype" w:hAnsi="Palatino Linotype" w:cs="Arial"/>
          <w:i/>
          <w:sz w:val="22"/>
          <w:szCs w:val="22"/>
          <w:lang w:eastAsia="es-MX"/>
        </w:rPr>
        <w:lastRenderedPageBreak/>
        <w:t>obligados, por lo que deberán fundar y motivar debidamente la cl</w:t>
      </w:r>
      <w:r>
        <w:rPr>
          <w:rFonts w:ascii="Palatino Linotype" w:hAnsi="Palatino Linotype" w:cs="Arial"/>
          <w:i/>
          <w:sz w:val="22"/>
          <w:szCs w:val="22"/>
          <w:lang w:eastAsia="es-MX"/>
        </w:rPr>
        <w:t>asificación de la información ante una solicitud de acceso o al momento en que generen versiones públicas para dar cumplimiento a las obligaciones de transparencia, observando lo dispuesto en la Ley General y las demás disposiciones aplicables en la materi</w:t>
      </w:r>
      <w:r>
        <w:rPr>
          <w:rFonts w:ascii="Palatino Linotype" w:hAnsi="Palatino Linotype" w:cs="Arial"/>
          <w:i/>
          <w:sz w:val="22"/>
          <w:szCs w:val="22"/>
          <w:lang w:eastAsia="es-MX"/>
        </w:rPr>
        <w:t>a.</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w:t>
      </w:r>
      <w:r>
        <w:rPr>
          <w:rFonts w:ascii="Palatino Linotype" w:hAnsi="Palatino Linotype" w:cs="Arial"/>
          <w:i/>
          <w:sz w:val="22"/>
          <w:szCs w:val="22"/>
          <w:lang w:eastAsia="es-MX"/>
        </w:rPr>
        <w:t xml:space="preserve">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w:t>
      </w:r>
      <w:r>
        <w:rPr>
          <w:rFonts w:ascii="Palatino Linotype" w:hAnsi="Palatino Linotype" w:cs="Arial"/>
          <w:i/>
          <w:sz w:val="22"/>
          <w:szCs w:val="22"/>
          <w:lang w:eastAsia="es-MX"/>
        </w:rPr>
        <w:t>tud de acceso a la información;</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szCs w:val="22"/>
        </w:rPr>
        <w:t>mediante</w:t>
      </w:r>
      <w:r>
        <w:rPr>
          <w:rFonts w:ascii="Palatino Linotype" w:hAnsi="Palatino Linotype" w:cs="Arial"/>
          <w:i/>
          <w:sz w:val="22"/>
          <w:szCs w:val="22"/>
          <w:lang w:eastAsia="es-MX"/>
        </w:rPr>
        <w:t xml:space="preserve"> resolución de autoridad competente, o</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w:t>
      </w:r>
      <w:r>
        <w:rPr>
          <w:rFonts w:ascii="Palatino Linotype" w:hAnsi="Palatino Linotype" w:cs="Arial"/>
          <w:i/>
          <w:sz w:val="22"/>
          <w:szCs w:val="22"/>
          <w:lang w:eastAsia="es-MX"/>
        </w:rPr>
        <w:t>de las entidades federativas.</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sz w:val="22"/>
          <w:szCs w:val="22"/>
        </w:rPr>
        <w:t>expresamente</w:t>
      </w:r>
      <w:r>
        <w:rPr>
          <w:rFonts w:ascii="Palatino Linotype" w:hAnsi="Palatino Linotype" w:cs="Arial"/>
          <w:i/>
          <w:sz w:val="22"/>
          <w:szCs w:val="22"/>
          <w:lang w:eastAsia="es-MX"/>
        </w:rPr>
        <w:t xml:space="preserve"> le otorga el carácter de reservada o confidencial.</w:t>
      </w:r>
    </w:p>
    <w:p w:rsidR="00DF3CA6" w:rsidRDefault="001414A8">
      <w:pPr>
        <w:ind w:left="851" w:right="902"/>
        <w:jc w:val="both"/>
        <w:rPr>
          <w:rFonts w:ascii="Palatino Linotype" w:hAnsi="Palatino Linotype" w:cs="Arial"/>
          <w:bCs/>
          <w:i/>
          <w:sz w:val="22"/>
          <w:szCs w:val="22"/>
        </w:rPr>
      </w:pPr>
      <w:r>
        <w:rPr>
          <w:rFonts w:ascii="Palatino Linotype" w:hAnsi="Palatino Linotype" w:cs="Arial"/>
          <w:i/>
          <w:sz w:val="22"/>
          <w:szCs w:val="22"/>
          <w:lang w:eastAsia="es-MX"/>
        </w:rPr>
        <w:t xml:space="preserve">Para </w:t>
      </w:r>
      <w:r>
        <w:rPr>
          <w:rFonts w:ascii="Palatino Linotype" w:hAnsi="Palatino Linotype" w:cs="Arial"/>
          <w:bCs/>
          <w:i/>
          <w:sz w:val="22"/>
          <w:szCs w:val="22"/>
        </w:rPr>
        <w:t>moti</w:t>
      </w:r>
      <w:r>
        <w:rPr>
          <w:rFonts w:ascii="Palatino Linotype" w:hAnsi="Palatino Linotype" w:cs="Arial"/>
          <w:bCs/>
          <w:i/>
          <w:sz w:val="22"/>
          <w:szCs w:val="22"/>
        </w:rPr>
        <w:t xml:space="preserve">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szCs w:val="22"/>
        </w:rPr>
        <w:t xml:space="preserve"> a concluir que el caso particular se ajusta al supuesto previsto por la norma legal invocada como fundamento.</w:t>
      </w:r>
    </w:p>
    <w:p w:rsidR="00DF3CA6" w:rsidRDefault="001414A8">
      <w:pPr>
        <w:ind w:left="851" w:right="902"/>
        <w:jc w:val="both"/>
        <w:rPr>
          <w:rFonts w:ascii="Palatino Linotype" w:hAnsi="Palatino Linotype" w:cs="Arial"/>
          <w:bCs/>
          <w:i/>
          <w:sz w:val="22"/>
          <w:szCs w:val="22"/>
        </w:rPr>
      </w:pPr>
      <w:r>
        <w:rPr>
          <w:rFonts w:ascii="Palatino Linotype" w:hAnsi="Palatino Linotype" w:cs="Arial"/>
          <w:bCs/>
          <w:i/>
          <w:sz w:val="22"/>
          <w:szCs w:val="22"/>
        </w:rPr>
        <w:t>En caso de referirse a información reservada, la m</w:t>
      </w:r>
      <w:r>
        <w:rPr>
          <w:rFonts w:ascii="Palatino Linotype" w:hAnsi="Palatino Linotype" w:cs="Arial"/>
          <w:bCs/>
          <w:i/>
          <w:sz w:val="22"/>
          <w:szCs w:val="22"/>
        </w:rPr>
        <w:t xml:space="preserve">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DF3CA6" w:rsidRDefault="001414A8">
      <w:pPr>
        <w:ind w:left="851" w:right="902"/>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w:t>
      </w:r>
      <w:r>
        <w:rPr>
          <w:rFonts w:ascii="Palatino Linotype" w:hAnsi="Palatino Linotype" w:cs="Arial"/>
          <w:bCs/>
          <w:i/>
          <w:sz w:val="22"/>
          <w:szCs w:val="22"/>
        </w:rPr>
        <w:t>rmanente por tener valor histórico, ésta conservará tal carácter de conformidad con la normativa aplicable en materia de archivos.</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w:t>
      </w:r>
      <w:r>
        <w:rPr>
          <w:rFonts w:ascii="Palatino Linotype" w:hAnsi="Palatino Linotype" w:cs="Arial"/>
          <w:i/>
          <w:sz w:val="22"/>
          <w:szCs w:val="22"/>
          <w:lang w:eastAsia="es-MX"/>
        </w:rPr>
        <w:t xml:space="preserve"> de clasificación como reservados.</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Pr>
          <w:rFonts w:ascii="Palatino Linotype" w:hAnsi="Palatino Linotype" w:cs="Arial"/>
          <w:i/>
          <w:sz w:val="22"/>
          <w:szCs w:val="22"/>
          <w:lang w:eastAsia="es-MX"/>
        </w:rPr>
        <w:lastRenderedPageBreak/>
        <w:t>pública fundando y motivando la clasificación de las</w:t>
      </w:r>
      <w:r>
        <w:rPr>
          <w:rFonts w:ascii="Palatino Linotype" w:hAnsi="Palatino Linotype" w:cs="Arial"/>
          <w:i/>
          <w:sz w:val="22"/>
          <w:szCs w:val="22"/>
          <w:lang w:eastAsia="es-MX"/>
        </w:rPr>
        <w:t xml:space="preserve"> partes o secciones que se testen, siguiendo los procedimientos establecidos en el Capítulo IX de los presentes lineamientos.</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w:t>
      </w:r>
      <w:r>
        <w:rPr>
          <w:rFonts w:ascii="Palatino Linotype" w:hAnsi="Palatino Linotype" w:cs="Arial"/>
          <w:i/>
          <w:sz w:val="22"/>
          <w:szCs w:val="22"/>
          <w:lang w:eastAsia="es-MX"/>
        </w:rPr>
        <w:t xml:space="preserve">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w:t>
      </w:r>
      <w:r>
        <w:rPr>
          <w:rFonts w:ascii="Palatino Linotype" w:hAnsi="Palatino Linotype" w:cs="Arial"/>
          <w:i/>
          <w:sz w:val="22"/>
          <w:szCs w:val="22"/>
          <w:lang w:eastAsia="es-MX"/>
        </w:rPr>
        <w:t xml:space="preserve"> para la Organización y Conservación de Archivos.</w:t>
      </w: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DF3CA6" w:rsidRDefault="00DF3CA6">
      <w:pPr>
        <w:ind w:left="851" w:right="902"/>
        <w:jc w:val="both"/>
        <w:rPr>
          <w:rFonts w:ascii="Palatino Linotype" w:hAnsi="Palatino Linotype" w:cs="Arial"/>
          <w:i/>
          <w:sz w:val="22"/>
          <w:szCs w:val="22"/>
          <w:lang w:eastAsia="es-MX"/>
        </w:rPr>
      </w:pPr>
    </w:p>
    <w:p w:rsidR="00DF3CA6" w:rsidRDefault="001414A8">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w:t>
      </w:r>
      <w:r>
        <w:rPr>
          <w:rFonts w:ascii="Palatino Linotype" w:hAnsi="Palatino Linotype" w:cs="Arial"/>
          <w:b/>
          <w:i/>
          <w:sz w:val="22"/>
          <w:szCs w:val="22"/>
          <w:lang w:eastAsia="es-MX"/>
        </w:rPr>
        <w:t>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Pr>
          <w:rFonts w:ascii="Palatino Linotype" w:hAnsi="Palatino Linotype" w:cs="Arial"/>
          <w:i/>
          <w:sz w:val="22"/>
          <w:szCs w:val="22"/>
          <w:lang w:eastAsia="es-MX"/>
        </w:rPr>
        <w:t>lineamientos.”</w:t>
      </w:r>
    </w:p>
    <w:p w:rsidR="00DF3CA6" w:rsidRDefault="001414A8">
      <w:pPr>
        <w:ind w:left="851" w:right="902"/>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DF3CA6" w:rsidRDefault="001414A8">
      <w:pPr>
        <w:spacing w:beforeAutospacing="1" w:afterAutospacing="1" w:line="360" w:lineRule="auto"/>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w:t>
      </w:r>
      <w:r>
        <w:rPr>
          <w:rFonts w:ascii="Palatino Linotype" w:hAnsi="Palatino Linotype" w:cs="Arial"/>
        </w:rPr>
        <w:t xml:space="preserve">mental, ya que el no hacerlo, implica que lo entregado no es legal ni formalmente una versión pública, sino más bien una documentación ilegible, incompleta o tachada; pues no señalar las razones por las que no se aprecian determinados datos, ya sea porque </w:t>
      </w:r>
      <w:r>
        <w:rPr>
          <w:rFonts w:ascii="Palatino Linotype" w:hAnsi="Palatino Linotype" w:cs="Arial"/>
        </w:rPr>
        <w:t>se testan o suprimen, deja al solicitante en estado de incertidumbre, al no conocer o comprender porque no aparecen en la documentación respectiva, es decir, si no se exponen de manera puntual las razones de ello se estaría violentando desde un inicio el d</w:t>
      </w:r>
      <w:r>
        <w:rPr>
          <w:rFonts w:ascii="Palatino Linotype" w:hAnsi="Palatino Linotype" w:cs="Arial"/>
        </w:rPr>
        <w:t>erecho de acceso a la información del solicitante.</w:t>
      </w:r>
    </w:p>
    <w:p w:rsidR="00DF3CA6" w:rsidRDefault="001414A8">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En mérito de lo ya expuesto, el Pleno de este Instituto determina que las razones o motivos de inconformidad devienen </w:t>
      </w:r>
      <w:r>
        <w:rPr>
          <w:rFonts w:ascii="Palatino Linotype" w:hAnsi="Palatino Linotype" w:cs="Arial"/>
          <w:b/>
        </w:rPr>
        <w:t xml:space="preserve">parcialmente fundadas, </w:t>
      </w:r>
      <w:r>
        <w:rPr>
          <w:rFonts w:ascii="Palatino Linotype" w:hAnsi="Palatino Linotype" w:cs="Arial"/>
        </w:rPr>
        <w:t xml:space="preserve">toda vez que, </w:t>
      </w:r>
      <w:r>
        <w:rPr>
          <w:rFonts w:ascii="Palatino Linotype" w:hAnsi="Palatino Linotype" w:cs="Arial"/>
          <w:b/>
        </w:rPr>
        <w:t xml:space="preserve">EL RECURRENTE </w:t>
      </w:r>
      <w:r>
        <w:rPr>
          <w:rFonts w:ascii="Palatino Linotype" w:hAnsi="Palatino Linotype" w:cs="Arial"/>
        </w:rPr>
        <w:t>manifestó que le fue entregada la re</w:t>
      </w:r>
      <w:r>
        <w:rPr>
          <w:rFonts w:ascii="Palatino Linotype" w:hAnsi="Palatino Linotype" w:cs="Arial"/>
        </w:rPr>
        <w:t>spuesta con dolo y mala fe, violentando su derecho de acceso a la información, manifestaciones subjetivas de las que este Órgano Garante no puede emitir un pronunciamiento al no encontrarse facultado de conformidad con lo establecido en el artículo 36 de l</w:t>
      </w:r>
      <w:r>
        <w:rPr>
          <w:rFonts w:ascii="Palatino Linotype" w:hAnsi="Palatino Linotype" w:cs="Arial"/>
        </w:rPr>
        <w:t>a Ley de la materia; por ello, conforme al estudio realizado se actualiza la causal de procedencia enunciada en la fracción I del numeral 179 de la Ley de Transparencia y Acceso a la Información Pública del Estado de México y Municipios, por lo que se dete</w:t>
      </w:r>
      <w:r>
        <w:rPr>
          <w:rFonts w:ascii="Palatino Linotype" w:hAnsi="Palatino Linotype" w:cs="Arial"/>
        </w:rPr>
        <w:t xml:space="preserve">rmina </w:t>
      </w:r>
      <w:r>
        <w:rPr>
          <w:rFonts w:ascii="Palatino Linotype" w:hAnsi="Palatino Linotype" w:cs="Arial"/>
          <w:b/>
        </w:rPr>
        <w:t>REVOCAR</w:t>
      </w:r>
      <w:r>
        <w:rPr>
          <w:rFonts w:ascii="Palatino Linotype" w:hAnsi="Palatino Linotype" w:cs="Arial"/>
        </w:rPr>
        <w:t xml:space="preserve"> la respuesta del </w:t>
      </w:r>
      <w:r>
        <w:rPr>
          <w:rFonts w:ascii="Palatino Linotype" w:hAnsi="Palatino Linotype" w:cs="Arial"/>
          <w:b/>
        </w:rPr>
        <w:t xml:space="preserve">SUJETO OBLIGADO </w:t>
      </w:r>
      <w:r>
        <w:rPr>
          <w:rFonts w:ascii="Palatino Linotype" w:hAnsi="Palatino Linotype" w:cs="Arial"/>
        </w:rPr>
        <w:t>y en su caso ordenarle la entrega de la información que ha quedado precisada en el presente considerando.</w:t>
      </w:r>
    </w:p>
    <w:p w:rsidR="00DF3CA6" w:rsidRDefault="001414A8">
      <w:pPr>
        <w:pStyle w:val="Prrafodelista"/>
        <w:widowControl w:val="0"/>
        <w:spacing w:beforeAutospacing="1"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vigésimo segundo, vigésimo tercero y vi</w:t>
      </w:r>
      <w:r>
        <w:rPr>
          <w:rFonts w:ascii="Palatino Linotype" w:hAnsi="Palatino Linotype"/>
        </w:rPr>
        <w:t xml:space="preserve">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w:t>
      </w:r>
      <w:r>
        <w:rPr>
          <w:rFonts w:ascii="Palatino Linotype" w:eastAsia="Calibri" w:hAnsi="Palatino Linotype" w:cs="Arial"/>
        </w:rPr>
        <w:t xml:space="preserve">do de México y Municipios, este Pleno: </w:t>
      </w:r>
    </w:p>
    <w:p w:rsidR="00DF3CA6" w:rsidRDefault="001414A8">
      <w:pPr>
        <w:spacing w:before="240" w:after="120" w:line="360" w:lineRule="auto"/>
        <w:jc w:val="center"/>
        <w:rPr>
          <w:rFonts w:ascii="Palatino Linotype" w:hAnsi="Palatino Linotype" w:cs="Arial"/>
          <w:b/>
          <w:bCs/>
          <w:spacing w:val="40"/>
          <w:sz w:val="28"/>
          <w:szCs w:val="28"/>
          <w:lang w:val="es-ES_tradnl"/>
        </w:rPr>
      </w:pPr>
      <w:r>
        <w:rPr>
          <w:rFonts w:ascii="Palatino Linotype" w:hAnsi="Palatino Linotype" w:cs="Arial"/>
          <w:b/>
          <w:bCs/>
          <w:spacing w:val="40"/>
          <w:sz w:val="28"/>
          <w:szCs w:val="28"/>
          <w:lang w:val="es-ES_tradnl"/>
        </w:rPr>
        <w:t>RESUELVE</w:t>
      </w:r>
    </w:p>
    <w:p w:rsidR="00DF3CA6" w:rsidRDefault="001414A8">
      <w:pPr>
        <w:pStyle w:val="Prrafodelista"/>
        <w:widowControl w:val="0"/>
        <w:tabs>
          <w:tab w:val="left" w:pos="1701"/>
        </w:tabs>
        <w:spacing w:before="240" w:afterAutospacing="1" w:line="360" w:lineRule="auto"/>
        <w:ind w:left="0"/>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rPr>
        <w:t xml:space="preserve"> 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cs="Arial"/>
          <w:b/>
        </w:rPr>
        <w:t>EL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DF3CA6" w:rsidRDefault="001414A8">
      <w:pPr>
        <w:pStyle w:val="Prrafodelista"/>
        <w:widowControl w:val="0"/>
        <w:tabs>
          <w:tab w:val="left" w:pos="1701"/>
        </w:tabs>
        <w:spacing w:before="240" w:afterAutospacing="1" w:line="360" w:lineRule="auto"/>
        <w:ind w:left="0"/>
        <w:jc w:val="both"/>
        <w:rPr>
          <w:rFonts w:ascii="Palatino Linotype" w:hAnsi="Palatino Linotype" w:cs="Arial"/>
        </w:rPr>
      </w:pPr>
      <w:r>
        <w:rPr>
          <w:rFonts w:ascii="Palatino Linotype" w:hAnsi="Palatino Linotype" w:cs="Arial"/>
          <w:b/>
          <w:sz w:val="28"/>
          <w:szCs w:val="28"/>
        </w:rPr>
        <w:t>SEGUNDO</w:t>
      </w:r>
      <w:r>
        <w:rPr>
          <w:rFonts w:ascii="Palatino Linotype" w:hAnsi="Palatino Linotype" w:cs="Arial"/>
          <w:b/>
        </w:rPr>
        <w:t xml:space="preserve">. </w:t>
      </w:r>
      <w:r>
        <w:rPr>
          <w:rFonts w:ascii="Palatino Linotype" w:hAnsi="Palatino Linotype" w:cs="Arial"/>
        </w:rPr>
        <w:t xml:space="preserve">Se </w:t>
      </w:r>
      <w:r>
        <w:rPr>
          <w:rFonts w:ascii="Palatino Linotype" w:hAnsi="Palatino Linotype" w:cs="Arial"/>
          <w:b/>
        </w:rPr>
        <w:t xml:space="preserve">REVOCA </w:t>
      </w:r>
      <w:r>
        <w:rPr>
          <w:rFonts w:ascii="Palatino Linotype" w:hAnsi="Palatino Linotype" w:cs="Arial"/>
        </w:rPr>
        <w:t>la respuesta d</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y se ordena atienda </w:t>
      </w:r>
      <w:r>
        <w:rPr>
          <w:rFonts w:ascii="Palatino Linotype" w:hAnsi="Palatino Linotype" w:cs="Arial"/>
        </w:rPr>
        <w:lastRenderedPageBreak/>
        <w:t xml:space="preserve">la solicitud de información que dio origen al recurso de revisión </w:t>
      </w:r>
      <w:r>
        <w:rPr>
          <w:rFonts w:ascii="Palatino Linotype" w:hAnsi="Palatino Linotype"/>
          <w:b/>
          <w:lang w:val="es-ES_tradnl"/>
        </w:rPr>
        <w:t>00892/INFOEM/IP/RR/2020</w:t>
      </w:r>
      <w:r>
        <w:rPr>
          <w:rFonts w:ascii="Palatino Linotype" w:hAnsi="Palatino Linotype"/>
        </w:rPr>
        <w:t xml:space="preserve">, </w:t>
      </w:r>
      <w:r>
        <w:rPr>
          <w:rFonts w:ascii="Palatino Linotype" w:hAnsi="Palatino Linotype" w:cs="Arial"/>
        </w:rPr>
        <w:t xml:space="preserve">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rPr>
        <w:t xml:space="preserve">de la presente resolución </w:t>
      </w:r>
      <w:r>
        <w:rPr>
          <w:rFonts w:ascii="Palatino Linotype" w:hAnsi="Palatino Linotype" w:cs="Arial"/>
        </w:rPr>
        <w:t xml:space="preserve">y haga entrega al </w:t>
      </w:r>
      <w:r>
        <w:rPr>
          <w:rFonts w:ascii="Palatino Linotype" w:hAnsi="Palatino Linotype" w:cs="Arial"/>
          <w:b/>
        </w:rPr>
        <w:t>RECURRENTE</w:t>
      </w:r>
      <w:r>
        <w:rPr>
          <w:rFonts w:ascii="Palatino Linotype" w:hAnsi="Palatino Linotype" w:cs="Arial"/>
        </w:rPr>
        <w:t xml:space="preserve">, en Copias Certificadas sin costo, de ser procedente en </w:t>
      </w:r>
      <w:r>
        <w:rPr>
          <w:rFonts w:ascii="Palatino Linotype" w:hAnsi="Palatino Linotype" w:cs="Arial"/>
          <w:b/>
        </w:rPr>
        <w:t xml:space="preserve">versión pública, </w:t>
      </w:r>
      <w:r>
        <w:rPr>
          <w:rFonts w:ascii="Palatino Linotype" w:hAnsi="Palatino Linotype" w:cs="Arial"/>
        </w:rPr>
        <w:t>de lo siguiente</w:t>
      </w:r>
      <w:r>
        <w:rPr>
          <w:rFonts w:ascii="Palatino Linotype" w:hAnsi="Palatino Linotype"/>
          <w:shd w:val="clear" w:color="auto" w:fill="FFFFFF"/>
        </w:rPr>
        <w:t>:</w:t>
      </w:r>
    </w:p>
    <w:p w:rsidR="00DF3CA6" w:rsidRDefault="001414A8">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“Las estimaciones autorizadas y tramitadas para el pago de los Contratos de Obra Pública a Precios Unitarios y Tiempo Determinado Números OP-13-0222 y OP-13-0223, as</w:t>
      </w:r>
      <w:r>
        <w:rPr>
          <w:rFonts w:ascii="Palatino Linotype" w:hAnsi="Palatino Linotype"/>
          <w:i/>
          <w:iCs/>
          <w:color w:val="222222"/>
          <w:sz w:val="22"/>
          <w:szCs w:val="22"/>
          <w:lang w:eastAsia="es-MX"/>
        </w:rPr>
        <w:t>í como la documentación soporte consistente en las facturas, autorizaciones de pagos y estados de cuenta en donde se reflejan los pagos y en su caso, las transferencias electrónicas, consistentes en las 995 fojas señaladas en el alcance al Informe justific</w:t>
      </w:r>
      <w:r>
        <w:rPr>
          <w:rFonts w:ascii="Palatino Linotype" w:hAnsi="Palatino Linotype"/>
          <w:i/>
          <w:iCs/>
          <w:color w:val="222222"/>
          <w:sz w:val="22"/>
          <w:szCs w:val="22"/>
          <w:lang w:eastAsia="es-MX"/>
        </w:rPr>
        <w:t xml:space="preserve">ado remitido por </w:t>
      </w:r>
      <w:r>
        <w:rPr>
          <w:rFonts w:ascii="Palatino Linotype" w:hAnsi="Palatino Linotype"/>
          <w:b/>
          <w:i/>
          <w:iCs/>
          <w:color w:val="222222"/>
          <w:sz w:val="22"/>
          <w:szCs w:val="22"/>
          <w:lang w:eastAsia="es-MX"/>
        </w:rPr>
        <w:t>EL SUJETO OBLIGADO</w:t>
      </w:r>
      <w:r>
        <w:rPr>
          <w:rFonts w:ascii="Palatino Linotype" w:hAnsi="Palatino Linotype"/>
          <w:i/>
          <w:iCs/>
          <w:color w:val="222222"/>
          <w:sz w:val="22"/>
          <w:szCs w:val="22"/>
          <w:lang w:eastAsia="es-MX"/>
        </w:rPr>
        <w:t>.</w:t>
      </w:r>
    </w:p>
    <w:p w:rsidR="00DF3CA6" w:rsidRDefault="00DF3CA6">
      <w:pPr>
        <w:ind w:left="851" w:right="902"/>
        <w:jc w:val="both"/>
        <w:rPr>
          <w:rFonts w:ascii="Palatino Linotype" w:hAnsi="Palatino Linotype"/>
          <w:i/>
          <w:iCs/>
          <w:color w:val="222222"/>
          <w:sz w:val="22"/>
          <w:szCs w:val="22"/>
          <w:lang w:eastAsia="es-MX"/>
        </w:rPr>
      </w:pPr>
    </w:p>
    <w:p w:rsidR="00DF3CA6" w:rsidRDefault="001414A8">
      <w:pPr>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que emita el Comité de Transparencia, con motivo de la versión pública.</w:t>
      </w:r>
    </w:p>
    <w:p w:rsidR="00DF3CA6" w:rsidRDefault="001414A8">
      <w:pPr>
        <w:spacing w:beforeAutospacing="1" w:afterAutospacing="1"/>
        <w:ind w:left="851" w:right="902"/>
        <w:jc w:val="both"/>
        <w:rPr>
          <w:rFonts w:ascii="Palatino Linotype" w:eastAsia="Calibri" w:hAnsi="Palatino Linotype" w:cs="Arial"/>
          <w:b/>
          <w:i/>
          <w:sz w:val="22"/>
          <w:szCs w:val="22"/>
        </w:rPr>
      </w:pPr>
      <w:r>
        <w:rPr>
          <w:rFonts w:ascii="Palatino Linotype" w:hAnsi="Palatino Linotype"/>
          <w:i/>
          <w:sz w:val="22"/>
          <w:szCs w:val="22"/>
        </w:rPr>
        <w:t>A efecto de dar cumplimiento respecto de la modalidad de entrega</w:t>
      </w:r>
      <w:r>
        <w:rPr>
          <w:rFonts w:ascii="Palatino Linotype" w:hAnsi="Palatino Linotype"/>
          <w:b/>
          <w:i/>
          <w:sz w:val="22"/>
          <w:szCs w:val="22"/>
        </w:rPr>
        <w:t>, EL SUJETO OBLIGADO</w:t>
      </w:r>
      <w:r>
        <w:rPr>
          <w:rFonts w:ascii="Palatino Linotype" w:hAnsi="Palatino Linotype"/>
          <w:i/>
          <w:sz w:val="22"/>
          <w:szCs w:val="22"/>
        </w:rPr>
        <w:t xml:space="preserve"> deberá indicar el lugar, fecha, hora y nombre del servidor público que entregará las copias certificadas al </w:t>
      </w:r>
      <w:r>
        <w:rPr>
          <w:rFonts w:ascii="Palatino Linotype" w:hAnsi="Palatino Linotype"/>
          <w:b/>
          <w:i/>
          <w:sz w:val="22"/>
          <w:szCs w:val="22"/>
        </w:rPr>
        <w:t>RECURRENTE.</w:t>
      </w:r>
      <w:r>
        <w:rPr>
          <w:rFonts w:ascii="Palatino Linotype" w:eastAsia="Calibri" w:hAnsi="Palatino Linotype" w:cs="Arial"/>
          <w:i/>
          <w:sz w:val="22"/>
          <w:szCs w:val="22"/>
        </w:rPr>
        <w:t>”</w:t>
      </w:r>
    </w:p>
    <w:p w:rsidR="00DF3CA6" w:rsidRDefault="001414A8">
      <w:pPr>
        <w:pStyle w:val="Prrafodelista"/>
        <w:widowControl w:val="0"/>
        <w:tabs>
          <w:tab w:val="left" w:pos="1701"/>
        </w:tabs>
        <w:spacing w:before="240" w:afterAutospacing="1" w:line="360" w:lineRule="auto"/>
        <w:ind w:left="0"/>
        <w:jc w:val="both"/>
        <w:rPr>
          <w:rFonts w:ascii="Palatino Linotype" w:hAnsi="Palatino Linotype"/>
          <w:highlight w:val="white"/>
        </w:rPr>
      </w:pPr>
      <w:r>
        <w:rPr>
          <w:rFonts w:ascii="Palatino Linotype" w:hAnsi="Palatino Linotype"/>
          <w:b/>
          <w:sz w:val="28"/>
          <w:szCs w:val="28"/>
          <w:lang w:eastAsia="es-ES_tradnl"/>
        </w:rPr>
        <w:t>TERCERO</w:t>
      </w:r>
      <w:r>
        <w:rPr>
          <w:rFonts w:ascii="Palatino Linotype" w:hAnsi="Palatino Linotype"/>
          <w:szCs w:val="17"/>
          <w:lang w:eastAsia="es-ES_tradnl"/>
        </w:rPr>
        <w:t xml:space="preserve">. </w:t>
      </w: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w:t>
      </w:r>
      <w:r>
        <w:rPr>
          <w:rFonts w:ascii="Palatino Linotype" w:hAnsi="Palatino Linotype"/>
          <w:shd w:val="clear" w:color="auto" w:fill="FFFFFF"/>
        </w:rPr>
        <w:t xml:space="preserve">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DF3CA6" w:rsidRDefault="001414A8">
      <w:pPr>
        <w:pStyle w:val="Prrafodelista"/>
        <w:spacing w:line="360" w:lineRule="auto"/>
        <w:ind w:left="0"/>
        <w:jc w:val="both"/>
        <w:rPr>
          <w:rFonts w:ascii="Palatino Linotype" w:hAnsi="Palatino Linotype"/>
          <w:color w:val="222222"/>
          <w:highlight w:val="white"/>
        </w:rPr>
      </w:pPr>
      <w:r>
        <w:rPr>
          <w:rFonts w:ascii="Palatino Linotype" w:hAnsi="Palatino Linotype"/>
          <w:b/>
          <w:color w:val="222222"/>
          <w:sz w:val="28"/>
          <w:szCs w:val="28"/>
          <w:shd w:val="clear" w:color="auto" w:fill="FFFFFF"/>
        </w:rPr>
        <w:t>CUARTO</w:t>
      </w:r>
      <w:r>
        <w:rPr>
          <w:rFonts w:ascii="Palatino Linotype" w:hAnsi="Palatino Linotype"/>
          <w:color w:val="222222"/>
          <w:shd w:val="clear" w:color="auto" w:fill="FFFFFF"/>
        </w:rPr>
        <w:t xml:space="preserve">. Con fundamento en el artículo 198 de la Ley de Transparencia y Acceso a la Información Pública del Estado de México y Municipios, se apercibe al </w:t>
      </w:r>
      <w:r>
        <w:rPr>
          <w:rFonts w:ascii="Palatino Linotype" w:hAnsi="Palatino Linotype"/>
          <w:b/>
          <w:color w:val="222222"/>
          <w:shd w:val="clear" w:color="auto" w:fill="FFFFFF"/>
        </w:rPr>
        <w:t>SUJETO OBLI</w:t>
      </w:r>
      <w:r>
        <w:rPr>
          <w:rFonts w:ascii="Palatino Linotype" w:hAnsi="Palatino Linotype"/>
          <w:b/>
          <w:color w:val="222222"/>
          <w:shd w:val="clear" w:color="auto" w:fill="FFFFFF"/>
        </w:rPr>
        <w:t>GADO</w:t>
      </w:r>
      <w:r>
        <w:rPr>
          <w:rFonts w:ascii="Palatino Linotype" w:hAnsi="Palatino Linotype"/>
          <w:color w:val="222222"/>
          <w:shd w:val="clear" w:color="auto" w:fill="FFFFFF"/>
        </w:rPr>
        <w:t xml:space="preserve"> que, en caso de negarse a cumplir la presente resolución o hacerlo de </w:t>
      </w:r>
      <w:r>
        <w:rPr>
          <w:rFonts w:ascii="Palatino Linotype" w:hAnsi="Palatino Linotype"/>
          <w:color w:val="222222"/>
          <w:shd w:val="clear" w:color="auto" w:fill="FFFFFF"/>
        </w:rPr>
        <w:lastRenderedPageBreak/>
        <w:t>manera parcial se actuará de conformidad con lo previsto en los artículos 213, 214, 216 y 217 de dicha Ley.</w:t>
      </w:r>
    </w:p>
    <w:p w:rsidR="00DF3CA6" w:rsidRDefault="001414A8">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QUINTO</w:t>
      </w:r>
      <w:r>
        <w:rPr>
          <w:rFonts w:ascii="Palatino Linotype" w:hAnsi="Palatino Linotype"/>
          <w:b/>
          <w:szCs w:val="17"/>
          <w:lang w:eastAsia="es-ES_tradnl"/>
        </w:rPr>
        <w:t>. Notifíquese</w:t>
      </w:r>
      <w:r>
        <w:rPr>
          <w:rFonts w:ascii="Palatino Linotype" w:hAnsi="Palatino Linotype"/>
          <w:szCs w:val="17"/>
          <w:lang w:eastAsia="es-ES_tradnl"/>
        </w:rPr>
        <w:t xml:space="preserve"> al </w:t>
      </w:r>
      <w:r>
        <w:rPr>
          <w:rFonts w:ascii="Palatino Linotype" w:hAnsi="Palatino Linotype" w:cs="Arial"/>
          <w:b/>
        </w:rPr>
        <w:t>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DF3CA6" w:rsidRDefault="001414A8">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SEXTO</w:t>
      </w:r>
      <w:r>
        <w:rPr>
          <w:rFonts w:ascii="Palatino Linotype" w:hAnsi="Palatino Linotype"/>
          <w:b/>
          <w:szCs w:val="17"/>
          <w:lang w:eastAsia="es-ES_tradnl"/>
        </w:rPr>
        <w:t>. 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 xml:space="preserve">del </w:t>
      </w:r>
      <w:r>
        <w:rPr>
          <w:rFonts w:ascii="Palatino Linotype" w:hAnsi="Palatino Linotype" w:cs="Arial"/>
          <w:b/>
        </w:rPr>
        <w:t>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w:t>
      </w:r>
      <w:r>
        <w:rPr>
          <w:rFonts w:ascii="Palatino Linotype" w:hAnsi="Palatino Linotype"/>
          <w:szCs w:val="17"/>
          <w:lang w:eastAsia="es-ES_tradnl"/>
        </w:rPr>
        <w:t>icables.</w:t>
      </w:r>
    </w:p>
    <w:p w:rsidR="00DF3CA6" w:rsidRDefault="001414A8">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EMITIEND</w:t>
      </w:r>
      <w:r>
        <w:rPr>
          <w:rFonts w:ascii="Palatino Linotype" w:hAnsi="Palatino Linotype" w:cs="Arial"/>
        </w:rPr>
        <w:t xml:space="preserve">O VOTO PARTICULAR </w:t>
      </w:r>
      <w:r>
        <w:rPr>
          <w:rFonts w:ascii="Palatino Linotype" w:hAnsi="Palatino Linotype" w:cs="Arial"/>
        </w:rPr>
        <w:t xml:space="preserve">CONCURRENTE; EVA ABAID YAPUR EMITIENDO VOTO PARTICULAR </w:t>
      </w:r>
      <w:r>
        <w:rPr>
          <w:rFonts w:ascii="Palatino Linotype" w:hAnsi="Palatino Linotype" w:cs="Arial"/>
        </w:rPr>
        <w:t>CONCURRENTE; JOSÉ GUADALUPE LUNA HERNÁNDEZ; JAVIER MARTÍNEZ CRUZ y LUIS GUSTAVO PARRA NORIEGA; EN LA DÉCIMA TERCERA SESIÓN ORDINARIA CELEBRADA EL DOCE DE AGOSTO DE D</w:t>
      </w:r>
      <w:r>
        <w:rPr>
          <w:rFonts w:ascii="Palatino Linotype" w:hAnsi="Palatino Linotype" w:cs="Arial"/>
        </w:rPr>
        <w:t>OS MIL VEINTE, ANTE EL SECRETARIO TÉCNICO DEL PLENO, ALEXIS TAPIA RAMÍREZ.</w:t>
      </w:r>
    </w:p>
    <w:tbl>
      <w:tblPr>
        <w:tblW w:w="10365" w:type="dxa"/>
        <w:jc w:val="center"/>
        <w:tblLook w:val="04A0" w:firstRow="1" w:lastRow="0" w:firstColumn="1" w:lastColumn="0" w:noHBand="0" w:noVBand="1"/>
      </w:tblPr>
      <w:tblGrid>
        <w:gridCol w:w="5182"/>
        <w:gridCol w:w="5183"/>
      </w:tblGrid>
      <w:tr w:rsidR="00DF3CA6">
        <w:trPr>
          <w:jc w:val="center"/>
        </w:trPr>
        <w:tc>
          <w:tcPr>
            <w:tcW w:w="10364" w:type="dxa"/>
            <w:gridSpan w:val="2"/>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Zulema Martínez Sánchez</w:t>
            </w:r>
          </w:p>
          <w:p w:rsidR="00DF3CA6" w:rsidRDefault="001414A8">
            <w:pPr>
              <w:jc w:val="center"/>
              <w:rPr>
                <w:rFonts w:ascii="Palatino Linotype" w:hAnsi="Palatino Linotype" w:cs="Arial"/>
                <w:b/>
              </w:rPr>
            </w:pPr>
            <w:r>
              <w:rPr>
                <w:rFonts w:ascii="Palatino Linotype" w:hAnsi="Palatino Linotype" w:cs="Arial"/>
              </w:rPr>
              <w:t>Comisionada Presidenta</w:t>
            </w:r>
          </w:p>
          <w:p w:rsidR="00DF3CA6" w:rsidRDefault="001414A8">
            <w:pPr>
              <w:jc w:val="center"/>
              <w:rPr>
                <w:rFonts w:ascii="Palatino Linotype" w:hAnsi="Palatino Linotype" w:cs="Arial"/>
                <w:b/>
              </w:rPr>
            </w:pPr>
            <w:r>
              <w:rPr>
                <w:rFonts w:ascii="Palatino Linotype" w:hAnsi="Palatino Linotype" w:cs="Arial"/>
                <w:b/>
              </w:rPr>
              <w:t xml:space="preserve">(RÚBRICA) </w:t>
            </w:r>
          </w:p>
        </w:tc>
      </w:tr>
      <w:tr w:rsidR="00DF3CA6">
        <w:trPr>
          <w:jc w:val="center"/>
        </w:trPr>
        <w:tc>
          <w:tcPr>
            <w:tcW w:w="5182" w:type="dxa"/>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Eva Abaid Yapur</w:t>
            </w:r>
          </w:p>
          <w:p w:rsidR="00DF3CA6" w:rsidRDefault="001414A8">
            <w:pPr>
              <w:jc w:val="center"/>
              <w:rPr>
                <w:rFonts w:ascii="Palatino Linotype" w:hAnsi="Palatino Linotype" w:cs="Arial"/>
              </w:rPr>
            </w:pPr>
            <w:r>
              <w:rPr>
                <w:rFonts w:ascii="Palatino Linotype" w:hAnsi="Palatino Linotype" w:cs="Arial"/>
              </w:rPr>
              <w:t>Comisionada</w:t>
            </w:r>
          </w:p>
          <w:p w:rsidR="00DF3CA6" w:rsidRDefault="001414A8">
            <w:pPr>
              <w:jc w:val="center"/>
              <w:rPr>
                <w:rFonts w:ascii="Palatino Linotype" w:hAnsi="Palatino Linotype" w:cs="Arial"/>
                <w:b/>
              </w:rPr>
            </w:pPr>
            <w:r>
              <w:rPr>
                <w:rFonts w:ascii="Palatino Linotype" w:hAnsi="Palatino Linotype" w:cs="Arial"/>
                <w:b/>
              </w:rPr>
              <w:t>(RÚBRICA)</w:t>
            </w:r>
          </w:p>
        </w:tc>
        <w:tc>
          <w:tcPr>
            <w:tcW w:w="5182" w:type="dxa"/>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José Guadalupe Luna Hernández</w:t>
            </w:r>
          </w:p>
          <w:p w:rsidR="00DF3CA6" w:rsidRDefault="001414A8">
            <w:pPr>
              <w:jc w:val="center"/>
              <w:rPr>
                <w:rFonts w:ascii="Palatino Linotype" w:hAnsi="Palatino Linotype" w:cs="Arial"/>
              </w:rPr>
            </w:pPr>
            <w:r>
              <w:rPr>
                <w:rFonts w:ascii="Palatino Linotype" w:hAnsi="Palatino Linotype" w:cs="Arial"/>
              </w:rPr>
              <w:t>Comisionado</w:t>
            </w:r>
          </w:p>
          <w:p w:rsidR="00DF3CA6" w:rsidRDefault="001414A8">
            <w:pPr>
              <w:jc w:val="center"/>
              <w:rPr>
                <w:rFonts w:ascii="Palatino Linotype" w:hAnsi="Palatino Linotype" w:cs="Arial"/>
                <w:b/>
              </w:rPr>
            </w:pPr>
            <w:r>
              <w:rPr>
                <w:rFonts w:ascii="Palatino Linotype" w:hAnsi="Palatino Linotype" w:cs="Arial"/>
                <w:b/>
              </w:rPr>
              <w:t>(RÚBRICA)</w:t>
            </w:r>
          </w:p>
        </w:tc>
      </w:tr>
      <w:tr w:rsidR="00DF3CA6">
        <w:trPr>
          <w:jc w:val="center"/>
        </w:trPr>
        <w:tc>
          <w:tcPr>
            <w:tcW w:w="5182" w:type="dxa"/>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Javier Martínez Cruz</w:t>
            </w:r>
          </w:p>
          <w:p w:rsidR="00DF3CA6" w:rsidRDefault="001414A8">
            <w:pPr>
              <w:jc w:val="center"/>
              <w:rPr>
                <w:rFonts w:ascii="Palatino Linotype" w:hAnsi="Palatino Linotype" w:cs="Arial"/>
              </w:rPr>
            </w:pPr>
            <w:r>
              <w:rPr>
                <w:rFonts w:ascii="Palatino Linotype" w:hAnsi="Palatino Linotype" w:cs="Arial"/>
              </w:rPr>
              <w:t>Comisionado</w:t>
            </w:r>
          </w:p>
          <w:p w:rsidR="00DF3CA6" w:rsidRDefault="001414A8">
            <w:pPr>
              <w:jc w:val="center"/>
              <w:rPr>
                <w:rFonts w:ascii="Palatino Linotype" w:hAnsi="Palatino Linotype" w:cs="Arial"/>
              </w:rPr>
            </w:pPr>
            <w:r>
              <w:rPr>
                <w:rFonts w:ascii="Palatino Linotype" w:hAnsi="Palatino Linotype" w:cs="Arial"/>
                <w:b/>
              </w:rPr>
              <w:t>(RÚBRICA)</w:t>
            </w:r>
          </w:p>
        </w:tc>
        <w:tc>
          <w:tcPr>
            <w:tcW w:w="5182" w:type="dxa"/>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Luis Gustavo Parra Noriega</w:t>
            </w:r>
          </w:p>
          <w:p w:rsidR="00DF3CA6" w:rsidRDefault="001414A8">
            <w:pPr>
              <w:jc w:val="center"/>
              <w:rPr>
                <w:rFonts w:ascii="Palatino Linotype" w:hAnsi="Palatino Linotype" w:cs="Arial"/>
              </w:rPr>
            </w:pPr>
            <w:r>
              <w:rPr>
                <w:rFonts w:ascii="Palatino Linotype" w:hAnsi="Palatino Linotype" w:cs="Arial"/>
              </w:rPr>
              <w:t>Comisionado</w:t>
            </w:r>
          </w:p>
          <w:p w:rsidR="00DF3CA6" w:rsidRDefault="001414A8">
            <w:pPr>
              <w:jc w:val="center"/>
              <w:rPr>
                <w:rFonts w:ascii="Palatino Linotype" w:hAnsi="Palatino Linotype" w:cs="Arial"/>
                <w:b/>
              </w:rPr>
            </w:pPr>
            <w:r>
              <w:rPr>
                <w:rFonts w:ascii="Palatino Linotype" w:hAnsi="Palatino Linotype" w:cs="Arial"/>
                <w:b/>
              </w:rPr>
              <w:t>(RÚBRICA)</w:t>
            </w:r>
          </w:p>
        </w:tc>
      </w:tr>
      <w:tr w:rsidR="00DF3CA6">
        <w:trPr>
          <w:jc w:val="center"/>
        </w:trPr>
        <w:tc>
          <w:tcPr>
            <w:tcW w:w="10364" w:type="dxa"/>
            <w:gridSpan w:val="2"/>
          </w:tcPr>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156CA7" w:rsidRDefault="00156CA7">
            <w:pPr>
              <w:jc w:val="center"/>
              <w:rPr>
                <w:rFonts w:ascii="Palatino Linotype" w:hAnsi="Palatino Linotype" w:cs="Arial"/>
                <w:b/>
              </w:rPr>
            </w:pPr>
          </w:p>
          <w:p w:rsidR="00156CA7" w:rsidRDefault="00156CA7">
            <w:pPr>
              <w:jc w:val="center"/>
              <w:rPr>
                <w:rFonts w:ascii="Palatino Linotype" w:hAnsi="Palatino Linotype" w:cs="Arial"/>
                <w:b/>
              </w:rPr>
            </w:pPr>
            <w:bookmarkStart w:id="0" w:name="_GoBack"/>
            <w:bookmarkEnd w:id="0"/>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DF3CA6">
            <w:pPr>
              <w:jc w:val="center"/>
              <w:rPr>
                <w:rFonts w:ascii="Palatino Linotype" w:hAnsi="Palatino Linotype" w:cs="Arial"/>
                <w:b/>
              </w:rPr>
            </w:pPr>
          </w:p>
          <w:p w:rsidR="00DF3CA6" w:rsidRDefault="001414A8">
            <w:pPr>
              <w:jc w:val="center"/>
              <w:rPr>
                <w:rFonts w:ascii="Palatino Linotype" w:hAnsi="Palatino Linotype" w:cs="Arial"/>
                <w:b/>
              </w:rPr>
            </w:pPr>
            <w:r>
              <w:rPr>
                <w:rFonts w:ascii="Palatino Linotype" w:hAnsi="Palatino Linotype" w:cs="Arial"/>
                <w:b/>
              </w:rPr>
              <w:t>Alexis Tapia Ramírez</w:t>
            </w:r>
          </w:p>
          <w:p w:rsidR="00DF3CA6" w:rsidRDefault="001414A8">
            <w:pPr>
              <w:jc w:val="center"/>
              <w:rPr>
                <w:rFonts w:ascii="Palatino Linotype" w:hAnsi="Palatino Linotype" w:cs="Arial"/>
              </w:rPr>
            </w:pPr>
            <w:r>
              <w:rPr>
                <w:rFonts w:ascii="Palatino Linotype" w:hAnsi="Palatino Linotype" w:cs="Arial"/>
              </w:rPr>
              <w:t>Secretario Técnico del Pleno</w:t>
            </w:r>
          </w:p>
          <w:p w:rsidR="00DF3CA6" w:rsidRDefault="001414A8">
            <w:pPr>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rsidR="00DF3CA6" w:rsidRDefault="00DF3CA6">
      <w:pPr>
        <w:jc w:val="both"/>
        <w:rPr>
          <w:rFonts w:ascii="Palatino Linotype" w:hAnsi="Palatino Linotype" w:cs="Arial"/>
          <w:sz w:val="20"/>
          <w:szCs w:val="20"/>
        </w:rPr>
      </w:pPr>
    </w:p>
    <w:p w:rsidR="00DF3CA6" w:rsidRDefault="00DF3CA6">
      <w:pPr>
        <w:jc w:val="both"/>
        <w:rPr>
          <w:rFonts w:ascii="Palatino Linotype" w:hAnsi="Palatino Linotype" w:cs="Arial"/>
          <w:sz w:val="20"/>
          <w:szCs w:val="20"/>
        </w:rPr>
      </w:pPr>
    </w:p>
    <w:p w:rsidR="00DF3CA6" w:rsidRDefault="001414A8">
      <w:pPr>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doce de agosto de dos mil veinte, emitida en el recurso de revisión número 00892/INFOEM/IP/RR/2020. </w:t>
      </w:r>
    </w:p>
    <w:p w:rsidR="00DF3CA6" w:rsidRDefault="001414A8">
      <w:pPr>
        <w:spacing w:line="360" w:lineRule="auto"/>
        <w:jc w:val="both"/>
        <w:rPr>
          <w:rFonts w:ascii="Palatino Linotype" w:hAnsi="Palatino Linotype"/>
        </w:rPr>
      </w:pPr>
      <w:r>
        <w:rPr>
          <w:rFonts w:ascii="Palatino Linotype" w:hAnsi="Palatino Linotype" w:cs="Arial"/>
          <w:sz w:val="20"/>
          <w:szCs w:val="20"/>
        </w:rPr>
        <w:t>YSM/AMV</w:t>
      </w:r>
    </w:p>
    <w:sectPr w:rsidR="00DF3CA6">
      <w:headerReference w:type="default" r:id="rId24"/>
      <w:footerReference w:type="default" r:id="rId25"/>
      <w:headerReference w:type="first" r:id="rId26"/>
      <w:footerReference w:type="first" r:id="rId2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4A8" w:rsidRDefault="001414A8">
      <w:r>
        <w:separator/>
      </w:r>
    </w:p>
  </w:endnote>
  <w:endnote w:type="continuationSeparator" w:id="0">
    <w:p w:rsidR="001414A8" w:rsidRDefault="00141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CA6" w:rsidRDefault="001414A8">
    <w:pPr>
      <w:pStyle w:val="Piedepgina"/>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56CA7">
      <w:rPr>
        <w:rFonts w:ascii="Palatino Linotype" w:hAnsi="Palatino Linotype" w:cs="Arial"/>
        <w:bCs/>
        <w:noProof/>
        <w:sz w:val="22"/>
        <w:szCs w:val="22"/>
      </w:rPr>
      <w:t>35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56CA7">
      <w:rPr>
        <w:rFonts w:ascii="Palatino Linotype" w:hAnsi="Palatino Linotype" w:cs="Arial"/>
        <w:bCs/>
        <w:noProof/>
        <w:sz w:val="22"/>
        <w:szCs w:val="22"/>
      </w:rPr>
      <w:t>36</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CA6" w:rsidRDefault="001414A8">
    <w:pPr>
      <w:pStyle w:val="Piedepgina"/>
      <w:spacing w:before="120"/>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56CA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56CA7">
      <w:rPr>
        <w:rFonts w:ascii="Palatino Linotype" w:hAnsi="Palatino Linotype" w:cs="Arial"/>
        <w:bCs/>
        <w:noProof/>
        <w:sz w:val="22"/>
        <w:szCs w:val="22"/>
      </w:rPr>
      <w:t>36</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4A8" w:rsidRDefault="001414A8">
      <w:r>
        <w:separator/>
      </w:r>
    </w:p>
  </w:footnote>
  <w:footnote w:type="continuationSeparator" w:id="0">
    <w:p w:rsidR="001414A8" w:rsidRDefault="00141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CA6" w:rsidRDefault="001414A8">
    <w:pPr>
      <w:pStyle w:val="Encabezado"/>
      <w:tabs>
        <w:tab w:val="clear" w:pos="4252"/>
        <w:tab w:val="clear" w:pos="8504"/>
        <w:tab w:val="left" w:pos="2326"/>
      </w:tabs>
      <w:rPr>
        <w:rFonts w:ascii="Palatino Linotype" w:hAnsi="Palatino Linotype" w:hint="eastAsia"/>
        <w:sz w:val="28"/>
        <w:szCs w:val="28"/>
      </w:rPr>
    </w:pPr>
    <w:r>
      <w:rPr>
        <w:rFonts w:ascii="Palatino Linotype" w:hAnsi="Palatino Linotype"/>
        <w:noProof/>
        <w:sz w:val="28"/>
        <w:szCs w:val="28"/>
        <w:lang w:val="es-MX" w:eastAsia="es-MX"/>
      </w:rPr>
      <w:drawing>
        <wp:anchor distT="0" distB="0" distL="0" distR="0" simplePos="0" relativeHeight="39"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DF3CA6">
      <w:tc>
        <w:tcPr>
          <w:tcW w:w="3259" w:type="dxa"/>
          <w:vMerge w:val="restart"/>
        </w:tcPr>
        <w:p w:rsidR="00DF3CA6" w:rsidRDefault="001414A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F3CA6" w:rsidRDefault="001414A8">
          <w:pPr>
            <w:ind w:left="33" w:right="-249"/>
            <w:jc w:val="both"/>
            <w:rPr>
              <w:rFonts w:ascii="Palatino Linotype" w:hAnsi="Palatino Linotype"/>
              <w:b/>
              <w:sz w:val="22"/>
              <w:szCs w:val="22"/>
              <w:lang w:val="es-ES_tradnl"/>
            </w:rPr>
          </w:pPr>
          <w:r>
            <w:rPr>
              <w:rFonts w:ascii="Palatino Linotype" w:hAnsi="Palatino Linotype"/>
              <w:b/>
              <w:sz w:val="22"/>
              <w:szCs w:val="22"/>
              <w:lang w:val="es-ES_tradnl"/>
            </w:rPr>
            <w:t>00892/INFOEM/IP/RR/2020</w:t>
          </w:r>
        </w:p>
      </w:tc>
    </w:tr>
    <w:tr w:rsidR="00DF3CA6">
      <w:tc>
        <w:tcPr>
          <w:tcW w:w="3259" w:type="dxa"/>
          <w:vMerge/>
        </w:tcPr>
        <w:p w:rsidR="00DF3CA6" w:rsidRDefault="00DF3CA6">
          <w:pPr>
            <w:rPr>
              <w:rFonts w:ascii="Palatino Linotype" w:hAnsi="Palatino Linotype"/>
              <w:b/>
              <w:sz w:val="22"/>
              <w:szCs w:val="22"/>
              <w:lang w:val="es-ES_tradnl"/>
            </w:rPr>
          </w:pPr>
        </w:p>
      </w:tc>
      <w:tc>
        <w:tcPr>
          <w:tcW w:w="2551"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F3CA6" w:rsidRDefault="001414A8">
          <w:pPr>
            <w:ind w:right="601"/>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DF3CA6">
      <w:trPr>
        <w:trHeight w:val="228"/>
      </w:trPr>
      <w:tc>
        <w:tcPr>
          <w:tcW w:w="3259" w:type="dxa"/>
          <w:vMerge/>
        </w:tcPr>
        <w:p w:rsidR="00DF3CA6" w:rsidRDefault="00DF3CA6">
          <w:pPr>
            <w:rPr>
              <w:rFonts w:ascii="Palatino Linotype" w:hAnsi="Palatino Linotype"/>
              <w:b/>
              <w:sz w:val="22"/>
              <w:szCs w:val="22"/>
              <w:lang w:val="es-ES_tradnl"/>
            </w:rPr>
          </w:pPr>
        </w:p>
      </w:tc>
      <w:tc>
        <w:tcPr>
          <w:tcW w:w="2551"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F3CA6" w:rsidRDefault="001414A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F3CA6" w:rsidRDefault="00DF3CA6">
    <w:pPr>
      <w:pStyle w:val="Encabezado"/>
      <w:tabs>
        <w:tab w:val="clear" w:pos="4252"/>
        <w:tab w:val="clear" w:pos="8504"/>
        <w:tab w:val="left" w:pos="2326"/>
      </w:tabs>
      <w:rPr>
        <w:rFonts w:ascii="Palatino Linotype" w:hAnsi="Palatino Linotype" w:hint="eastAsia"/>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CA6" w:rsidRDefault="001414A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DF3CA6">
      <w:tc>
        <w:tcPr>
          <w:tcW w:w="4251" w:type="dxa"/>
          <w:vMerge w:val="restart"/>
          <w:shd w:val="clear" w:color="auto" w:fill="auto"/>
        </w:tcPr>
        <w:p w:rsidR="00DF3CA6" w:rsidRDefault="001414A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DF3CA6" w:rsidRDefault="001414A8">
          <w:pPr>
            <w:ind w:left="176" w:right="34"/>
            <w:jc w:val="both"/>
            <w:rPr>
              <w:rFonts w:ascii="Palatino Linotype" w:hAnsi="Palatino Linotype"/>
              <w:b/>
              <w:sz w:val="22"/>
              <w:szCs w:val="22"/>
              <w:lang w:val="es-ES_tradnl"/>
            </w:rPr>
          </w:pPr>
          <w:r>
            <w:rPr>
              <w:rFonts w:ascii="Palatino Linotype" w:hAnsi="Palatino Linotype"/>
              <w:b/>
              <w:sz w:val="22"/>
              <w:szCs w:val="22"/>
              <w:lang w:val="es-ES_tradnl"/>
            </w:rPr>
            <w:t>00892/INFOEM/IP/RR/2020</w:t>
          </w:r>
        </w:p>
      </w:tc>
    </w:tr>
    <w:tr w:rsidR="00DF3CA6">
      <w:tc>
        <w:tcPr>
          <w:tcW w:w="4251" w:type="dxa"/>
          <w:vMerge/>
          <w:shd w:val="clear" w:color="auto" w:fill="auto"/>
        </w:tcPr>
        <w:p w:rsidR="00DF3CA6" w:rsidRDefault="00DF3CA6">
          <w:pPr>
            <w:rPr>
              <w:rFonts w:ascii="Palatino Linotype" w:hAnsi="Palatino Linotype"/>
              <w:b/>
              <w:sz w:val="22"/>
              <w:szCs w:val="22"/>
              <w:lang w:val="es-ES_tradnl"/>
            </w:rPr>
          </w:pPr>
        </w:p>
      </w:tc>
      <w:tc>
        <w:tcPr>
          <w:tcW w:w="2552"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DF3CA6" w:rsidRDefault="00DF3CA6">
          <w:pPr>
            <w:ind w:left="176" w:right="34"/>
            <w:jc w:val="both"/>
            <w:rPr>
              <w:rFonts w:ascii="Palatino Linotype" w:hAnsi="Palatino Linotype"/>
              <w:b/>
              <w:sz w:val="22"/>
              <w:szCs w:val="22"/>
              <w:lang w:val="es-ES_tradnl"/>
            </w:rPr>
          </w:pPr>
        </w:p>
      </w:tc>
    </w:tr>
    <w:tr w:rsidR="00DF3CA6">
      <w:trPr>
        <w:trHeight w:val="228"/>
      </w:trPr>
      <w:tc>
        <w:tcPr>
          <w:tcW w:w="4251" w:type="dxa"/>
          <w:vMerge/>
          <w:shd w:val="clear" w:color="auto" w:fill="auto"/>
        </w:tcPr>
        <w:p w:rsidR="00DF3CA6" w:rsidRDefault="00DF3CA6">
          <w:pPr>
            <w:rPr>
              <w:rFonts w:ascii="Palatino Linotype" w:hAnsi="Palatino Linotype"/>
              <w:b/>
              <w:sz w:val="22"/>
              <w:szCs w:val="22"/>
              <w:lang w:val="es-ES_tradnl"/>
            </w:rPr>
          </w:pPr>
        </w:p>
      </w:tc>
      <w:tc>
        <w:tcPr>
          <w:tcW w:w="2552"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DF3CA6" w:rsidRDefault="001414A8">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DF3CA6">
      <w:tc>
        <w:tcPr>
          <w:tcW w:w="4251" w:type="dxa"/>
          <w:vMerge/>
          <w:shd w:val="clear" w:color="auto" w:fill="auto"/>
        </w:tcPr>
        <w:p w:rsidR="00DF3CA6" w:rsidRDefault="00DF3CA6">
          <w:pPr>
            <w:rPr>
              <w:rFonts w:ascii="Palatino Linotype" w:hAnsi="Palatino Linotype"/>
              <w:b/>
              <w:sz w:val="22"/>
              <w:szCs w:val="22"/>
              <w:lang w:val="es-ES_tradnl"/>
            </w:rPr>
          </w:pPr>
        </w:p>
      </w:tc>
      <w:tc>
        <w:tcPr>
          <w:tcW w:w="2552" w:type="dxa"/>
          <w:shd w:val="clear" w:color="auto" w:fill="auto"/>
        </w:tcPr>
        <w:p w:rsidR="00DF3CA6" w:rsidRDefault="001414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DF3CA6" w:rsidRDefault="001414A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F3CA6" w:rsidRDefault="00DF3CA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21BFC"/>
    <w:multiLevelType w:val="multilevel"/>
    <w:tmpl w:val="A5AE9940"/>
    <w:lvl w:ilvl="0">
      <w:start w:val="1"/>
      <w:numFmt w:val="decimal"/>
      <w:lvlText w:val="%1."/>
      <w:lvlJc w:val="left"/>
      <w:pPr>
        <w:ind w:left="720" w:hanging="360"/>
      </w:pPr>
      <w:rPr>
        <w:caps w:val="0"/>
        <w:smallCaps w:val="0"/>
        <w:strike w:val="0"/>
        <w:dstrike w:val="0"/>
        <w:outline w:val="0"/>
        <w:emboss w:val="0"/>
        <w:imprint w:val="0"/>
        <w:spacing w:val="0"/>
        <w:w w:val="100"/>
        <w:kern w:val="0"/>
        <w:position w:val="0"/>
        <w:sz w:val="24"/>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1" w15:restartNumberingAfterBreak="0">
    <w:nsid w:val="5FB16683"/>
    <w:multiLevelType w:val="multilevel"/>
    <w:tmpl w:val="10B6918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CA6"/>
    <w:rsid w:val="001414A8"/>
    <w:rsid w:val="00156CA7"/>
    <w:rsid w:val="00DF3CA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6FAFD-7811-4D02-8508-2924886C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74648.page"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874647.page"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874651.page"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74646.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874650.pag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saimex.org.mx/saimex/solicitud/downloadAttach/862698.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862693.page" TargetMode="External"/><Relationship Id="rId14" Type="http://schemas.openxmlformats.org/officeDocument/2006/relationships/hyperlink" Target="https://www.saimex.org.mx/saimex/solicitud/downloadAttach/874649.page" TargetMode="External"/><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D896-9859-4035-BF7E-8D0CEA62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8457</Words>
  <Characters>46515</Characters>
  <Application>Microsoft Office Word</Application>
  <DocSecurity>0</DocSecurity>
  <Lines>387</Lines>
  <Paragraphs>109</Paragraphs>
  <ScaleCrop>false</ScaleCrop>
  <Company>INFOEM</Company>
  <LinksUpToDate>false</LinksUpToDate>
  <CharactersWithSpaces>54863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PONENCIA EAY</cp:lastModifiedBy>
  <cp:revision>12</cp:revision>
  <cp:lastPrinted>2020-01-22T19:55:00Z</cp:lastPrinted>
  <dcterms:created xsi:type="dcterms:W3CDTF">2020-03-20T16:10:00Z</dcterms:created>
  <dcterms:modified xsi:type="dcterms:W3CDTF">2020-08-13T22:05:00Z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