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321" w:rsidRDefault="004D0B4C">
      <w:pPr>
        <w:spacing w:line="360" w:lineRule="auto"/>
        <w:jc w:val="both"/>
        <w:rPr>
          <w:rFonts w:ascii="Palatino Linotype" w:hAnsi="Palatino Linotype" w:cs="Arial"/>
        </w:rPr>
      </w:pPr>
      <w:r>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doce de agosto </w:t>
      </w:r>
      <w:bookmarkStart w:id="0" w:name="_GoBack"/>
      <w:bookmarkEnd w:id="0"/>
      <w:r>
        <w:rPr>
          <w:rFonts w:ascii="Palatino Linotype" w:hAnsi="Palatino Linotype" w:cs="Arial"/>
        </w:rPr>
        <w:t>de dos mil veinte.</w:t>
      </w:r>
    </w:p>
    <w:p w:rsidR="00763321" w:rsidRDefault="00763321">
      <w:pPr>
        <w:spacing w:line="360" w:lineRule="auto"/>
        <w:jc w:val="both"/>
        <w:rPr>
          <w:rFonts w:ascii="Palatino Linotype" w:hAnsi="Palatino Linotype" w:cs="Arial"/>
        </w:rPr>
      </w:pPr>
    </w:p>
    <w:p w:rsidR="00763321" w:rsidRDefault="004D0B4C">
      <w:pPr>
        <w:spacing w:line="360" w:lineRule="auto"/>
        <w:jc w:val="both"/>
        <w:rPr>
          <w:rFonts w:ascii="Palatino Linotype" w:hAnsi="Palatino Linotype" w:cs="Arial"/>
          <w:lang w:val="es-ES"/>
        </w:rPr>
      </w:pPr>
      <w:r>
        <w:rPr>
          <w:rFonts w:ascii="Palatino Linotype" w:hAnsi="Palatino Linotype" w:cs="Arial"/>
        </w:rPr>
        <w:t xml:space="preserve">VISTO el expediente formado con motivo del recurso de revisión </w:t>
      </w:r>
      <w:r>
        <w:rPr>
          <w:rFonts w:ascii="Palatino Linotype" w:hAnsi="Palatino Linotype" w:cs="Arial"/>
          <w:b/>
        </w:rPr>
        <w:t>01062/</w:t>
      </w:r>
      <w:r>
        <w:rPr>
          <w:rFonts w:ascii="Palatino Linotype" w:hAnsi="Palatino Linotype" w:cs="Arial"/>
          <w:b/>
          <w:bCs/>
        </w:rPr>
        <w:t>INFOEM/IP/RR/2020</w:t>
      </w:r>
      <w:r>
        <w:rPr>
          <w:rFonts w:ascii="Palatino Linotype" w:hAnsi="Palatino Linotype" w:cs="Arial"/>
        </w:rPr>
        <w:t xml:space="preserve">, promovido </w:t>
      </w:r>
      <w:r>
        <w:rPr>
          <w:rFonts w:ascii="Palatino Linotype" w:hAnsi="Palatino Linotype" w:cs="Arial"/>
          <w:lang w:val="es-ES"/>
        </w:rPr>
        <w:t xml:space="preserve">por </w:t>
      </w:r>
      <w:r w:rsidR="00983374" w:rsidRPr="00983374">
        <w:rPr>
          <w:rFonts w:ascii="Palatino Linotype" w:hAnsi="Palatino Linotype"/>
          <w:b/>
        </w:rPr>
        <w:t>XXXXXXXX XXXXXX XXXXXX XXXXXX</w:t>
      </w:r>
      <w:r>
        <w:rPr>
          <w:rFonts w:ascii="Palatino Linotype" w:hAnsi="Palatino Linotype" w:cs="Arial"/>
          <w:b/>
          <w:lang w:val="es-ES"/>
        </w:rPr>
        <w:t xml:space="preserve">, </w:t>
      </w:r>
      <w:r>
        <w:rPr>
          <w:rFonts w:ascii="Palatino Linotype" w:hAnsi="Palatino Linotype" w:cs="Arial"/>
          <w:lang w:val="es-ES"/>
        </w:rPr>
        <w:t>quien en lo sucesivo será</w:t>
      </w:r>
      <w:r>
        <w:rPr>
          <w:rFonts w:ascii="Palatino Linotype" w:hAnsi="Palatino Linotype" w:cs="Arial"/>
          <w:b/>
          <w:lang w:val="es-ES"/>
        </w:rPr>
        <w:t xml:space="preserve"> EL RECURRENTE,</w:t>
      </w:r>
      <w:r>
        <w:rPr>
          <w:rFonts w:ascii="Palatino Linotype" w:hAnsi="Palatino Linotype" w:cs="Arial"/>
          <w:lang w:val="es-ES"/>
        </w:rPr>
        <w:t xml:space="preserve"> en contra de la falta de respuesta del </w:t>
      </w:r>
      <w:r>
        <w:rPr>
          <w:rFonts w:ascii="Palatino Linotype" w:hAnsi="Palatino Linotype" w:cs="Arial"/>
          <w:b/>
          <w:lang w:val="es-ES"/>
        </w:rPr>
        <w:t xml:space="preserve">Ayuntamiento de Ixtapaluca, </w:t>
      </w:r>
      <w:r>
        <w:rPr>
          <w:rFonts w:ascii="Palatino Linotype" w:hAnsi="Palatino Linotype" w:cs="Arial"/>
          <w:lang w:val="es-ES"/>
        </w:rPr>
        <w:t xml:space="preserve">en lo sucesivo </w:t>
      </w:r>
      <w:r>
        <w:rPr>
          <w:rFonts w:ascii="Palatino Linotype" w:hAnsi="Palatino Linotype" w:cs="Arial"/>
          <w:b/>
          <w:lang w:val="es-ES"/>
        </w:rPr>
        <w:t xml:space="preserve">EL SUJETO OBLIGADO, </w:t>
      </w:r>
      <w:r>
        <w:rPr>
          <w:rFonts w:ascii="Palatino Linotype" w:hAnsi="Palatino Linotype" w:cs="Arial"/>
          <w:lang w:val="es-ES"/>
        </w:rPr>
        <w:t xml:space="preserve">se procede a dictar la presente resolución con base en lo siguiente: </w:t>
      </w:r>
    </w:p>
    <w:p w:rsidR="00763321" w:rsidRDefault="00763321">
      <w:pPr>
        <w:jc w:val="center"/>
        <w:rPr>
          <w:rFonts w:ascii="Palatino Linotype" w:hAnsi="Palatino Linotype" w:cs="Arial"/>
          <w:b/>
          <w:bCs/>
          <w:spacing w:val="60"/>
          <w:sz w:val="28"/>
        </w:rPr>
      </w:pPr>
    </w:p>
    <w:p w:rsidR="00763321" w:rsidRDefault="004D0B4C">
      <w:pPr>
        <w:jc w:val="center"/>
        <w:rPr>
          <w:rFonts w:ascii="Palatino Linotype" w:hAnsi="Palatino Linotype" w:cs="Arial"/>
          <w:b/>
          <w:bCs/>
          <w:spacing w:val="60"/>
          <w:sz w:val="28"/>
        </w:rPr>
      </w:pPr>
      <w:r>
        <w:rPr>
          <w:rFonts w:ascii="Palatino Linotype" w:hAnsi="Palatino Linotype" w:cs="Arial"/>
          <w:b/>
          <w:bCs/>
          <w:spacing w:val="60"/>
          <w:sz w:val="28"/>
        </w:rPr>
        <w:t>RESULTANDO</w:t>
      </w:r>
    </w:p>
    <w:p w:rsidR="00763321" w:rsidRDefault="00763321">
      <w:pPr>
        <w:jc w:val="center"/>
        <w:rPr>
          <w:rFonts w:ascii="Palatino Linotype" w:hAnsi="Palatino Linotype" w:cs="Arial"/>
          <w:b/>
          <w:bCs/>
          <w:spacing w:val="60"/>
        </w:rPr>
      </w:pPr>
    </w:p>
    <w:p w:rsidR="00763321" w:rsidRDefault="004D0B4C">
      <w:pPr>
        <w:spacing w:line="360" w:lineRule="auto"/>
        <w:jc w:val="both"/>
        <w:rPr>
          <w:rFonts w:ascii="Palatino Linotype" w:hAnsi="Palatino Linotype" w:cs="Arial"/>
          <w:b/>
          <w:bCs/>
        </w:rPr>
      </w:pPr>
      <w:r>
        <w:rPr>
          <w:rFonts w:ascii="Palatino Linotype" w:hAnsi="Palatino Linotype" w:cs="Arial"/>
          <w:b/>
          <w:sz w:val="28"/>
          <w:szCs w:val="28"/>
        </w:rPr>
        <w:t>I.</w:t>
      </w:r>
      <w:r>
        <w:rPr>
          <w:rFonts w:ascii="Palatino Linotype" w:hAnsi="Palatino Linotype" w:cs="Arial"/>
          <w:b/>
        </w:rPr>
        <w:t xml:space="preserve"> </w:t>
      </w:r>
      <w:r>
        <w:rPr>
          <w:rFonts w:ascii="Palatino Linotype" w:hAnsi="Palatino Linotype" w:cs="Arial"/>
        </w:rPr>
        <w:t xml:space="preserve">En fecha catorce de enero de dos mil veinte, </w:t>
      </w:r>
      <w:r>
        <w:rPr>
          <w:rFonts w:ascii="Palatino Linotype" w:hAnsi="Palatino Linotype" w:cs="Arial"/>
          <w:b/>
        </w:rPr>
        <w:t>EL RECURRENTE</w:t>
      </w:r>
      <w:r>
        <w:rPr>
          <w:rFonts w:ascii="Palatino Linotype" w:hAnsi="Palatino Linotype" w:cs="Arial"/>
        </w:rPr>
        <w:t xml:space="preserve"> presentó a través del Sistema de Acceso a la Información Mexiquense, en lo subsecuente </w:t>
      </w:r>
      <w:r>
        <w:rPr>
          <w:rFonts w:ascii="Palatino Linotype" w:hAnsi="Palatino Linotype" w:cs="Arial"/>
          <w:b/>
        </w:rPr>
        <w:t>EL SAIMEX</w:t>
      </w:r>
      <w:r>
        <w:rPr>
          <w:rFonts w:ascii="Palatino Linotype" w:hAnsi="Palatino Linotype" w:cs="Arial"/>
        </w:rPr>
        <w:t xml:space="preserve"> ante </w:t>
      </w:r>
      <w:r>
        <w:rPr>
          <w:rFonts w:ascii="Palatino Linotype" w:hAnsi="Palatino Linotype" w:cs="Arial"/>
          <w:b/>
        </w:rPr>
        <w:t>EL SUJETO OBLIGADO</w:t>
      </w:r>
      <w:r>
        <w:rPr>
          <w:rFonts w:ascii="Palatino Linotype" w:hAnsi="Palatino Linotype" w:cs="Arial"/>
        </w:rPr>
        <w:t xml:space="preserve">, la solicitud de acceso a la información pública, a la que se le asignó el número de expediente </w:t>
      </w:r>
      <w:r>
        <w:rPr>
          <w:rFonts w:ascii="Palatino Linotype" w:hAnsi="Palatino Linotype" w:cs="Arial"/>
          <w:b/>
          <w:bCs/>
        </w:rPr>
        <w:t>00005/IXTAPALU/IP/2020</w:t>
      </w:r>
      <w:r>
        <w:rPr>
          <w:rFonts w:ascii="Palatino Linotype" w:hAnsi="Palatino Linotype" w:cs="Arial"/>
        </w:rPr>
        <w:t xml:space="preserve">, </w:t>
      </w:r>
      <w:r>
        <w:rPr>
          <w:rFonts w:ascii="Palatino Linotype" w:hAnsi="Palatino Linotype" w:cs="Arial"/>
          <w:bCs/>
        </w:rPr>
        <w:t>por medio de la cual requirió</w:t>
      </w:r>
      <w:r>
        <w:rPr>
          <w:rFonts w:ascii="Palatino Linotype" w:hAnsi="Palatino Linotype" w:cs="Arial"/>
        </w:rPr>
        <w:t>:</w:t>
      </w:r>
    </w:p>
    <w:p w:rsidR="00763321" w:rsidRDefault="00763321">
      <w:pPr>
        <w:pStyle w:val="Prrafodelista"/>
        <w:ind w:left="0"/>
        <w:jc w:val="both"/>
        <w:rPr>
          <w:rFonts w:ascii="Palatino Linotype" w:hAnsi="Palatino Linotype" w:cs="Arial"/>
          <w:i/>
          <w:sz w:val="22"/>
          <w:szCs w:val="22"/>
        </w:rPr>
      </w:pPr>
    </w:p>
    <w:p w:rsidR="00763321" w:rsidRDefault="004D0B4C">
      <w:pPr>
        <w:ind w:left="851" w:right="899"/>
        <w:jc w:val="both"/>
        <w:rPr>
          <w:rFonts w:ascii="Palatino Linotype" w:hAnsi="Palatino Linotype" w:cs="Arial"/>
          <w:i/>
          <w:sz w:val="22"/>
          <w:szCs w:val="22"/>
        </w:rPr>
      </w:pPr>
      <w:r>
        <w:rPr>
          <w:rFonts w:ascii="Palatino Linotype" w:hAnsi="Palatino Linotype" w:cs="Arial"/>
          <w:i/>
          <w:sz w:val="22"/>
          <w:szCs w:val="22"/>
        </w:rPr>
        <w:t>“Con fundamento en lo dispuesto en el artículo 6 de la Constitución Política de los Estados Unidos Mexicanos, y artículos 1, 2, 3, 5 y 6 de la Ley Federal de Transparencia y Acceso a la Información Pública, así como, demás fundamentos jurídicos locales solicito a este Honorable Instituto Político la siguiente información, dejando en mención que la presente tiene como único propósito el de realizar una investigación de grado académico, misma que se describe al tenor de lo siguiente: ÚNICO.- Solicitó se me informen las remuneraciones de cada uno de los Regidores que componen a este H. Ayuntamiento. Por lo antes expuesto y fundado, atentamente pido se sirva: a) Tenerme por presentado la presente solicitud de información para los efectos legales a que haya lugar.</w:t>
      </w:r>
    </w:p>
    <w:p w:rsidR="00763321" w:rsidRDefault="004D0B4C">
      <w:pPr>
        <w:tabs>
          <w:tab w:val="left" w:pos="851"/>
        </w:tabs>
        <w:ind w:left="851" w:right="899"/>
        <w:jc w:val="both"/>
        <w:rPr>
          <w:rFonts w:ascii="Palatino Linotype" w:hAnsi="Palatino Linotype" w:cs="Arial"/>
          <w:i/>
          <w:sz w:val="22"/>
          <w:szCs w:val="22"/>
        </w:rPr>
      </w:pPr>
      <w:r>
        <w:rPr>
          <w:rFonts w:ascii="Palatino Linotype" w:hAnsi="Palatino Linotype" w:cs="Arial"/>
          <w:i/>
          <w:sz w:val="22"/>
          <w:szCs w:val="22"/>
        </w:rPr>
        <w:lastRenderedPageBreak/>
        <w:t>.” (Sic)</w:t>
      </w:r>
    </w:p>
    <w:p w:rsidR="00763321" w:rsidRDefault="004D0B4C">
      <w:pPr>
        <w:spacing w:beforeAutospacing="1" w:afterAutospacing="1" w:line="360" w:lineRule="auto"/>
        <w:jc w:val="both"/>
        <w:rPr>
          <w:rFonts w:ascii="Palatino Linotype" w:hAnsi="Palatino Linotype" w:cs="Arial"/>
        </w:rPr>
      </w:pPr>
      <w:r>
        <w:rPr>
          <w:rFonts w:ascii="Palatino Linotype" w:hAnsi="Palatino Linotype" w:cs="Arial"/>
          <w:b/>
        </w:rPr>
        <w:t>MODALIDAD DE ENTREGA:</w:t>
      </w:r>
      <w:r>
        <w:rPr>
          <w:rFonts w:ascii="Palatino Linotype" w:hAnsi="Palatino Linotype" w:cs="Arial"/>
        </w:rPr>
        <w:t xml:space="preserve"> Vía </w:t>
      </w:r>
      <w:r>
        <w:rPr>
          <w:rFonts w:ascii="Palatino Linotype" w:hAnsi="Palatino Linotype" w:cs="Arial"/>
          <w:b/>
        </w:rPr>
        <w:t>SAIMEX</w:t>
      </w:r>
      <w:r>
        <w:rPr>
          <w:rFonts w:ascii="Palatino Linotype" w:hAnsi="Palatino Linotype" w:cs="Arial"/>
        </w:rPr>
        <w:t>.</w:t>
      </w:r>
    </w:p>
    <w:p w:rsidR="00763321" w:rsidRDefault="004D0B4C">
      <w:pPr>
        <w:spacing w:beforeAutospacing="1" w:afterAutospacing="1" w:line="360" w:lineRule="auto"/>
        <w:jc w:val="both"/>
        <w:rPr>
          <w:rFonts w:ascii="Palatino Linotype" w:hAnsi="Palatino Linotype"/>
          <w:bCs/>
        </w:rPr>
      </w:pPr>
      <w:r>
        <w:rPr>
          <w:rFonts w:ascii="Palatino Linotype" w:hAnsi="Palatino Linotype"/>
          <w:b/>
          <w:sz w:val="28"/>
          <w:szCs w:val="28"/>
        </w:rPr>
        <w:t>II.</w:t>
      </w:r>
      <w:r>
        <w:rPr>
          <w:rFonts w:ascii="Palatino Linotype" w:hAnsi="Palatino Linotype"/>
          <w:sz w:val="28"/>
          <w:szCs w:val="28"/>
        </w:rPr>
        <w:t xml:space="preserve"> </w:t>
      </w:r>
      <w:r>
        <w:rPr>
          <w:rFonts w:ascii="Palatino Linotype" w:hAnsi="Palatino Linotype" w:cs="Arial"/>
        </w:rPr>
        <w:t xml:space="preserve">En cumplimiento al artículo 162 de la Ley de Transparencia y Acceso a la Información Pública del Estado de México y Municipios, el quince de enero de dos mil veinte, el Titular de la Unidad de Transparencia del </w:t>
      </w:r>
      <w:r>
        <w:rPr>
          <w:rFonts w:ascii="Palatino Linotype" w:hAnsi="Palatino Linotype" w:cs="Arial"/>
          <w:b/>
        </w:rPr>
        <w:t>SUJETO OBLIGADO</w:t>
      </w:r>
      <w:r>
        <w:rPr>
          <w:rFonts w:ascii="Palatino Linotype" w:hAnsi="Palatino Linotype" w:cs="Arial"/>
        </w:rPr>
        <w:t xml:space="preserve">, </w:t>
      </w:r>
      <w:r>
        <w:rPr>
          <w:rFonts w:ascii="Palatino Linotype" w:hAnsi="Palatino Linotype"/>
          <w:bCs/>
        </w:rPr>
        <w:t>turnó el requerimiento de información al Servidor Público Habilitado, a fin de colmar la solicitud de acceso a la información; mismo que atendió el requerimiento en los términos que se aprecia enseguida:</w:t>
      </w:r>
    </w:p>
    <w:p w:rsidR="00763321" w:rsidRDefault="004D0B4C">
      <w:pPr>
        <w:spacing w:line="360" w:lineRule="auto"/>
        <w:jc w:val="center"/>
        <w:rPr>
          <w:rFonts w:ascii="Palatino Linotype" w:hAnsi="Palatino Linotype"/>
          <w:sz w:val="28"/>
          <w:szCs w:val="28"/>
        </w:rPr>
      </w:pPr>
      <w:r>
        <w:rPr>
          <w:noProof/>
          <w:lang w:eastAsia="es-MX"/>
        </w:rPr>
        <w:drawing>
          <wp:inline distT="0" distB="0" distL="0" distR="0">
            <wp:extent cx="5791835" cy="1038225"/>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7"/>
                    <a:srcRect b="6028"/>
                    <a:stretch>
                      <a:fillRect/>
                    </a:stretch>
                  </pic:blipFill>
                  <pic:spPr bwMode="auto">
                    <a:xfrm>
                      <a:off x="0" y="0"/>
                      <a:ext cx="5791835" cy="1038225"/>
                    </a:xfrm>
                    <a:prstGeom prst="rect">
                      <a:avLst/>
                    </a:prstGeom>
                  </pic:spPr>
                </pic:pic>
              </a:graphicData>
            </a:graphic>
          </wp:inline>
        </w:drawing>
      </w:r>
    </w:p>
    <w:p w:rsidR="00763321" w:rsidRDefault="004D0B4C">
      <w:pPr>
        <w:spacing w:beforeAutospacing="1" w:afterAutospacing="1" w:line="360" w:lineRule="auto"/>
        <w:jc w:val="both"/>
        <w:rPr>
          <w:rFonts w:ascii="Palatino Linotype" w:hAnsi="Palatino Linotype" w:cs="Arial"/>
        </w:rPr>
      </w:pPr>
      <w:r>
        <w:rPr>
          <w:rFonts w:ascii="Palatino Linotype" w:hAnsi="Palatino Linotype" w:cs="Arial"/>
          <w:b/>
          <w:sz w:val="28"/>
        </w:rPr>
        <w:t>III.</w:t>
      </w:r>
      <w:r>
        <w:rPr>
          <w:rFonts w:ascii="Palatino Linotype" w:hAnsi="Palatino Linotype"/>
          <w:b/>
        </w:rPr>
        <w:t xml:space="preserve"> </w:t>
      </w:r>
      <w:r>
        <w:rPr>
          <w:rFonts w:ascii="Palatino Linotype" w:hAnsi="Palatino Linotype"/>
        </w:rPr>
        <w:t xml:space="preserve">De las constancias que obran en el </w:t>
      </w:r>
      <w:r>
        <w:rPr>
          <w:rFonts w:ascii="Palatino Linotype" w:hAnsi="Palatino Linotype"/>
          <w:b/>
        </w:rPr>
        <w:t>SAIMEX,</w:t>
      </w:r>
      <w:r>
        <w:rPr>
          <w:rFonts w:ascii="Palatino Linotype" w:hAnsi="Palatino Linotype"/>
        </w:rPr>
        <w:t xml:space="preserve"> se advierte que </w:t>
      </w:r>
      <w:r>
        <w:rPr>
          <w:rFonts w:ascii="Palatino Linotype" w:hAnsi="Palatino Linotype" w:cs="Arial"/>
          <w:b/>
          <w:color w:val="000000"/>
        </w:rPr>
        <w:t>EL SUJETO OBLIGADO</w:t>
      </w:r>
      <w:r>
        <w:rPr>
          <w:rFonts w:ascii="Palatino Linotype" w:hAnsi="Palatino Linotype" w:cs="Arial"/>
        </w:rPr>
        <w:t xml:space="preserve"> fue omiso en entregar la respuesta a la solicitud de información pública.</w:t>
      </w:r>
    </w:p>
    <w:p w:rsidR="00763321" w:rsidRDefault="004D0B4C">
      <w:pPr>
        <w:pStyle w:val="Prrafodelista"/>
        <w:spacing w:beforeAutospacing="1" w:afterAutospacing="1" w:line="360" w:lineRule="auto"/>
        <w:ind w:left="0"/>
        <w:jc w:val="both"/>
        <w:rPr>
          <w:rFonts w:ascii="Palatino Linotype" w:hAnsi="Palatino Linotype" w:cs="Arial"/>
          <w:lang w:val="es-ES"/>
        </w:rPr>
      </w:pPr>
      <w:r>
        <w:rPr>
          <w:rFonts w:ascii="Palatino Linotype" w:hAnsi="Palatino Linotype" w:cs="Arial"/>
          <w:b/>
          <w:sz w:val="28"/>
        </w:rPr>
        <w:t xml:space="preserve">IV. </w:t>
      </w:r>
      <w:r>
        <w:rPr>
          <w:rFonts w:ascii="Palatino Linotype" w:hAnsi="Palatino Linotype" w:cs="Arial"/>
        </w:rPr>
        <w:t xml:space="preserve">Inconforme por la falta de respuesta, el diecisiete de febrero de dos mil veinte, </w:t>
      </w:r>
      <w:r>
        <w:rPr>
          <w:rFonts w:ascii="Palatino Linotype" w:hAnsi="Palatino Linotype" w:cs="Arial"/>
          <w:b/>
        </w:rPr>
        <w:t>EL RECURRENTE</w:t>
      </w:r>
      <w:r>
        <w:rPr>
          <w:rFonts w:ascii="Palatino Linotype" w:hAnsi="Palatino Linotype" w:cs="Arial"/>
        </w:rPr>
        <w:t xml:space="preserve"> interpuso el recurso de revisión sujeto del presente estudio, el cual fue registrado en </w:t>
      </w:r>
      <w:r>
        <w:rPr>
          <w:rFonts w:ascii="Palatino Linotype" w:hAnsi="Palatino Linotype" w:cs="Arial"/>
          <w:b/>
        </w:rPr>
        <w:t>EL SAIMEX</w:t>
      </w:r>
      <w:r>
        <w:rPr>
          <w:rFonts w:ascii="Palatino Linotype" w:hAnsi="Palatino Linotype" w:cs="Arial"/>
        </w:rPr>
        <w:t xml:space="preserve"> y se le asignó el número de expediente </w:t>
      </w:r>
      <w:r>
        <w:rPr>
          <w:rFonts w:ascii="Palatino Linotype" w:hAnsi="Palatino Linotype" w:cs="Arial"/>
          <w:b/>
        </w:rPr>
        <w:t>01062/INFOEM/IP/RR/2020</w:t>
      </w:r>
      <w:r>
        <w:rPr>
          <w:rFonts w:ascii="Palatino Linotype" w:hAnsi="Palatino Linotype" w:cs="Arial"/>
        </w:rPr>
        <w:t xml:space="preserve">, en el que señaló como acto impugnado: </w:t>
      </w:r>
    </w:p>
    <w:p w:rsidR="00763321" w:rsidRDefault="00763321">
      <w:pPr>
        <w:ind w:left="851" w:right="901"/>
        <w:jc w:val="both"/>
        <w:rPr>
          <w:rFonts w:ascii="Palatino Linotype" w:hAnsi="Palatino Linotype" w:cs="Arial"/>
          <w:i/>
          <w:sz w:val="22"/>
          <w:szCs w:val="22"/>
          <w:lang w:val="es-ES" w:eastAsia="es-MX"/>
        </w:rPr>
      </w:pPr>
    </w:p>
    <w:p w:rsidR="00763321" w:rsidRDefault="004D0B4C">
      <w:pPr>
        <w:ind w:left="851" w:right="901"/>
        <w:jc w:val="both"/>
        <w:rPr>
          <w:rFonts w:ascii="Palatino Linotype" w:hAnsi="Palatino Linotype" w:cs="Arial"/>
          <w:i/>
          <w:sz w:val="22"/>
          <w:szCs w:val="22"/>
          <w:lang w:val="es-ES" w:eastAsia="es-MX"/>
        </w:rPr>
      </w:pPr>
      <w:r>
        <w:rPr>
          <w:rFonts w:ascii="Palatino Linotype" w:hAnsi="Palatino Linotype" w:cs="Arial"/>
          <w:i/>
          <w:sz w:val="22"/>
          <w:szCs w:val="22"/>
          <w:lang w:val="es-ES" w:eastAsia="es-MX"/>
        </w:rPr>
        <w:t xml:space="preserve">“Con fundamento en los artículos 6 de la Constitución Política de los Estados Unidos Mexicanos; 176 a 179 de Ley de Transparencia y Acceso a la Información Pública del Estado de México y Municipios hago de conocimiento que con fecha 14/01/2020 </w:t>
      </w:r>
      <w:r>
        <w:rPr>
          <w:rFonts w:ascii="Palatino Linotype" w:hAnsi="Palatino Linotype" w:cs="Arial"/>
          <w:i/>
          <w:sz w:val="22"/>
          <w:szCs w:val="22"/>
          <w:lang w:val="es-ES" w:eastAsia="es-MX"/>
        </w:rPr>
        <w:lastRenderedPageBreak/>
        <w:t>realice una solicitud de Información misma que a letra menciona: “Con fundamento en lo dispuesto en el artículo 6 de la Constitución Política de los Estados Unidos Mexicanos, y artículos 1, 2, 3, 5 y 6 de la Ley Federal de Transparencia y Acceso a la Información Pública, así como, demás fundamentos jurídicos locales solicito a este Honorable Instituto Político la siguiente información, dejando en mención que la presente tiene como único propósito el de realizar una investigación de grado académico, misma que se describe al tenor de lo siguiente: ÚNICO.- Solicitó se me informen las remuneraciones de cada uno de los Regidores que componen a este H. Ayuntamiento. Por lo antes expuesto y fundado, atentamente pido se sirva: a) Tenerme por presentado la presente solicitud de información para los efectos legales a que haya lugar.” La cuál, no recibió respuesta alguna, por lo que ante la omisión del sujeto obligado interpongo mi derecho del presente recurso de revisión ante el órgano garante, garantizando así mi acceso a la información."(Sic)</w:t>
      </w:r>
    </w:p>
    <w:p w:rsidR="00763321" w:rsidRDefault="00763321">
      <w:pPr>
        <w:ind w:left="851" w:right="901"/>
        <w:jc w:val="both"/>
        <w:rPr>
          <w:rFonts w:ascii="Palatino Linotype" w:hAnsi="Palatino Linotype" w:cs="Arial"/>
          <w:i/>
          <w:sz w:val="22"/>
          <w:szCs w:val="22"/>
          <w:lang w:val="es-ES" w:eastAsia="es-MX"/>
        </w:rPr>
      </w:pPr>
    </w:p>
    <w:p w:rsidR="00763321" w:rsidRDefault="004D0B4C">
      <w:pPr>
        <w:spacing w:line="360" w:lineRule="auto"/>
        <w:jc w:val="both"/>
        <w:rPr>
          <w:rFonts w:ascii="Palatino Linotype" w:hAnsi="Palatino Linotype" w:cs="Arial"/>
          <w:lang w:val="es-ES"/>
        </w:rPr>
      </w:pPr>
      <w:r>
        <w:rPr>
          <w:rFonts w:ascii="Palatino Linotype" w:hAnsi="Palatino Linotype" w:cs="Arial"/>
          <w:lang w:val="es-ES"/>
        </w:rPr>
        <w:t xml:space="preserve">Asimismo, como razones o motivos de inconformidad: </w:t>
      </w:r>
    </w:p>
    <w:p w:rsidR="00763321" w:rsidRDefault="00763321">
      <w:pPr>
        <w:ind w:left="851" w:right="901"/>
        <w:jc w:val="both"/>
        <w:rPr>
          <w:rFonts w:ascii="Palatino Linotype" w:hAnsi="Palatino Linotype" w:cs="Arial"/>
          <w:i/>
          <w:sz w:val="22"/>
          <w:szCs w:val="22"/>
          <w:lang w:val="es-ES" w:eastAsia="es-MX"/>
        </w:rPr>
      </w:pPr>
    </w:p>
    <w:p w:rsidR="00763321" w:rsidRDefault="004D0B4C">
      <w:pPr>
        <w:ind w:left="851" w:right="901"/>
        <w:jc w:val="both"/>
        <w:rPr>
          <w:rFonts w:ascii="Palatino Linotype" w:hAnsi="Palatino Linotype" w:cs="Arial"/>
          <w:i/>
          <w:sz w:val="22"/>
          <w:szCs w:val="22"/>
          <w:lang w:val="es-ES" w:eastAsia="es-MX"/>
        </w:rPr>
      </w:pPr>
      <w:r>
        <w:rPr>
          <w:rFonts w:ascii="Palatino Linotype" w:hAnsi="Palatino Linotype" w:cs="Arial"/>
          <w:i/>
          <w:sz w:val="22"/>
          <w:szCs w:val="22"/>
          <w:lang w:val="es-ES" w:eastAsia="es-MX"/>
        </w:rPr>
        <w:t>“La omisión del sujeto obligado a respetar la garantía al acceso a la información con fundamento en el artículo 6 constitucional, el artículo 5 de la Constitución Local, artículos 1, 2, 3, 5 y 6 de la Ley Federal de Transparencia y Acceso a la Información Pública, así como, demás fundamentos jurídicos locales a los que haya lugar.” (Sic)</w:t>
      </w:r>
    </w:p>
    <w:p w:rsidR="00763321" w:rsidRDefault="00763321">
      <w:pPr>
        <w:ind w:left="851" w:right="901"/>
        <w:jc w:val="both"/>
        <w:rPr>
          <w:rFonts w:ascii="Palatino Linotype" w:hAnsi="Palatino Linotype" w:cs="Arial"/>
          <w:i/>
          <w:sz w:val="22"/>
          <w:szCs w:val="22"/>
          <w:lang w:val="es-ES" w:eastAsia="es-MX"/>
        </w:rPr>
      </w:pPr>
    </w:p>
    <w:p w:rsidR="00763321" w:rsidRDefault="004D0B4C">
      <w:pPr>
        <w:pStyle w:val="Prrafodelista"/>
        <w:spacing w:line="360" w:lineRule="auto"/>
        <w:ind w:left="0"/>
        <w:jc w:val="both"/>
        <w:rPr>
          <w:rFonts w:ascii="Palatino Linotype" w:hAnsi="Palatino Linotype" w:cs="Arial"/>
        </w:rPr>
      </w:pPr>
      <w:r>
        <w:rPr>
          <w:rFonts w:ascii="Palatino Linotype" w:hAnsi="Palatino Linotype" w:cs="Arial"/>
          <w:b/>
          <w:sz w:val="28"/>
          <w:szCs w:val="28"/>
        </w:rPr>
        <w:t xml:space="preserve">V. </w:t>
      </w:r>
      <w:r>
        <w:rPr>
          <w:rFonts w:ascii="Palatino Linotype" w:hAnsi="Palatino Linotype" w:cs="Arial"/>
        </w:rPr>
        <w:t xml:space="preserve">El diecisiete de febrero de dos mil veinte, el recurso de que se trata se envió electrónicamente al Instituto de </w:t>
      </w:r>
      <w:r>
        <w:rPr>
          <w:rFonts w:ascii="Palatino Linotype" w:eastAsia="Arial Unicode MS" w:hAnsi="Palatino Linotype" w:cs="Arial"/>
        </w:rPr>
        <w:t>Transparencia</w:t>
      </w:r>
      <w:r>
        <w:rPr>
          <w:rFonts w:ascii="Palatino Linotype" w:hAnsi="Palatino Linotype" w:cs="Arial"/>
        </w:rPr>
        <w:t xml:space="preserve">, Acceso a la Información Pública y Protección de Datos Personales del Estado de México y Municipios y con fundamento en el artículo 185, fracción I de la </w:t>
      </w:r>
      <w:r>
        <w:rPr>
          <w:rFonts w:ascii="Palatino Linotype" w:hAnsi="Palatino Linotype"/>
        </w:rPr>
        <w:t>Ley de Transparencia y Acceso a la Información Pública del Estado de México y Municipios</w:t>
      </w:r>
      <w:r>
        <w:rPr>
          <w:rFonts w:ascii="Palatino Linotype" w:hAnsi="Palatino Linotype" w:cs="Arial"/>
        </w:rPr>
        <w:t>, se turnó, a través del</w:t>
      </w:r>
      <w:r>
        <w:rPr>
          <w:rFonts w:ascii="Palatino Linotype" w:eastAsia="Arial Unicode MS" w:hAnsi="Palatino Linotype" w:cs="Arial"/>
        </w:rPr>
        <w:t xml:space="preserve"> </w:t>
      </w:r>
      <w:r>
        <w:rPr>
          <w:rFonts w:ascii="Palatino Linotype" w:eastAsia="Arial Unicode MS" w:hAnsi="Palatino Linotype" w:cs="Arial"/>
          <w:b/>
        </w:rPr>
        <w:t>SAIMEX</w:t>
      </w:r>
      <w:r>
        <w:rPr>
          <w:rFonts w:ascii="Palatino Linotype" w:hAnsi="Palatino Linotype"/>
        </w:rPr>
        <w:t xml:space="preserve">, a la </w:t>
      </w:r>
      <w:r>
        <w:rPr>
          <w:rFonts w:ascii="Palatino Linotype" w:hAnsi="Palatino Linotype" w:cs="Arial"/>
        </w:rPr>
        <w:t xml:space="preserve">Comisionada </w:t>
      </w:r>
      <w:r>
        <w:rPr>
          <w:rFonts w:ascii="Palatino Linotype" w:hAnsi="Palatino Linotype" w:cs="Arial"/>
          <w:b/>
        </w:rPr>
        <w:t>Eva Abaid Yapur</w:t>
      </w:r>
      <w:r>
        <w:rPr>
          <w:rFonts w:ascii="Palatino Linotype" w:hAnsi="Palatino Linotype"/>
        </w:rPr>
        <w:t>,</w:t>
      </w:r>
      <w:r>
        <w:rPr>
          <w:rFonts w:ascii="Palatino Linotype" w:hAnsi="Palatino Linotype" w:cs="Arial"/>
        </w:rPr>
        <w:t xml:space="preserve"> a efecto de decretar su admisión o desechamiento.</w:t>
      </w:r>
    </w:p>
    <w:p w:rsidR="00763321" w:rsidRDefault="00763321">
      <w:pPr>
        <w:pStyle w:val="Prrafodelista"/>
        <w:spacing w:line="360" w:lineRule="auto"/>
        <w:ind w:left="0"/>
        <w:jc w:val="both"/>
        <w:rPr>
          <w:rFonts w:ascii="Palatino Linotype" w:hAnsi="Palatino Linotype" w:cs="Arial"/>
        </w:rPr>
      </w:pPr>
    </w:p>
    <w:p w:rsidR="00763321" w:rsidRDefault="004D0B4C">
      <w:pPr>
        <w:pStyle w:val="Piedepgina"/>
        <w:spacing w:line="360" w:lineRule="auto"/>
        <w:jc w:val="both"/>
        <w:rPr>
          <w:rFonts w:ascii="Palatino Linotype" w:hAnsi="Palatino Linotype" w:cs="Arial"/>
        </w:rPr>
      </w:pPr>
      <w:r>
        <w:rPr>
          <w:rFonts w:ascii="Palatino Linotype" w:hAnsi="Palatino Linotype" w:cs="Arial"/>
          <w:b/>
          <w:sz w:val="28"/>
        </w:rPr>
        <w:t xml:space="preserve">VI. </w:t>
      </w:r>
      <w:r>
        <w:rPr>
          <w:rFonts w:ascii="Palatino Linotype" w:hAnsi="Palatino Linotype" w:cs="Arial"/>
        </w:rPr>
        <w:t>De las constancias del expediente electrónico del</w:t>
      </w:r>
      <w:r>
        <w:rPr>
          <w:rFonts w:ascii="Palatino Linotype" w:hAnsi="Palatino Linotype" w:cs="Arial"/>
          <w:b/>
        </w:rPr>
        <w:t xml:space="preserve"> SAIMEX</w:t>
      </w:r>
      <w:r>
        <w:rPr>
          <w:rFonts w:ascii="Palatino Linotype" w:hAnsi="Palatino Linotype" w:cs="Arial"/>
        </w:rPr>
        <w:t xml:space="preserve">, se advierte que en fecha veintiuno de febrero de dos mil veinte, se acordó la admisión a trámite del recurso de revisión que nos ocupa; así como, la integración del expediente respectivo, mismo que </w:t>
      </w:r>
      <w:r>
        <w:rPr>
          <w:rFonts w:ascii="Palatino Linotype" w:hAnsi="Palatino Linotype" w:cs="Arial"/>
        </w:rPr>
        <w:lastRenderedPageBreak/>
        <w:t xml:space="preserve">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Pr>
          <w:rFonts w:ascii="Palatino Linotype" w:hAnsi="Palatino Linotype" w:cs="Arial"/>
          <w:b/>
        </w:rPr>
        <w:t xml:space="preserve">EL SUJETO OBLIGADO </w:t>
      </w:r>
      <w:r>
        <w:rPr>
          <w:rFonts w:ascii="Palatino Linotype" w:hAnsi="Palatino Linotype" w:cs="Arial"/>
        </w:rPr>
        <w:t>rindiera su</w:t>
      </w:r>
      <w:r>
        <w:rPr>
          <w:rFonts w:ascii="Palatino Linotype" w:hAnsi="Palatino Linotype" w:cs="Arial"/>
          <w:b/>
        </w:rPr>
        <w:t xml:space="preserve"> </w:t>
      </w:r>
      <w:r>
        <w:rPr>
          <w:rFonts w:ascii="Palatino Linotype" w:hAnsi="Palatino Linotype" w:cs="Arial"/>
        </w:rPr>
        <w:t>Informe Justificado.</w:t>
      </w:r>
    </w:p>
    <w:p w:rsidR="00763321" w:rsidRDefault="00763321">
      <w:pPr>
        <w:pStyle w:val="Piedepgina"/>
        <w:spacing w:line="360" w:lineRule="auto"/>
        <w:jc w:val="both"/>
        <w:rPr>
          <w:rFonts w:ascii="Palatino Linotype" w:hAnsi="Palatino Linotype" w:cs="Arial"/>
        </w:rPr>
      </w:pPr>
    </w:p>
    <w:p w:rsidR="00763321" w:rsidRDefault="004D0B4C">
      <w:pPr>
        <w:spacing w:line="360" w:lineRule="auto"/>
        <w:jc w:val="both"/>
        <w:rPr>
          <w:rFonts w:ascii="Palatino Linotype" w:hAnsi="Palatino Linotype" w:cs="Arial"/>
        </w:rPr>
      </w:pPr>
      <w:r>
        <w:rPr>
          <w:rFonts w:ascii="Palatino Linotype" w:eastAsia="Arial Unicode MS" w:hAnsi="Palatino Linotype" w:cs="Arial"/>
          <w:b/>
          <w:sz w:val="28"/>
          <w:szCs w:val="28"/>
        </w:rPr>
        <w:t xml:space="preserve">VII. </w:t>
      </w:r>
      <w:r>
        <w:rPr>
          <w:rFonts w:ascii="Palatino Linotype" w:eastAsia="Arial Unicode MS" w:hAnsi="Palatino Linotype" w:cs="Arial"/>
        </w:rPr>
        <w:t xml:space="preserve">Conforme a las constancias del </w:t>
      </w:r>
      <w:r>
        <w:rPr>
          <w:rFonts w:ascii="Palatino Linotype" w:eastAsia="Arial Unicode MS" w:hAnsi="Palatino Linotype" w:cs="Arial"/>
          <w:b/>
        </w:rPr>
        <w:t>SAIMEX</w:t>
      </w:r>
      <w:r>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 </w:t>
      </w:r>
      <w:r>
        <w:rPr>
          <w:rFonts w:ascii="Palatino Linotype" w:eastAsia="Arial Unicode MS" w:hAnsi="Palatino Linotype" w:cs="Arial"/>
          <w:b/>
        </w:rPr>
        <w:t>LA</w:t>
      </w:r>
      <w:r>
        <w:rPr>
          <w:rFonts w:ascii="Palatino Linotype" w:eastAsia="Arial Unicode MS" w:hAnsi="Palatino Linotype" w:cs="Arial"/>
        </w:rPr>
        <w:t xml:space="preserve"> </w:t>
      </w:r>
      <w:r>
        <w:rPr>
          <w:rFonts w:ascii="Palatino Linotype" w:eastAsia="Arial Unicode MS" w:hAnsi="Palatino Linotype" w:cs="Arial"/>
          <w:b/>
        </w:rPr>
        <w:t>RECURRENTE</w:t>
      </w:r>
      <w:r>
        <w:rPr>
          <w:rFonts w:ascii="Palatino Linotype" w:eastAsia="Arial Unicode MS" w:hAnsi="Palatino Linotype" w:cs="Arial"/>
        </w:rPr>
        <w:t xml:space="preserve">, ésta no realizó manifestación alguna, ni presentó pruebas o alegatos. Por otra parte, </w:t>
      </w:r>
      <w:r>
        <w:rPr>
          <w:rFonts w:ascii="Palatino Linotype" w:eastAsia="Arial Unicode MS" w:hAnsi="Palatino Linotype" w:cs="Arial"/>
          <w:b/>
          <w:color w:val="000000"/>
          <w:lang w:eastAsia="es-MX"/>
        </w:rPr>
        <w:t>EL SUJETO OBLIGADO</w:t>
      </w:r>
      <w:r>
        <w:rPr>
          <w:rFonts w:ascii="Palatino Linotype" w:eastAsia="Arial Unicode MS" w:hAnsi="Palatino Linotype" w:cs="Arial"/>
        </w:rPr>
        <w:t xml:space="preserve"> rindió el Informe Justificado correspondiente; mismo que al actualizar el supuesto previsto en la fracción III del artículo 185 de la Ley de la materia; fue puesto al a vista de </w:t>
      </w:r>
      <w:r>
        <w:rPr>
          <w:rFonts w:ascii="Palatino Linotype" w:eastAsia="Arial Unicode MS" w:hAnsi="Palatino Linotype" w:cs="Arial"/>
          <w:b/>
        </w:rPr>
        <w:t>LA</w:t>
      </w:r>
      <w:r>
        <w:rPr>
          <w:rFonts w:ascii="Palatino Linotype" w:eastAsia="Arial Unicode MS" w:hAnsi="Palatino Linotype" w:cs="Arial"/>
        </w:rPr>
        <w:t xml:space="preserve"> </w:t>
      </w:r>
      <w:r>
        <w:rPr>
          <w:rFonts w:ascii="Palatino Linotype" w:eastAsia="Arial Unicode MS" w:hAnsi="Palatino Linotype" w:cs="Arial"/>
          <w:b/>
        </w:rPr>
        <w:t xml:space="preserve">RECURRENTE </w:t>
      </w:r>
      <w:r>
        <w:rPr>
          <w:rFonts w:ascii="Palatino Linotype" w:eastAsia="Arial Unicode MS" w:hAnsi="Palatino Linotype" w:cs="Arial"/>
        </w:rPr>
        <w:t xml:space="preserve">en fecha veinte de marzo de dos mil veinte; tal y como se aprecia en la siguiente imagen: </w:t>
      </w:r>
      <w:r>
        <w:rPr>
          <w:rFonts w:ascii="Palatino Linotype" w:hAnsi="Palatino Linotype" w:cs="Arial"/>
        </w:rPr>
        <w:t xml:space="preserve"> </w:t>
      </w:r>
    </w:p>
    <w:p w:rsidR="00763321" w:rsidRDefault="004D0B4C">
      <w:pPr>
        <w:spacing w:line="360" w:lineRule="auto"/>
        <w:jc w:val="center"/>
        <w:rPr>
          <w:lang w:eastAsia="es-MX"/>
        </w:rPr>
      </w:pPr>
      <w:r>
        <w:rPr>
          <w:noProof/>
          <w:lang w:eastAsia="es-MX"/>
        </w:rPr>
        <mc:AlternateContent>
          <mc:Choice Requires="wps">
            <w:drawing>
              <wp:anchor distT="0" distB="0" distL="0" distR="0" simplePos="0" relativeHeight="61" behindDoc="0" locked="0" layoutInCell="1" allowOverlap="1">
                <wp:simplePos x="0" y="0"/>
                <wp:positionH relativeFrom="margin">
                  <wp:posOffset>34290</wp:posOffset>
                </wp:positionH>
                <wp:positionV relativeFrom="paragraph">
                  <wp:posOffset>111126</wp:posOffset>
                </wp:positionV>
                <wp:extent cx="5677535" cy="2581910"/>
                <wp:effectExtent l="0" t="0" r="37465" b="27940"/>
                <wp:wrapNone/>
                <wp:docPr id="2" name="Conector recto 10"/>
                <wp:cNvGraphicFramePr/>
                <a:graphic xmlns:a="http://schemas.openxmlformats.org/drawingml/2006/main">
                  <a:graphicData uri="http://schemas.microsoft.com/office/word/2010/wordprocessingShape">
                    <wps:wsp>
                      <wps:cNvCnPr/>
                      <wps:spPr>
                        <a:xfrm>
                          <a:off x="0" y="0"/>
                          <a:ext cx="5677535" cy="2581910"/>
                        </a:xfrm>
                        <a:prstGeom prst="line">
                          <a:avLst/>
                        </a:prstGeom>
                        <a:ln w="19080"/>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2DB98902" id="Conector recto 10" o:spid="_x0000_s1026" style="position:absolute;z-index:6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2.7pt,8.75pt" to="449.75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" strokecolor="#4579b8 [3044]" strokeweight=".53mm">
                <w10:wrap anchorx="margin"/>
              </v:line>
            </w:pict>
          </mc:Fallback>
        </mc:AlternateContent>
      </w:r>
    </w:p>
    <w:p w:rsidR="00763321" w:rsidRDefault="004D0B4C">
      <w:pPr>
        <w:spacing w:line="360" w:lineRule="auto"/>
        <w:jc w:val="center"/>
        <w:rPr>
          <w:rFonts w:ascii="Palatino Linotype" w:hAnsi="Palatino Linotype" w:cs="Arial"/>
        </w:rPr>
      </w:pPr>
      <w:r>
        <w:rPr>
          <w:noProof/>
          <w:lang w:eastAsia="es-MX"/>
        </w:rPr>
        <w:lastRenderedPageBreak/>
        <w:drawing>
          <wp:inline distT="0" distB="0" distL="0" distR="0">
            <wp:extent cx="5791835" cy="3100705"/>
            <wp:effectExtent l="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pic:cNvPicPr>
                      <a:picLocks noChangeAspect="1" noChangeArrowheads="1"/>
                    </pic:cNvPicPr>
                  </pic:nvPicPr>
                  <pic:blipFill>
                    <a:blip r:embed="rId8"/>
                    <a:stretch>
                      <a:fillRect/>
                    </a:stretch>
                  </pic:blipFill>
                  <pic:spPr bwMode="auto">
                    <a:xfrm>
                      <a:off x="0" y="0"/>
                      <a:ext cx="5791835" cy="3100705"/>
                    </a:xfrm>
                    <a:prstGeom prst="rect">
                      <a:avLst/>
                    </a:prstGeom>
                  </pic:spPr>
                </pic:pic>
              </a:graphicData>
            </a:graphic>
          </wp:inline>
        </w:drawing>
      </w:r>
    </w:p>
    <w:p w:rsidR="00763321" w:rsidRDefault="004D0B4C">
      <w:pPr>
        <w:spacing w:beforeAutospacing="1" w:afterAutospacing="1" w:line="360" w:lineRule="auto"/>
        <w:ind w:right="51"/>
        <w:jc w:val="both"/>
        <w:rPr>
          <w:rFonts w:ascii="Palatino Linotype" w:hAnsi="Palatino Linotype" w:cs="Arial"/>
          <w:b/>
        </w:rPr>
      </w:pPr>
      <w:r>
        <w:rPr>
          <w:rFonts w:ascii="Palatino Linotype" w:hAnsi="Palatino Linotype"/>
          <w:b/>
          <w:sz w:val="28"/>
          <w:szCs w:val="28"/>
        </w:rPr>
        <w:t xml:space="preserve">VIII. </w:t>
      </w:r>
      <w:r>
        <w:rPr>
          <w:rFonts w:ascii="Palatino Linotype" w:hAnsi="Palatino Linotype"/>
        </w:rPr>
        <w:t>En fecha seis de agosto de dos mil veinte, se notificó a las partes el Acuerdo de Cierre de Instrucción; por lo que, c</w:t>
      </w:r>
      <w:r>
        <w:rPr>
          <w:rFonts w:ascii="Palatino Linotype" w:hAnsi="Palatino Linotype" w:cs="Arial"/>
        </w:rPr>
        <w:t xml:space="preserve">on fundamento en el artículo 185, fracción VIII de la Ley de Transparencia y Acceso a la Información Pública del Estado de México y Municipios, se remitió el expediente a efecto de que se formule y presente al Pleno el proyecto de resolución correspondiente; y, </w:t>
      </w:r>
    </w:p>
    <w:p w:rsidR="00763321" w:rsidRDefault="004D0B4C">
      <w:pPr>
        <w:jc w:val="center"/>
        <w:rPr>
          <w:rFonts w:ascii="Palatino Linotype" w:hAnsi="Palatino Linotype" w:cs="Arial"/>
          <w:b/>
          <w:bCs/>
          <w:spacing w:val="60"/>
          <w:sz w:val="28"/>
        </w:rPr>
      </w:pPr>
      <w:r>
        <w:rPr>
          <w:rFonts w:ascii="Palatino Linotype" w:hAnsi="Palatino Linotype" w:cs="Arial"/>
          <w:b/>
          <w:bCs/>
          <w:spacing w:val="60"/>
          <w:sz w:val="28"/>
        </w:rPr>
        <w:t>CONSIDERANDO</w:t>
      </w:r>
    </w:p>
    <w:p w:rsidR="00763321" w:rsidRDefault="004D0B4C">
      <w:pPr>
        <w:spacing w:beforeAutospacing="1" w:afterAutospacing="1" w:line="360" w:lineRule="auto"/>
        <w:ind w:right="50"/>
        <w:jc w:val="both"/>
        <w:rPr>
          <w:rFonts w:ascii="Palatino Linotype" w:hAnsi="Palatino Linotype" w:cs="Arial"/>
          <w:b/>
        </w:rPr>
      </w:pPr>
      <w:r>
        <w:rPr>
          <w:rFonts w:ascii="Palatino Linotype" w:hAnsi="Palatino Linotype"/>
          <w:b/>
          <w:sz w:val="28"/>
          <w:szCs w:val="28"/>
        </w:rPr>
        <w:t>PRIMERO</w:t>
      </w:r>
      <w:r>
        <w:rPr>
          <w:rFonts w:ascii="Palatino Linotype" w:hAnsi="Palatino Linotype"/>
          <w:b/>
        </w:rPr>
        <w:t>.</w:t>
      </w:r>
      <w:r>
        <w:rPr>
          <w:rFonts w:ascii="Palatino Linotype" w:hAnsi="Palatino Linotype"/>
        </w:rPr>
        <w:t xml:space="preserve"> </w:t>
      </w: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 xml:space="preserve">Este Instituto de </w:t>
      </w:r>
      <w:r>
        <w:rPr>
          <w:rFonts w:ascii="Palatino Linotype" w:hAnsi="Palatino Linotype" w:cs="Arial"/>
        </w:rPr>
        <w:t>Transparencia</w:t>
      </w:r>
      <w:r>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w:t>
      </w:r>
      <w:r>
        <w:rPr>
          <w:rFonts w:ascii="Palatino Linotype" w:hAnsi="Palatino Linotype"/>
        </w:rPr>
        <w:lastRenderedPageBreak/>
        <w:t>36, fracciones I y II, 176, 178, 179, 181, párrafo tercero y 185 de la Ley de Transparencia y Acceso a la Información Pública del Estado de México y Municipios</w:t>
      </w:r>
      <w:r>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763321" w:rsidRDefault="004D0B4C">
      <w:pPr>
        <w:spacing w:beforeAutospacing="1" w:afterAutospacing="1" w:line="360" w:lineRule="auto"/>
        <w:jc w:val="both"/>
        <w:rPr>
          <w:rFonts w:ascii="Palatino Linotype" w:hAnsi="Palatino Linotype" w:cs="Arial"/>
          <w:b/>
        </w:rPr>
      </w:pPr>
      <w:r>
        <w:rPr>
          <w:rFonts w:ascii="Palatino Linotype" w:hAnsi="Palatino Linotype" w:cs="Arial"/>
          <w:b/>
          <w:sz w:val="28"/>
        </w:rPr>
        <w:t>SEGUNDO</w:t>
      </w:r>
      <w:r>
        <w:rPr>
          <w:rFonts w:ascii="Palatino Linotype" w:hAnsi="Palatino Linotype" w:cs="Arial"/>
          <w:b/>
        </w:rPr>
        <w:t xml:space="preserve">. Interés. </w:t>
      </w:r>
      <w:r>
        <w:rPr>
          <w:rFonts w:ascii="Palatino Linotype" w:hAnsi="Palatino Linotype" w:cs="Arial"/>
          <w:bCs/>
        </w:rPr>
        <w:t xml:space="preserve">El recurso de revisión fue interpuesto por parte legítima, en atención a que se presentó por </w:t>
      </w:r>
      <w:r>
        <w:rPr>
          <w:rFonts w:ascii="Palatino Linotype" w:hAnsi="Palatino Linotype" w:cs="Arial"/>
          <w:b/>
          <w:bCs/>
        </w:rPr>
        <w:t>LA RECURRENTE,</w:t>
      </w:r>
      <w:r>
        <w:rPr>
          <w:rFonts w:ascii="Palatino Linotype" w:hAnsi="Palatino Linotype" w:cs="Arial"/>
          <w:bCs/>
        </w:rPr>
        <w:t xml:space="preserve"> quien es la misma persona que formuló la solicitud de acceso a la información pública al </w:t>
      </w:r>
      <w:r>
        <w:rPr>
          <w:rFonts w:ascii="Palatino Linotype" w:hAnsi="Palatino Linotype" w:cs="Arial"/>
          <w:b/>
          <w:bCs/>
        </w:rPr>
        <w:t>SUJETO OBLIGADO.</w:t>
      </w:r>
    </w:p>
    <w:p w:rsidR="00763321" w:rsidRDefault="004D0B4C">
      <w:pPr>
        <w:pStyle w:val="Prrafodelista"/>
        <w:spacing w:beforeAutospacing="1" w:afterAutospacing="1" w:line="360" w:lineRule="auto"/>
        <w:ind w:left="0" w:right="49"/>
        <w:jc w:val="both"/>
        <w:rPr>
          <w:rFonts w:ascii="Palatino Linotype" w:hAnsi="Palatino Linotype" w:cs="Arial"/>
          <w:color w:val="000000"/>
          <w:lang w:val="es-ES"/>
        </w:rPr>
      </w:pPr>
      <w:r>
        <w:rPr>
          <w:rFonts w:ascii="Palatino Linotype" w:hAnsi="Palatino Linotype" w:cs="Arial"/>
          <w:b/>
          <w:sz w:val="28"/>
          <w:szCs w:val="28"/>
        </w:rPr>
        <w:t xml:space="preserve">TERCERO. </w:t>
      </w:r>
      <w:r>
        <w:rPr>
          <w:rFonts w:ascii="Palatino Linotype" w:hAnsi="Palatino Linotype" w:cs="Arial"/>
          <w:b/>
          <w:lang w:val="es-ES"/>
        </w:rPr>
        <w:t xml:space="preserve">Oportunidad. </w:t>
      </w:r>
      <w:r>
        <w:rPr>
          <w:rFonts w:ascii="Palatino Linotype" w:hAnsi="Palatino Linotype" w:cs="Arial"/>
          <w:color w:val="000000"/>
          <w:lang w:val="es-ES"/>
        </w:rPr>
        <w:t>Es de precisar que la Ley de Transparencia y Acceso a la Información Pública del Estado de México y Municipios, describe el mecanismo de procedencia de los recursos de revisión, como se puede apreciar en el siguiente artículo:</w:t>
      </w:r>
    </w:p>
    <w:p w:rsidR="00763321" w:rsidRDefault="004D0B4C">
      <w:pPr>
        <w:ind w:left="851" w:right="902"/>
        <w:jc w:val="both"/>
        <w:rPr>
          <w:rFonts w:ascii="Palatino Linotype" w:hAnsi="Palatino Linotype" w:cs="Arial"/>
          <w:i/>
          <w:color w:val="000000"/>
          <w:sz w:val="22"/>
          <w:szCs w:val="22"/>
          <w:lang w:val="es-ES"/>
        </w:rPr>
      </w:pPr>
      <w:r>
        <w:rPr>
          <w:rFonts w:ascii="Palatino Linotype" w:hAnsi="Palatino Linotype" w:cs="Arial"/>
          <w:b/>
          <w:i/>
          <w:color w:val="000000"/>
          <w:sz w:val="22"/>
          <w:szCs w:val="22"/>
          <w:lang w:val="es-ES"/>
        </w:rPr>
        <w:t>“Artículo 163.</w:t>
      </w:r>
      <w:r>
        <w:rPr>
          <w:rFonts w:ascii="Palatino Linotype" w:hAnsi="Palatino Linotype" w:cs="Arial"/>
          <w:i/>
          <w:color w:val="000000"/>
          <w:sz w:val="22"/>
          <w:szCs w:val="22"/>
          <w:lang w:val="es-ES"/>
        </w:rPr>
        <w:t xml:space="preserve"> La Unidad </w:t>
      </w:r>
      <w:r>
        <w:rPr>
          <w:rFonts w:ascii="Palatino Linotype" w:hAnsi="Palatino Linotype" w:cs="Arial"/>
          <w:i/>
          <w:sz w:val="22"/>
          <w:szCs w:val="22"/>
          <w:lang w:val="es-ES"/>
        </w:rPr>
        <w:t>de</w:t>
      </w:r>
      <w:r>
        <w:rPr>
          <w:rFonts w:ascii="Palatino Linotype" w:hAnsi="Palatino Linotype" w:cs="Arial"/>
          <w:i/>
          <w:color w:val="000000"/>
          <w:sz w:val="22"/>
          <w:szCs w:val="22"/>
          <w:lang w:val="es-ES"/>
        </w:rPr>
        <w:t xml:space="preserve"> Transparencia deberá notificar la respuesta a la solicitud al interesado en el </w:t>
      </w:r>
      <w:r>
        <w:rPr>
          <w:rFonts w:ascii="Palatino Linotype" w:hAnsi="Palatino Linotype" w:cs="Arial"/>
          <w:i/>
          <w:sz w:val="22"/>
          <w:szCs w:val="22"/>
          <w:lang w:val="es-ES"/>
        </w:rPr>
        <w:t>menor</w:t>
      </w:r>
      <w:r>
        <w:rPr>
          <w:rFonts w:ascii="Palatino Linotype" w:hAnsi="Palatino Linotype" w:cs="Arial"/>
          <w:i/>
          <w:color w:val="000000"/>
          <w:sz w:val="22"/>
          <w:szCs w:val="22"/>
          <w:lang w:val="es-ES"/>
        </w:rPr>
        <w:t xml:space="preserve"> tiempo posible, que no podrá exceder de quince días hábiles, contados a partir del día siguiente a la presentación de aquélla.</w:t>
      </w:r>
    </w:p>
    <w:p w:rsidR="00763321" w:rsidRDefault="00763321">
      <w:pPr>
        <w:ind w:left="851" w:right="902"/>
        <w:jc w:val="both"/>
        <w:rPr>
          <w:rFonts w:ascii="Palatino Linotype" w:hAnsi="Palatino Linotype" w:cs="Arial"/>
          <w:i/>
          <w:color w:val="000000"/>
          <w:sz w:val="22"/>
          <w:szCs w:val="22"/>
          <w:lang w:val="es-ES"/>
        </w:rPr>
      </w:pPr>
    </w:p>
    <w:p w:rsidR="00763321" w:rsidRDefault="004D0B4C">
      <w:pPr>
        <w:ind w:left="851" w:right="902"/>
        <w:jc w:val="both"/>
        <w:rPr>
          <w:rFonts w:ascii="Palatino Linotype" w:hAnsi="Palatino Linotype" w:cs="Arial"/>
          <w:i/>
          <w:color w:val="000000"/>
          <w:sz w:val="22"/>
          <w:szCs w:val="22"/>
          <w:lang w:val="es-ES"/>
        </w:rPr>
      </w:pPr>
      <w:r>
        <w:rPr>
          <w:rFonts w:ascii="Palatino Linotype" w:hAnsi="Palatino Linotype" w:cs="Arial"/>
          <w:i/>
          <w:color w:val="000000"/>
          <w:sz w:val="22"/>
          <w:szCs w:val="22"/>
          <w:lang w:val="es-ES"/>
        </w:rPr>
        <w:t xml:space="preserve">Excepcionalmente, el plazo referido en el párrafo anterior podrá ampliarse hasta por siete días hábiles más, siempre y </w:t>
      </w:r>
      <w:r>
        <w:rPr>
          <w:rFonts w:ascii="Palatino Linotype" w:hAnsi="Palatino Linotype" w:cs="Arial"/>
          <w:i/>
          <w:sz w:val="22"/>
          <w:szCs w:val="22"/>
          <w:lang w:val="es-ES"/>
        </w:rPr>
        <w:t>cuando</w:t>
      </w:r>
      <w:r>
        <w:rPr>
          <w:rFonts w:ascii="Palatino Linotype"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763321" w:rsidRDefault="004D0B4C">
      <w:pPr>
        <w:spacing w:beforeAutospacing="1" w:afterAutospacing="1" w:line="360" w:lineRule="auto"/>
        <w:jc w:val="both"/>
        <w:rPr>
          <w:rFonts w:ascii="Palatino Linotype" w:hAnsi="Palatino Linotype" w:cs="Arial"/>
          <w:color w:val="000000"/>
          <w:lang w:val="es-ES"/>
        </w:rPr>
      </w:pPr>
      <w:r>
        <w:rPr>
          <w:rFonts w:ascii="Palatino Linotype" w:hAnsi="Palatino Linotype" w:cs="Arial"/>
          <w:color w:val="000000"/>
          <w:lang w:val="es-ES"/>
        </w:rPr>
        <w:t xml:space="preserve">De la interpretación al precepto legal inserto, se obtiene que, el plazo que les asiste a los Sujetos Obligados para entregar la respuesta a una solicitud de información pública </w:t>
      </w:r>
      <w:r>
        <w:rPr>
          <w:rFonts w:ascii="Palatino Linotype" w:hAnsi="Palatino Linotype" w:cs="Arial"/>
          <w:color w:val="000000"/>
          <w:lang w:val="es-ES"/>
        </w:rPr>
        <w:lastRenderedPageBreak/>
        <w:t xml:space="preserve">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763321" w:rsidRDefault="004D0B4C">
      <w:pPr>
        <w:spacing w:beforeAutospacing="1" w:afterAutospacing="1" w:line="360" w:lineRule="auto"/>
        <w:jc w:val="both"/>
        <w:rPr>
          <w:rFonts w:ascii="Palatino Linotype" w:hAnsi="Palatino Linotype" w:cs="Arial"/>
          <w:color w:val="000000"/>
          <w:lang w:val="es-ES"/>
        </w:rPr>
      </w:pPr>
      <w:r>
        <w:rPr>
          <w:rFonts w:ascii="Palatino Linotype" w:hAnsi="Palatino Linotype" w:cs="Arial"/>
          <w:color w:val="000000"/>
          <w:lang w:val="es-ES"/>
        </w:rPr>
        <w:t xml:space="preserve">Derivado de lo anterior, se constituye la figura jurídica de la </w:t>
      </w:r>
      <w:r>
        <w:rPr>
          <w:rFonts w:ascii="Palatino Linotype" w:hAnsi="Palatino Linotype" w:cs="Arial"/>
          <w:b/>
          <w:color w:val="000000"/>
          <w:lang w:val="es-ES"/>
        </w:rPr>
        <w:t>NEGATIVA FICTA</w:t>
      </w:r>
      <w:r>
        <w:rPr>
          <w:rFonts w:ascii="Palatino Linotype" w:hAnsi="Palatino Linotype" w:cs="Arial"/>
          <w:color w:val="000000"/>
          <w:lang w:val="es-ES"/>
        </w:rPr>
        <w:t>, cuya esencia consiste en atribuir un efecto negativo al silencio de la autoridad administrativa frente a las instancias y solicitudes que hagan los particulares.</w:t>
      </w:r>
    </w:p>
    <w:p w:rsidR="00763321" w:rsidRDefault="004D0B4C">
      <w:pPr>
        <w:spacing w:beforeAutospacing="1" w:afterAutospacing="1" w:line="360" w:lineRule="auto"/>
        <w:jc w:val="both"/>
        <w:rPr>
          <w:rFonts w:ascii="Palatino Linotype" w:hAnsi="Palatino Linotype" w:cs="Arial"/>
          <w:color w:val="000000"/>
          <w:lang w:val="es-ES"/>
        </w:rPr>
      </w:pPr>
      <w:r>
        <w:rPr>
          <w:rFonts w:ascii="Palatino Linotype" w:hAnsi="Palatino Linotype" w:cs="Arial"/>
          <w:color w:val="000000"/>
          <w:lang w:val="es-ES"/>
        </w:rPr>
        <w:t>Por su parte, el artículo 178 de la Ley de Transparencia y Acceso a la Información Pública del Estado de México y Municipios, establece:</w:t>
      </w:r>
    </w:p>
    <w:p w:rsidR="00763321" w:rsidRDefault="004D0B4C">
      <w:pPr>
        <w:ind w:left="851" w:right="901"/>
        <w:jc w:val="both"/>
        <w:rPr>
          <w:rFonts w:ascii="Palatino Linotype" w:hAnsi="Palatino Linotype" w:cs="Arial"/>
          <w:i/>
          <w:color w:val="000000"/>
          <w:sz w:val="22"/>
          <w:szCs w:val="22"/>
          <w:lang w:val="es-ES"/>
        </w:rPr>
      </w:pPr>
      <w:r>
        <w:rPr>
          <w:rFonts w:ascii="Palatino Linotype" w:hAnsi="Palatino Linotype" w:cs="Arial"/>
          <w:b/>
          <w:i/>
          <w:color w:val="000000"/>
          <w:sz w:val="22"/>
          <w:szCs w:val="22"/>
          <w:lang w:val="es-ES"/>
        </w:rPr>
        <w:t xml:space="preserve">“Artículo 178. </w:t>
      </w:r>
      <w:r>
        <w:rPr>
          <w:rFonts w:ascii="Palatino Linotype"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63321" w:rsidRDefault="00763321">
      <w:pPr>
        <w:ind w:left="851" w:right="901"/>
        <w:jc w:val="both"/>
        <w:rPr>
          <w:rFonts w:ascii="Palatino Linotype" w:hAnsi="Palatino Linotype" w:cs="Arial"/>
          <w:i/>
          <w:color w:val="000000"/>
          <w:sz w:val="22"/>
          <w:szCs w:val="22"/>
          <w:lang w:val="es-ES"/>
        </w:rPr>
      </w:pPr>
    </w:p>
    <w:p w:rsidR="00763321" w:rsidRDefault="004D0B4C">
      <w:pPr>
        <w:ind w:left="851" w:right="901"/>
        <w:jc w:val="both"/>
        <w:rPr>
          <w:rFonts w:ascii="Palatino Linotype" w:hAnsi="Palatino Linotype" w:cs="Arial"/>
          <w:i/>
          <w:color w:val="000000"/>
          <w:sz w:val="22"/>
          <w:szCs w:val="22"/>
          <w:lang w:val="es-ES"/>
        </w:rPr>
      </w:pPr>
      <w:r>
        <w:rPr>
          <w:rFonts w:ascii="Palatino Linotype" w:hAnsi="Palatino Linotype" w:cs="Arial"/>
          <w:b/>
          <w:i/>
          <w:color w:val="000000"/>
          <w:sz w:val="22"/>
          <w:szCs w:val="22"/>
          <w:lang w:val="es-ES"/>
        </w:rPr>
        <w:t>A falta de respuesta del sujeto obligado, dentro de los plazos establecidos en esta Ley, a una solicitud de acceso a la información pública, el recurso podrá ser interpuesto en cualquier momento</w:t>
      </w:r>
      <w:r>
        <w:rPr>
          <w:rFonts w:ascii="Palatino Linotype" w:hAnsi="Palatino Linotype" w:cs="Arial"/>
          <w:i/>
          <w:color w:val="000000"/>
          <w:sz w:val="22"/>
          <w:szCs w:val="22"/>
          <w:lang w:val="es-ES"/>
        </w:rPr>
        <w:t>, acompañado con el documento que pruebe la fecha en que presentó la solicitud.</w:t>
      </w:r>
    </w:p>
    <w:p w:rsidR="00763321" w:rsidRDefault="00763321">
      <w:pPr>
        <w:ind w:left="851" w:right="901"/>
        <w:jc w:val="both"/>
        <w:rPr>
          <w:rFonts w:ascii="Palatino Linotype" w:hAnsi="Palatino Linotype" w:cs="Arial"/>
          <w:i/>
          <w:color w:val="000000"/>
          <w:sz w:val="22"/>
          <w:szCs w:val="22"/>
          <w:lang w:val="es-ES"/>
        </w:rPr>
      </w:pPr>
    </w:p>
    <w:p w:rsidR="00763321" w:rsidRDefault="004D0B4C">
      <w:pPr>
        <w:ind w:left="851" w:right="901"/>
        <w:jc w:val="both"/>
        <w:rPr>
          <w:rFonts w:ascii="Palatino Linotype" w:hAnsi="Palatino Linotype" w:cs="Arial"/>
          <w:i/>
          <w:color w:val="000000"/>
          <w:sz w:val="22"/>
          <w:szCs w:val="22"/>
          <w:lang w:val="es-ES"/>
        </w:rPr>
      </w:pPr>
      <w:r>
        <w:rPr>
          <w:rFonts w:ascii="Palatino Linotype"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763321" w:rsidRDefault="004D0B4C">
      <w:pPr>
        <w:ind w:left="851" w:right="901"/>
        <w:jc w:val="both"/>
        <w:rPr>
          <w:rFonts w:ascii="Palatino Linotype" w:hAnsi="Palatino Linotype" w:cs="Arial"/>
          <w:i/>
          <w:color w:val="000000"/>
          <w:sz w:val="22"/>
          <w:szCs w:val="22"/>
          <w:lang w:val="es-ES"/>
        </w:rPr>
      </w:pPr>
      <w:r>
        <w:rPr>
          <w:rFonts w:ascii="Palatino Linotype" w:hAnsi="Palatino Linotype" w:cs="Arial"/>
          <w:i/>
          <w:color w:val="000000"/>
          <w:sz w:val="22"/>
          <w:szCs w:val="22"/>
          <w:lang w:val="es-ES"/>
        </w:rPr>
        <w:t xml:space="preserve">(Énfasis añadido) </w:t>
      </w:r>
    </w:p>
    <w:p w:rsidR="00763321" w:rsidRDefault="004D0B4C">
      <w:pPr>
        <w:spacing w:beforeAutospacing="1" w:afterAutospacing="1" w:line="360" w:lineRule="auto"/>
        <w:jc w:val="both"/>
        <w:rPr>
          <w:rFonts w:ascii="Palatino Linotype" w:hAnsi="Palatino Linotype" w:cs="Arial"/>
          <w:color w:val="000000"/>
          <w:lang w:val="es-ES"/>
        </w:rPr>
      </w:pPr>
      <w:r>
        <w:rPr>
          <w:rFonts w:ascii="Palatino Linotype" w:hAnsi="Palatino Linotype" w:cs="Arial"/>
          <w:color w:val="000000"/>
          <w:lang w:val="es-ES"/>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w:t>
      </w:r>
      <w:r>
        <w:rPr>
          <w:rFonts w:ascii="Palatino Linotype" w:hAnsi="Palatino Linotype" w:cs="Arial"/>
          <w:color w:val="000000"/>
          <w:lang w:val="es-ES"/>
        </w:rPr>
        <w:lastRenderedPageBreak/>
        <w:t xml:space="preserve">tiene que existir una respuesta expresa por parte del </w:t>
      </w:r>
      <w:r>
        <w:rPr>
          <w:rFonts w:ascii="Palatino Linotype" w:hAnsi="Palatino Linotype" w:cs="Arial"/>
          <w:b/>
          <w:color w:val="000000"/>
          <w:lang w:val="es-ES"/>
        </w:rPr>
        <w:t>SUJETO OBLIGADO</w:t>
      </w:r>
      <w:r>
        <w:rPr>
          <w:rFonts w:ascii="Palatino Linotype" w:hAnsi="Palatino Linotype" w:cs="Arial"/>
          <w:color w:val="000000"/>
          <w:lang w:val="es-ES"/>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Pr>
          <w:rFonts w:ascii="Palatino Linotype" w:hAnsi="Palatino Linotype" w:cs="Arial"/>
          <w:b/>
          <w:color w:val="000000"/>
          <w:lang w:val="es-ES"/>
        </w:rPr>
        <w:t xml:space="preserve">EL RECURRENTE </w:t>
      </w:r>
      <w:r>
        <w:rPr>
          <w:rFonts w:ascii="Palatino Linotype" w:hAnsi="Palatino Linotype" w:cs="Arial"/>
          <w:color w:val="000000"/>
          <w:lang w:val="es-ES"/>
        </w:rPr>
        <w:t>está en la total libertad de presentar su medio de impugnación en cualquier momento, consecuentemente se tiene que dicho recurso se presentó oportunamente.</w:t>
      </w:r>
    </w:p>
    <w:p w:rsidR="00763321" w:rsidRDefault="004D0B4C">
      <w:pPr>
        <w:pStyle w:val="Prrafodelista"/>
        <w:widowControl w:val="0"/>
        <w:tabs>
          <w:tab w:val="left" w:pos="1701"/>
          <w:tab w:val="left" w:pos="1843"/>
        </w:tabs>
        <w:spacing w:before="200" w:after="200" w:line="360" w:lineRule="auto"/>
        <w:ind w:left="0"/>
        <w:contextualSpacing/>
        <w:jc w:val="both"/>
        <w:rPr>
          <w:rFonts w:ascii="Palatino Linotype" w:hAnsi="Palatino Linotype"/>
        </w:rPr>
      </w:pPr>
      <w:r>
        <w:rPr>
          <w:rFonts w:ascii="Palatino Linotype" w:hAnsi="Palatino Linotype" w:cs="Arial"/>
          <w:b/>
          <w:sz w:val="28"/>
          <w:szCs w:val="28"/>
        </w:rPr>
        <w:t>CUARTO</w:t>
      </w:r>
      <w:r>
        <w:rPr>
          <w:rFonts w:ascii="Palatino Linotype" w:hAnsi="Palatino Linotype"/>
          <w:b/>
          <w:sz w:val="28"/>
          <w:szCs w:val="28"/>
        </w:rPr>
        <w:t>.</w:t>
      </w:r>
      <w:r>
        <w:rPr>
          <w:rFonts w:ascii="Palatino Linotype" w:hAnsi="Palatino Linotype"/>
          <w:b/>
        </w:rPr>
        <w:t xml:space="preserve"> Procedibilidad. </w:t>
      </w:r>
      <w:r>
        <w:rPr>
          <w:rFonts w:ascii="Palatino Linotype" w:hAnsi="Palatino Linotype"/>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Pr>
          <w:rFonts w:ascii="Palatino Linotype" w:eastAsia="MS Mincho" w:hAnsi="Palatino Linotype" w:cs="Arial"/>
          <w:b/>
          <w:color w:val="000000"/>
        </w:rPr>
        <w:t>SAIMEX</w:t>
      </w:r>
      <w:r>
        <w:rPr>
          <w:rFonts w:ascii="Palatino Linotype" w:eastAsia="MS Mincho" w:hAnsi="Palatino Linotype" w:cs="Arial"/>
          <w:color w:val="000000"/>
        </w:rPr>
        <w:t xml:space="preserve">. </w:t>
      </w:r>
    </w:p>
    <w:p w:rsidR="00763321" w:rsidRDefault="004D0B4C">
      <w:pPr>
        <w:spacing w:beforeAutospacing="1" w:afterAutospacing="1" w:line="360" w:lineRule="auto"/>
        <w:ind w:right="49"/>
        <w:jc w:val="both"/>
        <w:rPr>
          <w:rFonts w:ascii="Palatino Linotype" w:hAnsi="Palatino Linotype" w:cs="Arial"/>
          <w:lang w:val="es-ES" w:eastAsia="es-MX"/>
        </w:rPr>
      </w:pPr>
      <w:r>
        <w:rPr>
          <w:rFonts w:ascii="Palatino Linotype" w:hAnsi="Palatino Linotype"/>
          <w:b/>
          <w:color w:val="000000" w:themeColor="text1"/>
          <w:sz w:val="28"/>
          <w:lang w:eastAsia="es-MX"/>
        </w:rPr>
        <w:t>QUINTO</w:t>
      </w:r>
      <w:r>
        <w:rPr>
          <w:rFonts w:ascii="Palatino Linotype" w:hAnsi="Palatino Linotype" w:cs="Arial"/>
          <w:b/>
          <w:color w:val="000000" w:themeColor="text1"/>
          <w:lang w:eastAsia="es-MX"/>
        </w:rPr>
        <w:t xml:space="preserve">. </w:t>
      </w:r>
      <w:r>
        <w:rPr>
          <w:rFonts w:ascii="Palatino Linotype" w:hAnsi="Palatino Linotype" w:cs="Arial"/>
          <w:b/>
          <w:color w:val="000000" w:themeColor="text1"/>
          <w:lang w:val="es-ES" w:eastAsia="es-MX"/>
        </w:rPr>
        <w:t>Estudio y resolución del asunto.</w:t>
      </w:r>
      <w:r>
        <w:rPr>
          <w:rFonts w:ascii="Palatino Linotype" w:hAnsi="Palatino Linotype" w:cs="Arial"/>
          <w:color w:val="000000" w:themeColor="text1"/>
          <w:lang w:val="es-ES" w:eastAsia="es-MX"/>
        </w:rPr>
        <w:t xml:space="preserve"> Del análisis efectuado, se advierte que el </w:t>
      </w:r>
      <w:r>
        <w:rPr>
          <w:rFonts w:ascii="Palatino Linotype" w:hAnsi="Palatino Linotype" w:cs="Arial"/>
          <w:lang w:val="es-ES" w:eastAsia="es-MX"/>
        </w:rPr>
        <w:t>presente recurso de revisión es procedente, pues se actualiza la hipótesis prevista en la fracción VII, del artículo 179 de la Ley de la materia, el cual a la letra dice:</w:t>
      </w:r>
    </w:p>
    <w:p w:rsidR="00763321" w:rsidRDefault="004D0B4C">
      <w:pPr>
        <w:ind w:left="851" w:right="901"/>
        <w:jc w:val="both"/>
        <w:rPr>
          <w:rFonts w:ascii="Palatino Linotype" w:hAnsi="Palatino Linotype" w:cs="Arial"/>
          <w:i/>
          <w:color w:val="000000"/>
          <w:sz w:val="22"/>
          <w:szCs w:val="22"/>
          <w:lang w:val="es-ES"/>
        </w:rPr>
      </w:pPr>
      <w:r>
        <w:rPr>
          <w:rFonts w:ascii="Palatino Linotype" w:hAnsi="Palatino Linotype" w:cs="Arial"/>
          <w:i/>
          <w:color w:val="000000"/>
          <w:sz w:val="22"/>
          <w:szCs w:val="22"/>
          <w:lang w:val="es-ES"/>
        </w:rPr>
        <w:t>“</w:t>
      </w:r>
      <w:r>
        <w:rPr>
          <w:rFonts w:ascii="Palatino Linotype" w:hAnsi="Palatino Linotype" w:cs="Arial"/>
          <w:b/>
          <w:i/>
          <w:color w:val="000000"/>
          <w:sz w:val="22"/>
          <w:szCs w:val="22"/>
          <w:lang w:val="es-ES"/>
        </w:rPr>
        <w:t>Artículo 179.</w:t>
      </w:r>
      <w:r>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763321" w:rsidRDefault="004D0B4C">
      <w:pPr>
        <w:ind w:left="851" w:right="901"/>
        <w:jc w:val="both"/>
        <w:rPr>
          <w:rFonts w:ascii="Palatino Linotype" w:hAnsi="Palatino Linotype" w:cs="Arial"/>
          <w:i/>
          <w:color w:val="000000"/>
          <w:sz w:val="22"/>
          <w:szCs w:val="22"/>
          <w:lang w:val="es-ES"/>
        </w:rPr>
      </w:pPr>
      <w:r>
        <w:rPr>
          <w:rFonts w:ascii="Palatino Linotype" w:hAnsi="Palatino Linotype" w:cs="Arial"/>
          <w:i/>
          <w:color w:val="000000"/>
          <w:sz w:val="22"/>
          <w:szCs w:val="22"/>
          <w:lang w:val="es-ES"/>
        </w:rPr>
        <w:t>…</w:t>
      </w:r>
    </w:p>
    <w:p w:rsidR="00763321" w:rsidRDefault="004D0B4C">
      <w:pPr>
        <w:ind w:left="851" w:right="901"/>
        <w:jc w:val="both"/>
        <w:rPr>
          <w:rFonts w:ascii="Palatino Linotype" w:hAnsi="Palatino Linotype" w:cs="Arial"/>
          <w:i/>
          <w:color w:val="000000"/>
          <w:sz w:val="22"/>
          <w:szCs w:val="22"/>
          <w:lang w:val="es-ES"/>
        </w:rPr>
      </w:pPr>
      <w:r>
        <w:rPr>
          <w:rFonts w:ascii="Palatino Linotype" w:hAnsi="Palatino Linotype" w:cs="Arial"/>
          <w:b/>
          <w:i/>
          <w:color w:val="000000"/>
          <w:sz w:val="22"/>
          <w:szCs w:val="22"/>
          <w:lang w:val="es-ES"/>
        </w:rPr>
        <w:t>VII. La falta de respuesta a una solicitud de acceso a la información</w:t>
      </w:r>
      <w:r>
        <w:rPr>
          <w:rFonts w:ascii="Palatino Linotype" w:hAnsi="Palatino Linotype" w:cs="Arial"/>
          <w:i/>
          <w:color w:val="000000"/>
          <w:sz w:val="22"/>
          <w:szCs w:val="22"/>
          <w:lang w:val="es-ES"/>
        </w:rPr>
        <w:t>;</w:t>
      </w:r>
    </w:p>
    <w:p w:rsidR="00763321" w:rsidRDefault="004D0B4C">
      <w:pPr>
        <w:ind w:left="851" w:right="901"/>
        <w:jc w:val="both"/>
        <w:rPr>
          <w:rFonts w:ascii="Palatino Linotype" w:hAnsi="Palatino Linotype" w:cs="Arial"/>
          <w:i/>
          <w:color w:val="000000"/>
          <w:sz w:val="22"/>
          <w:szCs w:val="22"/>
          <w:lang w:val="es-ES"/>
        </w:rPr>
      </w:pPr>
      <w:r>
        <w:rPr>
          <w:rFonts w:ascii="Palatino Linotype" w:hAnsi="Palatino Linotype" w:cs="Arial"/>
          <w:b/>
          <w:i/>
          <w:color w:val="000000"/>
          <w:sz w:val="22"/>
          <w:szCs w:val="22"/>
          <w:lang w:val="es-ES"/>
        </w:rPr>
        <w:t>…</w:t>
      </w:r>
      <w:r>
        <w:rPr>
          <w:rFonts w:ascii="Palatino Linotype" w:hAnsi="Palatino Linotype" w:cs="Arial"/>
          <w:i/>
          <w:color w:val="000000"/>
          <w:sz w:val="22"/>
          <w:szCs w:val="22"/>
          <w:lang w:val="es-ES"/>
        </w:rPr>
        <w:t>”</w:t>
      </w:r>
    </w:p>
    <w:p w:rsidR="00763321" w:rsidRDefault="004D0B4C">
      <w:pPr>
        <w:ind w:left="851" w:right="901"/>
        <w:jc w:val="both"/>
        <w:rPr>
          <w:rFonts w:ascii="Palatino Linotype" w:hAnsi="Palatino Linotype" w:cs="Arial"/>
          <w:i/>
          <w:color w:val="000000"/>
          <w:sz w:val="22"/>
          <w:szCs w:val="22"/>
          <w:lang w:val="es-ES"/>
        </w:rPr>
      </w:pPr>
      <w:r>
        <w:rPr>
          <w:rFonts w:ascii="Palatino Linotype" w:hAnsi="Palatino Linotype" w:cs="Arial"/>
          <w:i/>
          <w:color w:val="000000"/>
          <w:sz w:val="22"/>
          <w:szCs w:val="22"/>
          <w:lang w:val="es-ES"/>
        </w:rPr>
        <w:t>(Énfasis añadido)</w:t>
      </w:r>
    </w:p>
    <w:p w:rsidR="00763321" w:rsidRDefault="004D0B4C">
      <w:pPr>
        <w:widowControl w:val="0"/>
        <w:spacing w:beforeAutospacing="1" w:afterAutospacing="1" w:line="360" w:lineRule="auto"/>
        <w:jc w:val="both"/>
        <w:rPr>
          <w:rFonts w:ascii="Palatino Linotype" w:hAnsi="Palatino Linotype" w:cs="Arial"/>
          <w:lang w:val="es-ES"/>
        </w:rPr>
      </w:pPr>
      <w:r>
        <w:rPr>
          <w:rFonts w:ascii="Palatino Linotype" w:hAnsi="Palatino Linotype" w:cs="Arial"/>
          <w:lang w:val="es-ES"/>
        </w:rPr>
        <w:t xml:space="preserve">El precepto legal citado, establece como supuesto de procedencia del recurso de revisión, en aquellos casos en que no se dé respuesta a lo solicitado; por lo que, en el </w:t>
      </w:r>
      <w:r>
        <w:rPr>
          <w:rFonts w:ascii="Palatino Linotype" w:hAnsi="Palatino Linotype" w:cs="Arial"/>
          <w:lang w:val="es-ES"/>
        </w:rPr>
        <w:lastRenderedPageBreak/>
        <w:t xml:space="preserve">presente caso, se actualiza dicha causal, ya que </w:t>
      </w:r>
      <w:r>
        <w:rPr>
          <w:rFonts w:ascii="Palatino Linotype" w:hAnsi="Palatino Linotype" w:cs="Arial"/>
          <w:b/>
          <w:lang w:val="es-ES"/>
        </w:rPr>
        <w:t>EL SUJETO OBLIGADO</w:t>
      </w:r>
      <w:r>
        <w:rPr>
          <w:rFonts w:ascii="Palatino Linotype" w:hAnsi="Palatino Linotype" w:cs="Arial"/>
          <w:lang w:val="es-ES"/>
        </w:rPr>
        <w:t xml:space="preserve"> omitió dar respuesta a lo requerido por </w:t>
      </w:r>
      <w:r>
        <w:rPr>
          <w:rFonts w:ascii="Palatino Linotype" w:hAnsi="Palatino Linotype" w:cs="Arial"/>
          <w:b/>
          <w:lang w:val="es-ES"/>
        </w:rPr>
        <w:t xml:space="preserve">LA RECURRENTE </w:t>
      </w:r>
      <w:r>
        <w:rPr>
          <w:rFonts w:ascii="Palatino Linotype" w:hAnsi="Palatino Linotype" w:cs="Arial"/>
          <w:lang w:val="es-ES"/>
        </w:rPr>
        <w:t xml:space="preserve">en su solicitud de información pública; atento a ello, </w:t>
      </w:r>
      <w:r>
        <w:rPr>
          <w:rFonts w:ascii="Palatino Linotype" w:hAnsi="Palatino Linotype"/>
          <w:lang w:val="es-ES"/>
        </w:rPr>
        <w:t xml:space="preserve">este Órgano Garante </w:t>
      </w:r>
      <w:r>
        <w:rPr>
          <w:rFonts w:ascii="Palatino Linotype" w:hAnsi="Palatino Linotype" w:cs="Arial"/>
          <w:lang w:val="es-ES"/>
        </w:rPr>
        <w:t xml:space="preserve">considera que las razones o motivos de inconformidad son </w:t>
      </w:r>
      <w:r>
        <w:rPr>
          <w:rFonts w:ascii="Palatino Linotype" w:hAnsi="Palatino Linotype" w:cs="Arial"/>
          <w:b/>
          <w:lang w:val="es-ES"/>
        </w:rPr>
        <w:t>fundados</w:t>
      </w:r>
      <w:r>
        <w:rPr>
          <w:rFonts w:ascii="Palatino Linotype" w:hAnsi="Palatino Linotype" w:cs="Arial"/>
          <w:lang w:val="es-ES"/>
        </w:rPr>
        <w:t>.</w:t>
      </w:r>
    </w:p>
    <w:p w:rsidR="00763321" w:rsidRDefault="004D0B4C">
      <w:pPr>
        <w:spacing w:beforeAutospacing="1" w:afterAutospacing="1" w:line="360" w:lineRule="auto"/>
        <w:jc w:val="both"/>
        <w:rPr>
          <w:rFonts w:ascii="Palatino Linotype" w:hAnsi="Palatino Linotype"/>
        </w:rPr>
      </w:pPr>
      <w:r>
        <w:rPr>
          <w:rFonts w:ascii="Palatino Linotype" w:hAnsi="Palatino Linotype"/>
        </w:rPr>
        <w:t xml:space="preserve">Es así que, de acuerdo a los motivos de inconformidad hechos valer por </w:t>
      </w:r>
      <w:r>
        <w:rPr>
          <w:rFonts w:ascii="Palatino Linotype" w:hAnsi="Palatino Linotype"/>
          <w:b/>
        </w:rPr>
        <w:t>LA RECURRENTE</w:t>
      </w:r>
      <w:r>
        <w:rPr>
          <w:rFonts w:ascii="Palatino Linotype" w:hAnsi="Palatino Linotype"/>
        </w:rPr>
        <w:t>, ante la falta de respuesta a la solicitud, por parte del</w:t>
      </w:r>
      <w:r>
        <w:rPr>
          <w:rFonts w:ascii="Palatino Linotype" w:hAnsi="Palatino Linotype"/>
          <w:b/>
        </w:rPr>
        <w:t xml:space="preserve"> SUJETO OBLIGADO</w:t>
      </w:r>
      <w:r>
        <w:rPr>
          <w:rFonts w:ascii="Palatino Linotype" w:hAnsi="Palatino Linotype"/>
        </w:rPr>
        <w:t>, este Órgano Garante considera pertinente analizar si mediante el pronunciamiento realizado a través del Informe Justificado se colmó el derecho de acceso a la información pública de la solicitante.</w:t>
      </w:r>
    </w:p>
    <w:p w:rsidR="00763321" w:rsidRDefault="004D0B4C">
      <w:pPr>
        <w:spacing w:beforeAutospacing="1" w:afterAutospacing="1" w:line="360" w:lineRule="auto"/>
        <w:jc w:val="both"/>
        <w:rPr>
          <w:rFonts w:ascii="Palatino Linotype" w:hAnsi="Palatino Linotype"/>
        </w:rPr>
      </w:pPr>
      <w:r>
        <w:rPr>
          <w:rFonts w:ascii="Palatino Linotype" w:hAnsi="Palatino Linotype"/>
        </w:rPr>
        <w:t>Este Órgano Colegiado advierte que en el presente asunto se actualiza la causal de sobreseimiento prevista en la fracción III del artículo 192 de la Ley de Transparencia y Acceso a la Información Pública del Estado de México y Municipios que dispone lo siguiente:</w:t>
      </w:r>
    </w:p>
    <w:p w:rsidR="00763321" w:rsidRDefault="004D0B4C">
      <w:pPr>
        <w:ind w:left="851" w:right="899"/>
        <w:jc w:val="both"/>
        <w:rPr>
          <w:rFonts w:ascii="Palatino Linotype" w:hAnsi="Palatino Linotype" w:cs="Arial"/>
          <w:i/>
          <w:sz w:val="22"/>
          <w:szCs w:val="22"/>
        </w:rPr>
      </w:pPr>
      <w:r>
        <w:rPr>
          <w:rFonts w:ascii="Palatino Linotype" w:hAnsi="Palatino Linotype" w:cs="Arial"/>
          <w:b/>
          <w:i/>
          <w:sz w:val="22"/>
          <w:szCs w:val="22"/>
        </w:rPr>
        <w:t>“Artículo 192.</w:t>
      </w:r>
      <w:r>
        <w:rPr>
          <w:rFonts w:ascii="Palatino Linotype" w:hAnsi="Palatino Linotype" w:cs="Arial"/>
          <w:i/>
          <w:sz w:val="22"/>
          <w:szCs w:val="22"/>
        </w:rPr>
        <w:t xml:space="preserve"> El recurso será sobreseído, en todo o en parte, cuando una vez admitido, se actualicen alguno de los siguientes supuestos:</w:t>
      </w:r>
    </w:p>
    <w:p w:rsidR="00763321" w:rsidRDefault="004D0B4C">
      <w:pPr>
        <w:ind w:left="851" w:right="899"/>
        <w:jc w:val="both"/>
        <w:rPr>
          <w:rFonts w:ascii="Palatino Linotype" w:hAnsi="Palatino Linotype" w:cs="Arial"/>
          <w:i/>
          <w:sz w:val="22"/>
          <w:szCs w:val="22"/>
        </w:rPr>
      </w:pPr>
      <w:r>
        <w:rPr>
          <w:rFonts w:ascii="Palatino Linotype" w:hAnsi="Palatino Linotype" w:cs="Arial"/>
          <w:i/>
          <w:sz w:val="22"/>
          <w:szCs w:val="22"/>
        </w:rPr>
        <w:t>…</w:t>
      </w:r>
    </w:p>
    <w:p w:rsidR="00763321" w:rsidRDefault="004D0B4C">
      <w:pPr>
        <w:ind w:left="851" w:right="899"/>
        <w:jc w:val="both"/>
        <w:rPr>
          <w:rFonts w:ascii="Palatino Linotype" w:hAnsi="Palatino Linotype" w:cs="Arial"/>
          <w:i/>
          <w:sz w:val="22"/>
          <w:szCs w:val="22"/>
        </w:rPr>
      </w:pPr>
      <w:r>
        <w:rPr>
          <w:rFonts w:ascii="Palatino Linotype" w:hAnsi="Palatino Linotype" w:cs="Arial"/>
          <w:b/>
          <w:i/>
          <w:sz w:val="22"/>
          <w:szCs w:val="22"/>
        </w:rPr>
        <w:t>III. El sujeto obligado responsable del acto lo modifique o revoque de tal manera que el recurso de revisión quede sin materia</w:t>
      </w:r>
      <w:r>
        <w:rPr>
          <w:rFonts w:ascii="Palatino Linotype" w:hAnsi="Palatino Linotype" w:cs="Arial"/>
          <w:i/>
          <w:sz w:val="22"/>
          <w:szCs w:val="22"/>
        </w:rPr>
        <w:t>;…”</w:t>
      </w:r>
    </w:p>
    <w:p w:rsidR="00763321" w:rsidRDefault="004D0B4C">
      <w:pPr>
        <w:ind w:left="851" w:right="899"/>
        <w:jc w:val="both"/>
        <w:rPr>
          <w:rFonts w:ascii="Palatino Linotype" w:hAnsi="Palatino Linotype" w:cs="Arial"/>
          <w:i/>
          <w:sz w:val="22"/>
          <w:szCs w:val="22"/>
        </w:rPr>
      </w:pPr>
      <w:r>
        <w:rPr>
          <w:rFonts w:ascii="Palatino Linotype" w:hAnsi="Palatino Linotype" w:cs="Arial"/>
          <w:i/>
          <w:sz w:val="22"/>
          <w:szCs w:val="22"/>
        </w:rPr>
        <w:t>(Énfasis añadido)</w:t>
      </w:r>
    </w:p>
    <w:p w:rsidR="00763321" w:rsidRDefault="004D0B4C">
      <w:pPr>
        <w:spacing w:beforeAutospacing="1" w:afterAutospacing="1" w:line="360" w:lineRule="auto"/>
        <w:jc w:val="both"/>
        <w:rPr>
          <w:rFonts w:ascii="Palatino Linotype" w:hAnsi="Palatino Linotype" w:cs="Arial"/>
        </w:rPr>
      </w:pPr>
      <w:r>
        <w:rPr>
          <w:rFonts w:ascii="Palatino Linotype" w:hAnsi="Palatino Linotype" w:cs="Arial"/>
        </w:rPr>
        <w:t>Luego, conforme a la transcripción que antecede conviene desglosar los elementos de la disposición enunciada:</w:t>
      </w:r>
    </w:p>
    <w:p w:rsidR="00763321" w:rsidRDefault="004D0B4C">
      <w:pPr>
        <w:spacing w:line="360" w:lineRule="auto"/>
        <w:ind w:left="993"/>
        <w:jc w:val="both"/>
        <w:rPr>
          <w:rFonts w:ascii="Palatino Linotype" w:hAnsi="Palatino Linotype" w:cs="Arial"/>
        </w:rPr>
      </w:pPr>
      <w:r>
        <w:rPr>
          <w:rFonts w:ascii="Palatino Linotype" w:hAnsi="Palatino Linotype" w:cs="Arial"/>
        </w:rPr>
        <w:t xml:space="preserve">1.- El sujeto obligado responsable; </w:t>
      </w:r>
    </w:p>
    <w:p w:rsidR="00763321" w:rsidRDefault="004D0B4C">
      <w:pPr>
        <w:spacing w:line="360" w:lineRule="auto"/>
        <w:ind w:left="993"/>
        <w:jc w:val="both"/>
        <w:rPr>
          <w:rFonts w:ascii="Palatino Linotype" w:hAnsi="Palatino Linotype" w:cs="Arial"/>
        </w:rPr>
      </w:pPr>
      <w:r>
        <w:rPr>
          <w:rFonts w:ascii="Palatino Linotype" w:hAnsi="Palatino Linotype" w:cs="Arial"/>
        </w:rPr>
        <w:t>2.- Acto;</w:t>
      </w:r>
    </w:p>
    <w:p w:rsidR="00763321" w:rsidRDefault="004D0B4C">
      <w:pPr>
        <w:spacing w:line="360" w:lineRule="auto"/>
        <w:ind w:left="993"/>
        <w:jc w:val="both"/>
        <w:rPr>
          <w:rFonts w:ascii="Palatino Linotype" w:hAnsi="Palatino Linotype" w:cs="Arial"/>
        </w:rPr>
      </w:pPr>
      <w:r>
        <w:rPr>
          <w:rFonts w:ascii="Palatino Linotype" w:hAnsi="Palatino Linotype" w:cs="Arial"/>
        </w:rPr>
        <w:lastRenderedPageBreak/>
        <w:t>3.- Que se modifique o revoque; y</w:t>
      </w:r>
    </w:p>
    <w:p w:rsidR="00763321" w:rsidRDefault="004D0B4C">
      <w:pPr>
        <w:spacing w:line="360" w:lineRule="auto"/>
        <w:ind w:left="993"/>
        <w:jc w:val="both"/>
        <w:rPr>
          <w:rFonts w:ascii="Palatino Linotype" w:hAnsi="Palatino Linotype" w:cs="Arial"/>
        </w:rPr>
      </w:pPr>
      <w:r>
        <w:rPr>
          <w:rFonts w:ascii="Palatino Linotype" w:hAnsi="Palatino Linotype" w:cs="Arial"/>
        </w:rPr>
        <w:t>4.- De tal manera que el medio de impugnación quede sin efecto o materia.</w:t>
      </w:r>
    </w:p>
    <w:p w:rsidR="00763321" w:rsidRDefault="004D0B4C">
      <w:pPr>
        <w:spacing w:beforeAutospacing="1" w:afterAutospacing="1" w:line="360" w:lineRule="auto"/>
        <w:jc w:val="both"/>
        <w:rPr>
          <w:rFonts w:ascii="Palatino Linotype" w:hAnsi="Palatino Linotype" w:cs="Arial"/>
        </w:rPr>
      </w:pPr>
      <w:r>
        <w:rPr>
          <w:rFonts w:ascii="Palatino Linotype" w:hAnsi="Palatino Linotype" w:cs="Arial"/>
        </w:rPr>
        <w:t xml:space="preserve">El primer elemento normativo se actualiza ya que, </w:t>
      </w:r>
      <w:r>
        <w:rPr>
          <w:rFonts w:ascii="Palatino Linotype" w:hAnsi="Palatino Linotype" w:cs="Arial"/>
          <w:b/>
        </w:rPr>
        <w:t xml:space="preserve">EL SUJETO OBLIGADO </w:t>
      </w:r>
      <w:r>
        <w:rPr>
          <w:rFonts w:ascii="Palatino Linotype" w:hAnsi="Palatino Linotype" w:cs="Arial"/>
        </w:rPr>
        <w:t xml:space="preserve">responsable es el </w:t>
      </w:r>
      <w:r>
        <w:rPr>
          <w:rFonts w:ascii="Palatino Linotype" w:hAnsi="Palatino Linotype" w:cs="Arial"/>
          <w:b/>
        </w:rPr>
        <w:t>Ayuntamiento de Ixtapaluca.</w:t>
      </w:r>
    </w:p>
    <w:p w:rsidR="00763321" w:rsidRDefault="004D0B4C">
      <w:pPr>
        <w:spacing w:beforeAutospacing="1" w:afterAutospacing="1" w:line="360" w:lineRule="auto"/>
        <w:jc w:val="both"/>
        <w:rPr>
          <w:rFonts w:ascii="Palatino Linotype" w:hAnsi="Palatino Linotype" w:cs="Arial"/>
        </w:rPr>
      </w:pPr>
      <w:r>
        <w:rPr>
          <w:rFonts w:ascii="Palatino Linotype" w:hAnsi="Palatino Linotype" w:cs="Arial"/>
        </w:rPr>
        <w:t xml:space="preserve">El segundo elemento normativo es la existencia de un acto, en el caso en concreto que nos ocupa, se acredita con la falta de respuesta del </w:t>
      </w:r>
      <w:r>
        <w:rPr>
          <w:rFonts w:ascii="Palatino Linotype" w:hAnsi="Palatino Linotype" w:cs="Arial"/>
          <w:b/>
        </w:rPr>
        <w:t>SUJETO OBLIGADO</w:t>
      </w:r>
      <w:r>
        <w:rPr>
          <w:rFonts w:ascii="Palatino Linotype" w:hAnsi="Palatino Linotype" w:cs="Arial"/>
        </w:rPr>
        <w:t xml:space="preserve">, acto que es el que precisamente se impugna; pues a decir de la hoy </w:t>
      </w:r>
      <w:r>
        <w:rPr>
          <w:rFonts w:ascii="Palatino Linotype" w:hAnsi="Palatino Linotype" w:cs="Arial"/>
          <w:b/>
        </w:rPr>
        <w:t>RECURRENTE</w:t>
      </w:r>
      <w:r>
        <w:rPr>
          <w:rFonts w:ascii="Palatino Linotype" w:hAnsi="Palatino Linotype" w:cs="Arial"/>
        </w:rPr>
        <w:t xml:space="preserve"> no se dio respuesta a la solicitud de información que fue planteada. </w:t>
      </w:r>
    </w:p>
    <w:p w:rsidR="00763321" w:rsidRDefault="004D0B4C">
      <w:pPr>
        <w:spacing w:beforeAutospacing="1" w:afterAutospacing="1" w:line="360" w:lineRule="auto"/>
        <w:jc w:val="both"/>
        <w:rPr>
          <w:rFonts w:ascii="Palatino Linotype" w:hAnsi="Palatino Linotype" w:cs="Arial"/>
        </w:rPr>
      </w:pPr>
      <w:r>
        <w:rPr>
          <w:rFonts w:ascii="Palatino Linotype" w:hAnsi="Palatino Linotype" w:cs="Arial"/>
        </w:rPr>
        <w:t xml:space="preserve">Cabe destacar que la falta de respuesta del </w:t>
      </w:r>
      <w:r>
        <w:rPr>
          <w:rFonts w:ascii="Palatino Linotype" w:hAnsi="Palatino Linotype" w:cs="Arial"/>
          <w:b/>
        </w:rPr>
        <w:t>SUJETO</w:t>
      </w:r>
      <w:r>
        <w:rPr>
          <w:rFonts w:ascii="Palatino Linotype" w:hAnsi="Palatino Linotype" w:cs="Arial"/>
        </w:rPr>
        <w:t xml:space="preserve"> </w:t>
      </w:r>
      <w:r>
        <w:rPr>
          <w:rFonts w:ascii="Palatino Linotype" w:hAnsi="Palatino Linotype" w:cs="Arial"/>
          <w:b/>
        </w:rPr>
        <w:t>OBLIGADO</w:t>
      </w:r>
      <w:r>
        <w:rPr>
          <w:rFonts w:ascii="Palatino Linotype" w:hAnsi="Palatino Linotype" w:cs="Arial"/>
        </w:rPr>
        <w:t xml:space="preserve">, es el precepto normativo en estudio, pues lo consagra como “acto”, ya que en el contexto que la propia Ley establece, sin ella no se tiene certeza de la existencia o inexistencia de la información pública, porque precisamente es la evidencia notoria y específica del actuar del </w:t>
      </w:r>
      <w:r>
        <w:rPr>
          <w:rFonts w:ascii="Palatino Linotype" w:hAnsi="Palatino Linotype" w:cs="Arial"/>
          <w:b/>
        </w:rPr>
        <w:t>SUJETO</w:t>
      </w:r>
      <w:r>
        <w:rPr>
          <w:rFonts w:ascii="Palatino Linotype" w:hAnsi="Palatino Linotype" w:cs="Arial"/>
        </w:rPr>
        <w:t xml:space="preserve"> </w:t>
      </w:r>
      <w:r>
        <w:rPr>
          <w:rFonts w:ascii="Palatino Linotype" w:hAnsi="Palatino Linotype" w:cs="Arial"/>
          <w:b/>
        </w:rPr>
        <w:t>OBLIGADO</w:t>
      </w:r>
      <w:r>
        <w:rPr>
          <w:rFonts w:ascii="Palatino Linotype" w:hAnsi="Palatino Linotype" w:cs="Arial"/>
        </w:rPr>
        <w:t xml:space="preserve"> se observa a través de sus actos que necesariamente ejecuta y con las que ejerce sus atribuciones legalmente conferidas. </w:t>
      </w:r>
    </w:p>
    <w:p w:rsidR="00763321" w:rsidRDefault="004D0B4C">
      <w:pPr>
        <w:spacing w:beforeAutospacing="1" w:afterAutospacing="1" w:line="360" w:lineRule="auto"/>
        <w:jc w:val="both"/>
        <w:rPr>
          <w:rFonts w:ascii="Palatino Linotype" w:hAnsi="Palatino Linotype" w:cs="Arial"/>
        </w:rPr>
      </w:pPr>
      <w:r>
        <w:rPr>
          <w:rFonts w:ascii="Palatino Linotype" w:hAnsi="Palatino Linotype" w:cs="Arial"/>
        </w:rPr>
        <w:t>La naturaleza jurídica de las respuestas que formulan los Sujetos Obligados están delimitadas por la misma Ley antes aludida,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rsidR="00763321" w:rsidRDefault="004D0B4C">
      <w:pPr>
        <w:ind w:left="851" w:right="902"/>
        <w:jc w:val="both"/>
        <w:rPr>
          <w:rFonts w:ascii="Palatino Linotype" w:hAnsi="Palatino Linotype" w:cs="Arial"/>
          <w:i/>
          <w:sz w:val="22"/>
          <w:szCs w:val="22"/>
        </w:rPr>
      </w:pPr>
      <w:r>
        <w:rPr>
          <w:rFonts w:ascii="Palatino Linotype" w:hAnsi="Palatino Linotype" w:cs="Arial"/>
          <w:b/>
          <w:i/>
          <w:sz w:val="22"/>
          <w:szCs w:val="22"/>
        </w:rPr>
        <w:t>“Artículo 53</w:t>
      </w:r>
      <w:r>
        <w:rPr>
          <w:rFonts w:ascii="Palatino Linotype" w:hAnsi="Palatino Linotype" w:cs="Arial"/>
          <w:i/>
          <w:sz w:val="22"/>
          <w:szCs w:val="22"/>
        </w:rPr>
        <w:t xml:space="preserve">. Las Unidades de Transparencia tendrán las siguientes funciones: </w:t>
      </w:r>
    </w:p>
    <w:p w:rsidR="00763321" w:rsidRDefault="004D0B4C">
      <w:pPr>
        <w:ind w:left="851" w:right="902"/>
        <w:jc w:val="both"/>
        <w:rPr>
          <w:rFonts w:ascii="Palatino Linotype" w:hAnsi="Palatino Linotype" w:cs="Arial"/>
          <w:i/>
          <w:sz w:val="22"/>
          <w:szCs w:val="22"/>
        </w:rPr>
      </w:pPr>
      <w:r>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763321" w:rsidRDefault="004D0B4C">
      <w:pPr>
        <w:ind w:left="851" w:right="902"/>
        <w:jc w:val="both"/>
        <w:rPr>
          <w:rFonts w:ascii="Palatino Linotype" w:hAnsi="Palatino Linotype" w:cs="Arial"/>
          <w:i/>
          <w:sz w:val="22"/>
          <w:szCs w:val="22"/>
        </w:rPr>
      </w:pPr>
      <w:r>
        <w:rPr>
          <w:rFonts w:ascii="Palatino Linotype" w:hAnsi="Palatino Linotype" w:cs="Arial"/>
          <w:b/>
          <w:i/>
          <w:sz w:val="22"/>
          <w:szCs w:val="22"/>
        </w:rPr>
        <w:t>II. Recibir, tramitar y dar respuesta a las solicitudes de acceso a la información</w:t>
      </w:r>
      <w:r>
        <w:rPr>
          <w:rFonts w:ascii="Palatino Linotype" w:hAnsi="Palatino Linotype" w:cs="Arial"/>
          <w:i/>
          <w:sz w:val="22"/>
          <w:szCs w:val="22"/>
        </w:rPr>
        <w:t xml:space="preserve">; </w:t>
      </w:r>
    </w:p>
    <w:p w:rsidR="00763321" w:rsidRDefault="004D0B4C">
      <w:pPr>
        <w:ind w:left="851" w:right="902"/>
        <w:jc w:val="both"/>
        <w:rPr>
          <w:rFonts w:ascii="Palatino Linotype" w:hAnsi="Palatino Linotype" w:cs="Arial"/>
          <w:i/>
          <w:sz w:val="22"/>
          <w:szCs w:val="22"/>
        </w:rPr>
      </w:pPr>
      <w:r>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763321" w:rsidRDefault="004D0B4C">
      <w:pPr>
        <w:ind w:left="851" w:right="902"/>
        <w:jc w:val="both"/>
        <w:rPr>
          <w:rFonts w:ascii="Palatino Linotype" w:hAnsi="Palatino Linotype" w:cs="Arial"/>
          <w:i/>
          <w:sz w:val="22"/>
          <w:szCs w:val="22"/>
        </w:rPr>
      </w:pPr>
      <w:r>
        <w:rPr>
          <w:rFonts w:ascii="Palatino Linotype" w:hAnsi="Palatino Linotype" w:cs="Arial"/>
          <w:i/>
          <w:sz w:val="22"/>
          <w:szCs w:val="22"/>
        </w:rPr>
        <w:t xml:space="preserve">IV. Realizar, con efectividad, los trámites internos necesarios para la atención de las solicitudes de acceso a la información; </w:t>
      </w:r>
    </w:p>
    <w:p w:rsidR="00763321" w:rsidRDefault="004D0B4C">
      <w:pPr>
        <w:ind w:left="851" w:right="902"/>
        <w:jc w:val="both"/>
        <w:rPr>
          <w:rFonts w:ascii="Palatino Linotype" w:hAnsi="Palatino Linotype" w:cs="Arial"/>
          <w:i/>
          <w:sz w:val="22"/>
          <w:szCs w:val="22"/>
        </w:rPr>
      </w:pPr>
      <w:r>
        <w:rPr>
          <w:rFonts w:ascii="Palatino Linotype" w:hAnsi="Palatino Linotype" w:cs="Arial"/>
          <w:i/>
          <w:sz w:val="22"/>
          <w:szCs w:val="22"/>
        </w:rPr>
        <w:t xml:space="preserve">V. Entregar, en su caso, a los particulares la información solicitada; </w:t>
      </w:r>
    </w:p>
    <w:p w:rsidR="00763321" w:rsidRDefault="004D0B4C">
      <w:pPr>
        <w:ind w:left="851" w:right="902"/>
        <w:jc w:val="both"/>
        <w:rPr>
          <w:rFonts w:ascii="Palatino Linotype" w:hAnsi="Palatino Linotype" w:cs="Arial"/>
          <w:i/>
          <w:sz w:val="22"/>
          <w:szCs w:val="22"/>
        </w:rPr>
      </w:pPr>
      <w:r>
        <w:rPr>
          <w:rFonts w:ascii="Palatino Linotype" w:hAnsi="Palatino Linotype" w:cs="Arial"/>
          <w:i/>
          <w:sz w:val="22"/>
          <w:szCs w:val="22"/>
        </w:rPr>
        <w:t xml:space="preserve">VI. Efectuar las notificaciones a los solicitantes; </w:t>
      </w:r>
    </w:p>
    <w:p w:rsidR="00763321" w:rsidRDefault="004D0B4C">
      <w:pPr>
        <w:ind w:left="851" w:right="902"/>
        <w:jc w:val="both"/>
        <w:rPr>
          <w:rFonts w:ascii="Palatino Linotype" w:hAnsi="Palatino Linotype" w:cs="Arial"/>
          <w:i/>
          <w:sz w:val="22"/>
          <w:szCs w:val="22"/>
        </w:rPr>
      </w:pPr>
      <w:r>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763321" w:rsidRDefault="004D0B4C">
      <w:pPr>
        <w:ind w:left="851" w:right="902"/>
        <w:jc w:val="both"/>
        <w:rPr>
          <w:rFonts w:ascii="Palatino Linotype" w:hAnsi="Palatino Linotype" w:cs="Arial"/>
          <w:i/>
          <w:sz w:val="22"/>
          <w:szCs w:val="22"/>
        </w:rPr>
      </w:pPr>
      <w:r>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763321" w:rsidRDefault="004D0B4C">
      <w:pPr>
        <w:ind w:left="851" w:right="902"/>
        <w:jc w:val="both"/>
        <w:rPr>
          <w:rFonts w:ascii="Palatino Linotype" w:hAnsi="Palatino Linotype" w:cs="Arial"/>
          <w:i/>
          <w:sz w:val="22"/>
          <w:szCs w:val="22"/>
        </w:rPr>
      </w:pPr>
      <w:r>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763321" w:rsidRDefault="004D0B4C">
      <w:pPr>
        <w:ind w:left="851" w:right="902"/>
        <w:jc w:val="both"/>
        <w:rPr>
          <w:rFonts w:ascii="Palatino Linotype" w:hAnsi="Palatino Linotype" w:cs="Arial"/>
          <w:i/>
          <w:sz w:val="22"/>
          <w:szCs w:val="22"/>
        </w:rPr>
      </w:pPr>
      <w:r>
        <w:rPr>
          <w:rFonts w:ascii="Palatino Linotype" w:hAnsi="Palatino Linotype" w:cs="Arial"/>
          <w:i/>
          <w:sz w:val="22"/>
          <w:szCs w:val="22"/>
        </w:rPr>
        <w:t xml:space="preserve">X. Presentar ante el Comité, el proyecto de clasificación de información; </w:t>
      </w:r>
    </w:p>
    <w:p w:rsidR="00763321" w:rsidRDefault="004D0B4C">
      <w:pPr>
        <w:ind w:left="851" w:right="902"/>
        <w:jc w:val="both"/>
        <w:rPr>
          <w:rFonts w:ascii="Palatino Linotype" w:hAnsi="Palatino Linotype" w:cs="Arial"/>
          <w:i/>
          <w:sz w:val="22"/>
          <w:szCs w:val="22"/>
        </w:rPr>
      </w:pPr>
      <w:r>
        <w:rPr>
          <w:rFonts w:ascii="Palatino Linotype" w:hAnsi="Palatino Linotype" w:cs="Arial"/>
          <w:i/>
          <w:sz w:val="22"/>
          <w:szCs w:val="22"/>
        </w:rPr>
        <w:t xml:space="preserve">XI. Promover e implementar políticas de transparencia proactiva procurando su accesibilidad; </w:t>
      </w:r>
    </w:p>
    <w:p w:rsidR="00763321" w:rsidRDefault="004D0B4C">
      <w:pPr>
        <w:ind w:left="851" w:right="902"/>
        <w:jc w:val="both"/>
        <w:rPr>
          <w:rFonts w:ascii="Palatino Linotype" w:hAnsi="Palatino Linotype" w:cs="Arial"/>
          <w:i/>
          <w:sz w:val="22"/>
          <w:szCs w:val="22"/>
        </w:rPr>
      </w:pPr>
      <w:r>
        <w:rPr>
          <w:rFonts w:ascii="Palatino Linotype" w:hAnsi="Palatino Linotype" w:cs="Arial"/>
          <w:i/>
          <w:sz w:val="22"/>
          <w:szCs w:val="22"/>
        </w:rPr>
        <w:t xml:space="preserve">XII. Fomentar la transparencia y accesibilidad al interior del sujeto obligado; </w:t>
      </w:r>
    </w:p>
    <w:p w:rsidR="00763321" w:rsidRDefault="004D0B4C">
      <w:pPr>
        <w:ind w:left="851" w:right="902"/>
        <w:jc w:val="both"/>
        <w:rPr>
          <w:rFonts w:ascii="Palatino Linotype" w:hAnsi="Palatino Linotype" w:cs="Arial"/>
          <w:i/>
          <w:sz w:val="22"/>
          <w:szCs w:val="22"/>
        </w:rPr>
      </w:pPr>
      <w:r>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763321" w:rsidRDefault="004D0B4C">
      <w:pPr>
        <w:ind w:left="851" w:right="902"/>
        <w:jc w:val="both"/>
        <w:rPr>
          <w:rFonts w:ascii="Palatino Linotype" w:hAnsi="Palatino Linotype" w:cs="Arial"/>
          <w:b/>
          <w:i/>
          <w:sz w:val="22"/>
          <w:szCs w:val="22"/>
        </w:rPr>
      </w:pPr>
      <w:r>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Pr>
          <w:rFonts w:ascii="Palatino Linotype" w:hAnsi="Palatino Linotype" w:cs="Arial"/>
          <w:b/>
          <w:i/>
          <w:sz w:val="22"/>
          <w:szCs w:val="22"/>
        </w:rPr>
        <w:t>”</w:t>
      </w:r>
    </w:p>
    <w:p w:rsidR="00763321" w:rsidRDefault="004D0B4C">
      <w:pPr>
        <w:ind w:left="851" w:right="902"/>
        <w:jc w:val="both"/>
        <w:rPr>
          <w:rFonts w:ascii="Palatino Linotype" w:hAnsi="Palatino Linotype" w:cs="Arial"/>
          <w:i/>
          <w:sz w:val="22"/>
          <w:szCs w:val="22"/>
        </w:rPr>
      </w:pPr>
      <w:r>
        <w:rPr>
          <w:rFonts w:ascii="Palatino Linotype" w:hAnsi="Palatino Linotype" w:cs="Arial"/>
          <w:i/>
          <w:sz w:val="22"/>
          <w:szCs w:val="22"/>
        </w:rPr>
        <w:t>(Énfasis añadido)</w:t>
      </w:r>
    </w:p>
    <w:p w:rsidR="00763321" w:rsidRDefault="004D0B4C">
      <w:pPr>
        <w:spacing w:beforeAutospacing="1" w:afterAutospacing="1" w:line="360" w:lineRule="auto"/>
        <w:jc w:val="both"/>
        <w:rPr>
          <w:rFonts w:ascii="Palatino Linotype" w:hAnsi="Palatino Linotype" w:cs="Arial"/>
        </w:rPr>
      </w:pPr>
      <w:r>
        <w:rPr>
          <w:rFonts w:ascii="Palatino Linotype" w:hAnsi="Palatino Linotype" w:cs="Arial"/>
        </w:rPr>
        <w:t xml:space="preserve">Es decir, la impugnación de </w:t>
      </w:r>
      <w:r>
        <w:rPr>
          <w:rFonts w:ascii="Palatino Linotype" w:hAnsi="Palatino Linotype" w:cs="Arial"/>
          <w:b/>
        </w:rPr>
        <w:t>LA RECURRENTE</w:t>
      </w:r>
      <w:r>
        <w:rPr>
          <w:rFonts w:ascii="Palatino Linotype" w:hAnsi="Palatino Linotype" w:cs="Arial"/>
        </w:rPr>
        <w:t xml:space="preserve"> debe ser sobre la emisión de un “Acto” contenido en la misma Ley </w:t>
      </w:r>
      <w:r>
        <w:rPr>
          <w:rFonts w:ascii="Palatino Linotype" w:hAnsi="Palatino Linotype" w:cs="Arial"/>
          <w:b/>
        </w:rPr>
        <w:t>o la omisión en la emisión de ésta</w:t>
      </w:r>
      <w:r>
        <w:rPr>
          <w:rFonts w:ascii="Palatino Linotype" w:hAnsi="Palatino Linotype" w:cs="Arial"/>
        </w:rPr>
        <w:t xml:space="preserve">, lo que en el presente caso se actualiza con la falta de respuesta de parte del </w:t>
      </w:r>
      <w:r>
        <w:rPr>
          <w:rFonts w:ascii="Palatino Linotype" w:hAnsi="Palatino Linotype" w:cs="Arial"/>
          <w:b/>
        </w:rPr>
        <w:t>SUJETO OBLIGADO</w:t>
      </w:r>
      <w:r>
        <w:rPr>
          <w:rFonts w:ascii="Palatino Linotype" w:hAnsi="Palatino Linotype" w:cs="Arial"/>
        </w:rPr>
        <w:t>.</w:t>
      </w:r>
    </w:p>
    <w:p w:rsidR="00763321" w:rsidRDefault="004D0B4C">
      <w:pPr>
        <w:spacing w:beforeAutospacing="1" w:afterAutospacing="1" w:line="360" w:lineRule="auto"/>
        <w:jc w:val="both"/>
        <w:rPr>
          <w:rFonts w:ascii="Palatino Linotype" w:hAnsi="Palatino Linotype" w:cs="Arial"/>
          <w:b/>
        </w:rPr>
      </w:pPr>
      <w:r>
        <w:rPr>
          <w:rFonts w:ascii="Palatino Linotype" w:hAnsi="Palatino Linotype" w:cs="Arial"/>
        </w:rPr>
        <w:t xml:space="preserve">Ahora bien, por cuanto hace al tercer elemento normativo, es en esencia una </w:t>
      </w:r>
      <w:r>
        <w:rPr>
          <w:rFonts w:ascii="Palatino Linotype" w:hAnsi="Palatino Linotype" w:cs="Arial"/>
          <w:b/>
        </w:rPr>
        <w:t>condicional,</w:t>
      </w:r>
      <w:r>
        <w:rPr>
          <w:rFonts w:ascii="Palatino Linotype" w:hAnsi="Palatino Linotype" w:cs="Arial"/>
        </w:rPr>
        <w:t xml:space="preserve"> consistente </w:t>
      </w:r>
      <w:r>
        <w:rPr>
          <w:rFonts w:ascii="Palatino Linotype" w:hAnsi="Palatino Linotype" w:cs="Arial"/>
          <w:b/>
        </w:rPr>
        <w:t>en que la dependencia o entidad responsable del acto o resolución impugnada</w:t>
      </w:r>
      <w:r>
        <w:rPr>
          <w:rFonts w:ascii="Palatino Linotype" w:hAnsi="Palatino Linotype" w:cs="Arial"/>
        </w:rPr>
        <w:t xml:space="preserve"> </w:t>
      </w:r>
      <w:r>
        <w:rPr>
          <w:rFonts w:ascii="Palatino Linotype" w:hAnsi="Palatino Linotype" w:cs="Arial"/>
          <w:b/>
        </w:rPr>
        <w:t>la modifique o revoque</w:t>
      </w:r>
      <w:r>
        <w:rPr>
          <w:rFonts w:ascii="Palatino Linotype" w:hAnsi="Palatino Linotype" w:cs="Arial"/>
        </w:rPr>
        <w:t xml:space="preserve">; en cuanto hace a la </w:t>
      </w:r>
      <w:r>
        <w:rPr>
          <w:rFonts w:ascii="Palatino Linotype" w:hAnsi="Palatino Linotype" w:cs="Arial"/>
          <w:b/>
        </w:rPr>
        <w:t>modificación, ocurre cuando quien emitió su respuesta</w:t>
      </w:r>
      <w:r>
        <w:rPr>
          <w:rFonts w:ascii="Palatino Linotype" w:hAnsi="Palatino Linotype" w:cs="Arial"/>
        </w:rPr>
        <w:t xml:space="preserve"> (acto o resolución), </w:t>
      </w:r>
      <w:r>
        <w:rPr>
          <w:rFonts w:ascii="Palatino Linotype" w:hAnsi="Palatino Linotype" w:cs="Arial"/>
          <w:b/>
        </w:rPr>
        <w:t>con posterioridad cambia o entrega la información que refirió en un principio</w:t>
      </w:r>
      <w:r>
        <w:rPr>
          <w:rFonts w:ascii="Palatino Linotype" w:hAnsi="Palatino Linotype" w:cs="Arial"/>
        </w:rPr>
        <w:t xml:space="preserve">, cuyos resultados no dejan sin efectos la respuesta dada, sino que </w:t>
      </w:r>
      <w:r>
        <w:rPr>
          <w:rFonts w:ascii="Palatino Linotype" w:hAnsi="Palatino Linotype" w:cs="Arial"/>
          <w:b/>
        </w:rPr>
        <w:t>tiene por objeto añadir, suprimir, o sustituir datos, lo cual puede ser de forma parcial.</w:t>
      </w:r>
    </w:p>
    <w:p w:rsidR="00763321" w:rsidRDefault="004D0B4C">
      <w:pPr>
        <w:spacing w:beforeAutospacing="1" w:afterAutospacing="1" w:line="360" w:lineRule="auto"/>
        <w:jc w:val="both"/>
        <w:rPr>
          <w:rFonts w:ascii="Palatino Linotype" w:hAnsi="Palatino Linotype" w:cs="Arial"/>
        </w:rPr>
      </w:pPr>
      <w:r>
        <w:rPr>
          <w:rFonts w:ascii="Palatino Linotype" w:hAnsi="Palatino Linotype" w:cs="Arial"/>
        </w:rPr>
        <w:t xml:space="preserve">Por cuanto hace a </w:t>
      </w:r>
      <w:r>
        <w:rPr>
          <w:rFonts w:ascii="Palatino Linotype" w:hAnsi="Palatino Linotype" w:cs="Arial"/>
          <w:b/>
        </w:rPr>
        <w:t>la revocación</w:t>
      </w:r>
      <w:r>
        <w:rPr>
          <w:rFonts w:ascii="Palatino Linotype" w:hAnsi="Palatino Linotype" w:cs="Arial"/>
        </w:rPr>
        <w:t xml:space="preserve">, a diferencia de la modificación, </w:t>
      </w:r>
      <w:r>
        <w:rPr>
          <w:rFonts w:ascii="Palatino Linotype" w:hAnsi="Palatino Linotype" w:cs="Arial"/>
          <w:b/>
        </w:rPr>
        <w:t xml:space="preserve">ocurre cuando la dependencia o entidad responsable </w:t>
      </w:r>
      <w:r>
        <w:rPr>
          <w:rFonts w:ascii="Palatino Linotype" w:hAnsi="Palatino Linotype" w:cs="Arial"/>
        </w:rPr>
        <w:t>(</w:t>
      </w:r>
      <w:r>
        <w:rPr>
          <w:rFonts w:ascii="Palatino Linotype" w:hAnsi="Palatino Linotype" w:cs="Arial"/>
          <w:b/>
        </w:rPr>
        <w:t>SUJETO OBLIGADO</w:t>
      </w:r>
      <w:r>
        <w:rPr>
          <w:rFonts w:ascii="Palatino Linotype" w:hAnsi="Palatino Linotype" w:cs="Arial"/>
        </w:rPr>
        <w:t>) del acto o resolución impugnada, suprime, elimina o cancela la totalidad de su respuesta y emite otra en su lugar dejando sin efecto lo que en un principio respondió.</w:t>
      </w:r>
    </w:p>
    <w:p w:rsidR="00763321" w:rsidRDefault="004D0B4C">
      <w:pPr>
        <w:spacing w:beforeAutospacing="1" w:afterAutospacing="1" w:line="360" w:lineRule="auto"/>
        <w:jc w:val="both"/>
        <w:rPr>
          <w:rFonts w:ascii="Palatino Linotype" w:hAnsi="Palatino Linotype" w:cs="Arial"/>
        </w:rPr>
      </w:pPr>
      <w:r>
        <w:rPr>
          <w:rFonts w:ascii="Palatino Linotype" w:hAnsi="Palatino Linotype" w:cs="Arial"/>
        </w:rPr>
        <w:t>En ese tenor, un acto impugnado queda sin efectos, aun cuando existiendo jurídicamente (esto es, que no se ha modificado, ni revocado) no genera ninguna consecuencia legal.</w:t>
      </w:r>
    </w:p>
    <w:p w:rsidR="00763321" w:rsidRDefault="004D0B4C">
      <w:pPr>
        <w:spacing w:beforeAutospacing="1" w:afterAutospacing="1" w:line="360" w:lineRule="auto"/>
        <w:jc w:val="both"/>
        <w:rPr>
          <w:rFonts w:ascii="Palatino Linotype" w:hAnsi="Palatino Linotype" w:cs="Arial"/>
        </w:rPr>
      </w:pPr>
      <w:r>
        <w:rPr>
          <w:rFonts w:ascii="Palatino Linotype" w:hAnsi="Palatino Linotype" w:cs="Arial"/>
        </w:rPr>
        <w:t xml:space="preserve">En tanto que, </w:t>
      </w:r>
      <w:r>
        <w:rPr>
          <w:rFonts w:ascii="Palatino Linotype" w:hAnsi="Palatino Linotype" w:cs="Arial"/>
          <w:b/>
        </w:rPr>
        <w:t>un acto impugnado queda sin materia, cuando ha sido satisfecha la pretensión de lo pedido o exigido por LA RECURRENTE de manera que EL SUJETO OBLIGADO entrega una respuesta que, aunque sea posterior a los términos previstos en la Ley, y mediante ésta concede la información solicitada</w:t>
      </w:r>
      <w:r>
        <w:rPr>
          <w:rFonts w:ascii="Palatino Linotype" w:hAnsi="Palatino Linotype" w:cs="Arial"/>
        </w:rPr>
        <w:t xml:space="preserve">. </w:t>
      </w:r>
    </w:p>
    <w:p w:rsidR="00763321" w:rsidRDefault="004D0B4C">
      <w:pPr>
        <w:spacing w:beforeAutospacing="1" w:afterAutospacing="1" w:line="360" w:lineRule="auto"/>
        <w:jc w:val="both"/>
        <w:rPr>
          <w:rFonts w:ascii="Palatino Linotype" w:hAnsi="Palatino Linotype" w:cs="Arial"/>
        </w:rPr>
      </w:pPr>
      <w:r>
        <w:rPr>
          <w:rFonts w:ascii="Palatino Linotype" w:hAnsi="Palatino Linotype" w:cs="Arial"/>
        </w:rPr>
        <w:t xml:space="preserve">Bajo esas consideraciones, se afirma que en el recurso de revisión sujeto a estudio, se actualiza la hipótesis jurídica citada en primer término; toda vez, que quedó probado que </w:t>
      </w:r>
      <w:r>
        <w:rPr>
          <w:rFonts w:ascii="Palatino Linotype" w:hAnsi="Palatino Linotype" w:cs="Arial"/>
          <w:b/>
        </w:rPr>
        <w:t>EL SUJETO OBLIGADO</w:t>
      </w:r>
      <w:r>
        <w:rPr>
          <w:rFonts w:ascii="Palatino Linotype" w:hAnsi="Palatino Linotype" w:cs="Arial"/>
        </w:rPr>
        <w:t xml:space="preserve"> mediante un acto posterior a su respuesta, como lo fue el Informe Justificado, remitió la información que colma el derecho de acceso de la particular, con la cual dejó sin materia el presente recurso.</w:t>
      </w:r>
    </w:p>
    <w:p w:rsidR="00763321" w:rsidRDefault="004D0B4C">
      <w:pPr>
        <w:spacing w:beforeAutospacing="1" w:afterAutospacing="1" w:line="360" w:lineRule="auto"/>
        <w:jc w:val="both"/>
        <w:rPr>
          <w:rFonts w:ascii="Palatino Linotype" w:hAnsi="Palatino Linotype" w:cs="Arial"/>
        </w:rPr>
      </w:pPr>
      <w:r>
        <w:rPr>
          <w:rFonts w:ascii="Palatino Linotype" w:hAnsi="Palatino Linotype" w:cs="Arial"/>
        </w:rPr>
        <w:t xml:space="preserve">A fin de corroborar lo anterior, es preciso recordar que </w:t>
      </w:r>
      <w:r>
        <w:rPr>
          <w:rFonts w:ascii="Palatino Linotype" w:hAnsi="Palatino Linotype" w:cs="Arial"/>
          <w:b/>
        </w:rPr>
        <w:t xml:space="preserve">LA RECURRENTE </w:t>
      </w:r>
      <w:r>
        <w:rPr>
          <w:rFonts w:ascii="Palatino Linotype" w:hAnsi="Palatino Linotype" w:cs="Arial"/>
        </w:rPr>
        <w:t xml:space="preserve">requirió del </w:t>
      </w:r>
      <w:r>
        <w:rPr>
          <w:rFonts w:ascii="Palatino Linotype" w:hAnsi="Palatino Linotype" w:cs="Arial"/>
          <w:b/>
        </w:rPr>
        <w:t xml:space="preserve">SUJETO OBLIGADO </w:t>
      </w:r>
      <w:r>
        <w:rPr>
          <w:rFonts w:ascii="Palatino Linotype" w:hAnsi="Palatino Linotype" w:cs="Arial"/>
        </w:rPr>
        <w:t>le proporcionará las remuneraciones de cada uno de los Regidores que componen dicho Ayuntamiento.</w:t>
      </w:r>
    </w:p>
    <w:p w:rsidR="00763321" w:rsidRDefault="004D0B4C">
      <w:pPr>
        <w:spacing w:beforeAutospacing="1" w:afterAutospacing="1" w:line="360" w:lineRule="auto"/>
        <w:jc w:val="both"/>
        <w:rPr>
          <w:rFonts w:ascii="Palatino Linotype" w:hAnsi="Palatino Linotype" w:cs="Arial"/>
        </w:rPr>
      </w:pPr>
      <w:r>
        <w:rPr>
          <w:rFonts w:ascii="Palatino Linotype" w:hAnsi="Palatino Linotype" w:cs="Arial"/>
        </w:rPr>
        <w:t xml:space="preserve">Bajo ese tenor, es necesario precisar que si bien </w:t>
      </w:r>
      <w:r>
        <w:rPr>
          <w:rFonts w:ascii="Palatino Linotype" w:hAnsi="Palatino Linotype" w:cs="Arial"/>
          <w:b/>
        </w:rPr>
        <w:t xml:space="preserve">EL SUJETO OBLIGADO </w:t>
      </w:r>
      <w:r>
        <w:rPr>
          <w:rFonts w:ascii="Palatino Linotype" w:hAnsi="Palatino Linotype" w:cs="Arial"/>
        </w:rPr>
        <w:t>fue omiso en dar respuesta a la solicitud de información, el Titular de la Unidad de Transparencia tuvo a bien turnar mediante requerimientos al Servidor Público Habilitado Competente a fin de que éste atendiera la solicitud de información, tal y como fue señalado en el Resultando II de la presente resolución.</w:t>
      </w:r>
    </w:p>
    <w:p w:rsidR="00763321" w:rsidRDefault="004D0B4C">
      <w:pPr>
        <w:spacing w:beforeAutospacing="1" w:afterAutospacing="1" w:line="360" w:lineRule="auto"/>
        <w:jc w:val="both"/>
        <w:rPr>
          <w:rFonts w:ascii="Palatino Linotype" w:hAnsi="Palatino Linotype" w:cs="Arial"/>
        </w:rPr>
      </w:pPr>
      <w:r>
        <w:rPr>
          <w:rFonts w:ascii="Palatino Linotype" w:hAnsi="Palatino Linotype" w:cs="Arial"/>
        </w:rPr>
        <w:t xml:space="preserve">Inconforme con la falta de respuesta </w:t>
      </w:r>
      <w:r>
        <w:rPr>
          <w:rFonts w:ascii="Palatino Linotype" w:hAnsi="Palatino Linotype" w:cs="Arial"/>
          <w:b/>
        </w:rPr>
        <w:t xml:space="preserve">LA RECURRENTE </w:t>
      </w:r>
      <w:r>
        <w:rPr>
          <w:rFonts w:ascii="Palatino Linotype" w:hAnsi="Palatino Linotype" w:cs="Arial"/>
        </w:rPr>
        <w:t>interpuso el recurso de revisión de mérito.</w:t>
      </w:r>
    </w:p>
    <w:p w:rsidR="00763321" w:rsidRDefault="004D0B4C">
      <w:pPr>
        <w:spacing w:beforeAutospacing="1" w:afterAutospacing="1" w:line="360" w:lineRule="auto"/>
        <w:jc w:val="both"/>
        <w:rPr>
          <w:rFonts w:ascii="Palatino Linotype" w:hAnsi="Palatino Linotype" w:cs="Arial"/>
        </w:rPr>
      </w:pPr>
      <w:r>
        <w:rPr>
          <w:rFonts w:ascii="Palatino Linotype" w:hAnsi="Palatino Linotype" w:cs="Arial"/>
        </w:rPr>
        <w:t xml:space="preserve">Posteriormente, </w:t>
      </w:r>
      <w:r>
        <w:rPr>
          <w:rFonts w:ascii="Palatino Linotype" w:hAnsi="Palatino Linotype" w:cs="Arial"/>
          <w:b/>
        </w:rPr>
        <w:t xml:space="preserve">EL SUJETO OBLIGADO </w:t>
      </w:r>
      <w:r>
        <w:rPr>
          <w:rFonts w:ascii="Palatino Linotype" w:hAnsi="Palatino Linotype" w:cs="Arial"/>
        </w:rPr>
        <w:t>mediante Informe Justificado hizo entrega de la respuesta proporcionada por la Subdirección de Recursos Humanos, en la que señalo que el formato “Reporte de Remuneraciones mensuales al personal de mandos medios superiores” es un documento que está regulado por el Órgano Superior de Fiscalización del Estado de México en los “Lineamientos para la entrega del Informe Mensual Municipal”, por lo que se trata de un documento oficial, aunado a que en dicho documento existen datos que por su naturaleza deben ser tratados como información confidencial; por lo que, solicitó al Comité de Transparencia la versión pública de dicho documento; adjuntando a ello, el archivo electrónico “</w:t>
      </w:r>
      <w:r>
        <w:rPr>
          <w:rFonts w:ascii="Palatino Linotype" w:hAnsi="Palatino Linotype" w:cs="Arial"/>
          <w:i/>
        </w:rPr>
        <w:t>ACTA No. IXTA-CTMI-EXT-028-2020, DE LA VIGÉSIMO OCTAVA SESIÓN EXTRAORDINARIA DEL COMITÉ.pdf“,</w:t>
      </w:r>
      <w:r>
        <w:rPr>
          <w:rFonts w:ascii="Palatino Linotype" w:hAnsi="Palatino Linotype" w:cs="Arial"/>
        </w:rPr>
        <w:t xml:space="preserve">el cual contiene el Acta número IXTA/CTMI/EXT-028/2020 de la vigésimo octava sesión extraordinaria del Comité de Transparencia del Municipio de Ixtapaluca, de fecha veinticuatro de  febrero de dos mil veinte, misma en la que se aprobó la clasificación como información confidencial de los datos relativos a las deducciones extraordinarias contenidas en el Reporte de Remuneraciones Mensuales al Personal de Mandos Medios y Superiores del Municipio de Ixtapaluca correspondientes al mes de enero de dos mil veinte; tal y como puede observarse de las imágenes insertas a continuación: </w:t>
      </w:r>
    </w:p>
    <w:p w:rsidR="00763321" w:rsidRDefault="00CE4AB7">
      <w:pPr>
        <w:pStyle w:val="Prrafodelista"/>
        <w:widowControl w:val="0"/>
        <w:tabs>
          <w:tab w:val="left" w:pos="1701"/>
          <w:tab w:val="left" w:pos="1843"/>
        </w:tabs>
        <w:spacing w:beforeAutospacing="1" w:afterAutospacing="1" w:line="360" w:lineRule="auto"/>
        <w:ind w:left="0"/>
        <w:contextualSpacing/>
        <w:jc w:val="both"/>
        <w:rPr>
          <w:rFonts w:ascii="Palatino Linotype" w:eastAsia="Calibri" w:hAnsi="Palatino Linotype" w:cs="Arial"/>
        </w:rPr>
      </w:pPr>
      <w:r>
        <w:rPr>
          <w:noProof/>
          <w:lang w:eastAsia="es-MX"/>
        </w:rPr>
        <mc:AlternateContent>
          <mc:Choice Requires="wps">
            <w:drawing>
              <wp:anchor distT="0" distB="0" distL="0" distR="0" simplePos="0" relativeHeight="62" behindDoc="0" locked="0" layoutInCell="1" allowOverlap="1">
                <wp:simplePos x="0" y="0"/>
                <wp:positionH relativeFrom="column">
                  <wp:posOffset>358140</wp:posOffset>
                </wp:positionH>
                <wp:positionV relativeFrom="paragraph">
                  <wp:posOffset>1840865</wp:posOffset>
                </wp:positionV>
                <wp:extent cx="5086985" cy="1391285"/>
                <wp:effectExtent l="0" t="0" r="19050" b="19050"/>
                <wp:wrapNone/>
                <wp:docPr id="4" name="Rectángulo 16"/>
                <wp:cNvGraphicFramePr/>
                <a:graphic xmlns:a="http://schemas.openxmlformats.org/drawingml/2006/main">
                  <a:graphicData uri="http://schemas.microsoft.com/office/word/2010/wordprocessingShape">
                    <wps:wsp>
                      <wps:cNvSpPr/>
                      <wps:spPr>
                        <a:xfrm>
                          <a:off x="0" y="0"/>
                          <a:ext cx="5086985" cy="1391285"/>
                        </a:xfrm>
                        <a:prstGeom prst="rect">
                          <a:avLst/>
                        </a:prstGeom>
                        <a:noFill/>
                        <a:ln w="1908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2AF2B941" id="Rectángulo 16" o:spid="_x0000_s1026" style="position:absolute;margin-left:28.2pt;margin-top:144.95pt;width:400.55pt;height:109.55pt;z-index:6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" filled="f" strokecolor="red" strokeweight=".53mm"/>
            </w:pict>
          </mc:Fallback>
        </mc:AlternateContent>
      </w:r>
      <w:r w:rsidR="004D0B4C">
        <w:rPr>
          <w:noProof/>
          <w:lang w:eastAsia="es-MX"/>
        </w:rPr>
        <w:drawing>
          <wp:inline distT="0" distB="0" distL="0" distR="0">
            <wp:extent cx="5743575" cy="52006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9"/>
                    <a:stretch>
                      <a:fillRect/>
                    </a:stretch>
                  </pic:blipFill>
                  <pic:spPr bwMode="auto">
                    <a:xfrm>
                      <a:off x="0" y="0"/>
                      <a:ext cx="5743575" cy="5200650"/>
                    </a:xfrm>
                    <a:prstGeom prst="rect">
                      <a:avLst/>
                    </a:prstGeom>
                  </pic:spPr>
                </pic:pic>
              </a:graphicData>
            </a:graphic>
          </wp:inline>
        </w:drawing>
      </w:r>
    </w:p>
    <w:p w:rsidR="00763321" w:rsidRDefault="004D0B4C">
      <w:pPr>
        <w:pStyle w:val="Prrafodelista"/>
        <w:widowControl w:val="0"/>
        <w:tabs>
          <w:tab w:val="left" w:pos="1701"/>
          <w:tab w:val="left" w:pos="1843"/>
        </w:tabs>
        <w:spacing w:beforeAutospacing="1" w:afterAutospacing="1" w:line="360" w:lineRule="auto"/>
        <w:ind w:left="0"/>
        <w:contextualSpacing/>
        <w:jc w:val="both"/>
        <w:rPr>
          <w:rFonts w:ascii="Palatino Linotype" w:eastAsia="Calibri" w:hAnsi="Palatino Linotype" w:cs="Arial"/>
        </w:rPr>
      </w:pPr>
      <w:r>
        <w:rPr>
          <w:noProof/>
          <w:lang w:eastAsia="es-MX"/>
        </w:rPr>
        <w:drawing>
          <wp:inline distT="0" distB="0" distL="0" distR="0">
            <wp:extent cx="5772150" cy="6991350"/>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0"/>
                    <a:stretch>
                      <a:fillRect/>
                    </a:stretch>
                  </pic:blipFill>
                  <pic:spPr bwMode="auto">
                    <a:xfrm>
                      <a:off x="0" y="0"/>
                      <a:ext cx="5772150" cy="6991350"/>
                    </a:xfrm>
                    <a:prstGeom prst="rect">
                      <a:avLst/>
                    </a:prstGeom>
                  </pic:spPr>
                </pic:pic>
              </a:graphicData>
            </a:graphic>
          </wp:inline>
        </w:drawing>
      </w:r>
    </w:p>
    <w:p w:rsidR="00763321" w:rsidRDefault="004D0B4C">
      <w:pPr>
        <w:pStyle w:val="Prrafodelista"/>
        <w:widowControl w:val="0"/>
        <w:tabs>
          <w:tab w:val="left" w:pos="1701"/>
          <w:tab w:val="left" w:pos="1843"/>
        </w:tabs>
        <w:spacing w:beforeAutospacing="1" w:afterAutospacing="1" w:line="360" w:lineRule="auto"/>
        <w:ind w:left="0"/>
        <w:contextualSpacing/>
        <w:jc w:val="both"/>
        <w:rPr>
          <w:rFonts w:ascii="Palatino Linotype" w:eastAsia="Calibri" w:hAnsi="Palatino Linotype" w:cs="Arial"/>
        </w:rPr>
      </w:pPr>
      <w:r>
        <w:rPr>
          <w:noProof/>
          <w:lang w:eastAsia="es-MX"/>
        </w:rPr>
        <w:drawing>
          <wp:inline distT="0" distB="0" distL="0" distR="0">
            <wp:extent cx="5791835" cy="3105150"/>
            <wp:effectExtent l="0" t="0" r="0" b="0"/>
            <wp:docPr id="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pic:cNvPicPr>
                      <a:picLocks noChangeAspect="1" noChangeArrowheads="1"/>
                    </pic:cNvPicPr>
                  </pic:nvPicPr>
                  <pic:blipFill>
                    <a:blip r:embed="rId11"/>
                    <a:stretch>
                      <a:fillRect/>
                    </a:stretch>
                  </pic:blipFill>
                  <pic:spPr bwMode="auto">
                    <a:xfrm>
                      <a:off x="0" y="0"/>
                      <a:ext cx="5791835" cy="3105150"/>
                    </a:xfrm>
                    <a:prstGeom prst="rect">
                      <a:avLst/>
                    </a:prstGeom>
                  </pic:spPr>
                </pic:pic>
              </a:graphicData>
            </a:graphic>
          </wp:inline>
        </w:drawing>
      </w:r>
      <w:r>
        <w:rPr>
          <w:noProof/>
          <w:lang w:eastAsia="es-MX"/>
        </w:rPr>
        <mc:AlternateContent>
          <mc:Choice Requires="wps">
            <w:drawing>
              <wp:anchor distT="0" distB="0" distL="0" distR="0" simplePos="0" relativeHeight="63" behindDoc="0" locked="0" layoutInCell="1" allowOverlap="1">
                <wp:simplePos x="0" y="0"/>
                <wp:positionH relativeFrom="column">
                  <wp:posOffset>1120140</wp:posOffset>
                </wp:positionH>
                <wp:positionV relativeFrom="paragraph">
                  <wp:posOffset>802640</wp:posOffset>
                </wp:positionV>
                <wp:extent cx="4591685" cy="410210"/>
                <wp:effectExtent l="0" t="0" r="19050" b="28575"/>
                <wp:wrapNone/>
                <wp:docPr id="7" name="Rectángulo 17"/>
                <wp:cNvGraphicFramePr/>
                <a:graphic xmlns:a="http://schemas.openxmlformats.org/drawingml/2006/main">
                  <a:graphicData uri="http://schemas.microsoft.com/office/word/2010/wordprocessingShape">
                    <wps:wsp>
                      <wps:cNvSpPr/>
                      <wps:spPr>
                        <a:xfrm>
                          <a:off x="0" y="0"/>
                          <a:ext cx="4591080" cy="409680"/>
                        </a:xfrm>
                        <a:prstGeom prst="rect">
                          <a:avLst/>
                        </a:prstGeom>
                        <a:noFill/>
                        <a:ln w="1908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7" stroked="t" style="position:absolute;margin-left:88.2pt;margin-top:63.2pt;width:361.45pt;height:32.2pt">
                <w10:wrap type="none"/>
                <v:fill o:detectmouseclick="t" on="false"/>
                <v:stroke color="red" weight="19080" joinstyle="miter" endcap="flat"/>
              </v:rect>
            </w:pict>
          </mc:Fallback>
        </mc:AlternateContent>
      </w:r>
      <w:r>
        <w:rPr>
          <w:noProof/>
          <w:lang w:eastAsia="es-MX"/>
        </w:rPr>
        <mc:AlternateContent>
          <mc:Choice Requires="wps">
            <w:drawing>
              <wp:anchor distT="0" distB="0" distL="0" distR="0" simplePos="0" relativeHeight="64" behindDoc="0" locked="0" layoutInCell="1" allowOverlap="1">
                <wp:simplePos x="0" y="0"/>
                <wp:positionH relativeFrom="column">
                  <wp:posOffset>53340</wp:posOffset>
                </wp:positionH>
                <wp:positionV relativeFrom="paragraph">
                  <wp:posOffset>1278890</wp:posOffset>
                </wp:positionV>
                <wp:extent cx="1819910" cy="1619885"/>
                <wp:effectExtent l="0" t="0" r="28575" b="19050"/>
                <wp:wrapNone/>
                <wp:docPr id="8" name="Rectángulo 18"/>
                <wp:cNvGraphicFramePr/>
                <a:graphic xmlns:a="http://schemas.openxmlformats.org/drawingml/2006/main">
                  <a:graphicData uri="http://schemas.microsoft.com/office/word/2010/wordprocessingShape">
                    <wps:wsp>
                      <wps:cNvSpPr/>
                      <wps:spPr>
                        <a:xfrm>
                          <a:off x="0" y="0"/>
                          <a:ext cx="1819440" cy="1619280"/>
                        </a:xfrm>
                        <a:prstGeom prst="rect">
                          <a:avLst/>
                        </a:prstGeom>
                        <a:noFill/>
                        <a:ln w="1908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8" stroked="t" style="position:absolute;margin-left:4.2pt;margin-top:100.7pt;width:143.2pt;height:127.45pt">
                <w10:wrap type="none"/>
                <v:fill o:detectmouseclick="t" on="false"/>
                <v:stroke color="red" weight="19080" joinstyle="miter" endcap="flat"/>
              </v:rect>
            </w:pict>
          </mc:Fallback>
        </mc:AlternateContent>
      </w:r>
    </w:p>
    <w:p w:rsidR="00763321" w:rsidRDefault="00CE4AB7">
      <w:pPr>
        <w:pStyle w:val="Prrafodelista"/>
        <w:widowControl w:val="0"/>
        <w:tabs>
          <w:tab w:val="left" w:pos="1701"/>
          <w:tab w:val="left" w:pos="1843"/>
        </w:tabs>
        <w:spacing w:beforeAutospacing="1" w:afterAutospacing="1" w:line="360" w:lineRule="auto"/>
        <w:ind w:left="0"/>
        <w:contextualSpacing/>
        <w:jc w:val="both"/>
        <w:rPr>
          <w:rFonts w:ascii="Palatino Linotype" w:eastAsia="Calibri" w:hAnsi="Palatino Linotype" w:cs="Arial"/>
        </w:rPr>
      </w:pPr>
      <w:r>
        <w:rPr>
          <w:rFonts w:ascii="Palatino Linotype" w:eastAsia="Calibri" w:hAnsi="Palatino Linotype" w:cs="Arial"/>
          <w:noProof/>
          <w:lang w:eastAsia="es-MX"/>
        </w:rPr>
        <mc:AlternateContent>
          <mc:Choice Requires="wps">
            <w:drawing>
              <wp:anchor distT="0" distB="0" distL="0" distR="0" simplePos="0" relativeHeight="65" behindDoc="0" locked="0" layoutInCell="1" allowOverlap="1">
                <wp:simplePos x="0" y="0"/>
                <wp:positionH relativeFrom="column">
                  <wp:posOffset>139065</wp:posOffset>
                </wp:positionH>
                <wp:positionV relativeFrom="paragraph">
                  <wp:posOffset>153670</wp:posOffset>
                </wp:positionV>
                <wp:extent cx="5610860" cy="3829685"/>
                <wp:effectExtent l="0" t="0" r="28575" b="19050"/>
                <wp:wrapNone/>
                <wp:docPr id="10" name="Conector recto 19"/>
                <wp:cNvGraphicFramePr/>
                <a:graphic xmlns:a="http://schemas.openxmlformats.org/drawingml/2006/main">
                  <a:graphicData uri="http://schemas.microsoft.com/office/word/2010/wordprocessingShape">
                    <wps:wsp>
                      <wps:cNvCnPr/>
                      <wps:spPr>
                        <a:xfrm>
                          <a:off x="0" y="0"/>
                          <a:ext cx="5610860" cy="3829685"/>
                        </a:xfrm>
                        <a:prstGeom prst="line">
                          <a:avLst/>
                        </a:prstGeom>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4F8C9E1A" id="Conector recto 19" o:spid="_x0000_s1026" style="position:absolute;z-index:65;visibility:visible;mso-wrap-style:square;mso-wrap-distance-left:0;mso-wrap-distance-top:0;mso-wrap-distance-right:0;mso-wrap-distance-bottom:0;mso-position-horizontal:absolute;mso-position-horizontal-relative:text;mso-position-vertical:absolute;mso-position-vertical-relative:text" from="10.95pt,12.1pt" to="452.75pt,3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" strokecolor="#4579b8 [3044]"/>
            </w:pict>
          </mc:Fallback>
        </mc:AlternateContent>
      </w:r>
    </w:p>
    <w:p w:rsidR="00763321" w:rsidRDefault="004D0B4C">
      <w:pPr>
        <w:pStyle w:val="Prrafodelista"/>
        <w:widowControl w:val="0"/>
        <w:tabs>
          <w:tab w:val="left" w:pos="1701"/>
          <w:tab w:val="left" w:pos="1843"/>
        </w:tabs>
        <w:spacing w:beforeAutospacing="1" w:afterAutospacing="1" w:line="360" w:lineRule="auto"/>
        <w:ind w:left="0"/>
        <w:contextualSpacing/>
        <w:jc w:val="both"/>
        <w:rPr>
          <w:rFonts w:ascii="Palatino Linotype" w:eastAsia="Calibri" w:hAnsi="Palatino Linotype" w:cs="Arial"/>
        </w:rPr>
      </w:pPr>
      <w:r>
        <w:rPr>
          <w:noProof/>
          <w:lang w:eastAsia="es-MX"/>
        </w:rPr>
        <w:drawing>
          <wp:inline distT="0" distB="0" distL="0" distR="0">
            <wp:extent cx="5772150" cy="7096125"/>
            <wp:effectExtent l="0" t="0" r="0" b="0"/>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noChangeArrowheads="1"/>
                    </pic:cNvPicPr>
                  </pic:nvPicPr>
                  <pic:blipFill>
                    <a:blip r:embed="rId12"/>
                    <a:stretch>
                      <a:fillRect/>
                    </a:stretch>
                  </pic:blipFill>
                  <pic:spPr bwMode="auto">
                    <a:xfrm>
                      <a:off x="0" y="0"/>
                      <a:ext cx="5772150" cy="7096125"/>
                    </a:xfrm>
                    <a:prstGeom prst="rect">
                      <a:avLst/>
                    </a:prstGeom>
                  </pic:spPr>
                </pic:pic>
              </a:graphicData>
            </a:graphic>
          </wp:inline>
        </w:drawing>
      </w:r>
      <w:r>
        <w:rPr>
          <w:noProof/>
          <w:lang w:eastAsia="es-MX"/>
        </w:rPr>
        <mc:AlternateContent>
          <mc:Choice Requires="wps">
            <w:drawing>
              <wp:anchor distT="0" distB="0" distL="0" distR="0" simplePos="0" relativeHeight="66" behindDoc="0" locked="0" layoutInCell="1" allowOverlap="1">
                <wp:simplePos x="0" y="0"/>
                <wp:positionH relativeFrom="column">
                  <wp:posOffset>605790</wp:posOffset>
                </wp:positionH>
                <wp:positionV relativeFrom="paragraph">
                  <wp:posOffset>707390</wp:posOffset>
                </wp:positionV>
                <wp:extent cx="4496435" cy="753110"/>
                <wp:effectExtent l="0" t="0" r="19050" b="28575"/>
                <wp:wrapNone/>
                <wp:docPr id="11" name="Rectángulo 20"/>
                <wp:cNvGraphicFramePr/>
                <a:graphic xmlns:a="http://schemas.openxmlformats.org/drawingml/2006/main">
                  <a:graphicData uri="http://schemas.microsoft.com/office/word/2010/wordprocessingShape">
                    <wps:wsp>
                      <wps:cNvSpPr/>
                      <wps:spPr>
                        <a:xfrm>
                          <a:off x="0" y="0"/>
                          <a:ext cx="4495680" cy="752400"/>
                        </a:xfrm>
                        <a:prstGeom prst="rect">
                          <a:avLst/>
                        </a:prstGeom>
                        <a:noFill/>
                        <a:ln w="1908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20" stroked="t" style="position:absolute;margin-left:47.7pt;margin-top:55.7pt;width:353.95pt;height:59.2pt">
                <w10:wrap type="none"/>
                <v:fill o:detectmouseclick="t" on="false"/>
                <v:stroke color="red" weight="19080" joinstyle="miter" endcap="flat"/>
              </v:rect>
            </w:pict>
          </mc:Fallback>
        </mc:AlternateContent>
      </w:r>
      <w:r>
        <w:rPr>
          <w:noProof/>
          <w:lang w:eastAsia="es-MX"/>
        </w:rPr>
        <mc:AlternateContent>
          <mc:Choice Requires="wps">
            <w:drawing>
              <wp:anchor distT="0" distB="0" distL="0" distR="0" simplePos="0" relativeHeight="67" behindDoc="0" locked="0" layoutInCell="1" allowOverlap="1">
                <wp:simplePos x="0" y="0"/>
                <wp:positionH relativeFrom="column">
                  <wp:posOffset>815340</wp:posOffset>
                </wp:positionH>
                <wp:positionV relativeFrom="paragraph">
                  <wp:posOffset>3926840</wp:posOffset>
                </wp:positionV>
                <wp:extent cx="4315460" cy="676910"/>
                <wp:effectExtent l="0" t="0" r="28575" b="28575"/>
                <wp:wrapNone/>
                <wp:docPr id="12" name="Rectángulo 21"/>
                <wp:cNvGraphicFramePr/>
                <a:graphic xmlns:a="http://schemas.openxmlformats.org/drawingml/2006/main">
                  <a:graphicData uri="http://schemas.microsoft.com/office/word/2010/wordprocessingShape">
                    <wps:wsp>
                      <wps:cNvSpPr/>
                      <wps:spPr>
                        <a:xfrm>
                          <a:off x="0" y="0"/>
                          <a:ext cx="4314960" cy="676440"/>
                        </a:xfrm>
                        <a:prstGeom prst="rect">
                          <a:avLst/>
                        </a:prstGeom>
                        <a:noFill/>
                        <a:ln w="1908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21" stroked="t" style="position:absolute;margin-left:64.2pt;margin-top:309.2pt;width:339.7pt;height:53.2pt">
                <w10:wrap type="none"/>
                <v:fill o:detectmouseclick="t" on="false"/>
                <v:stroke color="red" weight="19080" joinstyle="miter" endcap="flat"/>
              </v:rect>
            </w:pict>
          </mc:Fallback>
        </mc:AlternateContent>
      </w:r>
    </w:p>
    <w:p w:rsidR="00763321" w:rsidRDefault="004D0B4C">
      <w:pPr>
        <w:pStyle w:val="Prrafodelista"/>
        <w:widowControl w:val="0"/>
        <w:tabs>
          <w:tab w:val="left" w:pos="1701"/>
          <w:tab w:val="left" w:pos="1843"/>
        </w:tabs>
        <w:spacing w:beforeAutospacing="1" w:afterAutospacing="1" w:line="360" w:lineRule="auto"/>
        <w:ind w:left="0"/>
        <w:contextualSpacing/>
        <w:jc w:val="both"/>
        <w:rPr>
          <w:rFonts w:ascii="Palatino Linotype" w:eastAsia="Calibri" w:hAnsi="Palatino Linotype" w:cs="Arial"/>
        </w:rPr>
      </w:pPr>
      <w:r>
        <w:rPr>
          <w:noProof/>
          <w:lang w:eastAsia="es-MX"/>
        </w:rPr>
        <w:drawing>
          <wp:inline distT="0" distB="0" distL="0" distR="0">
            <wp:extent cx="5743575" cy="5191125"/>
            <wp:effectExtent l="0" t="0" r="0"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noChangeArrowheads="1"/>
                    </pic:cNvPicPr>
                  </pic:nvPicPr>
                  <pic:blipFill>
                    <a:blip r:embed="rId13"/>
                    <a:stretch>
                      <a:fillRect/>
                    </a:stretch>
                  </pic:blipFill>
                  <pic:spPr bwMode="auto">
                    <a:xfrm>
                      <a:off x="0" y="0"/>
                      <a:ext cx="5743575" cy="5191125"/>
                    </a:xfrm>
                    <a:prstGeom prst="rect">
                      <a:avLst/>
                    </a:prstGeom>
                  </pic:spPr>
                </pic:pic>
              </a:graphicData>
            </a:graphic>
          </wp:inline>
        </w:drawing>
      </w:r>
    </w:p>
    <w:p w:rsidR="00763321" w:rsidRDefault="004D0B4C">
      <w:pPr>
        <w:pStyle w:val="Prrafodelista"/>
        <w:widowControl w:val="0"/>
        <w:tabs>
          <w:tab w:val="left" w:pos="1701"/>
          <w:tab w:val="left" w:pos="1843"/>
        </w:tabs>
        <w:spacing w:beforeAutospacing="1" w:afterAutospacing="1" w:line="360" w:lineRule="auto"/>
        <w:ind w:left="0"/>
        <w:contextualSpacing/>
        <w:jc w:val="center"/>
        <w:rPr>
          <w:rFonts w:ascii="Palatino Linotype" w:eastAsia="Calibri" w:hAnsi="Palatino Linotype" w:cs="Arial"/>
        </w:rPr>
      </w:pPr>
      <w:r>
        <w:rPr>
          <w:rFonts w:ascii="Palatino Linotype" w:eastAsia="Calibri" w:hAnsi="Palatino Linotype" w:cs="Arial"/>
        </w:rPr>
        <w:t>…</w:t>
      </w:r>
    </w:p>
    <w:p w:rsidR="00763321" w:rsidRDefault="004D0B4C">
      <w:pPr>
        <w:pStyle w:val="Prrafodelista"/>
        <w:widowControl w:val="0"/>
        <w:tabs>
          <w:tab w:val="left" w:pos="1701"/>
          <w:tab w:val="left" w:pos="1843"/>
        </w:tabs>
        <w:spacing w:beforeAutospacing="1" w:afterAutospacing="1" w:line="360" w:lineRule="auto"/>
        <w:ind w:left="0"/>
        <w:contextualSpacing/>
        <w:jc w:val="both"/>
        <w:rPr>
          <w:rFonts w:ascii="Palatino Linotype" w:eastAsia="Calibri" w:hAnsi="Palatino Linotype" w:cs="Arial"/>
        </w:rPr>
      </w:pPr>
      <w:r>
        <w:rPr>
          <w:noProof/>
          <w:lang w:eastAsia="es-MX"/>
        </w:rPr>
        <w:drawing>
          <wp:inline distT="0" distB="0" distL="0" distR="0">
            <wp:extent cx="5772150" cy="1552575"/>
            <wp:effectExtent l="0" t="0" r="0" b="0"/>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noChangeArrowheads="1"/>
                    </pic:cNvPicPr>
                  </pic:nvPicPr>
                  <pic:blipFill>
                    <a:blip r:embed="rId14"/>
                    <a:stretch>
                      <a:fillRect/>
                    </a:stretch>
                  </pic:blipFill>
                  <pic:spPr bwMode="auto">
                    <a:xfrm>
                      <a:off x="0" y="0"/>
                      <a:ext cx="5772150" cy="1552575"/>
                    </a:xfrm>
                    <a:prstGeom prst="rect">
                      <a:avLst/>
                    </a:prstGeom>
                  </pic:spPr>
                </pic:pic>
              </a:graphicData>
            </a:graphic>
          </wp:inline>
        </w:drawing>
      </w:r>
    </w:p>
    <w:p w:rsidR="00763321" w:rsidRDefault="004D0B4C">
      <w:pPr>
        <w:pStyle w:val="Prrafodelista"/>
        <w:widowControl w:val="0"/>
        <w:tabs>
          <w:tab w:val="left" w:pos="1701"/>
          <w:tab w:val="left" w:pos="1843"/>
        </w:tabs>
        <w:spacing w:beforeAutospacing="1" w:afterAutospacing="1" w:line="360" w:lineRule="auto"/>
        <w:ind w:left="0"/>
        <w:contextualSpacing/>
        <w:jc w:val="both"/>
        <w:rPr>
          <w:rFonts w:ascii="Palatino Linotype" w:eastAsia="Calibri" w:hAnsi="Palatino Linotype" w:cs="Arial"/>
        </w:rPr>
      </w:pPr>
      <w:r>
        <w:rPr>
          <w:noProof/>
          <w:lang w:eastAsia="es-MX"/>
        </w:rPr>
        <w:drawing>
          <wp:inline distT="0" distB="0" distL="0" distR="0">
            <wp:extent cx="5791200" cy="6276975"/>
            <wp:effectExtent l="0" t="0" r="0" b="0"/>
            <wp:docPr id="1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5"/>
                    <pic:cNvPicPr>
                      <a:picLocks noChangeAspect="1" noChangeArrowheads="1"/>
                    </pic:cNvPicPr>
                  </pic:nvPicPr>
                  <pic:blipFill>
                    <a:blip r:embed="rId15"/>
                    <a:stretch>
                      <a:fillRect/>
                    </a:stretch>
                  </pic:blipFill>
                  <pic:spPr bwMode="auto">
                    <a:xfrm>
                      <a:off x="0" y="0"/>
                      <a:ext cx="5791200" cy="6276975"/>
                    </a:xfrm>
                    <a:prstGeom prst="rect">
                      <a:avLst/>
                    </a:prstGeom>
                  </pic:spPr>
                </pic:pic>
              </a:graphicData>
            </a:graphic>
          </wp:inline>
        </w:drawing>
      </w:r>
      <w:r>
        <w:rPr>
          <w:noProof/>
          <w:lang w:eastAsia="es-MX"/>
        </w:rPr>
        <mc:AlternateContent>
          <mc:Choice Requires="wps">
            <w:drawing>
              <wp:anchor distT="0" distB="0" distL="0" distR="0" simplePos="0" relativeHeight="68" behindDoc="0" locked="0" layoutInCell="1" allowOverlap="1">
                <wp:simplePos x="0" y="0"/>
                <wp:positionH relativeFrom="column">
                  <wp:posOffset>529590</wp:posOffset>
                </wp:positionH>
                <wp:positionV relativeFrom="paragraph">
                  <wp:posOffset>859790</wp:posOffset>
                </wp:positionV>
                <wp:extent cx="4696460" cy="2029460"/>
                <wp:effectExtent l="0" t="0" r="28575" b="28575"/>
                <wp:wrapNone/>
                <wp:docPr id="16" name="Rectángulo 22"/>
                <wp:cNvGraphicFramePr/>
                <a:graphic xmlns:a="http://schemas.openxmlformats.org/drawingml/2006/main">
                  <a:graphicData uri="http://schemas.microsoft.com/office/word/2010/wordprocessingShape">
                    <wps:wsp>
                      <wps:cNvSpPr/>
                      <wps:spPr>
                        <a:xfrm>
                          <a:off x="0" y="0"/>
                          <a:ext cx="4695840" cy="2028960"/>
                        </a:xfrm>
                        <a:prstGeom prst="rect">
                          <a:avLst/>
                        </a:prstGeom>
                        <a:noFill/>
                        <a:ln w="1908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22" stroked="t" style="position:absolute;margin-left:41.7pt;margin-top:67.7pt;width:369.7pt;height:159.7pt">
                <w10:wrap type="none"/>
                <v:fill o:detectmouseclick="t" on="false"/>
                <v:stroke color="red" weight="19080" joinstyle="miter" endcap="flat"/>
              </v:rect>
            </w:pict>
          </mc:Fallback>
        </mc:AlternateContent>
      </w:r>
    </w:p>
    <w:p w:rsidR="00763321" w:rsidRDefault="004D0B4C">
      <w:pPr>
        <w:pStyle w:val="Prrafodelista"/>
        <w:widowControl w:val="0"/>
        <w:tabs>
          <w:tab w:val="left" w:pos="1701"/>
          <w:tab w:val="left" w:pos="1843"/>
        </w:tabs>
        <w:spacing w:beforeAutospacing="1" w:afterAutospacing="1" w:line="360" w:lineRule="auto"/>
        <w:ind w:left="0"/>
        <w:contextualSpacing/>
        <w:jc w:val="both"/>
        <w:rPr>
          <w:rFonts w:ascii="Palatino Linotype" w:hAnsi="Palatino Linotype"/>
          <w:color w:val="222222"/>
        </w:rPr>
      </w:pPr>
      <w:r>
        <w:rPr>
          <w:rFonts w:ascii="Palatino Linotype" w:eastAsia="Calibri" w:hAnsi="Palatino Linotype" w:cs="Arial"/>
        </w:rPr>
        <w:t xml:space="preserve">Bajo ese tenor, es necesario precisar que, al haber realizado </w:t>
      </w:r>
      <w:r>
        <w:rPr>
          <w:rFonts w:ascii="Palatino Linotype" w:eastAsia="Calibri" w:hAnsi="Palatino Linotype" w:cs="Arial"/>
          <w:b/>
        </w:rPr>
        <w:t>EL SUJETO OBLIGADO</w:t>
      </w:r>
      <w:r>
        <w:rPr>
          <w:rFonts w:ascii="Palatino Linotype" w:eastAsia="Calibri" w:hAnsi="Palatino Linotype" w:cs="Arial"/>
        </w:rPr>
        <w:t xml:space="preserve"> un pronunciamiento, </w:t>
      </w:r>
      <w:r>
        <w:rPr>
          <w:rFonts w:ascii="Palatino Linotype" w:hAnsi="Palatino Linotype" w:cs="Arial"/>
        </w:rPr>
        <w:t xml:space="preserve">en Informe Justificado </w:t>
      </w:r>
      <w:r>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w:t>
      </w:r>
    </w:p>
    <w:p w:rsidR="00763321" w:rsidRDefault="004D0B4C">
      <w:pPr>
        <w:shd w:val="clear" w:color="auto" w:fill="FFFFFF"/>
        <w:spacing w:before="240" w:after="240" w:line="360" w:lineRule="auto"/>
        <w:jc w:val="both"/>
        <w:rPr>
          <w:rFonts w:ascii="Palatino Linotype" w:hAnsi="Palatino Linotype"/>
          <w:color w:val="222222"/>
        </w:rPr>
      </w:pPr>
      <w:r>
        <w:rPr>
          <w:rFonts w:ascii="Palatino Linotype" w:hAnsi="Palatino Linotype"/>
          <w:color w:val="222222"/>
        </w:rPr>
        <w:t>Sirve de apoyo a lo anterior, por analogía, el criterio 31-10 emitido por el entonces Instituto Federal de Acceso a la Información que a la letra dice:</w:t>
      </w:r>
    </w:p>
    <w:p w:rsidR="00763321" w:rsidRDefault="004D0B4C">
      <w:pPr>
        <w:shd w:val="clear" w:color="auto" w:fill="FFFFFF"/>
        <w:ind w:left="851" w:right="1276"/>
        <w:jc w:val="both"/>
        <w:rPr>
          <w:rFonts w:ascii="Palatino Linotype" w:hAnsi="Palatino Linotype"/>
          <w:i/>
          <w:iCs/>
          <w:color w:val="222222"/>
          <w:sz w:val="22"/>
          <w:szCs w:val="22"/>
        </w:rPr>
      </w:pPr>
      <w:r>
        <w:rPr>
          <w:rFonts w:ascii="Palatino Linotype" w:hAnsi="Palatino Linotype"/>
          <w:b/>
          <w:i/>
          <w:iCs/>
          <w:color w:val="222222"/>
          <w:sz w:val="22"/>
          <w:szCs w:val="22"/>
        </w:rPr>
        <w:t>“</w:t>
      </w:r>
      <w:r>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763321" w:rsidRDefault="004D0B4C">
      <w:pPr>
        <w:spacing w:beforeAutospacing="1" w:afterAutospacing="1" w:line="360" w:lineRule="auto"/>
        <w:jc w:val="both"/>
        <w:rPr>
          <w:rFonts w:ascii="Palatino Linotype" w:hAnsi="Palatino Linotype" w:cs="Arial"/>
          <w:i/>
        </w:rPr>
      </w:pPr>
      <w:r>
        <w:rPr>
          <w:rFonts w:ascii="Palatino Linotype" w:hAnsi="Palatino Linotype"/>
        </w:rPr>
        <w:t xml:space="preserve">Entonces, es importante señalar </w:t>
      </w:r>
      <w:r>
        <w:rPr>
          <w:rFonts w:ascii="Palatino Linotype" w:hAnsi="Palatino Linotype" w:cs="Arial"/>
        </w:rPr>
        <w:t>que, el artículo 4, párrafo segundo de la Ley de Transparencia y Acceso a la Información Pública del Estado de México y Municipios</w:t>
      </w:r>
      <w:r>
        <w:rPr>
          <w:rStyle w:val="FootnoteAnchor"/>
          <w:rFonts w:ascii="Palatino Linotype" w:hAnsi="Palatino Linotype" w:cs="Arial"/>
        </w:rPr>
        <w:footnoteReference w:id="1"/>
      </w:r>
      <w:r>
        <w:rPr>
          <w:rFonts w:ascii="Palatino Linotype" w:hAnsi="Palatino Linotype" w:cs="Arial"/>
        </w:rPr>
        <w:t>, dispone que la información generada, obtenida, adquirida, transmitida, administrada o en posesión de los Sujetos Obligados, será accesible de manera permanente a cualquier persona, privilegiando el principio de máxima publicidad de la información.</w:t>
      </w:r>
      <w:r>
        <w:rPr>
          <w:rFonts w:ascii="Palatino Linotype" w:hAnsi="Palatino Linotype" w:cs="Arial"/>
          <w:i/>
        </w:rPr>
        <w:t xml:space="preserve"> </w:t>
      </w:r>
    </w:p>
    <w:p w:rsidR="00763321" w:rsidRDefault="004D0B4C">
      <w:pPr>
        <w:spacing w:beforeAutospacing="1" w:afterAutospacing="1" w:line="360" w:lineRule="auto"/>
        <w:jc w:val="both"/>
        <w:rPr>
          <w:rFonts w:ascii="Palatino Linotype" w:hAnsi="Palatino Linotype" w:cs="Arial"/>
          <w:i/>
        </w:rPr>
      </w:pPr>
      <w:r>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Pr>
          <w:rFonts w:ascii="Palatino Linotype" w:hAnsi="Palatino Linotype" w:cs="Arial"/>
          <w:b/>
          <w:color w:val="000000"/>
        </w:rPr>
        <w:t xml:space="preserve"> </w:t>
      </w:r>
      <w:r>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Pr>
          <w:rFonts w:ascii="Palatino Linotype" w:hAnsi="Palatino Linotype" w:cs="Arial"/>
          <w:i/>
          <w:color w:val="000000"/>
        </w:rPr>
        <w:t>ad hoc</w:t>
      </w:r>
      <w:r>
        <w:rPr>
          <w:rFonts w:ascii="Palatino Linotype" w:hAnsi="Palatino Linotype" w:cs="Arial"/>
          <w:color w:val="000000"/>
        </w:rPr>
        <w:t>, para satisfacer el derecho de acceso a la información pública.</w:t>
      </w:r>
    </w:p>
    <w:p w:rsidR="00763321" w:rsidRDefault="004D0B4C">
      <w:pPr>
        <w:spacing w:before="240" w:after="240" w:line="360" w:lineRule="auto"/>
        <w:jc w:val="both"/>
        <w:rPr>
          <w:rFonts w:ascii="Palatino Linotype" w:hAnsi="Palatino Linotype"/>
          <w:b/>
          <w:bCs/>
          <w:color w:val="000000"/>
        </w:rPr>
      </w:pPr>
      <w:r>
        <w:rPr>
          <w:rFonts w:ascii="Palatino Linotype" w:hAnsi="Palatino Linotype" w:cs="Arial"/>
          <w:color w:val="000000"/>
        </w:rPr>
        <w:t xml:space="preserve">Como apoyo a lo anterior, es aplicable el Criterio 03-17, emitido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763321" w:rsidRDefault="004D0B4C">
      <w:pPr>
        <w:ind w:left="851" w:right="902"/>
        <w:jc w:val="both"/>
        <w:rPr>
          <w:rFonts w:ascii="Palatino Linotype" w:hAnsi="Palatino Linotype" w:cs="Arial"/>
          <w:i/>
          <w:color w:val="000000"/>
          <w:sz w:val="22"/>
          <w:szCs w:val="22"/>
        </w:rPr>
      </w:pP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763321" w:rsidRDefault="004D0B4C">
      <w:pPr>
        <w:ind w:left="851" w:right="902"/>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763321" w:rsidRDefault="004D0B4C">
      <w:pPr>
        <w:ind w:left="851" w:right="902"/>
        <w:jc w:val="both"/>
        <w:rPr>
          <w:rFonts w:ascii="Palatino Linotype" w:hAnsi="Palatino Linotype" w:cs="Arial"/>
          <w:i/>
          <w:color w:val="000000"/>
          <w:sz w:val="22"/>
          <w:szCs w:val="22"/>
        </w:rPr>
      </w:pPr>
      <w:r>
        <w:rPr>
          <w:rFonts w:ascii="Symbol" w:eastAsia="Symbol" w:hAnsi="Symbol" w:cs="Symbol"/>
          <w:i/>
          <w:color w:val="000000"/>
          <w:sz w:val="22"/>
          <w:szCs w:val="22"/>
        </w:rPr>
        <w:t></w:t>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763321" w:rsidRDefault="004D0B4C">
      <w:pPr>
        <w:ind w:left="851" w:right="902"/>
        <w:jc w:val="both"/>
        <w:rPr>
          <w:rFonts w:ascii="Palatino Linotype" w:hAnsi="Palatino Linotype" w:cs="Arial"/>
          <w:i/>
          <w:color w:val="000000"/>
          <w:sz w:val="22"/>
          <w:szCs w:val="22"/>
        </w:rPr>
      </w:pPr>
      <w:r>
        <w:rPr>
          <w:rFonts w:ascii="Symbol" w:eastAsia="Symbol" w:hAnsi="Symbol" w:cs="Symbol"/>
          <w:i/>
          <w:color w:val="000000"/>
          <w:sz w:val="22"/>
          <w:szCs w:val="22"/>
        </w:rPr>
        <w:t></w:t>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763321" w:rsidRDefault="004D0B4C">
      <w:pPr>
        <w:ind w:left="851" w:right="902"/>
        <w:jc w:val="both"/>
        <w:rPr>
          <w:rFonts w:ascii="Palatino Linotype" w:hAnsi="Palatino Linotype" w:cs="Arial"/>
          <w:i/>
          <w:color w:val="000000"/>
          <w:sz w:val="22"/>
          <w:szCs w:val="22"/>
        </w:rPr>
      </w:pPr>
      <w:r>
        <w:rPr>
          <w:rFonts w:ascii="Symbol" w:eastAsia="Symbol" w:hAnsi="Symbol" w:cs="Symbol"/>
          <w:i/>
          <w:color w:val="000000"/>
          <w:sz w:val="22"/>
          <w:szCs w:val="22"/>
        </w:rPr>
        <w:t></w:t>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 (Sic)</w:t>
      </w:r>
    </w:p>
    <w:p w:rsidR="00763321" w:rsidRDefault="004D0B4C">
      <w:p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Asimismo, el artículo 24 de la Ley de la materia, dispone que los Sujetos Obligados </w:t>
      </w:r>
      <w:r>
        <w:rPr>
          <w:rFonts w:ascii="Palatino Linotype" w:hAnsi="Palatino Linotype" w:cs="Arial"/>
          <w:b/>
          <w:color w:val="000000" w:themeColor="text1"/>
        </w:rPr>
        <w:t xml:space="preserve">sólo proporcionarán la información pública que </w:t>
      </w:r>
      <w:r>
        <w:rPr>
          <w:rFonts w:ascii="Palatino Linotype" w:hAnsi="Palatino Linotype" w:cs="Arial"/>
          <w:b/>
        </w:rPr>
        <w:t>generen</w:t>
      </w:r>
      <w:r>
        <w:rPr>
          <w:rFonts w:ascii="Palatino Linotype" w:hAnsi="Palatino Linotype" w:cs="Arial"/>
          <w:b/>
          <w:color w:val="000000" w:themeColor="text1"/>
        </w:rPr>
        <w:t>, administren o posean en el ejercicio de sus atribuciones</w:t>
      </w:r>
      <w:r>
        <w:rPr>
          <w:rFonts w:ascii="Palatino Linotype" w:hAnsi="Palatino Linotype" w:cs="Arial"/>
          <w:color w:val="000000" w:themeColor="text1"/>
        </w:rPr>
        <w:t>; por consiguiente, la información pública se encuentra a disposición de cualquier persona, lo que implica que es deber de los Sujetos Obligados, garantizar el derecho de acceso a la información pública.</w:t>
      </w:r>
    </w:p>
    <w:p w:rsidR="00763321" w:rsidRDefault="004D0B4C">
      <w:p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Pr>
          <w:rFonts w:ascii="Palatino Linotype" w:hAnsi="Palatino Linotype" w:cs="Arial"/>
          <w:color w:val="000000" w:themeColor="text1"/>
        </w:rPr>
        <w:t xml:space="preserve">; los que, </w:t>
      </w:r>
      <w:r>
        <w:rPr>
          <w:rFonts w:ascii="Palatino Linotype" w:hAnsi="Palatino Linotype" w:cs="Arial"/>
        </w:rPr>
        <w:t>podrán estar en cualquier medio, sea escrito, impreso, sonoro, visual, electrónico, informático u holográfico</w:t>
      </w:r>
      <w:r>
        <w:rPr>
          <w:rFonts w:ascii="Palatino Linotype" w:hAnsi="Palatino Linotype" w:cs="Arial"/>
          <w:color w:val="000000" w:themeColor="text1"/>
        </w:rPr>
        <w:t xml:space="preserve">, de conformidad con el artículo 3, fracción XI de la Ley de la materia, el cual dispone lo siguiente: </w:t>
      </w:r>
    </w:p>
    <w:p w:rsidR="00763321" w:rsidRDefault="004D0B4C">
      <w:pPr>
        <w:ind w:left="851" w:right="902"/>
        <w:jc w:val="both"/>
        <w:rPr>
          <w:rFonts w:ascii="Palatino Linotype" w:hAnsi="Palatino Linotype" w:cs="Arial"/>
          <w:i/>
          <w:color w:val="000000"/>
          <w:sz w:val="22"/>
          <w:szCs w:val="22"/>
        </w:rPr>
      </w:pPr>
      <w:r>
        <w:rPr>
          <w:rFonts w:ascii="Palatino Linotype" w:hAnsi="Palatino Linotype" w:cs="Arial"/>
          <w:b/>
          <w:i/>
          <w:color w:val="000000"/>
          <w:sz w:val="22"/>
          <w:szCs w:val="22"/>
        </w:rPr>
        <w:t xml:space="preserve">“Artículo 3. </w:t>
      </w:r>
      <w:r>
        <w:rPr>
          <w:rFonts w:ascii="Palatino Linotype" w:hAnsi="Palatino Linotype" w:cs="Arial"/>
          <w:i/>
          <w:color w:val="000000"/>
          <w:sz w:val="22"/>
          <w:szCs w:val="22"/>
        </w:rPr>
        <w:t>Para los efectos de la presente Ley se entenderá por:</w:t>
      </w:r>
    </w:p>
    <w:p w:rsidR="00763321" w:rsidRDefault="004D0B4C">
      <w:pPr>
        <w:ind w:left="851" w:right="902"/>
        <w:jc w:val="both"/>
        <w:rPr>
          <w:rFonts w:ascii="Palatino Linotype" w:hAnsi="Palatino Linotype" w:cs="Arial"/>
          <w:i/>
          <w:color w:val="000000"/>
          <w:sz w:val="22"/>
          <w:szCs w:val="22"/>
        </w:rPr>
      </w:pPr>
      <w:r>
        <w:rPr>
          <w:rFonts w:ascii="Palatino Linotype" w:hAnsi="Palatino Linotype" w:cs="Arial"/>
          <w:i/>
          <w:color w:val="000000"/>
          <w:sz w:val="22"/>
          <w:szCs w:val="22"/>
        </w:rPr>
        <w:t>…</w:t>
      </w:r>
    </w:p>
    <w:p w:rsidR="00763321" w:rsidRDefault="004D0B4C">
      <w:pPr>
        <w:ind w:left="851" w:right="902"/>
        <w:jc w:val="both"/>
        <w:rPr>
          <w:rFonts w:ascii="Palatino Linotype" w:hAnsi="Palatino Linotype" w:cs="Arial"/>
          <w:i/>
          <w:color w:val="000000"/>
          <w:sz w:val="22"/>
          <w:szCs w:val="22"/>
        </w:rPr>
      </w:pPr>
      <w:r>
        <w:rPr>
          <w:rFonts w:ascii="Palatino Linotype" w:hAnsi="Palatino Linotype" w:cs="Arial"/>
          <w:b/>
          <w:i/>
          <w:color w:val="000000"/>
          <w:sz w:val="22"/>
          <w:szCs w:val="22"/>
        </w:rPr>
        <w:t>XI. Documento:</w:t>
      </w:r>
      <w:r>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63321" w:rsidRDefault="004D0B4C">
      <w:pPr>
        <w:ind w:left="851" w:right="902"/>
        <w:jc w:val="both"/>
        <w:rPr>
          <w:rFonts w:ascii="Palatino Linotype" w:hAnsi="Palatino Linotype" w:cs="Arial"/>
          <w:i/>
          <w:color w:val="000000"/>
          <w:sz w:val="22"/>
          <w:szCs w:val="22"/>
        </w:rPr>
      </w:pPr>
      <w:r>
        <w:rPr>
          <w:rFonts w:ascii="Palatino Linotype" w:hAnsi="Palatino Linotype" w:cs="Arial"/>
          <w:i/>
          <w:color w:val="000000"/>
          <w:sz w:val="22"/>
          <w:szCs w:val="22"/>
        </w:rPr>
        <w:t>…” (Sic)</w:t>
      </w:r>
    </w:p>
    <w:p w:rsidR="00763321" w:rsidRDefault="004D0B4C">
      <w:pPr>
        <w:spacing w:before="240" w:after="240" w:line="360" w:lineRule="auto"/>
        <w:jc w:val="both"/>
        <w:rPr>
          <w:rFonts w:ascii="Palatino Linotype" w:hAnsi="Palatino Linotype" w:cs="Arial"/>
        </w:rPr>
      </w:pPr>
      <w:r>
        <w:rPr>
          <w:rFonts w:ascii="Palatino Linotype" w:hAnsi="Palatino Linotype" w:cs="Arial"/>
        </w:rPr>
        <w:t xml:space="preserve">Siendo aplicable el Criterio </w:t>
      </w:r>
      <w:r>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dispone:</w:t>
      </w:r>
    </w:p>
    <w:p w:rsidR="00763321" w:rsidRDefault="004D0B4C">
      <w:pPr>
        <w:ind w:left="851" w:right="902"/>
        <w:jc w:val="center"/>
        <w:rPr>
          <w:rFonts w:ascii="Palatino Linotype" w:hAnsi="Palatino Linotype" w:cs="Arial"/>
          <w:b/>
          <w:i/>
          <w:sz w:val="22"/>
          <w:szCs w:val="22"/>
          <w:lang w:eastAsia="es-MX"/>
        </w:rPr>
      </w:pPr>
      <w:r>
        <w:rPr>
          <w:rFonts w:ascii="Palatino Linotype" w:hAnsi="Palatino Linotype" w:cs="Arial"/>
          <w:b/>
          <w:sz w:val="22"/>
          <w:szCs w:val="22"/>
          <w:lang w:eastAsia="es-MX"/>
        </w:rPr>
        <w:t>“</w:t>
      </w:r>
      <w:r>
        <w:rPr>
          <w:rFonts w:ascii="Palatino Linotype" w:hAnsi="Palatino Linotype" w:cs="Arial"/>
          <w:b/>
          <w:i/>
          <w:sz w:val="22"/>
          <w:szCs w:val="22"/>
          <w:lang w:eastAsia="es-MX"/>
        </w:rPr>
        <w:t>CRITERIO 0002-11</w:t>
      </w:r>
    </w:p>
    <w:p w:rsidR="00763321" w:rsidRDefault="004D0B4C">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INFORMACIÓN PÚBLICA, CONCEPTO DE, EN MATERIA DE TRANSPARENCIA. INTERPRETACIÓN SISTEMÁTICA DE LOS ARTÍCULOS 2°, FRACCIÓN </w:t>
      </w:r>
      <w:r>
        <w:rPr>
          <w:rFonts w:ascii="Palatino Linotype" w:hAnsi="Palatino Linotype" w:cs="Arial"/>
          <w:b/>
          <w:bCs/>
          <w:i/>
          <w:sz w:val="22"/>
          <w:szCs w:val="22"/>
          <w:lang w:eastAsia="es-MX"/>
        </w:rPr>
        <w:t xml:space="preserve">V, XV, Y XVI, </w:t>
      </w:r>
      <w:r>
        <w:rPr>
          <w:rFonts w:ascii="Palatino Linotype" w:hAnsi="Palatino Linotype" w:cs="Arial"/>
          <w:b/>
          <w:i/>
          <w:sz w:val="22"/>
          <w:szCs w:val="22"/>
          <w:lang w:eastAsia="es-MX"/>
        </w:rPr>
        <w:t>3°, 4°, 11 Y 41.</w:t>
      </w:r>
      <w:r>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63321" w:rsidRDefault="004D0B4C">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En consecuencia el acceso a la información se refiere a que se cumplan cualquiera de los siguientes tres supuestos:</w:t>
      </w:r>
    </w:p>
    <w:p w:rsidR="00763321" w:rsidRDefault="00763321">
      <w:pPr>
        <w:ind w:left="851" w:right="902"/>
        <w:jc w:val="both"/>
        <w:rPr>
          <w:rFonts w:ascii="Palatino Linotype" w:hAnsi="Palatino Linotype" w:cs="Arial"/>
          <w:b/>
          <w:i/>
          <w:sz w:val="22"/>
          <w:szCs w:val="22"/>
          <w:lang w:eastAsia="es-MX"/>
        </w:rPr>
      </w:pPr>
    </w:p>
    <w:p w:rsidR="00763321" w:rsidRDefault="004D0B4C">
      <w:pPr>
        <w:ind w:left="851" w:right="902"/>
        <w:jc w:val="both"/>
        <w:rPr>
          <w:rFonts w:ascii="Palatino Linotype" w:hAnsi="Palatino Linotype" w:cs="Arial"/>
          <w:b/>
          <w:i/>
          <w:sz w:val="22"/>
          <w:szCs w:val="22"/>
          <w:lang w:eastAsia="es-MX"/>
        </w:rPr>
      </w:pPr>
      <w:r>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763321" w:rsidRDefault="004D0B4C">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763321" w:rsidRDefault="004D0B4C">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r>
        <w:rPr>
          <w:rFonts w:ascii="Palatino Linotype" w:hAnsi="Palatino Linotype" w:cs="Arial"/>
          <w:b/>
          <w:i/>
          <w:sz w:val="22"/>
          <w:szCs w:val="22"/>
          <w:lang w:eastAsia="es-MX"/>
        </w:rPr>
        <w:t>”</w:t>
      </w:r>
      <w:r>
        <w:rPr>
          <w:rFonts w:ascii="Palatino Linotype" w:hAnsi="Palatino Linotype" w:cs="Arial"/>
          <w:i/>
          <w:sz w:val="22"/>
          <w:szCs w:val="22"/>
          <w:lang w:eastAsia="es-MX"/>
        </w:rPr>
        <w:t xml:space="preserve"> </w:t>
      </w:r>
    </w:p>
    <w:p w:rsidR="00763321" w:rsidRDefault="00763321">
      <w:pPr>
        <w:ind w:left="851" w:right="902"/>
        <w:jc w:val="both"/>
        <w:rPr>
          <w:rFonts w:ascii="Palatino Linotype" w:hAnsi="Palatino Linotype" w:cs="Arial"/>
          <w:i/>
          <w:sz w:val="22"/>
          <w:szCs w:val="22"/>
          <w:lang w:eastAsia="es-MX"/>
        </w:rPr>
      </w:pPr>
    </w:p>
    <w:p w:rsidR="00763321" w:rsidRDefault="004D0B4C">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(Énfasis Añadido)</w:t>
      </w:r>
    </w:p>
    <w:p w:rsidR="00763321" w:rsidRDefault="004D0B4C">
      <w:pPr>
        <w:spacing w:beforeAutospacing="1" w:afterAutospacing="1" w:line="360" w:lineRule="auto"/>
        <w:ind w:right="51"/>
        <w:jc w:val="both"/>
        <w:rPr>
          <w:rFonts w:ascii="Palatino Linotype" w:hAnsi="Palatino Linotype" w:cs="Arial"/>
        </w:rPr>
      </w:pPr>
      <w:r>
        <w:rPr>
          <w:rFonts w:ascii="Palatino Linotype" w:hAnsi="Palatino Linotype"/>
        </w:rPr>
        <w:t xml:space="preserve">En mérito de lo anteriormente expuesto, resulta evidente que </w:t>
      </w:r>
      <w:r>
        <w:rPr>
          <w:rFonts w:ascii="Palatino Linotype" w:hAnsi="Palatino Linotype" w:cs="Arial"/>
        </w:rPr>
        <w:t xml:space="preserve">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 pues se insiste, </w:t>
      </w:r>
      <w:r>
        <w:rPr>
          <w:rFonts w:ascii="Palatino Linotype" w:hAnsi="Palatino Linotype" w:cs="Arial"/>
          <w:b/>
        </w:rPr>
        <w:t xml:space="preserve">EL SUJETO OBLIGADO </w:t>
      </w:r>
      <w:r>
        <w:rPr>
          <w:rFonts w:ascii="Palatino Linotype" w:hAnsi="Palatino Linotype" w:cs="Arial"/>
        </w:rPr>
        <w:t xml:space="preserve">en Informe Justificado remitió el pronunciamiento que hiciera el servidor público habilitado del que se tiene certeza jurídica resultó competente para conocer del requerimiento que </w:t>
      </w:r>
      <w:r>
        <w:rPr>
          <w:rFonts w:ascii="Palatino Linotype" w:hAnsi="Palatino Linotype" w:cs="Arial"/>
          <w:b/>
        </w:rPr>
        <w:t xml:space="preserve">LA RECURRENTE </w:t>
      </w:r>
      <w:r>
        <w:rPr>
          <w:rFonts w:ascii="Palatino Linotype" w:hAnsi="Palatino Linotype" w:cs="Arial"/>
        </w:rPr>
        <w:t xml:space="preserve">planteó; dejando sin materia el presente medio de impugnación. </w:t>
      </w:r>
    </w:p>
    <w:p w:rsidR="00763321" w:rsidRDefault="004D0B4C">
      <w:pPr>
        <w:spacing w:beforeAutospacing="1" w:afterAutospacing="1" w:line="360" w:lineRule="auto"/>
        <w:jc w:val="both"/>
        <w:rPr>
          <w:rFonts w:ascii="Palatino Linotype" w:hAnsi="Palatino Linotype" w:cs="Arial"/>
        </w:rPr>
      </w:pPr>
      <w:r>
        <w:rPr>
          <w:rFonts w:ascii="Palatino Linotype" w:hAnsi="Palatino Linotype" w:cs="Arial"/>
          <w:color w:val="000000"/>
        </w:rPr>
        <w:t xml:space="preserve">Finalmente, es de señalar que en razón de que </w:t>
      </w:r>
      <w:r>
        <w:rPr>
          <w:rFonts w:ascii="Palatino Linotype" w:hAnsi="Palatino Linotype" w:cs="Arial"/>
          <w:b/>
          <w:color w:val="000000"/>
        </w:rPr>
        <w:t xml:space="preserve">EL SUJETO OBLIGADO </w:t>
      </w:r>
      <w:r>
        <w:rPr>
          <w:rFonts w:ascii="Palatino Linotype" w:hAnsi="Palatino Linotype" w:cs="Arial"/>
        </w:rPr>
        <w:t xml:space="preserve">fue omiso en entregar la respuesta a la solicitud de información pública y dado que el recurso de revisión materia del presente asunto, </w:t>
      </w:r>
      <w:r>
        <w:rPr>
          <w:rFonts w:ascii="Palatino Linotype" w:hAnsi="Palatino Linotype"/>
        </w:rPr>
        <w:t xml:space="preserve">no es el medio para investigar y en su caso, sancionar a servidores públicos </w:t>
      </w:r>
      <w:r>
        <w:rPr>
          <w:rFonts w:ascii="Palatino Linotype" w:hAnsi="Palatino Linotype"/>
          <w:b/>
        </w:rPr>
        <w:t xml:space="preserve">por la omisión de la entrega de información pública </w:t>
      </w:r>
      <w:r>
        <w:rPr>
          <w:rFonts w:ascii="Palatino Linotype" w:hAnsi="Palatino Linotype"/>
        </w:rPr>
        <w:t>en el lapso establecido, toda vez que el artículo 163 de la Ley de la materia, prevé el plazo de respuesta y atención a solicitudes de información en el plazo no mayor a 15 días; atento a ello, este Instituto en el ámbito de sus atribuciones, hará d</w:t>
      </w:r>
      <w:r>
        <w:rPr>
          <w:rFonts w:ascii="Palatino Linotype" w:hAnsi="Palatino Linotype" w:cs="Arial"/>
        </w:rPr>
        <w:t xml:space="preserve">el conocimiento al Contralor de este Instituto a fin de que en términos del ordinal 190 de la Ley de la materia determine lo conducente. </w:t>
      </w:r>
    </w:p>
    <w:p w:rsidR="00763321" w:rsidRDefault="004D0B4C">
      <w:pPr>
        <w:spacing w:beforeAutospacing="1" w:afterAutospacing="1" w:line="360" w:lineRule="auto"/>
        <w:jc w:val="both"/>
        <w:rPr>
          <w:rFonts w:ascii="Palatino Linotype" w:eastAsia="Calibri" w:hAnsi="Palatino Linotype" w:cs="Arial"/>
        </w:rPr>
      </w:pPr>
      <w:r>
        <w:rPr>
          <w:rFonts w:ascii="Palatino Linotype" w:eastAsia="Calibri" w:hAnsi="Palatino Linotype" w:cs="Arial"/>
        </w:rPr>
        <w:t>Así, con fundamento en lo prescrito en los artículos 5, párrafos vigésimo segundo, vigésimo tercero y vigésimo cuarto,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p>
    <w:p w:rsidR="00763321" w:rsidRPr="00CE4AB7" w:rsidRDefault="004D0B4C">
      <w:pPr>
        <w:jc w:val="center"/>
        <w:rPr>
          <w:rFonts w:ascii="Palatino Linotype" w:hAnsi="Palatino Linotype" w:cs="Arial"/>
          <w:b/>
          <w:spacing w:val="44"/>
          <w:sz w:val="28"/>
        </w:rPr>
      </w:pPr>
      <w:r w:rsidRPr="00CE4AB7">
        <w:rPr>
          <w:rFonts w:ascii="Palatino Linotype" w:hAnsi="Palatino Linotype" w:cs="Arial"/>
          <w:b/>
          <w:spacing w:val="44"/>
          <w:sz w:val="28"/>
        </w:rPr>
        <w:t>RESUELVE</w:t>
      </w:r>
    </w:p>
    <w:p w:rsidR="00763321" w:rsidRPr="00CE4AB7" w:rsidRDefault="00763321">
      <w:pPr>
        <w:jc w:val="center"/>
        <w:rPr>
          <w:rFonts w:ascii="Palatino Linotype" w:hAnsi="Palatino Linotype" w:cs="Arial"/>
          <w:b/>
          <w:spacing w:val="44"/>
          <w:sz w:val="28"/>
        </w:rPr>
      </w:pPr>
    </w:p>
    <w:p w:rsidR="00763321" w:rsidRDefault="004D0B4C">
      <w:pPr>
        <w:pStyle w:val="Prrafodelista"/>
        <w:spacing w:beforeAutospacing="1" w:afterAutospacing="1" w:line="360" w:lineRule="auto"/>
        <w:ind w:left="0"/>
        <w:contextualSpacing/>
        <w:jc w:val="both"/>
        <w:rPr>
          <w:rFonts w:ascii="Palatino Linotype" w:hAnsi="Palatino Linotype" w:cs="Arial"/>
          <w:lang w:val="es-ES"/>
        </w:rPr>
      </w:pPr>
      <w:r>
        <w:rPr>
          <w:rFonts w:ascii="Palatino Linotype" w:hAnsi="Palatino Linotype" w:cs="Arial"/>
          <w:b/>
          <w:sz w:val="28"/>
          <w:szCs w:val="28"/>
        </w:rPr>
        <w:t>PRIMERO.</w:t>
      </w:r>
      <w:r>
        <w:rPr>
          <w:rFonts w:ascii="Palatino Linotype" w:hAnsi="Palatino Linotype" w:cs="Arial"/>
          <w:b/>
          <w:szCs w:val="28"/>
        </w:rPr>
        <w:t xml:space="preserve"> </w:t>
      </w:r>
      <w:r>
        <w:rPr>
          <w:rFonts w:ascii="Palatino Linotype" w:hAnsi="Palatino Linotype" w:cs="Arial"/>
        </w:rPr>
        <w:t xml:space="preserve">Se </w:t>
      </w:r>
      <w:r>
        <w:rPr>
          <w:rFonts w:ascii="Palatino Linotype" w:hAnsi="Palatino Linotype" w:cs="Arial"/>
          <w:b/>
        </w:rPr>
        <w:t>SOBRESEE</w:t>
      </w:r>
      <w:r>
        <w:rPr>
          <w:rFonts w:ascii="Palatino Linotype" w:hAnsi="Palatino Linotype" w:cs="Arial"/>
        </w:rPr>
        <w:t xml:space="preserve"> el recurso de revisión número 01062/INFOEM/IP/RR/2020</w:t>
      </w:r>
      <w:r>
        <w:rPr>
          <w:rFonts w:ascii="Palatino Linotype" w:hAnsi="Palatino Linotype" w:cs="Arial"/>
          <w:b/>
        </w:rPr>
        <w:t>,</w:t>
      </w:r>
      <w:r>
        <w:rPr>
          <w:rFonts w:ascii="Palatino Linotype" w:hAnsi="Palatino Linotype" w:cs="Arial"/>
        </w:rPr>
        <w:t xml:space="preserve"> </w:t>
      </w:r>
      <w:r>
        <w:rPr>
          <w:rFonts w:ascii="Palatino Linotype" w:hAnsi="Palatino Linotype" w:cs="Arial"/>
          <w:lang w:val="es-ES"/>
        </w:rPr>
        <w:t xml:space="preserve">porque al </w:t>
      </w:r>
      <w:r>
        <w:rPr>
          <w:rFonts w:ascii="Palatino Linotype" w:hAnsi="Palatino Linotype" w:cs="Arial"/>
          <w:b/>
          <w:lang w:val="es-ES"/>
        </w:rPr>
        <w:t>revocar</w:t>
      </w:r>
      <w:r>
        <w:rPr>
          <w:rFonts w:ascii="Palatino Linotype" w:hAnsi="Palatino Linotype" w:cs="Arial"/>
          <w:lang w:val="es-ES"/>
        </w:rPr>
        <w:t xml:space="preserve"> </w:t>
      </w:r>
      <w:r>
        <w:rPr>
          <w:rFonts w:ascii="Palatino Linotype" w:hAnsi="Palatino Linotype" w:cs="Arial"/>
          <w:b/>
          <w:lang w:val="es-ES"/>
        </w:rPr>
        <w:t>la falta de respuesta, el recurso de revisión quedó sin materia</w:t>
      </w:r>
      <w:r>
        <w:rPr>
          <w:rFonts w:ascii="Palatino Linotype" w:hAnsi="Palatino Linotype" w:cs="Arial"/>
          <w:lang w:val="es-ES"/>
        </w:rPr>
        <w:t xml:space="preserve">, en términos del Considerando </w:t>
      </w:r>
      <w:r>
        <w:rPr>
          <w:rFonts w:ascii="Palatino Linotype" w:hAnsi="Palatino Linotype" w:cs="Arial"/>
          <w:b/>
          <w:lang w:val="es-ES"/>
        </w:rPr>
        <w:t>QUINTO</w:t>
      </w:r>
      <w:r>
        <w:rPr>
          <w:rFonts w:ascii="Palatino Linotype" w:hAnsi="Palatino Linotype" w:cs="Arial"/>
          <w:lang w:val="es-ES"/>
        </w:rPr>
        <w:t xml:space="preserve"> de la presente resolución.</w:t>
      </w:r>
    </w:p>
    <w:p w:rsidR="00763321" w:rsidRDefault="00763321">
      <w:pPr>
        <w:pStyle w:val="Prrafodelista"/>
        <w:spacing w:beforeAutospacing="1" w:afterAutospacing="1" w:line="360" w:lineRule="auto"/>
        <w:ind w:left="0"/>
        <w:contextualSpacing/>
        <w:jc w:val="both"/>
        <w:rPr>
          <w:rFonts w:ascii="Palatino Linotype" w:hAnsi="Palatino Linotype"/>
          <w:b/>
          <w:sz w:val="28"/>
          <w:szCs w:val="28"/>
        </w:rPr>
      </w:pPr>
    </w:p>
    <w:p w:rsidR="00763321" w:rsidRDefault="004D0B4C">
      <w:pPr>
        <w:pStyle w:val="Prrafodelista"/>
        <w:spacing w:beforeAutospacing="1" w:afterAutospacing="1" w:line="360" w:lineRule="auto"/>
        <w:ind w:left="0"/>
        <w:contextualSpacing/>
        <w:jc w:val="both"/>
        <w:rPr>
          <w:rFonts w:ascii="Palatino Linotype" w:hAnsi="Palatino Linotype"/>
        </w:rPr>
      </w:pPr>
      <w:r>
        <w:rPr>
          <w:rFonts w:ascii="Palatino Linotype" w:hAnsi="Palatino Linotype"/>
          <w:b/>
          <w:sz w:val="28"/>
          <w:szCs w:val="28"/>
        </w:rPr>
        <w:t>SEGUNDO</w:t>
      </w:r>
      <w:r>
        <w:rPr>
          <w:rFonts w:ascii="Palatino Linotype" w:hAnsi="Palatino Linotype"/>
          <w:b/>
        </w:rPr>
        <w:t>. Notifíquese</w:t>
      </w:r>
      <w:r>
        <w:rPr>
          <w:rFonts w:ascii="Palatino Linotype" w:hAnsi="Palatino Linotype"/>
        </w:rPr>
        <w:t xml:space="preserve"> la presente resolución al Titular de la Unidad de Transparencia del </w:t>
      </w:r>
      <w:r>
        <w:rPr>
          <w:rFonts w:ascii="Palatino Linotype" w:hAnsi="Palatino Linotype"/>
          <w:b/>
        </w:rPr>
        <w:t>SUJETO OBLIGADO</w:t>
      </w:r>
      <w:r>
        <w:rPr>
          <w:rFonts w:ascii="Palatino Linotype" w:hAnsi="Palatino Linotype"/>
        </w:rPr>
        <w:t xml:space="preserve"> para su conocimiento.</w:t>
      </w:r>
    </w:p>
    <w:p w:rsidR="00763321" w:rsidRDefault="00763321">
      <w:pPr>
        <w:pStyle w:val="Prrafodelista"/>
        <w:spacing w:beforeAutospacing="1" w:afterAutospacing="1" w:line="360" w:lineRule="auto"/>
        <w:ind w:left="0"/>
        <w:contextualSpacing/>
        <w:jc w:val="both"/>
        <w:rPr>
          <w:rFonts w:ascii="Palatino Linotype" w:hAnsi="Palatino Linotype" w:cs="Arial"/>
        </w:rPr>
      </w:pPr>
    </w:p>
    <w:p w:rsidR="00763321" w:rsidRDefault="004D0B4C">
      <w:pPr>
        <w:pStyle w:val="Prrafodelista"/>
        <w:spacing w:beforeAutospacing="1" w:afterAutospacing="1" w:line="360" w:lineRule="auto"/>
        <w:ind w:left="0"/>
        <w:contextualSpacing/>
        <w:jc w:val="both"/>
        <w:rPr>
          <w:rFonts w:ascii="Palatino Linotype" w:hAnsi="Palatino Linotype"/>
          <w:lang w:eastAsia="es-ES_tradnl"/>
        </w:rPr>
      </w:pPr>
      <w:r>
        <w:rPr>
          <w:rFonts w:ascii="Palatino Linotype" w:hAnsi="Palatino Linotype"/>
          <w:b/>
          <w:sz w:val="28"/>
          <w:szCs w:val="28"/>
          <w:lang w:eastAsia="es-ES_tradnl"/>
        </w:rPr>
        <w:t>TERCERO</w:t>
      </w:r>
      <w:r>
        <w:rPr>
          <w:rFonts w:ascii="Palatino Linotype" w:hAnsi="Palatino Linotype"/>
          <w:b/>
          <w:lang w:eastAsia="es-ES_tradnl"/>
        </w:rPr>
        <w:t>. Notifíquese</w:t>
      </w:r>
      <w:r>
        <w:rPr>
          <w:rFonts w:ascii="Palatino Linotype" w:hAnsi="Palatino Linotype"/>
          <w:lang w:eastAsia="es-ES_tradnl"/>
        </w:rPr>
        <w:t xml:space="preserve"> a </w:t>
      </w:r>
      <w:r>
        <w:rPr>
          <w:rFonts w:ascii="Palatino Linotype" w:hAnsi="Palatino Linotype"/>
          <w:b/>
          <w:lang w:eastAsia="es-ES_tradnl"/>
        </w:rPr>
        <w:t>LA</w:t>
      </w:r>
      <w:r>
        <w:rPr>
          <w:rFonts w:ascii="Palatino Linotype" w:hAnsi="Palatino Linotype"/>
          <w:lang w:eastAsia="es-ES_tradnl"/>
        </w:rPr>
        <w:t xml:space="preserve"> </w:t>
      </w:r>
      <w:r>
        <w:rPr>
          <w:rFonts w:ascii="Palatino Linotype" w:hAnsi="Palatino Linotype"/>
          <w:b/>
          <w:lang w:eastAsia="es-ES_tradnl"/>
        </w:rPr>
        <w:t>RECURRENTE</w:t>
      </w:r>
      <w:r>
        <w:rPr>
          <w:rFonts w:ascii="Palatino Linotype" w:hAnsi="Palatino Linotype"/>
          <w:lang w:eastAsia="es-ES_tradnl"/>
        </w:rPr>
        <w:t xml:space="preserve"> la </w:t>
      </w:r>
      <w:r>
        <w:rPr>
          <w:rFonts w:ascii="Palatino Linotype" w:hAnsi="Palatino Linotype"/>
        </w:rPr>
        <w:t>presente</w:t>
      </w:r>
      <w:r>
        <w:rPr>
          <w:rFonts w:ascii="Palatino Linotype" w:hAnsi="Palatino Linotype"/>
          <w:lang w:eastAsia="es-ES_tradnl"/>
        </w:rPr>
        <w:t xml:space="preserve"> resolución.</w:t>
      </w:r>
    </w:p>
    <w:p w:rsidR="00763321" w:rsidRDefault="00763321">
      <w:pPr>
        <w:pStyle w:val="Prrafodelista"/>
        <w:spacing w:beforeAutospacing="1" w:afterAutospacing="1" w:line="360" w:lineRule="auto"/>
        <w:ind w:left="0"/>
        <w:contextualSpacing/>
        <w:jc w:val="both"/>
        <w:rPr>
          <w:rFonts w:ascii="Palatino Linotype" w:hAnsi="Palatino Linotype"/>
          <w:lang w:eastAsia="es-ES_tradnl"/>
        </w:rPr>
      </w:pPr>
    </w:p>
    <w:p w:rsidR="00763321" w:rsidRDefault="004D0B4C">
      <w:pPr>
        <w:pStyle w:val="Prrafodelista"/>
        <w:spacing w:beforeAutospacing="1" w:afterAutospacing="1" w:line="360" w:lineRule="auto"/>
        <w:ind w:left="0"/>
        <w:contextualSpacing/>
        <w:jc w:val="both"/>
        <w:rPr>
          <w:rFonts w:ascii="Palatino Linotype" w:hAnsi="Palatino Linotype"/>
          <w:color w:val="222222"/>
          <w:highlight w:val="white"/>
        </w:rPr>
      </w:pPr>
      <w:r>
        <w:rPr>
          <w:rFonts w:ascii="Palatino Linotype" w:hAnsi="Palatino Linotype"/>
          <w:b/>
          <w:sz w:val="28"/>
          <w:szCs w:val="28"/>
          <w:lang w:eastAsia="es-ES_tradnl"/>
        </w:rPr>
        <w:t>CUARTO</w:t>
      </w:r>
      <w:r>
        <w:rPr>
          <w:rFonts w:ascii="Palatino Linotype" w:hAnsi="Palatino Linotype"/>
          <w:b/>
          <w:lang w:eastAsia="es-ES_tradnl"/>
        </w:rPr>
        <w:t>. Hágase</w:t>
      </w:r>
      <w:r>
        <w:rPr>
          <w:rFonts w:ascii="Palatino Linotype" w:hAnsi="Palatino Linotype"/>
          <w:lang w:eastAsia="es-ES_tradnl"/>
        </w:rPr>
        <w:t xml:space="preserve"> </w:t>
      </w:r>
      <w:r>
        <w:rPr>
          <w:rFonts w:ascii="Palatino Linotype" w:hAnsi="Palatino Linotype"/>
          <w:b/>
          <w:lang w:eastAsia="es-ES_tradnl"/>
        </w:rPr>
        <w:t xml:space="preserve">del </w:t>
      </w:r>
      <w:r>
        <w:rPr>
          <w:rFonts w:ascii="Palatino Linotype" w:hAnsi="Palatino Linotype"/>
          <w:b/>
        </w:rPr>
        <w:t>conocimiento</w:t>
      </w:r>
      <w:r>
        <w:rPr>
          <w:rFonts w:ascii="Palatino Linotype" w:hAnsi="Palatino Linotype"/>
          <w:b/>
          <w:lang w:eastAsia="es-ES_tradnl"/>
        </w:rPr>
        <w:t xml:space="preserve"> </w:t>
      </w:r>
      <w:r>
        <w:rPr>
          <w:rFonts w:ascii="Palatino Linotype" w:hAnsi="Palatino Linotype"/>
          <w:lang w:eastAsia="es-ES_tradnl"/>
        </w:rPr>
        <w:t xml:space="preserve">de </w:t>
      </w:r>
      <w:r>
        <w:rPr>
          <w:rFonts w:ascii="Palatino Linotype" w:hAnsi="Palatino Linotype"/>
          <w:b/>
          <w:lang w:eastAsia="es-ES_tradnl"/>
        </w:rPr>
        <w:t>LA</w:t>
      </w:r>
      <w:r>
        <w:rPr>
          <w:rFonts w:ascii="Palatino Linotype" w:hAnsi="Palatino Linotype"/>
          <w:lang w:eastAsia="es-ES_tradnl"/>
        </w:rPr>
        <w:t xml:space="preserve"> </w:t>
      </w:r>
      <w:r>
        <w:rPr>
          <w:rFonts w:ascii="Palatino Linotype" w:hAnsi="Palatino Linotype"/>
          <w:b/>
          <w:lang w:eastAsia="es-ES_tradnl"/>
        </w:rPr>
        <w:t>RECURRENTE</w:t>
      </w:r>
      <w:r>
        <w:rPr>
          <w:rFonts w:ascii="Palatino Linotype" w:hAnsi="Palatino Linotype"/>
          <w:lang w:eastAsia="es-ES_tradnl"/>
        </w:rPr>
        <w:t xml:space="preserve">, </w:t>
      </w:r>
      <w:r>
        <w:rPr>
          <w:rFonts w:ascii="Palatino Linotype" w:hAnsi="Palatino Linotype"/>
          <w:color w:val="222222"/>
          <w:shd w:val="clear" w:color="auto" w:fill="FFFFFF"/>
        </w:rPr>
        <w:t>que de conformidad con lo establecido en el artículo 196 de la Ley de Transparencia y Acceso a la Información Pública del Estado de México y Municipios, podrá impugnarla vía Juicio de Amparo en términos de las leyes aplicables.</w:t>
      </w:r>
    </w:p>
    <w:p w:rsidR="00763321" w:rsidRDefault="004D0B4C">
      <w:pPr>
        <w:spacing w:beforeAutospacing="1" w:afterAutospacing="1" w:line="360" w:lineRule="auto"/>
        <w:jc w:val="both"/>
        <w:rPr>
          <w:rFonts w:ascii="Palatino Linotype" w:hAnsi="Palatino Linotype"/>
          <w:lang w:eastAsia="es-ES_tradnl"/>
        </w:rPr>
      </w:pPr>
      <w:r>
        <w:rPr>
          <w:rFonts w:ascii="Palatino Linotype" w:hAnsi="Palatino Linotype" w:cs="Arial"/>
          <w:b/>
          <w:bCs/>
          <w:color w:val="222222"/>
          <w:sz w:val="28"/>
          <w:lang w:eastAsia="es-MX"/>
        </w:rPr>
        <w:t>QUINTO</w:t>
      </w:r>
      <w:r>
        <w:rPr>
          <w:rFonts w:ascii="Palatino Linotype" w:hAnsi="Palatino Linotype"/>
          <w:b/>
          <w:sz w:val="28"/>
          <w:szCs w:val="25"/>
        </w:rPr>
        <w:t xml:space="preserve">. </w:t>
      </w:r>
      <w:r>
        <w:rPr>
          <w:rFonts w:ascii="Palatino Linotype" w:hAnsi="Palatino Linotype"/>
          <w:b/>
        </w:rPr>
        <w:t>Gírese</w:t>
      </w:r>
      <w:r>
        <w:rPr>
          <w:rFonts w:ascii="Palatino Linotype" w:hAnsi="Palatino Linotype"/>
        </w:rPr>
        <w:t xml:space="preserve"> </w:t>
      </w:r>
      <w:r>
        <w:rPr>
          <w:rFonts w:ascii="Palatino Linotype" w:hAnsi="Palatino Linotype"/>
          <w:lang w:eastAsia="es-ES_tradnl"/>
        </w:rPr>
        <w:t xml:space="preserve">oficio al Titular de la Contraloría Interna y Órgano de Control y Vigilancia de este </w:t>
      </w:r>
      <w:r>
        <w:rPr>
          <w:rFonts w:ascii="Palatino Linotype" w:hAnsi="Palatino Linotype" w:cs="Arial"/>
        </w:rPr>
        <w:t>Instituto</w:t>
      </w:r>
      <w:r>
        <w:rPr>
          <w:rFonts w:ascii="Palatino Linotype" w:hAnsi="Palatino Linotype"/>
          <w:lang w:eastAsia="es-ES_tradnl"/>
        </w:rPr>
        <w:t xml:space="preserve">, de conformidad con el artículo 190 de la Ley de Transparencia y </w:t>
      </w:r>
      <w:r>
        <w:rPr>
          <w:rFonts w:ascii="Palatino Linotype" w:hAnsi="Palatino Linotype"/>
          <w:color w:val="222222"/>
          <w:shd w:val="clear" w:color="auto" w:fill="FFFFFF"/>
        </w:rPr>
        <w:t>Acceso</w:t>
      </w:r>
      <w:r>
        <w:rPr>
          <w:rFonts w:ascii="Palatino Linotype" w:hAnsi="Palatino Linotype"/>
          <w:lang w:eastAsia="es-ES_tradnl"/>
        </w:rPr>
        <w:t xml:space="preserve"> a la Información Pública del Estado de México y Municipios a fin de que determine lo conducente, en términos del Considerando </w:t>
      </w:r>
      <w:r>
        <w:rPr>
          <w:rFonts w:ascii="Palatino Linotype" w:hAnsi="Palatino Linotype"/>
          <w:b/>
          <w:lang w:eastAsia="es-ES_tradnl"/>
        </w:rPr>
        <w:t>QUINTO</w:t>
      </w:r>
      <w:r>
        <w:rPr>
          <w:rFonts w:ascii="Palatino Linotype" w:hAnsi="Palatino Linotype"/>
          <w:lang w:eastAsia="es-ES_tradnl"/>
        </w:rPr>
        <w:t xml:space="preserve"> de la presente resolución.</w:t>
      </w:r>
    </w:p>
    <w:p w:rsidR="00763321" w:rsidRDefault="004D0B4C">
      <w:pPr>
        <w:spacing w:line="360" w:lineRule="auto"/>
        <w:jc w:val="both"/>
        <w:rPr>
          <w:rFonts w:ascii="Palatino Linotype" w:hAnsi="Palatino Linotype" w:cs="Arial"/>
          <w:lang w:val="es-ES"/>
        </w:rPr>
      </w:pPr>
      <w:r>
        <w:rPr>
          <w:rFonts w:ascii="Palatino Linotype" w:hAnsi="Palatino Linotype" w:cs="Arial"/>
          <w:lang w:val="es-ES"/>
        </w:rPr>
        <w:t>ASÍ LO RESUELVE, POR UNANIMIDAD DE VOTOS, EL PLENO DEL</w:t>
      </w:r>
      <w:r>
        <w:rPr>
          <w:rFonts w:ascii="Palatino Linotype" w:eastAsia="Arial Unicode MS" w:hAnsi="Palatino Linotype" w:cs="Arial"/>
          <w:lang w:val="es-ES"/>
        </w:rPr>
        <w:t xml:space="preserve"> INSTITUTO DE </w:t>
      </w:r>
      <w:r>
        <w:rPr>
          <w:rFonts w:ascii="Palatino Linotype" w:hAnsi="Palatino Linotype"/>
          <w:lang w:val="es-ES" w:eastAsia="en-US"/>
        </w:rPr>
        <w:t>TRANSPARENCIA</w:t>
      </w:r>
      <w:r>
        <w:rPr>
          <w:rFonts w:ascii="Palatino Linotype" w:eastAsia="Arial Unicode MS" w:hAnsi="Palatino Linotype" w:cs="Arial"/>
          <w:lang w:val="es-ES"/>
        </w:rPr>
        <w:t>, ACCESO A LA INFORMACIÓN PÚBLICA Y PROTECCIÓN DE DATOS PERSONALES DEL ESTADO DE MÉXICO Y MUNICIPIOS</w:t>
      </w:r>
      <w:r>
        <w:rPr>
          <w:rFonts w:ascii="Palatino Linotype" w:hAnsi="Palatino Linotype" w:cs="Arial"/>
          <w:lang w:val="es-ES"/>
        </w:rPr>
        <w:t xml:space="preserve">, CONFORMADO POR LOS COMISIONADOS ZULEMA MARTÍNEZ SÁNCHEZ; EVA ABAID YAPUR; JOSÉ GUADALUPE LUNA HERNÁNDEZ, JAVIER MARTÍNEZ CRUZ Y LUIS GUSTAVO PARRA NORIEGA, EN LA DÉCIMO TERCERA SESIÓN ORDINARIA CELEBRADA EL DOCE DE AGOSTO DE DOS MIL VEINTE, ANTE EL SECRETARIO TÉCNICO DEL PLENO, </w:t>
      </w:r>
      <w:r>
        <w:rPr>
          <w:rFonts w:ascii="Palatino Linotype" w:eastAsia="Arial Unicode MS" w:hAnsi="Palatino Linotype" w:cs="Arial"/>
          <w:lang w:val="es-ES"/>
        </w:rPr>
        <w:t>ALEXIS</w:t>
      </w:r>
      <w:r>
        <w:rPr>
          <w:rFonts w:ascii="Palatino Linotype" w:hAnsi="Palatino Linotype" w:cs="Arial"/>
          <w:lang w:val="es-ES"/>
        </w:rPr>
        <w:t xml:space="preserve"> TAPIA RAMÍREZ.</w:t>
      </w:r>
    </w:p>
    <w:tbl>
      <w:tblPr>
        <w:tblW w:w="10368" w:type="dxa"/>
        <w:jc w:val="center"/>
        <w:tblLook w:val="04A0" w:firstRow="1" w:lastRow="0" w:firstColumn="1" w:lastColumn="0" w:noHBand="0" w:noVBand="1"/>
      </w:tblPr>
      <w:tblGrid>
        <w:gridCol w:w="10581"/>
      </w:tblGrid>
      <w:tr w:rsidR="00763321">
        <w:trPr>
          <w:jc w:val="center"/>
        </w:trPr>
        <w:tc>
          <w:tcPr>
            <w:tcW w:w="10368" w:type="dxa"/>
          </w:tcPr>
          <w:p w:rsidR="00763321" w:rsidRDefault="00763321">
            <w:pPr>
              <w:jc w:val="center"/>
              <w:rPr>
                <w:rFonts w:ascii="Palatino Linotype" w:hAnsi="Palatino Linotype" w:cs="Arial"/>
                <w:b/>
              </w:rPr>
            </w:pPr>
          </w:p>
          <w:p w:rsidR="00763321" w:rsidRDefault="00763321">
            <w:pPr>
              <w:jc w:val="center"/>
              <w:rPr>
                <w:rFonts w:ascii="Palatino Linotype" w:hAnsi="Palatino Linotype" w:cs="Arial"/>
                <w:b/>
              </w:rPr>
            </w:pPr>
          </w:p>
          <w:p w:rsidR="00763321" w:rsidRDefault="00763321">
            <w:pPr>
              <w:jc w:val="center"/>
              <w:rPr>
                <w:rFonts w:ascii="Palatino Linotype" w:hAnsi="Palatino Linotype" w:cs="Arial"/>
                <w:b/>
              </w:rPr>
            </w:pPr>
          </w:p>
          <w:p w:rsidR="00763321" w:rsidRDefault="00763321">
            <w:pPr>
              <w:jc w:val="center"/>
              <w:rPr>
                <w:rFonts w:ascii="Palatino Linotype" w:hAnsi="Palatino Linotype" w:cs="Arial"/>
                <w:b/>
              </w:rPr>
            </w:pPr>
          </w:p>
          <w:tbl>
            <w:tblPr>
              <w:tblW w:w="10365" w:type="dxa"/>
              <w:jc w:val="center"/>
              <w:tblLook w:val="04A0" w:firstRow="1" w:lastRow="0" w:firstColumn="1" w:lastColumn="0" w:noHBand="0" w:noVBand="1"/>
            </w:tblPr>
            <w:tblGrid>
              <w:gridCol w:w="5182"/>
              <w:gridCol w:w="5183"/>
            </w:tblGrid>
            <w:tr w:rsidR="00763321">
              <w:trPr>
                <w:jc w:val="center"/>
              </w:trPr>
              <w:tc>
                <w:tcPr>
                  <w:tcW w:w="10364" w:type="dxa"/>
                  <w:gridSpan w:val="2"/>
                  <w:shd w:val="clear" w:color="auto" w:fill="auto"/>
                </w:tcPr>
                <w:p w:rsidR="00763321" w:rsidRDefault="004D0B4C">
                  <w:pPr>
                    <w:jc w:val="center"/>
                    <w:rPr>
                      <w:rFonts w:ascii="Palatino Linotype" w:hAnsi="Palatino Linotype" w:cs="Arial"/>
                      <w:b/>
                    </w:rPr>
                  </w:pPr>
                  <w:r>
                    <w:rPr>
                      <w:rFonts w:ascii="Palatino Linotype" w:hAnsi="Palatino Linotype" w:cs="Arial"/>
                      <w:b/>
                    </w:rPr>
                    <w:t>Zulema Martínez Sánchez</w:t>
                  </w:r>
                </w:p>
                <w:p w:rsidR="00763321" w:rsidRDefault="004D0B4C">
                  <w:pPr>
                    <w:jc w:val="center"/>
                    <w:rPr>
                      <w:rFonts w:ascii="Palatino Linotype" w:hAnsi="Palatino Linotype" w:cs="Arial"/>
                    </w:rPr>
                  </w:pPr>
                  <w:r>
                    <w:rPr>
                      <w:rFonts w:ascii="Palatino Linotype" w:hAnsi="Palatino Linotype" w:cs="Arial"/>
                    </w:rPr>
                    <w:t>Comisionada Presidenta</w:t>
                  </w:r>
                </w:p>
                <w:p w:rsidR="00763321" w:rsidRPr="00CE4AB7" w:rsidRDefault="004D0B4C" w:rsidP="00CE4AB7">
                  <w:pPr>
                    <w:jc w:val="center"/>
                    <w:rPr>
                      <w:rFonts w:ascii="Palatino Linotype" w:hAnsi="Palatino Linotype" w:cs="Arial"/>
                      <w:b/>
                    </w:rPr>
                  </w:pPr>
                  <w:r w:rsidRPr="00CE4AB7">
                    <w:rPr>
                      <w:rFonts w:ascii="Palatino Linotype" w:hAnsi="Palatino Linotype" w:cs="Arial"/>
                      <w:b/>
                    </w:rPr>
                    <w:t>(Rúbrica)</w:t>
                  </w:r>
                  <w:r w:rsidRPr="00CE4AB7">
                    <w:rPr>
                      <w:rFonts w:ascii="Palatino Linotype" w:hAnsi="Palatino Linotype" w:cs="Arial"/>
                      <w:b/>
                      <w:color w:val="FFFFFF" w:themeColor="background1"/>
                    </w:rPr>
                    <w:t xml:space="preserve"> </w:t>
                  </w:r>
                </w:p>
              </w:tc>
            </w:tr>
            <w:tr w:rsidR="00763321">
              <w:trPr>
                <w:jc w:val="center"/>
              </w:trPr>
              <w:tc>
                <w:tcPr>
                  <w:tcW w:w="5182" w:type="dxa"/>
                  <w:shd w:val="clear" w:color="auto" w:fill="auto"/>
                </w:tcPr>
                <w:p w:rsidR="00763321" w:rsidRDefault="00763321">
                  <w:pPr>
                    <w:jc w:val="center"/>
                    <w:rPr>
                      <w:rFonts w:ascii="Palatino Linotype" w:hAnsi="Palatino Linotype" w:cs="Arial"/>
                      <w:b/>
                    </w:rPr>
                  </w:pPr>
                </w:p>
                <w:p w:rsidR="00CE4AB7" w:rsidRDefault="00CE4AB7">
                  <w:pPr>
                    <w:jc w:val="center"/>
                    <w:rPr>
                      <w:rFonts w:ascii="Palatino Linotype" w:hAnsi="Palatino Linotype" w:cs="Arial"/>
                      <w:b/>
                    </w:rPr>
                  </w:pPr>
                </w:p>
                <w:p w:rsidR="00763321" w:rsidRDefault="00763321">
                  <w:pPr>
                    <w:jc w:val="center"/>
                    <w:rPr>
                      <w:rFonts w:ascii="Palatino Linotype" w:hAnsi="Palatino Linotype" w:cs="Arial"/>
                      <w:b/>
                    </w:rPr>
                  </w:pPr>
                </w:p>
                <w:p w:rsidR="00763321" w:rsidRDefault="00763321" w:rsidP="00CE4AB7">
                  <w:pPr>
                    <w:jc w:val="center"/>
                    <w:rPr>
                      <w:rFonts w:ascii="Palatino Linotype" w:hAnsi="Palatino Linotype" w:cs="Arial"/>
                      <w:b/>
                    </w:rPr>
                  </w:pPr>
                </w:p>
                <w:p w:rsidR="00763321" w:rsidRDefault="004D0B4C">
                  <w:pPr>
                    <w:jc w:val="center"/>
                    <w:rPr>
                      <w:rFonts w:ascii="Palatino Linotype" w:hAnsi="Palatino Linotype" w:cs="Arial"/>
                      <w:b/>
                    </w:rPr>
                  </w:pPr>
                  <w:r>
                    <w:rPr>
                      <w:rFonts w:ascii="Palatino Linotype" w:hAnsi="Palatino Linotype" w:cs="Arial"/>
                      <w:b/>
                    </w:rPr>
                    <w:t>Eva Abaid Yapur</w:t>
                  </w:r>
                </w:p>
                <w:p w:rsidR="00763321" w:rsidRDefault="004D0B4C">
                  <w:pPr>
                    <w:jc w:val="center"/>
                    <w:rPr>
                      <w:rFonts w:ascii="Palatino Linotype" w:hAnsi="Palatino Linotype" w:cs="Arial"/>
                    </w:rPr>
                  </w:pPr>
                  <w:r>
                    <w:rPr>
                      <w:rFonts w:ascii="Palatino Linotype" w:hAnsi="Palatino Linotype" w:cs="Arial"/>
                    </w:rPr>
                    <w:t>Comisionada</w:t>
                  </w:r>
                </w:p>
                <w:p w:rsidR="00763321" w:rsidRPr="00CE4AB7" w:rsidRDefault="00CE4AB7" w:rsidP="00CE4AB7">
                  <w:pPr>
                    <w:jc w:val="center"/>
                    <w:rPr>
                      <w:rFonts w:ascii="Palatino Linotype" w:hAnsi="Palatino Linotype" w:cs="Arial"/>
                      <w:b/>
                    </w:rPr>
                  </w:pPr>
                  <w:r w:rsidRPr="00CE4AB7">
                    <w:rPr>
                      <w:rFonts w:ascii="Palatino Linotype" w:hAnsi="Palatino Linotype" w:cs="Arial"/>
                      <w:b/>
                    </w:rPr>
                    <w:t>(RÚBRICA)</w:t>
                  </w:r>
                </w:p>
              </w:tc>
              <w:tc>
                <w:tcPr>
                  <w:tcW w:w="5182" w:type="dxa"/>
                  <w:shd w:val="clear" w:color="auto" w:fill="auto"/>
                </w:tcPr>
                <w:p w:rsidR="00763321" w:rsidRDefault="00763321">
                  <w:pPr>
                    <w:jc w:val="center"/>
                    <w:rPr>
                      <w:rFonts w:ascii="Palatino Linotype" w:hAnsi="Palatino Linotype" w:cs="Arial"/>
                      <w:b/>
                    </w:rPr>
                  </w:pPr>
                </w:p>
                <w:p w:rsidR="00CE4AB7" w:rsidRDefault="00CE4AB7">
                  <w:pPr>
                    <w:jc w:val="center"/>
                    <w:rPr>
                      <w:rFonts w:ascii="Palatino Linotype" w:hAnsi="Palatino Linotype" w:cs="Arial"/>
                      <w:b/>
                    </w:rPr>
                  </w:pPr>
                </w:p>
                <w:p w:rsidR="00763321" w:rsidRDefault="00763321">
                  <w:pPr>
                    <w:jc w:val="center"/>
                    <w:rPr>
                      <w:rFonts w:ascii="Palatino Linotype" w:hAnsi="Palatino Linotype" w:cs="Arial"/>
                      <w:b/>
                    </w:rPr>
                  </w:pPr>
                </w:p>
                <w:p w:rsidR="00763321" w:rsidRDefault="00763321" w:rsidP="00CE4AB7">
                  <w:pPr>
                    <w:jc w:val="center"/>
                    <w:rPr>
                      <w:rFonts w:ascii="Palatino Linotype" w:hAnsi="Palatino Linotype" w:cs="Arial"/>
                      <w:b/>
                    </w:rPr>
                  </w:pPr>
                </w:p>
                <w:p w:rsidR="00763321" w:rsidRDefault="004D0B4C">
                  <w:pPr>
                    <w:jc w:val="center"/>
                    <w:rPr>
                      <w:rFonts w:ascii="Palatino Linotype" w:hAnsi="Palatino Linotype" w:cs="Arial"/>
                      <w:b/>
                    </w:rPr>
                  </w:pPr>
                  <w:r>
                    <w:rPr>
                      <w:rFonts w:ascii="Palatino Linotype" w:hAnsi="Palatino Linotype" w:cs="Arial"/>
                      <w:b/>
                    </w:rPr>
                    <w:t>José Guadalupe Luna Hernández</w:t>
                  </w:r>
                </w:p>
                <w:p w:rsidR="00763321" w:rsidRDefault="004D0B4C">
                  <w:pPr>
                    <w:jc w:val="center"/>
                    <w:rPr>
                      <w:rFonts w:ascii="Palatino Linotype" w:hAnsi="Palatino Linotype" w:cs="Arial"/>
                    </w:rPr>
                  </w:pPr>
                  <w:r>
                    <w:rPr>
                      <w:rFonts w:ascii="Palatino Linotype" w:hAnsi="Palatino Linotype" w:cs="Arial"/>
                    </w:rPr>
                    <w:t>Comisionado</w:t>
                  </w:r>
                </w:p>
                <w:p w:rsidR="00763321" w:rsidRPr="00CE4AB7" w:rsidRDefault="00CE4AB7" w:rsidP="00CE4AB7">
                  <w:pPr>
                    <w:jc w:val="center"/>
                    <w:rPr>
                      <w:rFonts w:ascii="Palatino Linotype" w:hAnsi="Palatino Linotype" w:cs="Arial"/>
                      <w:b/>
                    </w:rPr>
                  </w:pPr>
                  <w:r w:rsidRPr="00CE4AB7">
                    <w:rPr>
                      <w:rFonts w:ascii="Palatino Linotype" w:hAnsi="Palatino Linotype" w:cs="Arial"/>
                      <w:b/>
                    </w:rPr>
                    <w:t>(RÚBRICA)</w:t>
                  </w:r>
                </w:p>
              </w:tc>
            </w:tr>
            <w:tr w:rsidR="00763321">
              <w:trPr>
                <w:jc w:val="center"/>
              </w:trPr>
              <w:tc>
                <w:tcPr>
                  <w:tcW w:w="5182" w:type="dxa"/>
                  <w:shd w:val="clear" w:color="auto" w:fill="auto"/>
                </w:tcPr>
                <w:p w:rsidR="00763321" w:rsidRDefault="00763321">
                  <w:pPr>
                    <w:jc w:val="center"/>
                    <w:rPr>
                      <w:rFonts w:ascii="Palatino Linotype" w:hAnsi="Palatino Linotype" w:cs="Arial"/>
                      <w:b/>
                    </w:rPr>
                  </w:pPr>
                </w:p>
                <w:p w:rsidR="00763321" w:rsidRDefault="00763321">
                  <w:pPr>
                    <w:jc w:val="center"/>
                    <w:rPr>
                      <w:rFonts w:ascii="Palatino Linotype" w:hAnsi="Palatino Linotype" w:cs="Arial"/>
                      <w:b/>
                    </w:rPr>
                  </w:pPr>
                </w:p>
                <w:p w:rsidR="00763321" w:rsidRDefault="00763321">
                  <w:pPr>
                    <w:jc w:val="center"/>
                    <w:rPr>
                      <w:rFonts w:ascii="Palatino Linotype" w:hAnsi="Palatino Linotype" w:cs="Arial"/>
                      <w:b/>
                    </w:rPr>
                  </w:pPr>
                </w:p>
                <w:p w:rsidR="00763321" w:rsidRDefault="00763321" w:rsidP="00CE4AB7">
                  <w:pPr>
                    <w:jc w:val="center"/>
                    <w:rPr>
                      <w:rFonts w:ascii="Palatino Linotype" w:hAnsi="Palatino Linotype" w:cs="Arial"/>
                      <w:b/>
                    </w:rPr>
                  </w:pPr>
                </w:p>
                <w:p w:rsidR="00763321" w:rsidRDefault="004D0B4C">
                  <w:pPr>
                    <w:jc w:val="center"/>
                    <w:rPr>
                      <w:rFonts w:ascii="Palatino Linotype" w:hAnsi="Palatino Linotype" w:cs="Arial"/>
                      <w:b/>
                    </w:rPr>
                  </w:pPr>
                  <w:r>
                    <w:rPr>
                      <w:rFonts w:ascii="Palatino Linotype" w:hAnsi="Palatino Linotype" w:cs="Arial"/>
                      <w:b/>
                    </w:rPr>
                    <w:t>Javier Martínez Cruz</w:t>
                  </w:r>
                </w:p>
                <w:p w:rsidR="00763321" w:rsidRDefault="004D0B4C">
                  <w:pPr>
                    <w:jc w:val="center"/>
                    <w:rPr>
                      <w:rFonts w:ascii="Palatino Linotype" w:hAnsi="Palatino Linotype" w:cs="Arial"/>
                    </w:rPr>
                  </w:pPr>
                  <w:r>
                    <w:rPr>
                      <w:rFonts w:ascii="Palatino Linotype" w:hAnsi="Palatino Linotype" w:cs="Arial"/>
                    </w:rPr>
                    <w:t>Comisionado</w:t>
                  </w:r>
                </w:p>
                <w:p w:rsidR="00763321" w:rsidRPr="00CE4AB7" w:rsidRDefault="00CE4AB7" w:rsidP="00CE4AB7">
                  <w:pPr>
                    <w:jc w:val="center"/>
                    <w:rPr>
                      <w:rFonts w:ascii="Palatino Linotype" w:hAnsi="Palatino Linotype" w:cs="Arial"/>
                      <w:b/>
                    </w:rPr>
                  </w:pPr>
                  <w:r w:rsidRPr="00CE4AB7">
                    <w:rPr>
                      <w:rFonts w:ascii="Palatino Linotype" w:hAnsi="Palatino Linotype" w:cs="Arial"/>
                      <w:b/>
                    </w:rPr>
                    <w:t>(RÚBRICA)</w:t>
                  </w:r>
                </w:p>
              </w:tc>
              <w:tc>
                <w:tcPr>
                  <w:tcW w:w="5182" w:type="dxa"/>
                  <w:shd w:val="clear" w:color="auto" w:fill="auto"/>
                </w:tcPr>
                <w:p w:rsidR="00763321" w:rsidRDefault="00763321">
                  <w:pPr>
                    <w:jc w:val="center"/>
                    <w:rPr>
                      <w:rFonts w:ascii="Palatino Linotype" w:hAnsi="Palatino Linotype" w:cs="Arial"/>
                      <w:b/>
                    </w:rPr>
                  </w:pPr>
                </w:p>
                <w:p w:rsidR="00763321" w:rsidRDefault="00763321">
                  <w:pPr>
                    <w:jc w:val="center"/>
                    <w:rPr>
                      <w:rFonts w:ascii="Palatino Linotype" w:hAnsi="Palatino Linotype" w:cs="Arial"/>
                      <w:b/>
                    </w:rPr>
                  </w:pPr>
                </w:p>
                <w:p w:rsidR="00763321" w:rsidRDefault="00763321">
                  <w:pPr>
                    <w:jc w:val="center"/>
                    <w:rPr>
                      <w:rFonts w:ascii="Palatino Linotype" w:hAnsi="Palatino Linotype" w:cs="Arial"/>
                      <w:b/>
                    </w:rPr>
                  </w:pPr>
                </w:p>
                <w:p w:rsidR="00763321" w:rsidRDefault="00763321" w:rsidP="00CE4AB7">
                  <w:pPr>
                    <w:jc w:val="center"/>
                    <w:rPr>
                      <w:rFonts w:ascii="Palatino Linotype" w:hAnsi="Palatino Linotype" w:cs="Arial"/>
                      <w:b/>
                    </w:rPr>
                  </w:pPr>
                </w:p>
                <w:p w:rsidR="00763321" w:rsidRDefault="004D0B4C">
                  <w:pPr>
                    <w:jc w:val="center"/>
                    <w:rPr>
                      <w:rFonts w:ascii="Palatino Linotype" w:hAnsi="Palatino Linotype" w:cs="Arial"/>
                      <w:b/>
                    </w:rPr>
                  </w:pPr>
                  <w:r>
                    <w:rPr>
                      <w:rFonts w:ascii="Palatino Linotype" w:hAnsi="Palatino Linotype" w:cs="Arial"/>
                      <w:b/>
                    </w:rPr>
                    <w:t>Luis Gustavo Parra Noriega</w:t>
                  </w:r>
                </w:p>
                <w:p w:rsidR="00763321" w:rsidRDefault="004D0B4C">
                  <w:pPr>
                    <w:jc w:val="center"/>
                    <w:rPr>
                      <w:rFonts w:ascii="Palatino Linotype" w:hAnsi="Palatino Linotype" w:cs="Arial"/>
                    </w:rPr>
                  </w:pPr>
                  <w:r>
                    <w:rPr>
                      <w:rFonts w:ascii="Palatino Linotype" w:hAnsi="Palatino Linotype" w:cs="Arial"/>
                    </w:rPr>
                    <w:t>Comisionado</w:t>
                  </w:r>
                </w:p>
                <w:p w:rsidR="00763321" w:rsidRPr="00CE4AB7" w:rsidRDefault="00CE4AB7" w:rsidP="00CE4AB7">
                  <w:pPr>
                    <w:jc w:val="center"/>
                    <w:rPr>
                      <w:rFonts w:ascii="Palatino Linotype" w:hAnsi="Palatino Linotype" w:cs="Arial"/>
                      <w:b/>
                    </w:rPr>
                  </w:pPr>
                  <w:r w:rsidRPr="00CE4AB7">
                    <w:rPr>
                      <w:rFonts w:ascii="Palatino Linotype" w:hAnsi="Palatino Linotype" w:cs="Arial"/>
                      <w:b/>
                    </w:rPr>
                    <w:t>(RÚBRICA)</w:t>
                  </w:r>
                </w:p>
              </w:tc>
            </w:tr>
            <w:tr w:rsidR="00763321">
              <w:trPr>
                <w:jc w:val="center"/>
              </w:trPr>
              <w:tc>
                <w:tcPr>
                  <w:tcW w:w="10364" w:type="dxa"/>
                  <w:gridSpan w:val="2"/>
                  <w:shd w:val="clear" w:color="auto" w:fill="auto"/>
                </w:tcPr>
                <w:p w:rsidR="00763321" w:rsidRDefault="00763321">
                  <w:pPr>
                    <w:jc w:val="center"/>
                    <w:rPr>
                      <w:rFonts w:ascii="Palatino Linotype" w:hAnsi="Palatino Linotype" w:cs="Arial"/>
                      <w:b/>
                    </w:rPr>
                  </w:pPr>
                </w:p>
                <w:p w:rsidR="00763321" w:rsidRDefault="00763321">
                  <w:pPr>
                    <w:jc w:val="center"/>
                    <w:rPr>
                      <w:rFonts w:ascii="Palatino Linotype" w:hAnsi="Palatino Linotype" w:cs="Arial"/>
                      <w:b/>
                    </w:rPr>
                  </w:pPr>
                </w:p>
                <w:p w:rsidR="00763321" w:rsidRDefault="00763321">
                  <w:pPr>
                    <w:jc w:val="center"/>
                    <w:rPr>
                      <w:rFonts w:ascii="Palatino Linotype" w:hAnsi="Palatino Linotype" w:cs="Arial"/>
                      <w:b/>
                    </w:rPr>
                  </w:pPr>
                </w:p>
                <w:p w:rsidR="00763321" w:rsidRDefault="00763321">
                  <w:pPr>
                    <w:jc w:val="center"/>
                    <w:rPr>
                      <w:rFonts w:ascii="Palatino Linotype" w:hAnsi="Palatino Linotype" w:cs="Arial"/>
                      <w:b/>
                    </w:rPr>
                  </w:pPr>
                </w:p>
                <w:p w:rsidR="00763321" w:rsidRDefault="00763321" w:rsidP="00CE4AB7">
                  <w:pPr>
                    <w:jc w:val="center"/>
                    <w:rPr>
                      <w:rFonts w:ascii="Palatino Linotype" w:hAnsi="Palatino Linotype" w:cs="Arial"/>
                      <w:b/>
                    </w:rPr>
                  </w:pPr>
                </w:p>
                <w:p w:rsidR="00763321" w:rsidRDefault="004D0B4C">
                  <w:pPr>
                    <w:jc w:val="center"/>
                    <w:rPr>
                      <w:rFonts w:ascii="Palatino Linotype" w:hAnsi="Palatino Linotype" w:cs="Arial"/>
                      <w:b/>
                    </w:rPr>
                  </w:pPr>
                  <w:r>
                    <w:rPr>
                      <w:rFonts w:ascii="Palatino Linotype" w:hAnsi="Palatino Linotype" w:cs="Arial"/>
                      <w:b/>
                    </w:rPr>
                    <w:t>Alexis Tapia Ramírez</w:t>
                  </w:r>
                </w:p>
                <w:p w:rsidR="00763321" w:rsidRDefault="004D0B4C">
                  <w:pPr>
                    <w:jc w:val="center"/>
                    <w:rPr>
                      <w:rFonts w:ascii="Palatino Linotype" w:hAnsi="Palatino Linotype" w:cs="Arial"/>
                    </w:rPr>
                  </w:pPr>
                  <w:r>
                    <w:rPr>
                      <w:rFonts w:ascii="Palatino Linotype" w:hAnsi="Palatino Linotype" w:cs="Arial"/>
                    </w:rPr>
                    <w:t>Secretario Técnico del Pleno</w:t>
                  </w:r>
                </w:p>
                <w:p w:rsidR="00763321" w:rsidRPr="00CE4AB7" w:rsidRDefault="00CE4AB7">
                  <w:pPr>
                    <w:jc w:val="center"/>
                    <w:rPr>
                      <w:rFonts w:ascii="Palatino Linotype" w:hAnsi="Palatino Linotype" w:cs="Arial"/>
                      <w:b/>
                    </w:rPr>
                  </w:pPr>
                  <w:r w:rsidRPr="00CE4AB7">
                    <w:rPr>
                      <w:rFonts w:ascii="Palatino Linotype" w:hAnsi="Palatino Linotype" w:cs="Arial"/>
                      <w:b/>
                    </w:rPr>
                    <w:t>(RÚBRICA)</w:t>
                  </w:r>
                </w:p>
              </w:tc>
            </w:tr>
          </w:tbl>
          <w:p w:rsidR="00763321" w:rsidRDefault="00763321">
            <w:pPr>
              <w:jc w:val="center"/>
              <w:rPr>
                <w:rFonts w:ascii="Palatino Linotype" w:hAnsi="Palatino Linotype" w:cs="Arial"/>
                <w:b/>
              </w:rPr>
            </w:pPr>
          </w:p>
        </w:tc>
      </w:tr>
    </w:tbl>
    <w:p w:rsidR="00763321" w:rsidRDefault="00763321">
      <w:pPr>
        <w:jc w:val="both"/>
        <w:rPr>
          <w:rFonts w:ascii="Palatino Linotype" w:hAnsi="Palatino Linotype" w:cs="Arial"/>
          <w:sz w:val="22"/>
        </w:rPr>
      </w:pPr>
    </w:p>
    <w:p w:rsidR="00763321" w:rsidRDefault="004D0B4C">
      <w:pPr>
        <w:jc w:val="both"/>
        <w:rPr>
          <w:rFonts w:ascii="Palatino Linotype" w:hAnsi="Palatino Linotype" w:cs="Arial"/>
          <w:sz w:val="22"/>
        </w:rPr>
      </w:pPr>
      <w:r>
        <w:rPr>
          <w:rFonts w:ascii="Palatino Linotype" w:hAnsi="Palatino Linotype" w:cs="Arial"/>
          <w:sz w:val="22"/>
        </w:rPr>
        <w:t>Esta hoja corresponde a la resolución de doce de agosto de dos mil veinte, emitida en el recurso de revisión número 01062/INFOEM/IP/RR/2020.</w:t>
      </w:r>
    </w:p>
    <w:p w:rsidR="00763321" w:rsidRDefault="004D0B4C">
      <w:pPr>
        <w:tabs>
          <w:tab w:val="center" w:pos="4252"/>
          <w:tab w:val="right" w:pos="8504"/>
        </w:tabs>
        <w:jc w:val="both"/>
        <w:rPr>
          <w:rFonts w:ascii="Palatino Linotype" w:hAnsi="Palatino Linotype" w:cs="Arial"/>
        </w:rPr>
      </w:pPr>
      <w:r>
        <w:rPr>
          <w:rFonts w:ascii="Palatino Linotype" w:hAnsi="Palatino Linotype" w:cs="Arial"/>
          <w:sz w:val="22"/>
        </w:rPr>
        <w:t>YSM/IAHA</w:t>
      </w:r>
    </w:p>
    <w:sectPr w:rsidR="00763321">
      <w:headerReference w:type="default" r:id="rId16"/>
      <w:footerReference w:type="default" r:id="rId17"/>
      <w:headerReference w:type="first" r:id="rId18"/>
      <w:footerReference w:type="first" r:id="rId19"/>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5B5" w:rsidRDefault="00ED45B5">
      <w:r>
        <w:separator/>
      </w:r>
    </w:p>
  </w:endnote>
  <w:endnote w:type="continuationSeparator" w:id="0">
    <w:p w:rsidR="00ED45B5" w:rsidRDefault="00ED4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321" w:rsidRDefault="004D0B4C">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7229F4">
      <w:rPr>
        <w:rFonts w:ascii="Palatino Linotype" w:hAnsi="Palatino Linotype" w:cs="Arial"/>
        <w:bCs/>
        <w:noProof/>
        <w:sz w:val="22"/>
        <w:szCs w:val="22"/>
      </w:rPr>
      <w:t>6</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7229F4">
      <w:rPr>
        <w:rFonts w:ascii="Palatino Linotype" w:hAnsi="Palatino Linotype" w:cs="Arial"/>
        <w:bCs/>
        <w:noProof/>
        <w:sz w:val="22"/>
        <w:szCs w:val="22"/>
      </w:rPr>
      <w:t>10</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321" w:rsidRDefault="004D0B4C">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7229F4">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7229F4">
      <w:rPr>
        <w:rFonts w:ascii="Palatino Linotype" w:hAnsi="Palatino Linotype" w:cs="Arial"/>
        <w:bCs/>
        <w:noProof/>
        <w:sz w:val="22"/>
        <w:szCs w:val="22"/>
      </w:rPr>
      <w:t>3</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5B5" w:rsidRDefault="00ED45B5">
      <w:pPr>
        <w:rPr>
          <w:sz w:val="12"/>
        </w:rPr>
      </w:pPr>
      <w:r>
        <w:separator/>
      </w:r>
    </w:p>
  </w:footnote>
  <w:footnote w:type="continuationSeparator" w:id="0">
    <w:p w:rsidR="00ED45B5" w:rsidRDefault="00ED45B5">
      <w:pPr>
        <w:rPr>
          <w:sz w:val="12"/>
        </w:rPr>
      </w:pPr>
      <w:r>
        <w:continuationSeparator/>
      </w:r>
    </w:p>
  </w:footnote>
  <w:footnote w:id="1">
    <w:p w:rsidR="00763321" w:rsidRDefault="004D0B4C">
      <w:pPr>
        <w:ind w:right="51"/>
        <w:jc w:val="both"/>
        <w:rPr>
          <w:rFonts w:ascii="Palatino Linotype" w:hAnsi="Palatino Linotype" w:cs="Arial"/>
          <w:i/>
          <w:color w:val="000000"/>
          <w:sz w:val="16"/>
          <w:szCs w:val="16"/>
        </w:rPr>
      </w:pPr>
      <w:r>
        <w:rPr>
          <w:rStyle w:val="FootnoteCharacters"/>
        </w:rPr>
        <w:footnoteRef/>
      </w:r>
      <w:r>
        <w:t xml:space="preserve"> </w:t>
      </w:r>
      <w:r>
        <w:rPr>
          <w:rFonts w:ascii="Palatino Linotype" w:hAnsi="Palatino Linotype" w:cs="Arial"/>
          <w:b/>
          <w:i/>
          <w:sz w:val="16"/>
          <w:szCs w:val="16"/>
        </w:rPr>
        <w:t>“</w:t>
      </w:r>
      <w:r>
        <w:rPr>
          <w:rFonts w:ascii="Palatino Linotype" w:hAnsi="Palatino Linotype" w:cs="Arial"/>
          <w:b/>
          <w:i/>
          <w:color w:val="000000"/>
          <w:sz w:val="16"/>
          <w:szCs w:val="16"/>
        </w:rPr>
        <w:t xml:space="preserve">Artículo 4. </w:t>
      </w:r>
      <w:r>
        <w:rPr>
          <w:rFonts w:ascii="Palatino Linotype" w:hAnsi="Palatino Linotype" w:cs="Arial"/>
          <w:i/>
          <w:color w:val="000000"/>
          <w:sz w:val="16"/>
          <w:szCs w:val="16"/>
        </w:rPr>
        <w:t xml:space="preserve">… </w:t>
      </w:r>
    </w:p>
    <w:p w:rsidR="00763321" w:rsidRDefault="004D0B4C">
      <w:pPr>
        <w:ind w:right="51"/>
        <w:jc w:val="both"/>
        <w:rPr>
          <w:rFonts w:ascii="Palatino Linotype" w:hAnsi="Palatino Linotype" w:cs="Arial"/>
          <w:i/>
          <w:color w:val="000000"/>
          <w:sz w:val="16"/>
          <w:szCs w:val="16"/>
        </w:rPr>
      </w:pPr>
      <w:r>
        <w:rPr>
          <w:rFonts w:ascii="Palatino Linotype" w:hAnsi="Palatino Linotype" w:cs="Arial"/>
          <w:i/>
          <w:color w:val="000000"/>
          <w:sz w:val="16"/>
          <w:szCs w:val="16"/>
        </w:rPr>
        <w:t xml:space="preserve"> </w:t>
      </w:r>
      <w:r>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63321" w:rsidRDefault="004D0B4C">
      <w:pPr>
        <w:ind w:right="51"/>
        <w:jc w:val="both"/>
        <w:rPr>
          <w:rFonts w:ascii="Palatino Linotype" w:hAnsi="Palatino Linotype" w:cs="Arial"/>
          <w:i/>
          <w:color w:val="000000"/>
          <w:sz w:val="16"/>
          <w:szCs w:val="16"/>
        </w:rPr>
      </w:pPr>
      <w:r>
        <w:rPr>
          <w:rFonts w:ascii="Palatino Linotype" w:hAnsi="Palatino Linotype" w:cs="Arial"/>
          <w:i/>
          <w:color w:val="000000"/>
          <w:sz w:val="16"/>
          <w:szCs w:val="16"/>
        </w:rPr>
        <w:t xml:space="preserve"> ...” (Énfasis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321" w:rsidRDefault="004D0B4C">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mc:AlternateContent>
        <mc:Choice Requires="wps">
          <w:drawing>
            <wp:anchor distT="0" distB="0" distL="0" distR="0" simplePos="0" relativeHeight="26" behindDoc="1" locked="0" layoutInCell="1" allowOverlap="1">
              <wp:simplePos x="0" y="0"/>
              <wp:positionH relativeFrom="column">
                <wp:align>center</wp:align>
              </wp:positionH>
              <wp:positionV relativeFrom="margin">
                <wp:align>center</wp:align>
              </wp:positionV>
              <wp:extent cx="6858635" cy="9144635"/>
              <wp:effectExtent l="0" t="0" r="0" b="0"/>
              <wp:wrapNone/>
              <wp:docPr id="18" name="WordPictureWatermark2095932798"/>
              <wp:cNvGraphicFramePr/>
              <a:graphic xmlns:a="http://schemas.openxmlformats.org/drawingml/2006/main">
                <a:graphicData uri="http://schemas.openxmlformats.org/drawingml/2006/picture">
                  <pic:pic xmlns:pic="http://schemas.openxmlformats.org/drawingml/2006/picture">
                    <pic:nvPicPr>
                      <pic:cNvPr id="0" name="WordPictureWatermark2095932798"/>
                      <pic:cNvPicPr/>
                    </pic:nvPicPr>
                    <pic:blipFill>
                      <a:blip r:embed="rId1"/>
                      <a:stretch/>
                    </pic:blipFill>
                    <pic:spPr>
                      <a:xfrm>
                        <a:off x="0" y="0"/>
                        <a:ext cx="6858000" cy="91440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shape_0" stroked="f" style="position:absolute;margin-left:-42pt;margin-top:-67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9534" w:type="dxa"/>
      <w:tblInd w:w="-142" w:type="dxa"/>
      <w:tblLook w:val="04A0" w:firstRow="1" w:lastRow="0" w:firstColumn="1" w:lastColumn="0" w:noHBand="0" w:noVBand="1"/>
    </w:tblPr>
    <w:tblGrid>
      <w:gridCol w:w="3260"/>
      <w:gridCol w:w="2551"/>
      <w:gridCol w:w="3723"/>
    </w:tblGrid>
    <w:tr w:rsidR="00763321">
      <w:tc>
        <w:tcPr>
          <w:tcW w:w="3260" w:type="dxa"/>
          <w:vMerge w:val="restart"/>
        </w:tcPr>
        <w:p w:rsidR="00763321" w:rsidRDefault="004D0B4C">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1"/>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763321" w:rsidRDefault="004D0B4C">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3" w:type="dxa"/>
          <w:shd w:val="clear" w:color="auto" w:fill="auto"/>
          <w:vAlign w:val="center"/>
        </w:tcPr>
        <w:p w:rsidR="00763321" w:rsidRDefault="004D0B4C">
          <w:pPr>
            <w:ind w:right="-533"/>
            <w:rPr>
              <w:rFonts w:ascii="Palatino Linotype" w:hAnsi="Palatino Linotype"/>
              <w:b/>
              <w:sz w:val="22"/>
              <w:szCs w:val="22"/>
            </w:rPr>
          </w:pPr>
          <w:r>
            <w:rPr>
              <w:rFonts w:ascii="Palatino Linotype" w:hAnsi="Palatino Linotype"/>
              <w:b/>
              <w:sz w:val="22"/>
              <w:szCs w:val="22"/>
            </w:rPr>
            <w:t xml:space="preserve">01062/INFOEM/IP/RR/2020 </w:t>
          </w:r>
        </w:p>
      </w:tc>
    </w:tr>
    <w:tr w:rsidR="00763321">
      <w:tc>
        <w:tcPr>
          <w:tcW w:w="3260" w:type="dxa"/>
          <w:vMerge/>
        </w:tcPr>
        <w:p w:rsidR="00763321" w:rsidRDefault="00763321">
          <w:pPr>
            <w:rPr>
              <w:rFonts w:ascii="Palatino Linotype" w:hAnsi="Palatino Linotype"/>
              <w:b/>
              <w:sz w:val="22"/>
              <w:szCs w:val="22"/>
              <w:lang w:val="es-ES_tradnl"/>
            </w:rPr>
          </w:pPr>
        </w:p>
      </w:tc>
      <w:tc>
        <w:tcPr>
          <w:tcW w:w="2551" w:type="dxa"/>
          <w:shd w:val="clear" w:color="auto" w:fill="auto"/>
        </w:tcPr>
        <w:p w:rsidR="00763321" w:rsidRDefault="004D0B4C">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3" w:type="dxa"/>
          <w:shd w:val="clear" w:color="auto" w:fill="auto"/>
          <w:vAlign w:val="center"/>
        </w:tcPr>
        <w:p w:rsidR="00763321" w:rsidRDefault="004D0B4C">
          <w:pPr>
            <w:ind w:right="-44"/>
            <w:jc w:val="both"/>
            <w:rPr>
              <w:rFonts w:ascii="Palatino Linotype" w:hAnsi="Palatino Linotype"/>
              <w:b/>
              <w:sz w:val="22"/>
              <w:szCs w:val="22"/>
            </w:rPr>
          </w:pPr>
          <w:r>
            <w:rPr>
              <w:rFonts w:ascii="Palatino Linotype" w:hAnsi="Palatino Linotype"/>
              <w:b/>
              <w:sz w:val="22"/>
              <w:szCs w:val="22"/>
            </w:rPr>
            <w:t>Ayuntamiento de Ixtapaluca</w:t>
          </w:r>
        </w:p>
      </w:tc>
    </w:tr>
    <w:tr w:rsidR="00763321">
      <w:trPr>
        <w:trHeight w:val="228"/>
      </w:trPr>
      <w:tc>
        <w:tcPr>
          <w:tcW w:w="3260" w:type="dxa"/>
          <w:vMerge/>
        </w:tcPr>
        <w:p w:rsidR="00763321" w:rsidRDefault="00763321">
          <w:pPr>
            <w:rPr>
              <w:rFonts w:ascii="Palatino Linotype" w:hAnsi="Palatino Linotype"/>
              <w:b/>
              <w:sz w:val="22"/>
              <w:szCs w:val="22"/>
              <w:lang w:val="es-ES_tradnl"/>
            </w:rPr>
          </w:pPr>
        </w:p>
      </w:tc>
      <w:tc>
        <w:tcPr>
          <w:tcW w:w="2551" w:type="dxa"/>
          <w:shd w:val="clear" w:color="auto" w:fill="auto"/>
        </w:tcPr>
        <w:p w:rsidR="00763321" w:rsidRDefault="004D0B4C">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3" w:type="dxa"/>
          <w:shd w:val="clear" w:color="auto" w:fill="auto"/>
        </w:tcPr>
        <w:p w:rsidR="00763321" w:rsidRDefault="004D0B4C">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763321" w:rsidRDefault="00763321">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321" w:rsidRDefault="004D0B4C">
    <w:pPr>
      <w:rPr>
        <w:rFonts w:ascii="Palatino Linotype" w:hAnsi="Palatino Linotype"/>
        <w:sz w:val="28"/>
        <w:szCs w:val="28"/>
      </w:rPr>
    </w:pPr>
    <w:r>
      <w:rPr>
        <w:rFonts w:ascii="Palatino Linotype" w:hAnsi="Palatino Linotype"/>
        <w:noProof/>
        <w:sz w:val="28"/>
        <w:szCs w:val="28"/>
        <w:lang w:eastAsia="es-MX"/>
      </w:rPr>
      <mc:AlternateContent>
        <mc:Choice Requires="wps">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20" name="WordPictureWatermark2095932796"/>
              <wp:cNvGraphicFramePr/>
              <a:graphic xmlns:a="http://schemas.openxmlformats.org/drawingml/2006/main">
                <a:graphicData uri="http://schemas.openxmlformats.org/drawingml/2006/picture">
                  <pic:pic xmlns:pic="http://schemas.openxmlformats.org/drawingml/2006/picture">
                    <pic:nvPicPr>
                      <pic:cNvPr id="1" name="WordPictureWatermark2095932796"/>
                      <pic:cNvPicPr/>
                    </pic:nvPicPr>
                    <pic:blipFill>
                      <a:blip r:embed="rId1"/>
                      <a:stretch/>
                    </pic:blipFill>
                    <pic:spPr>
                      <a:xfrm>
                        <a:off x="0" y="0"/>
                        <a:ext cx="6858000" cy="9144000"/>
                      </a:xfrm>
                      <a:prstGeom prst="rect">
                        <a:avLst/>
                      </a:prstGeom>
                      <a:ln>
                        <a:noFill/>
                      </a:ln>
                    </pic:spPr>
                  </pic:pic>
                </a:graphicData>
              </a:graphic>
            </wp:anchor>
          </w:drawing>
        </mc:Choice>
        <mc:Fallback>
          <w:pict>
            <v:shape id="WordPictureWatermark2095932796" o:spid="shape_0" stroked="f" style="position:absolute;margin-left:-42pt;margin-top:-67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10490" w:type="dxa"/>
      <w:tblInd w:w="-1276" w:type="dxa"/>
      <w:tblLook w:val="04A0" w:firstRow="1" w:lastRow="0" w:firstColumn="1" w:lastColumn="0" w:noHBand="0" w:noVBand="1"/>
    </w:tblPr>
    <w:tblGrid>
      <w:gridCol w:w="4252"/>
      <w:gridCol w:w="2552"/>
      <w:gridCol w:w="3686"/>
    </w:tblGrid>
    <w:tr w:rsidR="00763321">
      <w:tc>
        <w:tcPr>
          <w:tcW w:w="4252" w:type="dxa"/>
          <w:vMerge w:val="restart"/>
          <w:shd w:val="clear" w:color="auto" w:fill="auto"/>
        </w:tcPr>
        <w:p w:rsidR="00763321" w:rsidRDefault="004D0B4C">
          <w:pPr>
            <w:rPr>
              <w:rFonts w:ascii="Palatino Linotype" w:hAnsi="Palatino Linotype"/>
              <w:b/>
              <w:sz w:val="22"/>
              <w:szCs w:val="22"/>
              <w:lang w:val="es-ES_tradnl"/>
            </w:rPr>
          </w:pPr>
          <w:r>
            <w:rPr>
              <w:noProof/>
              <w:lang w:eastAsia="es-MX"/>
            </w:rPr>
            <w:drawing>
              <wp:inline distT="0" distB="0" distL="0" distR="0">
                <wp:extent cx="1663700" cy="838200"/>
                <wp:effectExtent l="0" t="0" r="0" b="0"/>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9"/>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763321" w:rsidRDefault="004D0B4C">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6" w:type="dxa"/>
          <w:shd w:val="clear" w:color="auto" w:fill="auto"/>
          <w:vAlign w:val="center"/>
        </w:tcPr>
        <w:p w:rsidR="00763321" w:rsidRDefault="004D0B4C">
          <w:pPr>
            <w:rPr>
              <w:rFonts w:ascii="Palatino Linotype" w:hAnsi="Palatino Linotype"/>
              <w:b/>
              <w:sz w:val="22"/>
              <w:szCs w:val="22"/>
            </w:rPr>
          </w:pPr>
          <w:r>
            <w:rPr>
              <w:rFonts w:ascii="Palatino Linotype" w:hAnsi="Palatino Linotype"/>
              <w:b/>
              <w:sz w:val="22"/>
              <w:szCs w:val="22"/>
            </w:rPr>
            <w:t xml:space="preserve">01062/INFOEM/IP/RR/2020 </w:t>
          </w:r>
        </w:p>
      </w:tc>
    </w:tr>
    <w:tr w:rsidR="00763321">
      <w:tc>
        <w:tcPr>
          <w:tcW w:w="4252" w:type="dxa"/>
          <w:vMerge/>
          <w:shd w:val="clear" w:color="auto" w:fill="auto"/>
        </w:tcPr>
        <w:p w:rsidR="00763321" w:rsidRDefault="00763321">
          <w:pPr>
            <w:rPr>
              <w:rFonts w:ascii="Palatino Linotype" w:hAnsi="Palatino Linotype"/>
              <w:b/>
              <w:sz w:val="22"/>
              <w:szCs w:val="22"/>
              <w:lang w:val="es-ES_tradnl"/>
            </w:rPr>
          </w:pPr>
        </w:p>
      </w:tc>
      <w:tc>
        <w:tcPr>
          <w:tcW w:w="2552" w:type="dxa"/>
          <w:shd w:val="clear" w:color="auto" w:fill="auto"/>
        </w:tcPr>
        <w:p w:rsidR="00763321" w:rsidRDefault="004D0B4C">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6" w:type="dxa"/>
          <w:shd w:val="clear" w:color="auto" w:fill="auto"/>
          <w:vAlign w:val="center"/>
        </w:tcPr>
        <w:p w:rsidR="00763321" w:rsidRDefault="00983374" w:rsidP="00983374">
          <w:pPr>
            <w:jc w:val="both"/>
            <w:rPr>
              <w:rFonts w:ascii="Palatino Linotype" w:hAnsi="Palatino Linotype"/>
              <w:b/>
              <w:sz w:val="22"/>
              <w:szCs w:val="22"/>
            </w:rPr>
          </w:pPr>
          <w:r>
            <w:rPr>
              <w:rFonts w:ascii="Palatino Linotype" w:hAnsi="Palatino Linotype"/>
              <w:b/>
              <w:sz w:val="22"/>
              <w:szCs w:val="22"/>
            </w:rPr>
            <w:t>XXXXXXXX</w:t>
          </w:r>
          <w:r w:rsidR="004D0B4C">
            <w:rPr>
              <w:rFonts w:ascii="Palatino Linotype" w:hAnsi="Palatino Linotype"/>
              <w:b/>
              <w:sz w:val="22"/>
              <w:szCs w:val="22"/>
            </w:rPr>
            <w:t xml:space="preserve"> </w:t>
          </w:r>
          <w:r>
            <w:rPr>
              <w:rFonts w:ascii="Palatino Linotype" w:hAnsi="Palatino Linotype"/>
              <w:b/>
              <w:sz w:val="22"/>
              <w:szCs w:val="22"/>
            </w:rPr>
            <w:t>XXXXXX</w:t>
          </w:r>
          <w:r w:rsidR="004D0B4C">
            <w:rPr>
              <w:rFonts w:ascii="Palatino Linotype" w:hAnsi="Palatino Linotype"/>
              <w:b/>
              <w:sz w:val="22"/>
              <w:szCs w:val="22"/>
            </w:rPr>
            <w:t xml:space="preserve"> </w:t>
          </w:r>
          <w:r>
            <w:rPr>
              <w:rFonts w:ascii="Palatino Linotype" w:hAnsi="Palatino Linotype"/>
              <w:b/>
              <w:sz w:val="22"/>
              <w:szCs w:val="22"/>
            </w:rPr>
            <w:t>XXXXXX</w:t>
          </w:r>
          <w:r w:rsidR="004D0B4C">
            <w:rPr>
              <w:rFonts w:ascii="Palatino Linotype" w:hAnsi="Palatino Linotype"/>
              <w:b/>
              <w:sz w:val="22"/>
              <w:szCs w:val="22"/>
            </w:rPr>
            <w:t xml:space="preserve"> </w:t>
          </w:r>
          <w:r>
            <w:rPr>
              <w:rFonts w:ascii="Palatino Linotype" w:hAnsi="Palatino Linotype"/>
              <w:b/>
              <w:sz w:val="22"/>
              <w:szCs w:val="22"/>
            </w:rPr>
            <w:t>XXXXXX</w:t>
          </w:r>
        </w:p>
      </w:tc>
    </w:tr>
    <w:tr w:rsidR="00763321">
      <w:trPr>
        <w:trHeight w:val="228"/>
      </w:trPr>
      <w:tc>
        <w:tcPr>
          <w:tcW w:w="4252" w:type="dxa"/>
          <w:vMerge/>
          <w:shd w:val="clear" w:color="auto" w:fill="auto"/>
        </w:tcPr>
        <w:p w:rsidR="00763321" w:rsidRDefault="00763321">
          <w:pPr>
            <w:rPr>
              <w:rFonts w:ascii="Palatino Linotype" w:hAnsi="Palatino Linotype"/>
              <w:b/>
              <w:sz w:val="22"/>
              <w:szCs w:val="22"/>
              <w:lang w:val="es-ES_tradnl"/>
            </w:rPr>
          </w:pPr>
        </w:p>
      </w:tc>
      <w:tc>
        <w:tcPr>
          <w:tcW w:w="2552" w:type="dxa"/>
          <w:shd w:val="clear" w:color="auto" w:fill="auto"/>
        </w:tcPr>
        <w:p w:rsidR="00763321" w:rsidRDefault="004D0B4C">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6" w:type="dxa"/>
          <w:shd w:val="clear" w:color="auto" w:fill="auto"/>
          <w:vAlign w:val="center"/>
        </w:tcPr>
        <w:p w:rsidR="00763321" w:rsidRDefault="004D0B4C">
          <w:pPr>
            <w:jc w:val="both"/>
            <w:rPr>
              <w:rFonts w:ascii="Palatino Linotype" w:hAnsi="Palatino Linotype"/>
              <w:b/>
              <w:sz w:val="22"/>
              <w:szCs w:val="22"/>
            </w:rPr>
          </w:pPr>
          <w:r>
            <w:rPr>
              <w:rFonts w:ascii="Palatino Linotype" w:hAnsi="Palatino Linotype"/>
              <w:b/>
              <w:sz w:val="22"/>
              <w:szCs w:val="22"/>
            </w:rPr>
            <w:t>Ayuntamiento de Ixtapaluca</w:t>
          </w:r>
        </w:p>
      </w:tc>
    </w:tr>
    <w:tr w:rsidR="00763321">
      <w:tc>
        <w:tcPr>
          <w:tcW w:w="4252" w:type="dxa"/>
          <w:vMerge/>
          <w:shd w:val="clear" w:color="auto" w:fill="auto"/>
        </w:tcPr>
        <w:p w:rsidR="00763321" w:rsidRDefault="00763321">
          <w:pPr>
            <w:rPr>
              <w:rFonts w:ascii="Palatino Linotype" w:hAnsi="Palatino Linotype"/>
              <w:b/>
              <w:sz w:val="22"/>
              <w:szCs w:val="22"/>
              <w:lang w:val="es-ES_tradnl"/>
            </w:rPr>
          </w:pPr>
        </w:p>
      </w:tc>
      <w:tc>
        <w:tcPr>
          <w:tcW w:w="2552" w:type="dxa"/>
          <w:shd w:val="clear" w:color="auto" w:fill="auto"/>
        </w:tcPr>
        <w:p w:rsidR="00763321" w:rsidRDefault="004D0B4C">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6" w:type="dxa"/>
          <w:shd w:val="clear" w:color="auto" w:fill="auto"/>
        </w:tcPr>
        <w:p w:rsidR="00763321" w:rsidRDefault="004D0B4C">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763321" w:rsidRDefault="00763321">
    <w:pPr>
      <w:rPr>
        <w:rFonts w:ascii="Palatino Linotype" w:hAnsi="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321"/>
    <w:rsid w:val="004D0B4C"/>
    <w:rsid w:val="0061378A"/>
    <w:rsid w:val="007229F4"/>
    <w:rsid w:val="00763321"/>
    <w:rsid w:val="00983374"/>
    <w:rsid w:val="00CE4AB7"/>
    <w:rsid w:val="00ED45B5"/>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8ACC45-4F07-48C7-BE0E-9F8D0AE4F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rsid w:val="00FC157F"/>
    <w:pPr>
      <w:ind w:left="566" w:hanging="283"/>
      <w:contextualSpacing/>
    </w:pPr>
    <w:rPr>
      <w:lang w:val="es-ES"/>
    </w:rPr>
  </w:style>
  <w:style w:type="paragraph" w:styleId="Listaconvietas4">
    <w:name w:val="List Bullet 4"/>
    <w:basedOn w:val="Normal"/>
    <w:uiPriority w:val="99"/>
    <w:unhideWhenUsed/>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0.jpe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2.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D6001-36FA-4A5D-BCAA-34F2026D3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5001</Words>
  <Characters>27509</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32446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Itze Hdz.</cp:lastModifiedBy>
  <cp:revision>2</cp:revision>
  <cp:lastPrinted>2020-01-22T19:55:00Z</cp:lastPrinted>
  <dcterms:created xsi:type="dcterms:W3CDTF">2020-08-21T02:19:00Z</dcterms:created>
  <dcterms:modified xsi:type="dcterms:W3CDTF">2020-08-21T02:19:00Z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