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6C8" w:rsidRPr="00E43732" w:rsidRDefault="008C15B3" w:rsidP="00E826C8">
      <w:pPr>
        <w:spacing w:before="240" w:after="240" w:line="360" w:lineRule="auto"/>
        <w:jc w:val="center"/>
        <w:rPr>
          <w:rFonts w:ascii="Palatino Linotype" w:hAnsi="Palatino Linotype"/>
          <w:b/>
        </w:rPr>
      </w:pPr>
      <w:r w:rsidRPr="00E43732">
        <w:rPr>
          <w:rFonts w:ascii="Palatino Linotype" w:hAnsi="Palatino Linotype"/>
          <w:b/>
        </w:rPr>
        <w:t>LÍNEAS ARGUMENTATIVAS</w:t>
      </w:r>
    </w:p>
    <w:p w:rsidR="00E826C8" w:rsidRPr="00E43732" w:rsidRDefault="00E826C8" w:rsidP="00E826C8">
      <w:pPr>
        <w:spacing w:line="360" w:lineRule="auto"/>
        <w:jc w:val="both"/>
        <w:rPr>
          <w:rFonts w:ascii="Palatino Linotype" w:eastAsia="Calibri" w:hAnsi="Palatino Linotype" w:cs="Times New Roman"/>
        </w:rPr>
      </w:pPr>
      <w:r w:rsidRPr="00E43732">
        <w:rPr>
          <w:rFonts w:ascii="Palatino Linotype" w:eastAsia="Calibri" w:hAnsi="Palatino Linotype" w:cs="Times New Roman"/>
          <w:b/>
        </w:rPr>
        <w:t>DE LA GARANTÍA DE PERMITIR A LOS PARTICULARES EJERCER SUS DERECHOS ARCO.</w:t>
      </w:r>
      <w:r w:rsidRPr="00E43732">
        <w:rPr>
          <w:rFonts w:ascii="Palatino Linotype" w:eastAsia="Calibri" w:hAnsi="Palatino Linotype" w:cs="Times New Roman"/>
        </w:rPr>
        <w:t xml:space="preserve"> Los sujetos obligados tienen el deber de establecer las bases, principios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rsidR="00E826C8" w:rsidRPr="00E43732" w:rsidRDefault="00E826C8" w:rsidP="00E826C8">
      <w:pPr>
        <w:spacing w:before="240" w:after="240" w:line="360" w:lineRule="auto"/>
        <w:jc w:val="both"/>
        <w:rPr>
          <w:rFonts w:ascii="Palatino Linotype" w:eastAsia="Times New Roman" w:hAnsi="Palatino Linotype"/>
        </w:rPr>
      </w:pPr>
      <w:r w:rsidRPr="00E43732">
        <w:rPr>
          <w:rFonts w:ascii="Palatino Linotype" w:eastAsia="Times New Roman" w:hAnsi="Palatino Linotype"/>
          <w:b/>
        </w:rPr>
        <w:t>DEBERES DE LAS AUTORIDADES.</w:t>
      </w:r>
      <w:r w:rsidRPr="00E43732">
        <w:rPr>
          <w:rFonts w:ascii="Palatino Linotype" w:eastAsia="Times New Roman" w:hAnsi="Palatino Linotype"/>
        </w:rPr>
        <w:t xml:space="preserve"> El acceso a datos personales es un derecho constitucionalmente reconocido en consecuencia todas las autoridades en el ámbito de sus competencias, funciones y atribuciones tienen la obligación de respetarlo, protegerlo y garantizarlo.</w:t>
      </w:r>
    </w:p>
    <w:p w:rsidR="00E826C8" w:rsidRPr="00E43732" w:rsidRDefault="00E826C8" w:rsidP="008C15B3">
      <w:pPr>
        <w:spacing w:before="240" w:after="240" w:line="360" w:lineRule="auto"/>
        <w:jc w:val="center"/>
        <w:rPr>
          <w:rFonts w:ascii="Palatino Linotype" w:hAnsi="Palatino Linotype"/>
          <w:b/>
        </w:rPr>
      </w:pPr>
    </w:p>
    <w:p w:rsidR="00E826C8" w:rsidRPr="00E43732" w:rsidRDefault="00E826C8" w:rsidP="008C15B3">
      <w:pPr>
        <w:spacing w:before="240" w:after="240" w:line="360" w:lineRule="auto"/>
        <w:jc w:val="center"/>
        <w:rPr>
          <w:rFonts w:ascii="Palatino Linotype" w:hAnsi="Palatino Linotype"/>
          <w:b/>
        </w:rPr>
      </w:pPr>
    </w:p>
    <w:p w:rsidR="00E826C8" w:rsidRPr="00E43732" w:rsidRDefault="00E826C8" w:rsidP="008C15B3">
      <w:pPr>
        <w:spacing w:before="240" w:after="240" w:line="360" w:lineRule="auto"/>
        <w:jc w:val="center"/>
        <w:rPr>
          <w:rFonts w:ascii="Palatino Linotype" w:hAnsi="Palatino Linotype"/>
          <w:b/>
        </w:rPr>
      </w:pPr>
    </w:p>
    <w:p w:rsidR="00E826C8" w:rsidRPr="00E43732" w:rsidRDefault="00E826C8" w:rsidP="00E826C8">
      <w:pPr>
        <w:spacing w:before="240" w:after="240" w:line="360" w:lineRule="auto"/>
        <w:rPr>
          <w:rFonts w:ascii="Palatino Linotype" w:hAnsi="Palatino Linotype"/>
          <w:b/>
        </w:rPr>
      </w:pPr>
    </w:p>
    <w:p w:rsidR="005C3739" w:rsidRPr="00E43732" w:rsidRDefault="005C3739" w:rsidP="00E826C8">
      <w:pPr>
        <w:spacing w:before="240" w:after="240" w:line="360" w:lineRule="auto"/>
        <w:rPr>
          <w:rFonts w:ascii="Palatino Linotype" w:hAnsi="Palatino Linotype"/>
          <w:b/>
        </w:rPr>
      </w:pPr>
    </w:p>
    <w:p w:rsidR="005C3739" w:rsidRPr="00E43732" w:rsidRDefault="005C3739" w:rsidP="00E826C8">
      <w:pPr>
        <w:spacing w:before="240" w:after="240" w:line="360" w:lineRule="auto"/>
        <w:rPr>
          <w:rFonts w:ascii="Palatino Linotype" w:hAnsi="Palatino Linotype"/>
          <w:b/>
        </w:rPr>
      </w:pPr>
    </w:p>
    <w:p w:rsidR="00A55BA0" w:rsidRPr="00E43732" w:rsidRDefault="008C54C1" w:rsidP="00A55BA0">
      <w:pPr>
        <w:spacing w:before="240" w:after="240" w:line="360" w:lineRule="auto"/>
        <w:jc w:val="center"/>
        <w:rPr>
          <w:rFonts w:ascii="Palatino Linotype" w:hAnsi="Palatino Linotype"/>
        </w:rPr>
      </w:pPr>
      <w:r w:rsidRPr="00E43732">
        <w:rPr>
          <w:rFonts w:ascii="Palatino Linotype" w:hAnsi="Palatino Linotype"/>
          <w:b/>
        </w:rPr>
        <w:lastRenderedPageBreak/>
        <w:t>ÍNDICE</w:t>
      </w:r>
      <w:r w:rsidR="00A55BA0" w:rsidRPr="00E4373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E43732" w:rsidRDefault="00A55BA0" w:rsidP="00A55BA0">
          <w:pPr>
            <w:pStyle w:val="TtulodeTDC"/>
            <w:spacing w:line="480" w:lineRule="auto"/>
          </w:pPr>
        </w:p>
        <w:p w:rsidR="005C3739" w:rsidRPr="00E43732" w:rsidRDefault="00A55BA0">
          <w:pPr>
            <w:pStyle w:val="TDC1"/>
            <w:tabs>
              <w:tab w:val="right" w:leader="dot" w:pos="8779"/>
            </w:tabs>
            <w:rPr>
              <w:rFonts w:ascii="Palatino Linotype" w:hAnsi="Palatino Linotype"/>
              <w:b/>
              <w:noProof/>
              <w:sz w:val="22"/>
              <w:szCs w:val="22"/>
              <w:lang w:val="es-MX" w:eastAsia="es-MX"/>
            </w:rPr>
          </w:pPr>
          <w:r w:rsidRPr="00E43732">
            <w:rPr>
              <w:rFonts w:ascii="Palatino Linotype" w:hAnsi="Palatino Linotype"/>
              <w:b/>
            </w:rPr>
            <w:fldChar w:fldCharType="begin"/>
          </w:r>
          <w:r w:rsidRPr="00E43732">
            <w:rPr>
              <w:rFonts w:ascii="Palatino Linotype" w:hAnsi="Palatino Linotype"/>
              <w:b/>
            </w:rPr>
            <w:instrText xml:space="preserve"> TOC \o "1-3" \h \z \u </w:instrText>
          </w:r>
          <w:r w:rsidRPr="00E43732">
            <w:rPr>
              <w:rFonts w:ascii="Palatino Linotype" w:hAnsi="Palatino Linotype"/>
              <w:b/>
            </w:rPr>
            <w:fldChar w:fldCharType="separate"/>
          </w:r>
          <w:hyperlink w:anchor="_Toc57403617" w:history="1">
            <w:r w:rsidR="005C3739" w:rsidRPr="00E43732">
              <w:rPr>
                <w:rStyle w:val="Hipervnculo"/>
                <w:rFonts w:ascii="Palatino Linotype" w:hAnsi="Palatino Linotype"/>
                <w:b/>
                <w:noProof/>
              </w:rPr>
              <w:t>ANTECEDENTES</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_Toc57403617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3</w:t>
            </w:r>
            <w:r w:rsidR="005C3739" w:rsidRPr="00E43732">
              <w:rPr>
                <w:rFonts w:ascii="Palatino Linotype" w:hAnsi="Palatino Linotype"/>
                <w:b/>
                <w:noProof/>
                <w:webHidden/>
              </w:rPr>
              <w:fldChar w:fldCharType="end"/>
            </w:r>
          </w:hyperlink>
        </w:p>
        <w:p w:rsidR="005C3739" w:rsidRPr="00E43732" w:rsidRDefault="003A2F1A">
          <w:pPr>
            <w:pStyle w:val="TDC1"/>
            <w:tabs>
              <w:tab w:val="right" w:leader="dot" w:pos="8779"/>
            </w:tabs>
            <w:rPr>
              <w:rFonts w:ascii="Palatino Linotype" w:hAnsi="Palatino Linotype"/>
              <w:b/>
              <w:noProof/>
              <w:sz w:val="22"/>
              <w:szCs w:val="22"/>
              <w:lang w:val="es-MX" w:eastAsia="es-MX"/>
            </w:rPr>
          </w:pPr>
          <w:hyperlink w:anchor="_Toc57403618" w:history="1">
            <w:r w:rsidR="005C3739" w:rsidRPr="00E43732">
              <w:rPr>
                <w:rStyle w:val="Hipervnculo"/>
                <w:rFonts w:ascii="Palatino Linotype" w:hAnsi="Palatino Linotype"/>
                <w:b/>
                <w:noProof/>
              </w:rPr>
              <w:t>CONSIDERANDO</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_Toc57403618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9</w:t>
            </w:r>
            <w:r w:rsidR="005C3739" w:rsidRPr="00E43732">
              <w:rPr>
                <w:rFonts w:ascii="Palatino Linotype" w:hAnsi="Palatino Linotype"/>
                <w:b/>
                <w:noProof/>
                <w:webHidden/>
              </w:rPr>
              <w:fldChar w:fldCharType="end"/>
            </w:r>
          </w:hyperlink>
        </w:p>
        <w:p w:rsidR="005C3739" w:rsidRPr="00E43732" w:rsidRDefault="003A2F1A">
          <w:pPr>
            <w:pStyle w:val="TDC2"/>
            <w:rPr>
              <w:rFonts w:ascii="Palatino Linotype" w:hAnsi="Palatino Linotype"/>
              <w:b/>
              <w:noProof/>
              <w:sz w:val="22"/>
              <w:szCs w:val="22"/>
              <w:lang w:val="es-MX" w:eastAsia="es-MX"/>
            </w:rPr>
          </w:pPr>
          <w:hyperlink w:anchor="_Toc57403619" w:history="1">
            <w:r w:rsidR="005C3739" w:rsidRPr="00E43732">
              <w:rPr>
                <w:rStyle w:val="Hipervnculo"/>
                <w:rFonts w:ascii="Palatino Linotype" w:hAnsi="Palatino Linotype"/>
                <w:b/>
                <w:noProof/>
              </w:rPr>
              <w:t>PRIMERO. De la competencia</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_Toc57403619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9</w:t>
            </w:r>
            <w:r w:rsidR="005C3739" w:rsidRPr="00E43732">
              <w:rPr>
                <w:rFonts w:ascii="Palatino Linotype" w:hAnsi="Palatino Linotype"/>
                <w:b/>
                <w:noProof/>
                <w:webHidden/>
              </w:rPr>
              <w:fldChar w:fldCharType="end"/>
            </w:r>
          </w:hyperlink>
        </w:p>
        <w:p w:rsidR="005C3739" w:rsidRPr="00E43732" w:rsidRDefault="003A2F1A">
          <w:pPr>
            <w:pStyle w:val="TDC2"/>
            <w:rPr>
              <w:rFonts w:ascii="Palatino Linotype" w:hAnsi="Palatino Linotype"/>
              <w:b/>
              <w:noProof/>
              <w:sz w:val="22"/>
              <w:szCs w:val="22"/>
              <w:lang w:val="es-MX" w:eastAsia="es-MX"/>
            </w:rPr>
          </w:pPr>
          <w:hyperlink w:anchor="_Toc57403620" w:history="1">
            <w:r w:rsidR="005C3739" w:rsidRPr="00E43732">
              <w:rPr>
                <w:rStyle w:val="Hipervnculo"/>
                <w:rFonts w:ascii="Palatino Linotype" w:hAnsi="Palatino Linotype"/>
                <w:b/>
                <w:noProof/>
              </w:rPr>
              <w:t>SEGUNDO. De la oportunidad y procedencia.</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_Toc57403620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10</w:t>
            </w:r>
            <w:r w:rsidR="005C3739" w:rsidRPr="00E43732">
              <w:rPr>
                <w:rFonts w:ascii="Palatino Linotype" w:hAnsi="Palatino Linotype"/>
                <w:b/>
                <w:noProof/>
                <w:webHidden/>
              </w:rPr>
              <w:fldChar w:fldCharType="end"/>
            </w:r>
          </w:hyperlink>
        </w:p>
        <w:p w:rsidR="005C3739" w:rsidRPr="00E43732" w:rsidRDefault="003A2F1A">
          <w:pPr>
            <w:pStyle w:val="TDC2"/>
            <w:rPr>
              <w:rFonts w:ascii="Palatino Linotype" w:hAnsi="Palatino Linotype"/>
              <w:b/>
              <w:noProof/>
              <w:sz w:val="22"/>
              <w:szCs w:val="22"/>
              <w:lang w:val="es-MX" w:eastAsia="es-MX"/>
            </w:rPr>
          </w:pPr>
          <w:hyperlink w:anchor="_Toc57403621" w:history="1">
            <w:r w:rsidR="005C3739" w:rsidRPr="00E43732">
              <w:rPr>
                <w:rStyle w:val="Hipervnculo"/>
                <w:rFonts w:ascii="Palatino Linotype" w:eastAsia="Calibri" w:hAnsi="Palatino Linotype" w:cs="Times New Roman"/>
                <w:b/>
                <w:bCs/>
                <w:noProof/>
                <w:lang w:val="es-ES"/>
              </w:rPr>
              <w:t xml:space="preserve">TERCERO. Del planteamiento de la </w:t>
            </w:r>
            <w:r w:rsidR="005C3739" w:rsidRPr="00E43732">
              <w:rPr>
                <w:rStyle w:val="Hipervnculo"/>
                <w:rFonts w:ascii="Palatino Linotype" w:eastAsia="Calibri" w:hAnsi="Palatino Linotype" w:cs="Times New Roman"/>
                <w:b/>
                <w:bCs/>
                <w:i/>
                <w:noProof/>
                <w:lang w:val="es-ES"/>
              </w:rPr>
              <w:t>Litis</w:t>
            </w:r>
            <w:r w:rsidR="005C3739" w:rsidRPr="00E43732">
              <w:rPr>
                <w:rStyle w:val="Hipervnculo"/>
                <w:rFonts w:ascii="Palatino Linotype" w:eastAsia="Calibri" w:hAnsi="Palatino Linotype" w:cs="Times New Roman"/>
                <w:b/>
                <w:bCs/>
                <w:noProof/>
                <w:lang w:val="es-ES"/>
              </w:rPr>
              <w:t>.</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_Toc57403621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11</w:t>
            </w:r>
            <w:r w:rsidR="005C3739" w:rsidRPr="00E43732">
              <w:rPr>
                <w:rFonts w:ascii="Palatino Linotype" w:hAnsi="Palatino Linotype"/>
                <w:b/>
                <w:noProof/>
                <w:webHidden/>
              </w:rPr>
              <w:fldChar w:fldCharType="end"/>
            </w:r>
          </w:hyperlink>
        </w:p>
        <w:p w:rsidR="005C3739" w:rsidRPr="00E43732" w:rsidRDefault="003A2F1A">
          <w:pPr>
            <w:pStyle w:val="TDC2"/>
            <w:rPr>
              <w:rFonts w:ascii="Palatino Linotype" w:hAnsi="Palatino Linotype"/>
              <w:b/>
              <w:noProof/>
              <w:sz w:val="22"/>
              <w:szCs w:val="22"/>
              <w:lang w:val="es-MX" w:eastAsia="es-MX"/>
            </w:rPr>
          </w:pPr>
          <w:hyperlink w:anchor="_Toc57403622" w:history="1">
            <w:r w:rsidR="005C3739" w:rsidRPr="00E43732">
              <w:rPr>
                <w:rStyle w:val="Hipervnculo"/>
                <w:rFonts w:ascii="Palatino Linotype" w:eastAsia="MS Gothic" w:hAnsi="Palatino Linotype" w:cs="Times New Roman"/>
                <w:b/>
                <w:noProof/>
              </w:rPr>
              <w:t>CUARTO. Del estudio y resolución del asunto</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_Toc57403622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12</w:t>
            </w:r>
            <w:r w:rsidR="005C3739" w:rsidRPr="00E43732">
              <w:rPr>
                <w:rFonts w:ascii="Palatino Linotype" w:hAnsi="Palatino Linotype"/>
                <w:b/>
                <w:noProof/>
                <w:webHidden/>
              </w:rPr>
              <w:fldChar w:fldCharType="end"/>
            </w:r>
          </w:hyperlink>
        </w:p>
        <w:p w:rsidR="005C3739" w:rsidRPr="00E43732" w:rsidRDefault="003A2F1A" w:rsidP="005C3739">
          <w:pPr>
            <w:pStyle w:val="TDC3"/>
            <w:tabs>
              <w:tab w:val="right" w:leader="dot" w:pos="8779"/>
            </w:tabs>
            <w:ind w:left="0"/>
            <w:rPr>
              <w:rFonts w:ascii="Palatino Linotype" w:hAnsi="Palatino Linotype"/>
              <w:b/>
              <w:noProof/>
              <w:sz w:val="22"/>
              <w:szCs w:val="22"/>
              <w:lang w:val="es-MX" w:eastAsia="es-MX"/>
            </w:rPr>
          </w:pPr>
          <w:hyperlink w:anchor="_Toc57403623" w:history="1">
            <w:r w:rsidR="005C3739" w:rsidRPr="00E43732">
              <w:rPr>
                <w:rStyle w:val="Hipervnculo"/>
                <w:rFonts w:ascii="Palatino Linotype" w:eastAsia="MS Gothic" w:hAnsi="Palatino Linotype" w:cs="Times New Roman"/>
                <w:b/>
                <w:noProof/>
              </w:rPr>
              <w:t>I. Del Procedimiento de acceso a datos personales.</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_Toc57403623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12</w:t>
            </w:r>
            <w:r w:rsidR="005C3739" w:rsidRPr="00E43732">
              <w:rPr>
                <w:rFonts w:ascii="Palatino Linotype" w:hAnsi="Palatino Linotype"/>
                <w:b/>
                <w:noProof/>
                <w:webHidden/>
              </w:rPr>
              <w:fldChar w:fldCharType="end"/>
            </w:r>
          </w:hyperlink>
        </w:p>
        <w:p w:rsidR="005C3739" w:rsidRPr="00E43732" w:rsidRDefault="003A2F1A">
          <w:pPr>
            <w:pStyle w:val="TDC1"/>
            <w:tabs>
              <w:tab w:val="right" w:leader="dot" w:pos="8779"/>
            </w:tabs>
            <w:rPr>
              <w:rFonts w:ascii="Palatino Linotype" w:hAnsi="Palatino Linotype"/>
              <w:b/>
              <w:noProof/>
              <w:sz w:val="22"/>
              <w:szCs w:val="22"/>
              <w:lang w:val="es-MX" w:eastAsia="es-MX"/>
            </w:rPr>
          </w:pPr>
          <w:hyperlink w:anchor="_Toc57403624" w:history="1">
            <w:r w:rsidR="005C3739" w:rsidRPr="00E43732">
              <w:rPr>
                <w:rStyle w:val="Hipervnculo"/>
                <w:rFonts w:ascii="Palatino Linotype" w:hAnsi="Palatino Linotype"/>
                <w:b/>
                <w:noProof/>
                <w:lang w:val="es-ES"/>
              </w:rPr>
              <w:t>R E S O L U T I V O S</w:t>
            </w:r>
            <w:r w:rsidR="005C3739" w:rsidRPr="00E43732">
              <w:rPr>
                <w:rFonts w:ascii="Palatino Linotype" w:hAnsi="Palatino Linotype"/>
                <w:b/>
                <w:noProof/>
                <w:webHidden/>
              </w:rPr>
              <w:tab/>
            </w:r>
            <w:r w:rsidR="005C3739" w:rsidRPr="00E43732">
              <w:rPr>
                <w:rFonts w:ascii="Palatino Linotype" w:hAnsi="Palatino Linotype"/>
                <w:b/>
                <w:noProof/>
                <w:webHidden/>
              </w:rPr>
              <w:fldChar w:fldCharType="begin"/>
            </w:r>
            <w:r w:rsidR="005C3739" w:rsidRPr="00E43732">
              <w:rPr>
                <w:rFonts w:ascii="Palatino Linotype" w:hAnsi="Palatino Linotype"/>
                <w:b/>
                <w:noProof/>
                <w:webHidden/>
              </w:rPr>
              <w:instrText xml:space="preserve"> PAGEREF _Toc57403624 \h </w:instrText>
            </w:r>
            <w:r w:rsidR="005C3739" w:rsidRPr="00E43732">
              <w:rPr>
                <w:rFonts w:ascii="Palatino Linotype" w:hAnsi="Palatino Linotype"/>
                <w:b/>
                <w:noProof/>
                <w:webHidden/>
              </w:rPr>
            </w:r>
            <w:r w:rsidR="005C3739" w:rsidRPr="00E43732">
              <w:rPr>
                <w:rFonts w:ascii="Palatino Linotype" w:hAnsi="Palatino Linotype"/>
                <w:b/>
                <w:noProof/>
                <w:webHidden/>
              </w:rPr>
              <w:fldChar w:fldCharType="separate"/>
            </w:r>
            <w:r w:rsidR="005C3739" w:rsidRPr="00E43732">
              <w:rPr>
                <w:rFonts w:ascii="Palatino Linotype" w:hAnsi="Palatino Linotype"/>
                <w:b/>
                <w:noProof/>
                <w:webHidden/>
              </w:rPr>
              <w:t>19</w:t>
            </w:r>
            <w:r w:rsidR="005C3739" w:rsidRPr="00E43732">
              <w:rPr>
                <w:rFonts w:ascii="Palatino Linotype" w:hAnsi="Palatino Linotype"/>
                <w:b/>
                <w:noProof/>
                <w:webHidden/>
              </w:rPr>
              <w:fldChar w:fldCharType="end"/>
            </w:r>
          </w:hyperlink>
        </w:p>
        <w:p w:rsidR="00A55BA0" w:rsidRPr="00E43732" w:rsidRDefault="00A55BA0" w:rsidP="008C54C1">
          <w:pPr>
            <w:pStyle w:val="TDC1"/>
            <w:tabs>
              <w:tab w:val="right" w:leader="dot" w:pos="8779"/>
            </w:tabs>
            <w:rPr>
              <w:bCs/>
              <w:lang w:val="es-ES"/>
            </w:rPr>
          </w:pPr>
          <w:r w:rsidRPr="00E43732">
            <w:rPr>
              <w:rFonts w:ascii="Palatino Linotype" w:hAnsi="Palatino Linotype"/>
              <w:b/>
              <w:bCs/>
              <w:lang w:val="es-ES"/>
            </w:rPr>
            <w:fldChar w:fldCharType="end"/>
          </w:r>
        </w:p>
      </w:sdtContent>
    </w:sdt>
    <w:p w:rsidR="006E5EF0" w:rsidRPr="00E43732" w:rsidRDefault="006E5EF0">
      <w:pPr>
        <w:spacing w:after="160" w:line="259" w:lineRule="auto"/>
        <w:rPr>
          <w:rFonts w:ascii="Palatino Linotype" w:hAnsi="Palatino Linotype"/>
        </w:rPr>
      </w:pPr>
      <w:r w:rsidRPr="00E43732">
        <w:rPr>
          <w:rFonts w:ascii="Palatino Linotype" w:hAnsi="Palatino Linotype"/>
        </w:rPr>
        <w:br w:type="page"/>
      </w:r>
    </w:p>
    <w:p w:rsidR="00A55BA0" w:rsidRPr="00E43732" w:rsidRDefault="00A55BA0" w:rsidP="00A55BA0">
      <w:pPr>
        <w:spacing w:before="240" w:after="240" w:line="360" w:lineRule="auto"/>
        <w:jc w:val="both"/>
        <w:rPr>
          <w:rFonts w:ascii="Palatino Linotype" w:hAnsi="Palatino Linotype"/>
        </w:rPr>
      </w:pPr>
      <w:r w:rsidRPr="00E4373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E43732" w:rsidRPr="00E43732">
        <w:rPr>
          <w:rFonts w:ascii="Palatino Linotype" w:hAnsi="Palatino Linotype"/>
        </w:rPr>
        <w:t>nueve</w:t>
      </w:r>
      <w:r w:rsidR="00ED56BC" w:rsidRPr="00E43732">
        <w:rPr>
          <w:rFonts w:ascii="Palatino Linotype" w:hAnsi="Palatino Linotype"/>
        </w:rPr>
        <w:t xml:space="preserve"> (</w:t>
      </w:r>
      <w:r w:rsidR="00E43732" w:rsidRPr="00E43732">
        <w:rPr>
          <w:rFonts w:ascii="Palatino Linotype" w:hAnsi="Palatino Linotype"/>
        </w:rPr>
        <w:t>09</w:t>
      </w:r>
      <w:r w:rsidR="00ED56BC" w:rsidRPr="00E43732">
        <w:rPr>
          <w:rFonts w:ascii="Palatino Linotype" w:hAnsi="Palatino Linotype"/>
        </w:rPr>
        <w:t xml:space="preserve">) de </w:t>
      </w:r>
      <w:r w:rsidR="00F5714C" w:rsidRPr="00E43732">
        <w:rPr>
          <w:rFonts w:ascii="Palatino Linotype" w:hAnsi="Palatino Linotype"/>
        </w:rPr>
        <w:t xml:space="preserve">diciembre </w:t>
      </w:r>
      <w:r w:rsidRPr="00E43732">
        <w:rPr>
          <w:rFonts w:ascii="Palatino Linotype" w:hAnsi="Palatino Linotype"/>
        </w:rPr>
        <w:t>de dos mil</w:t>
      </w:r>
      <w:r w:rsidR="00F5714C" w:rsidRPr="00E43732">
        <w:rPr>
          <w:rFonts w:ascii="Palatino Linotype" w:hAnsi="Palatino Linotype"/>
        </w:rPr>
        <w:t xml:space="preserve"> veinte</w:t>
      </w:r>
      <w:r w:rsidRPr="00E43732">
        <w:rPr>
          <w:rFonts w:ascii="Palatino Linotype" w:hAnsi="Palatino Linotype"/>
        </w:rPr>
        <w:t>.</w:t>
      </w:r>
    </w:p>
    <w:p w:rsidR="00A55BA0" w:rsidRPr="00E43732" w:rsidRDefault="00A55BA0" w:rsidP="00A55BA0">
      <w:pPr>
        <w:spacing w:before="240" w:after="360" w:line="360" w:lineRule="auto"/>
        <w:jc w:val="both"/>
        <w:rPr>
          <w:rFonts w:ascii="Palatino Linotype" w:hAnsi="Palatino Linotype"/>
        </w:rPr>
      </w:pPr>
      <w:r w:rsidRPr="00E43732">
        <w:rPr>
          <w:rFonts w:ascii="Palatino Linotype" w:hAnsi="Palatino Linotype"/>
          <w:b/>
        </w:rPr>
        <w:t>VISTO</w:t>
      </w:r>
      <w:r w:rsidRPr="00E43732">
        <w:rPr>
          <w:rFonts w:ascii="Palatino Linotype" w:hAnsi="Palatino Linotype"/>
        </w:rPr>
        <w:t xml:space="preserve"> el expediente electrónico formado con motivo del recurso de revisión </w:t>
      </w:r>
      <w:r w:rsidR="002B3AE8" w:rsidRPr="00E43732">
        <w:rPr>
          <w:rFonts w:ascii="Palatino Linotype" w:hAnsi="Palatino Linotype" w:cs="Arial"/>
          <w:b/>
          <w:bCs/>
        </w:rPr>
        <w:t>03628</w:t>
      </w:r>
      <w:r w:rsidRPr="00E43732">
        <w:rPr>
          <w:rFonts w:ascii="Palatino Linotype" w:hAnsi="Palatino Linotype" w:cs="Arial"/>
          <w:b/>
          <w:bCs/>
        </w:rPr>
        <w:t>/INFOEM/</w:t>
      </w:r>
      <w:r w:rsidR="0073789D" w:rsidRPr="00E43732">
        <w:rPr>
          <w:rFonts w:ascii="Palatino Linotype" w:hAnsi="Palatino Linotype" w:cs="Arial"/>
          <w:b/>
          <w:bCs/>
        </w:rPr>
        <w:t>AD</w:t>
      </w:r>
      <w:r w:rsidRPr="00E43732">
        <w:rPr>
          <w:rFonts w:ascii="Palatino Linotype" w:hAnsi="Palatino Linotype" w:cs="Arial"/>
          <w:b/>
          <w:bCs/>
        </w:rPr>
        <w:t>/RR/</w:t>
      </w:r>
      <w:r w:rsidR="00F5714C" w:rsidRPr="00E43732">
        <w:rPr>
          <w:rFonts w:ascii="Palatino Linotype" w:hAnsi="Palatino Linotype" w:cs="Arial"/>
          <w:b/>
          <w:bCs/>
        </w:rPr>
        <w:t>2020</w:t>
      </w:r>
      <w:r w:rsidRPr="00E43732">
        <w:rPr>
          <w:rFonts w:ascii="Palatino Linotype" w:hAnsi="Palatino Linotype" w:cs="Arial"/>
          <w:b/>
          <w:bCs/>
        </w:rPr>
        <w:t xml:space="preserve">, </w:t>
      </w:r>
      <w:r w:rsidR="00ED56BC" w:rsidRPr="00E43732">
        <w:rPr>
          <w:rFonts w:ascii="Palatino Linotype" w:hAnsi="Palatino Linotype"/>
        </w:rPr>
        <w:t xml:space="preserve">promovido </w:t>
      </w:r>
      <w:r w:rsidR="00FF0C84" w:rsidRPr="00E43732">
        <w:rPr>
          <w:rFonts w:ascii="Palatino Linotype" w:hAnsi="Palatino Linotype"/>
        </w:rPr>
        <w:t>por</w:t>
      </w:r>
      <w:r w:rsidR="00F5714C" w:rsidRPr="00E43732">
        <w:rPr>
          <w:rFonts w:ascii="Palatino Linotype" w:hAnsi="Palatino Linotype"/>
        </w:rPr>
        <w:t xml:space="preserve"> </w:t>
      </w:r>
      <w:r w:rsidR="002040BB" w:rsidRPr="002040BB">
        <w:rPr>
          <w:rFonts w:ascii="Palatino Linotype" w:hAnsi="Palatino Linotype"/>
          <w:b/>
          <w:highlight w:val="black"/>
        </w:rPr>
        <w:t>------------------------------------</w:t>
      </w:r>
      <w:r w:rsidR="007946CF" w:rsidRPr="00E43732">
        <w:rPr>
          <w:rFonts w:ascii="Palatino Linotype" w:hAnsi="Palatino Linotype"/>
          <w:bCs/>
        </w:rPr>
        <w:t>, en su calidad de</w:t>
      </w:r>
      <w:r w:rsidRPr="00E43732">
        <w:rPr>
          <w:rFonts w:ascii="Palatino Linotype" w:hAnsi="Palatino Linotype" w:cs="Arial"/>
        </w:rPr>
        <w:t xml:space="preserve"> </w:t>
      </w:r>
      <w:r w:rsidRPr="00E43732">
        <w:rPr>
          <w:rFonts w:ascii="Palatino Linotype" w:hAnsi="Palatino Linotype" w:cs="Arial"/>
          <w:b/>
        </w:rPr>
        <w:t>RECURRENTE</w:t>
      </w:r>
      <w:r w:rsidRPr="00E43732">
        <w:rPr>
          <w:rFonts w:ascii="Palatino Linotype" w:hAnsi="Palatino Linotype" w:cs="Arial"/>
        </w:rPr>
        <w:t>, en contra de la</w:t>
      </w:r>
      <w:r w:rsidR="00277C08" w:rsidRPr="00E43732">
        <w:rPr>
          <w:rFonts w:ascii="Palatino Linotype" w:hAnsi="Palatino Linotype" w:cs="Arial"/>
        </w:rPr>
        <w:t xml:space="preserve"> </w:t>
      </w:r>
      <w:r w:rsidRPr="00E43732">
        <w:rPr>
          <w:rFonts w:ascii="Palatino Linotype" w:hAnsi="Palatino Linotype" w:cs="Arial"/>
        </w:rPr>
        <w:t>respuesta de</w:t>
      </w:r>
      <w:r w:rsidR="0073789D" w:rsidRPr="00E43732">
        <w:rPr>
          <w:rFonts w:ascii="Palatino Linotype" w:hAnsi="Palatino Linotype" w:cs="Arial"/>
        </w:rPr>
        <w:t xml:space="preserve"> </w:t>
      </w:r>
      <w:r w:rsidRPr="00E43732">
        <w:rPr>
          <w:rFonts w:ascii="Palatino Linotype" w:hAnsi="Palatino Linotype" w:cs="Arial"/>
        </w:rPr>
        <w:t>l</w:t>
      </w:r>
      <w:r w:rsidR="0073789D" w:rsidRPr="00E43732">
        <w:rPr>
          <w:rFonts w:ascii="Palatino Linotype" w:hAnsi="Palatino Linotype" w:cs="Arial"/>
        </w:rPr>
        <w:t>a</w:t>
      </w:r>
      <w:r w:rsidR="00F5714C" w:rsidRPr="00E43732">
        <w:rPr>
          <w:rFonts w:ascii="Palatino Linotype" w:hAnsi="Palatino Linotype" w:cs="Arial"/>
          <w:b/>
        </w:rPr>
        <w:t xml:space="preserve"> Secretaría Movilidad</w:t>
      </w:r>
      <w:r w:rsidR="0073789D" w:rsidRPr="00E43732">
        <w:rPr>
          <w:rFonts w:ascii="Palatino Linotype" w:hAnsi="Palatino Linotype" w:cs="Arial"/>
          <w:b/>
        </w:rPr>
        <w:t>,</w:t>
      </w:r>
      <w:r w:rsidR="009D2081" w:rsidRPr="00E43732">
        <w:rPr>
          <w:rFonts w:ascii="Palatino Linotype" w:hAnsi="Palatino Linotype" w:cs="Arial"/>
          <w:b/>
        </w:rPr>
        <w:t xml:space="preserve"> </w:t>
      </w:r>
      <w:r w:rsidRPr="00E43732">
        <w:rPr>
          <w:rFonts w:ascii="Palatino Linotype" w:hAnsi="Palatino Linotype"/>
        </w:rPr>
        <w:t>en lo sucesivo el</w:t>
      </w:r>
      <w:r w:rsidRPr="00E43732">
        <w:rPr>
          <w:rFonts w:ascii="Palatino Linotype" w:hAnsi="Palatino Linotype"/>
          <w:b/>
        </w:rPr>
        <w:t xml:space="preserve"> SUJETO OBLIGADO, </w:t>
      </w:r>
      <w:r w:rsidRPr="00E43732">
        <w:rPr>
          <w:rFonts w:ascii="Palatino Linotype" w:hAnsi="Palatino Linotype"/>
        </w:rPr>
        <w:t xml:space="preserve">se procede a dictar la presente resolución, con base en los siguientes: </w:t>
      </w:r>
    </w:p>
    <w:p w:rsidR="00A55BA0" w:rsidRPr="00E43732" w:rsidRDefault="00A55BA0" w:rsidP="00A55BA0">
      <w:pPr>
        <w:pStyle w:val="Ttulo1"/>
        <w:jc w:val="center"/>
        <w:rPr>
          <w:b w:val="0"/>
        </w:rPr>
      </w:pPr>
      <w:bookmarkStart w:id="0" w:name="_Toc57403617"/>
      <w:r w:rsidRPr="00E43732">
        <w:t>ANTECEDENTES</w:t>
      </w:r>
      <w:bookmarkEnd w:id="0"/>
    </w:p>
    <w:p w:rsidR="006E5EF0" w:rsidRPr="00E43732"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E43732"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E43732">
        <w:rPr>
          <w:rFonts w:ascii="Palatino Linotype" w:eastAsia="Calibri" w:hAnsi="Palatino Linotype" w:cs="Arial"/>
          <w:lang w:val="es-ES"/>
        </w:rPr>
        <w:t>E</w:t>
      </w:r>
      <w:r w:rsidR="00A55BA0" w:rsidRPr="00E43732">
        <w:rPr>
          <w:rFonts w:ascii="Palatino Linotype" w:eastAsia="Calibri" w:hAnsi="Palatino Linotype" w:cs="Arial"/>
          <w:lang w:val="es-ES"/>
        </w:rPr>
        <w:t xml:space="preserve">l </w:t>
      </w:r>
      <w:r w:rsidR="00F5714C" w:rsidRPr="00E43732">
        <w:rPr>
          <w:rFonts w:ascii="Palatino Linotype" w:eastAsia="Calibri" w:hAnsi="Palatino Linotype" w:cs="Arial"/>
          <w:lang w:val="es-ES"/>
        </w:rPr>
        <w:t>tres</w:t>
      </w:r>
      <w:r w:rsidR="00A55BA0" w:rsidRPr="00E43732">
        <w:rPr>
          <w:rFonts w:ascii="Palatino Linotype" w:eastAsia="Calibri" w:hAnsi="Palatino Linotype" w:cs="Arial"/>
          <w:lang w:val="es-ES"/>
        </w:rPr>
        <w:t xml:space="preserve"> (</w:t>
      </w:r>
      <w:r w:rsidR="00F5714C" w:rsidRPr="00E43732">
        <w:rPr>
          <w:rFonts w:ascii="Palatino Linotype" w:eastAsia="Calibri" w:hAnsi="Palatino Linotype" w:cs="Arial"/>
          <w:lang w:val="es-ES"/>
        </w:rPr>
        <w:t>03</w:t>
      </w:r>
      <w:r w:rsidR="009E411C" w:rsidRPr="00E43732">
        <w:rPr>
          <w:rFonts w:ascii="Palatino Linotype" w:eastAsia="Calibri" w:hAnsi="Palatino Linotype" w:cs="Arial"/>
          <w:lang w:val="es-ES"/>
        </w:rPr>
        <w:t>)</w:t>
      </w:r>
      <w:r w:rsidR="00A55BA0" w:rsidRPr="00E43732">
        <w:rPr>
          <w:rFonts w:ascii="Palatino Linotype" w:eastAsia="Calibri" w:hAnsi="Palatino Linotype" w:cs="Arial"/>
          <w:lang w:val="es-ES"/>
        </w:rPr>
        <w:t xml:space="preserve"> de</w:t>
      </w:r>
      <w:r w:rsidR="00F5714C" w:rsidRPr="00E43732">
        <w:rPr>
          <w:rFonts w:ascii="Palatino Linotype" w:eastAsia="Calibri" w:hAnsi="Palatino Linotype" w:cs="Arial"/>
          <w:lang w:val="es-ES"/>
        </w:rPr>
        <w:t xml:space="preserve"> agosto </w:t>
      </w:r>
      <w:r w:rsidR="0030660D" w:rsidRPr="00E43732">
        <w:rPr>
          <w:rFonts w:ascii="Palatino Linotype" w:eastAsia="Calibri" w:hAnsi="Palatino Linotype" w:cs="Arial"/>
          <w:lang w:val="es-ES"/>
        </w:rPr>
        <w:t>d</w:t>
      </w:r>
      <w:r w:rsidR="00A55BA0" w:rsidRPr="00E43732">
        <w:rPr>
          <w:rFonts w:ascii="Palatino Linotype" w:eastAsia="Calibri" w:hAnsi="Palatino Linotype" w:cs="Arial"/>
          <w:lang w:val="es-ES"/>
        </w:rPr>
        <w:t xml:space="preserve">e dos mil </w:t>
      </w:r>
      <w:r w:rsidR="005D791C" w:rsidRPr="00E43732">
        <w:rPr>
          <w:rFonts w:ascii="Palatino Linotype" w:eastAsia="Calibri" w:hAnsi="Palatino Linotype" w:cs="Arial"/>
          <w:lang w:val="es-ES"/>
        </w:rPr>
        <w:t>diecinueve</w:t>
      </w:r>
      <w:r w:rsidR="00A55BA0" w:rsidRPr="00E43732">
        <w:rPr>
          <w:rFonts w:ascii="Palatino Linotype" w:eastAsia="Calibri" w:hAnsi="Palatino Linotype" w:cs="Arial"/>
          <w:lang w:val="es-ES"/>
        </w:rPr>
        <w:t>,</w:t>
      </w:r>
      <w:r w:rsidR="00F5714C" w:rsidRPr="00E43732">
        <w:rPr>
          <w:rFonts w:ascii="Palatino Linotype" w:eastAsia="Calibri" w:hAnsi="Palatino Linotype" w:cs="Arial"/>
          <w:lang w:val="es-ES"/>
        </w:rPr>
        <w:t xml:space="preserve"> </w:t>
      </w:r>
      <w:r w:rsidR="002040BB" w:rsidRPr="002040BB">
        <w:rPr>
          <w:rFonts w:ascii="Palatino Linotype" w:eastAsia="Calibri" w:hAnsi="Palatino Linotype" w:cs="Arial"/>
          <w:b/>
          <w:highlight w:val="black"/>
          <w:lang w:val="es-ES"/>
        </w:rPr>
        <w:t>--------------------------------------</w:t>
      </w:r>
      <w:r w:rsidR="00F5714C" w:rsidRPr="00E43732">
        <w:rPr>
          <w:rFonts w:ascii="Palatino Linotype" w:eastAsia="Calibri" w:hAnsi="Palatino Linotype" w:cs="Arial"/>
          <w:b/>
          <w:lang w:val="es-ES"/>
        </w:rPr>
        <w:t xml:space="preserve"> </w:t>
      </w:r>
      <w:r w:rsidR="00A55BA0" w:rsidRPr="00E43732">
        <w:rPr>
          <w:rFonts w:ascii="Palatino Linotype" w:eastAsia="Calibri" w:hAnsi="Palatino Linotype" w:cs="Times New Roman"/>
          <w:lang w:val="es-ES"/>
        </w:rPr>
        <w:t xml:space="preserve"> </w:t>
      </w:r>
      <w:r w:rsidR="0073789D" w:rsidRPr="00E43732">
        <w:rPr>
          <w:rFonts w:ascii="Palatino Linotype" w:eastAsia="Calibri" w:hAnsi="Palatino Linotype" w:cs="Arial"/>
        </w:rPr>
        <w:t xml:space="preserve">vía </w:t>
      </w:r>
      <w:r w:rsidR="0073789D" w:rsidRPr="00E43732">
        <w:rPr>
          <w:rStyle w:val="Ttulo2Car"/>
          <w:rFonts w:ascii="Palatino Linotype" w:eastAsiaTheme="minorEastAsia" w:hAnsi="Palatino Linotype" w:cstheme="minorBidi"/>
          <w:color w:val="auto"/>
          <w:sz w:val="24"/>
          <w:szCs w:val="24"/>
        </w:rPr>
        <w:t>Sistema de Acceso, Rectificación, Cancelación y Oposición de Datos Personales del Estado de México (SARCOEM)</w:t>
      </w:r>
      <w:r w:rsidR="0073789D" w:rsidRPr="00E43732">
        <w:rPr>
          <w:rFonts w:ascii="Palatino Linotype" w:eastAsia="Calibri" w:hAnsi="Palatino Linotype" w:cs="Arial"/>
          <w:lang w:val="es-ES"/>
        </w:rPr>
        <w:t>, presentó la solicitud de acceso a datos personales registrada bajo el número</w:t>
      </w:r>
      <w:r w:rsidR="00F5714C" w:rsidRPr="00E43732">
        <w:rPr>
          <w:rFonts w:ascii="Verdana" w:hAnsi="Verdana"/>
          <w:b/>
          <w:bCs/>
          <w:color w:val="FF0000"/>
        </w:rPr>
        <w:t xml:space="preserve"> </w:t>
      </w:r>
      <w:r w:rsidR="00F5714C" w:rsidRPr="00E43732">
        <w:rPr>
          <w:rFonts w:ascii="Palatino Linotype" w:eastAsia="Calibri" w:hAnsi="Palatino Linotype" w:cs="Arial"/>
          <w:b/>
          <w:bCs/>
        </w:rPr>
        <w:t>00005/SM/AD/2020</w:t>
      </w:r>
      <w:r w:rsidR="0073789D" w:rsidRPr="00E43732">
        <w:rPr>
          <w:rFonts w:ascii="Palatino Linotype" w:eastAsia="Times New Roman" w:hAnsi="Palatino Linotype" w:cs="Arial"/>
          <w:b/>
          <w:lang w:val="es-ES"/>
        </w:rPr>
        <w:t xml:space="preserve"> </w:t>
      </w:r>
      <w:r w:rsidR="0073789D" w:rsidRPr="00E43732">
        <w:rPr>
          <w:rFonts w:ascii="Palatino Linotype" w:eastAsia="Calibri" w:hAnsi="Palatino Linotype" w:cs="Arial"/>
          <w:lang w:val="es-ES"/>
        </w:rPr>
        <w:t>mediante la cual solicitó lo siguiente:</w:t>
      </w:r>
    </w:p>
    <w:p w:rsidR="00A55BA0" w:rsidRPr="00E43732" w:rsidRDefault="00A55BA0" w:rsidP="00763406">
      <w:pPr>
        <w:spacing w:line="360" w:lineRule="auto"/>
        <w:ind w:left="851" w:right="709"/>
        <w:jc w:val="both"/>
        <w:rPr>
          <w:rFonts w:ascii="Palatino Linotype" w:hAnsi="Palatino Linotype"/>
          <w:i/>
          <w:sz w:val="22"/>
          <w:szCs w:val="22"/>
        </w:rPr>
      </w:pPr>
      <w:r w:rsidRPr="00E43732">
        <w:rPr>
          <w:rFonts w:ascii="Palatino Linotype" w:eastAsia="Calibri" w:hAnsi="Palatino Linotype" w:cs="Times New Roman"/>
          <w:i/>
          <w:color w:val="000000"/>
          <w:sz w:val="22"/>
          <w:szCs w:val="22"/>
          <w:lang w:val="es-MX" w:eastAsia="en-US"/>
        </w:rPr>
        <w:t>“</w:t>
      </w:r>
      <w:r w:rsidR="00F5714C" w:rsidRPr="00E43732">
        <w:rPr>
          <w:rFonts w:ascii="Palatino Linotype" w:eastAsia="Calibri" w:hAnsi="Palatino Linotype" w:cs="Times New Roman"/>
          <w:i/>
          <w:color w:val="000000"/>
          <w:sz w:val="22"/>
          <w:szCs w:val="22"/>
          <w:lang w:val="es-MX" w:eastAsia="en-US"/>
        </w:rPr>
        <w:t xml:space="preserve">Quiero tener acceso a todo mi historial de licencias de conducir que el Estado de México ha expedido a mi nombre; en un archivo electrónico quiero que se me proporcione todas las fotografías que me fueron tomadas para colocarlas </w:t>
      </w:r>
      <w:proofErr w:type="spellStart"/>
      <w:r w:rsidR="00F5714C" w:rsidRPr="00E43732">
        <w:rPr>
          <w:rFonts w:ascii="Palatino Linotype" w:eastAsia="Calibri" w:hAnsi="Palatino Linotype" w:cs="Times New Roman"/>
          <w:i/>
          <w:color w:val="000000"/>
          <w:sz w:val="22"/>
          <w:szCs w:val="22"/>
          <w:lang w:val="es-MX" w:eastAsia="en-US"/>
        </w:rPr>
        <w:t>el las</w:t>
      </w:r>
      <w:proofErr w:type="spellEnd"/>
      <w:r w:rsidR="00F5714C" w:rsidRPr="00E43732">
        <w:rPr>
          <w:rFonts w:ascii="Palatino Linotype" w:eastAsia="Calibri" w:hAnsi="Palatino Linotype" w:cs="Times New Roman"/>
          <w:i/>
          <w:color w:val="000000"/>
          <w:sz w:val="22"/>
          <w:szCs w:val="22"/>
          <w:lang w:val="es-MX" w:eastAsia="en-US"/>
        </w:rPr>
        <w:t xml:space="preserve"> licencias de conducir tipo A que expidió el Estado de México a mi nombre.</w:t>
      </w:r>
      <w:r w:rsidRPr="00E43732">
        <w:rPr>
          <w:rFonts w:ascii="Palatino Linotype" w:hAnsi="Palatino Linotype"/>
          <w:i/>
          <w:sz w:val="22"/>
          <w:szCs w:val="22"/>
        </w:rPr>
        <w:t xml:space="preserve">” </w:t>
      </w:r>
      <w:r w:rsidRPr="00E43732">
        <w:rPr>
          <w:rFonts w:ascii="Palatino Linotype" w:hAnsi="Palatino Linotype"/>
          <w:sz w:val="22"/>
          <w:szCs w:val="22"/>
        </w:rPr>
        <w:t>(Sic)</w:t>
      </w:r>
      <w:r w:rsidR="00A46B18" w:rsidRPr="00E43732">
        <w:rPr>
          <w:rFonts w:ascii="Palatino Linotype" w:hAnsi="Palatino Linotype"/>
          <w:sz w:val="22"/>
          <w:szCs w:val="22"/>
        </w:rPr>
        <w:t>.</w:t>
      </w:r>
    </w:p>
    <w:p w:rsidR="00763406" w:rsidRPr="00E43732"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43732">
        <w:rPr>
          <w:rFonts w:ascii="Palatino Linotype" w:eastAsia="Times New Roman" w:hAnsi="Palatino Linotype" w:cs="Arial"/>
          <w:lang w:val="es-ES"/>
        </w:rPr>
        <w:t>Señaló como modalidad de entrega de la información</w:t>
      </w:r>
      <w:r w:rsidRPr="00E43732">
        <w:rPr>
          <w:rFonts w:ascii="Palatino Linotype" w:eastAsia="Times New Roman" w:hAnsi="Palatino Linotype" w:cs="Arial"/>
          <w:b/>
          <w:lang w:val="es-ES"/>
        </w:rPr>
        <w:t>:</w:t>
      </w:r>
      <w:r w:rsidRPr="00E43732">
        <w:rPr>
          <w:rFonts w:ascii="Palatino Linotype" w:eastAsia="Times New Roman" w:hAnsi="Palatino Linotype" w:cs="Arial"/>
          <w:lang w:val="es-ES"/>
        </w:rPr>
        <w:t xml:space="preserve"> </w:t>
      </w:r>
      <w:r w:rsidR="00F5714C" w:rsidRPr="00E43732">
        <w:rPr>
          <w:rFonts w:ascii="Palatino Linotype" w:eastAsia="Times New Roman" w:hAnsi="Palatino Linotype" w:cs="Arial"/>
          <w:lang w:val="es-ES"/>
        </w:rPr>
        <w:t>“</w:t>
      </w:r>
      <w:r w:rsidR="00F5714C" w:rsidRPr="00E43732">
        <w:rPr>
          <w:rFonts w:ascii="Palatino Linotype" w:eastAsia="Times New Roman" w:hAnsi="Palatino Linotype" w:cs="Arial"/>
          <w:b/>
          <w:i/>
          <w:lang w:val="es-ES"/>
        </w:rPr>
        <w:t>Correo electrónico</w:t>
      </w:r>
      <w:r w:rsidRPr="00E43732">
        <w:rPr>
          <w:rFonts w:ascii="Palatino Linotype" w:eastAsia="Times New Roman" w:hAnsi="Palatino Linotype" w:cs="Arial"/>
          <w:b/>
          <w:lang w:val="es-ES"/>
        </w:rPr>
        <w:t>.</w:t>
      </w:r>
      <w:r w:rsidR="005D791C" w:rsidRPr="00E43732">
        <w:rPr>
          <w:rFonts w:ascii="Palatino Linotype" w:eastAsia="Times New Roman" w:hAnsi="Palatino Linotype" w:cs="Arial"/>
          <w:lang w:val="es-ES"/>
        </w:rPr>
        <w:t>”</w:t>
      </w:r>
    </w:p>
    <w:p w:rsidR="00F60D68" w:rsidRPr="00E43732" w:rsidRDefault="00F60D68" w:rsidP="00F60D68">
      <w:pPr>
        <w:pStyle w:val="Prrafodelista"/>
        <w:tabs>
          <w:tab w:val="left" w:pos="142"/>
          <w:tab w:val="left" w:pos="284"/>
        </w:tabs>
        <w:spacing w:before="240" w:after="240" w:line="360" w:lineRule="auto"/>
        <w:ind w:left="0"/>
        <w:jc w:val="both"/>
        <w:rPr>
          <w:rFonts w:ascii="Palatino Linotype" w:hAnsi="Palatino Linotype" w:cs="Arial"/>
          <w:i/>
        </w:rPr>
      </w:pPr>
    </w:p>
    <w:p w:rsidR="00F60D68" w:rsidRPr="00E43732" w:rsidRDefault="00F5714C"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43732">
        <w:rPr>
          <w:rFonts w:ascii="Palatino Linotype" w:eastAsia="Times New Roman" w:hAnsi="Palatino Linotype" w:cs="Arial"/>
          <w:lang w:val="es-ES"/>
        </w:rPr>
        <w:lastRenderedPageBreak/>
        <w:t>Se hace constar que el particular no adjuntó documento de identificación a la solicitud de información.</w:t>
      </w:r>
    </w:p>
    <w:p w:rsidR="00F5714C" w:rsidRPr="00E43732" w:rsidRDefault="00F5714C" w:rsidP="00F5714C">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E43732" w:rsidRDefault="007F4F56" w:rsidP="00E53D8F">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43732">
        <w:rPr>
          <w:rFonts w:ascii="Palatino Linotype" w:hAnsi="Palatino Linotype" w:cs="Arial"/>
        </w:rPr>
        <w:t>E</w:t>
      </w:r>
      <w:r w:rsidR="00F5714C" w:rsidRPr="00E43732">
        <w:rPr>
          <w:rFonts w:ascii="Palatino Linotype" w:hAnsi="Palatino Linotype" w:cs="Arial"/>
        </w:rPr>
        <w:t xml:space="preserve">l veintiocho (28) de agosto de dos mil veinte el </w:t>
      </w:r>
      <w:r w:rsidR="0060674E" w:rsidRPr="00E43732">
        <w:rPr>
          <w:rFonts w:ascii="Palatino Linotype" w:hAnsi="Palatino Linotype" w:cs="Arial"/>
          <w:b/>
        </w:rPr>
        <w:t xml:space="preserve">SUJETO OBLIGADO </w:t>
      </w:r>
      <w:r w:rsidR="0060674E" w:rsidRPr="00E43732">
        <w:rPr>
          <w:rFonts w:ascii="Palatino Linotype" w:hAnsi="Palatino Linotype" w:cs="Arial"/>
        </w:rPr>
        <w:t>dio</w:t>
      </w:r>
      <w:r w:rsidR="00F5714C" w:rsidRPr="00E43732">
        <w:rPr>
          <w:rFonts w:ascii="Palatino Linotype" w:hAnsi="Palatino Linotype" w:cs="Arial"/>
        </w:rPr>
        <w:t xml:space="preserve"> respuesta a la solicitud de Acceso a Datos, e los siguientes términos:</w:t>
      </w:r>
    </w:p>
    <w:p w:rsidR="00F5714C" w:rsidRPr="00E43732" w:rsidRDefault="00F5714C" w:rsidP="00F5714C">
      <w:pPr>
        <w:pStyle w:val="Prrafodelista"/>
        <w:rPr>
          <w:rFonts w:ascii="Palatino Linotype" w:hAnsi="Palatino Linotype" w:cs="Arial"/>
          <w:i/>
        </w:rPr>
      </w:pPr>
    </w:p>
    <w:p w:rsidR="00F5714C" w:rsidRPr="00E43732" w:rsidRDefault="00F5714C" w:rsidP="00F5714C">
      <w:pPr>
        <w:pStyle w:val="Prrafodelista"/>
        <w:tabs>
          <w:tab w:val="left" w:pos="142"/>
          <w:tab w:val="left" w:pos="284"/>
        </w:tabs>
        <w:spacing w:before="240" w:after="240" w:line="360" w:lineRule="auto"/>
        <w:jc w:val="both"/>
        <w:rPr>
          <w:rFonts w:ascii="Palatino Linotype" w:hAnsi="Palatino Linotype" w:cs="Arial"/>
          <w:i/>
        </w:rPr>
      </w:pPr>
    </w:p>
    <w:p w:rsidR="00F5714C" w:rsidRPr="00E43732" w:rsidRDefault="00F5714C" w:rsidP="00F5714C">
      <w:pPr>
        <w:pStyle w:val="Prrafodelista"/>
        <w:tabs>
          <w:tab w:val="left" w:pos="142"/>
          <w:tab w:val="left" w:pos="284"/>
        </w:tabs>
        <w:spacing w:before="240" w:after="240" w:line="360" w:lineRule="auto"/>
        <w:jc w:val="right"/>
        <w:rPr>
          <w:rFonts w:ascii="Palatino Linotype" w:hAnsi="Palatino Linotype" w:cs="Arial"/>
          <w:i/>
        </w:rPr>
      </w:pPr>
      <w:r w:rsidRPr="00E43732">
        <w:rPr>
          <w:rFonts w:ascii="Palatino Linotype" w:hAnsi="Palatino Linotype" w:cs="Arial"/>
          <w:i/>
        </w:rPr>
        <w:t>“Metepec, México a 28 de Agosto de 2020</w:t>
      </w:r>
    </w:p>
    <w:p w:rsidR="00F5714C" w:rsidRPr="00E43732" w:rsidRDefault="00F5714C" w:rsidP="00F5714C">
      <w:pPr>
        <w:pStyle w:val="Prrafodelista"/>
        <w:tabs>
          <w:tab w:val="left" w:pos="142"/>
          <w:tab w:val="left" w:pos="284"/>
        </w:tabs>
        <w:spacing w:before="240" w:after="240" w:line="360" w:lineRule="auto"/>
        <w:jc w:val="right"/>
        <w:rPr>
          <w:rFonts w:ascii="Palatino Linotype" w:hAnsi="Palatino Linotype" w:cs="Arial"/>
          <w:i/>
        </w:rPr>
      </w:pPr>
      <w:r w:rsidRPr="00E43732">
        <w:rPr>
          <w:rFonts w:ascii="Palatino Linotype" w:hAnsi="Palatino Linotype" w:cs="Arial"/>
          <w:i/>
        </w:rPr>
        <w:t xml:space="preserve">Nombre del solicitante: </w:t>
      </w:r>
      <w:r w:rsidR="002040BB" w:rsidRPr="002040BB">
        <w:rPr>
          <w:rFonts w:ascii="Palatino Linotype" w:hAnsi="Palatino Linotype" w:cs="Arial"/>
          <w:i/>
          <w:highlight w:val="black"/>
        </w:rPr>
        <w:t>-----------------------------------------------------</w:t>
      </w:r>
    </w:p>
    <w:p w:rsidR="00F5714C" w:rsidRPr="00E43732" w:rsidRDefault="00F5714C" w:rsidP="00F5714C">
      <w:pPr>
        <w:pStyle w:val="Prrafodelista"/>
        <w:tabs>
          <w:tab w:val="left" w:pos="142"/>
          <w:tab w:val="left" w:pos="284"/>
        </w:tabs>
        <w:spacing w:before="240" w:after="240" w:line="360" w:lineRule="auto"/>
        <w:jc w:val="right"/>
        <w:rPr>
          <w:rFonts w:ascii="Palatino Linotype" w:hAnsi="Palatino Linotype" w:cs="Arial"/>
          <w:i/>
        </w:rPr>
      </w:pPr>
      <w:r w:rsidRPr="00E43732">
        <w:rPr>
          <w:rFonts w:ascii="Palatino Linotype" w:hAnsi="Palatino Linotype" w:cs="Arial"/>
          <w:i/>
        </w:rPr>
        <w:t>Folio de la solicitud: 00005/SM/AD/2020</w:t>
      </w:r>
    </w:p>
    <w:p w:rsidR="00F5714C" w:rsidRPr="00E43732" w:rsidRDefault="00F5714C" w:rsidP="00F5714C">
      <w:pPr>
        <w:pStyle w:val="Prrafodelista"/>
        <w:tabs>
          <w:tab w:val="left" w:pos="142"/>
          <w:tab w:val="left" w:pos="284"/>
        </w:tabs>
        <w:spacing w:before="240" w:after="240" w:line="360" w:lineRule="auto"/>
        <w:jc w:val="right"/>
        <w:rPr>
          <w:rFonts w:ascii="Palatino Linotype" w:hAnsi="Palatino Linotype" w:cs="Arial"/>
          <w:i/>
        </w:rPr>
      </w:pPr>
    </w:p>
    <w:p w:rsidR="00F5714C" w:rsidRPr="00E43732" w:rsidRDefault="00F5714C" w:rsidP="00F5714C">
      <w:pPr>
        <w:pStyle w:val="Prrafodelista"/>
        <w:tabs>
          <w:tab w:val="left" w:pos="142"/>
          <w:tab w:val="left" w:pos="284"/>
        </w:tabs>
        <w:spacing w:before="240" w:after="240" w:line="360" w:lineRule="auto"/>
        <w:jc w:val="both"/>
        <w:rPr>
          <w:rFonts w:ascii="Palatino Linotype" w:hAnsi="Palatino Linotype" w:cs="Arial"/>
          <w:i/>
        </w:rPr>
      </w:pPr>
      <w:r w:rsidRPr="00E4373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5714C" w:rsidRPr="00E43732" w:rsidRDefault="00F5714C" w:rsidP="00F5714C">
      <w:pPr>
        <w:pStyle w:val="Prrafodelista"/>
        <w:tabs>
          <w:tab w:val="left" w:pos="142"/>
          <w:tab w:val="left" w:pos="284"/>
        </w:tabs>
        <w:spacing w:before="240" w:after="240" w:line="360" w:lineRule="auto"/>
        <w:jc w:val="both"/>
        <w:rPr>
          <w:rFonts w:ascii="Palatino Linotype" w:hAnsi="Palatino Linotype" w:cs="Arial"/>
          <w:i/>
        </w:rPr>
      </w:pPr>
      <w:r w:rsidRPr="00E43732">
        <w:rPr>
          <w:rFonts w:ascii="Palatino Linotype" w:hAnsi="Palatino Linotype" w:cs="Arial"/>
          <w:i/>
        </w:rPr>
        <w:t xml:space="preserve">En atención a su solicitud número 00005/SM/AD/2020, a través del cual solicita “…Quiero tener acceso a todo mi historial de licencias de conducir que el Estado de México ha expedido a mi nombre; en un archivo electrónico quiero que se me proporcione todas las fotografías que me fueron tomadas para colocarlas </w:t>
      </w:r>
      <w:proofErr w:type="spellStart"/>
      <w:r w:rsidRPr="00E43732">
        <w:rPr>
          <w:rFonts w:ascii="Palatino Linotype" w:hAnsi="Palatino Linotype" w:cs="Arial"/>
          <w:i/>
        </w:rPr>
        <w:t>el las</w:t>
      </w:r>
      <w:proofErr w:type="spellEnd"/>
      <w:r w:rsidRPr="00E43732">
        <w:rPr>
          <w:rFonts w:ascii="Palatino Linotype" w:hAnsi="Palatino Linotype" w:cs="Arial"/>
          <w:i/>
        </w:rPr>
        <w:t xml:space="preserve"> licencias de conducir tipo A que expidió el Estado de México a mi nombre…” (sic); de conformidad con lo dispuesto por los artículos 6 apartado A, 8 y 16 de la Constitución Política de los Estados Unidos Mexicanos; 5 de la Constitución Política del Estado Libre y Soberano de México; 1, 2, 3, 15, 19 fracción XVI y 33 de la Ley Orgánica de la Administración Pública del Estado de México; 1, 2, 3, 5, 9 y 10 del Reglamento Interior de la Secretaría de Movilidad del Estado de México; 106 de la </w:t>
      </w:r>
      <w:r w:rsidRPr="00E43732">
        <w:rPr>
          <w:rFonts w:ascii="Palatino Linotype" w:hAnsi="Palatino Linotype" w:cs="Arial"/>
          <w:i/>
        </w:rPr>
        <w:lastRenderedPageBreak/>
        <w:t xml:space="preserve">Ley de Protección de Datos Personales en Posesión de Sujetos Obligados del Estado de México y Municipios, me permito hacer de su conocimiento lo siguiente: Al respecto, el Director del Registro de Licencias y Operadores y Servidor Público Habilitado, informó a la que suscribe que puede acudir a nuestras oficinas con domicilio Avenida Gustavo Baz 2160, Colonia La Loma, Tlalnepantla Estado de México, cp.54060 y solicitar una constancia con el registro de su licencia de conducir, cumpliendo con los requisitos establecidos; para lo cual será necesario acreditar la identidad de titular, de conformidad con el artículo 106 de la Ley de Protección de Datos Personales en Posesión de Sujetos Obligados del Estado de México y Municipios. Por todo lo anteriormente expuesto y cumpliendo con lo establecido en los Acuerdos del Pleno del Instituto de Transparencia, Acceso a la Información Pública y Protección de Datos Personales del Estado de México y Municipios, publicados en el Periódico Oficial “Gaceta de Gobierno” en fecha 23 de marzo, 01 de abril, 07 de mayo, 27 de mayo, 05 de junio, 24 de junio y 08 de julio de la presente anualidad; mediante los cuales se dio a conocer la ampliación y suspensión de los plazos hasta el 17 de julio del año en curso, para el trámite y desahogo de los procedimientos establecidos en la Ley de Transparencia y Acceso a la Información Pública del Estado de México y Municipios y la Ley de Protección de Datos Personales en Posesión de Sujetos Obligados del Estado de México y Municipios, ante la situación generada por el virus SARS-CoV2(COVID-19); así como el “AVISO” que emite en su página oficial, que a la letra dice: “De conformidad con el Calendario Oficial en la Materia de Transparencia, Acceso a la Información Pública y Protección de Datos Personales del Estado de México y Municipios, así como de labores del Instituto para el año dos mil veinte y enero de dos mil veintiuno, publicado </w:t>
      </w:r>
      <w:r w:rsidRPr="00E43732">
        <w:rPr>
          <w:rFonts w:ascii="Palatino Linotype" w:hAnsi="Palatino Linotype" w:cs="Arial"/>
          <w:i/>
        </w:rPr>
        <w:lastRenderedPageBreak/>
        <w:t>el 19 de diciembre de 2019 en el Periódico Oficial “Gaceta del Gobierno” del Estado de México, se informa que serán días no laborales, en razón del primer periodo vacacional, 20, 21, 22, 23, 24, 27, 28, 29, 30 y 31 de julio de 2020, por lo que no correrán los términos y plazos procesales establecidos en la Ley de Transparencia y Acceso a la Información Pública del Estado de México y Municipios, Ley de Protección de Datos Personales en Posesión de Sujetos Obligados del Estado de México y Municipios, y demás normatividad aplicable.” Sin otro particular, hago propicia la ocasión para enviarle un cordial saludo.</w:t>
      </w:r>
    </w:p>
    <w:p w:rsidR="00F5714C" w:rsidRPr="00E43732" w:rsidRDefault="00F5714C" w:rsidP="00F5714C">
      <w:pPr>
        <w:pStyle w:val="Prrafodelista"/>
        <w:tabs>
          <w:tab w:val="left" w:pos="142"/>
          <w:tab w:val="left" w:pos="284"/>
        </w:tabs>
        <w:spacing w:before="240" w:after="240" w:line="360" w:lineRule="auto"/>
        <w:jc w:val="both"/>
        <w:rPr>
          <w:rFonts w:ascii="Palatino Linotype" w:hAnsi="Palatino Linotype" w:cs="Arial"/>
          <w:i/>
        </w:rPr>
      </w:pPr>
    </w:p>
    <w:p w:rsidR="00F5714C" w:rsidRPr="00E43732" w:rsidRDefault="00F5714C" w:rsidP="00F5714C">
      <w:pPr>
        <w:pStyle w:val="Prrafodelista"/>
        <w:tabs>
          <w:tab w:val="left" w:pos="142"/>
          <w:tab w:val="left" w:pos="284"/>
        </w:tabs>
        <w:spacing w:before="240" w:after="240" w:line="360" w:lineRule="auto"/>
        <w:jc w:val="both"/>
        <w:rPr>
          <w:rFonts w:ascii="Palatino Linotype" w:hAnsi="Palatino Linotype" w:cs="Arial"/>
          <w:i/>
        </w:rPr>
      </w:pPr>
      <w:r w:rsidRPr="00E43732">
        <w:rPr>
          <w:rFonts w:ascii="Palatino Linotype" w:hAnsi="Palatino Linotype" w:cs="Arial"/>
          <w:i/>
        </w:rPr>
        <w:t>ATENTAMENTE</w:t>
      </w:r>
    </w:p>
    <w:p w:rsidR="00F5714C" w:rsidRPr="00E43732" w:rsidRDefault="00F5714C" w:rsidP="00F5714C">
      <w:pPr>
        <w:pStyle w:val="Prrafodelista"/>
        <w:tabs>
          <w:tab w:val="left" w:pos="142"/>
          <w:tab w:val="left" w:pos="284"/>
        </w:tabs>
        <w:spacing w:before="240" w:after="240" w:line="360" w:lineRule="auto"/>
        <w:jc w:val="both"/>
        <w:rPr>
          <w:rFonts w:ascii="Palatino Linotype" w:hAnsi="Palatino Linotype" w:cs="Arial"/>
          <w:i/>
        </w:rPr>
      </w:pPr>
      <w:r w:rsidRPr="00E43732">
        <w:rPr>
          <w:rFonts w:ascii="Palatino Linotype" w:hAnsi="Palatino Linotype" w:cs="Arial"/>
          <w:i/>
        </w:rPr>
        <w:t>Norma Sofía Pérez Martínez” (Sic)</w:t>
      </w:r>
    </w:p>
    <w:p w:rsidR="00D369A5" w:rsidRPr="00E43732" w:rsidRDefault="00D369A5" w:rsidP="00763406">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E43732" w:rsidRDefault="000328BD"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bookmarkStart w:id="1" w:name="_Toc462307683"/>
      <w:bookmarkStart w:id="2" w:name="_Toc472427085"/>
      <w:bookmarkStart w:id="3" w:name="_Toc472500652"/>
      <w:r w:rsidRPr="00E43732">
        <w:rPr>
          <w:rFonts w:ascii="Palatino Linotype" w:eastAsia="Calibri" w:hAnsi="Palatino Linotype" w:cs="Arial"/>
          <w:lang w:val="es-AR"/>
        </w:rPr>
        <w:t xml:space="preserve">Derivado de la </w:t>
      </w:r>
      <w:r w:rsidR="00F60D68" w:rsidRPr="00E43732">
        <w:rPr>
          <w:rFonts w:ascii="Palatino Linotype" w:eastAsia="Calibri" w:hAnsi="Palatino Linotype" w:cs="Arial"/>
          <w:lang w:val="es-AR"/>
        </w:rPr>
        <w:t>respuesta</w:t>
      </w:r>
      <w:r w:rsidRPr="00E43732">
        <w:rPr>
          <w:rFonts w:ascii="Palatino Linotype" w:eastAsia="Calibri" w:hAnsi="Palatino Linotype" w:cs="Arial"/>
          <w:lang w:val="es-AR"/>
        </w:rPr>
        <w:t xml:space="preserve"> otorgada  por </w:t>
      </w:r>
      <w:r w:rsidR="00F60D68" w:rsidRPr="00E43732">
        <w:rPr>
          <w:rFonts w:ascii="Palatino Linotype" w:eastAsia="Calibri" w:hAnsi="Palatino Linotype" w:cs="Arial"/>
          <w:lang w:val="es-AR"/>
        </w:rPr>
        <w:t xml:space="preserve">el </w:t>
      </w:r>
      <w:r w:rsidR="00F60D68" w:rsidRPr="00E43732">
        <w:rPr>
          <w:rFonts w:ascii="Palatino Linotype" w:eastAsia="Calibri" w:hAnsi="Palatino Linotype" w:cs="Arial"/>
          <w:b/>
          <w:lang w:val="es-AR"/>
        </w:rPr>
        <w:t>SUJETO OBLIGADO</w:t>
      </w:r>
      <w:r w:rsidR="00F60D68" w:rsidRPr="00E43732">
        <w:rPr>
          <w:rFonts w:ascii="Palatino Linotype" w:eastAsia="Calibri" w:hAnsi="Palatino Linotype" w:cs="Arial"/>
          <w:lang w:val="es-AR"/>
        </w:rPr>
        <w:t>, el</w:t>
      </w:r>
      <w:r w:rsidRPr="00E43732">
        <w:rPr>
          <w:rFonts w:ascii="Palatino Linotype" w:eastAsia="Calibri" w:hAnsi="Palatino Linotype" w:cs="Arial"/>
          <w:lang w:val="es-AR"/>
        </w:rPr>
        <w:t xml:space="preserve"> cuatro (04)</w:t>
      </w:r>
      <w:r w:rsidR="00F60D68" w:rsidRPr="00E43732">
        <w:rPr>
          <w:rFonts w:ascii="Palatino Linotype" w:eastAsia="Times New Roman" w:hAnsi="Palatino Linotype" w:cs="Arial"/>
          <w:lang w:val="es-ES"/>
        </w:rPr>
        <w:t xml:space="preserve"> </w:t>
      </w:r>
      <w:r w:rsidRPr="00E43732">
        <w:rPr>
          <w:rFonts w:ascii="Palatino Linotype" w:eastAsia="Times New Roman" w:hAnsi="Palatino Linotype" w:cs="Arial"/>
          <w:lang w:val="es-ES"/>
        </w:rPr>
        <w:t xml:space="preserve">septiembre </w:t>
      </w:r>
      <w:r w:rsidR="00F60D68" w:rsidRPr="00E43732">
        <w:rPr>
          <w:rFonts w:ascii="Palatino Linotype" w:eastAsia="Times New Roman" w:hAnsi="Palatino Linotype" w:cs="Arial"/>
          <w:lang w:val="es-ES"/>
        </w:rPr>
        <w:t xml:space="preserve">de dos mil diecinueve, </w:t>
      </w:r>
      <w:r w:rsidRPr="00E43732">
        <w:rPr>
          <w:rFonts w:ascii="Palatino Linotype" w:hAnsi="Palatino Linotype"/>
          <w:szCs w:val="22"/>
        </w:rPr>
        <w:t xml:space="preserve">el </w:t>
      </w:r>
      <w:r w:rsidR="00F60D68" w:rsidRPr="00E43732">
        <w:rPr>
          <w:rFonts w:ascii="Palatino Linotype" w:hAnsi="Palatino Linotype"/>
          <w:szCs w:val="22"/>
        </w:rPr>
        <w:t xml:space="preserve">ahora </w:t>
      </w:r>
      <w:r w:rsidR="00F60D68" w:rsidRPr="00E43732">
        <w:rPr>
          <w:rFonts w:ascii="Palatino Linotype" w:hAnsi="Palatino Linotype"/>
          <w:b/>
          <w:szCs w:val="22"/>
        </w:rPr>
        <w:t>RECURRENTE,</w:t>
      </w:r>
      <w:r w:rsidR="00F60D68" w:rsidRPr="00E43732">
        <w:rPr>
          <w:rFonts w:ascii="Palatino Linotype" w:eastAsia="Times New Roman" w:hAnsi="Palatino Linotype" w:cs="Arial"/>
          <w:lang w:val="es-ES"/>
        </w:rPr>
        <w:t xml:space="preserve"> interpuso el recurso de revisión, señalando como:</w:t>
      </w:r>
    </w:p>
    <w:p w:rsidR="005D791C" w:rsidRPr="00E43732"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rsidR="006E5EF0" w:rsidRPr="00E43732"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E43732">
        <w:rPr>
          <w:rFonts w:ascii="Palatino Linotype" w:hAnsi="Palatino Linotype" w:cs="Arial"/>
          <w:b/>
          <w:szCs w:val="22"/>
        </w:rPr>
        <w:t>Acto impugnado:</w:t>
      </w:r>
      <w:r w:rsidRPr="00E43732">
        <w:rPr>
          <w:rFonts w:ascii="Palatino Linotype" w:hAnsi="Palatino Linotype" w:cs="Arial"/>
          <w:szCs w:val="22"/>
        </w:rPr>
        <w:t xml:space="preserve"> “</w:t>
      </w:r>
      <w:r w:rsidR="000328BD" w:rsidRPr="00E43732">
        <w:rPr>
          <w:rFonts w:ascii="Palatino Linotype" w:hAnsi="Palatino Linotype" w:cs="Arial"/>
          <w:szCs w:val="22"/>
        </w:rPr>
        <w:t>La negativa de acceso a mis datos personales, otorgada en respuesta a mi solicitud de acceso a mis datos personales.</w:t>
      </w:r>
      <w:r w:rsidRPr="00E43732">
        <w:rPr>
          <w:rFonts w:ascii="Palatino Linotype" w:hAnsi="Palatino Linotype" w:cs="Arial"/>
          <w:i/>
          <w:szCs w:val="22"/>
        </w:rPr>
        <w:t>”</w:t>
      </w:r>
      <w:r w:rsidR="005D791C" w:rsidRPr="00E43732">
        <w:rPr>
          <w:rFonts w:ascii="Palatino Linotype" w:hAnsi="Palatino Linotype" w:cs="Arial"/>
          <w:szCs w:val="22"/>
        </w:rPr>
        <w:t xml:space="preserve"> </w:t>
      </w:r>
      <w:r w:rsidRPr="00E43732">
        <w:rPr>
          <w:rFonts w:ascii="Palatino Linotype" w:hAnsi="Palatino Linotype" w:cs="Arial"/>
          <w:szCs w:val="22"/>
        </w:rPr>
        <w:t>(Sic).</w:t>
      </w:r>
    </w:p>
    <w:p w:rsidR="006E5EF0" w:rsidRPr="00E43732" w:rsidRDefault="006E5EF0" w:rsidP="005D791C">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E43732"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E43732">
        <w:rPr>
          <w:rFonts w:ascii="Palatino Linotype" w:hAnsi="Palatino Linotype" w:cs="Arial"/>
          <w:b/>
          <w:szCs w:val="22"/>
        </w:rPr>
        <w:t>Razones o motivos de inconformidad:</w:t>
      </w:r>
      <w:r w:rsidRPr="00E43732">
        <w:rPr>
          <w:rFonts w:ascii="Palatino Linotype" w:hAnsi="Palatino Linotype" w:cs="Arial"/>
          <w:szCs w:val="22"/>
        </w:rPr>
        <w:t xml:space="preserve"> </w:t>
      </w:r>
      <w:r w:rsidRPr="00E43732">
        <w:rPr>
          <w:rFonts w:ascii="Palatino Linotype" w:hAnsi="Palatino Linotype" w:cs="Arial"/>
          <w:i/>
          <w:szCs w:val="22"/>
        </w:rPr>
        <w:t>“</w:t>
      </w:r>
      <w:r w:rsidR="000328BD" w:rsidRPr="00E43732">
        <w:rPr>
          <w:rFonts w:ascii="Palatino Linotype" w:hAnsi="Palatino Linotype" w:cs="Arial"/>
          <w:i/>
          <w:szCs w:val="22"/>
        </w:rPr>
        <w:t xml:space="preserve">No se me </w:t>
      </w:r>
      <w:proofErr w:type="spellStart"/>
      <w:r w:rsidR="000328BD" w:rsidRPr="00E43732">
        <w:rPr>
          <w:rFonts w:ascii="Palatino Linotype" w:hAnsi="Palatino Linotype" w:cs="Arial"/>
          <w:i/>
          <w:szCs w:val="22"/>
        </w:rPr>
        <w:t>esta</w:t>
      </w:r>
      <w:proofErr w:type="spellEnd"/>
      <w:r w:rsidR="000328BD" w:rsidRPr="00E43732">
        <w:rPr>
          <w:rFonts w:ascii="Palatino Linotype" w:hAnsi="Palatino Linotype" w:cs="Arial"/>
          <w:i/>
          <w:szCs w:val="22"/>
        </w:rPr>
        <w:t xml:space="preserve"> proporcionando acceso a mis datos personales por el medio que solicité. Se me ofrece acudir a las oficinas del sujeto obligado para de esa manera poder acreditar mi personalidad, </w:t>
      </w:r>
      <w:r w:rsidR="000328BD" w:rsidRPr="00E43732">
        <w:rPr>
          <w:rFonts w:ascii="Palatino Linotype" w:hAnsi="Palatino Linotype" w:cs="Arial"/>
          <w:i/>
          <w:szCs w:val="22"/>
        </w:rPr>
        <w:lastRenderedPageBreak/>
        <w:t>siendo que yo previamente acredité mi personalidad por medio de esta plataforma.</w:t>
      </w:r>
      <w:r w:rsidRPr="00E43732">
        <w:rPr>
          <w:rFonts w:ascii="Palatino Linotype" w:hAnsi="Palatino Linotype" w:cs="Arial"/>
          <w:i/>
          <w:szCs w:val="22"/>
        </w:rPr>
        <w:t>”</w:t>
      </w:r>
      <w:r w:rsidR="00591A27" w:rsidRPr="00E43732">
        <w:rPr>
          <w:rFonts w:ascii="Palatino Linotype" w:hAnsi="Palatino Linotype" w:cs="Arial"/>
          <w:i/>
          <w:szCs w:val="22"/>
        </w:rPr>
        <w:t xml:space="preserve"> </w:t>
      </w:r>
      <w:r w:rsidRPr="00E43732">
        <w:rPr>
          <w:rFonts w:ascii="Palatino Linotype" w:hAnsi="Palatino Linotype" w:cs="Arial"/>
          <w:szCs w:val="22"/>
        </w:rPr>
        <w:t>(Sic).</w:t>
      </w:r>
    </w:p>
    <w:p w:rsidR="006E5EF0" w:rsidRPr="00E43732"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rsidR="000328BD" w:rsidRPr="00E43732" w:rsidRDefault="000328BD" w:rsidP="000328B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E43732">
        <w:rPr>
          <w:rFonts w:ascii="Palatino Linotype" w:hAnsi="Palatino Linotype"/>
          <w:color w:val="000000"/>
        </w:rPr>
        <w:t xml:space="preserve">Se hace constar que el particular no adjuntó documento al formato electrónico del recurso de revisión. </w:t>
      </w:r>
    </w:p>
    <w:p w:rsidR="00BB2529" w:rsidRPr="00E43732" w:rsidRDefault="00BB2529" w:rsidP="00BB2529">
      <w:pPr>
        <w:pStyle w:val="Prrafodelista"/>
        <w:tabs>
          <w:tab w:val="left" w:pos="142"/>
          <w:tab w:val="left" w:pos="284"/>
        </w:tabs>
        <w:spacing w:before="240" w:after="240" w:line="360" w:lineRule="auto"/>
        <w:ind w:left="0"/>
        <w:jc w:val="both"/>
        <w:rPr>
          <w:rFonts w:ascii="Palatino Linotype" w:hAnsi="Palatino Linotype"/>
          <w:color w:val="000000"/>
        </w:rPr>
      </w:pPr>
    </w:p>
    <w:p w:rsidR="00A55BA0" w:rsidRPr="00E43732" w:rsidRDefault="00F60D68"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E43732">
        <w:rPr>
          <w:rFonts w:ascii="Palatino Linotype" w:eastAsia="Times New Roman" w:hAnsi="Palatino Linotype" w:cs="Arial"/>
          <w:lang w:val="es-ES"/>
        </w:rPr>
        <w:t>S</w:t>
      </w:r>
      <w:r w:rsidR="00A55BA0" w:rsidRPr="00E43732">
        <w:rPr>
          <w:rFonts w:ascii="Palatino Linotype" w:eastAsia="Times New Roman" w:hAnsi="Palatino Linotype" w:cs="Arial"/>
          <w:lang w:val="es-ES"/>
        </w:rPr>
        <w:t xml:space="preserve">e registró el recurso de revisión bajo el número de expediente </w:t>
      </w:r>
      <w:r w:rsidR="00A55BA0" w:rsidRPr="00E43732">
        <w:rPr>
          <w:rFonts w:ascii="Palatino Linotype" w:hAnsi="Palatino Linotype" w:cs="Arial"/>
          <w:bCs/>
        </w:rPr>
        <w:t xml:space="preserve">al rubro indicado, asimismo con fundamento en lo dispuesto por el </w:t>
      </w:r>
      <w:r w:rsidR="00A55BA0" w:rsidRPr="00E43732">
        <w:rPr>
          <w:rFonts w:ascii="Palatino Linotype" w:eastAsia="Calibri" w:hAnsi="Palatino Linotype" w:cs="Arial"/>
          <w:lang w:val="es-ES"/>
        </w:rPr>
        <w:t xml:space="preserve">artículo 185 fracción I de la </w:t>
      </w:r>
      <w:r w:rsidR="00A55BA0" w:rsidRPr="00E43732">
        <w:rPr>
          <w:rFonts w:ascii="Palatino Linotype" w:eastAsia="Calibri" w:hAnsi="Palatino Linotype" w:cs="Arial"/>
          <w:b/>
          <w:lang w:val="es-ES"/>
        </w:rPr>
        <w:t xml:space="preserve">Ley de Transparencia y Acceso a la Información Pública del Estado de México y Municipios </w:t>
      </w:r>
      <w:r w:rsidR="00A55BA0" w:rsidRPr="00E43732">
        <w:rPr>
          <w:rFonts w:ascii="Palatino Linotype" w:eastAsia="Times New Roman" w:hAnsi="Palatino Linotype" w:cs="Arial"/>
          <w:lang w:val="es-ES"/>
        </w:rPr>
        <w:t xml:space="preserve">se turnó al </w:t>
      </w:r>
      <w:r w:rsidR="00A55BA0" w:rsidRPr="00E43732">
        <w:rPr>
          <w:rFonts w:ascii="Palatino Linotype" w:eastAsia="Times New Roman" w:hAnsi="Palatino Linotype" w:cs="Arial"/>
          <w:b/>
          <w:lang w:val="es-ES"/>
        </w:rPr>
        <w:t xml:space="preserve">Comisionado José Guadalupe Luna Hernández, </w:t>
      </w:r>
      <w:r w:rsidR="00A55BA0" w:rsidRPr="00E43732">
        <w:rPr>
          <w:rFonts w:ascii="Palatino Linotype" w:eastAsia="Times New Roman" w:hAnsi="Palatino Linotype" w:cs="Arial"/>
          <w:lang w:val="es-ES"/>
        </w:rPr>
        <w:t xml:space="preserve">con el objeto de </w:t>
      </w:r>
      <w:r w:rsidR="00A55BA0" w:rsidRPr="00E43732">
        <w:rPr>
          <w:rFonts w:ascii="Palatino Linotype" w:eastAsia="Times New Roman" w:hAnsi="Palatino Linotype" w:cs="Arial"/>
          <w:lang w:val="es-MX"/>
        </w:rPr>
        <w:t>su análisis.</w:t>
      </w:r>
    </w:p>
    <w:p w:rsidR="00A55BA0" w:rsidRPr="00E43732" w:rsidRDefault="00A55BA0" w:rsidP="00763406">
      <w:pPr>
        <w:pStyle w:val="Prrafodelista"/>
        <w:tabs>
          <w:tab w:val="left" w:pos="142"/>
          <w:tab w:val="left" w:pos="284"/>
        </w:tabs>
        <w:ind w:left="0"/>
        <w:rPr>
          <w:rFonts w:ascii="Palatino Linotype" w:hAnsi="Palatino Linotype"/>
          <w:i/>
          <w:color w:val="000000"/>
          <w:sz w:val="22"/>
          <w:szCs w:val="22"/>
        </w:rPr>
      </w:pPr>
    </w:p>
    <w:p w:rsidR="00006DFE" w:rsidRPr="00E43732" w:rsidRDefault="00006DFE" w:rsidP="00006DFE">
      <w:pPr>
        <w:pStyle w:val="Prrafodelista"/>
        <w:numPr>
          <w:ilvl w:val="0"/>
          <w:numId w:val="2"/>
        </w:numPr>
        <w:tabs>
          <w:tab w:val="left" w:pos="142"/>
          <w:tab w:val="left" w:pos="426"/>
        </w:tabs>
        <w:spacing w:before="240" w:after="240" w:line="360" w:lineRule="auto"/>
        <w:ind w:left="0" w:firstLine="0"/>
        <w:jc w:val="both"/>
        <w:rPr>
          <w:rFonts w:ascii="Palatino Linotype" w:hAnsi="Palatino Linotype"/>
          <w:color w:val="000000"/>
          <w:sz w:val="22"/>
          <w:szCs w:val="22"/>
        </w:rPr>
      </w:pPr>
      <w:r w:rsidRPr="00E43732">
        <w:rPr>
          <w:rFonts w:ascii="Palatino Linotype" w:eastAsia="Calibri" w:hAnsi="Palatino Linotype" w:cs="Arial"/>
          <w:lang w:val="es-ES"/>
        </w:rPr>
        <w:t xml:space="preserve">Mediante </w:t>
      </w:r>
      <w:r w:rsidRPr="00E43732">
        <w:rPr>
          <w:rFonts w:ascii="Palatino Linotype" w:hAnsi="Palatino Linotype" w:cs="Arial"/>
        </w:rPr>
        <w:t xml:space="preserve">el acuerdo de </w:t>
      </w:r>
      <w:r w:rsidR="000328BD" w:rsidRPr="00E43732">
        <w:rPr>
          <w:rFonts w:ascii="Palatino Linotype" w:hAnsi="Palatino Linotype" w:cs="Arial"/>
        </w:rPr>
        <w:t>veinticinco</w:t>
      </w:r>
      <w:r w:rsidRPr="00E43732">
        <w:rPr>
          <w:rFonts w:ascii="Palatino Linotype" w:hAnsi="Palatino Linotype" w:cs="Arial"/>
        </w:rPr>
        <w:t xml:space="preserve"> (</w:t>
      </w:r>
      <w:r w:rsidR="000328BD" w:rsidRPr="00E43732">
        <w:rPr>
          <w:rFonts w:ascii="Palatino Linotype" w:hAnsi="Palatino Linotype" w:cs="Arial"/>
        </w:rPr>
        <w:t>25</w:t>
      </w:r>
      <w:r w:rsidRPr="00E43732">
        <w:rPr>
          <w:rFonts w:ascii="Palatino Linotype" w:hAnsi="Palatino Linotype" w:cs="Arial"/>
        </w:rPr>
        <w:t>) de</w:t>
      </w:r>
      <w:r w:rsidR="000328BD" w:rsidRPr="00E43732">
        <w:rPr>
          <w:rFonts w:ascii="Palatino Linotype" w:hAnsi="Palatino Linotype" w:cs="Arial"/>
        </w:rPr>
        <w:t xml:space="preserve"> septiembre </w:t>
      </w:r>
      <w:r w:rsidRPr="00E43732">
        <w:rPr>
          <w:rFonts w:ascii="Palatino Linotype" w:hAnsi="Palatino Linotype" w:cs="Arial"/>
        </w:rPr>
        <w:t>de dos mil</w:t>
      </w:r>
      <w:r w:rsidR="000328BD" w:rsidRPr="00E43732">
        <w:rPr>
          <w:rFonts w:ascii="Palatino Linotype" w:hAnsi="Palatino Linotype" w:cs="Arial"/>
        </w:rPr>
        <w:t xml:space="preserve"> veinte</w:t>
      </w:r>
      <w:r w:rsidRPr="00E43732">
        <w:rPr>
          <w:rFonts w:ascii="Palatino Linotype" w:hAnsi="Palatino Linotype" w:cs="Arial"/>
        </w:rPr>
        <w:t>, se admitió el recurso de revisión al rubro indicado y, atento a lo dispuesto en los artículos 131 y 132 de la Ley de Protección de Datos Personales en Posesión de Sujetos Obligados del Estado de México y Municipios, se exhortó a las partes a realizar una conciliación, para tal efecto se les concedió un plazo de siete (7) días hábiles para que manifestaran si era su deseo conciliar.</w:t>
      </w:r>
    </w:p>
    <w:p w:rsidR="00006DFE" w:rsidRPr="00E43732" w:rsidRDefault="00006DFE" w:rsidP="00006DFE">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rsidR="00BB2529" w:rsidRPr="00E43732" w:rsidRDefault="00006DFE" w:rsidP="00006DFE">
      <w:pPr>
        <w:pStyle w:val="Prrafodelista"/>
        <w:numPr>
          <w:ilvl w:val="0"/>
          <w:numId w:val="2"/>
        </w:numPr>
        <w:tabs>
          <w:tab w:val="left" w:pos="142"/>
          <w:tab w:val="left" w:pos="426"/>
        </w:tabs>
        <w:spacing w:before="240" w:after="240" w:line="360" w:lineRule="auto"/>
        <w:ind w:left="0" w:firstLine="0"/>
        <w:jc w:val="both"/>
        <w:rPr>
          <w:rFonts w:ascii="Palatino Linotype" w:hAnsi="Palatino Linotype"/>
          <w:color w:val="000000"/>
          <w:sz w:val="22"/>
          <w:szCs w:val="22"/>
        </w:rPr>
      </w:pPr>
      <w:r w:rsidRPr="00E43732">
        <w:rPr>
          <w:rFonts w:ascii="Palatino Linotype" w:eastAsia="Calibri" w:hAnsi="Palatino Linotype" w:cs="Arial"/>
          <w:lang w:val="es-ES"/>
        </w:rPr>
        <w:t xml:space="preserve">De las constancias que obras en autos del expediente digital del </w:t>
      </w:r>
      <w:r w:rsidRPr="00E43732">
        <w:rPr>
          <w:rFonts w:ascii="Palatino Linotype" w:eastAsia="Calibri" w:hAnsi="Palatino Linotype" w:cs="Arial"/>
          <w:b/>
          <w:lang w:val="es-ES"/>
        </w:rPr>
        <w:t>SARCOEM</w:t>
      </w:r>
      <w:r w:rsidRPr="00E43732">
        <w:rPr>
          <w:rFonts w:ascii="Palatino Linotype" w:eastAsia="Calibri" w:hAnsi="Palatino Linotype" w:cs="Arial"/>
          <w:lang w:val="es-ES"/>
        </w:rPr>
        <w:t>, se aprecia que</w:t>
      </w:r>
      <w:r w:rsidR="00BB2529" w:rsidRPr="00E43732">
        <w:rPr>
          <w:rFonts w:ascii="Palatino Linotype" w:eastAsia="Calibri" w:hAnsi="Palatino Linotype" w:cs="Arial"/>
          <w:lang w:val="es-ES"/>
        </w:rPr>
        <w:t xml:space="preserve"> el Titular de la Unidad de Trasparencia del </w:t>
      </w:r>
      <w:r w:rsidR="00BB2529" w:rsidRPr="00E43732">
        <w:rPr>
          <w:rFonts w:ascii="Palatino Linotype" w:eastAsia="Calibri" w:hAnsi="Palatino Linotype" w:cs="Arial"/>
          <w:b/>
          <w:lang w:val="es-ES"/>
        </w:rPr>
        <w:t xml:space="preserve">SUJETO OBLIGADO, </w:t>
      </w:r>
      <w:r w:rsidR="00BB2529" w:rsidRPr="00E43732">
        <w:rPr>
          <w:rFonts w:ascii="Palatino Linotype" w:eastAsia="Calibri" w:hAnsi="Palatino Linotype" w:cs="Arial"/>
          <w:lang w:val="es-ES"/>
        </w:rPr>
        <w:t xml:space="preserve">aceptó llevar a cabo la conciliación; sin embargo, de las constancias de autos que obran en el expediente, se aprecia que el </w:t>
      </w:r>
      <w:r w:rsidR="00BB2529" w:rsidRPr="00E43732">
        <w:rPr>
          <w:rFonts w:ascii="Palatino Linotype" w:eastAsia="Calibri" w:hAnsi="Palatino Linotype" w:cs="Arial"/>
          <w:b/>
          <w:lang w:val="es-ES"/>
        </w:rPr>
        <w:t xml:space="preserve">RECURRENTE </w:t>
      </w:r>
      <w:r w:rsidR="00BB2529" w:rsidRPr="00E43732">
        <w:rPr>
          <w:rFonts w:ascii="Palatino Linotype" w:eastAsia="Calibri" w:hAnsi="Palatino Linotype" w:cs="Arial"/>
          <w:lang w:val="es-ES"/>
        </w:rPr>
        <w:t xml:space="preserve">no atendió el exhorto de conciliación, como se aprecia a continuación:   </w:t>
      </w:r>
    </w:p>
    <w:p w:rsidR="000328BD" w:rsidRPr="00E43732" w:rsidRDefault="000328BD" w:rsidP="000328BD">
      <w:pPr>
        <w:pStyle w:val="Prrafodelista"/>
        <w:tabs>
          <w:tab w:val="left" w:pos="142"/>
          <w:tab w:val="left" w:pos="426"/>
        </w:tabs>
        <w:spacing w:before="240" w:after="240" w:line="360" w:lineRule="auto"/>
        <w:ind w:left="0"/>
        <w:jc w:val="both"/>
        <w:rPr>
          <w:rFonts w:ascii="Palatino Linotype" w:hAnsi="Palatino Linotype"/>
          <w:color w:val="000000"/>
          <w:sz w:val="22"/>
          <w:szCs w:val="22"/>
        </w:rPr>
      </w:pPr>
    </w:p>
    <w:p w:rsidR="00006DFE" w:rsidRPr="00E43732" w:rsidRDefault="00BB2529" w:rsidP="00BB2529">
      <w:pPr>
        <w:pStyle w:val="Prrafodelista"/>
        <w:tabs>
          <w:tab w:val="left" w:pos="142"/>
          <w:tab w:val="left" w:pos="284"/>
        </w:tabs>
        <w:spacing w:before="240" w:after="240" w:line="360" w:lineRule="auto"/>
        <w:ind w:left="0"/>
        <w:jc w:val="center"/>
        <w:rPr>
          <w:rFonts w:ascii="Palatino Linotype" w:hAnsi="Palatino Linotype"/>
          <w:color w:val="000000"/>
          <w:sz w:val="22"/>
          <w:szCs w:val="22"/>
        </w:rPr>
      </w:pPr>
      <w:r w:rsidRPr="00E43732">
        <w:rPr>
          <w:noProof/>
          <w:lang w:val="es-MX" w:eastAsia="es-MX"/>
        </w:rPr>
        <w:lastRenderedPageBreak/>
        <mc:AlternateContent>
          <mc:Choice Requires="wps">
            <w:drawing>
              <wp:anchor distT="0" distB="0" distL="114300" distR="114300" simplePos="0" relativeHeight="251674624" behindDoc="0" locked="0" layoutInCell="1" allowOverlap="1" wp14:anchorId="720B7118" wp14:editId="3BFE8E3F">
                <wp:simplePos x="0" y="0"/>
                <wp:positionH relativeFrom="column">
                  <wp:posOffset>300990</wp:posOffset>
                </wp:positionH>
                <wp:positionV relativeFrom="paragraph">
                  <wp:posOffset>2929890</wp:posOffset>
                </wp:positionV>
                <wp:extent cx="4991100" cy="78105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4991100" cy="7810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9095EA3" id="Rectángulo 10" o:spid="_x0000_s1026" style="position:absolute;margin-left:23.7pt;margin-top:230.7pt;width:393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" filled="f" strokecolor="red" strokeweight="1.5pt"/>
            </w:pict>
          </mc:Fallback>
        </mc:AlternateContent>
      </w:r>
      <w:r w:rsidRPr="00E43732">
        <w:rPr>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310515</wp:posOffset>
                </wp:positionH>
                <wp:positionV relativeFrom="paragraph">
                  <wp:posOffset>418465</wp:posOffset>
                </wp:positionV>
                <wp:extent cx="2247900" cy="25717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2247900" cy="257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2F59E412" id="Rectángulo 8" o:spid="_x0000_s1026" style="position:absolute;margin-left:24.45pt;margin-top:32.95pt;width:177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" filled="f" strokecolor="red" strokeweight="1.5pt"/>
            </w:pict>
          </mc:Fallback>
        </mc:AlternateContent>
      </w:r>
      <w:r w:rsidRPr="00E43732">
        <w:rPr>
          <w:noProof/>
          <w:lang w:val="es-MX" w:eastAsia="es-MX"/>
        </w:rPr>
        <w:drawing>
          <wp:inline distT="0" distB="0" distL="0" distR="0" wp14:anchorId="5D5F823F" wp14:editId="3414A180">
            <wp:extent cx="5114925" cy="4582120"/>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14" t="18204" r="30026" b="16565"/>
                    <a:stretch/>
                  </pic:blipFill>
                  <pic:spPr bwMode="auto">
                    <a:xfrm>
                      <a:off x="0" y="0"/>
                      <a:ext cx="5120005" cy="4586671"/>
                    </a:xfrm>
                    <a:prstGeom prst="rect">
                      <a:avLst/>
                    </a:prstGeom>
                    <a:ln>
                      <a:noFill/>
                    </a:ln>
                    <a:extLst>
                      <a:ext uri="{53640926-AAD7-44D8-BBD7-CCE9431645EC}">
                        <a14:shadowObscured xmlns:a14="http://schemas.microsoft.com/office/drawing/2010/main"/>
                      </a:ext>
                    </a:extLst>
                  </pic:spPr>
                </pic:pic>
              </a:graphicData>
            </a:graphic>
          </wp:inline>
        </w:drawing>
      </w:r>
    </w:p>
    <w:p w:rsidR="00BB2529" w:rsidRPr="00E43732" w:rsidRDefault="00BB2529" w:rsidP="008614EA">
      <w:pPr>
        <w:numPr>
          <w:ilvl w:val="0"/>
          <w:numId w:val="2"/>
        </w:numPr>
        <w:tabs>
          <w:tab w:val="left" w:pos="426"/>
        </w:tabs>
        <w:spacing w:line="360" w:lineRule="auto"/>
        <w:ind w:left="0" w:firstLine="0"/>
        <w:contextualSpacing/>
        <w:jc w:val="both"/>
        <w:rPr>
          <w:rFonts w:ascii="Palatino Linotype" w:hAnsi="Palatino Linotype" w:cs="Arial"/>
        </w:rPr>
      </w:pPr>
      <w:r w:rsidRPr="00E43732">
        <w:rPr>
          <w:rFonts w:ascii="Palatino Linotype" w:hAnsi="Palatino Linotype" w:cs="Arial"/>
        </w:rPr>
        <w:t>Posteriormente, en fecha veintiuno (21) de octubre de dos mil veinte, el Comisionado Ponente concedió a las partes, un plazo de siete (07) días hábiles, a efecto de que manifestaran lo que a su derecho correspondiera.</w:t>
      </w:r>
      <w:r w:rsidR="00E826C8" w:rsidRPr="00E43732">
        <w:rPr>
          <w:rFonts w:ascii="Palatino Linotype" w:hAnsi="Palatino Linotype" w:cs="Arial"/>
        </w:rPr>
        <w:t xml:space="preserve"> Se hace constar que el treinta (30</w:t>
      </w:r>
      <w:r w:rsidRPr="00E43732">
        <w:rPr>
          <w:rFonts w:ascii="Palatino Linotype" w:hAnsi="Palatino Linotype" w:cs="Arial"/>
        </w:rPr>
        <w:t>) de</w:t>
      </w:r>
      <w:r w:rsidR="00E826C8" w:rsidRPr="00E43732">
        <w:rPr>
          <w:rFonts w:ascii="Palatino Linotype" w:hAnsi="Palatino Linotype" w:cs="Arial"/>
        </w:rPr>
        <w:t xml:space="preserve"> octubre </w:t>
      </w:r>
      <w:r w:rsidRPr="00E43732">
        <w:rPr>
          <w:rFonts w:ascii="Palatino Linotype" w:hAnsi="Palatino Linotype" w:cs="Arial"/>
        </w:rPr>
        <w:t xml:space="preserve">de los corrientes, el </w:t>
      </w:r>
      <w:r w:rsidRPr="00E43732">
        <w:rPr>
          <w:rFonts w:ascii="Palatino Linotype" w:hAnsi="Palatino Linotype" w:cs="Arial"/>
          <w:b/>
        </w:rPr>
        <w:t>SUJETO OBLIGADO</w:t>
      </w:r>
      <w:r w:rsidRPr="00E43732">
        <w:rPr>
          <w:rFonts w:ascii="Palatino Linotype" w:hAnsi="Palatino Linotype" w:cs="Arial"/>
        </w:rPr>
        <w:t xml:space="preserve"> remitió su Informe Justificado, por medio del cual, esencialmente, ratificó su respuesta inicial a la solicitud de acceso a datos; </w:t>
      </w:r>
      <w:r w:rsidR="00E826C8" w:rsidRPr="00E43732">
        <w:rPr>
          <w:rFonts w:ascii="Palatino Linotype" w:hAnsi="Palatino Linotype" w:cs="Arial"/>
        </w:rPr>
        <w:t>no obstante, se hizo de conocimiento del particular.</w:t>
      </w:r>
    </w:p>
    <w:p w:rsidR="00E826C8" w:rsidRPr="00E43732" w:rsidRDefault="00E826C8" w:rsidP="00E826C8">
      <w:pPr>
        <w:tabs>
          <w:tab w:val="left" w:pos="426"/>
        </w:tabs>
        <w:spacing w:line="360" w:lineRule="auto"/>
        <w:contextualSpacing/>
        <w:jc w:val="both"/>
        <w:rPr>
          <w:rFonts w:ascii="Palatino Linotype" w:hAnsi="Palatino Linotype" w:cs="Arial"/>
        </w:rPr>
      </w:pPr>
    </w:p>
    <w:p w:rsidR="00BB2529" w:rsidRPr="00E43732" w:rsidRDefault="00BB2529" w:rsidP="00BB2529">
      <w:pPr>
        <w:numPr>
          <w:ilvl w:val="0"/>
          <w:numId w:val="2"/>
        </w:numPr>
        <w:tabs>
          <w:tab w:val="left" w:pos="426"/>
        </w:tabs>
        <w:spacing w:line="360" w:lineRule="auto"/>
        <w:ind w:left="0" w:firstLine="0"/>
        <w:contextualSpacing/>
        <w:jc w:val="both"/>
        <w:rPr>
          <w:rFonts w:ascii="Palatino Linotype" w:hAnsi="Palatino Linotype" w:cs="Arial"/>
        </w:rPr>
      </w:pPr>
      <w:r w:rsidRPr="00E43732">
        <w:rPr>
          <w:rFonts w:ascii="Palatino Linotype" w:hAnsi="Palatino Linotype" w:cs="Arial"/>
        </w:rPr>
        <w:lastRenderedPageBreak/>
        <w:t xml:space="preserve">Por otro lado, esta Ponencia </w:t>
      </w:r>
      <w:proofErr w:type="spellStart"/>
      <w:r w:rsidRPr="00E43732">
        <w:rPr>
          <w:rFonts w:ascii="Palatino Linotype" w:hAnsi="Palatino Linotype" w:cs="Arial"/>
        </w:rPr>
        <w:t>Resolutora</w:t>
      </w:r>
      <w:proofErr w:type="spellEnd"/>
      <w:r w:rsidRPr="00E43732">
        <w:rPr>
          <w:rFonts w:ascii="Palatino Linotype" w:hAnsi="Palatino Linotype" w:cs="Arial"/>
        </w:rPr>
        <w:t xml:space="preserve"> advierte que el </w:t>
      </w:r>
      <w:r w:rsidRPr="00E43732">
        <w:rPr>
          <w:rFonts w:ascii="Palatino Linotype" w:hAnsi="Palatino Linotype" w:cs="Arial"/>
          <w:b/>
        </w:rPr>
        <w:t>RECURRENTE</w:t>
      </w:r>
      <w:r w:rsidRPr="00E43732">
        <w:rPr>
          <w:rFonts w:ascii="Palatino Linotype" w:hAnsi="Palatino Linotype" w:cs="Arial"/>
        </w:rPr>
        <w:t xml:space="preserve"> optó por no realizar manifestar alguna, como se aprecia mediante la siguiente captura de pantalla:</w:t>
      </w:r>
    </w:p>
    <w:p w:rsidR="00BB2529" w:rsidRPr="00E43732" w:rsidRDefault="00BB2529" w:rsidP="00BB2529">
      <w:pPr>
        <w:tabs>
          <w:tab w:val="left" w:pos="426"/>
        </w:tabs>
        <w:rPr>
          <w:rFonts w:ascii="Palatino Linotype" w:hAnsi="Palatino Linotype" w:cs="Arial"/>
          <w:sz w:val="10"/>
          <w:szCs w:val="10"/>
        </w:rPr>
      </w:pPr>
    </w:p>
    <w:p w:rsidR="00BB2529" w:rsidRPr="00E43732" w:rsidRDefault="00BB2529" w:rsidP="00BB2529">
      <w:pPr>
        <w:tabs>
          <w:tab w:val="left" w:pos="426"/>
        </w:tabs>
        <w:jc w:val="center"/>
        <w:rPr>
          <w:rFonts w:ascii="Palatino Linotype" w:hAnsi="Palatino Linotype" w:cs="Arial"/>
        </w:rPr>
      </w:pPr>
    </w:p>
    <w:p w:rsidR="00BB2529" w:rsidRPr="00E43732" w:rsidRDefault="00E826C8" w:rsidP="00BB2529">
      <w:pPr>
        <w:tabs>
          <w:tab w:val="left" w:pos="426"/>
        </w:tabs>
        <w:jc w:val="center"/>
        <w:rPr>
          <w:rFonts w:ascii="Palatino Linotype" w:hAnsi="Palatino Linotype" w:cs="Arial"/>
        </w:rPr>
      </w:pPr>
      <w:r w:rsidRPr="00E43732">
        <w:rPr>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266066</wp:posOffset>
                </wp:positionV>
                <wp:extent cx="5715000" cy="51435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5715000" cy="5143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D43DBF5" id="Rectángulo 12" o:spid="_x0000_s1026" style="position:absolute;margin-left:1.2pt;margin-top:20.95pt;width:450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" filled="f" strokecolor="red" strokeweight="1.5pt"/>
            </w:pict>
          </mc:Fallback>
        </mc:AlternateContent>
      </w:r>
      <w:r w:rsidRPr="00E43732">
        <w:rPr>
          <w:noProof/>
          <w:lang w:val="es-MX" w:eastAsia="es-MX"/>
        </w:rPr>
        <w:drawing>
          <wp:inline distT="0" distB="0" distL="0" distR="0" wp14:anchorId="2D134D49" wp14:editId="7574415A">
            <wp:extent cx="5847701" cy="2162175"/>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38" t="27913" r="29343" b="45388"/>
                    <a:stretch/>
                  </pic:blipFill>
                  <pic:spPr bwMode="auto">
                    <a:xfrm>
                      <a:off x="0" y="0"/>
                      <a:ext cx="5855016" cy="2164880"/>
                    </a:xfrm>
                    <a:prstGeom prst="rect">
                      <a:avLst/>
                    </a:prstGeom>
                    <a:ln>
                      <a:noFill/>
                    </a:ln>
                    <a:extLst>
                      <a:ext uri="{53640926-AAD7-44D8-BBD7-CCE9431645EC}">
                        <a14:shadowObscured xmlns:a14="http://schemas.microsoft.com/office/drawing/2010/main"/>
                      </a:ext>
                    </a:extLst>
                  </pic:spPr>
                </pic:pic>
              </a:graphicData>
            </a:graphic>
          </wp:inline>
        </w:drawing>
      </w:r>
    </w:p>
    <w:p w:rsidR="00BB2529" w:rsidRPr="00E43732" w:rsidRDefault="00BB2529" w:rsidP="00BB2529">
      <w:pPr>
        <w:tabs>
          <w:tab w:val="left" w:pos="426"/>
        </w:tabs>
        <w:spacing w:line="360" w:lineRule="auto"/>
        <w:contextualSpacing/>
        <w:jc w:val="both"/>
        <w:rPr>
          <w:rFonts w:ascii="Palatino Linotype" w:hAnsi="Palatino Linotype"/>
          <w:b/>
          <w:u w:val="single"/>
        </w:rPr>
      </w:pPr>
    </w:p>
    <w:p w:rsidR="00006DFE" w:rsidRPr="00E43732" w:rsidRDefault="00E826C8" w:rsidP="00E826C8">
      <w:pPr>
        <w:numPr>
          <w:ilvl w:val="0"/>
          <w:numId w:val="2"/>
        </w:numPr>
        <w:tabs>
          <w:tab w:val="left" w:pos="426"/>
        </w:tabs>
        <w:spacing w:line="360" w:lineRule="auto"/>
        <w:ind w:left="0" w:hanging="11"/>
        <w:contextualSpacing/>
        <w:jc w:val="both"/>
        <w:rPr>
          <w:rFonts w:ascii="Palatino Linotype" w:hAnsi="Palatino Linotype"/>
          <w:b/>
          <w:u w:val="single"/>
        </w:rPr>
      </w:pPr>
      <w:r w:rsidRPr="00E43732">
        <w:rPr>
          <w:rFonts w:ascii="Palatino Linotype" w:hAnsi="Palatino Linotype"/>
        </w:rPr>
        <w:t>Consecuentemente, e</w:t>
      </w:r>
      <w:r w:rsidR="00BB2529" w:rsidRPr="00E43732">
        <w:rPr>
          <w:rFonts w:ascii="Palatino Linotype" w:hAnsi="Palatino Linotype"/>
        </w:rPr>
        <w:t>l Comisionado Ponente decretó el cierre de instrucción</w:t>
      </w:r>
      <w:r w:rsidR="00BB2529" w:rsidRPr="00E43732">
        <w:rPr>
          <w:rFonts w:ascii="Palatino Linotype" w:hAnsi="Palatino Linotype" w:cs="Arial"/>
        </w:rPr>
        <w:t xml:space="preserve"> </w:t>
      </w:r>
      <w:r w:rsidR="00BB2529" w:rsidRPr="00E43732">
        <w:rPr>
          <w:rFonts w:ascii="Palatino Linotype" w:hAnsi="Palatino Linotype"/>
        </w:rPr>
        <w:t xml:space="preserve">mediante el acuerdo de veintisiete (27) de </w:t>
      </w:r>
      <w:r w:rsidRPr="00E43732">
        <w:rPr>
          <w:rFonts w:ascii="Palatino Linotype" w:hAnsi="Palatino Linotype"/>
        </w:rPr>
        <w:t>noviembre de dos mil veinte</w:t>
      </w:r>
      <w:r w:rsidR="00BB2529" w:rsidRPr="00E43732">
        <w:rPr>
          <w:rFonts w:ascii="Palatino Linotype" w:hAnsi="Palatino Linotype"/>
        </w:rPr>
        <w:t>.</w:t>
      </w:r>
      <w:r w:rsidR="00BB2529" w:rsidRPr="00E43732">
        <w:rPr>
          <w:rFonts w:ascii="Palatino Linotype" w:hAnsi="Palatino Linotype" w:cs="Arial"/>
        </w:rPr>
        <w:t xml:space="preserve"> Asimismo, en misma fecha, </w:t>
      </w:r>
      <w:r w:rsidR="00BB2529" w:rsidRPr="00E43732">
        <w:rPr>
          <w:rFonts w:ascii="Palatino Linotype" w:hAnsi="Palatino Linotype"/>
          <w:color w:val="000000" w:themeColor="text1"/>
        </w:rPr>
        <w:t xml:space="preserve">se notificó la ampliación del plazo para resolver el recurso de revisión, por un periodo de veinte (20) días hábiles, </w:t>
      </w:r>
      <w:r w:rsidR="00BB2529" w:rsidRPr="00E43732">
        <w:rPr>
          <w:rFonts w:ascii="Palatino Linotype" w:hAnsi="Palatino Linotype" w:cs="Arial"/>
          <w:color w:val="000000" w:themeColor="text1"/>
        </w:rPr>
        <w:t>por lo que ordenó turnar el expediente para su resolución, misma que ahora se pronuncia; y --------------------------------------------------</w:t>
      </w:r>
    </w:p>
    <w:p w:rsidR="00FF0C84" w:rsidRPr="00E43732" w:rsidRDefault="00FF0C84">
      <w:pPr>
        <w:spacing w:after="160" w:line="259" w:lineRule="auto"/>
        <w:rPr>
          <w:lang w:val="es-MX" w:eastAsia="en-US"/>
        </w:rPr>
      </w:pPr>
    </w:p>
    <w:p w:rsidR="00A55BA0" w:rsidRPr="00E43732" w:rsidRDefault="00A55BA0" w:rsidP="00763406">
      <w:pPr>
        <w:pStyle w:val="Ttulo1"/>
        <w:tabs>
          <w:tab w:val="left" w:pos="142"/>
          <w:tab w:val="left" w:pos="284"/>
        </w:tabs>
        <w:jc w:val="center"/>
        <w:rPr>
          <w:szCs w:val="24"/>
        </w:rPr>
      </w:pPr>
      <w:bookmarkStart w:id="4" w:name="_Toc57403618"/>
      <w:r w:rsidRPr="00E43732">
        <w:rPr>
          <w:szCs w:val="24"/>
        </w:rPr>
        <w:t>CONSIDERANDO</w:t>
      </w:r>
      <w:bookmarkEnd w:id="4"/>
    </w:p>
    <w:p w:rsidR="00A55BA0" w:rsidRPr="00E43732" w:rsidRDefault="00A55BA0" w:rsidP="00763406">
      <w:pPr>
        <w:tabs>
          <w:tab w:val="left" w:pos="142"/>
          <w:tab w:val="left" w:pos="284"/>
        </w:tabs>
        <w:rPr>
          <w:lang w:val="es-MX" w:eastAsia="en-US"/>
        </w:rPr>
      </w:pPr>
    </w:p>
    <w:p w:rsidR="00A55BA0" w:rsidRPr="00E43732" w:rsidRDefault="00A55BA0" w:rsidP="00763406">
      <w:pPr>
        <w:pStyle w:val="Ttulo2"/>
        <w:tabs>
          <w:tab w:val="left" w:pos="142"/>
          <w:tab w:val="left" w:pos="284"/>
        </w:tabs>
        <w:rPr>
          <w:rFonts w:ascii="Palatino Linotype" w:hAnsi="Palatino Linotype"/>
          <w:b/>
          <w:color w:val="auto"/>
          <w:sz w:val="24"/>
        </w:rPr>
      </w:pPr>
      <w:bookmarkStart w:id="5" w:name="_Toc57403619"/>
      <w:r w:rsidRPr="00E43732">
        <w:rPr>
          <w:rFonts w:ascii="Palatino Linotype" w:hAnsi="Palatino Linotype"/>
          <w:b/>
          <w:color w:val="auto"/>
          <w:sz w:val="24"/>
        </w:rPr>
        <w:t>PRIMERO. De la competencia</w:t>
      </w:r>
      <w:bookmarkEnd w:id="5"/>
    </w:p>
    <w:p w:rsidR="00A55BA0" w:rsidRPr="00E43732" w:rsidRDefault="00A55BA0" w:rsidP="00763406">
      <w:pPr>
        <w:tabs>
          <w:tab w:val="left" w:pos="142"/>
          <w:tab w:val="left" w:pos="284"/>
        </w:tabs>
        <w:rPr>
          <w:lang w:val="es-MX" w:eastAsia="en-US"/>
        </w:rPr>
      </w:pPr>
    </w:p>
    <w:p w:rsidR="00A55BA0" w:rsidRPr="00E43732" w:rsidRDefault="00A55BA0" w:rsidP="00AC71D5">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43732">
        <w:rPr>
          <w:rFonts w:ascii="Palatino Linotype" w:eastAsia="Calibri" w:hAnsi="Palatino Linotype" w:cs="Times New Roman"/>
          <w:lang w:val="es-ES"/>
        </w:rPr>
        <w:t xml:space="preserve">Este </w:t>
      </w:r>
      <w:r w:rsidR="00E53D8F" w:rsidRPr="00E43732">
        <w:rPr>
          <w:rFonts w:ascii="Palatino Linotype" w:eastAsia="Calibri" w:hAnsi="Palatino Linotype" w:cs="Times New Roman"/>
          <w:lang w:val="es-ES"/>
        </w:rPr>
        <w:t xml:space="preserve">Instituto de Transparencia, Acceso a la Información Pública y Protección de Datos Personales del Estado de México y Municipios, es competente para </w:t>
      </w:r>
      <w:r w:rsidR="00E53D8F" w:rsidRPr="00E43732">
        <w:rPr>
          <w:rFonts w:ascii="Palatino Linotype" w:eastAsia="Calibri" w:hAnsi="Palatino Linotype" w:cs="Times New Roman"/>
          <w:lang w:val="es-ES"/>
        </w:rPr>
        <w:lastRenderedPageBreak/>
        <w:t xml:space="preserve">conocer y resolver del presente recurso de conformidad con el artículo: 6, apartado A, fracción IV y 16 segundo párrafo de la </w:t>
      </w:r>
      <w:r w:rsidR="00E53D8F" w:rsidRPr="00E43732">
        <w:rPr>
          <w:rFonts w:ascii="Palatino Linotype" w:eastAsia="Calibri" w:hAnsi="Palatino Linotype" w:cs="Times New Roman"/>
          <w:b/>
          <w:lang w:val="es-ES"/>
        </w:rPr>
        <w:t>Constitución Política de los Estados Unidos Mexicanos</w:t>
      </w:r>
      <w:r w:rsidR="00E53D8F" w:rsidRPr="00E43732">
        <w:rPr>
          <w:rFonts w:ascii="Palatino Linotype" w:eastAsia="Calibri" w:hAnsi="Palatino Linotype" w:cs="Times New Roman"/>
          <w:lang w:val="es-ES"/>
        </w:rPr>
        <w:t xml:space="preserve">; 5, párrafos vigésimo segundo, vigésimo tercero y vigésimo cuarto, fracciones IV, V y VIII, de la </w:t>
      </w:r>
      <w:r w:rsidR="00E53D8F" w:rsidRPr="00E43732">
        <w:rPr>
          <w:rFonts w:ascii="Palatino Linotype" w:eastAsia="Calibri" w:hAnsi="Palatino Linotype" w:cs="Times New Roman"/>
          <w:b/>
          <w:lang w:val="es-ES"/>
        </w:rPr>
        <w:t>Constitución Política del Estado Libre y Soberano de México</w:t>
      </w:r>
      <w:r w:rsidR="00E53D8F" w:rsidRPr="00E43732">
        <w:rPr>
          <w:rFonts w:ascii="Palatino Linotype" w:eastAsia="Calibri" w:hAnsi="Palatino Linotype" w:cs="Times New Roman"/>
          <w:lang w:val="es-ES"/>
        </w:rPr>
        <w:t>; 1, 3 fracción I, 82, 97, 98, 119, 123, 124, 127, 128 y 133</w:t>
      </w:r>
      <w:r w:rsidR="00E53D8F" w:rsidRPr="00E43732">
        <w:rPr>
          <w:rFonts w:ascii="Palatino Linotype" w:hAnsi="Palatino Linotype" w:cs="Arial"/>
          <w:szCs w:val="22"/>
          <w:lang w:val="es-ES"/>
        </w:rPr>
        <w:t xml:space="preserve"> </w:t>
      </w:r>
      <w:r w:rsidR="00E53D8F" w:rsidRPr="00E43732">
        <w:rPr>
          <w:rFonts w:ascii="Palatino Linotype" w:eastAsia="Calibri" w:hAnsi="Palatino Linotype" w:cs="Times New Roman"/>
          <w:b/>
        </w:rPr>
        <w:t>Ley de Protección de Datos Personales en Posesión de Sujetos Obligados del Estado de México y Municipios</w:t>
      </w:r>
      <w:r w:rsidR="00E53D8F" w:rsidRPr="00E43732">
        <w:rPr>
          <w:rFonts w:ascii="Palatino Linotype" w:eastAsia="Calibri" w:hAnsi="Palatino Linotype" w:cs="Arial"/>
          <w:lang w:val="es-ES"/>
        </w:rPr>
        <w:t xml:space="preserve">; y 10, 7, 9 fracciones I y XXIV, y 11 del </w:t>
      </w:r>
      <w:r w:rsidR="00E53D8F" w:rsidRPr="00E4373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A55BA0" w:rsidRPr="00E43732" w:rsidRDefault="00A55BA0" w:rsidP="00763406">
      <w:pPr>
        <w:tabs>
          <w:tab w:val="left" w:pos="142"/>
          <w:tab w:val="left" w:pos="284"/>
        </w:tabs>
        <w:spacing w:before="240" w:after="240" w:line="360" w:lineRule="auto"/>
        <w:jc w:val="both"/>
        <w:rPr>
          <w:rFonts w:ascii="Palatino Linotype" w:hAnsi="Palatino Linotype"/>
        </w:rPr>
      </w:pPr>
    </w:p>
    <w:p w:rsidR="00A55BA0" w:rsidRPr="00E43732" w:rsidRDefault="00A55BA0" w:rsidP="00763406">
      <w:pPr>
        <w:pStyle w:val="Ttulo2"/>
        <w:tabs>
          <w:tab w:val="left" w:pos="142"/>
          <w:tab w:val="left" w:pos="284"/>
        </w:tabs>
        <w:rPr>
          <w:rFonts w:ascii="Palatino Linotype" w:hAnsi="Palatino Linotype"/>
          <w:b/>
          <w:color w:val="auto"/>
          <w:sz w:val="24"/>
        </w:rPr>
      </w:pPr>
      <w:bookmarkStart w:id="6" w:name="_Toc57403620"/>
      <w:r w:rsidRPr="00E43732">
        <w:rPr>
          <w:rFonts w:ascii="Palatino Linotype" w:hAnsi="Palatino Linotype"/>
          <w:b/>
          <w:color w:val="auto"/>
          <w:sz w:val="24"/>
        </w:rPr>
        <w:t>SEGUNDO. De la oportunidad y procedencia.</w:t>
      </w:r>
      <w:bookmarkEnd w:id="6"/>
    </w:p>
    <w:p w:rsidR="00E826C8" w:rsidRPr="00E43732" w:rsidRDefault="00E826C8" w:rsidP="00E826C8">
      <w:pPr>
        <w:keepNext/>
        <w:keepLines/>
        <w:spacing w:before="40" w:line="360" w:lineRule="auto"/>
        <w:outlineLvl w:val="1"/>
        <w:rPr>
          <w:rFonts w:ascii="Palatino Linotype" w:eastAsiaTheme="majorEastAsia" w:hAnsi="Palatino Linotype" w:cstheme="majorBidi"/>
          <w:b/>
          <w:szCs w:val="26"/>
          <w:lang w:val="es-MX" w:eastAsia="en-US"/>
        </w:rPr>
      </w:pPr>
    </w:p>
    <w:p w:rsidR="00E826C8" w:rsidRPr="00E43732" w:rsidRDefault="00E826C8" w:rsidP="00E826C8">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E43732">
        <w:rPr>
          <w:rFonts w:ascii="Palatino Linotype" w:eastAsia="Calibri" w:hAnsi="Palatino Linotype" w:cs="Arial"/>
        </w:rPr>
        <w:t xml:space="preserve">El medio de impugnación fue presentado a través del </w:t>
      </w:r>
      <w:r w:rsidRPr="00E43732">
        <w:rPr>
          <w:rFonts w:ascii="Palatino Linotype" w:eastAsia="Calibri" w:hAnsi="Palatino Linotype" w:cs="Arial"/>
          <w:b/>
        </w:rPr>
        <w:t>SARCOEM,</w:t>
      </w:r>
      <w:r w:rsidRPr="00E43732">
        <w:rPr>
          <w:rFonts w:ascii="Palatino Linotype" w:eastAsia="Calibri" w:hAnsi="Palatino Linotype" w:cs="Arial"/>
        </w:rPr>
        <w:t xml:space="preserve"> en el formato previamente aprobado para tal efecto y dentro del plazo legal de quince (15) días hábiles otorgados; para el caso en particular es de señalar que el </w:t>
      </w:r>
      <w:r w:rsidRPr="00E43732">
        <w:rPr>
          <w:rFonts w:ascii="Palatino Linotype" w:eastAsia="Calibri" w:hAnsi="Palatino Linotype" w:cs="Arial"/>
          <w:b/>
        </w:rPr>
        <w:t>SUJETO OBLIGADO</w:t>
      </w:r>
      <w:r w:rsidR="00CA3B1A" w:rsidRPr="00E43732">
        <w:rPr>
          <w:rFonts w:ascii="Palatino Linotype" w:eastAsia="Calibri" w:hAnsi="Palatino Linotype" w:cs="Arial"/>
        </w:rPr>
        <w:t xml:space="preserve"> entregó respuesta el día veintiocho </w:t>
      </w:r>
      <w:r w:rsidRPr="00E43732">
        <w:rPr>
          <w:rFonts w:ascii="Palatino Linotype" w:eastAsia="Calibri" w:hAnsi="Palatino Linotype" w:cs="Arial"/>
        </w:rPr>
        <w:t>(2</w:t>
      </w:r>
      <w:r w:rsidR="00CA3B1A" w:rsidRPr="00E43732">
        <w:rPr>
          <w:rFonts w:ascii="Palatino Linotype" w:eastAsia="Calibri" w:hAnsi="Palatino Linotype" w:cs="Arial"/>
        </w:rPr>
        <w:t>8</w:t>
      </w:r>
      <w:r w:rsidRPr="00E43732">
        <w:rPr>
          <w:rFonts w:ascii="Palatino Linotype" w:eastAsia="Calibri" w:hAnsi="Palatino Linotype" w:cs="Arial"/>
        </w:rPr>
        <w:t>) de</w:t>
      </w:r>
      <w:r w:rsidR="00CA3B1A" w:rsidRPr="00E43732">
        <w:rPr>
          <w:rFonts w:ascii="Palatino Linotype" w:eastAsia="Calibri" w:hAnsi="Palatino Linotype" w:cs="Arial"/>
        </w:rPr>
        <w:t xml:space="preserve"> agosto </w:t>
      </w:r>
      <w:r w:rsidRPr="00E43732">
        <w:rPr>
          <w:rFonts w:ascii="Palatino Linotype" w:eastAsia="Calibri" w:hAnsi="Palatino Linotype" w:cs="Arial"/>
        </w:rPr>
        <w:t xml:space="preserve"> </w:t>
      </w:r>
      <w:r w:rsidR="00CA3B1A" w:rsidRPr="00E43732">
        <w:rPr>
          <w:rFonts w:ascii="Palatino Linotype" w:eastAsia="Calibri" w:hAnsi="Palatino Linotype" w:cs="Arial"/>
        </w:rPr>
        <w:t xml:space="preserve">de </w:t>
      </w:r>
      <w:r w:rsidRPr="00E43732">
        <w:rPr>
          <w:rFonts w:ascii="Palatino Linotype" w:eastAsia="Calibri" w:hAnsi="Palatino Linotype" w:cs="Arial"/>
        </w:rPr>
        <w:t>dos mil</w:t>
      </w:r>
      <w:r w:rsidR="00CA3B1A" w:rsidRPr="00E43732">
        <w:rPr>
          <w:rFonts w:ascii="Palatino Linotype" w:eastAsia="Calibri" w:hAnsi="Palatino Linotype" w:cs="Arial"/>
        </w:rPr>
        <w:t xml:space="preserve"> veinte </w:t>
      </w:r>
      <w:r w:rsidRPr="00E43732">
        <w:rPr>
          <w:rFonts w:ascii="Palatino Linotype" w:eastAsia="Calibri" w:hAnsi="Palatino Linotype" w:cs="Arial"/>
        </w:rPr>
        <w:t xml:space="preserve">, </w:t>
      </w:r>
      <w:r w:rsidRPr="00E43732">
        <w:rPr>
          <w:rFonts w:ascii="Palatino Linotype" w:hAnsi="Palatino Linotype" w:cs="Arial"/>
        </w:rPr>
        <w:t xml:space="preserve">de tal forma que el plazo para interponer el recurso de revisión transcurrió del </w:t>
      </w:r>
      <w:r w:rsidR="00CA3B1A" w:rsidRPr="00E43732">
        <w:rPr>
          <w:rFonts w:ascii="Palatino Linotype" w:hAnsi="Palatino Linotype" w:cs="Arial"/>
        </w:rPr>
        <w:t>treinta y uno</w:t>
      </w:r>
      <w:r w:rsidRPr="00E43732">
        <w:rPr>
          <w:rFonts w:ascii="Palatino Linotype" w:hAnsi="Palatino Linotype" w:cs="Arial"/>
        </w:rPr>
        <w:t xml:space="preserve"> (</w:t>
      </w:r>
      <w:r w:rsidR="00CA3B1A" w:rsidRPr="00E43732">
        <w:rPr>
          <w:rFonts w:ascii="Palatino Linotype" w:hAnsi="Palatino Linotype" w:cs="Arial"/>
        </w:rPr>
        <w:t>31</w:t>
      </w:r>
      <w:r w:rsidRPr="00E43732">
        <w:rPr>
          <w:rFonts w:ascii="Palatino Linotype" w:hAnsi="Palatino Linotype" w:cs="Arial"/>
        </w:rPr>
        <w:t>) de</w:t>
      </w:r>
      <w:r w:rsidR="00CA3B1A" w:rsidRPr="00E43732">
        <w:rPr>
          <w:rFonts w:ascii="Palatino Linotype" w:hAnsi="Palatino Linotype" w:cs="Arial"/>
        </w:rPr>
        <w:t xml:space="preserve"> agosto al veintiuno </w:t>
      </w:r>
      <w:r w:rsidRPr="00E43732">
        <w:rPr>
          <w:rFonts w:ascii="Palatino Linotype" w:hAnsi="Palatino Linotype" w:cs="Arial"/>
        </w:rPr>
        <w:t>(</w:t>
      </w:r>
      <w:r w:rsidR="00CA3B1A" w:rsidRPr="00E43732">
        <w:rPr>
          <w:rFonts w:ascii="Palatino Linotype" w:hAnsi="Palatino Linotype" w:cs="Arial"/>
        </w:rPr>
        <w:t>21</w:t>
      </w:r>
      <w:r w:rsidRPr="00E43732">
        <w:rPr>
          <w:rFonts w:ascii="Palatino Linotype" w:hAnsi="Palatino Linotype" w:cs="Arial"/>
        </w:rPr>
        <w:t>) de</w:t>
      </w:r>
      <w:r w:rsidR="00CA3B1A" w:rsidRPr="00E43732">
        <w:rPr>
          <w:rFonts w:ascii="Palatino Linotype" w:hAnsi="Palatino Linotype" w:cs="Arial"/>
        </w:rPr>
        <w:t xml:space="preserve"> septiembre de</w:t>
      </w:r>
      <w:r w:rsidRPr="00E43732">
        <w:rPr>
          <w:rFonts w:ascii="Palatino Linotype" w:hAnsi="Palatino Linotype" w:cs="Arial"/>
        </w:rPr>
        <w:t xml:space="preserve"> dos mil</w:t>
      </w:r>
      <w:r w:rsidR="00CA3B1A" w:rsidRPr="00E43732">
        <w:rPr>
          <w:rFonts w:ascii="Palatino Linotype" w:hAnsi="Palatino Linotype" w:cs="Arial"/>
        </w:rPr>
        <w:t xml:space="preserve"> veinte;  </w:t>
      </w:r>
      <w:r w:rsidRPr="00E43732">
        <w:rPr>
          <w:rFonts w:ascii="Palatino Linotype" w:hAnsi="Palatino Linotype" w:cs="Arial"/>
        </w:rPr>
        <w:t xml:space="preserve">en consecuencia, presentó su inconformidad el </w:t>
      </w:r>
      <w:r w:rsidR="00CA3B1A" w:rsidRPr="00E43732">
        <w:rPr>
          <w:rFonts w:ascii="Palatino Linotype" w:hAnsi="Palatino Linotype" w:cs="Arial"/>
        </w:rPr>
        <w:t>cuatro</w:t>
      </w:r>
      <w:r w:rsidRPr="00E43732">
        <w:rPr>
          <w:rFonts w:ascii="Palatino Linotype" w:hAnsi="Palatino Linotype" w:cs="Arial"/>
        </w:rPr>
        <w:t xml:space="preserve"> (</w:t>
      </w:r>
      <w:r w:rsidR="00CA3B1A" w:rsidRPr="00E43732">
        <w:rPr>
          <w:rFonts w:ascii="Palatino Linotype" w:hAnsi="Palatino Linotype" w:cs="Arial"/>
        </w:rPr>
        <w:t>04</w:t>
      </w:r>
      <w:r w:rsidRPr="00E43732">
        <w:rPr>
          <w:rFonts w:ascii="Palatino Linotype" w:hAnsi="Palatino Linotype" w:cs="Arial"/>
        </w:rPr>
        <w:t>) de</w:t>
      </w:r>
      <w:r w:rsidR="00CA3B1A" w:rsidRPr="00E43732">
        <w:rPr>
          <w:rFonts w:ascii="Palatino Linotype" w:hAnsi="Palatino Linotype" w:cs="Arial"/>
        </w:rPr>
        <w:t xml:space="preserve"> septiembre </w:t>
      </w:r>
      <w:r w:rsidRPr="00E43732">
        <w:rPr>
          <w:rFonts w:ascii="Palatino Linotype" w:hAnsi="Palatino Linotype" w:cs="Arial"/>
        </w:rPr>
        <w:t xml:space="preserve">de dos mil </w:t>
      </w:r>
      <w:r w:rsidR="00CA3B1A" w:rsidRPr="00E43732">
        <w:rPr>
          <w:rFonts w:ascii="Palatino Linotype" w:hAnsi="Palatino Linotype" w:cs="Arial"/>
        </w:rPr>
        <w:t>veinte</w:t>
      </w:r>
      <w:r w:rsidRPr="00E43732">
        <w:rPr>
          <w:rFonts w:ascii="Palatino Linotype" w:hAnsi="Palatino Linotype" w:cs="Arial"/>
        </w:rPr>
        <w:t>, por lo que se encuentra dentro de los márgenes temporales previstos en el artículo</w:t>
      </w:r>
      <w:r w:rsidRPr="00E43732">
        <w:rPr>
          <w:rFonts w:ascii="Palatino Linotype" w:eastAsia="Calibri" w:hAnsi="Palatino Linotype" w:cs="Arial"/>
        </w:rPr>
        <w:t xml:space="preserve"> </w:t>
      </w:r>
      <w:r w:rsidRPr="00E43732">
        <w:rPr>
          <w:rFonts w:ascii="Palatino Linotype" w:hAnsi="Palatino Linotype" w:cs="Arial"/>
        </w:rPr>
        <w:t xml:space="preserve">128 de la </w:t>
      </w:r>
      <w:r w:rsidRPr="00E43732">
        <w:rPr>
          <w:rFonts w:ascii="Palatino Linotype" w:hAnsi="Palatino Linotype" w:cs="Arial"/>
          <w:b/>
        </w:rPr>
        <w:t>Ley de Protección de Datos Personales en Posesión de Sujetos Obligados del Estado de México y Municipios.</w:t>
      </w:r>
      <w:r w:rsidRPr="00E43732">
        <w:rPr>
          <w:rFonts w:ascii="Palatino Linotype" w:hAnsi="Palatino Linotype" w:cs="Arial"/>
        </w:rPr>
        <w:t xml:space="preserve"> </w:t>
      </w:r>
    </w:p>
    <w:p w:rsidR="00E826C8" w:rsidRPr="00E43732" w:rsidRDefault="00E826C8" w:rsidP="00E826C8">
      <w:pPr>
        <w:tabs>
          <w:tab w:val="left" w:pos="426"/>
        </w:tabs>
        <w:spacing w:before="240" w:after="240" w:line="360" w:lineRule="auto"/>
        <w:ind w:right="49"/>
        <w:contextualSpacing/>
        <w:jc w:val="both"/>
        <w:rPr>
          <w:rFonts w:ascii="Palatino Linotype" w:hAnsi="Palatino Linotype"/>
        </w:rPr>
      </w:pPr>
    </w:p>
    <w:p w:rsidR="00E826C8" w:rsidRPr="00E43732" w:rsidRDefault="00E826C8" w:rsidP="00E826C8">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E43732">
        <w:rPr>
          <w:rFonts w:ascii="Palatino Linotype" w:hAnsi="Palatino Linotype"/>
        </w:rPr>
        <w:lastRenderedPageBreak/>
        <w:t xml:space="preserve">Por otro lado, debe señalarse que el </w:t>
      </w:r>
      <w:r w:rsidRPr="00E43732">
        <w:rPr>
          <w:rFonts w:ascii="Palatino Linotype" w:hAnsi="Palatino Linotype"/>
          <w:b/>
        </w:rPr>
        <w:t>RECURRENTE</w:t>
      </w:r>
      <w:r w:rsidRPr="00E43732">
        <w:rPr>
          <w:rFonts w:ascii="Palatino Linotype" w:hAnsi="Palatino Linotype"/>
        </w:rPr>
        <w:t>, ni en la solicitud de acceso a datos, ni en la promoción del recurso de revisión, ajuntó los documentos necesarios para acreditar su personalidad e identidad, lo cual es reconocido como un requisito exigible en el escrito de interposición del recurso de revisión. Sin embargo, en aras de privilegiar el derecho del particular para ejercitar sus derechos de acceso, rectificación, cancelación u oposición de datos personales, esta</w:t>
      </w:r>
      <w:r w:rsidR="00CA3B1A" w:rsidRPr="00E43732">
        <w:rPr>
          <w:rFonts w:ascii="Palatino Linotype" w:hAnsi="Palatino Linotype"/>
        </w:rPr>
        <w:t xml:space="preserve"> Ponencia </w:t>
      </w:r>
      <w:proofErr w:type="spellStart"/>
      <w:r w:rsidR="00CA3B1A" w:rsidRPr="00E43732">
        <w:rPr>
          <w:rFonts w:ascii="Palatino Linotype" w:hAnsi="Palatino Linotype"/>
        </w:rPr>
        <w:t>Resolutora</w:t>
      </w:r>
      <w:proofErr w:type="spellEnd"/>
      <w:r w:rsidR="00CA3B1A" w:rsidRPr="00E43732">
        <w:rPr>
          <w:rFonts w:ascii="Palatino Linotype" w:hAnsi="Palatino Linotype"/>
        </w:rPr>
        <w:t xml:space="preserve"> considero la admisión del recurso</w:t>
      </w:r>
      <w:r w:rsidRPr="00E43732">
        <w:rPr>
          <w:rFonts w:ascii="Palatino Linotype" w:hAnsi="Palatino Linotype"/>
        </w:rPr>
        <w:t>.</w:t>
      </w:r>
    </w:p>
    <w:p w:rsidR="00E826C8" w:rsidRPr="00E43732" w:rsidRDefault="00E826C8" w:rsidP="00E826C8">
      <w:pPr>
        <w:tabs>
          <w:tab w:val="left" w:pos="426"/>
        </w:tabs>
        <w:spacing w:before="240" w:after="240" w:line="360" w:lineRule="auto"/>
        <w:ind w:right="49"/>
        <w:contextualSpacing/>
        <w:jc w:val="both"/>
        <w:rPr>
          <w:rFonts w:ascii="Palatino Linotype" w:hAnsi="Palatino Linotype"/>
        </w:rPr>
      </w:pPr>
    </w:p>
    <w:p w:rsidR="00E826C8" w:rsidRPr="00E43732" w:rsidRDefault="00E826C8" w:rsidP="00E826C8">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E43732">
        <w:rPr>
          <w:rFonts w:ascii="Palatino Linotype" w:eastAsia="Calibri" w:hAnsi="Palatino Linotype" w:cs="Arial"/>
        </w:rPr>
        <w:t>En consecuencia,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E826C8" w:rsidRPr="00E43732" w:rsidRDefault="00E826C8" w:rsidP="00E826C8">
      <w:pPr>
        <w:tabs>
          <w:tab w:val="left" w:pos="426"/>
        </w:tabs>
        <w:spacing w:before="240" w:after="240" w:line="360" w:lineRule="auto"/>
        <w:ind w:right="49"/>
        <w:contextualSpacing/>
        <w:jc w:val="both"/>
        <w:rPr>
          <w:rFonts w:ascii="Palatino Linotype" w:hAnsi="Palatino Linotype"/>
        </w:rPr>
      </w:pPr>
    </w:p>
    <w:p w:rsidR="00E40A30" w:rsidRPr="00E43732" w:rsidRDefault="0054193B" w:rsidP="00093440">
      <w:pPr>
        <w:pStyle w:val="Ttulo2"/>
        <w:rPr>
          <w:rFonts w:ascii="Palatino Linotype" w:eastAsia="Calibri" w:hAnsi="Palatino Linotype" w:cs="Times New Roman"/>
          <w:b/>
          <w:bCs/>
          <w:color w:val="auto"/>
          <w:sz w:val="24"/>
          <w:lang w:val="es-ES"/>
        </w:rPr>
      </w:pPr>
      <w:bookmarkStart w:id="7" w:name="_Toc57403621"/>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43732">
        <w:rPr>
          <w:rFonts w:ascii="Palatino Linotype" w:eastAsia="Calibri" w:hAnsi="Palatino Linotype" w:cs="Times New Roman"/>
          <w:b/>
          <w:bCs/>
          <w:color w:val="auto"/>
          <w:sz w:val="24"/>
          <w:lang w:val="es-ES"/>
        </w:rPr>
        <w:t>TERCERO</w:t>
      </w:r>
      <w:r w:rsidR="00B549FD" w:rsidRPr="00E43732">
        <w:rPr>
          <w:rFonts w:ascii="Palatino Linotype" w:eastAsia="Calibri" w:hAnsi="Palatino Linotype" w:cs="Times New Roman"/>
          <w:b/>
          <w:bCs/>
          <w:color w:val="auto"/>
          <w:sz w:val="24"/>
          <w:lang w:val="es-ES"/>
        </w:rPr>
        <w:t xml:space="preserve">. </w:t>
      </w:r>
      <w:r w:rsidR="00A55BA0" w:rsidRPr="00E43732">
        <w:rPr>
          <w:rFonts w:ascii="Palatino Linotype" w:eastAsia="Calibri" w:hAnsi="Palatino Linotype" w:cs="Times New Roman"/>
          <w:b/>
          <w:bCs/>
          <w:color w:val="auto"/>
          <w:sz w:val="24"/>
          <w:lang w:val="es-ES"/>
        </w:rPr>
        <w:t xml:space="preserve">Del planteamiento de la </w:t>
      </w:r>
      <w:r w:rsidR="00E40A30" w:rsidRPr="00E43732">
        <w:rPr>
          <w:rFonts w:ascii="Palatino Linotype" w:eastAsia="Calibri" w:hAnsi="Palatino Linotype" w:cs="Times New Roman"/>
          <w:b/>
          <w:bCs/>
          <w:i/>
          <w:color w:val="auto"/>
          <w:sz w:val="24"/>
          <w:lang w:val="es-ES"/>
        </w:rPr>
        <w:t>L</w:t>
      </w:r>
      <w:r w:rsidR="00A55BA0" w:rsidRPr="00E43732">
        <w:rPr>
          <w:rFonts w:ascii="Palatino Linotype" w:eastAsia="Calibri" w:hAnsi="Palatino Linotype" w:cs="Times New Roman"/>
          <w:b/>
          <w:bCs/>
          <w:i/>
          <w:color w:val="auto"/>
          <w:sz w:val="24"/>
          <w:lang w:val="es-ES"/>
        </w:rPr>
        <w:t>itis</w:t>
      </w:r>
      <w:r w:rsidR="00A55BA0" w:rsidRPr="00E43732">
        <w:rPr>
          <w:rFonts w:ascii="Palatino Linotype" w:eastAsia="Calibri" w:hAnsi="Palatino Linotype" w:cs="Times New Roman"/>
          <w:b/>
          <w:bCs/>
          <w:color w:val="auto"/>
          <w:sz w:val="24"/>
          <w:lang w:val="es-ES"/>
        </w:rPr>
        <w:t>.</w:t>
      </w:r>
      <w:bookmarkEnd w:id="7"/>
    </w:p>
    <w:bookmarkEnd w:id="8"/>
    <w:bookmarkEnd w:id="9"/>
    <w:bookmarkEnd w:id="10"/>
    <w:bookmarkEnd w:id="11"/>
    <w:bookmarkEnd w:id="12"/>
    <w:bookmarkEnd w:id="13"/>
    <w:bookmarkEnd w:id="14"/>
    <w:p w:rsidR="00093440" w:rsidRPr="00E43732" w:rsidRDefault="00093440" w:rsidP="00093440">
      <w:pPr>
        <w:pStyle w:val="Prrafodelista"/>
        <w:tabs>
          <w:tab w:val="left" w:pos="142"/>
          <w:tab w:val="left" w:pos="284"/>
        </w:tabs>
        <w:spacing w:before="240" w:after="240" w:line="360" w:lineRule="auto"/>
        <w:ind w:left="0"/>
        <w:jc w:val="both"/>
        <w:rPr>
          <w:rFonts w:ascii="Palatino Linotype" w:hAnsi="Palatino Linotype"/>
          <w:sz w:val="22"/>
        </w:rPr>
      </w:pPr>
    </w:p>
    <w:p w:rsidR="00A55BA0" w:rsidRPr="00E43732" w:rsidRDefault="00093440" w:rsidP="008F23B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rPr>
      </w:pPr>
      <w:r w:rsidRPr="00E43732">
        <w:rPr>
          <w:rFonts w:ascii="Palatino Linotype" w:hAnsi="Palatino Linotype" w:cs="Arial"/>
          <w:szCs w:val="23"/>
        </w:rPr>
        <w:t>E</w:t>
      </w:r>
      <w:r w:rsidR="00A55BA0" w:rsidRPr="00E43732">
        <w:rPr>
          <w:rFonts w:ascii="Palatino Linotype" w:hAnsi="Palatino Linotype" w:cs="Arial"/>
          <w:szCs w:val="23"/>
        </w:rPr>
        <w:t xml:space="preserve">l Recurso Revisión tiene como finalidad reparar cualquier posible afectación al derecho de acceso a la información pública en términos del Título </w:t>
      </w:r>
      <w:r w:rsidR="000E2158" w:rsidRPr="00E43732">
        <w:rPr>
          <w:rFonts w:ascii="Palatino Linotype" w:hAnsi="Palatino Linotype" w:cs="Arial"/>
          <w:szCs w:val="23"/>
        </w:rPr>
        <w:t>Décimo Primero</w:t>
      </w:r>
      <w:r w:rsidR="00A55BA0" w:rsidRPr="00E43732">
        <w:rPr>
          <w:rFonts w:ascii="Palatino Linotype" w:hAnsi="Palatino Linotype" w:cs="Arial"/>
          <w:szCs w:val="23"/>
        </w:rPr>
        <w:t xml:space="preserve"> de la </w:t>
      </w:r>
      <w:r w:rsidR="00A55BA0" w:rsidRPr="00E43732">
        <w:rPr>
          <w:rFonts w:ascii="Palatino Linotype" w:eastAsia="Calibri" w:hAnsi="Palatino Linotype" w:cs="Arial"/>
          <w:b/>
          <w:lang w:val="es-ES"/>
        </w:rPr>
        <w:t xml:space="preserve">Ley </w:t>
      </w:r>
      <w:r w:rsidR="000E2158" w:rsidRPr="00E43732">
        <w:rPr>
          <w:rFonts w:ascii="Palatino Linotype" w:eastAsia="Calibri" w:hAnsi="Palatino Linotype" w:cs="Arial"/>
          <w:b/>
          <w:lang w:val="es-ES"/>
        </w:rPr>
        <w:t>de Protección de Datos Personales en Posesión de Sujetos Obligados del Estado de México y Municipios,</w:t>
      </w:r>
      <w:r w:rsidR="00A55BA0" w:rsidRPr="00E43732">
        <w:rPr>
          <w:rFonts w:ascii="Palatino Linotype" w:hAnsi="Palatino Linotype" w:cs="Arial"/>
          <w:szCs w:val="23"/>
        </w:rPr>
        <w:t xml:space="preserve"> y determinar la confir</w:t>
      </w:r>
      <w:r w:rsidR="00DE216C" w:rsidRPr="00E43732">
        <w:rPr>
          <w:rFonts w:ascii="Palatino Linotype" w:hAnsi="Palatino Linotype" w:cs="Arial"/>
          <w:szCs w:val="23"/>
        </w:rPr>
        <w:t>mación,</w:t>
      </w:r>
      <w:r w:rsidR="00A55BA0" w:rsidRPr="00E43732">
        <w:rPr>
          <w:rFonts w:ascii="Palatino Linotype" w:hAnsi="Palatino Linotype" w:cs="Arial"/>
          <w:szCs w:val="23"/>
        </w:rPr>
        <w:t xml:space="preserve"> revocación o modificación; </w:t>
      </w:r>
      <w:proofErr w:type="spellStart"/>
      <w:r w:rsidR="00A55BA0" w:rsidRPr="00E43732">
        <w:rPr>
          <w:rFonts w:ascii="Palatino Linotype" w:hAnsi="Palatino Linotype" w:cs="Arial"/>
          <w:szCs w:val="23"/>
        </w:rPr>
        <w:t>desechamiento</w:t>
      </w:r>
      <w:proofErr w:type="spellEnd"/>
      <w:r w:rsidR="00A55BA0" w:rsidRPr="00E43732">
        <w:rPr>
          <w:rFonts w:ascii="Palatino Linotype" w:hAnsi="Palatino Linotype" w:cs="Arial"/>
          <w:szCs w:val="23"/>
        </w:rPr>
        <w:t xml:space="preserve"> o sobreseimiento; y</w:t>
      </w:r>
      <w:r w:rsidR="00DE216C" w:rsidRPr="00E43732">
        <w:rPr>
          <w:rFonts w:ascii="Palatino Linotype" w:hAnsi="Palatino Linotype" w:cs="Arial"/>
          <w:szCs w:val="23"/>
        </w:rPr>
        <w:t>,</w:t>
      </w:r>
      <w:r w:rsidR="00A55BA0" w:rsidRPr="00E43732">
        <w:rPr>
          <w:rFonts w:ascii="Palatino Linotype" w:hAnsi="Palatino Linotype" w:cs="Arial"/>
          <w:szCs w:val="23"/>
        </w:rPr>
        <w:t xml:space="preserve"> en su caso</w:t>
      </w:r>
      <w:r w:rsidR="000E2158" w:rsidRPr="00E43732">
        <w:rPr>
          <w:rFonts w:ascii="Palatino Linotype" w:hAnsi="Palatino Linotype" w:cs="Arial"/>
          <w:szCs w:val="23"/>
        </w:rPr>
        <w:t>,</w:t>
      </w:r>
      <w:r w:rsidR="00A55BA0" w:rsidRPr="00E43732">
        <w:rPr>
          <w:rFonts w:ascii="Palatino Linotype" w:hAnsi="Palatino Linotype" w:cs="Arial"/>
          <w:szCs w:val="23"/>
        </w:rPr>
        <w:t xml:space="preserve"> ordenar </w:t>
      </w:r>
      <w:r w:rsidR="000E2158" w:rsidRPr="00E43732">
        <w:rPr>
          <w:rFonts w:ascii="Palatino Linotype" w:hAnsi="Palatino Linotype" w:cs="Arial"/>
          <w:szCs w:val="23"/>
        </w:rPr>
        <w:t>el acceso, rectificación, cancelación u oposición de datos personales</w:t>
      </w:r>
      <w:r w:rsidR="00A55BA0" w:rsidRPr="00E43732">
        <w:rPr>
          <w:rFonts w:ascii="Palatino Linotype" w:hAnsi="Palatino Linotype" w:cs="Arial"/>
          <w:szCs w:val="23"/>
        </w:rPr>
        <w:t xml:space="preserve">, respecto a las respuestas o falta de ellas de los Sujetos Obligados. </w:t>
      </w:r>
    </w:p>
    <w:p w:rsidR="00A55BA0" w:rsidRPr="00E43732" w:rsidRDefault="00A55BA0" w:rsidP="00763406">
      <w:pPr>
        <w:pStyle w:val="Prrafodelista"/>
        <w:tabs>
          <w:tab w:val="left" w:pos="142"/>
          <w:tab w:val="left" w:pos="284"/>
        </w:tabs>
        <w:spacing w:before="240" w:after="240" w:line="360" w:lineRule="auto"/>
        <w:ind w:left="0"/>
        <w:jc w:val="both"/>
        <w:rPr>
          <w:rFonts w:ascii="Palatino Linotype" w:hAnsi="Palatino Linotype"/>
          <w:sz w:val="22"/>
        </w:rPr>
      </w:pPr>
    </w:p>
    <w:p w:rsidR="002572AE" w:rsidRPr="00E43732"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sidRPr="00E43732">
        <w:rPr>
          <w:rFonts w:ascii="Palatino Linotype" w:hAnsi="Palatino Linotype" w:cs="Arial"/>
          <w:szCs w:val="23"/>
        </w:rPr>
        <w:lastRenderedPageBreak/>
        <w:t>Dicho lo anterior, es de toral importancia manifesta</w:t>
      </w:r>
      <w:r w:rsidR="000E2158" w:rsidRPr="00E43732">
        <w:rPr>
          <w:rFonts w:ascii="Palatino Linotype" w:hAnsi="Palatino Linotype" w:cs="Arial"/>
          <w:szCs w:val="23"/>
        </w:rPr>
        <w:t xml:space="preserve">r que </w:t>
      </w:r>
      <w:r w:rsidR="00757024" w:rsidRPr="00E43732">
        <w:rPr>
          <w:rFonts w:ascii="Palatino Linotype" w:hAnsi="Palatino Linotype" w:cs="Arial"/>
          <w:szCs w:val="23"/>
        </w:rPr>
        <w:t>el</w:t>
      </w:r>
      <w:r w:rsidR="00E40A30" w:rsidRPr="00E43732">
        <w:rPr>
          <w:rFonts w:ascii="Palatino Linotype" w:hAnsi="Palatino Linotype" w:cs="Arial"/>
          <w:szCs w:val="23"/>
        </w:rPr>
        <w:t xml:space="preserve"> particular, mediante la solicitud de </w:t>
      </w:r>
      <w:r w:rsidR="000E2158" w:rsidRPr="00E43732">
        <w:rPr>
          <w:rFonts w:ascii="Palatino Linotype" w:hAnsi="Palatino Linotype" w:cs="Arial"/>
          <w:szCs w:val="23"/>
        </w:rPr>
        <w:t>acceso a datos personales número</w:t>
      </w:r>
      <w:r w:rsidR="00CA3B1A" w:rsidRPr="00E43732">
        <w:rPr>
          <w:rFonts w:ascii="Palatino Linotype" w:hAnsi="Palatino Linotype" w:cs="Arial"/>
          <w:b/>
          <w:szCs w:val="23"/>
        </w:rPr>
        <w:t xml:space="preserve"> </w:t>
      </w:r>
      <w:r w:rsidR="00CA3B1A" w:rsidRPr="00E43732">
        <w:rPr>
          <w:rFonts w:ascii="Palatino Linotype" w:hAnsi="Palatino Linotype" w:cs="Arial"/>
          <w:b/>
          <w:bCs/>
          <w:szCs w:val="23"/>
        </w:rPr>
        <w:t>00005/SM/AD/2020</w:t>
      </w:r>
      <w:r w:rsidRPr="00E43732">
        <w:rPr>
          <w:rFonts w:ascii="Palatino Linotype" w:hAnsi="Palatino Linotype" w:cs="Arial"/>
          <w:b/>
          <w:szCs w:val="23"/>
        </w:rPr>
        <w:t>,</w:t>
      </w:r>
      <w:r w:rsidRPr="00E43732">
        <w:rPr>
          <w:rFonts w:ascii="Palatino Linotype" w:hAnsi="Palatino Linotype" w:cs="Arial"/>
          <w:szCs w:val="23"/>
        </w:rPr>
        <w:t xml:space="preserve"> requirió a</w:t>
      </w:r>
      <w:r w:rsidR="00757024" w:rsidRPr="00E43732">
        <w:rPr>
          <w:rFonts w:ascii="Palatino Linotype" w:hAnsi="Palatino Linotype" w:cs="Arial"/>
          <w:szCs w:val="23"/>
        </w:rPr>
        <w:t xml:space="preserve"> la Secretaría de Educación</w:t>
      </w:r>
      <w:r w:rsidRPr="00E43732">
        <w:rPr>
          <w:rFonts w:ascii="Palatino Linotype" w:hAnsi="Palatino Linotype" w:cs="Arial"/>
          <w:szCs w:val="23"/>
        </w:rPr>
        <w:t>,</w:t>
      </w:r>
      <w:r w:rsidR="000E2158" w:rsidRPr="00E43732">
        <w:rPr>
          <w:rFonts w:ascii="Palatino Linotype" w:hAnsi="Palatino Linotype" w:cs="Arial"/>
          <w:szCs w:val="23"/>
        </w:rPr>
        <w:t xml:space="preserve"> lo siguiente</w:t>
      </w:r>
      <w:r w:rsidRPr="00E43732">
        <w:rPr>
          <w:rFonts w:ascii="Palatino Linotype" w:hAnsi="Palatino Linotype" w:cs="Arial"/>
          <w:szCs w:val="23"/>
        </w:rPr>
        <w:t>:</w:t>
      </w:r>
    </w:p>
    <w:p w:rsidR="000E2158" w:rsidRPr="00E43732" w:rsidRDefault="000E2158" w:rsidP="000E2158">
      <w:pPr>
        <w:pStyle w:val="Prrafodelista"/>
        <w:tabs>
          <w:tab w:val="left" w:pos="142"/>
          <w:tab w:val="left" w:pos="284"/>
        </w:tabs>
        <w:spacing w:before="240" w:after="240" w:line="360" w:lineRule="auto"/>
        <w:ind w:left="993" w:right="851"/>
        <w:jc w:val="both"/>
        <w:rPr>
          <w:rFonts w:ascii="Palatino Linotype" w:hAnsi="Palatino Linotype"/>
          <w:i/>
          <w:sz w:val="12"/>
        </w:rPr>
      </w:pPr>
    </w:p>
    <w:p w:rsidR="00CA3B1A" w:rsidRPr="00E43732" w:rsidRDefault="00CA3B1A" w:rsidP="00CA3B1A">
      <w:pPr>
        <w:spacing w:line="360" w:lineRule="auto"/>
        <w:ind w:left="567" w:right="567"/>
        <w:jc w:val="both"/>
        <w:rPr>
          <w:rFonts w:ascii="Palatino Linotype" w:hAnsi="Palatino Linotype"/>
          <w:i/>
          <w:sz w:val="22"/>
        </w:rPr>
      </w:pPr>
      <w:r w:rsidRPr="00E43732">
        <w:rPr>
          <w:rFonts w:ascii="Palatino Linotype" w:hAnsi="Palatino Linotype"/>
          <w:i/>
          <w:sz w:val="22"/>
        </w:rPr>
        <w:t xml:space="preserve">“historial de licencias de conducir que el Estado de México ha expedido a mi nombre; en un archivo electrónico quiero que se me proporcione todas las fotografías que me fueron tomadas para colocarlas </w:t>
      </w:r>
      <w:proofErr w:type="spellStart"/>
      <w:r w:rsidRPr="00E43732">
        <w:rPr>
          <w:rFonts w:ascii="Palatino Linotype" w:hAnsi="Palatino Linotype"/>
          <w:i/>
          <w:sz w:val="22"/>
        </w:rPr>
        <w:t>el las</w:t>
      </w:r>
      <w:proofErr w:type="spellEnd"/>
      <w:r w:rsidRPr="00E43732">
        <w:rPr>
          <w:rFonts w:ascii="Palatino Linotype" w:hAnsi="Palatino Linotype"/>
          <w:i/>
          <w:sz w:val="22"/>
        </w:rPr>
        <w:t xml:space="preserve"> licencias de conducir tipo A que expidió el Estado de México a mi nombre.” (Sic)</w:t>
      </w:r>
    </w:p>
    <w:p w:rsidR="000E2158" w:rsidRPr="00E43732" w:rsidRDefault="000E2158" w:rsidP="000E2158">
      <w:pPr>
        <w:pStyle w:val="Prrafodelista"/>
        <w:tabs>
          <w:tab w:val="left" w:pos="142"/>
          <w:tab w:val="left" w:pos="284"/>
        </w:tabs>
        <w:spacing w:before="240" w:after="240" w:line="360" w:lineRule="auto"/>
        <w:ind w:left="993" w:right="851"/>
        <w:jc w:val="both"/>
        <w:rPr>
          <w:rFonts w:ascii="Palatino Linotype" w:hAnsi="Palatino Linotype"/>
          <w:sz w:val="22"/>
        </w:rPr>
      </w:pPr>
    </w:p>
    <w:p w:rsidR="007B19CF" w:rsidRPr="00E43732" w:rsidRDefault="00BB0779" w:rsidP="007B19CF">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43732">
        <w:rPr>
          <w:rFonts w:ascii="Palatino Linotype" w:eastAsia="Times New Roman" w:hAnsi="Palatino Linotype" w:cs="Arial"/>
          <w:color w:val="222222"/>
          <w:lang w:val="es-ES" w:eastAsia="es-MX"/>
        </w:rPr>
        <w:t>P</w:t>
      </w:r>
      <w:r w:rsidR="00093440" w:rsidRPr="00E43732">
        <w:rPr>
          <w:rFonts w:ascii="Palatino Linotype" w:eastAsia="Times New Roman" w:hAnsi="Palatino Linotype" w:cs="Arial"/>
          <w:color w:val="222222"/>
          <w:lang w:val="es-ES" w:eastAsia="es-MX"/>
        </w:rPr>
        <w:t xml:space="preserve">osteriormente, el </w:t>
      </w:r>
      <w:r w:rsidR="00093440" w:rsidRPr="00E43732">
        <w:rPr>
          <w:rFonts w:ascii="Palatino Linotype" w:eastAsia="Times New Roman" w:hAnsi="Palatino Linotype" w:cs="Arial"/>
          <w:b/>
          <w:color w:val="222222"/>
          <w:lang w:val="es-ES" w:eastAsia="es-MX"/>
        </w:rPr>
        <w:t>SUJETO OBLIGADO</w:t>
      </w:r>
      <w:r w:rsidR="00C36F77" w:rsidRPr="00E43732">
        <w:rPr>
          <w:rFonts w:ascii="Palatino Linotype" w:eastAsia="Times New Roman" w:hAnsi="Palatino Linotype" w:cs="Arial"/>
          <w:color w:val="222222"/>
          <w:lang w:val="es-ES" w:eastAsia="es-MX"/>
        </w:rPr>
        <w:t xml:space="preserve"> refirió la entrega in situ de la información solicitada, por lo que el particular se inconforma por la entrega de los datos personales en una modalidad o formato distinto al solicitado.</w:t>
      </w:r>
    </w:p>
    <w:p w:rsidR="00390C2D" w:rsidRPr="00E43732"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1" w:name="_Toc57403622"/>
      <w:bookmarkStart w:id="22" w:name="_Toc499659080"/>
      <w:r w:rsidRPr="00E43732">
        <w:rPr>
          <w:rFonts w:ascii="Palatino Linotype" w:eastAsia="MS Gothic" w:hAnsi="Palatino Linotype" w:cs="Times New Roman"/>
          <w:b/>
          <w:szCs w:val="26"/>
        </w:rPr>
        <w:t>CUARTO</w:t>
      </w:r>
      <w:r w:rsidR="001E4669" w:rsidRPr="00E43732">
        <w:rPr>
          <w:rFonts w:ascii="Palatino Linotype" w:eastAsia="MS Gothic" w:hAnsi="Palatino Linotype" w:cs="Times New Roman"/>
          <w:b/>
          <w:szCs w:val="26"/>
        </w:rPr>
        <w:t xml:space="preserve">. </w:t>
      </w:r>
      <w:r w:rsidR="00390C2D" w:rsidRPr="00E43732">
        <w:rPr>
          <w:rFonts w:ascii="Palatino Linotype" w:eastAsia="MS Gothic" w:hAnsi="Palatino Linotype" w:cs="Times New Roman"/>
          <w:b/>
          <w:szCs w:val="26"/>
        </w:rPr>
        <w:t>Del estudio y resolución del asunto</w:t>
      </w:r>
      <w:bookmarkEnd w:id="21"/>
    </w:p>
    <w:p w:rsidR="0052144D" w:rsidRPr="00E43732" w:rsidRDefault="0052144D" w:rsidP="0052144D">
      <w:pPr>
        <w:rPr>
          <w:rFonts w:ascii="Palatino Linotype" w:eastAsia="MS Gothic" w:hAnsi="Palatino Linotype" w:cs="Times New Roman"/>
          <w:b/>
          <w:szCs w:val="26"/>
        </w:rPr>
      </w:pPr>
      <w:bookmarkStart w:id="23" w:name="_Toc498528948"/>
    </w:p>
    <w:p w:rsidR="00390C2D" w:rsidRPr="00E43732"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4" w:name="_Toc57403623"/>
      <w:r w:rsidRPr="00E43732">
        <w:rPr>
          <w:rFonts w:ascii="Palatino Linotype" w:eastAsia="MS Gothic" w:hAnsi="Palatino Linotype" w:cs="Times New Roman"/>
          <w:b/>
          <w:szCs w:val="26"/>
        </w:rPr>
        <w:t xml:space="preserve">I. </w:t>
      </w:r>
      <w:bookmarkEnd w:id="23"/>
      <w:r w:rsidR="008614EA" w:rsidRPr="00E43732">
        <w:rPr>
          <w:rFonts w:ascii="Palatino Linotype" w:eastAsia="MS Gothic" w:hAnsi="Palatino Linotype" w:cs="Times New Roman"/>
          <w:b/>
          <w:szCs w:val="26"/>
        </w:rPr>
        <w:t>Del Procedimiento de acceso a datos personales.</w:t>
      </w:r>
      <w:bookmarkEnd w:id="24"/>
      <w:r w:rsidR="008614EA" w:rsidRPr="00E43732">
        <w:rPr>
          <w:rFonts w:ascii="Palatino Linotype" w:eastAsia="MS Gothic" w:hAnsi="Palatino Linotype" w:cs="Times New Roman"/>
          <w:b/>
          <w:szCs w:val="26"/>
        </w:rPr>
        <w:t xml:space="preserve"> </w:t>
      </w:r>
    </w:p>
    <w:p w:rsidR="008614EA" w:rsidRPr="00E43732" w:rsidRDefault="008614EA"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p>
    <w:p w:rsidR="008614EA" w:rsidRPr="00E43732" w:rsidRDefault="008614EA" w:rsidP="008614EA">
      <w:pPr>
        <w:numPr>
          <w:ilvl w:val="0"/>
          <w:numId w:val="2"/>
        </w:numPr>
        <w:tabs>
          <w:tab w:val="left" w:pos="426"/>
        </w:tabs>
        <w:spacing w:before="240" w:after="240" w:line="360" w:lineRule="auto"/>
        <w:ind w:left="0" w:right="49" w:firstLine="0"/>
        <w:contextualSpacing/>
        <w:jc w:val="both"/>
        <w:rPr>
          <w:rFonts w:ascii="Palatino Linotype" w:hAnsi="Palatino Linotype" w:cs="Arial"/>
        </w:rPr>
      </w:pPr>
      <w:r w:rsidRPr="00E43732">
        <w:rPr>
          <w:rFonts w:ascii="Palatino Linotype" w:hAnsi="Palatino Linotype" w:cs="Arial"/>
          <w:szCs w:val="23"/>
        </w:rPr>
        <w:t xml:space="preserve">De </w:t>
      </w:r>
      <w:r w:rsidRPr="00E43732">
        <w:rPr>
          <w:rFonts w:ascii="Palatino Linotype" w:hAnsi="Palatino Linotype"/>
        </w:rPr>
        <w:t>lo anterior, es dable señalar que el acceso a datos personales constituye un derecho subjetivo público cuyo titular es la persona y el sujeto pasivo o el sujeto obligado es el Estado; Se trata de que los titulares de los datos personales en todo momento pueden tener acceso a los mismos, siempre y cuando se encuentren en posesión de los Sujetos Obligados.</w:t>
      </w:r>
    </w:p>
    <w:p w:rsidR="008614EA" w:rsidRPr="00E43732" w:rsidRDefault="008614EA" w:rsidP="008614EA">
      <w:pPr>
        <w:tabs>
          <w:tab w:val="left" w:pos="426"/>
        </w:tabs>
        <w:spacing w:before="240" w:after="240" w:line="360" w:lineRule="auto"/>
        <w:ind w:right="49"/>
        <w:contextualSpacing/>
        <w:jc w:val="both"/>
        <w:rPr>
          <w:rFonts w:ascii="Palatino Linotype" w:hAnsi="Palatino Linotype" w:cs="Arial"/>
        </w:rPr>
      </w:pPr>
    </w:p>
    <w:p w:rsidR="008614EA" w:rsidRPr="00E43732" w:rsidRDefault="008614EA" w:rsidP="008614EA">
      <w:pPr>
        <w:numPr>
          <w:ilvl w:val="0"/>
          <w:numId w:val="2"/>
        </w:numPr>
        <w:tabs>
          <w:tab w:val="left" w:pos="426"/>
        </w:tabs>
        <w:spacing w:before="240" w:after="240" w:line="360" w:lineRule="auto"/>
        <w:ind w:left="0" w:right="49" w:firstLine="0"/>
        <w:contextualSpacing/>
        <w:jc w:val="both"/>
        <w:rPr>
          <w:rFonts w:ascii="Palatino Linotype" w:hAnsi="Palatino Linotype" w:cs="Arial"/>
        </w:rPr>
      </w:pPr>
      <w:r w:rsidRPr="00E43732">
        <w:rPr>
          <w:rFonts w:ascii="Palatino Linotype" w:hAnsi="Palatino Linotype" w:cs="Arial"/>
        </w:rPr>
        <w:t xml:space="preserve">Así, </w:t>
      </w:r>
      <w:r w:rsidRPr="00E43732">
        <w:rPr>
          <w:rFonts w:ascii="Palatino Linotype" w:hAnsi="Palatino Linotype"/>
          <w:color w:val="000000"/>
          <w:lang w:val="es-MX" w:eastAsia="es-MX"/>
        </w:rPr>
        <w:t xml:space="preserve">es conveniente resaltar que de acuerdo a la Ley de la Materia, señala expresamente que </w:t>
      </w:r>
      <w:r w:rsidRPr="00E43732">
        <w:rPr>
          <w:rFonts w:ascii="Palatino Linotype" w:hAnsi="Palatino Linotype"/>
          <w:color w:val="000000"/>
          <w:lang w:eastAsia="es-MX"/>
        </w:rPr>
        <w:t xml:space="preserve">titular tiene derecho a acceder, solicitar y ser informado sobre sus datos personales en posesión de los sujetos obligados, así como la información </w:t>
      </w:r>
      <w:r w:rsidRPr="00E43732">
        <w:rPr>
          <w:rFonts w:ascii="Palatino Linotype" w:hAnsi="Palatino Linotype"/>
          <w:color w:val="000000"/>
          <w:lang w:eastAsia="es-MX"/>
        </w:rPr>
        <w:lastRenderedPageBreak/>
        <w:t>relacionada con las condiciones y generalidades de su tratamiento</w:t>
      </w:r>
      <w:r w:rsidRPr="00E43732">
        <w:rPr>
          <w:rFonts w:ascii="Palatino Linotype" w:hAnsi="Palatino Linotype"/>
          <w:color w:val="000000"/>
          <w:lang w:val="es-MX" w:eastAsia="es-MX"/>
        </w:rPr>
        <w:t>, tal y como se lee a continuación:</w:t>
      </w:r>
    </w:p>
    <w:p w:rsidR="008614EA" w:rsidRPr="00E43732" w:rsidRDefault="008614EA" w:rsidP="008614EA">
      <w:pPr>
        <w:tabs>
          <w:tab w:val="left" w:pos="426"/>
        </w:tabs>
        <w:spacing w:before="240" w:after="240" w:line="360" w:lineRule="auto"/>
        <w:ind w:right="49"/>
        <w:contextualSpacing/>
        <w:jc w:val="both"/>
        <w:rPr>
          <w:rFonts w:ascii="Palatino Linotype" w:hAnsi="Palatino Linotype" w:cs="Arial"/>
        </w:rPr>
      </w:pPr>
    </w:p>
    <w:p w:rsidR="008614EA" w:rsidRPr="00E43732" w:rsidRDefault="008614EA" w:rsidP="008614EA">
      <w:pPr>
        <w:spacing w:before="100" w:after="100"/>
        <w:ind w:left="993" w:right="1041"/>
        <w:jc w:val="both"/>
        <w:rPr>
          <w:rFonts w:ascii="Palatino Linotype" w:eastAsia="Times New Roman" w:hAnsi="Palatino Linotype" w:cs="Arial"/>
          <w:lang w:val="es-MX" w:eastAsia="es-MX"/>
        </w:rPr>
      </w:pPr>
      <w:r w:rsidRPr="00E43732">
        <w:rPr>
          <w:rFonts w:ascii="Palatino Linotype" w:eastAsia="Times New Roman" w:hAnsi="Palatino Linotype" w:cs="Arial"/>
          <w:i/>
          <w:lang w:val="es-MX" w:eastAsia="es-MX"/>
        </w:rPr>
        <w:t xml:space="preserve"> “</w:t>
      </w:r>
      <w:r w:rsidRPr="00E43732">
        <w:rPr>
          <w:rFonts w:ascii="Palatino Linotype" w:eastAsia="Times New Roman" w:hAnsi="Palatino Linotype" w:cs="Times New Roman"/>
          <w:b/>
          <w:i/>
          <w:lang w:val="es-ES" w:eastAsia="es-MX"/>
        </w:rPr>
        <w:t xml:space="preserve">Artículo 98. </w:t>
      </w:r>
      <w:r w:rsidRPr="00E43732">
        <w:rPr>
          <w:rFonts w:ascii="Palatino Linotype" w:eastAsia="Times New Roman" w:hAnsi="Palatino Linotype" w:cs="Times New Roman"/>
          <w:i/>
          <w:lang w:val="es-ES" w:eastAsia="es-MX"/>
        </w:rPr>
        <w:t>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El responsable debe responder al ejercicio del derecho de acceso, tenga o no datos de carácter personal del interesado en su sistema de datos</w:t>
      </w:r>
      <w:r w:rsidRPr="00E43732">
        <w:rPr>
          <w:rFonts w:ascii="Palatino Linotype" w:eastAsia="Times New Roman" w:hAnsi="Palatino Linotype" w:cs="Times New Roman"/>
          <w:i/>
          <w:lang w:val="es-MX" w:eastAsia="es-MX"/>
        </w:rPr>
        <w:t>.”</w:t>
      </w:r>
    </w:p>
    <w:p w:rsidR="008614EA" w:rsidRPr="00E43732" w:rsidRDefault="008614EA" w:rsidP="008614EA">
      <w:pPr>
        <w:spacing w:before="240" w:after="240" w:line="360" w:lineRule="auto"/>
        <w:contextualSpacing/>
        <w:jc w:val="both"/>
        <w:rPr>
          <w:rFonts w:ascii="Palatino Linotype" w:eastAsia="Times New Roman" w:hAnsi="Palatino Linotype" w:cs="Arial"/>
          <w:lang w:val="es-ES"/>
        </w:rPr>
      </w:pPr>
    </w:p>
    <w:p w:rsidR="008614EA" w:rsidRPr="00E43732" w:rsidRDefault="008614EA" w:rsidP="008614EA">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E43732">
        <w:rPr>
          <w:rFonts w:ascii="Palatino Linotype" w:eastAsia="Times New Roman" w:hAnsi="Palatino Linotype" w:cs="Arial"/>
          <w:lang w:val="es-ES"/>
        </w:rPr>
        <w:t xml:space="preserve">De lo anterior se desprende que los Sujetos Obligados están constreñidos a atender las solicitudes de acceso a datos personales que se les hagan de su conocimiento y proporcionar la información que obren en su poder. </w:t>
      </w:r>
    </w:p>
    <w:p w:rsidR="008614EA" w:rsidRPr="00E43732" w:rsidRDefault="008614EA" w:rsidP="008614EA">
      <w:pPr>
        <w:pStyle w:val="Prrafodelista"/>
        <w:spacing w:before="240" w:after="240" w:line="360" w:lineRule="auto"/>
        <w:ind w:left="0"/>
        <w:jc w:val="both"/>
        <w:rPr>
          <w:rFonts w:ascii="Palatino Linotype" w:eastAsia="Times New Roman" w:hAnsi="Palatino Linotype" w:cs="Arial"/>
          <w:i/>
          <w:lang w:val="es-ES"/>
        </w:rPr>
      </w:pPr>
    </w:p>
    <w:p w:rsidR="007D5F26" w:rsidRPr="00E43732" w:rsidRDefault="008614EA"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E43732">
        <w:rPr>
          <w:rFonts w:ascii="Palatino Linotype" w:eastAsia="Times New Roman" w:hAnsi="Palatino Linotype" w:cs="Arial"/>
          <w:lang w:val="es-ES"/>
        </w:rPr>
        <w:t xml:space="preserve">Es importante señalar en este aspecto lo establecido en los </w:t>
      </w:r>
      <w:r w:rsidRPr="00E43732">
        <w:rPr>
          <w:rFonts w:ascii="Palatino Linotype" w:eastAsia="Times New Roman" w:hAnsi="Palatino Linotype" w:cs="Arial"/>
          <w:color w:val="000000"/>
          <w:lang w:val="es-ES"/>
        </w:rPr>
        <w:t xml:space="preserve">Principios Generales sobre el Derecho Humano a la Protección de Datos Personales en su dimensión de Acceso. </w:t>
      </w:r>
    </w:p>
    <w:p w:rsidR="007D5F26" w:rsidRPr="00E43732" w:rsidRDefault="007D5F26" w:rsidP="007D5F26">
      <w:pPr>
        <w:pStyle w:val="Prrafodelista"/>
        <w:rPr>
          <w:rFonts w:ascii="Palatino Linotype" w:eastAsia="Times New Roman" w:hAnsi="Palatino Linotype" w:cs="Times New Roman"/>
          <w:lang w:val="es-ES"/>
        </w:rPr>
      </w:pPr>
    </w:p>
    <w:p w:rsidR="007D5F26" w:rsidRPr="00E43732" w:rsidRDefault="008614EA"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E43732">
        <w:rPr>
          <w:rFonts w:ascii="Palatino Linotype" w:eastAsia="Times New Roman" w:hAnsi="Palatino Linotype" w:cs="Times New Roman"/>
          <w:lang w:val="es-ES"/>
        </w:rPr>
        <w:t>La información referente a la intimidad de la vida privada y la imagen de las personas será protegida a través de un marco jurídico rígido de tratamiento y manejo de datos personales, con las excepciones que establezca la ley</w:t>
      </w:r>
      <w:r w:rsidR="007D5F26" w:rsidRPr="00E43732">
        <w:rPr>
          <w:rFonts w:ascii="Palatino Linotype" w:eastAsia="Times New Roman" w:hAnsi="Palatino Linotype" w:cs="Times New Roman"/>
          <w:lang w:val="es-ES"/>
        </w:rPr>
        <w:t xml:space="preserve"> reglamentaria.</w:t>
      </w:r>
      <w:r w:rsidR="007D5F26" w:rsidRPr="00E43732">
        <w:rPr>
          <w:rFonts w:ascii="Palatino Linotype" w:eastAsia="Times New Roman" w:hAnsi="Palatino Linotype" w:cs="Arial"/>
          <w:i/>
          <w:lang w:val="es-ES"/>
        </w:rPr>
        <w:t xml:space="preserve"> </w:t>
      </w:r>
      <w:r w:rsidRPr="00E43732">
        <w:rPr>
          <w:rFonts w:ascii="Palatino Linotype" w:eastAsia="Times New Roman" w:hAnsi="Palatino Linotype" w:cs="Arial"/>
          <w:b/>
          <w:color w:val="000000"/>
          <w:lang w:val="es-ES"/>
        </w:rPr>
        <w:t xml:space="preserve">En este sentido, </w:t>
      </w:r>
      <w:r w:rsidRPr="00E43732">
        <w:rPr>
          <w:rFonts w:ascii="Palatino Linotype" w:eastAsia="Times New Roman" w:hAnsi="Palatino Linotype" w:cs="Arial"/>
          <w:color w:val="000000"/>
          <w:lang w:val="es-ES"/>
        </w:rPr>
        <w:t>este plen</w:t>
      </w:r>
      <w:r w:rsidR="007D5F26" w:rsidRPr="00E43732">
        <w:rPr>
          <w:rFonts w:ascii="Palatino Linotype" w:eastAsia="Times New Roman" w:hAnsi="Palatino Linotype" w:cs="Arial"/>
          <w:color w:val="000000"/>
          <w:lang w:val="es-ES"/>
        </w:rPr>
        <w:t>o ya se ha pronunciado en diversas</w:t>
      </w:r>
      <w:r w:rsidRPr="00E43732">
        <w:rPr>
          <w:rFonts w:ascii="Palatino Linotype" w:eastAsia="Times New Roman" w:hAnsi="Palatino Linotype" w:cs="Arial"/>
          <w:color w:val="000000"/>
          <w:lang w:val="es-ES"/>
        </w:rPr>
        <w:t xml:space="preserve"> resoluciones acerca del derecho a la protección de datos personales en su modalidad de Acceso tutelado </w:t>
      </w:r>
      <w:r w:rsidRPr="00E43732">
        <w:rPr>
          <w:rFonts w:ascii="Palatino Linotype" w:eastAsia="Times New Roman" w:hAnsi="Palatino Linotype" w:cs="Arial"/>
          <w:color w:val="000000"/>
          <w:lang w:val="es-ES"/>
        </w:rPr>
        <w:lastRenderedPageBreak/>
        <w:t>a partir  de lo dispuesto  por  los  artículos  6, apartado  A, fracciones  II y  III, así  como  16 de la Constitución Política  de  los  Estados   Unidos   Mexicanos</w:t>
      </w:r>
      <w:r w:rsidRPr="00E43732">
        <w:rPr>
          <w:rFonts w:eastAsia="Times New Roman"/>
          <w:vertAlign w:val="superscript"/>
          <w:lang w:val="es-ES"/>
        </w:rPr>
        <w:footnoteReference w:id="1"/>
      </w:r>
      <w:r w:rsidRPr="00E43732">
        <w:rPr>
          <w:rFonts w:ascii="Palatino Linotype" w:eastAsia="Times New Roman" w:hAnsi="Palatino Linotype" w:cs="Times New Roman"/>
          <w:lang w:val="es-ES"/>
        </w:rPr>
        <w:t xml:space="preserve">, en cuyo texto refiere que </w:t>
      </w:r>
      <w:r w:rsidRPr="00E43732">
        <w:rPr>
          <w:rFonts w:ascii="Palatino Linotype" w:eastAsia="Times New Roman" w:hAnsi="Palatino Linotype" w:cs="Arial"/>
          <w:color w:val="000000"/>
          <w:lang w:val="es-ES"/>
        </w:rPr>
        <w:t xml:space="preserve">toda   persona,  sin excepción alguna, tiene derecho de acceder de forma gratuita a sus datos personales o a la rectificación de éstos, a </w:t>
      </w:r>
      <w:r w:rsidRPr="00E43732">
        <w:rPr>
          <w:rFonts w:ascii="Palatino Linotype" w:eastAsia="Times New Roman" w:hAnsi="Palatino Linotype" w:cs="Times New Roman"/>
          <w:lang w:val="es-ES"/>
        </w:rPr>
        <w:t>su protección, al acceso, rectificación y cancelación de los mismos, así como a manifestar su oposición.</w:t>
      </w:r>
    </w:p>
    <w:p w:rsidR="007D5F26" w:rsidRPr="00E43732" w:rsidRDefault="007D5F26" w:rsidP="007D5F26">
      <w:pPr>
        <w:pStyle w:val="Prrafodelista"/>
        <w:rPr>
          <w:rFonts w:ascii="Palatino Linotype" w:hAnsi="Palatino Linotype" w:cs="Arial"/>
          <w:color w:val="000000" w:themeColor="text1"/>
        </w:rPr>
      </w:pPr>
    </w:p>
    <w:p w:rsidR="007D5F26" w:rsidRPr="00E43732" w:rsidRDefault="007D5F26"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E43732">
        <w:rPr>
          <w:rFonts w:ascii="Palatino Linotype" w:hAnsi="Palatino Linotype" w:cs="Arial"/>
          <w:color w:val="000000" w:themeColor="text1"/>
        </w:rPr>
        <w:t>De igual manera, se resume que la información referente al ámbito privado de las personas, así como los datos personales, debe estar protegida en los términos y con las excepciones a los principios de tratamiento de datos que por razones de orden público fije la ley,</w:t>
      </w:r>
      <w:r w:rsidRPr="00E43732">
        <w:rPr>
          <w:rFonts w:ascii="Palatino Linotype" w:hAnsi="Palatino Linotype" w:cs="Arial"/>
          <w:noProof/>
          <w:lang w:val="es-MX" w:eastAsia="es-MX"/>
        </w:rPr>
        <w:t xml:space="preserve"> </w:t>
      </w:r>
      <w:r w:rsidRPr="00E43732">
        <w:rPr>
          <w:rFonts w:ascii="Palatino Linotype" w:hAnsi="Palatino Linotype" w:cs="Arial"/>
          <w:color w:val="000000" w:themeColor="text1"/>
        </w:rPr>
        <w:t xml:space="preserve"> por lo que toda persona tiene derecho  a la protección de sus datos personales.</w:t>
      </w:r>
    </w:p>
    <w:p w:rsidR="007D5F26" w:rsidRPr="00E43732" w:rsidRDefault="007D5F26" w:rsidP="007D5F26">
      <w:pPr>
        <w:pStyle w:val="Prrafodelista"/>
        <w:rPr>
          <w:rFonts w:ascii="Palatino Linotype" w:hAnsi="Palatino Linotype" w:cs="Arial"/>
          <w:color w:val="000000" w:themeColor="text1"/>
        </w:rPr>
      </w:pPr>
    </w:p>
    <w:p w:rsidR="007D5F26" w:rsidRPr="00E43732" w:rsidRDefault="007D5F26" w:rsidP="007D5F26">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E43732">
        <w:rPr>
          <w:rFonts w:ascii="Palatino Linotype" w:hAnsi="Palatino Linotype" w:cs="Arial"/>
          <w:color w:val="000000" w:themeColor="text1"/>
        </w:rPr>
        <w:t xml:space="preserve">Por su parte, la Ley de Protección de Datos Personales en Posesión de Sujetos Obligados del Estado de México y Municipios, expone: </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i/>
        </w:rPr>
        <w:lastRenderedPageBreak/>
        <w:t>“Artículo 4. Para los efectos de esta Ley se entenderá por:</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i/>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i/>
        </w:rPr>
        <w:t xml:space="preserve">XI. </w:t>
      </w:r>
      <w:r w:rsidRPr="00E43732">
        <w:rPr>
          <w:rFonts w:ascii="Palatino Linotype" w:hAnsi="Palatino Linotype"/>
          <w:b/>
          <w:i/>
        </w:rPr>
        <w:t>Datos personales</w:t>
      </w:r>
      <w:r w:rsidRPr="00E43732">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i/>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E43732">
        <w:rPr>
          <w:rFonts w:ascii="Palatino Linotype" w:hAnsi="Palatino Linotype" w:cs="Arial"/>
          <w:i/>
          <w:color w:val="000000" w:themeColor="text1"/>
        </w:rPr>
        <w:t xml:space="preserve">XIII. </w:t>
      </w:r>
      <w:r w:rsidRPr="00E43732">
        <w:rPr>
          <w:rFonts w:ascii="Palatino Linotype" w:hAnsi="Palatino Linotype" w:cs="Arial"/>
          <w:b/>
          <w:i/>
          <w:color w:val="000000" w:themeColor="text1"/>
        </w:rPr>
        <w:t>Derechos ARCO:</w:t>
      </w:r>
      <w:r w:rsidRPr="00E43732">
        <w:rPr>
          <w:rFonts w:ascii="Palatino Linotype" w:hAnsi="Palatino Linotype" w:cs="Arial"/>
          <w:i/>
          <w:color w:val="000000" w:themeColor="text1"/>
        </w:rPr>
        <w:t xml:space="preserve"> a los derechos de Acceso, Rectificación, Cancelación y Oposición al tratamiento de datos personales.</w:t>
      </w:r>
    </w:p>
    <w:p w:rsidR="007D5F26" w:rsidRPr="00E43732"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E43732">
        <w:rPr>
          <w:rFonts w:ascii="Palatino Linotype" w:hAnsi="Palatino Linotype" w:cs="Arial"/>
          <w:i/>
          <w:color w:val="000000" w:themeColor="text1"/>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E43732">
        <w:rPr>
          <w:rFonts w:ascii="Palatino Linotype" w:hAnsi="Palatino Linotype" w:cs="Arial"/>
          <w:b/>
          <w:i/>
          <w:color w:val="000000" w:themeColor="text1"/>
        </w:rPr>
        <w:t>XLI. Responsable: a los sujetos obligados a que se refiere la presente Ley que deciden sobre el tratamiento de los datos personales</w:t>
      </w:r>
      <w:r w:rsidRPr="00E43732">
        <w:rPr>
          <w:rFonts w:ascii="Palatino Linotype" w:hAnsi="Palatino Linotype" w:cs="Arial"/>
          <w:i/>
          <w:color w:val="000000" w:themeColor="text1"/>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E43732">
        <w:rPr>
          <w:rFonts w:ascii="Palatino Linotype" w:hAnsi="Palatino Linotype" w:cs="Arial"/>
          <w:i/>
          <w:color w:val="000000" w:themeColor="text1"/>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cs="Arial"/>
          <w:b/>
          <w:i/>
          <w:color w:val="000000" w:themeColor="text1"/>
          <w:u w:val="single"/>
        </w:rPr>
      </w:pPr>
      <w:r w:rsidRPr="00E43732">
        <w:rPr>
          <w:rFonts w:ascii="Palatino Linotype" w:hAnsi="Palatino Linotype" w:cs="Arial"/>
          <w:i/>
          <w:color w:val="000000" w:themeColor="text1"/>
        </w:rPr>
        <w:t>L</w:t>
      </w:r>
      <w:r w:rsidRPr="00E43732">
        <w:rPr>
          <w:rFonts w:ascii="Palatino Linotype" w:hAnsi="Palatino Linotype" w:cs="Arial"/>
          <w:b/>
          <w:i/>
          <w:color w:val="000000" w:themeColor="text1"/>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E43732">
        <w:rPr>
          <w:rFonts w:ascii="Palatino Linotype" w:hAnsi="Palatino Linotype" w:cs="Arial"/>
          <w:b/>
          <w:i/>
          <w:color w:val="000000" w:themeColor="text1"/>
          <w:u w:val="single"/>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cs="Arial"/>
          <w:i/>
          <w:color w:val="000000" w:themeColor="text1"/>
        </w:rPr>
      </w:pPr>
      <w:r w:rsidRPr="00E43732">
        <w:rPr>
          <w:rFonts w:ascii="Palatino Linotype" w:hAnsi="Palatino Linotype" w:cs="Arial"/>
          <w:i/>
          <w:color w:val="000000" w:themeColor="text1"/>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i/>
        </w:rPr>
        <w:t xml:space="preserve">Artículo 97. Los derechos de acceso, rectificación, cancelación y oposición de datos personales son derechos independientes. </w:t>
      </w:r>
      <w:r w:rsidRPr="00E43732">
        <w:rPr>
          <w:rFonts w:ascii="Palatino Linotype" w:hAnsi="Palatino Linotype"/>
          <w:b/>
          <w:i/>
        </w:rPr>
        <w:t xml:space="preserve">El ejercicio de cualquiera de </w:t>
      </w:r>
      <w:r w:rsidRPr="00E43732">
        <w:rPr>
          <w:rFonts w:ascii="Palatino Linotype" w:hAnsi="Palatino Linotype"/>
          <w:b/>
          <w:i/>
        </w:rPr>
        <w:lastRenderedPageBreak/>
        <w:t>ellos no es requisito previo no impide el ejercicio de otro</w:t>
      </w:r>
      <w:r w:rsidRPr="00E43732">
        <w:rPr>
          <w:rFonts w:ascii="Palatino Linotype" w:hAnsi="Palatino Linotype"/>
          <w:i/>
        </w:rPr>
        <w:t>. La procedencia de estos derechos, en su caso, se hará efectiva una vez que el titular o su representante legal acrediten su identidad o representación, respectivamente.</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i/>
        </w:rPr>
        <w:t>…</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b/>
          <w:i/>
        </w:rPr>
        <w:t>Artículo 98. El titular tiene derecho a</w:t>
      </w:r>
      <w:r w:rsidRPr="00E43732">
        <w:rPr>
          <w:rFonts w:ascii="Palatino Linotype" w:hAnsi="Palatino Linotype"/>
          <w:i/>
        </w:rPr>
        <w:t xml:space="preserve"> acceder, </w:t>
      </w:r>
      <w:r w:rsidRPr="00E43732">
        <w:rPr>
          <w:rFonts w:ascii="Palatino Linotype" w:hAnsi="Palatino Linotype"/>
          <w:b/>
          <w:i/>
        </w:rPr>
        <w:t>solicitar y ser informado sobre sus datos personales en posesión de los sujetos obligados</w:t>
      </w:r>
      <w:r w:rsidRPr="00E43732">
        <w:rPr>
          <w:rFonts w:ascii="Palatino Linotype" w:hAnsi="Palatino Linotype"/>
          <w:i/>
        </w:rPr>
        <w:t xml:space="preserve">, </w:t>
      </w:r>
      <w:r w:rsidRPr="00E43732">
        <w:rPr>
          <w:rFonts w:ascii="Palatino Linotype" w:hAnsi="Palatino Linotype"/>
          <w:b/>
          <w:i/>
        </w:rPr>
        <w:t>así como la información relacionada con las condiciones y generalidades de su tratamiento, tales como el origen de los datos, las condiciones del tratamiento del cual sean objeto</w:t>
      </w:r>
      <w:r w:rsidRPr="00E43732">
        <w:rPr>
          <w:rFonts w:ascii="Palatino Linotype" w:hAnsi="Palatino Linotype"/>
          <w:i/>
        </w:rPr>
        <w:t xml:space="preserve">, </w:t>
      </w:r>
      <w:r w:rsidRPr="00E43732">
        <w:rPr>
          <w:rFonts w:ascii="Palatino Linotype" w:hAnsi="Palatino Linotype"/>
          <w:b/>
          <w:i/>
        </w:rPr>
        <w:t>las cesiones realizadas o que se pretendan realizar,</w:t>
      </w:r>
      <w:r w:rsidRPr="00E43732">
        <w:rPr>
          <w:rFonts w:ascii="Palatino Linotype" w:hAnsi="Palatino Linotype"/>
          <w:i/>
        </w:rPr>
        <w:t xml:space="preserve"> así como tener acceso al aviso de privacidad al que está sujeto.</w:t>
      </w:r>
    </w:p>
    <w:p w:rsidR="007D5F26" w:rsidRPr="00E43732" w:rsidRDefault="007D5F26" w:rsidP="007D5F26">
      <w:pPr>
        <w:autoSpaceDE w:val="0"/>
        <w:autoSpaceDN w:val="0"/>
        <w:adjustRightInd w:val="0"/>
        <w:spacing w:line="360" w:lineRule="auto"/>
        <w:ind w:left="567" w:right="567"/>
        <w:jc w:val="both"/>
        <w:rPr>
          <w:rFonts w:ascii="Palatino Linotype" w:hAnsi="Palatino Linotype"/>
          <w:i/>
        </w:rPr>
      </w:pPr>
      <w:r w:rsidRPr="00E43732">
        <w:rPr>
          <w:rFonts w:ascii="Palatino Linotype" w:hAnsi="Palatino Linotype"/>
          <w:b/>
          <w:i/>
        </w:rPr>
        <w:t>…” (Sic)</w:t>
      </w:r>
    </w:p>
    <w:p w:rsidR="007D5F26" w:rsidRPr="00E43732"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E43732">
        <w:rPr>
          <w:rFonts w:ascii="Palatino Linotype" w:hAnsi="Palatino Linotype" w:cs="Arial"/>
        </w:rPr>
        <w:t xml:space="preserve">De los anteriores preceptos se advierte que </w:t>
      </w:r>
      <w:r w:rsidRPr="00E43732">
        <w:rPr>
          <w:rFonts w:ascii="Palatino Linotype" w:hAnsi="Palatino Linotype" w:cs="Arial"/>
          <w:color w:val="000000" w:themeColor="text1"/>
        </w:rPr>
        <w:t xml:space="preserve">por datos personales, se  entenderá la  información  concerniente  a  una persona física identificada o identificable; y que se considera que una persona es </w:t>
      </w:r>
      <w:r w:rsidRPr="00E43732">
        <w:rPr>
          <w:rFonts w:ascii="Palatino Linotype" w:hAnsi="Palatino Linotype" w:cs="Arial"/>
          <w:b/>
          <w:color w:val="000000" w:themeColor="text1"/>
        </w:rPr>
        <w:t>identificable cuando su identidad pueda determinarse directa o indirectamente a través de cualquier información</w:t>
      </w:r>
      <w:r w:rsidRPr="00E43732">
        <w:rPr>
          <w:rFonts w:ascii="Palatino Linotype" w:hAnsi="Palatino Linotype" w:cs="Arial"/>
          <w:color w:val="000000" w:themeColor="text1"/>
        </w:rPr>
        <w:t>.</w:t>
      </w:r>
    </w:p>
    <w:p w:rsidR="007D5F26" w:rsidRPr="00E43732" w:rsidRDefault="007D5F26" w:rsidP="007D5F26">
      <w:pPr>
        <w:pStyle w:val="Prrafodelista"/>
        <w:spacing w:before="240" w:after="240" w:line="360" w:lineRule="auto"/>
        <w:ind w:left="0" w:right="49"/>
        <w:jc w:val="both"/>
        <w:rPr>
          <w:rFonts w:ascii="Palatino Linotype" w:hAnsi="Palatino Linotype" w:cs="Arial"/>
        </w:rPr>
      </w:pPr>
    </w:p>
    <w:p w:rsidR="007D5F26" w:rsidRPr="00E43732"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E43732">
        <w:rPr>
          <w:rFonts w:ascii="Palatino Linotype" w:hAnsi="Palatino Linotype" w:cs="Arial"/>
        </w:rPr>
        <w:t xml:space="preserve">Además,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justificar su interés o su utilización podrá solicitar el acceso gratuito a sus datos personales, en tal sentido </w:t>
      </w:r>
      <w:r w:rsidRPr="00E43732">
        <w:rPr>
          <w:rFonts w:ascii="Palatino Linotype" w:hAnsi="Palatino Linotype" w:cs="Arial"/>
        </w:rPr>
        <w:lastRenderedPageBreak/>
        <w:t>tal derecho podrá tramitarse por medios electrónicos a través del sistema automatizado que se establezca por la ley de la materia y por el órgano garante del mismo.</w:t>
      </w:r>
    </w:p>
    <w:p w:rsidR="007D5F26" w:rsidRPr="00E43732" w:rsidRDefault="007D5F26" w:rsidP="007D5F26">
      <w:pPr>
        <w:pStyle w:val="Prrafodelista"/>
        <w:rPr>
          <w:rFonts w:ascii="Palatino Linotype" w:hAnsi="Palatino Linotype" w:cs="Arial"/>
        </w:rPr>
      </w:pPr>
    </w:p>
    <w:p w:rsidR="007D5F26" w:rsidRPr="00E43732"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E43732">
        <w:rPr>
          <w:rFonts w:ascii="Palatino Linotype" w:hAnsi="Palatino Linotype" w:cs="Arial"/>
        </w:rPr>
        <w:t>Igualmente se denota, como fue apuntalado por la legislación, que el derecho que tenga por objeto conocer información personal del propio solicitante, que se encuentre en posesión de cualquier Sujeto Obligado, será regulado por la Ley de Protección de Datos Personales del Estado de México; así,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Sujeto Obligado, su origen, el tratamiento del que sean objeto, las cesiones realizadas o que se pretendan realizar y al acceso al aviso de privacidad a que está sujeto el tratamiento; y como requisito importante se alude a que la procedencia de los derechos ARCO se hará efectiva una vez que el titular acredite su identidad</w:t>
      </w:r>
      <w:r w:rsidRPr="00E43732">
        <w:rPr>
          <w:rFonts w:ascii="Palatino Linotype" w:hAnsi="Palatino Linotype" w:cs="Arial"/>
          <w:color w:val="FF0000"/>
        </w:rPr>
        <w:t>.</w:t>
      </w:r>
    </w:p>
    <w:p w:rsidR="007D5F26" w:rsidRPr="00E43732" w:rsidRDefault="007D5F26" w:rsidP="007D5F26">
      <w:pPr>
        <w:pStyle w:val="Prrafodelista"/>
        <w:rPr>
          <w:rFonts w:ascii="Palatino Linotype" w:hAnsi="Palatino Linotype" w:cs="Arial"/>
          <w:b/>
          <w:color w:val="000000" w:themeColor="text1"/>
        </w:rPr>
      </w:pPr>
    </w:p>
    <w:p w:rsidR="007D5F26" w:rsidRPr="00E43732"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E43732">
        <w:rPr>
          <w:rFonts w:ascii="Palatino Linotype" w:hAnsi="Palatino Linotype" w:cs="Arial"/>
          <w:b/>
          <w:color w:val="000000" w:themeColor="text1"/>
        </w:rPr>
        <w:t>Añade que  la recepción y trámite de las solicitudes de ejercicio de los derechos ARCO que se formulen a los sujetos obligados, se sujetará al procedimiento establecido en el Título Tercero de la Ley General de Protección de  Datos Personales en Posesión de Sujetos Obligados</w:t>
      </w:r>
      <w:r w:rsidRPr="00E43732">
        <w:rPr>
          <w:rFonts w:ascii="Palatino Linotype" w:hAnsi="Palatino Linotype" w:cs="Arial"/>
          <w:color w:val="000000" w:themeColor="text1"/>
        </w:rPr>
        <w:t xml:space="preserve">,  </w:t>
      </w:r>
      <w:r w:rsidRPr="00E43732">
        <w:rPr>
          <w:rFonts w:ascii="Palatino Linotype" w:hAnsi="Palatino Linotype" w:cs="Arial"/>
          <w:b/>
          <w:color w:val="000000" w:themeColor="text1"/>
        </w:rPr>
        <w:t>en consonancia con el título décimo de la Ley  de Protección de Datos Personales en Posesión de Sujetos Obligados del Estado de México y Municipios</w:t>
      </w:r>
      <w:r w:rsidRPr="00E43732">
        <w:rPr>
          <w:rFonts w:ascii="Palatino Linotype" w:hAnsi="Palatino Linotype" w:cs="Arial"/>
          <w:color w:val="000000" w:themeColor="text1"/>
        </w:rPr>
        <w:t xml:space="preserve">, que en la parte conducente serán </w:t>
      </w:r>
      <w:r w:rsidRPr="00E43732">
        <w:rPr>
          <w:rFonts w:ascii="Palatino Linotype" w:hAnsi="Palatino Linotype" w:cs="Arial"/>
          <w:color w:val="000000" w:themeColor="text1"/>
        </w:rPr>
        <w:lastRenderedPageBreak/>
        <w:t xml:space="preserve">abordados en el siguiente apartado para determinar la legalidad del cobro que alude el </w:t>
      </w:r>
      <w:r w:rsidRPr="00E43732">
        <w:rPr>
          <w:rFonts w:ascii="Palatino Linotype" w:hAnsi="Palatino Linotype" w:cs="Arial"/>
          <w:b/>
          <w:color w:val="000000" w:themeColor="text1"/>
        </w:rPr>
        <w:t>SUJETO OBLIGADO</w:t>
      </w:r>
      <w:r w:rsidRPr="00E43732">
        <w:rPr>
          <w:rFonts w:ascii="Palatino Linotype" w:hAnsi="Palatino Linotype" w:cs="Arial"/>
          <w:color w:val="000000" w:themeColor="text1"/>
        </w:rPr>
        <w:t xml:space="preserve">. </w:t>
      </w:r>
    </w:p>
    <w:p w:rsidR="007D5F26" w:rsidRPr="00E43732" w:rsidRDefault="007D5F26" w:rsidP="007D5F26">
      <w:pPr>
        <w:pStyle w:val="Prrafodelista"/>
        <w:rPr>
          <w:rFonts w:ascii="Palatino Linotype" w:hAnsi="Palatino Linotype" w:cs="Arial"/>
        </w:rPr>
      </w:pPr>
    </w:p>
    <w:p w:rsidR="007D5F26" w:rsidRPr="00E43732" w:rsidRDefault="007D5F26" w:rsidP="007D5F26">
      <w:pPr>
        <w:pStyle w:val="Prrafodelista"/>
        <w:numPr>
          <w:ilvl w:val="0"/>
          <w:numId w:val="2"/>
        </w:numPr>
        <w:spacing w:before="240" w:after="240" w:line="360" w:lineRule="auto"/>
        <w:ind w:left="0" w:right="49" w:firstLine="0"/>
        <w:jc w:val="both"/>
        <w:rPr>
          <w:rFonts w:ascii="Palatino Linotype" w:hAnsi="Palatino Linotype" w:cs="Arial"/>
        </w:rPr>
      </w:pPr>
      <w:r w:rsidRPr="00E43732">
        <w:rPr>
          <w:rFonts w:ascii="Palatino Linotype" w:hAnsi="Palatino Linotype" w:cs="Arial"/>
        </w:rPr>
        <w:t>Así es de precisar que en el desarrollo del procedimiento se advirtió que el particular en el Ejercicio del Derecho de Acceso a Datos Personales no adjuntó tanto en su solicitud, como en el recurso de revisi</w:t>
      </w:r>
      <w:r w:rsidR="0090423C" w:rsidRPr="00E43732">
        <w:rPr>
          <w:rFonts w:ascii="Palatino Linotype" w:hAnsi="Palatino Linotype" w:cs="Arial"/>
        </w:rPr>
        <w:t xml:space="preserve">ón interpuesto, </w:t>
      </w:r>
      <w:r w:rsidRPr="00E43732">
        <w:rPr>
          <w:rFonts w:ascii="Palatino Linotype" w:hAnsi="Palatino Linotype" w:cs="Arial"/>
        </w:rPr>
        <w:t xml:space="preserve">documento alguno para que se pudiera acreditar la personalidad, con el objetivo de acceder a la información solicitada, no obstante, este Órgano Garante procedió a admitir el recurso de revisión que hoy nos ocupa a efecto de garantizar el ejercicio del derecho accionado por el particular, ya que desestimar el acceso de facto </w:t>
      </w:r>
      <w:r w:rsidR="0090423C" w:rsidRPr="00E43732">
        <w:rPr>
          <w:rFonts w:ascii="Palatino Linotype" w:hAnsi="Palatino Linotype" w:cs="Arial"/>
        </w:rPr>
        <w:t xml:space="preserve">dejaría en un estado de indefensión al particular.  </w:t>
      </w:r>
    </w:p>
    <w:p w:rsidR="007D5F26" w:rsidRPr="00E43732" w:rsidRDefault="007D5F26" w:rsidP="007D5F26">
      <w:pPr>
        <w:pStyle w:val="Prrafodelista"/>
        <w:rPr>
          <w:rFonts w:ascii="Palatino Linotype" w:hAnsi="Palatino Linotype" w:cs="Arial"/>
        </w:rPr>
      </w:pPr>
    </w:p>
    <w:p w:rsidR="0090423C" w:rsidRPr="00E43732" w:rsidRDefault="007D5F26" w:rsidP="00061470">
      <w:pPr>
        <w:numPr>
          <w:ilvl w:val="0"/>
          <w:numId w:val="2"/>
        </w:numPr>
        <w:spacing w:before="240" w:after="240" w:line="360" w:lineRule="auto"/>
        <w:ind w:left="0" w:right="49" w:firstLine="0"/>
        <w:contextualSpacing/>
        <w:jc w:val="both"/>
        <w:rPr>
          <w:rFonts w:ascii="Palatino Linotype" w:hAnsi="Palatino Linotype" w:cs="Arial"/>
        </w:rPr>
      </w:pPr>
      <w:r w:rsidRPr="00E43732">
        <w:rPr>
          <w:rFonts w:ascii="Palatino Linotype" w:hAnsi="Palatino Linotype" w:cs="Arial"/>
        </w:rPr>
        <w:t xml:space="preserve">Así las cosas, el </w:t>
      </w:r>
      <w:r w:rsidRPr="00E43732">
        <w:rPr>
          <w:rFonts w:ascii="Palatino Linotype" w:hAnsi="Palatino Linotype" w:cs="Arial"/>
          <w:b/>
        </w:rPr>
        <w:t xml:space="preserve">SUJETO OBLIGADO </w:t>
      </w:r>
      <w:r w:rsidRPr="00E43732">
        <w:rPr>
          <w:rFonts w:ascii="Palatino Linotype" w:hAnsi="Palatino Linotype" w:cs="Arial"/>
        </w:rPr>
        <w:t>y ante la falta de acreditación del particular procedió al acceso en la modalidad in situ, a efecto de que el particular pudriera acreditar la personalidad  y así pudiera a acceder a la información, en ese sentido es necesario precisar que se desarrollaron las etapas procesales de conciliación y manifestaciones, a efecto de que el particular pudiera manifestar lo que  a su derecho correspondiera, no obstante</w:t>
      </w:r>
      <w:r w:rsidR="00061470" w:rsidRPr="00E43732">
        <w:rPr>
          <w:rFonts w:ascii="Palatino Linotype" w:hAnsi="Palatino Linotype" w:cs="Arial"/>
        </w:rPr>
        <w:t xml:space="preserve">, </w:t>
      </w:r>
      <w:r w:rsidRPr="00E43732">
        <w:rPr>
          <w:rFonts w:ascii="Palatino Linotype" w:hAnsi="Palatino Linotype" w:cs="Arial"/>
        </w:rPr>
        <w:t xml:space="preserve">no  hubo manifestación al respecto, así es necesario señalar que </w:t>
      </w:r>
      <w:r w:rsidR="00061470" w:rsidRPr="00E43732">
        <w:rPr>
          <w:rFonts w:ascii="Palatino Linotype" w:hAnsi="Palatino Linotype" w:cs="Arial"/>
        </w:rPr>
        <w:t xml:space="preserve">el ente recurrido </w:t>
      </w:r>
      <w:r w:rsidR="00061470" w:rsidRPr="00E43732">
        <w:rPr>
          <w:rFonts w:ascii="Palatino Linotype" w:eastAsia="Times New Roman" w:hAnsi="Palatino Linotype" w:cs="Arial"/>
          <w:lang w:val="es-ES"/>
        </w:rPr>
        <w:t xml:space="preserve">no niega contar con la información solicitada por el recurrente, </w:t>
      </w:r>
      <w:r w:rsidR="00061470" w:rsidRPr="00E43732">
        <w:rPr>
          <w:rFonts w:ascii="Palatino Linotype" w:eastAsia="Calibri" w:hAnsi="Palatino Linotype" w:cs="Arial"/>
          <w:lang w:val="es-MX" w:eastAsia="en-US"/>
        </w:rPr>
        <w:t>por lo contrario, se presume que dicha información la posee o administra</w:t>
      </w:r>
      <w:r w:rsidR="0090423C" w:rsidRPr="00E43732">
        <w:rPr>
          <w:rFonts w:ascii="Palatino Linotype" w:eastAsia="Calibri" w:hAnsi="Palatino Linotype" w:cs="Arial"/>
          <w:lang w:val="es-MX" w:eastAsia="en-US"/>
        </w:rPr>
        <w:t>.</w:t>
      </w:r>
    </w:p>
    <w:p w:rsidR="0090423C" w:rsidRPr="00E43732" w:rsidRDefault="0090423C" w:rsidP="0090423C">
      <w:pPr>
        <w:rPr>
          <w:rFonts w:ascii="Palatino Linotype" w:eastAsia="Calibri" w:hAnsi="Palatino Linotype" w:cs="Arial"/>
          <w:lang w:val="es-MX" w:eastAsia="en-US"/>
        </w:rPr>
      </w:pPr>
    </w:p>
    <w:p w:rsidR="0090423C" w:rsidRPr="00E43732" w:rsidRDefault="00061470" w:rsidP="00061470">
      <w:pPr>
        <w:numPr>
          <w:ilvl w:val="0"/>
          <w:numId w:val="2"/>
        </w:numPr>
        <w:spacing w:before="240" w:after="240" w:line="360" w:lineRule="auto"/>
        <w:ind w:left="0" w:right="49" w:firstLine="0"/>
        <w:contextualSpacing/>
        <w:jc w:val="both"/>
        <w:rPr>
          <w:rFonts w:ascii="Palatino Linotype" w:hAnsi="Palatino Linotype" w:cs="Arial"/>
        </w:rPr>
      </w:pPr>
      <w:r w:rsidRPr="00E43732">
        <w:rPr>
          <w:rFonts w:ascii="Palatino Linotype" w:eastAsia="Calibri" w:hAnsi="Palatino Linotype" w:cs="Arial"/>
          <w:lang w:val="es-MX" w:eastAsia="en-US"/>
        </w:rPr>
        <w:t xml:space="preserve"> </w:t>
      </w:r>
      <w:r w:rsidR="0090423C" w:rsidRPr="00E43732">
        <w:rPr>
          <w:rFonts w:ascii="Palatino Linotype" w:eastAsia="Calibri" w:hAnsi="Palatino Linotype" w:cs="Arial"/>
          <w:lang w:val="es-MX" w:eastAsia="en-US"/>
        </w:rPr>
        <w:t>Así,</w:t>
      </w:r>
      <w:r w:rsidRPr="00E43732">
        <w:rPr>
          <w:rFonts w:ascii="Palatino Linotype" w:eastAsia="Times New Roman" w:hAnsi="Palatino Linotype" w:cs="Arial"/>
          <w:b/>
          <w:lang w:val="es-ES"/>
        </w:rPr>
        <w:t xml:space="preserve"> </w:t>
      </w:r>
      <w:r w:rsidRPr="00E43732">
        <w:rPr>
          <w:rFonts w:ascii="Palatino Linotype" w:eastAsia="Times New Roman" w:hAnsi="Palatino Linotype" w:cs="Arial"/>
          <w:lang w:val="es-ES"/>
        </w:rPr>
        <w:t xml:space="preserve">tiene lo obligación de permitir el acceso </w:t>
      </w:r>
      <w:r w:rsidR="0090423C" w:rsidRPr="00E43732">
        <w:rPr>
          <w:rFonts w:ascii="Palatino Linotype" w:eastAsia="Times New Roman" w:hAnsi="Palatino Linotype" w:cs="Arial"/>
          <w:lang w:val="es-ES"/>
        </w:rPr>
        <w:t>a la información solicitada mediante el SARCOEM  y correo electrónico como la vía señalad</w:t>
      </w:r>
      <w:r w:rsidR="00757024" w:rsidRPr="00E43732">
        <w:rPr>
          <w:rFonts w:ascii="Palatino Linotype" w:eastAsia="Times New Roman" w:hAnsi="Palatino Linotype" w:cs="Arial"/>
          <w:lang w:val="es-ES"/>
        </w:rPr>
        <w:t>a</w:t>
      </w:r>
      <w:r w:rsidR="0090423C" w:rsidRPr="00E43732">
        <w:rPr>
          <w:rFonts w:ascii="Palatino Linotype" w:eastAsia="Times New Roman" w:hAnsi="Palatino Linotype" w:cs="Arial"/>
          <w:lang w:val="es-ES"/>
        </w:rPr>
        <w:t xml:space="preserve"> por el particular, </w:t>
      </w:r>
      <w:r w:rsidRPr="00E43732">
        <w:rPr>
          <w:rFonts w:ascii="Palatino Linotype" w:eastAsia="Times New Roman" w:hAnsi="Palatino Linotype" w:cs="Arial"/>
          <w:lang w:val="es-ES"/>
        </w:rPr>
        <w:t xml:space="preserve">previa acreditación de su identidad, toda vez que como ha sido demostrado con las </w:t>
      </w:r>
      <w:r w:rsidRPr="00E43732">
        <w:rPr>
          <w:rFonts w:ascii="Palatino Linotype" w:eastAsia="Times New Roman" w:hAnsi="Palatino Linotype" w:cs="Arial"/>
          <w:lang w:val="es-ES"/>
        </w:rPr>
        <w:lastRenderedPageBreak/>
        <w:t xml:space="preserve">apuntaciones que anteceden, el mismo </w:t>
      </w:r>
      <w:r w:rsidR="0090423C" w:rsidRPr="00E43732">
        <w:rPr>
          <w:rFonts w:ascii="Palatino Linotype" w:eastAsia="Times New Roman" w:hAnsi="Palatino Linotype" w:cs="Arial"/>
          <w:lang w:val="es-ES"/>
        </w:rPr>
        <w:t xml:space="preserve">asumió contar con </w:t>
      </w:r>
      <w:r w:rsidRPr="00E43732">
        <w:rPr>
          <w:rFonts w:ascii="Palatino Linotype" w:eastAsia="Times New Roman" w:hAnsi="Palatino Linotype" w:cs="Arial"/>
          <w:lang w:val="es-ES"/>
        </w:rPr>
        <w:t xml:space="preserve">dicha información, para poder tener por cumplida la obligación de atención al derecho de acceso del </w:t>
      </w:r>
      <w:r w:rsidRPr="00E43732">
        <w:rPr>
          <w:rFonts w:ascii="Palatino Linotype" w:eastAsia="Times New Roman" w:hAnsi="Palatino Linotype" w:cs="Arial"/>
          <w:b/>
          <w:lang w:val="es-ES"/>
        </w:rPr>
        <w:t>RECURRENTE</w:t>
      </w:r>
      <w:r w:rsidRPr="00E43732">
        <w:rPr>
          <w:rFonts w:ascii="Palatino Linotype" w:eastAsia="Times New Roman" w:hAnsi="Palatino Linotype" w:cs="Arial"/>
          <w:b/>
          <w:vertAlign w:val="superscript"/>
          <w:lang w:val="es-ES"/>
        </w:rPr>
        <w:footnoteReference w:id="2"/>
      </w:r>
      <w:r w:rsidRPr="00E43732">
        <w:rPr>
          <w:rFonts w:ascii="Palatino Linotype" w:eastAsia="Times New Roman" w:hAnsi="Palatino Linotype" w:cs="Arial"/>
          <w:b/>
          <w:lang w:val="es-ES"/>
        </w:rPr>
        <w:t>,</w:t>
      </w:r>
      <w:r w:rsidRPr="00E43732">
        <w:rPr>
          <w:rFonts w:ascii="Palatino Linotype" w:eastAsia="Times New Roman" w:hAnsi="Palatino Linotype" w:cs="Arial"/>
          <w:lang w:val="es-ES"/>
        </w:rPr>
        <w:t xml:space="preserve"> reconducido mediante la presente resolución.</w:t>
      </w:r>
    </w:p>
    <w:p w:rsidR="0090423C" w:rsidRPr="00E43732" w:rsidRDefault="0090423C" w:rsidP="0090423C">
      <w:pPr>
        <w:rPr>
          <w:rFonts w:ascii="Palatino Linotype" w:eastAsia="Times New Roman" w:hAnsi="Palatino Linotype" w:cs="Arial"/>
          <w:lang w:val="es-ES"/>
        </w:rPr>
      </w:pPr>
    </w:p>
    <w:p w:rsidR="0090423C" w:rsidRPr="00E43732" w:rsidRDefault="00061470" w:rsidP="00061470">
      <w:pPr>
        <w:numPr>
          <w:ilvl w:val="0"/>
          <w:numId w:val="2"/>
        </w:numPr>
        <w:spacing w:before="240" w:after="240" w:line="360" w:lineRule="auto"/>
        <w:ind w:left="0" w:right="49" w:firstLine="0"/>
        <w:contextualSpacing/>
        <w:jc w:val="both"/>
        <w:rPr>
          <w:rFonts w:ascii="Palatino Linotype" w:hAnsi="Palatino Linotype" w:cs="Arial"/>
        </w:rPr>
      </w:pPr>
      <w:r w:rsidRPr="00E43732">
        <w:rPr>
          <w:rFonts w:ascii="Palatino Linotype" w:eastAsia="Times New Roman" w:hAnsi="Palatino Linotype" w:cs="Arial"/>
          <w:lang w:val="es-ES"/>
        </w:rPr>
        <w:t xml:space="preserve">Lo anterior en armonía con lo dispuesto por la Ley General de Protección de Datos en posesión de Sujetos Obligados, en su artículo 44, que establece el derecho del titular de acceder a sus datos personales; y demás aplicables ya analizados. </w:t>
      </w:r>
    </w:p>
    <w:p w:rsidR="0090423C" w:rsidRPr="00E43732" w:rsidRDefault="0090423C" w:rsidP="0090423C">
      <w:pPr>
        <w:rPr>
          <w:rFonts w:ascii="Palatino Linotype" w:eastAsia="Calibri" w:hAnsi="Palatino Linotype" w:cs="Arial"/>
          <w:lang w:val="es-ES"/>
        </w:rPr>
      </w:pPr>
    </w:p>
    <w:p w:rsidR="006E5EF0" w:rsidRPr="00E43732" w:rsidRDefault="00061470" w:rsidP="003D50AD">
      <w:pPr>
        <w:numPr>
          <w:ilvl w:val="0"/>
          <w:numId w:val="2"/>
        </w:numPr>
        <w:spacing w:before="240" w:after="240" w:line="360" w:lineRule="auto"/>
        <w:ind w:left="0" w:right="49" w:firstLine="0"/>
        <w:contextualSpacing/>
        <w:jc w:val="both"/>
        <w:rPr>
          <w:rFonts w:ascii="Palatino Linotype" w:hAnsi="Palatino Linotype" w:cs="Arial"/>
        </w:rPr>
      </w:pPr>
      <w:r w:rsidRPr="00E43732">
        <w:rPr>
          <w:rFonts w:ascii="Palatino Linotype" w:eastAsia="Calibri" w:hAnsi="Palatino Linotype" w:cs="Arial"/>
          <w:lang w:val="es-ES"/>
        </w:rPr>
        <w:t xml:space="preserve">Así, con </w:t>
      </w:r>
      <w:r w:rsidRPr="00E43732">
        <w:rPr>
          <w:rFonts w:ascii="Palatino Linotype" w:eastAsia="Times New Roman" w:hAnsi="Palatino Linotype" w:cs="Arial"/>
          <w:lang w:val="es-ES"/>
        </w:rPr>
        <w:t>fundamento</w:t>
      </w:r>
      <w:r w:rsidRPr="00E43732">
        <w:rPr>
          <w:rFonts w:ascii="Palatino Linotype" w:eastAsia="Calibri" w:hAnsi="Palatino Linotype" w:cs="Arial"/>
          <w:lang w:val="es-ES"/>
        </w:rPr>
        <w:t xml:space="preserve"> en lo prescrito en los artículos 5 párrafos </w:t>
      </w:r>
      <w:r w:rsidRPr="00E43732">
        <w:rPr>
          <w:rFonts w:ascii="Palatino Linotype" w:eastAsia="Times New Roman" w:hAnsi="Palatino Linotype" w:cs="Times New Roman"/>
          <w:lang w:val="es-ES"/>
        </w:rPr>
        <w:t>vigésimo, vigésimo primero y vigésimo segundo fracciones IV y V</w:t>
      </w:r>
      <w:r w:rsidRPr="00E43732">
        <w:rPr>
          <w:rFonts w:ascii="Palatino Linotype" w:eastAsia="Calibri" w:hAnsi="Palatino Linotype" w:cs="Arial"/>
          <w:lang w:val="es-ES"/>
        </w:rPr>
        <w:t xml:space="preserve"> de la Constitución Política del Estado Libre y Soberano de México; </w:t>
      </w:r>
      <w:r w:rsidRPr="00E43732">
        <w:rPr>
          <w:rFonts w:ascii="Palatino Linotype" w:eastAsia="Times New Roman" w:hAnsi="Palatino Linotype" w:cs="Times New Roman"/>
          <w:lang w:val="es-ES"/>
        </w:rPr>
        <w:t>2 fracción II, 29, 36 fracciones I y II, 176, 178, 179, 181, 185 fracción I, 186 y 188</w:t>
      </w:r>
      <w:r w:rsidRPr="00E43732">
        <w:rPr>
          <w:rFonts w:ascii="Palatino Linotype" w:eastAsia="Calibri" w:hAnsi="Palatino Linotype" w:cs="Arial"/>
          <w:lang w:val="es-ES"/>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bookmarkEnd w:id="15"/>
      <w:bookmarkEnd w:id="16"/>
      <w:bookmarkEnd w:id="17"/>
      <w:bookmarkEnd w:id="18"/>
      <w:bookmarkEnd w:id="19"/>
      <w:bookmarkEnd w:id="20"/>
      <w:bookmarkEnd w:id="22"/>
    </w:p>
    <w:p w:rsidR="00E43732" w:rsidRDefault="00E43732" w:rsidP="00E43732">
      <w:pPr>
        <w:pStyle w:val="Prrafodelista"/>
        <w:rPr>
          <w:rFonts w:ascii="Palatino Linotype" w:hAnsi="Palatino Linotype" w:cs="Arial"/>
        </w:rPr>
      </w:pPr>
    </w:p>
    <w:p w:rsidR="00E43732" w:rsidRDefault="00E43732" w:rsidP="00E43732">
      <w:pPr>
        <w:spacing w:before="240" w:after="240" w:line="360" w:lineRule="auto"/>
        <w:ind w:right="49"/>
        <w:contextualSpacing/>
        <w:jc w:val="both"/>
        <w:rPr>
          <w:rFonts w:ascii="Palatino Linotype" w:hAnsi="Palatino Linotype" w:cs="Arial"/>
        </w:rPr>
      </w:pPr>
    </w:p>
    <w:p w:rsidR="00E43732" w:rsidRDefault="00E43732" w:rsidP="00E43732">
      <w:pPr>
        <w:spacing w:before="240" w:after="240" w:line="360" w:lineRule="auto"/>
        <w:ind w:right="49"/>
        <w:contextualSpacing/>
        <w:jc w:val="both"/>
        <w:rPr>
          <w:rFonts w:ascii="Palatino Linotype" w:hAnsi="Palatino Linotype" w:cs="Arial"/>
        </w:rPr>
      </w:pPr>
    </w:p>
    <w:p w:rsidR="00E43732" w:rsidRDefault="00E43732" w:rsidP="00E43732">
      <w:pPr>
        <w:spacing w:before="240" w:after="240" w:line="360" w:lineRule="auto"/>
        <w:ind w:right="49"/>
        <w:contextualSpacing/>
        <w:jc w:val="both"/>
        <w:rPr>
          <w:rFonts w:ascii="Palatino Linotype" w:hAnsi="Palatino Linotype" w:cs="Arial"/>
        </w:rPr>
      </w:pPr>
    </w:p>
    <w:p w:rsidR="00E43732" w:rsidRPr="00E43732" w:rsidRDefault="00E43732" w:rsidP="00E43732">
      <w:pPr>
        <w:spacing w:before="240" w:after="240" w:line="360" w:lineRule="auto"/>
        <w:ind w:right="49"/>
        <w:contextualSpacing/>
        <w:jc w:val="both"/>
        <w:rPr>
          <w:rFonts w:ascii="Palatino Linotype" w:hAnsi="Palatino Linotype" w:cs="Arial"/>
        </w:rPr>
      </w:pPr>
    </w:p>
    <w:p w:rsidR="00087EFD" w:rsidRPr="00E43732" w:rsidRDefault="006E5EF0" w:rsidP="009F1C21">
      <w:pPr>
        <w:pStyle w:val="Ttulo1"/>
        <w:spacing w:line="360" w:lineRule="auto"/>
        <w:jc w:val="center"/>
        <w:rPr>
          <w:lang w:val="es-ES"/>
        </w:rPr>
      </w:pPr>
      <w:bookmarkStart w:id="25" w:name="_Toc57403624"/>
      <w:r w:rsidRPr="00E43732">
        <w:rPr>
          <w:lang w:val="es-ES"/>
        </w:rPr>
        <w:lastRenderedPageBreak/>
        <w:t>R E S O L U T I V O S</w:t>
      </w:r>
      <w:bookmarkEnd w:id="25"/>
    </w:p>
    <w:p w:rsidR="009F1C21" w:rsidRPr="00E43732" w:rsidRDefault="009F1C21" w:rsidP="009F1C21">
      <w:pPr>
        <w:rPr>
          <w:lang w:val="es-ES" w:eastAsia="en-US"/>
        </w:rPr>
      </w:pPr>
    </w:p>
    <w:p w:rsidR="003D50AD" w:rsidRPr="00E43732" w:rsidRDefault="003D50AD" w:rsidP="004C0DA1">
      <w:pPr>
        <w:spacing w:line="360" w:lineRule="auto"/>
        <w:jc w:val="both"/>
        <w:rPr>
          <w:rFonts w:ascii="Palatino Linotype" w:eastAsia="Calibri" w:hAnsi="Palatino Linotype" w:cs="Arial"/>
          <w:lang w:val="es-ES"/>
        </w:rPr>
      </w:pPr>
      <w:r w:rsidRPr="00E43732">
        <w:rPr>
          <w:rFonts w:ascii="Palatino Linotype" w:eastAsia="Times New Roman" w:hAnsi="Palatino Linotype" w:cs="Arial"/>
          <w:b/>
        </w:rPr>
        <w:t>PRIMERO</w:t>
      </w:r>
      <w:r w:rsidRPr="00E43732">
        <w:rPr>
          <w:rFonts w:ascii="Palatino Linotype" w:eastAsia="Times New Roman" w:hAnsi="Palatino Linotype" w:cs="Arial"/>
          <w:lang w:val="es-ES"/>
        </w:rPr>
        <w:t>.</w:t>
      </w:r>
      <w:r w:rsidR="00087EFD" w:rsidRPr="00E43732">
        <w:rPr>
          <w:rFonts w:ascii="Palatino Linotype" w:eastAsia="Times New Roman" w:hAnsi="Palatino Linotype" w:cs="Arial"/>
          <w:lang w:val="es-ES"/>
        </w:rPr>
        <w:t xml:space="preserve"> Resultan</w:t>
      </w:r>
      <w:r w:rsidR="0090423C" w:rsidRPr="00E43732">
        <w:rPr>
          <w:rFonts w:ascii="Palatino Linotype" w:eastAsia="Times New Roman" w:hAnsi="Palatino Linotype" w:cs="Arial"/>
          <w:lang w:val="es-ES"/>
        </w:rPr>
        <w:t xml:space="preserve"> parcialmente</w:t>
      </w:r>
      <w:r w:rsidR="00087EFD" w:rsidRPr="00E43732">
        <w:rPr>
          <w:rFonts w:ascii="Palatino Linotype" w:eastAsia="Times New Roman" w:hAnsi="Palatino Linotype" w:cs="Arial"/>
          <w:lang w:val="es-ES"/>
        </w:rPr>
        <w:t xml:space="preserve"> fundadas</w:t>
      </w:r>
      <w:r w:rsidR="00D61154" w:rsidRPr="00E43732">
        <w:rPr>
          <w:rFonts w:ascii="Palatino Linotype" w:eastAsia="Times New Roman" w:hAnsi="Palatino Linotype" w:cs="Arial"/>
          <w:lang w:val="es-ES"/>
        </w:rPr>
        <w:t xml:space="preserve"> las razones y</w:t>
      </w:r>
      <w:r w:rsidRPr="00E43732">
        <w:rPr>
          <w:rFonts w:ascii="Palatino Linotype" w:eastAsia="Times New Roman" w:hAnsi="Palatino Linotype" w:cs="Arial"/>
          <w:lang w:val="es-ES"/>
        </w:rPr>
        <w:t xml:space="preserve"> motivo</w:t>
      </w:r>
      <w:r w:rsidR="00614478" w:rsidRPr="00E43732">
        <w:rPr>
          <w:rFonts w:ascii="Palatino Linotype" w:eastAsia="Times New Roman" w:hAnsi="Palatino Linotype" w:cs="Arial"/>
          <w:lang w:val="es-ES"/>
        </w:rPr>
        <w:t>s de inconformidad hechos valer e</w:t>
      </w:r>
      <w:r w:rsidRPr="00E43732">
        <w:rPr>
          <w:rFonts w:ascii="Palatino Linotype" w:eastAsia="Calibri" w:hAnsi="Palatino Linotype" w:cs="Arial"/>
          <w:lang w:val="es-ES"/>
        </w:rPr>
        <w:t>n el recurso de revisión</w:t>
      </w:r>
      <w:r w:rsidR="00DA52F4" w:rsidRPr="00E43732">
        <w:rPr>
          <w:rFonts w:ascii="Palatino Linotype" w:eastAsia="Calibri" w:hAnsi="Palatino Linotype" w:cs="Arial"/>
          <w:lang w:val="es-ES"/>
        </w:rPr>
        <w:t xml:space="preserve"> </w:t>
      </w:r>
      <w:r w:rsidR="00DA52F4" w:rsidRPr="00E43732">
        <w:rPr>
          <w:rFonts w:ascii="Palatino Linotype" w:eastAsia="Calibri" w:hAnsi="Palatino Linotype" w:cs="Arial"/>
          <w:b/>
          <w:bCs/>
        </w:rPr>
        <w:t>03628/INFOEM/AD/RR/2020</w:t>
      </w:r>
      <w:r w:rsidRPr="00E43732">
        <w:rPr>
          <w:rFonts w:ascii="Palatino Linotype" w:eastAsia="Calibri" w:hAnsi="Palatino Linotype" w:cs="Arial"/>
          <w:lang w:val="es-ES"/>
        </w:rPr>
        <w:t xml:space="preserve"> </w:t>
      </w:r>
      <w:r w:rsidR="00B96B07" w:rsidRPr="00E43732">
        <w:rPr>
          <w:rFonts w:ascii="Palatino Linotype" w:eastAsia="Times New Roman" w:hAnsi="Palatino Linotype" w:cs="Times New Roman"/>
        </w:rPr>
        <w:t>en términos de</w:t>
      </w:r>
      <w:r w:rsidR="00B05E35" w:rsidRPr="00E43732">
        <w:rPr>
          <w:rFonts w:ascii="Palatino Linotype" w:eastAsia="Times New Roman" w:hAnsi="Palatino Linotype" w:cs="Times New Roman"/>
        </w:rPr>
        <w:t>l</w:t>
      </w:r>
      <w:r w:rsidR="00B96B07" w:rsidRPr="00E43732">
        <w:rPr>
          <w:rFonts w:ascii="Palatino Linotype" w:eastAsia="Times New Roman" w:hAnsi="Palatino Linotype" w:cs="Times New Roman"/>
        </w:rPr>
        <w:t xml:space="preserve"> </w:t>
      </w:r>
      <w:r w:rsidR="007034F5" w:rsidRPr="00E43732">
        <w:rPr>
          <w:rFonts w:ascii="Palatino Linotype" w:eastAsia="Times New Roman" w:hAnsi="Palatino Linotype" w:cs="Times New Roman"/>
          <w:b/>
        </w:rPr>
        <w:t>C</w:t>
      </w:r>
      <w:r w:rsidR="00B96B07" w:rsidRPr="00E43732">
        <w:rPr>
          <w:rFonts w:ascii="Palatino Linotype" w:eastAsia="Times New Roman" w:hAnsi="Palatino Linotype" w:cs="Times New Roman"/>
          <w:b/>
        </w:rPr>
        <w:t>onsiderando</w:t>
      </w:r>
      <w:r w:rsidRPr="00E43732">
        <w:rPr>
          <w:rFonts w:ascii="Palatino Linotype" w:eastAsia="Times New Roman" w:hAnsi="Palatino Linotype" w:cs="Times New Roman"/>
          <w:b/>
        </w:rPr>
        <w:t xml:space="preserve"> </w:t>
      </w:r>
      <w:r w:rsidR="00292BCC" w:rsidRPr="00E43732">
        <w:rPr>
          <w:rFonts w:ascii="Palatino Linotype" w:eastAsia="Times New Roman" w:hAnsi="Palatino Linotype" w:cs="Times New Roman"/>
          <w:b/>
        </w:rPr>
        <w:t xml:space="preserve">CUARTO </w:t>
      </w:r>
      <w:r w:rsidR="00BA5158" w:rsidRPr="00E43732">
        <w:rPr>
          <w:rFonts w:ascii="Palatino Linotype" w:eastAsia="Times New Roman" w:hAnsi="Palatino Linotype" w:cs="Times New Roman"/>
        </w:rPr>
        <w:t>d</w:t>
      </w:r>
      <w:r w:rsidRPr="00E43732">
        <w:rPr>
          <w:rFonts w:ascii="Palatino Linotype" w:eastAsia="Times New Roman" w:hAnsi="Palatino Linotype" w:cs="Times New Roman"/>
        </w:rPr>
        <w:t>e la presente resolución.</w:t>
      </w:r>
      <w:r w:rsidRPr="00E43732">
        <w:rPr>
          <w:rFonts w:ascii="Palatino Linotype" w:eastAsia="Calibri" w:hAnsi="Palatino Linotype" w:cs="Arial"/>
          <w:lang w:val="es-ES"/>
        </w:rPr>
        <w:t xml:space="preserve"> </w:t>
      </w:r>
    </w:p>
    <w:p w:rsidR="008C54C1" w:rsidRPr="00E43732" w:rsidRDefault="008C54C1" w:rsidP="004C0DA1">
      <w:pPr>
        <w:spacing w:line="360" w:lineRule="auto"/>
        <w:jc w:val="both"/>
        <w:rPr>
          <w:rFonts w:ascii="Palatino Linotype" w:eastAsia="Calibri" w:hAnsi="Palatino Linotype" w:cs="Arial"/>
          <w:bCs/>
          <w:lang w:val="es-ES"/>
        </w:rPr>
      </w:pPr>
    </w:p>
    <w:p w:rsidR="00D61154" w:rsidRPr="00E43732" w:rsidRDefault="008C54C1" w:rsidP="009F1C21">
      <w:pPr>
        <w:spacing w:before="240" w:after="240" w:line="360" w:lineRule="auto"/>
        <w:jc w:val="both"/>
        <w:rPr>
          <w:rFonts w:ascii="Palatino Linotype" w:hAnsi="Palatino Linotype"/>
        </w:rPr>
      </w:pPr>
      <w:r w:rsidRPr="00E43732">
        <w:rPr>
          <w:rFonts w:ascii="Palatino Linotype" w:eastAsia="Calibri" w:hAnsi="Palatino Linotype" w:cs="Arial"/>
          <w:b/>
          <w:lang w:val="es-ES"/>
        </w:rPr>
        <w:t xml:space="preserve">SEGUNDO. </w:t>
      </w:r>
      <w:r w:rsidRPr="00E43732">
        <w:rPr>
          <w:rFonts w:ascii="Palatino Linotype" w:eastAsia="Calibri" w:hAnsi="Palatino Linotype" w:cs="Arial"/>
          <w:lang w:val="es-ES"/>
        </w:rPr>
        <w:t>Se</w:t>
      </w:r>
      <w:r w:rsidR="003D50AD" w:rsidRPr="00E43732">
        <w:rPr>
          <w:rFonts w:ascii="Palatino Linotype" w:eastAsia="Calibri" w:hAnsi="Palatino Linotype" w:cs="Arial"/>
          <w:b/>
          <w:lang w:val="es-ES"/>
        </w:rPr>
        <w:t xml:space="preserve"> </w:t>
      </w:r>
      <w:r w:rsidR="009F1C21" w:rsidRPr="00E43732">
        <w:rPr>
          <w:rFonts w:ascii="Palatino Linotype" w:eastAsia="Calibri" w:hAnsi="Palatino Linotype" w:cs="Arial"/>
          <w:b/>
          <w:lang w:val="es-ES"/>
        </w:rPr>
        <w:t xml:space="preserve">MODIFICA </w:t>
      </w:r>
      <w:r w:rsidR="009F1C21" w:rsidRPr="00E43732">
        <w:rPr>
          <w:rFonts w:ascii="Palatino Linotype" w:eastAsia="Calibri" w:hAnsi="Palatino Linotype" w:cs="Arial"/>
          <w:lang w:val="es-ES"/>
        </w:rPr>
        <w:t xml:space="preserve">la respuesta emitida por la </w:t>
      </w:r>
      <w:r w:rsidR="009F1C21" w:rsidRPr="00E43732">
        <w:rPr>
          <w:rFonts w:ascii="Palatino Linotype" w:eastAsia="Calibri" w:hAnsi="Palatino Linotype" w:cs="Arial"/>
          <w:b/>
          <w:lang w:val="es-ES"/>
        </w:rPr>
        <w:t>Secretaría de Movilidad</w:t>
      </w:r>
      <w:r w:rsidR="009F1C21" w:rsidRPr="00E43732">
        <w:rPr>
          <w:rFonts w:ascii="Palatino Linotype" w:eastAsia="Calibri" w:hAnsi="Palatino Linotype" w:cs="Arial"/>
          <w:lang w:val="es-ES"/>
        </w:rPr>
        <w:t xml:space="preserve"> y se </w:t>
      </w:r>
      <w:r w:rsidR="009F1C21" w:rsidRPr="00E43732">
        <w:rPr>
          <w:rFonts w:ascii="Palatino Linotype" w:eastAsia="Calibri" w:hAnsi="Palatino Linotype" w:cs="Arial"/>
          <w:b/>
          <w:lang w:val="es-ES"/>
        </w:rPr>
        <w:t xml:space="preserve">ORDENA </w:t>
      </w:r>
      <w:r w:rsidR="009F1C21" w:rsidRPr="00E43732">
        <w:rPr>
          <w:rFonts w:ascii="Palatino Linotype" w:eastAsia="Calibri" w:hAnsi="Palatino Linotype" w:cs="Arial"/>
          <w:lang w:val="es-ES"/>
        </w:rPr>
        <w:t xml:space="preserve">entregar vía </w:t>
      </w:r>
      <w:r w:rsidR="009F1C21" w:rsidRPr="00E43732">
        <w:rPr>
          <w:rFonts w:ascii="Palatino Linotype" w:hAnsi="Palatino Linotype"/>
        </w:rPr>
        <w:t xml:space="preserve">Sistema de Acceso, Rectificación, Cancelación y Oposición de Datos Personales del Estado de México </w:t>
      </w:r>
      <w:r w:rsidR="009F1C21" w:rsidRPr="00E43732">
        <w:rPr>
          <w:rFonts w:ascii="Palatino Linotype" w:hAnsi="Palatino Linotype"/>
          <w:b/>
        </w:rPr>
        <w:t>(SARCOEM)</w:t>
      </w:r>
      <w:r w:rsidR="00D61154" w:rsidRPr="00E43732">
        <w:rPr>
          <w:rFonts w:ascii="Palatino Linotype" w:hAnsi="Palatino Linotype"/>
        </w:rPr>
        <w:t xml:space="preserve"> y, </w:t>
      </w:r>
      <w:r w:rsidR="009F1C21" w:rsidRPr="00E43732">
        <w:rPr>
          <w:rFonts w:ascii="Palatino Linotype" w:hAnsi="Palatino Linotype"/>
          <w:b/>
        </w:rPr>
        <w:t>Correo electrónico</w:t>
      </w:r>
      <w:r w:rsidR="00DA52F4" w:rsidRPr="00E43732">
        <w:rPr>
          <w:rFonts w:ascii="Palatino Linotype" w:hAnsi="Palatino Linotype"/>
        </w:rPr>
        <w:t xml:space="preserve">, </w:t>
      </w:r>
      <w:r w:rsidR="00AA2CB2" w:rsidRPr="00E43732">
        <w:rPr>
          <w:rFonts w:ascii="Palatino Linotype" w:hAnsi="Palatino Linotype"/>
        </w:rPr>
        <w:t>previa acreditación de la identidad del titular</w:t>
      </w:r>
      <w:r w:rsidR="009F1C21" w:rsidRPr="00E43732">
        <w:rPr>
          <w:rFonts w:ascii="Palatino Linotype" w:hAnsi="Palatino Linotype"/>
        </w:rPr>
        <w:t>, lo siguiente:</w:t>
      </w:r>
    </w:p>
    <w:p w:rsidR="005957BA" w:rsidRPr="00E43732" w:rsidRDefault="005957BA" w:rsidP="00757024">
      <w:pPr>
        <w:pStyle w:val="Prrafodelista"/>
        <w:numPr>
          <w:ilvl w:val="0"/>
          <w:numId w:val="32"/>
        </w:numPr>
        <w:tabs>
          <w:tab w:val="left" w:pos="8080"/>
        </w:tabs>
        <w:spacing w:before="240" w:after="240" w:line="360" w:lineRule="auto"/>
        <w:ind w:right="567"/>
        <w:jc w:val="both"/>
        <w:rPr>
          <w:rFonts w:ascii="Palatino Linotype" w:hAnsi="Palatino Linotype"/>
          <w:b/>
          <w:color w:val="000000" w:themeColor="text1"/>
        </w:rPr>
      </w:pPr>
      <w:r w:rsidRPr="00E43732">
        <w:rPr>
          <w:rFonts w:ascii="Palatino Linotype" w:hAnsi="Palatino Linotype"/>
          <w:b/>
          <w:color w:val="000000" w:themeColor="text1"/>
        </w:rPr>
        <w:t>Historial de licencias de conducir emitidas a favor del solicitante</w:t>
      </w:r>
      <w:r w:rsidR="00D22DFF" w:rsidRPr="00E43732">
        <w:rPr>
          <w:rFonts w:ascii="Palatino Linotype" w:hAnsi="Palatino Linotype"/>
          <w:b/>
          <w:color w:val="000000" w:themeColor="text1"/>
        </w:rPr>
        <w:t xml:space="preserve"> al (03) de agosto de dos mil veinte</w:t>
      </w:r>
      <w:r w:rsidRPr="00E43732">
        <w:rPr>
          <w:rFonts w:ascii="Palatino Linotype" w:hAnsi="Palatino Linotype"/>
          <w:b/>
          <w:color w:val="000000" w:themeColor="text1"/>
        </w:rPr>
        <w:t xml:space="preserve">, así como sus fotografías. </w:t>
      </w:r>
    </w:p>
    <w:p w:rsidR="00757024" w:rsidRPr="00E43732" w:rsidRDefault="00757024" w:rsidP="00757024">
      <w:pPr>
        <w:spacing w:line="360" w:lineRule="auto"/>
        <w:jc w:val="both"/>
        <w:rPr>
          <w:rFonts w:ascii="Palatino Linotype" w:eastAsia="MS Mincho" w:hAnsi="Palatino Linotype" w:cs="Times New Roman"/>
          <w:color w:val="222222"/>
          <w:shd w:val="clear" w:color="auto" w:fill="FFFFFF"/>
        </w:rPr>
      </w:pPr>
      <w:bookmarkStart w:id="26" w:name="_Toc503891610"/>
      <w:bookmarkStart w:id="27" w:name="_Toc453696503"/>
      <w:bookmarkStart w:id="28" w:name="_Toc454301156"/>
      <w:bookmarkStart w:id="29" w:name="_Toc462653938"/>
      <w:bookmarkStart w:id="30" w:name="_Toc477891769"/>
      <w:bookmarkStart w:id="31" w:name="_Toc477891859"/>
      <w:bookmarkStart w:id="32" w:name="_Toc481576260"/>
      <w:bookmarkStart w:id="33" w:name="_Toc492590392"/>
      <w:r w:rsidRPr="00E43732">
        <w:rPr>
          <w:rFonts w:ascii="Palatino Linotype" w:eastAsia="MS Mincho" w:hAnsi="Palatino Linotype" w:cs="Times New Roman"/>
          <w:color w:val="222222"/>
          <w:shd w:val="clear" w:color="auto" w:fill="FFFFFF"/>
        </w:rPr>
        <w:t xml:space="preserve">Asimismo se ordena al Sujeto Obligado que previo a la entrega de la información solicitada, haga del conocimiento del titular de los datos, el domicilio al cual deberá acudir, el nombre de la dependencia o área respectiva, los días y horarios de atención en los cuales podrá </w:t>
      </w:r>
      <w:r w:rsidR="008A55A4" w:rsidRPr="00E43732">
        <w:rPr>
          <w:rFonts w:ascii="Palatino Linotype" w:eastAsia="Times New Roman" w:hAnsi="Palatino Linotype" w:cs="Arial"/>
          <w:lang w:val="es-ES"/>
        </w:rPr>
        <w:t xml:space="preserve">acreditar </w:t>
      </w:r>
      <w:r w:rsidRPr="00E43732">
        <w:rPr>
          <w:rFonts w:ascii="Palatino Linotype" w:eastAsia="Times New Roman" w:hAnsi="Palatino Linotype" w:cs="Arial"/>
          <w:lang w:val="es-ES"/>
        </w:rPr>
        <w:t>de su identidad</w:t>
      </w:r>
      <w:r w:rsidR="008A55A4" w:rsidRPr="00E43732">
        <w:rPr>
          <w:rFonts w:ascii="Palatino Linotype" w:eastAsia="MS Mincho" w:hAnsi="Palatino Linotype" w:cs="Times New Roman"/>
          <w:color w:val="222222"/>
          <w:shd w:val="clear" w:color="auto" w:fill="FFFFFF"/>
        </w:rPr>
        <w:t xml:space="preserve">, </w:t>
      </w:r>
      <w:r w:rsidRPr="00E43732">
        <w:rPr>
          <w:rFonts w:ascii="Palatino Linotype" w:eastAsia="MS Mincho" w:hAnsi="Palatino Linotype" w:cs="Times New Roman"/>
          <w:color w:val="222222"/>
          <w:shd w:val="clear" w:color="auto" w:fill="FFFFFF"/>
        </w:rPr>
        <w:t>conforme a lo dispuesto por el artículo 166 de la Ley de Transparencia y Acceso a la Información Pública del Estado de México y Municipios de aplicación supletoria.  </w:t>
      </w:r>
    </w:p>
    <w:p w:rsidR="00757024" w:rsidRPr="00E43732" w:rsidRDefault="00757024" w:rsidP="0090423C">
      <w:pPr>
        <w:spacing w:after="240" w:line="360" w:lineRule="auto"/>
        <w:contextualSpacing/>
        <w:jc w:val="both"/>
        <w:rPr>
          <w:rFonts w:ascii="Palatino Linotype" w:eastAsia="Times New Roman" w:hAnsi="Palatino Linotype" w:cs="Arial"/>
          <w:color w:val="FF0000"/>
          <w:lang w:val="es-ES"/>
        </w:rPr>
      </w:pPr>
    </w:p>
    <w:p w:rsidR="00984C06" w:rsidRPr="00E43732" w:rsidRDefault="005C3739" w:rsidP="0090423C">
      <w:pPr>
        <w:spacing w:after="240" w:line="360" w:lineRule="auto"/>
        <w:contextualSpacing/>
        <w:jc w:val="both"/>
        <w:rPr>
          <w:rFonts w:ascii="Palatino Linotype" w:eastAsia="Calibri" w:hAnsi="Palatino Linotype" w:cs="Arial"/>
          <w:lang w:val="es-ES"/>
        </w:rPr>
      </w:pPr>
      <w:r w:rsidRPr="00E43732">
        <w:rPr>
          <w:rFonts w:ascii="Palatino Linotype" w:eastAsia="Calibri" w:hAnsi="Palatino Linotype" w:cs="Arial"/>
          <w:b/>
        </w:rPr>
        <w:t>TERCERO.</w:t>
      </w:r>
      <w:r w:rsidRPr="00E43732">
        <w:rPr>
          <w:rFonts w:ascii="Palatino Linotype" w:eastAsia="Calibri" w:hAnsi="Palatino Linotype" w:cs="Arial"/>
        </w:rPr>
        <w:t xml:space="preserve"> </w:t>
      </w:r>
      <w:r w:rsidRPr="00E43732">
        <w:rPr>
          <w:rFonts w:ascii="Palatino Linotype" w:eastAsia="Calibri" w:hAnsi="Palatino Linotype" w:cs="Arial"/>
          <w:b/>
        </w:rPr>
        <w:t>Notifíquese</w:t>
      </w:r>
      <w:r w:rsidRPr="00E43732">
        <w:rPr>
          <w:rFonts w:ascii="Palatino Linotype" w:eastAsia="Calibri" w:hAnsi="Palatino Linotype" w:cs="Arial"/>
        </w:rPr>
        <w:t xml:space="preserve"> al Titular de la Unidad de Transparencia del </w:t>
      </w:r>
      <w:r w:rsidRPr="00E43732">
        <w:rPr>
          <w:rFonts w:ascii="Palatino Linotype" w:eastAsia="Calibri" w:hAnsi="Palatino Linotype" w:cs="Arial"/>
          <w:b/>
        </w:rPr>
        <w:t>SUJETO OBLIGADO</w:t>
      </w:r>
      <w:r w:rsidRPr="00E43732">
        <w:rPr>
          <w:rFonts w:ascii="Palatino Linotype" w:eastAsia="Calibri" w:hAnsi="Palatino Linotype" w:cs="Arial"/>
        </w:rPr>
        <w:t xml:space="preserve">, para que conforme a los artículos 137 y 140 </w:t>
      </w:r>
      <w:r w:rsidRPr="00E43732">
        <w:rPr>
          <w:rFonts w:ascii="Palatino Linotype" w:eastAsia="Times New Roman" w:hAnsi="Palatino Linotype" w:cs="Arial"/>
        </w:rPr>
        <w:t xml:space="preserve"> de la Ley de Protección de Datos Personales en Posesión de los Sujetos Obligados del Estado de México y Municipios, artículos</w:t>
      </w:r>
      <w:r w:rsidRPr="00E43732">
        <w:rPr>
          <w:rFonts w:ascii="Palatino Linotype" w:eastAsia="Calibri" w:hAnsi="Palatino Linotype" w:cs="Arial"/>
        </w:rPr>
        <w:t xml:space="preserve"> </w:t>
      </w:r>
      <w:r w:rsidRPr="00E43732">
        <w:rPr>
          <w:rFonts w:ascii="Palatino Linotype" w:eastAsia="Calibri" w:hAnsi="Palatino Linotype" w:cs="Arial"/>
          <w:lang w:val="es-ES"/>
        </w:rPr>
        <w:t xml:space="preserve">186 último párrafo y 189 párrafo segundo de la Ley de </w:t>
      </w:r>
      <w:r w:rsidRPr="00E43732">
        <w:rPr>
          <w:rFonts w:ascii="Palatino Linotype" w:eastAsia="Calibri" w:hAnsi="Palatino Linotype" w:cs="Arial"/>
          <w:lang w:val="es-ES"/>
        </w:rPr>
        <w:lastRenderedPageBreak/>
        <w:t>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p>
    <w:p w:rsidR="005C3739" w:rsidRPr="00E43732" w:rsidRDefault="005C3739" w:rsidP="0090423C">
      <w:pPr>
        <w:spacing w:after="240" w:line="360" w:lineRule="auto"/>
        <w:contextualSpacing/>
        <w:jc w:val="both"/>
        <w:rPr>
          <w:rFonts w:ascii="Palatino Linotype" w:hAnsi="Palatino Linotype"/>
        </w:rPr>
      </w:pPr>
    </w:p>
    <w:p w:rsidR="00984C06" w:rsidRPr="00E43732" w:rsidRDefault="00984C06" w:rsidP="0090423C">
      <w:pPr>
        <w:spacing w:after="240" w:line="360" w:lineRule="auto"/>
        <w:contextualSpacing/>
        <w:jc w:val="both"/>
        <w:rPr>
          <w:rFonts w:ascii="Palatino Linotype" w:hAnsi="Palatino Linotype"/>
        </w:rPr>
      </w:pPr>
      <w:r w:rsidRPr="00E43732">
        <w:rPr>
          <w:rFonts w:ascii="Palatino Linotype" w:hAnsi="Palatino Linotype"/>
        </w:rPr>
        <w:t xml:space="preserve"> </w:t>
      </w:r>
      <w:r w:rsidRPr="00E43732">
        <w:rPr>
          <w:rFonts w:ascii="Palatino Linotype" w:hAnsi="Palatino Linotype"/>
          <w:b/>
        </w:rPr>
        <w:t>CUARTO.</w:t>
      </w:r>
      <w:r w:rsidRPr="00E43732">
        <w:rPr>
          <w:rFonts w:ascii="Palatino Linotype" w:hAnsi="Palatino Linotype"/>
        </w:rPr>
        <w:t xml:space="preserve"> Notifíquese a </w:t>
      </w:r>
      <w:r w:rsidR="002040BB" w:rsidRPr="002040BB">
        <w:rPr>
          <w:rFonts w:ascii="Palatino Linotype" w:hAnsi="Palatino Linotype"/>
          <w:b/>
          <w:color w:val="000000"/>
          <w:highlight w:val="black"/>
        </w:rPr>
        <w:t>-----------------------------------------</w:t>
      </w:r>
      <w:r w:rsidRPr="00E43732">
        <w:rPr>
          <w:rFonts w:ascii="Verdana" w:hAnsi="Verdana"/>
          <w:color w:val="000000"/>
          <w:sz w:val="17"/>
          <w:szCs w:val="17"/>
        </w:rPr>
        <w:t xml:space="preserve"> </w:t>
      </w:r>
      <w:r w:rsidRPr="00E43732">
        <w:rPr>
          <w:rFonts w:ascii="Palatino Linotype" w:hAnsi="Palatino Linotype"/>
        </w:rPr>
        <w:t xml:space="preserve">la presente resolución. </w:t>
      </w:r>
    </w:p>
    <w:p w:rsidR="00984C06" w:rsidRPr="00E43732" w:rsidRDefault="00984C06" w:rsidP="0090423C">
      <w:pPr>
        <w:spacing w:after="240" w:line="360" w:lineRule="auto"/>
        <w:contextualSpacing/>
        <w:jc w:val="both"/>
        <w:rPr>
          <w:rFonts w:ascii="Palatino Linotype" w:hAnsi="Palatino Linotype"/>
        </w:rPr>
      </w:pPr>
    </w:p>
    <w:p w:rsidR="0090423C" w:rsidRPr="00E43732" w:rsidRDefault="00984C06" w:rsidP="0090423C">
      <w:pPr>
        <w:spacing w:after="240" w:line="360" w:lineRule="auto"/>
        <w:contextualSpacing/>
        <w:jc w:val="both"/>
        <w:rPr>
          <w:rFonts w:ascii="Palatino Linotype" w:hAnsi="Palatino Linotype"/>
        </w:rPr>
      </w:pPr>
      <w:r w:rsidRPr="00E43732">
        <w:rPr>
          <w:rFonts w:ascii="Palatino Linotype" w:hAnsi="Palatino Linotype"/>
          <w:b/>
        </w:rPr>
        <w:t>QUINTO.</w:t>
      </w:r>
      <w:r w:rsidRPr="00E43732">
        <w:rPr>
          <w:rFonts w:ascii="Palatino Linotype" w:hAnsi="Palatino Linotype"/>
        </w:rPr>
        <w:t xml:space="preserve"> Se hace de conocimiento a</w:t>
      </w:r>
      <w:r w:rsidRPr="00E43732">
        <w:rPr>
          <w:rFonts w:ascii="Palatino Linotype" w:hAnsi="Palatino Linotype"/>
          <w:b/>
          <w:color w:val="000000"/>
        </w:rPr>
        <w:t xml:space="preserve"> </w:t>
      </w:r>
      <w:r w:rsidR="002040BB" w:rsidRPr="002040BB">
        <w:rPr>
          <w:rFonts w:ascii="Palatino Linotype" w:hAnsi="Palatino Linotype"/>
          <w:b/>
          <w:color w:val="000000"/>
          <w:highlight w:val="black"/>
        </w:rPr>
        <w:t>-------------------------------------------</w:t>
      </w:r>
      <w:bookmarkStart w:id="34" w:name="_GoBack"/>
      <w:bookmarkEnd w:id="34"/>
      <w:r w:rsidRPr="00E43732">
        <w:rPr>
          <w:rFonts w:ascii="Palatino Linotype" w:hAnsi="Palatino Linotype"/>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rsidR="00984C06" w:rsidRPr="00E43732" w:rsidRDefault="00984C06" w:rsidP="0090423C">
      <w:pPr>
        <w:spacing w:after="240" w:line="360" w:lineRule="auto"/>
        <w:contextualSpacing/>
        <w:jc w:val="both"/>
        <w:rPr>
          <w:rFonts w:ascii="Palatino Linotype" w:hAnsi="Palatino Linotype"/>
        </w:rPr>
      </w:pPr>
    </w:p>
    <w:p w:rsidR="00984C06" w:rsidRPr="00E43732" w:rsidRDefault="00984C06" w:rsidP="0090423C">
      <w:pPr>
        <w:spacing w:after="240" w:line="360" w:lineRule="auto"/>
        <w:contextualSpacing/>
        <w:jc w:val="both"/>
        <w:rPr>
          <w:rFonts w:ascii="Palatino Linotype" w:hAnsi="Palatino Linotype"/>
        </w:rPr>
      </w:pPr>
      <w:r w:rsidRPr="00E43732">
        <w:rPr>
          <w:rFonts w:ascii="Palatino Linotype" w:hAnsi="Palatino Linotype"/>
          <w:b/>
        </w:rPr>
        <w:t>SEXTO.</w:t>
      </w:r>
      <w:r w:rsidRPr="00E43732">
        <w:rPr>
          <w:rFonts w:ascii="Palatino Linotype" w:hAnsi="Palatino Linotype"/>
        </w:rPr>
        <w:t xml:space="preserve"> Con fundamento en el artículo 198 de la Ley de Transparencia y Acceso a la Información Pública del Estado de México y Municipios</w:t>
      </w:r>
      <w:r w:rsidR="005C3739" w:rsidRPr="00E43732">
        <w:rPr>
          <w:rFonts w:ascii="Palatino Linotype" w:hAnsi="Palatino Linotype"/>
        </w:rPr>
        <w:t xml:space="preserve"> de aplicación supletoria</w:t>
      </w:r>
      <w:r w:rsidRPr="00E43732">
        <w:rPr>
          <w:rFonts w:ascii="Palatino Linotype" w:hAnsi="Palatino Linotype"/>
        </w:rPr>
        <w:t xml:space="preserve">, se apercibe al </w:t>
      </w:r>
      <w:r w:rsidRPr="00E43732">
        <w:rPr>
          <w:rFonts w:ascii="Palatino Linotype" w:hAnsi="Palatino Linotype"/>
          <w:b/>
        </w:rPr>
        <w:t>SUJETO OBLIGADO</w:t>
      </w:r>
      <w:r w:rsidRPr="00E43732">
        <w:rPr>
          <w:rFonts w:ascii="Palatino Linotype" w:hAnsi="Palatino Linotype"/>
        </w:rPr>
        <w:t xml:space="preserve"> de que, en caso de incumplimiento total o parcial de la presente resolución, se actuará de conformidad con lo dispuesto en los artículos 213, 214, 215, 216 y 217 de la ley en cita.</w:t>
      </w:r>
    </w:p>
    <w:p w:rsidR="00984C06" w:rsidRPr="00E43732" w:rsidRDefault="00984C06" w:rsidP="0090423C">
      <w:pPr>
        <w:spacing w:after="240" w:line="360" w:lineRule="auto"/>
        <w:contextualSpacing/>
        <w:jc w:val="both"/>
      </w:pPr>
    </w:p>
    <w:bookmarkEnd w:id="26"/>
    <w:bookmarkEnd w:id="27"/>
    <w:bookmarkEnd w:id="28"/>
    <w:bookmarkEnd w:id="29"/>
    <w:bookmarkEnd w:id="30"/>
    <w:bookmarkEnd w:id="31"/>
    <w:bookmarkEnd w:id="32"/>
    <w:bookmarkEnd w:id="33"/>
    <w:p w:rsidR="00984C06" w:rsidRPr="00E43732" w:rsidRDefault="00984C06" w:rsidP="00984C06">
      <w:pPr>
        <w:tabs>
          <w:tab w:val="left" w:pos="0"/>
        </w:tabs>
        <w:spacing w:line="360" w:lineRule="auto"/>
        <w:ind w:firstLine="1"/>
        <w:jc w:val="both"/>
        <w:rPr>
          <w:rFonts w:ascii="Palatino Linotype" w:eastAsia="Calibri" w:hAnsi="Palatino Linotype" w:cs="Times New Roman"/>
          <w:lang w:val="es-MX" w:eastAsia="en-US"/>
        </w:rPr>
      </w:pPr>
      <w:r w:rsidRPr="00E43732">
        <w:rPr>
          <w:rFonts w:ascii="Palatino Linotype" w:eastAsia="Calibri" w:hAnsi="Palatino Linotype" w:cs="Times New Roman"/>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E43732">
        <w:rPr>
          <w:rFonts w:ascii="Palatino Linotype" w:eastAsia="Calibri" w:hAnsi="Palatino Linotype" w:cs="Times New Roman"/>
          <w:lang w:val="es-MX" w:eastAsia="en-US"/>
        </w:rPr>
        <w:lastRenderedPageBreak/>
        <w:t xml:space="preserve">HERNÁNDEZ, </w:t>
      </w:r>
      <w:r w:rsidRPr="00E43732">
        <w:rPr>
          <w:rFonts w:ascii="Palatino Linotype" w:eastAsia="Calibri" w:hAnsi="Palatino Linotype" w:cs="Times New Roman"/>
          <w:lang w:val="es-MX" w:eastAsia="en-US"/>
        </w:rPr>
        <w:t>JAVIER MARTÍNEZ CRUZ</w:t>
      </w:r>
      <w:r w:rsidR="00E43732">
        <w:rPr>
          <w:rFonts w:ascii="Palatino Linotype" w:eastAsia="Calibri" w:hAnsi="Palatino Linotype" w:cs="Times New Roman"/>
          <w:lang w:val="es-MX" w:eastAsia="en-US"/>
        </w:rPr>
        <w:t xml:space="preserve">  Y LUIS GUSTAVO PARRA NORIEGA</w:t>
      </w:r>
      <w:r w:rsidRPr="00E43732">
        <w:rPr>
          <w:rFonts w:ascii="Palatino Linotype" w:eastAsia="Calibri" w:hAnsi="Palatino Linotype" w:cs="Times New Roman"/>
          <w:lang w:val="es-MX" w:eastAsia="en-US"/>
        </w:rPr>
        <w:t xml:space="preserve">, EN LA </w:t>
      </w:r>
      <w:r w:rsidR="00E43732">
        <w:rPr>
          <w:rFonts w:ascii="Palatino Linotype" w:eastAsia="Calibri" w:hAnsi="Palatino Linotype" w:cs="Times New Roman"/>
          <w:lang w:val="es-MX" w:eastAsia="en-US"/>
        </w:rPr>
        <w:t>TRIGÉSIMA</w:t>
      </w:r>
      <w:r w:rsidRPr="00E43732">
        <w:rPr>
          <w:rFonts w:ascii="Palatino Linotype" w:eastAsia="Calibri" w:hAnsi="Palatino Linotype" w:cs="Times New Roman"/>
          <w:lang w:val="es-MX" w:eastAsia="en-US"/>
        </w:rPr>
        <w:t xml:space="preserve"> SESIÓN ORDINARIA CELEBRADA EL DÍA </w:t>
      </w:r>
      <w:r w:rsidR="00E43732">
        <w:rPr>
          <w:rFonts w:ascii="Palatino Linotype" w:eastAsia="Calibri" w:hAnsi="Palatino Linotype" w:cs="Times New Roman"/>
          <w:lang w:val="es-MX" w:eastAsia="en-US"/>
        </w:rPr>
        <w:t>NUEVE</w:t>
      </w:r>
      <w:r w:rsidRPr="00E43732">
        <w:rPr>
          <w:rFonts w:ascii="Palatino Linotype" w:eastAsia="Calibri" w:hAnsi="Palatino Linotype" w:cs="Times New Roman"/>
          <w:lang w:val="es-MX" w:eastAsia="en-US"/>
        </w:rPr>
        <w:t xml:space="preserve"> DE DICIEMBRE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984C06" w:rsidRPr="00E43732" w:rsidTr="00432072">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984C06" w:rsidRPr="00E43732" w:rsidTr="00432072">
              <w:trPr>
                <w:jc w:val="center"/>
              </w:trPr>
              <w:tc>
                <w:tcPr>
                  <w:tcW w:w="10365" w:type="dxa"/>
                  <w:gridSpan w:val="2"/>
                  <w:shd w:val="clear" w:color="auto" w:fill="auto"/>
                </w:tcPr>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Zulema Martínez Sánchez</w:t>
                  </w: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lang w:val="es-MX" w:eastAsia="en-US"/>
                    </w:rPr>
                    <w:t>Comisionada Presidenta</w:t>
                  </w: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 xml:space="preserve">(RÚBRICA) </w:t>
                  </w:r>
                </w:p>
              </w:tc>
            </w:tr>
            <w:tr w:rsidR="00984C06" w:rsidRPr="00E43732" w:rsidTr="00432072">
              <w:trPr>
                <w:jc w:val="center"/>
              </w:trPr>
              <w:tc>
                <w:tcPr>
                  <w:tcW w:w="5182" w:type="dxa"/>
                  <w:shd w:val="clear" w:color="auto" w:fill="auto"/>
                </w:tcPr>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 xml:space="preserve">Eva </w:t>
                  </w:r>
                  <w:proofErr w:type="spellStart"/>
                  <w:r w:rsidRPr="00E43732">
                    <w:rPr>
                      <w:rFonts w:ascii="Palatino Linotype" w:eastAsia="Calibri" w:hAnsi="Palatino Linotype" w:cs="Arial"/>
                      <w:b/>
                      <w:lang w:val="es-MX" w:eastAsia="en-US"/>
                    </w:rPr>
                    <w:t>Abaid</w:t>
                  </w:r>
                  <w:proofErr w:type="spellEnd"/>
                  <w:r w:rsidRPr="00E43732">
                    <w:rPr>
                      <w:rFonts w:ascii="Palatino Linotype" w:eastAsia="Calibri" w:hAnsi="Palatino Linotype" w:cs="Arial"/>
                      <w:b/>
                      <w:lang w:val="es-MX" w:eastAsia="en-US"/>
                    </w:rPr>
                    <w:t xml:space="preserve"> </w:t>
                  </w:r>
                  <w:proofErr w:type="spellStart"/>
                  <w:r w:rsidRPr="00E43732">
                    <w:rPr>
                      <w:rFonts w:ascii="Palatino Linotype" w:eastAsia="Calibri" w:hAnsi="Palatino Linotype" w:cs="Arial"/>
                      <w:b/>
                      <w:lang w:val="es-MX" w:eastAsia="en-US"/>
                    </w:rPr>
                    <w:t>Yapur</w:t>
                  </w:r>
                  <w:proofErr w:type="spellEnd"/>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lang w:val="es-MX" w:eastAsia="en-US"/>
                    </w:rPr>
                    <w:t>Comisionada</w:t>
                  </w: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(RÚBRICA)</w:t>
                  </w:r>
                </w:p>
              </w:tc>
              <w:tc>
                <w:tcPr>
                  <w:tcW w:w="5183" w:type="dxa"/>
                  <w:shd w:val="clear" w:color="auto" w:fill="auto"/>
                </w:tcPr>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José Guadalupe Luna Hernández</w:t>
                  </w:r>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lang w:val="es-MX" w:eastAsia="en-US"/>
                    </w:rPr>
                    <w:t>Comisionado</w:t>
                  </w: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(RÚBRICA)</w:t>
                  </w:r>
                </w:p>
              </w:tc>
            </w:tr>
            <w:tr w:rsidR="00984C06" w:rsidRPr="00E43732" w:rsidTr="00432072">
              <w:trPr>
                <w:jc w:val="center"/>
              </w:trPr>
              <w:tc>
                <w:tcPr>
                  <w:tcW w:w="5182" w:type="dxa"/>
                  <w:shd w:val="clear" w:color="auto" w:fill="auto"/>
                </w:tcPr>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Javier Martínez Cruz</w:t>
                  </w:r>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lang w:val="es-MX" w:eastAsia="en-US"/>
                    </w:rPr>
                    <w:t>Comisionado</w:t>
                  </w:r>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b/>
                      <w:lang w:val="es-MX" w:eastAsia="en-US"/>
                    </w:rPr>
                    <w:t>(RÚBRICA)</w:t>
                  </w:r>
                </w:p>
              </w:tc>
              <w:tc>
                <w:tcPr>
                  <w:tcW w:w="5183" w:type="dxa"/>
                  <w:shd w:val="clear" w:color="auto" w:fill="auto"/>
                </w:tcPr>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Luis Gustavo Parra Noriega</w:t>
                  </w:r>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lang w:val="es-MX" w:eastAsia="en-US"/>
                    </w:rPr>
                    <w:t>Comisionado</w:t>
                  </w: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(RÚBRICA)</w:t>
                  </w:r>
                </w:p>
              </w:tc>
            </w:tr>
            <w:tr w:rsidR="00984C06" w:rsidRPr="00E43732" w:rsidTr="00432072">
              <w:trPr>
                <w:jc w:val="center"/>
              </w:trPr>
              <w:tc>
                <w:tcPr>
                  <w:tcW w:w="10365" w:type="dxa"/>
                  <w:gridSpan w:val="2"/>
                  <w:shd w:val="clear" w:color="auto" w:fill="auto"/>
                </w:tcPr>
                <w:p w:rsidR="00984C06" w:rsidRPr="00E43732" w:rsidRDefault="00984C06" w:rsidP="00984C06">
                  <w:pPr>
                    <w:tabs>
                      <w:tab w:val="left" w:pos="3720"/>
                    </w:tabs>
                    <w:spacing w:line="360" w:lineRule="auto"/>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p>
                <w:p w:rsidR="00984C06" w:rsidRPr="00E43732" w:rsidRDefault="00984C06" w:rsidP="00984C06">
                  <w:pPr>
                    <w:spacing w:line="360" w:lineRule="auto"/>
                    <w:jc w:val="center"/>
                    <w:rPr>
                      <w:rFonts w:ascii="Palatino Linotype" w:eastAsia="Calibri" w:hAnsi="Palatino Linotype" w:cs="Arial"/>
                      <w:b/>
                      <w:lang w:val="es-MX" w:eastAsia="en-US"/>
                    </w:rPr>
                  </w:pPr>
                  <w:r w:rsidRPr="00E43732">
                    <w:rPr>
                      <w:rFonts w:ascii="Palatino Linotype" w:eastAsia="Calibri" w:hAnsi="Palatino Linotype" w:cs="Arial"/>
                      <w:b/>
                      <w:lang w:val="es-MX" w:eastAsia="en-US"/>
                    </w:rPr>
                    <w:t>Alexis Tapia Ramírez</w:t>
                  </w:r>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lang w:val="es-MX" w:eastAsia="en-US"/>
                    </w:rPr>
                    <w:t>Secretario Técnico del Pleno</w:t>
                  </w:r>
                </w:p>
                <w:p w:rsidR="00984C06" w:rsidRPr="00E43732" w:rsidRDefault="00984C06" w:rsidP="00984C06">
                  <w:pPr>
                    <w:spacing w:line="360" w:lineRule="auto"/>
                    <w:jc w:val="center"/>
                    <w:rPr>
                      <w:rFonts w:ascii="Palatino Linotype" w:eastAsia="Calibri" w:hAnsi="Palatino Linotype" w:cs="Arial"/>
                      <w:lang w:val="es-MX" w:eastAsia="en-US"/>
                    </w:rPr>
                  </w:pPr>
                  <w:r w:rsidRPr="00E43732">
                    <w:rPr>
                      <w:rFonts w:ascii="Palatino Linotype" w:eastAsia="Calibri" w:hAnsi="Palatino Linotype" w:cs="Arial"/>
                      <w:b/>
                      <w:lang w:val="es-MX" w:eastAsia="en-US"/>
                    </w:rPr>
                    <w:t>(RÚBRICA)</w:t>
                  </w:r>
                  <w:r w:rsidRPr="00E43732">
                    <w:rPr>
                      <w:rFonts w:ascii="Palatino Linotype" w:eastAsia="Calibri" w:hAnsi="Palatino Linotype" w:cs="Arial"/>
                      <w:lang w:val="es-MX" w:eastAsia="en-US"/>
                    </w:rPr>
                    <w:t xml:space="preserve"> </w:t>
                  </w:r>
                </w:p>
              </w:tc>
            </w:tr>
          </w:tbl>
          <w:p w:rsidR="00984C06" w:rsidRPr="00E43732" w:rsidRDefault="00984C06" w:rsidP="00984C06">
            <w:pPr>
              <w:spacing w:line="360" w:lineRule="auto"/>
              <w:jc w:val="both"/>
              <w:rPr>
                <w:rFonts w:ascii="Palatino Linotype" w:eastAsia="Calibri" w:hAnsi="Palatino Linotype" w:cs="Arial"/>
                <w:lang w:val="es-ES" w:eastAsia="en-US"/>
              </w:rPr>
            </w:pPr>
          </w:p>
        </w:tc>
      </w:tr>
    </w:tbl>
    <w:p w:rsidR="00780382" w:rsidRPr="00E43732" w:rsidRDefault="00984C06" w:rsidP="00E43732">
      <w:pPr>
        <w:tabs>
          <w:tab w:val="left" w:pos="0"/>
        </w:tabs>
        <w:spacing w:line="360" w:lineRule="auto"/>
        <w:jc w:val="both"/>
        <w:rPr>
          <w:rFonts w:ascii="Palatino Linotype" w:eastAsia="Calibri" w:hAnsi="Palatino Linotype" w:cs="Times New Roman"/>
          <w:lang w:val="es-MX" w:eastAsia="en-US"/>
        </w:rPr>
      </w:pPr>
      <w:r w:rsidRPr="00E43732">
        <w:rPr>
          <w:rFonts w:ascii="Palatino Linotype" w:eastAsia="Calibri" w:hAnsi="Palatino Linotype" w:cs="Arial"/>
          <w:lang w:val="es-MX" w:eastAsia="en-US"/>
        </w:rPr>
        <w:t xml:space="preserve">Esta hoja corresponde a la resolución de fecha </w:t>
      </w:r>
      <w:r w:rsidR="00E43732">
        <w:rPr>
          <w:rFonts w:ascii="Palatino Linotype" w:eastAsia="Calibri" w:hAnsi="Palatino Linotype" w:cs="Arial"/>
          <w:lang w:val="es-MX" w:eastAsia="en-US"/>
        </w:rPr>
        <w:t>nueve</w:t>
      </w:r>
      <w:r w:rsidRPr="00E43732">
        <w:rPr>
          <w:rFonts w:ascii="Palatino Linotype" w:eastAsia="Calibri" w:hAnsi="Palatino Linotype" w:cs="Arial"/>
          <w:lang w:val="es-MX" w:eastAsia="en-US"/>
        </w:rPr>
        <w:t xml:space="preserve"> (</w:t>
      </w:r>
      <w:r w:rsidR="00E43732">
        <w:rPr>
          <w:rFonts w:ascii="Palatino Linotype" w:eastAsia="Calibri" w:hAnsi="Palatino Linotype" w:cs="Arial"/>
          <w:lang w:val="es-MX" w:eastAsia="en-US"/>
        </w:rPr>
        <w:t>09</w:t>
      </w:r>
      <w:r w:rsidRPr="00E43732">
        <w:rPr>
          <w:rFonts w:ascii="Palatino Linotype" w:eastAsia="Calibri" w:hAnsi="Palatino Linotype" w:cs="Arial"/>
          <w:lang w:val="es-MX" w:eastAsia="en-US"/>
        </w:rPr>
        <w:t xml:space="preserve">) de diciembre de dos mil veinte, emitida en el recurso de revisión </w:t>
      </w:r>
      <w:r w:rsidR="00E43732">
        <w:rPr>
          <w:rFonts w:ascii="Palatino Linotype" w:hAnsi="Palatino Linotype" w:cs="Arial"/>
          <w:b/>
          <w:bCs/>
          <w:sz w:val="22"/>
          <w:szCs w:val="22"/>
          <w:lang w:eastAsia="es-MX"/>
        </w:rPr>
        <w:t>03628/INFOEM/AD/RR/2020</w:t>
      </w:r>
    </w:p>
    <w:sectPr w:rsidR="00780382" w:rsidRPr="00E43732" w:rsidSect="001A4CD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F0" w:rsidRDefault="00AE64F0">
      <w:r>
        <w:separator/>
      </w:r>
    </w:p>
  </w:endnote>
  <w:endnote w:type="continuationSeparator" w:id="0">
    <w:p w:rsidR="00AE64F0" w:rsidRDefault="00AE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614EA" w:rsidRPr="00883450" w:rsidRDefault="008614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2F1A">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2F1A">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rsidR="008614EA" w:rsidRDefault="008614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EA" w:rsidRPr="00883450" w:rsidRDefault="008614EA"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2F1A" w:rsidRPr="003A2F1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2F1A" w:rsidRPr="003A2F1A">
      <w:rPr>
        <w:rFonts w:ascii="Palatino Linotype" w:hAnsi="Palatino Linotype"/>
        <w:noProof/>
        <w:sz w:val="22"/>
        <w:szCs w:val="22"/>
        <w:lang w:val="es-ES"/>
      </w:rPr>
      <w:t>22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F0" w:rsidRDefault="00AE64F0">
      <w:r>
        <w:separator/>
      </w:r>
    </w:p>
  </w:footnote>
  <w:footnote w:type="continuationSeparator" w:id="0">
    <w:p w:rsidR="00AE64F0" w:rsidRDefault="00AE64F0">
      <w:r>
        <w:continuationSeparator/>
      </w:r>
    </w:p>
  </w:footnote>
  <w:footnote w:id="1">
    <w:p w:rsidR="008614EA" w:rsidRDefault="008614EA" w:rsidP="008614EA">
      <w:pPr>
        <w:pStyle w:val="Textonotapie"/>
        <w:jc w:val="both"/>
        <w:rPr>
          <w:i/>
        </w:rPr>
      </w:pPr>
      <w:r>
        <w:rPr>
          <w:rStyle w:val="Refdenotaalpie"/>
        </w:rPr>
        <w:footnoteRef/>
      </w:r>
      <w:r>
        <w:t xml:space="preserve"> </w:t>
      </w:r>
      <w:r w:rsidRPr="00602380">
        <w:t>Última reforma publicada en el</w:t>
      </w:r>
      <w:r>
        <w:t xml:space="preserve"> </w:t>
      </w:r>
      <w:r w:rsidRPr="00602380">
        <w:t>Diario Oficial del a Federación el veinticuatro de febrero de dos mil diecisiete, consultada en</w:t>
      </w:r>
      <w:r>
        <w:t xml:space="preserve"> </w:t>
      </w:r>
      <w:r w:rsidRPr="00602380">
        <w:t>el</w:t>
      </w:r>
      <w:r>
        <w:t xml:space="preserve"> </w:t>
      </w:r>
      <w:r w:rsidRPr="00602380">
        <w:t>sitio web</w:t>
      </w:r>
      <w:r>
        <w:t>.</w:t>
      </w:r>
      <w:r w:rsidRPr="00602380">
        <w:rPr>
          <w:i/>
        </w:rPr>
        <w:t xml:space="preserve"> </w:t>
      </w:r>
      <w:hyperlink r:id="rId1" w:history="1">
        <w:r w:rsidRPr="00423C8F">
          <w:rPr>
            <w:rStyle w:val="Hipervnculo"/>
            <w:i/>
          </w:rPr>
          <w:t>http://www.diputados.gob.mx/LeyesBiblio/pdf/1_150917.pdf</w:t>
        </w:r>
      </w:hyperlink>
    </w:p>
    <w:p w:rsidR="008614EA" w:rsidRDefault="008614EA" w:rsidP="008614EA">
      <w:pPr>
        <w:pStyle w:val="Textonotapie"/>
        <w:jc w:val="both"/>
        <w:rPr>
          <w:i/>
        </w:rPr>
      </w:pPr>
    </w:p>
    <w:p w:rsidR="008614EA" w:rsidRDefault="008614EA" w:rsidP="008614EA">
      <w:pPr>
        <w:pStyle w:val="Textonotapie"/>
        <w:jc w:val="both"/>
      </w:pPr>
      <w:r>
        <w:t>Artículo 6o.</w:t>
      </w:r>
    </w:p>
    <w:p w:rsidR="008614EA" w:rsidRDefault="008614EA" w:rsidP="008614EA">
      <w:pPr>
        <w:pStyle w:val="Textonotapie"/>
        <w:jc w:val="both"/>
      </w:pPr>
      <w:r>
        <w:t>…</w:t>
      </w:r>
    </w:p>
    <w:p w:rsidR="008614EA" w:rsidRDefault="008614EA" w:rsidP="008614EA">
      <w:pPr>
        <w:pStyle w:val="Textonotapie"/>
        <w:jc w:val="both"/>
      </w:pPr>
      <w:r>
        <w:t>II. La información que se refiere a la vida privada y los datos personales será protegida en los términos y con las excepciones que fijen las leyes.</w:t>
      </w:r>
    </w:p>
    <w:p w:rsidR="008614EA" w:rsidRDefault="008614EA" w:rsidP="008614EA">
      <w:pPr>
        <w:pStyle w:val="Textonotapie"/>
        <w:jc w:val="both"/>
      </w:pPr>
      <w:r>
        <w:t>…</w:t>
      </w:r>
    </w:p>
    <w:p w:rsidR="008614EA" w:rsidRDefault="008614EA" w:rsidP="008614EA">
      <w:pPr>
        <w:pStyle w:val="Textonotapie"/>
        <w:jc w:val="both"/>
      </w:pPr>
      <w:r>
        <w:t>III. Toda persona, sin necesidad de acreditar interés alguno o justificar su utilización, tendrá acceso gratuito a la información pública, a sus datos personales o a la rectificación de éstos.</w:t>
      </w:r>
    </w:p>
    <w:p w:rsidR="008614EA" w:rsidRDefault="008614EA" w:rsidP="008614EA">
      <w:pPr>
        <w:pStyle w:val="Textonotapie"/>
        <w:jc w:val="both"/>
      </w:pPr>
    </w:p>
    <w:p w:rsidR="008614EA" w:rsidRDefault="008614EA" w:rsidP="008614EA">
      <w:pPr>
        <w:pStyle w:val="Textonotapie"/>
        <w:jc w:val="both"/>
      </w:pPr>
      <w:r>
        <w:t>Artículo 16.</w:t>
      </w:r>
    </w:p>
    <w:p w:rsidR="008614EA" w:rsidRDefault="008614EA" w:rsidP="008614EA">
      <w:pPr>
        <w:pStyle w:val="Textonotapie"/>
        <w:jc w:val="both"/>
      </w:pPr>
      <w:r>
        <w:t>…</w:t>
      </w:r>
    </w:p>
    <w:p w:rsidR="008614EA" w:rsidRDefault="008614EA" w:rsidP="008614EA">
      <w:pPr>
        <w:pStyle w:val="Textonotapie"/>
        <w:jc w:val="both"/>
      </w:pPr>
      <w: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rsidR="00061470" w:rsidRDefault="00061470" w:rsidP="00061470">
      <w:pPr>
        <w:pStyle w:val="Textonotapie"/>
        <w:jc w:val="both"/>
      </w:pPr>
      <w:r>
        <w:rPr>
          <w:rStyle w:val="Refdenotaalpie"/>
        </w:rPr>
        <w:footnoteRef/>
      </w:r>
      <w:r>
        <w:t xml:space="preserve"> </w:t>
      </w:r>
      <w:r w:rsidRPr="000660A8">
        <w:rPr>
          <w:rFonts w:ascii="Palatino Linotype" w:hAnsi="Palatino Linotype"/>
          <w:sz w:val="18"/>
          <w:szCs w:val="18"/>
        </w:rPr>
        <w:t>“Artículo 41.- El ejercicio de los derechos ARCO se dará por cumplido cuando éstos se pongan a disposición del titular en la modalidad que haya escogido, previa acreditación; o bien, mediante la expedición de copias simples, documentos electrónicos o cualquier otro medio que determine el responsable en el aviso de privacidad.”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32" w:rsidRDefault="003A2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549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EA" w:rsidRDefault="003A2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54923" o:spid="_x0000_s2051" type="#_x0000_t75" style="position:absolute;margin-left:-84.3pt;margin-top:-126.45pt;width:609.4pt;height:793.75pt;z-index:-251656192;mso-position-horizontal-relative:margin;mso-position-vertical-relative:margin" o:allowincell="f">
          <v:imagedata r:id="rId1" o:title="resolución"/>
          <w10:wrap anchorx="margin" anchory="margin"/>
        </v:shape>
      </w:pict>
    </w:r>
  </w:p>
  <w:p w:rsidR="008614EA" w:rsidRDefault="008614EA">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8614EA" w:rsidRPr="00EF13C1" w:rsidTr="00262B20">
      <w:trPr>
        <w:trHeight w:val="138"/>
      </w:trPr>
      <w:tc>
        <w:tcPr>
          <w:tcW w:w="2835" w:type="dxa"/>
          <w:vAlign w:val="center"/>
        </w:tcPr>
        <w:p w:rsidR="008614EA" w:rsidRPr="00EF13C1" w:rsidRDefault="008614EA"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8614EA" w:rsidRPr="00EF13C1" w:rsidRDefault="008614EA" w:rsidP="0073789D">
          <w:pPr>
            <w:pStyle w:val="Encabezado"/>
            <w:rPr>
              <w:rFonts w:ascii="Palatino Linotype" w:hAnsi="Palatino Linotype"/>
              <w:b/>
              <w:sz w:val="22"/>
              <w:szCs w:val="22"/>
            </w:rPr>
          </w:pPr>
          <w:r>
            <w:rPr>
              <w:rFonts w:ascii="Palatino Linotype" w:hAnsi="Palatino Linotype" w:cs="Arial"/>
              <w:b/>
              <w:bCs/>
              <w:sz w:val="22"/>
              <w:szCs w:val="22"/>
              <w:lang w:eastAsia="es-MX"/>
            </w:rPr>
            <w:t>03628/INFOEM/AD/RR/2020</w:t>
          </w:r>
        </w:p>
      </w:tc>
    </w:tr>
    <w:tr w:rsidR="008614EA" w:rsidRPr="00EF13C1" w:rsidTr="00262B20">
      <w:trPr>
        <w:trHeight w:val="321"/>
      </w:trPr>
      <w:tc>
        <w:tcPr>
          <w:tcW w:w="2835" w:type="dxa"/>
          <w:vAlign w:val="center"/>
        </w:tcPr>
        <w:p w:rsidR="008614EA" w:rsidRPr="00EF13C1" w:rsidRDefault="008614EA"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614EA" w:rsidRPr="00EF13C1" w:rsidRDefault="008614EA" w:rsidP="007946CF">
          <w:pPr>
            <w:pStyle w:val="Encabezado"/>
            <w:ind w:right="21"/>
            <w:rPr>
              <w:rFonts w:ascii="Palatino Linotype" w:hAnsi="Palatino Linotype"/>
              <w:b/>
              <w:sz w:val="22"/>
              <w:szCs w:val="22"/>
            </w:rPr>
          </w:pPr>
          <w:r>
            <w:rPr>
              <w:rFonts w:ascii="Palatino Linotype" w:hAnsi="Palatino Linotype"/>
              <w:b/>
              <w:sz w:val="22"/>
              <w:szCs w:val="22"/>
            </w:rPr>
            <w:t>Secretaría de Movilidad</w:t>
          </w:r>
        </w:p>
      </w:tc>
    </w:tr>
    <w:tr w:rsidR="008614EA" w:rsidRPr="00EF13C1" w:rsidTr="00262B20">
      <w:trPr>
        <w:trHeight w:val="321"/>
      </w:trPr>
      <w:tc>
        <w:tcPr>
          <w:tcW w:w="2835" w:type="dxa"/>
          <w:vAlign w:val="center"/>
        </w:tcPr>
        <w:p w:rsidR="008614EA" w:rsidRPr="00EF13C1" w:rsidRDefault="008614EA"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8614EA" w:rsidRPr="00EF13C1" w:rsidRDefault="008614EA"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614EA" w:rsidRDefault="008614EA"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4EA" w:rsidRDefault="003A2F1A" w:rsidP="001A4CD6">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6549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614EA">
      <w:tab/>
    </w:r>
    <w:r w:rsidR="008614EA">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8614EA" w:rsidRPr="00182113" w:rsidTr="00262B20">
      <w:trPr>
        <w:trHeight w:val="138"/>
      </w:trPr>
      <w:tc>
        <w:tcPr>
          <w:tcW w:w="2532" w:type="dxa"/>
          <w:vAlign w:val="center"/>
        </w:tcPr>
        <w:p w:rsidR="008614EA" w:rsidRPr="00182113" w:rsidRDefault="008614EA"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614EA" w:rsidRPr="00182113" w:rsidRDefault="008614EA" w:rsidP="001A4CD6">
          <w:pPr>
            <w:pStyle w:val="Encabezado"/>
            <w:jc w:val="center"/>
            <w:rPr>
              <w:rFonts w:ascii="Palatino Linotype" w:hAnsi="Palatino Linotype"/>
              <w:b/>
              <w:sz w:val="22"/>
              <w:szCs w:val="22"/>
            </w:rPr>
          </w:pPr>
        </w:p>
      </w:tc>
      <w:tc>
        <w:tcPr>
          <w:tcW w:w="3827" w:type="dxa"/>
          <w:vAlign w:val="center"/>
        </w:tcPr>
        <w:p w:rsidR="008614EA" w:rsidRPr="0073789D" w:rsidRDefault="008614EA" w:rsidP="0073789D">
          <w:pPr>
            <w:pStyle w:val="Encabezado"/>
            <w:rPr>
              <w:rFonts w:ascii="Palatino Linotype" w:hAnsi="Palatino Linotype" w:cs="Arial"/>
              <w:b/>
              <w:bCs/>
              <w:sz w:val="22"/>
              <w:lang w:eastAsia="es-MX"/>
            </w:rPr>
          </w:pPr>
          <w:r>
            <w:rPr>
              <w:rFonts w:ascii="Palatino Linotype" w:hAnsi="Palatino Linotype" w:cs="Arial"/>
              <w:b/>
              <w:bCs/>
              <w:sz w:val="22"/>
              <w:lang w:eastAsia="es-MX"/>
            </w:rPr>
            <w:t>03628/INFOEM/AD/RR/2020</w:t>
          </w:r>
        </w:p>
      </w:tc>
    </w:tr>
    <w:tr w:rsidR="008614EA" w:rsidRPr="00182113" w:rsidTr="00262B20">
      <w:trPr>
        <w:trHeight w:val="227"/>
      </w:trPr>
      <w:tc>
        <w:tcPr>
          <w:tcW w:w="2532" w:type="dxa"/>
          <w:vAlign w:val="center"/>
        </w:tcPr>
        <w:p w:rsidR="008614EA" w:rsidRPr="00182113" w:rsidRDefault="008614EA"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614EA" w:rsidRPr="00182113" w:rsidRDefault="008614EA" w:rsidP="001A4CD6">
          <w:pPr>
            <w:pStyle w:val="Encabezado"/>
            <w:jc w:val="center"/>
            <w:rPr>
              <w:rFonts w:ascii="Palatino Linotype" w:hAnsi="Palatino Linotype"/>
              <w:b/>
              <w:sz w:val="22"/>
              <w:szCs w:val="22"/>
            </w:rPr>
          </w:pPr>
        </w:p>
      </w:tc>
      <w:tc>
        <w:tcPr>
          <w:tcW w:w="3827" w:type="dxa"/>
          <w:vAlign w:val="center"/>
        </w:tcPr>
        <w:p w:rsidR="008614EA" w:rsidRPr="00182113" w:rsidRDefault="002040BB" w:rsidP="00262B20">
          <w:pPr>
            <w:pStyle w:val="Encabezado"/>
            <w:tabs>
              <w:tab w:val="clear" w:pos="4252"/>
            </w:tabs>
            <w:ind w:right="-250"/>
            <w:rPr>
              <w:rFonts w:ascii="Palatino Linotype" w:hAnsi="Palatino Linotype"/>
              <w:b/>
              <w:sz w:val="22"/>
              <w:szCs w:val="22"/>
            </w:rPr>
          </w:pPr>
          <w:r w:rsidRPr="002040BB">
            <w:rPr>
              <w:rFonts w:ascii="Palatino Linotype" w:hAnsi="Palatino Linotype"/>
              <w:b/>
              <w:sz w:val="22"/>
              <w:szCs w:val="22"/>
              <w:highlight w:val="black"/>
            </w:rPr>
            <w:t>----------------------------------------</w:t>
          </w:r>
        </w:p>
      </w:tc>
    </w:tr>
    <w:tr w:rsidR="008614EA" w:rsidRPr="00182113" w:rsidTr="00262B20">
      <w:trPr>
        <w:trHeight w:val="232"/>
      </w:trPr>
      <w:tc>
        <w:tcPr>
          <w:tcW w:w="2532" w:type="dxa"/>
          <w:vAlign w:val="center"/>
        </w:tcPr>
        <w:p w:rsidR="008614EA" w:rsidRPr="00182113" w:rsidRDefault="008614EA"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614EA" w:rsidRPr="00182113" w:rsidRDefault="008614EA" w:rsidP="001A4CD6">
          <w:pPr>
            <w:pStyle w:val="Encabezado"/>
            <w:jc w:val="center"/>
            <w:rPr>
              <w:rFonts w:ascii="Palatino Linotype" w:hAnsi="Palatino Linotype"/>
              <w:b/>
              <w:sz w:val="22"/>
              <w:szCs w:val="22"/>
            </w:rPr>
          </w:pPr>
        </w:p>
      </w:tc>
      <w:tc>
        <w:tcPr>
          <w:tcW w:w="3827" w:type="dxa"/>
          <w:vAlign w:val="center"/>
        </w:tcPr>
        <w:p w:rsidR="008614EA" w:rsidRPr="00182113" w:rsidRDefault="008614EA" w:rsidP="007946CF">
          <w:pPr>
            <w:pStyle w:val="Encabezado"/>
            <w:rPr>
              <w:rFonts w:ascii="Palatino Linotype" w:hAnsi="Palatino Linotype"/>
              <w:b/>
              <w:sz w:val="22"/>
              <w:szCs w:val="22"/>
            </w:rPr>
          </w:pPr>
          <w:r>
            <w:rPr>
              <w:rFonts w:ascii="Palatino Linotype" w:hAnsi="Palatino Linotype"/>
              <w:b/>
              <w:sz w:val="22"/>
              <w:szCs w:val="22"/>
            </w:rPr>
            <w:t>Secretaría de Movilidad</w:t>
          </w:r>
        </w:p>
      </w:tc>
    </w:tr>
    <w:tr w:rsidR="008614EA" w:rsidRPr="00182113" w:rsidTr="00262B20">
      <w:trPr>
        <w:trHeight w:val="320"/>
      </w:trPr>
      <w:tc>
        <w:tcPr>
          <w:tcW w:w="2532" w:type="dxa"/>
          <w:vAlign w:val="center"/>
        </w:tcPr>
        <w:p w:rsidR="008614EA" w:rsidRPr="00182113" w:rsidRDefault="008614EA"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614EA" w:rsidRPr="00182113" w:rsidRDefault="008614EA" w:rsidP="001A4CD6">
          <w:pPr>
            <w:pStyle w:val="Encabezado"/>
            <w:jc w:val="center"/>
            <w:rPr>
              <w:rFonts w:ascii="Palatino Linotype" w:hAnsi="Palatino Linotype"/>
              <w:b/>
              <w:sz w:val="22"/>
              <w:szCs w:val="22"/>
            </w:rPr>
          </w:pPr>
        </w:p>
      </w:tc>
      <w:tc>
        <w:tcPr>
          <w:tcW w:w="3827" w:type="dxa"/>
          <w:vAlign w:val="center"/>
        </w:tcPr>
        <w:p w:rsidR="008614EA" w:rsidRPr="00182113" w:rsidRDefault="008614EA"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614EA" w:rsidRDefault="008614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CE2"/>
    <w:multiLevelType w:val="hybridMultilevel"/>
    <w:tmpl w:val="FB1622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2"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B852CE18"/>
    <w:lvl w:ilvl="0" w:tplc="92BE0B36">
      <w:start w:val="1"/>
      <w:numFmt w:val="decimal"/>
      <w:lvlText w:val="%1."/>
      <w:lvlJc w:val="left"/>
      <w:pPr>
        <w:ind w:left="5464" w:hanging="360"/>
      </w:pPr>
      <w:rPr>
        <w:rFonts w:ascii="Palatino Linotype" w:hAnsi="Palatino Linotype" w:hint="default"/>
        <w:b/>
        <w:i w:val="0"/>
        <w:color w:val="auto"/>
        <w:sz w:val="24"/>
      </w:rPr>
    </w:lvl>
    <w:lvl w:ilvl="1" w:tplc="2E106282">
      <w:start w:val="1"/>
      <w:numFmt w:val="lowerLetter"/>
      <w:lvlText w:val="%2)"/>
      <w:lvlJc w:val="left"/>
      <w:pPr>
        <w:ind w:left="1800" w:hanging="720"/>
      </w:pPr>
      <w:rPr>
        <w:rFonts w:hint="default"/>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B16AD230"/>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0"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9"/>
  </w:num>
  <w:num w:numId="4">
    <w:abstractNumId w:val="11"/>
  </w:num>
  <w:num w:numId="5">
    <w:abstractNumId w:val="1"/>
  </w:num>
  <w:num w:numId="6">
    <w:abstractNumId w:val="2"/>
  </w:num>
  <w:num w:numId="7">
    <w:abstractNumId w:val="5"/>
  </w:num>
  <w:num w:numId="8">
    <w:abstractNumId w:val="28"/>
  </w:num>
  <w:num w:numId="9">
    <w:abstractNumId w:val="13"/>
  </w:num>
  <w:num w:numId="10">
    <w:abstractNumId w:val="14"/>
  </w:num>
  <w:num w:numId="11">
    <w:abstractNumId w:val="17"/>
  </w:num>
  <w:num w:numId="12">
    <w:abstractNumId w:val="7"/>
  </w:num>
  <w:num w:numId="13">
    <w:abstractNumId w:val="29"/>
  </w:num>
  <w:num w:numId="14">
    <w:abstractNumId w:val="12"/>
  </w:num>
  <w:num w:numId="15">
    <w:abstractNumId w:val="9"/>
  </w:num>
  <w:num w:numId="16">
    <w:abstractNumId w:val="4"/>
  </w:num>
  <w:num w:numId="17">
    <w:abstractNumId w:val="16"/>
  </w:num>
  <w:num w:numId="18">
    <w:abstractNumId w:val="18"/>
  </w:num>
  <w:num w:numId="19">
    <w:abstractNumId w:val="15"/>
  </w:num>
  <w:num w:numId="20">
    <w:abstractNumId w:val="30"/>
  </w:num>
  <w:num w:numId="21">
    <w:abstractNumId w:val="27"/>
  </w:num>
  <w:num w:numId="22">
    <w:abstractNumId w:val="8"/>
  </w:num>
  <w:num w:numId="23">
    <w:abstractNumId w:val="26"/>
  </w:num>
  <w:num w:numId="24">
    <w:abstractNumId w:val="10"/>
  </w:num>
  <w:num w:numId="25">
    <w:abstractNumId w:val="24"/>
  </w:num>
  <w:num w:numId="26">
    <w:abstractNumId w:val="21"/>
  </w:num>
  <w:num w:numId="27">
    <w:abstractNumId w:val="22"/>
  </w:num>
  <w:num w:numId="28">
    <w:abstractNumId w:val="23"/>
  </w:num>
  <w:num w:numId="29">
    <w:abstractNumId w:val="20"/>
  </w:num>
  <w:num w:numId="30">
    <w:abstractNumId w:val="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06DFE"/>
    <w:rsid w:val="000134A1"/>
    <w:rsid w:val="00015D3B"/>
    <w:rsid w:val="00016768"/>
    <w:rsid w:val="00030E8B"/>
    <w:rsid w:val="00031242"/>
    <w:rsid w:val="000328BD"/>
    <w:rsid w:val="00032BD5"/>
    <w:rsid w:val="00032F2E"/>
    <w:rsid w:val="000342A6"/>
    <w:rsid w:val="00035DCC"/>
    <w:rsid w:val="000365FB"/>
    <w:rsid w:val="000415A8"/>
    <w:rsid w:val="00057777"/>
    <w:rsid w:val="00061470"/>
    <w:rsid w:val="00065257"/>
    <w:rsid w:val="00085831"/>
    <w:rsid w:val="00087EFD"/>
    <w:rsid w:val="00093440"/>
    <w:rsid w:val="00096913"/>
    <w:rsid w:val="000A333C"/>
    <w:rsid w:val="000B0798"/>
    <w:rsid w:val="000B55FB"/>
    <w:rsid w:val="000D029A"/>
    <w:rsid w:val="000D4292"/>
    <w:rsid w:val="000D696D"/>
    <w:rsid w:val="000E14D4"/>
    <w:rsid w:val="000E1EF5"/>
    <w:rsid w:val="000E2158"/>
    <w:rsid w:val="000E2E37"/>
    <w:rsid w:val="000E68DC"/>
    <w:rsid w:val="000F0A44"/>
    <w:rsid w:val="000F4181"/>
    <w:rsid w:val="001052C0"/>
    <w:rsid w:val="00105BF6"/>
    <w:rsid w:val="00110244"/>
    <w:rsid w:val="00112CE8"/>
    <w:rsid w:val="001248C0"/>
    <w:rsid w:val="00124DD2"/>
    <w:rsid w:val="00130074"/>
    <w:rsid w:val="00134074"/>
    <w:rsid w:val="00134368"/>
    <w:rsid w:val="001367B5"/>
    <w:rsid w:val="001501C7"/>
    <w:rsid w:val="00155F00"/>
    <w:rsid w:val="001570F2"/>
    <w:rsid w:val="001631F8"/>
    <w:rsid w:val="00163BA3"/>
    <w:rsid w:val="001649AD"/>
    <w:rsid w:val="0017271A"/>
    <w:rsid w:val="00175451"/>
    <w:rsid w:val="0018283F"/>
    <w:rsid w:val="001900FE"/>
    <w:rsid w:val="001A2852"/>
    <w:rsid w:val="001A4CD6"/>
    <w:rsid w:val="001B413D"/>
    <w:rsid w:val="001B4306"/>
    <w:rsid w:val="001B537C"/>
    <w:rsid w:val="001D306D"/>
    <w:rsid w:val="001D6F0D"/>
    <w:rsid w:val="001E43E4"/>
    <w:rsid w:val="001E4669"/>
    <w:rsid w:val="001F3FE7"/>
    <w:rsid w:val="001F499B"/>
    <w:rsid w:val="002040BB"/>
    <w:rsid w:val="00205D1F"/>
    <w:rsid w:val="00211CCB"/>
    <w:rsid w:val="00213898"/>
    <w:rsid w:val="0021402D"/>
    <w:rsid w:val="00214E34"/>
    <w:rsid w:val="00220341"/>
    <w:rsid w:val="00225B1D"/>
    <w:rsid w:val="002301C8"/>
    <w:rsid w:val="002406C0"/>
    <w:rsid w:val="00240C2F"/>
    <w:rsid w:val="00242193"/>
    <w:rsid w:val="00245D49"/>
    <w:rsid w:val="0024667A"/>
    <w:rsid w:val="00247376"/>
    <w:rsid w:val="002572AE"/>
    <w:rsid w:val="002612E8"/>
    <w:rsid w:val="00261B54"/>
    <w:rsid w:val="00262B20"/>
    <w:rsid w:val="00277C08"/>
    <w:rsid w:val="00277D13"/>
    <w:rsid w:val="00284CD9"/>
    <w:rsid w:val="00292BCC"/>
    <w:rsid w:val="002A00B1"/>
    <w:rsid w:val="002A1055"/>
    <w:rsid w:val="002B3AE8"/>
    <w:rsid w:val="002B4574"/>
    <w:rsid w:val="002C0E4B"/>
    <w:rsid w:val="002C37C0"/>
    <w:rsid w:val="002C4B4C"/>
    <w:rsid w:val="002D1192"/>
    <w:rsid w:val="002D278B"/>
    <w:rsid w:val="002E362D"/>
    <w:rsid w:val="002E6484"/>
    <w:rsid w:val="002F5CDE"/>
    <w:rsid w:val="0030054C"/>
    <w:rsid w:val="00304E51"/>
    <w:rsid w:val="0030660D"/>
    <w:rsid w:val="00313EC3"/>
    <w:rsid w:val="00321228"/>
    <w:rsid w:val="00337251"/>
    <w:rsid w:val="00337DE6"/>
    <w:rsid w:val="00340AD2"/>
    <w:rsid w:val="00341755"/>
    <w:rsid w:val="003425A6"/>
    <w:rsid w:val="00356FFB"/>
    <w:rsid w:val="00377E5B"/>
    <w:rsid w:val="00383EB3"/>
    <w:rsid w:val="00390C2D"/>
    <w:rsid w:val="00397509"/>
    <w:rsid w:val="003A232D"/>
    <w:rsid w:val="003A2F1A"/>
    <w:rsid w:val="003A3292"/>
    <w:rsid w:val="003A6589"/>
    <w:rsid w:val="003B5933"/>
    <w:rsid w:val="003C71AF"/>
    <w:rsid w:val="003D0081"/>
    <w:rsid w:val="003D454E"/>
    <w:rsid w:val="003D50AD"/>
    <w:rsid w:val="003D525D"/>
    <w:rsid w:val="003D6A00"/>
    <w:rsid w:val="003D6EA6"/>
    <w:rsid w:val="003E56C5"/>
    <w:rsid w:val="003F40A7"/>
    <w:rsid w:val="003F609D"/>
    <w:rsid w:val="003F61D7"/>
    <w:rsid w:val="004017FC"/>
    <w:rsid w:val="00414324"/>
    <w:rsid w:val="00414C5B"/>
    <w:rsid w:val="004166B2"/>
    <w:rsid w:val="004229E6"/>
    <w:rsid w:val="00423161"/>
    <w:rsid w:val="0043098B"/>
    <w:rsid w:val="00432188"/>
    <w:rsid w:val="00433076"/>
    <w:rsid w:val="00441401"/>
    <w:rsid w:val="00451617"/>
    <w:rsid w:val="00460BCD"/>
    <w:rsid w:val="004618F0"/>
    <w:rsid w:val="00464FF4"/>
    <w:rsid w:val="00492F73"/>
    <w:rsid w:val="004A0E30"/>
    <w:rsid w:val="004A3547"/>
    <w:rsid w:val="004A3BF4"/>
    <w:rsid w:val="004A52B6"/>
    <w:rsid w:val="004B1EA0"/>
    <w:rsid w:val="004B60C9"/>
    <w:rsid w:val="004C0DA1"/>
    <w:rsid w:val="004C5004"/>
    <w:rsid w:val="004E6F73"/>
    <w:rsid w:val="004F27AC"/>
    <w:rsid w:val="004F44D4"/>
    <w:rsid w:val="00500DD3"/>
    <w:rsid w:val="00506433"/>
    <w:rsid w:val="0050688E"/>
    <w:rsid w:val="005143E6"/>
    <w:rsid w:val="00515B86"/>
    <w:rsid w:val="0051758D"/>
    <w:rsid w:val="0052144D"/>
    <w:rsid w:val="005260B7"/>
    <w:rsid w:val="00531380"/>
    <w:rsid w:val="00537EB4"/>
    <w:rsid w:val="0054193B"/>
    <w:rsid w:val="00555E8F"/>
    <w:rsid w:val="00556554"/>
    <w:rsid w:val="00557FCA"/>
    <w:rsid w:val="00563D8D"/>
    <w:rsid w:val="0057083E"/>
    <w:rsid w:val="00570E89"/>
    <w:rsid w:val="00571AD4"/>
    <w:rsid w:val="005725E9"/>
    <w:rsid w:val="00572838"/>
    <w:rsid w:val="00574F1F"/>
    <w:rsid w:val="00591A27"/>
    <w:rsid w:val="005921E9"/>
    <w:rsid w:val="005957BA"/>
    <w:rsid w:val="005A1F06"/>
    <w:rsid w:val="005B1758"/>
    <w:rsid w:val="005C3739"/>
    <w:rsid w:val="005D1981"/>
    <w:rsid w:val="005D3E69"/>
    <w:rsid w:val="005D791C"/>
    <w:rsid w:val="005E0AF0"/>
    <w:rsid w:val="006041B2"/>
    <w:rsid w:val="006057F0"/>
    <w:rsid w:val="0060674E"/>
    <w:rsid w:val="00606A49"/>
    <w:rsid w:val="00614478"/>
    <w:rsid w:val="006228CD"/>
    <w:rsid w:val="00624357"/>
    <w:rsid w:val="006255DB"/>
    <w:rsid w:val="00642B78"/>
    <w:rsid w:val="00642CED"/>
    <w:rsid w:val="00645492"/>
    <w:rsid w:val="00657293"/>
    <w:rsid w:val="00663F49"/>
    <w:rsid w:val="00664309"/>
    <w:rsid w:val="00664711"/>
    <w:rsid w:val="0066549D"/>
    <w:rsid w:val="006675B4"/>
    <w:rsid w:val="006728A5"/>
    <w:rsid w:val="00694D7C"/>
    <w:rsid w:val="0069522F"/>
    <w:rsid w:val="00695A9A"/>
    <w:rsid w:val="006D0FE4"/>
    <w:rsid w:val="006D319D"/>
    <w:rsid w:val="006D4306"/>
    <w:rsid w:val="006E51FB"/>
    <w:rsid w:val="006E5427"/>
    <w:rsid w:val="006E5EF0"/>
    <w:rsid w:val="006F7BB6"/>
    <w:rsid w:val="0070173D"/>
    <w:rsid w:val="007034F5"/>
    <w:rsid w:val="00733D32"/>
    <w:rsid w:val="0073789D"/>
    <w:rsid w:val="00742EAC"/>
    <w:rsid w:val="0074418E"/>
    <w:rsid w:val="00745ED5"/>
    <w:rsid w:val="007464D0"/>
    <w:rsid w:val="007557A7"/>
    <w:rsid w:val="00757024"/>
    <w:rsid w:val="0076038C"/>
    <w:rsid w:val="007609C8"/>
    <w:rsid w:val="00763406"/>
    <w:rsid w:val="00763C28"/>
    <w:rsid w:val="007663E4"/>
    <w:rsid w:val="0077177C"/>
    <w:rsid w:val="00771B05"/>
    <w:rsid w:val="007744EC"/>
    <w:rsid w:val="00780382"/>
    <w:rsid w:val="00782400"/>
    <w:rsid w:val="00782BB1"/>
    <w:rsid w:val="007946CF"/>
    <w:rsid w:val="00795AA6"/>
    <w:rsid w:val="007A005B"/>
    <w:rsid w:val="007A6825"/>
    <w:rsid w:val="007A7BA0"/>
    <w:rsid w:val="007B19CF"/>
    <w:rsid w:val="007C2130"/>
    <w:rsid w:val="007C588E"/>
    <w:rsid w:val="007D02B4"/>
    <w:rsid w:val="007D5F26"/>
    <w:rsid w:val="007E6224"/>
    <w:rsid w:val="007F483B"/>
    <w:rsid w:val="007F4F56"/>
    <w:rsid w:val="0081011B"/>
    <w:rsid w:val="00831505"/>
    <w:rsid w:val="008355F1"/>
    <w:rsid w:val="00846CEB"/>
    <w:rsid w:val="00850718"/>
    <w:rsid w:val="00852925"/>
    <w:rsid w:val="00854EE8"/>
    <w:rsid w:val="00855BBD"/>
    <w:rsid w:val="008614EA"/>
    <w:rsid w:val="008626A8"/>
    <w:rsid w:val="00870842"/>
    <w:rsid w:val="0089433D"/>
    <w:rsid w:val="00894D37"/>
    <w:rsid w:val="008A55A4"/>
    <w:rsid w:val="008C153E"/>
    <w:rsid w:val="008C1593"/>
    <w:rsid w:val="008C15B3"/>
    <w:rsid w:val="008C185F"/>
    <w:rsid w:val="008C35D2"/>
    <w:rsid w:val="008C54C1"/>
    <w:rsid w:val="008C7782"/>
    <w:rsid w:val="008D53C3"/>
    <w:rsid w:val="008E3975"/>
    <w:rsid w:val="008F23B8"/>
    <w:rsid w:val="0090423C"/>
    <w:rsid w:val="00925AAD"/>
    <w:rsid w:val="00925D51"/>
    <w:rsid w:val="0093070D"/>
    <w:rsid w:val="00930C07"/>
    <w:rsid w:val="00933BFC"/>
    <w:rsid w:val="0093578E"/>
    <w:rsid w:val="009416C6"/>
    <w:rsid w:val="00951021"/>
    <w:rsid w:val="00966FDA"/>
    <w:rsid w:val="00971996"/>
    <w:rsid w:val="009754EF"/>
    <w:rsid w:val="00975878"/>
    <w:rsid w:val="00984C06"/>
    <w:rsid w:val="00995175"/>
    <w:rsid w:val="009B160F"/>
    <w:rsid w:val="009B4FC2"/>
    <w:rsid w:val="009C36E7"/>
    <w:rsid w:val="009C43C2"/>
    <w:rsid w:val="009D2081"/>
    <w:rsid w:val="009E2C36"/>
    <w:rsid w:val="009E411C"/>
    <w:rsid w:val="009F1C21"/>
    <w:rsid w:val="009F6DA7"/>
    <w:rsid w:val="00A06BC9"/>
    <w:rsid w:val="00A12BB4"/>
    <w:rsid w:val="00A137B4"/>
    <w:rsid w:val="00A3158D"/>
    <w:rsid w:val="00A3714E"/>
    <w:rsid w:val="00A40DC7"/>
    <w:rsid w:val="00A46B18"/>
    <w:rsid w:val="00A4775A"/>
    <w:rsid w:val="00A478C7"/>
    <w:rsid w:val="00A55BA0"/>
    <w:rsid w:val="00A66C2E"/>
    <w:rsid w:val="00A7335F"/>
    <w:rsid w:val="00A76C3B"/>
    <w:rsid w:val="00A777F4"/>
    <w:rsid w:val="00A859DE"/>
    <w:rsid w:val="00A91238"/>
    <w:rsid w:val="00AA2CB2"/>
    <w:rsid w:val="00AA47F8"/>
    <w:rsid w:val="00AC5F1B"/>
    <w:rsid w:val="00AC71D5"/>
    <w:rsid w:val="00AD2B94"/>
    <w:rsid w:val="00AE64F0"/>
    <w:rsid w:val="00AF625F"/>
    <w:rsid w:val="00B05E35"/>
    <w:rsid w:val="00B10CAF"/>
    <w:rsid w:val="00B12AE4"/>
    <w:rsid w:val="00B16B7C"/>
    <w:rsid w:val="00B22768"/>
    <w:rsid w:val="00B2558C"/>
    <w:rsid w:val="00B31F47"/>
    <w:rsid w:val="00B35EBF"/>
    <w:rsid w:val="00B448B8"/>
    <w:rsid w:val="00B549FD"/>
    <w:rsid w:val="00B57829"/>
    <w:rsid w:val="00B74FFD"/>
    <w:rsid w:val="00B819AE"/>
    <w:rsid w:val="00B81B32"/>
    <w:rsid w:val="00B9019F"/>
    <w:rsid w:val="00B9306B"/>
    <w:rsid w:val="00B96B07"/>
    <w:rsid w:val="00B97052"/>
    <w:rsid w:val="00BA15D4"/>
    <w:rsid w:val="00BA31EB"/>
    <w:rsid w:val="00BA5158"/>
    <w:rsid w:val="00BB0779"/>
    <w:rsid w:val="00BB2529"/>
    <w:rsid w:val="00BC26F1"/>
    <w:rsid w:val="00BC54E8"/>
    <w:rsid w:val="00BD40C4"/>
    <w:rsid w:val="00BD6F10"/>
    <w:rsid w:val="00BE1A6D"/>
    <w:rsid w:val="00BE2CBC"/>
    <w:rsid w:val="00BF7E3A"/>
    <w:rsid w:val="00C028D5"/>
    <w:rsid w:val="00C04C51"/>
    <w:rsid w:val="00C04CD2"/>
    <w:rsid w:val="00C05007"/>
    <w:rsid w:val="00C11DF7"/>
    <w:rsid w:val="00C256D4"/>
    <w:rsid w:val="00C32B19"/>
    <w:rsid w:val="00C36B98"/>
    <w:rsid w:val="00C36F77"/>
    <w:rsid w:val="00C52B0C"/>
    <w:rsid w:val="00C567E1"/>
    <w:rsid w:val="00C64C18"/>
    <w:rsid w:val="00C73AB8"/>
    <w:rsid w:val="00C75B8F"/>
    <w:rsid w:val="00C83B83"/>
    <w:rsid w:val="00C86A73"/>
    <w:rsid w:val="00C8714B"/>
    <w:rsid w:val="00C87D41"/>
    <w:rsid w:val="00C92950"/>
    <w:rsid w:val="00CA2E89"/>
    <w:rsid w:val="00CA3B1A"/>
    <w:rsid w:val="00CA544A"/>
    <w:rsid w:val="00CC54B0"/>
    <w:rsid w:val="00CE0A58"/>
    <w:rsid w:val="00CE3BFC"/>
    <w:rsid w:val="00CE3C45"/>
    <w:rsid w:val="00CF3989"/>
    <w:rsid w:val="00CF7940"/>
    <w:rsid w:val="00D004ED"/>
    <w:rsid w:val="00D16727"/>
    <w:rsid w:val="00D22DFF"/>
    <w:rsid w:val="00D26A5E"/>
    <w:rsid w:val="00D369A5"/>
    <w:rsid w:val="00D374D2"/>
    <w:rsid w:val="00D44AE0"/>
    <w:rsid w:val="00D47A5B"/>
    <w:rsid w:val="00D50B61"/>
    <w:rsid w:val="00D53C1F"/>
    <w:rsid w:val="00D61154"/>
    <w:rsid w:val="00D82CE9"/>
    <w:rsid w:val="00D92653"/>
    <w:rsid w:val="00D93E60"/>
    <w:rsid w:val="00DA52F4"/>
    <w:rsid w:val="00DE216C"/>
    <w:rsid w:val="00DE7FE8"/>
    <w:rsid w:val="00DF7495"/>
    <w:rsid w:val="00DF7C29"/>
    <w:rsid w:val="00E07D06"/>
    <w:rsid w:val="00E30553"/>
    <w:rsid w:val="00E33163"/>
    <w:rsid w:val="00E40A30"/>
    <w:rsid w:val="00E43732"/>
    <w:rsid w:val="00E507DF"/>
    <w:rsid w:val="00E50C1A"/>
    <w:rsid w:val="00E51B74"/>
    <w:rsid w:val="00E53D8F"/>
    <w:rsid w:val="00E5521B"/>
    <w:rsid w:val="00E55DA2"/>
    <w:rsid w:val="00E56784"/>
    <w:rsid w:val="00E67006"/>
    <w:rsid w:val="00E72CA5"/>
    <w:rsid w:val="00E76F13"/>
    <w:rsid w:val="00E826C8"/>
    <w:rsid w:val="00EA0917"/>
    <w:rsid w:val="00EA65D1"/>
    <w:rsid w:val="00EC1084"/>
    <w:rsid w:val="00EC140B"/>
    <w:rsid w:val="00EC2375"/>
    <w:rsid w:val="00EC74E4"/>
    <w:rsid w:val="00ED1D6D"/>
    <w:rsid w:val="00ED56BC"/>
    <w:rsid w:val="00EE1F37"/>
    <w:rsid w:val="00EF12E0"/>
    <w:rsid w:val="00EF1613"/>
    <w:rsid w:val="00F004B1"/>
    <w:rsid w:val="00F00D89"/>
    <w:rsid w:val="00F03A8E"/>
    <w:rsid w:val="00F06C8F"/>
    <w:rsid w:val="00F148D6"/>
    <w:rsid w:val="00F16490"/>
    <w:rsid w:val="00F2194B"/>
    <w:rsid w:val="00F21D21"/>
    <w:rsid w:val="00F25F3C"/>
    <w:rsid w:val="00F3211E"/>
    <w:rsid w:val="00F37D52"/>
    <w:rsid w:val="00F44A85"/>
    <w:rsid w:val="00F46CEB"/>
    <w:rsid w:val="00F56F46"/>
    <w:rsid w:val="00F5714C"/>
    <w:rsid w:val="00F60843"/>
    <w:rsid w:val="00F60D68"/>
    <w:rsid w:val="00F61439"/>
    <w:rsid w:val="00F7379A"/>
    <w:rsid w:val="00F833B3"/>
    <w:rsid w:val="00F86D0F"/>
    <w:rsid w:val="00F9687E"/>
    <w:rsid w:val="00F9694B"/>
    <w:rsid w:val="00F97E34"/>
    <w:rsid w:val="00FA0EEA"/>
    <w:rsid w:val="00FA6E9B"/>
    <w:rsid w:val="00FA7F06"/>
    <w:rsid w:val="00FC702D"/>
    <w:rsid w:val="00FD0A82"/>
    <w:rsid w:val="00FD4BB0"/>
    <w:rsid w:val="00FD7733"/>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semiHidden/>
    <w:unhideWhenUsed/>
    <w:rsid w:val="008614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373194129">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230921654">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47749044">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1_1509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DFED-13CC-45C1-946E-38E26F38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4255</Words>
  <Characters>23407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5</cp:revision>
  <dcterms:created xsi:type="dcterms:W3CDTF">2020-12-07T05:17:00Z</dcterms:created>
  <dcterms:modified xsi:type="dcterms:W3CDTF">2021-01-24T05:06:00Z</dcterms:modified>
</cp:coreProperties>
</file>